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937" w:rsidRDefault="00C94937" w:rsidP="00C94937">
      <w:pPr>
        <w:rPr>
          <w:szCs w:val="25"/>
          <w:lang w:eastAsia="fr-FR"/>
        </w:rPr>
      </w:pPr>
    </w:p>
    <w:p w:rsidR="00C94937" w:rsidRDefault="00C94937" w:rsidP="00C94937">
      <w:pPr>
        <w:rPr>
          <w:szCs w:val="25"/>
          <w:lang w:eastAsia="fr-FR"/>
        </w:rPr>
      </w:pPr>
    </w:p>
    <w:p w:rsidR="001E3215" w:rsidRDefault="00C94937" w:rsidP="001E3215">
      <w:pPr>
        <w:pStyle w:val="fr01"/>
        <w:rPr>
          <w:lang w:bidi="he-IL"/>
        </w:rPr>
      </w:pPr>
      <w:r w:rsidRPr="00C8701B">
        <w:rPr>
          <w:lang w:bidi="he-IL"/>
        </w:rPr>
        <w:t xml:space="preserve">INTRODUCTION </w:t>
      </w:r>
    </w:p>
    <w:p w:rsidR="00C94937" w:rsidRPr="00C8701B" w:rsidRDefault="00C94937" w:rsidP="001E3215">
      <w:pPr>
        <w:pStyle w:val="fr01"/>
        <w:rPr>
          <w:lang w:bidi="he-IL"/>
        </w:rPr>
      </w:pPr>
      <w:r w:rsidRPr="00C8701B">
        <w:rPr>
          <w:lang w:bidi="he-IL"/>
        </w:rPr>
        <w:t xml:space="preserve">GÉNÉRALE AUX ÉVANGILES </w:t>
      </w:r>
    </w:p>
    <w:p w:rsidR="00C94937" w:rsidRPr="00C8701B" w:rsidRDefault="00C94937" w:rsidP="001E3215">
      <w:pPr>
        <w:pStyle w:val="fr02"/>
        <w:rPr>
          <w:lang w:bidi="he-IL"/>
        </w:rPr>
      </w:pPr>
      <w:r w:rsidRPr="00C8701B">
        <w:rPr>
          <w:lang w:bidi="he-IL"/>
        </w:rPr>
        <w:t>Par M. l</w:t>
      </w:r>
      <w:r w:rsidR="00557DE0">
        <w:rPr>
          <w:lang w:bidi="he-IL"/>
        </w:rPr>
        <w:t>’</w:t>
      </w:r>
      <w:r w:rsidR="00AB4FEB">
        <w:rPr>
          <w:lang w:bidi="he-IL"/>
        </w:rPr>
        <w:t>abbé L. Cl</w:t>
      </w:r>
      <w:r w:rsidRPr="00C8701B">
        <w:rPr>
          <w:lang w:bidi="he-IL"/>
        </w:rPr>
        <w:t xml:space="preserve">. FILLION </w:t>
      </w:r>
    </w:p>
    <w:p w:rsidR="00C94937" w:rsidRPr="00C8701B" w:rsidRDefault="00C94937" w:rsidP="001E3215">
      <w:pPr>
        <w:pStyle w:val="fr02"/>
        <w:rPr>
          <w:lang w:bidi="he-IL"/>
        </w:rPr>
      </w:pPr>
      <w:r w:rsidRPr="00C8701B">
        <w:rPr>
          <w:lang w:bidi="he-IL"/>
        </w:rPr>
        <w:t xml:space="preserve">1889 </w:t>
      </w:r>
    </w:p>
    <w:p w:rsidR="00124910" w:rsidRPr="00C8701B" w:rsidRDefault="00124910" w:rsidP="00C2602D">
      <w:pPr>
        <w:rPr>
          <w:lang w:eastAsia="fr-FR"/>
        </w:rPr>
      </w:pPr>
    </w:p>
    <w:p w:rsidR="00C94937" w:rsidRPr="00050449" w:rsidRDefault="00C94937" w:rsidP="00C94937">
      <w:pPr>
        <w:pStyle w:val="fr02"/>
      </w:pPr>
      <w:r w:rsidRPr="00050449">
        <w:t xml:space="preserve">Nouvelle publication par les </w:t>
      </w:r>
    </w:p>
    <w:p w:rsidR="00C94937" w:rsidRPr="00050449" w:rsidRDefault="00C94937" w:rsidP="00C94937">
      <w:pPr>
        <w:pStyle w:val="fr02"/>
      </w:pPr>
      <w:r w:rsidRPr="00050449">
        <w:t>ÉDITIONS NOTRE-DAME AUXILIATRICE</w:t>
      </w:r>
    </w:p>
    <w:p w:rsidR="00C94937" w:rsidRPr="00050449" w:rsidRDefault="00C94937" w:rsidP="00C94937">
      <w:pPr>
        <w:pStyle w:val="fr02"/>
      </w:pPr>
      <w:r w:rsidRPr="00050449">
        <w:t xml:space="preserve">AUBUSSON </w:t>
      </w:r>
    </w:p>
    <w:p w:rsidR="00C94937" w:rsidRDefault="00C94937" w:rsidP="00C94937">
      <w:pPr>
        <w:pStyle w:val="fr02"/>
      </w:pPr>
      <w:r w:rsidRPr="00050449">
        <w:t>2018</w:t>
      </w:r>
    </w:p>
    <w:p w:rsidR="0021458E" w:rsidRDefault="0021458E" w:rsidP="0021458E">
      <w:pPr>
        <w:rPr>
          <w:szCs w:val="25"/>
          <w:lang w:eastAsia="fr-FR"/>
        </w:rPr>
      </w:pPr>
    </w:p>
    <w:tbl>
      <w:tblPr>
        <w:tblW w:w="6613" w:type="dxa"/>
        <w:tblLook w:val="04A0"/>
      </w:tblPr>
      <w:tblGrid>
        <w:gridCol w:w="1951"/>
        <w:gridCol w:w="4662"/>
      </w:tblGrid>
      <w:tr w:rsidR="0077146D" w:rsidTr="00FC6F68">
        <w:tc>
          <w:tcPr>
            <w:tcW w:w="1951" w:type="dxa"/>
          </w:tcPr>
          <w:p w:rsidR="0077146D" w:rsidRDefault="00B05819" w:rsidP="00FC6F68">
            <w:pPr>
              <w:pStyle w:val="nsr"/>
            </w:pPr>
            <w:r>
              <w:rPr>
                <w:noProof/>
                <w:lang w:bidi="he-IL"/>
              </w:rPr>
              <w:drawing>
                <wp:inline distT="0" distB="0" distL="0" distR="0">
                  <wp:extent cx="1022985" cy="1439545"/>
                  <wp:effectExtent l="19050" t="0" r="5715" b="0"/>
                  <wp:docPr id="1" name="Image 31" descr="maria_auxiliatrix_christianorum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descr="maria_auxiliatrix_christianorum_03.jpg"/>
                          <pic:cNvPicPr>
                            <a:picLocks noChangeAspect="1" noChangeArrowheads="1"/>
                          </pic:cNvPicPr>
                        </pic:nvPicPr>
                        <pic:blipFill>
                          <a:blip r:embed="rId8" cstate="print"/>
                          <a:srcRect/>
                          <a:stretch>
                            <a:fillRect/>
                          </a:stretch>
                        </pic:blipFill>
                        <pic:spPr bwMode="auto">
                          <a:xfrm>
                            <a:off x="0" y="0"/>
                            <a:ext cx="1022985" cy="1439545"/>
                          </a:xfrm>
                          <a:prstGeom prst="rect">
                            <a:avLst/>
                          </a:prstGeom>
                          <a:noFill/>
                          <a:ln w="9525">
                            <a:noFill/>
                            <a:miter lim="800000"/>
                            <a:headEnd/>
                            <a:tailEnd/>
                          </a:ln>
                        </pic:spPr>
                      </pic:pic>
                    </a:graphicData>
                  </a:graphic>
                </wp:inline>
              </w:drawing>
            </w:r>
          </w:p>
        </w:tc>
        <w:tc>
          <w:tcPr>
            <w:tcW w:w="4662" w:type="dxa"/>
          </w:tcPr>
          <w:p w:rsidR="0077146D" w:rsidRPr="00E64EDC" w:rsidRDefault="0077146D" w:rsidP="00FC6F68">
            <w:pPr>
              <w:pStyle w:val="ed2"/>
            </w:pPr>
            <w:r w:rsidRPr="00E64EDC">
              <w:t>Année de</w:t>
            </w:r>
            <w:r w:rsidR="006B647F">
              <w:t xml:space="preserve"> Notre-Seigneur Jésus-Christ 2020</w:t>
            </w:r>
          </w:p>
          <w:p w:rsidR="0077146D" w:rsidRPr="00E64EDC" w:rsidRDefault="0077146D" w:rsidP="00FC6F68">
            <w:pPr>
              <w:pStyle w:val="ed1"/>
            </w:pPr>
            <w:r w:rsidRPr="00E64EDC">
              <w:t xml:space="preserve">Éditions Notre-Dame Auxiliatrice, </w:t>
            </w:r>
          </w:p>
          <w:p w:rsidR="0077146D" w:rsidRDefault="0077146D" w:rsidP="00FC6F68">
            <w:pPr>
              <w:pStyle w:val="ed1"/>
            </w:pPr>
            <w:r w:rsidRPr="00E64EDC">
              <w:t xml:space="preserve">Maison d’édition fondée </w:t>
            </w:r>
            <w:r>
              <w:t xml:space="preserve">Nicǽæ-ad-Varum, </w:t>
            </w:r>
          </w:p>
          <w:p w:rsidR="0077146D" w:rsidRPr="00E64EDC" w:rsidRDefault="0077146D" w:rsidP="00FC6F68">
            <w:pPr>
              <w:pStyle w:val="ed1"/>
            </w:pPr>
            <w:r w:rsidRPr="00E64EDC">
              <w:t xml:space="preserve">le Samedi Saint 23 avril 2011, </w:t>
            </w:r>
          </w:p>
          <w:p w:rsidR="0077146D" w:rsidRDefault="0077146D" w:rsidP="00FC6F68">
            <w:pPr>
              <w:pStyle w:val="ed1"/>
            </w:pPr>
            <w:r>
              <w:t>Aubusson, France</w:t>
            </w:r>
          </w:p>
          <w:p w:rsidR="0077146D" w:rsidRDefault="006B647F" w:rsidP="00FC6F68">
            <w:pPr>
              <w:pStyle w:val="ed1"/>
            </w:pPr>
            <w:r>
              <w:t>mail : 2020</w:t>
            </w:r>
            <w:r w:rsidR="0077146D">
              <w:t>@maria-auxiliatrix.net</w:t>
            </w:r>
          </w:p>
          <w:p w:rsidR="0077146D" w:rsidRDefault="0077146D" w:rsidP="00FC6F68">
            <w:pPr>
              <w:pStyle w:val="ed3"/>
            </w:pPr>
            <w:r>
              <w:t>(L’adresse mail change chaque année, le numéro avant @ est toujours le numéro de l’année.)</w:t>
            </w:r>
          </w:p>
        </w:tc>
      </w:tr>
    </w:tbl>
    <w:p w:rsidR="0077146D" w:rsidRDefault="0077146D" w:rsidP="0021458E">
      <w:pPr>
        <w:rPr>
          <w:szCs w:val="25"/>
          <w:lang w:eastAsia="fr-FR"/>
        </w:rPr>
      </w:pPr>
    </w:p>
    <w:p w:rsidR="004860D7" w:rsidRDefault="004860D7" w:rsidP="004860D7">
      <w:pPr>
        <w:pStyle w:val="tabtit"/>
      </w:pPr>
      <w:r>
        <w:t>Table des chapitres</w:t>
      </w:r>
    </w:p>
    <w:p w:rsidR="004860D7" w:rsidRDefault="00691E6B">
      <w:pPr>
        <w:pStyle w:val="TM4"/>
        <w:tabs>
          <w:tab w:val="right" w:leader="dot" w:pos="10366"/>
        </w:tabs>
        <w:rPr>
          <w:rFonts w:ascii="Calibri" w:eastAsia="Times New Roman" w:hAnsi="Calibri" w:cs="Arial"/>
          <w:noProof/>
          <w:sz w:val="22"/>
          <w:lang w:eastAsia="fr-FR" w:bidi="he-IL"/>
        </w:rPr>
      </w:pPr>
      <w:r w:rsidRPr="00691E6B">
        <w:fldChar w:fldCharType="begin"/>
      </w:r>
      <w:r w:rsidR="004860D7">
        <w:instrText xml:space="preserve"> TOC \o "1-4" \h \z \u </w:instrText>
      </w:r>
      <w:r w:rsidRPr="00691E6B">
        <w:fldChar w:fldCharType="separate"/>
      </w:r>
      <w:hyperlink w:anchor="_Toc526755715" w:history="1">
        <w:r w:rsidR="004860D7" w:rsidRPr="00864550">
          <w:rPr>
            <w:rStyle w:val="Lienhypertexte"/>
            <w:noProof/>
            <w:lang w:eastAsia="fr-FR"/>
          </w:rPr>
          <w:t>§ I. — LE MOT</w:t>
        </w:r>
        <w:r w:rsidR="004860D7" w:rsidRPr="00864550">
          <w:rPr>
            <w:rStyle w:val="Lienhypertexte"/>
            <w:i/>
            <w:noProof/>
          </w:rPr>
          <w:t xml:space="preserve"> ÉVANGILE</w:t>
        </w:r>
        <w:r w:rsidR="004860D7">
          <w:rPr>
            <w:noProof/>
            <w:webHidden/>
          </w:rPr>
          <w:tab/>
        </w:r>
        <w:r>
          <w:rPr>
            <w:noProof/>
            <w:webHidden/>
          </w:rPr>
          <w:fldChar w:fldCharType="begin"/>
        </w:r>
        <w:r w:rsidR="004860D7">
          <w:rPr>
            <w:noProof/>
            <w:webHidden/>
          </w:rPr>
          <w:instrText xml:space="preserve"> PAGEREF _Toc526755715 \h </w:instrText>
        </w:r>
        <w:r>
          <w:rPr>
            <w:noProof/>
            <w:webHidden/>
          </w:rPr>
        </w:r>
        <w:r>
          <w:rPr>
            <w:noProof/>
            <w:webHidden/>
          </w:rPr>
          <w:fldChar w:fldCharType="separate"/>
        </w:r>
        <w:r w:rsidR="004860D7">
          <w:rPr>
            <w:noProof/>
            <w:webHidden/>
          </w:rPr>
          <w:t>2</w:t>
        </w:r>
        <w:r>
          <w:rPr>
            <w:noProof/>
            <w:webHidden/>
          </w:rPr>
          <w:fldChar w:fldCharType="end"/>
        </w:r>
      </w:hyperlink>
    </w:p>
    <w:p w:rsidR="004860D7" w:rsidRDefault="00691E6B">
      <w:pPr>
        <w:pStyle w:val="TM4"/>
        <w:tabs>
          <w:tab w:val="right" w:leader="dot" w:pos="10366"/>
        </w:tabs>
        <w:rPr>
          <w:rFonts w:ascii="Calibri" w:eastAsia="Times New Roman" w:hAnsi="Calibri" w:cs="Arial"/>
          <w:noProof/>
          <w:sz w:val="22"/>
          <w:lang w:eastAsia="fr-FR" w:bidi="he-IL"/>
        </w:rPr>
      </w:pPr>
      <w:hyperlink w:anchor="_Toc526755716" w:history="1">
        <w:r w:rsidR="004860D7" w:rsidRPr="00864550">
          <w:rPr>
            <w:rStyle w:val="Lienhypertexte"/>
            <w:noProof/>
            <w:lang w:eastAsia="fr-FR"/>
          </w:rPr>
          <w:t>§ II. — LE NOMBRE DES ÉVANGILES</w:t>
        </w:r>
        <w:r w:rsidR="004860D7">
          <w:rPr>
            <w:noProof/>
            <w:webHidden/>
          </w:rPr>
          <w:tab/>
        </w:r>
        <w:r>
          <w:rPr>
            <w:noProof/>
            <w:webHidden/>
          </w:rPr>
          <w:fldChar w:fldCharType="begin"/>
        </w:r>
        <w:r w:rsidR="004860D7">
          <w:rPr>
            <w:noProof/>
            <w:webHidden/>
          </w:rPr>
          <w:instrText xml:space="preserve"> PAGEREF _Toc526755716 \h </w:instrText>
        </w:r>
        <w:r>
          <w:rPr>
            <w:noProof/>
            <w:webHidden/>
          </w:rPr>
        </w:r>
        <w:r>
          <w:rPr>
            <w:noProof/>
            <w:webHidden/>
          </w:rPr>
          <w:fldChar w:fldCharType="separate"/>
        </w:r>
        <w:r w:rsidR="004860D7">
          <w:rPr>
            <w:noProof/>
            <w:webHidden/>
          </w:rPr>
          <w:t>3</w:t>
        </w:r>
        <w:r>
          <w:rPr>
            <w:noProof/>
            <w:webHidden/>
          </w:rPr>
          <w:fldChar w:fldCharType="end"/>
        </w:r>
      </w:hyperlink>
    </w:p>
    <w:p w:rsidR="004860D7" w:rsidRDefault="00691E6B">
      <w:pPr>
        <w:pStyle w:val="TM4"/>
        <w:tabs>
          <w:tab w:val="right" w:leader="dot" w:pos="10366"/>
        </w:tabs>
        <w:rPr>
          <w:rFonts w:ascii="Calibri" w:eastAsia="Times New Roman" w:hAnsi="Calibri" w:cs="Arial"/>
          <w:noProof/>
          <w:sz w:val="22"/>
          <w:lang w:eastAsia="fr-FR" w:bidi="he-IL"/>
        </w:rPr>
      </w:pPr>
      <w:hyperlink w:anchor="_Toc526755717" w:history="1">
        <w:r w:rsidR="004860D7" w:rsidRPr="00864550">
          <w:rPr>
            <w:rStyle w:val="Lienhypertexte"/>
            <w:rFonts w:eastAsia="Arial Unicode MS"/>
            <w:bCs/>
            <w:noProof/>
            <w:lang w:eastAsia="fr-FR"/>
          </w:rPr>
          <w:t>§ III. — L’ORDRE ET LA SUCCESSION DES ÉVANGILES DANS LE CANON DU NOUVEAU TESTAMENT</w:t>
        </w:r>
        <w:r w:rsidR="004860D7">
          <w:rPr>
            <w:noProof/>
            <w:webHidden/>
          </w:rPr>
          <w:tab/>
        </w:r>
        <w:r>
          <w:rPr>
            <w:noProof/>
            <w:webHidden/>
          </w:rPr>
          <w:fldChar w:fldCharType="begin"/>
        </w:r>
        <w:r w:rsidR="004860D7">
          <w:rPr>
            <w:noProof/>
            <w:webHidden/>
          </w:rPr>
          <w:instrText xml:space="preserve"> PAGEREF _Toc526755717 \h </w:instrText>
        </w:r>
        <w:r>
          <w:rPr>
            <w:noProof/>
            <w:webHidden/>
          </w:rPr>
        </w:r>
        <w:r>
          <w:rPr>
            <w:noProof/>
            <w:webHidden/>
          </w:rPr>
          <w:fldChar w:fldCharType="separate"/>
        </w:r>
        <w:r w:rsidR="004860D7">
          <w:rPr>
            <w:noProof/>
            <w:webHidden/>
          </w:rPr>
          <w:t>6</w:t>
        </w:r>
        <w:r>
          <w:rPr>
            <w:noProof/>
            <w:webHidden/>
          </w:rPr>
          <w:fldChar w:fldCharType="end"/>
        </w:r>
      </w:hyperlink>
    </w:p>
    <w:p w:rsidR="004860D7" w:rsidRDefault="00691E6B">
      <w:pPr>
        <w:pStyle w:val="TM4"/>
        <w:tabs>
          <w:tab w:val="right" w:leader="dot" w:pos="10366"/>
        </w:tabs>
        <w:rPr>
          <w:rFonts w:ascii="Calibri" w:eastAsia="Times New Roman" w:hAnsi="Calibri" w:cs="Arial"/>
          <w:noProof/>
          <w:sz w:val="22"/>
          <w:lang w:eastAsia="fr-FR" w:bidi="he-IL"/>
        </w:rPr>
      </w:pPr>
      <w:hyperlink w:anchor="_Toc526755718" w:history="1">
        <w:r w:rsidR="004860D7" w:rsidRPr="00864550">
          <w:rPr>
            <w:rStyle w:val="Lienhypertexte"/>
            <w:rFonts w:eastAsia="Arial Unicode MS"/>
            <w:bCs/>
            <w:noProof/>
            <w:lang w:eastAsia="fr-FR"/>
          </w:rPr>
          <w:t>§ IV. — LES REPRÉSENTATIONS SYMBOLIQUES ET ARTISTIQUES DES QUATRE ÉVANGÉLISTES.</w:t>
        </w:r>
        <w:r w:rsidR="004860D7">
          <w:rPr>
            <w:noProof/>
            <w:webHidden/>
          </w:rPr>
          <w:tab/>
        </w:r>
        <w:r>
          <w:rPr>
            <w:noProof/>
            <w:webHidden/>
          </w:rPr>
          <w:fldChar w:fldCharType="begin"/>
        </w:r>
        <w:r w:rsidR="004860D7">
          <w:rPr>
            <w:noProof/>
            <w:webHidden/>
          </w:rPr>
          <w:instrText xml:space="preserve"> PAGEREF _Toc526755718 \h </w:instrText>
        </w:r>
        <w:r>
          <w:rPr>
            <w:noProof/>
            <w:webHidden/>
          </w:rPr>
        </w:r>
        <w:r>
          <w:rPr>
            <w:noProof/>
            <w:webHidden/>
          </w:rPr>
          <w:fldChar w:fldCharType="separate"/>
        </w:r>
        <w:r w:rsidR="004860D7">
          <w:rPr>
            <w:noProof/>
            <w:webHidden/>
          </w:rPr>
          <w:t>6</w:t>
        </w:r>
        <w:r>
          <w:rPr>
            <w:noProof/>
            <w:webHidden/>
          </w:rPr>
          <w:fldChar w:fldCharType="end"/>
        </w:r>
      </w:hyperlink>
    </w:p>
    <w:p w:rsidR="004860D7" w:rsidRDefault="00691E6B">
      <w:pPr>
        <w:pStyle w:val="TM4"/>
        <w:tabs>
          <w:tab w:val="right" w:leader="dot" w:pos="10366"/>
        </w:tabs>
        <w:rPr>
          <w:rFonts w:ascii="Calibri" w:eastAsia="Times New Roman" w:hAnsi="Calibri" w:cs="Arial"/>
          <w:noProof/>
          <w:sz w:val="22"/>
          <w:lang w:eastAsia="fr-FR" w:bidi="he-IL"/>
        </w:rPr>
      </w:pPr>
      <w:hyperlink w:anchor="_Toc526755719" w:history="1">
        <w:r w:rsidR="004860D7" w:rsidRPr="00864550">
          <w:rPr>
            <w:rStyle w:val="Lienhypertexte"/>
            <w:rFonts w:eastAsia="Arial Unicode MS"/>
            <w:bCs/>
            <w:noProof/>
            <w:lang w:eastAsia="fr-FR"/>
          </w:rPr>
          <w:t>§ V. — LES TITRES DES ÉVANGILES</w:t>
        </w:r>
        <w:r w:rsidR="004860D7">
          <w:rPr>
            <w:noProof/>
            <w:webHidden/>
          </w:rPr>
          <w:tab/>
        </w:r>
        <w:r>
          <w:rPr>
            <w:noProof/>
            <w:webHidden/>
          </w:rPr>
          <w:fldChar w:fldCharType="begin"/>
        </w:r>
        <w:r w:rsidR="004860D7">
          <w:rPr>
            <w:noProof/>
            <w:webHidden/>
          </w:rPr>
          <w:instrText xml:space="preserve"> PAGEREF _Toc526755719 \h </w:instrText>
        </w:r>
        <w:r>
          <w:rPr>
            <w:noProof/>
            <w:webHidden/>
          </w:rPr>
        </w:r>
        <w:r>
          <w:rPr>
            <w:noProof/>
            <w:webHidden/>
          </w:rPr>
          <w:fldChar w:fldCharType="separate"/>
        </w:r>
        <w:r w:rsidR="004860D7">
          <w:rPr>
            <w:noProof/>
            <w:webHidden/>
          </w:rPr>
          <w:t>10</w:t>
        </w:r>
        <w:r>
          <w:rPr>
            <w:noProof/>
            <w:webHidden/>
          </w:rPr>
          <w:fldChar w:fldCharType="end"/>
        </w:r>
      </w:hyperlink>
    </w:p>
    <w:p w:rsidR="004860D7" w:rsidRDefault="00691E6B">
      <w:pPr>
        <w:pStyle w:val="TM4"/>
        <w:tabs>
          <w:tab w:val="right" w:leader="dot" w:pos="10366"/>
        </w:tabs>
        <w:rPr>
          <w:rFonts w:ascii="Calibri" w:eastAsia="Times New Roman" w:hAnsi="Calibri" w:cs="Arial"/>
          <w:noProof/>
          <w:sz w:val="22"/>
          <w:lang w:eastAsia="fr-FR" w:bidi="he-IL"/>
        </w:rPr>
      </w:pPr>
      <w:hyperlink w:anchor="_Toc526755720" w:history="1">
        <w:r w:rsidR="004860D7" w:rsidRPr="00864550">
          <w:rPr>
            <w:rStyle w:val="Lienhypertexte"/>
            <w:rFonts w:eastAsia="Arial Unicode MS"/>
            <w:bCs/>
            <w:noProof/>
            <w:lang w:eastAsia="fr-FR"/>
          </w:rPr>
          <w:t xml:space="preserve">§ </w:t>
        </w:r>
        <w:r w:rsidR="004860D7" w:rsidRPr="00864550">
          <w:rPr>
            <w:rStyle w:val="Lienhypertexte"/>
            <w:rFonts w:eastAsia="Arial Unicode MS"/>
            <w:bCs/>
            <w:noProof/>
            <w:lang w:val="el-GR" w:eastAsia="fr-FR"/>
          </w:rPr>
          <w:t>VI. —</w:t>
        </w:r>
        <w:r w:rsidR="004860D7" w:rsidRPr="00864550">
          <w:rPr>
            <w:rStyle w:val="Lienhypertexte"/>
            <w:rFonts w:eastAsia="Arial Unicode MS"/>
            <w:bCs/>
            <w:noProof/>
            <w:lang w:eastAsia="fr-FR"/>
          </w:rPr>
          <w:t xml:space="preserve"> LE CONTENU DES ÉVANGILES.</w:t>
        </w:r>
        <w:r w:rsidR="004860D7">
          <w:rPr>
            <w:noProof/>
            <w:webHidden/>
          </w:rPr>
          <w:tab/>
        </w:r>
        <w:r>
          <w:rPr>
            <w:noProof/>
            <w:webHidden/>
          </w:rPr>
          <w:fldChar w:fldCharType="begin"/>
        </w:r>
        <w:r w:rsidR="004860D7">
          <w:rPr>
            <w:noProof/>
            <w:webHidden/>
          </w:rPr>
          <w:instrText xml:space="preserve"> PAGEREF _Toc526755720 \h </w:instrText>
        </w:r>
        <w:r>
          <w:rPr>
            <w:noProof/>
            <w:webHidden/>
          </w:rPr>
        </w:r>
        <w:r>
          <w:rPr>
            <w:noProof/>
            <w:webHidden/>
          </w:rPr>
          <w:fldChar w:fldCharType="separate"/>
        </w:r>
        <w:r w:rsidR="004860D7">
          <w:rPr>
            <w:noProof/>
            <w:webHidden/>
          </w:rPr>
          <w:t>11</w:t>
        </w:r>
        <w:r>
          <w:rPr>
            <w:noProof/>
            <w:webHidden/>
          </w:rPr>
          <w:fldChar w:fldCharType="end"/>
        </w:r>
      </w:hyperlink>
    </w:p>
    <w:p w:rsidR="004860D7" w:rsidRDefault="00691E6B">
      <w:pPr>
        <w:pStyle w:val="TM4"/>
        <w:tabs>
          <w:tab w:val="right" w:leader="dot" w:pos="10366"/>
        </w:tabs>
        <w:rPr>
          <w:rFonts w:ascii="Calibri" w:eastAsia="Times New Roman" w:hAnsi="Calibri" w:cs="Arial"/>
          <w:noProof/>
          <w:sz w:val="22"/>
          <w:lang w:eastAsia="fr-FR" w:bidi="he-IL"/>
        </w:rPr>
      </w:pPr>
      <w:hyperlink w:anchor="_Toc526755721" w:history="1">
        <w:r w:rsidR="004860D7" w:rsidRPr="00864550">
          <w:rPr>
            <w:rStyle w:val="Lienhypertexte"/>
            <w:rFonts w:eastAsia="Arial Unicode MS"/>
            <w:bCs/>
            <w:noProof/>
            <w:lang w:eastAsia="fr-FR"/>
          </w:rPr>
          <w:t>§ VII. RAPPORTS DES QUATRE ÉVANGÉLISES ENTRE EUX : LEURS RESSEMBLANCES ET LEURS DIFFÉRENCES ; LES RAISONS DE CES RESSEMBLANCES ET DE CES DIVERGENCES.</w:t>
        </w:r>
        <w:r w:rsidR="004860D7">
          <w:rPr>
            <w:noProof/>
            <w:webHidden/>
          </w:rPr>
          <w:tab/>
        </w:r>
        <w:r>
          <w:rPr>
            <w:noProof/>
            <w:webHidden/>
          </w:rPr>
          <w:fldChar w:fldCharType="begin"/>
        </w:r>
        <w:r w:rsidR="004860D7">
          <w:rPr>
            <w:noProof/>
            <w:webHidden/>
          </w:rPr>
          <w:instrText xml:space="preserve"> PAGEREF _Toc526755721 \h </w:instrText>
        </w:r>
        <w:r>
          <w:rPr>
            <w:noProof/>
            <w:webHidden/>
          </w:rPr>
        </w:r>
        <w:r>
          <w:rPr>
            <w:noProof/>
            <w:webHidden/>
          </w:rPr>
          <w:fldChar w:fldCharType="separate"/>
        </w:r>
        <w:r w:rsidR="004860D7">
          <w:rPr>
            <w:noProof/>
            <w:webHidden/>
          </w:rPr>
          <w:t>20</w:t>
        </w:r>
        <w:r>
          <w:rPr>
            <w:noProof/>
            <w:webHidden/>
          </w:rPr>
          <w:fldChar w:fldCharType="end"/>
        </w:r>
      </w:hyperlink>
    </w:p>
    <w:p w:rsidR="004860D7" w:rsidRDefault="00691E6B">
      <w:pPr>
        <w:pStyle w:val="TM4"/>
        <w:tabs>
          <w:tab w:val="right" w:leader="dot" w:pos="10366"/>
        </w:tabs>
        <w:rPr>
          <w:rFonts w:ascii="Calibri" w:eastAsia="Times New Roman" w:hAnsi="Calibri" w:cs="Arial"/>
          <w:noProof/>
          <w:sz w:val="22"/>
          <w:lang w:eastAsia="fr-FR" w:bidi="he-IL"/>
        </w:rPr>
      </w:pPr>
      <w:hyperlink w:anchor="_Toc526755722" w:history="1">
        <w:r w:rsidR="004860D7" w:rsidRPr="00864550">
          <w:rPr>
            <w:rStyle w:val="Lienhypertexte"/>
            <w:rFonts w:eastAsia="Arial Unicode MS"/>
            <w:bCs/>
            <w:noProof/>
            <w:lang w:eastAsia="fr-FR"/>
          </w:rPr>
          <w:t>§ VIII. LA CHRONOLOGIE DES ÉVANGILES</w:t>
        </w:r>
        <w:r w:rsidR="004860D7">
          <w:rPr>
            <w:noProof/>
            <w:webHidden/>
          </w:rPr>
          <w:tab/>
        </w:r>
        <w:r>
          <w:rPr>
            <w:noProof/>
            <w:webHidden/>
          </w:rPr>
          <w:fldChar w:fldCharType="begin"/>
        </w:r>
        <w:r w:rsidR="004860D7">
          <w:rPr>
            <w:noProof/>
            <w:webHidden/>
          </w:rPr>
          <w:instrText xml:space="preserve"> PAGEREF _Toc526755722 \h </w:instrText>
        </w:r>
        <w:r>
          <w:rPr>
            <w:noProof/>
            <w:webHidden/>
          </w:rPr>
        </w:r>
        <w:r>
          <w:rPr>
            <w:noProof/>
            <w:webHidden/>
          </w:rPr>
          <w:fldChar w:fldCharType="separate"/>
        </w:r>
        <w:r w:rsidR="004860D7">
          <w:rPr>
            <w:noProof/>
            <w:webHidden/>
          </w:rPr>
          <w:t>50</w:t>
        </w:r>
        <w:r>
          <w:rPr>
            <w:noProof/>
            <w:webHidden/>
          </w:rPr>
          <w:fldChar w:fldCharType="end"/>
        </w:r>
      </w:hyperlink>
    </w:p>
    <w:p w:rsidR="004860D7" w:rsidRDefault="00691E6B">
      <w:pPr>
        <w:pStyle w:val="TM4"/>
        <w:tabs>
          <w:tab w:val="right" w:leader="dot" w:pos="10366"/>
        </w:tabs>
        <w:rPr>
          <w:rFonts w:ascii="Calibri" w:eastAsia="Times New Roman" w:hAnsi="Calibri" w:cs="Arial"/>
          <w:noProof/>
          <w:sz w:val="22"/>
          <w:lang w:eastAsia="fr-FR" w:bidi="he-IL"/>
        </w:rPr>
      </w:pPr>
      <w:hyperlink w:anchor="_Toc526755723" w:history="1">
        <w:r w:rsidR="004860D7" w:rsidRPr="00864550">
          <w:rPr>
            <w:rStyle w:val="Lienhypertexte"/>
            <w:rFonts w:eastAsia="Arial Unicode MS"/>
            <w:bCs/>
            <w:noProof/>
            <w:lang w:eastAsia="fr-FR"/>
          </w:rPr>
          <w:t>§ IX. — LE TEXTE PRIMITIF DES ÉVANGILES ET LA CRITIQUE DU TEXTE.</w:t>
        </w:r>
        <w:r w:rsidR="004860D7">
          <w:rPr>
            <w:noProof/>
            <w:webHidden/>
          </w:rPr>
          <w:tab/>
        </w:r>
        <w:r>
          <w:rPr>
            <w:noProof/>
            <w:webHidden/>
          </w:rPr>
          <w:fldChar w:fldCharType="begin"/>
        </w:r>
        <w:r w:rsidR="004860D7">
          <w:rPr>
            <w:noProof/>
            <w:webHidden/>
          </w:rPr>
          <w:instrText xml:space="preserve"> PAGEREF _Toc526755723 \h </w:instrText>
        </w:r>
        <w:r>
          <w:rPr>
            <w:noProof/>
            <w:webHidden/>
          </w:rPr>
        </w:r>
        <w:r>
          <w:rPr>
            <w:noProof/>
            <w:webHidden/>
          </w:rPr>
          <w:fldChar w:fldCharType="separate"/>
        </w:r>
        <w:r w:rsidR="004860D7">
          <w:rPr>
            <w:noProof/>
            <w:webHidden/>
          </w:rPr>
          <w:t>57</w:t>
        </w:r>
        <w:r>
          <w:rPr>
            <w:noProof/>
            <w:webHidden/>
          </w:rPr>
          <w:fldChar w:fldCharType="end"/>
        </w:r>
      </w:hyperlink>
    </w:p>
    <w:p w:rsidR="004860D7" w:rsidRDefault="00691E6B">
      <w:pPr>
        <w:pStyle w:val="TM4"/>
        <w:tabs>
          <w:tab w:val="right" w:leader="dot" w:pos="10366"/>
        </w:tabs>
        <w:rPr>
          <w:rFonts w:ascii="Calibri" w:eastAsia="Times New Roman" w:hAnsi="Calibri" w:cs="Arial"/>
          <w:noProof/>
          <w:sz w:val="22"/>
          <w:lang w:eastAsia="fr-FR" w:bidi="he-IL"/>
        </w:rPr>
      </w:pPr>
      <w:hyperlink w:anchor="_Toc526755724" w:history="1">
        <w:r w:rsidR="004860D7" w:rsidRPr="00864550">
          <w:rPr>
            <w:rStyle w:val="Lienhypertexte"/>
            <w:rFonts w:eastAsia="Arial Unicode MS"/>
            <w:bCs/>
            <w:noProof/>
            <w:lang w:eastAsia="fr-FR"/>
          </w:rPr>
          <w:t>§ X. — LES ÉVANGILES ET LA CRITIQUE RATIONALISTE.</w:t>
        </w:r>
        <w:r w:rsidR="004860D7">
          <w:rPr>
            <w:noProof/>
            <w:webHidden/>
          </w:rPr>
          <w:tab/>
        </w:r>
        <w:r>
          <w:rPr>
            <w:noProof/>
            <w:webHidden/>
          </w:rPr>
          <w:fldChar w:fldCharType="begin"/>
        </w:r>
        <w:r w:rsidR="004860D7">
          <w:rPr>
            <w:noProof/>
            <w:webHidden/>
          </w:rPr>
          <w:instrText xml:space="preserve"> PAGEREF _Toc526755724 \h </w:instrText>
        </w:r>
        <w:r>
          <w:rPr>
            <w:noProof/>
            <w:webHidden/>
          </w:rPr>
        </w:r>
        <w:r>
          <w:rPr>
            <w:noProof/>
            <w:webHidden/>
          </w:rPr>
          <w:fldChar w:fldCharType="separate"/>
        </w:r>
        <w:r w:rsidR="004860D7">
          <w:rPr>
            <w:noProof/>
            <w:webHidden/>
          </w:rPr>
          <w:t>62</w:t>
        </w:r>
        <w:r>
          <w:rPr>
            <w:noProof/>
            <w:webHidden/>
          </w:rPr>
          <w:fldChar w:fldCharType="end"/>
        </w:r>
      </w:hyperlink>
    </w:p>
    <w:p w:rsidR="004860D7" w:rsidRDefault="00691E6B">
      <w:pPr>
        <w:pStyle w:val="TM4"/>
        <w:tabs>
          <w:tab w:val="right" w:leader="dot" w:pos="10366"/>
        </w:tabs>
        <w:rPr>
          <w:rFonts w:ascii="Calibri" w:eastAsia="Times New Roman" w:hAnsi="Calibri" w:cs="Arial"/>
          <w:noProof/>
          <w:sz w:val="22"/>
          <w:lang w:eastAsia="fr-FR" w:bidi="he-IL"/>
        </w:rPr>
      </w:pPr>
      <w:hyperlink w:anchor="_Toc526755725" w:history="1">
        <w:r w:rsidR="004860D7" w:rsidRPr="00864550">
          <w:rPr>
            <w:rStyle w:val="Lienhypertexte"/>
            <w:rFonts w:eastAsia="Arial Unicode MS"/>
            <w:bCs/>
            <w:noProof/>
            <w:lang w:eastAsia="fr-FR"/>
          </w:rPr>
          <w:t>§ XI. — DIVINITÉ DES ÉVANGILES</w:t>
        </w:r>
        <w:r w:rsidR="004860D7">
          <w:rPr>
            <w:noProof/>
            <w:webHidden/>
          </w:rPr>
          <w:tab/>
        </w:r>
        <w:r>
          <w:rPr>
            <w:noProof/>
            <w:webHidden/>
          </w:rPr>
          <w:fldChar w:fldCharType="begin"/>
        </w:r>
        <w:r w:rsidR="004860D7">
          <w:rPr>
            <w:noProof/>
            <w:webHidden/>
          </w:rPr>
          <w:instrText xml:space="preserve"> PAGEREF _Toc526755725 \h </w:instrText>
        </w:r>
        <w:r>
          <w:rPr>
            <w:noProof/>
            <w:webHidden/>
          </w:rPr>
        </w:r>
        <w:r>
          <w:rPr>
            <w:noProof/>
            <w:webHidden/>
          </w:rPr>
          <w:fldChar w:fldCharType="separate"/>
        </w:r>
        <w:r w:rsidR="004860D7">
          <w:rPr>
            <w:noProof/>
            <w:webHidden/>
          </w:rPr>
          <w:t>69</w:t>
        </w:r>
        <w:r>
          <w:rPr>
            <w:noProof/>
            <w:webHidden/>
          </w:rPr>
          <w:fldChar w:fldCharType="end"/>
        </w:r>
      </w:hyperlink>
    </w:p>
    <w:p w:rsidR="004860D7" w:rsidRDefault="00691E6B">
      <w:pPr>
        <w:pStyle w:val="TM4"/>
        <w:tabs>
          <w:tab w:val="right" w:leader="dot" w:pos="10366"/>
        </w:tabs>
        <w:rPr>
          <w:rFonts w:ascii="Calibri" w:eastAsia="Times New Roman" w:hAnsi="Calibri" w:cs="Arial"/>
          <w:noProof/>
          <w:sz w:val="22"/>
          <w:lang w:eastAsia="fr-FR" w:bidi="he-IL"/>
        </w:rPr>
      </w:pPr>
      <w:hyperlink w:anchor="_Toc526755726" w:history="1">
        <w:r w:rsidR="004860D7" w:rsidRPr="00864550">
          <w:rPr>
            <w:rStyle w:val="Lienhypertexte"/>
            <w:rFonts w:eastAsia="Arial Unicode MS"/>
            <w:bCs/>
            <w:noProof/>
            <w:lang w:eastAsia="fr-FR"/>
          </w:rPr>
          <w:t>§ XII. — BEAUTÉ DES ÉVANGILES.</w:t>
        </w:r>
        <w:r w:rsidR="004860D7">
          <w:rPr>
            <w:noProof/>
            <w:webHidden/>
          </w:rPr>
          <w:tab/>
        </w:r>
        <w:r>
          <w:rPr>
            <w:noProof/>
            <w:webHidden/>
          </w:rPr>
          <w:fldChar w:fldCharType="begin"/>
        </w:r>
        <w:r w:rsidR="004860D7">
          <w:rPr>
            <w:noProof/>
            <w:webHidden/>
          </w:rPr>
          <w:instrText xml:space="preserve"> PAGEREF _Toc526755726 \h </w:instrText>
        </w:r>
        <w:r>
          <w:rPr>
            <w:noProof/>
            <w:webHidden/>
          </w:rPr>
        </w:r>
        <w:r>
          <w:rPr>
            <w:noProof/>
            <w:webHidden/>
          </w:rPr>
          <w:fldChar w:fldCharType="separate"/>
        </w:r>
        <w:r w:rsidR="004860D7">
          <w:rPr>
            <w:noProof/>
            <w:webHidden/>
          </w:rPr>
          <w:t>74</w:t>
        </w:r>
        <w:r>
          <w:rPr>
            <w:noProof/>
            <w:webHidden/>
          </w:rPr>
          <w:fldChar w:fldCharType="end"/>
        </w:r>
      </w:hyperlink>
    </w:p>
    <w:p w:rsidR="004860D7" w:rsidRDefault="00691E6B">
      <w:pPr>
        <w:pStyle w:val="TM4"/>
        <w:tabs>
          <w:tab w:val="right" w:leader="dot" w:pos="10366"/>
        </w:tabs>
        <w:rPr>
          <w:rFonts w:ascii="Calibri" w:eastAsia="Times New Roman" w:hAnsi="Calibri" w:cs="Arial"/>
          <w:noProof/>
          <w:sz w:val="22"/>
          <w:lang w:eastAsia="fr-FR" w:bidi="he-IL"/>
        </w:rPr>
      </w:pPr>
      <w:hyperlink w:anchor="_Toc526755727" w:history="1">
        <w:r w:rsidR="004860D7" w:rsidRPr="00864550">
          <w:rPr>
            <w:rStyle w:val="Lienhypertexte"/>
            <w:rFonts w:eastAsia="Arial Unicode MS"/>
            <w:bCs/>
            <w:noProof/>
            <w:lang w:eastAsia="fr-FR"/>
          </w:rPr>
          <w:t>§ XIII. — LA LITTÉRATURE, LES ARTS ET L’ÉVANGILE.</w:t>
        </w:r>
        <w:r w:rsidR="004860D7">
          <w:rPr>
            <w:noProof/>
            <w:webHidden/>
          </w:rPr>
          <w:tab/>
        </w:r>
        <w:r>
          <w:rPr>
            <w:noProof/>
            <w:webHidden/>
          </w:rPr>
          <w:fldChar w:fldCharType="begin"/>
        </w:r>
        <w:r w:rsidR="004860D7">
          <w:rPr>
            <w:noProof/>
            <w:webHidden/>
          </w:rPr>
          <w:instrText xml:space="preserve"> PAGEREF _Toc526755727 \h </w:instrText>
        </w:r>
        <w:r>
          <w:rPr>
            <w:noProof/>
            <w:webHidden/>
          </w:rPr>
        </w:r>
        <w:r>
          <w:rPr>
            <w:noProof/>
            <w:webHidden/>
          </w:rPr>
          <w:fldChar w:fldCharType="separate"/>
        </w:r>
        <w:r w:rsidR="004860D7">
          <w:rPr>
            <w:noProof/>
            <w:webHidden/>
          </w:rPr>
          <w:t>79</w:t>
        </w:r>
        <w:r>
          <w:rPr>
            <w:noProof/>
            <w:webHidden/>
          </w:rPr>
          <w:fldChar w:fldCharType="end"/>
        </w:r>
      </w:hyperlink>
    </w:p>
    <w:p w:rsidR="004860D7" w:rsidRDefault="00691E6B">
      <w:pPr>
        <w:pStyle w:val="TM4"/>
        <w:tabs>
          <w:tab w:val="right" w:leader="dot" w:pos="10366"/>
        </w:tabs>
        <w:rPr>
          <w:rFonts w:ascii="Calibri" w:eastAsia="Times New Roman" w:hAnsi="Calibri" w:cs="Arial"/>
          <w:noProof/>
          <w:sz w:val="22"/>
          <w:lang w:eastAsia="fr-FR" w:bidi="he-IL"/>
        </w:rPr>
      </w:pPr>
      <w:hyperlink w:anchor="_Toc526755728" w:history="1">
        <w:r w:rsidR="004860D7" w:rsidRPr="00864550">
          <w:rPr>
            <w:rStyle w:val="Lienhypertexte"/>
            <w:rFonts w:eastAsia="Arial Unicode MS"/>
            <w:bCs/>
            <w:noProof/>
            <w:lang w:eastAsia="fr-FR"/>
          </w:rPr>
          <w:t>§ XIV. — LES ÉVANGILES APOCRYPHES</w:t>
        </w:r>
        <w:r w:rsidR="004860D7">
          <w:rPr>
            <w:noProof/>
            <w:webHidden/>
          </w:rPr>
          <w:tab/>
        </w:r>
        <w:r>
          <w:rPr>
            <w:noProof/>
            <w:webHidden/>
          </w:rPr>
          <w:fldChar w:fldCharType="begin"/>
        </w:r>
        <w:r w:rsidR="004860D7">
          <w:rPr>
            <w:noProof/>
            <w:webHidden/>
          </w:rPr>
          <w:instrText xml:space="preserve"> PAGEREF _Toc526755728 \h </w:instrText>
        </w:r>
        <w:r>
          <w:rPr>
            <w:noProof/>
            <w:webHidden/>
          </w:rPr>
        </w:r>
        <w:r>
          <w:rPr>
            <w:noProof/>
            <w:webHidden/>
          </w:rPr>
          <w:fldChar w:fldCharType="separate"/>
        </w:r>
        <w:r w:rsidR="004860D7">
          <w:rPr>
            <w:noProof/>
            <w:webHidden/>
          </w:rPr>
          <w:t>84</w:t>
        </w:r>
        <w:r>
          <w:rPr>
            <w:noProof/>
            <w:webHidden/>
          </w:rPr>
          <w:fldChar w:fldCharType="end"/>
        </w:r>
      </w:hyperlink>
    </w:p>
    <w:p w:rsidR="004860D7" w:rsidRDefault="00691E6B">
      <w:pPr>
        <w:pStyle w:val="TM4"/>
        <w:tabs>
          <w:tab w:val="right" w:leader="dot" w:pos="10366"/>
        </w:tabs>
        <w:rPr>
          <w:rFonts w:ascii="Calibri" w:eastAsia="Times New Roman" w:hAnsi="Calibri" w:cs="Arial"/>
          <w:noProof/>
          <w:sz w:val="22"/>
          <w:lang w:eastAsia="fr-FR" w:bidi="he-IL"/>
        </w:rPr>
      </w:pPr>
      <w:hyperlink w:anchor="_Toc526755729" w:history="1">
        <w:r w:rsidR="004860D7" w:rsidRPr="00864550">
          <w:rPr>
            <w:rStyle w:val="Lienhypertexte"/>
            <w:rFonts w:eastAsia="Arial Unicode MS"/>
            <w:bCs/>
            <w:noProof/>
            <w:lang w:eastAsia="fr-FR"/>
          </w:rPr>
          <w:t>§ XV. — HARMONIE ÉVANGÉLIQUE</w:t>
        </w:r>
        <w:r w:rsidR="004860D7">
          <w:rPr>
            <w:noProof/>
            <w:webHidden/>
          </w:rPr>
          <w:tab/>
        </w:r>
        <w:r>
          <w:rPr>
            <w:noProof/>
            <w:webHidden/>
          </w:rPr>
          <w:fldChar w:fldCharType="begin"/>
        </w:r>
        <w:r w:rsidR="004860D7">
          <w:rPr>
            <w:noProof/>
            <w:webHidden/>
          </w:rPr>
          <w:instrText xml:space="preserve"> PAGEREF _Toc526755729 \h </w:instrText>
        </w:r>
        <w:r>
          <w:rPr>
            <w:noProof/>
            <w:webHidden/>
          </w:rPr>
        </w:r>
        <w:r>
          <w:rPr>
            <w:noProof/>
            <w:webHidden/>
          </w:rPr>
          <w:fldChar w:fldCharType="separate"/>
        </w:r>
        <w:r w:rsidR="004860D7">
          <w:rPr>
            <w:noProof/>
            <w:webHidden/>
          </w:rPr>
          <w:t>97</w:t>
        </w:r>
        <w:r>
          <w:rPr>
            <w:noProof/>
            <w:webHidden/>
          </w:rPr>
          <w:fldChar w:fldCharType="end"/>
        </w:r>
      </w:hyperlink>
    </w:p>
    <w:p w:rsidR="004860D7" w:rsidRDefault="00691E6B">
      <w:pPr>
        <w:pStyle w:val="TM4"/>
        <w:tabs>
          <w:tab w:val="right" w:leader="dot" w:pos="10366"/>
        </w:tabs>
        <w:rPr>
          <w:rFonts w:ascii="Calibri" w:eastAsia="Times New Roman" w:hAnsi="Calibri" w:cs="Arial"/>
          <w:noProof/>
          <w:sz w:val="22"/>
          <w:lang w:eastAsia="fr-FR" w:bidi="he-IL"/>
        </w:rPr>
      </w:pPr>
      <w:hyperlink w:anchor="_Toc526755730" w:history="1">
        <w:r w:rsidR="004860D7" w:rsidRPr="00864550">
          <w:rPr>
            <w:rStyle w:val="Lienhypertexte"/>
            <w:noProof/>
          </w:rPr>
          <w:t>APPENDICE I</w:t>
        </w:r>
        <w:r w:rsidR="004860D7">
          <w:rPr>
            <w:noProof/>
            <w:webHidden/>
          </w:rPr>
          <w:tab/>
        </w:r>
        <w:r>
          <w:rPr>
            <w:noProof/>
            <w:webHidden/>
          </w:rPr>
          <w:fldChar w:fldCharType="begin"/>
        </w:r>
        <w:r w:rsidR="004860D7">
          <w:rPr>
            <w:noProof/>
            <w:webHidden/>
          </w:rPr>
          <w:instrText xml:space="preserve"> PAGEREF _Toc526755730 \h </w:instrText>
        </w:r>
        <w:r>
          <w:rPr>
            <w:noProof/>
            <w:webHidden/>
          </w:rPr>
        </w:r>
        <w:r>
          <w:rPr>
            <w:noProof/>
            <w:webHidden/>
          </w:rPr>
          <w:fldChar w:fldCharType="separate"/>
        </w:r>
        <w:r w:rsidR="004860D7">
          <w:rPr>
            <w:noProof/>
            <w:webHidden/>
          </w:rPr>
          <w:t>104</w:t>
        </w:r>
        <w:r>
          <w:rPr>
            <w:noProof/>
            <w:webHidden/>
          </w:rPr>
          <w:fldChar w:fldCharType="end"/>
        </w:r>
      </w:hyperlink>
    </w:p>
    <w:p w:rsidR="004860D7" w:rsidRDefault="00691E6B">
      <w:pPr>
        <w:pStyle w:val="TM4"/>
        <w:tabs>
          <w:tab w:val="right" w:leader="dot" w:pos="10366"/>
        </w:tabs>
        <w:rPr>
          <w:rFonts w:ascii="Calibri" w:eastAsia="Times New Roman" w:hAnsi="Calibri" w:cs="Arial"/>
          <w:noProof/>
          <w:sz w:val="22"/>
          <w:lang w:eastAsia="fr-FR" w:bidi="he-IL"/>
        </w:rPr>
      </w:pPr>
      <w:hyperlink w:anchor="_Toc526755731" w:history="1">
        <w:r w:rsidR="004860D7" w:rsidRPr="00864550">
          <w:rPr>
            <w:rStyle w:val="Lienhypertexte"/>
            <w:noProof/>
          </w:rPr>
          <w:t>Appendice II</w:t>
        </w:r>
        <w:r w:rsidR="004860D7">
          <w:rPr>
            <w:noProof/>
            <w:webHidden/>
          </w:rPr>
          <w:tab/>
        </w:r>
        <w:r>
          <w:rPr>
            <w:noProof/>
            <w:webHidden/>
          </w:rPr>
          <w:fldChar w:fldCharType="begin"/>
        </w:r>
        <w:r w:rsidR="004860D7">
          <w:rPr>
            <w:noProof/>
            <w:webHidden/>
          </w:rPr>
          <w:instrText xml:space="preserve"> PAGEREF _Toc526755731 \h </w:instrText>
        </w:r>
        <w:r>
          <w:rPr>
            <w:noProof/>
            <w:webHidden/>
          </w:rPr>
        </w:r>
        <w:r>
          <w:rPr>
            <w:noProof/>
            <w:webHidden/>
          </w:rPr>
          <w:fldChar w:fldCharType="separate"/>
        </w:r>
        <w:r w:rsidR="004860D7">
          <w:rPr>
            <w:noProof/>
            <w:webHidden/>
          </w:rPr>
          <w:t>109</w:t>
        </w:r>
        <w:r>
          <w:rPr>
            <w:noProof/>
            <w:webHidden/>
          </w:rPr>
          <w:fldChar w:fldCharType="end"/>
        </w:r>
      </w:hyperlink>
    </w:p>
    <w:p w:rsidR="00C95372" w:rsidRDefault="00691E6B" w:rsidP="00FA1EBF">
      <w:pPr>
        <w:pStyle w:val="sejunctio"/>
      </w:pPr>
      <w:r>
        <w:fldChar w:fldCharType="end"/>
      </w:r>
      <w:r w:rsidR="00FA1EBF">
        <w:t>—————</w:t>
      </w:r>
    </w:p>
    <w:p w:rsidR="001E3215" w:rsidRPr="009E6A32" w:rsidRDefault="004860D7" w:rsidP="001E3215">
      <w:pPr>
        <w:pStyle w:val="centrum"/>
        <w:rPr>
          <w:u w:val="single"/>
        </w:rPr>
      </w:pPr>
      <w:r>
        <w:rPr>
          <w:u w:val="single"/>
        </w:rPr>
        <w:br w:type="page"/>
      </w:r>
      <w:r w:rsidR="001E3215" w:rsidRPr="009E6A32">
        <w:rPr>
          <w:u w:val="single"/>
        </w:rPr>
        <w:lastRenderedPageBreak/>
        <w:t xml:space="preserve">TITRE </w:t>
      </w:r>
      <w:r w:rsidR="001E3215">
        <w:rPr>
          <w:u w:val="single"/>
        </w:rPr>
        <w:t xml:space="preserve">COMPLET </w:t>
      </w:r>
      <w:r w:rsidR="001E3215" w:rsidRPr="009E6A32">
        <w:rPr>
          <w:u w:val="single"/>
        </w:rPr>
        <w:t>DE L</w:t>
      </w:r>
      <w:r w:rsidR="00557DE0">
        <w:rPr>
          <w:u w:val="single"/>
        </w:rPr>
        <w:t>’</w:t>
      </w:r>
      <w:r w:rsidR="001E3215" w:rsidRPr="009E6A32">
        <w:rPr>
          <w:u w:val="single"/>
        </w:rPr>
        <w:t xml:space="preserve">ÉDITION COPIÉE : </w:t>
      </w:r>
    </w:p>
    <w:p w:rsidR="00C94937" w:rsidRDefault="00C94937" w:rsidP="00C94937">
      <w:pPr>
        <w:pStyle w:val="centrum"/>
      </w:pPr>
    </w:p>
    <w:p w:rsidR="00C2602D" w:rsidRPr="00C8701B" w:rsidRDefault="00B704AD" w:rsidP="00C94937">
      <w:pPr>
        <w:pStyle w:val="centrum"/>
      </w:pPr>
      <w:r w:rsidRPr="00C8701B">
        <w:t>LA</w:t>
      </w:r>
      <w:r w:rsidR="00C2602D" w:rsidRPr="00C8701B">
        <w:t xml:space="preserve"> </w:t>
      </w:r>
      <w:r w:rsidRPr="00C8701B">
        <w:t>SAINTE BIBLE</w:t>
      </w:r>
      <w:r w:rsidR="00C2602D" w:rsidRPr="00C8701B">
        <w:t xml:space="preserve"> </w:t>
      </w:r>
    </w:p>
    <w:p w:rsidR="00605074" w:rsidRPr="00C8701B" w:rsidRDefault="00B704AD" w:rsidP="00C94937">
      <w:pPr>
        <w:pStyle w:val="centrum"/>
        <w:rPr>
          <w:bCs/>
        </w:rPr>
      </w:pPr>
      <w:r w:rsidRPr="00C8701B">
        <w:rPr>
          <w:bCs/>
        </w:rPr>
        <w:t>TEXTE DE LA VULGATE</w:t>
      </w:r>
      <w:r w:rsidR="00E65435">
        <w:rPr>
          <w:bCs/>
        </w:rPr>
        <w:t xml:space="preserve">, </w:t>
      </w:r>
    </w:p>
    <w:p w:rsidR="00C94937" w:rsidRDefault="00B704AD" w:rsidP="00C94937">
      <w:pPr>
        <w:pStyle w:val="centrum"/>
      </w:pPr>
      <w:r w:rsidRPr="00C8701B">
        <w:rPr>
          <w:bCs/>
        </w:rPr>
        <w:t>TRADUCTION FRANÇAISE EN REGARD</w:t>
      </w:r>
      <w:r w:rsidR="00C2602D" w:rsidRPr="00C8701B">
        <w:rPr>
          <w:bCs/>
        </w:rPr>
        <w:t xml:space="preserve"> </w:t>
      </w:r>
      <w:r w:rsidRPr="00C8701B">
        <w:t>AVEC COMMENTAIRES</w:t>
      </w:r>
      <w:r w:rsidR="00C2602D" w:rsidRPr="00C8701B">
        <w:t xml:space="preserve"> </w:t>
      </w:r>
    </w:p>
    <w:p w:rsidR="00C2602D" w:rsidRPr="00C8701B" w:rsidRDefault="00605074" w:rsidP="00C94937">
      <w:pPr>
        <w:pStyle w:val="centrum"/>
        <w:rPr>
          <w:bCs/>
          <w:lang w:bidi="he-IL"/>
        </w:rPr>
      </w:pPr>
      <w:r w:rsidRPr="00C8701B">
        <w:t>théologiques</w:t>
      </w:r>
      <w:r w:rsidR="00E65435">
        <w:t xml:space="preserve">, </w:t>
      </w:r>
      <w:r w:rsidRPr="00C8701B">
        <w:t>moraux</w:t>
      </w:r>
      <w:r w:rsidR="00E65435">
        <w:t xml:space="preserve">, </w:t>
      </w:r>
      <w:r w:rsidRPr="00C8701B">
        <w:t>philologiques</w:t>
      </w:r>
      <w:r w:rsidR="00E65435">
        <w:t xml:space="preserve">, </w:t>
      </w:r>
      <w:r w:rsidRPr="00C8701B">
        <w:t>historiques</w:t>
      </w:r>
      <w:r w:rsidR="00E65435">
        <w:t xml:space="preserve">, </w:t>
      </w:r>
      <w:r w:rsidRPr="00C8701B">
        <w:t>etc.</w:t>
      </w:r>
      <w:r w:rsidR="00E65435">
        <w:t xml:space="preserve">, </w:t>
      </w:r>
      <w:r w:rsidRPr="00C8701B">
        <w:t>rédigés d</w:t>
      </w:r>
      <w:r w:rsidR="00557DE0">
        <w:t>’</w:t>
      </w:r>
      <w:r w:rsidRPr="00C8701B">
        <w:rPr>
          <w:lang w:bidi="he-IL"/>
        </w:rPr>
        <w:t xml:space="preserve">après les meilleurs travaux </w:t>
      </w:r>
      <w:r w:rsidRPr="00C8701B">
        <w:rPr>
          <w:bCs/>
          <w:lang w:bidi="he-IL"/>
        </w:rPr>
        <w:t xml:space="preserve">anciens et contemporains </w:t>
      </w:r>
    </w:p>
    <w:p w:rsidR="00605074" w:rsidRPr="00C8701B" w:rsidRDefault="00605074" w:rsidP="00C94937">
      <w:pPr>
        <w:pStyle w:val="centrum"/>
        <w:rPr>
          <w:bCs/>
          <w:lang w:bidi="he-IL"/>
        </w:rPr>
      </w:pPr>
    </w:p>
    <w:p w:rsidR="00C2602D" w:rsidRPr="00C8701B" w:rsidRDefault="00B704AD" w:rsidP="00C94937">
      <w:pPr>
        <w:pStyle w:val="centrum"/>
        <w:rPr>
          <w:bCs/>
          <w:lang w:bidi="he-IL"/>
        </w:rPr>
      </w:pPr>
      <w:r w:rsidRPr="00C8701B">
        <w:rPr>
          <w:bCs/>
          <w:lang w:bidi="he-IL"/>
        </w:rPr>
        <w:t>INTRODUCTION GÉNÉRALE AUX ÉVANGILES</w:t>
      </w:r>
      <w:r w:rsidR="00C2602D" w:rsidRPr="00C8701B">
        <w:rPr>
          <w:bCs/>
          <w:lang w:bidi="he-IL"/>
        </w:rPr>
        <w:t xml:space="preserve"> </w:t>
      </w:r>
    </w:p>
    <w:p w:rsidR="00C2602D" w:rsidRPr="00C8701B" w:rsidRDefault="00605074" w:rsidP="00C94937">
      <w:pPr>
        <w:pStyle w:val="centrum"/>
        <w:rPr>
          <w:bCs/>
          <w:lang w:bidi="he-IL"/>
        </w:rPr>
      </w:pPr>
      <w:r w:rsidRPr="00C8701B">
        <w:rPr>
          <w:bCs/>
          <w:lang w:bidi="he-IL"/>
        </w:rPr>
        <w:t xml:space="preserve">Par </w:t>
      </w:r>
      <w:r w:rsidR="00B704AD" w:rsidRPr="00C8701B">
        <w:rPr>
          <w:bCs/>
          <w:lang w:bidi="he-IL"/>
        </w:rPr>
        <w:t>M. l</w:t>
      </w:r>
      <w:r w:rsidR="00557DE0">
        <w:rPr>
          <w:bCs/>
          <w:lang w:bidi="he-IL"/>
        </w:rPr>
        <w:t>’</w:t>
      </w:r>
      <w:r w:rsidR="00B704AD" w:rsidRPr="00C8701B">
        <w:rPr>
          <w:bCs/>
          <w:lang w:bidi="he-IL"/>
        </w:rPr>
        <w:t>abbé L. Cl. FILLION</w:t>
      </w:r>
      <w:r w:rsidR="00C2602D" w:rsidRPr="00C8701B">
        <w:rPr>
          <w:bCs/>
          <w:lang w:bidi="he-IL"/>
        </w:rPr>
        <w:t xml:space="preserve"> </w:t>
      </w:r>
    </w:p>
    <w:p w:rsidR="00C2602D" w:rsidRPr="00C8701B" w:rsidRDefault="00605074" w:rsidP="00C94937">
      <w:pPr>
        <w:pStyle w:val="centrum"/>
        <w:rPr>
          <w:bCs/>
          <w:lang w:bidi="he-IL"/>
        </w:rPr>
      </w:pPr>
      <w:r w:rsidRPr="00C8701B">
        <w:rPr>
          <w:bCs/>
          <w:lang w:bidi="he-IL"/>
        </w:rPr>
        <w:t>Prêtre d</w:t>
      </w:r>
      <w:r w:rsidR="00B704AD" w:rsidRPr="00C8701B">
        <w:rPr>
          <w:bCs/>
          <w:lang w:bidi="he-IL"/>
        </w:rPr>
        <w:t>e Saint-Sulpice</w:t>
      </w:r>
      <w:r w:rsidR="00E65435">
        <w:rPr>
          <w:bCs/>
          <w:lang w:bidi="he-IL"/>
        </w:rPr>
        <w:t xml:space="preserve">, </w:t>
      </w:r>
      <w:r w:rsidR="00B704AD" w:rsidRPr="00C8701B">
        <w:rPr>
          <w:bCs/>
          <w:lang w:bidi="he-IL"/>
        </w:rPr>
        <w:t>professeur d</w:t>
      </w:r>
      <w:r w:rsidR="00557DE0">
        <w:rPr>
          <w:bCs/>
          <w:lang w:bidi="he-IL"/>
        </w:rPr>
        <w:t>’</w:t>
      </w:r>
      <w:r w:rsidR="00B704AD" w:rsidRPr="00C8701B">
        <w:rPr>
          <w:bCs/>
          <w:lang w:bidi="he-IL"/>
        </w:rPr>
        <w:t>Écritur</w:t>
      </w:r>
      <w:r w:rsidRPr="00C8701B">
        <w:rPr>
          <w:bCs/>
          <w:lang w:bidi="he-IL"/>
        </w:rPr>
        <w:t>e Sainte au Grand Séminaire de L</w:t>
      </w:r>
      <w:r w:rsidR="00B704AD" w:rsidRPr="00C8701B">
        <w:rPr>
          <w:bCs/>
          <w:lang w:bidi="he-IL"/>
        </w:rPr>
        <w:t>yon</w:t>
      </w:r>
      <w:r w:rsidR="00C2602D" w:rsidRPr="00C8701B">
        <w:rPr>
          <w:bCs/>
          <w:lang w:bidi="he-IL"/>
        </w:rPr>
        <w:t xml:space="preserve"> </w:t>
      </w:r>
    </w:p>
    <w:p w:rsidR="00C2602D" w:rsidRPr="00C8701B" w:rsidRDefault="00B704AD" w:rsidP="00C94937">
      <w:pPr>
        <w:pStyle w:val="centrum"/>
        <w:rPr>
          <w:bCs/>
          <w:lang w:bidi="he-IL"/>
        </w:rPr>
      </w:pPr>
      <w:r w:rsidRPr="00C8701B">
        <w:rPr>
          <w:bCs/>
          <w:lang w:bidi="he-IL"/>
        </w:rPr>
        <w:t>PARIS</w:t>
      </w:r>
      <w:r w:rsidR="00C2602D" w:rsidRPr="00C8701B">
        <w:rPr>
          <w:bCs/>
          <w:lang w:bidi="he-IL"/>
        </w:rPr>
        <w:t xml:space="preserve"> </w:t>
      </w:r>
    </w:p>
    <w:p w:rsidR="00605074" w:rsidRPr="00C8701B" w:rsidRDefault="00605074" w:rsidP="00C94937">
      <w:pPr>
        <w:pStyle w:val="centrum"/>
        <w:rPr>
          <w:bCs/>
          <w:lang w:bidi="he-IL"/>
        </w:rPr>
      </w:pPr>
    </w:p>
    <w:p w:rsidR="00C2602D" w:rsidRPr="00C8701B" w:rsidRDefault="00B704AD" w:rsidP="00C94937">
      <w:pPr>
        <w:pStyle w:val="centrum"/>
        <w:rPr>
          <w:lang w:bidi="he-IL"/>
        </w:rPr>
      </w:pPr>
      <w:r w:rsidRPr="00C8701B">
        <w:rPr>
          <w:lang w:bidi="he-IL"/>
        </w:rPr>
        <w:t>P. LETHIELLEUX</w:t>
      </w:r>
      <w:r w:rsidR="00E65435">
        <w:rPr>
          <w:lang w:bidi="he-IL"/>
        </w:rPr>
        <w:t xml:space="preserve">, </w:t>
      </w:r>
      <w:r w:rsidRPr="00C8701B">
        <w:rPr>
          <w:lang w:bidi="he-IL"/>
        </w:rPr>
        <w:t>éditeur</w:t>
      </w:r>
      <w:r w:rsidR="00C2602D" w:rsidRPr="00C8701B">
        <w:rPr>
          <w:lang w:bidi="he-IL"/>
        </w:rPr>
        <w:t xml:space="preserve"> </w:t>
      </w:r>
    </w:p>
    <w:p w:rsidR="00C2602D" w:rsidRPr="00C8701B" w:rsidRDefault="00B704AD" w:rsidP="00C94937">
      <w:pPr>
        <w:pStyle w:val="centrum"/>
        <w:rPr>
          <w:lang w:bidi="he-IL"/>
        </w:rPr>
      </w:pPr>
      <w:r w:rsidRPr="00C8701B">
        <w:rPr>
          <w:lang w:bidi="he-IL"/>
        </w:rPr>
        <w:t>10</w:t>
      </w:r>
      <w:r w:rsidR="00E65435">
        <w:rPr>
          <w:lang w:bidi="he-IL"/>
        </w:rPr>
        <w:t xml:space="preserve">, </w:t>
      </w:r>
      <w:r w:rsidRPr="00C8701B">
        <w:rPr>
          <w:lang w:bidi="he-IL"/>
        </w:rPr>
        <w:t>RUE CASSETTE</w:t>
      </w:r>
      <w:r w:rsidR="00E65435">
        <w:rPr>
          <w:lang w:bidi="he-IL"/>
        </w:rPr>
        <w:t xml:space="preserve">, </w:t>
      </w:r>
      <w:r w:rsidRPr="00C8701B">
        <w:rPr>
          <w:lang w:bidi="he-IL"/>
        </w:rPr>
        <w:t>10</w:t>
      </w:r>
      <w:r w:rsidR="00C2602D" w:rsidRPr="00C8701B">
        <w:rPr>
          <w:lang w:bidi="he-IL"/>
        </w:rPr>
        <w:t xml:space="preserve"> </w:t>
      </w:r>
    </w:p>
    <w:p w:rsidR="00C2602D" w:rsidRPr="00C8701B" w:rsidRDefault="00B704AD" w:rsidP="00C94937">
      <w:pPr>
        <w:pStyle w:val="centrum"/>
        <w:rPr>
          <w:bCs/>
          <w:lang w:bidi="he-IL"/>
        </w:rPr>
      </w:pPr>
      <w:r w:rsidRPr="00C8701B">
        <w:rPr>
          <w:bCs/>
          <w:lang w:bidi="he-IL"/>
        </w:rPr>
        <w:t>1889</w:t>
      </w:r>
      <w:r w:rsidR="00C2602D" w:rsidRPr="00C8701B">
        <w:rPr>
          <w:bCs/>
          <w:lang w:bidi="he-IL"/>
        </w:rPr>
        <w:t xml:space="preserve"> </w:t>
      </w:r>
    </w:p>
    <w:p w:rsidR="00FA1EBF" w:rsidRPr="00FA1EBF" w:rsidRDefault="00FA1EBF" w:rsidP="00FA1EBF">
      <w:pPr>
        <w:pStyle w:val="sejunctio"/>
      </w:pPr>
      <w:r>
        <w:t>—————</w:t>
      </w:r>
    </w:p>
    <w:p w:rsidR="00605074" w:rsidRDefault="00605074" w:rsidP="00C2602D">
      <w:pPr>
        <w:rPr>
          <w:lang w:eastAsia="fr-FR" w:bidi="he-IL"/>
        </w:rPr>
      </w:pPr>
    </w:p>
    <w:p w:rsidR="00C2602D" w:rsidRPr="00C8701B" w:rsidRDefault="00B704AD" w:rsidP="00C76143">
      <w:pPr>
        <w:pStyle w:val="w1"/>
        <w:rPr>
          <w:lang w:eastAsia="fr-FR" w:bidi="he-IL"/>
        </w:rPr>
      </w:pPr>
      <w:r w:rsidRPr="00C8701B">
        <w:rPr>
          <w:lang w:eastAsia="fr-FR" w:bidi="he-IL"/>
        </w:rPr>
        <w:t>INTRODUCTION GÉNÉRALE AUX ÉVANGILES</w:t>
      </w:r>
      <w:r w:rsidR="00C2602D" w:rsidRPr="00C8701B">
        <w:rPr>
          <w:lang w:eastAsia="fr-FR" w:bidi="he-IL"/>
        </w:rPr>
        <w:t xml:space="preserve"> </w:t>
      </w:r>
    </w:p>
    <w:p w:rsidR="00E37C84" w:rsidRDefault="00B704AD" w:rsidP="003A68DB">
      <w:pPr>
        <w:pStyle w:val="Titre4"/>
        <w:rPr>
          <w:lang w:eastAsia="fr-FR" w:bidi="he-IL"/>
        </w:rPr>
      </w:pPr>
      <w:bookmarkStart w:id="0" w:name="_Toc526755715"/>
      <w:r w:rsidRPr="00C8701B">
        <w:rPr>
          <w:lang w:eastAsia="fr-FR" w:bidi="he-IL"/>
        </w:rPr>
        <w:t>§ I.</w:t>
      </w:r>
      <w:r w:rsidR="000F7DAA">
        <w:rPr>
          <w:lang w:eastAsia="fr-FR" w:bidi="he-IL"/>
        </w:rPr>
        <w:t xml:space="preserve"> —</w:t>
      </w:r>
      <w:r w:rsidR="008D0642">
        <w:rPr>
          <w:lang w:eastAsia="fr-FR" w:bidi="he-IL"/>
        </w:rPr>
        <w:t xml:space="preserve"> </w:t>
      </w:r>
      <w:r w:rsidRPr="00C8701B">
        <w:rPr>
          <w:lang w:eastAsia="fr-FR" w:bidi="he-IL"/>
        </w:rPr>
        <w:t>LE MOT</w:t>
      </w:r>
      <w:r w:rsidRPr="00DC4586">
        <w:rPr>
          <w:rStyle w:val="italicus"/>
        </w:rPr>
        <w:t xml:space="preserve"> ÉVANGILE</w:t>
      </w:r>
      <w:bookmarkStart w:id="1" w:name="evin01"/>
      <w:bookmarkEnd w:id="0"/>
      <w:bookmarkEnd w:id="1"/>
      <w:r w:rsidR="00C2602D" w:rsidRPr="00C8701B">
        <w:rPr>
          <w:lang w:eastAsia="fr-FR" w:bidi="he-IL"/>
        </w:rPr>
        <w:t xml:space="preserve"> </w:t>
      </w:r>
    </w:p>
    <w:p w:rsidR="00E37C84" w:rsidRDefault="00B704AD" w:rsidP="00C2602D">
      <w:pPr>
        <w:rPr>
          <w:bCs/>
          <w:lang w:eastAsia="fr-FR" w:bidi="he-IL"/>
        </w:rPr>
      </w:pPr>
      <w:r w:rsidRPr="00C8701B">
        <w:rPr>
          <w:bCs/>
          <w:lang w:eastAsia="fr-FR" w:bidi="he-IL"/>
        </w:rPr>
        <w:t xml:space="preserve">1° </w:t>
      </w:r>
      <w:r w:rsidR="00605074" w:rsidRPr="00C8701B">
        <w:rPr>
          <w:bCs/>
          <w:lang w:eastAsia="fr-FR" w:bidi="he-IL"/>
        </w:rPr>
        <w:t>Étymologiquement</w:t>
      </w:r>
      <w:r w:rsidR="00E65435">
        <w:rPr>
          <w:bCs/>
          <w:lang w:eastAsia="fr-FR" w:bidi="he-IL"/>
        </w:rPr>
        <w:t xml:space="preserve">, </w:t>
      </w:r>
      <w:r w:rsidR="00DF4477" w:rsidRPr="00C8701B">
        <w:rPr>
          <w:bCs/>
          <w:lang w:eastAsia="fr-FR" w:bidi="he-IL"/>
        </w:rPr>
        <w:t>ce</w:t>
      </w:r>
      <w:r w:rsidRPr="00C8701B">
        <w:rPr>
          <w:bCs/>
          <w:lang w:eastAsia="fr-FR" w:bidi="he-IL"/>
        </w:rPr>
        <w:t xml:space="preserve"> mot signifie</w:t>
      </w:r>
      <w:r w:rsidR="00C2602D" w:rsidRPr="00C8701B">
        <w:rPr>
          <w:bCs/>
          <w:lang w:eastAsia="fr-FR" w:bidi="he-IL"/>
        </w:rPr>
        <w:t> :</w:t>
      </w:r>
      <w:r w:rsidRPr="00C8701B">
        <w:rPr>
          <w:bCs/>
          <w:lang w:eastAsia="fr-FR" w:bidi="he-IL"/>
        </w:rPr>
        <w:t xml:space="preserve"> bonne nouvelle</w:t>
      </w:r>
      <w:r w:rsidR="00E65435">
        <w:rPr>
          <w:bCs/>
          <w:lang w:eastAsia="fr-FR" w:bidi="he-IL"/>
        </w:rPr>
        <w:t xml:space="preserve">, </w:t>
      </w:r>
      <w:r w:rsidRPr="00C8701B">
        <w:rPr>
          <w:bCs/>
          <w:lang w:eastAsia="fr-FR" w:bidi="he-IL"/>
        </w:rPr>
        <w:t>joyeuse nouvelle</w:t>
      </w:r>
      <w:r w:rsidR="00C2602D" w:rsidRPr="00C8701B">
        <w:rPr>
          <w:bCs/>
          <w:lang w:eastAsia="fr-FR" w:bidi="he-IL"/>
        </w:rPr>
        <w:t> </w:t>
      </w:r>
      <w:r w:rsidR="007F6508">
        <w:rPr>
          <w:bCs/>
          <w:lang w:eastAsia="fr-FR" w:bidi="he-IL"/>
        </w:rPr>
        <w:t xml:space="preserve">; </w:t>
      </w:r>
      <w:r w:rsidRPr="00C8701B">
        <w:rPr>
          <w:bCs/>
          <w:lang w:eastAsia="fr-FR" w:bidi="he-IL"/>
        </w:rPr>
        <w:t>car il provient de la double racine grecque</w:t>
      </w:r>
      <w:r w:rsidRPr="00E37C84">
        <w:t xml:space="preserve"> ε</w:t>
      </w:r>
      <w:r w:rsidR="00605074" w:rsidRPr="00E37C84">
        <w:t>ὖ</w:t>
      </w:r>
      <w:r w:rsidR="00E65435" w:rsidRPr="00E37C84">
        <w:t xml:space="preserve">, </w:t>
      </w:r>
      <w:r w:rsidR="00C2602D" w:rsidRPr="00E37C84">
        <w:t>« </w:t>
      </w:r>
      <w:r w:rsidRPr="00E37C84">
        <w:t>bien</w:t>
      </w:r>
      <w:r w:rsidR="00C2602D" w:rsidRPr="00E37C84">
        <w:t> »</w:t>
      </w:r>
      <w:r w:rsidR="00E65435" w:rsidRPr="00E37C84">
        <w:t xml:space="preserve">, </w:t>
      </w:r>
      <w:r w:rsidRPr="00E37C84">
        <w:t xml:space="preserve">et </w:t>
      </w:r>
      <w:r w:rsidR="00605074" w:rsidRPr="00E37C84">
        <w:t>ἀγγ</w:t>
      </w:r>
      <w:r w:rsidR="00C771BF">
        <w:t>έ</w:t>
      </w:r>
      <w:r w:rsidRPr="00E37C84">
        <w:t>λλω</w:t>
      </w:r>
      <w:r w:rsidR="00E65435" w:rsidRPr="00E37C84">
        <w:t xml:space="preserve">, </w:t>
      </w:r>
      <w:r w:rsidR="00C2602D" w:rsidRPr="00E37C84">
        <w:t>« </w:t>
      </w:r>
      <w:r w:rsidRPr="00E37C84">
        <w:t>j</w:t>
      </w:r>
      <w:r w:rsidR="00557DE0">
        <w:t>’</w:t>
      </w:r>
      <w:r w:rsidRPr="00E37C84">
        <w:t>annonce</w:t>
      </w:r>
      <w:r w:rsidR="00C2602D" w:rsidRPr="00E37C84">
        <w:t> »</w:t>
      </w:r>
      <w:r w:rsidRPr="00E37C84">
        <w:t>. Suidas le définit ainsi</w:t>
      </w:r>
      <w:r w:rsidR="00C2602D" w:rsidRPr="00E37C84">
        <w:t> :</w:t>
      </w:r>
      <w:r w:rsidRPr="00E37C84">
        <w:t xml:space="preserve"> </w:t>
      </w:r>
      <w:r w:rsidR="00605074" w:rsidRPr="00E37C84">
        <w:t>εὐ</w:t>
      </w:r>
      <w:r w:rsidR="00A74F01">
        <w:t>α</w:t>
      </w:r>
      <w:r w:rsidR="00605074" w:rsidRPr="00E37C84">
        <w:t>γγ</w:t>
      </w:r>
      <w:r w:rsidR="00C771BF">
        <w:t>έ</w:t>
      </w:r>
      <w:r w:rsidR="00605074" w:rsidRPr="00E37C84">
        <w:t>λιον</w:t>
      </w:r>
      <w:r w:rsidR="00E65435" w:rsidRPr="00E37C84">
        <w:t xml:space="preserve">, </w:t>
      </w:r>
      <w:r w:rsidR="00605074" w:rsidRPr="00E37C84">
        <w:t>τ</w:t>
      </w:r>
      <w:r w:rsidR="00116664">
        <w:t>ὰ</w:t>
      </w:r>
      <w:r w:rsidRPr="00E37C84">
        <w:t xml:space="preserve"> κ</w:t>
      </w:r>
      <w:r w:rsidR="00CD3C57">
        <w:t>ά</w:t>
      </w:r>
      <w:r w:rsidRPr="00E37C84">
        <w:t>λλιστ</w:t>
      </w:r>
      <w:r w:rsidR="00A74F01">
        <w:t>α</w:t>
      </w:r>
      <w:r w:rsidRPr="00E37C84">
        <w:t xml:space="preserve"> δι</w:t>
      </w:r>
      <w:r w:rsidR="00CD3C57">
        <w:t>ά</w:t>
      </w:r>
      <w:r w:rsidRPr="00E37C84">
        <w:t>γγελον</w:t>
      </w:r>
      <w:r w:rsidR="00E37C84">
        <w:rPr>
          <w:bCs/>
          <w:lang w:eastAsia="fr-FR" w:bidi="he-IL"/>
        </w:rPr>
        <w:t> </w:t>
      </w:r>
      <w:r w:rsidR="00605074" w:rsidRPr="00C406FF">
        <w:rPr>
          <w:rStyle w:val="Appelnotedebasdep"/>
        </w:rPr>
        <w:footnoteReference w:id="1"/>
      </w:r>
      <w:r w:rsidRPr="00C8701B">
        <w:rPr>
          <w:bCs/>
          <w:lang w:eastAsia="fr-FR" w:bidi="he-IL"/>
        </w:rPr>
        <w:t>.</w:t>
      </w:r>
      <w:r w:rsidR="00C2602D" w:rsidRPr="00C8701B">
        <w:rPr>
          <w:bCs/>
          <w:lang w:eastAsia="fr-FR" w:bidi="he-IL"/>
        </w:rPr>
        <w:t xml:space="preserve"> </w:t>
      </w:r>
    </w:p>
    <w:p w:rsidR="00E37C84" w:rsidRDefault="00B704AD" w:rsidP="00C2602D">
      <w:pPr>
        <w:rPr>
          <w:bCs/>
          <w:lang w:eastAsia="fr-FR" w:bidi="he-IL"/>
        </w:rPr>
      </w:pPr>
      <w:r w:rsidRPr="00C8701B">
        <w:rPr>
          <w:bCs/>
          <w:lang w:eastAsia="fr-FR" w:bidi="he-IL"/>
        </w:rPr>
        <w:t>Néanmoins</w:t>
      </w:r>
      <w:r w:rsidR="00E65435">
        <w:rPr>
          <w:bCs/>
          <w:lang w:eastAsia="fr-FR" w:bidi="he-IL"/>
        </w:rPr>
        <w:t xml:space="preserve">, </w:t>
      </w:r>
      <w:r w:rsidRPr="00C8701B">
        <w:rPr>
          <w:bCs/>
          <w:lang w:eastAsia="fr-FR" w:bidi="he-IL"/>
        </w:rPr>
        <w:t>les écrivains grecs les plus anciens</w:t>
      </w:r>
      <w:r w:rsidR="00E65435">
        <w:rPr>
          <w:bCs/>
          <w:lang w:eastAsia="fr-FR" w:bidi="he-IL"/>
        </w:rPr>
        <w:t xml:space="preserve">, </w:t>
      </w:r>
      <w:r w:rsidRPr="00C8701B">
        <w:rPr>
          <w:bCs/>
          <w:lang w:eastAsia="fr-FR" w:bidi="he-IL"/>
        </w:rPr>
        <w:t>d</w:t>
      </w:r>
      <w:r w:rsidR="00557DE0">
        <w:rPr>
          <w:bCs/>
          <w:lang w:eastAsia="fr-FR" w:bidi="he-IL"/>
        </w:rPr>
        <w:t>’</w:t>
      </w:r>
      <w:r w:rsidR="00C77B3A" w:rsidRPr="00C8701B">
        <w:rPr>
          <w:bCs/>
          <w:lang w:eastAsia="fr-FR" w:bidi="he-IL"/>
        </w:rPr>
        <w:t>Homère à Plutar</w:t>
      </w:r>
      <w:r w:rsidRPr="00C8701B">
        <w:rPr>
          <w:bCs/>
          <w:lang w:eastAsia="fr-FR" w:bidi="he-IL"/>
        </w:rPr>
        <w:t>que</w:t>
      </w:r>
      <w:r w:rsidR="00E65435">
        <w:rPr>
          <w:bCs/>
          <w:lang w:eastAsia="fr-FR" w:bidi="he-IL"/>
        </w:rPr>
        <w:t xml:space="preserve">, </w:t>
      </w:r>
      <w:r w:rsidR="00941AA6">
        <w:rPr>
          <w:bCs/>
          <w:lang w:eastAsia="fr-FR" w:bidi="he-IL"/>
        </w:rPr>
        <w:t>l’</w:t>
      </w:r>
      <w:r w:rsidRPr="00C8701B">
        <w:rPr>
          <w:bCs/>
          <w:lang w:eastAsia="fr-FR" w:bidi="he-IL"/>
        </w:rPr>
        <w:t>emploient de préférence pour désigner soit la récompense que l</w:t>
      </w:r>
      <w:r w:rsidR="00557DE0">
        <w:rPr>
          <w:bCs/>
          <w:lang w:eastAsia="fr-FR" w:bidi="he-IL"/>
        </w:rPr>
        <w:t>’</w:t>
      </w:r>
      <w:r w:rsidRPr="00C8701B">
        <w:rPr>
          <w:bCs/>
          <w:lang w:eastAsia="fr-FR" w:bidi="he-IL"/>
        </w:rPr>
        <w:t>on donne au porteur d</w:t>
      </w:r>
      <w:r w:rsidR="00557DE0">
        <w:rPr>
          <w:bCs/>
          <w:lang w:eastAsia="fr-FR" w:bidi="he-IL"/>
        </w:rPr>
        <w:t>’</w:t>
      </w:r>
      <w:r w:rsidR="00C77B3A" w:rsidRPr="00C8701B">
        <w:rPr>
          <w:bCs/>
          <w:lang w:eastAsia="fr-FR" w:bidi="he-IL"/>
        </w:rPr>
        <w:t>une bonne nouvelle</w:t>
      </w:r>
      <w:r w:rsidR="00E37C84">
        <w:rPr>
          <w:bCs/>
          <w:lang w:eastAsia="fr-FR" w:bidi="he-IL"/>
        </w:rPr>
        <w:t> </w:t>
      </w:r>
      <w:r w:rsidR="00C77B3A" w:rsidRPr="00C406FF">
        <w:rPr>
          <w:rStyle w:val="Appelnotedebasdep"/>
        </w:rPr>
        <w:footnoteReference w:id="2"/>
      </w:r>
      <w:r w:rsidR="00E65435">
        <w:rPr>
          <w:bCs/>
          <w:lang w:eastAsia="fr-FR" w:bidi="he-IL"/>
        </w:rPr>
        <w:t xml:space="preserve">, </w:t>
      </w:r>
      <w:r w:rsidRPr="00C8701B">
        <w:rPr>
          <w:bCs/>
          <w:lang w:eastAsia="fr-FR" w:bidi="he-IL"/>
        </w:rPr>
        <w:t>soit le sacrifice offert aux dieux en action de grâces de cet heureux message</w:t>
      </w:r>
      <w:r w:rsidR="00E37C84">
        <w:rPr>
          <w:bCs/>
          <w:lang w:eastAsia="fr-FR" w:bidi="he-IL"/>
        </w:rPr>
        <w:t> </w:t>
      </w:r>
      <w:r w:rsidR="00A71697" w:rsidRPr="00C406FF">
        <w:rPr>
          <w:rStyle w:val="Appelnotedebasdep"/>
        </w:rPr>
        <w:footnoteReference w:id="3"/>
      </w:r>
      <w:r w:rsidRPr="00C8701B">
        <w:rPr>
          <w:bCs/>
          <w:lang w:eastAsia="fr-FR" w:bidi="he-IL"/>
        </w:rPr>
        <w:t>. Ce n</w:t>
      </w:r>
      <w:r w:rsidR="00557DE0">
        <w:rPr>
          <w:bCs/>
          <w:lang w:eastAsia="fr-FR" w:bidi="he-IL"/>
        </w:rPr>
        <w:t>’</w:t>
      </w:r>
      <w:r w:rsidRPr="00C8701B">
        <w:rPr>
          <w:bCs/>
          <w:lang w:eastAsia="fr-FR" w:bidi="he-IL"/>
        </w:rPr>
        <w:t>est qu</w:t>
      </w:r>
      <w:r w:rsidR="00557DE0">
        <w:rPr>
          <w:bCs/>
          <w:lang w:eastAsia="fr-FR" w:bidi="he-IL"/>
        </w:rPr>
        <w:t>’</w:t>
      </w:r>
      <w:r w:rsidRPr="00C8701B">
        <w:rPr>
          <w:bCs/>
          <w:lang w:eastAsia="fr-FR" w:bidi="he-IL"/>
        </w:rPr>
        <w:t>un peu plus tard qu</w:t>
      </w:r>
      <w:r w:rsidR="00557DE0">
        <w:rPr>
          <w:bCs/>
          <w:lang w:eastAsia="fr-FR" w:bidi="he-IL"/>
        </w:rPr>
        <w:t>’</w:t>
      </w:r>
      <w:r w:rsidRPr="00C8701B">
        <w:rPr>
          <w:bCs/>
          <w:lang w:eastAsia="fr-FR" w:bidi="he-IL"/>
        </w:rPr>
        <w:t>il servit à marquer directement la nouvelle même</w:t>
      </w:r>
      <w:r w:rsidR="00C2602D" w:rsidRPr="00C8701B">
        <w:rPr>
          <w:bCs/>
          <w:lang w:eastAsia="fr-FR" w:bidi="he-IL"/>
        </w:rPr>
        <w:t> </w:t>
      </w:r>
      <w:r w:rsidR="007F6508">
        <w:rPr>
          <w:bCs/>
          <w:lang w:eastAsia="fr-FR" w:bidi="he-IL"/>
        </w:rPr>
        <w:t xml:space="preserve">; </w:t>
      </w:r>
      <w:r w:rsidRPr="00C8701B">
        <w:rPr>
          <w:bCs/>
          <w:lang w:eastAsia="fr-FR" w:bidi="he-IL"/>
        </w:rPr>
        <w:t>par exemple</w:t>
      </w:r>
      <w:r w:rsidR="00E65435">
        <w:rPr>
          <w:bCs/>
          <w:lang w:eastAsia="fr-FR" w:bidi="he-IL"/>
        </w:rPr>
        <w:t xml:space="preserve">, </w:t>
      </w:r>
      <w:r w:rsidRPr="00C8701B">
        <w:rPr>
          <w:bCs/>
          <w:lang w:eastAsia="fr-FR" w:bidi="he-IL"/>
        </w:rPr>
        <w:t>dans ce passage d</w:t>
      </w:r>
      <w:r w:rsidR="00557DE0">
        <w:rPr>
          <w:bCs/>
          <w:lang w:eastAsia="fr-FR" w:bidi="he-IL"/>
        </w:rPr>
        <w:t>’</w:t>
      </w:r>
      <w:r w:rsidRPr="00C8701B">
        <w:rPr>
          <w:bCs/>
          <w:lang w:eastAsia="fr-FR" w:bidi="he-IL"/>
        </w:rPr>
        <w:t>Appius</w:t>
      </w:r>
      <w:r w:rsidR="00E37C84">
        <w:rPr>
          <w:bCs/>
          <w:lang w:eastAsia="fr-FR" w:bidi="he-IL"/>
        </w:rPr>
        <w:t> </w:t>
      </w:r>
      <w:r w:rsidR="00A71697" w:rsidRPr="00C406FF">
        <w:rPr>
          <w:rStyle w:val="Appelnotedebasdep"/>
        </w:rPr>
        <w:footnoteReference w:id="4"/>
      </w:r>
      <w:r w:rsidR="00E65435">
        <w:rPr>
          <w:bCs/>
          <w:lang w:eastAsia="fr-FR" w:bidi="he-IL"/>
        </w:rPr>
        <w:t xml:space="preserve">, </w:t>
      </w:r>
      <w:r w:rsidRPr="00C8701B">
        <w:rPr>
          <w:bCs/>
          <w:lang w:eastAsia="fr-FR" w:bidi="he-IL"/>
        </w:rPr>
        <w:t xml:space="preserve">relatif à </w:t>
      </w:r>
      <w:r w:rsidRPr="00E37C84">
        <w:t>la mort de Cicéron</w:t>
      </w:r>
      <w:r w:rsidR="00C2602D" w:rsidRPr="00E37C84">
        <w:t> :</w:t>
      </w:r>
      <w:r w:rsidRPr="00E37C84">
        <w:t xml:space="preserve"> </w:t>
      </w:r>
      <w:r w:rsidR="00A71697" w:rsidRPr="00E37C84">
        <w:t>Τῷ</w:t>
      </w:r>
      <w:r w:rsidRPr="00E37C84">
        <w:t xml:space="preserve"> </w:t>
      </w:r>
      <w:r w:rsidR="00A71697" w:rsidRPr="00E37C84">
        <w:t>Ἀντονιῳ</w:t>
      </w:r>
      <w:r w:rsidRPr="00E37C84">
        <w:t xml:space="preserve"> </w:t>
      </w:r>
      <w:r w:rsidR="00A71697" w:rsidRPr="00E37C84">
        <w:t>εὐ</w:t>
      </w:r>
      <w:r w:rsidR="00A74F01">
        <w:t>α</w:t>
      </w:r>
      <w:r w:rsidR="00A71697" w:rsidRPr="00E37C84">
        <w:t>γγ</w:t>
      </w:r>
      <w:r w:rsidR="00C771BF">
        <w:t>έ</w:t>
      </w:r>
      <w:r w:rsidR="00A71697" w:rsidRPr="00E37C84">
        <w:t>λιον</w:t>
      </w:r>
      <w:r w:rsidRPr="00E37C84">
        <w:t xml:space="preserve"> δι</w:t>
      </w:r>
      <w:r w:rsidR="00A74F01">
        <w:t>α</w:t>
      </w:r>
      <w:r w:rsidRPr="00E37C84">
        <w:t>φ</w:t>
      </w:r>
      <w:r w:rsidR="00C771BF">
        <w:t>έ</w:t>
      </w:r>
      <w:r w:rsidRPr="00E37C84">
        <w:t>ροντες</w:t>
      </w:r>
      <w:r w:rsidR="00E65435" w:rsidRPr="00E37C84">
        <w:t xml:space="preserve">, </w:t>
      </w:r>
      <w:r w:rsidR="00C2602D" w:rsidRPr="00E37C84">
        <w:t>« </w:t>
      </w:r>
      <w:r w:rsidRPr="00E37C84">
        <w:t xml:space="preserve">apportant à Antoine une bonne </w:t>
      </w:r>
      <w:r w:rsidRPr="00C8701B">
        <w:rPr>
          <w:bCs/>
          <w:lang w:eastAsia="fr-FR" w:bidi="he-IL"/>
        </w:rPr>
        <w:t>nouvelle.</w:t>
      </w:r>
      <w:r w:rsidR="00C2602D" w:rsidRPr="00C8701B">
        <w:rPr>
          <w:bCs/>
          <w:lang w:eastAsia="fr-FR" w:bidi="he-IL"/>
        </w:rPr>
        <w:t> »</w:t>
      </w:r>
      <w:r w:rsidRPr="00C8701B">
        <w:rPr>
          <w:bCs/>
          <w:lang w:eastAsia="fr-FR" w:bidi="he-IL"/>
        </w:rPr>
        <w:t>. Comp. Lucien</w:t>
      </w:r>
      <w:r w:rsidR="00E65435">
        <w:rPr>
          <w:bCs/>
          <w:lang w:eastAsia="fr-FR" w:bidi="he-IL"/>
        </w:rPr>
        <w:t xml:space="preserve">, </w:t>
      </w:r>
      <w:r w:rsidRPr="00DC4586">
        <w:rPr>
          <w:rStyle w:val="italicus"/>
        </w:rPr>
        <w:t>Asin.</w:t>
      </w:r>
      <w:r w:rsidR="00E65435">
        <w:rPr>
          <w:rStyle w:val="italicus"/>
        </w:rPr>
        <w:t xml:space="preserve">, </w:t>
      </w:r>
      <w:r w:rsidRPr="00C8701B">
        <w:rPr>
          <w:bCs/>
          <w:lang w:eastAsia="fr-FR" w:bidi="he-IL"/>
        </w:rPr>
        <w:t>26</w:t>
      </w:r>
      <w:r w:rsidR="00E65435">
        <w:rPr>
          <w:bCs/>
          <w:lang w:eastAsia="fr-FR" w:bidi="he-IL"/>
        </w:rPr>
        <w:t xml:space="preserve">, </w:t>
      </w:r>
      <w:r w:rsidRPr="00C8701B">
        <w:rPr>
          <w:bCs/>
          <w:lang w:eastAsia="fr-FR" w:bidi="he-IL"/>
        </w:rPr>
        <w:t>et</w:t>
      </w:r>
      <w:r w:rsidR="00E65435">
        <w:rPr>
          <w:bCs/>
          <w:lang w:eastAsia="fr-FR" w:bidi="he-IL"/>
        </w:rPr>
        <w:t xml:space="preserve">, </w:t>
      </w:r>
      <w:r w:rsidRPr="00C8701B">
        <w:rPr>
          <w:bCs/>
          <w:lang w:eastAsia="fr-FR" w:bidi="he-IL"/>
        </w:rPr>
        <w:t>dans les Septante</w:t>
      </w:r>
      <w:r w:rsidR="00E65435">
        <w:rPr>
          <w:bCs/>
          <w:lang w:eastAsia="fr-FR" w:bidi="he-IL"/>
        </w:rPr>
        <w:t xml:space="preserve">, </w:t>
      </w:r>
      <w:r w:rsidRPr="00C8701B">
        <w:rPr>
          <w:bCs/>
          <w:lang w:eastAsia="fr-FR" w:bidi="he-IL"/>
        </w:rPr>
        <w:t xml:space="preserve">II Reg. </w:t>
      </w:r>
      <w:r w:rsidR="00CA083D">
        <w:rPr>
          <w:bCs/>
          <w:lang w:eastAsia="fr-FR" w:bidi="he-IL"/>
        </w:rPr>
        <w:t>XVII</w:t>
      </w:r>
      <w:r w:rsidR="00A71697" w:rsidRPr="00C8701B">
        <w:rPr>
          <w:bCs/>
          <w:lang w:eastAsia="fr-FR" w:bidi="he-IL"/>
        </w:rPr>
        <w:t>I</w:t>
      </w:r>
      <w:r w:rsidR="00E65435">
        <w:rPr>
          <w:bCs/>
          <w:lang w:eastAsia="fr-FR" w:bidi="he-IL"/>
        </w:rPr>
        <w:t xml:space="preserve">, </w:t>
      </w:r>
      <w:r w:rsidRPr="00C8701B">
        <w:rPr>
          <w:bCs/>
          <w:lang w:eastAsia="fr-FR" w:bidi="he-IL"/>
        </w:rPr>
        <w:t>20</w:t>
      </w:r>
      <w:r w:rsidR="00E65435">
        <w:rPr>
          <w:bCs/>
          <w:lang w:eastAsia="fr-FR" w:bidi="he-IL"/>
        </w:rPr>
        <w:t xml:space="preserve">, </w:t>
      </w:r>
      <w:r w:rsidRPr="00C8701B">
        <w:rPr>
          <w:bCs/>
          <w:lang w:eastAsia="fr-FR" w:bidi="he-IL"/>
        </w:rPr>
        <w:t>22</w:t>
      </w:r>
      <w:r w:rsidR="00E65435">
        <w:rPr>
          <w:bCs/>
          <w:lang w:eastAsia="fr-FR" w:bidi="he-IL"/>
        </w:rPr>
        <w:t xml:space="preserve">, </w:t>
      </w:r>
      <w:r w:rsidRPr="00C8701B">
        <w:rPr>
          <w:bCs/>
          <w:lang w:eastAsia="fr-FR" w:bidi="he-IL"/>
        </w:rPr>
        <w:t>25</w:t>
      </w:r>
      <w:r w:rsidR="00C2602D" w:rsidRPr="00C8701B">
        <w:rPr>
          <w:bCs/>
          <w:lang w:eastAsia="fr-FR" w:bidi="he-IL"/>
        </w:rPr>
        <w:t> </w:t>
      </w:r>
      <w:r w:rsidR="007F6508">
        <w:rPr>
          <w:bCs/>
          <w:lang w:eastAsia="fr-FR" w:bidi="he-IL"/>
        </w:rPr>
        <w:t xml:space="preserve">; </w:t>
      </w:r>
      <w:r w:rsidR="0096281A">
        <w:rPr>
          <w:bCs/>
          <w:lang w:eastAsia="fr-FR" w:bidi="he-IL"/>
        </w:rPr>
        <w:t>IV</w:t>
      </w:r>
      <w:r w:rsidRPr="00C8701B">
        <w:rPr>
          <w:bCs/>
          <w:lang w:eastAsia="fr-FR" w:bidi="he-IL"/>
        </w:rPr>
        <w:t xml:space="preserve"> Reg</w:t>
      </w:r>
      <w:r w:rsidR="001157C4">
        <w:rPr>
          <w:bCs/>
          <w:lang w:eastAsia="fr-FR" w:bidi="he-IL"/>
        </w:rPr>
        <w:t>. VII,</w:t>
      </w:r>
      <w:r w:rsidR="00E65435">
        <w:rPr>
          <w:bCs/>
          <w:lang w:eastAsia="fr-FR" w:bidi="he-IL"/>
        </w:rPr>
        <w:t xml:space="preserve"> </w:t>
      </w:r>
      <w:r w:rsidRPr="00C8701B">
        <w:rPr>
          <w:bCs/>
          <w:lang w:eastAsia="fr-FR" w:bidi="he-IL"/>
        </w:rPr>
        <w:t>9.</w:t>
      </w:r>
      <w:r w:rsidR="00C2602D" w:rsidRPr="00C8701B">
        <w:rPr>
          <w:bCs/>
          <w:lang w:eastAsia="fr-FR" w:bidi="he-IL"/>
        </w:rPr>
        <w:t xml:space="preserve"> </w:t>
      </w:r>
    </w:p>
    <w:p w:rsidR="00E37C84" w:rsidRDefault="00B704AD" w:rsidP="00E37C84">
      <w:pPr>
        <w:rPr>
          <w:rFonts w:eastAsia="Arial Unicode MS"/>
          <w:bCs/>
          <w:lang w:eastAsia="fr-FR" w:bidi="he-IL"/>
        </w:rPr>
      </w:pPr>
      <w:r w:rsidRPr="00C8701B">
        <w:rPr>
          <w:bCs/>
          <w:lang w:eastAsia="fr-FR" w:bidi="he-IL"/>
        </w:rPr>
        <w:t>2° C</w:t>
      </w:r>
      <w:r w:rsidR="00557DE0">
        <w:rPr>
          <w:bCs/>
          <w:lang w:eastAsia="fr-FR" w:bidi="he-IL"/>
        </w:rPr>
        <w:t>’</w:t>
      </w:r>
      <w:r w:rsidRPr="00C8701B">
        <w:rPr>
          <w:bCs/>
          <w:lang w:eastAsia="fr-FR" w:bidi="he-IL"/>
        </w:rPr>
        <w:t xml:space="preserve">est toujours dans ce sens de bonne et joyeuse nouvelle que les écrivains sacrés du Nouveau Testament emploient le mot </w:t>
      </w:r>
      <w:r w:rsidR="00A71697" w:rsidRPr="00C8701B">
        <w:rPr>
          <w:bCs/>
          <w:lang w:eastAsia="fr-FR" w:bidi="he-IL"/>
        </w:rPr>
        <w:t>Évangile</w:t>
      </w:r>
      <w:r w:rsidRPr="00C8701B">
        <w:rPr>
          <w:bCs/>
          <w:lang w:eastAsia="fr-FR" w:bidi="he-IL"/>
        </w:rPr>
        <w:t>. Mais il s</w:t>
      </w:r>
      <w:r w:rsidR="00557DE0">
        <w:rPr>
          <w:bCs/>
          <w:lang w:eastAsia="fr-FR" w:bidi="he-IL"/>
        </w:rPr>
        <w:t>’</w:t>
      </w:r>
      <w:r w:rsidRPr="00C8701B">
        <w:rPr>
          <w:bCs/>
          <w:lang w:eastAsia="fr-FR" w:bidi="he-IL"/>
        </w:rPr>
        <w:t>agit alors</w:t>
      </w:r>
      <w:r w:rsidR="00E65435">
        <w:rPr>
          <w:bCs/>
          <w:lang w:eastAsia="fr-FR" w:bidi="he-IL"/>
        </w:rPr>
        <w:t xml:space="preserve">, </w:t>
      </w:r>
      <w:r w:rsidRPr="00C8701B">
        <w:rPr>
          <w:bCs/>
          <w:lang w:eastAsia="fr-FR" w:bidi="he-IL"/>
        </w:rPr>
        <w:t>évidemment</w:t>
      </w:r>
      <w:r w:rsidR="00E65435">
        <w:rPr>
          <w:bCs/>
          <w:lang w:eastAsia="fr-FR" w:bidi="he-IL"/>
        </w:rPr>
        <w:t xml:space="preserve">, </w:t>
      </w:r>
      <w:r w:rsidRPr="00C8701B">
        <w:rPr>
          <w:bCs/>
          <w:lang w:eastAsia="fr-FR" w:bidi="he-IL"/>
        </w:rPr>
        <w:t>de la bonne nouvelle par excellence</w:t>
      </w:r>
      <w:r w:rsidR="00E65435">
        <w:rPr>
          <w:bCs/>
          <w:lang w:eastAsia="fr-FR" w:bidi="he-IL"/>
        </w:rPr>
        <w:t xml:space="preserve">, </w:t>
      </w:r>
      <w:r w:rsidRPr="00C8701B">
        <w:rPr>
          <w:bCs/>
          <w:lang w:eastAsia="fr-FR" w:bidi="he-IL"/>
        </w:rPr>
        <w:t>c</w:t>
      </w:r>
      <w:r w:rsidR="00557DE0">
        <w:rPr>
          <w:bCs/>
          <w:lang w:eastAsia="fr-FR" w:bidi="he-IL"/>
        </w:rPr>
        <w:t>’</w:t>
      </w:r>
      <w:r w:rsidRPr="00C8701B">
        <w:rPr>
          <w:bCs/>
          <w:lang w:eastAsia="fr-FR" w:bidi="he-IL"/>
        </w:rPr>
        <w:t>est-à</w:t>
      </w:r>
      <w:r w:rsidR="00E37C84">
        <w:rPr>
          <w:bCs/>
          <w:lang w:eastAsia="fr-FR" w:bidi="he-IL"/>
        </w:rPr>
        <w:t>-</w:t>
      </w:r>
      <w:r w:rsidRPr="00C8701B">
        <w:rPr>
          <w:bCs/>
          <w:lang w:eastAsia="fr-FR" w:bidi="he-IL"/>
        </w:rPr>
        <w:t>dire du salut apporté par Notre-Seigne</w:t>
      </w:r>
      <w:r w:rsidR="00A71697" w:rsidRPr="00C8701B">
        <w:rPr>
          <w:bCs/>
          <w:lang w:eastAsia="fr-FR" w:bidi="he-IL"/>
        </w:rPr>
        <w:t>ur Jésus-Christ</w:t>
      </w:r>
      <w:r w:rsidR="00E65435">
        <w:rPr>
          <w:bCs/>
          <w:lang w:eastAsia="fr-FR" w:bidi="he-IL"/>
        </w:rPr>
        <w:t xml:space="preserve">, </w:t>
      </w:r>
      <w:r w:rsidR="00A71697" w:rsidRPr="00C8701B">
        <w:rPr>
          <w:bCs/>
          <w:lang w:eastAsia="fr-FR" w:bidi="he-IL"/>
        </w:rPr>
        <w:t>et</w:t>
      </w:r>
      <w:r w:rsidR="00E65435">
        <w:rPr>
          <w:bCs/>
          <w:lang w:eastAsia="fr-FR" w:bidi="he-IL"/>
        </w:rPr>
        <w:t xml:space="preserve">, </w:t>
      </w:r>
      <w:r w:rsidR="00A71697" w:rsidRPr="00E37C84">
        <w:t>conséquem</w:t>
      </w:r>
      <w:r w:rsidRPr="00E37C84">
        <w:t>ment</w:t>
      </w:r>
      <w:r w:rsidR="00E65435" w:rsidRPr="00E37C84">
        <w:t xml:space="preserve">, </w:t>
      </w:r>
      <w:r w:rsidRPr="00E37C84">
        <w:t>de la doctrine chrétienn</w:t>
      </w:r>
      <w:r w:rsidRPr="00C8701B">
        <w:rPr>
          <w:bCs/>
          <w:lang w:eastAsia="fr-FR" w:bidi="he-IL"/>
        </w:rPr>
        <w:t xml:space="preserve">e. </w:t>
      </w:r>
      <w:r w:rsidRPr="00A74F01">
        <w:rPr>
          <w:bCs/>
          <w:lang w:eastAsia="fr-FR" w:bidi="he-IL"/>
        </w:rPr>
        <w:t>Matth</w:t>
      </w:r>
      <w:r w:rsidR="001157C4" w:rsidRPr="00A74F01">
        <w:rPr>
          <w:bCs/>
          <w:lang w:eastAsia="fr-FR" w:bidi="he-IL"/>
        </w:rPr>
        <w:t xml:space="preserve">. </w:t>
      </w:r>
      <w:r w:rsidR="0096281A" w:rsidRPr="00A74F01">
        <w:rPr>
          <w:bCs/>
          <w:lang w:eastAsia="fr-FR" w:bidi="he-IL"/>
        </w:rPr>
        <w:t>IV</w:t>
      </w:r>
      <w:r w:rsidR="001157C4" w:rsidRPr="00A74F01">
        <w:rPr>
          <w:bCs/>
          <w:lang w:eastAsia="fr-FR" w:bidi="he-IL"/>
        </w:rPr>
        <w:t>,</w:t>
      </w:r>
      <w:r w:rsidR="00E65435" w:rsidRPr="00A74F01">
        <w:rPr>
          <w:bCs/>
          <w:lang w:eastAsia="fr-FR" w:bidi="he-IL"/>
        </w:rPr>
        <w:t xml:space="preserve"> </w:t>
      </w:r>
      <w:r w:rsidRPr="00A74F01">
        <w:rPr>
          <w:bCs/>
          <w:lang w:eastAsia="fr-FR" w:bidi="he-IL"/>
        </w:rPr>
        <w:t>23</w:t>
      </w:r>
      <w:r w:rsidR="00C2602D" w:rsidRPr="00A74F01">
        <w:rPr>
          <w:bCs/>
          <w:lang w:eastAsia="fr-FR" w:bidi="he-IL"/>
        </w:rPr>
        <w:t> :</w:t>
      </w:r>
      <w:r w:rsidRPr="00A74F01">
        <w:rPr>
          <w:bCs/>
          <w:lang w:eastAsia="fr-FR" w:bidi="he-IL"/>
        </w:rPr>
        <w:t xml:space="preserve"> </w:t>
      </w:r>
      <w:r w:rsidR="00C2602D" w:rsidRPr="00A74F01">
        <w:rPr>
          <w:bCs/>
          <w:lang w:eastAsia="fr-FR" w:bidi="he-IL"/>
        </w:rPr>
        <w:t>« </w:t>
      </w:r>
      <w:r w:rsidR="00E37C84" w:rsidRPr="00A74F01">
        <w:rPr>
          <w:bCs/>
          <w:lang w:eastAsia="fr-FR" w:bidi="he-IL"/>
        </w:rPr>
        <w:t>Prǽdicans</w:t>
      </w:r>
      <w:r w:rsidRPr="00A74F01">
        <w:rPr>
          <w:bCs/>
          <w:lang w:eastAsia="fr-FR" w:bidi="he-IL"/>
        </w:rPr>
        <w:t xml:space="preserve"> </w:t>
      </w:r>
      <w:r w:rsidR="00E37C84" w:rsidRPr="00A74F01">
        <w:rPr>
          <w:bCs/>
          <w:lang w:eastAsia="fr-FR" w:bidi="he-IL"/>
        </w:rPr>
        <w:t>evangélium</w:t>
      </w:r>
      <w:r w:rsidRPr="00A74F01">
        <w:rPr>
          <w:bCs/>
          <w:lang w:eastAsia="fr-FR" w:bidi="he-IL"/>
        </w:rPr>
        <w:t xml:space="preserve"> regni</w:t>
      </w:r>
      <w:r w:rsidR="00C2602D" w:rsidRPr="00A74F01">
        <w:rPr>
          <w:bCs/>
          <w:lang w:eastAsia="fr-FR" w:bidi="he-IL"/>
        </w:rPr>
        <w:t> » </w:t>
      </w:r>
      <w:r w:rsidR="007F6508" w:rsidRPr="00A74F01">
        <w:rPr>
          <w:bCs/>
          <w:lang w:eastAsia="fr-FR" w:bidi="he-IL"/>
        </w:rPr>
        <w:t xml:space="preserve">; </w:t>
      </w:r>
      <w:r w:rsidR="00A71697" w:rsidRPr="00A74F01">
        <w:rPr>
          <w:bCs/>
          <w:lang w:eastAsia="fr-FR" w:bidi="he-IL"/>
        </w:rPr>
        <w:t>XXIV</w:t>
      </w:r>
      <w:r w:rsidR="00E65435" w:rsidRPr="00A74F01">
        <w:rPr>
          <w:bCs/>
          <w:lang w:eastAsia="fr-FR" w:bidi="he-IL"/>
        </w:rPr>
        <w:t xml:space="preserve">, </w:t>
      </w:r>
      <w:r w:rsidRPr="00A74F01">
        <w:rPr>
          <w:bCs/>
          <w:lang w:eastAsia="fr-FR" w:bidi="he-IL"/>
        </w:rPr>
        <w:t>14</w:t>
      </w:r>
      <w:r w:rsidR="00C2602D" w:rsidRPr="00A74F01">
        <w:rPr>
          <w:bCs/>
          <w:lang w:eastAsia="fr-FR" w:bidi="he-IL"/>
        </w:rPr>
        <w:t> :</w:t>
      </w:r>
      <w:r w:rsidR="00A71697" w:rsidRPr="00A74F01">
        <w:rPr>
          <w:bCs/>
          <w:lang w:eastAsia="fr-FR" w:bidi="he-IL"/>
        </w:rPr>
        <w:t xml:space="preserve"> « </w:t>
      </w:r>
      <w:r w:rsidR="00E37C84" w:rsidRPr="00A74F01">
        <w:rPr>
          <w:bCs/>
          <w:lang w:eastAsia="fr-FR" w:bidi="he-IL"/>
        </w:rPr>
        <w:t>Præ</w:t>
      </w:r>
      <w:r w:rsidR="0096412E" w:rsidRPr="00A74F01">
        <w:rPr>
          <w:bCs/>
          <w:lang w:eastAsia="fr-FR" w:bidi="he-IL"/>
        </w:rPr>
        <w:t>dicábitur</w:t>
      </w:r>
      <w:r w:rsidRPr="00A74F01">
        <w:rPr>
          <w:bCs/>
          <w:lang w:eastAsia="fr-FR" w:bidi="he-IL"/>
        </w:rPr>
        <w:t xml:space="preserve"> hoc </w:t>
      </w:r>
      <w:r w:rsidR="00E37C84" w:rsidRPr="00A74F01">
        <w:rPr>
          <w:bCs/>
          <w:lang w:eastAsia="fr-FR" w:bidi="he-IL"/>
        </w:rPr>
        <w:t>evangélium</w:t>
      </w:r>
      <w:r w:rsidR="00C2602D" w:rsidRPr="00A74F01">
        <w:rPr>
          <w:bCs/>
          <w:lang w:eastAsia="fr-FR" w:bidi="he-IL"/>
        </w:rPr>
        <w:t> » </w:t>
      </w:r>
      <w:r w:rsidR="007F6508" w:rsidRPr="00A74F01">
        <w:rPr>
          <w:bCs/>
          <w:lang w:eastAsia="fr-FR" w:bidi="he-IL"/>
        </w:rPr>
        <w:t xml:space="preserve">; </w:t>
      </w:r>
      <w:r w:rsidR="00A71697" w:rsidRPr="00A74F01">
        <w:rPr>
          <w:bCs/>
          <w:lang w:eastAsia="fr-FR" w:bidi="he-IL"/>
        </w:rPr>
        <w:t>Marc. I</w:t>
      </w:r>
      <w:r w:rsidR="00E65435" w:rsidRPr="00A74F01">
        <w:rPr>
          <w:bCs/>
          <w:lang w:eastAsia="fr-FR" w:bidi="he-IL"/>
        </w:rPr>
        <w:t xml:space="preserve">, </w:t>
      </w:r>
      <w:r w:rsidRPr="00A74F01">
        <w:rPr>
          <w:bCs/>
          <w:lang w:eastAsia="fr-FR" w:bidi="he-IL"/>
        </w:rPr>
        <w:t>1</w:t>
      </w:r>
      <w:r w:rsidR="00C2602D" w:rsidRPr="00A74F01">
        <w:rPr>
          <w:bCs/>
          <w:lang w:eastAsia="fr-FR" w:bidi="he-IL"/>
        </w:rPr>
        <w:t> :</w:t>
      </w:r>
      <w:r w:rsidR="00941AA6">
        <w:rPr>
          <w:bCs/>
          <w:lang w:eastAsia="fr-FR" w:bidi="he-IL"/>
        </w:rPr>
        <w:t xml:space="preserve"> « </w:t>
      </w:r>
      <w:r w:rsidR="00E37C84" w:rsidRPr="00A74F01">
        <w:rPr>
          <w:bCs/>
          <w:lang w:eastAsia="fr-FR" w:bidi="he-IL"/>
        </w:rPr>
        <w:t>Inítium</w:t>
      </w:r>
      <w:r w:rsidRPr="00A74F01">
        <w:rPr>
          <w:bCs/>
          <w:lang w:eastAsia="fr-FR" w:bidi="he-IL"/>
        </w:rPr>
        <w:t xml:space="preserve"> </w:t>
      </w:r>
      <w:r w:rsidR="00E37C84" w:rsidRPr="00A74F01">
        <w:rPr>
          <w:bCs/>
          <w:lang w:eastAsia="fr-FR" w:bidi="he-IL"/>
        </w:rPr>
        <w:t>evangélii</w:t>
      </w:r>
      <w:r w:rsidRPr="00A74F01">
        <w:rPr>
          <w:bCs/>
          <w:lang w:eastAsia="fr-FR" w:bidi="he-IL"/>
        </w:rPr>
        <w:t xml:space="preserve"> Jesu Christi</w:t>
      </w:r>
      <w:r w:rsidR="00C2602D" w:rsidRPr="00A74F01">
        <w:rPr>
          <w:bCs/>
          <w:lang w:eastAsia="fr-FR" w:bidi="he-IL"/>
        </w:rPr>
        <w:t> » </w:t>
      </w:r>
      <w:r w:rsidR="007F6508" w:rsidRPr="00A74F01">
        <w:rPr>
          <w:bCs/>
          <w:lang w:eastAsia="fr-FR" w:bidi="he-IL"/>
        </w:rPr>
        <w:t xml:space="preserve">; </w:t>
      </w:r>
      <w:r w:rsidR="00EF1E04" w:rsidRPr="00A74F01">
        <w:rPr>
          <w:bCs/>
          <w:lang w:eastAsia="fr-FR" w:bidi="he-IL"/>
        </w:rPr>
        <w:t>XVI</w:t>
      </w:r>
      <w:r w:rsidR="00E65435" w:rsidRPr="00A74F01">
        <w:rPr>
          <w:bCs/>
          <w:lang w:eastAsia="fr-FR" w:bidi="he-IL"/>
        </w:rPr>
        <w:t xml:space="preserve">, </w:t>
      </w:r>
      <w:r w:rsidRPr="00A74F01">
        <w:rPr>
          <w:bCs/>
          <w:lang w:eastAsia="fr-FR" w:bidi="he-IL"/>
        </w:rPr>
        <w:t>15</w:t>
      </w:r>
      <w:r w:rsidR="00C2602D" w:rsidRPr="00A74F01">
        <w:rPr>
          <w:bCs/>
          <w:lang w:eastAsia="fr-FR" w:bidi="he-IL"/>
        </w:rPr>
        <w:t> :</w:t>
      </w:r>
      <w:r w:rsidRPr="00A74F01">
        <w:rPr>
          <w:bCs/>
          <w:lang w:eastAsia="fr-FR" w:bidi="he-IL"/>
        </w:rPr>
        <w:t xml:space="preserve"> </w:t>
      </w:r>
      <w:r w:rsidR="00C2602D" w:rsidRPr="00A74F01">
        <w:rPr>
          <w:bCs/>
          <w:lang w:eastAsia="fr-FR" w:bidi="he-IL"/>
        </w:rPr>
        <w:t>« </w:t>
      </w:r>
      <w:r w:rsidR="00E37C84" w:rsidRPr="00A74F01">
        <w:rPr>
          <w:bCs/>
          <w:lang w:eastAsia="fr-FR" w:bidi="he-IL"/>
        </w:rPr>
        <w:t>Prædicáte</w:t>
      </w:r>
      <w:r w:rsidRPr="00A74F01">
        <w:rPr>
          <w:bCs/>
          <w:lang w:eastAsia="fr-FR" w:bidi="he-IL"/>
        </w:rPr>
        <w:t xml:space="preserve"> </w:t>
      </w:r>
      <w:r w:rsidR="00E37C84" w:rsidRPr="00A74F01">
        <w:rPr>
          <w:bCs/>
          <w:lang w:eastAsia="fr-FR" w:bidi="he-IL"/>
        </w:rPr>
        <w:t>evangélium</w:t>
      </w:r>
      <w:r w:rsidRPr="00A74F01">
        <w:rPr>
          <w:bCs/>
          <w:lang w:eastAsia="fr-FR" w:bidi="he-IL"/>
        </w:rPr>
        <w:t xml:space="preserve"> omni </w:t>
      </w:r>
      <w:r w:rsidR="00E37C84" w:rsidRPr="00A74F01">
        <w:rPr>
          <w:bCs/>
          <w:lang w:eastAsia="fr-FR" w:bidi="he-IL"/>
        </w:rPr>
        <w:t>creatúræ</w:t>
      </w:r>
      <w:r w:rsidR="00C2602D" w:rsidRPr="00A74F01">
        <w:rPr>
          <w:bCs/>
          <w:lang w:eastAsia="fr-FR" w:bidi="he-IL"/>
        </w:rPr>
        <w:t> » </w:t>
      </w:r>
      <w:r w:rsidR="007F6508" w:rsidRPr="00A74F01">
        <w:rPr>
          <w:bCs/>
          <w:lang w:eastAsia="fr-FR" w:bidi="he-IL"/>
        </w:rPr>
        <w:t xml:space="preserve">; </w:t>
      </w:r>
      <w:r w:rsidRPr="00A74F01">
        <w:rPr>
          <w:bCs/>
          <w:lang w:eastAsia="fr-FR" w:bidi="he-IL"/>
        </w:rPr>
        <w:t xml:space="preserve">Act. </w:t>
      </w:r>
      <w:r w:rsidR="00A71697" w:rsidRPr="00A74F01">
        <w:rPr>
          <w:bCs/>
          <w:lang w:eastAsia="fr-FR" w:bidi="he-IL"/>
        </w:rPr>
        <w:t>XX</w:t>
      </w:r>
      <w:r w:rsidR="00E65435" w:rsidRPr="00A74F01">
        <w:rPr>
          <w:bCs/>
          <w:lang w:eastAsia="fr-FR" w:bidi="he-IL"/>
        </w:rPr>
        <w:t xml:space="preserve">, </w:t>
      </w:r>
      <w:r w:rsidRPr="00A74F01">
        <w:rPr>
          <w:bCs/>
          <w:lang w:eastAsia="fr-FR" w:bidi="he-IL"/>
        </w:rPr>
        <w:t>24</w:t>
      </w:r>
      <w:r w:rsidR="00C2602D" w:rsidRPr="00A74F01">
        <w:rPr>
          <w:bCs/>
          <w:lang w:eastAsia="fr-FR" w:bidi="he-IL"/>
        </w:rPr>
        <w:t> :</w:t>
      </w:r>
      <w:r w:rsidRPr="00A74F01">
        <w:rPr>
          <w:bCs/>
          <w:lang w:eastAsia="fr-FR" w:bidi="he-IL"/>
        </w:rPr>
        <w:t xml:space="preserve"> </w:t>
      </w:r>
      <w:r w:rsidR="00C2602D" w:rsidRPr="00A74F01">
        <w:rPr>
          <w:bCs/>
          <w:lang w:eastAsia="fr-FR" w:bidi="he-IL"/>
        </w:rPr>
        <w:t>« </w:t>
      </w:r>
      <w:r w:rsidR="00E37C84" w:rsidRPr="00A74F01">
        <w:rPr>
          <w:bCs/>
          <w:lang w:eastAsia="fr-FR" w:bidi="he-IL"/>
        </w:rPr>
        <w:t>Ministérium</w:t>
      </w:r>
      <w:r w:rsidRPr="00A74F01">
        <w:rPr>
          <w:bCs/>
          <w:lang w:eastAsia="fr-FR" w:bidi="he-IL"/>
        </w:rPr>
        <w:t xml:space="preserve"> verbi quod </w:t>
      </w:r>
      <w:r w:rsidR="00E37C84" w:rsidRPr="00A74F01">
        <w:rPr>
          <w:bCs/>
          <w:lang w:eastAsia="fr-FR" w:bidi="he-IL"/>
        </w:rPr>
        <w:t>accépi</w:t>
      </w:r>
      <w:r w:rsidRPr="00A74F01">
        <w:rPr>
          <w:bCs/>
          <w:lang w:eastAsia="fr-FR" w:bidi="he-IL"/>
        </w:rPr>
        <w:t xml:space="preserve"> a </w:t>
      </w:r>
      <w:r w:rsidR="00216C2A" w:rsidRPr="00A74F01">
        <w:rPr>
          <w:bCs/>
          <w:lang w:eastAsia="fr-FR" w:bidi="he-IL"/>
        </w:rPr>
        <w:t>Dómino</w:t>
      </w:r>
      <w:r w:rsidRPr="00A74F01">
        <w:rPr>
          <w:bCs/>
          <w:lang w:eastAsia="fr-FR" w:bidi="he-IL"/>
        </w:rPr>
        <w:t xml:space="preserve"> Jesu</w:t>
      </w:r>
      <w:r w:rsidR="00E65435" w:rsidRPr="00A74F01">
        <w:rPr>
          <w:bCs/>
          <w:lang w:eastAsia="fr-FR" w:bidi="he-IL"/>
        </w:rPr>
        <w:t xml:space="preserve">, </w:t>
      </w:r>
      <w:r w:rsidR="00E37C84" w:rsidRPr="00A74F01">
        <w:rPr>
          <w:bCs/>
          <w:lang w:eastAsia="fr-FR" w:bidi="he-IL"/>
        </w:rPr>
        <w:t>testificári</w:t>
      </w:r>
      <w:r w:rsidRPr="00A74F01">
        <w:rPr>
          <w:bCs/>
          <w:lang w:eastAsia="fr-FR" w:bidi="he-IL"/>
        </w:rPr>
        <w:t xml:space="preserve"> </w:t>
      </w:r>
      <w:r w:rsidR="00E37C84" w:rsidRPr="00A74F01">
        <w:rPr>
          <w:bCs/>
          <w:lang w:eastAsia="fr-FR" w:bidi="he-IL"/>
        </w:rPr>
        <w:t>evangélium</w:t>
      </w:r>
      <w:r w:rsidRPr="00A74F01">
        <w:rPr>
          <w:bCs/>
          <w:lang w:eastAsia="fr-FR" w:bidi="he-IL"/>
        </w:rPr>
        <w:t xml:space="preserve"> </w:t>
      </w:r>
      <w:r w:rsidR="00E37C84" w:rsidRPr="00A74F01">
        <w:rPr>
          <w:bCs/>
          <w:lang w:eastAsia="fr-FR" w:bidi="he-IL"/>
        </w:rPr>
        <w:t>grátiæ</w:t>
      </w:r>
      <w:r w:rsidRPr="00A74F01">
        <w:rPr>
          <w:bCs/>
          <w:lang w:eastAsia="fr-FR" w:bidi="he-IL"/>
        </w:rPr>
        <w:t xml:space="preserve"> Dei</w:t>
      </w:r>
      <w:r w:rsidR="00C2602D" w:rsidRPr="00A74F01">
        <w:rPr>
          <w:bCs/>
          <w:lang w:eastAsia="fr-FR" w:bidi="he-IL"/>
        </w:rPr>
        <w:t> » </w:t>
      </w:r>
      <w:r w:rsidR="007F6508" w:rsidRPr="00A74F01">
        <w:rPr>
          <w:bCs/>
          <w:lang w:eastAsia="fr-FR" w:bidi="he-IL"/>
        </w:rPr>
        <w:t xml:space="preserve">; </w:t>
      </w:r>
      <w:r w:rsidRPr="00A74F01">
        <w:rPr>
          <w:bCs/>
          <w:lang w:eastAsia="fr-FR" w:bidi="he-IL"/>
        </w:rPr>
        <w:t xml:space="preserve">Rom. </w:t>
      </w:r>
      <w:r w:rsidR="00A71697" w:rsidRPr="00744323">
        <w:rPr>
          <w:bCs/>
          <w:lang w:eastAsia="fr-FR" w:bidi="he-IL"/>
        </w:rPr>
        <w:t>I</w:t>
      </w:r>
      <w:r w:rsidR="00E65435" w:rsidRPr="00744323">
        <w:rPr>
          <w:bCs/>
          <w:lang w:eastAsia="fr-FR" w:bidi="he-IL"/>
        </w:rPr>
        <w:t xml:space="preserve">, </w:t>
      </w:r>
      <w:r w:rsidRPr="00744323">
        <w:rPr>
          <w:bCs/>
          <w:lang w:eastAsia="fr-FR" w:bidi="he-IL"/>
        </w:rPr>
        <w:t>1</w:t>
      </w:r>
      <w:r w:rsidR="00C2602D" w:rsidRPr="00744323">
        <w:rPr>
          <w:bCs/>
          <w:lang w:eastAsia="fr-FR" w:bidi="he-IL"/>
        </w:rPr>
        <w:t> :</w:t>
      </w:r>
      <w:r w:rsidRPr="00744323">
        <w:rPr>
          <w:bCs/>
          <w:lang w:eastAsia="fr-FR" w:bidi="he-IL"/>
        </w:rPr>
        <w:t xml:space="preserve"> </w:t>
      </w:r>
      <w:r w:rsidR="00C2602D" w:rsidRPr="00744323">
        <w:rPr>
          <w:bCs/>
          <w:lang w:eastAsia="fr-FR" w:bidi="he-IL"/>
        </w:rPr>
        <w:t>« </w:t>
      </w:r>
      <w:r w:rsidRPr="00744323">
        <w:rPr>
          <w:bCs/>
          <w:lang w:eastAsia="fr-FR" w:bidi="he-IL"/>
        </w:rPr>
        <w:t>Paulus...</w:t>
      </w:r>
      <w:r w:rsidR="00E65435" w:rsidRPr="00744323">
        <w:rPr>
          <w:bCs/>
          <w:lang w:eastAsia="fr-FR" w:bidi="he-IL"/>
        </w:rPr>
        <w:t xml:space="preserve">, </w:t>
      </w:r>
      <w:r w:rsidR="00E37C84" w:rsidRPr="00744323">
        <w:rPr>
          <w:bCs/>
          <w:lang w:eastAsia="fr-FR" w:bidi="he-IL"/>
        </w:rPr>
        <w:t>segregátus</w:t>
      </w:r>
      <w:r w:rsidRPr="00744323">
        <w:rPr>
          <w:bCs/>
          <w:lang w:eastAsia="fr-FR" w:bidi="he-IL"/>
        </w:rPr>
        <w:t xml:space="preserve"> in </w:t>
      </w:r>
      <w:r w:rsidR="00E37C84" w:rsidRPr="00744323">
        <w:rPr>
          <w:bCs/>
          <w:lang w:eastAsia="fr-FR" w:bidi="he-IL"/>
        </w:rPr>
        <w:t>evangélium</w:t>
      </w:r>
      <w:r w:rsidRPr="00744323">
        <w:rPr>
          <w:bCs/>
          <w:lang w:eastAsia="fr-FR" w:bidi="he-IL"/>
        </w:rPr>
        <w:t xml:space="preserve"> Dei</w:t>
      </w:r>
      <w:r w:rsidR="00C2602D" w:rsidRPr="00744323">
        <w:rPr>
          <w:bCs/>
          <w:lang w:eastAsia="fr-FR" w:bidi="he-IL"/>
        </w:rPr>
        <w:t> » </w:t>
      </w:r>
      <w:r w:rsidR="007F6508" w:rsidRPr="00744323">
        <w:rPr>
          <w:bCs/>
          <w:lang w:eastAsia="fr-FR" w:bidi="he-IL"/>
        </w:rPr>
        <w:t xml:space="preserve">; </w:t>
      </w:r>
      <w:r w:rsidR="001157C4" w:rsidRPr="00744323">
        <w:rPr>
          <w:bCs/>
          <w:lang w:eastAsia="fr-FR" w:bidi="he-IL"/>
        </w:rPr>
        <w:t>X</w:t>
      </w:r>
      <w:r w:rsidR="00E65435" w:rsidRPr="00744323">
        <w:rPr>
          <w:bCs/>
          <w:lang w:eastAsia="fr-FR" w:bidi="he-IL"/>
        </w:rPr>
        <w:t xml:space="preserve">, </w:t>
      </w:r>
      <w:r w:rsidRPr="00744323">
        <w:rPr>
          <w:bCs/>
          <w:lang w:eastAsia="fr-FR" w:bidi="he-IL"/>
        </w:rPr>
        <w:t>16</w:t>
      </w:r>
      <w:r w:rsidR="00C2602D" w:rsidRPr="00744323">
        <w:rPr>
          <w:bCs/>
          <w:lang w:eastAsia="fr-FR" w:bidi="he-IL"/>
        </w:rPr>
        <w:t> :</w:t>
      </w:r>
      <w:r w:rsidRPr="00744323">
        <w:rPr>
          <w:bCs/>
          <w:lang w:eastAsia="fr-FR" w:bidi="he-IL"/>
        </w:rPr>
        <w:t xml:space="preserve"> </w:t>
      </w:r>
      <w:r w:rsidR="00C2602D" w:rsidRPr="00744323">
        <w:rPr>
          <w:bCs/>
          <w:lang w:eastAsia="fr-FR" w:bidi="he-IL"/>
        </w:rPr>
        <w:t>« </w:t>
      </w:r>
      <w:r w:rsidRPr="00744323">
        <w:rPr>
          <w:bCs/>
          <w:lang w:eastAsia="fr-FR" w:bidi="he-IL"/>
        </w:rPr>
        <w:t xml:space="preserve">Non omnes </w:t>
      </w:r>
      <w:r w:rsidR="00E37C84" w:rsidRPr="00744323">
        <w:rPr>
          <w:bCs/>
          <w:lang w:eastAsia="fr-FR" w:bidi="he-IL"/>
        </w:rPr>
        <w:t>obédiunt</w:t>
      </w:r>
      <w:r w:rsidRPr="00744323">
        <w:rPr>
          <w:bCs/>
          <w:lang w:eastAsia="fr-FR" w:bidi="he-IL"/>
        </w:rPr>
        <w:t xml:space="preserve"> </w:t>
      </w:r>
      <w:r w:rsidR="00E37C84" w:rsidRPr="00744323">
        <w:rPr>
          <w:bCs/>
          <w:lang w:eastAsia="fr-FR" w:bidi="he-IL"/>
        </w:rPr>
        <w:lastRenderedPageBreak/>
        <w:t>evangélio</w:t>
      </w:r>
      <w:r w:rsidR="00C2602D" w:rsidRPr="00744323">
        <w:rPr>
          <w:bCs/>
          <w:lang w:eastAsia="fr-FR" w:bidi="he-IL"/>
        </w:rPr>
        <w:t> » </w:t>
      </w:r>
      <w:r w:rsidR="007F6508" w:rsidRPr="00744323">
        <w:rPr>
          <w:bCs/>
          <w:lang w:eastAsia="fr-FR" w:bidi="he-IL"/>
        </w:rPr>
        <w:t xml:space="preserve">; </w:t>
      </w:r>
      <w:r w:rsidR="00A71697" w:rsidRPr="00744323">
        <w:rPr>
          <w:bCs/>
          <w:lang w:eastAsia="fr-FR" w:bidi="he-IL"/>
        </w:rPr>
        <w:t>Gal.</w:t>
      </w:r>
      <w:r w:rsidR="00C21120" w:rsidRPr="00744323">
        <w:rPr>
          <w:bCs/>
          <w:lang w:eastAsia="fr-FR" w:bidi="he-IL"/>
        </w:rPr>
        <w:t xml:space="preserve"> </w:t>
      </w:r>
      <w:r w:rsidR="00C21120" w:rsidRPr="001B4203">
        <w:rPr>
          <w:bCs/>
          <w:lang w:eastAsia="fr-FR" w:bidi="he-IL"/>
        </w:rPr>
        <w:t xml:space="preserve">I, </w:t>
      </w:r>
      <w:r w:rsidR="00C21120" w:rsidRPr="001B4203">
        <w:rPr>
          <w:rFonts w:eastAsia="Arial Unicode MS"/>
          <w:bCs/>
          <w:lang w:eastAsia="fr-FR" w:bidi="he-IL"/>
        </w:rPr>
        <w:t>6</w:t>
      </w:r>
      <w:r w:rsidR="00C2602D" w:rsidRPr="001B4203">
        <w:rPr>
          <w:rFonts w:eastAsia="Arial Unicode MS"/>
          <w:bCs/>
          <w:lang w:eastAsia="fr-FR" w:bidi="he-IL"/>
        </w:rPr>
        <w:t> :</w:t>
      </w:r>
      <w:r w:rsidRPr="001B4203">
        <w:rPr>
          <w:rFonts w:eastAsia="Arial Unicode MS"/>
          <w:bCs/>
          <w:lang w:eastAsia="fr-FR" w:bidi="he-IL"/>
        </w:rPr>
        <w:t xml:space="preserve"> </w:t>
      </w:r>
      <w:r w:rsidR="000716BB" w:rsidRPr="001B4203">
        <w:rPr>
          <w:rFonts w:eastAsia="Arial Unicode MS"/>
          <w:bCs/>
          <w:lang w:eastAsia="fr-FR" w:bidi="he-IL"/>
        </w:rPr>
        <w:t>{</w:t>
      </w:r>
      <w:bookmarkStart w:id="2" w:name="pag002"/>
      <w:bookmarkEnd w:id="2"/>
      <w:r w:rsidR="000716BB" w:rsidRPr="001B4203">
        <w:rPr>
          <w:rFonts w:eastAsia="Arial Unicode MS"/>
          <w:bCs/>
          <w:lang w:eastAsia="fr-FR" w:bidi="he-IL"/>
        </w:rPr>
        <w:t xml:space="preserve">2} </w:t>
      </w:r>
      <w:r w:rsidR="00C2602D" w:rsidRPr="001B4203">
        <w:rPr>
          <w:rFonts w:eastAsia="Arial Unicode MS"/>
          <w:bCs/>
          <w:lang w:eastAsia="fr-FR" w:bidi="he-IL"/>
        </w:rPr>
        <w:t>« </w:t>
      </w:r>
      <w:r w:rsidRPr="001B4203">
        <w:rPr>
          <w:rFonts w:eastAsia="Arial Unicode MS"/>
          <w:bCs/>
          <w:lang w:eastAsia="fr-FR" w:bidi="he-IL"/>
        </w:rPr>
        <w:t xml:space="preserve">Miror quod sic tam cito </w:t>
      </w:r>
      <w:r w:rsidR="00E37C84" w:rsidRPr="001B4203">
        <w:rPr>
          <w:rFonts w:eastAsia="Arial Unicode MS"/>
          <w:bCs/>
          <w:lang w:eastAsia="fr-FR" w:bidi="he-IL"/>
        </w:rPr>
        <w:t>transferímini</w:t>
      </w:r>
      <w:r w:rsidRPr="001B4203">
        <w:rPr>
          <w:rFonts w:eastAsia="Arial Unicode MS"/>
          <w:bCs/>
          <w:lang w:eastAsia="fr-FR" w:bidi="he-IL"/>
        </w:rPr>
        <w:t xml:space="preserve">... in </w:t>
      </w:r>
      <w:r w:rsidR="00795B48" w:rsidRPr="001B4203">
        <w:rPr>
          <w:rFonts w:eastAsia="Arial Unicode MS"/>
          <w:bCs/>
          <w:lang w:eastAsia="fr-FR" w:bidi="he-IL"/>
        </w:rPr>
        <w:t>áliud</w:t>
      </w:r>
      <w:r w:rsidRPr="001B4203">
        <w:rPr>
          <w:rFonts w:eastAsia="Arial Unicode MS"/>
          <w:bCs/>
          <w:lang w:eastAsia="fr-FR" w:bidi="he-IL"/>
        </w:rPr>
        <w:t xml:space="preserve"> </w:t>
      </w:r>
      <w:r w:rsidR="00E37C84" w:rsidRPr="001B4203">
        <w:rPr>
          <w:rFonts w:eastAsia="Arial Unicode MS"/>
          <w:bCs/>
          <w:lang w:eastAsia="fr-FR" w:bidi="he-IL"/>
        </w:rPr>
        <w:t>evangélium</w:t>
      </w:r>
      <w:r w:rsidR="00A71697" w:rsidRPr="001B4203">
        <w:rPr>
          <w:rFonts w:eastAsia="Arial Unicode MS"/>
          <w:bCs/>
          <w:lang w:eastAsia="fr-FR" w:bidi="he-IL"/>
        </w:rPr>
        <w:t> »</w:t>
      </w:r>
      <w:r w:rsidR="00C2602D" w:rsidRPr="001B4203">
        <w:rPr>
          <w:rFonts w:eastAsia="Arial Unicode MS"/>
          <w:bCs/>
          <w:lang w:eastAsia="fr-FR" w:bidi="he-IL"/>
        </w:rPr>
        <w:t> </w:t>
      </w:r>
      <w:r w:rsidR="007F6508" w:rsidRPr="001B4203">
        <w:rPr>
          <w:rFonts w:eastAsia="Arial Unicode MS"/>
          <w:bCs/>
          <w:lang w:eastAsia="fr-FR" w:bidi="he-IL"/>
        </w:rPr>
        <w:t xml:space="preserve">; </w:t>
      </w:r>
      <w:r w:rsidRPr="001B4203">
        <w:rPr>
          <w:rFonts w:eastAsia="Arial Unicode MS"/>
          <w:bCs/>
          <w:lang w:eastAsia="fr-FR" w:bidi="he-IL"/>
        </w:rPr>
        <w:t xml:space="preserve">I Tim. </w:t>
      </w:r>
      <w:r w:rsidR="00A71697" w:rsidRPr="00C8701B">
        <w:rPr>
          <w:rFonts w:eastAsia="Arial Unicode MS"/>
          <w:bCs/>
          <w:lang w:eastAsia="fr-FR" w:bidi="he-IL"/>
        </w:rPr>
        <w:t>I</w:t>
      </w:r>
      <w:r w:rsidR="00E65435">
        <w:rPr>
          <w:rFonts w:eastAsia="Arial Unicode MS"/>
          <w:bCs/>
          <w:lang w:eastAsia="fr-FR" w:bidi="he-IL"/>
        </w:rPr>
        <w:t xml:space="preserve">, </w:t>
      </w:r>
      <w:r w:rsidRPr="00C8701B">
        <w:rPr>
          <w:rFonts w:eastAsia="Arial Unicode MS"/>
          <w:bCs/>
          <w:lang w:eastAsia="fr-FR" w:bidi="he-IL"/>
        </w:rPr>
        <w:t>11</w:t>
      </w:r>
      <w:r w:rsidR="00C2602D" w:rsidRPr="00C8701B">
        <w:rPr>
          <w:rFonts w:eastAsia="Arial Unicode MS"/>
          <w:bCs/>
          <w:lang w:eastAsia="fr-FR" w:bidi="he-IL"/>
        </w:rPr>
        <w:t> :</w:t>
      </w:r>
      <w:r w:rsidRPr="00C8701B">
        <w:rPr>
          <w:rFonts w:eastAsia="Arial Unicode MS"/>
          <w:bCs/>
          <w:lang w:eastAsia="fr-FR" w:bidi="he-IL"/>
        </w:rPr>
        <w:t xml:space="preserve"> </w:t>
      </w:r>
      <w:r w:rsidR="00C2602D" w:rsidRPr="00C8701B">
        <w:rPr>
          <w:rFonts w:eastAsia="Arial Unicode MS"/>
          <w:bCs/>
          <w:lang w:eastAsia="fr-FR" w:bidi="he-IL"/>
        </w:rPr>
        <w:t>« </w:t>
      </w:r>
      <w:r w:rsidR="00E37C84" w:rsidRPr="00C8701B">
        <w:rPr>
          <w:rFonts w:eastAsia="Arial Unicode MS"/>
          <w:bCs/>
          <w:lang w:eastAsia="fr-FR" w:bidi="he-IL"/>
        </w:rPr>
        <w:t>Evangélium</w:t>
      </w:r>
      <w:r w:rsidR="00A71697" w:rsidRPr="00C8701B">
        <w:rPr>
          <w:rFonts w:eastAsia="Arial Unicode MS"/>
          <w:bCs/>
          <w:lang w:eastAsia="fr-FR" w:bidi="he-IL"/>
        </w:rPr>
        <w:t xml:space="preserve"> </w:t>
      </w:r>
      <w:r w:rsidR="00E37C84" w:rsidRPr="00C8701B">
        <w:rPr>
          <w:rFonts w:eastAsia="Arial Unicode MS"/>
          <w:bCs/>
          <w:lang w:eastAsia="fr-FR" w:bidi="he-IL"/>
        </w:rPr>
        <w:t>glóri</w:t>
      </w:r>
      <w:r w:rsidR="00E37C84">
        <w:rPr>
          <w:rFonts w:eastAsia="Arial Unicode MS"/>
          <w:bCs/>
          <w:lang w:eastAsia="fr-FR" w:bidi="he-IL"/>
        </w:rPr>
        <w:t>æ</w:t>
      </w:r>
      <w:r w:rsidRPr="00C8701B">
        <w:rPr>
          <w:rFonts w:eastAsia="Arial Unicode MS"/>
          <w:bCs/>
          <w:lang w:eastAsia="fr-FR" w:bidi="he-IL"/>
        </w:rPr>
        <w:t xml:space="preserve"> </w:t>
      </w:r>
      <w:r w:rsidR="00E37C84" w:rsidRPr="00C8701B">
        <w:rPr>
          <w:rFonts w:eastAsia="Arial Unicode MS"/>
          <w:bCs/>
          <w:lang w:eastAsia="fr-FR" w:bidi="he-IL"/>
        </w:rPr>
        <w:t>beáti</w:t>
      </w:r>
      <w:r w:rsidRPr="00C8701B">
        <w:rPr>
          <w:rFonts w:eastAsia="Arial Unicode MS"/>
          <w:bCs/>
          <w:lang w:eastAsia="fr-FR" w:bidi="he-IL"/>
        </w:rPr>
        <w:t xml:space="preserve"> Dei</w:t>
      </w:r>
      <w:r w:rsidR="00E65435">
        <w:rPr>
          <w:rFonts w:eastAsia="Arial Unicode MS"/>
          <w:bCs/>
          <w:lang w:eastAsia="fr-FR" w:bidi="he-IL"/>
        </w:rPr>
        <w:t xml:space="preserve">, </w:t>
      </w:r>
      <w:r w:rsidRPr="00C8701B">
        <w:rPr>
          <w:rFonts w:eastAsia="Arial Unicode MS"/>
          <w:bCs/>
          <w:lang w:eastAsia="fr-FR" w:bidi="he-IL"/>
        </w:rPr>
        <w:t xml:space="preserve">quod </w:t>
      </w:r>
      <w:r w:rsidR="00E37C84" w:rsidRPr="00C8701B">
        <w:rPr>
          <w:rFonts w:eastAsia="Arial Unicode MS"/>
          <w:bCs/>
          <w:lang w:eastAsia="fr-FR" w:bidi="he-IL"/>
        </w:rPr>
        <w:t>créditum</w:t>
      </w:r>
      <w:r w:rsidRPr="00C8701B">
        <w:rPr>
          <w:rFonts w:eastAsia="Arial Unicode MS"/>
          <w:bCs/>
          <w:lang w:eastAsia="fr-FR" w:bidi="he-IL"/>
        </w:rPr>
        <w:t xml:space="preserve"> est mihi</w:t>
      </w:r>
      <w:r w:rsidR="00C2602D" w:rsidRPr="00C8701B">
        <w:rPr>
          <w:rFonts w:eastAsia="Arial Unicode MS"/>
          <w:bCs/>
          <w:lang w:eastAsia="fr-FR" w:bidi="he-IL"/>
        </w:rPr>
        <w:t> »</w:t>
      </w:r>
      <w:r w:rsidRPr="00C8701B">
        <w:rPr>
          <w:rFonts w:eastAsia="Arial Unicode MS"/>
          <w:bCs/>
          <w:lang w:eastAsia="fr-FR" w:bidi="he-IL"/>
        </w:rPr>
        <w:t>. Etc.</w:t>
      </w:r>
      <w:r w:rsidR="00E37C84">
        <w:rPr>
          <w:rFonts w:eastAsia="Arial Unicode MS"/>
          <w:bCs/>
          <w:lang w:eastAsia="fr-FR" w:bidi="he-IL"/>
        </w:rPr>
        <w:t> </w:t>
      </w:r>
      <w:r w:rsidR="00A71697" w:rsidRPr="00C406FF">
        <w:rPr>
          <w:rStyle w:val="Appelnotedebasdep"/>
        </w:rPr>
        <w:footnoteReference w:id="5"/>
      </w:r>
      <w:r w:rsidRPr="00C8701B">
        <w:rPr>
          <w:rFonts w:eastAsia="Arial Unicode MS"/>
          <w:bCs/>
          <w:lang w:eastAsia="fr-FR" w:bidi="he-IL"/>
        </w:rPr>
        <w:t xml:space="preserve"> </w:t>
      </w:r>
    </w:p>
    <w:p w:rsidR="00E37C84" w:rsidRDefault="00B704AD" w:rsidP="00C2602D">
      <w:pPr>
        <w:rPr>
          <w:rFonts w:eastAsia="Arial Unicode MS"/>
          <w:bCs/>
          <w:lang w:eastAsia="fr-FR" w:bidi="he-IL"/>
        </w:rPr>
      </w:pPr>
      <w:r w:rsidRPr="00C8701B">
        <w:rPr>
          <w:rFonts w:eastAsia="Arial Unicode MS"/>
          <w:bCs/>
          <w:lang w:eastAsia="fr-FR" w:bidi="he-IL"/>
        </w:rPr>
        <w:t>Pris dans ce sens</w:t>
      </w:r>
      <w:r w:rsidR="00E65435">
        <w:rPr>
          <w:rFonts w:eastAsia="Arial Unicode MS"/>
          <w:bCs/>
          <w:lang w:eastAsia="fr-FR" w:bidi="he-IL"/>
        </w:rPr>
        <w:t xml:space="preserve">, </w:t>
      </w:r>
      <w:r w:rsidRPr="00C8701B">
        <w:rPr>
          <w:rFonts w:eastAsia="Arial Unicode MS"/>
          <w:bCs/>
          <w:lang w:eastAsia="fr-FR" w:bidi="he-IL"/>
        </w:rPr>
        <w:t xml:space="preserve">le substantif </w:t>
      </w:r>
      <w:r w:rsidR="00F12048" w:rsidRPr="00C8701B">
        <w:rPr>
          <w:rFonts w:eastAsia="Arial Unicode MS"/>
          <w:bCs/>
          <w:lang w:eastAsia="fr-FR" w:bidi="he-IL"/>
        </w:rPr>
        <w:t>Évangile</w:t>
      </w:r>
      <w:r w:rsidRPr="00C8701B">
        <w:rPr>
          <w:rFonts w:eastAsia="Arial Unicode MS"/>
          <w:bCs/>
          <w:lang w:eastAsia="fr-FR" w:bidi="he-IL"/>
        </w:rPr>
        <w:t xml:space="preserve"> a sa source jusque dans l</w:t>
      </w:r>
      <w:r w:rsidR="00557DE0">
        <w:rPr>
          <w:rFonts w:eastAsia="Arial Unicode MS"/>
          <w:bCs/>
          <w:lang w:eastAsia="fr-FR" w:bidi="he-IL"/>
        </w:rPr>
        <w:t>’</w:t>
      </w:r>
      <w:r w:rsidR="00F12048" w:rsidRPr="00C8701B">
        <w:rPr>
          <w:rFonts w:eastAsia="Arial Unicode MS"/>
          <w:bCs/>
          <w:lang w:eastAsia="fr-FR" w:bidi="he-IL"/>
        </w:rPr>
        <w:t>An</w:t>
      </w:r>
      <w:r w:rsidRPr="00C8701B">
        <w:rPr>
          <w:rFonts w:eastAsia="Arial Unicode MS"/>
          <w:bCs/>
          <w:lang w:eastAsia="fr-FR" w:bidi="he-IL"/>
        </w:rPr>
        <w:t>cien Testament</w:t>
      </w:r>
      <w:r w:rsidR="00E65435">
        <w:rPr>
          <w:rFonts w:eastAsia="Arial Unicode MS"/>
          <w:bCs/>
          <w:lang w:eastAsia="fr-FR" w:bidi="he-IL"/>
        </w:rPr>
        <w:t xml:space="preserve">, </w:t>
      </w:r>
      <w:r w:rsidRPr="00C8701B">
        <w:rPr>
          <w:rFonts w:eastAsia="Arial Unicode MS"/>
          <w:bCs/>
          <w:lang w:eastAsia="fr-FR" w:bidi="he-IL"/>
        </w:rPr>
        <w:t>comme l</w:t>
      </w:r>
      <w:r w:rsidR="00557DE0">
        <w:rPr>
          <w:rFonts w:eastAsia="Arial Unicode MS"/>
          <w:bCs/>
          <w:lang w:eastAsia="fr-FR" w:bidi="he-IL"/>
        </w:rPr>
        <w:t>’</w:t>
      </w:r>
      <w:r w:rsidR="00F12048" w:rsidRPr="00C8701B">
        <w:rPr>
          <w:rFonts w:eastAsia="Arial Unicode MS"/>
          <w:bCs/>
          <w:lang w:eastAsia="fr-FR" w:bidi="he-IL"/>
        </w:rPr>
        <w:t>idée même de</w:t>
      </w:r>
      <w:r w:rsidRPr="00C8701B">
        <w:rPr>
          <w:rFonts w:eastAsia="Arial Unicode MS"/>
          <w:bCs/>
          <w:lang w:eastAsia="fr-FR" w:bidi="he-IL"/>
        </w:rPr>
        <w:t xml:space="preserve"> la rédemption messianique. Il équivaut alors à l</w:t>
      </w:r>
      <w:r w:rsidR="00557DE0">
        <w:rPr>
          <w:rFonts w:eastAsia="Arial Unicode MS"/>
          <w:bCs/>
          <w:lang w:eastAsia="fr-FR" w:bidi="he-IL"/>
        </w:rPr>
        <w:t>’</w:t>
      </w:r>
      <w:r w:rsidRPr="00C8701B">
        <w:rPr>
          <w:rFonts w:eastAsia="Arial Unicode MS"/>
          <w:bCs/>
          <w:lang w:eastAsia="fr-FR" w:bidi="he-IL"/>
        </w:rPr>
        <w:t xml:space="preserve">hébreu </w:t>
      </w:r>
      <w:r w:rsidRPr="00C8701B">
        <w:rPr>
          <w:rFonts w:eastAsia="Arial Unicode MS"/>
          <w:bCs/>
          <w:rtl/>
          <w:lang w:eastAsia="fr-FR" w:bidi="he-IL"/>
        </w:rPr>
        <w:t>בשרה</w:t>
      </w:r>
      <w:r w:rsidRPr="00C8701B">
        <w:rPr>
          <w:rFonts w:eastAsia="Arial Unicode MS"/>
          <w:bCs/>
          <w:lang w:eastAsia="fr-FR" w:bidi="he-IL"/>
        </w:rPr>
        <w:t xml:space="preserve"> (</w:t>
      </w:r>
      <w:r w:rsidR="00E37C84">
        <w:rPr>
          <w:rStyle w:val="italicus"/>
        </w:rPr>
        <w:t>bᵉçô</w:t>
      </w:r>
      <w:r w:rsidRPr="00DC4586">
        <w:rPr>
          <w:rStyle w:val="italicus"/>
        </w:rPr>
        <w:t>rah</w:t>
      </w:r>
      <w:r w:rsidRPr="00C8701B">
        <w:rPr>
          <w:rFonts w:eastAsia="Arial Unicode MS"/>
          <w:bCs/>
          <w:iCs/>
          <w:lang w:eastAsia="fr-FR" w:bidi="he-IL"/>
        </w:rPr>
        <w:t>)</w:t>
      </w:r>
      <w:r w:rsidR="00E65435">
        <w:rPr>
          <w:rStyle w:val="italicus"/>
        </w:rPr>
        <w:t xml:space="preserve">, </w:t>
      </w:r>
      <w:r w:rsidRPr="00C8701B">
        <w:rPr>
          <w:rFonts w:eastAsia="Arial Unicode MS"/>
          <w:bCs/>
          <w:lang w:eastAsia="fr-FR" w:bidi="he-IL"/>
        </w:rPr>
        <w:t xml:space="preserve">nom dérivé du verbe </w:t>
      </w:r>
      <w:r w:rsidRPr="00C8701B">
        <w:rPr>
          <w:rFonts w:eastAsia="Arial Unicode MS"/>
          <w:bCs/>
          <w:rtl/>
          <w:lang w:eastAsia="fr-FR" w:bidi="he-IL"/>
        </w:rPr>
        <w:t>בשר</w:t>
      </w:r>
      <w:r w:rsidRPr="00DC4586">
        <w:rPr>
          <w:rStyle w:val="italicus"/>
        </w:rPr>
        <w:t xml:space="preserve"> </w:t>
      </w:r>
      <w:r w:rsidRPr="00C8701B">
        <w:rPr>
          <w:rFonts w:eastAsia="Arial Unicode MS"/>
          <w:bCs/>
          <w:iCs/>
          <w:lang w:eastAsia="fr-FR" w:bidi="he-IL"/>
        </w:rPr>
        <w:t>(</w:t>
      </w:r>
      <w:r w:rsidR="00F12048" w:rsidRPr="00DC4586">
        <w:rPr>
          <w:rStyle w:val="italicus"/>
        </w:rPr>
        <w:t>bâ</w:t>
      </w:r>
      <w:r w:rsidRPr="00DC4586">
        <w:rPr>
          <w:rStyle w:val="italicus"/>
        </w:rPr>
        <w:t>çar</w:t>
      </w:r>
      <w:r w:rsidRPr="00C8701B">
        <w:rPr>
          <w:rFonts w:eastAsia="Arial Unicode MS"/>
          <w:bCs/>
          <w:iCs/>
          <w:lang w:eastAsia="fr-FR" w:bidi="he-IL"/>
        </w:rPr>
        <w:t>)</w:t>
      </w:r>
      <w:r w:rsidR="00401D7F" w:rsidRPr="00C406FF">
        <w:rPr>
          <w:rStyle w:val="Appelnotedebasdep"/>
        </w:rPr>
        <w:footnoteReference w:id="6"/>
      </w:r>
      <w:r w:rsidR="00E65435">
        <w:rPr>
          <w:rFonts w:eastAsia="Arial Unicode MS"/>
          <w:bCs/>
          <w:lang w:eastAsia="fr-FR" w:bidi="he-IL"/>
        </w:rPr>
        <w:t xml:space="preserve">, </w:t>
      </w:r>
      <w:r w:rsidRPr="00C8701B">
        <w:rPr>
          <w:rFonts w:eastAsia="Arial Unicode MS"/>
          <w:bCs/>
          <w:lang w:eastAsia="fr-FR" w:bidi="he-IL"/>
        </w:rPr>
        <w:t>lequel</w:t>
      </w:r>
      <w:r w:rsidR="00E65435">
        <w:rPr>
          <w:rFonts w:eastAsia="Arial Unicode MS"/>
          <w:bCs/>
          <w:lang w:eastAsia="fr-FR" w:bidi="he-IL"/>
        </w:rPr>
        <w:t xml:space="preserve">, </w:t>
      </w:r>
      <w:r w:rsidRPr="00C8701B">
        <w:rPr>
          <w:rFonts w:eastAsia="Arial Unicode MS"/>
          <w:bCs/>
          <w:lang w:eastAsia="fr-FR" w:bidi="he-IL"/>
        </w:rPr>
        <w:t>à la forme</w:t>
      </w:r>
      <w:r w:rsidR="00F12048" w:rsidRPr="00C8701B">
        <w:rPr>
          <w:rFonts w:eastAsia="Arial Unicode MS"/>
          <w:bCs/>
          <w:lang w:eastAsia="fr-FR" w:bidi="he-IL"/>
        </w:rPr>
        <w:t xml:space="preserve"> </w:t>
      </w:r>
      <w:r w:rsidRPr="00DC4586">
        <w:rPr>
          <w:rStyle w:val="italicus"/>
        </w:rPr>
        <w:t>piel</w:t>
      </w:r>
      <w:r w:rsidR="00E65435">
        <w:rPr>
          <w:rStyle w:val="italicus"/>
        </w:rPr>
        <w:t xml:space="preserve">, </w:t>
      </w:r>
      <w:r w:rsidR="00F12048" w:rsidRPr="00C8701B">
        <w:rPr>
          <w:rFonts w:eastAsia="Arial Unicode MS"/>
          <w:bCs/>
          <w:lang w:eastAsia="fr-FR" w:bidi="he-IL"/>
        </w:rPr>
        <w:t>signifie précisément</w:t>
      </w:r>
      <w:r w:rsidR="00E65435">
        <w:rPr>
          <w:rFonts w:eastAsia="Arial Unicode MS"/>
          <w:bCs/>
          <w:lang w:eastAsia="fr-FR" w:bidi="he-IL"/>
        </w:rPr>
        <w:t xml:space="preserve">, </w:t>
      </w:r>
      <w:r w:rsidR="00F12048" w:rsidRPr="00C8701B">
        <w:rPr>
          <w:rFonts w:eastAsia="Arial Unicode MS"/>
          <w:bCs/>
          <w:lang w:eastAsia="fr-FR" w:bidi="he-IL"/>
        </w:rPr>
        <w:t xml:space="preserve">dans </w:t>
      </w:r>
      <w:r w:rsidRPr="00C8701B">
        <w:rPr>
          <w:rFonts w:eastAsia="Arial Unicode MS"/>
          <w:bCs/>
          <w:lang w:eastAsia="fr-FR" w:bidi="he-IL"/>
        </w:rPr>
        <w:t>plusieurs passages d</w:t>
      </w:r>
      <w:r w:rsidR="00557DE0">
        <w:rPr>
          <w:rFonts w:eastAsia="Arial Unicode MS"/>
          <w:bCs/>
          <w:lang w:eastAsia="fr-FR" w:bidi="he-IL"/>
        </w:rPr>
        <w:t>’</w:t>
      </w:r>
      <w:r w:rsidR="00F12048" w:rsidRPr="00C8701B">
        <w:rPr>
          <w:rFonts w:eastAsia="Arial Unicode MS"/>
          <w:bCs/>
          <w:lang w:eastAsia="fr-FR" w:bidi="he-IL"/>
        </w:rPr>
        <w:t>Isaïe</w:t>
      </w:r>
      <w:r w:rsidR="00E65435">
        <w:rPr>
          <w:rFonts w:eastAsia="Arial Unicode MS"/>
          <w:bCs/>
          <w:lang w:eastAsia="fr-FR" w:bidi="he-IL"/>
        </w:rPr>
        <w:t xml:space="preserve">, </w:t>
      </w:r>
      <w:r w:rsidR="00F12048" w:rsidRPr="00C8701B">
        <w:rPr>
          <w:rFonts w:eastAsia="Arial Unicode MS"/>
          <w:bCs/>
          <w:lang w:eastAsia="fr-FR" w:bidi="he-IL"/>
        </w:rPr>
        <w:t>« </w:t>
      </w:r>
      <w:r w:rsidRPr="00C8701B">
        <w:rPr>
          <w:rFonts w:eastAsia="Arial Unicode MS"/>
          <w:bCs/>
          <w:lang w:eastAsia="fr-FR" w:bidi="he-IL"/>
        </w:rPr>
        <w:t>annoncer la bonne nouvelle du salut</w:t>
      </w:r>
      <w:r w:rsidR="00F12048" w:rsidRPr="00C8701B">
        <w:rPr>
          <w:rFonts w:eastAsia="Arial Unicode MS"/>
          <w:bCs/>
          <w:lang w:eastAsia="fr-FR" w:bidi="he-IL"/>
        </w:rPr>
        <w:t> »</w:t>
      </w:r>
      <w:r w:rsidRPr="00C8701B">
        <w:rPr>
          <w:rFonts w:eastAsia="Arial Unicode MS"/>
          <w:bCs/>
          <w:lang w:eastAsia="fr-FR" w:bidi="he-IL"/>
        </w:rPr>
        <w:t xml:space="preserve">. Comp. Is. </w:t>
      </w:r>
      <w:r w:rsidR="00F12048" w:rsidRPr="00C8701B">
        <w:rPr>
          <w:rFonts w:eastAsia="Arial Unicode MS"/>
          <w:bCs/>
          <w:lang w:eastAsia="fr-FR" w:bidi="he-IL"/>
        </w:rPr>
        <w:t>XL</w:t>
      </w:r>
      <w:r w:rsidR="00E65435">
        <w:rPr>
          <w:rFonts w:eastAsia="Arial Unicode MS"/>
          <w:bCs/>
          <w:lang w:eastAsia="fr-FR" w:bidi="he-IL"/>
        </w:rPr>
        <w:t xml:space="preserve">, </w:t>
      </w:r>
      <w:r w:rsidRPr="00C8701B">
        <w:rPr>
          <w:rFonts w:eastAsia="Arial Unicode MS"/>
          <w:bCs/>
          <w:lang w:eastAsia="fr-FR" w:bidi="he-IL"/>
        </w:rPr>
        <w:t>9</w:t>
      </w:r>
      <w:r w:rsidR="00C2602D" w:rsidRPr="00C8701B">
        <w:rPr>
          <w:rFonts w:eastAsia="Arial Unicode MS"/>
          <w:bCs/>
          <w:lang w:eastAsia="fr-FR" w:bidi="he-IL"/>
        </w:rPr>
        <w:t> :</w:t>
      </w:r>
      <w:r w:rsidRPr="00C8701B">
        <w:rPr>
          <w:rFonts w:eastAsia="Arial Unicode MS"/>
          <w:bCs/>
          <w:lang w:eastAsia="fr-FR" w:bidi="he-IL"/>
        </w:rPr>
        <w:t xml:space="preserve"> </w:t>
      </w:r>
      <w:r w:rsidR="00C2602D" w:rsidRPr="00C8701B">
        <w:rPr>
          <w:rFonts w:eastAsia="Arial Unicode MS"/>
          <w:bCs/>
          <w:lang w:eastAsia="fr-FR" w:bidi="he-IL"/>
        </w:rPr>
        <w:t>« </w:t>
      </w:r>
      <w:r w:rsidRPr="00C8701B">
        <w:rPr>
          <w:rFonts w:eastAsia="Arial Unicode MS"/>
          <w:bCs/>
          <w:lang w:eastAsia="fr-FR" w:bidi="he-IL"/>
        </w:rPr>
        <w:t xml:space="preserve">Super montem </w:t>
      </w:r>
      <w:r w:rsidR="00E37C84" w:rsidRPr="00C8701B">
        <w:rPr>
          <w:rFonts w:eastAsia="Arial Unicode MS"/>
          <w:bCs/>
          <w:lang w:eastAsia="fr-FR" w:bidi="he-IL"/>
        </w:rPr>
        <w:t>excélsum</w:t>
      </w:r>
      <w:r w:rsidRPr="00C8701B">
        <w:rPr>
          <w:rFonts w:eastAsia="Arial Unicode MS"/>
          <w:bCs/>
          <w:lang w:eastAsia="fr-FR" w:bidi="he-IL"/>
        </w:rPr>
        <w:t xml:space="preserve"> </w:t>
      </w:r>
      <w:r w:rsidR="00E37C84" w:rsidRPr="00C8701B">
        <w:rPr>
          <w:rFonts w:eastAsia="Arial Unicode MS"/>
          <w:bCs/>
          <w:lang w:eastAsia="fr-FR" w:bidi="he-IL"/>
        </w:rPr>
        <w:t>ascénde</w:t>
      </w:r>
      <w:r w:rsidR="00E65435">
        <w:rPr>
          <w:rFonts w:eastAsia="Arial Unicode MS"/>
          <w:bCs/>
          <w:lang w:eastAsia="fr-FR" w:bidi="he-IL"/>
        </w:rPr>
        <w:t xml:space="preserve">, </w:t>
      </w:r>
      <w:r w:rsidRPr="00C8701B">
        <w:rPr>
          <w:rFonts w:eastAsia="Arial Unicode MS"/>
          <w:bCs/>
          <w:lang w:eastAsia="fr-FR" w:bidi="he-IL"/>
        </w:rPr>
        <w:t>tu qui</w:t>
      </w:r>
      <w:r w:rsidRPr="00DC4586">
        <w:rPr>
          <w:rStyle w:val="italicus"/>
        </w:rPr>
        <w:t xml:space="preserve"> </w:t>
      </w:r>
      <w:r w:rsidR="00E37C84" w:rsidRPr="00DC4586">
        <w:rPr>
          <w:rStyle w:val="italicus"/>
        </w:rPr>
        <w:t>evangelízas</w:t>
      </w:r>
      <w:r w:rsidRPr="00C8701B">
        <w:rPr>
          <w:rFonts w:eastAsia="Arial Unicode MS"/>
          <w:bCs/>
          <w:lang w:eastAsia="fr-FR" w:bidi="he-IL"/>
        </w:rPr>
        <w:t xml:space="preserve"> Sion</w:t>
      </w:r>
      <w:r w:rsidR="00F12048" w:rsidRPr="00C8701B">
        <w:rPr>
          <w:rFonts w:eastAsia="Arial Unicode MS"/>
          <w:bCs/>
          <w:lang w:eastAsia="fr-FR" w:bidi="he-IL"/>
        </w:rPr>
        <w:t> </w:t>
      </w:r>
      <w:r w:rsidR="007F6508">
        <w:rPr>
          <w:rFonts w:eastAsia="Arial Unicode MS"/>
          <w:bCs/>
          <w:lang w:eastAsia="fr-FR" w:bidi="he-IL"/>
        </w:rPr>
        <w:t xml:space="preserve">; </w:t>
      </w:r>
      <w:r w:rsidR="00E37C84">
        <w:rPr>
          <w:rFonts w:eastAsia="Arial Unicode MS"/>
          <w:bCs/>
          <w:lang w:eastAsia="fr-FR" w:bidi="he-IL"/>
        </w:rPr>
        <w:t>exá</w:t>
      </w:r>
      <w:r w:rsidR="00F12048" w:rsidRPr="00C8701B">
        <w:rPr>
          <w:rFonts w:eastAsia="Arial Unicode MS"/>
          <w:bCs/>
          <w:lang w:eastAsia="fr-FR" w:bidi="he-IL"/>
        </w:rPr>
        <w:t xml:space="preserve">lta in </w:t>
      </w:r>
      <w:r w:rsidR="00E37C84" w:rsidRPr="00C8701B">
        <w:rPr>
          <w:rFonts w:eastAsia="Arial Unicode MS"/>
          <w:bCs/>
          <w:lang w:eastAsia="fr-FR" w:bidi="he-IL"/>
        </w:rPr>
        <w:t>fortitúdine</w:t>
      </w:r>
      <w:r w:rsidRPr="00C8701B">
        <w:rPr>
          <w:rFonts w:eastAsia="Arial Unicode MS"/>
          <w:bCs/>
          <w:lang w:eastAsia="fr-FR" w:bidi="he-IL"/>
        </w:rPr>
        <w:t xml:space="preserve"> vocem tuam</w:t>
      </w:r>
      <w:r w:rsidR="00E65435">
        <w:rPr>
          <w:rFonts w:eastAsia="Arial Unicode MS"/>
          <w:bCs/>
          <w:lang w:eastAsia="fr-FR" w:bidi="he-IL"/>
        </w:rPr>
        <w:t xml:space="preserve">, </w:t>
      </w:r>
      <w:r w:rsidRPr="00C8701B">
        <w:rPr>
          <w:rFonts w:eastAsia="Arial Unicode MS"/>
          <w:bCs/>
          <w:lang w:eastAsia="fr-FR" w:bidi="he-IL"/>
        </w:rPr>
        <w:t>qui</w:t>
      </w:r>
      <w:r w:rsidRPr="00DC4586">
        <w:rPr>
          <w:rStyle w:val="italicus"/>
        </w:rPr>
        <w:t xml:space="preserve"> </w:t>
      </w:r>
      <w:r w:rsidR="00E37C84" w:rsidRPr="00DC4586">
        <w:rPr>
          <w:rStyle w:val="italicus"/>
        </w:rPr>
        <w:t>evangelízas</w:t>
      </w:r>
      <w:r w:rsidR="00F12048" w:rsidRPr="00C8701B">
        <w:rPr>
          <w:rFonts w:eastAsia="Arial Unicode MS"/>
          <w:bCs/>
          <w:lang w:eastAsia="fr-FR" w:bidi="he-IL"/>
        </w:rPr>
        <w:t xml:space="preserve"> </w:t>
      </w:r>
      <w:r w:rsidR="00E37C84" w:rsidRPr="00C8701B">
        <w:rPr>
          <w:rFonts w:eastAsia="Arial Unicode MS"/>
          <w:bCs/>
          <w:lang w:eastAsia="fr-FR" w:bidi="he-IL"/>
        </w:rPr>
        <w:t>Jerusalém</w:t>
      </w:r>
      <w:r w:rsidR="00F12048" w:rsidRPr="00C8701B">
        <w:rPr>
          <w:rFonts w:eastAsia="Arial Unicode MS"/>
          <w:bCs/>
          <w:lang w:eastAsia="fr-FR" w:bidi="he-IL"/>
        </w:rPr>
        <w:t>... Dic</w:t>
      </w:r>
      <w:r w:rsidRPr="00C8701B">
        <w:rPr>
          <w:rFonts w:eastAsia="Arial Unicode MS"/>
          <w:bCs/>
          <w:lang w:eastAsia="fr-FR" w:bidi="he-IL"/>
        </w:rPr>
        <w:t xml:space="preserve"> </w:t>
      </w:r>
      <w:r w:rsidR="00E37C84" w:rsidRPr="00C8701B">
        <w:rPr>
          <w:rFonts w:eastAsia="Arial Unicode MS"/>
          <w:bCs/>
          <w:lang w:eastAsia="fr-FR" w:bidi="he-IL"/>
        </w:rPr>
        <w:t>civitátibus</w:t>
      </w:r>
      <w:r w:rsidRPr="00C8701B">
        <w:rPr>
          <w:rFonts w:eastAsia="Arial Unicode MS"/>
          <w:bCs/>
          <w:lang w:eastAsia="fr-FR" w:bidi="he-IL"/>
        </w:rPr>
        <w:t xml:space="preserve"> Juda</w:t>
      </w:r>
      <w:r w:rsidR="00C2602D" w:rsidRPr="00C8701B">
        <w:rPr>
          <w:rFonts w:eastAsia="Arial Unicode MS"/>
          <w:bCs/>
          <w:lang w:eastAsia="fr-FR" w:bidi="he-IL"/>
        </w:rPr>
        <w:t> :</w:t>
      </w:r>
      <w:r w:rsidRPr="00C8701B">
        <w:rPr>
          <w:rFonts w:eastAsia="Arial Unicode MS"/>
          <w:bCs/>
          <w:lang w:eastAsia="fr-FR" w:bidi="he-IL"/>
        </w:rPr>
        <w:t xml:space="preserve"> Ecce Deus vester</w:t>
      </w:r>
      <w:r w:rsidR="00C2602D" w:rsidRPr="00C8701B">
        <w:rPr>
          <w:rFonts w:eastAsia="Arial Unicode MS"/>
          <w:bCs/>
          <w:lang w:eastAsia="fr-FR" w:bidi="he-IL"/>
        </w:rPr>
        <w:t> »</w:t>
      </w:r>
      <w:r w:rsidRPr="00C8701B">
        <w:rPr>
          <w:rFonts w:eastAsia="Arial Unicode MS"/>
          <w:bCs/>
          <w:lang w:eastAsia="fr-FR" w:bidi="he-IL"/>
        </w:rPr>
        <w:t xml:space="preserve">. </w:t>
      </w:r>
      <w:r w:rsidR="00F12048" w:rsidRPr="00C8701B">
        <w:rPr>
          <w:rFonts w:eastAsia="Arial Unicode MS"/>
          <w:bCs/>
          <w:lang w:eastAsia="fr-FR" w:bidi="he-IL"/>
        </w:rPr>
        <w:t>LII</w:t>
      </w:r>
      <w:r w:rsidR="00E65435">
        <w:rPr>
          <w:rFonts w:eastAsia="Arial Unicode MS"/>
          <w:bCs/>
          <w:lang w:eastAsia="fr-FR" w:bidi="he-IL"/>
        </w:rPr>
        <w:t xml:space="preserve">, </w:t>
      </w:r>
      <w:r w:rsidRPr="00C8701B">
        <w:rPr>
          <w:rFonts w:eastAsia="Arial Unicode MS"/>
          <w:bCs/>
          <w:lang w:eastAsia="fr-FR" w:bidi="he-IL"/>
        </w:rPr>
        <w:t>7</w:t>
      </w:r>
      <w:r w:rsidR="00C2602D" w:rsidRPr="00C8701B">
        <w:rPr>
          <w:rFonts w:eastAsia="Arial Unicode MS"/>
          <w:bCs/>
          <w:lang w:eastAsia="fr-FR" w:bidi="he-IL"/>
        </w:rPr>
        <w:t> :</w:t>
      </w:r>
      <w:r w:rsidRPr="00C8701B">
        <w:rPr>
          <w:rFonts w:eastAsia="Arial Unicode MS"/>
          <w:bCs/>
          <w:lang w:eastAsia="fr-FR" w:bidi="he-IL"/>
        </w:rPr>
        <w:t xml:space="preserve"> </w:t>
      </w:r>
      <w:r w:rsidR="00F12048" w:rsidRPr="00C8701B">
        <w:rPr>
          <w:rFonts w:eastAsia="Arial Unicode MS"/>
          <w:bCs/>
          <w:lang w:eastAsia="fr-FR" w:bidi="he-IL"/>
        </w:rPr>
        <w:t xml:space="preserve">« Quam pulchri super montes pedes </w:t>
      </w:r>
      <w:r w:rsidR="00E37C84" w:rsidRPr="00C8701B">
        <w:rPr>
          <w:rFonts w:eastAsia="Arial Unicode MS"/>
          <w:bCs/>
          <w:lang w:eastAsia="fr-FR" w:bidi="he-IL"/>
        </w:rPr>
        <w:t>annuntiántis</w:t>
      </w:r>
      <w:r w:rsidR="00F12048" w:rsidRPr="00C8701B">
        <w:rPr>
          <w:rFonts w:eastAsia="Arial Unicode MS"/>
          <w:bCs/>
          <w:lang w:eastAsia="fr-FR" w:bidi="he-IL"/>
        </w:rPr>
        <w:t xml:space="preserve"> et </w:t>
      </w:r>
      <w:r w:rsidR="00E37C84">
        <w:rPr>
          <w:rFonts w:eastAsia="Arial Unicode MS"/>
          <w:bCs/>
          <w:lang w:eastAsia="fr-FR" w:bidi="he-IL"/>
        </w:rPr>
        <w:t>præ</w:t>
      </w:r>
      <w:r w:rsidR="00E37C84" w:rsidRPr="00C8701B">
        <w:rPr>
          <w:rFonts w:eastAsia="Arial Unicode MS"/>
          <w:bCs/>
          <w:lang w:eastAsia="fr-FR" w:bidi="he-IL"/>
        </w:rPr>
        <w:t>dicántis</w:t>
      </w:r>
      <w:r w:rsidRPr="00C8701B">
        <w:rPr>
          <w:rFonts w:eastAsia="Arial Unicode MS"/>
          <w:bCs/>
          <w:lang w:eastAsia="fr-FR" w:bidi="he-IL"/>
        </w:rPr>
        <w:t xml:space="preserve"> (hébr.</w:t>
      </w:r>
      <w:r w:rsidR="00C2602D" w:rsidRPr="00C8701B">
        <w:rPr>
          <w:rFonts w:eastAsia="Arial Unicode MS"/>
          <w:bCs/>
          <w:lang w:eastAsia="fr-FR" w:bidi="he-IL"/>
        </w:rPr>
        <w:t> :</w:t>
      </w:r>
      <w:r w:rsidRPr="00DC4586">
        <w:rPr>
          <w:rStyle w:val="italicus"/>
        </w:rPr>
        <w:t xml:space="preserve"> m</w:t>
      </w:r>
      <w:r w:rsidR="00E37C84">
        <w:rPr>
          <w:rStyle w:val="italicus"/>
        </w:rPr>
        <w:t>ᵉ</w:t>
      </w:r>
      <w:r w:rsidRPr="00DC4586">
        <w:rPr>
          <w:rStyle w:val="italicus"/>
        </w:rPr>
        <w:t>baççer</w:t>
      </w:r>
      <w:r w:rsidR="00C2602D" w:rsidRPr="00DC4586">
        <w:rPr>
          <w:rStyle w:val="italicus"/>
        </w:rPr>
        <w:t> </w:t>
      </w:r>
      <w:r w:rsidR="007F6508">
        <w:rPr>
          <w:rStyle w:val="italicus"/>
        </w:rPr>
        <w:t xml:space="preserve">; </w:t>
      </w:r>
      <w:r w:rsidRPr="00C8701B">
        <w:rPr>
          <w:rFonts w:eastAsia="Arial Unicode MS"/>
          <w:bCs/>
          <w:lang w:eastAsia="fr-FR" w:bidi="he-IL"/>
        </w:rPr>
        <w:t>les Septante</w:t>
      </w:r>
      <w:r w:rsidR="00C2602D" w:rsidRPr="00C8701B">
        <w:rPr>
          <w:rFonts w:eastAsia="Arial Unicode MS"/>
          <w:bCs/>
          <w:lang w:eastAsia="fr-FR" w:bidi="he-IL"/>
        </w:rPr>
        <w:t> :</w:t>
      </w:r>
      <w:r w:rsidRPr="00C8701B">
        <w:rPr>
          <w:rFonts w:eastAsia="Arial Unicode MS"/>
          <w:bCs/>
          <w:lang w:eastAsia="fr-FR" w:bidi="he-IL"/>
        </w:rPr>
        <w:t xml:space="preserve"> </w:t>
      </w:r>
      <w:r w:rsidRPr="00E37C84">
        <w:t>ε</w:t>
      </w:r>
      <w:r w:rsidR="00F12048" w:rsidRPr="00E37C84">
        <w:t>ὐ</w:t>
      </w:r>
      <w:r w:rsidR="00A74F01">
        <w:t>α</w:t>
      </w:r>
      <w:r w:rsidRPr="00E37C84">
        <w:t>γγελιζομ</w:t>
      </w:r>
      <w:r w:rsidR="00C771BF">
        <w:t>έ</w:t>
      </w:r>
      <w:r w:rsidRPr="00E37C84">
        <w:t>νου)</w:t>
      </w:r>
      <w:r w:rsidR="00C2602D" w:rsidRPr="00E37C84">
        <w:t xml:space="preserve"> </w:t>
      </w:r>
      <w:r w:rsidR="00F12048" w:rsidRPr="00E37C84">
        <w:t>p</w:t>
      </w:r>
      <w:r w:rsidRPr="00E37C84">
        <w:t>acem</w:t>
      </w:r>
      <w:r w:rsidR="00E65435" w:rsidRPr="00E37C84">
        <w:t xml:space="preserve">, </w:t>
      </w:r>
      <w:r w:rsidR="00E37C84" w:rsidRPr="00C8701B">
        <w:rPr>
          <w:rFonts w:eastAsia="Arial Unicode MS"/>
          <w:bCs/>
          <w:lang w:eastAsia="fr-FR" w:bidi="he-IL"/>
        </w:rPr>
        <w:t>annuntiántis</w:t>
      </w:r>
      <w:r w:rsidRPr="00C8701B">
        <w:rPr>
          <w:rFonts w:eastAsia="Arial Unicode MS"/>
          <w:bCs/>
          <w:lang w:eastAsia="fr-FR" w:bidi="he-IL"/>
        </w:rPr>
        <w:t xml:space="preserve"> (hébr.</w:t>
      </w:r>
      <w:r w:rsidR="00C2602D" w:rsidRPr="00C8701B">
        <w:rPr>
          <w:rFonts w:eastAsia="Arial Unicode MS"/>
          <w:bCs/>
          <w:lang w:eastAsia="fr-FR" w:bidi="he-IL"/>
        </w:rPr>
        <w:t> :</w:t>
      </w:r>
      <w:r w:rsidR="00F12048" w:rsidRPr="00DC4586">
        <w:rPr>
          <w:rStyle w:val="italicus"/>
        </w:rPr>
        <w:t xml:space="preserve"> </w:t>
      </w:r>
      <w:r w:rsidR="00E37C84" w:rsidRPr="00DC4586">
        <w:rPr>
          <w:rStyle w:val="italicus"/>
        </w:rPr>
        <w:t>mᵉbaççer</w:t>
      </w:r>
      <w:r w:rsidR="00C2602D" w:rsidRPr="00DC4586">
        <w:rPr>
          <w:rStyle w:val="italicus"/>
        </w:rPr>
        <w:t> </w:t>
      </w:r>
      <w:r w:rsidR="007F6508">
        <w:rPr>
          <w:rStyle w:val="italicus"/>
        </w:rPr>
        <w:t xml:space="preserve">; </w:t>
      </w:r>
      <w:r w:rsidRPr="00E37C84">
        <w:t>les Septante</w:t>
      </w:r>
      <w:r w:rsidR="00C2602D" w:rsidRPr="00E37C84">
        <w:t> :</w:t>
      </w:r>
      <w:r w:rsidRPr="00E37C84">
        <w:t xml:space="preserve"> </w:t>
      </w:r>
      <w:r w:rsidR="00F12048" w:rsidRPr="00E37C84">
        <w:t>ὡ</w:t>
      </w:r>
      <w:r w:rsidRPr="00E37C84">
        <w:t>ς ε</w:t>
      </w:r>
      <w:r w:rsidR="00F12048" w:rsidRPr="00E37C84">
        <w:t>ὐ</w:t>
      </w:r>
      <w:r w:rsidR="00A74F01">
        <w:t>α</w:t>
      </w:r>
      <w:r w:rsidRPr="00E37C84">
        <w:t>γγε</w:t>
      </w:r>
      <w:r w:rsidR="00F12048" w:rsidRPr="00E37C84">
        <w:t>λι</w:t>
      </w:r>
      <w:r w:rsidRPr="00E37C84">
        <w:t>ζομ</w:t>
      </w:r>
      <w:r w:rsidR="00C771BF">
        <w:t>έ</w:t>
      </w:r>
      <w:r w:rsidRPr="00E37C84">
        <w:t xml:space="preserve">νος) </w:t>
      </w:r>
      <w:r w:rsidR="00F12048" w:rsidRPr="00E37C84">
        <w:t>b</w:t>
      </w:r>
      <w:r w:rsidRPr="00E37C84">
        <w:t>onum...</w:t>
      </w:r>
      <w:r w:rsidR="00F12048" w:rsidRPr="00E37C84">
        <w:t> »</w:t>
      </w:r>
      <w:r w:rsidRPr="00E37C84">
        <w:t xml:space="preserve"> </w:t>
      </w:r>
      <w:r w:rsidR="00F12048" w:rsidRPr="00E37C84">
        <w:t>LX</w:t>
      </w:r>
      <w:r w:rsidR="00E65435">
        <w:rPr>
          <w:rFonts w:eastAsia="Arial Unicode MS"/>
          <w:bCs/>
          <w:lang w:eastAsia="fr-FR" w:bidi="he-IL"/>
        </w:rPr>
        <w:t xml:space="preserve">, </w:t>
      </w:r>
      <w:r w:rsidRPr="00C8701B">
        <w:rPr>
          <w:rFonts w:eastAsia="Arial Unicode MS"/>
          <w:bCs/>
          <w:lang w:eastAsia="fr-FR" w:bidi="he-IL"/>
        </w:rPr>
        <w:t>6</w:t>
      </w:r>
      <w:r w:rsidR="00C2602D" w:rsidRPr="00C8701B">
        <w:rPr>
          <w:rFonts w:eastAsia="Arial Unicode MS"/>
          <w:bCs/>
          <w:lang w:eastAsia="fr-FR" w:bidi="he-IL"/>
        </w:rPr>
        <w:t> :</w:t>
      </w:r>
      <w:r w:rsidRPr="00C8701B">
        <w:rPr>
          <w:rFonts w:eastAsia="Arial Unicode MS"/>
          <w:bCs/>
          <w:lang w:eastAsia="fr-FR" w:bidi="he-IL"/>
        </w:rPr>
        <w:t xml:space="preserve"> </w:t>
      </w:r>
      <w:r w:rsidR="00F12048" w:rsidRPr="00C8701B">
        <w:rPr>
          <w:rFonts w:eastAsia="Arial Unicode MS"/>
          <w:bCs/>
          <w:lang w:eastAsia="fr-FR" w:bidi="he-IL"/>
        </w:rPr>
        <w:t>« </w:t>
      </w:r>
      <w:r w:rsidRPr="00C8701B">
        <w:rPr>
          <w:rFonts w:eastAsia="Arial Unicode MS"/>
          <w:bCs/>
          <w:lang w:eastAsia="fr-FR" w:bidi="he-IL"/>
        </w:rPr>
        <w:t xml:space="preserve">Laudem </w:t>
      </w:r>
      <w:r w:rsidR="00216C2A">
        <w:rPr>
          <w:rFonts w:eastAsia="Arial Unicode MS"/>
          <w:bCs/>
          <w:lang w:eastAsia="fr-FR" w:bidi="he-IL"/>
        </w:rPr>
        <w:t>Dómino</w:t>
      </w:r>
      <w:r w:rsidRPr="00C8701B">
        <w:rPr>
          <w:rFonts w:eastAsia="Arial Unicode MS"/>
          <w:bCs/>
          <w:lang w:eastAsia="fr-FR" w:bidi="he-IL"/>
        </w:rPr>
        <w:t xml:space="preserve"> </w:t>
      </w:r>
      <w:r w:rsidR="00E37C84" w:rsidRPr="00C8701B">
        <w:rPr>
          <w:rFonts w:eastAsia="Arial Unicode MS"/>
          <w:bCs/>
          <w:lang w:eastAsia="fr-FR" w:bidi="he-IL"/>
        </w:rPr>
        <w:t>annuntiántes</w:t>
      </w:r>
      <w:r w:rsidRPr="00C8701B">
        <w:rPr>
          <w:rFonts w:eastAsia="Arial Unicode MS"/>
          <w:bCs/>
          <w:lang w:eastAsia="fr-FR" w:bidi="he-IL"/>
        </w:rPr>
        <w:t xml:space="preserve"> (les Septante</w:t>
      </w:r>
      <w:r w:rsidR="00C2602D" w:rsidRPr="00C8701B">
        <w:rPr>
          <w:rFonts w:eastAsia="Arial Unicode MS"/>
          <w:bCs/>
          <w:lang w:eastAsia="fr-FR" w:bidi="he-IL"/>
        </w:rPr>
        <w:t> :</w:t>
      </w:r>
      <w:r w:rsidRPr="00C8701B">
        <w:rPr>
          <w:rFonts w:eastAsia="Arial Unicode MS"/>
          <w:bCs/>
          <w:lang w:eastAsia="fr-FR" w:bidi="he-IL"/>
        </w:rPr>
        <w:t xml:space="preserve"> </w:t>
      </w:r>
      <w:r w:rsidR="00F12048" w:rsidRPr="00E37C84">
        <w:t>εὐ</w:t>
      </w:r>
      <w:r w:rsidR="00A74F01">
        <w:t>α</w:t>
      </w:r>
      <w:r w:rsidR="00F12048" w:rsidRPr="00E37C84">
        <w:t>γγελιοῦ</w:t>
      </w:r>
      <w:r w:rsidRPr="00E37C84">
        <w:t>ντ</w:t>
      </w:r>
      <w:r w:rsidR="00A74F01">
        <w:t>α</w:t>
      </w:r>
      <w:r w:rsidRPr="00E37C84">
        <w:t>ι).</w:t>
      </w:r>
      <w:r w:rsidR="00F12048" w:rsidRPr="00E37C84">
        <w:t> »</w:t>
      </w:r>
      <w:r w:rsidRPr="00E37C84">
        <w:t xml:space="preserve"> </w:t>
      </w:r>
      <w:r w:rsidR="00F12048" w:rsidRPr="00E37C84">
        <w:t>LXI</w:t>
      </w:r>
      <w:r w:rsidR="00E65435" w:rsidRPr="00E37C84">
        <w:t xml:space="preserve">, </w:t>
      </w:r>
      <w:r w:rsidRPr="00E37C84">
        <w:t>1</w:t>
      </w:r>
      <w:r w:rsidR="00C2602D" w:rsidRPr="00E37C84">
        <w:t> :</w:t>
      </w:r>
      <w:r w:rsidRPr="00E37C84">
        <w:t xml:space="preserve"> </w:t>
      </w:r>
      <w:r w:rsidR="00F12048" w:rsidRPr="00C8701B">
        <w:rPr>
          <w:rFonts w:eastAsia="Arial Unicode MS"/>
          <w:bCs/>
          <w:lang w:eastAsia="fr-FR" w:bidi="he-IL"/>
        </w:rPr>
        <w:t>« </w:t>
      </w:r>
      <w:r w:rsidRPr="00C8701B">
        <w:rPr>
          <w:rFonts w:eastAsia="Arial Unicode MS"/>
          <w:bCs/>
          <w:lang w:eastAsia="fr-FR" w:bidi="he-IL"/>
        </w:rPr>
        <w:t>S</w:t>
      </w:r>
      <w:r w:rsidR="006E0209">
        <w:rPr>
          <w:rFonts w:eastAsia="Arial Unicode MS"/>
          <w:bCs/>
          <w:lang w:eastAsia="fr-FR" w:bidi="he-IL"/>
        </w:rPr>
        <w:t>píritus</w:t>
      </w:r>
      <w:r w:rsidRPr="00C8701B">
        <w:rPr>
          <w:rFonts w:eastAsia="Arial Unicode MS"/>
          <w:bCs/>
          <w:lang w:eastAsia="fr-FR" w:bidi="he-IL"/>
        </w:rPr>
        <w:t xml:space="preserve"> D</w:t>
      </w:r>
      <w:r w:rsidR="004D031F">
        <w:rPr>
          <w:rFonts w:eastAsia="Arial Unicode MS"/>
          <w:bCs/>
          <w:lang w:eastAsia="fr-FR" w:bidi="he-IL"/>
        </w:rPr>
        <w:t>ómini</w:t>
      </w:r>
      <w:r w:rsidRPr="00C8701B">
        <w:rPr>
          <w:rFonts w:eastAsia="Arial Unicode MS"/>
          <w:bCs/>
          <w:lang w:eastAsia="fr-FR" w:bidi="he-IL"/>
        </w:rPr>
        <w:t xml:space="preserve"> </w:t>
      </w:r>
      <w:r w:rsidR="00F12048" w:rsidRPr="00C8701B">
        <w:rPr>
          <w:rFonts w:eastAsia="Arial Unicode MS"/>
          <w:bCs/>
          <w:lang w:eastAsia="fr-FR" w:bidi="he-IL"/>
        </w:rPr>
        <w:t>super me</w:t>
      </w:r>
      <w:r w:rsidR="00E65435">
        <w:rPr>
          <w:rFonts w:eastAsia="Arial Unicode MS"/>
          <w:bCs/>
          <w:lang w:eastAsia="fr-FR" w:bidi="he-IL"/>
        </w:rPr>
        <w:t xml:space="preserve">, </w:t>
      </w:r>
      <w:r w:rsidR="00F12048" w:rsidRPr="00C8701B">
        <w:rPr>
          <w:rFonts w:eastAsia="Arial Unicode MS"/>
          <w:bCs/>
          <w:lang w:eastAsia="fr-FR" w:bidi="he-IL"/>
        </w:rPr>
        <w:t xml:space="preserve">eo quod </w:t>
      </w:r>
      <w:r w:rsidR="00E37C84" w:rsidRPr="00C8701B">
        <w:rPr>
          <w:rFonts w:eastAsia="Arial Unicode MS"/>
          <w:bCs/>
          <w:lang w:eastAsia="fr-FR" w:bidi="he-IL"/>
        </w:rPr>
        <w:t>únxerit</w:t>
      </w:r>
      <w:r w:rsidR="00F12048" w:rsidRPr="00C8701B">
        <w:rPr>
          <w:rFonts w:eastAsia="Arial Unicode MS"/>
          <w:bCs/>
          <w:lang w:eastAsia="fr-FR" w:bidi="he-IL"/>
        </w:rPr>
        <w:t xml:space="preserve"> </w:t>
      </w:r>
      <w:r w:rsidR="00D72B1E">
        <w:rPr>
          <w:rFonts w:eastAsia="Arial Unicode MS"/>
          <w:bCs/>
          <w:lang w:eastAsia="fr-FR" w:bidi="he-IL"/>
        </w:rPr>
        <w:t>Dóminus</w:t>
      </w:r>
      <w:r w:rsidRPr="00C8701B">
        <w:rPr>
          <w:rFonts w:eastAsia="Arial Unicode MS"/>
          <w:bCs/>
          <w:lang w:eastAsia="fr-FR" w:bidi="he-IL"/>
        </w:rPr>
        <w:t xml:space="preserve"> me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ad </w:t>
      </w:r>
      <w:r w:rsidR="00E37C84" w:rsidRPr="00C8701B">
        <w:rPr>
          <w:rFonts w:eastAsia="Arial Unicode MS"/>
          <w:bCs/>
          <w:lang w:eastAsia="fr-FR" w:bidi="he-IL"/>
        </w:rPr>
        <w:t>annuntiándum</w:t>
      </w:r>
      <w:r w:rsidRPr="00C8701B">
        <w:rPr>
          <w:rFonts w:eastAsia="Arial Unicode MS"/>
          <w:bCs/>
          <w:lang w:eastAsia="fr-FR" w:bidi="he-IL"/>
        </w:rPr>
        <w:t xml:space="preserve"> </w:t>
      </w:r>
      <w:r w:rsidR="00E37C84" w:rsidRPr="00C8701B">
        <w:rPr>
          <w:rFonts w:eastAsia="Arial Unicode MS"/>
          <w:bCs/>
          <w:lang w:eastAsia="fr-FR" w:bidi="he-IL"/>
        </w:rPr>
        <w:t>mansuétis</w:t>
      </w:r>
      <w:r w:rsidRPr="00C8701B">
        <w:rPr>
          <w:rFonts w:eastAsia="Arial Unicode MS"/>
          <w:bCs/>
          <w:lang w:eastAsia="fr-FR" w:bidi="he-IL"/>
        </w:rPr>
        <w:t xml:space="preserve"> (hébr.</w:t>
      </w:r>
      <w:r w:rsidR="00C2602D" w:rsidRPr="00C8701B">
        <w:rPr>
          <w:rFonts w:eastAsia="Arial Unicode MS"/>
          <w:bCs/>
          <w:lang w:eastAsia="fr-FR" w:bidi="he-IL"/>
        </w:rPr>
        <w:t> :</w:t>
      </w:r>
      <w:r w:rsidRPr="00C8701B">
        <w:rPr>
          <w:rFonts w:eastAsia="Arial Unicode MS"/>
          <w:bCs/>
          <w:lang w:eastAsia="fr-FR" w:bidi="he-IL"/>
        </w:rPr>
        <w:t xml:space="preserve"> </w:t>
      </w:r>
      <w:r w:rsidRPr="00C8701B">
        <w:rPr>
          <w:rFonts w:eastAsia="Arial Unicode MS"/>
          <w:bCs/>
          <w:rtl/>
          <w:lang w:eastAsia="fr-FR" w:bidi="he-IL"/>
        </w:rPr>
        <w:t>לבשר ענוים</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les Septante</w:t>
      </w:r>
      <w:r w:rsidR="00C2602D" w:rsidRPr="00C8701B">
        <w:rPr>
          <w:rFonts w:eastAsia="Arial Unicode MS"/>
          <w:bCs/>
          <w:lang w:eastAsia="fr-FR" w:bidi="he-IL"/>
        </w:rPr>
        <w:t> </w:t>
      </w:r>
      <w:r w:rsidR="00C2602D" w:rsidRPr="00E37C84">
        <w:t>:</w:t>
      </w:r>
      <w:r w:rsidRPr="00E37C84">
        <w:t xml:space="preserve"> </w:t>
      </w:r>
      <w:r w:rsidR="00F12048" w:rsidRPr="00E37C84">
        <w:t>εὐ</w:t>
      </w:r>
      <w:r w:rsidR="00A74F01">
        <w:t>α</w:t>
      </w:r>
      <w:r w:rsidR="00F12048" w:rsidRPr="00E37C84">
        <w:t>γ</w:t>
      </w:r>
      <w:r w:rsidR="00E37C84" w:rsidRPr="00E37C84">
        <w:t>γελ</w:t>
      </w:r>
      <w:r w:rsidR="00DB352C">
        <w:t>ί</w:t>
      </w:r>
      <w:r w:rsidR="00E37C84" w:rsidRPr="00E37C84">
        <w:t>σ</w:t>
      </w:r>
      <w:r w:rsidR="00A74F01">
        <w:t>α</w:t>
      </w:r>
      <w:r w:rsidR="00E37C84" w:rsidRPr="00E37C84">
        <w:t>σθ</w:t>
      </w:r>
      <w:r w:rsidR="00A74F01">
        <w:t>α</w:t>
      </w:r>
      <w:r w:rsidR="00E37C84" w:rsidRPr="00E37C84">
        <w:t>ι πτωχο</w:t>
      </w:r>
      <w:r w:rsidR="00401D7F" w:rsidRPr="00E37C84">
        <w:t>ῖ</w:t>
      </w:r>
      <w:r w:rsidRPr="00E37C84">
        <w:t>ς</w:t>
      </w:r>
      <w:r w:rsidRPr="00C8701B">
        <w:rPr>
          <w:rFonts w:eastAsia="Arial Unicode MS"/>
          <w:bCs/>
          <w:lang w:val="el-GR" w:eastAsia="fr-FR" w:bidi="he-IL"/>
        </w:rPr>
        <w:t xml:space="preserve">) </w:t>
      </w:r>
      <w:r w:rsidR="00401D7F" w:rsidRPr="00C8701B">
        <w:rPr>
          <w:rFonts w:eastAsia="Arial Unicode MS"/>
          <w:bCs/>
          <w:lang w:eastAsia="fr-FR" w:bidi="he-IL"/>
        </w:rPr>
        <w:t>misit me</w:t>
      </w:r>
      <w:r w:rsidR="00E37C84">
        <w:rPr>
          <w:rFonts w:eastAsia="Arial Unicode MS"/>
          <w:bCs/>
          <w:lang w:eastAsia="fr-FR" w:bidi="he-IL"/>
        </w:rPr>
        <w:t> </w:t>
      </w:r>
      <w:r w:rsidR="00401D7F" w:rsidRPr="00C406FF">
        <w:rPr>
          <w:rStyle w:val="Appelnotedebasdep"/>
        </w:rPr>
        <w:footnoteReference w:id="7"/>
      </w:r>
      <w:r w:rsidRPr="00C8701B">
        <w:rPr>
          <w:rFonts w:eastAsia="Arial Unicode MS"/>
          <w:bCs/>
          <w:lang w:eastAsia="fr-FR" w:bidi="he-IL"/>
        </w:rPr>
        <w:t>.</w:t>
      </w:r>
      <w:r w:rsidR="00C2602D" w:rsidRPr="00C8701B">
        <w:rPr>
          <w:rFonts w:eastAsia="Arial Unicode MS"/>
          <w:bCs/>
          <w:lang w:eastAsia="fr-FR" w:bidi="he-IL"/>
        </w:rPr>
        <w:t xml:space="preserve"> » </w:t>
      </w:r>
    </w:p>
    <w:p w:rsidR="00E37C84" w:rsidRDefault="00B704AD" w:rsidP="00C2602D">
      <w:pPr>
        <w:rPr>
          <w:rFonts w:eastAsia="Arial Unicode MS"/>
          <w:bCs/>
          <w:lang w:eastAsia="fr-FR" w:bidi="he-IL"/>
        </w:rPr>
      </w:pPr>
      <w:r w:rsidRPr="00E37C84">
        <w:t>3°</w:t>
      </w:r>
      <w:bookmarkStart w:id="3" w:name="evin0103"/>
      <w:bookmarkEnd w:id="3"/>
      <w:r w:rsidRPr="00E37C84">
        <w:t xml:space="preserve"> Vers le milieu du second siècle</w:t>
      </w:r>
      <w:r w:rsidR="00E65435" w:rsidRPr="00E37C84">
        <w:t xml:space="preserve">, </w:t>
      </w:r>
      <w:r w:rsidR="00611152" w:rsidRPr="00E37C84">
        <w:t>εὐ</w:t>
      </w:r>
      <w:r w:rsidR="00A74F01">
        <w:t>α</w:t>
      </w:r>
      <w:r w:rsidR="00611152" w:rsidRPr="00E37C84">
        <w:t>γγ</w:t>
      </w:r>
      <w:r w:rsidR="00C771BF">
        <w:t>έ</w:t>
      </w:r>
      <w:r w:rsidR="00611152" w:rsidRPr="00E37C84">
        <w:t>λιον</w:t>
      </w:r>
      <w:r w:rsidRPr="00E37C84">
        <w:t xml:space="preserve"> </w:t>
      </w:r>
      <w:r w:rsidRPr="00C8701B">
        <w:rPr>
          <w:rFonts w:eastAsia="Arial Unicode MS"/>
          <w:bCs/>
          <w:lang w:eastAsia="fr-FR" w:bidi="he-IL"/>
        </w:rPr>
        <w:t>reçut peu à peu une acception nouvelle</w:t>
      </w:r>
      <w:r w:rsidR="00E65435">
        <w:rPr>
          <w:rFonts w:eastAsia="Arial Unicode MS"/>
          <w:bCs/>
          <w:lang w:eastAsia="fr-FR" w:bidi="he-IL"/>
        </w:rPr>
        <w:t xml:space="preserve">, </w:t>
      </w:r>
      <w:r w:rsidRPr="00C8701B">
        <w:rPr>
          <w:rFonts w:eastAsia="Arial Unicode MS"/>
          <w:bCs/>
          <w:lang w:eastAsia="fr-FR" w:bidi="he-IL"/>
        </w:rPr>
        <w:t>et</w:t>
      </w:r>
      <w:r w:rsidR="00E65435">
        <w:rPr>
          <w:rFonts w:eastAsia="Arial Unicode MS"/>
          <w:bCs/>
          <w:lang w:eastAsia="fr-FR" w:bidi="he-IL"/>
        </w:rPr>
        <w:t xml:space="preserve">, </w:t>
      </w:r>
      <w:r w:rsidRPr="00C8701B">
        <w:rPr>
          <w:rFonts w:eastAsia="Arial Unicode MS"/>
          <w:bCs/>
          <w:lang w:eastAsia="fr-FR" w:bidi="he-IL"/>
        </w:rPr>
        <w:t>par suite d</w:t>
      </w:r>
      <w:r w:rsidR="00557DE0">
        <w:rPr>
          <w:rFonts w:eastAsia="Arial Unicode MS"/>
          <w:bCs/>
          <w:lang w:eastAsia="fr-FR" w:bidi="he-IL"/>
        </w:rPr>
        <w:t>’</w:t>
      </w:r>
      <w:r w:rsidRPr="00C8701B">
        <w:rPr>
          <w:rFonts w:eastAsia="Arial Unicode MS"/>
          <w:bCs/>
          <w:lang w:eastAsia="fr-FR" w:bidi="he-IL"/>
        </w:rPr>
        <w:t>une métaphore très heureuse et très simple</w:t>
      </w:r>
      <w:r w:rsidR="00E65435">
        <w:rPr>
          <w:rFonts w:eastAsia="Arial Unicode MS"/>
          <w:bCs/>
          <w:lang w:eastAsia="fr-FR" w:bidi="he-IL"/>
        </w:rPr>
        <w:t xml:space="preserve">, </w:t>
      </w:r>
      <w:r w:rsidRPr="00C8701B">
        <w:rPr>
          <w:rFonts w:eastAsia="Arial Unicode MS"/>
          <w:bCs/>
          <w:lang w:eastAsia="fr-FR" w:bidi="he-IL"/>
        </w:rPr>
        <w:t xml:space="preserve">il servit à désigner les écrits mêmes dans lesquels la bonne nouvelle du salut avait été consignée. De </w:t>
      </w:r>
      <w:r w:rsidRPr="00E37C84">
        <w:t>là l</w:t>
      </w:r>
      <w:r w:rsidR="00557DE0">
        <w:t>’</w:t>
      </w:r>
      <w:r w:rsidRPr="00E37C84">
        <w:t xml:space="preserve">usage du </w:t>
      </w:r>
      <w:r w:rsidRPr="00257FD6">
        <w:t>pluriel</w:t>
      </w:r>
      <w:r w:rsidR="00E65435" w:rsidRPr="00257FD6">
        <w:t xml:space="preserve">, </w:t>
      </w:r>
      <w:r w:rsidR="002149F0" w:rsidRPr="00257FD6">
        <w:t>τ</w:t>
      </w:r>
      <w:r w:rsidR="00116664" w:rsidRPr="00257FD6">
        <w:t>ὰ</w:t>
      </w:r>
      <w:r w:rsidR="00401D7F" w:rsidRPr="00257FD6">
        <w:t xml:space="preserve"> εὐ</w:t>
      </w:r>
      <w:r w:rsidR="00A74F01" w:rsidRPr="00257FD6">
        <w:t>α</w:t>
      </w:r>
      <w:r w:rsidR="00401D7F" w:rsidRPr="00257FD6">
        <w:t>γ</w:t>
      </w:r>
      <w:r w:rsidRPr="00257FD6">
        <w:t>γ</w:t>
      </w:r>
      <w:r w:rsidR="00C771BF" w:rsidRPr="00257FD6">
        <w:t>έ</w:t>
      </w:r>
      <w:r w:rsidRPr="00257FD6">
        <w:t>λι</w:t>
      </w:r>
      <w:r w:rsidR="00A74F01" w:rsidRPr="00257FD6">
        <w:t>α</w:t>
      </w:r>
      <w:r w:rsidR="00E65435" w:rsidRPr="00257FD6">
        <w:t xml:space="preserve">, </w:t>
      </w:r>
      <w:r w:rsidR="00C2602D" w:rsidRPr="00257FD6">
        <w:t>« </w:t>
      </w:r>
      <w:r w:rsidRPr="00257FD6">
        <w:t>les évangiles</w:t>
      </w:r>
      <w:r w:rsidR="00401D7F" w:rsidRPr="00E37C84">
        <w:t> »</w:t>
      </w:r>
      <w:r w:rsidR="00E65435" w:rsidRPr="00E37C84">
        <w:t xml:space="preserve">, </w:t>
      </w:r>
      <w:r w:rsidRPr="00E37C84">
        <w:t>puisqu</w:t>
      </w:r>
      <w:r w:rsidR="00557DE0">
        <w:t>’</w:t>
      </w:r>
      <w:r w:rsidRPr="00E37C84">
        <w:t>il y avait quatre écrits de ce</w:t>
      </w:r>
      <w:r w:rsidRPr="00C8701B">
        <w:rPr>
          <w:rFonts w:eastAsia="Arial Unicode MS"/>
          <w:bCs/>
          <w:lang w:eastAsia="fr-FR" w:bidi="he-IL"/>
        </w:rPr>
        <w:t xml:space="preserve"> genre. C</w:t>
      </w:r>
      <w:r w:rsidR="00557DE0">
        <w:rPr>
          <w:rFonts w:eastAsia="Arial Unicode MS"/>
          <w:bCs/>
          <w:lang w:eastAsia="fr-FR" w:bidi="he-IL"/>
        </w:rPr>
        <w:t>’</w:t>
      </w:r>
      <w:r w:rsidRPr="00C8701B">
        <w:rPr>
          <w:rFonts w:eastAsia="Arial Unicode MS"/>
          <w:bCs/>
          <w:lang w:eastAsia="fr-FR" w:bidi="he-IL"/>
        </w:rPr>
        <w:t>est saint Justin qui paraît avoir le prem</w:t>
      </w:r>
      <w:r w:rsidR="00401D7F" w:rsidRPr="00C8701B">
        <w:rPr>
          <w:rFonts w:eastAsia="Arial Unicode MS"/>
          <w:bCs/>
          <w:lang w:eastAsia="fr-FR" w:bidi="he-IL"/>
        </w:rPr>
        <w:t>ier fait usage de cette dénomi</w:t>
      </w:r>
      <w:r w:rsidRPr="00C8701B">
        <w:rPr>
          <w:rFonts w:eastAsia="Arial Unicode MS"/>
          <w:bCs/>
          <w:lang w:eastAsia="fr-FR" w:bidi="he-IL"/>
        </w:rPr>
        <w:t>nation</w:t>
      </w:r>
      <w:r w:rsidR="00E37C84">
        <w:rPr>
          <w:rFonts w:eastAsia="Arial Unicode MS"/>
          <w:bCs/>
          <w:lang w:eastAsia="fr-FR" w:bidi="he-IL"/>
        </w:rPr>
        <w:t> </w:t>
      </w:r>
      <w:r w:rsidR="00401D7F" w:rsidRPr="00C406FF">
        <w:rPr>
          <w:rStyle w:val="Appelnotedebasdep"/>
        </w:rPr>
        <w:footnoteReference w:id="8"/>
      </w:r>
      <w:r w:rsidR="00401D7F" w:rsidRPr="00C8701B">
        <w:rPr>
          <w:rFonts w:eastAsia="Arial Unicode MS"/>
          <w:bCs/>
          <w:lang w:eastAsia="fr-FR" w:bidi="he-IL"/>
        </w:rPr>
        <w:t>. Rien de</w:t>
      </w:r>
      <w:r w:rsidRPr="00C8701B">
        <w:rPr>
          <w:rFonts w:eastAsia="Arial Unicode MS"/>
          <w:bCs/>
          <w:lang w:eastAsia="fr-FR" w:bidi="he-IL"/>
        </w:rPr>
        <w:t xml:space="preserve"> plus clair</w:t>
      </w:r>
      <w:r w:rsidR="00E65435">
        <w:rPr>
          <w:rFonts w:eastAsia="Arial Unicode MS"/>
          <w:bCs/>
          <w:lang w:eastAsia="fr-FR" w:bidi="he-IL"/>
        </w:rPr>
        <w:t xml:space="preserve">, </w:t>
      </w:r>
      <w:r w:rsidRPr="00C8701B">
        <w:rPr>
          <w:rFonts w:eastAsia="Arial Unicode MS"/>
          <w:bCs/>
          <w:lang w:eastAsia="fr-FR" w:bidi="he-IL"/>
        </w:rPr>
        <w:t>en effet</w:t>
      </w:r>
      <w:r w:rsidR="00E65435">
        <w:rPr>
          <w:rFonts w:eastAsia="Arial Unicode MS"/>
          <w:bCs/>
          <w:lang w:eastAsia="fr-FR" w:bidi="he-IL"/>
        </w:rPr>
        <w:t xml:space="preserve">, </w:t>
      </w:r>
      <w:r w:rsidRPr="00C8701B">
        <w:rPr>
          <w:rFonts w:eastAsia="Arial Unicode MS"/>
          <w:bCs/>
          <w:lang w:eastAsia="fr-FR" w:bidi="he-IL"/>
        </w:rPr>
        <w:t>que les passages suivants</w:t>
      </w:r>
      <w:r w:rsidR="00E65435">
        <w:rPr>
          <w:rFonts w:eastAsia="Arial Unicode MS"/>
          <w:bCs/>
          <w:lang w:eastAsia="fr-FR" w:bidi="he-IL"/>
        </w:rPr>
        <w:t xml:space="preserve">, </w:t>
      </w:r>
      <w:r w:rsidR="00E37C84">
        <w:rPr>
          <w:rFonts w:eastAsia="Arial Unicode MS"/>
          <w:bCs/>
          <w:lang w:eastAsia="fr-FR" w:bidi="he-IL"/>
        </w:rPr>
        <w:t>extraits de ses œuvre</w:t>
      </w:r>
      <w:r w:rsidRPr="00C8701B">
        <w:rPr>
          <w:rFonts w:eastAsia="Arial Unicode MS"/>
          <w:bCs/>
          <w:lang w:eastAsia="fr-FR" w:bidi="he-IL"/>
        </w:rPr>
        <w:t>s.</w:t>
      </w:r>
      <w:r w:rsidRPr="00DC4586">
        <w:rPr>
          <w:rStyle w:val="italicus"/>
        </w:rPr>
        <w:t xml:space="preserve"> Dial.</w:t>
      </w:r>
      <w:r w:rsidR="00E65435">
        <w:rPr>
          <w:rStyle w:val="italicus"/>
        </w:rPr>
        <w:t xml:space="preserve">, </w:t>
      </w:r>
      <w:r w:rsidRPr="00C8701B">
        <w:rPr>
          <w:rFonts w:eastAsia="Arial Unicode MS"/>
          <w:bCs/>
          <w:lang w:eastAsia="fr-FR" w:bidi="he-IL"/>
        </w:rPr>
        <w:t>10</w:t>
      </w:r>
      <w:r w:rsidR="00E65435">
        <w:rPr>
          <w:rFonts w:eastAsia="Arial Unicode MS"/>
          <w:bCs/>
          <w:lang w:eastAsia="fr-FR" w:bidi="he-IL"/>
        </w:rPr>
        <w:t xml:space="preserve">, </w:t>
      </w:r>
      <w:r w:rsidRPr="00C8701B">
        <w:rPr>
          <w:rFonts w:eastAsia="Arial Unicode MS"/>
          <w:bCs/>
          <w:lang w:eastAsia="fr-FR" w:bidi="he-IL"/>
        </w:rPr>
        <w:t xml:space="preserve">il prête aux </w:t>
      </w:r>
      <w:r w:rsidRPr="00257FD6">
        <w:t>Juifs cette réflexion</w:t>
      </w:r>
      <w:r w:rsidR="00C2602D" w:rsidRPr="00257FD6">
        <w:t> :</w:t>
      </w:r>
      <w:r w:rsidRPr="00257FD6">
        <w:t xml:space="preserve"> </w:t>
      </w:r>
      <w:r w:rsidR="00116664" w:rsidRPr="00257FD6">
        <w:t>Τὰ</w:t>
      </w:r>
      <w:r w:rsidRPr="00257FD6">
        <w:t xml:space="preserve"> </w:t>
      </w:r>
      <w:r w:rsidR="00401D7F" w:rsidRPr="00257FD6">
        <w:t>ἐ</w:t>
      </w:r>
      <w:r w:rsidRPr="00257FD6">
        <w:t>ν τ</w:t>
      </w:r>
      <w:r w:rsidR="00401D7F" w:rsidRPr="00257FD6">
        <w:t>ῷ λεγομ</w:t>
      </w:r>
      <w:r w:rsidR="00C771BF" w:rsidRPr="00257FD6">
        <w:t>έ</w:t>
      </w:r>
      <w:r w:rsidR="00401D7F" w:rsidRPr="00257FD6">
        <w:t>νῳ εὐ</w:t>
      </w:r>
      <w:r w:rsidR="00A74F01" w:rsidRPr="00257FD6">
        <w:t>α</w:t>
      </w:r>
      <w:r w:rsidR="00401D7F" w:rsidRPr="00257FD6">
        <w:t>γ</w:t>
      </w:r>
      <w:r w:rsidRPr="00257FD6">
        <w:t>γελ</w:t>
      </w:r>
      <w:r w:rsidR="00DB352C" w:rsidRPr="00257FD6">
        <w:t>ί</w:t>
      </w:r>
      <w:r w:rsidRPr="00257FD6">
        <w:t>ω π</w:t>
      </w:r>
      <w:r w:rsidR="00A74F01" w:rsidRPr="00257FD6">
        <w:t>α</w:t>
      </w:r>
      <w:r w:rsidRPr="00257FD6">
        <w:t>ρ</w:t>
      </w:r>
      <w:r w:rsidR="00A74F01" w:rsidRPr="00257FD6">
        <w:t>α</w:t>
      </w:r>
      <w:r w:rsidRPr="00257FD6">
        <w:t>γγ</w:t>
      </w:r>
      <w:r w:rsidR="00C771BF" w:rsidRPr="00257FD6">
        <w:t>έ</w:t>
      </w:r>
      <w:r w:rsidRPr="00257FD6">
        <w:t>λμ</w:t>
      </w:r>
      <w:r w:rsidR="00A74F01" w:rsidRPr="00257FD6">
        <w:t>α</w:t>
      </w:r>
      <w:r w:rsidRPr="00257FD6">
        <w:t>τ</w:t>
      </w:r>
      <w:r w:rsidR="00A74F01" w:rsidRPr="00257FD6">
        <w:t>α</w:t>
      </w:r>
      <w:r w:rsidR="00E65435" w:rsidRPr="00257FD6">
        <w:t xml:space="preserve">, </w:t>
      </w:r>
      <w:r w:rsidR="00C2602D" w:rsidRPr="00257FD6">
        <w:t>« </w:t>
      </w:r>
      <w:r w:rsidRPr="00257FD6">
        <w:t>les préceptes (contenus) dans ce qu</w:t>
      </w:r>
      <w:r w:rsidR="00557DE0">
        <w:rPr>
          <w:rFonts w:eastAsia="Arial Unicode MS"/>
          <w:bCs/>
          <w:lang w:eastAsia="fr-FR" w:bidi="he-IL"/>
        </w:rPr>
        <w:t>’</w:t>
      </w:r>
      <w:r w:rsidRPr="00C8701B">
        <w:rPr>
          <w:rFonts w:eastAsia="Arial Unicode MS"/>
          <w:bCs/>
          <w:lang w:eastAsia="fr-FR" w:bidi="he-IL"/>
        </w:rPr>
        <w:t>on appelle l</w:t>
      </w:r>
      <w:r w:rsidR="00557DE0">
        <w:rPr>
          <w:rFonts w:eastAsia="Arial Unicode MS"/>
          <w:bCs/>
          <w:lang w:eastAsia="fr-FR" w:bidi="he-IL"/>
        </w:rPr>
        <w:t>’</w:t>
      </w:r>
      <w:r w:rsidRPr="00C8701B">
        <w:rPr>
          <w:rFonts w:eastAsia="Arial Unicode MS"/>
          <w:bCs/>
          <w:lang w:eastAsia="fr-FR" w:bidi="he-IL"/>
        </w:rPr>
        <w:t>évangile.</w:t>
      </w:r>
      <w:r w:rsidR="00401D7F" w:rsidRPr="00C8701B">
        <w:rPr>
          <w:rFonts w:eastAsia="Arial Unicode MS"/>
          <w:bCs/>
          <w:lang w:eastAsia="fr-FR" w:bidi="he-IL"/>
        </w:rPr>
        <w:t> »</w:t>
      </w:r>
      <w:r w:rsidRPr="00DC4586">
        <w:rPr>
          <w:rStyle w:val="italicus"/>
        </w:rPr>
        <w:t xml:space="preserve"> </w:t>
      </w:r>
      <w:r w:rsidR="00E37C84" w:rsidRPr="00DC4586">
        <w:rPr>
          <w:rStyle w:val="italicus"/>
        </w:rPr>
        <w:t>Apológia</w:t>
      </w:r>
      <w:r w:rsidR="00E65435">
        <w:rPr>
          <w:rFonts w:eastAsia="Arial Unicode MS"/>
          <w:bCs/>
          <w:lang w:eastAsia="fr-FR" w:bidi="he-IL"/>
        </w:rPr>
        <w:t xml:space="preserve">, </w:t>
      </w:r>
      <w:r w:rsidR="00401D7F" w:rsidRPr="00C8701B">
        <w:rPr>
          <w:rFonts w:eastAsia="Arial Unicode MS"/>
          <w:bCs/>
          <w:lang w:eastAsia="fr-FR" w:bidi="he-IL"/>
        </w:rPr>
        <w:t>I</w:t>
      </w:r>
      <w:r w:rsidR="00E65435">
        <w:rPr>
          <w:rFonts w:eastAsia="Arial Unicode MS"/>
          <w:bCs/>
          <w:lang w:eastAsia="fr-FR" w:bidi="he-IL"/>
        </w:rPr>
        <w:t xml:space="preserve">, </w:t>
      </w:r>
      <w:r w:rsidRPr="00C8701B">
        <w:rPr>
          <w:rFonts w:eastAsia="Arial Unicode MS"/>
          <w:bCs/>
          <w:lang w:eastAsia="fr-FR" w:bidi="he-IL"/>
        </w:rPr>
        <w:t>66</w:t>
      </w:r>
      <w:r w:rsidR="00C2602D" w:rsidRPr="00C8701B">
        <w:rPr>
          <w:rFonts w:eastAsia="Arial Unicode MS"/>
          <w:bCs/>
          <w:lang w:eastAsia="fr-FR" w:bidi="he-IL"/>
        </w:rPr>
        <w:t> :</w:t>
      </w:r>
      <w:r w:rsidRPr="00C8701B">
        <w:rPr>
          <w:rFonts w:eastAsia="Arial Unicode MS"/>
          <w:bCs/>
          <w:lang w:eastAsia="fr-FR" w:bidi="he-IL"/>
        </w:rPr>
        <w:t xml:space="preserve"> </w:t>
      </w:r>
      <w:r w:rsidRPr="00257FD6">
        <w:t>Ο</w:t>
      </w:r>
      <w:r w:rsidR="00401D7F" w:rsidRPr="00257FD6">
        <w:t>ἱ</w:t>
      </w:r>
      <w:r w:rsidR="00E37C84" w:rsidRPr="00257FD6">
        <w:t xml:space="preserve"> γ</w:t>
      </w:r>
      <w:r w:rsidR="00116664" w:rsidRPr="00257FD6">
        <w:t>ὰ</w:t>
      </w:r>
      <w:r w:rsidR="00401D7F" w:rsidRPr="00257FD6">
        <w:t>ρ ἀ</w:t>
      </w:r>
      <w:r w:rsidRPr="00257FD6">
        <w:t>π</w:t>
      </w:r>
      <w:r w:rsidR="00736374" w:rsidRPr="00257FD6">
        <w:t>ό</w:t>
      </w:r>
      <w:r w:rsidRPr="00257FD6">
        <w:t xml:space="preserve">στολοι </w:t>
      </w:r>
      <w:r w:rsidR="00401D7F" w:rsidRPr="00257FD6">
        <w:t>ἐν τοῖ</w:t>
      </w:r>
      <w:r w:rsidRPr="00257FD6">
        <w:t>ς γενομ</w:t>
      </w:r>
      <w:r w:rsidR="00C771BF" w:rsidRPr="00257FD6">
        <w:t>έ</w:t>
      </w:r>
      <w:r w:rsidRPr="00257FD6">
        <w:t xml:space="preserve">νοις </w:t>
      </w:r>
      <w:r w:rsidR="00401D7F" w:rsidRPr="00257FD6">
        <w:t>ὑπ</w:t>
      </w:r>
      <w:r w:rsidR="00557DE0" w:rsidRPr="00257FD6">
        <w:t>’</w:t>
      </w:r>
      <w:r w:rsidR="00401D7F" w:rsidRPr="00257FD6">
        <w:t xml:space="preserve"> ἀυτῶν ἀπομνημονε</w:t>
      </w:r>
      <w:r w:rsidR="00C151D4" w:rsidRPr="00257FD6">
        <w:t>ύ</w:t>
      </w:r>
      <w:r w:rsidR="00401D7F" w:rsidRPr="00257FD6">
        <w:t>μ</w:t>
      </w:r>
      <w:r w:rsidR="00A74F01" w:rsidRPr="00257FD6">
        <w:t>α</w:t>
      </w:r>
      <w:r w:rsidR="00401D7F" w:rsidRPr="00257FD6">
        <w:t>σιν</w:t>
      </w:r>
      <w:r w:rsidR="00E65435" w:rsidRPr="00257FD6">
        <w:t xml:space="preserve">, </w:t>
      </w:r>
      <w:r w:rsidR="00401D7F" w:rsidRPr="00257FD6">
        <w:t>ἅ κ</w:t>
      </w:r>
      <w:r w:rsidR="00A74F01" w:rsidRPr="00257FD6">
        <w:t>α</w:t>
      </w:r>
      <w:r w:rsidR="00401D7F" w:rsidRPr="00257FD6">
        <w:t>λεῖ</w:t>
      </w:r>
      <w:r w:rsidRPr="00257FD6">
        <w:t>τ</w:t>
      </w:r>
      <w:r w:rsidR="00A74F01" w:rsidRPr="00257FD6">
        <w:t>α</w:t>
      </w:r>
      <w:r w:rsidRPr="00257FD6">
        <w:t>ι</w:t>
      </w:r>
      <w:r w:rsidR="00401D7F" w:rsidRPr="00257FD6">
        <w:t xml:space="preserve"> εὐ</w:t>
      </w:r>
      <w:r w:rsidR="00A74F01" w:rsidRPr="00257FD6">
        <w:t>α</w:t>
      </w:r>
      <w:r w:rsidR="00401D7F" w:rsidRPr="00257FD6">
        <w:t>γγ</w:t>
      </w:r>
      <w:r w:rsidR="00C771BF" w:rsidRPr="00257FD6">
        <w:t>έ</w:t>
      </w:r>
      <w:r w:rsidR="00401D7F" w:rsidRPr="00257FD6">
        <w:t>λι</w:t>
      </w:r>
      <w:r w:rsidR="00A74F01" w:rsidRPr="00257FD6">
        <w:t>α</w:t>
      </w:r>
      <w:r w:rsidR="00E65435" w:rsidRPr="00257FD6">
        <w:t xml:space="preserve">, </w:t>
      </w:r>
      <w:r w:rsidR="00401D7F" w:rsidRPr="00257FD6">
        <w:t>οὕ</w:t>
      </w:r>
      <w:r w:rsidRPr="00257FD6">
        <w:t>τως π</w:t>
      </w:r>
      <w:r w:rsidR="00A74F01" w:rsidRPr="00257FD6">
        <w:t>α</w:t>
      </w:r>
      <w:r w:rsidRPr="00257FD6">
        <w:t>ρ</w:t>
      </w:r>
      <w:r w:rsidR="00C771BF" w:rsidRPr="00257FD6">
        <w:t>έ</w:t>
      </w:r>
      <w:r w:rsidRPr="00257FD6">
        <w:t>δωκ</w:t>
      </w:r>
      <w:r w:rsidR="00A74F01" w:rsidRPr="00257FD6">
        <w:t>α</w:t>
      </w:r>
      <w:r w:rsidRPr="00257FD6">
        <w:t>ν</w:t>
      </w:r>
      <w:r w:rsidR="00E65435" w:rsidRPr="00257FD6">
        <w:t xml:space="preserve">, </w:t>
      </w:r>
      <w:r w:rsidR="00C2602D" w:rsidRPr="00257FD6">
        <w:t>« </w:t>
      </w:r>
      <w:r w:rsidRPr="00257FD6">
        <w:t>les apôtres</w:t>
      </w:r>
      <w:r w:rsidR="00E65435" w:rsidRPr="00257FD6">
        <w:t xml:space="preserve">, </w:t>
      </w:r>
      <w:r w:rsidRPr="00257FD6">
        <w:t>dans les mémoires</w:t>
      </w:r>
      <w:r w:rsidRPr="00C8701B">
        <w:rPr>
          <w:rFonts w:eastAsia="Arial Unicode MS"/>
          <w:bCs/>
          <w:lang w:eastAsia="fr-FR" w:bidi="he-IL"/>
        </w:rPr>
        <w:t xml:space="preserve"> nommés</w:t>
      </w:r>
      <w:r w:rsidRPr="00DC4586">
        <w:rPr>
          <w:rStyle w:val="italicus"/>
        </w:rPr>
        <w:t xml:space="preserve"> évangiles</w:t>
      </w:r>
      <w:r w:rsidRPr="00C8701B">
        <w:rPr>
          <w:rFonts w:eastAsia="Arial Unicode MS"/>
          <w:bCs/>
          <w:lang w:eastAsia="fr-FR" w:bidi="he-IL"/>
        </w:rPr>
        <w:t xml:space="preserve"> qu</w:t>
      </w:r>
      <w:r w:rsidR="00557DE0">
        <w:rPr>
          <w:rFonts w:eastAsia="Arial Unicode MS"/>
          <w:bCs/>
          <w:lang w:eastAsia="fr-FR" w:bidi="he-IL"/>
        </w:rPr>
        <w:t>’</w:t>
      </w:r>
      <w:r w:rsidRPr="00C8701B">
        <w:rPr>
          <w:rFonts w:eastAsia="Arial Unicode MS"/>
          <w:bCs/>
          <w:lang w:eastAsia="fr-FR" w:bidi="he-IL"/>
        </w:rPr>
        <w:t>ils nous ont laissés</w:t>
      </w:r>
      <w:r w:rsidR="00E65435">
        <w:rPr>
          <w:rFonts w:eastAsia="Arial Unicode MS"/>
          <w:bCs/>
          <w:lang w:eastAsia="fr-FR" w:bidi="he-IL"/>
        </w:rPr>
        <w:t xml:space="preserve">, </w:t>
      </w:r>
      <w:r w:rsidRPr="00C8701B">
        <w:rPr>
          <w:rFonts w:eastAsia="Arial Unicode MS"/>
          <w:bCs/>
          <w:lang w:eastAsia="fr-FR" w:bidi="he-IL"/>
        </w:rPr>
        <w:t>donnent cette tradition...</w:t>
      </w:r>
      <w:r w:rsidR="00E37C84">
        <w:rPr>
          <w:rFonts w:eastAsia="Arial Unicode MS"/>
          <w:bCs/>
          <w:lang w:eastAsia="fr-FR" w:bidi="he-IL"/>
        </w:rPr>
        <w:t> </w:t>
      </w:r>
      <w:r w:rsidR="00401D7F" w:rsidRPr="00C406FF">
        <w:rPr>
          <w:rStyle w:val="Appelnotedebasdep"/>
        </w:rPr>
        <w:footnoteReference w:id="9"/>
      </w:r>
      <w:r w:rsidRPr="00C8701B">
        <w:rPr>
          <w:rFonts w:eastAsia="Arial Unicode MS"/>
          <w:bCs/>
          <w:lang w:eastAsia="fr-FR" w:bidi="he-IL"/>
        </w:rPr>
        <w:t>.</w:t>
      </w:r>
      <w:r w:rsidR="00C2602D" w:rsidRPr="00C8701B">
        <w:rPr>
          <w:rFonts w:eastAsia="Arial Unicode MS"/>
          <w:bCs/>
          <w:lang w:eastAsia="fr-FR" w:bidi="he-IL"/>
        </w:rPr>
        <w:t xml:space="preserve"> » </w:t>
      </w:r>
    </w:p>
    <w:p w:rsidR="00E37C84" w:rsidRDefault="00B704AD" w:rsidP="00C2602D">
      <w:pPr>
        <w:rPr>
          <w:rFonts w:eastAsia="Arial Unicode MS"/>
          <w:bCs/>
          <w:lang w:eastAsia="fr-FR" w:bidi="he-IL"/>
        </w:rPr>
      </w:pPr>
      <w:r w:rsidRPr="00C8701B">
        <w:rPr>
          <w:rFonts w:eastAsia="Arial Unicode MS"/>
          <w:bCs/>
          <w:lang w:eastAsia="fr-FR" w:bidi="he-IL"/>
        </w:rPr>
        <w:t>Peu à peu</w:t>
      </w:r>
      <w:r w:rsidR="00E65435">
        <w:rPr>
          <w:rFonts w:eastAsia="Arial Unicode MS"/>
          <w:bCs/>
          <w:lang w:eastAsia="fr-FR" w:bidi="he-IL"/>
        </w:rPr>
        <w:t xml:space="preserve">, </w:t>
      </w:r>
      <w:r w:rsidRPr="00C8701B">
        <w:rPr>
          <w:rFonts w:eastAsia="Arial Unicode MS"/>
          <w:bCs/>
          <w:lang w:eastAsia="fr-FR" w:bidi="he-IL"/>
        </w:rPr>
        <w:t>ce sens devint le plus fréquent</w:t>
      </w:r>
      <w:r w:rsidR="00C2602D" w:rsidRPr="00C8701B">
        <w:rPr>
          <w:rFonts w:eastAsia="Arial Unicode MS"/>
          <w:bCs/>
          <w:lang w:eastAsia="fr-FR" w:bidi="he-IL"/>
        </w:rPr>
        <w:t> :</w:t>
      </w:r>
      <w:r w:rsidRPr="00C8701B">
        <w:rPr>
          <w:rFonts w:eastAsia="Arial Unicode MS"/>
          <w:bCs/>
          <w:lang w:eastAsia="fr-FR" w:bidi="he-IL"/>
        </w:rPr>
        <w:t xml:space="preserve"> chez les grecs d</w:t>
      </w:r>
      <w:r w:rsidR="00557DE0">
        <w:rPr>
          <w:rFonts w:eastAsia="Arial Unicode MS"/>
          <w:bCs/>
          <w:lang w:eastAsia="fr-FR" w:bidi="he-IL"/>
        </w:rPr>
        <w:t>’</w:t>
      </w:r>
      <w:r w:rsidRPr="00C8701B">
        <w:rPr>
          <w:rFonts w:eastAsia="Arial Unicode MS"/>
          <w:bCs/>
          <w:lang w:eastAsia="fr-FR" w:bidi="he-IL"/>
        </w:rPr>
        <w:t>abord</w:t>
      </w:r>
      <w:r w:rsidR="00E65435">
        <w:rPr>
          <w:rFonts w:eastAsia="Arial Unicode MS"/>
          <w:bCs/>
          <w:lang w:eastAsia="fr-FR" w:bidi="he-IL"/>
        </w:rPr>
        <w:t xml:space="preserve">, </w:t>
      </w:r>
      <w:r w:rsidRPr="00C8701B">
        <w:rPr>
          <w:rFonts w:eastAsia="Arial Unicode MS"/>
          <w:bCs/>
          <w:lang w:eastAsia="fr-FR" w:bidi="he-IL"/>
        </w:rPr>
        <w:t>puis chez les latins</w:t>
      </w:r>
      <w:r w:rsidR="00E37C84">
        <w:rPr>
          <w:rFonts w:eastAsia="Arial Unicode MS"/>
          <w:bCs/>
          <w:lang w:eastAsia="fr-FR" w:bidi="he-IL"/>
        </w:rPr>
        <w:t> </w:t>
      </w:r>
      <w:bookmarkStart w:id="4" w:name="_Ref520298406"/>
      <w:r w:rsidR="0017332F" w:rsidRPr="00C406FF">
        <w:rPr>
          <w:rStyle w:val="Appelnotedebasdep"/>
        </w:rPr>
        <w:footnoteReference w:id="10"/>
      </w:r>
      <w:bookmarkEnd w:id="4"/>
      <w:r w:rsidR="00E65435">
        <w:rPr>
          <w:rFonts w:eastAsia="Arial Unicode MS"/>
          <w:bCs/>
          <w:lang w:eastAsia="fr-FR" w:bidi="he-IL"/>
        </w:rPr>
        <w:t xml:space="preserve">, </w:t>
      </w:r>
      <w:r w:rsidRPr="00C8701B">
        <w:rPr>
          <w:rFonts w:eastAsia="Arial Unicode MS"/>
          <w:bCs/>
          <w:lang w:eastAsia="fr-FR" w:bidi="he-IL"/>
        </w:rPr>
        <w:t xml:space="preserve">et finalement dans toutes les langues issues du latin. </w:t>
      </w:r>
      <w:r w:rsidRPr="00DC4586">
        <w:rPr>
          <w:rStyle w:val="italicus"/>
        </w:rPr>
        <w:t>Le gospel</w:t>
      </w:r>
      <w:r w:rsidRPr="00C8701B">
        <w:rPr>
          <w:rFonts w:eastAsia="Arial Unicode MS"/>
          <w:bCs/>
          <w:lang w:eastAsia="fr-FR" w:bidi="he-IL"/>
        </w:rPr>
        <w:t xml:space="preserve"> des Anglais provient de la double racine saxonne</w:t>
      </w:r>
      <w:r w:rsidRPr="00DC4586">
        <w:rPr>
          <w:rStyle w:val="italicus"/>
        </w:rPr>
        <w:t xml:space="preserve"> god</w:t>
      </w:r>
      <w:r w:rsidR="00E65435">
        <w:rPr>
          <w:rStyle w:val="italicus"/>
        </w:rPr>
        <w:t xml:space="preserve">, </w:t>
      </w:r>
      <w:r w:rsidRPr="00C8701B">
        <w:rPr>
          <w:rFonts w:eastAsia="Arial Unicode MS"/>
          <w:bCs/>
          <w:lang w:eastAsia="fr-FR" w:bidi="he-IL"/>
        </w:rPr>
        <w:t>bonne</w:t>
      </w:r>
      <w:r w:rsidR="00E65435">
        <w:rPr>
          <w:rFonts w:eastAsia="Arial Unicode MS"/>
          <w:bCs/>
          <w:lang w:eastAsia="fr-FR" w:bidi="he-IL"/>
        </w:rPr>
        <w:t xml:space="preserve">, </w:t>
      </w:r>
      <w:r w:rsidRPr="00C8701B">
        <w:rPr>
          <w:rFonts w:eastAsia="Arial Unicode MS"/>
          <w:bCs/>
          <w:lang w:eastAsia="fr-FR" w:bidi="he-IL"/>
        </w:rPr>
        <w:t xml:space="preserve">et </w:t>
      </w:r>
      <w:r w:rsidRPr="00DC4586">
        <w:rPr>
          <w:rStyle w:val="italicus"/>
        </w:rPr>
        <w:t>spell</w:t>
      </w:r>
      <w:r w:rsidR="00E65435">
        <w:rPr>
          <w:rStyle w:val="italicus"/>
        </w:rPr>
        <w:t xml:space="preserve">, </w:t>
      </w:r>
      <w:r w:rsidRPr="00C8701B">
        <w:rPr>
          <w:rFonts w:eastAsia="Arial Unicode MS"/>
          <w:bCs/>
          <w:lang w:eastAsia="fr-FR" w:bidi="he-IL"/>
        </w:rPr>
        <w:t>nouvelle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 donc une simple traduction du nom latin.</w:t>
      </w:r>
      <w:r w:rsidR="00C2602D" w:rsidRPr="00C8701B">
        <w:rPr>
          <w:rFonts w:eastAsia="Arial Unicode MS"/>
          <w:bCs/>
          <w:lang w:eastAsia="fr-FR" w:bidi="he-IL"/>
        </w:rPr>
        <w:t xml:space="preserve"> </w:t>
      </w:r>
      <w:r w:rsidR="000716BB" w:rsidRPr="000716BB">
        <w:rPr>
          <w:rFonts w:eastAsia="Arial Unicode MS"/>
          <w:bCs/>
          <w:lang w:eastAsia="fr-FR" w:bidi="he-IL"/>
        </w:rPr>
        <w:t>{</w:t>
      </w:r>
      <w:bookmarkStart w:id="5" w:name="pag003"/>
      <w:bookmarkEnd w:id="5"/>
      <w:r w:rsidR="000716BB">
        <w:rPr>
          <w:rFonts w:eastAsia="Arial Unicode MS"/>
          <w:bCs/>
          <w:lang w:eastAsia="fr-FR" w:bidi="he-IL"/>
        </w:rPr>
        <w:t>3</w:t>
      </w:r>
      <w:r w:rsidR="000716BB" w:rsidRPr="000716BB">
        <w:rPr>
          <w:rFonts w:eastAsia="Arial Unicode MS"/>
          <w:bCs/>
          <w:lang w:eastAsia="fr-FR" w:bidi="he-IL"/>
        </w:rPr>
        <w:t>}</w:t>
      </w:r>
    </w:p>
    <w:p w:rsidR="00C2602D" w:rsidRPr="00C8701B" w:rsidRDefault="00B704AD" w:rsidP="00C2602D">
      <w:pPr>
        <w:rPr>
          <w:rFonts w:eastAsia="Arial Unicode MS"/>
          <w:bCs/>
          <w:lang w:eastAsia="fr-FR" w:bidi="he-IL"/>
        </w:rPr>
      </w:pPr>
      <w:r w:rsidRPr="00C8701B">
        <w:rPr>
          <w:rFonts w:eastAsia="Arial Unicode MS"/>
          <w:bCs/>
          <w:lang w:eastAsia="fr-FR" w:bidi="he-IL"/>
        </w:rPr>
        <w:t xml:space="preserve">4° Il existait dans le grec classique </w:t>
      </w:r>
      <w:r w:rsidR="00DF4477" w:rsidRPr="00C8701B">
        <w:rPr>
          <w:rFonts w:eastAsia="Arial Unicode MS"/>
          <w:bCs/>
          <w:lang w:eastAsia="fr-FR" w:bidi="he-IL"/>
        </w:rPr>
        <w:t>jusqu</w:t>
      </w:r>
      <w:r w:rsidR="00557DE0">
        <w:rPr>
          <w:rFonts w:eastAsia="Arial Unicode MS"/>
          <w:bCs/>
          <w:vertAlign w:val="superscript"/>
          <w:lang w:eastAsia="fr-FR" w:bidi="he-IL"/>
        </w:rPr>
        <w:t>’</w:t>
      </w:r>
      <w:r w:rsidR="00DF4477" w:rsidRPr="00C8701B">
        <w:rPr>
          <w:rFonts w:eastAsia="Arial Unicode MS"/>
          <w:bCs/>
          <w:lang w:eastAsia="fr-FR" w:bidi="he-IL"/>
        </w:rPr>
        <w:t>a</w:t>
      </w:r>
      <w:r w:rsidRPr="00C8701B">
        <w:rPr>
          <w:rFonts w:eastAsia="Arial Unicode MS"/>
          <w:bCs/>
          <w:lang w:eastAsia="fr-FR" w:bidi="he-IL"/>
        </w:rPr>
        <w:t xml:space="preserve"> dix-</w:t>
      </w:r>
      <w:r w:rsidRPr="00E37C84">
        <w:t>huit expressions dérivées</w:t>
      </w:r>
      <w:r w:rsidR="00E65435" w:rsidRPr="00E37C84">
        <w:t xml:space="preserve">, </w:t>
      </w:r>
      <w:r w:rsidRPr="00E37C84">
        <w:t>comme</w:t>
      </w:r>
      <w:r w:rsidR="00401D7F" w:rsidRPr="00E37C84">
        <w:t xml:space="preserve"> εὐ</w:t>
      </w:r>
      <w:r w:rsidR="00A74F01">
        <w:t>α</w:t>
      </w:r>
      <w:r w:rsidR="00401D7F" w:rsidRPr="00E37C84">
        <w:t>γ</w:t>
      </w:r>
      <w:r w:rsidRPr="00E37C84">
        <w:t>γ</w:t>
      </w:r>
      <w:r w:rsidR="00C771BF">
        <w:t>έ</w:t>
      </w:r>
      <w:r w:rsidRPr="00E37C84">
        <w:t>λιον</w:t>
      </w:r>
      <w:r w:rsidR="00E65435" w:rsidRPr="00E37C84">
        <w:t xml:space="preserve">, </w:t>
      </w:r>
      <w:r w:rsidRPr="00E37C84">
        <w:t xml:space="preserve">des mots </w:t>
      </w:r>
      <w:r w:rsidR="0017332F" w:rsidRPr="00E37C84">
        <w:t>εὖ</w:t>
      </w:r>
      <w:r w:rsidR="00E65435" w:rsidRPr="00E37C84">
        <w:t xml:space="preserve">, </w:t>
      </w:r>
      <w:r w:rsidR="0017332F" w:rsidRPr="00E37C84">
        <w:t>ἀ</w:t>
      </w:r>
      <w:r w:rsidRPr="00E37C84">
        <w:t>γγ</w:t>
      </w:r>
      <w:r w:rsidR="00C771BF">
        <w:t>έ</w:t>
      </w:r>
      <w:r w:rsidRPr="00E37C84">
        <w:t>λλω. Quelques-unes seulement ont</w:t>
      </w:r>
      <w:r w:rsidRPr="00C8701B">
        <w:rPr>
          <w:rFonts w:eastAsia="Arial Unicode MS"/>
          <w:bCs/>
          <w:lang w:eastAsia="fr-FR" w:bidi="he-IL"/>
        </w:rPr>
        <w:t xml:space="preserve"> </w:t>
      </w:r>
      <w:r w:rsidRPr="00E37C84">
        <w:t>passé dans l</w:t>
      </w:r>
      <w:r w:rsidR="00557DE0">
        <w:t>’</w:t>
      </w:r>
      <w:r w:rsidR="00DF4477" w:rsidRPr="00E37C84">
        <w:t>idiome</w:t>
      </w:r>
      <w:r w:rsidRPr="00E37C84">
        <w:t xml:space="preserve"> du Nouveau Testament. Les plus célèbres sont</w:t>
      </w:r>
      <w:r w:rsidR="00401D7F" w:rsidRPr="00E37C84">
        <w:t xml:space="preserve"> εὐ</w:t>
      </w:r>
      <w:r w:rsidR="00A74F01">
        <w:t>α</w:t>
      </w:r>
      <w:r w:rsidR="00401D7F" w:rsidRPr="00E37C84">
        <w:t>γ</w:t>
      </w:r>
      <w:r w:rsidRPr="00E37C84">
        <w:t>γελ</w:t>
      </w:r>
      <w:r w:rsidR="00DB352C">
        <w:t>ί</w:t>
      </w:r>
      <w:r w:rsidRPr="00E37C84">
        <w:t>ζομ</w:t>
      </w:r>
      <w:r w:rsidR="00A74F01">
        <w:t>α</w:t>
      </w:r>
      <w:r w:rsidRPr="00E37C84">
        <w:t>ι</w:t>
      </w:r>
      <w:r w:rsidR="00E65435" w:rsidRPr="00E37C84">
        <w:t xml:space="preserve">, </w:t>
      </w:r>
      <w:r w:rsidRPr="00E37C84">
        <w:t>j</w:t>
      </w:r>
      <w:r w:rsidR="00557DE0">
        <w:t>’</w:t>
      </w:r>
      <w:r w:rsidRPr="00E37C84">
        <w:t xml:space="preserve">évangélise (la </w:t>
      </w:r>
      <w:r w:rsidRPr="00C8701B">
        <w:rPr>
          <w:rFonts w:eastAsia="Arial Unicode MS"/>
          <w:bCs/>
          <w:lang w:eastAsia="fr-FR" w:bidi="he-IL"/>
        </w:rPr>
        <w:t>forme active n</w:t>
      </w:r>
      <w:r w:rsidR="00557DE0">
        <w:rPr>
          <w:rFonts w:eastAsia="Arial Unicode MS"/>
          <w:bCs/>
          <w:lang w:eastAsia="fr-FR" w:bidi="he-IL"/>
        </w:rPr>
        <w:t>’</w:t>
      </w:r>
      <w:r w:rsidR="00DF4477" w:rsidRPr="00C8701B">
        <w:rPr>
          <w:rFonts w:eastAsia="Arial Unicode MS"/>
          <w:bCs/>
          <w:lang w:eastAsia="fr-FR" w:bidi="he-IL"/>
        </w:rPr>
        <w:t>apparait</w:t>
      </w:r>
      <w:r w:rsidRPr="00C8701B">
        <w:rPr>
          <w:rFonts w:eastAsia="Arial Unicode MS"/>
          <w:bCs/>
          <w:lang w:eastAsia="fr-FR" w:bidi="he-IL"/>
        </w:rPr>
        <w:t xml:space="preserve"> qu</w:t>
      </w:r>
      <w:r w:rsidR="00557DE0">
        <w:rPr>
          <w:rFonts w:eastAsia="Arial Unicode MS"/>
          <w:bCs/>
          <w:lang w:eastAsia="fr-FR" w:bidi="he-IL"/>
        </w:rPr>
        <w:t>’</w:t>
      </w:r>
      <w:r w:rsidRPr="00C8701B">
        <w:rPr>
          <w:rFonts w:eastAsia="Arial Unicode MS"/>
          <w:bCs/>
          <w:lang w:eastAsia="fr-FR" w:bidi="he-IL"/>
        </w:rPr>
        <w:t>en deux passages</w:t>
      </w:r>
      <w:r w:rsidR="00C2602D" w:rsidRPr="00C8701B">
        <w:rPr>
          <w:rFonts w:eastAsia="Arial Unicode MS"/>
          <w:bCs/>
          <w:lang w:eastAsia="fr-FR" w:bidi="he-IL"/>
        </w:rPr>
        <w:t> :</w:t>
      </w:r>
      <w:r w:rsidR="0017332F" w:rsidRPr="00C8701B">
        <w:rPr>
          <w:rFonts w:eastAsia="Arial Unicode MS"/>
          <w:bCs/>
          <w:lang w:eastAsia="fr-FR" w:bidi="he-IL"/>
        </w:rPr>
        <w:t xml:space="preserve"> Apoc. </w:t>
      </w:r>
      <w:r w:rsidR="001157C4">
        <w:rPr>
          <w:rFonts w:eastAsia="Arial Unicode MS"/>
          <w:bCs/>
          <w:lang w:eastAsia="fr-FR" w:bidi="he-IL"/>
        </w:rPr>
        <w:t>X</w:t>
      </w:r>
      <w:r w:rsidR="00E65435">
        <w:rPr>
          <w:rFonts w:eastAsia="Arial Unicode MS"/>
          <w:bCs/>
          <w:lang w:eastAsia="fr-FR" w:bidi="he-IL"/>
        </w:rPr>
        <w:t xml:space="preserve">, </w:t>
      </w:r>
      <w:r w:rsidRPr="00C8701B">
        <w:rPr>
          <w:rFonts w:eastAsia="Arial Unicode MS"/>
          <w:bCs/>
          <w:lang w:eastAsia="fr-FR" w:bidi="he-IL"/>
        </w:rPr>
        <w:t>7</w:t>
      </w:r>
      <w:r w:rsidR="00C2602D" w:rsidRPr="00C8701B">
        <w:rPr>
          <w:rFonts w:eastAsia="Arial Unicode MS"/>
          <w:bCs/>
          <w:lang w:eastAsia="fr-FR" w:bidi="he-IL"/>
        </w:rPr>
        <w:t> </w:t>
      </w:r>
      <w:r w:rsidR="007F6508">
        <w:rPr>
          <w:rFonts w:eastAsia="Arial Unicode MS"/>
          <w:bCs/>
          <w:lang w:eastAsia="fr-FR" w:bidi="he-IL"/>
        </w:rPr>
        <w:t xml:space="preserve">; </w:t>
      </w:r>
      <w:r w:rsidR="0017332F" w:rsidRPr="00C8701B">
        <w:rPr>
          <w:rFonts w:eastAsia="Arial Unicode MS"/>
          <w:bCs/>
          <w:lang w:eastAsia="fr-FR" w:bidi="he-IL"/>
        </w:rPr>
        <w:t>XIV</w:t>
      </w:r>
      <w:r w:rsidR="00E65435">
        <w:rPr>
          <w:rFonts w:eastAsia="Arial Unicode MS"/>
          <w:bCs/>
          <w:lang w:eastAsia="fr-FR" w:bidi="he-IL"/>
        </w:rPr>
        <w:t xml:space="preserve">, </w:t>
      </w:r>
      <w:r w:rsidRPr="00C8701B">
        <w:rPr>
          <w:rFonts w:eastAsia="Arial Unicode MS"/>
          <w:bCs/>
          <w:lang w:eastAsia="fr-FR" w:bidi="he-IL"/>
        </w:rPr>
        <w:t>6</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la forme passive</w:t>
      </w:r>
      <w:r w:rsidR="00E65435">
        <w:rPr>
          <w:rFonts w:eastAsia="Arial Unicode MS"/>
          <w:bCs/>
          <w:lang w:eastAsia="fr-FR" w:bidi="he-IL"/>
        </w:rPr>
        <w:t xml:space="preserve">, </w:t>
      </w:r>
      <w:r w:rsidRPr="00C8701B">
        <w:rPr>
          <w:rFonts w:eastAsia="Arial Unicode MS"/>
          <w:bCs/>
          <w:lang w:eastAsia="fr-FR" w:bidi="he-IL"/>
        </w:rPr>
        <w:t>rare aussi</w:t>
      </w:r>
      <w:r w:rsidR="00E65435">
        <w:rPr>
          <w:rFonts w:eastAsia="Arial Unicode MS"/>
          <w:bCs/>
          <w:lang w:eastAsia="fr-FR" w:bidi="he-IL"/>
        </w:rPr>
        <w:t xml:space="preserve">, </w:t>
      </w:r>
      <w:r w:rsidRPr="00C8701B">
        <w:rPr>
          <w:rFonts w:eastAsia="Arial Unicode MS"/>
          <w:bCs/>
          <w:lang w:eastAsia="fr-FR" w:bidi="he-IL"/>
        </w:rPr>
        <w:t>est un peu plus fréquente</w:t>
      </w:r>
      <w:r w:rsidR="00C2602D" w:rsidRPr="00C8701B">
        <w:rPr>
          <w:rFonts w:eastAsia="Arial Unicode MS"/>
          <w:bCs/>
          <w:lang w:eastAsia="fr-FR" w:bidi="he-IL"/>
        </w:rPr>
        <w:t> :</w:t>
      </w:r>
      <w:r w:rsidRPr="00C8701B">
        <w:rPr>
          <w:rFonts w:eastAsia="Arial Unicode MS"/>
          <w:bCs/>
          <w:lang w:eastAsia="fr-FR" w:bidi="he-IL"/>
        </w:rPr>
        <w:t xml:space="preserve"> Luc. </w:t>
      </w:r>
      <w:r w:rsidR="00EF1E04">
        <w:rPr>
          <w:rFonts w:eastAsia="Arial Unicode MS"/>
          <w:bCs/>
          <w:lang w:eastAsia="fr-FR" w:bidi="he-IL"/>
        </w:rPr>
        <w:t>XVI</w:t>
      </w:r>
      <w:r w:rsidR="00E65435">
        <w:rPr>
          <w:rFonts w:eastAsia="Arial Unicode MS"/>
          <w:bCs/>
          <w:lang w:eastAsia="fr-FR" w:bidi="he-IL"/>
        </w:rPr>
        <w:t xml:space="preserve">, </w:t>
      </w:r>
      <w:r w:rsidR="0017332F" w:rsidRPr="00C8701B">
        <w:rPr>
          <w:rFonts w:eastAsia="Arial Unicode MS"/>
          <w:bCs/>
          <w:lang w:eastAsia="fr-FR" w:bidi="he-IL"/>
        </w:rPr>
        <w:t>16 </w:t>
      </w:r>
      <w:r w:rsidR="007F6508">
        <w:rPr>
          <w:rFonts w:eastAsia="Arial Unicode MS"/>
          <w:bCs/>
          <w:lang w:eastAsia="fr-FR" w:bidi="he-IL"/>
        </w:rPr>
        <w:t xml:space="preserve">; </w:t>
      </w:r>
      <w:r w:rsidR="00A71697" w:rsidRPr="00C8701B">
        <w:rPr>
          <w:rFonts w:eastAsia="Arial Unicode MS"/>
          <w:bCs/>
          <w:lang w:eastAsia="fr-FR" w:bidi="he-IL"/>
        </w:rPr>
        <w:t>Gal.</w:t>
      </w:r>
      <w:r w:rsidR="0017332F" w:rsidRPr="00C8701B">
        <w:rPr>
          <w:rFonts w:eastAsia="Arial Unicode MS"/>
          <w:bCs/>
          <w:lang w:eastAsia="fr-FR" w:bidi="he-IL"/>
        </w:rPr>
        <w:t xml:space="preserve"> I</w:t>
      </w:r>
      <w:r w:rsidR="00E65435">
        <w:rPr>
          <w:rFonts w:eastAsia="Arial Unicode MS"/>
          <w:bCs/>
          <w:lang w:eastAsia="fr-FR" w:bidi="he-IL"/>
        </w:rPr>
        <w:t xml:space="preserve">, </w:t>
      </w:r>
      <w:r w:rsidR="0017332F" w:rsidRPr="00C8701B">
        <w:rPr>
          <w:rFonts w:eastAsia="Arial Unicode MS"/>
          <w:bCs/>
          <w:lang w:eastAsia="fr-FR" w:bidi="he-IL"/>
        </w:rPr>
        <w:t>1</w:t>
      </w:r>
      <w:r w:rsidRPr="00C8701B">
        <w:rPr>
          <w:rFonts w:eastAsia="Arial Unicode MS"/>
          <w:bCs/>
          <w:lang w:eastAsia="fr-FR" w:bidi="he-IL"/>
        </w:rPr>
        <w:t>1</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Hebr</w:t>
      </w:r>
      <w:r w:rsidR="001157C4">
        <w:rPr>
          <w:rFonts w:eastAsia="Arial Unicode MS"/>
          <w:bCs/>
          <w:lang w:eastAsia="fr-FR" w:bidi="he-IL"/>
        </w:rPr>
        <w:t xml:space="preserve">. </w:t>
      </w:r>
      <w:r w:rsidR="0096281A">
        <w:rPr>
          <w:rFonts w:eastAsia="Arial Unicode MS"/>
          <w:bCs/>
          <w:lang w:eastAsia="fr-FR" w:bidi="he-IL"/>
        </w:rPr>
        <w:t>IV</w:t>
      </w:r>
      <w:r w:rsidR="001157C4">
        <w:rPr>
          <w:rFonts w:eastAsia="Arial Unicode MS"/>
          <w:bCs/>
          <w:lang w:eastAsia="fr-FR" w:bidi="he-IL"/>
        </w:rPr>
        <w:t>,</w:t>
      </w:r>
      <w:r w:rsidR="00E65435">
        <w:rPr>
          <w:rFonts w:eastAsia="Arial Unicode MS"/>
          <w:bCs/>
          <w:lang w:eastAsia="fr-FR" w:bidi="he-IL"/>
        </w:rPr>
        <w:t xml:space="preserve"> </w:t>
      </w:r>
      <w:r w:rsidRPr="00C8701B">
        <w:rPr>
          <w:rFonts w:eastAsia="Arial Unicode MS"/>
          <w:bCs/>
          <w:lang w:eastAsia="fr-FR" w:bidi="he-IL"/>
        </w:rPr>
        <w:t>2</w:t>
      </w:r>
      <w:r w:rsidR="00E65435">
        <w:rPr>
          <w:rFonts w:eastAsia="Arial Unicode MS"/>
          <w:bCs/>
          <w:lang w:eastAsia="fr-FR" w:bidi="he-IL"/>
        </w:rPr>
        <w:t xml:space="preserve">, </w:t>
      </w:r>
      <w:r w:rsidRPr="00C8701B">
        <w:rPr>
          <w:rFonts w:eastAsia="Arial Unicode MS"/>
          <w:bCs/>
          <w:lang w:eastAsia="fr-FR" w:bidi="he-IL"/>
        </w:rPr>
        <w:t>6</w:t>
      </w:r>
      <w:r w:rsidR="00E65435">
        <w:rPr>
          <w:rFonts w:eastAsia="Arial Unicode MS"/>
          <w:bCs/>
          <w:lang w:eastAsia="fr-FR" w:bidi="he-IL"/>
        </w:rPr>
        <w:t xml:space="preserve">, </w:t>
      </w:r>
      <w:r w:rsidRPr="00C8701B">
        <w:rPr>
          <w:rFonts w:eastAsia="Arial Unicode MS"/>
          <w:bCs/>
          <w:lang w:eastAsia="fr-FR" w:bidi="he-IL"/>
        </w:rPr>
        <w:t>etc.)</w:t>
      </w:r>
      <w:r w:rsidR="00C2602D" w:rsidRPr="00C8701B">
        <w:rPr>
          <w:rFonts w:eastAsia="Arial Unicode MS"/>
          <w:bCs/>
          <w:lang w:eastAsia="fr-FR" w:bidi="he-IL"/>
        </w:rPr>
        <w:t> </w:t>
      </w:r>
      <w:r w:rsidR="007F6508">
        <w:rPr>
          <w:rFonts w:eastAsia="Arial Unicode MS"/>
          <w:bCs/>
          <w:lang w:eastAsia="fr-FR" w:bidi="he-IL"/>
        </w:rPr>
        <w:t xml:space="preserve">; </w:t>
      </w:r>
      <w:r w:rsidR="0017332F" w:rsidRPr="00E37C84">
        <w:t>π</w:t>
      </w:r>
      <w:r w:rsidRPr="00E37C84">
        <w:t>ρο</w:t>
      </w:r>
      <w:r w:rsidR="00F12048" w:rsidRPr="00E37C84">
        <w:t>ε</w:t>
      </w:r>
      <w:r w:rsidR="0017332F" w:rsidRPr="00E37C84">
        <w:t>ὐ</w:t>
      </w:r>
      <w:r w:rsidR="00A74F01">
        <w:t>α</w:t>
      </w:r>
      <w:r w:rsidR="00F12048" w:rsidRPr="00E37C84">
        <w:t>γ</w:t>
      </w:r>
      <w:r w:rsidRPr="00E37C84">
        <w:t>γελ</w:t>
      </w:r>
      <w:r w:rsidR="00DB352C">
        <w:t>ί</w:t>
      </w:r>
      <w:r w:rsidRPr="00E37C84">
        <w:t>ζομ</w:t>
      </w:r>
      <w:r w:rsidR="00A74F01">
        <w:t>α</w:t>
      </w:r>
      <w:r w:rsidRPr="00E37C84">
        <w:t>ι</w:t>
      </w:r>
      <w:r w:rsidR="00E65435" w:rsidRPr="00E37C84">
        <w:t xml:space="preserve">, </w:t>
      </w:r>
      <w:r w:rsidRPr="00C8701B">
        <w:rPr>
          <w:rFonts w:eastAsia="Arial Unicode MS"/>
          <w:bCs/>
          <w:lang w:eastAsia="fr-FR" w:bidi="he-IL"/>
        </w:rPr>
        <w:t>j</w:t>
      </w:r>
      <w:r w:rsidR="00557DE0">
        <w:rPr>
          <w:rFonts w:eastAsia="Arial Unicode MS"/>
          <w:bCs/>
          <w:lang w:eastAsia="fr-FR" w:bidi="he-IL"/>
        </w:rPr>
        <w:t>’</w:t>
      </w:r>
      <w:r w:rsidRPr="00C8701B">
        <w:rPr>
          <w:rFonts w:eastAsia="Arial Unicode MS"/>
          <w:bCs/>
          <w:lang w:eastAsia="fr-FR" w:bidi="he-IL"/>
        </w:rPr>
        <w:t>annonce d</w:t>
      </w:r>
      <w:r w:rsidR="00557DE0">
        <w:rPr>
          <w:rFonts w:eastAsia="Arial Unicode MS"/>
          <w:bCs/>
          <w:lang w:eastAsia="fr-FR" w:bidi="he-IL"/>
        </w:rPr>
        <w:t>’</w:t>
      </w:r>
      <w:r w:rsidRPr="00C8701B">
        <w:rPr>
          <w:rFonts w:eastAsia="Arial Unicode MS"/>
          <w:bCs/>
          <w:lang w:eastAsia="fr-FR" w:bidi="he-IL"/>
        </w:rPr>
        <w:t>avance la bonne nouvelle (</w:t>
      </w:r>
      <w:r w:rsidR="0017332F" w:rsidRPr="00C8701B">
        <w:rPr>
          <w:rFonts w:eastAsia="Arial Unicode MS"/>
          <w:bCs/>
          <w:lang w:eastAsia="fr-FR" w:bidi="he-IL"/>
        </w:rPr>
        <w:t>Gal</w:t>
      </w:r>
      <w:r w:rsidRPr="00C8701B">
        <w:rPr>
          <w:rFonts w:eastAsia="Arial Unicode MS"/>
          <w:bCs/>
          <w:lang w:eastAsia="fr-FR" w:bidi="he-IL"/>
        </w:rPr>
        <w:t>.</w:t>
      </w:r>
      <w:r w:rsidR="0017332F" w:rsidRPr="00C8701B">
        <w:rPr>
          <w:rFonts w:eastAsia="Arial Unicode MS"/>
          <w:bCs/>
          <w:lang w:eastAsia="fr-FR" w:bidi="he-IL"/>
        </w:rPr>
        <w:t xml:space="preserve"> III</w:t>
      </w:r>
      <w:r w:rsidR="00E65435">
        <w:rPr>
          <w:rFonts w:eastAsia="Arial Unicode MS"/>
          <w:bCs/>
          <w:lang w:eastAsia="fr-FR" w:bidi="he-IL"/>
        </w:rPr>
        <w:t xml:space="preserve">, </w:t>
      </w:r>
      <w:r w:rsidRPr="00C8701B">
        <w:rPr>
          <w:rFonts w:eastAsia="Arial Unicode MS"/>
          <w:bCs/>
          <w:lang w:eastAsia="fr-FR" w:bidi="he-IL"/>
        </w:rPr>
        <w:t>8)</w:t>
      </w:r>
      <w:r w:rsidR="00E37C84">
        <w:rPr>
          <w:rFonts w:eastAsia="Arial Unicode MS"/>
          <w:bCs/>
          <w:lang w:eastAsia="fr-FR" w:bidi="he-IL"/>
        </w:rPr>
        <w:t> </w:t>
      </w:r>
      <w:r w:rsidR="0017332F" w:rsidRPr="00C406FF">
        <w:rPr>
          <w:rStyle w:val="Appelnotedebasdep"/>
        </w:rPr>
        <w:footnoteReference w:id="11"/>
      </w:r>
      <w:r w:rsidR="00C2602D" w:rsidRPr="00C8701B">
        <w:rPr>
          <w:rFonts w:eastAsia="Arial Unicode MS"/>
          <w:bCs/>
          <w:lang w:eastAsia="fr-FR" w:bidi="he-IL"/>
        </w:rPr>
        <w:t> </w:t>
      </w:r>
      <w:r w:rsidR="007F6508">
        <w:rPr>
          <w:rFonts w:eastAsia="Arial Unicode MS"/>
          <w:bCs/>
          <w:lang w:eastAsia="fr-FR" w:bidi="he-IL"/>
        </w:rPr>
        <w:t>;</w:t>
      </w:r>
      <w:r w:rsidR="007F6508" w:rsidRPr="00E37C84">
        <w:t xml:space="preserve"> </w:t>
      </w:r>
      <w:r w:rsidR="00401D7F" w:rsidRPr="00E37C84">
        <w:t>εὐ</w:t>
      </w:r>
      <w:r w:rsidR="00A74F01">
        <w:t>α</w:t>
      </w:r>
      <w:r w:rsidR="00401D7F" w:rsidRPr="00E37C84">
        <w:t>γ</w:t>
      </w:r>
      <w:r w:rsidRPr="00E37C84">
        <w:t>γελιστ</w:t>
      </w:r>
      <w:r w:rsidR="00C151D4">
        <w:t>ή</w:t>
      </w:r>
      <w:r w:rsidRPr="00E37C84">
        <w:t>ς</w:t>
      </w:r>
      <w:r w:rsidR="00E65435" w:rsidRPr="00E37C84">
        <w:t xml:space="preserve">, </w:t>
      </w:r>
      <w:r w:rsidR="0017332F" w:rsidRPr="00E37C84">
        <w:t>évangé</w:t>
      </w:r>
      <w:r w:rsidRPr="00E37C84">
        <w:t>liste</w:t>
      </w:r>
      <w:r w:rsidR="00E65435" w:rsidRPr="00E37C84">
        <w:t xml:space="preserve">, </w:t>
      </w:r>
      <w:r w:rsidRPr="00E37C84">
        <w:t xml:space="preserve">ou prédicateur de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évangile (cf. Act.</w:t>
      </w:r>
      <w:r w:rsidR="0017332F" w:rsidRPr="00C8701B">
        <w:rPr>
          <w:rFonts w:eastAsia="Arial Unicode MS"/>
          <w:bCs/>
          <w:lang w:eastAsia="fr-FR" w:bidi="he-IL"/>
        </w:rPr>
        <w:t xml:space="preserve"> XXI</w:t>
      </w:r>
      <w:r w:rsidR="00E65435">
        <w:rPr>
          <w:rFonts w:eastAsia="Arial Unicode MS"/>
          <w:bCs/>
          <w:lang w:eastAsia="fr-FR" w:bidi="he-IL"/>
        </w:rPr>
        <w:t xml:space="preserve">, </w:t>
      </w:r>
      <w:r w:rsidRPr="00C8701B">
        <w:rPr>
          <w:rFonts w:eastAsia="Arial Unicode MS"/>
          <w:bCs/>
          <w:lang w:eastAsia="fr-FR" w:bidi="he-IL"/>
        </w:rPr>
        <w:t>8</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Eph</w:t>
      </w:r>
      <w:r w:rsidR="001157C4">
        <w:rPr>
          <w:rFonts w:eastAsia="Arial Unicode MS"/>
          <w:bCs/>
          <w:lang w:eastAsia="fr-FR" w:bidi="he-IL"/>
        </w:rPr>
        <w:t xml:space="preserve">. </w:t>
      </w:r>
      <w:r w:rsidR="0096281A">
        <w:rPr>
          <w:rFonts w:eastAsia="Arial Unicode MS"/>
          <w:bCs/>
          <w:lang w:eastAsia="fr-FR" w:bidi="he-IL"/>
        </w:rPr>
        <w:t>IV</w:t>
      </w:r>
      <w:r w:rsidR="001157C4">
        <w:rPr>
          <w:rFonts w:eastAsia="Arial Unicode MS"/>
          <w:bCs/>
          <w:lang w:eastAsia="fr-FR" w:bidi="he-IL"/>
        </w:rPr>
        <w:t>,</w:t>
      </w:r>
      <w:r w:rsidR="00E65435">
        <w:rPr>
          <w:rFonts w:eastAsia="Arial Unicode MS"/>
          <w:bCs/>
          <w:lang w:eastAsia="fr-FR" w:bidi="he-IL"/>
        </w:rPr>
        <w:t xml:space="preserve"> </w:t>
      </w:r>
      <w:r w:rsidRPr="00C8701B">
        <w:rPr>
          <w:rFonts w:eastAsia="Arial Unicode MS"/>
          <w:bCs/>
          <w:lang w:eastAsia="fr-FR" w:bidi="he-IL"/>
        </w:rPr>
        <w:t>11</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II Tim</w:t>
      </w:r>
      <w:r w:rsidR="001157C4">
        <w:rPr>
          <w:rFonts w:eastAsia="Arial Unicode MS"/>
          <w:bCs/>
          <w:lang w:eastAsia="fr-FR" w:bidi="he-IL"/>
        </w:rPr>
        <w:t xml:space="preserve">. </w:t>
      </w:r>
      <w:r w:rsidR="0096281A">
        <w:rPr>
          <w:rFonts w:eastAsia="Arial Unicode MS"/>
          <w:bCs/>
          <w:lang w:eastAsia="fr-FR" w:bidi="he-IL"/>
        </w:rPr>
        <w:t>IV</w:t>
      </w:r>
      <w:r w:rsidR="001157C4">
        <w:rPr>
          <w:rFonts w:eastAsia="Arial Unicode MS"/>
          <w:bCs/>
          <w:lang w:eastAsia="fr-FR" w:bidi="he-IL"/>
        </w:rPr>
        <w:t>,</w:t>
      </w:r>
      <w:r w:rsidR="00E65435">
        <w:rPr>
          <w:rFonts w:eastAsia="Arial Unicode MS"/>
          <w:bCs/>
          <w:lang w:eastAsia="fr-FR" w:bidi="he-IL"/>
        </w:rPr>
        <w:t xml:space="preserve"> </w:t>
      </w:r>
      <w:r w:rsidR="0017332F" w:rsidRPr="00C8701B">
        <w:rPr>
          <w:rFonts w:eastAsia="Arial Unicode MS"/>
          <w:bCs/>
          <w:lang w:eastAsia="fr-FR" w:bidi="he-IL"/>
        </w:rPr>
        <w:t>5</w:t>
      </w:r>
      <w:r w:rsidRPr="00C8701B">
        <w:rPr>
          <w:rFonts w:eastAsia="Arial Unicode MS"/>
          <w:bCs/>
          <w:lang w:eastAsia="fr-FR" w:bidi="he-IL"/>
        </w:rPr>
        <w:t>).</w:t>
      </w:r>
      <w:r w:rsidR="00C2602D" w:rsidRPr="00C8701B">
        <w:rPr>
          <w:rFonts w:eastAsia="Arial Unicode MS"/>
          <w:bCs/>
          <w:lang w:eastAsia="fr-FR" w:bidi="he-IL"/>
        </w:rPr>
        <w:t xml:space="preserve"> </w:t>
      </w:r>
    </w:p>
    <w:p w:rsidR="00E37C84" w:rsidRDefault="00B704AD" w:rsidP="003A68DB">
      <w:pPr>
        <w:pStyle w:val="Titre4"/>
        <w:rPr>
          <w:lang w:eastAsia="fr-FR" w:bidi="he-IL"/>
        </w:rPr>
      </w:pPr>
      <w:bookmarkStart w:id="6" w:name="_Toc526755716"/>
      <w:r w:rsidRPr="00C8701B">
        <w:rPr>
          <w:lang w:eastAsia="fr-FR" w:bidi="he-IL"/>
        </w:rPr>
        <w:t>§ II.</w:t>
      </w:r>
      <w:r w:rsidR="000F7DAA">
        <w:rPr>
          <w:lang w:eastAsia="fr-FR" w:bidi="he-IL"/>
        </w:rPr>
        <w:t xml:space="preserve"> —</w:t>
      </w:r>
      <w:r w:rsidR="008D0642">
        <w:rPr>
          <w:lang w:eastAsia="fr-FR" w:bidi="he-IL"/>
        </w:rPr>
        <w:t xml:space="preserve"> </w:t>
      </w:r>
      <w:r w:rsidRPr="00C8701B">
        <w:rPr>
          <w:lang w:eastAsia="fr-FR" w:bidi="he-IL"/>
        </w:rPr>
        <w:t>LE NOMBRE DES ÉVANGILES</w:t>
      </w:r>
      <w:bookmarkStart w:id="7" w:name="evin02"/>
      <w:bookmarkEnd w:id="6"/>
      <w:bookmarkEnd w:id="7"/>
    </w:p>
    <w:p w:rsidR="00C2602D" w:rsidRPr="00C8701B" w:rsidRDefault="00B704AD" w:rsidP="00C2602D">
      <w:pPr>
        <w:rPr>
          <w:rFonts w:eastAsia="Arial Unicode MS"/>
          <w:bCs/>
          <w:lang w:eastAsia="fr-FR" w:bidi="he-IL"/>
        </w:rPr>
      </w:pPr>
      <w:r w:rsidRPr="00C8701B">
        <w:rPr>
          <w:rFonts w:eastAsia="Arial Unicode MS"/>
          <w:bCs/>
          <w:lang w:eastAsia="fr-FR" w:bidi="he-IL"/>
        </w:rPr>
        <w:t>1° En réalité</w:t>
      </w:r>
      <w:r w:rsidR="00E65435">
        <w:rPr>
          <w:rFonts w:eastAsia="Arial Unicode MS"/>
          <w:bCs/>
          <w:lang w:eastAsia="fr-FR" w:bidi="he-IL"/>
        </w:rPr>
        <w:t xml:space="preserve">, </w:t>
      </w:r>
      <w:r w:rsidRPr="00C8701B">
        <w:rPr>
          <w:rFonts w:eastAsia="Arial Unicode MS"/>
          <w:bCs/>
          <w:lang w:eastAsia="fr-FR" w:bidi="he-IL"/>
        </w:rPr>
        <w:t>et selon toute la rigueur du terme</w:t>
      </w:r>
      <w:r w:rsidR="00E65435">
        <w:rPr>
          <w:rFonts w:eastAsia="Arial Unicode MS"/>
          <w:bCs/>
          <w:lang w:eastAsia="fr-FR" w:bidi="he-IL"/>
        </w:rPr>
        <w:t xml:space="preserve">, </w:t>
      </w:r>
      <w:r w:rsidRPr="00C8701B">
        <w:rPr>
          <w:rFonts w:eastAsia="Arial Unicode MS"/>
          <w:bCs/>
          <w:lang w:eastAsia="fr-FR" w:bidi="he-IL"/>
        </w:rPr>
        <w:t>il n</w:t>
      </w:r>
      <w:r w:rsidR="00557DE0">
        <w:rPr>
          <w:rFonts w:eastAsia="Arial Unicode MS"/>
          <w:bCs/>
          <w:lang w:eastAsia="fr-FR" w:bidi="he-IL"/>
        </w:rPr>
        <w:t>’</w:t>
      </w:r>
      <w:r w:rsidRPr="00C8701B">
        <w:rPr>
          <w:rFonts w:eastAsia="Arial Unicode MS"/>
          <w:bCs/>
          <w:lang w:eastAsia="fr-FR" w:bidi="he-IL"/>
        </w:rPr>
        <w:t>y a qu</w:t>
      </w:r>
      <w:r w:rsidR="00557DE0">
        <w:rPr>
          <w:rFonts w:eastAsia="Arial Unicode MS"/>
          <w:bCs/>
          <w:lang w:eastAsia="fr-FR" w:bidi="he-IL"/>
        </w:rPr>
        <w:t>’</w:t>
      </w:r>
      <w:r w:rsidRPr="00C8701B">
        <w:rPr>
          <w:rFonts w:eastAsia="Arial Unicode MS"/>
          <w:bCs/>
          <w:lang w:eastAsia="fr-FR" w:bidi="he-IL"/>
        </w:rPr>
        <w:t>un seul évangile</w:t>
      </w:r>
      <w:r w:rsidR="00E65435">
        <w:rPr>
          <w:rFonts w:eastAsia="Arial Unicode MS"/>
          <w:bCs/>
          <w:lang w:eastAsia="fr-FR" w:bidi="he-IL"/>
        </w:rPr>
        <w:t xml:space="preserve">, </w:t>
      </w:r>
      <w:r w:rsidRPr="00C8701B">
        <w:rPr>
          <w:rFonts w:eastAsia="Arial Unicode MS"/>
          <w:bCs/>
          <w:lang w:eastAsia="fr-FR" w:bidi="he-IL"/>
        </w:rPr>
        <w:t>de même qu</w:t>
      </w:r>
      <w:r w:rsidR="00557DE0">
        <w:rPr>
          <w:rFonts w:eastAsia="Arial Unicode MS"/>
          <w:bCs/>
          <w:lang w:eastAsia="fr-FR" w:bidi="he-IL"/>
        </w:rPr>
        <w:t>’</w:t>
      </w:r>
      <w:r w:rsidRPr="00C8701B">
        <w:rPr>
          <w:rFonts w:eastAsia="Arial Unicode MS"/>
          <w:bCs/>
          <w:lang w:eastAsia="fr-FR" w:bidi="he-IL"/>
        </w:rPr>
        <w:t>il n</w:t>
      </w:r>
      <w:r w:rsidR="00557DE0">
        <w:rPr>
          <w:rFonts w:eastAsia="Arial Unicode MS"/>
          <w:bCs/>
          <w:lang w:eastAsia="fr-FR" w:bidi="he-IL"/>
        </w:rPr>
        <w:t>’</w:t>
      </w:r>
      <w:r w:rsidRPr="00C8701B">
        <w:rPr>
          <w:rFonts w:eastAsia="Arial Unicode MS"/>
          <w:bCs/>
          <w:lang w:eastAsia="fr-FR" w:bidi="he-IL"/>
        </w:rPr>
        <w:t>existe qu</w:t>
      </w:r>
      <w:r w:rsidR="00557DE0">
        <w:rPr>
          <w:rFonts w:eastAsia="Arial Unicode MS"/>
          <w:bCs/>
          <w:lang w:eastAsia="fr-FR" w:bidi="he-IL"/>
        </w:rPr>
        <w:t>’</w:t>
      </w:r>
      <w:r w:rsidRPr="00C8701B">
        <w:rPr>
          <w:rFonts w:eastAsia="Arial Unicode MS"/>
          <w:bCs/>
          <w:lang w:eastAsia="fr-FR" w:bidi="he-IL"/>
        </w:rPr>
        <w:t>une seule bonne nouvelle.</w:t>
      </w:r>
      <w:r w:rsidR="00C2602D" w:rsidRPr="00C8701B">
        <w:rPr>
          <w:rFonts w:eastAsia="Arial Unicode MS"/>
          <w:bCs/>
          <w:lang w:eastAsia="fr-FR" w:bidi="he-IL"/>
        </w:rPr>
        <w:t xml:space="preserve"> </w:t>
      </w:r>
    </w:p>
    <w:p w:rsidR="00C2602D" w:rsidRPr="00E37C84" w:rsidRDefault="00B704AD" w:rsidP="00C2602D">
      <w:r w:rsidRPr="00C8701B">
        <w:rPr>
          <w:rFonts w:eastAsia="Arial Unicode MS"/>
          <w:bCs/>
          <w:lang w:eastAsia="fr-FR" w:bidi="he-IL"/>
        </w:rPr>
        <w:t>Les Pères aimaient à insister sur cette idée</w:t>
      </w:r>
      <w:r w:rsidR="00E65435">
        <w:rPr>
          <w:rFonts w:eastAsia="Arial Unicode MS"/>
          <w:bCs/>
          <w:lang w:eastAsia="fr-FR" w:bidi="he-IL"/>
        </w:rPr>
        <w:t xml:space="preserve">, </w:t>
      </w:r>
      <w:r w:rsidRPr="00C8701B">
        <w:rPr>
          <w:rFonts w:eastAsia="Arial Unicode MS"/>
          <w:bCs/>
          <w:lang w:eastAsia="fr-FR" w:bidi="he-IL"/>
        </w:rPr>
        <w:t>riche et profonde.</w:t>
      </w:r>
      <w:r w:rsidR="00C2602D" w:rsidRPr="00C8701B">
        <w:rPr>
          <w:rFonts w:eastAsia="Arial Unicode MS"/>
          <w:bCs/>
          <w:lang w:eastAsia="fr-FR" w:bidi="he-IL"/>
        </w:rPr>
        <w:t xml:space="preserve"> </w:t>
      </w:r>
    </w:p>
    <w:p w:rsidR="00C2602D" w:rsidRPr="00C8701B" w:rsidRDefault="00C2602D" w:rsidP="00E37C84">
      <w:pPr>
        <w:rPr>
          <w:lang w:eastAsia="fr-FR" w:bidi="he-IL"/>
        </w:rPr>
      </w:pPr>
      <w:r w:rsidRPr="00C8701B">
        <w:rPr>
          <w:lang w:eastAsia="fr-FR" w:bidi="he-IL"/>
        </w:rPr>
        <w:lastRenderedPageBreak/>
        <w:t>« </w:t>
      </w:r>
      <w:r w:rsidR="00B704AD" w:rsidRPr="00C8701B">
        <w:rPr>
          <w:lang w:eastAsia="fr-FR" w:bidi="he-IL"/>
        </w:rPr>
        <w:t>Le Christ</w:t>
      </w:r>
      <w:r w:rsidR="00E65435">
        <w:rPr>
          <w:lang w:eastAsia="fr-FR" w:bidi="he-IL"/>
        </w:rPr>
        <w:t xml:space="preserve">, </w:t>
      </w:r>
      <w:r w:rsidR="00B704AD" w:rsidRPr="00C8701B">
        <w:rPr>
          <w:lang w:eastAsia="fr-FR" w:bidi="he-IL"/>
        </w:rPr>
        <w:t>di</w:t>
      </w:r>
      <w:r w:rsidR="00E37C84">
        <w:rPr>
          <w:lang w:eastAsia="fr-FR" w:bidi="he-IL"/>
        </w:rPr>
        <w:t>t S. Iré</w:t>
      </w:r>
      <w:r w:rsidR="00B704AD" w:rsidRPr="00C8701B">
        <w:rPr>
          <w:lang w:eastAsia="fr-FR" w:bidi="he-IL"/>
        </w:rPr>
        <w:t>née</w:t>
      </w:r>
      <w:r w:rsidR="00933C60" w:rsidRPr="00C406FF">
        <w:rPr>
          <w:rStyle w:val="Appelnotedebasdep"/>
        </w:rPr>
        <w:footnoteReference w:id="12"/>
      </w:r>
      <w:r w:rsidR="00E65435">
        <w:rPr>
          <w:lang w:eastAsia="fr-FR" w:bidi="he-IL"/>
        </w:rPr>
        <w:t xml:space="preserve">, </w:t>
      </w:r>
      <w:r w:rsidR="00B704AD" w:rsidRPr="00C8701B">
        <w:rPr>
          <w:lang w:eastAsia="fr-FR" w:bidi="he-IL"/>
        </w:rPr>
        <w:t>nous a donné un évangile sous quatre fo</w:t>
      </w:r>
      <w:r w:rsidR="00B704AD" w:rsidRPr="00E37C84">
        <w:t>rmes</w:t>
      </w:r>
      <w:r w:rsidRPr="00E37C84">
        <w:t> »</w:t>
      </w:r>
      <w:r w:rsidR="00B704AD" w:rsidRPr="00E37C84">
        <w:t xml:space="preserve"> (τετρ</w:t>
      </w:r>
      <w:r w:rsidR="00CD3C57">
        <w:t>ά</w:t>
      </w:r>
      <w:r w:rsidR="00B704AD" w:rsidRPr="00E37C84">
        <w:t xml:space="preserve">μορφον </w:t>
      </w:r>
      <w:r w:rsidR="00CE226F" w:rsidRPr="00E37C84">
        <w:t>τὸ</w:t>
      </w:r>
      <w:r w:rsidR="00401D7F" w:rsidRPr="00E37C84">
        <w:t xml:space="preserve"> εὐ</w:t>
      </w:r>
      <w:r w:rsidR="00A74F01">
        <w:t>α</w:t>
      </w:r>
      <w:r w:rsidR="00401D7F" w:rsidRPr="00E37C84">
        <w:t>γ</w:t>
      </w:r>
      <w:r w:rsidR="00B704AD" w:rsidRPr="00E37C84">
        <w:t>γ</w:t>
      </w:r>
      <w:r w:rsidR="00C771BF">
        <w:t>έ</w:t>
      </w:r>
      <w:r w:rsidR="00B704AD" w:rsidRPr="00E37C84">
        <w:t>λιον). Origène aff</w:t>
      </w:r>
      <w:r w:rsidR="00B704AD" w:rsidRPr="00C8701B">
        <w:rPr>
          <w:lang w:eastAsia="fr-FR" w:bidi="he-IL"/>
        </w:rPr>
        <w:t>irme</w:t>
      </w:r>
      <w:r w:rsidR="00933C60" w:rsidRPr="00C406FF">
        <w:rPr>
          <w:rStyle w:val="Appelnotedebasdep"/>
        </w:rPr>
        <w:footnoteReference w:id="13"/>
      </w:r>
      <w:r w:rsidR="00B704AD" w:rsidRPr="00C8701B">
        <w:rPr>
          <w:lang w:eastAsia="fr-FR" w:bidi="he-IL"/>
        </w:rPr>
        <w:t xml:space="preserve"> que </w:t>
      </w:r>
      <w:r w:rsidRPr="00C8701B">
        <w:rPr>
          <w:lang w:eastAsia="fr-FR" w:bidi="he-IL"/>
        </w:rPr>
        <w:t>« </w:t>
      </w:r>
      <w:r w:rsidR="00B704AD" w:rsidRPr="00C8701B">
        <w:rPr>
          <w:lang w:eastAsia="fr-FR" w:bidi="he-IL"/>
        </w:rPr>
        <w:t>l</w:t>
      </w:r>
      <w:r w:rsidR="00557DE0">
        <w:rPr>
          <w:lang w:eastAsia="fr-FR" w:bidi="he-IL"/>
        </w:rPr>
        <w:t>’</w:t>
      </w:r>
      <w:r w:rsidR="00B704AD" w:rsidRPr="00C8701B">
        <w:rPr>
          <w:lang w:eastAsia="fr-FR" w:bidi="he-IL"/>
        </w:rPr>
        <w:t>évangile est unique en vérité</w:t>
      </w:r>
      <w:r w:rsidR="00E65435">
        <w:rPr>
          <w:lang w:eastAsia="fr-FR" w:bidi="he-IL"/>
        </w:rPr>
        <w:t xml:space="preserve">, </w:t>
      </w:r>
      <w:r w:rsidR="00B704AD" w:rsidRPr="00C8701B">
        <w:rPr>
          <w:lang w:eastAsia="fr-FR" w:bidi="he-IL"/>
        </w:rPr>
        <w:t>quoiqu</w:t>
      </w:r>
      <w:r w:rsidR="00557DE0">
        <w:rPr>
          <w:lang w:eastAsia="fr-FR" w:bidi="he-IL"/>
        </w:rPr>
        <w:t>’</w:t>
      </w:r>
      <w:r w:rsidR="00B704AD" w:rsidRPr="00C8701B">
        <w:rPr>
          <w:lang w:eastAsia="fr-FR" w:bidi="he-IL"/>
        </w:rPr>
        <w:t>il provienne de quatre écrivains</w:t>
      </w:r>
      <w:r w:rsidRPr="00C8701B">
        <w:rPr>
          <w:lang w:eastAsia="fr-FR" w:bidi="he-IL"/>
        </w:rPr>
        <w:t> »</w:t>
      </w:r>
      <w:r w:rsidR="00B704AD" w:rsidRPr="00C8701B">
        <w:rPr>
          <w:lang w:eastAsia="fr-FR" w:bidi="he-IL"/>
        </w:rPr>
        <w:t xml:space="preserve"> </w:t>
      </w:r>
      <w:r w:rsidR="00B704AD" w:rsidRPr="00C8701B">
        <w:rPr>
          <w:lang w:val="el-GR" w:eastAsia="fr-FR" w:bidi="he-IL"/>
        </w:rPr>
        <w:t>(</w:t>
      </w:r>
      <w:r w:rsidR="00CE226F" w:rsidRPr="00E37C84">
        <w:t>τὸ</w:t>
      </w:r>
      <w:r w:rsidR="00B704AD" w:rsidRPr="00E37C84">
        <w:t xml:space="preserve"> </w:t>
      </w:r>
      <w:r w:rsidR="00A25B88" w:rsidRPr="00E37C84">
        <w:t>ἀ</w:t>
      </w:r>
      <w:r w:rsidR="00E37C84">
        <w:t>ληθῶ</w:t>
      </w:r>
      <w:r w:rsidR="00B704AD" w:rsidRPr="00E37C84">
        <w:t xml:space="preserve">ς </w:t>
      </w:r>
      <w:r w:rsidR="00E37C84">
        <w:t>δι</w:t>
      </w:r>
      <w:r w:rsidR="00116664">
        <w:t>ὰ</w:t>
      </w:r>
      <w:r w:rsidR="00B704AD" w:rsidRPr="00E37C84">
        <w:t xml:space="preserve"> τεσσ</w:t>
      </w:r>
      <w:r w:rsidR="00CD3C57">
        <w:t>ά</w:t>
      </w:r>
      <w:r w:rsidR="00B704AD" w:rsidRPr="00E37C84">
        <w:t xml:space="preserve">ρων </w:t>
      </w:r>
      <w:r w:rsidR="00E37C84" w:rsidRPr="00E37C84">
        <w:t>ἕν</w:t>
      </w:r>
      <w:r w:rsidR="00B704AD" w:rsidRPr="00E37C84">
        <w:t xml:space="preserve"> </w:t>
      </w:r>
      <w:r w:rsidR="00234B88" w:rsidRPr="00E37C84">
        <w:t>ἐ</w:t>
      </w:r>
      <w:r w:rsidR="00B704AD" w:rsidRPr="00E37C84">
        <w:t>στιν</w:t>
      </w:r>
      <w:r w:rsidR="00401D7F" w:rsidRPr="00E37C84">
        <w:t xml:space="preserve"> εὐ</w:t>
      </w:r>
      <w:r w:rsidR="00A74F01">
        <w:t>α</w:t>
      </w:r>
      <w:r w:rsidR="00401D7F" w:rsidRPr="00E37C84">
        <w:t>γ</w:t>
      </w:r>
      <w:r w:rsidR="00B704AD" w:rsidRPr="00E37C84">
        <w:t>γ</w:t>
      </w:r>
      <w:r w:rsidR="00C771BF">
        <w:t>έ</w:t>
      </w:r>
      <w:r w:rsidR="00B704AD" w:rsidRPr="00E37C84">
        <w:t>λιον). De même le faux Origène</w:t>
      </w:r>
      <w:r w:rsidR="00933C60" w:rsidRPr="00C406FF">
        <w:rPr>
          <w:rStyle w:val="Appelnotedebasdep"/>
        </w:rPr>
        <w:footnoteReference w:id="14"/>
      </w:r>
      <w:r w:rsidRPr="00E37C84">
        <w:t> :</w:t>
      </w:r>
      <w:r w:rsidR="00E37C84">
        <w:t xml:space="preserve"> </w:t>
      </w:r>
      <w:r w:rsidR="00E37C84" w:rsidRPr="00E37C84">
        <w:t>« </w:t>
      </w:r>
      <w:r w:rsidR="00C511A5" w:rsidRPr="00E37C84">
        <w:t>Evangelístæ</w:t>
      </w:r>
      <w:r w:rsidR="00B704AD" w:rsidRPr="00E37C84">
        <w:t xml:space="preserve"> quidem </w:t>
      </w:r>
      <w:r w:rsidR="00E939E7">
        <w:t>quátuor</w:t>
      </w:r>
      <w:r w:rsidR="00E65435" w:rsidRPr="00E37C84">
        <w:t xml:space="preserve">, </w:t>
      </w:r>
      <w:r w:rsidR="00B704AD" w:rsidRPr="00E37C84">
        <w:t xml:space="preserve">sed </w:t>
      </w:r>
      <w:r w:rsidR="00C511A5" w:rsidRPr="00E37C84">
        <w:t>evangélium</w:t>
      </w:r>
      <w:r w:rsidR="00B704AD" w:rsidRPr="00E37C84">
        <w:t xml:space="preserve"> unum</w:t>
      </w:r>
      <w:r w:rsidRPr="00E37C84">
        <w:t> »</w:t>
      </w:r>
      <w:r w:rsidR="00B704AD" w:rsidRPr="00E37C84">
        <w:t>. Après avoir écrit</w:t>
      </w:r>
      <w:r w:rsidRPr="00E37C84">
        <w:t> :</w:t>
      </w:r>
      <w:r w:rsidR="00E37C84" w:rsidRPr="00E37C84">
        <w:t xml:space="preserve"> « </w:t>
      </w:r>
      <w:r w:rsidR="00B704AD" w:rsidRPr="00E37C84">
        <w:t xml:space="preserve">In </w:t>
      </w:r>
      <w:r w:rsidR="00E939E7">
        <w:t>quátuor</w:t>
      </w:r>
      <w:r w:rsidR="00B704AD" w:rsidRPr="00E37C84">
        <w:t xml:space="preserve"> </w:t>
      </w:r>
      <w:r w:rsidR="00C511A5" w:rsidRPr="00C8701B">
        <w:rPr>
          <w:lang w:eastAsia="fr-FR" w:bidi="he-IL"/>
        </w:rPr>
        <w:t>evangéliis</w:t>
      </w:r>
      <w:r w:rsidRPr="00C8701B">
        <w:rPr>
          <w:lang w:eastAsia="fr-FR" w:bidi="he-IL"/>
        </w:rPr>
        <w:t> »</w:t>
      </w:r>
      <w:r w:rsidR="00E65435">
        <w:rPr>
          <w:lang w:eastAsia="fr-FR" w:bidi="he-IL"/>
        </w:rPr>
        <w:t xml:space="preserve">, </w:t>
      </w:r>
      <w:r w:rsidR="00B704AD" w:rsidRPr="00C8701B">
        <w:rPr>
          <w:lang w:eastAsia="fr-FR" w:bidi="he-IL"/>
        </w:rPr>
        <w:t>S. Augustin</w:t>
      </w:r>
      <w:r w:rsidR="00933C60" w:rsidRPr="00C406FF">
        <w:rPr>
          <w:rStyle w:val="Appelnotedebasdep"/>
        </w:rPr>
        <w:footnoteReference w:id="15"/>
      </w:r>
      <w:r w:rsidR="00B704AD" w:rsidRPr="00C8701B">
        <w:rPr>
          <w:lang w:eastAsia="fr-FR" w:bidi="he-IL"/>
        </w:rPr>
        <w:t xml:space="preserve"> éprouve une sorte de scrupule et se reprend</w:t>
      </w:r>
      <w:r w:rsidRPr="00C8701B">
        <w:rPr>
          <w:lang w:eastAsia="fr-FR" w:bidi="he-IL"/>
        </w:rPr>
        <w:t> :</w:t>
      </w:r>
      <w:r w:rsidR="00B704AD" w:rsidRPr="00C8701B">
        <w:rPr>
          <w:lang w:eastAsia="fr-FR" w:bidi="he-IL"/>
        </w:rPr>
        <w:t xml:space="preserve"> </w:t>
      </w:r>
      <w:r w:rsidRPr="00C8701B">
        <w:rPr>
          <w:lang w:eastAsia="fr-FR" w:bidi="he-IL"/>
        </w:rPr>
        <w:t>« </w:t>
      </w:r>
      <w:r w:rsidR="00B704AD" w:rsidRPr="00C8701B">
        <w:rPr>
          <w:lang w:eastAsia="fr-FR" w:bidi="he-IL"/>
        </w:rPr>
        <w:t xml:space="preserve">Vel </w:t>
      </w:r>
      <w:r w:rsidR="00C511A5" w:rsidRPr="00C8701B">
        <w:rPr>
          <w:lang w:eastAsia="fr-FR" w:bidi="he-IL"/>
        </w:rPr>
        <w:t>pótius</w:t>
      </w:r>
      <w:r w:rsidR="00B704AD" w:rsidRPr="00C8701B">
        <w:rPr>
          <w:lang w:eastAsia="fr-FR" w:bidi="he-IL"/>
        </w:rPr>
        <w:t xml:space="preserve"> </w:t>
      </w:r>
      <w:r w:rsidR="00E939E7">
        <w:rPr>
          <w:lang w:eastAsia="fr-FR" w:bidi="he-IL"/>
        </w:rPr>
        <w:t>quátuor</w:t>
      </w:r>
      <w:r w:rsidR="00B704AD" w:rsidRPr="00C8701B">
        <w:rPr>
          <w:lang w:eastAsia="fr-FR" w:bidi="he-IL"/>
        </w:rPr>
        <w:t xml:space="preserve"> libris </w:t>
      </w:r>
      <w:r w:rsidR="00C511A5" w:rsidRPr="00C8701B">
        <w:rPr>
          <w:lang w:eastAsia="fr-FR" w:bidi="he-IL"/>
        </w:rPr>
        <w:t>uníus</w:t>
      </w:r>
      <w:r w:rsidR="00B704AD" w:rsidRPr="00C8701B">
        <w:rPr>
          <w:lang w:eastAsia="fr-FR" w:bidi="he-IL"/>
        </w:rPr>
        <w:t xml:space="preserve"> </w:t>
      </w:r>
      <w:r w:rsidR="00C511A5" w:rsidRPr="00C8701B">
        <w:rPr>
          <w:lang w:eastAsia="fr-FR" w:bidi="he-IL"/>
        </w:rPr>
        <w:t>evangélii</w:t>
      </w:r>
      <w:r w:rsidRPr="00C8701B">
        <w:rPr>
          <w:lang w:eastAsia="fr-FR" w:bidi="he-IL"/>
        </w:rPr>
        <w:t> »</w:t>
      </w:r>
      <w:r w:rsidR="00B704AD" w:rsidRPr="00C8701B">
        <w:rPr>
          <w:lang w:eastAsia="fr-FR" w:bidi="he-IL"/>
        </w:rPr>
        <w:t>. Le Vénérable Bède</w:t>
      </w:r>
      <w:r w:rsidR="00933C60" w:rsidRPr="00C406FF">
        <w:rPr>
          <w:rStyle w:val="Appelnotedebasdep"/>
        </w:rPr>
        <w:footnoteReference w:id="16"/>
      </w:r>
      <w:r w:rsidR="00B704AD" w:rsidRPr="00C8701B">
        <w:rPr>
          <w:lang w:eastAsia="fr-FR" w:bidi="he-IL"/>
        </w:rPr>
        <w:t xml:space="preserve"> exprime gracieusement la même pensée</w:t>
      </w:r>
      <w:r w:rsidRPr="00C8701B">
        <w:rPr>
          <w:lang w:eastAsia="fr-FR" w:bidi="he-IL"/>
        </w:rPr>
        <w:t> :</w:t>
      </w:r>
      <w:r w:rsidR="00B704AD" w:rsidRPr="00C8701B">
        <w:rPr>
          <w:lang w:eastAsia="fr-FR" w:bidi="he-IL"/>
        </w:rPr>
        <w:t xml:space="preserve"> </w:t>
      </w:r>
      <w:r w:rsidRPr="00C8701B">
        <w:rPr>
          <w:lang w:eastAsia="fr-FR" w:bidi="he-IL"/>
        </w:rPr>
        <w:t>« </w:t>
      </w:r>
      <w:r w:rsidR="00C511A5" w:rsidRPr="00C8701B">
        <w:rPr>
          <w:lang w:eastAsia="fr-FR" w:bidi="he-IL"/>
        </w:rPr>
        <w:t>Evangelíst</w:t>
      </w:r>
      <w:r w:rsidR="00C511A5">
        <w:rPr>
          <w:lang w:eastAsia="fr-FR" w:bidi="he-IL"/>
        </w:rPr>
        <w:t>æ</w:t>
      </w:r>
      <w:r w:rsidR="00E65435">
        <w:rPr>
          <w:lang w:eastAsia="fr-FR" w:bidi="he-IL"/>
        </w:rPr>
        <w:t xml:space="preserve">, </w:t>
      </w:r>
      <w:r w:rsidR="00B704AD" w:rsidRPr="00C8701B">
        <w:rPr>
          <w:lang w:eastAsia="fr-FR" w:bidi="he-IL"/>
        </w:rPr>
        <w:t xml:space="preserve">cum sint </w:t>
      </w:r>
      <w:r w:rsidR="00E939E7">
        <w:t>quátuor</w:t>
      </w:r>
      <w:r w:rsidR="00E65435" w:rsidRPr="00E37C84">
        <w:t xml:space="preserve">, </w:t>
      </w:r>
      <w:r w:rsidR="00B704AD" w:rsidRPr="00E37C84">
        <w:t xml:space="preserve">non tam </w:t>
      </w:r>
      <w:r w:rsidR="00E939E7">
        <w:t>quátuor</w:t>
      </w:r>
      <w:r w:rsidR="00B704AD" w:rsidRPr="00E37C84">
        <w:t xml:space="preserve"> </w:t>
      </w:r>
      <w:r w:rsidR="00C511A5" w:rsidRPr="00E37C84">
        <w:t>evangélia</w:t>
      </w:r>
      <w:r w:rsidR="00E65435" w:rsidRPr="00E37C84">
        <w:t xml:space="preserve">, </w:t>
      </w:r>
      <w:r w:rsidR="00B704AD" w:rsidRPr="00E37C84">
        <w:t xml:space="preserve">quam unum </w:t>
      </w:r>
      <w:r w:rsidR="00E939E7">
        <w:t>quátuor</w:t>
      </w:r>
      <w:r w:rsidR="00B704AD" w:rsidRPr="00E37C84">
        <w:t xml:space="preserve"> </w:t>
      </w:r>
      <w:r w:rsidR="00C511A5" w:rsidRPr="00E37C84">
        <w:t>varietáte</w:t>
      </w:r>
      <w:r w:rsidR="00B704AD" w:rsidRPr="00E37C84">
        <w:t xml:space="preserve"> </w:t>
      </w:r>
      <w:r w:rsidR="00C511A5" w:rsidRPr="00E37C84">
        <w:t>pulchérrima</w:t>
      </w:r>
      <w:r w:rsidR="00C511A5">
        <w:t xml:space="preserve"> cónsonum edidé</w:t>
      </w:r>
      <w:r w:rsidR="00B704AD" w:rsidRPr="00E37C84">
        <w:t>runt</w:t>
      </w:r>
      <w:r w:rsidRPr="00C8701B">
        <w:rPr>
          <w:lang w:eastAsia="fr-FR" w:bidi="he-IL"/>
        </w:rPr>
        <w:t> »</w:t>
      </w:r>
      <w:r w:rsidR="00B704AD" w:rsidRPr="00C8701B">
        <w:rPr>
          <w:lang w:eastAsia="fr-FR" w:bidi="he-IL"/>
        </w:rPr>
        <w:t>. Etc.</w:t>
      </w:r>
      <w:r w:rsidRPr="00C8701B">
        <w:rPr>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2° Mais</w:t>
      </w:r>
      <w:r w:rsidR="00E65435">
        <w:rPr>
          <w:rFonts w:eastAsia="Arial Unicode MS"/>
          <w:bCs/>
          <w:lang w:eastAsia="fr-FR" w:bidi="he-IL"/>
        </w:rPr>
        <w:t xml:space="preserve">, </w:t>
      </w:r>
      <w:r w:rsidRPr="00C8701B">
        <w:rPr>
          <w:rFonts w:eastAsia="Arial Unicode MS"/>
          <w:bCs/>
          <w:lang w:eastAsia="fr-FR" w:bidi="he-IL"/>
        </w:rPr>
        <w:t>les textes qui précèdent le montrent déjà pleinement</w:t>
      </w:r>
      <w:r w:rsidR="00E65435">
        <w:rPr>
          <w:rFonts w:eastAsia="Arial Unicode MS"/>
          <w:bCs/>
          <w:lang w:eastAsia="fr-FR" w:bidi="he-IL"/>
        </w:rPr>
        <w:t xml:space="preserve">, </w:t>
      </w:r>
      <w:r w:rsidRPr="00C8701B">
        <w:rPr>
          <w:rFonts w:eastAsia="Arial Unicode MS"/>
          <w:bCs/>
          <w:lang w:eastAsia="fr-FR" w:bidi="he-IL"/>
        </w:rPr>
        <w:t>lorsqu</w:t>
      </w:r>
      <w:r w:rsidR="00557DE0">
        <w:rPr>
          <w:rFonts w:eastAsia="Arial Unicode MS"/>
          <w:bCs/>
          <w:lang w:eastAsia="fr-FR" w:bidi="he-IL"/>
        </w:rPr>
        <w:t>’</w:t>
      </w:r>
      <w:r w:rsidRPr="00C8701B">
        <w:rPr>
          <w:rFonts w:eastAsia="Arial Unicode MS"/>
          <w:bCs/>
          <w:lang w:eastAsia="fr-FR" w:bidi="he-IL"/>
        </w:rPr>
        <w:t>on ne songe plus à s</w:t>
      </w:r>
      <w:r w:rsidR="00557DE0">
        <w:rPr>
          <w:rFonts w:eastAsia="Arial Unicode MS"/>
          <w:bCs/>
          <w:lang w:eastAsia="fr-FR" w:bidi="he-IL"/>
        </w:rPr>
        <w:t>’</w:t>
      </w:r>
      <w:r w:rsidRPr="00C8701B">
        <w:rPr>
          <w:rFonts w:eastAsia="Arial Unicode MS"/>
          <w:bCs/>
          <w:lang w:eastAsia="fr-FR" w:bidi="he-IL"/>
        </w:rPr>
        <w:t>en tenir à la rigueur théologique</w:t>
      </w:r>
      <w:r w:rsidR="00E65435">
        <w:rPr>
          <w:rFonts w:eastAsia="Arial Unicode MS"/>
          <w:bCs/>
          <w:lang w:eastAsia="fr-FR" w:bidi="he-IL"/>
        </w:rPr>
        <w:t xml:space="preserve">, </w:t>
      </w:r>
      <w:r w:rsidRPr="00C8701B">
        <w:rPr>
          <w:rFonts w:eastAsia="Arial Unicode MS"/>
          <w:bCs/>
          <w:lang w:eastAsia="fr-FR" w:bidi="he-IL"/>
        </w:rPr>
        <w:t>et qu</w:t>
      </w:r>
      <w:r w:rsidR="00557DE0">
        <w:rPr>
          <w:rFonts w:eastAsia="Arial Unicode MS"/>
          <w:bCs/>
          <w:lang w:eastAsia="fr-FR" w:bidi="he-IL"/>
        </w:rPr>
        <w:t>’</w:t>
      </w:r>
      <w:r w:rsidRPr="00C8701B">
        <w:rPr>
          <w:rFonts w:eastAsia="Arial Unicode MS"/>
          <w:bCs/>
          <w:lang w:eastAsia="fr-FR" w:bidi="he-IL"/>
        </w:rPr>
        <w:t>on veut déterminer le nombre exact des évangiles reçus par l</w:t>
      </w:r>
      <w:r w:rsidR="00557DE0">
        <w:rPr>
          <w:rFonts w:eastAsia="Arial Unicode MS"/>
          <w:bCs/>
          <w:lang w:eastAsia="fr-FR" w:bidi="he-IL"/>
        </w:rPr>
        <w:t>’</w:t>
      </w:r>
      <w:r w:rsidR="00C8701B">
        <w:rPr>
          <w:rFonts w:eastAsia="Arial Unicode MS"/>
          <w:bCs/>
          <w:lang w:eastAsia="fr-FR" w:bidi="he-IL"/>
        </w:rPr>
        <w:t>Église</w:t>
      </w:r>
      <w:r w:rsidRPr="00C8701B">
        <w:rPr>
          <w:rFonts w:eastAsia="Arial Unicode MS"/>
          <w:bCs/>
          <w:lang w:eastAsia="fr-FR" w:bidi="he-IL"/>
        </w:rPr>
        <w:t xml:space="preserve"> comme canoniques et inspirés</w:t>
      </w:r>
      <w:r w:rsidR="00E65435">
        <w:rPr>
          <w:rFonts w:eastAsia="Arial Unicode MS"/>
          <w:bCs/>
          <w:lang w:eastAsia="fr-FR" w:bidi="he-IL"/>
        </w:rPr>
        <w:t xml:space="preserve">, </w:t>
      </w:r>
      <w:r w:rsidRPr="00C8701B">
        <w:rPr>
          <w:rFonts w:eastAsia="Arial Unicode MS"/>
          <w:bCs/>
          <w:lang w:eastAsia="fr-FR" w:bidi="he-IL"/>
        </w:rPr>
        <w:t>on dit qu</w:t>
      </w:r>
      <w:r w:rsidR="00557DE0">
        <w:rPr>
          <w:rFonts w:eastAsia="Arial Unicode MS"/>
          <w:bCs/>
          <w:lang w:eastAsia="fr-FR" w:bidi="he-IL"/>
        </w:rPr>
        <w:t>’</w:t>
      </w:r>
      <w:r w:rsidRPr="00C8701B">
        <w:rPr>
          <w:rFonts w:eastAsia="Arial Unicode MS"/>
          <w:bCs/>
          <w:lang w:eastAsia="fr-FR" w:bidi="he-IL"/>
        </w:rPr>
        <w:t>ils sont au nombre de quatre</w:t>
      </w:r>
      <w:r w:rsidR="00E65435">
        <w:rPr>
          <w:rFonts w:eastAsia="Arial Unicode MS"/>
          <w:bCs/>
          <w:lang w:eastAsia="fr-FR" w:bidi="he-IL"/>
        </w:rPr>
        <w:t xml:space="preserve">, </w:t>
      </w:r>
      <w:r w:rsidRPr="00C8701B">
        <w:rPr>
          <w:rFonts w:eastAsia="Arial Unicode MS"/>
          <w:bCs/>
          <w:lang w:eastAsia="fr-FR" w:bidi="he-IL"/>
        </w:rPr>
        <w:t>composés</w:t>
      </w:r>
      <w:r w:rsidR="00E65435">
        <w:rPr>
          <w:rFonts w:eastAsia="Arial Unicode MS"/>
          <w:bCs/>
          <w:lang w:eastAsia="fr-FR" w:bidi="he-IL"/>
        </w:rPr>
        <w:t xml:space="preserve">, </w:t>
      </w:r>
      <w:r w:rsidRPr="00C8701B">
        <w:rPr>
          <w:rFonts w:eastAsia="Arial Unicode MS"/>
          <w:bCs/>
          <w:lang w:eastAsia="fr-FR" w:bidi="he-IL"/>
        </w:rPr>
        <w:t>sous l</w:t>
      </w:r>
      <w:r w:rsidR="00557DE0">
        <w:rPr>
          <w:rFonts w:eastAsia="Arial Unicode MS"/>
          <w:bCs/>
          <w:lang w:eastAsia="fr-FR" w:bidi="he-IL"/>
        </w:rPr>
        <w:t>’</w:t>
      </w:r>
      <w:r w:rsidRPr="00C8701B">
        <w:rPr>
          <w:rFonts w:eastAsia="Arial Unicode MS"/>
          <w:bCs/>
          <w:lang w:eastAsia="fr-FR" w:bidi="he-IL"/>
        </w:rPr>
        <w:t>inspiration divine</w:t>
      </w:r>
      <w:r w:rsidR="00E65435">
        <w:rPr>
          <w:rFonts w:eastAsia="Arial Unicode MS"/>
          <w:bCs/>
          <w:lang w:eastAsia="fr-FR" w:bidi="he-IL"/>
        </w:rPr>
        <w:t xml:space="preserve">, </w:t>
      </w:r>
      <w:r w:rsidRPr="00C8701B">
        <w:rPr>
          <w:rFonts w:eastAsia="Arial Unicode MS"/>
          <w:bCs/>
          <w:lang w:eastAsia="fr-FR" w:bidi="he-IL"/>
        </w:rPr>
        <w:t>par S. Matthieu</w:t>
      </w:r>
      <w:r w:rsidR="00E65435">
        <w:rPr>
          <w:rFonts w:eastAsia="Arial Unicode MS"/>
          <w:bCs/>
          <w:lang w:eastAsia="fr-FR" w:bidi="he-IL"/>
        </w:rPr>
        <w:t xml:space="preserve">, </w:t>
      </w:r>
      <w:r w:rsidRPr="00C8701B">
        <w:rPr>
          <w:rFonts w:eastAsia="Arial Unicode MS"/>
          <w:bCs/>
          <w:lang w:eastAsia="fr-FR" w:bidi="he-IL"/>
        </w:rPr>
        <w:t>S. Marc</w:t>
      </w:r>
      <w:r w:rsidR="00E65435">
        <w:rPr>
          <w:rFonts w:eastAsia="Arial Unicode MS"/>
          <w:bCs/>
          <w:lang w:eastAsia="fr-FR" w:bidi="he-IL"/>
        </w:rPr>
        <w:t xml:space="preserve">, </w:t>
      </w:r>
      <w:r w:rsidRPr="00C8701B">
        <w:rPr>
          <w:rFonts w:eastAsia="Arial Unicode MS"/>
          <w:bCs/>
          <w:lang w:eastAsia="fr-FR" w:bidi="he-IL"/>
        </w:rPr>
        <w:t>S. Luc et S. Jean.</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DC4586">
        <w:rPr>
          <w:rStyle w:val="italicus"/>
        </w:rPr>
        <w:t>Nec</w:t>
      </w:r>
      <w:r w:rsidR="00E37C84">
        <w:rPr>
          <w:rStyle w:val="italicus"/>
        </w:rPr>
        <w:t xml:space="preserve"> </w:t>
      </w:r>
      <w:r w:rsidR="00C511A5">
        <w:rPr>
          <w:rStyle w:val="italicus"/>
        </w:rPr>
        <w:t>plura nec paució</w:t>
      </w:r>
      <w:r w:rsidRPr="00DC4586">
        <w:rPr>
          <w:rStyle w:val="italicus"/>
        </w:rPr>
        <w:t>ra</w:t>
      </w:r>
      <w:r w:rsidR="00E65435">
        <w:rPr>
          <w:rStyle w:val="italicus"/>
        </w:rPr>
        <w:t xml:space="preserve">, </w:t>
      </w:r>
      <w:r w:rsidRPr="00C8701B">
        <w:rPr>
          <w:rFonts w:eastAsia="Arial Unicode MS"/>
          <w:bCs/>
          <w:lang w:eastAsia="fr-FR" w:bidi="he-IL"/>
        </w:rPr>
        <w:t>ainsi que l</w:t>
      </w:r>
      <w:r w:rsidR="00557DE0">
        <w:rPr>
          <w:rFonts w:eastAsia="Arial Unicode MS"/>
          <w:bCs/>
          <w:lang w:eastAsia="fr-FR" w:bidi="he-IL"/>
        </w:rPr>
        <w:t>’</w:t>
      </w:r>
      <w:r w:rsidR="00E37C84">
        <w:rPr>
          <w:rFonts w:eastAsia="Arial Unicode MS"/>
          <w:bCs/>
          <w:lang w:eastAsia="fr-FR" w:bidi="he-IL"/>
        </w:rPr>
        <w:t>ont décrété les conciles</w:t>
      </w:r>
      <w:r w:rsidR="00933C60" w:rsidRPr="00C406FF">
        <w:rPr>
          <w:rStyle w:val="Appelnotedebasdep"/>
        </w:rPr>
        <w:footnoteReference w:id="17"/>
      </w:r>
      <w:r w:rsidR="00E65435">
        <w:rPr>
          <w:rFonts w:eastAsia="Arial Unicode MS"/>
          <w:bCs/>
          <w:lang w:eastAsia="fr-FR" w:bidi="he-IL"/>
        </w:rPr>
        <w:t xml:space="preserve">, </w:t>
      </w:r>
      <w:r w:rsidRPr="00C8701B">
        <w:rPr>
          <w:rFonts w:eastAsia="Arial Unicode MS"/>
          <w:bCs/>
          <w:lang w:eastAsia="fr-FR" w:bidi="he-IL"/>
        </w:rPr>
        <w:t>en s</w:t>
      </w:r>
      <w:r w:rsidR="00557DE0">
        <w:rPr>
          <w:rFonts w:eastAsia="Arial Unicode MS"/>
          <w:bCs/>
          <w:lang w:eastAsia="fr-FR" w:bidi="he-IL"/>
        </w:rPr>
        <w:t>’</w:t>
      </w:r>
      <w:r w:rsidRPr="00C8701B">
        <w:rPr>
          <w:rFonts w:eastAsia="Arial Unicode MS"/>
          <w:bCs/>
          <w:lang w:eastAsia="fr-FR" w:bidi="he-IL"/>
        </w:rPr>
        <w:t>appuyant sur une tradition unanime</w:t>
      </w:r>
      <w:r w:rsidR="00E65435">
        <w:rPr>
          <w:rFonts w:eastAsia="Arial Unicode MS"/>
          <w:bCs/>
          <w:lang w:eastAsia="fr-FR" w:bidi="he-IL"/>
        </w:rPr>
        <w:t xml:space="preserve">, </w:t>
      </w:r>
      <w:r w:rsidRPr="00C8701B">
        <w:rPr>
          <w:rFonts w:eastAsia="Arial Unicode MS"/>
          <w:bCs/>
          <w:lang w:eastAsia="fr-FR" w:bidi="he-IL"/>
        </w:rPr>
        <w:t>qui remonte à la plus haute antiquité.</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Les citations pourraient être innombrables. Nous n</w:t>
      </w:r>
      <w:r w:rsidR="00557DE0">
        <w:rPr>
          <w:rFonts w:eastAsia="Arial Unicode MS"/>
          <w:bCs/>
          <w:lang w:eastAsia="fr-FR" w:bidi="he-IL"/>
        </w:rPr>
        <w:t>’</w:t>
      </w:r>
      <w:r w:rsidRPr="00C8701B">
        <w:rPr>
          <w:rFonts w:eastAsia="Arial Unicode MS"/>
          <w:bCs/>
          <w:lang w:eastAsia="fr-FR" w:bidi="he-IL"/>
        </w:rPr>
        <w:t>en ferons qu</w:t>
      </w:r>
      <w:r w:rsidR="00557DE0">
        <w:rPr>
          <w:rFonts w:eastAsia="Arial Unicode MS"/>
          <w:bCs/>
          <w:lang w:eastAsia="fr-FR" w:bidi="he-IL"/>
        </w:rPr>
        <w:t>’</w:t>
      </w:r>
      <w:r w:rsidRPr="00C8701B">
        <w:rPr>
          <w:rFonts w:eastAsia="Arial Unicode MS"/>
          <w:bCs/>
          <w:lang w:eastAsia="fr-FR" w:bidi="he-IL"/>
        </w:rPr>
        <w:t>un petit nombre</w:t>
      </w:r>
      <w:r w:rsidR="00E65435">
        <w:rPr>
          <w:rFonts w:eastAsia="Arial Unicode MS"/>
          <w:bCs/>
          <w:lang w:eastAsia="fr-FR" w:bidi="he-IL"/>
        </w:rPr>
        <w:t xml:space="preserve">, </w:t>
      </w:r>
      <w:r w:rsidRPr="00C8701B">
        <w:rPr>
          <w:rFonts w:eastAsia="Arial Unicode MS"/>
          <w:bCs/>
          <w:lang w:eastAsia="fr-FR" w:bidi="he-IL"/>
        </w:rPr>
        <w:t>et nous nous arrêterons à la fin du second siècle</w:t>
      </w:r>
      <w:r w:rsidR="00E65435">
        <w:rPr>
          <w:rFonts w:eastAsia="Arial Unicode MS"/>
          <w:bCs/>
          <w:lang w:eastAsia="fr-FR" w:bidi="he-IL"/>
        </w:rPr>
        <w:t xml:space="preserve">, </w:t>
      </w:r>
      <w:r w:rsidRPr="00C8701B">
        <w:rPr>
          <w:rFonts w:eastAsia="Arial Unicode MS"/>
          <w:bCs/>
          <w:lang w:eastAsia="fr-FR" w:bidi="he-IL"/>
        </w:rPr>
        <w:t>car il serait superflu de descendre plus bas.</w:t>
      </w:r>
      <w:r w:rsidR="00C2602D" w:rsidRPr="00C8701B">
        <w:rPr>
          <w:rFonts w:eastAsia="Arial Unicode MS"/>
          <w:bCs/>
          <w:lang w:eastAsia="fr-FR" w:bidi="he-IL"/>
        </w:rPr>
        <w:t xml:space="preserve"> </w:t>
      </w:r>
    </w:p>
    <w:p w:rsidR="00C2602D" w:rsidRPr="00E37C84" w:rsidRDefault="00B704AD" w:rsidP="00E37C84">
      <w:r w:rsidRPr="00C8701B">
        <w:rPr>
          <w:rFonts w:eastAsia="Arial Unicode MS"/>
          <w:bCs/>
          <w:lang w:eastAsia="fr-FR" w:bidi="he-IL"/>
        </w:rPr>
        <w:t>1.</w:t>
      </w:r>
      <w:r w:rsidRPr="00DC4586">
        <w:rPr>
          <w:rStyle w:val="italicus"/>
        </w:rPr>
        <w:t xml:space="preserve"> Témoignage des Pères.</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Plaçons encore en tête le glorieux S. Irénée</w:t>
      </w:r>
      <w:r w:rsidR="00E65435">
        <w:rPr>
          <w:rFonts w:eastAsia="Arial Unicode MS"/>
          <w:bCs/>
          <w:lang w:eastAsia="fr-FR" w:bidi="he-IL"/>
        </w:rPr>
        <w:t xml:space="preserve">, </w:t>
      </w:r>
      <w:r w:rsidRPr="00C8701B">
        <w:rPr>
          <w:rFonts w:eastAsia="Arial Unicode MS"/>
          <w:bCs/>
          <w:lang w:eastAsia="fr-FR" w:bidi="he-IL"/>
        </w:rPr>
        <w:t>qui</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un côté par son origine et en tant que disciple de S. Polycarpe</w:t>
      </w:r>
      <w:r w:rsidR="00E65435">
        <w:rPr>
          <w:rFonts w:eastAsia="Arial Unicode MS"/>
          <w:bCs/>
          <w:lang w:eastAsia="fr-FR" w:bidi="he-IL"/>
        </w:rPr>
        <w:t xml:space="preserve">, </w:t>
      </w:r>
      <w:r w:rsidRPr="00C8701B">
        <w:rPr>
          <w:rFonts w:eastAsia="Arial Unicode MS"/>
          <w:bCs/>
          <w:lang w:eastAsia="fr-FR" w:bidi="he-IL"/>
        </w:rPr>
        <w:t>lequel avait été disciple de S. Jean</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un autre côté par le théâtre de son apostolat</w:t>
      </w:r>
      <w:r w:rsidR="00E65435">
        <w:rPr>
          <w:rFonts w:eastAsia="Arial Unicode MS"/>
          <w:bCs/>
          <w:lang w:eastAsia="fr-FR" w:bidi="he-IL"/>
        </w:rPr>
        <w:t xml:space="preserve">, </w:t>
      </w:r>
      <w:r w:rsidRPr="00C8701B">
        <w:rPr>
          <w:rFonts w:eastAsia="Arial Unicode MS"/>
          <w:bCs/>
          <w:lang w:eastAsia="fr-FR" w:bidi="he-IL"/>
        </w:rPr>
        <w:t>résume les traditions de l</w:t>
      </w:r>
      <w:r w:rsidR="00557DE0">
        <w:rPr>
          <w:rFonts w:eastAsia="Arial Unicode MS"/>
          <w:bCs/>
          <w:lang w:eastAsia="fr-FR" w:bidi="he-IL"/>
        </w:rPr>
        <w:t>’</w:t>
      </w:r>
      <w:r w:rsidRPr="00C8701B">
        <w:rPr>
          <w:rFonts w:eastAsia="Arial Unicode MS"/>
          <w:bCs/>
          <w:lang w:eastAsia="fr-FR" w:bidi="he-IL"/>
        </w:rPr>
        <w:t>Orient et de l</w:t>
      </w:r>
      <w:r w:rsidR="00557DE0">
        <w:rPr>
          <w:rFonts w:eastAsia="Arial Unicode MS"/>
          <w:bCs/>
          <w:lang w:eastAsia="fr-FR" w:bidi="he-IL"/>
        </w:rPr>
        <w:t>’</w:t>
      </w:r>
      <w:r w:rsidRPr="00C8701B">
        <w:rPr>
          <w:rFonts w:eastAsia="Arial Unicode MS"/>
          <w:bCs/>
          <w:lang w:eastAsia="fr-FR" w:bidi="he-IL"/>
        </w:rPr>
        <w:t>Occident</w:t>
      </w:r>
      <w:r w:rsidR="00C2602D" w:rsidRPr="00C8701B">
        <w:rPr>
          <w:rFonts w:eastAsia="Arial Unicode MS"/>
          <w:bCs/>
          <w:lang w:eastAsia="fr-FR" w:bidi="he-IL"/>
        </w:rPr>
        <w:t> :</w:t>
      </w:r>
      <w:r w:rsidRPr="00C8701B">
        <w:rPr>
          <w:rFonts w:eastAsia="Arial Unicode MS"/>
          <w:bCs/>
          <w:lang w:eastAsia="fr-FR" w:bidi="he-IL"/>
        </w:rPr>
        <w:t xml:space="preserve"> </w:t>
      </w:r>
      <w:r w:rsidR="00C2602D" w:rsidRPr="00C8701B">
        <w:rPr>
          <w:rFonts w:eastAsia="Arial Unicode MS"/>
          <w:bCs/>
          <w:lang w:eastAsia="fr-FR" w:bidi="he-IL"/>
        </w:rPr>
        <w:t>« </w:t>
      </w:r>
      <w:r w:rsidRPr="00C8701B">
        <w:rPr>
          <w:rFonts w:eastAsia="Arial Unicode MS"/>
          <w:bCs/>
          <w:lang w:eastAsia="fr-FR" w:bidi="he-IL"/>
        </w:rPr>
        <w:t>Tanta est</w:t>
      </w:r>
      <w:r w:rsidR="00C2602D" w:rsidRPr="00C8701B">
        <w:rPr>
          <w:rFonts w:eastAsia="Arial Unicode MS"/>
          <w:bCs/>
          <w:lang w:eastAsia="fr-FR" w:bidi="he-IL"/>
        </w:rPr>
        <w:t xml:space="preserve"> </w:t>
      </w:r>
      <w:r w:rsidR="000716BB" w:rsidRPr="000716BB">
        <w:rPr>
          <w:rFonts w:eastAsia="Arial Unicode MS"/>
          <w:bCs/>
          <w:lang w:eastAsia="fr-FR" w:bidi="he-IL"/>
        </w:rPr>
        <w:t>{</w:t>
      </w:r>
      <w:r w:rsidR="000716BB">
        <w:rPr>
          <w:rFonts w:eastAsia="Arial Unicode MS"/>
          <w:bCs/>
          <w:lang w:eastAsia="fr-FR" w:bidi="he-IL"/>
        </w:rPr>
        <w:t>4</w:t>
      </w:r>
      <w:bookmarkStart w:id="8" w:name="pag004"/>
      <w:bookmarkEnd w:id="8"/>
      <w:r w:rsidR="000716BB" w:rsidRPr="000716BB">
        <w:rPr>
          <w:rFonts w:eastAsia="Arial Unicode MS"/>
          <w:bCs/>
          <w:lang w:eastAsia="fr-FR" w:bidi="he-IL"/>
        </w:rPr>
        <w:t xml:space="preserve">} </w:t>
      </w:r>
      <w:r w:rsidRPr="00E37C84">
        <w:t xml:space="preserve">circa </w:t>
      </w:r>
      <w:r w:rsidR="00E37C84" w:rsidRPr="00E37C84">
        <w:t>evangélia</w:t>
      </w:r>
      <w:r w:rsidRPr="00E37C84">
        <w:t xml:space="preserve"> </w:t>
      </w:r>
      <w:r w:rsidR="00E37C84" w:rsidRPr="00E37C84">
        <w:t>hæc</w:t>
      </w:r>
      <w:r w:rsidRPr="00E37C84">
        <w:t xml:space="preserve"> </w:t>
      </w:r>
      <w:r w:rsidR="00E37C84" w:rsidRPr="00E37C84">
        <w:t>fírmitas</w:t>
      </w:r>
      <w:r w:rsidR="00E65435" w:rsidRPr="00E37C84">
        <w:t xml:space="preserve">, </w:t>
      </w:r>
      <w:r w:rsidR="00E37C84">
        <w:t>ut et ipsi hæ</w:t>
      </w:r>
      <w:r w:rsidR="00E37C84" w:rsidRPr="00E37C84">
        <w:t>rétici</w:t>
      </w:r>
      <w:r w:rsidRPr="00E37C84">
        <w:t xml:space="preserve"> </w:t>
      </w:r>
      <w:r w:rsidR="00E37C84" w:rsidRPr="00E37C84">
        <w:t>testimónium</w:t>
      </w:r>
      <w:r w:rsidRPr="00E37C84">
        <w:t xml:space="preserve"> reddant eis</w:t>
      </w:r>
      <w:r w:rsidR="00E65435" w:rsidRPr="00E37C84">
        <w:t xml:space="preserve">, </w:t>
      </w:r>
      <w:r w:rsidRPr="00E37C84">
        <w:t xml:space="preserve">et ex ipsis </w:t>
      </w:r>
      <w:r w:rsidR="00E37C84" w:rsidRPr="00E37C84">
        <w:t>egrédiens</w:t>
      </w:r>
      <w:r w:rsidRPr="00E37C84">
        <w:t xml:space="preserve"> </w:t>
      </w:r>
      <w:r w:rsidR="00E37C84" w:rsidRPr="00E37C84">
        <w:t>unusquísque</w:t>
      </w:r>
      <w:r w:rsidRPr="00E37C84">
        <w:t xml:space="preserve"> </w:t>
      </w:r>
      <w:r w:rsidR="00E37C84" w:rsidRPr="00E37C84">
        <w:t>eórum</w:t>
      </w:r>
      <w:r w:rsidR="00E37C84">
        <w:t xml:space="preserve"> coné</w:t>
      </w:r>
      <w:r w:rsidRPr="00E37C84">
        <w:t xml:space="preserve">tur suam </w:t>
      </w:r>
      <w:r w:rsidR="00E37C84" w:rsidRPr="00E37C84">
        <w:t>confirmáre</w:t>
      </w:r>
      <w:r w:rsidRPr="00E37C84">
        <w:t xml:space="preserve"> </w:t>
      </w:r>
      <w:r w:rsidR="00E37C84" w:rsidRPr="00E37C84">
        <w:t>doctrínam</w:t>
      </w:r>
      <w:r w:rsidRPr="00E37C84">
        <w:t>. Ebion</w:t>
      </w:r>
      <w:r w:rsidR="00E37C84">
        <w:t>ǽi enim</w:t>
      </w:r>
      <w:r w:rsidRPr="00E37C84">
        <w:t xml:space="preserve"> eo </w:t>
      </w:r>
      <w:r w:rsidR="00E37C84" w:rsidRPr="00E37C84">
        <w:t>evangélio</w:t>
      </w:r>
      <w:r w:rsidRPr="00E37C84">
        <w:t xml:space="preserve"> </w:t>
      </w:r>
      <w:r w:rsidR="00E37C84">
        <w:t>qu</w:t>
      </w:r>
      <w:r w:rsidRPr="00E37C84">
        <w:t xml:space="preserve">od est </w:t>
      </w:r>
      <w:r w:rsidR="00E37C84" w:rsidRPr="00E37C84">
        <w:t>secúndum</w:t>
      </w:r>
      <w:r w:rsidR="00E37C84">
        <w:t xml:space="preserve"> Matthǽ</w:t>
      </w:r>
      <w:r w:rsidRPr="00E37C84">
        <w:t xml:space="preserve">um solo </w:t>
      </w:r>
      <w:r w:rsidR="00E37C84" w:rsidRPr="00E37C84">
        <w:t>uténtes</w:t>
      </w:r>
      <w:r w:rsidR="00E65435" w:rsidRPr="00E37C84">
        <w:t xml:space="preserve">, </w:t>
      </w:r>
      <w:r w:rsidRPr="00E37C84">
        <w:t xml:space="preserve">ex illo ipso </w:t>
      </w:r>
      <w:r w:rsidR="00E37C84" w:rsidRPr="00E37C84">
        <w:t>convincúntur</w:t>
      </w:r>
      <w:r w:rsidRPr="00E37C84">
        <w:t xml:space="preserve"> non recte </w:t>
      </w:r>
      <w:r w:rsidR="00E37C84" w:rsidRPr="00E37C84">
        <w:t>præsuméntes</w:t>
      </w:r>
      <w:r w:rsidRPr="00E37C84">
        <w:t xml:space="preserve"> de </w:t>
      </w:r>
      <w:r w:rsidR="00216C2A" w:rsidRPr="00E37C84">
        <w:t>Dómino</w:t>
      </w:r>
      <w:r w:rsidRPr="00E37C84">
        <w:t>. Marcion autem</w:t>
      </w:r>
      <w:r w:rsidR="00E65435" w:rsidRPr="00E37C84">
        <w:t xml:space="preserve">, </w:t>
      </w:r>
      <w:r w:rsidR="00E37C84">
        <w:t>id</w:t>
      </w:r>
      <w:r w:rsidRPr="00E37C84">
        <w:t xml:space="preserve"> quod est </w:t>
      </w:r>
      <w:r w:rsidR="00E37C84" w:rsidRPr="00E37C84">
        <w:t>secúndum</w:t>
      </w:r>
      <w:r w:rsidR="00E37C84">
        <w:t xml:space="preserve"> Lucam circumcí</w:t>
      </w:r>
      <w:r w:rsidRPr="00E37C84">
        <w:t>dens ex his qu</w:t>
      </w:r>
      <w:r w:rsidR="00E37C84" w:rsidRPr="00E37C84">
        <w:t>æ</w:t>
      </w:r>
      <w:r w:rsidRPr="00E37C84">
        <w:t xml:space="preserve"> adhuc s</w:t>
      </w:r>
      <w:r w:rsidR="00C21120" w:rsidRPr="00E37C84">
        <w:t>ervántur</w:t>
      </w:r>
      <w:r w:rsidRPr="00E37C84">
        <w:t xml:space="preserve"> apud eum</w:t>
      </w:r>
      <w:r w:rsidR="00E65435" w:rsidRPr="00E37C84">
        <w:t xml:space="preserve">, </w:t>
      </w:r>
      <w:r w:rsidR="00E37C84" w:rsidRPr="00E37C84">
        <w:t>blasphémus</w:t>
      </w:r>
      <w:r w:rsidR="00E37C84">
        <w:t xml:space="preserve"> in solum existé</w:t>
      </w:r>
      <w:r w:rsidRPr="00E37C84">
        <w:t xml:space="preserve">ntem Deum </w:t>
      </w:r>
      <w:r w:rsidR="00E37C84" w:rsidRPr="00E37C84">
        <w:t>osténditur</w:t>
      </w:r>
      <w:r w:rsidRPr="00E37C84">
        <w:t>. Qui autem Jesum séparant a Christo</w:t>
      </w:r>
      <w:r w:rsidR="00E65435" w:rsidRPr="00E37C84">
        <w:t xml:space="preserve">, </w:t>
      </w:r>
      <w:r w:rsidRPr="00E37C84">
        <w:t xml:space="preserve">et </w:t>
      </w:r>
      <w:r w:rsidR="00E37C84" w:rsidRPr="00E37C84">
        <w:t>impassíbilem</w:t>
      </w:r>
      <w:r w:rsidR="00E37C84">
        <w:t xml:space="preserve"> perseverá</w:t>
      </w:r>
      <w:r w:rsidRPr="00E37C84">
        <w:t>sse Christum</w:t>
      </w:r>
      <w:r w:rsidR="00E65435" w:rsidRPr="00E37C84">
        <w:t xml:space="preserve">, </w:t>
      </w:r>
      <w:r w:rsidRPr="00E37C84">
        <w:t>passum vero Jesum dicunt</w:t>
      </w:r>
      <w:r w:rsidR="00E65435" w:rsidRPr="00E37C84">
        <w:t xml:space="preserve">, </w:t>
      </w:r>
      <w:r w:rsidRPr="00E37C84">
        <w:t xml:space="preserve">id quod </w:t>
      </w:r>
      <w:r w:rsidR="00E37C84" w:rsidRPr="00E37C84">
        <w:t>secúndum</w:t>
      </w:r>
      <w:r w:rsidRPr="00E37C84">
        <w:t xml:space="preserve"> Marcum est </w:t>
      </w:r>
      <w:r w:rsidR="00E37C84" w:rsidRPr="00E37C84">
        <w:t>præferéntes</w:t>
      </w:r>
      <w:r w:rsidRPr="00E37C84">
        <w:t xml:space="preserve"> </w:t>
      </w:r>
      <w:r w:rsidR="00E37C84" w:rsidRPr="00E37C84">
        <w:t>evangélium</w:t>
      </w:r>
      <w:r w:rsidR="00E65435" w:rsidRPr="00E37C84">
        <w:t xml:space="preserve">, </w:t>
      </w:r>
      <w:r w:rsidRPr="00E37C84">
        <w:t xml:space="preserve">cum </w:t>
      </w:r>
      <w:r w:rsidR="00E37C84" w:rsidRPr="00E37C84">
        <w:t>amóre</w:t>
      </w:r>
      <w:r w:rsidRPr="00E37C84">
        <w:t xml:space="preserve"> </w:t>
      </w:r>
      <w:r w:rsidR="00E37C84" w:rsidRPr="00E37C84">
        <w:t>veritátis</w:t>
      </w:r>
      <w:r w:rsidRPr="00E37C84">
        <w:t xml:space="preserve"> </w:t>
      </w:r>
      <w:r w:rsidR="00E37C84" w:rsidRPr="00E37C84">
        <w:t>legéntes</w:t>
      </w:r>
      <w:r w:rsidRPr="00E37C84">
        <w:t xml:space="preserve"> illud </w:t>
      </w:r>
      <w:r w:rsidR="00E37C84" w:rsidRPr="00E37C84">
        <w:t>córrigi</w:t>
      </w:r>
      <w:r w:rsidRPr="00E37C84">
        <w:t xml:space="preserve"> possunt. Hi autem qui a </w:t>
      </w:r>
      <w:r w:rsidR="00E37C84">
        <w:t>V</w:t>
      </w:r>
      <w:r w:rsidRPr="00E37C84">
        <w:t>alentino sunt</w:t>
      </w:r>
      <w:r w:rsidR="00E65435" w:rsidRPr="00E37C84">
        <w:t xml:space="preserve">, </w:t>
      </w:r>
      <w:r w:rsidR="00E37C84">
        <w:t>eo quod est secúndum Joánnem pleníssime uténtes ad osten</w:t>
      </w:r>
      <w:r w:rsidRPr="00E37C84">
        <w:t>s</w:t>
      </w:r>
      <w:r w:rsidR="000B732C" w:rsidRPr="00E37C84">
        <w:t>iónem</w:t>
      </w:r>
      <w:r w:rsidRPr="00E37C84">
        <w:t xml:space="preserve"> conju</w:t>
      </w:r>
      <w:r w:rsidR="00E37C84">
        <w:t>gatió</w:t>
      </w:r>
      <w:r w:rsidRPr="00E37C84">
        <w:t xml:space="preserve">num </w:t>
      </w:r>
      <w:r w:rsidR="00C21120" w:rsidRPr="00E37C84">
        <w:t>suárum</w:t>
      </w:r>
      <w:r w:rsidR="00933C60" w:rsidRPr="00C406FF">
        <w:rPr>
          <w:rStyle w:val="Appelnotedebasdep"/>
        </w:rPr>
        <w:footnoteReference w:id="18"/>
      </w:r>
      <w:r w:rsidR="00E65435" w:rsidRPr="00E37C84">
        <w:t xml:space="preserve">, </w:t>
      </w:r>
      <w:r w:rsidR="00E37C84">
        <w:t>ex ipso detegúntur nihil recte</w:t>
      </w:r>
      <w:r w:rsidRPr="00E37C84">
        <w:t xml:space="preserve"> </w:t>
      </w:r>
      <w:r w:rsidR="00E37C84" w:rsidRPr="00E37C84">
        <w:t>dicéntes</w:t>
      </w:r>
      <w:r w:rsidRPr="00E37C84">
        <w:t xml:space="preserve">. </w:t>
      </w:r>
      <w:r w:rsidR="007D27C7">
        <w:t>Cum</w:t>
      </w:r>
      <w:r w:rsidRPr="00E37C84">
        <w:t xml:space="preserve"> ergo hi</w:t>
      </w:r>
      <w:r w:rsidR="00E65435" w:rsidRPr="00E37C84">
        <w:t xml:space="preserve">, </w:t>
      </w:r>
      <w:r w:rsidRPr="00E37C84">
        <w:t xml:space="preserve">qui </w:t>
      </w:r>
      <w:r w:rsidR="00E37C84" w:rsidRPr="00E37C84">
        <w:t>contradícunt</w:t>
      </w:r>
      <w:r w:rsidR="00E65435" w:rsidRPr="00E37C84">
        <w:t xml:space="preserve">, </w:t>
      </w:r>
      <w:r w:rsidRPr="00E37C84">
        <w:t xml:space="preserve">nobis </w:t>
      </w:r>
      <w:r w:rsidR="00E37C84" w:rsidRPr="00E37C84">
        <w:t>testimónium</w:t>
      </w:r>
      <w:r w:rsidR="00E37C84">
        <w:t xml:space="preserve"> perhí</w:t>
      </w:r>
      <w:r w:rsidRPr="00E37C84">
        <w:t>beant</w:t>
      </w:r>
      <w:r w:rsidR="00E65435" w:rsidRPr="00E37C84">
        <w:t xml:space="preserve">, </w:t>
      </w:r>
      <w:r w:rsidRPr="00E37C84">
        <w:t xml:space="preserve">et </w:t>
      </w:r>
      <w:r w:rsidR="00E37C84" w:rsidRPr="00E37C84">
        <w:t>utántur</w:t>
      </w:r>
      <w:r w:rsidRPr="00E37C84">
        <w:t xml:space="preserve"> his</w:t>
      </w:r>
      <w:r w:rsidR="00E65435" w:rsidRPr="00E37C84">
        <w:t xml:space="preserve">, </w:t>
      </w:r>
      <w:r w:rsidRPr="00E37C84">
        <w:t xml:space="preserve">firma et vera est nostra de illis </w:t>
      </w:r>
      <w:r w:rsidR="00E37C84" w:rsidRPr="00E37C84">
        <w:t>osténsio</w:t>
      </w:r>
      <w:r w:rsidR="00E37C84">
        <w:t xml:space="preserve">. » </w:t>
      </w:r>
    </w:p>
    <w:p w:rsidR="00C2602D" w:rsidRPr="00A74F01" w:rsidRDefault="00B704AD" w:rsidP="00F8578E">
      <w:pPr>
        <w:rPr>
          <w:rFonts w:eastAsia="Arial Unicode MS"/>
          <w:bCs/>
          <w:lang w:eastAsia="fr-FR" w:bidi="he-IL"/>
        </w:rPr>
      </w:pPr>
      <w:r w:rsidRPr="00C8701B">
        <w:rPr>
          <w:rFonts w:eastAsia="Arial Unicode MS"/>
          <w:bCs/>
          <w:lang w:eastAsia="fr-FR" w:bidi="he-IL"/>
        </w:rPr>
        <w:t>Origène</w:t>
      </w:r>
      <w:r w:rsidR="00E65435">
        <w:rPr>
          <w:rFonts w:eastAsia="Arial Unicode MS"/>
          <w:bCs/>
          <w:lang w:eastAsia="fr-FR" w:bidi="he-IL"/>
        </w:rPr>
        <w:t xml:space="preserve">, </w:t>
      </w:r>
      <w:r w:rsidRPr="00C8701B">
        <w:rPr>
          <w:rFonts w:eastAsia="Arial Unicode MS"/>
          <w:bCs/>
          <w:lang w:eastAsia="fr-FR" w:bidi="he-IL"/>
        </w:rPr>
        <w:t>Clément d</w:t>
      </w:r>
      <w:r w:rsidR="00557DE0">
        <w:rPr>
          <w:rFonts w:eastAsia="Arial Unicode MS"/>
          <w:bCs/>
          <w:lang w:eastAsia="fr-FR" w:bidi="he-IL"/>
        </w:rPr>
        <w:t>’</w:t>
      </w:r>
      <w:r w:rsidRPr="00C8701B">
        <w:rPr>
          <w:rFonts w:eastAsia="Arial Unicode MS"/>
          <w:bCs/>
          <w:lang w:eastAsia="fr-FR" w:bidi="he-IL"/>
        </w:rPr>
        <w:t>Alexandrie et Tertullien sont les garants les plus autorisés des traditions de l</w:t>
      </w:r>
      <w:r w:rsidR="00557DE0">
        <w:rPr>
          <w:rFonts w:eastAsia="Arial Unicode MS"/>
          <w:bCs/>
          <w:lang w:eastAsia="fr-FR" w:bidi="he-IL"/>
        </w:rPr>
        <w:t>’</w:t>
      </w:r>
      <w:r w:rsidR="00C8701B">
        <w:rPr>
          <w:rFonts w:eastAsia="Arial Unicode MS"/>
          <w:bCs/>
          <w:lang w:eastAsia="fr-FR" w:bidi="he-IL"/>
        </w:rPr>
        <w:t>Église</w:t>
      </w:r>
      <w:r w:rsidRPr="00C8701B">
        <w:rPr>
          <w:rFonts w:eastAsia="Arial Unicode MS"/>
          <w:bCs/>
          <w:lang w:eastAsia="fr-FR" w:bidi="he-IL"/>
        </w:rPr>
        <w:t xml:space="preserve"> d</w:t>
      </w:r>
      <w:r w:rsidR="00557DE0">
        <w:rPr>
          <w:rFonts w:eastAsia="Arial Unicode MS"/>
          <w:bCs/>
          <w:lang w:eastAsia="fr-FR" w:bidi="he-IL"/>
        </w:rPr>
        <w:t>’</w:t>
      </w:r>
      <w:r w:rsidRPr="00C8701B">
        <w:rPr>
          <w:rFonts w:eastAsia="Arial Unicode MS"/>
          <w:bCs/>
          <w:lang w:eastAsia="fr-FR" w:bidi="he-IL"/>
        </w:rPr>
        <w:t>Afrique.</w:t>
      </w:r>
      <w:r w:rsidR="00CE11E9">
        <w:rPr>
          <w:rFonts w:eastAsia="Arial Unicode MS"/>
          <w:bCs/>
          <w:lang w:eastAsia="fr-FR" w:bidi="he-IL"/>
        </w:rPr>
        <w:t xml:space="preserve"> </w:t>
      </w:r>
      <w:r w:rsidR="00F12048" w:rsidRPr="00C8701B">
        <w:rPr>
          <w:rFonts w:eastAsia="Arial Unicode MS"/>
          <w:bCs/>
          <w:lang w:eastAsia="fr-FR" w:bidi="he-IL"/>
        </w:rPr>
        <w:t>« </w:t>
      </w:r>
      <w:r w:rsidR="00E37C84" w:rsidRPr="00C8701B">
        <w:rPr>
          <w:rFonts w:eastAsia="Arial Unicode MS"/>
          <w:bCs/>
          <w:lang w:eastAsia="fr-FR" w:bidi="he-IL"/>
        </w:rPr>
        <w:t>Ecclésia</w:t>
      </w:r>
      <w:r w:rsidRPr="00C8701B">
        <w:rPr>
          <w:rFonts w:eastAsia="Arial Unicode MS"/>
          <w:bCs/>
          <w:lang w:eastAsia="fr-FR" w:bidi="he-IL"/>
        </w:rPr>
        <w:t xml:space="preserve"> </w:t>
      </w:r>
      <w:r w:rsidR="00E939E7">
        <w:rPr>
          <w:rFonts w:eastAsia="Arial Unicode MS"/>
          <w:bCs/>
          <w:lang w:eastAsia="fr-FR" w:bidi="he-IL"/>
        </w:rPr>
        <w:t>quátuor</w:t>
      </w:r>
      <w:r w:rsidRPr="00C8701B">
        <w:rPr>
          <w:rFonts w:eastAsia="Arial Unicode MS"/>
          <w:bCs/>
          <w:lang w:eastAsia="fr-FR" w:bidi="he-IL"/>
        </w:rPr>
        <w:t xml:space="preserve"> habet </w:t>
      </w:r>
      <w:r w:rsidR="00E37C84" w:rsidRPr="00C8701B">
        <w:rPr>
          <w:rFonts w:eastAsia="Arial Unicode MS"/>
          <w:bCs/>
          <w:lang w:eastAsia="fr-FR" w:bidi="he-IL"/>
        </w:rPr>
        <w:t>evangélia</w:t>
      </w:r>
      <w:r w:rsidR="00E65435">
        <w:rPr>
          <w:rFonts w:eastAsia="Arial Unicode MS"/>
          <w:bCs/>
          <w:lang w:eastAsia="fr-FR" w:bidi="he-IL"/>
        </w:rPr>
        <w:t xml:space="preserve">, </w:t>
      </w:r>
      <w:r w:rsidRPr="00C8701B">
        <w:rPr>
          <w:rFonts w:eastAsia="Arial Unicode MS"/>
          <w:bCs/>
          <w:lang w:eastAsia="fr-FR" w:bidi="he-IL"/>
        </w:rPr>
        <w:t>dit Origène</w:t>
      </w:r>
      <w:r w:rsidR="00933C60" w:rsidRPr="00C406FF">
        <w:rPr>
          <w:rStyle w:val="Appelnotedebasdep"/>
        </w:rPr>
        <w:footnoteReference w:id="19"/>
      </w:r>
      <w:r w:rsidR="00E65435">
        <w:rPr>
          <w:rFonts w:eastAsia="Arial Unicode MS"/>
          <w:bCs/>
          <w:lang w:eastAsia="fr-FR" w:bidi="he-IL"/>
        </w:rPr>
        <w:t xml:space="preserve">, </w:t>
      </w:r>
      <w:r w:rsidR="00E37C84">
        <w:rPr>
          <w:rFonts w:eastAsia="Arial Unicode MS"/>
          <w:bCs/>
          <w:lang w:eastAsia="fr-FR" w:bidi="he-IL"/>
        </w:rPr>
        <w:t>hǽ</w:t>
      </w:r>
      <w:r w:rsidR="00E37C84" w:rsidRPr="00C8701B">
        <w:rPr>
          <w:rFonts w:eastAsia="Arial Unicode MS"/>
          <w:bCs/>
          <w:lang w:eastAsia="fr-FR" w:bidi="he-IL"/>
        </w:rPr>
        <w:t>resis</w:t>
      </w:r>
      <w:r w:rsidRPr="00C8701B">
        <w:rPr>
          <w:rFonts w:eastAsia="Arial Unicode MS"/>
          <w:bCs/>
          <w:lang w:eastAsia="fr-FR" w:bidi="he-IL"/>
        </w:rPr>
        <w:t xml:space="preserve"> </w:t>
      </w:r>
      <w:r w:rsidR="00E37C84" w:rsidRPr="00C8701B">
        <w:rPr>
          <w:rFonts w:eastAsia="Arial Unicode MS"/>
          <w:bCs/>
          <w:lang w:eastAsia="fr-FR" w:bidi="he-IL"/>
        </w:rPr>
        <w:t>plúrima</w:t>
      </w:r>
      <w:r w:rsidR="00C2602D" w:rsidRPr="00C8701B">
        <w:rPr>
          <w:rFonts w:eastAsia="Arial Unicode MS"/>
          <w:bCs/>
          <w:lang w:eastAsia="fr-FR" w:bidi="he-IL"/>
        </w:rPr>
        <w:t> »</w:t>
      </w:r>
      <w:r w:rsidR="00E37C84">
        <w:rPr>
          <w:rFonts w:eastAsia="Arial Unicode MS"/>
          <w:bCs/>
          <w:lang w:eastAsia="fr-FR" w:bidi="he-IL"/>
        </w:rPr>
        <w:t>. E</w:t>
      </w:r>
      <w:r w:rsidRPr="00C8701B">
        <w:rPr>
          <w:rFonts w:eastAsia="Arial Unicode MS"/>
          <w:bCs/>
          <w:lang w:eastAsia="fr-FR" w:bidi="he-IL"/>
        </w:rPr>
        <w:t>t ailleurs</w:t>
      </w:r>
      <w:r w:rsidR="00933C60" w:rsidRPr="00C406FF">
        <w:rPr>
          <w:rStyle w:val="Appelnotedebasdep"/>
        </w:rPr>
        <w:footnoteReference w:id="20"/>
      </w:r>
      <w:r w:rsidR="00C2602D" w:rsidRPr="00C8701B">
        <w:rPr>
          <w:rFonts w:eastAsia="Arial Unicode MS"/>
          <w:bCs/>
          <w:lang w:eastAsia="fr-FR" w:bidi="he-IL"/>
        </w:rPr>
        <w:t> :</w:t>
      </w:r>
      <w:r w:rsidRPr="00C8701B">
        <w:rPr>
          <w:rFonts w:eastAsia="Arial Unicode MS"/>
          <w:bCs/>
          <w:lang w:eastAsia="fr-FR" w:bidi="he-IL"/>
        </w:rPr>
        <w:t xml:space="preserve"> </w:t>
      </w:r>
      <w:r w:rsidR="00C2602D" w:rsidRPr="00C8701B">
        <w:rPr>
          <w:rFonts w:eastAsia="Arial Unicode MS"/>
          <w:bCs/>
          <w:lang w:eastAsia="fr-FR" w:bidi="he-IL"/>
        </w:rPr>
        <w:t>« </w:t>
      </w:r>
      <w:r w:rsidR="00E939E7">
        <w:rPr>
          <w:rFonts w:eastAsia="Arial Unicode MS"/>
          <w:bCs/>
          <w:lang w:eastAsia="fr-FR" w:bidi="he-IL"/>
        </w:rPr>
        <w:t>Quátuor</w:t>
      </w:r>
      <w:r w:rsidRPr="00C8701B">
        <w:rPr>
          <w:rFonts w:eastAsia="Arial Unicode MS"/>
          <w:bCs/>
          <w:lang w:eastAsia="fr-FR" w:bidi="he-IL"/>
        </w:rPr>
        <w:t xml:space="preserve"> tantum </w:t>
      </w:r>
      <w:r w:rsidR="00E37C84" w:rsidRPr="00C8701B">
        <w:rPr>
          <w:rFonts w:eastAsia="Arial Unicode MS"/>
          <w:bCs/>
          <w:lang w:eastAsia="fr-FR" w:bidi="he-IL"/>
        </w:rPr>
        <w:t>evangélia</w:t>
      </w:r>
      <w:r w:rsidRPr="00C8701B">
        <w:rPr>
          <w:rFonts w:eastAsia="Arial Unicode MS"/>
          <w:bCs/>
          <w:lang w:eastAsia="fr-FR" w:bidi="he-IL"/>
        </w:rPr>
        <w:t xml:space="preserve"> sunt </w:t>
      </w:r>
      <w:r w:rsidR="00E37C84" w:rsidRPr="00C8701B">
        <w:rPr>
          <w:rFonts w:eastAsia="Arial Unicode MS"/>
          <w:bCs/>
          <w:lang w:eastAsia="fr-FR" w:bidi="he-IL"/>
        </w:rPr>
        <w:t>probáta</w:t>
      </w:r>
      <w:r w:rsidR="00E65435">
        <w:rPr>
          <w:rFonts w:eastAsia="Arial Unicode MS"/>
          <w:bCs/>
          <w:lang w:eastAsia="fr-FR" w:bidi="he-IL"/>
        </w:rPr>
        <w:t xml:space="preserve">, </w:t>
      </w:r>
      <w:r w:rsidR="00EC764F">
        <w:rPr>
          <w:rFonts w:eastAsia="Arial Unicode MS"/>
          <w:bCs/>
          <w:lang w:eastAsia="fr-FR" w:bidi="he-IL"/>
        </w:rPr>
        <w:t>e quibus sub persó</w:t>
      </w:r>
      <w:r w:rsidRPr="00C8701B">
        <w:rPr>
          <w:rFonts w:eastAsia="Arial Unicode MS"/>
          <w:bCs/>
          <w:lang w:eastAsia="fr-FR" w:bidi="he-IL"/>
        </w:rPr>
        <w:t>na D</w:t>
      </w:r>
      <w:r w:rsidR="004D031F">
        <w:rPr>
          <w:rFonts w:eastAsia="Arial Unicode MS"/>
          <w:bCs/>
          <w:lang w:eastAsia="fr-FR" w:bidi="he-IL"/>
        </w:rPr>
        <w:t>ómini</w:t>
      </w:r>
      <w:r w:rsidRPr="00C8701B">
        <w:rPr>
          <w:rFonts w:eastAsia="Arial Unicode MS"/>
          <w:bCs/>
          <w:lang w:eastAsia="fr-FR" w:bidi="he-IL"/>
        </w:rPr>
        <w:t xml:space="preserve"> et </w:t>
      </w:r>
      <w:r w:rsidR="00E37C84" w:rsidRPr="00C8701B">
        <w:rPr>
          <w:rFonts w:eastAsia="Arial Unicode MS"/>
          <w:bCs/>
          <w:lang w:eastAsia="fr-FR" w:bidi="he-IL"/>
        </w:rPr>
        <w:t>Salvatóris</w:t>
      </w:r>
      <w:r w:rsidRPr="00C8701B">
        <w:rPr>
          <w:rFonts w:eastAsia="Arial Unicode MS"/>
          <w:bCs/>
          <w:lang w:eastAsia="fr-FR" w:bidi="he-IL"/>
        </w:rPr>
        <w:t xml:space="preserve"> nostri </w:t>
      </w:r>
      <w:r w:rsidR="00E37C84" w:rsidRPr="00C8701B">
        <w:rPr>
          <w:rFonts w:eastAsia="Arial Unicode MS"/>
          <w:bCs/>
          <w:lang w:eastAsia="fr-FR" w:bidi="he-IL"/>
        </w:rPr>
        <w:t>profúnda</w:t>
      </w:r>
      <w:r w:rsidRPr="00C8701B">
        <w:rPr>
          <w:rFonts w:eastAsia="Arial Unicode MS"/>
          <w:bCs/>
          <w:lang w:eastAsia="fr-FR" w:bidi="he-IL"/>
        </w:rPr>
        <w:t xml:space="preserve"> sunt </w:t>
      </w:r>
      <w:r w:rsidR="00E37C84" w:rsidRPr="00C8701B">
        <w:rPr>
          <w:rFonts w:eastAsia="Arial Unicode MS"/>
          <w:bCs/>
          <w:lang w:eastAsia="fr-FR" w:bidi="he-IL"/>
        </w:rPr>
        <w:t>dógmata</w:t>
      </w:r>
      <w:r w:rsidRPr="00C8701B">
        <w:rPr>
          <w:rFonts w:eastAsia="Arial Unicode MS"/>
          <w:bCs/>
          <w:lang w:eastAsia="fr-FR" w:bidi="he-IL"/>
        </w:rPr>
        <w:t xml:space="preserve">. </w:t>
      </w:r>
      <w:r w:rsidR="00EC764F">
        <w:rPr>
          <w:rFonts w:eastAsia="Arial Unicode MS"/>
          <w:bCs/>
          <w:lang w:eastAsia="fr-FR" w:bidi="he-IL"/>
        </w:rPr>
        <w:t>Sc</w:t>
      </w:r>
      <w:r w:rsidRPr="00C8701B">
        <w:rPr>
          <w:rFonts w:eastAsia="Arial Unicode MS"/>
          <w:bCs/>
          <w:lang w:eastAsia="fr-FR" w:bidi="he-IL"/>
        </w:rPr>
        <w:t xml:space="preserve">io quoddam </w:t>
      </w:r>
      <w:r w:rsidR="00E37C84" w:rsidRPr="00C8701B">
        <w:rPr>
          <w:rFonts w:eastAsia="Arial Unicode MS"/>
          <w:bCs/>
          <w:lang w:eastAsia="fr-FR" w:bidi="he-IL"/>
        </w:rPr>
        <w:t>evangélium</w:t>
      </w:r>
      <w:r w:rsidRPr="00C8701B">
        <w:rPr>
          <w:rFonts w:eastAsia="Arial Unicode MS"/>
          <w:bCs/>
          <w:lang w:eastAsia="fr-FR" w:bidi="he-IL"/>
        </w:rPr>
        <w:t xml:space="preserve"> quod app</w:t>
      </w:r>
      <w:r w:rsidR="0096412E" w:rsidRPr="00C8701B">
        <w:rPr>
          <w:rFonts w:eastAsia="Arial Unicode MS"/>
          <w:bCs/>
          <w:lang w:eastAsia="fr-FR" w:bidi="he-IL"/>
        </w:rPr>
        <w:t>ell</w:t>
      </w:r>
      <w:r w:rsidR="0096412E">
        <w:rPr>
          <w:rFonts w:eastAsia="Arial Unicode MS"/>
          <w:bCs/>
          <w:lang w:eastAsia="fr-FR" w:bidi="he-IL"/>
        </w:rPr>
        <w:t>á</w:t>
      </w:r>
      <w:r w:rsidR="0096412E" w:rsidRPr="00C8701B">
        <w:rPr>
          <w:rFonts w:eastAsia="Arial Unicode MS"/>
          <w:bCs/>
          <w:lang w:eastAsia="fr-FR" w:bidi="he-IL"/>
        </w:rPr>
        <w:t>tur</w:t>
      </w:r>
      <w:r w:rsidRPr="00C8701B">
        <w:rPr>
          <w:rFonts w:eastAsia="Arial Unicode MS"/>
          <w:bCs/>
          <w:lang w:eastAsia="fr-FR" w:bidi="he-IL"/>
        </w:rPr>
        <w:t xml:space="preserve"> </w:t>
      </w:r>
      <w:r w:rsidR="00E37C84" w:rsidRPr="00C8701B">
        <w:rPr>
          <w:rFonts w:eastAsia="Arial Unicode MS"/>
          <w:bCs/>
          <w:lang w:eastAsia="fr-FR" w:bidi="he-IL"/>
        </w:rPr>
        <w:t>secúndum</w:t>
      </w:r>
      <w:r w:rsidRPr="00C8701B">
        <w:rPr>
          <w:rFonts w:eastAsia="Arial Unicode MS"/>
          <w:bCs/>
          <w:lang w:eastAsia="fr-FR" w:bidi="he-IL"/>
        </w:rPr>
        <w:t xml:space="preserve"> Thomam</w:t>
      </w:r>
      <w:r w:rsidR="00E65435">
        <w:rPr>
          <w:rFonts w:eastAsia="Arial Unicode MS"/>
          <w:bCs/>
          <w:lang w:eastAsia="fr-FR" w:bidi="he-IL"/>
        </w:rPr>
        <w:t xml:space="preserve">, </w:t>
      </w:r>
      <w:r w:rsidRPr="00C8701B">
        <w:rPr>
          <w:rFonts w:eastAsia="Arial Unicode MS"/>
          <w:bCs/>
          <w:lang w:eastAsia="fr-FR" w:bidi="he-IL"/>
        </w:rPr>
        <w:t xml:space="preserve">et juxta </w:t>
      </w:r>
      <w:r w:rsidR="00E37C84" w:rsidRPr="00C8701B">
        <w:rPr>
          <w:rFonts w:eastAsia="Arial Unicode MS"/>
          <w:bCs/>
          <w:lang w:eastAsia="fr-FR" w:bidi="he-IL"/>
        </w:rPr>
        <w:t>Mathíam</w:t>
      </w:r>
      <w:r w:rsidR="00E65435">
        <w:rPr>
          <w:rFonts w:eastAsia="Arial Unicode MS"/>
          <w:bCs/>
          <w:lang w:eastAsia="fr-FR" w:bidi="he-IL"/>
        </w:rPr>
        <w:t xml:space="preserve">, </w:t>
      </w:r>
      <w:r w:rsidRPr="00C8701B">
        <w:rPr>
          <w:rFonts w:eastAsia="Arial Unicode MS"/>
          <w:bCs/>
          <w:lang w:eastAsia="fr-FR" w:bidi="he-IL"/>
        </w:rPr>
        <w:t xml:space="preserve">et </w:t>
      </w:r>
      <w:r w:rsidR="00EC764F">
        <w:rPr>
          <w:rFonts w:eastAsia="Arial Unicode MS"/>
          <w:bCs/>
          <w:lang w:eastAsia="fr-FR" w:bidi="he-IL"/>
        </w:rPr>
        <w:t>ália</w:t>
      </w:r>
      <w:r w:rsidRPr="00C8701B">
        <w:rPr>
          <w:rFonts w:eastAsia="Arial Unicode MS"/>
          <w:bCs/>
          <w:lang w:eastAsia="fr-FR" w:bidi="he-IL"/>
        </w:rPr>
        <w:t xml:space="preserve"> plura </w:t>
      </w:r>
      <w:r w:rsidR="00E37C84" w:rsidRPr="00C8701B">
        <w:rPr>
          <w:rFonts w:eastAsia="Arial Unicode MS"/>
          <w:bCs/>
          <w:lang w:eastAsia="fr-FR" w:bidi="he-IL"/>
        </w:rPr>
        <w:t>légimus</w:t>
      </w:r>
      <w:r w:rsidRPr="00C8701B">
        <w:rPr>
          <w:rFonts w:eastAsia="Arial Unicode MS"/>
          <w:bCs/>
          <w:lang w:eastAsia="fr-FR" w:bidi="he-IL"/>
        </w:rPr>
        <w:t xml:space="preserve">... </w:t>
      </w:r>
      <w:r w:rsidRPr="00A74F01">
        <w:rPr>
          <w:rFonts w:eastAsia="Arial Unicode MS"/>
          <w:bCs/>
          <w:lang w:eastAsia="fr-FR" w:bidi="he-IL"/>
        </w:rPr>
        <w:t xml:space="preserve">Sed in his </w:t>
      </w:r>
      <w:r w:rsidR="00695548" w:rsidRPr="00A74F01">
        <w:rPr>
          <w:rFonts w:eastAsia="Arial Unicode MS"/>
          <w:bCs/>
          <w:lang w:eastAsia="fr-FR" w:bidi="he-IL"/>
        </w:rPr>
        <w:t>ómnibus</w:t>
      </w:r>
      <w:r w:rsidRPr="00A74F01">
        <w:rPr>
          <w:rFonts w:eastAsia="Arial Unicode MS"/>
          <w:bCs/>
          <w:lang w:eastAsia="fr-FR" w:bidi="he-IL"/>
        </w:rPr>
        <w:t xml:space="preserve"> nihil </w:t>
      </w:r>
      <w:r w:rsidR="00795B48">
        <w:rPr>
          <w:rFonts w:eastAsia="Arial Unicode MS"/>
          <w:bCs/>
          <w:lang w:eastAsia="fr-FR" w:bidi="he-IL"/>
        </w:rPr>
        <w:t>áliud</w:t>
      </w:r>
      <w:r w:rsidRPr="00A74F01">
        <w:rPr>
          <w:rFonts w:eastAsia="Arial Unicode MS"/>
          <w:bCs/>
          <w:lang w:eastAsia="fr-FR" w:bidi="he-IL"/>
        </w:rPr>
        <w:t xml:space="preserve"> </w:t>
      </w:r>
      <w:r w:rsidR="00E37C84" w:rsidRPr="00A74F01">
        <w:rPr>
          <w:rFonts w:eastAsia="Arial Unicode MS"/>
          <w:bCs/>
          <w:lang w:eastAsia="fr-FR" w:bidi="he-IL"/>
        </w:rPr>
        <w:t>probámus</w:t>
      </w:r>
      <w:r w:rsidRPr="00A74F01">
        <w:rPr>
          <w:rFonts w:eastAsia="Arial Unicode MS"/>
          <w:bCs/>
          <w:lang w:eastAsia="fr-FR" w:bidi="he-IL"/>
        </w:rPr>
        <w:t xml:space="preserve"> nisi quod </w:t>
      </w:r>
      <w:r w:rsidR="002E2757" w:rsidRPr="00A74F01">
        <w:rPr>
          <w:rFonts w:eastAsia="Arial Unicode MS"/>
          <w:bCs/>
          <w:lang w:eastAsia="fr-FR" w:bidi="he-IL"/>
        </w:rPr>
        <w:t>Ecclésia</w:t>
      </w:r>
      <w:r w:rsidR="00E65435" w:rsidRPr="00A74F01">
        <w:rPr>
          <w:rFonts w:eastAsia="Arial Unicode MS"/>
          <w:bCs/>
          <w:lang w:eastAsia="fr-FR" w:bidi="he-IL"/>
        </w:rPr>
        <w:t xml:space="preserve">, </w:t>
      </w:r>
      <w:r w:rsidRPr="00A74F01">
        <w:rPr>
          <w:rFonts w:eastAsia="Arial Unicode MS"/>
          <w:bCs/>
          <w:lang w:eastAsia="fr-FR" w:bidi="he-IL"/>
        </w:rPr>
        <w:t>id est</w:t>
      </w:r>
      <w:r w:rsidR="00E65435" w:rsidRPr="00A74F01">
        <w:rPr>
          <w:rFonts w:eastAsia="Arial Unicode MS"/>
          <w:bCs/>
          <w:lang w:eastAsia="fr-FR" w:bidi="he-IL"/>
        </w:rPr>
        <w:t xml:space="preserve">, </w:t>
      </w:r>
      <w:r w:rsidR="00E37C84" w:rsidRPr="00A74F01">
        <w:rPr>
          <w:rFonts w:eastAsia="Arial Unicode MS"/>
          <w:bCs/>
          <w:lang w:eastAsia="fr-FR" w:bidi="he-IL"/>
        </w:rPr>
        <w:t>quátuor</w:t>
      </w:r>
      <w:r w:rsidRPr="00A74F01">
        <w:rPr>
          <w:rFonts w:eastAsia="Arial Unicode MS"/>
          <w:bCs/>
          <w:lang w:eastAsia="fr-FR" w:bidi="he-IL"/>
        </w:rPr>
        <w:t xml:space="preserve"> tantum </w:t>
      </w:r>
      <w:r w:rsidR="00E37C84" w:rsidRPr="00A74F01">
        <w:rPr>
          <w:rFonts w:eastAsia="Arial Unicode MS"/>
          <w:bCs/>
          <w:lang w:eastAsia="fr-FR" w:bidi="he-IL"/>
        </w:rPr>
        <w:t>evangélia recipié</w:t>
      </w:r>
      <w:r w:rsidRPr="00A74F01">
        <w:rPr>
          <w:rFonts w:eastAsia="Arial Unicode MS"/>
          <w:bCs/>
          <w:lang w:eastAsia="fr-FR" w:bidi="he-IL"/>
        </w:rPr>
        <w:t>nda</w:t>
      </w:r>
      <w:r w:rsidR="00933C60" w:rsidRPr="00C406FF">
        <w:rPr>
          <w:rStyle w:val="Appelnotedebasdep"/>
        </w:rPr>
        <w:footnoteReference w:id="21"/>
      </w:r>
      <w:r w:rsidR="00EC764F" w:rsidRPr="00A74F01">
        <w:rPr>
          <w:rFonts w:eastAsia="Arial Unicode MS"/>
          <w:bCs/>
          <w:lang w:eastAsia="fr-FR" w:bidi="he-IL"/>
        </w:rPr>
        <w:t>.</w:t>
      </w:r>
      <w:r w:rsidR="00EC764F">
        <w:t> »</w:t>
      </w:r>
      <w:r w:rsidR="00C2602D" w:rsidRPr="00A74F01">
        <w:rPr>
          <w:rFonts w:eastAsia="Arial Unicode MS"/>
          <w:bCs/>
          <w:lang w:eastAsia="fr-FR" w:bidi="he-IL"/>
        </w:rPr>
        <w:t xml:space="preserve"> </w:t>
      </w:r>
    </w:p>
    <w:p w:rsidR="00C2602D" w:rsidRPr="00C8701B" w:rsidRDefault="00B704AD" w:rsidP="00356A5E">
      <w:pPr>
        <w:rPr>
          <w:rFonts w:eastAsia="Arial Unicode MS"/>
          <w:bCs/>
          <w:lang w:eastAsia="fr-FR" w:bidi="he-IL"/>
        </w:rPr>
      </w:pPr>
      <w:r w:rsidRPr="00E37C84">
        <w:t>Avant Origène</w:t>
      </w:r>
      <w:r w:rsidR="00E65435" w:rsidRPr="00E37C84">
        <w:t xml:space="preserve">, </w:t>
      </w:r>
      <w:r w:rsidRPr="00E37C84">
        <w:t>et s</w:t>
      </w:r>
      <w:r w:rsidR="00557DE0">
        <w:t>’</w:t>
      </w:r>
      <w:r w:rsidR="00C511A5" w:rsidRPr="00E37C84">
        <w:t>appuyant</w:t>
      </w:r>
      <w:r w:rsidRPr="00C8701B">
        <w:rPr>
          <w:rFonts w:eastAsia="Arial Unicode MS"/>
          <w:bCs/>
          <w:lang w:eastAsia="fr-FR" w:bidi="he-IL"/>
        </w:rPr>
        <w:t xml:space="preserve"> d</w:t>
      </w:r>
      <w:r w:rsidR="00557DE0">
        <w:rPr>
          <w:rFonts w:eastAsia="Arial Unicode MS"/>
          <w:bCs/>
          <w:lang w:eastAsia="fr-FR" w:bidi="he-IL"/>
        </w:rPr>
        <w:t>’</w:t>
      </w:r>
      <w:r w:rsidRPr="00C8701B">
        <w:rPr>
          <w:rFonts w:eastAsia="Arial Unicode MS"/>
          <w:bCs/>
          <w:lang w:eastAsia="fr-FR" w:bidi="he-IL"/>
        </w:rPr>
        <w:t>une manière très expresse sur ceux qui l</w:t>
      </w:r>
      <w:r w:rsidR="00557DE0">
        <w:rPr>
          <w:rFonts w:eastAsia="Arial Unicode MS"/>
          <w:bCs/>
          <w:lang w:eastAsia="fr-FR" w:bidi="he-IL"/>
        </w:rPr>
        <w:t>’</w:t>
      </w:r>
      <w:r w:rsidRPr="00C8701B">
        <w:rPr>
          <w:rFonts w:eastAsia="Arial Unicode MS"/>
          <w:bCs/>
          <w:lang w:eastAsia="fr-FR" w:bidi="he-IL"/>
        </w:rPr>
        <w:t>avaient précédé lui-même (</w:t>
      </w:r>
      <w:r w:rsidR="00C2602D" w:rsidRPr="00C8701B">
        <w:rPr>
          <w:rFonts w:eastAsia="Arial Unicode MS"/>
          <w:bCs/>
          <w:lang w:eastAsia="fr-FR" w:bidi="he-IL"/>
        </w:rPr>
        <w:t>« </w:t>
      </w:r>
      <w:r w:rsidRPr="00C8701B">
        <w:rPr>
          <w:rFonts w:eastAsia="Arial Unicode MS"/>
          <w:bCs/>
          <w:lang w:eastAsia="fr-FR" w:bidi="he-IL"/>
        </w:rPr>
        <w:t>tradit</w:t>
      </w:r>
      <w:r w:rsidR="000B732C">
        <w:rPr>
          <w:rFonts w:eastAsia="Arial Unicode MS"/>
          <w:bCs/>
          <w:lang w:eastAsia="fr-FR" w:bidi="he-IL"/>
        </w:rPr>
        <w:t>iónem</w:t>
      </w:r>
      <w:r w:rsidRPr="00C8701B">
        <w:rPr>
          <w:rFonts w:eastAsia="Arial Unicode MS"/>
          <w:bCs/>
          <w:lang w:eastAsia="fr-FR" w:bidi="he-IL"/>
        </w:rPr>
        <w:t xml:space="preserve"> quamdam</w:t>
      </w:r>
      <w:r w:rsidR="00E65435">
        <w:rPr>
          <w:rFonts w:eastAsia="Arial Unicode MS"/>
          <w:bCs/>
          <w:lang w:eastAsia="fr-FR" w:bidi="he-IL"/>
        </w:rPr>
        <w:t xml:space="preserve">, </w:t>
      </w:r>
      <w:r w:rsidRPr="00C8701B">
        <w:rPr>
          <w:rFonts w:eastAsia="Arial Unicode MS"/>
          <w:bCs/>
          <w:lang w:eastAsia="fr-FR" w:bidi="he-IL"/>
        </w:rPr>
        <w:t>quam a vetusti</w:t>
      </w:r>
      <w:r w:rsidR="00356A5E">
        <w:rPr>
          <w:rFonts w:eastAsia="Arial Unicode MS"/>
          <w:bCs/>
          <w:lang w:eastAsia="fr-FR" w:bidi="he-IL"/>
        </w:rPr>
        <w:t>ó</w:t>
      </w:r>
      <w:r w:rsidR="00356A5E" w:rsidRPr="00C8701B">
        <w:rPr>
          <w:rFonts w:eastAsia="Arial Unicode MS"/>
          <w:bCs/>
          <w:lang w:eastAsia="fr-FR" w:bidi="he-IL"/>
        </w:rPr>
        <w:t>ribus</w:t>
      </w:r>
      <w:r w:rsidRPr="00C8701B">
        <w:rPr>
          <w:rFonts w:eastAsia="Arial Unicode MS"/>
          <w:bCs/>
          <w:lang w:eastAsia="fr-FR" w:bidi="he-IL"/>
        </w:rPr>
        <w:t xml:space="preserve"> </w:t>
      </w:r>
      <w:r w:rsidR="002E727A" w:rsidRPr="00C8701B">
        <w:rPr>
          <w:rFonts w:eastAsia="Arial Unicode MS"/>
          <w:bCs/>
          <w:lang w:eastAsia="fr-FR" w:bidi="he-IL"/>
        </w:rPr>
        <w:t>presbýteris</w:t>
      </w:r>
      <w:r w:rsidRPr="00C8701B">
        <w:rPr>
          <w:rFonts w:eastAsia="Arial Unicode MS"/>
          <w:bCs/>
          <w:lang w:eastAsia="fr-FR" w:bidi="he-IL"/>
        </w:rPr>
        <w:t xml:space="preserve"> </w:t>
      </w:r>
      <w:r w:rsidR="002E727A" w:rsidRPr="00C8701B">
        <w:rPr>
          <w:rFonts w:eastAsia="Arial Unicode MS"/>
          <w:bCs/>
          <w:lang w:eastAsia="fr-FR" w:bidi="he-IL"/>
        </w:rPr>
        <w:t>accéperat</w:t>
      </w:r>
      <w:r w:rsidR="00EC764F">
        <w:rPr>
          <w:rFonts w:eastAsia="Arial Unicode MS"/>
          <w:bCs/>
          <w:lang w:eastAsia="fr-FR" w:bidi="he-IL"/>
        </w:rPr>
        <w:t> »)</w:t>
      </w:r>
      <w:r w:rsidR="00933C60" w:rsidRPr="00C406FF">
        <w:rPr>
          <w:rStyle w:val="Appelnotedebasdep"/>
        </w:rPr>
        <w:footnoteReference w:id="22"/>
      </w:r>
      <w:r w:rsidRPr="00C8701B">
        <w:rPr>
          <w:rFonts w:eastAsia="Arial Unicode MS"/>
          <w:bCs/>
          <w:lang w:eastAsia="fr-FR" w:bidi="he-IL"/>
        </w:rPr>
        <w:t xml:space="preserve"> </w:t>
      </w:r>
      <w:r w:rsidR="00EC764F">
        <w:rPr>
          <w:rFonts w:eastAsia="Arial Unicode MS"/>
          <w:bCs/>
          <w:lang w:eastAsia="fr-FR" w:bidi="he-IL"/>
        </w:rPr>
        <w:t>(</w:t>
      </w:r>
      <w:r w:rsidRPr="00C8701B">
        <w:rPr>
          <w:rFonts w:eastAsia="Arial Unicode MS"/>
          <w:bCs/>
          <w:lang w:eastAsia="fr-FR" w:bidi="he-IL"/>
        </w:rPr>
        <w:t>S)</w:t>
      </w:r>
      <w:r w:rsidR="00E65435">
        <w:rPr>
          <w:rFonts w:eastAsia="Arial Unicode MS"/>
          <w:bCs/>
          <w:lang w:eastAsia="fr-FR" w:bidi="he-IL"/>
        </w:rPr>
        <w:t xml:space="preserve">, </w:t>
      </w:r>
      <w:r w:rsidRPr="00C8701B">
        <w:rPr>
          <w:rFonts w:eastAsia="Arial Unicode MS"/>
          <w:bCs/>
          <w:lang w:eastAsia="fr-FR" w:bidi="he-IL"/>
        </w:rPr>
        <w:t>Clément d</w:t>
      </w:r>
      <w:r w:rsidR="00557DE0">
        <w:rPr>
          <w:rFonts w:eastAsia="Arial Unicode MS"/>
          <w:bCs/>
          <w:lang w:eastAsia="fr-FR" w:bidi="he-IL"/>
        </w:rPr>
        <w:t>’</w:t>
      </w:r>
      <w:r w:rsidRPr="00C8701B">
        <w:rPr>
          <w:rFonts w:eastAsia="Arial Unicode MS"/>
          <w:bCs/>
          <w:lang w:eastAsia="fr-FR" w:bidi="he-IL"/>
        </w:rPr>
        <w:t>Alexandrie reconnaissait nos quatre évangiles</w:t>
      </w:r>
      <w:r w:rsidR="00E65435">
        <w:rPr>
          <w:rFonts w:eastAsia="Arial Unicode MS"/>
          <w:bCs/>
          <w:lang w:eastAsia="fr-FR" w:bidi="he-IL"/>
        </w:rPr>
        <w:t xml:space="preserve">, </w:t>
      </w:r>
      <w:r w:rsidRPr="00C8701B">
        <w:rPr>
          <w:rFonts w:eastAsia="Arial Unicode MS"/>
          <w:bCs/>
          <w:lang w:eastAsia="fr-FR" w:bidi="he-IL"/>
        </w:rPr>
        <w:t>et rien de plus</w:t>
      </w:r>
      <w:r w:rsidR="00933C60" w:rsidRPr="00C406FF">
        <w:rPr>
          <w:rStyle w:val="Appelnotedebasdep"/>
        </w:rPr>
        <w:footnoteReference w:id="23"/>
      </w:r>
      <w:r w:rsidRPr="00C8701B">
        <w:rPr>
          <w:rFonts w:eastAsia="Arial Unicode MS"/>
          <w:bCs/>
          <w:lang w:eastAsia="fr-FR" w:bidi="he-IL"/>
        </w:rPr>
        <w:t>. Tertullien n</w:t>
      </w:r>
      <w:r w:rsidR="00557DE0">
        <w:rPr>
          <w:rFonts w:eastAsia="Arial Unicode MS"/>
          <w:bCs/>
          <w:lang w:eastAsia="fr-FR" w:bidi="he-IL"/>
        </w:rPr>
        <w:t>’</w:t>
      </w:r>
      <w:r w:rsidRPr="00C8701B">
        <w:rPr>
          <w:rFonts w:eastAsia="Arial Unicode MS"/>
          <w:bCs/>
          <w:lang w:eastAsia="fr-FR" w:bidi="he-IL"/>
        </w:rPr>
        <w:t>est pas moins précis qu</w:t>
      </w:r>
      <w:r w:rsidR="00557DE0">
        <w:rPr>
          <w:rFonts w:eastAsia="Arial Unicode MS"/>
          <w:bCs/>
          <w:lang w:eastAsia="fr-FR" w:bidi="he-IL"/>
        </w:rPr>
        <w:t>’</w:t>
      </w:r>
      <w:r w:rsidRPr="00C8701B">
        <w:rPr>
          <w:rFonts w:eastAsia="Arial Unicode MS"/>
          <w:bCs/>
          <w:lang w:eastAsia="fr-FR" w:bidi="he-IL"/>
        </w:rPr>
        <w:t>Origène</w:t>
      </w:r>
      <w:r w:rsidR="00C2602D" w:rsidRPr="00C8701B">
        <w:rPr>
          <w:rFonts w:eastAsia="Arial Unicode MS"/>
          <w:bCs/>
          <w:lang w:eastAsia="fr-FR" w:bidi="he-IL"/>
        </w:rPr>
        <w:t> :</w:t>
      </w:r>
      <w:r w:rsidRPr="00C8701B">
        <w:rPr>
          <w:rFonts w:eastAsia="Arial Unicode MS"/>
          <w:bCs/>
          <w:lang w:eastAsia="fr-FR" w:bidi="he-IL"/>
        </w:rPr>
        <w:t xml:space="preserve"> </w:t>
      </w:r>
      <w:r w:rsidR="00C2602D" w:rsidRPr="00C8701B">
        <w:rPr>
          <w:rFonts w:eastAsia="Arial Unicode MS"/>
          <w:bCs/>
          <w:lang w:eastAsia="fr-FR" w:bidi="he-IL"/>
        </w:rPr>
        <w:t>« </w:t>
      </w:r>
      <w:r w:rsidR="002E727A">
        <w:rPr>
          <w:rFonts w:eastAsia="Arial Unicode MS"/>
          <w:bCs/>
          <w:lang w:eastAsia="fr-FR" w:bidi="he-IL"/>
        </w:rPr>
        <w:t>Constitúimus</w:t>
      </w:r>
      <w:r w:rsidR="00EC764F">
        <w:rPr>
          <w:rFonts w:eastAsia="Arial Unicode MS"/>
          <w:bCs/>
          <w:lang w:eastAsia="fr-FR" w:bidi="he-IL"/>
        </w:rPr>
        <w:t xml:space="preserve"> </w:t>
      </w:r>
      <w:r w:rsidR="002E727A">
        <w:rPr>
          <w:rFonts w:eastAsia="Arial Unicode MS"/>
          <w:bCs/>
          <w:lang w:eastAsia="fr-FR" w:bidi="he-IL"/>
        </w:rPr>
        <w:t>imprím</w:t>
      </w:r>
      <w:r w:rsidR="002E727A" w:rsidRPr="00C8701B">
        <w:rPr>
          <w:rFonts w:eastAsia="Arial Unicode MS"/>
          <w:bCs/>
          <w:lang w:eastAsia="fr-FR" w:bidi="he-IL"/>
        </w:rPr>
        <w:t>is</w:t>
      </w:r>
      <w:r w:rsidRPr="00C8701B">
        <w:rPr>
          <w:rFonts w:eastAsia="Arial Unicode MS"/>
          <w:bCs/>
          <w:lang w:eastAsia="fr-FR" w:bidi="he-IL"/>
        </w:rPr>
        <w:t xml:space="preserve"> </w:t>
      </w:r>
      <w:r w:rsidR="002E727A" w:rsidRPr="00C8701B">
        <w:rPr>
          <w:rFonts w:eastAsia="Arial Unicode MS"/>
          <w:bCs/>
          <w:lang w:eastAsia="fr-FR" w:bidi="he-IL"/>
        </w:rPr>
        <w:t>e</w:t>
      </w:r>
      <w:r w:rsidR="002E727A">
        <w:rPr>
          <w:rFonts w:eastAsia="Arial Unicode MS"/>
          <w:bCs/>
          <w:lang w:eastAsia="fr-FR" w:bidi="he-IL"/>
        </w:rPr>
        <w:t>vangélicum</w:t>
      </w:r>
      <w:r w:rsidR="00356A5E">
        <w:rPr>
          <w:rFonts w:eastAsia="Arial Unicode MS"/>
          <w:bCs/>
          <w:lang w:eastAsia="fr-FR" w:bidi="he-IL"/>
        </w:rPr>
        <w:t xml:space="preserve"> </w:t>
      </w:r>
      <w:r w:rsidR="002E727A">
        <w:rPr>
          <w:rFonts w:eastAsia="Arial Unicode MS"/>
          <w:bCs/>
          <w:lang w:eastAsia="fr-FR" w:bidi="he-IL"/>
        </w:rPr>
        <w:t>instruméntum</w:t>
      </w:r>
      <w:r w:rsidR="00356A5E">
        <w:rPr>
          <w:rFonts w:eastAsia="Arial Unicode MS"/>
          <w:bCs/>
          <w:lang w:eastAsia="fr-FR" w:bidi="he-IL"/>
        </w:rPr>
        <w:t xml:space="preserve"> </w:t>
      </w:r>
      <w:r w:rsidR="002E727A">
        <w:rPr>
          <w:rFonts w:eastAsia="Arial Unicode MS"/>
          <w:bCs/>
          <w:lang w:eastAsia="fr-FR" w:bidi="he-IL"/>
        </w:rPr>
        <w:t>apóstolo</w:t>
      </w:r>
      <w:r w:rsidR="002E727A" w:rsidRPr="00C8701B">
        <w:rPr>
          <w:rFonts w:eastAsia="Arial Unicode MS"/>
          <w:bCs/>
          <w:lang w:eastAsia="fr-FR" w:bidi="he-IL"/>
        </w:rPr>
        <w:t>s</w:t>
      </w:r>
      <w:r w:rsidRPr="00C8701B">
        <w:rPr>
          <w:rFonts w:eastAsia="Arial Unicode MS"/>
          <w:bCs/>
          <w:lang w:eastAsia="fr-FR" w:bidi="he-IL"/>
        </w:rPr>
        <w:t xml:space="preserve"> </w:t>
      </w:r>
      <w:r w:rsidR="002E727A" w:rsidRPr="00C8701B">
        <w:rPr>
          <w:rFonts w:eastAsia="Arial Unicode MS"/>
          <w:bCs/>
          <w:lang w:eastAsia="fr-FR" w:bidi="he-IL"/>
        </w:rPr>
        <w:t>auctóres</w:t>
      </w:r>
      <w:r w:rsidRPr="00C8701B">
        <w:rPr>
          <w:rFonts w:eastAsia="Arial Unicode MS"/>
          <w:bCs/>
          <w:lang w:eastAsia="fr-FR" w:bidi="he-IL"/>
        </w:rPr>
        <w:t xml:space="preserve"> </w:t>
      </w:r>
      <w:r w:rsidR="002E727A" w:rsidRPr="00C8701B">
        <w:rPr>
          <w:rFonts w:eastAsia="Arial Unicode MS"/>
          <w:bCs/>
          <w:lang w:eastAsia="fr-FR" w:bidi="he-IL"/>
        </w:rPr>
        <w:t>habére</w:t>
      </w:r>
      <w:r w:rsidR="00E65435">
        <w:rPr>
          <w:rFonts w:eastAsia="Arial Unicode MS"/>
          <w:bCs/>
          <w:lang w:eastAsia="fr-FR" w:bidi="he-IL"/>
        </w:rPr>
        <w:t xml:space="preserve">, </w:t>
      </w:r>
      <w:r w:rsidR="002E727A">
        <w:rPr>
          <w:rFonts w:eastAsia="Arial Unicode MS"/>
          <w:bCs/>
          <w:lang w:eastAsia="fr-FR" w:bidi="he-IL"/>
        </w:rPr>
        <w:t>quibus hoc mu</w:t>
      </w:r>
      <w:r w:rsidRPr="00C8701B">
        <w:rPr>
          <w:rFonts w:eastAsia="Arial Unicode MS"/>
          <w:bCs/>
          <w:lang w:eastAsia="fr-FR" w:bidi="he-IL"/>
        </w:rPr>
        <w:t xml:space="preserve">nus </w:t>
      </w:r>
      <w:r w:rsidR="002E727A" w:rsidRPr="00C8701B">
        <w:rPr>
          <w:rFonts w:eastAsia="Arial Unicode MS"/>
          <w:bCs/>
          <w:lang w:eastAsia="fr-FR" w:bidi="he-IL"/>
        </w:rPr>
        <w:t>evangélii</w:t>
      </w:r>
      <w:r w:rsidRPr="00C8701B">
        <w:rPr>
          <w:rFonts w:eastAsia="Arial Unicode MS"/>
          <w:bCs/>
          <w:lang w:eastAsia="fr-FR" w:bidi="he-IL"/>
        </w:rPr>
        <w:t xml:space="preserve"> pro</w:t>
      </w:r>
      <w:r w:rsidR="002E727A">
        <w:rPr>
          <w:rFonts w:eastAsia="Arial Unicode MS"/>
          <w:bCs/>
          <w:lang w:eastAsia="fr-FR" w:bidi="he-IL"/>
        </w:rPr>
        <w:t>mulgá</w:t>
      </w:r>
      <w:r w:rsidRPr="00C8701B">
        <w:rPr>
          <w:rFonts w:eastAsia="Arial Unicode MS"/>
          <w:bCs/>
          <w:lang w:eastAsia="fr-FR" w:bidi="he-IL"/>
        </w:rPr>
        <w:t xml:space="preserve">ndi ab ipso </w:t>
      </w:r>
      <w:r w:rsidR="00216C2A">
        <w:rPr>
          <w:rFonts w:eastAsia="Arial Unicode MS"/>
          <w:bCs/>
          <w:lang w:eastAsia="fr-FR" w:bidi="he-IL"/>
        </w:rPr>
        <w:t>Dómino</w:t>
      </w:r>
      <w:r w:rsidRPr="00C8701B">
        <w:rPr>
          <w:rFonts w:eastAsia="Arial Unicode MS"/>
          <w:bCs/>
          <w:lang w:eastAsia="fr-FR" w:bidi="he-IL"/>
        </w:rPr>
        <w:t xml:space="preserve"> sit </w:t>
      </w:r>
      <w:r w:rsidR="002E727A" w:rsidRPr="00C8701B">
        <w:rPr>
          <w:rFonts w:eastAsia="Arial Unicode MS"/>
          <w:bCs/>
          <w:lang w:eastAsia="fr-FR" w:bidi="he-IL"/>
        </w:rPr>
        <w:t>impósitum</w:t>
      </w:r>
      <w:r w:rsidR="00C2602D" w:rsidRPr="00C8701B">
        <w:rPr>
          <w:rFonts w:eastAsia="Arial Unicode MS"/>
          <w:bCs/>
          <w:lang w:eastAsia="fr-FR" w:bidi="he-IL"/>
        </w:rPr>
        <w:t> :</w:t>
      </w:r>
      <w:r w:rsidRPr="00C8701B">
        <w:rPr>
          <w:rFonts w:eastAsia="Arial Unicode MS"/>
          <w:bCs/>
          <w:lang w:eastAsia="fr-FR" w:bidi="he-IL"/>
        </w:rPr>
        <w:t xml:space="preserve"> si et </w:t>
      </w:r>
      <w:r w:rsidR="002E727A" w:rsidRPr="00C8701B">
        <w:rPr>
          <w:rFonts w:eastAsia="Arial Unicode MS"/>
          <w:bCs/>
          <w:lang w:eastAsia="fr-FR" w:bidi="he-IL"/>
        </w:rPr>
        <w:t>apostólicos</w:t>
      </w:r>
      <w:r w:rsidR="00E65435">
        <w:rPr>
          <w:rFonts w:eastAsia="Arial Unicode MS"/>
          <w:bCs/>
          <w:lang w:eastAsia="fr-FR" w:bidi="he-IL"/>
        </w:rPr>
        <w:t xml:space="preserve">, </w:t>
      </w:r>
      <w:r w:rsidRPr="00C8701B">
        <w:rPr>
          <w:rFonts w:eastAsia="Arial Unicode MS"/>
          <w:bCs/>
          <w:lang w:eastAsia="fr-FR" w:bidi="he-IL"/>
        </w:rPr>
        <w:t>non tamen solos</w:t>
      </w:r>
      <w:r w:rsidR="00E65435">
        <w:rPr>
          <w:rFonts w:eastAsia="Arial Unicode MS"/>
          <w:bCs/>
          <w:lang w:eastAsia="fr-FR" w:bidi="he-IL"/>
        </w:rPr>
        <w:t xml:space="preserve">, </w:t>
      </w:r>
      <w:r w:rsidRPr="00C8701B">
        <w:rPr>
          <w:rFonts w:eastAsia="Arial Unicode MS"/>
          <w:bCs/>
          <w:lang w:eastAsia="fr-FR" w:bidi="he-IL"/>
        </w:rPr>
        <w:t xml:space="preserve">sed cum </w:t>
      </w:r>
      <w:r w:rsidR="002E727A" w:rsidRPr="00C8701B">
        <w:rPr>
          <w:rFonts w:eastAsia="Arial Unicode MS"/>
          <w:bCs/>
          <w:lang w:eastAsia="fr-FR" w:bidi="he-IL"/>
        </w:rPr>
        <w:t>apóstolis</w:t>
      </w:r>
      <w:r w:rsidRPr="00C8701B">
        <w:rPr>
          <w:rFonts w:eastAsia="Arial Unicode MS"/>
          <w:bCs/>
          <w:lang w:eastAsia="fr-FR" w:bidi="he-IL"/>
        </w:rPr>
        <w:t xml:space="preserve"> et post </w:t>
      </w:r>
      <w:r w:rsidR="002E727A" w:rsidRPr="00C8701B">
        <w:rPr>
          <w:rFonts w:eastAsia="Arial Unicode MS"/>
          <w:bCs/>
          <w:lang w:eastAsia="fr-FR" w:bidi="he-IL"/>
        </w:rPr>
        <w:t>apóstolos</w:t>
      </w:r>
      <w:r w:rsidR="00C2602D" w:rsidRPr="00C8701B">
        <w:rPr>
          <w:rFonts w:eastAsia="Arial Unicode MS"/>
          <w:bCs/>
          <w:lang w:eastAsia="fr-FR" w:bidi="he-IL"/>
        </w:rPr>
        <w:t> </w:t>
      </w:r>
      <w:r w:rsidR="007F6508">
        <w:rPr>
          <w:rFonts w:eastAsia="Arial Unicode MS"/>
          <w:bCs/>
          <w:lang w:eastAsia="fr-FR" w:bidi="he-IL"/>
        </w:rPr>
        <w:t xml:space="preserve">; </w:t>
      </w:r>
      <w:r w:rsidR="00356A5E">
        <w:rPr>
          <w:rFonts w:eastAsia="Arial Unicode MS"/>
          <w:bCs/>
          <w:lang w:eastAsia="fr-FR" w:bidi="he-IL"/>
        </w:rPr>
        <w:t>quóniam</w:t>
      </w:r>
      <w:r w:rsidRPr="00C8701B">
        <w:rPr>
          <w:rFonts w:eastAsia="Arial Unicode MS"/>
          <w:bCs/>
          <w:lang w:eastAsia="fr-FR" w:bidi="he-IL"/>
        </w:rPr>
        <w:t xml:space="preserve"> </w:t>
      </w:r>
      <w:r w:rsidR="00E37C84">
        <w:rPr>
          <w:rFonts w:eastAsia="Arial Unicode MS"/>
          <w:bCs/>
          <w:lang w:eastAsia="fr-FR" w:bidi="he-IL"/>
        </w:rPr>
        <w:t>præ</w:t>
      </w:r>
      <w:r w:rsidR="00356A5E" w:rsidRPr="00C8701B">
        <w:rPr>
          <w:rFonts w:eastAsia="Arial Unicode MS"/>
          <w:bCs/>
          <w:lang w:eastAsia="fr-FR" w:bidi="he-IL"/>
        </w:rPr>
        <w:t>dic</w:t>
      </w:r>
      <w:r w:rsidR="00356A5E">
        <w:rPr>
          <w:rFonts w:eastAsia="Arial Unicode MS"/>
          <w:bCs/>
          <w:lang w:eastAsia="fr-FR" w:bidi="he-IL"/>
        </w:rPr>
        <w:t>á</w:t>
      </w:r>
      <w:r w:rsidR="00356A5E" w:rsidRPr="00C8701B">
        <w:rPr>
          <w:rFonts w:eastAsia="Arial Unicode MS"/>
          <w:bCs/>
          <w:lang w:eastAsia="fr-FR" w:bidi="he-IL"/>
        </w:rPr>
        <w:t>tio</w:t>
      </w:r>
      <w:r w:rsidRPr="00C8701B">
        <w:rPr>
          <w:rFonts w:eastAsia="Arial Unicode MS"/>
          <w:bCs/>
          <w:lang w:eastAsia="fr-FR" w:bidi="he-IL"/>
        </w:rPr>
        <w:t xml:space="preserve"> </w:t>
      </w:r>
      <w:r w:rsidR="002E727A" w:rsidRPr="00C8701B">
        <w:rPr>
          <w:rFonts w:eastAsia="Arial Unicode MS"/>
          <w:bCs/>
          <w:lang w:eastAsia="fr-FR" w:bidi="he-IL"/>
        </w:rPr>
        <w:t>discipulórum</w:t>
      </w:r>
      <w:r w:rsidRPr="00C8701B">
        <w:rPr>
          <w:rFonts w:eastAsia="Arial Unicode MS"/>
          <w:bCs/>
          <w:lang w:eastAsia="fr-FR" w:bidi="he-IL"/>
        </w:rPr>
        <w:t xml:space="preserve"> suspecta </w:t>
      </w:r>
      <w:r w:rsidR="002E727A" w:rsidRPr="00C8701B">
        <w:rPr>
          <w:rFonts w:eastAsia="Arial Unicode MS"/>
          <w:bCs/>
          <w:lang w:eastAsia="fr-FR" w:bidi="he-IL"/>
        </w:rPr>
        <w:t>fíeri</w:t>
      </w:r>
      <w:r w:rsidRPr="00C8701B">
        <w:rPr>
          <w:rFonts w:eastAsia="Arial Unicode MS"/>
          <w:bCs/>
          <w:lang w:eastAsia="fr-FR" w:bidi="he-IL"/>
        </w:rPr>
        <w:t xml:space="preserve"> possit de </w:t>
      </w:r>
      <w:r w:rsidR="00906914">
        <w:rPr>
          <w:rFonts w:eastAsia="Arial Unicode MS"/>
          <w:bCs/>
          <w:lang w:eastAsia="fr-FR" w:bidi="he-IL"/>
        </w:rPr>
        <w:t>glóriæ</w:t>
      </w:r>
      <w:r w:rsidRPr="00C8701B">
        <w:rPr>
          <w:rFonts w:eastAsia="Arial Unicode MS"/>
          <w:bCs/>
          <w:lang w:eastAsia="fr-FR" w:bidi="he-IL"/>
        </w:rPr>
        <w:t xml:space="preserve"> studio</w:t>
      </w:r>
      <w:r w:rsidR="00E65435">
        <w:rPr>
          <w:rFonts w:eastAsia="Arial Unicode MS"/>
          <w:bCs/>
          <w:lang w:eastAsia="fr-FR" w:bidi="he-IL"/>
        </w:rPr>
        <w:t xml:space="preserve">, </w:t>
      </w:r>
      <w:r w:rsidR="00356A5E">
        <w:rPr>
          <w:rFonts w:eastAsia="Arial Unicode MS"/>
          <w:bCs/>
          <w:lang w:eastAsia="fr-FR" w:bidi="he-IL"/>
        </w:rPr>
        <w:t xml:space="preserve">si non </w:t>
      </w:r>
      <w:r w:rsidR="002E727A">
        <w:rPr>
          <w:rFonts w:eastAsia="Arial Unicode MS"/>
          <w:bCs/>
          <w:lang w:eastAsia="fr-FR" w:bidi="he-IL"/>
        </w:rPr>
        <w:t>assístat</w:t>
      </w:r>
      <w:r w:rsidRPr="00C8701B">
        <w:rPr>
          <w:rFonts w:eastAsia="Arial Unicode MS"/>
          <w:bCs/>
          <w:lang w:eastAsia="fr-FR" w:bidi="he-IL"/>
        </w:rPr>
        <w:t xml:space="preserve"> illi </w:t>
      </w:r>
      <w:r w:rsidR="002E727A" w:rsidRPr="00C8701B">
        <w:rPr>
          <w:rFonts w:eastAsia="Arial Unicode MS"/>
          <w:bCs/>
          <w:lang w:eastAsia="fr-FR" w:bidi="he-IL"/>
        </w:rPr>
        <w:t>auctóritas</w:t>
      </w:r>
      <w:r w:rsidRPr="00C8701B">
        <w:rPr>
          <w:rFonts w:eastAsia="Arial Unicode MS"/>
          <w:bCs/>
          <w:lang w:eastAsia="fr-FR" w:bidi="he-IL"/>
        </w:rPr>
        <w:t xml:space="preserve"> </w:t>
      </w:r>
      <w:r w:rsidR="002E727A" w:rsidRPr="00C8701B">
        <w:rPr>
          <w:rFonts w:eastAsia="Arial Unicode MS"/>
          <w:bCs/>
          <w:lang w:eastAsia="fr-FR" w:bidi="he-IL"/>
        </w:rPr>
        <w:t>magistrórum</w:t>
      </w:r>
      <w:r w:rsidR="00E65435">
        <w:rPr>
          <w:rFonts w:eastAsia="Arial Unicode MS"/>
          <w:bCs/>
          <w:lang w:eastAsia="fr-FR" w:bidi="he-IL"/>
        </w:rPr>
        <w:t xml:space="preserve">, </w:t>
      </w:r>
      <w:r w:rsidRPr="00C8701B">
        <w:rPr>
          <w:rFonts w:eastAsia="Arial Unicode MS"/>
          <w:bCs/>
          <w:lang w:eastAsia="fr-FR" w:bidi="he-IL"/>
        </w:rPr>
        <w:t>imo Christi</w:t>
      </w:r>
      <w:r w:rsidR="00E65435">
        <w:rPr>
          <w:rFonts w:eastAsia="Arial Unicode MS"/>
          <w:bCs/>
          <w:lang w:eastAsia="fr-FR" w:bidi="he-IL"/>
        </w:rPr>
        <w:t xml:space="preserve">, </w:t>
      </w:r>
      <w:r w:rsidRPr="00C8701B">
        <w:rPr>
          <w:rFonts w:eastAsia="Arial Unicode MS"/>
          <w:bCs/>
          <w:lang w:eastAsia="fr-FR" w:bidi="he-IL"/>
        </w:rPr>
        <w:t xml:space="preserve">qui </w:t>
      </w:r>
      <w:r w:rsidR="002E727A" w:rsidRPr="00C8701B">
        <w:rPr>
          <w:rFonts w:eastAsia="Arial Unicode MS"/>
          <w:bCs/>
          <w:lang w:eastAsia="fr-FR" w:bidi="he-IL"/>
        </w:rPr>
        <w:t>magístros</w:t>
      </w:r>
      <w:r w:rsidRPr="00C8701B">
        <w:rPr>
          <w:rFonts w:eastAsia="Arial Unicode MS"/>
          <w:bCs/>
          <w:lang w:eastAsia="fr-FR" w:bidi="he-IL"/>
        </w:rPr>
        <w:t xml:space="preserve"> </w:t>
      </w:r>
      <w:r w:rsidR="002E727A" w:rsidRPr="00C8701B">
        <w:rPr>
          <w:rFonts w:eastAsia="Arial Unicode MS"/>
          <w:bCs/>
          <w:lang w:eastAsia="fr-FR" w:bidi="he-IL"/>
        </w:rPr>
        <w:t>apóstolos</w:t>
      </w:r>
      <w:r w:rsidRPr="00C8701B">
        <w:rPr>
          <w:rFonts w:eastAsia="Arial Unicode MS"/>
          <w:bCs/>
          <w:lang w:eastAsia="fr-FR" w:bidi="he-IL"/>
        </w:rPr>
        <w:t xml:space="preserve"> fecit. </w:t>
      </w:r>
      <w:r w:rsidR="002E727A" w:rsidRPr="00C8701B">
        <w:rPr>
          <w:rFonts w:eastAsia="Arial Unicode MS"/>
          <w:bCs/>
          <w:lang w:eastAsia="fr-FR" w:bidi="he-IL"/>
        </w:rPr>
        <w:t>Dénique</w:t>
      </w:r>
      <w:r w:rsidRPr="00C8701B">
        <w:rPr>
          <w:rFonts w:eastAsia="Arial Unicode MS"/>
          <w:bCs/>
          <w:lang w:eastAsia="fr-FR" w:bidi="he-IL"/>
        </w:rPr>
        <w:t xml:space="preserve"> nobis fidem ex </w:t>
      </w:r>
      <w:r w:rsidR="002E727A" w:rsidRPr="00C8701B">
        <w:rPr>
          <w:rFonts w:eastAsia="Arial Unicode MS"/>
          <w:bCs/>
          <w:lang w:eastAsia="fr-FR" w:bidi="he-IL"/>
        </w:rPr>
        <w:t>apóstolis</w:t>
      </w:r>
      <w:r w:rsidRPr="00C8701B">
        <w:rPr>
          <w:rFonts w:eastAsia="Arial Unicode MS"/>
          <w:bCs/>
          <w:lang w:eastAsia="fr-FR" w:bidi="he-IL"/>
        </w:rPr>
        <w:t xml:space="preserve"> </w:t>
      </w:r>
      <w:r w:rsidR="002E727A" w:rsidRPr="00C8701B">
        <w:rPr>
          <w:rFonts w:eastAsia="Arial Unicode MS"/>
          <w:bCs/>
          <w:lang w:eastAsia="fr-FR" w:bidi="he-IL"/>
        </w:rPr>
        <w:t>Joánnes</w:t>
      </w:r>
      <w:r w:rsidRPr="00C8701B">
        <w:rPr>
          <w:rFonts w:eastAsia="Arial Unicode MS"/>
          <w:bCs/>
          <w:lang w:eastAsia="fr-FR" w:bidi="he-IL"/>
        </w:rPr>
        <w:t xml:space="preserve"> et </w:t>
      </w:r>
      <w:r w:rsidR="002E727A" w:rsidRPr="00C8701B">
        <w:rPr>
          <w:rFonts w:eastAsia="Arial Unicode MS"/>
          <w:bCs/>
          <w:lang w:eastAsia="fr-FR" w:bidi="he-IL"/>
        </w:rPr>
        <w:t>Mat</w:t>
      </w:r>
      <w:r w:rsidR="002E727A">
        <w:rPr>
          <w:rFonts w:eastAsia="Arial Unicode MS"/>
          <w:bCs/>
          <w:lang w:eastAsia="fr-FR" w:bidi="he-IL"/>
        </w:rPr>
        <w:t>thǽ</w:t>
      </w:r>
      <w:r w:rsidR="002E727A" w:rsidRPr="00C8701B">
        <w:rPr>
          <w:rFonts w:eastAsia="Arial Unicode MS"/>
          <w:bCs/>
          <w:lang w:eastAsia="fr-FR" w:bidi="he-IL"/>
        </w:rPr>
        <w:t>us</w:t>
      </w:r>
      <w:r w:rsidRPr="00C8701B">
        <w:rPr>
          <w:rFonts w:eastAsia="Arial Unicode MS"/>
          <w:bCs/>
          <w:lang w:eastAsia="fr-FR" w:bidi="he-IL"/>
        </w:rPr>
        <w:t xml:space="preserve"> insinuant</w:t>
      </w:r>
      <w:r w:rsidR="00E65435">
        <w:rPr>
          <w:rFonts w:eastAsia="Arial Unicode MS"/>
          <w:bCs/>
          <w:lang w:eastAsia="fr-FR" w:bidi="he-IL"/>
        </w:rPr>
        <w:t xml:space="preserve">, </w:t>
      </w:r>
      <w:r w:rsidRPr="00C8701B">
        <w:rPr>
          <w:rFonts w:eastAsia="Arial Unicode MS"/>
          <w:bCs/>
          <w:lang w:eastAsia="fr-FR" w:bidi="he-IL"/>
        </w:rPr>
        <w:t xml:space="preserve">ex </w:t>
      </w:r>
      <w:r w:rsidR="002E727A" w:rsidRPr="00C8701B">
        <w:rPr>
          <w:rFonts w:eastAsia="Arial Unicode MS"/>
          <w:bCs/>
          <w:lang w:eastAsia="fr-FR" w:bidi="he-IL"/>
        </w:rPr>
        <w:t>apostólicis</w:t>
      </w:r>
      <w:r w:rsidR="002E727A">
        <w:rPr>
          <w:rFonts w:eastAsia="Arial Unicode MS"/>
          <w:bCs/>
          <w:lang w:eastAsia="fr-FR" w:bidi="he-IL"/>
        </w:rPr>
        <w:t xml:space="preserve"> Lucas et Marcus instá</w:t>
      </w:r>
      <w:r w:rsidRPr="00C8701B">
        <w:rPr>
          <w:rFonts w:eastAsia="Arial Unicode MS"/>
          <w:bCs/>
          <w:lang w:eastAsia="fr-FR" w:bidi="he-IL"/>
        </w:rPr>
        <w:t>urant</w:t>
      </w:r>
      <w:r w:rsidR="00933C60" w:rsidRPr="00C406FF">
        <w:rPr>
          <w:rStyle w:val="Appelnotedebasdep"/>
        </w:rPr>
        <w:footnoteReference w:id="24"/>
      </w:r>
      <w:r w:rsidRPr="00C8701B">
        <w:rPr>
          <w:rFonts w:eastAsia="Arial Unicode MS"/>
          <w:bCs/>
          <w:lang w:eastAsia="fr-FR" w:bidi="he-IL"/>
        </w:rPr>
        <w:t>.</w:t>
      </w:r>
      <w:r w:rsidR="00356A5E">
        <w:rPr>
          <w:rFonts w:eastAsia="Arial Unicode MS"/>
          <w:bCs/>
          <w:lang w:eastAsia="fr-FR" w:bidi="he-IL"/>
        </w:rPr>
        <w:t> »</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Ainsi</w:t>
      </w:r>
      <w:r w:rsidR="00E65435">
        <w:rPr>
          <w:rFonts w:eastAsia="Arial Unicode MS"/>
          <w:bCs/>
          <w:lang w:eastAsia="fr-FR" w:bidi="he-IL"/>
        </w:rPr>
        <w:t xml:space="preserve">, </w:t>
      </w:r>
      <w:r w:rsidRPr="00C8701B">
        <w:rPr>
          <w:rFonts w:eastAsia="Arial Unicode MS"/>
          <w:bCs/>
          <w:lang w:eastAsia="fr-FR" w:bidi="he-IL"/>
        </w:rPr>
        <w:t>nos quatre évangiles canoniques</w:t>
      </w:r>
      <w:r w:rsidR="00E65435">
        <w:rPr>
          <w:rFonts w:eastAsia="Arial Unicode MS"/>
          <w:bCs/>
          <w:lang w:eastAsia="fr-FR" w:bidi="he-IL"/>
        </w:rPr>
        <w:t xml:space="preserve">, </w:t>
      </w:r>
      <w:r w:rsidRPr="00C8701B">
        <w:rPr>
          <w:rFonts w:eastAsia="Arial Unicode MS"/>
          <w:bCs/>
          <w:lang w:eastAsia="fr-FR" w:bidi="he-IL"/>
        </w:rPr>
        <w:t>et rien de plus.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2.</w:t>
      </w:r>
      <w:r w:rsidRPr="00DC4586">
        <w:rPr>
          <w:rStyle w:val="italicus"/>
        </w:rPr>
        <w:t xml:space="preserve"> Témoignage des anciennes traductions.</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Nous voulons parler surtout de la version italique et de la version grecque</w:t>
      </w:r>
      <w:r w:rsidR="00E65435">
        <w:rPr>
          <w:rFonts w:eastAsia="Arial Unicode MS"/>
          <w:bCs/>
          <w:lang w:eastAsia="fr-FR" w:bidi="he-IL"/>
        </w:rPr>
        <w:t xml:space="preserve">, </w:t>
      </w:r>
      <w:r w:rsidRPr="00C8701B">
        <w:rPr>
          <w:rFonts w:eastAsia="Arial Unicode MS"/>
          <w:bCs/>
          <w:lang w:eastAsia="fr-FR" w:bidi="he-IL"/>
        </w:rPr>
        <w:t>qui datent pour le moins du milieu du second siècle</w:t>
      </w:r>
      <w:r w:rsidR="00933C60" w:rsidRPr="00C406FF">
        <w:rPr>
          <w:rStyle w:val="Appelnotedebasdep"/>
        </w:rPr>
        <w:footnoteReference w:id="25"/>
      </w:r>
      <w:r w:rsidR="00E65435">
        <w:rPr>
          <w:rFonts w:eastAsia="Arial Unicode MS"/>
          <w:bCs/>
          <w:lang w:eastAsia="fr-FR" w:bidi="he-IL"/>
        </w:rPr>
        <w:t xml:space="preserve">, </w:t>
      </w:r>
      <w:r w:rsidRPr="00C8701B">
        <w:rPr>
          <w:rFonts w:eastAsia="Arial Unicode MS"/>
          <w:bCs/>
          <w:lang w:eastAsia="fr-FR" w:bidi="he-IL"/>
        </w:rPr>
        <w:t>et qui contiennent nos quatre évangiles sous leur forme actuelle.</w:t>
      </w:r>
      <w:r w:rsidR="00C2602D" w:rsidRPr="00C8701B">
        <w:rPr>
          <w:rFonts w:eastAsia="Arial Unicode MS"/>
          <w:bCs/>
          <w:lang w:eastAsia="fr-FR" w:bidi="he-IL"/>
        </w:rPr>
        <w:t xml:space="preserve"> </w:t>
      </w:r>
      <w:r w:rsidR="000716BB" w:rsidRPr="000716BB">
        <w:rPr>
          <w:rFonts w:eastAsia="Arial Unicode MS"/>
          <w:bCs/>
          <w:lang w:eastAsia="fr-FR" w:bidi="he-IL"/>
        </w:rPr>
        <w:t>{</w:t>
      </w:r>
      <w:r w:rsidR="000716BB">
        <w:rPr>
          <w:rFonts w:eastAsia="Arial Unicode MS"/>
          <w:bCs/>
          <w:lang w:eastAsia="fr-FR" w:bidi="he-IL"/>
        </w:rPr>
        <w:t>5</w:t>
      </w:r>
      <w:bookmarkStart w:id="9" w:name="pag005"/>
      <w:bookmarkEnd w:id="9"/>
      <w:r w:rsidR="000716BB" w:rsidRPr="000716BB">
        <w:rPr>
          <w:rFonts w:eastAsia="Arial Unicode MS"/>
          <w:bCs/>
          <w:lang w:eastAsia="fr-FR" w:bidi="he-IL"/>
        </w:rPr>
        <w:t>}</w:t>
      </w:r>
    </w:p>
    <w:p w:rsidR="00C2602D" w:rsidRPr="00C8701B" w:rsidRDefault="00B704AD" w:rsidP="00DA2F47">
      <w:pPr>
        <w:rPr>
          <w:rFonts w:eastAsia="Arial Unicode MS"/>
          <w:bCs/>
          <w:lang w:eastAsia="fr-FR" w:bidi="he-IL"/>
        </w:rPr>
      </w:pP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harmonie évangélique de Tatien</w:t>
      </w:r>
      <w:r w:rsidR="00933C60" w:rsidRPr="00C406FF">
        <w:rPr>
          <w:rStyle w:val="Appelnotedebasdep"/>
        </w:rPr>
        <w:footnoteReference w:id="26"/>
      </w:r>
      <w:r w:rsidR="00E65435">
        <w:rPr>
          <w:rFonts w:eastAsia="Arial Unicode MS"/>
          <w:bCs/>
          <w:lang w:eastAsia="fr-FR" w:bidi="he-IL"/>
        </w:rPr>
        <w:t xml:space="preserve">, </w:t>
      </w:r>
      <w:r w:rsidRPr="00C8701B">
        <w:rPr>
          <w:rFonts w:eastAsia="Arial Unicode MS"/>
          <w:bCs/>
          <w:lang w:eastAsia="fr-FR" w:bidi="he-IL"/>
        </w:rPr>
        <w:t>qui remonte à cette même époque</w:t>
      </w:r>
      <w:r w:rsidR="00E65435">
        <w:rPr>
          <w:rFonts w:eastAsia="Arial Unicode MS"/>
          <w:bCs/>
          <w:lang w:eastAsia="fr-FR" w:bidi="he-IL"/>
        </w:rPr>
        <w:t xml:space="preserve">, </w:t>
      </w:r>
      <w:r w:rsidR="00DA2F47">
        <w:rPr>
          <w:rFonts w:eastAsia="Arial Unicode MS"/>
          <w:bCs/>
          <w:lang w:eastAsia="fr-FR" w:bidi="he-IL"/>
        </w:rPr>
        <w:t xml:space="preserve">et dont le tissu a été </w:t>
      </w:r>
      <w:r w:rsidRPr="00C8701B">
        <w:rPr>
          <w:rFonts w:eastAsia="Arial Unicode MS"/>
          <w:bCs/>
          <w:lang w:eastAsia="fr-FR" w:bidi="he-IL"/>
        </w:rPr>
        <w:t>visiblement formé par les textes des évangiles canoniques</w:t>
      </w:r>
      <w:r w:rsidR="00E65435">
        <w:rPr>
          <w:rFonts w:eastAsia="Arial Unicode MS"/>
          <w:bCs/>
          <w:lang w:eastAsia="fr-FR" w:bidi="he-IL"/>
        </w:rPr>
        <w:t xml:space="preserve">, </w:t>
      </w:r>
      <w:r w:rsidRPr="00C8701B">
        <w:rPr>
          <w:rFonts w:eastAsia="Arial Unicode MS"/>
          <w:bCs/>
          <w:lang w:eastAsia="fr-FR" w:bidi="he-IL"/>
        </w:rPr>
        <w:t>fournit une preuve identique. Son seul nom est une démonstration</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car elle avait été intitulée</w:t>
      </w:r>
      <w:r w:rsidR="00C2602D" w:rsidRPr="00C8701B">
        <w:rPr>
          <w:rFonts w:eastAsia="Arial Unicode MS"/>
          <w:bCs/>
          <w:lang w:eastAsia="fr-FR" w:bidi="he-IL"/>
        </w:rPr>
        <w:t> :</w:t>
      </w:r>
      <w:r w:rsidRPr="00C8701B">
        <w:rPr>
          <w:rFonts w:eastAsia="Arial Unicode MS"/>
          <w:bCs/>
          <w:lang w:eastAsia="fr-FR" w:bidi="he-IL"/>
        </w:rPr>
        <w:t xml:space="preserve"> </w:t>
      </w:r>
      <w:r w:rsidR="00DA2F47">
        <w:rPr>
          <w:rFonts w:eastAsia="Arial Unicode MS"/>
          <w:bCs/>
          <w:lang w:eastAsia="fr-FR" w:bidi="he-IL"/>
        </w:rPr>
        <w:t>le</w:t>
      </w:r>
      <w:r w:rsidRPr="00DC4586">
        <w:rPr>
          <w:rStyle w:val="italicus"/>
        </w:rPr>
        <w:t xml:space="preserve"> Diatessaron</w:t>
      </w:r>
      <w:r w:rsidR="00E65435">
        <w:rPr>
          <w:rStyle w:val="italicus"/>
        </w:rPr>
        <w:t xml:space="preserve">, </w:t>
      </w:r>
      <w:r w:rsidR="00CE226F" w:rsidRPr="00DA2F47">
        <w:t>τὸ</w:t>
      </w:r>
      <w:r w:rsidR="00DA2F47" w:rsidRPr="00DA2F47">
        <w:t xml:space="preserve"> </w:t>
      </w:r>
      <w:r w:rsidR="00116664" w:rsidRPr="00DA2F47">
        <w:t>δι</w:t>
      </w:r>
      <w:r w:rsidR="00116664">
        <w:t>ὰ</w:t>
      </w:r>
      <w:r w:rsidRPr="00DA2F47">
        <w:t xml:space="preserve"> τεσσ</w:t>
      </w:r>
      <w:r w:rsidR="00CD3C57">
        <w:t>ά</w:t>
      </w:r>
      <w:r w:rsidRPr="00DA2F47">
        <w:t>ρων</w:t>
      </w:r>
      <w:r w:rsidR="00DA2F47">
        <w:t xml:space="preserve"> (« </w:t>
      </w:r>
      <w:r w:rsidRPr="00DA2F47">
        <w:t xml:space="preserve">ex </w:t>
      </w:r>
      <w:r w:rsidR="00E939E7">
        <w:rPr>
          <w:rFonts w:eastAsia="Arial Unicode MS"/>
          <w:bCs/>
          <w:lang w:eastAsia="fr-FR" w:bidi="he-IL"/>
        </w:rPr>
        <w:t>quátuor</w:t>
      </w:r>
      <w:r w:rsidRPr="00C8701B">
        <w:rPr>
          <w:rFonts w:eastAsia="Arial Unicode MS"/>
          <w:bCs/>
          <w:lang w:eastAsia="fr-FR" w:bidi="he-IL"/>
        </w:rPr>
        <w:t xml:space="preserve"> </w:t>
      </w:r>
      <w:r w:rsidR="00DA2F47">
        <w:rPr>
          <w:rFonts w:eastAsia="Arial Unicode MS"/>
          <w:bCs/>
          <w:lang w:eastAsia="fr-FR" w:bidi="he-IL"/>
        </w:rPr>
        <w:t>concinná</w:t>
      </w:r>
      <w:r w:rsidRPr="00C8701B">
        <w:rPr>
          <w:rFonts w:eastAsia="Arial Unicode MS"/>
          <w:bCs/>
          <w:lang w:eastAsia="fr-FR" w:bidi="he-IL"/>
        </w:rPr>
        <w:t>tum</w:t>
      </w:r>
      <w:r w:rsidR="00C2602D" w:rsidRPr="00C8701B">
        <w:rPr>
          <w:rFonts w:eastAsia="Arial Unicode MS"/>
          <w:bCs/>
          <w:lang w:eastAsia="fr-FR" w:bidi="he-IL"/>
        </w:rPr>
        <w:t> »</w:t>
      </w:r>
      <w:r w:rsidRPr="00C8701B">
        <w:rPr>
          <w:rFonts w:eastAsia="Arial Unicode MS"/>
          <w:bCs/>
          <w:lang w:eastAsia="fr-FR" w:bidi="he-IL"/>
        </w:rPr>
        <w:t>). C</w:t>
      </w:r>
      <w:r w:rsidR="00557DE0">
        <w:rPr>
          <w:rFonts w:eastAsia="Arial Unicode MS"/>
          <w:bCs/>
          <w:lang w:eastAsia="fr-FR" w:bidi="he-IL"/>
        </w:rPr>
        <w:t>’</w:t>
      </w:r>
      <w:r w:rsidRPr="00C8701B">
        <w:rPr>
          <w:rFonts w:eastAsia="Arial Unicode MS"/>
          <w:bCs/>
          <w:lang w:eastAsia="fr-FR" w:bidi="he-IL"/>
        </w:rPr>
        <w:t>est donc que</w:t>
      </w:r>
      <w:r w:rsidR="00E65435">
        <w:rPr>
          <w:rFonts w:eastAsia="Arial Unicode MS"/>
          <w:bCs/>
          <w:lang w:eastAsia="fr-FR" w:bidi="he-IL"/>
        </w:rPr>
        <w:t xml:space="preserve">, </w:t>
      </w:r>
      <w:r w:rsidRPr="00C8701B">
        <w:rPr>
          <w:rFonts w:eastAsia="Arial Unicode MS"/>
          <w:bCs/>
          <w:lang w:eastAsia="fr-FR" w:bidi="he-IL"/>
        </w:rPr>
        <w:t>dès ces temps reculés</w:t>
      </w:r>
      <w:r w:rsidR="00E65435">
        <w:rPr>
          <w:rFonts w:eastAsia="Arial Unicode MS"/>
          <w:bCs/>
          <w:lang w:eastAsia="fr-FR" w:bidi="he-IL"/>
        </w:rPr>
        <w:t xml:space="preserve">, </w:t>
      </w:r>
      <w:r w:rsidR="00DA2F47">
        <w:rPr>
          <w:rFonts w:eastAsia="Arial Unicode MS"/>
          <w:bCs/>
          <w:lang w:eastAsia="fr-FR" w:bidi="he-IL"/>
        </w:rPr>
        <w:t xml:space="preserve">on admettait quatre évangiles </w:t>
      </w:r>
      <w:r w:rsidRPr="00C8701B">
        <w:rPr>
          <w:rFonts w:eastAsia="Arial Unicode MS"/>
          <w:bCs/>
          <w:lang w:eastAsia="fr-FR" w:bidi="he-IL"/>
        </w:rPr>
        <w:t>ni plus</w:t>
      </w:r>
      <w:r w:rsidR="00E65435">
        <w:rPr>
          <w:rFonts w:eastAsia="Arial Unicode MS"/>
          <w:bCs/>
          <w:lang w:eastAsia="fr-FR" w:bidi="he-IL"/>
        </w:rPr>
        <w:t xml:space="preserve">, </w:t>
      </w:r>
      <w:r w:rsidRPr="00C8701B">
        <w:rPr>
          <w:rFonts w:eastAsia="Arial Unicode MS"/>
          <w:bCs/>
          <w:lang w:eastAsia="fr-FR" w:bidi="he-IL"/>
        </w:rPr>
        <w:t>ni moins de quatre</w:t>
      </w:r>
      <w:r w:rsidR="00933C60" w:rsidRPr="00C406FF">
        <w:rPr>
          <w:rStyle w:val="Appelnotedebasdep"/>
        </w:rPr>
        <w:footnoteReference w:id="27"/>
      </w:r>
      <w:r w:rsidRPr="00C8701B">
        <w:rPr>
          <w:rFonts w:eastAsia="Arial Unicode MS"/>
          <w:bCs/>
          <w:lang w:eastAsia="fr-FR" w:bidi="he-IL"/>
        </w:rPr>
        <w:t>. Fait d</w:t>
      </w:r>
      <w:r w:rsidR="00557DE0">
        <w:rPr>
          <w:rFonts w:eastAsia="Arial Unicode MS"/>
          <w:bCs/>
          <w:lang w:eastAsia="fr-FR" w:bidi="he-IL"/>
        </w:rPr>
        <w:t>’</w:t>
      </w:r>
      <w:r w:rsidRPr="00C8701B">
        <w:rPr>
          <w:rFonts w:eastAsia="Arial Unicode MS"/>
          <w:bCs/>
          <w:lang w:eastAsia="fr-FR" w:bidi="he-IL"/>
        </w:rPr>
        <w:t>autant plus remarquable</w:t>
      </w:r>
      <w:r w:rsidR="00E65435">
        <w:rPr>
          <w:rFonts w:eastAsia="Arial Unicode MS"/>
          <w:bCs/>
          <w:lang w:eastAsia="fr-FR" w:bidi="he-IL"/>
        </w:rPr>
        <w:t xml:space="preserve">, </w:t>
      </w:r>
      <w:r w:rsidRPr="00C8701B">
        <w:rPr>
          <w:rFonts w:eastAsia="Arial Unicode MS"/>
          <w:bCs/>
          <w:lang w:eastAsia="fr-FR" w:bidi="he-IL"/>
        </w:rPr>
        <w:t>qu</w:t>
      </w:r>
      <w:r w:rsidR="00557DE0">
        <w:rPr>
          <w:rFonts w:eastAsia="Arial Unicode MS"/>
          <w:bCs/>
          <w:lang w:eastAsia="fr-FR" w:bidi="he-IL"/>
        </w:rPr>
        <w:t>’</w:t>
      </w:r>
      <w:r w:rsidRPr="00C8701B">
        <w:rPr>
          <w:rFonts w:eastAsia="Arial Unicode MS"/>
          <w:bCs/>
          <w:lang w:eastAsia="fr-FR" w:bidi="he-IL"/>
        </w:rPr>
        <w:t>il y avait eu</w:t>
      </w:r>
      <w:r w:rsidR="00E65435">
        <w:rPr>
          <w:rFonts w:eastAsia="Arial Unicode MS"/>
          <w:bCs/>
          <w:lang w:eastAsia="fr-FR" w:bidi="he-IL"/>
        </w:rPr>
        <w:t xml:space="preserve">, </w:t>
      </w:r>
      <w:r w:rsidRPr="00C8701B">
        <w:rPr>
          <w:rFonts w:eastAsia="Arial Unicode MS"/>
          <w:bCs/>
          <w:lang w:eastAsia="fr-FR" w:bidi="he-IL"/>
        </w:rPr>
        <w:t>dès l</w:t>
      </w:r>
      <w:r w:rsidR="00557DE0">
        <w:rPr>
          <w:rFonts w:eastAsia="Arial Unicode MS"/>
          <w:bCs/>
          <w:lang w:eastAsia="fr-FR" w:bidi="he-IL"/>
        </w:rPr>
        <w:t>’</w:t>
      </w:r>
      <w:r w:rsidRPr="00C8701B">
        <w:rPr>
          <w:rFonts w:eastAsia="Arial Unicode MS"/>
          <w:bCs/>
          <w:lang w:eastAsia="fr-FR" w:bidi="he-IL"/>
        </w:rPr>
        <w:t>origine du christianisme</w:t>
      </w:r>
      <w:r w:rsidR="00E65435">
        <w:rPr>
          <w:rFonts w:eastAsia="Arial Unicode MS"/>
          <w:bCs/>
          <w:lang w:eastAsia="fr-FR" w:bidi="he-IL"/>
        </w:rPr>
        <w:t xml:space="preserve">, </w:t>
      </w:r>
      <w:r w:rsidRPr="00C8701B">
        <w:rPr>
          <w:rFonts w:eastAsia="Arial Unicode MS"/>
          <w:bCs/>
          <w:lang w:eastAsia="fr-FR" w:bidi="he-IL"/>
        </w:rPr>
        <w:t>S. Luc l</w:t>
      </w:r>
      <w:r w:rsidR="00557DE0">
        <w:rPr>
          <w:rFonts w:eastAsia="Arial Unicode MS"/>
          <w:bCs/>
          <w:lang w:eastAsia="fr-FR" w:bidi="he-IL"/>
        </w:rPr>
        <w:t>’</w:t>
      </w:r>
      <w:r w:rsidR="00933C60">
        <w:rPr>
          <w:rFonts w:eastAsia="Arial Unicode MS"/>
          <w:bCs/>
          <w:lang w:eastAsia="fr-FR" w:bidi="he-IL"/>
        </w:rPr>
        <w:t>affirme en propres termes (I</w:t>
      </w:r>
      <w:r w:rsidR="00E65435">
        <w:rPr>
          <w:rFonts w:eastAsia="Arial Unicode MS"/>
          <w:bCs/>
          <w:lang w:eastAsia="fr-FR" w:bidi="he-IL"/>
        </w:rPr>
        <w:t xml:space="preserve">, </w:t>
      </w:r>
      <w:r w:rsidRPr="00C8701B">
        <w:rPr>
          <w:rFonts w:eastAsia="Arial Unicode MS"/>
          <w:bCs/>
          <w:lang w:eastAsia="fr-FR" w:bidi="he-IL"/>
        </w:rPr>
        <w:t>1-4)</w:t>
      </w:r>
      <w:r w:rsidR="00933C60" w:rsidRPr="00C406FF">
        <w:rPr>
          <w:rStyle w:val="Appelnotedebasdep"/>
        </w:rPr>
        <w:footnoteReference w:id="28"/>
      </w:r>
      <w:r w:rsidR="00E65435">
        <w:rPr>
          <w:rFonts w:eastAsia="Arial Unicode MS"/>
          <w:bCs/>
          <w:lang w:eastAsia="fr-FR" w:bidi="he-IL"/>
        </w:rPr>
        <w:t xml:space="preserve">, </w:t>
      </w:r>
      <w:r w:rsidRPr="00C8701B">
        <w:rPr>
          <w:rFonts w:eastAsia="Arial Unicode MS"/>
          <w:bCs/>
          <w:lang w:eastAsia="fr-FR" w:bidi="he-IL"/>
        </w:rPr>
        <w:t>des efforts multiples pour composer des vies abrégées de N.-S. Jésus-Christ. Mais rien ne nous est resté de tout cela</w:t>
      </w:r>
      <w:r w:rsidR="00C2602D" w:rsidRPr="00C8701B">
        <w:rPr>
          <w:rFonts w:eastAsia="Arial Unicode MS"/>
          <w:bCs/>
          <w:lang w:eastAsia="fr-FR" w:bidi="he-IL"/>
        </w:rPr>
        <w:t> :</w:t>
      </w:r>
      <w:r w:rsidRPr="00C8701B">
        <w:rPr>
          <w:rFonts w:eastAsia="Arial Unicode MS"/>
          <w:bCs/>
          <w:lang w:eastAsia="fr-FR" w:bidi="he-IL"/>
        </w:rPr>
        <w:t xml:space="preserve"> les évangiles canoniques ont seuls survécu. Et s</w:t>
      </w:r>
      <w:r w:rsidR="00557DE0">
        <w:rPr>
          <w:rFonts w:eastAsia="Arial Unicode MS"/>
          <w:bCs/>
          <w:lang w:eastAsia="fr-FR" w:bidi="he-IL"/>
        </w:rPr>
        <w:t>’</w:t>
      </w:r>
      <w:r w:rsidRPr="00C8701B">
        <w:rPr>
          <w:rFonts w:eastAsia="Arial Unicode MS"/>
          <w:bCs/>
          <w:lang w:eastAsia="fr-FR" w:bidi="he-IL"/>
        </w:rPr>
        <w:t>il a existé à côté d</w:t>
      </w:r>
      <w:r w:rsidR="00557DE0">
        <w:rPr>
          <w:rFonts w:eastAsia="Arial Unicode MS"/>
          <w:bCs/>
          <w:lang w:eastAsia="fr-FR" w:bidi="he-IL"/>
        </w:rPr>
        <w:t>’</w:t>
      </w:r>
      <w:r w:rsidRPr="00C8701B">
        <w:rPr>
          <w:rFonts w:eastAsia="Arial Unicode MS"/>
          <w:bCs/>
          <w:lang w:eastAsia="fr-FR" w:bidi="he-IL"/>
        </w:rPr>
        <w:t>eux des évangiles apocryphes</w:t>
      </w:r>
      <w:r w:rsidR="00E65435">
        <w:rPr>
          <w:rFonts w:eastAsia="Arial Unicode MS"/>
          <w:bCs/>
          <w:lang w:eastAsia="fr-FR" w:bidi="he-IL"/>
        </w:rPr>
        <w:t xml:space="preserve">, </w:t>
      </w:r>
      <w:r w:rsidRPr="00C8701B">
        <w:rPr>
          <w:rFonts w:eastAsia="Arial Unicode MS"/>
          <w:bCs/>
          <w:lang w:eastAsia="fr-FR" w:bidi="he-IL"/>
        </w:rPr>
        <w:t>dont nous aurons à parler plus loin</w:t>
      </w:r>
      <w:r w:rsidR="00933C60" w:rsidRPr="00C406FF">
        <w:rPr>
          <w:rStyle w:val="Appelnotedebasdep"/>
        </w:rPr>
        <w:footnoteReference w:id="29"/>
      </w:r>
      <w:r w:rsidR="00E65435">
        <w:rPr>
          <w:rFonts w:eastAsia="Arial Unicode MS"/>
          <w:bCs/>
          <w:lang w:eastAsia="fr-FR" w:bidi="he-IL"/>
        </w:rPr>
        <w:t xml:space="preserve">, </w:t>
      </w:r>
      <w:r w:rsidRPr="00C8701B">
        <w:rPr>
          <w:rFonts w:eastAsia="Arial Unicode MS"/>
          <w:bCs/>
          <w:lang w:eastAsia="fr-FR" w:bidi="he-IL"/>
        </w:rPr>
        <w:t>la différence a toujours été nettement marquée</w:t>
      </w:r>
      <w:r w:rsidR="00E65435">
        <w:rPr>
          <w:rFonts w:eastAsia="Arial Unicode MS"/>
          <w:bCs/>
          <w:lang w:eastAsia="fr-FR" w:bidi="he-IL"/>
        </w:rPr>
        <w:t xml:space="preserve">, </w:t>
      </w:r>
      <w:r w:rsidR="00E939E7">
        <w:rPr>
          <w:rFonts w:eastAsia="Arial Unicode MS"/>
          <w:bCs/>
          <w:lang w:eastAsia="fr-FR" w:bidi="he-IL"/>
        </w:rPr>
        <w:t>et l</w:t>
      </w:r>
      <w:r w:rsidR="00557DE0">
        <w:rPr>
          <w:rFonts w:eastAsia="Arial Unicode MS"/>
          <w:bCs/>
          <w:lang w:eastAsia="fr-FR" w:bidi="he-IL"/>
        </w:rPr>
        <w:t>’</w:t>
      </w:r>
      <w:r w:rsidR="00C8701B">
        <w:rPr>
          <w:rFonts w:eastAsia="Arial Unicode MS"/>
          <w:bCs/>
          <w:lang w:eastAsia="fr-FR" w:bidi="he-IL"/>
        </w:rPr>
        <w:t>Église</w:t>
      </w:r>
      <w:r w:rsidRPr="00C8701B">
        <w:rPr>
          <w:rFonts w:eastAsia="Arial Unicode MS"/>
          <w:bCs/>
          <w:lang w:eastAsia="fr-FR" w:bidi="he-IL"/>
        </w:rPr>
        <w:t xml:space="preserve"> a de bonne heure empêché toute méprise.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3° Pourquoi précisément ce chiffre de quatre</w:t>
      </w:r>
      <w:r w:rsidR="00C2602D" w:rsidRPr="00C8701B">
        <w:rPr>
          <w:rFonts w:eastAsia="Arial Unicode MS"/>
          <w:bCs/>
          <w:lang w:eastAsia="fr-FR" w:bidi="he-IL"/>
        </w:rPr>
        <w:t> ?</w:t>
      </w:r>
      <w:r w:rsidRPr="00C8701B">
        <w:rPr>
          <w:rFonts w:eastAsia="Arial Unicode MS"/>
          <w:bCs/>
          <w:lang w:eastAsia="fr-FR" w:bidi="he-IL"/>
        </w:rPr>
        <w:t xml:space="preserve"> Aux temps anciens</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on aimait à en chercher les raisons mystiques</w:t>
      </w:r>
      <w:r w:rsidR="00E65435">
        <w:rPr>
          <w:rFonts w:eastAsia="Arial Unicode MS"/>
          <w:bCs/>
          <w:lang w:eastAsia="fr-FR" w:bidi="he-IL"/>
        </w:rPr>
        <w:t xml:space="preserve">, </w:t>
      </w:r>
      <w:r w:rsidRPr="00C8701B">
        <w:rPr>
          <w:rFonts w:eastAsia="Arial Unicode MS"/>
          <w:bCs/>
          <w:lang w:eastAsia="fr-FR" w:bidi="he-IL"/>
        </w:rPr>
        <w:t>et il ne sera pas sans intérêt de relater les dires des Pères à ce sujet</w:t>
      </w:r>
      <w:r w:rsidR="00E65435">
        <w:rPr>
          <w:rFonts w:eastAsia="Arial Unicode MS"/>
          <w:bCs/>
          <w:lang w:eastAsia="fr-FR" w:bidi="he-IL"/>
        </w:rPr>
        <w:t xml:space="preserve">, </w:t>
      </w:r>
      <w:r w:rsidRPr="00C8701B">
        <w:rPr>
          <w:rFonts w:eastAsia="Arial Unicode MS"/>
          <w:bCs/>
          <w:lang w:eastAsia="fr-FR" w:bidi="he-IL"/>
        </w:rPr>
        <w:t>car nous ajouterons ainsi une nouvelle force aux arguments qui précèdent.</w:t>
      </w:r>
      <w:r w:rsidR="00C2602D" w:rsidRPr="00C8701B">
        <w:rPr>
          <w:rFonts w:eastAsia="Arial Unicode MS"/>
          <w:bCs/>
          <w:lang w:eastAsia="fr-FR" w:bidi="he-IL"/>
        </w:rPr>
        <w:t xml:space="preserve"> </w:t>
      </w:r>
    </w:p>
    <w:p w:rsidR="00C2602D" w:rsidRPr="00E939E7" w:rsidRDefault="00B704AD" w:rsidP="00E939E7">
      <w:r w:rsidRPr="00C8701B">
        <w:rPr>
          <w:rFonts w:eastAsia="Arial Unicode MS"/>
          <w:bCs/>
          <w:lang w:eastAsia="fr-FR" w:bidi="he-IL"/>
        </w:rPr>
        <w:t>S. Irénée fut des premiers à jeter sur cette question son regard si intelligen</w:t>
      </w:r>
      <w:r w:rsidR="00E939E7">
        <w:rPr>
          <w:rFonts w:eastAsia="Arial Unicode MS"/>
          <w:bCs/>
          <w:lang w:eastAsia="fr-FR" w:bidi="he-IL"/>
        </w:rPr>
        <w:t>t</w:t>
      </w:r>
      <w:r w:rsidR="00C2602D" w:rsidRPr="00C8701B">
        <w:rPr>
          <w:rFonts w:eastAsia="Arial Unicode MS"/>
          <w:bCs/>
          <w:lang w:eastAsia="fr-FR" w:bidi="he-IL"/>
        </w:rPr>
        <w:t> :</w:t>
      </w:r>
      <w:r w:rsidRPr="00C8701B">
        <w:rPr>
          <w:rFonts w:eastAsia="Arial Unicode MS"/>
          <w:bCs/>
          <w:lang w:eastAsia="fr-FR" w:bidi="he-IL"/>
        </w:rPr>
        <w:t xml:space="preserve"> </w:t>
      </w:r>
      <w:r w:rsidR="00C2602D" w:rsidRPr="00C8701B">
        <w:rPr>
          <w:rFonts w:eastAsia="Arial Unicode MS"/>
          <w:bCs/>
          <w:lang w:eastAsia="fr-FR" w:bidi="he-IL"/>
        </w:rPr>
        <w:t>« </w:t>
      </w:r>
      <w:r w:rsidR="00E939E7">
        <w:rPr>
          <w:rFonts w:eastAsia="Arial Unicode MS"/>
          <w:bCs/>
          <w:lang w:eastAsia="fr-FR" w:bidi="he-IL"/>
        </w:rPr>
        <w:t>Neque autem plura núme</w:t>
      </w:r>
      <w:r w:rsidR="00E939E7" w:rsidRPr="00C8701B">
        <w:rPr>
          <w:rFonts w:eastAsia="Arial Unicode MS"/>
          <w:bCs/>
          <w:lang w:eastAsia="fr-FR" w:bidi="he-IL"/>
        </w:rPr>
        <w:t>ro</w:t>
      </w:r>
      <w:r w:rsidRPr="00E939E7">
        <w:t xml:space="preserve"> </w:t>
      </w:r>
      <w:r w:rsidR="00E37C84" w:rsidRPr="00E939E7">
        <w:t>hæc</w:t>
      </w:r>
      <w:r w:rsidRPr="00E939E7">
        <w:t xml:space="preserve"> sunt</w:t>
      </w:r>
      <w:r w:rsidR="00E65435" w:rsidRPr="00E939E7">
        <w:t xml:space="preserve">, </w:t>
      </w:r>
      <w:r w:rsidRPr="00E939E7">
        <w:t xml:space="preserve">neque rursus </w:t>
      </w:r>
      <w:r w:rsidR="00E939E7" w:rsidRPr="00E939E7">
        <w:t>paucióra</w:t>
      </w:r>
      <w:r w:rsidRPr="00E939E7">
        <w:t xml:space="preserve"> capit esse </w:t>
      </w:r>
      <w:r w:rsidR="00E37C84" w:rsidRPr="00E939E7">
        <w:t>evangélia</w:t>
      </w:r>
      <w:r w:rsidRPr="00E939E7">
        <w:t>. Q</w:t>
      </w:r>
      <w:r w:rsidR="00623A37" w:rsidRPr="00E939E7">
        <w:t>uóniam</w:t>
      </w:r>
      <w:r w:rsidR="00E939E7">
        <w:t xml:space="preserve"> enim</w:t>
      </w:r>
      <w:r w:rsidRPr="00E939E7">
        <w:t xml:space="preserve"> </w:t>
      </w:r>
      <w:r w:rsidR="00E939E7" w:rsidRPr="00E939E7">
        <w:t>quá</w:t>
      </w:r>
      <w:r w:rsidR="00E939E7">
        <w:t>t</w:t>
      </w:r>
      <w:r w:rsidR="00E939E7" w:rsidRPr="00E939E7">
        <w:t>uor</w:t>
      </w:r>
      <w:r w:rsidRPr="00E939E7">
        <w:t xml:space="preserve"> reg</w:t>
      </w:r>
      <w:r w:rsidR="00356A5E" w:rsidRPr="00E939E7">
        <w:t>iónes</w:t>
      </w:r>
      <w:r w:rsidRPr="00E939E7">
        <w:t xml:space="preserve"> mundi sunt</w:t>
      </w:r>
      <w:r w:rsidR="00E65435" w:rsidRPr="00E939E7">
        <w:t xml:space="preserve">, </w:t>
      </w:r>
      <w:r w:rsidRPr="00E939E7">
        <w:t>in quo sumus</w:t>
      </w:r>
      <w:r w:rsidR="00E65435" w:rsidRPr="00E939E7">
        <w:t xml:space="preserve">, </w:t>
      </w:r>
      <w:r w:rsidR="00E939E7">
        <w:t>et quátuor principá</w:t>
      </w:r>
      <w:r w:rsidRPr="00E939E7">
        <w:t>les s</w:t>
      </w:r>
      <w:r w:rsidR="006E0209" w:rsidRPr="00E939E7">
        <w:t>píritus</w:t>
      </w:r>
      <w:r w:rsidR="00E65435" w:rsidRPr="00E939E7">
        <w:t xml:space="preserve">, </w:t>
      </w:r>
      <w:r w:rsidR="00E939E7">
        <w:t>et disseminá</w:t>
      </w:r>
      <w:r w:rsidRPr="00E939E7">
        <w:t xml:space="preserve">ta est </w:t>
      </w:r>
      <w:r w:rsidR="00E939E7" w:rsidRPr="00E939E7">
        <w:t>Ecclésia</w:t>
      </w:r>
      <w:r w:rsidRPr="00E939E7">
        <w:t xml:space="preserve"> supra omnem terram</w:t>
      </w:r>
      <w:r w:rsidR="00E65435" w:rsidRPr="00E939E7">
        <w:t xml:space="preserve">, </w:t>
      </w:r>
      <w:r w:rsidR="00E939E7" w:rsidRPr="00E939E7">
        <w:t>colúmna</w:t>
      </w:r>
      <w:r w:rsidRPr="00E939E7">
        <w:t xml:space="preserve"> autem et fir</w:t>
      </w:r>
      <w:r w:rsidR="00E939E7" w:rsidRPr="00E939E7">
        <w:t>mam</w:t>
      </w:r>
      <w:r w:rsidR="00E939E7">
        <w:t>é</w:t>
      </w:r>
      <w:r w:rsidR="00E939E7" w:rsidRPr="00E939E7">
        <w:t>ntum</w:t>
      </w:r>
      <w:r w:rsidRPr="00E939E7">
        <w:t xml:space="preserve"> </w:t>
      </w:r>
      <w:r w:rsidR="00E939E7" w:rsidRPr="00E939E7">
        <w:t>Ecclésiæ</w:t>
      </w:r>
      <w:r w:rsidR="00E939E7">
        <w:t xml:space="preserve"> </w:t>
      </w:r>
      <w:r w:rsidRPr="00E939E7">
        <w:t xml:space="preserve">est </w:t>
      </w:r>
      <w:r w:rsidR="00E37C84" w:rsidRPr="00E939E7">
        <w:t>evangélium</w:t>
      </w:r>
      <w:r w:rsidRPr="00E939E7">
        <w:t xml:space="preserve"> et S</w:t>
      </w:r>
      <w:r w:rsidR="006E0209" w:rsidRPr="00E939E7">
        <w:t>píritus</w:t>
      </w:r>
      <w:r w:rsidRPr="00E939E7">
        <w:t xml:space="preserve"> vit</w:t>
      </w:r>
      <w:r w:rsidR="00E37C84" w:rsidRPr="00E939E7">
        <w:t>æ</w:t>
      </w:r>
      <w:r w:rsidR="00E65435" w:rsidRPr="00E939E7">
        <w:t xml:space="preserve">, </w:t>
      </w:r>
      <w:r w:rsidR="00E939E7" w:rsidRPr="00E939E7">
        <w:t>cónsequens</w:t>
      </w:r>
      <w:r w:rsidRPr="00E939E7">
        <w:t xml:space="preserve"> est </w:t>
      </w:r>
      <w:r w:rsidR="00E939E7">
        <w:t>quátuor habé</w:t>
      </w:r>
      <w:r w:rsidR="00E939E7" w:rsidRPr="00E939E7">
        <w:t>re</w:t>
      </w:r>
      <w:r w:rsidRPr="00E939E7">
        <w:t xml:space="preserve"> eam </w:t>
      </w:r>
      <w:r w:rsidR="00E939E7" w:rsidRPr="00E939E7">
        <w:t>colúmnas</w:t>
      </w:r>
      <w:r w:rsidRPr="00E939E7">
        <w:t xml:space="preserve"> </w:t>
      </w:r>
      <w:r w:rsidR="00E939E7" w:rsidRPr="00E939E7">
        <w:t>úndique</w:t>
      </w:r>
      <w:r w:rsidR="00E939E7">
        <w:t xml:space="preserve"> fl</w:t>
      </w:r>
      <w:r w:rsidRPr="00E939E7">
        <w:t>antes incorruptibil</w:t>
      </w:r>
      <w:r w:rsidR="00C21120" w:rsidRPr="00E939E7">
        <w:t>itátem</w:t>
      </w:r>
      <w:r w:rsidR="00E65435" w:rsidRPr="00E939E7">
        <w:t xml:space="preserve">, </w:t>
      </w:r>
      <w:r w:rsidR="00E939E7">
        <w:t>et vivificá</w:t>
      </w:r>
      <w:r w:rsidRPr="00E939E7">
        <w:t xml:space="preserve">ntes </w:t>
      </w:r>
      <w:r w:rsidR="00C87A2B" w:rsidRPr="00E939E7">
        <w:t>hóminem</w:t>
      </w:r>
      <w:r w:rsidR="00933C60" w:rsidRPr="00C406FF">
        <w:rPr>
          <w:rStyle w:val="Appelnotedebasdep"/>
        </w:rPr>
        <w:footnoteReference w:id="30"/>
      </w:r>
      <w:r w:rsidRPr="00E939E7">
        <w:t>.</w:t>
      </w:r>
      <w:r w:rsidR="00C2602D" w:rsidRPr="00E939E7">
        <w:t xml:space="preserve"> » </w:t>
      </w:r>
    </w:p>
    <w:p w:rsidR="00C2602D" w:rsidRPr="00C8701B" w:rsidRDefault="00B704AD" w:rsidP="00C2602D">
      <w:pPr>
        <w:rPr>
          <w:rFonts w:eastAsia="Arial Unicode MS"/>
          <w:bCs/>
          <w:lang w:eastAsia="fr-FR" w:bidi="he-IL"/>
        </w:rPr>
      </w:pPr>
      <w:r w:rsidRPr="00C8701B">
        <w:rPr>
          <w:rFonts w:eastAsia="Arial Unicode MS"/>
          <w:bCs/>
          <w:lang w:eastAsia="fr-FR" w:bidi="he-IL"/>
        </w:rPr>
        <w:t>S. Cyprien</w:t>
      </w:r>
      <w:r w:rsidR="00E65435">
        <w:rPr>
          <w:rFonts w:eastAsia="Arial Unicode MS"/>
          <w:bCs/>
          <w:lang w:eastAsia="fr-FR" w:bidi="he-IL"/>
        </w:rPr>
        <w:t xml:space="preserve">, </w:t>
      </w:r>
      <w:r w:rsidRPr="00C8701B">
        <w:rPr>
          <w:rFonts w:eastAsia="Arial Unicode MS"/>
          <w:bCs/>
          <w:lang w:eastAsia="fr-FR" w:bidi="he-IL"/>
        </w:rPr>
        <w:t>et d</w:t>
      </w:r>
      <w:r w:rsidR="00557DE0">
        <w:rPr>
          <w:rFonts w:eastAsia="Arial Unicode MS"/>
          <w:bCs/>
          <w:lang w:eastAsia="fr-FR" w:bidi="he-IL"/>
        </w:rPr>
        <w:t>’</w:t>
      </w:r>
      <w:r w:rsidRPr="00C8701B">
        <w:rPr>
          <w:rFonts w:eastAsia="Arial Unicode MS"/>
          <w:bCs/>
          <w:lang w:eastAsia="fr-FR" w:bidi="he-IL"/>
        </w:rPr>
        <w:t>autres après lui</w:t>
      </w:r>
      <w:r w:rsidR="00E65435">
        <w:rPr>
          <w:rFonts w:eastAsia="Arial Unicode MS"/>
          <w:bCs/>
          <w:lang w:eastAsia="fr-FR" w:bidi="he-IL"/>
        </w:rPr>
        <w:t xml:space="preserve">, </w:t>
      </w:r>
      <w:r w:rsidRPr="00C8701B">
        <w:rPr>
          <w:rFonts w:eastAsia="Arial Unicode MS"/>
          <w:bCs/>
          <w:lang w:eastAsia="fr-FR" w:bidi="he-IL"/>
        </w:rPr>
        <w:t>établissent un rapprochement entre les quatre fleuves du paradis terrestre</w:t>
      </w:r>
      <w:r w:rsidR="00E65435">
        <w:rPr>
          <w:rFonts w:eastAsia="Arial Unicode MS"/>
          <w:bCs/>
          <w:lang w:eastAsia="fr-FR" w:bidi="he-IL"/>
        </w:rPr>
        <w:t xml:space="preserve">, </w:t>
      </w:r>
      <w:r w:rsidRPr="00C8701B">
        <w:rPr>
          <w:rFonts w:eastAsia="Arial Unicode MS"/>
          <w:bCs/>
          <w:lang w:eastAsia="fr-FR" w:bidi="he-IL"/>
        </w:rPr>
        <w:t>s</w:t>
      </w:r>
      <w:r w:rsidR="00557DE0">
        <w:rPr>
          <w:rFonts w:eastAsia="Arial Unicode MS"/>
          <w:bCs/>
          <w:lang w:eastAsia="fr-FR" w:bidi="he-IL"/>
        </w:rPr>
        <w:t>’</w:t>
      </w:r>
      <w:r w:rsidRPr="00C8701B">
        <w:rPr>
          <w:rFonts w:eastAsia="Arial Unicode MS"/>
          <w:bCs/>
          <w:lang w:eastAsia="fr-FR" w:bidi="he-IL"/>
        </w:rPr>
        <w:t>échappant d</w:t>
      </w:r>
      <w:r w:rsidR="00557DE0">
        <w:rPr>
          <w:rFonts w:eastAsia="Arial Unicode MS"/>
          <w:bCs/>
          <w:lang w:eastAsia="fr-FR" w:bidi="he-IL"/>
        </w:rPr>
        <w:t>’</w:t>
      </w:r>
      <w:r w:rsidRPr="00C8701B">
        <w:rPr>
          <w:rFonts w:eastAsia="Arial Unicode MS"/>
          <w:bCs/>
          <w:lang w:eastAsia="fr-FR" w:bidi="he-IL"/>
        </w:rPr>
        <w:t>une même source</w:t>
      </w:r>
      <w:r w:rsidR="00E65435">
        <w:rPr>
          <w:rFonts w:eastAsia="Arial Unicode MS"/>
          <w:bCs/>
          <w:lang w:eastAsia="fr-FR" w:bidi="he-IL"/>
        </w:rPr>
        <w:t xml:space="preserve">, </w:t>
      </w:r>
      <w:r w:rsidRPr="00C8701B">
        <w:rPr>
          <w:rFonts w:eastAsia="Arial Unicode MS"/>
          <w:bCs/>
          <w:lang w:eastAsia="fr-FR" w:bidi="he-IL"/>
        </w:rPr>
        <w:t>et l</w:t>
      </w:r>
      <w:r w:rsidR="00557DE0">
        <w:rPr>
          <w:rFonts w:eastAsia="Arial Unicode MS"/>
          <w:bCs/>
          <w:lang w:eastAsia="fr-FR" w:bidi="he-IL"/>
        </w:rPr>
        <w:t>’</w:t>
      </w:r>
      <w:r w:rsidRPr="00C8701B">
        <w:rPr>
          <w:rFonts w:eastAsia="Arial Unicode MS"/>
          <w:bCs/>
          <w:lang w:eastAsia="fr-FR" w:bidi="he-IL"/>
        </w:rPr>
        <w:t>unique évangile à quatre formes</w:t>
      </w:r>
      <w:r w:rsidR="00933C60" w:rsidRPr="00C406FF">
        <w:rPr>
          <w:rStyle w:val="Appelnotedebasdep"/>
        </w:rPr>
        <w:footnoteReference w:id="31"/>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E939E7">
      <w:pPr>
        <w:rPr>
          <w:rFonts w:eastAsia="Arial Unicode MS"/>
          <w:bCs/>
          <w:lang w:eastAsia="fr-FR" w:bidi="he-IL"/>
        </w:rPr>
      </w:pPr>
      <w:r w:rsidRPr="00C8701B">
        <w:rPr>
          <w:rFonts w:eastAsia="Arial Unicode MS"/>
          <w:bCs/>
          <w:lang w:eastAsia="fr-FR" w:bidi="he-IL"/>
        </w:rPr>
        <w:t>S. Augustin revient à la pensée de S. Irénée.</w:t>
      </w:r>
      <w:r w:rsidR="00E939E7">
        <w:rPr>
          <w:rFonts w:eastAsia="Arial Unicode MS"/>
          <w:bCs/>
          <w:lang w:eastAsia="fr-FR" w:bidi="he-IL"/>
        </w:rPr>
        <w:t xml:space="preserve"> </w:t>
      </w:r>
      <w:r w:rsidR="00F12048" w:rsidRPr="00C8701B">
        <w:rPr>
          <w:rFonts w:eastAsia="Arial Unicode MS"/>
          <w:bCs/>
          <w:lang w:eastAsia="fr-FR" w:bidi="he-IL"/>
        </w:rPr>
        <w:t>« </w:t>
      </w:r>
      <w:r w:rsidRPr="00C8701B">
        <w:rPr>
          <w:rFonts w:eastAsia="Arial Unicode MS"/>
          <w:bCs/>
          <w:lang w:eastAsia="fr-FR" w:bidi="he-IL"/>
        </w:rPr>
        <w:t xml:space="preserve">Isti </w:t>
      </w:r>
      <w:r w:rsidR="00E939E7">
        <w:rPr>
          <w:rFonts w:eastAsia="Arial Unicode MS"/>
          <w:bCs/>
          <w:lang w:eastAsia="fr-FR" w:bidi="he-IL"/>
        </w:rPr>
        <w:t>quátuor</w:t>
      </w:r>
      <w:r w:rsidRPr="00C8701B">
        <w:rPr>
          <w:rFonts w:eastAsia="Arial Unicode MS"/>
          <w:bCs/>
          <w:lang w:eastAsia="fr-FR" w:bidi="he-IL"/>
        </w:rPr>
        <w:t xml:space="preserve"> </w:t>
      </w:r>
      <w:r w:rsidR="00E939E7" w:rsidRPr="00C8701B">
        <w:rPr>
          <w:rFonts w:eastAsia="Arial Unicode MS"/>
          <w:bCs/>
          <w:lang w:eastAsia="fr-FR" w:bidi="he-IL"/>
        </w:rPr>
        <w:t>evangelíst</w:t>
      </w:r>
      <w:r w:rsidR="00E939E7">
        <w:rPr>
          <w:rFonts w:eastAsia="Arial Unicode MS"/>
          <w:bCs/>
          <w:lang w:eastAsia="fr-FR" w:bidi="he-IL"/>
        </w:rPr>
        <w:t>æ</w:t>
      </w:r>
      <w:r w:rsidR="00E65435">
        <w:rPr>
          <w:rFonts w:eastAsia="Arial Unicode MS"/>
          <w:bCs/>
          <w:lang w:eastAsia="fr-FR" w:bidi="he-IL"/>
        </w:rPr>
        <w:t xml:space="preserve">, </w:t>
      </w:r>
      <w:r w:rsidR="00E939E7" w:rsidRPr="00C8701B">
        <w:rPr>
          <w:rFonts w:eastAsia="Arial Unicode MS"/>
          <w:bCs/>
          <w:lang w:eastAsia="fr-FR" w:bidi="he-IL"/>
        </w:rPr>
        <w:t>univérso</w:t>
      </w:r>
      <w:r w:rsidRPr="00C8701B">
        <w:rPr>
          <w:rFonts w:eastAsia="Arial Unicode MS"/>
          <w:bCs/>
          <w:lang w:eastAsia="fr-FR" w:bidi="he-IL"/>
        </w:rPr>
        <w:t xml:space="preserve"> te</w:t>
      </w:r>
      <w:r w:rsidR="00C21120" w:rsidRPr="00C8701B">
        <w:rPr>
          <w:rFonts w:eastAsia="Arial Unicode MS"/>
          <w:bCs/>
          <w:lang w:eastAsia="fr-FR" w:bidi="he-IL"/>
        </w:rPr>
        <w:t>rr</w:t>
      </w:r>
      <w:r w:rsidR="00C21120">
        <w:rPr>
          <w:rFonts w:eastAsia="Arial Unicode MS"/>
          <w:bCs/>
          <w:lang w:eastAsia="fr-FR" w:bidi="he-IL"/>
        </w:rPr>
        <w:t>árum</w:t>
      </w:r>
      <w:r w:rsidR="00E939E7">
        <w:rPr>
          <w:rFonts w:eastAsia="Arial Unicode MS"/>
          <w:bCs/>
          <w:lang w:eastAsia="fr-FR" w:bidi="he-IL"/>
        </w:rPr>
        <w:t xml:space="preserve"> orbi. notí</w:t>
      </w:r>
      <w:r w:rsidRPr="00C8701B">
        <w:rPr>
          <w:rFonts w:eastAsia="Arial Unicode MS"/>
          <w:bCs/>
          <w:lang w:eastAsia="fr-FR" w:bidi="he-IL"/>
        </w:rPr>
        <w:t>ssimi</w:t>
      </w:r>
      <w:r w:rsidR="00E65435">
        <w:rPr>
          <w:rFonts w:eastAsia="Arial Unicode MS"/>
          <w:bCs/>
          <w:lang w:eastAsia="fr-FR" w:bidi="he-IL"/>
        </w:rPr>
        <w:t xml:space="preserve">, </w:t>
      </w:r>
      <w:r w:rsidRPr="00C8701B">
        <w:rPr>
          <w:rFonts w:eastAsia="Arial Unicode MS"/>
          <w:bCs/>
          <w:lang w:eastAsia="fr-FR" w:bidi="he-IL"/>
        </w:rPr>
        <w:t xml:space="preserve">et ad hoc </w:t>
      </w:r>
      <w:r w:rsidR="00E939E7" w:rsidRPr="00C8701B">
        <w:rPr>
          <w:rFonts w:eastAsia="Arial Unicode MS"/>
          <w:bCs/>
          <w:lang w:eastAsia="fr-FR" w:bidi="he-IL"/>
        </w:rPr>
        <w:t>fortásse</w:t>
      </w:r>
      <w:r w:rsidRPr="00C8701B">
        <w:rPr>
          <w:rFonts w:eastAsia="Arial Unicode MS"/>
          <w:bCs/>
          <w:lang w:eastAsia="fr-FR" w:bidi="he-IL"/>
        </w:rPr>
        <w:t xml:space="preserve"> </w:t>
      </w:r>
      <w:r w:rsidR="00E939E7">
        <w:rPr>
          <w:rFonts w:eastAsia="Arial Unicode MS"/>
          <w:bCs/>
          <w:lang w:eastAsia="fr-FR" w:bidi="he-IL"/>
        </w:rPr>
        <w:t>quátuor</w:t>
      </w:r>
      <w:r w:rsidR="00E65435">
        <w:rPr>
          <w:rFonts w:eastAsia="Arial Unicode MS"/>
          <w:bCs/>
          <w:lang w:eastAsia="fr-FR" w:bidi="he-IL"/>
        </w:rPr>
        <w:t xml:space="preserve">, </w:t>
      </w:r>
      <w:r w:rsidRPr="00C8701B">
        <w:rPr>
          <w:rFonts w:eastAsia="Arial Unicode MS"/>
          <w:bCs/>
          <w:lang w:eastAsia="fr-FR" w:bidi="he-IL"/>
        </w:rPr>
        <w:t>q</w:t>
      </w:r>
      <w:r w:rsidR="00623A37">
        <w:rPr>
          <w:rFonts w:eastAsia="Arial Unicode MS"/>
          <w:bCs/>
          <w:lang w:eastAsia="fr-FR" w:bidi="he-IL"/>
        </w:rPr>
        <w:t>uóniam</w:t>
      </w:r>
      <w:r w:rsidRPr="00C8701B">
        <w:rPr>
          <w:rFonts w:eastAsia="Arial Unicode MS"/>
          <w:bCs/>
          <w:lang w:eastAsia="fr-FR" w:bidi="he-IL"/>
        </w:rPr>
        <w:t xml:space="preserve"> </w:t>
      </w:r>
      <w:r w:rsidR="00E939E7">
        <w:rPr>
          <w:rFonts w:eastAsia="Arial Unicode MS"/>
          <w:bCs/>
          <w:lang w:eastAsia="fr-FR" w:bidi="he-IL"/>
        </w:rPr>
        <w:t>quátuor</w:t>
      </w:r>
      <w:r w:rsidRPr="00C8701B">
        <w:rPr>
          <w:rFonts w:eastAsia="Arial Unicode MS"/>
          <w:bCs/>
          <w:lang w:eastAsia="fr-FR" w:bidi="he-IL"/>
        </w:rPr>
        <w:t xml:space="preserve"> sunt partes orbis terr</w:t>
      </w:r>
      <w:r w:rsidR="00E37C84">
        <w:rPr>
          <w:rFonts w:eastAsia="Arial Unicode MS"/>
          <w:bCs/>
          <w:lang w:eastAsia="fr-FR" w:bidi="he-IL"/>
        </w:rPr>
        <w:t>æ</w:t>
      </w:r>
      <w:r w:rsidR="00E65435">
        <w:rPr>
          <w:rFonts w:eastAsia="Arial Unicode MS"/>
          <w:bCs/>
          <w:lang w:eastAsia="fr-FR" w:bidi="he-IL"/>
        </w:rPr>
        <w:t xml:space="preserve">, </w:t>
      </w:r>
      <w:r w:rsidR="00E939E7">
        <w:rPr>
          <w:rFonts w:eastAsia="Arial Unicode MS"/>
          <w:bCs/>
          <w:lang w:eastAsia="fr-FR" w:bidi="he-IL"/>
        </w:rPr>
        <w:t>per cujus universitátem Chr</w:t>
      </w:r>
      <w:r w:rsidRPr="00C8701B">
        <w:rPr>
          <w:rFonts w:eastAsia="Arial Unicode MS"/>
          <w:bCs/>
          <w:lang w:eastAsia="fr-FR" w:bidi="he-IL"/>
        </w:rPr>
        <w:t xml:space="preserve">isti </w:t>
      </w:r>
      <w:r w:rsidR="00E939E7" w:rsidRPr="00C8701B">
        <w:rPr>
          <w:rFonts w:eastAsia="Arial Unicode MS"/>
          <w:bCs/>
          <w:lang w:eastAsia="fr-FR" w:bidi="he-IL"/>
        </w:rPr>
        <w:t>Ecclésiam</w:t>
      </w:r>
      <w:r w:rsidRPr="00C8701B">
        <w:rPr>
          <w:rFonts w:eastAsia="Arial Unicode MS"/>
          <w:bCs/>
          <w:lang w:eastAsia="fr-FR" w:bidi="he-IL"/>
        </w:rPr>
        <w:t xml:space="preserve"> dilat</w:t>
      </w:r>
      <w:r w:rsidR="00E939E7">
        <w:rPr>
          <w:rFonts w:eastAsia="Arial Unicode MS"/>
          <w:bCs/>
          <w:lang w:eastAsia="fr-FR" w:bidi="he-IL"/>
        </w:rPr>
        <w:t>á</w:t>
      </w:r>
      <w:r w:rsidRPr="00C8701B">
        <w:rPr>
          <w:rFonts w:eastAsia="Arial Unicode MS"/>
          <w:bCs/>
          <w:lang w:eastAsia="fr-FR" w:bidi="he-IL"/>
        </w:rPr>
        <w:t xml:space="preserve">ri ipso sui </w:t>
      </w:r>
      <w:r w:rsidR="00E939E7" w:rsidRPr="00C8701B">
        <w:rPr>
          <w:rFonts w:eastAsia="Arial Unicode MS"/>
          <w:bCs/>
          <w:lang w:eastAsia="fr-FR" w:bidi="he-IL"/>
        </w:rPr>
        <w:t>númeri</w:t>
      </w:r>
      <w:r w:rsidRPr="00C8701B">
        <w:rPr>
          <w:rFonts w:eastAsia="Arial Unicode MS"/>
          <w:bCs/>
          <w:lang w:eastAsia="fr-FR" w:bidi="he-IL"/>
        </w:rPr>
        <w:t xml:space="preserve"> </w:t>
      </w:r>
      <w:r w:rsidR="00E939E7" w:rsidRPr="00C8701B">
        <w:rPr>
          <w:rFonts w:eastAsia="Arial Unicode MS"/>
          <w:bCs/>
          <w:lang w:eastAsia="fr-FR" w:bidi="he-IL"/>
        </w:rPr>
        <w:t>sacraménto</w:t>
      </w:r>
      <w:r w:rsidR="00E939E7">
        <w:rPr>
          <w:rFonts w:eastAsia="Arial Unicode MS"/>
          <w:bCs/>
          <w:lang w:eastAsia="fr-FR" w:bidi="he-IL"/>
        </w:rPr>
        <w:t xml:space="preserve"> declará</w:t>
      </w:r>
      <w:r w:rsidRPr="00C8701B">
        <w:rPr>
          <w:rFonts w:eastAsia="Arial Unicode MS"/>
          <w:bCs/>
          <w:lang w:eastAsia="fr-FR" w:bidi="he-IL"/>
        </w:rPr>
        <w:t>runt</w:t>
      </w:r>
      <w:r w:rsidR="00933C60" w:rsidRPr="00C406FF">
        <w:rPr>
          <w:rStyle w:val="Appelnotedebasdep"/>
        </w:rPr>
        <w:footnoteReference w:id="32"/>
      </w:r>
      <w:r w:rsidRPr="00C8701B">
        <w:rPr>
          <w:rFonts w:eastAsia="Arial Unicode MS"/>
          <w:bCs/>
          <w:lang w:eastAsia="fr-FR" w:bidi="he-IL"/>
        </w:rPr>
        <w:t>.</w:t>
      </w:r>
      <w:r w:rsidR="00C2602D" w:rsidRPr="00C8701B">
        <w:rPr>
          <w:rFonts w:eastAsia="Arial Unicode MS"/>
          <w:bCs/>
          <w:lang w:eastAsia="fr-FR" w:bidi="he-IL"/>
        </w:rPr>
        <w:t xml:space="preserve"> » </w:t>
      </w:r>
    </w:p>
    <w:p w:rsidR="00C2602D" w:rsidRPr="00557DE0" w:rsidRDefault="00E939E7" w:rsidP="00C2602D">
      <w:pPr>
        <w:rPr>
          <w:rFonts w:eastAsia="Arial Unicode MS"/>
          <w:bCs/>
          <w:lang w:eastAsia="fr-FR" w:bidi="he-IL"/>
        </w:rPr>
      </w:pPr>
      <w:r>
        <w:rPr>
          <w:rStyle w:val="italicus"/>
        </w:rPr>
        <w:t>A</w:t>
      </w:r>
      <w:r w:rsidR="00B704AD" w:rsidRPr="00DC4586">
        <w:rPr>
          <w:rStyle w:val="italicus"/>
        </w:rPr>
        <w:t xml:space="preserve">lii </w:t>
      </w:r>
      <w:r w:rsidR="0096412E">
        <w:rPr>
          <w:rStyle w:val="italicus"/>
        </w:rPr>
        <w:t>áliter</w:t>
      </w:r>
      <w:r w:rsidR="00B704AD" w:rsidRPr="00DC4586">
        <w:rPr>
          <w:rStyle w:val="italicus"/>
        </w:rPr>
        <w:t>.</w:t>
      </w:r>
      <w:r w:rsidR="00B704AD" w:rsidRPr="00C8701B">
        <w:rPr>
          <w:rFonts w:eastAsia="Arial Unicode MS"/>
          <w:bCs/>
          <w:lang w:eastAsia="fr-FR" w:bidi="he-IL"/>
        </w:rPr>
        <w:t xml:space="preserve"> Ces combinaisons</w:t>
      </w:r>
      <w:r w:rsidR="00E65435">
        <w:rPr>
          <w:rFonts w:eastAsia="Arial Unicode MS"/>
          <w:bCs/>
          <w:lang w:eastAsia="fr-FR" w:bidi="he-IL"/>
        </w:rPr>
        <w:t xml:space="preserve">, </w:t>
      </w:r>
      <w:r w:rsidR="00B704AD" w:rsidRPr="00C8701B">
        <w:rPr>
          <w:rFonts w:eastAsia="Arial Unicode MS"/>
          <w:bCs/>
          <w:lang w:eastAsia="fr-FR" w:bidi="he-IL"/>
        </w:rPr>
        <w:t>plus ou moins ingénieuses</w:t>
      </w:r>
      <w:r w:rsidR="00E65435">
        <w:rPr>
          <w:rFonts w:eastAsia="Arial Unicode MS"/>
          <w:bCs/>
          <w:lang w:eastAsia="fr-FR" w:bidi="he-IL"/>
        </w:rPr>
        <w:t xml:space="preserve">, </w:t>
      </w:r>
      <w:r w:rsidR="00B704AD" w:rsidRPr="00C8701B">
        <w:rPr>
          <w:rFonts w:eastAsia="Arial Unicode MS"/>
          <w:bCs/>
          <w:lang w:eastAsia="fr-FR" w:bidi="he-IL"/>
        </w:rPr>
        <w:t>montrent du moins que l</w:t>
      </w:r>
      <w:r w:rsidR="00557DE0">
        <w:rPr>
          <w:rFonts w:eastAsia="Arial Unicode MS"/>
          <w:bCs/>
          <w:lang w:eastAsia="fr-FR" w:bidi="he-IL"/>
        </w:rPr>
        <w:t>’</w:t>
      </w:r>
      <w:r w:rsidR="00B704AD" w:rsidRPr="00C8701B">
        <w:rPr>
          <w:rFonts w:eastAsia="Arial Unicode MS"/>
          <w:bCs/>
          <w:lang w:eastAsia="fr-FR" w:bidi="he-IL"/>
        </w:rPr>
        <w:t>on s</w:t>
      </w:r>
      <w:r w:rsidR="00557DE0">
        <w:rPr>
          <w:rFonts w:eastAsia="Arial Unicode MS"/>
          <w:bCs/>
          <w:lang w:eastAsia="fr-FR" w:bidi="he-IL"/>
        </w:rPr>
        <w:t>’</w:t>
      </w:r>
      <w:r w:rsidR="00B704AD" w:rsidRPr="00C8701B">
        <w:rPr>
          <w:rFonts w:eastAsia="Arial Unicode MS"/>
          <w:bCs/>
          <w:lang w:eastAsia="fr-FR" w:bidi="he-IL"/>
        </w:rPr>
        <w:t>en tenait strictement</w:t>
      </w:r>
      <w:r w:rsidR="00E65435">
        <w:rPr>
          <w:rFonts w:eastAsia="Arial Unicode MS"/>
          <w:bCs/>
          <w:lang w:eastAsia="fr-FR" w:bidi="he-IL"/>
        </w:rPr>
        <w:t xml:space="preserve">, </w:t>
      </w:r>
      <w:r w:rsidR="00B704AD" w:rsidRPr="00C8701B">
        <w:rPr>
          <w:rFonts w:eastAsia="Arial Unicode MS"/>
          <w:bCs/>
          <w:lang w:eastAsia="fr-FR" w:bidi="he-IL"/>
        </w:rPr>
        <w:t>dès la plus haute antiquité</w:t>
      </w:r>
      <w:r w:rsidR="00E65435">
        <w:rPr>
          <w:rFonts w:eastAsia="Arial Unicode MS"/>
          <w:bCs/>
          <w:lang w:eastAsia="fr-FR" w:bidi="he-IL"/>
        </w:rPr>
        <w:t xml:space="preserve">, </w:t>
      </w:r>
      <w:r w:rsidR="00B704AD" w:rsidRPr="00C8701B">
        <w:rPr>
          <w:rFonts w:eastAsia="Arial Unicode MS"/>
          <w:bCs/>
          <w:lang w:eastAsia="fr-FR" w:bidi="he-IL"/>
        </w:rPr>
        <w:t>à nos quatre évangiles canoniques.</w:t>
      </w:r>
      <w:r w:rsidR="00C2602D" w:rsidRPr="00C8701B">
        <w:rPr>
          <w:rFonts w:eastAsia="Arial Unicode MS"/>
          <w:bCs/>
          <w:lang w:eastAsia="fr-FR" w:bidi="he-IL"/>
        </w:rPr>
        <w:t xml:space="preserve"> </w:t>
      </w:r>
      <w:r w:rsidR="000716BB" w:rsidRPr="00557DE0">
        <w:rPr>
          <w:rFonts w:eastAsia="Arial Unicode MS"/>
          <w:bCs/>
          <w:lang w:eastAsia="fr-FR" w:bidi="he-IL"/>
        </w:rPr>
        <w:t>{6</w:t>
      </w:r>
      <w:bookmarkStart w:id="10" w:name="pag006"/>
      <w:bookmarkEnd w:id="10"/>
      <w:r w:rsidR="000716BB" w:rsidRPr="00557DE0">
        <w:rPr>
          <w:rFonts w:eastAsia="Arial Unicode MS"/>
          <w:bCs/>
          <w:lang w:eastAsia="fr-FR" w:bidi="he-IL"/>
        </w:rPr>
        <w:t>}</w:t>
      </w:r>
    </w:p>
    <w:p w:rsidR="00C2602D" w:rsidRPr="00C8701B" w:rsidRDefault="00B704AD" w:rsidP="003A68DB">
      <w:pPr>
        <w:pStyle w:val="Titre4"/>
        <w:rPr>
          <w:lang w:eastAsia="fr-FR" w:bidi="he-IL"/>
        </w:rPr>
      </w:pPr>
      <w:bookmarkStart w:id="11" w:name="_Toc526755717"/>
      <w:r w:rsidRPr="00C8701B">
        <w:rPr>
          <w:rFonts w:eastAsia="Arial Unicode MS"/>
          <w:bCs/>
          <w:lang w:eastAsia="fr-FR" w:bidi="he-IL"/>
        </w:rPr>
        <w:t>§ III</w:t>
      </w:r>
      <w:r w:rsidR="00B35391">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ORDRE ET LA SUCCESSION DES ÉVANGILES DANS LE CANON DU</w:t>
      </w:r>
      <w:r w:rsidR="00C2602D" w:rsidRPr="00C8701B">
        <w:rPr>
          <w:rFonts w:eastAsia="Arial Unicode MS"/>
          <w:bCs/>
          <w:lang w:eastAsia="fr-FR" w:bidi="he-IL"/>
        </w:rPr>
        <w:t xml:space="preserve"> </w:t>
      </w:r>
      <w:r w:rsidRPr="00C8701B">
        <w:rPr>
          <w:rFonts w:eastAsia="Arial Unicode MS"/>
          <w:bCs/>
          <w:lang w:eastAsia="fr-FR" w:bidi="he-IL"/>
        </w:rPr>
        <w:t>NOUVEAU TESTAMENT</w:t>
      </w:r>
      <w:bookmarkStart w:id="12" w:name="evin03"/>
      <w:bookmarkEnd w:id="11"/>
      <w:bookmarkEnd w:id="12"/>
      <w:r w:rsidR="00C2602D" w:rsidRPr="00C8701B">
        <w:rPr>
          <w:rFonts w:eastAsia="Arial Unicode MS"/>
          <w:bCs/>
          <w:lang w:eastAsia="fr-FR" w:bidi="he-IL"/>
        </w:rPr>
        <w:t xml:space="preserve"> </w:t>
      </w:r>
    </w:p>
    <w:p w:rsidR="00C2602D" w:rsidRPr="00C8701B" w:rsidRDefault="00B704AD" w:rsidP="002F5969">
      <w:pPr>
        <w:rPr>
          <w:rFonts w:eastAsia="Arial Unicode MS"/>
          <w:bCs/>
          <w:lang w:eastAsia="fr-FR" w:bidi="he-IL"/>
        </w:rPr>
      </w:pPr>
      <w:r w:rsidRPr="00C8701B">
        <w:rPr>
          <w:rFonts w:eastAsia="Arial Unicode MS"/>
          <w:bCs/>
          <w:lang w:eastAsia="fr-FR" w:bidi="he-IL"/>
        </w:rPr>
        <w:t>1° L</w:t>
      </w:r>
      <w:r w:rsidR="00557DE0">
        <w:rPr>
          <w:rFonts w:eastAsia="Arial Unicode MS"/>
          <w:bCs/>
          <w:lang w:eastAsia="fr-FR" w:bidi="he-IL"/>
        </w:rPr>
        <w:t>’</w:t>
      </w:r>
      <w:r w:rsidRPr="00C8701B">
        <w:rPr>
          <w:rFonts w:eastAsia="Arial Unicode MS"/>
          <w:bCs/>
          <w:lang w:eastAsia="fr-FR" w:bidi="he-IL"/>
        </w:rPr>
        <w:t>ordre actuel est certainement le plus ancien</w:t>
      </w:r>
      <w:r w:rsidR="00E65435">
        <w:rPr>
          <w:rFonts w:eastAsia="Arial Unicode MS"/>
          <w:bCs/>
          <w:lang w:eastAsia="fr-FR" w:bidi="he-IL"/>
        </w:rPr>
        <w:t xml:space="preserve">, </w:t>
      </w:r>
      <w:r w:rsidRPr="00C8701B">
        <w:rPr>
          <w:rFonts w:eastAsia="Arial Unicode MS"/>
          <w:bCs/>
          <w:lang w:eastAsia="fr-FR" w:bidi="he-IL"/>
        </w:rPr>
        <w:t>et il offre le plus de garanties. C</w:t>
      </w:r>
      <w:r w:rsidR="00557DE0">
        <w:rPr>
          <w:rFonts w:eastAsia="Arial Unicode MS"/>
          <w:bCs/>
          <w:lang w:eastAsia="fr-FR" w:bidi="he-IL"/>
        </w:rPr>
        <w:t>’</w:t>
      </w:r>
      <w:r w:rsidRPr="00C8701B">
        <w:rPr>
          <w:rFonts w:eastAsia="Arial Unicode MS"/>
          <w:bCs/>
          <w:lang w:eastAsia="fr-FR" w:bidi="he-IL"/>
        </w:rPr>
        <w:t>est celui de S. Irénée</w:t>
      </w:r>
      <w:r w:rsidR="00933C60" w:rsidRPr="00C406FF">
        <w:rPr>
          <w:rStyle w:val="Appelnotedebasdep"/>
        </w:rPr>
        <w:footnoteReference w:id="33"/>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Origène</w:t>
      </w:r>
      <w:r w:rsidR="00933C60" w:rsidRPr="00C406FF">
        <w:rPr>
          <w:rStyle w:val="Appelnotedebasdep"/>
        </w:rPr>
        <w:footnoteReference w:id="34"/>
      </w:r>
      <w:r w:rsidR="00E65435">
        <w:rPr>
          <w:rFonts w:eastAsia="Arial Unicode MS"/>
          <w:bCs/>
          <w:lang w:eastAsia="fr-FR" w:bidi="he-IL"/>
        </w:rPr>
        <w:t xml:space="preserve">, </w:t>
      </w:r>
      <w:r w:rsidRPr="00C8701B">
        <w:rPr>
          <w:rFonts w:eastAsia="Arial Unicode MS"/>
          <w:bCs/>
          <w:lang w:eastAsia="fr-FR" w:bidi="he-IL"/>
        </w:rPr>
        <w:t>d</w:t>
      </w:r>
      <w:r w:rsidR="002F5969">
        <w:rPr>
          <w:rFonts w:eastAsia="Arial Unicode MS"/>
          <w:bCs/>
          <w:lang w:eastAsia="fr-FR" w:bidi="he-IL"/>
        </w:rPr>
        <w:t>u</w:t>
      </w:r>
      <w:r w:rsidRPr="00C8701B">
        <w:rPr>
          <w:rFonts w:eastAsia="Arial Unicode MS"/>
          <w:bCs/>
          <w:lang w:eastAsia="fr-FR" w:bidi="he-IL"/>
        </w:rPr>
        <w:t xml:space="preserve"> fragment de </w:t>
      </w:r>
      <w:r w:rsidR="002F5969" w:rsidRPr="00C8701B">
        <w:rPr>
          <w:rFonts w:eastAsia="Arial Unicode MS"/>
          <w:bCs/>
          <w:lang w:eastAsia="fr-FR" w:bidi="he-IL"/>
        </w:rPr>
        <w:t>Muratori</w:t>
      </w:r>
      <w:r w:rsidR="00933C60" w:rsidRPr="00C406FF">
        <w:rPr>
          <w:rStyle w:val="Appelnotedebasdep"/>
        </w:rPr>
        <w:footnoteReference w:id="35"/>
      </w:r>
      <w:r w:rsidR="00E65435">
        <w:rPr>
          <w:rFonts w:eastAsia="Arial Unicode MS"/>
          <w:bCs/>
          <w:lang w:eastAsia="fr-FR" w:bidi="he-IL"/>
        </w:rPr>
        <w:t xml:space="preserve">, </w:t>
      </w:r>
      <w:r w:rsidRPr="00C8701B">
        <w:rPr>
          <w:rFonts w:eastAsia="Arial Unicode MS"/>
          <w:bCs/>
          <w:lang w:eastAsia="fr-FR" w:bidi="he-IL"/>
        </w:rPr>
        <w:t>de toutes les versions antiques</w:t>
      </w:r>
      <w:r w:rsidR="00E65435">
        <w:rPr>
          <w:rFonts w:eastAsia="Arial Unicode MS"/>
          <w:bCs/>
          <w:lang w:eastAsia="fr-FR" w:bidi="he-IL"/>
        </w:rPr>
        <w:t xml:space="preserve">, </w:t>
      </w:r>
      <w:r w:rsidRPr="00C8701B">
        <w:rPr>
          <w:rFonts w:eastAsia="Arial Unicode MS"/>
          <w:bCs/>
          <w:lang w:eastAsia="fr-FR" w:bidi="he-IL"/>
        </w:rPr>
        <w:t>de tous les catalogues qui mentionnent la série des livres du Nouveau Testament. Il existait donc dès le second siècle.</w:t>
      </w:r>
      <w:r w:rsidR="00C2602D" w:rsidRPr="00C8701B">
        <w:rPr>
          <w:rFonts w:eastAsia="Arial Unicode MS"/>
          <w:bCs/>
          <w:lang w:eastAsia="fr-FR" w:bidi="he-IL"/>
        </w:rPr>
        <w:t xml:space="preserve"> </w:t>
      </w:r>
    </w:p>
    <w:p w:rsidR="00C2602D" w:rsidRPr="002F5969" w:rsidRDefault="00B704AD" w:rsidP="002F5969">
      <w:r w:rsidRPr="00C8701B">
        <w:rPr>
          <w:rFonts w:eastAsia="Arial Unicode MS"/>
          <w:bCs/>
          <w:lang w:eastAsia="fr-FR" w:bidi="he-IL"/>
        </w:rPr>
        <w:t>Sa raison d</w:t>
      </w:r>
      <w:r w:rsidR="00557DE0">
        <w:rPr>
          <w:rFonts w:eastAsia="Arial Unicode MS"/>
          <w:bCs/>
          <w:lang w:eastAsia="fr-FR" w:bidi="he-IL"/>
        </w:rPr>
        <w:t>’</w:t>
      </w:r>
      <w:r w:rsidRPr="00C8701B">
        <w:rPr>
          <w:rFonts w:eastAsia="Arial Unicode MS"/>
          <w:bCs/>
          <w:lang w:eastAsia="fr-FR" w:bidi="he-IL"/>
        </w:rPr>
        <w:t>être n</w:t>
      </w:r>
      <w:r w:rsidR="00557DE0">
        <w:rPr>
          <w:rFonts w:eastAsia="Arial Unicode MS"/>
          <w:bCs/>
          <w:lang w:eastAsia="fr-FR" w:bidi="he-IL"/>
        </w:rPr>
        <w:t>’</w:t>
      </w:r>
      <w:r w:rsidRPr="00C8701B">
        <w:rPr>
          <w:rFonts w:eastAsia="Arial Unicode MS"/>
          <w:bCs/>
          <w:lang w:eastAsia="fr-FR" w:bidi="he-IL"/>
        </w:rPr>
        <w:t>est autre que l</w:t>
      </w:r>
      <w:r w:rsidR="00557DE0">
        <w:rPr>
          <w:rFonts w:eastAsia="Arial Unicode MS"/>
          <w:bCs/>
          <w:lang w:eastAsia="fr-FR" w:bidi="he-IL"/>
        </w:rPr>
        <w:t>’</w:t>
      </w:r>
      <w:r w:rsidRPr="00C8701B">
        <w:rPr>
          <w:rFonts w:eastAsia="Arial Unicode MS"/>
          <w:bCs/>
          <w:lang w:eastAsia="fr-FR" w:bidi="he-IL"/>
        </w:rPr>
        <w:t>apparition chronologique des quatre évangiles</w:t>
      </w:r>
      <w:r w:rsidR="00C2602D" w:rsidRPr="00C8701B">
        <w:rPr>
          <w:rFonts w:eastAsia="Arial Unicode MS"/>
          <w:bCs/>
          <w:lang w:eastAsia="fr-FR" w:bidi="he-IL"/>
        </w:rPr>
        <w:t> :</w:t>
      </w:r>
      <w:r w:rsidRPr="00C8701B">
        <w:rPr>
          <w:rFonts w:eastAsia="Arial Unicode MS"/>
          <w:bCs/>
          <w:lang w:eastAsia="fr-FR" w:bidi="he-IL"/>
        </w:rPr>
        <w:t xml:space="preserve"> celui de S. Matthieu</w:t>
      </w:r>
      <w:r w:rsidR="00E65435">
        <w:rPr>
          <w:rFonts w:eastAsia="Arial Unicode MS"/>
          <w:bCs/>
          <w:lang w:eastAsia="fr-FR" w:bidi="he-IL"/>
        </w:rPr>
        <w:t xml:space="preserve">, </w:t>
      </w:r>
      <w:r w:rsidRPr="00C8701B">
        <w:rPr>
          <w:rFonts w:eastAsia="Arial Unicode MS"/>
          <w:bCs/>
          <w:lang w:eastAsia="fr-FR" w:bidi="he-IL"/>
        </w:rPr>
        <w:t>vers l</w:t>
      </w:r>
      <w:r w:rsidR="00557DE0">
        <w:rPr>
          <w:rFonts w:eastAsia="Arial Unicode MS"/>
          <w:bCs/>
          <w:lang w:eastAsia="fr-FR" w:bidi="he-IL"/>
        </w:rPr>
        <w:t>’</w:t>
      </w:r>
      <w:r w:rsidRPr="00C8701B">
        <w:rPr>
          <w:rFonts w:eastAsia="Arial Unicode MS"/>
          <w:bCs/>
          <w:lang w:eastAsia="fr-FR" w:bidi="he-IL"/>
        </w:rPr>
        <w:t>an 45</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celui de S. Marc</w:t>
      </w:r>
      <w:r w:rsidR="00E65435">
        <w:rPr>
          <w:rFonts w:eastAsia="Arial Unicode MS"/>
          <w:bCs/>
          <w:lang w:eastAsia="fr-FR" w:bidi="he-IL"/>
        </w:rPr>
        <w:t xml:space="preserve">, </w:t>
      </w:r>
      <w:r w:rsidRPr="00C8701B">
        <w:rPr>
          <w:rFonts w:eastAsia="Arial Unicode MS"/>
          <w:bCs/>
          <w:lang w:eastAsia="fr-FR" w:bidi="he-IL"/>
        </w:rPr>
        <w:t>vers l</w:t>
      </w:r>
      <w:r w:rsidR="00557DE0">
        <w:rPr>
          <w:rFonts w:eastAsia="Arial Unicode MS"/>
          <w:bCs/>
          <w:lang w:eastAsia="fr-FR" w:bidi="he-IL"/>
        </w:rPr>
        <w:t>’</w:t>
      </w:r>
      <w:r w:rsidRPr="00C8701B">
        <w:rPr>
          <w:rFonts w:eastAsia="Arial Unicode MS"/>
          <w:bCs/>
          <w:lang w:eastAsia="fr-FR" w:bidi="he-IL"/>
        </w:rPr>
        <w:t>an 50</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celui de S. Luc</w:t>
      </w:r>
      <w:r w:rsidR="00E65435">
        <w:rPr>
          <w:rFonts w:eastAsia="Arial Unicode MS"/>
          <w:bCs/>
          <w:lang w:eastAsia="fr-FR" w:bidi="he-IL"/>
        </w:rPr>
        <w:t xml:space="preserve">, </w:t>
      </w:r>
      <w:r w:rsidRPr="00C8701B">
        <w:rPr>
          <w:rFonts w:eastAsia="Arial Unicode MS"/>
          <w:bCs/>
          <w:lang w:eastAsia="fr-FR" w:bidi="he-IL"/>
        </w:rPr>
        <w:t>vers l</w:t>
      </w:r>
      <w:r w:rsidR="00557DE0">
        <w:rPr>
          <w:rFonts w:eastAsia="Arial Unicode MS"/>
          <w:bCs/>
          <w:lang w:eastAsia="fr-FR" w:bidi="he-IL"/>
        </w:rPr>
        <w:t>’</w:t>
      </w:r>
      <w:r w:rsidRPr="00C8701B">
        <w:rPr>
          <w:rFonts w:eastAsia="Arial Unicode MS"/>
          <w:bCs/>
          <w:lang w:eastAsia="fr-FR" w:bidi="he-IL"/>
        </w:rPr>
        <w:t>an 60</w:t>
      </w:r>
      <w:r w:rsidR="00C2602D" w:rsidRPr="00C8701B">
        <w:rPr>
          <w:rFonts w:eastAsia="Arial Unicode MS"/>
          <w:bCs/>
          <w:lang w:eastAsia="fr-FR" w:bidi="he-IL"/>
        </w:rPr>
        <w:t> </w:t>
      </w:r>
      <w:r w:rsidR="007F6508">
        <w:rPr>
          <w:rFonts w:eastAsia="Arial Unicode MS"/>
          <w:bCs/>
          <w:lang w:eastAsia="fr-FR" w:bidi="he-IL"/>
        </w:rPr>
        <w:t xml:space="preserve">; </w:t>
      </w:r>
      <w:r w:rsidR="002F5969">
        <w:rPr>
          <w:rFonts w:eastAsia="Arial Unicode MS"/>
          <w:bCs/>
          <w:lang w:eastAsia="fr-FR" w:bidi="he-IL"/>
        </w:rPr>
        <w:t>celu</w:t>
      </w:r>
      <w:r w:rsidRPr="00C8701B">
        <w:rPr>
          <w:rFonts w:eastAsia="Arial Unicode MS"/>
          <w:bCs/>
          <w:lang w:eastAsia="fr-FR" w:bidi="he-IL"/>
        </w:rPr>
        <w:t>i de S. Jean</w:t>
      </w:r>
      <w:r w:rsidR="00E65435">
        <w:rPr>
          <w:rFonts w:eastAsia="Arial Unicode MS"/>
          <w:bCs/>
          <w:lang w:eastAsia="fr-FR" w:bidi="he-IL"/>
        </w:rPr>
        <w:t xml:space="preserve">, </w:t>
      </w:r>
      <w:r w:rsidRPr="00C8701B">
        <w:rPr>
          <w:rFonts w:eastAsia="Arial Unicode MS"/>
          <w:bCs/>
          <w:lang w:eastAsia="fr-FR" w:bidi="he-IL"/>
        </w:rPr>
        <w:t>un peu avant l</w:t>
      </w:r>
      <w:r w:rsidR="00557DE0">
        <w:rPr>
          <w:rFonts w:eastAsia="Arial Unicode MS"/>
          <w:bCs/>
          <w:lang w:eastAsia="fr-FR" w:bidi="he-IL"/>
        </w:rPr>
        <w:t>’</w:t>
      </w:r>
      <w:r w:rsidRPr="00C8701B">
        <w:rPr>
          <w:rFonts w:eastAsia="Arial Unicode MS"/>
          <w:bCs/>
          <w:lang w:eastAsia="fr-FR" w:bidi="he-IL"/>
        </w:rPr>
        <w:t>an 100</w:t>
      </w:r>
      <w:r w:rsidR="00933C60" w:rsidRPr="00C406FF">
        <w:rPr>
          <w:rStyle w:val="Appelnotedebasdep"/>
        </w:rPr>
        <w:footnoteReference w:id="36"/>
      </w:r>
      <w:r w:rsidRPr="00C8701B">
        <w:rPr>
          <w:rFonts w:eastAsia="Arial Unicode MS"/>
          <w:bCs/>
          <w:lang w:eastAsia="fr-FR" w:bidi="he-IL"/>
        </w:rPr>
        <w:t>. Origène le dit formellement</w:t>
      </w:r>
      <w:r w:rsidR="00C2602D" w:rsidRPr="00C8701B">
        <w:rPr>
          <w:rFonts w:eastAsia="Arial Unicode MS"/>
          <w:bCs/>
          <w:lang w:eastAsia="fr-FR" w:bidi="he-IL"/>
        </w:rPr>
        <w:t> :</w:t>
      </w:r>
      <w:r w:rsidRPr="00C8701B">
        <w:rPr>
          <w:rFonts w:eastAsia="Arial Unicode MS"/>
          <w:bCs/>
          <w:lang w:eastAsia="fr-FR" w:bidi="he-IL"/>
        </w:rPr>
        <w:t xml:space="preserve"> </w:t>
      </w:r>
      <w:r w:rsidR="00C2602D" w:rsidRPr="00C8701B">
        <w:rPr>
          <w:rFonts w:eastAsia="Arial Unicode MS"/>
          <w:bCs/>
          <w:lang w:eastAsia="fr-FR" w:bidi="he-IL"/>
        </w:rPr>
        <w:t>« </w:t>
      </w:r>
      <w:r w:rsidR="002F5969" w:rsidRPr="002F5969">
        <w:t>Sacerdotáli</w:t>
      </w:r>
      <w:r w:rsidRPr="002F5969">
        <w:t xml:space="preserve"> tuba primus in </w:t>
      </w:r>
      <w:r w:rsidR="002F5969" w:rsidRPr="002F5969">
        <w:t>evangélio</w:t>
      </w:r>
      <w:r w:rsidRPr="002F5969">
        <w:t xml:space="preserve"> suo </w:t>
      </w:r>
      <w:r w:rsidR="002F5969" w:rsidRPr="002F5969">
        <w:t>Matthǽus</w:t>
      </w:r>
      <w:r w:rsidRPr="002F5969">
        <w:t xml:space="preserve"> </w:t>
      </w:r>
      <w:r w:rsidR="002F5969" w:rsidRPr="002F5969">
        <w:t>incrépuit</w:t>
      </w:r>
      <w:r w:rsidR="00C2602D" w:rsidRPr="002F5969">
        <w:t> </w:t>
      </w:r>
      <w:r w:rsidR="007F6508" w:rsidRPr="002F5969">
        <w:t xml:space="preserve">; </w:t>
      </w:r>
      <w:r w:rsidRPr="002F5969">
        <w:t>Marcus quoque</w:t>
      </w:r>
      <w:r w:rsidR="00E65435" w:rsidRPr="002F5969">
        <w:t xml:space="preserve">, </w:t>
      </w:r>
      <w:r w:rsidRPr="002F5969">
        <w:t>Lucas</w:t>
      </w:r>
      <w:r w:rsidR="00E65435" w:rsidRPr="002F5969">
        <w:t xml:space="preserve">, </w:t>
      </w:r>
      <w:r w:rsidRPr="002F5969">
        <w:t xml:space="preserve">et </w:t>
      </w:r>
      <w:r w:rsidR="002F5969" w:rsidRPr="002F5969">
        <w:t>Joánnes</w:t>
      </w:r>
      <w:r w:rsidRPr="002F5969">
        <w:t xml:space="preserve"> suis</w:t>
      </w:r>
      <w:r w:rsidR="002F5969">
        <w:t xml:space="preserve"> </w:t>
      </w:r>
      <w:r w:rsidR="002F5969" w:rsidRPr="002F5969">
        <w:t>síngulis</w:t>
      </w:r>
      <w:r w:rsidRPr="002F5969">
        <w:t xml:space="preserve"> tubis sacerdot</w:t>
      </w:r>
      <w:r w:rsidR="00356A5E" w:rsidRPr="002F5969">
        <w:t>álibus</w:t>
      </w:r>
      <w:r w:rsidRPr="002F5969">
        <w:t xml:space="preserve"> </w:t>
      </w:r>
      <w:r w:rsidR="002F5969" w:rsidRPr="002F5969">
        <w:t>cecinérunt</w:t>
      </w:r>
      <w:r w:rsidR="00933C60" w:rsidRPr="00C406FF">
        <w:rPr>
          <w:rStyle w:val="Appelnotedebasdep"/>
        </w:rPr>
        <w:footnoteReference w:id="37"/>
      </w:r>
      <w:r w:rsidRPr="002F5969">
        <w:t>.</w:t>
      </w:r>
      <w:r w:rsidR="00C2602D" w:rsidRPr="002F5969">
        <w:t> »</w:t>
      </w:r>
      <w:r w:rsidRPr="002F5969">
        <w:t xml:space="preserve"> De même Eusèbe de Césarée</w:t>
      </w:r>
      <w:r w:rsidR="00933C60" w:rsidRPr="00C406FF">
        <w:rPr>
          <w:rStyle w:val="Appelnotedebasdep"/>
        </w:rPr>
        <w:footnoteReference w:id="38"/>
      </w:r>
      <w:r w:rsidR="00E65435" w:rsidRPr="002F5969">
        <w:t xml:space="preserve">, </w:t>
      </w:r>
      <w:r w:rsidRPr="002F5969">
        <w:t>S. Augustin</w:t>
      </w:r>
      <w:r w:rsidR="00933C60" w:rsidRPr="00C406FF">
        <w:rPr>
          <w:rStyle w:val="Appelnotedebasdep"/>
        </w:rPr>
        <w:footnoteReference w:id="39"/>
      </w:r>
      <w:r w:rsidR="00E65435" w:rsidRPr="002F5969">
        <w:t xml:space="preserve">, </w:t>
      </w:r>
      <w:r w:rsidRPr="002F5969">
        <w:t>etc.</w:t>
      </w:r>
      <w:r w:rsidR="00C2602D" w:rsidRPr="002F5969">
        <w:t xml:space="preserve"> </w:t>
      </w:r>
    </w:p>
    <w:p w:rsidR="00C2602D" w:rsidRPr="00C8701B" w:rsidRDefault="00B704AD" w:rsidP="002F5969">
      <w:pPr>
        <w:rPr>
          <w:rFonts w:eastAsia="Arial Unicode MS"/>
          <w:bCs/>
          <w:lang w:eastAsia="fr-FR" w:bidi="he-IL"/>
        </w:rPr>
      </w:pPr>
      <w:r w:rsidRPr="002F5969">
        <w:t>2° Parfois</w:t>
      </w:r>
      <w:r w:rsidR="00E65435" w:rsidRPr="002F5969">
        <w:t xml:space="preserve">, </w:t>
      </w:r>
      <w:r w:rsidRPr="002F5969">
        <w:t>mais</w:t>
      </w:r>
      <w:r w:rsidRPr="00C8701B">
        <w:rPr>
          <w:rFonts w:eastAsia="Arial Unicode MS"/>
          <w:bCs/>
          <w:lang w:eastAsia="fr-FR" w:bidi="he-IL"/>
        </w:rPr>
        <w:t xml:space="preserve"> beaucoup plus rarement</w:t>
      </w:r>
      <w:r w:rsidR="00E65435">
        <w:rPr>
          <w:rFonts w:eastAsia="Arial Unicode MS"/>
          <w:bCs/>
          <w:lang w:eastAsia="fr-FR" w:bidi="he-IL"/>
        </w:rPr>
        <w:t xml:space="preserve">, </w:t>
      </w:r>
      <w:r w:rsidRPr="00C8701B">
        <w:rPr>
          <w:rFonts w:eastAsia="Arial Unicode MS"/>
          <w:bCs/>
          <w:lang w:eastAsia="fr-FR" w:bidi="he-IL"/>
        </w:rPr>
        <w:t>on rangeait les quatre évangiles d</w:t>
      </w:r>
      <w:r w:rsidR="00557DE0">
        <w:rPr>
          <w:rFonts w:eastAsia="Arial Unicode MS"/>
          <w:bCs/>
          <w:lang w:eastAsia="fr-FR" w:bidi="he-IL"/>
        </w:rPr>
        <w:t>’</w:t>
      </w:r>
      <w:r w:rsidRPr="00C8701B">
        <w:rPr>
          <w:rFonts w:eastAsia="Arial Unicode MS"/>
          <w:bCs/>
          <w:lang w:eastAsia="fr-FR" w:bidi="he-IL"/>
        </w:rPr>
        <w:t>après un autre principe</w:t>
      </w:r>
      <w:r w:rsidR="00E65435">
        <w:rPr>
          <w:rFonts w:eastAsia="Arial Unicode MS"/>
          <w:bCs/>
          <w:lang w:eastAsia="fr-FR" w:bidi="he-IL"/>
        </w:rPr>
        <w:t xml:space="preserve">, </w:t>
      </w:r>
      <w:r w:rsidRPr="00C8701B">
        <w:rPr>
          <w:rFonts w:eastAsia="Arial Unicode MS"/>
          <w:bCs/>
          <w:lang w:eastAsia="fr-FR" w:bidi="he-IL"/>
        </w:rPr>
        <w:t>celui de la dignité. Alors</w:t>
      </w:r>
      <w:r w:rsidR="00E65435">
        <w:rPr>
          <w:rFonts w:eastAsia="Arial Unicode MS"/>
          <w:bCs/>
          <w:lang w:eastAsia="fr-FR" w:bidi="he-IL"/>
        </w:rPr>
        <w:t xml:space="preserve">, </w:t>
      </w:r>
      <w:r w:rsidRPr="00C8701B">
        <w:rPr>
          <w:rFonts w:eastAsia="Arial Unicode MS"/>
          <w:bCs/>
          <w:lang w:eastAsia="fr-FR" w:bidi="he-IL"/>
        </w:rPr>
        <w:t>les deux évangélistes apôtres passent avant les autres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ce qui produit l</w:t>
      </w:r>
      <w:r w:rsidR="00557DE0">
        <w:rPr>
          <w:rFonts w:eastAsia="Arial Unicode MS"/>
          <w:bCs/>
          <w:lang w:eastAsia="fr-FR" w:bidi="he-IL"/>
        </w:rPr>
        <w:t>’</w:t>
      </w:r>
      <w:r w:rsidRPr="00C8701B">
        <w:rPr>
          <w:rFonts w:eastAsia="Arial Unicode MS"/>
          <w:bCs/>
          <w:lang w:eastAsia="fr-FR" w:bidi="he-IL"/>
        </w:rPr>
        <w:t>ordre suivant</w:t>
      </w:r>
      <w:r w:rsidR="00C2602D" w:rsidRPr="00C8701B">
        <w:rPr>
          <w:rFonts w:eastAsia="Arial Unicode MS"/>
          <w:bCs/>
          <w:lang w:eastAsia="fr-FR" w:bidi="he-IL"/>
        </w:rPr>
        <w:t> :</w:t>
      </w:r>
      <w:r w:rsidRPr="00C8701B">
        <w:rPr>
          <w:rFonts w:eastAsia="Arial Unicode MS"/>
          <w:bCs/>
          <w:lang w:eastAsia="fr-FR" w:bidi="he-IL"/>
        </w:rPr>
        <w:t xml:space="preserve"> S. Matthieu</w:t>
      </w:r>
      <w:r w:rsidR="00E65435">
        <w:rPr>
          <w:rFonts w:eastAsia="Arial Unicode MS"/>
          <w:bCs/>
          <w:lang w:eastAsia="fr-FR" w:bidi="he-IL"/>
        </w:rPr>
        <w:t xml:space="preserve">, </w:t>
      </w:r>
      <w:r w:rsidRPr="00C8701B">
        <w:rPr>
          <w:rFonts w:eastAsia="Arial Unicode MS"/>
          <w:bCs/>
          <w:lang w:eastAsia="fr-FR" w:bidi="he-IL"/>
        </w:rPr>
        <w:t>S. Jean</w:t>
      </w:r>
      <w:r w:rsidR="00E65435">
        <w:rPr>
          <w:rFonts w:eastAsia="Arial Unicode MS"/>
          <w:bCs/>
          <w:lang w:eastAsia="fr-FR" w:bidi="he-IL"/>
        </w:rPr>
        <w:t xml:space="preserve">, </w:t>
      </w:r>
      <w:r w:rsidRPr="00C8701B">
        <w:rPr>
          <w:rFonts w:eastAsia="Arial Unicode MS"/>
          <w:bCs/>
          <w:lang w:eastAsia="fr-FR" w:bidi="he-IL"/>
        </w:rPr>
        <w:t>S. Marc</w:t>
      </w:r>
      <w:r w:rsidR="00E65435">
        <w:rPr>
          <w:rFonts w:eastAsia="Arial Unicode MS"/>
          <w:bCs/>
          <w:lang w:eastAsia="fr-FR" w:bidi="he-IL"/>
        </w:rPr>
        <w:t xml:space="preserve">, </w:t>
      </w:r>
      <w:r w:rsidRPr="00C8701B">
        <w:rPr>
          <w:rFonts w:eastAsia="Arial Unicode MS"/>
          <w:bCs/>
          <w:lang w:eastAsia="fr-FR" w:bidi="he-IL"/>
        </w:rPr>
        <w:t>S. Luc</w:t>
      </w:r>
      <w:r w:rsidR="00933C60" w:rsidRPr="00C406FF">
        <w:rPr>
          <w:rStyle w:val="Appelnotedebasdep"/>
        </w:rPr>
        <w:footnoteReference w:id="40"/>
      </w:r>
      <w:r w:rsidRPr="00C8701B">
        <w:rPr>
          <w:rFonts w:eastAsia="Arial Unicode MS"/>
          <w:bCs/>
          <w:lang w:eastAsia="fr-FR" w:bidi="he-IL"/>
        </w:rPr>
        <w:t>. Il arrive aussi que S. Jean est placé avant S. Matthieu</w:t>
      </w:r>
      <w:r w:rsidR="00E65435">
        <w:rPr>
          <w:rFonts w:eastAsia="Arial Unicode MS"/>
          <w:bCs/>
          <w:lang w:eastAsia="fr-FR" w:bidi="he-IL"/>
        </w:rPr>
        <w:t xml:space="preserve">, </w:t>
      </w:r>
      <w:r w:rsidRPr="00C8701B">
        <w:rPr>
          <w:rFonts w:eastAsia="Arial Unicode MS"/>
          <w:bCs/>
          <w:lang w:eastAsia="fr-FR" w:bidi="he-IL"/>
        </w:rPr>
        <w:t>S. Luc avant S Marc</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par exemple</w:t>
      </w:r>
      <w:r w:rsidR="00E65435">
        <w:rPr>
          <w:rFonts w:eastAsia="Arial Unicode MS"/>
          <w:bCs/>
          <w:lang w:eastAsia="fr-FR" w:bidi="he-IL"/>
        </w:rPr>
        <w:t xml:space="preserve">, </w:t>
      </w:r>
      <w:r w:rsidRPr="00C8701B">
        <w:rPr>
          <w:rFonts w:eastAsia="Arial Unicode MS"/>
          <w:bCs/>
          <w:lang w:eastAsia="fr-FR" w:bidi="he-IL"/>
        </w:rPr>
        <w:t>dans ce passage de Tertullien</w:t>
      </w:r>
      <w:r w:rsidR="00E65435">
        <w:rPr>
          <w:rFonts w:eastAsia="Arial Unicode MS"/>
          <w:bCs/>
          <w:lang w:eastAsia="fr-FR" w:bidi="he-IL"/>
        </w:rPr>
        <w:t xml:space="preserve">, </w:t>
      </w:r>
      <w:r w:rsidRPr="00C8701B">
        <w:rPr>
          <w:rFonts w:eastAsia="Arial Unicode MS"/>
          <w:bCs/>
          <w:lang w:eastAsia="fr-FR" w:bidi="he-IL"/>
        </w:rPr>
        <w:t>déjà cité</w:t>
      </w:r>
      <w:r w:rsidR="00C2602D" w:rsidRPr="00C8701B">
        <w:rPr>
          <w:rFonts w:eastAsia="Arial Unicode MS"/>
          <w:bCs/>
          <w:lang w:eastAsia="fr-FR" w:bidi="he-IL"/>
        </w:rPr>
        <w:t> :</w:t>
      </w:r>
      <w:r w:rsidR="00F12048" w:rsidRPr="00C8701B">
        <w:rPr>
          <w:rFonts w:eastAsia="Arial Unicode MS"/>
          <w:bCs/>
          <w:lang w:eastAsia="fr-FR" w:bidi="he-IL"/>
        </w:rPr>
        <w:t xml:space="preserve"> « </w:t>
      </w:r>
      <w:r w:rsidRPr="00C8701B">
        <w:rPr>
          <w:rFonts w:eastAsia="Arial Unicode MS"/>
          <w:bCs/>
          <w:lang w:eastAsia="fr-FR" w:bidi="he-IL"/>
        </w:rPr>
        <w:t xml:space="preserve">Nobis fidem ex </w:t>
      </w:r>
      <w:r w:rsidR="002F5969" w:rsidRPr="00C8701B">
        <w:rPr>
          <w:rFonts w:eastAsia="Arial Unicode MS"/>
          <w:bCs/>
          <w:lang w:eastAsia="fr-FR" w:bidi="he-IL"/>
        </w:rPr>
        <w:t>apóstolis</w:t>
      </w:r>
      <w:r w:rsidRPr="00C8701B">
        <w:rPr>
          <w:rFonts w:eastAsia="Arial Unicode MS"/>
          <w:bCs/>
          <w:lang w:eastAsia="fr-FR" w:bidi="he-IL"/>
        </w:rPr>
        <w:t xml:space="preserve"> </w:t>
      </w:r>
      <w:r w:rsidR="002F5969" w:rsidRPr="00C8701B">
        <w:rPr>
          <w:rFonts w:eastAsia="Arial Unicode MS"/>
          <w:bCs/>
          <w:lang w:eastAsia="fr-FR" w:bidi="he-IL"/>
        </w:rPr>
        <w:t>Joánnes</w:t>
      </w:r>
      <w:r w:rsidRPr="00C8701B">
        <w:rPr>
          <w:rFonts w:eastAsia="Arial Unicode MS"/>
          <w:bCs/>
          <w:lang w:eastAsia="fr-FR" w:bidi="he-IL"/>
        </w:rPr>
        <w:t xml:space="preserve"> et </w:t>
      </w:r>
      <w:r w:rsidR="002F5969" w:rsidRPr="00C8701B">
        <w:rPr>
          <w:rFonts w:eastAsia="Arial Unicode MS"/>
          <w:bCs/>
          <w:lang w:eastAsia="fr-FR" w:bidi="he-IL"/>
        </w:rPr>
        <w:t>Matt</w:t>
      </w:r>
      <w:r w:rsidR="002F5969">
        <w:rPr>
          <w:rFonts w:eastAsia="Arial Unicode MS"/>
          <w:bCs/>
          <w:lang w:eastAsia="fr-FR" w:bidi="he-IL"/>
        </w:rPr>
        <w:t>hǽ</w:t>
      </w:r>
      <w:r w:rsidR="002F5969" w:rsidRPr="00C8701B">
        <w:rPr>
          <w:rFonts w:eastAsia="Arial Unicode MS"/>
          <w:bCs/>
          <w:lang w:eastAsia="fr-FR" w:bidi="he-IL"/>
        </w:rPr>
        <w:t>us</w:t>
      </w:r>
      <w:r w:rsidRPr="00C8701B">
        <w:rPr>
          <w:rFonts w:eastAsia="Arial Unicode MS"/>
          <w:bCs/>
          <w:lang w:eastAsia="fr-FR" w:bidi="he-IL"/>
        </w:rPr>
        <w:t xml:space="preserve"> insinuant</w:t>
      </w:r>
      <w:r w:rsidR="00E65435">
        <w:rPr>
          <w:rFonts w:eastAsia="Arial Unicode MS"/>
          <w:bCs/>
          <w:lang w:eastAsia="fr-FR" w:bidi="he-IL"/>
        </w:rPr>
        <w:t xml:space="preserve">, </w:t>
      </w:r>
      <w:r w:rsidRPr="00C8701B">
        <w:rPr>
          <w:rFonts w:eastAsia="Arial Unicode MS"/>
          <w:bCs/>
          <w:lang w:eastAsia="fr-FR" w:bidi="he-IL"/>
        </w:rPr>
        <w:t xml:space="preserve">ex </w:t>
      </w:r>
      <w:r w:rsidR="002F5969" w:rsidRPr="00C8701B">
        <w:rPr>
          <w:rFonts w:eastAsia="Arial Unicode MS"/>
          <w:bCs/>
          <w:lang w:eastAsia="fr-FR" w:bidi="he-IL"/>
        </w:rPr>
        <w:t>apostólicis</w:t>
      </w:r>
      <w:r w:rsidRPr="00C8701B">
        <w:rPr>
          <w:rFonts w:eastAsia="Arial Unicode MS"/>
          <w:bCs/>
          <w:lang w:eastAsia="fr-FR" w:bidi="he-IL"/>
        </w:rPr>
        <w:t xml:space="preserve"> L</w:t>
      </w:r>
      <w:r w:rsidR="002F5969">
        <w:rPr>
          <w:rFonts w:eastAsia="Arial Unicode MS"/>
          <w:bCs/>
          <w:lang w:eastAsia="fr-FR" w:bidi="he-IL"/>
        </w:rPr>
        <w:t>ucas et Marcus instáurant</w:t>
      </w:r>
      <w:r w:rsidR="00933C60" w:rsidRPr="00C406FF">
        <w:rPr>
          <w:rStyle w:val="Appelnotedebasdep"/>
        </w:rPr>
        <w:footnoteReference w:id="41"/>
      </w:r>
      <w:r w:rsidR="002F5969">
        <w:rPr>
          <w:rFonts w:eastAsia="Arial Unicode MS"/>
          <w:bCs/>
          <w:lang w:eastAsia="fr-FR" w:bidi="he-IL"/>
        </w:rPr>
        <w:t>. »</w:t>
      </w:r>
      <w:r w:rsidR="00C2602D" w:rsidRPr="00C8701B">
        <w:rPr>
          <w:rFonts w:eastAsia="Arial Unicode MS"/>
          <w:bCs/>
          <w:lang w:eastAsia="fr-FR" w:bidi="he-IL"/>
        </w:rPr>
        <w:t xml:space="preserve"> </w:t>
      </w:r>
    </w:p>
    <w:p w:rsidR="00C2602D" w:rsidRPr="00C8701B" w:rsidRDefault="00B704AD" w:rsidP="003A68DB">
      <w:pPr>
        <w:pStyle w:val="Titre4"/>
        <w:rPr>
          <w:lang w:eastAsia="fr-FR" w:bidi="he-IL"/>
        </w:rPr>
      </w:pPr>
      <w:bookmarkStart w:id="13" w:name="_Toc526755718"/>
      <w:r w:rsidRPr="00C8701B">
        <w:rPr>
          <w:rFonts w:eastAsia="Arial Unicode MS"/>
          <w:bCs/>
          <w:lang w:eastAsia="fr-FR" w:bidi="he-IL"/>
        </w:rPr>
        <w:t xml:space="preserve">§ </w:t>
      </w:r>
      <w:r w:rsidR="0096281A">
        <w:rPr>
          <w:rFonts w:eastAsia="Arial Unicode MS"/>
          <w:bCs/>
          <w:lang w:eastAsia="fr-FR" w:bidi="he-IL"/>
        </w:rPr>
        <w:t>IV</w:t>
      </w:r>
      <w:r w:rsidRPr="00C8701B">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002F5969">
        <w:rPr>
          <w:rFonts w:eastAsia="Arial Unicode MS"/>
          <w:bCs/>
          <w:lang w:eastAsia="fr-FR" w:bidi="he-IL"/>
        </w:rPr>
        <w:t xml:space="preserve">LES REPRÉSENTATIONS SYMBOLIQUES </w:t>
      </w:r>
      <w:r w:rsidRPr="00C8701B">
        <w:rPr>
          <w:rFonts w:eastAsia="Arial Unicode MS"/>
          <w:bCs/>
          <w:lang w:eastAsia="fr-FR" w:bidi="he-IL"/>
        </w:rPr>
        <w:t>ET ARTISTIQUES DES QUATRE</w:t>
      </w:r>
      <w:r w:rsidR="00C2602D" w:rsidRPr="00C8701B">
        <w:rPr>
          <w:rFonts w:eastAsia="Arial Unicode MS"/>
          <w:bCs/>
          <w:lang w:eastAsia="fr-FR" w:bidi="he-IL"/>
        </w:rPr>
        <w:t xml:space="preserve"> </w:t>
      </w:r>
      <w:r w:rsidR="002F5969">
        <w:rPr>
          <w:rFonts w:eastAsia="Arial Unicode MS"/>
          <w:bCs/>
          <w:lang w:eastAsia="fr-FR" w:bidi="he-IL"/>
        </w:rPr>
        <w:t>ÉVANGÉLISTES</w:t>
      </w:r>
      <w:r w:rsidRPr="00C8701B">
        <w:rPr>
          <w:rFonts w:eastAsia="Arial Unicode MS"/>
          <w:bCs/>
          <w:lang w:eastAsia="fr-FR" w:bidi="he-IL"/>
        </w:rPr>
        <w:t>.</w:t>
      </w:r>
      <w:bookmarkStart w:id="14" w:name="evin04"/>
      <w:bookmarkEnd w:id="13"/>
      <w:bookmarkEnd w:id="14"/>
      <w:r w:rsidR="00C2602D" w:rsidRPr="00C8701B">
        <w:rPr>
          <w:rFonts w:eastAsia="Arial Unicode MS"/>
          <w:bCs/>
          <w:lang w:eastAsia="fr-FR" w:bidi="he-IL"/>
        </w:rPr>
        <w:t xml:space="preserve"> </w:t>
      </w:r>
    </w:p>
    <w:p w:rsidR="00C2602D" w:rsidRPr="00C8701B" w:rsidRDefault="00B704AD" w:rsidP="002F5969">
      <w:pPr>
        <w:rPr>
          <w:rFonts w:eastAsia="Arial Unicode MS"/>
          <w:bCs/>
          <w:lang w:eastAsia="fr-FR" w:bidi="he-IL"/>
        </w:rPr>
      </w:pPr>
      <w:r w:rsidRPr="00C8701B">
        <w:rPr>
          <w:rFonts w:eastAsia="Arial Unicode MS"/>
          <w:bCs/>
          <w:lang w:eastAsia="fr-FR" w:bidi="he-IL"/>
        </w:rPr>
        <w:t>1° De très bonne heure</w:t>
      </w:r>
      <w:r w:rsidR="00E65435">
        <w:rPr>
          <w:rFonts w:eastAsia="Arial Unicode MS"/>
          <w:bCs/>
          <w:lang w:eastAsia="fr-FR" w:bidi="he-IL"/>
        </w:rPr>
        <w:t xml:space="preserve">, </w:t>
      </w:r>
      <w:r w:rsidRPr="00C8701B">
        <w:rPr>
          <w:rFonts w:eastAsia="Arial Unicode MS"/>
          <w:bCs/>
          <w:lang w:eastAsia="fr-FR" w:bidi="he-IL"/>
        </w:rPr>
        <w:t>dès le second siècle</w:t>
      </w:r>
      <w:r w:rsidR="00E65435">
        <w:rPr>
          <w:rFonts w:eastAsia="Arial Unicode MS"/>
          <w:bCs/>
          <w:lang w:eastAsia="fr-FR" w:bidi="he-IL"/>
        </w:rPr>
        <w:t xml:space="preserve">, </w:t>
      </w:r>
      <w:r w:rsidRPr="00C8701B">
        <w:rPr>
          <w:rFonts w:eastAsia="Arial Unicode MS"/>
          <w:bCs/>
          <w:lang w:eastAsia="fr-FR" w:bidi="he-IL"/>
        </w:rPr>
        <w:t xml:space="preserve">on eut la pensée de comparer les quatre évangiles au </w:t>
      </w:r>
      <w:r w:rsidR="002F5969" w:rsidRPr="00C8701B">
        <w:rPr>
          <w:rFonts w:eastAsia="Arial Unicode MS"/>
          <w:bCs/>
          <w:lang w:eastAsia="fr-FR" w:bidi="he-IL"/>
        </w:rPr>
        <w:t>char</w:t>
      </w:r>
      <w:r w:rsidRPr="00C8701B">
        <w:rPr>
          <w:rFonts w:eastAsia="Arial Unicode MS"/>
          <w:bCs/>
          <w:lang w:eastAsia="fr-FR" w:bidi="he-IL"/>
        </w:rPr>
        <w:t xml:space="preserve"> célèbre de la vision d</w:t>
      </w:r>
      <w:r w:rsidR="00557DE0">
        <w:rPr>
          <w:rFonts w:eastAsia="Arial Unicode MS"/>
          <w:bCs/>
          <w:lang w:eastAsia="fr-FR" w:bidi="he-IL"/>
        </w:rPr>
        <w:t>’</w:t>
      </w:r>
      <w:r w:rsidR="002F5969" w:rsidRPr="00C8701B">
        <w:rPr>
          <w:rFonts w:eastAsia="Arial Unicode MS"/>
          <w:bCs/>
          <w:lang w:eastAsia="fr-FR" w:bidi="he-IL"/>
        </w:rPr>
        <w:t>Ézéchiel</w:t>
      </w:r>
      <w:r w:rsidR="00E65435">
        <w:rPr>
          <w:rFonts w:eastAsia="Arial Unicode MS"/>
          <w:bCs/>
          <w:lang w:eastAsia="fr-FR" w:bidi="he-IL"/>
        </w:rPr>
        <w:t>,</w:t>
      </w:r>
      <w:r w:rsidR="00C21120">
        <w:rPr>
          <w:rFonts w:eastAsia="Arial Unicode MS"/>
          <w:bCs/>
          <w:lang w:eastAsia="fr-FR" w:bidi="he-IL"/>
        </w:rPr>
        <w:t xml:space="preserve"> I, </w:t>
      </w:r>
      <w:r w:rsidR="00C21120" w:rsidRPr="00C8701B">
        <w:rPr>
          <w:rFonts w:eastAsia="Arial Unicode MS"/>
          <w:bCs/>
          <w:lang w:eastAsia="fr-FR" w:bidi="he-IL"/>
        </w:rPr>
        <w:t>5</w:t>
      </w:r>
      <w:r w:rsidRPr="00C8701B">
        <w:rPr>
          <w:rFonts w:eastAsia="Arial Unicode MS"/>
          <w:bCs/>
          <w:lang w:eastAsia="fr-FR" w:bidi="he-IL"/>
        </w:rPr>
        <w:t xml:space="preserve"> et ss.</w:t>
      </w:r>
      <w:r w:rsidR="00E65435">
        <w:rPr>
          <w:rFonts w:eastAsia="Arial Unicode MS"/>
          <w:bCs/>
          <w:lang w:eastAsia="fr-FR" w:bidi="he-IL"/>
        </w:rPr>
        <w:t xml:space="preserve">, </w:t>
      </w:r>
      <w:r w:rsidRPr="00C8701B">
        <w:rPr>
          <w:rFonts w:eastAsia="Arial Unicode MS"/>
          <w:bCs/>
          <w:lang w:eastAsia="fr-FR" w:bidi="he-IL"/>
        </w:rPr>
        <w:t>tout à la fois unique et quadruple</w:t>
      </w:r>
      <w:r w:rsidR="003A68DB">
        <w:rPr>
          <w:rFonts w:eastAsia="Arial Unicode MS"/>
          <w:bCs/>
          <w:lang w:eastAsia="fr-FR" w:bidi="he-IL"/>
        </w:rPr>
        <w:t> </w:t>
      </w:r>
      <w:r w:rsidR="003A68DB" w:rsidRPr="00C406FF">
        <w:rPr>
          <w:rStyle w:val="Appelnotedebasdep"/>
        </w:rPr>
        <w:footnoteReference w:id="42"/>
      </w:r>
      <w:r w:rsidR="00E65435">
        <w:rPr>
          <w:rFonts w:eastAsia="Arial Unicode MS"/>
          <w:bCs/>
          <w:lang w:eastAsia="fr-FR" w:bidi="he-IL"/>
        </w:rPr>
        <w:t xml:space="preserve">, </w:t>
      </w:r>
      <w:r w:rsidRPr="00C8701B">
        <w:rPr>
          <w:rFonts w:eastAsia="Arial Unicode MS"/>
          <w:bCs/>
          <w:lang w:eastAsia="fr-FR" w:bidi="he-IL"/>
        </w:rPr>
        <w:t xml:space="preserve">ou aux quatre </w:t>
      </w:r>
      <w:r w:rsidR="002F5969" w:rsidRPr="00C8701B">
        <w:rPr>
          <w:rFonts w:eastAsia="Arial Unicode MS"/>
          <w:bCs/>
          <w:lang w:eastAsia="fr-FR" w:bidi="he-IL"/>
        </w:rPr>
        <w:t>animaux</w:t>
      </w:r>
      <w:r w:rsidRPr="00C8701B">
        <w:rPr>
          <w:rFonts w:eastAsia="Arial Unicode MS"/>
          <w:bCs/>
          <w:lang w:eastAsia="fr-FR" w:bidi="he-IL"/>
        </w:rPr>
        <w:t xml:space="preserve"> de</w:t>
      </w:r>
      <w:r w:rsidR="002F5969">
        <w:rPr>
          <w:rFonts w:eastAsia="Arial Unicode MS"/>
          <w:bCs/>
          <w:lang w:eastAsia="fr-FR" w:bidi="he-IL"/>
        </w:rPr>
        <w:t xml:space="preserve"> l</w:t>
      </w:r>
      <w:r w:rsidR="00557DE0">
        <w:rPr>
          <w:rFonts w:eastAsia="Arial Unicode MS"/>
          <w:bCs/>
          <w:lang w:eastAsia="fr-FR" w:bidi="he-IL"/>
        </w:rPr>
        <w:t>’</w:t>
      </w:r>
      <w:r w:rsidRPr="00C8701B">
        <w:rPr>
          <w:rFonts w:eastAsia="Arial Unicode MS"/>
          <w:bCs/>
          <w:lang w:eastAsia="fr-FR" w:bidi="he-IL"/>
        </w:rPr>
        <w:t>Apocalypse</w:t>
      </w:r>
      <w:r w:rsidR="00E65435">
        <w:rPr>
          <w:rFonts w:eastAsia="Arial Unicode MS"/>
          <w:bCs/>
          <w:lang w:eastAsia="fr-FR" w:bidi="he-IL"/>
        </w:rPr>
        <w:t xml:space="preserve">, </w:t>
      </w:r>
      <w:r w:rsidR="0096281A">
        <w:rPr>
          <w:rFonts w:eastAsia="Arial Unicode MS"/>
          <w:bCs/>
          <w:lang w:eastAsia="fr-FR" w:bidi="he-IL"/>
        </w:rPr>
        <w:t>IV</w:t>
      </w:r>
      <w:r w:rsidR="00E65435">
        <w:rPr>
          <w:rFonts w:eastAsia="Arial Unicode MS"/>
          <w:bCs/>
          <w:lang w:eastAsia="fr-FR" w:bidi="he-IL"/>
        </w:rPr>
        <w:t xml:space="preserve">, </w:t>
      </w:r>
      <w:r w:rsidRPr="00C8701B">
        <w:rPr>
          <w:rFonts w:eastAsia="Arial Unicode MS"/>
          <w:bCs/>
          <w:lang w:eastAsia="fr-FR" w:bidi="he-IL"/>
        </w:rPr>
        <w:t>6-10</w:t>
      </w:r>
      <w:r w:rsidR="00E65435">
        <w:rPr>
          <w:rFonts w:eastAsia="Arial Unicode MS"/>
          <w:bCs/>
          <w:lang w:eastAsia="fr-FR" w:bidi="he-IL"/>
        </w:rPr>
        <w:t xml:space="preserve">, </w:t>
      </w:r>
      <w:r w:rsidRPr="00C8701B">
        <w:rPr>
          <w:rFonts w:eastAsia="Arial Unicode MS"/>
          <w:bCs/>
          <w:lang w:eastAsia="fr-FR" w:bidi="he-IL"/>
        </w:rPr>
        <w:t>dont la description s</w:t>
      </w:r>
      <w:r w:rsidR="00557DE0">
        <w:rPr>
          <w:rFonts w:eastAsia="Arial Unicode MS"/>
          <w:bCs/>
          <w:lang w:eastAsia="fr-FR" w:bidi="he-IL"/>
        </w:rPr>
        <w:t>’</w:t>
      </w:r>
      <w:r w:rsidRPr="00C8701B">
        <w:rPr>
          <w:rFonts w:eastAsia="Arial Unicode MS"/>
          <w:bCs/>
          <w:lang w:eastAsia="fr-FR" w:bidi="he-IL"/>
        </w:rPr>
        <w:t>appuie sur cette même vision.</w:t>
      </w:r>
      <w:r w:rsidR="00C2602D" w:rsidRPr="00C8701B">
        <w:rPr>
          <w:rFonts w:eastAsia="Arial Unicode MS"/>
          <w:bCs/>
          <w:lang w:eastAsia="fr-FR" w:bidi="he-IL"/>
        </w:rPr>
        <w:t xml:space="preserve"> </w:t>
      </w:r>
    </w:p>
    <w:p w:rsidR="00C2602D" w:rsidRPr="00C8701B" w:rsidRDefault="00B704AD" w:rsidP="002F5969">
      <w:pPr>
        <w:rPr>
          <w:rFonts w:eastAsia="Arial Unicode MS"/>
          <w:bCs/>
          <w:lang w:eastAsia="fr-FR" w:bidi="he-IL"/>
        </w:rPr>
      </w:pPr>
      <w:r w:rsidRPr="00C8701B">
        <w:rPr>
          <w:rFonts w:eastAsia="Arial Unicode MS"/>
          <w:bCs/>
          <w:lang w:eastAsia="fr-FR" w:bidi="he-IL"/>
        </w:rPr>
        <w:t>Toutefois</w:t>
      </w:r>
      <w:r w:rsidR="00E65435">
        <w:rPr>
          <w:rFonts w:eastAsia="Arial Unicode MS"/>
          <w:bCs/>
          <w:lang w:eastAsia="fr-FR" w:bidi="he-IL"/>
        </w:rPr>
        <w:t xml:space="preserve">, </w:t>
      </w:r>
      <w:r w:rsidRPr="00C8701B">
        <w:rPr>
          <w:rFonts w:eastAsia="Arial Unicode MS"/>
          <w:bCs/>
          <w:lang w:eastAsia="fr-FR" w:bidi="he-IL"/>
        </w:rPr>
        <w:t>il y eut des variantes assez notables dans l</w:t>
      </w:r>
      <w:r w:rsidR="00557DE0">
        <w:rPr>
          <w:rFonts w:eastAsia="Arial Unicode MS"/>
          <w:bCs/>
          <w:lang w:eastAsia="fr-FR" w:bidi="he-IL"/>
        </w:rPr>
        <w:t>’</w:t>
      </w:r>
      <w:r w:rsidRPr="00C8701B">
        <w:rPr>
          <w:rFonts w:eastAsia="Arial Unicode MS"/>
          <w:bCs/>
          <w:lang w:eastAsia="fr-FR" w:bidi="he-IL"/>
        </w:rPr>
        <w:t>application</w:t>
      </w:r>
      <w:r w:rsidR="00E65435">
        <w:rPr>
          <w:rFonts w:eastAsia="Arial Unicode MS"/>
          <w:bCs/>
          <w:lang w:eastAsia="fr-FR" w:bidi="he-IL"/>
        </w:rPr>
        <w:t xml:space="preserve">, </w:t>
      </w:r>
      <w:r w:rsidRPr="00C8701B">
        <w:rPr>
          <w:rFonts w:eastAsia="Arial Unicode MS"/>
          <w:bCs/>
          <w:lang w:eastAsia="fr-FR" w:bidi="he-IL"/>
        </w:rPr>
        <w:t>car trois systèmes principaux ont été admis tour à tour.</w:t>
      </w:r>
      <w:r w:rsidR="00C2602D" w:rsidRPr="00C8701B">
        <w:rPr>
          <w:rFonts w:eastAsia="Arial Unicode MS"/>
          <w:bCs/>
          <w:lang w:eastAsia="fr-FR" w:bidi="he-IL"/>
        </w:rPr>
        <w:t xml:space="preserve"> </w:t>
      </w:r>
    </w:p>
    <w:p w:rsidR="00C2602D" w:rsidRPr="00C8701B" w:rsidRDefault="00B704AD" w:rsidP="002F5969">
      <w:pPr>
        <w:rPr>
          <w:rFonts w:eastAsia="Arial Unicode MS"/>
          <w:bCs/>
          <w:lang w:eastAsia="fr-FR" w:bidi="he-IL"/>
        </w:rPr>
      </w:pPr>
      <w:r w:rsidRPr="00C8701B">
        <w:rPr>
          <w:rFonts w:eastAsia="Arial Unicode MS"/>
          <w:bCs/>
          <w:lang w:eastAsia="fr-FR" w:bidi="he-IL"/>
        </w:rPr>
        <w:t>Le premier système est celui de S. Irénée</w:t>
      </w:r>
      <w:r w:rsidR="003A68DB">
        <w:rPr>
          <w:rFonts w:eastAsia="Arial Unicode MS"/>
          <w:bCs/>
          <w:lang w:eastAsia="fr-FR" w:bidi="he-IL"/>
        </w:rPr>
        <w:t> </w:t>
      </w:r>
      <w:r w:rsidR="003A68DB" w:rsidRPr="00C406FF">
        <w:rPr>
          <w:rStyle w:val="Appelnotedebasdep"/>
        </w:rPr>
        <w:footnoteReference w:id="43"/>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après lequel S.</w:t>
      </w:r>
      <w:r w:rsidR="002F5969">
        <w:rPr>
          <w:rFonts w:eastAsia="Arial Unicode MS"/>
          <w:bCs/>
          <w:lang w:eastAsia="fr-FR" w:bidi="he-IL"/>
        </w:rPr>
        <w:t xml:space="preserve"> </w:t>
      </w:r>
      <w:r w:rsidRPr="00C8701B">
        <w:rPr>
          <w:rFonts w:eastAsia="Arial Unicode MS"/>
          <w:bCs/>
          <w:lang w:eastAsia="fr-FR" w:bidi="he-IL"/>
        </w:rPr>
        <w:t>Matthieu est représenté par l</w:t>
      </w:r>
      <w:r w:rsidR="00557DE0">
        <w:rPr>
          <w:rFonts w:eastAsia="Arial Unicode MS"/>
          <w:bCs/>
          <w:lang w:eastAsia="fr-FR" w:bidi="he-IL"/>
        </w:rPr>
        <w:t>’</w:t>
      </w:r>
      <w:r w:rsidRPr="00C8701B">
        <w:rPr>
          <w:rFonts w:eastAsia="Arial Unicode MS"/>
          <w:bCs/>
          <w:lang w:eastAsia="fr-FR" w:bidi="he-IL"/>
        </w:rPr>
        <w:t>homme</w:t>
      </w:r>
      <w:r w:rsidR="00E65435">
        <w:rPr>
          <w:rFonts w:eastAsia="Arial Unicode MS"/>
          <w:bCs/>
          <w:lang w:eastAsia="fr-FR" w:bidi="he-IL"/>
        </w:rPr>
        <w:t xml:space="preserve">, </w:t>
      </w:r>
      <w:r w:rsidRPr="00C8701B">
        <w:rPr>
          <w:rFonts w:eastAsia="Arial Unicode MS"/>
          <w:bCs/>
          <w:lang w:eastAsia="fr-FR" w:bidi="he-IL"/>
        </w:rPr>
        <w:t>S. Marc par l</w:t>
      </w:r>
      <w:r w:rsidR="00557DE0">
        <w:rPr>
          <w:rFonts w:eastAsia="Arial Unicode MS"/>
          <w:bCs/>
          <w:lang w:eastAsia="fr-FR" w:bidi="he-IL"/>
        </w:rPr>
        <w:t>’</w:t>
      </w:r>
      <w:r w:rsidRPr="00C8701B">
        <w:rPr>
          <w:rFonts w:eastAsia="Arial Unicode MS"/>
          <w:bCs/>
          <w:lang w:eastAsia="fr-FR" w:bidi="he-IL"/>
        </w:rPr>
        <w:t>aigle</w:t>
      </w:r>
      <w:r w:rsidR="00E65435">
        <w:rPr>
          <w:rFonts w:eastAsia="Arial Unicode MS"/>
          <w:bCs/>
          <w:lang w:eastAsia="fr-FR" w:bidi="he-IL"/>
        </w:rPr>
        <w:t xml:space="preserve">, </w:t>
      </w:r>
      <w:r w:rsidRPr="00C8701B">
        <w:rPr>
          <w:rFonts w:eastAsia="Arial Unicode MS"/>
          <w:bCs/>
          <w:lang w:eastAsia="fr-FR" w:bidi="he-IL"/>
        </w:rPr>
        <w:t>S. Luc par le taureau</w:t>
      </w:r>
      <w:r w:rsidR="00E65435">
        <w:rPr>
          <w:rFonts w:eastAsia="Arial Unicode MS"/>
          <w:bCs/>
          <w:lang w:eastAsia="fr-FR" w:bidi="he-IL"/>
        </w:rPr>
        <w:t xml:space="preserve">, </w:t>
      </w:r>
      <w:r w:rsidR="000716BB" w:rsidRPr="000716BB">
        <w:rPr>
          <w:rFonts w:eastAsia="Arial Unicode MS"/>
          <w:bCs/>
          <w:lang w:eastAsia="fr-FR" w:bidi="he-IL"/>
        </w:rPr>
        <w:t>{</w:t>
      </w:r>
      <w:r w:rsidR="000716BB">
        <w:rPr>
          <w:rFonts w:eastAsia="Arial Unicode MS"/>
          <w:bCs/>
          <w:lang w:eastAsia="fr-FR" w:bidi="he-IL"/>
        </w:rPr>
        <w:t>7</w:t>
      </w:r>
      <w:bookmarkStart w:id="15" w:name="pag007"/>
      <w:bookmarkEnd w:id="15"/>
      <w:r w:rsidR="000716BB" w:rsidRPr="000716BB">
        <w:rPr>
          <w:rFonts w:eastAsia="Arial Unicode MS"/>
          <w:bCs/>
          <w:lang w:eastAsia="fr-FR" w:bidi="he-IL"/>
        </w:rPr>
        <w:t xml:space="preserve">} </w:t>
      </w:r>
      <w:r w:rsidRPr="002F5969">
        <w:t xml:space="preserve">S. Jean par le lion. </w:t>
      </w:r>
      <w:r w:rsidR="002F5969" w:rsidRPr="002F5969">
        <w:t>Juvéncus</w:t>
      </w:r>
      <w:r w:rsidRPr="002F5969">
        <w:t xml:space="preserve"> l</w:t>
      </w:r>
      <w:r w:rsidR="00557DE0">
        <w:t>’</w:t>
      </w:r>
      <w:r w:rsidRPr="002F5969">
        <w:t xml:space="preserve">a plus tard </w:t>
      </w:r>
      <w:r w:rsidRPr="00C8701B">
        <w:rPr>
          <w:rFonts w:eastAsia="Arial Unicode MS"/>
          <w:bCs/>
          <w:lang w:eastAsia="fr-FR" w:bidi="he-IL"/>
        </w:rPr>
        <w:t>traduit par ces vers bien connus</w:t>
      </w:r>
      <w:r w:rsidR="003A68DB">
        <w:rPr>
          <w:rFonts w:eastAsia="Arial Unicode MS"/>
          <w:bCs/>
          <w:lang w:eastAsia="fr-FR" w:bidi="he-IL"/>
        </w:rPr>
        <w:t> </w:t>
      </w:r>
      <w:r w:rsidR="003A68DB" w:rsidRPr="00C406FF">
        <w:rPr>
          <w:rStyle w:val="Appelnotedebasdep"/>
        </w:rPr>
        <w:footnoteReference w:id="44"/>
      </w:r>
      <w:r w:rsidR="00C2602D" w:rsidRPr="00C8701B">
        <w:rPr>
          <w:rFonts w:eastAsia="Arial Unicode MS"/>
          <w:bCs/>
          <w:lang w:eastAsia="fr-FR" w:bidi="he-IL"/>
        </w:rPr>
        <w:t xml:space="preserve"> : </w:t>
      </w:r>
    </w:p>
    <w:p w:rsidR="002F5969" w:rsidRPr="002F5969" w:rsidRDefault="002F5969" w:rsidP="002F5969">
      <w:r w:rsidRPr="002F5969">
        <w:t>Ma</w:t>
      </w:r>
      <w:r>
        <w:t>tthǽ</w:t>
      </w:r>
      <w:r w:rsidR="00B704AD" w:rsidRPr="002F5969">
        <w:t xml:space="preserve">us </w:t>
      </w:r>
      <w:r w:rsidR="00473B23" w:rsidRPr="002F5969">
        <w:t>instítuit</w:t>
      </w:r>
      <w:r w:rsidR="00B704AD" w:rsidRPr="002F5969">
        <w:t xml:space="preserve"> </w:t>
      </w:r>
      <w:r w:rsidR="00473B23" w:rsidRPr="002F5969">
        <w:t>virtútum</w:t>
      </w:r>
      <w:r w:rsidR="00B704AD" w:rsidRPr="002F5969">
        <w:t xml:space="preserve"> </w:t>
      </w:r>
      <w:r w:rsidR="00473B23" w:rsidRPr="002F5969">
        <w:t>trámite</w:t>
      </w:r>
      <w:r w:rsidR="00B704AD" w:rsidRPr="002F5969">
        <w:t xml:space="preserve"> mores</w:t>
      </w:r>
      <w:r w:rsidR="00E65435" w:rsidRPr="002F5969">
        <w:t xml:space="preserve">, </w:t>
      </w:r>
    </w:p>
    <w:p w:rsidR="002F5969" w:rsidRPr="002F5969" w:rsidRDefault="00473B23" w:rsidP="00C2602D">
      <w:r>
        <w:t>Et bene vivé</w:t>
      </w:r>
      <w:r w:rsidR="00B704AD" w:rsidRPr="002F5969">
        <w:t xml:space="preserve">ndi justo </w:t>
      </w:r>
      <w:r w:rsidR="006D3DC1">
        <w:t>dedit</w:t>
      </w:r>
      <w:r w:rsidR="00B704AD" w:rsidRPr="002F5969">
        <w:t xml:space="preserve"> </w:t>
      </w:r>
      <w:r w:rsidRPr="002F5969">
        <w:t>órdine</w:t>
      </w:r>
      <w:r w:rsidR="00B704AD" w:rsidRPr="002F5969">
        <w:t xml:space="preserve"> leges</w:t>
      </w:r>
      <w:r w:rsidR="00C2602D" w:rsidRPr="002F5969">
        <w:t> </w:t>
      </w:r>
      <w:r w:rsidR="007F6508" w:rsidRPr="002F5969">
        <w:t xml:space="preserve">; </w:t>
      </w:r>
    </w:p>
    <w:p w:rsidR="002F5969" w:rsidRPr="002F5969" w:rsidRDefault="00B704AD" w:rsidP="00C2602D">
      <w:r w:rsidRPr="002F5969">
        <w:t xml:space="preserve">Marcus amat terras inter </w:t>
      </w:r>
      <w:r w:rsidR="00473B23" w:rsidRPr="002F5969">
        <w:t>cælúmque</w:t>
      </w:r>
      <w:r w:rsidRPr="002F5969">
        <w:t xml:space="preserve"> </w:t>
      </w:r>
      <w:r w:rsidR="00473B23" w:rsidRPr="002F5969">
        <w:t>voláre</w:t>
      </w:r>
      <w:r w:rsidR="00E65435" w:rsidRPr="002F5969">
        <w:t xml:space="preserve">, </w:t>
      </w:r>
    </w:p>
    <w:p w:rsidR="002F5969" w:rsidRPr="002F5969" w:rsidRDefault="00B704AD" w:rsidP="00473B23">
      <w:r w:rsidRPr="002F5969">
        <w:t xml:space="preserve">Et </w:t>
      </w:r>
      <w:r w:rsidR="00473B23" w:rsidRPr="002F5969">
        <w:t>véhemens</w:t>
      </w:r>
      <w:r w:rsidRPr="002F5969">
        <w:t xml:space="preserve"> </w:t>
      </w:r>
      <w:r w:rsidR="00473B23" w:rsidRPr="002F5969">
        <w:t>áquilæ</w:t>
      </w:r>
      <w:r w:rsidR="00473B23">
        <w:t xml:space="preserve"> </w:t>
      </w:r>
      <w:r w:rsidRPr="002F5969">
        <w:t xml:space="preserve">stricto secat </w:t>
      </w:r>
      <w:r w:rsidR="00992D87" w:rsidRPr="002F5969">
        <w:t>ómnia</w:t>
      </w:r>
      <w:r w:rsidRPr="002F5969">
        <w:t xml:space="preserve"> lapsu</w:t>
      </w:r>
      <w:r w:rsidR="00C2602D" w:rsidRPr="002F5969">
        <w:t> </w:t>
      </w:r>
      <w:r w:rsidR="007F6508" w:rsidRPr="002F5969">
        <w:t xml:space="preserve">; </w:t>
      </w:r>
    </w:p>
    <w:p w:rsidR="002F5969" w:rsidRPr="002F5969" w:rsidRDefault="00473B23" w:rsidP="00C2602D">
      <w:r>
        <w:t>Lucas ubérius descríbit prǽlia C</w:t>
      </w:r>
      <w:r w:rsidR="00B704AD" w:rsidRPr="002F5969">
        <w:t>hristi</w:t>
      </w:r>
      <w:r w:rsidR="00E65435" w:rsidRPr="002F5969">
        <w:t xml:space="preserve">, </w:t>
      </w:r>
    </w:p>
    <w:p w:rsidR="002F5969" w:rsidRPr="002F5969" w:rsidRDefault="00B704AD" w:rsidP="00C2602D">
      <w:r w:rsidRPr="002F5969">
        <w:t xml:space="preserve">Jure sacer </w:t>
      </w:r>
      <w:r w:rsidR="00473B23" w:rsidRPr="002F5969">
        <w:t>vítulus</w:t>
      </w:r>
      <w:r w:rsidR="00E65435" w:rsidRPr="002F5969">
        <w:t xml:space="preserve">, </w:t>
      </w:r>
      <w:r w:rsidR="00473B23">
        <w:t>qui mǿn</w:t>
      </w:r>
      <w:r w:rsidRPr="002F5969">
        <w:t xml:space="preserve">ia fatur </w:t>
      </w:r>
      <w:r w:rsidR="00473B23" w:rsidRPr="002F5969">
        <w:t>avíta</w:t>
      </w:r>
      <w:r w:rsidRPr="002F5969">
        <w:t xml:space="preserve">. </w:t>
      </w:r>
    </w:p>
    <w:p w:rsidR="002F5969" w:rsidRPr="002F5969" w:rsidRDefault="002F5969" w:rsidP="00C2602D">
      <w:r w:rsidRPr="002F5969">
        <w:t>Joánnes</w:t>
      </w:r>
      <w:r w:rsidR="00473B23">
        <w:t xml:space="preserve"> fre</w:t>
      </w:r>
      <w:r w:rsidR="00B704AD" w:rsidRPr="002F5969">
        <w:t>mit ore leo</w:t>
      </w:r>
      <w:r w:rsidR="00C2602D" w:rsidRPr="002F5969">
        <w:t> </w:t>
      </w:r>
      <w:r w:rsidR="007F6508" w:rsidRPr="002F5969">
        <w:t xml:space="preserve">; </w:t>
      </w:r>
      <w:r w:rsidR="00473B23">
        <w:t>similis rugién</w:t>
      </w:r>
      <w:r w:rsidR="00B704AD" w:rsidRPr="002F5969">
        <w:t xml:space="preserve">ti </w:t>
      </w:r>
    </w:p>
    <w:p w:rsidR="00C2602D" w:rsidRDefault="00473B23" w:rsidP="00C2602D">
      <w:r>
        <w:t>Intonat æ</w:t>
      </w:r>
      <w:r w:rsidRPr="002F5969">
        <w:t>térnæ</w:t>
      </w:r>
      <w:r w:rsidR="00B704AD" w:rsidRPr="002F5969">
        <w:t xml:space="preserve"> pandens </w:t>
      </w:r>
      <w:r w:rsidRPr="002F5969">
        <w:t>mystéria</w:t>
      </w:r>
      <w:r w:rsidR="002F5969">
        <w:t xml:space="preserve"> </w:t>
      </w:r>
      <w:r w:rsidR="00B704AD" w:rsidRPr="002F5969">
        <w:t>vit</w:t>
      </w:r>
      <w:r w:rsidR="00E37C84" w:rsidRPr="002F5969">
        <w:t>æ</w:t>
      </w:r>
      <w:r>
        <w:t>.</w:t>
      </w:r>
      <w:r w:rsidR="00E65435" w:rsidRPr="002F5969">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Le second</w:t>
      </w:r>
      <w:r w:rsidR="002F5969">
        <w:rPr>
          <w:rFonts w:eastAsia="Arial Unicode MS"/>
          <w:bCs/>
          <w:lang w:eastAsia="fr-FR" w:bidi="he-IL"/>
        </w:rPr>
        <w:t xml:space="preserve"> </w:t>
      </w:r>
      <w:r w:rsidRPr="00C8701B">
        <w:rPr>
          <w:rFonts w:eastAsia="Arial Unicode MS"/>
          <w:bCs/>
          <w:lang w:eastAsia="fr-FR" w:bidi="he-IL"/>
        </w:rPr>
        <w:t>système est celui de S. Augustin</w:t>
      </w:r>
      <w:r w:rsidR="00E65435">
        <w:rPr>
          <w:rFonts w:eastAsia="Arial Unicode MS"/>
          <w:bCs/>
          <w:lang w:eastAsia="fr-FR" w:bidi="he-IL"/>
        </w:rPr>
        <w:t xml:space="preserve">, </w:t>
      </w:r>
      <w:r w:rsidRPr="00C8701B">
        <w:rPr>
          <w:rFonts w:eastAsia="Arial Unicode MS"/>
          <w:bCs/>
          <w:lang w:eastAsia="fr-FR" w:bidi="he-IL"/>
        </w:rPr>
        <w:t>qu</w:t>
      </w:r>
      <w:r w:rsidR="00557DE0">
        <w:rPr>
          <w:rFonts w:eastAsia="Arial Unicode MS"/>
          <w:bCs/>
          <w:lang w:eastAsia="fr-FR" w:bidi="he-IL"/>
        </w:rPr>
        <w:t>’</w:t>
      </w:r>
      <w:r w:rsidRPr="00C8701B">
        <w:rPr>
          <w:rFonts w:eastAsia="Arial Unicode MS"/>
          <w:bCs/>
          <w:lang w:eastAsia="fr-FR" w:bidi="he-IL"/>
        </w:rPr>
        <w:t>adopta ensuite le Vénérable Bède</w:t>
      </w:r>
      <w:r w:rsidR="003A68DB">
        <w:rPr>
          <w:rFonts w:eastAsia="Arial Unicode MS"/>
          <w:bCs/>
          <w:lang w:eastAsia="fr-FR" w:bidi="he-IL"/>
        </w:rPr>
        <w:t> </w:t>
      </w:r>
      <w:r w:rsidR="003A68DB" w:rsidRPr="00C406FF">
        <w:rPr>
          <w:rStyle w:val="Appelnotedebasdep"/>
        </w:rPr>
        <w:footnoteReference w:id="45"/>
      </w:r>
      <w:r w:rsidRPr="00C8701B">
        <w:rPr>
          <w:rFonts w:eastAsia="Arial Unicode MS"/>
          <w:bCs/>
          <w:lang w:eastAsia="fr-FR" w:bidi="he-IL"/>
        </w:rPr>
        <w:t>. Le grand évêque d</w:t>
      </w:r>
      <w:r w:rsidR="00557DE0">
        <w:rPr>
          <w:rFonts w:eastAsia="Arial Unicode MS"/>
          <w:bCs/>
          <w:lang w:eastAsia="fr-FR" w:bidi="he-IL"/>
        </w:rPr>
        <w:t>’</w:t>
      </w:r>
      <w:r w:rsidRPr="00C8701B">
        <w:rPr>
          <w:rFonts w:eastAsia="Arial Unicode MS"/>
          <w:bCs/>
          <w:lang w:eastAsia="fr-FR" w:bidi="he-IL"/>
        </w:rPr>
        <w:t>Hippone l</w:t>
      </w:r>
      <w:r w:rsidR="00557DE0">
        <w:rPr>
          <w:rFonts w:eastAsia="Arial Unicode MS"/>
          <w:bCs/>
          <w:lang w:eastAsia="fr-FR" w:bidi="he-IL"/>
        </w:rPr>
        <w:t>’</w:t>
      </w:r>
      <w:r w:rsidRPr="00C8701B">
        <w:rPr>
          <w:rFonts w:eastAsia="Arial Unicode MS"/>
          <w:bCs/>
          <w:lang w:eastAsia="fr-FR" w:bidi="he-IL"/>
        </w:rPr>
        <w:t xml:space="preserve">oppose directement à celui de S. Irénée. </w:t>
      </w:r>
      <w:r w:rsidR="00C2602D" w:rsidRPr="00C8701B">
        <w:rPr>
          <w:rFonts w:eastAsia="Arial Unicode MS"/>
          <w:bCs/>
          <w:lang w:eastAsia="fr-FR" w:bidi="he-IL"/>
        </w:rPr>
        <w:t>« </w:t>
      </w:r>
      <w:r w:rsidRPr="00C8701B">
        <w:rPr>
          <w:rFonts w:eastAsia="Arial Unicode MS"/>
          <w:bCs/>
          <w:lang w:eastAsia="fr-FR" w:bidi="he-IL"/>
        </w:rPr>
        <w:t xml:space="preserve">Mihi </w:t>
      </w:r>
      <w:r w:rsidR="00C21120" w:rsidRPr="00C8701B">
        <w:rPr>
          <w:rFonts w:eastAsia="Arial Unicode MS"/>
          <w:bCs/>
          <w:lang w:eastAsia="fr-FR" w:bidi="he-IL"/>
        </w:rPr>
        <w:t>vid</w:t>
      </w:r>
      <w:r w:rsidR="00C21120">
        <w:rPr>
          <w:rFonts w:eastAsia="Arial Unicode MS"/>
          <w:bCs/>
          <w:lang w:eastAsia="fr-FR" w:bidi="he-IL"/>
        </w:rPr>
        <w:t>é</w:t>
      </w:r>
      <w:r w:rsidR="00C21120" w:rsidRPr="00C8701B">
        <w:rPr>
          <w:rFonts w:eastAsia="Arial Unicode MS"/>
          <w:bCs/>
          <w:lang w:eastAsia="fr-FR" w:bidi="he-IL"/>
        </w:rPr>
        <w:t>ntur</w:t>
      </w:r>
      <w:r w:rsidRPr="00C8701B">
        <w:rPr>
          <w:rFonts w:eastAsia="Arial Unicode MS"/>
          <w:bCs/>
          <w:lang w:eastAsia="fr-FR" w:bidi="he-IL"/>
        </w:rPr>
        <w:t xml:space="preserve"> qui ex </w:t>
      </w:r>
      <w:r w:rsidR="00473B23" w:rsidRPr="00C8701B">
        <w:rPr>
          <w:rFonts w:eastAsia="Arial Unicode MS"/>
          <w:bCs/>
          <w:lang w:eastAsia="fr-FR" w:bidi="he-IL"/>
        </w:rPr>
        <w:t>Apocalýpsi</w:t>
      </w:r>
      <w:r w:rsidRPr="00C8701B">
        <w:rPr>
          <w:rFonts w:eastAsia="Arial Unicode MS"/>
          <w:bCs/>
          <w:lang w:eastAsia="fr-FR" w:bidi="he-IL"/>
        </w:rPr>
        <w:t xml:space="preserve"> illa </w:t>
      </w:r>
      <w:r w:rsidR="00E939E7">
        <w:rPr>
          <w:rFonts w:eastAsia="Arial Unicode MS"/>
          <w:bCs/>
          <w:lang w:eastAsia="fr-FR" w:bidi="he-IL"/>
        </w:rPr>
        <w:t>quátuor</w:t>
      </w:r>
      <w:r w:rsidRPr="00C8701B">
        <w:rPr>
          <w:rFonts w:eastAsia="Arial Unicode MS"/>
          <w:bCs/>
          <w:lang w:eastAsia="fr-FR" w:bidi="he-IL"/>
        </w:rPr>
        <w:t xml:space="preserve"> </w:t>
      </w:r>
      <w:r w:rsidR="00473B23" w:rsidRPr="00C8701B">
        <w:rPr>
          <w:rFonts w:eastAsia="Arial Unicode MS"/>
          <w:bCs/>
          <w:lang w:eastAsia="fr-FR" w:bidi="he-IL"/>
        </w:rPr>
        <w:t>animália</w:t>
      </w:r>
      <w:r w:rsidRPr="00C8701B">
        <w:rPr>
          <w:rFonts w:eastAsia="Arial Unicode MS"/>
          <w:bCs/>
          <w:lang w:eastAsia="fr-FR" w:bidi="he-IL"/>
        </w:rPr>
        <w:t xml:space="preserve"> ad intel</w:t>
      </w:r>
      <w:r w:rsidR="00E939E7" w:rsidRPr="00C8701B">
        <w:rPr>
          <w:rFonts w:eastAsia="Arial Unicode MS"/>
          <w:bCs/>
          <w:lang w:eastAsia="fr-FR" w:bidi="he-IL"/>
        </w:rPr>
        <w:t>lig</w:t>
      </w:r>
      <w:r w:rsidR="00E939E7">
        <w:rPr>
          <w:rFonts w:eastAsia="Arial Unicode MS"/>
          <w:bCs/>
          <w:lang w:eastAsia="fr-FR" w:bidi="he-IL"/>
        </w:rPr>
        <w:t>é</w:t>
      </w:r>
      <w:r w:rsidR="00E939E7" w:rsidRPr="00C8701B">
        <w:rPr>
          <w:rFonts w:eastAsia="Arial Unicode MS"/>
          <w:bCs/>
          <w:lang w:eastAsia="fr-FR" w:bidi="he-IL"/>
        </w:rPr>
        <w:t>ndos</w:t>
      </w:r>
      <w:r w:rsidRPr="00C8701B">
        <w:rPr>
          <w:rFonts w:eastAsia="Arial Unicode MS"/>
          <w:bCs/>
          <w:lang w:eastAsia="fr-FR" w:bidi="he-IL"/>
        </w:rPr>
        <w:t xml:space="preserve"> </w:t>
      </w:r>
      <w:r w:rsidR="00E939E7">
        <w:rPr>
          <w:rFonts w:eastAsia="Arial Unicode MS"/>
          <w:bCs/>
          <w:lang w:eastAsia="fr-FR" w:bidi="he-IL"/>
        </w:rPr>
        <w:t>quátuor</w:t>
      </w:r>
      <w:r w:rsidRPr="00C8701B">
        <w:rPr>
          <w:rFonts w:eastAsia="Arial Unicode MS"/>
          <w:bCs/>
          <w:lang w:eastAsia="fr-FR" w:bidi="he-IL"/>
        </w:rPr>
        <w:t xml:space="preserve"> </w:t>
      </w:r>
      <w:r w:rsidR="00473B23" w:rsidRPr="00C8701B">
        <w:rPr>
          <w:rFonts w:eastAsia="Arial Unicode MS"/>
          <w:bCs/>
          <w:lang w:eastAsia="fr-FR" w:bidi="he-IL"/>
        </w:rPr>
        <w:t>evangelístas</w:t>
      </w:r>
      <w:r w:rsidR="00473B23">
        <w:rPr>
          <w:rFonts w:eastAsia="Arial Unicode MS"/>
          <w:bCs/>
          <w:lang w:eastAsia="fr-FR" w:bidi="he-IL"/>
        </w:rPr>
        <w:t xml:space="preserve"> interpretá</w:t>
      </w:r>
      <w:r w:rsidRPr="00C8701B">
        <w:rPr>
          <w:rFonts w:eastAsia="Arial Unicode MS"/>
          <w:bCs/>
          <w:lang w:eastAsia="fr-FR" w:bidi="he-IL"/>
        </w:rPr>
        <w:t>ti sunt</w:t>
      </w:r>
      <w:r w:rsidR="00E65435">
        <w:rPr>
          <w:rFonts w:eastAsia="Arial Unicode MS"/>
          <w:bCs/>
          <w:lang w:eastAsia="fr-FR" w:bidi="he-IL"/>
        </w:rPr>
        <w:t xml:space="preserve">, </w:t>
      </w:r>
      <w:r w:rsidRPr="00C8701B">
        <w:rPr>
          <w:rFonts w:eastAsia="Arial Unicode MS"/>
          <w:bCs/>
          <w:lang w:eastAsia="fr-FR" w:bidi="he-IL"/>
        </w:rPr>
        <w:t>probab</w:t>
      </w:r>
      <w:r w:rsidR="00C21120">
        <w:rPr>
          <w:rFonts w:eastAsia="Arial Unicode MS"/>
          <w:bCs/>
          <w:lang w:eastAsia="fr-FR" w:bidi="he-IL"/>
        </w:rPr>
        <w:t>íli</w:t>
      </w:r>
      <w:r w:rsidR="00C21120" w:rsidRPr="00C8701B">
        <w:rPr>
          <w:rFonts w:eastAsia="Arial Unicode MS"/>
          <w:bCs/>
          <w:lang w:eastAsia="fr-FR" w:bidi="he-IL"/>
        </w:rPr>
        <w:t>us</w:t>
      </w:r>
      <w:r w:rsidRPr="00C8701B">
        <w:rPr>
          <w:rFonts w:eastAsia="Arial Unicode MS"/>
          <w:bCs/>
          <w:lang w:eastAsia="fr-FR" w:bidi="he-IL"/>
        </w:rPr>
        <w:t xml:space="preserve"> </w:t>
      </w:r>
      <w:r w:rsidR="00473B23" w:rsidRPr="00C8701B">
        <w:rPr>
          <w:rFonts w:eastAsia="Arial Unicode MS"/>
          <w:bCs/>
          <w:lang w:eastAsia="fr-FR" w:bidi="he-IL"/>
        </w:rPr>
        <w:t>áliquid</w:t>
      </w:r>
      <w:r w:rsidRPr="00C8701B">
        <w:rPr>
          <w:rFonts w:eastAsia="Arial Unicode MS"/>
          <w:bCs/>
          <w:lang w:eastAsia="fr-FR" w:bidi="he-IL"/>
        </w:rPr>
        <w:t xml:space="preserve"> </w:t>
      </w:r>
      <w:r w:rsidR="00473B23" w:rsidRPr="00C8701B">
        <w:rPr>
          <w:rFonts w:eastAsia="Arial Unicode MS"/>
          <w:bCs/>
          <w:lang w:eastAsia="fr-FR" w:bidi="he-IL"/>
        </w:rPr>
        <w:t>attigísse</w:t>
      </w:r>
      <w:r w:rsidRPr="00C8701B">
        <w:rPr>
          <w:rFonts w:eastAsia="Arial Unicode MS"/>
          <w:bCs/>
          <w:lang w:eastAsia="fr-FR" w:bidi="he-IL"/>
        </w:rPr>
        <w:t xml:space="preserve"> illi qui </w:t>
      </w:r>
      <w:r w:rsidR="00473B23" w:rsidRPr="00C8701B">
        <w:rPr>
          <w:rFonts w:eastAsia="Arial Unicode MS"/>
          <w:bCs/>
          <w:lang w:eastAsia="fr-FR" w:bidi="he-IL"/>
        </w:rPr>
        <w:t>leónem</w:t>
      </w:r>
      <w:r w:rsidRPr="00C8701B">
        <w:rPr>
          <w:rFonts w:eastAsia="Arial Unicode MS"/>
          <w:bCs/>
          <w:lang w:eastAsia="fr-FR" w:bidi="he-IL"/>
        </w:rPr>
        <w:t xml:space="preserve"> in </w:t>
      </w:r>
      <w:r w:rsidR="00473B23" w:rsidRPr="00C8701B">
        <w:rPr>
          <w:rFonts w:eastAsia="Arial Unicode MS"/>
          <w:bCs/>
          <w:lang w:eastAsia="fr-FR" w:bidi="he-IL"/>
        </w:rPr>
        <w:t>Matth</w:t>
      </w:r>
      <w:r w:rsidR="00473B23">
        <w:rPr>
          <w:rFonts w:eastAsia="Arial Unicode MS"/>
          <w:bCs/>
          <w:lang w:eastAsia="fr-FR" w:bidi="he-IL"/>
        </w:rPr>
        <w:t>ǽo</w:t>
      </w:r>
      <w:r w:rsidR="00E65435">
        <w:rPr>
          <w:rFonts w:eastAsia="Arial Unicode MS"/>
          <w:bCs/>
          <w:lang w:eastAsia="fr-FR" w:bidi="he-IL"/>
        </w:rPr>
        <w:t xml:space="preserve">, </w:t>
      </w:r>
      <w:r w:rsidR="00C87A2B">
        <w:rPr>
          <w:rFonts w:eastAsia="Arial Unicode MS"/>
          <w:bCs/>
          <w:lang w:eastAsia="fr-FR" w:bidi="he-IL"/>
        </w:rPr>
        <w:t>hóminem</w:t>
      </w:r>
      <w:r w:rsidRPr="00C8701B">
        <w:rPr>
          <w:rFonts w:eastAsia="Arial Unicode MS"/>
          <w:bCs/>
          <w:lang w:eastAsia="fr-FR" w:bidi="he-IL"/>
        </w:rPr>
        <w:t xml:space="preserve"> in Marco</w:t>
      </w:r>
      <w:r w:rsidR="00E65435">
        <w:rPr>
          <w:rFonts w:eastAsia="Arial Unicode MS"/>
          <w:bCs/>
          <w:lang w:eastAsia="fr-FR" w:bidi="he-IL"/>
        </w:rPr>
        <w:t xml:space="preserve">, </w:t>
      </w:r>
      <w:r w:rsidR="00473B23" w:rsidRPr="00C8701B">
        <w:rPr>
          <w:rFonts w:eastAsia="Arial Unicode MS"/>
          <w:bCs/>
          <w:lang w:eastAsia="fr-FR" w:bidi="he-IL"/>
        </w:rPr>
        <w:t>vítulum</w:t>
      </w:r>
      <w:r w:rsidRPr="00C8701B">
        <w:rPr>
          <w:rFonts w:eastAsia="Arial Unicode MS"/>
          <w:bCs/>
          <w:lang w:eastAsia="fr-FR" w:bidi="he-IL"/>
        </w:rPr>
        <w:t xml:space="preserve"> in Luca</w:t>
      </w:r>
      <w:r w:rsidR="00E65435">
        <w:rPr>
          <w:rFonts w:eastAsia="Arial Unicode MS"/>
          <w:bCs/>
          <w:lang w:eastAsia="fr-FR" w:bidi="he-IL"/>
        </w:rPr>
        <w:t xml:space="preserve">, </w:t>
      </w:r>
      <w:r w:rsidR="00473B23" w:rsidRPr="00C8701B">
        <w:rPr>
          <w:rFonts w:eastAsia="Arial Unicode MS"/>
          <w:bCs/>
          <w:lang w:eastAsia="fr-FR" w:bidi="he-IL"/>
        </w:rPr>
        <w:t>áquilam</w:t>
      </w:r>
      <w:r w:rsidRPr="00C8701B">
        <w:rPr>
          <w:rFonts w:eastAsia="Arial Unicode MS"/>
          <w:bCs/>
          <w:lang w:eastAsia="fr-FR" w:bidi="he-IL"/>
        </w:rPr>
        <w:t xml:space="preserve"> in </w:t>
      </w:r>
      <w:r w:rsidR="00B771C3">
        <w:rPr>
          <w:rFonts w:eastAsia="Arial Unicode MS"/>
          <w:bCs/>
          <w:lang w:eastAsia="fr-FR" w:bidi="he-IL"/>
        </w:rPr>
        <w:t>Joánne</w:t>
      </w:r>
      <w:r w:rsidRPr="00C8701B">
        <w:rPr>
          <w:rFonts w:eastAsia="Arial Unicode MS"/>
          <w:bCs/>
          <w:lang w:eastAsia="fr-FR" w:bidi="he-IL"/>
        </w:rPr>
        <w:t xml:space="preserve"> intel</w:t>
      </w:r>
      <w:r w:rsidR="00473B23" w:rsidRPr="00C8701B">
        <w:rPr>
          <w:rFonts w:eastAsia="Arial Unicode MS"/>
          <w:bCs/>
          <w:lang w:eastAsia="fr-FR" w:bidi="he-IL"/>
        </w:rPr>
        <w:t>lex</w:t>
      </w:r>
      <w:r w:rsidR="00473B23">
        <w:rPr>
          <w:rFonts w:eastAsia="Arial Unicode MS"/>
          <w:bCs/>
          <w:lang w:eastAsia="fr-FR" w:bidi="he-IL"/>
        </w:rPr>
        <w:t>érunt</w:t>
      </w:r>
      <w:r w:rsidR="00E65435">
        <w:rPr>
          <w:rFonts w:eastAsia="Arial Unicode MS"/>
          <w:bCs/>
          <w:lang w:eastAsia="fr-FR" w:bidi="he-IL"/>
        </w:rPr>
        <w:t xml:space="preserve">, </w:t>
      </w:r>
      <w:r w:rsidRPr="00C8701B">
        <w:rPr>
          <w:rFonts w:eastAsia="Arial Unicode MS"/>
          <w:bCs/>
          <w:lang w:eastAsia="fr-FR" w:bidi="he-IL"/>
        </w:rPr>
        <w:t xml:space="preserve">quam </w:t>
      </w:r>
      <w:r w:rsidR="00473B23">
        <w:rPr>
          <w:rFonts w:eastAsia="Arial Unicode MS"/>
          <w:bCs/>
          <w:lang w:eastAsia="fr-FR" w:bidi="he-IL"/>
        </w:rPr>
        <w:t>ill</w:t>
      </w:r>
      <w:r w:rsidR="00473B23" w:rsidRPr="00C8701B">
        <w:rPr>
          <w:rFonts w:eastAsia="Arial Unicode MS"/>
          <w:bCs/>
          <w:lang w:eastAsia="fr-FR" w:bidi="he-IL"/>
        </w:rPr>
        <w:t>i</w:t>
      </w:r>
      <w:r w:rsidRPr="00C8701B">
        <w:rPr>
          <w:rFonts w:eastAsia="Arial Unicode MS"/>
          <w:bCs/>
          <w:lang w:eastAsia="fr-FR" w:bidi="he-IL"/>
        </w:rPr>
        <w:t xml:space="preserve"> qui </w:t>
      </w:r>
      <w:r w:rsidR="00C87A2B">
        <w:rPr>
          <w:rFonts w:eastAsia="Arial Unicode MS"/>
          <w:bCs/>
          <w:lang w:eastAsia="fr-FR" w:bidi="he-IL"/>
        </w:rPr>
        <w:t>hóminem</w:t>
      </w:r>
      <w:r w:rsidRPr="00C8701B">
        <w:rPr>
          <w:rFonts w:eastAsia="Arial Unicode MS"/>
          <w:bCs/>
          <w:lang w:eastAsia="fr-FR" w:bidi="he-IL"/>
        </w:rPr>
        <w:t xml:space="preserve"> </w:t>
      </w:r>
      <w:r w:rsidR="00473B23" w:rsidRPr="00C8701B">
        <w:rPr>
          <w:rFonts w:eastAsia="Arial Unicode MS"/>
          <w:bCs/>
          <w:lang w:eastAsia="fr-FR" w:bidi="he-IL"/>
        </w:rPr>
        <w:t>Matth</w:t>
      </w:r>
      <w:r w:rsidR="00473B23">
        <w:rPr>
          <w:rFonts w:eastAsia="Arial Unicode MS"/>
          <w:bCs/>
          <w:lang w:eastAsia="fr-FR" w:bidi="he-IL"/>
        </w:rPr>
        <w:t>ǽo</w:t>
      </w:r>
      <w:r w:rsidR="00E65435">
        <w:rPr>
          <w:rFonts w:eastAsia="Arial Unicode MS"/>
          <w:bCs/>
          <w:lang w:eastAsia="fr-FR" w:bidi="he-IL"/>
        </w:rPr>
        <w:t xml:space="preserve">, </w:t>
      </w:r>
      <w:r w:rsidR="00473B23" w:rsidRPr="00C8701B">
        <w:rPr>
          <w:rFonts w:eastAsia="Arial Unicode MS"/>
          <w:bCs/>
          <w:lang w:eastAsia="fr-FR" w:bidi="he-IL"/>
        </w:rPr>
        <w:t>áquilam</w:t>
      </w:r>
      <w:r w:rsidRPr="00C8701B">
        <w:rPr>
          <w:rFonts w:eastAsia="Arial Unicode MS"/>
          <w:bCs/>
          <w:lang w:eastAsia="fr-FR" w:bidi="he-IL"/>
        </w:rPr>
        <w:t xml:space="preserve"> Marco</w:t>
      </w:r>
      <w:r w:rsidR="00E65435">
        <w:rPr>
          <w:rFonts w:eastAsia="Arial Unicode MS"/>
          <w:bCs/>
          <w:lang w:eastAsia="fr-FR" w:bidi="he-IL"/>
        </w:rPr>
        <w:t xml:space="preserve">, </w:t>
      </w:r>
      <w:r w:rsidR="00473B23" w:rsidRPr="00C8701B">
        <w:rPr>
          <w:rFonts w:eastAsia="Arial Unicode MS"/>
          <w:bCs/>
          <w:lang w:eastAsia="fr-FR" w:bidi="he-IL"/>
        </w:rPr>
        <w:t>l</w:t>
      </w:r>
      <w:r w:rsidR="00473B23">
        <w:rPr>
          <w:rFonts w:eastAsia="Arial Unicode MS"/>
          <w:bCs/>
          <w:lang w:eastAsia="fr-FR" w:bidi="he-IL"/>
        </w:rPr>
        <w:t>eónem Joánni attribuérunt</w:t>
      </w:r>
      <w:r w:rsidR="003A68DB">
        <w:rPr>
          <w:rFonts w:eastAsia="Arial Unicode MS"/>
          <w:bCs/>
          <w:lang w:eastAsia="fr-FR" w:bidi="he-IL"/>
        </w:rPr>
        <w:t> </w:t>
      </w:r>
      <w:r w:rsidR="003A68DB" w:rsidRPr="00C406FF">
        <w:rPr>
          <w:rStyle w:val="Appelnotedebasdep"/>
        </w:rPr>
        <w:footnoteReference w:id="46"/>
      </w:r>
      <w:r w:rsidR="00473B23">
        <w:rPr>
          <w:rFonts w:eastAsia="Arial Unicode MS"/>
          <w:bCs/>
          <w:lang w:eastAsia="fr-FR" w:bidi="he-IL"/>
        </w:rPr>
        <w:t>. »</w:t>
      </w:r>
      <w:r w:rsidR="00C2602D" w:rsidRPr="00C8701B">
        <w:rPr>
          <w:rFonts w:eastAsia="Arial Unicode MS"/>
          <w:bCs/>
          <w:lang w:eastAsia="fr-FR" w:bidi="he-IL"/>
        </w:rPr>
        <w:t xml:space="preserve"> </w:t>
      </w:r>
    </w:p>
    <w:p w:rsidR="00C2602D" w:rsidRPr="00C8701B" w:rsidRDefault="00B704AD" w:rsidP="00473B23">
      <w:pPr>
        <w:rPr>
          <w:rFonts w:eastAsia="Arial Unicode MS"/>
          <w:bCs/>
          <w:lang w:eastAsia="fr-FR" w:bidi="he-IL"/>
        </w:rPr>
      </w:pPr>
      <w:r w:rsidRPr="00C8701B">
        <w:rPr>
          <w:rFonts w:eastAsia="Arial Unicode MS"/>
          <w:bCs/>
          <w:lang w:eastAsia="fr-FR" w:bidi="he-IL"/>
        </w:rPr>
        <w:t>Le troisième</w:t>
      </w:r>
      <w:r w:rsidR="00E65435">
        <w:rPr>
          <w:rFonts w:eastAsia="Arial Unicode MS"/>
          <w:bCs/>
          <w:lang w:eastAsia="fr-FR" w:bidi="he-IL"/>
        </w:rPr>
        <w:t xml:space="preserve">, </w:t>
      </w:r>
      <w:r w:rsidRPr="00C8701B">
        <w:rPr>
          <w:rFonts w:eastAsia="Arial Unicode MS"/>
          <w:bCs/>
          <w:lang w:eastAsia="fr-FR" w:bidi="he-IL"/>
        </w:rPr>
        <w:t>système</w:t>
      </w:r>
      <w:r w:rsidR="00E65435">
        <w:rPr>
          <w:rFonts w:eastAsia="Arial Unicode MS"/>
          <w:bCs/>
          <w:lang w:eastAsia="fr-FR" w:bidi="he-IL"/>
        </w:rPr>
        <w:t xml:space="preserve">, </w:t>
      </w:r>
      <w:r w:rsidRPr="00C8701B">
        <w:rPr>
          <w:rFonts w:eastAsia="Arial Unicode MS"/>
          <w:bCs/>
          <w:lang w:eastAsia="fr-FR" w:bidi="he-IL"/>
        </w:rPr>
        <w:t>dont les principaux partisans parmi les Pères sont</w:t>
      </w:r>
      <w:r w:rsidR="00473B23">
        <w:rPr>
          <w:rFonts w:eastAsia="Arial Unicode MS"/>
          <w:bCs/>
          <w:lang w:eastAsia="fr-FR" w:bidi="he-IL"/>
        </w:rPr>
        <w:t xml:space="preserve"> S</w:t>
      </w:r>
      <w:r w:rsidRPr="00C8701B">
        <w:rPr>
          <w:rFonts w:eastAsia="Arial Unicode MS"/>
          <w:bCs/>
          <w:lang w:eastAsia="fr-FR" w:bidi="he-IL"/>
        </w:rPr>
        <w:t xml:space="preserve">. </w:t>
      </w:r>
      <w:r w:rsidR="00473B23" w:rsidRPr="00C8701B">
        <w:rPr>
          <w:rFonts w:eastAsia="Arial Unicode MS"/>
          <w:bCs/>
          <w:lang w:eastAsia="fr-FR" w:bidi="he-IL"/>
        </w:rPr>
        <w:t>Ambroise</w:t>
      </w:r>
      <w:r w:rsidR="003A68DB">
        <w:rPr>
          <w:rFonts w:eastAsia="Arial Unicode MS"/>
          <w:bCs/>
          <w:lang w:eastAsia="fr-FR" w:bidi="he-IL"/>
        </w:rPr>
        <w:t> </w:t>
      </w:r>
      <w:r w:rsidR="003A68DB" w:rsidRPr="00C406FF">
        <w:rPr>
          <w:rStyle w:val="Appelnotedebasdep"/>
        </w:rPr>
        <w:footnoteReference w:id="47"/>
      </w:r>
      <w:r w:rsidR="00E65435">
        <w:rPr>
          <w:rFonts w:eastAsia="Arial Unicode MS"/>
          <w:bCs/>
          <w:lang w:eastAsia="fr-FR" w:bidi="he-IL"/>
        </w:rPr>
        <w:t xml:space="preserve">, </w:t>
      </w:r>
      <w:r w:rsidRPr="00C8701B">
        <w:rPr>
          <w:rFonts w:eastAsia="Arial Unicode MS"/>
          <w:bCs/>
          <w:lang w:eastAsia="fr-FR" w:bidi="he-IL"/>
        </w:rPr>
        <w:t>S. Jérôme</w:t>
      </w:r>
      <w:r w:rsidR="00E65435">
        <w:rPr>
          <w:rFonts w:eastAsia="Arial Unicode MS"/>
          <w:bCs/>
          <w:lang w:eastAsia="fr-FR" w:bidi="he-IL"/>
        </w:rPr>
        <w:t xml:space="preserve">, </w:t>
      </w:r>
      <w:r w:rsidRPr="00C8701B">
        <w:rPr>
          <w:rFonts w:eastAsia="Arial Unicode MS"/>
          <w:bCs/>
          <w:lang w:eastAsia="fr-FR" w:bidi="he-IL"/>
        </w:rPr>
        <w:t>S. Grégoire le Grand</w:t>
      </w:r>
      <w:r w:rsidR="005726A8">
        <w:rPr>
          <w:rFonts w:eastAsia="Arial Unicode MS"/>
          <w:bCs/>
          <w:lang w:eastAsia="fr-FR" w:bidi="he-IL"/>
        </w:rPr>
        <w:t xml:space="preserve"> </w:t>
      </w:r>
      <w:r w:rsidR="003A68DB" w:rsidRPr="00C406FF">
        <w:rPr>
          <w:rStyle w:val="Appelnotedebasdep"/>
        </w:rPr>
        <w:footnoteReference w:id="48"/>
      </w:r>
      <w:r w:rsidRPr="00C8701B">
        <w:rPr>
          <w:rFonts w:eastAsia="Arial Unicode MS"/>
          <w:bCs/>
          <w:lang w:eastAsia="fr-FR" w:bidi="he-IL"/>
        </w:rPr>
        <w:t>(5)</w:t>
      </w:r>
      <w:r w:rsidR="00E65435">
        <w:rPr>
          <w:rFonts w:eastAsia="Arial Unicode MS"/>
          <w:bCs/>
          <w:lang w:eastAsia="fr-FR" w:bidi="he-IL"/>
        </w:rPr>
        <w:t xml:space="preserve">, </w:t>
      </w:r>
      <w:r w:rsidRPr="00C8701B">
        <w:rPr>
          <w:rFonts w:eastAsia="Arial Unicode MS"/>
          <w:bCs/>
          <w:lang w:eastAsia="fr-FR" w:bidi="he-IL"/>
        </w:rPr>
        <w:t>ne tarda pas à supplanter les deux autres</w:t>
      </w:r>
      <w:r w:rsidR="00E65435">
        <w:rPr>
          <w:rFonts w:eastAsia="Arial Unicode MS"/>
          <w:bCs/>
          <w:lang w:eastAsia="fr-FR" w:bidi="he-IL"/>
        </w:rPr>
        <w:t xml:space="preserve">, </w:t>
      </w:r>
      <w:r w:rsidRPr="00C8701B">
        <w:rPr>
          <w:rFonts w:eastAsia="Arial Unicode MS"/>
          <w:bCs/>
          <w:lang w:eastAsia="fr-FR" w:bidi="he-IL"/>
        </w:rPr>
        <w:t>et il est devenu traditionnel dans l</w:t>
      </w:r>
      <w:r w:rsidR="00557DE0">
        <w:rPr>
          <w:rFonts w:eastAsia="Arial Unicode MS"/>
          <w:bCs/>
          <w:lang w:eastAsia="fr-FR" w:bidi="he-IL"/>
        </w:rPr>
        <w:t>’</w:t>
      </w:r>
      <w:r w:rsidR="00C8701B">
        <w:rPr>
          <w:rFonts w:eastAsia="Arial Unicode MS"/>
          <w:bCs/>
          <w:lang w:eastAsia="fr-FR" w:bidi="he-IL"/>
        </w:rPr>
        <w:t>Église</w:t>
      </w:r>
      <w:r w:rsidRPr="00C8701B">
        <w:rPr>
          <w:rFonts w:eastAsia="Arial Unicode MS"/>
          <w:bCs/>
          <w:lang w:eastAsia="fr-FR" w:bidi="he-IL"/>
        </w:rPr>
        <w:t xml:space="preserve"> latine. Voici en quels termes il est exposé</w:t>
      </w:r>
      <w:r w:rsidRPr="00473B23">
        <w:t xml:space="preserve"> par S. Jérôme</w:t>
      </w:r>
      <w:r w:rsidR="003A68DB">
        <w:t> </w:t>
      </w:r>
      <w:r w:rsidR="003A68DB" w:rsidRPr="00C406FF">
        <w:rPr>
          <w:rStyle w:val="Appelnotedebasdep"/>
        </w:rPr>
        <w:footnoteReference w:id="49"/>
      </w:r>
      <w:r w:rsidR="00E65435" w:rsidRPr="00473B23">
        <w:t xml:space="preserve">, </w:t>
      </w:r>
      <w:r w:rsidRPr="00473B23">
        <w:t>qui</w:t>
      </w:r>
      <w:r w:rsidR="00E65435" w:rsidRPr="00473B23">
        <w:t xml:space="preserve">, </w:t>
      </w:r>
      <w:r w:rsidRPr="00473B23">
        <w:t>à l</w:t>
      </w:r>
      <w:r w:rsidR="00557DE0">
        <w:t>’</w:t>
      </w:r>
      <w:r w:rsidRPr="00473B23">
        <w:t>application</w:t>
      </w:r>
      <w:r w:rsidR="00E65435" w:rsidRPr="00473B23">
        <w:t xml:space="preserve">, </w:t>
      </w:r>
      <w:r w:rsidRPr="00473B23">
        <w:t>ajoute aussi les motifs qui ont déterminé son choi</w:t>
      </w:r>
      <w:r w:rsidRPr="00C8701B">
        <w:rPr>
          <w:rFonts w:eastAsia="Arial Unicode MS"/>
          <w:bCs/>
          <w:lang w:eastAsia="fr-FR" w:bidi="he-IL"/>
        </w:rPr>
        <w:t>x.</w:t>
      </w:r>
      <w:r w:rsidR="00CE11E9">
        <w:rPr>
          <w:rFonts w:eastAsia="Arial Unicode MS"/>
          <w:bCs/>
          <w:lang w:eastAsia="fr-FR" w:bidi="he-IL"/>
        </w:rPr>
        <w:t xml:space="preserve"> </w:t>
      </w:r>
      <w:r w:rsidR="00F12048" w:rsidRPr="00C8701B">
        <w:rPr>
          <w:rFonts w:eastAsia="Arial Unicode MS"/>
          <w:bCs/>
          <w:lang w:eastAsia="fr-FR" w:bidi="he-IL"/>
        </w:rPr>
        <w:t>« </w:t>
      </w:r>
      <w:r w:rsidR="004E7E47">
        <w:rPr>
          <w:rFonts w:eastAsia="Arial Unicode MS"/>
          <w:bCs/>
          <w:lang w:eastAsia="fr-FR" w:bidi="he-IL"/>
        </w:rPr>
        <w:t>Hæc</w:t>
      </w:r>
      <w:r w:rsidRPr="00C8701B">
        <w:rPr>
          <w:rFonts w:eastAsia="Arial Unicode MS"/>
          <w:bCs/>
          <w:lang w:eastAsia="fr-FR" w:bidi="he-IL"/>
        </w:rPr>
        <w:t xml:space="preserve"> </w:t>
      </w:r>
      <w:r w:rsidR="00E65435">
        <w:rPr>
          <w:rFonts w:eastAsia="Arial Unicode MS"/>
          <w:bCs/>
          <w:lang w:eastAsia="fr-FR" w:bidi="he-IL"/>
        </w:rPr>
        <w:t>ígitur</w:t>
      </w:r>
      <w:r w:rsidRPr="00C8701B">
        <w:rPr>
          <w:rFonts w:eastAsia="Arial Unicode MS"/>
          <w:bCs/>
          <w:lang w:eastAsia="fr-FR" w:bidi="he-IL"/>
        </w:rPr>
        <w:t xml:space="preserve"> </w:t>
      </w:r>
      <w:r w:rsidR="00E939E7">
        <w:rPr>
          <w:rFonts w:eastAsia="Arial Unicode MS"/>
          <w:bCs/>
          <w:lang w:eastAsia="fr-FR" w:bidi="he-IL"/>
        </w:rPr>
        <w:t>quátuor</w:t>
      </w:r>
      <w:r w:rsidR="00473B23">
        <w:rPr>
          <w:rFonts w:eastAsia="Arial Unicode MS"/>
          <w:bCs/>
          <w:lang w:eastAsia="fr-FR" w:bidi="he-IL"/>
        </w:rPr>
        <w:t xml:space="preserve"> </w:t>
      </w:r>
      <w:r w:rsidR="00215CAD">
        <w:rPr>
          <w:rFonts w:eastAsia="Arial Unicode MS"/>
          <w:bCs/>
          <w:lang w:eastAsia="fr-FR" w:bidi="he-IL"/>
        </w:rPr>
        <w:t>evangélia</w:t>
      </w:r>
      <w:r w:rsidR="00473B23">
        <w:rPr>
          <w:rFonts w:eastAsia="Arial Unicode MS"/>
          <w:bCs/>
          <w:lang w:eastAsia="fr-FR" w:bidi="he-IL"/>
        </w:rPr>
        <w:t xml:space="preserve"> multo. an</w:t>
      </w:r>
      <w:r w:rsidRPr="00C8701B">
        <w:rPr>
          <w:rFonts w:eastAsia="Arial Unicode MS"/>
          <w:bCs/>
          <w:lang w:eastAsia="fr-FR" w:bidi="he-IL"/>
        </w:rPr>
        <w:t xml:space="preserve">te </w:t>
      </w:r>
      <w:r w:rsidR="00215CAD">
        <w:rPr>
          <w:rFonts w:eastAsia="Arial Unicode MS"/>
          <w:bCs/>
          <w:lang w:eastAsia="fr-FR" w:bidi="he-IL"/>
        </w:rPr>
        <w:t>præ</w:t>
      </w:r>
      <w:r w:rsidR="00215CAD" w:rsidRPr="00C8701B">
        <w:rPr>
          <w:rFonts w:eastAsia="Arial Unicode MS"/>
          <w:bCs/>
          <w:lang w:eastAsia="fr-FR" w:bidi="he-IL"/>
        </w:rPr>
        <w:t>dícta</w:t>
      </w:r>
      <w:r w:rsidRPr="00C8701B">
        <w:rPr>
          <w:rFonts w:eastAsia="Arial Unicode MS"/>
          <w:bCs/>
          <w:lang w:eastAsia="fr-FR" w:bidi="he-IL"/>
        </w:rPr>
        <w:t xml:space="preserve"> </w:t>
      </w:r>
      <w:r w:rsidR="00215CAD" w:rsidRPr="00C8701B">
        <w:rPr>
          <w:rFonts w:eastAsia="Arial Unicode MS"/>
          <w:bCs/>
          <w:lang w:eastAsia="fr-FR" w:bidi="he-IL"/>
        </w:rPr>
        <w:t>Ezechiélis</w:t>
      </w:r>
      <w:r w:rsidRPr="00C8701B">
        <w:rPr>
          <w:rFonts w:eastAsia="Arial Unicode MS"/>
          <w:bCs/>
          <w:lang w:eastAsia="fr-FR" w:bidi="he-IL"/>
        </w:rPr>
        <w:t xml:space="preserve"> quoque </w:t>
      </w:r>
      <w:r w:rsidR="00215CAD" w:rsidRPr="00C8701B">
        <w:rPr>
          <w:rFonts w:eastAsia="Arial Unicode MS"/>
          <w:bCs/>
          <w:lang w:eastAsia="fr-FR" w:bidi="he-IL"/>
        </w:rPr>
        <w:t>volúmen</w:t>
      </w:r>
      <w:r w:rsidRPr="00C8701B">
        <w:rPr>
          <w:rFonts w:eastAsia="Arial Unicode MS"/>
          <w:bCs/>
          <w:lang w:eastAsia="fr-FR" w:bidi="he-IL"/>
        </w:rPr>
        <w:t xml:space="preserve"> probat</w:t>
      </w:r>
      <w:r w:rsidR="00E65435">
        <w:rPr>
          <w:rFonts w:eastAsia="Arial Unicode MS"/>
          <w:bCs/>
          <w:lang w:eastAsia="fr-FR" w:bidi="he-IL"/>
        </w:rPr>
        <w:t xml:space="preserve">, </w:t>
      </w:r>
      <w:r w:rsidRPr="00C8701B">
        <w:rPr>
          <w:rFonts w:eastAsia="Arial Unicode MS"/>
          <w:bCs/>
          <w:lang w:eastAsia="fr-FR" w:bidi="he-IL"/>
        </w:rPr>
        <w:t xml:space="preserve">in quo prima </w:t>
      </w:r>
      <w:r w:rsidR="00215CAD" w:rsidRPr="00C8701B">
        <w:rPr>
          <w:rFonts w:eastAsia="Arial Unicode MS"/>
          <w:bCs/>
          <w:lang w:eastAsia="fr-FR" w:bidi="he-IL"/>
        </w:rPr>
        <w:t>vísio</w:t>
      </w:r>
      <w:r w:rsidR="00215CAD">
        <w:rPr>
          <w:rFonts w:eastAsia="Arial Unicode MS"/>
          <w:bCs/>
          <w:lang w:eastAsia="fr-FR" w:bidi="he-IL"/>
        </w:rPr>
        <w:t xml:space="preserve"> ita conté</w:t>
      </w:r>
      <w:r w:rsidRPr="00C8701B">
        <w:rPr>
          <w:rFonts w:eastAsia="Arial Unicode MS"/>
          <w:bCs/>
          <w:lang w:eastAsia="fr-FR" w:bidi="he-IL"/>
        </w:rPr>
        <w:t>xitur</w:t>
      </w:r>
      <w:r w:rsidR="00C2602D" w:rsidRPr="00C8701B">
        <w:rPr>
          <w:rFonts w:eastAsia="Arial Unicode MS"/>
          <w:bCs/>
          <w:lang w:eastAsia="fr-FR" w:bidi="he-IL"/>
        </w:rPr>
        <w:t> :</w:t>
      </w:r>
      <w:r w:rsidRPr="00DC4586">
        <w:rPr>
          <w:rStyle w:val="italicus"/>
        </w:rPr>
        <w:t xml:space="preserve"> El in </w:t>
      </w:r>
      <w:r w:rsidR="00473B23">
        <w:rPr>
          <w:rStyle w:val="italicus"/>
        </w:rPr>
        <w:t>médio sicut</w:t>
      </w:r>
      <w:r w:rsidRPr="00DC4586">
        <w:rPr>
          <w:rStyle w:val="italicus"/>
        </w:rPr>
        <w:t xml:space="preserve"> </w:t>
      </w:r>
      <w:r w:rsidR="00215CAD" w:rsidRPr="00DC4586">
        <w:rPr>
          <w:rStyle w:val="italicus"/>
        </w:rPr>
        <w:t>similitúdo</w:t>
      </w:r>
      <w:r w:rsidRPr="00DC4586">
        <w:rPr>
          <w:rStyle w:val="italicus"/>
        </w:rPr>
        <w:t xml:space="preserve"> </w:t>
      </w:r>
      <w:r w:rsidR="00E939E7">
        <w:rPr>
          <w:rStyle w:val="italicus"/>
        </w:rPr>
        <w:t>quátuor</w:t>
      </w:r>
      <w:r w:rsidRPr="00DC4586">
        <w:rPr>
          <w:rStyle w:val="italicus"/>
        </w:rPr>
        <w:t xml:space="preserve"> </w:t>
      </w:r>
      <w:r w:rsidR="00215CAD" w:rsidRPr="00DC4586">
        <w:rPr>
          <w:rStyle w:val="italicus"/>
        </w:rPr>
        <w:t>animálium</w:t>
      </w:r>
      <w:r w:rsidR="00E65435">
        <w:rPr>
          <w:rStyle w:val="italicus"/>
        </w:rPr>
        <w:t xml:space="preserve">, </w:t>
      </w:r>
      <w:r w:rsidR="00473B23">
        <w:rPr>
          <w:rStyle w:val="italicus"/>
        </w:rPr>
        <w:t>et vultus eórum facie</w:t>
      </w:r>
      <w:r w:rsidRPr="00DC4586">
        <w:rPr>
          <w:rStyle w:val="italicus"/>
        </w:rPr>
        <w:t xml:space="preserve">s </w:t>
      </w:r>
      <w:r w:rsidR="00215CAD" w:rsidRPr="00DC4586">
        <w:rPr>
          <w:rStyle w:val="italicus"/>
        </w:rPr>
        <w:t>hóminis</w:t>
      </w:r>
      <w:r w:rsidR="00E65435">
        <w:rPr>
          <w:rStyle w:val="italicus"/>
        </w:rPr>
        <w:t xml:space="preserve">, </w:t>
      </w:r>
      <w:r w:rsidR="00473B23">
        <w:rPr>
          <w:rStyle w:val="italicus"/>
        </w:rPr>
        <w:t>et facie</w:t>
      </w:r>
      <w:r w:rsidRPr="00DC4586">
        <w:rPr>
          <w:rStyle w:val="italicus"/>
        </w:rPr>
        <w:t xml:space="preserve">s </w:t>
      </w:r>
      <w:r w:rsidR="00215CAD" w:rsidRPr="00DC4586">
        <w:rPr>
          <w:rStyle w:val="italicus"/>
        </w:rPr>
        <w:t>leónis</w:t>
      </w:r>
      <w:r w:rsidR="00E65435">
        <w:rPr>
          <w:rStyle w:val="italicus"/>
        </w:rPr>
        <w:t xml:space="preserve">, </w:t>
      </w:r>
      <w:r w:rsidR="00473B23">
        <w:rPr>
          <w:rStyle w:val="italicus"/>
        </w:rPr>
        <w:t>et faci</w:t>
      </w:r>
      <w:r w:rsidRPr="00DC4586">
        <w:rPr>
          <w:rStyle w:val="italicus"/>
        </w:rPr>
        <w:t xml:space="preserve">es </w:t>
      </w:r>
      <w:r w:rsidR="00215CAD" w:rsidRPr="00DC4586">
        <w:rPr>
          <w:rStyle w:val="italicus"/>
        </w:rPr>
        <w:t>vítuli</w:t>
      </w:r>
      <w:r w:rsidR="00E65435">
        <w:rPr>
          <w:rStyle w:val="italicus"/>
        </w:rPr>
        <w:t xml:space="preserve">, </w:t>
      </w:r>
      <w:r w:rsidRPr="00DC4586">
        <w:rPr>
          <w:rStyle w:val="italicus"/>
        </w:rPr>
        <w:t xml:space="preserve">et </w:t>
      </w:r>
      <w:r w:rsidR="00473B23">
        <w:rPr>
          <w:rStyle w:val="italicus"/>
        </w:rPr>
        <w:t>fácies</w:t>
      </w:r>
      <w:r w:rsidRPr="00DC4586">
        <w:rPr>
          <w:rStyle w:val="italicus"/>
        </w:rPr>
        <w:t xml:space="preserve"> </w:t>
      </w:r>
      <w:r w:rsidR="00215CAD" w:rsidRPr="00DC4586">
        <w:rPr>
          <w:rStyle w:val="italicus"/>
        </w:rPr>
        <w:t>áquil</w:t>
      </w:r>
      <w:r w:rsidR="00215CAD">
        <w:rPr>
          <w:rStyle w:val="italicus"/>
        </w:rPr>
        <w:t>æ</w:t>
      </w:r>
      <w:r w:rsidRPr="00DC4586">
        <w:rPr>
          <w:rStyle w:val="italicus"/>
        </w:rPr>
        <w:t>.</w:t>
      </w:r>
      <w:r w:rsidRPr="00C8701B">
        <w:rPr>
          <w:rFonts w:eastAsia="Arial Unicode MS"/>
          <w:bCs/>
          <w:lang w:eastAsia="fr-FR" w:bidi="he-IL"/>
        </w:rPr>
        <w:t xml:space="preserve"> Prima </w:t>
      </w:r>
      <w:r w:rsidR="00215CAD" w:rsidRPr="00C8701B">
        <w:rPr>
          <w:rFonts w:eastAsia="Arial Unicode MS"/>
          <w:bCs/>
          <w:lang w:eastAsia="fr-FR" w:bidi="he-IL"/>
        </w:rPr>
        <w:t>hóminis</w:t>
      </w:r>
      <w:r w:rsidRPr="00C8701B">
        <w:rPr>
          <w:rFonts w:eastAsia="Arial Unicode MS"/>
          <w:bCs/>
          <w:lang w:eastAsia="fr-FR" w:bidi="he-IL"/>
        </w:rPr>
        <w:t xml:space="preserve"> </w:t>
      </w:r>
      <w:r w:rsidR="00473B23">
        <w:rPr>
          <w:rFonts w:eastAsia="Arial Unicode MS"/>
          <w:bCs/>
          <w:lang w:eastAsia="fr-FR" w:bidi="he-IL"/>
        </w:rPr>
        <w:t>fácies</w:t>
      </w:r>
      <w:r w:rsidRPr="00C8701B">
        <w:rPr>
          <w:rFonts w:eastAsia="Arial Unicode MS"/>
          <w:bCs/>
          <w:lang w:eastAsia="fr-FR" w:bidi="he-IL"/>
        </w:rPr>
        <w:t xml:space="preserve"> </w:t>
      </w:r>
      <w:r w:rsidR="00215CAD" w:rsidRPr="00C8701B">
        <w:rPr>
          <w:rFonts w:eastAsia="Arial Unicode MS"/>
          <w:bCs/>
          <w:lang w:eastAsia="fr-FR" w:bidi="he-IL"/>
        </w:rPr>
        <w:t>Matt</w:t>
      </w:r>
      <w:r w:rsidR="00215CAD">
        <w:rPr>
          <w:rFonts w:eastAsia="Arial Unicode MS"/>
          <w:bCs/>
          <w:lang w:eastAsia="fr-FR" w:bidi="he-IL"/>
        </w:rPr>
        <w:t>hǽ</w:t>
      </w:r>
      <w:r w:rsidR="00215CAD" w:rsidRPr="00C8701B">
        <w:rPr>
          <w:rFonts w:eastAsia="Arial Unicode MS"/>
          <w:bCs/>
          <w:lang w:eastAsia="fr-FR" w:bidi="he-IL"/>
        </w:rPr>
        <w:t>um</w:t>
      </w:r>
      <w:r w:rsidR="00215CAD">
        <w:rPr>
          <w:rFonts w:eastAsia="Arial Unicode MS"/>
          <w:bCs/>
          <w:lang w:eastAsia="fr-FR" w:bidi="he-IL"/>
        </w:rPr>
        <w:t xml:space="preserve"> signí</w:t>
      </w:r>
      <w:r w:rsidRPr="00C8701B">
        <w:rPr>
          <w:rFonts w:eastAsia="Arial Unicode MS"/>
          <w:bCs/>
          <w:lang w:eastAsia="fr-FR" w:bidi="he-IL"/>
        </w:rPr>
        <w:t>ficat</w:t>
      </w:r>
      <w:r w:rsidR="00E65435">
        <w:rPr>
          <w:rFonts w:eastAsia="Arial Unicode MS"/>
          <w:bCs/>
          <w:lang w:eastAsia="fr-FR" w:bidi="he-IL"/>
        </w:rPr>
        <w:t xml:space="preserve">, </w:t>
      </w:r>
      <w:r w:rsidRPr="00C8701B">
        <w:rPr>
          <w:rFonts w:eastAsia="Arial Unicode MS"/>
          <w:bCs/>
          <w:lang w:eastAsia="fr-FR" w:bidi="he-IL"/>
        </w:rPr>
        <w:t xml:space="preserve">qui quasi de </w:t>
      </w:r>
      <w:r w:rsidR="00215CAD" w:rsidRPr="00C8701B">
        <w:rPr>
          <w:rFonts w:eastAsia="Arial Unicode MS"/>
          <w:bCs/>
          <w:lang w:eastAsia="fr-FR" w:bidi="he-IL"/>
        </w:rPr>
        <w:t>hómine</w:t>
      </w:r>
      <w:r w:rsidRPr="00C8701B">
        <w:rPr>
          <w:rFonts w:eastAsia="Arial Unicode MS"/>
          <w:bCs/>
          <w:lang w:eastAsia="fr-FR" w:bidi="he-IL"/>
        </w:rPr>
        <w:t xml:space="preserve"> </w:t>
      </w:r>
      <w:r w:rsidR="00215CAD" w:rsidRPr="00C8701B">
        <w:rPr>
          <w:rFonts w:eastAsia="Arial Unicode MS"/>
          <w:bCs/>
          <w:lang w:eastAsia="fr-FR" w:bidi="he-IL"/>
        </w:rPr>
        <w:t>exórsus</w:t>
      </w:r>
      <w:r w:rsidRPr="00C8701B">
        <w:rPr>
          <w:rFonts w:eastAsia="Arial Unicode MS"/>
          <w:bCs/>
          <w:lang w:eastAsia="fr-FR" w:bidi="he-IL"/>
        </w:rPr>
        <w:t xml:space="preserve"> est</w:t>
      </w:r>
      <w:r w:rsidR="00215CAD">
        <w:rPr>
          <w:rFonts w:eastAsia="Arial Unicode MS"/>
          <w:bCs/>
          <w:lang w:eastAsia="fr-FR" w:bidi="he-IL"/>
        </w:rPr>
        <w:t xml:space="preserve"> </w:t>
      </w:r>
      <w:r w:rsidR="00215CAD" w:rsidRPr="00C8701B">
        <w:rPr>
          <w:rFonts w:eastAsia="Arial Unicode MS"/>
          <w:bCs/>
          <w:lang w:eastAsia="fr-FR" w:bidi="he-IL"/>
        </w:rPr>
        <w:t>scríbere</w:t>
      </w:r>
      <w:r w:rsidR="00C2602D" w:rsidRPr="00C8701B">
        <w:rPr>
          <w:rFonts w:eastAsia="Arial Unicode MS"/>
          <w:bCs/>
          <w:lang w:eastAsia="fr-FR" w:bidi="he-IL"/>
        </w:rPr>
        <w:t> :</w:t>
      </w:r>
      <w:r w:rsidRPr="00DC4586">
        <w:rPr>
          <w:rStyle w:val="italicus"/>
        </w:rPr>
        <w:t xml:space="preserve"> Liber generat</w:t>
      </w:r>
      <w:r w:rsidR="000B732C">
        <w:rPr>
          <w:rStyle w:val="italicus"/>
        </w:rPr>
        <w:t>iónis</w:t>
      </w:r>
      <w:r w:rsidRPr="00DC4586">
        <w:rPr>
          <w:rStyle w:val="italicus"/>
        </w:rPr>
        <w:t xml:space="preserve"> Jesu Christi. </w:t>
      </w:r>
      <w:r w:rsidR="00215CAD" w:rsidRPr="00C8701B">
        <w:rPr>
          <w:rFonts w:eastAsia="Arial Unicode MS"/>
          <w:bCs/>
          <w:lang w:eastAsia="fr-FR" w:bidi="he-IL"/>
        </w:rPr>
        <w:t>Secúnda</w:t>
      </w:r>
      <w:r w:rsidRPr="00C8701B">
        <w:rPr>
          <w:rFonts w:eastAsia="Arial Unicode MS"/>
          <w:bCs/>
          <w:lang w:eastAsia="fr-FR" w:bidi="he-IL"/>
        </w:rPr>
        <w:t xml:space="preserve"> Marcum</w:t>
      </w:r>
      <w:r w:rsidR="00E65435">
        <w:rPr>
          <w:rFonts w:eastAsia="Arial Unicode MS"/>
          <w:bCs/>
          <w:lang w:eastAsia="fr-FR" w:bidi="he-IL"/>
        </w:rPr>
        <w:t xml:space="preserve">, </w:t>
      </w:r>
      <w:r w:rsidRPr="00C8701B">
        <w:rPr>
          <w:rFonts w:eastAsia="Arial Unicode MS"/>
          <w:bCs/>
          <w:lang w:eastAsia="fr-FR" w:bidi="he-IL"/>
        </w:rPr>
        <w:t xml:space="preserve">in quo vox </w:t>
      </w:r>
      <w:r w:rsidR="00215CAD" w:rsidRPr="00C8701B">
        <w:rPr>
          <w:rFonts w:eastAsia="Arial Unicode MS"/>
          <w:bCs/>
          <w:lang w:eastAsia="fr-FR" w:bidi="he-IL"/>
        </w:rPr>
        <w:t>leónis</w:t>
      </w:r>
      <w:r w:rsidRPr="00C8701B">
        <w:rPr>
          <w:rFonts w:eastAsia="Arial Unicode MS"/>
          <w:bCs/>
          <w:lang w:eastAsia="fr-FR" w:bidi="he-IL"/>
        </w:rPr>
        <w:t xml:space="preserve"> in </w:t>
      </w:r>
      <w:r w:rsidR="00215CAD" w:rsidRPr="00C8701B">
        <w:rPr>
          <w:rFonts w:eastAsia="Arial Unicode MS"/>
          <w:bCs/>
          <w:lang w:eastAsia="fr-FR" w:bidi="he-IL"/>
        </w:rPr>
        <w:t>erémo</w:t>
      </w:r>
      <w:r w:rsidRPr="00C8701B">
        <w:rPr>
          <w:rFonts w:eastAsia="Arial Unicode MS"/>
          <w:bCs/>
          <w:lang w:eastAsia="fr-FR" w:bidi="he-IL"/>
        </w:rPr>
        <w:t xml:space="preserve"> r</w:t>
      </w:r>
      <w:r w:rsidR="00E939E7" w:rsidRPr="00C8701B">
        <w:rPr>
          <w:rFonts w:eastAsia="Arial Unicode MS"/>
          <w:bCs/>
          <w:lang w:eastAsia="fr-FR" w:bidi="he-IL"/>
        </w:rPr>
        <w:t>ugi</w:t>
      </w:r>
      <w:r w:rsidR="00E939E7">
        <w:rPr>
          <w:rFonts w:eastAsia="Arial Unicode MS"/>
          <w:bCs/>
          <w:lang w:eastAsia="fr-FR" w:bidi="he-IL"/>
        </w:rPr>
        <w:t>é</w:t>
      </w:r>
      <w:r w:rsidR="00E939E7" w:rsidRPr="00C8701B">
        <w:rPr>
          <w:rFonts w:eastAsia="Arial Unicode MS"/>
          <w:bCs/>
          <w:lang w:eastAsia="fr-FR" w:bidi="he-IL"/>
        </w:rPr>
        <w:t>ntis</w:t>
      </w:r>
      <w:r w:rsidRPr="00C8701B">
        <w:rPr>
          <w:rFonts w:eastAsia="Arial Unicode MS"/>
          <w:bCs/>
          <w:lang w:eastAsia="fr-FR" w:bidi="he-IL"/>
        </w:rPr>
        <w:t xml:space="preserve"> </w:t>
      </w:r>
      <w:r w:rsidR="00215CAD" w:rsidRPr="00C8701B">
        <w:rPr>
          <w:rFonts w:eastAsia="Arial Unicode MS"/>
          <w:bCs/>
          <w:lang w:eastAsia="fr-FR" w:bidi="he-IL"/>
        </w:rPr>
        <w:t>audítur</w:t>
      </w:r>
      <w:r w:rsidR="00C2602D" w:rsidRPr="00C8701B">
        <w:rPr>
          <w:rFonts w:eastAsia="Arial Unicode MS"/>
          <w:bCs/>
          <w:lang w:eastAsia="fr-FR" w:bidi="he-IL"/>
        </w:rPr>
        <w:t> :</w:t>
      </w:r>
      <w:r w:rsidR="00215CAD">
        <w:rPr>
          <w:rStyle w:val="italicus"/>
        </w:rPr>
        <w:t xml:space="preserve"> Vox clamánt</w:t>
      </w:r>
      <w:r w:rsidR="00215CAD" w:rsidRPr="00DC4586">
        <w:rPr>
          <w:rStyle w:val="italicus"/>
        </w:rPr>
        <w:t>is</w:t>
      </w:r>
      <w:r w:rsidRPr="00DC4586">
        <w:rPr>
          <w:rStyle w:val="italicus"/>
        </w:rPr>
        <w:t xml:space="preserve"> in </w:t>
      </w:r>
      <w:r w:rsidR="00215CAD" w:rsidRPr="00DC4586">
        <w:rPr>
          <w:rStyle w:val="italicus"/>
        </w:rPr>
        <w:t>desérto</w:t>
      </w:r>
      <w:r w:rsidR="00E65435">
        <w:rPr>
          <w:rStyle w:val="italicus"/>
        </w:rPr>
        <w:t xml:space="preserve">, </w:t>
      </w:r>
      <w:r w:rsidR="00215CAD">
        <w:rPr>
          <w:rStyle w:val="italicus"/>
        </w:rPr>
        <w:t>Paráte vi</w:t>
      </w:r>
      <w:r w:rsidRPr="00DC4586">
        <w:rPr>
          <w:rStyle w:val="italicus"/>
        </w:rPr>
        <w:t>am D</w:t>
      </w:r>
      <w:r w:rsidR="004D031F">
        <w:rPr>
          <w:rStyle w:val="italicus"/>
        </w:rPr>
        <w:t>ómini</w:t>
      </w:r>
      <w:r w:rsidRPr="00DC4586">
        <w:rPr>
          <w:rStyle w:val="italicus"/>
        </w:rPr>
        <w:t>.</w:t>
      </w:r>
      <w:r w:rsidRPr="00C8701B">
        <w:rPr>
          <w:rFonts w:eastAsia="Arial Unicode MS"/>
          <w:bCs/>
          <w:lang w:eastAsia="fr-FR" w:bidi="he-IL"/>
        </w:rPr>
        <w:t xml:space="preserve"> </w:t>
      </w:r>
      <w:r w:rsidR="00215CAD" w:rsidRPr="00C8701B">
        <w:rPr>
          <w:rFonts w:eastAsia="Arial Unicode MS"/>
          <w:bCs/>
          <w:lang w:eastAsia="fr-FR" w:bidi="he-IL"/>
        </w:rPr>
        <w:t>Tértia</w:t>
      </w:r>
      <w:r w:rsidRPr="00C8701B">
        <w:rPr>
          <w:rFonts w:eastAsia="Arial Unicode MS"/>
          <w:bCs/>
          <w:lang w:eastAsia="fr-FR" w:bidi="he-IL"/>
        </w:rPr>
        <w:t xml:space="preserve"> </w:t>
      </w:r>
      <w:r w:rsidR="00215CAD" w:rsidRPr="00C8701B">
        <w:rPr>
          <w:rFonts w:eastAsia="Arial Unicode MS"/>
          <w:bCs/>
          <w:lang w:eastAsia="fr-FR" w:bidi="he-IL"/>
        </w:rPr>
        <w:t>vítuli</w:t>
      </w:r>
      <w:r w:rsidR="00E65435">
        <w:rPr>
          <w:rFonts w:eastAsia="Arial Unicode MS"/>
          <w:bCs/>
          <w:lang w:eastAsia="fr-FR" w:bidi="he-IL"/>
        </w:rPr>
        <w:t xml:space="preserve">, </w:t>
      </w:r>
      <w:r w:rsidR="00215CAD">
        <w:rPr>
          <w:rFonts w:eastAsia="Arial Unicode MS"/>
          <w:bCs/>
          <w:lang w:eastAsia="fr-FR" w:bidi="he-IL"/>
        </w:rPr>
        <w:t>quæ evangelístam Lu</w:t>
      </w:r>
      <w:r w:rsidRPr="00C8701B">
        <w:rPr>
          <w:rFonts w:eastAsia="Arial Unicode MS"/>
          <w:bCs/>
          <w:lang w:eastAsia="fr-FR" w:bidi="he-IL"/>
        </w:rPr>
        <w:t>c</w:t>
      </w:r>
      <w:r w:rsidR="00215CAD">
        <w:rPr>
          <w:rFonts w:eastAsia="Arial Unicode MS"/>
          <w:bCs/>
          <w:lang w:eastAsia="fr-FR" w:bidi="he-IL"/>
        </w:rPr>
        <w:t>am a Zac</w:t>
      </w:r>
      <w:r w:rsidR="00215CAD" w:rsidRPr="00C8701B">
        <w:rPr>
          <w:rFonts w:eastAsia="Arial Unicode MS"/>
          <w:bCs/>
          <w:lang w:eastAsia="fr-FR" w:bidi="he-IL"/>
        </w:rPr>
        <w:t>haría</w:t>
      </w:r>
      <w:r w:rsidRPr="00C8701B">
        <w:rPr>
          <w:rFonts w:eastAsia="Arial Unicode MS"/>
          <w:bCs/>
          <w:lang w:eastAsia="fr-FR" w:bidi="he-IL"/>
        </w:rPr>
        <w:t xml:space="preserve"> </w:t>
      </w:r>
      <w:r w:rsidR="00215CAD" w:rsidRPr="00C8701B">
        <w:rPr>
          <w:rFonts w:eastAsia="Arial Unicode MS"/>
          <w:bCs/>
          <w:lang w:eastAsia="fr-FR" w:bidi="he-IL"/>
        </w:rPr>
        <w:t>sacerdóte</w:t>
      </w:r>
      <w:r w:rsidR="00215CAD">
        <w:rPr>
          <w:rFonts w:eastAsia="Arial Unicode MS"/>
          <w:bCs/>
          <w:lang w:eastAsia="fr-FR" w:bidi="he-IL"/>
        </w:rPr>
        <w:t xml:space="preserve"> s</w:t>
      </w:r>
      <w:r w:rsidR="00215CAD" w:rsidRPr="00C8701B">
        <w:rPr>
          <w:rFonts w:eastAsia="Arial Unicode MS"/>
          <w:bCs/>
          <w:lang w:eastAsia="fr-FR" w:bidi="he-IL"/>
        </w:rPr>
        <w:t>umpsísse</w:t>
      </w:r>
      <w:r w:rsidRPr="00C8701B">
        <w:rPr>
          <w:rFonts w:eastAsia="Arial Unicode MS"/>
          <w:bCs/>
          <w:lang w:eastAsia="fr-FR" w:bidi="he-IL"/>
        </w:rPr>
        <w:t xml:space="preserve"> </w:t>
      </w:r>
      <w:r w:rsidR="00E37C84">
        <w:rPr>
          <w:rFonts w:eastAsia="Arial Unicode MS"/>
          <w:bCs/>
          <w:lang w:eastAsia="fr-FR" w:bidi="he-IL"/>
        </w:rPr>
        <w:t>inítium</w:t>
      </w:r>
      <w:r w:rsidRPr="00C8701B">
        <w:rPr>
          <w:rFonts w:eastAsia="Arial Unicode MS"/>
          <w:bCs/>
          <w:lang w:eastAsia="fr-FR" w:bidi="he-IL"/>
        </w:rPr>
        <w:t xml:space="preserve"> </w:t>
      </w:r>
      <w:r w:rsidR="00215CAD">
        <w:rPr>
          <w:rFonts w:eastAsia="Arial Unicode MS"/>
          <w:bCs/>
          <w:lang w:eastAsia="fr-FR" w:bidi="he-IL"/>
        </w:rPr>
        <w:t>præ</w:t>
      </w:r>
      <w:r w:rsidR="00215CAD" w:rsidRPr="00C8701B">
        <w:rPr>
          <w:rFonts w:eastAsia="Arial Unicode MS"/>
          <w:bCs/>
          <w:lang w:eastAsia="fr-FR" w:bidi="he-IL"/>
        </w:rPr>
        <w:t>f</w:t>
      </w:r>
      <w:r w:rsidR="00215CAD">
        <w:rPr>
          <w:rFonts w:eastAsia="Arial Unicode MS"/>
          <w:bCs/>
          <w:lang w:eastAsia="fr-FR" w:bidi="he-IL"/>
        </w:rPr>
        <w:t>i</w:t>
      </w:r>
      <w:r w:rsidR="00215CAD" w:rsidRPr="00C8701B">
        <w:rPr>
          <w:rFonts w:eastAsia="Arial Unicode MS"/>
          <w:bCs/>
          <w:lang w:eastAsia="fr-FR" w:bidi="he-IL"/>
        </w:rPr>
        <w:t>gúrat</w:t>
      </w:r>
      <w:r w:rsidRPr="00C8701B">
        <w:rPr>
          <w:rFonts w:eastAsia="Arial Unicode MS"/>
          <w:bCs/>
          <w:lang w:eastAsia="fr-FR" w:bidi="he-IL"/>
        </w:rPr>
        <w:t xml:space="preserve">. Quarta </w:t>
      </w:r>
      <w:r w:rsidR="00215CAD" w:rsidRPr="00C8701B">
        <w:rPr>
          <w:rFonts w:eastAsia="Arial Unicode MS"/>
          <w:bCs/>
          <w:lang w:eastAsia="fr-FR" w:bidi="he-IL"/>
        </w:rPr>
        <w:t>Joánnem</w:t>
      </w:r>
      <w:r w:rsidRPr="00C8701B">
        <w:rPr>
          <w:rFonts w:eastAsia="Arial Unicode MS"/>
          <w:bCs/>
          <w:lang w:eastAsia="fr-FR" w:bidi="he-IL"/>
        </w:rPr>
        <w:t xml:space="preserve"> </w:t>
      </w:r>
      <w:r w:rsidR="00215CAD" w:rsidRPr="00C8701B">
        <w:rPr>
          <w:rFonts w:eastAsia="Arial Unicode MS"/>
          <w:bCs/>
          <w:lang w:eastAsia="fr-FR" w:bidi="he-IL"/>
        </w:rPr>
        <w:t>evangelístam</w:t>
      </w:r>
      <w:r w:rsidR="00E65435">
        <w:rPr>
          <w:rFonts w:eastAsia="Arial Unicode MS"/>
          <w:bCs/>
          <w:lang w:eastAsia="fr-FR" w:bidi="he-IL"/>
        </w:rPr>
        <w:t xml:space="preserve">, </w:t>
      </w:r>
      <w:r w:rsidRPr="00C8701B">
        <w:rPr>
          <w:rFonts w:eastAsia="Arial Unicode MS"/>
          <w:bCs/>
          <w:lang w:eastAsia="fr-FR" w:bidi="he-IL"/>
        </w:rPr>
        <w:t>qui</w:t>
      </w:r>
      <w:r w:rsidR="00E65435">
        <w:rPr>
          <w:rFonts w:eastAsia="Arial Unicode MS"/>
          <w:bCs/>
          <w:lang w:eastAsia="fr-FR" w:bidi="he-IL"/>
        </w:rPr>
        <w:t xml:space="preserve">, </w:t>
      </w:r>
      <w:r w:rsidR="00215CAD" w:rsidRPr="00C8701B">
        <w:rPr>
          <w:rFonts w:eastAsia="Arial Unicode MS"/>
          <w:bCs/>
          <w:lang w:eastAsia="fr-FR" w:bidi="he-IL"/>
        </w:rPr>
        <w:t>assúmptis</w:t>
      </w:r>
      <w:r w:rsidRPr="00C8701B">
        <w:rPr>
          <w:rFonts w:eastAsia="Arial Unicode MS"/>
          <w:bCs/>
          <w:lang w:eastAsia="fr-FR" w:bidi="he-IL"/>
        </w:rPr>
        <w:t xml:space="preserve"> pennis</w:t>
      </w:r>
      <w:r w:rsidR="00E65435">
        <w:rPr>
          <w:rFonts w:eastAsia="Arial Unicode MS"/>
          <w:bCs/>
          <w:lang w:eastAsia="fr-FR" w:bidi="he-IL"/>
        </w:rPr>
        <w:t xml:space="preserve">, </w:t>
      </w:r>
      <w:r w:rsidR="00215CAD" w:rsidRPr="00C8701B">
        <w:rPr>
          <w:rFonts w:eastAsia="Arial Unicode MS"/>
          <w:bCs/>
          <w:lang w:eastAsia="fr-FR" w:bidi="he-IL"/>
        </w:rPr>
        <w:t>áquil</w:t>
      </w:r>
      <w:r w:rsidR="00215CAD">
        <w:rPr>
          <w:rFonts w:eastAsia="Arial Unicode MS"/>
          <w:bCs/>
          <w:lang w:eastAsia="fr-FR" w:bidi="he-IL"/>
        </w:rPr>
        <w:t>æ et ad altióra fest</w:t>
      </w:r>
      <w:r w:rsidR="00215CAD" w:rsidRPr="00C8701B">
        <w:rPr>
          <w:rFonts w:eastAsia="Arial Unicode MS"/>
          <w:bCs/>
          <w:lang w:eastAsia="fr-FR" w:bidi="he-IL"/>
        </w:rPr>
        <w:t>ínans</w:t>
      </w:r>
      <w:r w:rsidR="00E65435">
        <w:rPr>
          <w:rFonts w:eastAsia="Arial Unicode MS"/>
          <w:bCs/>
          <w:lang w:eastAsia="fr-FR" w:bidi="he-IL"/>
        </w:rPr>
        <w:t xml:space="preserve">, </w:t>
      </w:r>
      <w:r w:rsidR="00215CAD">
        <w:rPr>
          <w:rFonts w:eastAsia="Arial Unicode MS"/>
          <w:bCs/>
          <w:lang w:eastAsia="fr-FR" w:bidi="he-IL"/>
        </w:rPr>
        <w:t>de Verbo Dei dísputa</w:t>
      </w:r>
      <w:r w:rsidR="00215CAD" w:rsidRPr="00C8701B">
        <w:rPr>
          <w:rFonts w:eastAsia="Arial Unicode MS"/>
          <w:bCs/>
          <w:lang w:eastAsia="fr-FR" w:bidi="he-IL"/>
        </w:rPr>
        <w:t>t</w:t>
      </w:r>
      <w:r w:rsidR="003A68DB">
        <w:rPr>
          <w:rFonts w:eastAsia="Arial Unicode MS"/>
          <w:bCs/>
          <w:lang w:eastAsia="fr-FR" w:bidi="he-IL"/>
        </w:rPr>
        <w:t> </w:t>
      </w:r>
      <w:r w:rsidR="003A68DB" w:rsidRPr="00C406FF">
        <w:rPr>
          <w:rStyle w:val="Appelnotedebasdep"/>
        </w:rPr>
        <w:footnoteReference w:id="50"/>
      </w:r>
      <w:r w:rsidRPr="00C8701B">
        <w:rPr>
          <w:rFonts w:eastAsia="Arial Unicode MS"/>
          <w:bCs/>
          <w:lang w:eastAsia="fr-FR" w:bidi="he-IL"/>
        </w:rPr>
        <w:t>.</w:t>
      </w:r>
      <w:r w:rsidR="00C2602D" w:rsidRPr="00C8701B">
        <w:rPr>
          <w:rFonts w:eastAsia="Arial Unicode MS"/>
          <w:bCs/>
          <w:lang w:eastAsia="fr-FR" w:bidi="he-IL"/>
        </w:rPr>
        <w:t xml:space="preserve"> » </w:t>
      </w:r>
    </w:p>
    <w:p w:rsidR="00C2602D" w:rsidRDefault="00B704AD" w:rsidP="00C2602D">
      <w:pPr>
        <w:rPr>
          <w:rFonts w:eastAsia="Arial Unicode MS"/>
          <w:bCs/>
          <w:lang w:eastAsia="fr-FR" w:bidi="he-IL"/>
        </w:rPr>
      </w:pPr>
      <w:r w:rsidRPr="00C8701B">
        <w:rPr>
          <w:rFonts w:eastAsia="Arial Unicode MS"/>
          <w:bCs/>
          <w:lang w:eastAsia="fr-FR" w:bidi="he-IL"/>
        </w:rPr>
        <w:t>Ce dernier système a été chanté en vers</w:t>
      </w:r>
      <w:r w:rsidR="00E65435">
        <w:rPr>
          <w:rFonts w:eastAsia="Arial Unicode MS"/>
          <w:bCs/>
          <w:lang w:eastAsia="fr-FR" w:bidi="he-IL"/>
        </w:rPr>
        <w:t xml:space="preserve">, </w:t>
      </w:r>
      <w:r w:rsidRPr="00C8701B">
        <w:rPr>
          <w:rFonts w:eastAsia="Arial Unicode MS"/>
          <w:bCs/>
          <w:lang w:eastAsia="fr-FR" w:bidi="he-IL"/>
        </w:rPr>
        <w:t xml:space="preserve">comme le </w:t>
      </w:r>
      <w:r w:rsidRPr="00215CAD">
        <w:t>premier</w:t>
      </w:r>
      <w:r w:rsidR="003A68DB">
        <w:t> </w:t>
      </w:r>
      <w:r w:rsidR="003A68DB" w:rsidRPr="00C406FF">
        <w:rPr>
          <w:rStyle w:val="Appelnotedebasdep"/>
        </w:rPr>
        <w:footnoteReference w:id="51"/>
      </w:r>
      <w:r w:rsidRPr="00215CAD">
        <w:t>. Nous pensons faire plaisir au lecteur en citant intégralement une des plus belles hymnes du moyen-âge</w:t>
      </w:r>
      <w:r w:rsidR="00E65435" w:rsidRPr="00215CAD">
        <w:t xml:space="preserve">, </w:t>
      </w:r>
      <w:r w:rsidRPr="00215CAD">
        <w:t>composée</w:t>
      </w:r>
      <w:r w:rsidRPr="00C8701B">
        <w:rPr>
          <w:rFonts w:eastAsia="Arial Unicode MS"/>
          <w:bCs/>
          <w:lang w:eastAsia="fr-FR" w:bidi="he-IL"/>
        </w:rPr>
        <w:t xml:space="preserve"> </w:t>
      </w:r>
      <w:r w:rsidR="00215CAD">
        <w:rPr>
          <w:rFonts w:eastAsia="Arial Unicode MS"/>
          <w:bCs/>
          <w:lang w:eastAsia="fr-FR" w:bidi="he-IL"/>
        </w:rPr>
        <w:t>sur ce sujet par Adam de S. Vic</w:t>
      </w:r>
      <w:r w:rsidRPr="00C8701B">
        <w:rPr>
          <w:rFonts w:eastAsia="Arial Unicode MS"/>
          <w:bCs/>
          <w:lang w:eastAsia="fr-FR" w:bidi="he-IL"/>
        </w:rPr>
        <w:t>tor</w:t>
      </w:r>
      <w:r w:rsidR="003A68DB">
        <w:rPr>
          <w:rFonts w:eastAsia="Arial Unicode MS"/>
          <w:bCs/>
          <w:lang w:eastAsia="fr-FR" w:bidi="he-IL"/>
        </w:rPr>
        <w:t> </w:t>
      </w:r>
      <w:r w:rsidR="003A68DB" w:rsidRPr="00C406FF">
        <w:rPr>
          <w:rStyle w:val="Appelnotedebasdep"/>
        </w:rPr>
        <w:footnoteReference w:id="52"/>
      </w:r>
      <w:r w:rsidRPr="00C8701B">
        <w:rPr>
          <w:rFonts w:eastAsia="Arial Unicode MS"/>
          <w:bCs/>
          <w:lang w:eastAsia="fr-FR" w:bidi="he-IL"/>
        </w:rPr>
        <w:t>.</w:t>
      </w:r>
      <w:r w:rsidR="00C2602D" w:rsidRPr="00C8701B">
        <w:rPr>
          <w:rFonts w:eastAsia="Arial Unicode MS"/>
          <w:bCs/>
          <w:lang w:eastAsia="fr-FR" w:bidi="he-IL"/>
        </w:rPr>
        <w:t xml:space="preserve"> </w:t>
      </w:r>
      <w:r w:rsidR="000716BB" w:rsidRPr="000716BB">
        <w:rPr>
          <w:rFonts w:eastAsia="Arial Unicode MS"/>
          <w:bCs/>
          <w:lang w:eastAsia="fr-FR" w:bidi="he-IL"/>
        </w:rPr>
        <w:t>{</w:t>
      </w:r>
      <w:r w:rsidR="000716BB">
        <w:rPr>
          <w:rFonts w:eastAsia="Arial Unicode MS"/>
          <w:bCs/>
          <w:lang w:eastAsia="fr-FR" w:bidi="he-IL"/>
        </w:rPr>
        <w:t>8</w:t>
      </w:r>
      <w:bookmarkStart w:id="16" w:name="pag008"/>
      <w:bookmarkEnd w:id="16"/>
      <w:r w:rsidR="000716BB" w:rsidRPr="000716BB">
        <w:rPr>
          <w:rFonts w:eastAsia="Arial Unicode MS"/>
          <w:bCs/>
          <w:lang w:eastAsia="fr-FR" w:bidi="he-IL"/>
        </w:rPr>
        <w:t>}</w:t>
      </w:r>
    </w:p>
    <w:p w:rsidR="00215CAD" w:rsidRPr="008A667C" w:rsidRDefault="00215CAD" w:rsidP="00C2602D"/>
    <w:p w:rsidR="00215CAD" w:rsidRPr="00215CAD" w:rsidRDefault="00215CAD" w:rsidP="00C2602D">
      <w:r>
        <w:t>Supra cæ</w:t>
      </w:r>
      <w:r w:rsidR="00B704AD" w:rsidRPr="00215CAD">
        <w:t xml:space="preserve">los dum </w:t>
      </w:r>
      <w:r w:rsidRPr="00215CAD">
        <w:t>conscéndit</w:t>
      </w:r>
      <w:r w:rsidR="00B704AD" w:rsidRPr="00215CAD">
        <w:t xml:space="preserve"> </w:t>
      </w:r>
    </w:p>
    <w:p w:rsidR="00C2602D" w:rsidRPr="00215CAD" w:rsidRDefault="00B704AD" w:rsidP="00C2602D">
      <w:r w:rsidRPr="00215CAD">
        <w:t xml:space="preserve">Summi Patris </w:t>
      </w:r>
      <w:r w:rsidR="00215CAD" w:rsidRPr="00215CAD">
        <w:t>comprehéndit</w:t>
      </w:r>
      <w:r w:rsidR="00C2602D" w:rsidRPr="00215CAD">
        <w:t xml:space="preserve"> </w:t>
      </w:r>
    </w:p>
    <w:p w:rsidR="00215CAD" w:rsidRPr="002D5574" w:rsidRDefault="00B704AD" w:rsidP="00215CAD">
      <w:r w:rsidRPr="002D5574">
        <w:t>Natum ante s</w:t>
      </w:r>
      <w:r w:rsidR="00215CAD" w:rsidRPr="002D5574">
        <w:t>ǽ</w:t>
      </w:r>
      <w:r w:rsidRPr="002D5574">
        <w:t>cula</w:t>
      </w:r>
      <w:r w:rsidR="00C2602D" w:rsidRPr="002D5574">
        <w:t> </w:t>
      </w:r>
      <w:r w:rsidR="007F6508" w:rsidRPr="002D5574">
        <w:t xml:space="preserve">; </w:t>
      </w:r>
    </w:p>
    <w:p w:rsidR="00215CAD" w:rsidRPr="000819BA" w:rsidRDefault="00215CAD" w:rsidP="00215CAD">
      <w:pPr>
        <w:rPr>
          <w:lang w:val="de-AT"/>
        </w:rPr>
      </w:pPr>
      <w:r w:rsidRPr="000819BA">
        <w:rPr>
          <w:lang w:val="de-AT"/>
        </w:rPr>
        <w:t>Pellens nubem nostræ m</w:t>
      </w:r>
      <w:r w:rsidR="00B704AD" w:rsidRPr="000819BA">
        <w:rPr>
          <w:lang w:val="de-AT"/>
        </w:rPr>
        <w:t xml:space="preserve">olis </w:t>
      </w:r>
    </w:p>
    <w:p w:rsidR="00215CAD" w:rsidRPr="002D5574" w:rsidRDefault="00215CAD" w:rsidP="00C2602D">
      <w:pPr>
        <w:rPr>
          <w:lang w:val="de-AT"/>
        </w:rPr>
      </w:pPr>
      <w:r w:rsidRPr="002D5574">
        <w:rPr>
          <w:lang w:val="de-AT"/>
        </w:rPr>
        <w:t>Intuétur</w:t>
      </w:r>
      <w:r w:rsidR="00B704AD" w:rsidRPr="002D5574">
        <w:rPr>
          <w:lang w:val="de-AT"/>
        </w:rPr>
        <w:t xml:space="preserve"> jubar solis </w:t>
      </w:r>
    </w:p>
    <w:p w:rsidR="00C2602D" w:rsidRPr="00215CAD" w:rsidRDefault="002F5969" w:rsidP="00C2602D">
      <w:r w:rsidRPr="00215CAD">
        <w:t>Joánnes</w:t>
      </w:r>
      <w:r w:rsidR="00B704AD" w:rsidRPr="00215CAD">
        <w:t xml:space="preserve"> in </w:t>
      </w:r>
      <w:r w:rsidR="00215CAD" w:rsidRPr="00215CAD">
        <w:t>áquila</w:t>
      </w:r>
      <w:r w:rsidR="00B704AD" w:rsidRPr="00215CAD">
        <w:t>.</w:t>
      </w:r>
      <w:r w:rsidR="00C2602D" w:rsidRPr="00215CAD">
        <w:t xml:space="preserve"> </w:t>
      </w:r>
    </w:p>
    <w:p w:rsidR="00215CAD" w:rsidRDefault="00215CAD" w:rsidP="00C2602D"/>
    <w:p w:rsidR="00215CAD" w:rsidRPr="00215CAD" w:rsidRDefault="00B704AD" w:rsidP="00215CAD">
      <w:r w:rsidRPr="00215CAD">
        <w:t>Est</w:t>
      </w:r>
      <w:r w:rsidR="00215CAD">
        <w:t xml:space="preserve"> </w:t>
      </w:r>
      <w:r w:rsidR="00215CAD" w:rsidRPr="00215CAD">
        <w:t>leónis</w:t>
      </w:r>
      <w:r w:rsidRPr="00215CAD">
        <w:t xml:space="preserve"> r</w:t>
      </w:r>
      <w:r w:rsidR="00E939E7" w:rsidRPr="00215CAD">
        <w:t>ugiéntis</w:t>
      </w:r>
      <w:r w:rsidRPr="00215CAD">
        <w:t xml:space="preserve"> </w:t>
      </w:r>
    </w:p>
    <w:p w:rsidR="00C2602D" w:rsidRPr="00215CAD" w:rsidRDefault="00B704AD" w:rsidP="00C2602D">
      <w:r w:rsidRPr="00215CAD">
        <w:t>Marco vultus</w:t>
      </w:r>
      <w:r w:rsidR="00E65435" w:rsidRPr="00215CAD">
        <w:t xml:space="preserve">, </w:t>
      </w:r>
      <w:r w:rsidRPr="00215CAD">
        <w:t>res</w:t>
      </w:r>
      <w:r w:rsidR="00E939E7" w:rsidRPr="00215CAD">
        <w:t>urgéntis</w:t>
      </w:r>
      <w:r w:rsidR="00C2602D" w:rsidRPr="00215CAD">
        <w:t xml:space="preserve"> </w:t>
      </w:r>
    </w:p>
    <w:p w:rsidR="00215CAD" w:rsidRPr="00215CAD" w:rsidRDefault="00B704AD" w:rsidP="00C2602D">
      <w:r w:rsidRPr="00215CAD">
        <w:t xml:space="preserve">Quo claret </w:t>
      </w:r>
      <w:r w:rsidR="00215CAD" w:rsidRPr="00215CAD">
        <w:t>poténtia</w:t>
      </w:r>
      <w:r w:rsidR="00C2602D" w:rsidRPr="00215CAD">
        <w:t> :</w:t>
      </w:r>
      <w:r w:rsidRPr="00215CAD">
        <w:t xml:space="preserve"> </w:t>
      </w:r>
    </w:p>
    <w:p w:rsidR="00215CAD" w:rsidRPr="00215CAD" w:rsidRDefault="00B704AD" w:rsidP="00C2602D">
      <w:r w:rsidRPr="00215CAD">
        <w:t xml:space="preserve">Voce Patris </w:t>
      </w:r>
      <w:r w:rsidR="00215CAD" w:rsidRPr="00215CAD">
        <w:t>excitátus</w:t>
      </w:r>
      <w:r w:rsidR="00E65435" w:rsidRPr="00215CAD">
        <w:t xml:space="preserve">, </w:t>
      </w:r>
    </w:p>
    <w:p w:rsidR="00215CAD" w:rsidRPr="00215CAD" w:rsidRDefault="00B704AD" w:rsidP="00C2602D">
      <w:r w:rsidRPr="00215CAD">
        <w:t>Surgit Christus</w:t>
      </w:r>
      <w:r w:rsidR="00E65435" w:rsidRPr="00215CAD">
        <w:t xml:space="preserve">, </w:t>
      </w:r>
      <w:r w:rsidR="00215CAD" w:rsidRPr="00215CAD">
        <w:t>laureátus</w:t>
      </w:r>
      <w:r w:rsidRPr="00215CAD">
        <w:t xml:space="preserve"> </w:t>
      </w:r>
    </w:p>
    <w:p w:rsidR="00C2602D" w:rsidRPr="00215CAD" w:rsidRDefault="00215CAD" w:rsidP="00C2602D">
      <w:r w:rsidRPr="00215CAD">
        <w:t>Immortáli</w:t>
      </w:r>
      <w:r w:rsidR="00B704AD" w:rsidRPr="00215CAD">
        <w:t xml:space="preserve"> </w:t>
      </w:r>
      <w:r w:rsidR="00906914" w:rsidRPr="00215CAD">
        <w:t>glória</w:t>
      </w:r>
      <w:r w:rsidR="00B704AD" w:rsidRPr="00215CAD">
        <w:t>.</w:t>
      </w:r>
      <w:r w:rsidR="00C2602D" w:rsidRPr="00215CAD">
        <w:t xml:space="preserve"> </w:t>
      </w:r>
    </w:p>
    <w:p w:rsidR="00215CAD" w:rsidRDefault="00215CAD" w:rsidP="00C2602D"/>
    <w:p w:rsidR="00215CAD" w:rsidRPr="00215CAD" w:rsidRDefault="00B704AD" w:rsidP="00C2602D">
      <w:r w:rsidRPr="00215CAD">
        <w:t xml:space="preserve">Os </w:t>
      </w:r>
      <w:r w:rsidR="00F125AE">
        <w:t>humánum</w:t>
      </w:r>
      <w:r w:rsidRPr="00215CAD">
        <w:t xml:space="preserve"> est </w:t>
      </w:r>
      <w:r w:rsidR="00215CAD" w:rsidRPr="00215CAD">
        <w:t>Matthǽi</w:t>
      </w:r>
      <w:r w:rsidR="00E65435" w:rsidRPr="00215CAD">
        <w:t xml:space="preserve">, </w:t>
      </w:r>
    </w:p>
    <w:p w:rsidR="00C2602D" w:rsidRPr="000819BA" w:rsidRDefault="00B704AD" w:rsidP="00215CAD">
      <w:r w:rsidRPr="000819BA">
        <w:t xml:space="preserve">In </w:t>
      </w:r>
      <w:r w:rsidR="00215CAD" w:rsidRPr="000819BA">
        <w:t>humána</w:t>
      </w:r>
      <w:r w:rsidRPr="000819BA">
        <w:t xml:space="preserve"> forma Dei</w:t>
      </w:r>
      <w:r w:rsidR="00C2602D" w:rsidRPr="000819BA">
        <w:t xml:space="preserve"> </w:t>
      </w:r>
    </w:p>
    <w:p w:rsidR="00215CAD" w:rsidRPr="000819BA" w:rsidRDefault="00215CAD" w:rsidP="00C2602D">
      <w:r w:rsidRPr="000819BA">
        <w:t>Dictántis prosá</w:t>
      </w:r>
      <w:r w:rsidR="00B704AD" w:rsidRPr="000819BA">
        <w:t>piam</w:t>
      </w:r>
      <w:r w:rsidR="00C2602D" w:rsidRPr="000819BA">
        <w:t> </w:t>
      </w:r>
      <w:r w:rsidR="007F6508" w:rsidRPr="000819BA">
        <w:t xml:space="preserve">; </w:t>
      </w:r>
    </w:p>
    <w:p w:rsidR="00215CAD" w:rsidRPr="000819BA" w:rsidRDefault="00B704AD" w:rsidP="00C2602D">
      <w:r w:rsidRPr="000819BA">
        <w:t xml:space="preserve">Cujus genus sic </w:t>
      </w:r>
      <w:r w:rsidR="00215CAD" w:rsidRPr="000819BA">
        <w:t>contéxit</w:t>
      </w:r>
      <w:r w:rsidRPr="000819BA">
        <w:t xml:space="preserve"> </w:t>
      </w:r>
    </w:p>
    <w:p w:rsidR="00215CAD" w:rsidRPr="000819BA" w:rsidRDefault="00B704AD" w:rsidP="00215CAD">
      <w:r w:rsidRPr="000819BA">
        <w:t xml:space="preserve">Quod a stirpe David exit </w:t>
      </w:r>
    </w:p>
    <w:p w:rsidR="00C2602D" w:rsidRPr="000819BA" w:rsidRDefault="00215CAD" w:rsidP="00C2602D">
      <w:r w:rsidRPr="000819BA">
        <w:t>Per carni</w:t>
      </w:r>
      <w:r w:rsidR="00B704AD" w:rsidRPr="000819BA">
        <w:t xml:space="preserve">s </w:t>
      </w:r>
      <w:r w:rsidRPr="000819BA">
        <w:t>matériam</w:t>
      </w:r>
      <w:r w:rsidR="00B704AD" w:rsidRPr="000819BA">
        <w:t>.</w:t>
      </w:r>
      <w:r w:rsidR="00C2602D" w:rsidRPr="000819BA">
        <w:t xml:space="preserve"> </w:t>
      </w:r>
    </w:p>
    <w:p w:rsidR="00215CAD" w:rsidRPr="000819BA" w:rsidRDefault="00215CAD" w:rsidP="00C2602D"/>
    <w:p w:rsidR="00215CAD" w:rsidRPr="000819BA" w:rsidRDefault="00215CAD" w:rsidP="00C2602D">
      <w:r w:rsidRPr="000819BA">
        <w:t>Ritus bovis Lucæ</w:t>
      </w:r>
      <w:r w:rsidR="00B704AD" w:rsidRPr="000819BA">
        <w:t xml:space="preserve"> datur</w:t>
      </w:r>
      <w:r w:rsidR="00E65435" w:rsidRPr="000819BA">
        <w:t xml:space="preserve">, </w:t>
      </w:r>
    </w:p>
    <w:p w:rsidR="00C2602D" w:rsidRPr="000819BA" w:rsidRDefault="00B704AD" w:rsidP="00C2602D">
      <w:r w:rsidRPr="000819BA">
        <w:t xml:space="preserve">In </w:t>
      </w:r>
      <w:r w:rsidR="00E37C84" w:rsidRPr="000819BA">
        <w:t>qu</w:t>
      </w:r>
      <w:r w:rsidRPr="000819BA">
        <w:t>a forma fi</w:t>
      </w:r>
      <w:r w:rsidR="0096412E" w:rsidRPr="000819BA">
        <w:t>gurátur</w:t>
      </w:r>
      <w:r w:rsidR="00C2602D" w:rsidRPr="000819BA">
        <w:t xml:space="preserve"> </w:t>
      </w:r>
    </w:p>
    <w:p w:rsidR="00215CAD" w:rsidRPr="000819BA" w:rsidRDefault="00B704AD" w:rsidP="00C2602D">
      <w:r w:rsidRPr="000819BA">
        <w:t xml:space="preserve">Nova Christus </w:t>
      </w:r>
      <w:r w:rsidR="00215CAD" w:rsidRPr="000819BA">
        <w:t>hóstia</w:t>
      </w:r>
      <w:r w:rsidR="00C2602D" w:rsidRPr="000819BA">
        <w:t> :</w:t>
      </w:r>
      <w:r w:rsidRPr="000819BA">
        <w:t xml:space="preserve"> </w:t>
      </w:r>
    </w:p>
    <w:p w:rsidR="00215CAD" w:rsidRPr="00215CAD" w:rsidRDefault="00B704AD" w:rsidP="00C2602D">
      <w:r w:rsidRPr="00215CAD">
        <w:t xml:space="preserve">Ara crucis </w:t>
      </w:r>
      <w:r w:rsidR="00215CAD" w:rsidRPr="00215CAD">
        <w:t>mansuétus</w:t>
      </w:r>
      <w:r w:rsidRPr="00215CAD">
        <w:t xml:space="preserve"> </w:t>
      </w:r>
    </w:p>
    <w:p w:rsidR="00215CAD" w:rsidRPr="00215CAD" w:rsidRDefault="00215CAD" w:rsidP="00C2602D">
      <w:r>
        <w:t>Hic mactá</w:t>
      </w:r>
      <w:r w:rsidR="00B704AD" w:rsidRPr="00215CAD">
        <w:t>tus</w:t>
      </w:r>
      <w:r w:rsidR="00E65435" w:rsidRPr="00215CAD">
        <w:t xml:space="preserve">, </w:t>
      </w:r>
      <w:r>
        <w:t>sicque ve</w:t>
      </w:r>
      <w:r w:rsidR="00B704AD" w:rsidRPr="00215CAD">
        <w:t xml:space="preserve">tus </w:t>
      </w:r>
    </w:p>
    <w:p w:rsidR="00C2602D" w:rsidRPr="00A74F01" w:rsidRDefault="00B704AD" w:rsidP="00C2602D">
      <w:pPr>
        <w:rPr>
          <w:lang w:val="en-US"/>
        </w:rPr>
      </w:pPr>
      <w:r w:rsidRPr="00A74F01">
        <w:rPr>
          <w:lang w:val="en-US"/>
        </w:rPr>
        <w:t xml:space="preserve">Transit </w:t>
      </w:r>
      <w:r w:rsidR="00215CAD" w:rsidRPr="00A74F01">
        <w:rPr>
          <w:lang w:val="en-US"/>
        </w:rPr>
        <w:t>observántia</w:t>
      </w:r>
      <w:r w:rsidRPr="00A74F01">
        <w:rPr>
          <w:lang w:val="en-US"/>
        </w:rPr>
        <w:t>.</w:t>
      </w:r>
      <w:r w:rsidR="00C2602D" w:rsidRPr="00A74F01">
        <w:rPr>
          <w:lang w:val="en-US"/>
        </w:rPr>
        <w:t xml:space="preserve"> </w:t>
      </w:r>
    </w:p>
    <w:p w:rsidR="00215CAD" w:rsidRPr="00A74F01" w:rsidRDefault="00215CAD" w:rsidP="00C2602D">
      <w:pPr>
        <w:rPr>
          <w:lang w:val="en-US"/>
        </w:rPr>
      </w:pPr>
    </w:p>
    <w:p w:rsidR="00215CAD" w:rsidRPr="00A74F01" w:rsidRDefault="00215CAD" w:rsidP="00215CAD">
      <w:pPr>
        <w:rPr>
          <w:lang w:val="en-US"/>
        </w:rPr>
      </w:pPr>
      <w:r w:rsidRPr="00A74F01">
        <w:rPr>
          <w:lang w:val="en-US"/>
        </w:rPr>
        <w:t xml:space="preserve">Paradísi </w:t>
      </w:r>
      <w:r w:rsidR="00B704AD" w:rsidRPr="00A74F01">
        <w:rPr>
          <w:lang w:val="en-US"/>
        </w:rPr>
        <w:t xml:space="preserve">hic </w:t>
      </w:r>
      <w:r w:rsidRPr="00A74F01">
        <w:rPr>
          <w:lang w:val="en-US"/>
        </w:rPr>
        <w:t>fluénta</w:t>
      </w:r>
      <w:r w:rsidR="00B704AD" w:rsidRPr="00A74F01">
        <w:rPr>
          <w:lang w:val="en-US"/>
        </w:rPr>
        <w:t xml:space="preserve"> </w:t>
      </w:r>
    </w:p>
    <w:p w:rsidR="00C2602D" w:rsidRPr="00A74F01" w:rsidRDefault="00B704AD" w:rsidP="00C2602D">
      <w:pPr>
        <w:rPr>
          <w:lang w:val="en-US"/>
        </w:rPr>
      </w:pPr>
      <w:r w:rsidRPr="00A74F01">
        <w:rPr>
          <w:lang w:val="en-US"/>
        </w:rPr>
        <w:t xml:space="preserve">Nova fluunt </w:t>
      </w:r>
      <w:r w:rsidR="00215CAD" w:rsidRPr="00A74F01">
        <w:rPr>
          <w:lang w:val="en-US"/>
        </w:rPr>
        <w:t>sacraménta</w:t>
      </w:r>
      <w:r w:rsidR="00C2602D" w:rsidRPr="00A74F01">
        <w:rPr>
          <w:lang w:val="en-US"/>
        </w:rPr>
        <w:t xml:space="preserve"> </w:t>
      </w:r>
    </w:p>
    <w:p w:rsidR="00215CAD" w:rsidRPr="00A74F01" w:rsidRDefault="00B704AD" w:rsidP="00C2602D">
      <w:pPr>
        <w:rPr>
          <w:lang w:val="en-US"/>
        </w:rPr>
      </w:pPr>
      <w:r w:rsidRPr="00A74F01">
        <w:rPr>
          <w:lang w:val="en-US"/>
        </w:rPr>
        <w:t>Qu</w:t>
      </w:r>
      <w:r w:rsidR="0037178C" w:rsidRPr="00A74F01">
        <w:rPr>
          <w:lang w:val="en-US"/>
        </w:rPr>
        <w:t>æ</w:t>
      </w:r>
      <w:r w:rsidRPr="00A74F01">
        <w:rPr>
          <w:lang w:val="en-US"/>
        </w:rPr>
        <w:t xml:space="preserve"> </w:t>
      </w:r>
      <w:r w:rsidR="00215CAD" w:rsidRPr="00A74F01">
        <w:rPr>
          <w:lang w:val="en-US"/>
        </w:rPr>
        <w:t>descéndunt</w:t>
      </w:r>
      <w:r w:rsidRPr="00A74F01">
        <w:rPr>
          <w:lang w:val="en-US"/>
        </w:rPr>
        <w:t xml:space="preserve"> </w:t>
      </w:r>
      <w:r w:rsidR="00215CAD" w:rsidRPr="00A74F01">
        <w:rPr>
          <w:lang w:val="en-US"/>
        </w:rPr>
        <w:t>cǽlitus</w:t>
      </w:r>
      <w:r w:rsidR="00C2602D" w:rsidRPr="00A74F01">
        <w:rPr>
          <w:lang w:val="en-US"/>
        </w:rPr>
        <w:t> :</w:t>
      </w:r>
      <w:r w:rsidRPr="00A74F01">
        <w:rPr>
          <w:lang w:val="en-US"/>
        </w:rPr>
        <w:t xml:space="preserve"> </w:t>
      </w:r>
    </w:p>
    <w:p w:rsidR="00215CAD" w:rsidRPr="00A74F01" w:rsidRDefault="00B704AD" w:rsidP="00C2602D">
      <w:pPr>
        <w:rPr>
          <w:lang w:val="en-US"/>
        </w:rPr>
      </w:pPr>
      <w:r w:rsidRPr="00A74F01">
        <w:rPr>
          <w:lang w:val="en-US"/>
        </w:rPr>
        <w:t xml:space="preserve">His </w:t>
      </w:r>
      <w:r w:rsidR="00215CAD" w:rsidRPr="00A74F01">
        <w:rPr>
          <w:lang w:val="en-US"/>
        </w:rPr>
        <w:t>quadrígis</w:t>
      </w:r>
      <w:r w:rsidRPr="00A74F01">
        <w:rPr>
          <w:lang w:val="en-US"/>
        </w:rPr>
        <w:t xml:space="preserve"> </w:t>
      </w:r>
      <w:r w:rsidR="00215CAD" w:rsidRPr="00A74F01">
        <w:rPr>
          <w:lang w:val="en-US"/>
        </w:rPr>
        <w:t>deportátus</w:t>
      </w:r>
      <w:r w:rsidRPr="00A74F01">
        <w:rPr>
          <w:lang w:val="en-US"/>
        </w:rPr>
        <w:t xml:space="preserve"> </w:t>
      </w:r>
    </w:p>
    <w:p w:rsidR="00215CAD" w:rsidRPr="00A74F01" w:rsidRDefault="00215CAD" w:rsidP="00C2602D">
      <w:pPr>
        <w:rPr>
          <w:lang w:val="en-US"/>
        </w:rPr>
      </w:pPr>
      <w:r w:rsidRPr="00A74F01">
        <w:rPr>
          <w:lang w:val="en-US"/>
        </w:rPr>
        <w:t>Mundo</w:t>
      </w:r>
      <w:r w:rsidR="00B704AD" w:rsidRPr="00A74F01">
        <w:rPr>
          <w:lang w:val="en-US"/>
        </w:rPr>
        <w:t xml:space="preserve"> Deus</w:t>
      </w:r>
      <w:r w:rsidR="00E65435" w:rsidRPr="00A74F01">
        <w:rPr>
          <w:lang w:val="en-US"/>
        </w:rPr>
        <w:t xml:space="preserve">, </w:t>
      </w:r>
      <w:r w:rsidR="00B704AD" w:rsidRPr="00A74F01">
        <w:rPr>
          <w:lang w:val="en-US"/>
        </w:rPr>
        <w:t>sub</w:t>
      </w:r>
      <w:r w:rsidR="0096412E" w:rsidRPr="00A74F01">
        <w:rPr>
          <w:lang w:val="en-US"/>
        </w:rPr>
        <w:t>limátur</w:t>
      </w:r>
      <w:r w:rsidR="00B704AD" w:rsidRPr="00A74F01">
        <w:rPr>
          <w:lang w:val="en-US"/>
        </w:rPr>
        <w:t xml:space="preserve"> </w:t>
      </w:r>
    </w:p>
    <w:p w:rsidR="00C2602D" w:rsidRDefault="00B704AD" w:rsidP="00C2602D">
      <w:r w:rsidRPr="00215CAD">
        <w:t>Istis arca v</w:t>
      </w:r>
      <w:r w:rsidR="00356A5E" w:rsidRPr="00215CAD">
        <w:t>éctibus</w:t>
      </w:r>
      <w:r w:rsidRPr="00215CAD">
        <w:t>.</w:t>
      </w:r>
      <w:r w:rsidR="00C2602D" w:rsidRPr="00215CAD">
        <w:t xml:space="preserve"> </w:t>
      </w:r>
    </w:p>
    <w:p w:rsidR="0086643C" w:rsidRDefault="0086643C" w:rsidP="00C2602D"/>
    <w:p w:rsidR="00C2602D" w:rsidRPr="00C8701B" w:rsidRDefault="00B704AD" w:rsidP="00215CAD">
      <w:pPr>
        <w:rPr>
          <w:rFonts w:eastAsia="Arial Unicode MS"/>
          <w:bCs/>
          <w:lang w:eastAsia="fr-FR" w:bidi="he-IL"/>
        </w:rPr>
      </w:pPr>
      <w:r w:rsidRPr="00C8701B">
        <w:rPr>
          <w:rFonts w:eastAsia="Arial Unicode MS"/>
          <w:bCs/>
          <w:lang w:eastAsia="fr-FR" w:bidi="he-IL"/>
        </w:rPr>
        <w:t>2° L</w:t>
      </w:r>
      <w:r w:rsidR="00557DE0">
        <w:rPr>
          <w:rFonts w:eastAsia="Arial Unicode MS"/>
          <w:bCs/>
          <w:lang w:eastAsia="fr-FR" w:bidi="he-IL"/>
        </w:rPr>
        <w:t>’</w:t>
      </w:r>
      <w:r w:rsidRPr="00C8701B">
        <w:rPr>
          <w:rFonts w:eastAsia="Arial Unicode MS"/>
          <w:bCs/>
          <w:lang w:eastAsia="fr-FR" w:bidi="he-IL"/>
        </w:rPr>
        <w:t>art chrétien ne manqua pas de s</w:t>
      </w:r>
      <w:r w:rsidR="00557DE0">
        <w:rPr>
          <w:rFonts w:eastAsia="Arial Unicode MS"/>
          <w:bCs/>
          <w:lang w:eastAsia="fr-FR" w:bidi="he-IL"/>
        </w:rPr>
        <w:t>’</w:t>
      </w:r>
      <w:r w:rsidRPr="00C8701B">
        <w:rPr>
          <w:rFonts w:eastAsia="Arial Unicode MS"/>
          <w:bCs/>
          <w:lang w:eastAsia="fr-FR" w:bidi="he-IL"/>
        </w:rPr>
        <w:t>emparer de ces symboles</w:t>
      </w:r>
      <w:r w:rsidR="00E65435">
        <w:rPr>
          <w:rFonts w:eastAsia="Arial Unicode MS"/>
          <w:bCs/>
          <w:lang w:eastAsia="fr-FR" w:bidi="he-IL"/>
        </w:rPr>
        <w:t xml:space="preserve">, </w:t>
      </w:r>
      <w:r w:rsidRPr="00C8701B">
        <w:rPr>
          <w:rFonts w:eastAsia="Arial Unicode MS"/>
          <w:bCs/>
          <w:lang w:eastAsia="fr-FR" w:bidi="he-IL"/>
        </w:rPr>
        <w:t>pour représenter les quatre évangélistes. Ils apparaissent pour la première fois sur la mosaïque de sainte Pudentienne</w:t>
      </w:r>
      <w:r w:rsidR="00E65435">
        <w:rPr>
          <w:rFonts w:eastAsia="Arial Unicode MS"/>
          <w:bCs/>
          <w:lang w:eastAsia="fr-FR" w:bidi="he-IL"/>
        </w:rPr>
        <w:t xml:space="preserve">, </w:t>
      </w:r>
      <w:r w:rsidRPr="00C8701B">
        <w:rPr>
          <w:rFonts w:eastAsia="Arial Unicode MS"/>
          <w:bCs/>
          <w:lang w:eastAsia="fr-FR" w:bidi="he-IL"/>
        </w:rPr>
        <w:t>qui date</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après MM. de Rossi et Garrucci</w:t>
      </w:r>
      <w:r w:rsidR="00E65435">
        <w:rPr>
          <w:rFonts w:eastAsia="Arial Unicode MS"/>
          <w:bCs/>
          <w:lang w:eastAsia="fr-FR" w:bidi="he-IL"/>
        </w:rPr>
        <w:t xml:space="preserve">, </w:t>
      </w:r>
      <w:r w:rsidRPr="00C8701B">
        <w:rPr>
          <w:rFonts w:eastAsia="Arial Unicode MS"/>
          <w:bCs/>
          <w:lang w:eastAsia="fr-FR" w:bidi="he-IL"/>
        </w:rPr>
        <w:t xml:space="preserve">des dernières années du </w:t>
      </w:r>
      <w:r w:rsidR="00215CAD">
        <w:rPr>
          <w:rFonts w:eastAsia="Arial Unicode MS"/>
          <w:bCs/>
          <w:lang w:eastAsia="fr-FR" w:bidi="he-IL"/>
        </w:rPr>
        <w:t>IV</w:t>
      </w:r>
      <w:r w:rsidRPr="00C8701B">
        <w:rPr>
          <w:rFonts w:eastAsia="Arial Unicode MS"/>
          <w:bCs/>
          <w:vertAlign w:val="superscript"/>
          <w:lang w:eastAsia="fr-FR" w:bidi="he-IL"/>
        </w:rPr>
        <w:t>e</w:t>
      </w:r>
      <w:r w:rsidRPr="00C8701B">
        <w:rPr>
          <w:rFonts w:eastAsia="Arial Unicode MS"/>
          <w:bCs/>
          <w:lang w:eastAsia="fr-FR" w:bidi="he-IL"/>
        </w:rPr>
        <w:t xml:space="preserve"> siècle</w:t>
      </w:r>
      <w:r w:rsidR="003A68DB">
        <w:rPr>
          <w:rFonts w:eastAsia="Arial Unicode MS"/>
          <w:bCs/>
          <w:lang w:eastAsia="fr-FR" w:bidi="he-IL"/>
        </w:rPr>
        <w:t> </w:t>
      </w:r>
      <w:r w:rsidR="003A68DB" w:rsidRPr="00C406FF">
        <w:rPr>
          <w:rStyle w:val="Appelnotedebasdep"/>
        </w:rPr>
        <w:footnoteReference w:id="53"/>
      </w:r>
      <w:r w:rsidRPr="00C8701B">
        <w:rPr>
          <w:rFonts w:eastAsia="Arial Unicode MS"/>
          <w:bCs/>
          <w:lang w:eastAsia="fr-FR" w:bidi="he-IL"/>
        </w:rPr>
        <w:t>. Le Christ</w:t>
      </w:r>
      <w:r w:rsidR="00E65435">
        <w:rPr>
          <w:rFonts w:eastAsia="Arial Unicode MS"/>
          <w:bCs/>
          <w:lang w:eastAsia="fr-FR" w:bidi="he-IL"/>
        </w:rPr>
        <w:t xml:space="preserve">, </w:t>
      </w:r>
      <w:r w:rsidRPr="00C8701B">
        <w:rPr>
          <w:rFonts w:eastAsia="Arial Unicode MS"/>
          <w:bCs/>
          <w:lang w:eastAsia="fr-FR" w:bidi="he-IL"/>
        </w:rPr>
        <w:t>entouré des apôtres</w:t>
      </w:r>
      <w:r w:rsidR="00E65435">
        <w:rPr>
          <w:rFonts w:eastAsia="Arial Unicode MS"/>
          <w:bCs/>
          <w:lang w:eastAsia="fr-FR" w:bidi="he-IL"/>
        </w:rPr>
        <w:t xml:space="preserve">, </w:t>
      </w:r>
      <w:r w:rsidRPr="00C8701B">
        <w:rPr>
          <w:rFonts w:eastAsia="Arial Unicode MS"/>
          <w:bCs/>
          <w:lang w:eastAsia="fr-FR" w:bidi="he-IL"/>
        </w:rPr>
        <w:t>est assis sur un trône</w:t>
      </w:r>
      <w:r w:rsidR="00E65435">
        <w:rPr>
          <w:rFonts w:eastAsia="Arial Unicode MS"/>
          <w:bCs/>
          <w:lang w:eastAsia="fr-FR" w:bidi="he-IL"/>
        </w:rPr>
        <w:t xml:space="preserve">, </w:t>
      </w:r>
      <w:r w:rsidRPr="00C8701B">
        <w:rPr>
          <w:rFonts w:eastAsia="Arial Unicode MS"/>
          <w:bCs/>
          <w:lang w:eastAsia="fr-FR" w:bidi="he-IL"/>
        </w:rPr>
        <w:t>à la partie inférieure de la mosaïque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en haut</w:t>
      </w:r>
      <w:r w:rsidR="00E65435">
        <w:rPr>
          <w:rFonts w:eastAsia="Arial Unicode MS"/>
          <w:bCs/>
          <w:lang w:eastAsia="fr-FR" w:bidi="he-IL"/>
        </w:rPr>
        <w:t xml:space="preserve">, </w:t>
      </w:r>
      <w:r w:rsidRPr="00C8701B">
        <w:rPr>
          <w:rFonts w:eastAsia="Arial Unicode MS"/>
          <w:bCs/>
          <w:lang w:eastAsia="fr-FR" w:bidi="he-IL"/>
        </w:rPr>
        <w:t>on voit les figures ailées de l</w:t>
      </w:r>
      <w:r w:rsidR="00557DE0">
        <w:rPr>
          <w:rFonts w:eastAsia="Arial Unicode MS"/>
          <w:bCs/>
          <w:lang w:eastAsia="fr-FR" w:bidi="he-IL"/>
        </w:rPr>
        <w:t>’</w:t>
      </w:r>
      <w:r w:rsidRPr="00C8701B">
        <w:rPr>
          <w:rFonts w:eastAsia="Arial Unicode MS"/>
          <w:bCs/>
          <w:lang w:eastAsia="fr-FR" w:bidi="he-IL"/>
        </w:rPr>
        <w:t>homme</w:t>
      </w:r>
      <w:r w:rsidR="00E65435">
        <w:rPr>
          <w:rFonts w:eastAsia="Arial Unicode MS"/>
          <w:bCs/>
          <w:lang w:eastAsia="fr-FR" w:bidi="he-IL"/>
        </w:rPr>
        <w:t xml:space="preserve">, </w:t>
      </w:r>
      <w:r w:rsidRPr="00C8701B">
        <w:rPr>
          <w:rFonts w:eastAsia="Arial Unicode MS"/>
          <w:bCs/>
          <w:lang w:eastAsia="fr-FR" w:bidi="he-IL"/>
        </w:rPr>
        <w:t>du lion</w:t>
      </w:r>
      <w:r w:rsidR="00E65435">
        <w:rPr>
          <w:rFonts w:eastAsia="Arial Unicode MS"/>
          <w:bCs/>
          <w:lang w:eastAsia="fr-FR" w:bidi="he-IL"/>
        </w:rPr>
        <w:t xml:space="preserve">, </w:t>
      </w:r>
      <w:r w:rsidRPr="00C8701B">
        <w:rPr>
          <w:rFonts w:eastAsia="Arial Unicode MS"/>
          <w:bCs/>
          <w:lang w:eastAsia="fr-FR" w:bidi="he-IL"/>
        </w:rPr>
        <w:t>du taureau et de l</w:t>
      </w:r>
      <w:r w:rsidR="00557DE0">
        <w:rPr>
          <w:rFonts w:eastAsia="Arial Unicode MS"/>
          <w:bCs/>
          <w:lang w:eastAsia="fr-FR" w:bidi="he-IL"/>
        </w:rPr>
        <w:t>’</w:t>
      </w:r>
      <w:r w:rsidRPr="00C8701B">
        <w:rPr>
          <w:rFonts w:eastAsia="Arial Unicode MS"/>
          <w:bCs/>
          <w:lang w:eastAsia="fr-FR" w:bidi="he-IL"/>
        </w:rPr>
        <w:t>aigle. Les mosaïques de sainte Sabine et de sainte Marie-Majeure reproduisent les mêmes types</w:t>
      </w:r>
      <w:r w:rsidR="003A68DB">
        <w:rPr>
          <w:rFonts w:eastAsia="Arial Unicode MS"/>
          <w:bCs/>
          <w:lang w:eastAsia="fr-FR" w:bidi="he-IL"/>
        </w:rPr>
        <w:t> </w:t>
      </w:r>
      <w:r w:rsidR="003A68DB" w:rsidRPr="00C406FF">
        <w:rPr>
          <w:rStyle w:val="Appelnotedebasdep"/>
        </w:rPr>
        <w:footnoteReference w:id="54"/>
      </w:r>
      <w:r w:rsidRPr="00C8701B">
        <w:rPr>
          <w:rFonts w:eastAsia="Arial Unicode MS"/>
          <w:bCs/>
          <w:lang w:eastAsia="fr-FR" w:bidi="he-IL"/>
        </w:rPr>
        <w:t>. D</w:t>
      </w:r>
      <w:r w:rsidR="00557DE0">
        <w:rPr>
          <w:rFonts w:eastAsia="Arial Unicode MS"/>
          <w:bCs/>
          <w:lang w:eastAsia="fr-FR" w:bidi="he-IL"/>
        </w:rPr>
        <w:t>’</w:t>
      </w:r>
      <w:r w:rsidRPr="00C8701B">
        <w:rPr>
          <w:rFonts w:eastAsia="Arial Unicode MS"/>
          <w:bCs/>
          <w:lang w:eastAsia="fr-FR" w:bidi="he-IL"/>
        </w:rPr>
        <w:t>autres mosaïques un peu plus récentes</w:t>
      </w:r>
      <w:r w:rsidR="00E65435">
        <w:rPr>
          <w:rFonts w:eastAsia="Arial Unicode MS"/>
          <w:bCs/>
          <w:lang w:eastAsia="fr-FR" w:bidi="he-IL"/>
        </w:rPr>
        <w:t xml:space="preserve">, </w:t>
      </w:r>
      <w:r w:rsidRPr="00C8701B">
        <w:rPr>
          <w:rFonts w:eastAsia="Arial Unicode MS"/>
          <w:bCs/>
          <w:lang w:eastAsia="fr-FR" w:bidi="he-IL"/>
        </w:rPr>
        <w:t>notamment celles de S. Paul-hors-les-Murs (de 440 à 401)</w:t>
      </w:r>
      <w:r w:rsidR="00E65435">
        <w:rPr>
          <w:rFonts w:eastAsia="Arial Unicode MS"/>
          <w:bCs/>
          <w:lang w:eastAsia="fr-FR" w:bidi="he-IL"/>
        </w:rPr>
        <w:t xml:space="preserve">, </w:t>
      </w:r>
      <w:r w:rsidRPr="00C8701B">
        <w:rPr>
          <w:rFonts w:eastAsia="Arial Unicode MS"/>
          <w:bCs/>
          <w:lang w:eastAsia="fr-FR" w:bidi="he-IL"/>
        </w:rPr>
        <w:t>modifient légèrement la représentation</w:t>
      </w:r>
      <w:r w:rsidR="00E65435">
        <w:rPr>
          <w:rFonts w:eastAsia="Arial Unicode MS"/>
          <w:bCs/>
          <w:lang w:eastAsia="fr-FR" w:bidi="he-IL"/>
        </w:rPr>
        <w:t xml:space="preserve">, </w:t>
      </w:r>
      <w:r w:rsidRPr="00C8701B">
        <w:rPr>
          <w:rFonts w:eastAsia="Arial Unicode MS"/>
          <w:bCs/>
          <w:lang w:eastAsia="fr-FR" w:bidi="he-IL"/>
        </w:rPr>
        <w:t>en ajoutant à chaque animal un nimbe et un livre fermé</w:t>
      </w:r>
      <w:r w:rsidR="003A68DB">
        <w:rPr>
          <w:rFonts w:eastAsia="Arial Unicode MS"/>
          <w:bCs/>
          <w:lang w:eastAsia="fr-FR" w:bidi="he-IL"/>
        </w:rPr>
        <w:t> </w:t>
      </w:r>
      <w:r w:rsidR="003A68DB" w:rsidRPr="00C406FF">
        <w:rPr>
          <w:rStyle w:val="Appelnotedebasdep"/>
        </w:rPr>
        <w:footnoteReference w:id="55"/>
      </w:r>
      <w:r w:rsidR="00C2602D" w:rsidRPr="00C8701B">
        <w:rPr>
          <w:rFonts w:eastAsia="Arial Unicode MS"/>
          <w:bCs/>
          <w:lang w:eastAsia="fr-FR" w:bidi="he-IL"/>
        </w:rPr>
        <w:t> :</w:t>
      </w:r>
      <w:r w:rsidRPr="00C8701B">
        <w:rPr>
          <w:rFonts w:eastAsia="Arial Unicode MS"/>
          <w:bCs/>
          <w:lang w:eastAsia="fr-FR" w:bidi="he-IL"/>
        </w:rPr>
        <w:t xml:space="preserve"> coutume qui alla se perpétuant sur les ivoires</w:t>
      </w:r>
      <w:r w:rsidR="00E65435">
        <w:rPr>
          <w:rFonts w:eastAsia="Arial Unicode MS"/>
          <w:bCs/>
          <w:lang w:eastAsia="fr-FR" w:bidi="he-IL"/>
        </w:rPr>
        <w:t xml:space="preserve">, </w:t>
      </w:r>
      <w:r w:rsidRPr="00C8701B">
        <w:rPr>
          <w:rFonts w:eastAsia="Arial Unicode MS"/>
          <w:bCs/>
          <w:lang w:eastAsia="fr-FR" w:bidi="he-IL"/>
        </w:rPr>
        <w:t>les croix pectorales</w:t>
      </w:r>
      <w:r w:rsidR="00E65435">
        <w:rPr>
          <w:rFonts w:eastAsia="Arial Unicode MS"/>
          <w:bCs/>
          <w:lang w:eastAsia="fr-FR" w:bidi="he-IL"/>
        </w:rPr>
        <w:t xml:space="preserve">, </w:t>
      </w:r>
      <w:r w:rsidRPr="00C8701B">
        <w:rPr>
          <w:rFonts w:eastAsia="Arial Unicode MS"/>
          <w:bCs/>
          <w:lang w:eastAsia="fr-FR" w:bidi="he-IL"/>
        </w:rPr>
        <w:t>les monnaies</w:t>
      </w:r>
      <w:r w:rsidR="00E65435">
        <w:rPr>
          <w:rFonts w:eastAsia="Arial Unicode MS"/>
          <w:bCs/>
          <w:lang w:eastAsia="fr-FR" w:bidi="he-IL"/>
        </w:rPr>
        <w:t xml:space="preserve">, </w:t>
      </w:r>
      <w:r w:rsidRPr="00C8701B">
        <w:rPr>
          <w:rFonts w:eastAsia="Arial Unicode MS"/>
          <w:bCs/>
          <w:lang w:eastAsia="fr-FR" w:bidi="he-IL"/>
        </w:rPr>
        <w:t>les miniatures soit de l</w:t>
      </w:r>
      <w:r w:rsidR="00557DE0">
        <w:rPr>
          <w:rFonts w:eastAsia="Arial Unicode MS"/>
          <w:bCs/>
          <w:lang w:eastAsia="fr-FR" w:bidi="he-IL"/>
        </w:rPr>
        <w:t>’</w:t>
      </w:r>
      <w:r w:rsidRPr="00C8701B">
        <w:rPr>
          <w:rFonts w:eastAsia="Arial Unicode MS"/>
          <w:bCs/>
          <w:lang w:eastAsia="fr-FR" w:bidi="he-IL"/>
        </w:rPr>
        <w:t>antiquité</w:t>
      </w:r>
      <w:r w:rsidR="00E65435">
        <w:rPr>
          <w:rFonts w:eastAsia="Arial Unicode MS"/>
          <w:bCs/>
          <w:lang w:eastAsia="fr-FR" w:bidi="he-IL"/>
        </w:rPr>
        <w:t xml:space="preserve">, </w:t>
      </w:r>
      <w:r w:rsidRPr="00C8701B">
        <w:rPr>
          <w:rFonts w:eastAsia="Arial Unicode MS"/>
          <w:bCs/>
          <w:lang w:eastAsia="fr-FR" w:bidi="he-IL"/>
        </w:rPr>
        <w:t>soit du moyen-âge</w:t>
      </w:r>
      <w:r w:rsidR="00946A1C">
        <w:rPr>
          <w:rFonts w:eastAsia="Arial Unicode MS"/>
          <w:bCs/>
          <w:lang w:eastAsia="fr-FR" w:bidi="he-IL"/>
        </w:rPr>
        <w:t> </w:t>
      </w:r>
      <w:r w:rsidR="00946A1C" w:rsidRPr="00C406FF">
        <w:rPr>
          <w:rStyle w:val="Appelnotedebasdep"/>
        </w:rPr>
        <w:footnoteReference w:id="56"/>
      </w:r>
      <w:r w:rsidRPr="00C8701B">
        <w:rPr>
          <w:rFonts w:eastAsia="Arial Unicode MS"/>
          <w:bCs/>
          <w:lang w:eastAsia="fr-FR" w:bidi="he-IL"/>
        </w:rPr>
        <w:t>.</w:t>
      </w:r>
      <w:r w:rsidR="00C2602D" w:rsidRPr="00C8701B">
        <w:rPr>
          <w:rFonts w:eastAsia="Arial Unicode MS"/>
          <w:bCs/>
          <w:lang w:eastAsia="fr-FR" w:bidi="he-IL"/>
        </w:rPr>
        <w:t xml:space="preserve"> </w:t>
      </w:r>
      <w:r w:rsidR="000716BB" w:rsidRPr="000716BB">
        <w:rPr>
          <w:rFonts w:eastAsia="Arial Unicode MS"/>
          <w:bCs/>
          <w:lang w:eastAsia="fr-FR" w:bidi="he-IL"/>
        </w:rPr>
        <w:t>{</w:t>
      </w:r>
      <w:r w:rsidR="000716BB">
        <w:rPr>
          <w:rFonts w:eastAsia="Arial Unicode MS"/>
          <w:bCs/>
          <w:lang w:eastAsia="fr-FR" w:bidi="he-IL"/>
        </w:rPr>
        <w:t>9</w:t>
      </w:r>
      <w:bookmarkStart w:id="17" w:name="pag009"/>
      <w:bookmarkEnd w:id="17"/>
      <w:r w:rsidR="000716BB" w:rsidRPr="000716BB">
        <w:rPr>
          <w:rFonts w:eastAsia="Arial Unicode MS"/>
          <w:bCs/>
          <w:lang w:eastAsia="fr-FR" w:bidi="he-IL"/>
        </w:rPr>
        <w:t>}</w:t>
      </w:r>
    </w:p>
    <w:p w:rsidR="00C2602D" w:rsidRPr="00C8701B" w:rsidRDefault="00B704AD" w:rsidP="00C2602D">
      <w:pPr>
        <w:rPr>
          <w:rFonts w:eastAsia="Arial Unicode MS"/>
          <w:bCs/>
          <w:lang w:eastAsia="fr-FR" w:bidi="he-IL"/>
        </w:rPr>
      </w:pPr>
      <w:r w:rsidRPr="00C8701B">
        <w:rPr>
          <w:rFonts w:eastAsia="Arial Unicode MS"/>
          <w:bCs/>
          <w:lang w:eastAsia="fr-FR" w:bidi="he-IL"/>
        </w:rPr>
        <w:t>Plus tard</w:t>
      </w:r>
      <w:r w:rsidR="00E65435">
        <w:rPr>
          <w:rFonts w:eastAsia="Arial Unicode MS"/>
          <w:bCs/>
          <w:lang w:eastAsia="fr-FR" w:bidi="he-IL"/>
        </w:rPr>
        <w:t xml:space="preserve">, </w:t>
      </w:r>
      <w:r w:rsidRPr="00C8701B">
        <w:rPr>
          <w:rFonts w:eastAsia="Arial Unicode MS"/>
          <w:bCs/>
          <w:lang w:eastAsia="fr-FR" w:bidi="he-IL"/>
        </w:rPr>
        <w:t>aux quatre symboles on ajouta quatre personnages nimbés</w:t>
      </w:r>
      <w:r w:rsidR="00E65435">
        <w:rPr>
          <w:rFonts w:eastAsia="Arial Unicode MS"/>
          <w:bCs/>
          <w:lang w:eastAsia="fr-FR" w:bidi="he-IL"/>
        </w:rPr>
        <w:t xml:space="preserve">, </w:t>
      </w:r>
      <w:r w:rsidRPr="00C8701B">
        <w:rPr>
          <w:rFonts w:eastAsia="Arial Unicode MS"/>
          <w:bCs/>
          <w:lang w:eastAsia="fr-FR" w:bidi="he-IL"/>
        </w:rPr>
        <w:t>tantôt debout</w:t>
      </w:r>
      <w:r w:rsidR="00E65435">
        <w:rPr>
          <w:rFonts w:eastAsia="Arial Unicode MS"/>
          <w:bCs/>
          <w:lang w:eastAsia="fr-FR" w:bidi="he-IL"/>
        </w:rPr>
        <w:t xml:space="preserve">, </w:t>
      </w:r>
      <w:r w:rsidRPr="00C8701B">
        <w:rPr>
          <w:rFonts w:eastAsia="Arial Unicode MS"/>
          <w:bCs/>
          <w:lang w:eastAsia="fr-FR" w:bidi="he-IL"/>
        </w:rPr>
        <w:t>et tenant à la main un livre fermé (très rarement ouvert)</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tantôt assis</w:t>
      </w:r>
      <w:r w:rsidR="00E65435">
        <w:rPr>
          <w:rFonts w:eastAsia="Arial Unicode MS"/>
          <w:bCs/>
          <w:lang w:eastAsia="fr-FR" w:bidi="he-IL"/>
        </w:rPr>
        <w:t xml:space="preserve">, </w:t>
      </w:r>
      <w:r w:rsidRPr="00C8701B">
        <w:rPr>
          <w:rFonts w:eastAsia="Arial Unicode MS"/>
          <w:bCs/>
          <w:lang w:eastAsia="fr-FR" w:bidi="he-IL"/>
        </w:rPr>
        <w:t>et écrivant</w:t>
      </w:r>
      <w:r w:rsidR="00E65435">
        <w:rPr>
          <w:rFonts w:eastAsia="Arial Unicode MS"/>
          <w:bCs/>
          <w:lang w:eastAsia="fr-FR" w:bidi="he-IL"/>
        </w:rPr>
        <w:t xml:space="preserve">, </w:t>
      </w:r>
      <w:r w:rsidRPr="00C8701B">
        <w:rPr>
          <w:rFonts w:eastAsia="Arial Unicode MS"/>
          <w:bCs/>
          <w:lang w:eastAsia="fr-FR" w:bidi="he-IL"/>
        </w:rPr>
        <w:t>ou bien ayant simplement à côté d</w:t>
      </w:r>
      <w:r w:rsidR="00557DE0">
        <w:rPr>
          <w:rFonts w:eastAsia="Arial Unicode MS"/>
          <w:bCs/>
          <w:lang w:eastAsia="fr-FR" w:bidi="he-IL"/>
        </w:rPr>
        <w:t>’</w:t>
      </w:r>
      <w:r w:rsidRPr="00C8701B">
        <w:rPr>
          <w:rFonts w:eastAsia="Arial Unicode MS"/>
          <w:bCs/>
          <w:lang w:eastAsia="fr-FR" w:bidi="he-IL"/>
        </w:rPr>
        <w:t>eux une petite table munie de tout ce qu</w:t>
      </w:r>
      <w:r w:rsidR="00557DE0">
        <w:rPr>
          <w:rFonts w:eastAsia="Arial Unicode MS"/>
          <w:bCs/>
          <w:lang w:eastAsia="fr-FR" w:bidi="he-IL"/>
        </w:rPr>
        <w:t>’</w:t>
      </w:r>
      <w:r w:rsidRPr="00C8701B">
        <w:rPr>
          <w:rFonts w:eastAsia="Arial Unicode MS"/>
          <w:bCs/>
          <w:lang w:eastAsia="fr-FR" w:bidi="he-IL"/>
        </w:rPr>
        <w:t>il faut pour écrire</w:t>
      </w:r>
      <w:r w:rsidR="00946A1C">
        <w:rPr>
          <w:rFonts w:eastAsia="Arial Unicode MS"/>
          <w:bCs/>
          <w:lang w:eastAsia="fr-FR" w:bidi="he-IL"/>
        </w:rPr>
        <w:t> </w:t>
      </w:r>
      <w:r w:rsidR="00946A1C" w:rsidRPr="00C406FF">
        <w:rPr>
          <w:rStyle w:val="Appelnotedebasdep"/>
        </w:rPr>
        <w:footnoteReference w:id="57"/>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E6137B">
      <w:pPr>
        <w:rPr>
          <w:rFonts w:eastAsia="Arial Unicode MS"/>
          <w:bCs/>
          <w:lang w:eastAsia="fr-FR" w:bidi="he-IL"/>
        </w:rPr>
      </w:pPr>
      <w:r w:rsidRPr="00C8701B">
        <w:rPr>
          <w:rFonts w:eastAsia="Arial Unicode MS"/>
          <w:bCs/>
          <w:lang w:eastAsia="fr-FR" w:bidi="he-IL"/>
        </w:rPr>
        <w:t>M. Rohault de Fleury</w:t>
      </w:r>
      <w:r w:rsidR="00E65435">
        <w:rPr>
          <w:rFonts w:eastAsia="Arial Unicode MS"/>
          <w:bCs/>
          <w:lang w:eastAsia="fr-FR" w:bidi="he-IL"/>
        </w:rPr>
        <w:t xml:space="preserve">, </w:t>
      </w:r>
      <w:r w:rsidRPr="00C8701B">
        <w:rPr>
          <w:rFonts w:eastAsia="Arial Unicode MS"/>
          <w:bCs/>
          <w:lang w:eastAsia="fr-FR" w:bidi="he-IL"/>
        </w:rPr>
        <w:t>dans son bel ouvrage</w:t>
      </w:r>
      <w:r w:rsidRPr="00DC4586">
        <w:rPr>
          <w:rStyle w:val="italicus"/>
        </w:rPr>
        <w:t xml:space="preserve"> l</w:t>
      </w:r>
      <w:r w:rsidR="00557DE0">
        <w:rPr>
          <w:rStyle w:val="italicus"/>
        </w:rPr>
        <w:t>’</w:t>
      </w:r>
      <w:r w:rsidR="000439E9" w:rsidRPr="00DC4586">
        <w:rPr>
          <w:rStyle w:val="italicus"/>
        </w:rPr>
        <w:t>Évangile</w:t>
      </w:r>
      <w:r w:rsidR="00E65435">
        <w:rPr>
          <w:rStyle w:val="italicus"/>
        </w:rPr>
        <w:t xml:space="preserve">, </w:t>
      </w:r>
      <w:r w:rsidR="00E6137B">
        <w:rPr>
          <w:rStyle w:val="italicus"/>
        </w:rPr>
        <w:t>Ét</w:t>
      </w:r>
      <w:r w:rsidR="00E6137B" w:rsidRPr="00DC4586">
        <w:rPr>
          <w:rStyle w:val="italicus"/>
        </w:rPr>
        <w:t>udes</w:t>
      </w:r>
      <w:r w:rsidRPr="00DC4586">
        <w:rPr>
          <w:rStyle w:val="italicus"/>
        </w:rPr>
        <w:t xml:space="preserve"> </w:t>
      </w:r>
      <w:r w:rsidR="00E6137B" w:rsidRPr="00DC4586">
        <w:rPr>
          <w:rStyle w:val="italicus"/>
        </w:rPr>
        <w:t>iconographiques</w:t>
      </w:r>
      <w:r w:rsidRPr="00DC4586">
        <w:rPr>
          <w:rStyle w:val="italicus"/>
        </w:rPr>
        <w:t xml:space="preserve"> et archéologiques</w:t>
      </w:r>
      <w:r w:rsidR="00946A1C">
        <w:t> </w:t>
      </w:r>
      <w:r w:rsidR="00946A1C" w:rsidRPr="00C406FF">
        <w:rPr>
          <w:rStyle w:val="Appelnotedebasdep"/>
        </w:rPr>
        <w:footnoteReference w:id="58"/>
      </w:r>
      <w:r w:rsidR="00E65435">
        <w:rPr>
          <w:rFonts w:eastAsia="Arial Unicode MS"/>
          <w:bCs/>
          <w:lang w:eastAsia="fr-FR" w:bidi="he-IL"/>
        </w:rPr>
        <w:t xml:space="preserve">, </w:t>
      </w:r>
      <w:r w:rsidR="00E6137B">
        <w:rPr>
          <w:rFonts w:eastAsia="Arial Unicode MS"/>
          <w:bCs/>
          <w:lang w:eastAsia="fr-FR" w:bidi="he-IL"/>
        </w:rPr>
        <w:t>reproduit au f</w:t>
      </w:r>
      <w:r w:rsidRPr="00C8701B">
        <w:rPr>
          <w:rFonts w:eastAsia="Arial Unicode MS"/>
          <w:bCs/>
          <w:lang w:eastAsia="fr-FR" w:bidi="he-IL"/>
        </w:rPr>
        <w:t xml:space="preserve">rontispice du tome </w:t>
      </w:r>
      <w:r w:rsidR="00E6137B">
        <w:rPr>
          <w:rFonts w:eastAsia="Arial Unicode MS"/>
          <w:bCs/>
          <w:lang w:eastAsia="fr-FR" w:bidi="he-IL"/>
        </w:rPr>
        <w:t>I,</w:t>
      </w:r>
      <w:r w:rsidRPr="00C8701B">
        <w:rPr>
          <w:rFonts w:eastAsia="Arial Unicode MS"/>
          <w:bCs/>
          <w:lang w:eastAsia="fr-FR" w:bidi="he-IL"/>
        </w:rPr>
        <w:t xml:space="preserve"> d</w:t>
      </w:r>
      <w:r w:rsidR="00557DE0">
        <w:rPr>
          <w:rFonts w:eastAsia="Arial Unicode MS"/>
          <w:bCs/>
          <w:lang w:eastAsia="fr-FR" w:bidi="he-IL"/>
        </w:rPr>
        <w:t>’</w:t>
      </w:r>
      <w:r w:rsidRPr="00C8701B">
        <w:rPr>
          <w:rFonts w:eastAsia="Arial Unicode MS"/>
          <w:bCs/>
          <w:lang w:eastAsia="fr-FR" w:bidi="he-IL"/>
        </w:rPr>
        <w:t>après une gravure conservée à la Bibliothèque de l</w:t>
      </w:r>
      <w:r w:rsidR="00557DE0">
        <w:rPr>
          <w:rFonts w:eastAsia="Arial Unicode MS"/>
          <w:bCs/>
          <w:lang w:eastAsia="fr-FR" w:bidi="he-IL"/>
        </w:rPr>
        <w:t>’</w:t>
      </w:r>
      <w:r w:rsidRPr="00C8701B">
        <w:rPr>
          <w:rFonts w:eastAsia="Arial Unicode MS"/>
          <w:bCs/>
          <w:lang w:eastAsia="fr-FR" w:bidi="he-IL"/>
        </w:rPr>
        <w:t>Arsenal</w:t>
      </w:r>
      <w:r w:rsidR="00E65435">
        <w:rPr>
          <w:rFonts w:eastAsia="Arial Unicode MS"/>
          <w:bCs/>
          <w:lang w:eastAsia="fr-FR" w:bidi="he-IL"/>
        </w:rPr>
        <w:t xml:space="preserve">, </w:t>
      </w:r>
      <w:r w:rsidRPr="00C8701B">
        <w:rPr>
          <w:rFonts w:eastAsia="Arial Unicode MS"/>
          <w:bCs/>
          <w:lang w:eastAsia="fr-FR" w:bidi="he-IL"/>
        </w:rPr>
        <w:t>une carte des voyages de N.-S. Jésus-Christ</w:t>
      </w:r>
      <w:r w:rsidR="00E65435">
        <w:rPr>
          <w:rFonts w:eastAsia="Arial Unicode MS"/>
          <w:bCs/>
          <w:lang w:eastAsia="fr-FR" w:bidi="he-IL"/>
        </w:rPr>
        <w:t xml:space="preserve">, </w:t>
      </w:r>
      <w:r w:rsidRPr="00C8701B">
        <w:rPr>
          <w:rFonts w:eastAsia="Arial Unicode MS"/>
          <w:bCs/>
          <w:lang w:eastAsia="fr-FR" w:bidi="he-IL"/>
        </w:rPr>
        <w:t>au sommet de laquelle on voit ce charmant croquis</w:t>
      </w:r>
      <w:r w:rsidR="00C2602D" w:rsidRPr="00C8701B">
        <w:rPr>
          <w:rFonts w:eastAsia="Arial Unicode MS"/>
          <w:bCs/>
          <w:lang w:eastAsia="fr-FR" w:bidi="he-IL"/>
        </w:rPr>
        <w:t> :</w:t>
      </w:r>
      <w:r w:rsidRPr="00C8701B">
        <w:rPr>
          <w:rFonts w:eastAsia="Arial Unicode MS"/>
          <w:bCs/>
          <w:lang w:eastAsia="fr-FR" w:bidi="he-IL"/>
        </w:rPr>
        <w:t xml:space="preserve"> un personnage assis</w:t>
      </w:r>
      <w:r w:rsidR="00E65435">
        <w:rPr>
          <w:rFonts w:eastAsia="Arial Unicode MS"/>
          <w:bCs/>
          <w:lang w:eastAsia="fr-FR" w:bidi="he-IL"/>
        </w:rPr>
        <w:t xml:space="preserve">, </w:t>
      </w:r>
      <w:r w:rsidRPr="00C8701B">
        <w:rPr>
          <w:rFonts w:eastAsia="Arial Unicode MS"/>
          <w:bCs/>
          <w:lang w:eastAsia="fr-FR" w:bidi="he-IL"/>
        </w:rPr>
        <w:t>qui écrit</w:t>
      </w:r>
      <w:r w:rsidR="00E65435">
        <w:rPr>
          <w:rFonts w:eastAsia="Arial Unicode MS"/>
          <w:bCs/>
          <w:lang w:eastAsia="fr-FR" w:bidi="he-IL"/>
        </w:rPr>
        <w:t xml:space="preserve">, </w:t>
      </w:r>
      <w:r w:rsidRPr="00C8701B">
        <w:rPr>
          <w:rFonts w:eastAsia="Arial Unicode MS"/>
          <w:bCs/>
          <w:lang w:eastAsia="fr-FR" w:bidi="he-IL"/>
        </w:rPr>
        <w:t>dans une belle et grave attitude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son siège est supporté par un lion et un taureau ailés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au-dessus de sa tête planent un ange et un aigle. Spirituelle traduction </w:t>
      </w:r>
      <w:r w:rsidRPr="00E6137B">
        <w:t xml:space="preserve">de </w:t>
      </w:r>
      <w:r w:rsidR="00E6137B">
        <w:t>l</w:t>
      </w:r>
      <w:r w:rsidR="00557DE0">
        <w:t>’</w:t>
      </w:r>
      <w:r w:rsidR="00F12048" w:rsidRPr="00E6137B">
        <w:t>εὐ</w:t>
      </w:r>
      <w:r w:rsidR="00A74F01">
        <w:t>α</w:t>
      </w:r>
      <w:r w:rsidR="00F12048" w:rsidRPr="00E6137B">
        <w:t>γ</w:t>
      </w:r>
      <w:r w:rsidRPr="00E6137B">
        <w:t>γ</w:t>
      </w:r>
      <w:r w:rsidR="00C771BF">
        <w:t>έ</w:t>
      </w:r>
      <w:r w:rsidRPr="00E6137B">
        <w:t>λ</w:t>
      </w:r>
      <w:r w:rsidR="00E6137B" w:rsidRPr="00E6137B">
        <w:t>ιον</w:t>
      </w:r>
      <w:r w:rsidRPr="00C8701B">
        <w:rPr>
          <w:rFonts w:eastAsia="Arial Unicode MS"/>
          <w:bCs/>
          <w:lang w:val="el-GR" w:eastAsia="fr-FR" w:bidi="he-IL"/>
        </w:rPr>
        <w:t xml:space="preserve"> </w:t>
      </w:r>
      <w:r w:rsidR="00E6137B" w:rsidRPr="00E6137B">
        <w:t>τετρ</w:t>
      </w:r>
      <w:r w:rsidR="00CD3C57">
        <w:t>ά</w:t>
      </w:r>
      <w:r w:rsidR="00E6137B" w:rsidRPr="00E6137B">
        <w:t>μορφον</w:t>
      </w:r>
      <w:r w:rsidR="00946A1C">
        <w:t> </w:t>
      </w:r>
      <w:r w:rsidR="00946A1C" w:rsidRPr="00C406FF">
        <w:rPr>
          <w:rStyle w:val="Appelnotedebasdep"/>
        </w:rPr>
        <w:footnoteReference w:id="59"/>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3° Signalons encore d</w:t>
      </w:r>
      <w:r w:rsidR="00557DE0">
        <w:rPr>
          <w:rFonts w:eastAsia="Arial Unicode MS"/>
          <w:bCs/>
          <w:lang w:eastAsia="fr-FR" w:bidi="he-IL"/>
        </w:rPr>
        <w:t>’</w:t>
      </w:r>
      <w:r w:rsidRPr="00C8701B">
        <w:rPr>
          <w:rFonts w:eastAsia="Arial Unicode MS"/>
          <w:bCs/>
          <w:lang w:eastAsia="fr-FR" w:bidi="he-IL"/>
        </w:rPr>
        <w:t>autres représentations artistiques des quatre évangélistes</w:t>
      </w:r>
      <w:r w:rsidR="00E65435">
        <w:rPr>
          <w:rFonts w:eastAsia="Arial Unicode MS"/>
          <w:bCs/>
          <w:lang w:eastAsia="fr-FR" w:bidi="he-IL"/>
        </w:rPr>
        <w:t xml:space="preserve">, </w:t>
      </w:r>
      <w:r w:rsidRPr="00C8701B">
        <w:rPr>
          <w:rFonts w:eastAsia="Arial Unicode MS"/>
          <w:bCs/>
          <w:lang w:eastAsia="fr-FR" w:bidi="he-IL"/>
        </w:rPr>
        <w:t>mais indépendantes des symboles dont nous venons de parler.</w:t>
      </w:r>
      <w:r w:rsidR="00C2602D" w:rsidRPr="00C8701B">
        <w:rPr>
          <w:rFonts w:eastAsia="Arial Unicode MS"/>
          <w:bCs/>
          <w:lang w:eastAsia="fr-FR" w:bidi="he-IL"/>
        </w:rPr>
        <w:t xml:space="preserve"> </w:t>
      </w:r>
    </w:p>
    <w:p w:rsidR="00C2602D" w:rsidRPr="00C8701B" w:rsidRDefault="00B704AD" w:rsidP="00E6137B">
      <w:pPr>
        <w:rPr>
          <w:rFonts w:eastAsia="Arial Unicode MS"/>
          <w:bCs/>
          <w:lang w:eastAsia="fr-FR" w:bidi="he-IL"/>
        </w:rPr>
      </w:pPr>
      <w:r w:rsidRPr="00C8701B">
        <w:rPr>
          <w:rFonts w:eastAsia="Arial Unicode MS"/>
          <w:bCs/>
          <w:lang w:eastAsia="fr-FR" w:bidi="he-IL"/>
        </w:rPr>
        <w:t>Des monuments très anciens désignent les quatre biographes de Jésus par de simples rouleaux ou</w:t>
      </w:r>
      <w:r w:rsidRPr="00DC4586">
        <w:rPr>
          <w:rStyle w:val="italicus"/>
        </w:rPr>
        <w:t xml:space="preserve"> </w:t>
      </w:r>
      <w:r w:rsidR="00E6137B" w:rsidRPr="00DC4586">
        <w:rPr>
          <w:rStyle w:val="italicus"/>
        </w:rPr>
        <w:t>volúmina</w:t>
      </w:r>
      <w:r w:rsidR="00946A1C">
        <w:t> </w:t>
      </w:r>
      <w:r w:rsidR="00946A1C" w:rsidRPr="00C406FF">
        <w:rPr>
          <w:rStyle w:val="Appelnotedebasdep"/>
        </w:rPr>
        <w:footnoteReference w:id="60"/>
      </w:r>
      <w:r w:rsidR="00E65435">
        <w:rPr>
          <w:rFonts w:eastAsia="Arial Unicode MS"/>
          <w:bCs/>
          <w:lang w:eastAsia="fr-FR" w:bidi="he-IL"/>
        </w:rPr>
        <w:t xml:space="preserve">, </w:t>
      </w:r>
      <w:r w:rsidRPr="00C8701B">
        <w:rPr>
          <w:rFonts w:eastAsia="Arial Unicode MS"/>
          <w:bCs/>
          <w:lang w:eastAsia="fr-FR" w:bidi="he-IL"/>
        </w:rPr>
        <w:t>déposés aux pieds du divin Maître</w:t>
      </w:r>
      <w:r w:rsidR="00E65435">
        <w:rPr>
          <w:rFonts w:eastAsia="Arial Unicode MS"/>
          <w:bCs/>
          <w:lang w:eastAsia="fr-FR" w:bidi="he-IL"/>
        </w:rPr>
        <w:t xml:space="preserve">, </w:t>
      </w:r>
      <w:r w:rsidR="00E6137B">
        <w:rPr>
          <w:rFonts w:eastAsia="Arial Unicode MS"/>
          <w:bCs/>
          <w:lang w:eastAsia="fr-FR" w:bidi="he-IL"/>
        </w:rPr>
        <w:t>et marqués aux noms de Matthǽ</w:t>
      </w:r>
      <w:r w:rsidRPr="00C8701B">
        <w:rPr>
          <w:rFonts w:eastAsia="Arial Unicode MS"/>
          <w:bCs/>
          <w:lang w:eastAsia="fr-FR" w:bidi="he-IL"/>
        </w:rPr>
        <w:t>us</w:t>
      </w:r>
      <w:r w:rsidR="00E65435">
        <w:rPr>
          <w:rFonts w:eastAsia="Arial Unicode MS"/>
          <w:bCs/>
          <w:lang w:eastAsia="fr-FR" w:bidi="he-IL"/>
        </w:rPr>
        <w:t xml:space="preserve">, </w:t>
      </w:r>
      <w:r w:rsidRPr="00C8701B">
        <w:rPr>
          <w:rFonts w:eastAsia="Arial Unicode MS"/>
          <w:bCs/>
          <w:lang w:eastAsia="fr-FR" w:bidi="he-IL"/>
        </w:rPr>
        <w:t>Marcus</w:t>
      </w:r>
      <w:r w:rsidR="00E65435">
        <w:rPr>
          <w:rFonts w:eastAsia="Arial Unicode MS"/>
          <w:bCs/>
          <w:lang w:eastAsia="fr-FR" w:bidi="he-IL"/>
        </w:rPr>
        <w:t xml:space="preserve">, </w:t>
      </w:r>
      <w:r w:rsidRPr="00C8701B">
        <w:rPr>
          <w:rFonts w:eastAsia="Arial Unicode MS"/>
          <w:bCs/>
          <w:lang w:eastAsia="fr-FR" w:bidi="he-IL"/>
        </w:rPr>
        <w:t>Lucas</w:t>
      </w:r>
      <w:r w:rsidR="00E65435">
        <w:rPr>
          <w:rFonts w:eastAsia="Arial Unicode MS"/>
          <w:bCs/>
          <w:lang w:eastAsia="fr-FR" w:bidi="he-IL"/>
        </w:rPr>
        <w:t xml:space="preserve">, </w:t>
      </w:r>
      <w:r w:rsidR="002F5969" w:rsidRPr="00C8701B">
        <w:rPr>
          <w:rFonts w:eastAsia="Arial Unicode MS"/>
          <w:bCs/>
          <w:lang w:eastAsia="fr-FR" w:bidi="he-IL"/>
        </w:rPr>
        <w:t>Joánnes</w:t>
      </w:r>
      <w:r w:rsidR="00946A1C">
        <w:rPr>
          <w:rFonts w:eastAsia="Arial Unicode MS"/>
          <w:bCs/>
          <w:lang w:eastAsia="fr-FR" w:bidi="he-IL"/>
        </w:rPr>
        <w:t> </w:t>
      </w:r>
      <w:r w:rsidR="00946A1C" w:rsidRPr="00C406FF">
        <w:rPr>
          <w:rStyle w:val="Appelnotedebasdep"/>
        </w:rPr>
        <w:footnoteReference w:id="61"/>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ou bien</w:t>
      </w:r>
      <w:r w:rsidR="00E65435">
        <w:rPr>
          <w:rFonts w:eastAsia="Arial Unicode MS"/>
          <w:bCs/>
          <w:lang w:eastAsia="fr-FR" w:bidi="he-IL"/>
        </w:rPr>
        <w:t xml:space="preserve">, </w:t>
      </w:r>
      <w:r w:rsidRPr="00C8701B">
        <w:rPr>
          <w:rFonts w:eastAsia="Arial Unicode MS"/>
          <w:bCs/>
          <w:lang w:eastAsia="fr-FR" w:bidi="he-IL"/>
        </w:rPr>
        <w:t>par quatre fleuves qui ont leur source auprès de l</w:t>
      </w:r>
      <w:r w:rsidR="00557DE0">
        <w:rPr>
          <w:rFonts w:eastAsia="Arial Unicode MS"/>
          <w:bCs/>
          <w:lang w:eastAsia="fr-FR" w:bidi="he-IL"/>
        </w:rPr>
        <w:t>’</w:t>
      </w:r>
      <w:r w:rsidRPr="00C8701B">
        <w:rPr>
          <w:rFonts w:eastAsia="Arial Unicode MS"/>
          <w:bCs/>
          <w:lang w:eastAsia="fr-FR" w:bidi="he-IL"/>
        </w:rPr>
        <w:t>Agneau de Dieu</w:t>
      </w:r>
      <w:r w:rsidR="00E65435">
        <w:rPr>
          <w:rFonts w:eastAsia="Arial Unicode MS"/>
          <w:bCs/>
          <w:lang w:eastAsia="fr-FR" w:bidi="he-IL"/>
        </w:rPr>
        <w:t xml:space="preserve">, </w:t>
      </w:r>
      <w:r w:rsidRPr="00C8701B">
        <w:rPr>
          <w:rFonts w:eastAsia="Arial Unicode MS"/>
          <w:bCs/>
          <w:lang w:eastAsia="fr-FR" w:bidi="he-IL"/>
        </w:rPr>
        <w:t>ou de son monogramme</w:t>
      </w:r>
      <w:r w:rsidR="00946A1C">
        <w:rPr>
          <w:rFonts w:eastAsia="Arial Unicode MS"/>
          <w:bCs/>
          <w:lang w:eastAsia="fr-FR" w:bidi="he-IL"/>
        </w:rPr>
        <w:t> </w:t>
      </w:r>
      <w:r w:rsidR="00946A1C" w:rsidRPr="00C406FF">
        <w:rPr>
          <w:rStyle w:val="Appelnotedebasdep"/>
        </w:rPr>
        <w:footnoteReference w:id="62"/>
      </w:r>
      <w:r w:rsidRPr="00C8701B">
        <w:rPr>
          <w:rFonts w:eastAsia="Arial Unicode MS"/>
          <w:bCs/>
          <w:lang w:eastAsia="fr-FR" w:bidi="he-IL"/>
        </w:rPr>
        <w:t>. Quelquefois</w:t>
      </w:r>
      <w:r w:rsidR="00E65435">
        <w:rPr>
          <w:rFonts w:eastAsia="Arial Unicode MS"/>
          <w:bCs/>
          <w:lang w:eastAsia="fr-FR" w:bidi="he-IL"/>
        </w:rPr>
        <w:t xml:space="preserve">, </w:t>
      </w:r>
      <w:r w:rsidRPr="00C8701B">
        <w:rPr>
          <w:rFonts w:eastAsia="Arial Unicode MS"/>
          <w:bCs/>
          <w:lang w:eastAsia="fr-FR" w:bidi="he-IL"/>
        </w:rPr>
        <w:t>comme sur le sarcophage d</w:t>
      </w:r>
      <w:r w:rsidR="00557DE0">
        <w:rPr>
          <w:rFonts w:eastAsia="Arial Unicode MS"/>
          <w:bCs/>
          <w:lang w:eastAsia="fr-FR" w:bidi="he-IL"/>
        </w:rPr>
        <w:t>’</w:t>
      </w:r>
      <w:r w:rsidRPr="00C8701B">
        <w:rPr>
          <w:rFonts w:eastAsia="Arial Unicode MS"/>
          <w:bCs/>
          <w:lang w:eastAsia="fr-FR" w:bidi="he-IL"/>
        </w:rPr>
        <w:t>Apt</w:t>
      </w:r>
      <w:r w:rsidR="00E65435">
        <w:rPr>
          <w:rFonts w:eastAsia="Arial Unicode MS"/>
          <w:bCs/>
          <w:lang w:eastAsia="fr-FR" w:bidi="he-IL"/>
        </w:rPr>
        <w:t xml:space="preserve">, </w:t>
      </w:r>
      <w:r w:rsidRPr="00C8701B">
        <w:rPr>
          <w:rFonts w:eastAsia="Arial Unicode MS"/>
          <w:bCs/>
          <w:lang w:eastAsia="fr-FR" w:bidi="he-IL"/>
        </w:rPr>
        <w:t>les rouleaux sont placés aux pieds des évangélistes eux-mêmes</w:t>
      </w:r>
      <w:r w:rsidR="00946A1C">
        <w:rPr>
          <w:rFonts w:eastAsia="Arial Unicode MS"/>
          <w:bCs/>
          <w:lang w:eastAsia="fr-FR" w:bidi="he-IL"/>
        </w:rPr>
        <w:t> </w:t>
      </w:r>
      <w:r w:rsidR="00946A1C" w:rsidRPr="00C406FF">
        <w:rPr>
          <w:rStyle w:val="Appelnotedebasdep"/>
        </w:rPr>
        <w:footnoteReference w:id="63"/>
      </w:r>
      <w:r w:rsidRPr="00C8701B">
        <w:rPr>
          <w:rFonts w:eastAsia="Arial Unicode MS"/>
          <w:bCs/>
          <w:lang w:eastAsia="fr-FR" w:bidi="he-IL"/>
        </w:rPr>
        <w:t>. Sur le sarcophage d</w:t>
      </w:r>
      <w:r w:rsidR="00557DE0">
        <w:rPr>
          <w:rFonts w:eastAsia="Arial Unicode MS"/>
          <w:bCs/>
          <w:lang w:eastAsia="fr-FR" w:bidi="he-IL"/>
        </w:rPr>
        <w:t>’</w:t>
      </w:r>
      <w:r w:rsidRPr="00C8701B">
        <w:rPr>
          <w:rFonts w:eastAsia="Arial Unicode MS"/>
          <w:bCs/>
          <w:lang w:eastAsia="fr-FR" w:bidi="he-IL"/>
        </w:rPr>
        <w:t>Arles</w:t>
      </w:r>
      <w:r w:rsidR="00E65435">
        <w:rPr>
          <w:rFonts w:eastAsia="Arial Unicode MS"/>
          <w:bCs/>
          <w:lang w:eastAsia="fr-FR" w:bidi="he-IL"/>
        </w:rPr>
        <w:t xml:space="preserve">, </w:t>
      </w:r>
      <w:r w:rsidRPr="00C8701B">
        <w:rPr>
          <w:rFonts w:eastAsia="Arial Unicode MS"/>
          <w:bCs/>
          <w:lang w:eastAsia="fr-FR" w:bidi="he-IL"/>
        </w:rPr>
        <w:t>auprès du Sauveur assis</w:t>
      </w:r>
      <w:r w:rsidR="00E65435">
        <w:rPr>
          <w:rFonts w:eastAsia="Arial Unicode MS"/>
          <w:bCs/>
          <w:lang w:eastAsia="fr-FR" w:bidi="he-IL"/>
        </w:rPr>
        <w:t xml:space="preserve">, </w:t>
      </w:r>
      <w:r w:rsidRPr="00C8701B">
        <w:rPr>
          <w:rFonts w:eastAsia="Arial Unicode MS"/>
          <w:bCs/>
          <w:lang w:eastAsia="fr-FR" w:bidi="he-IL"/>
        </w:rPr>
        <w:t>on voit S. Marc et S. Jean tenant l</w:t>
      </w:r>
      <w:r w:rsidR="00557DE0">
        <w:rPr>
          <w:rFonts w:eastAsia="Arial Unicode MS"/>
          <w:bCs/>
          <w:lang w:eastAsia="fr-FR" w:bidi="he-IL"/>
        </w:rPr>
        <w:t>’</w:t>
      </w:r>
      <w:r w:rsidRPr="00C8701B">
        <w:rPr>
          <w:rFonts w:eastAsia="Arial Unicode MS"/>
          <w:bCs/>
          <w:lang w:eastAsia="fr-FR" w:bidi="he-IL"/>
        </w:rPr>
        <w:t>un et l</w:t>
      </w:r>
      <w:r w:rsidR="00557DE0">
        <w:rPr>
          <w:rFonts w:eastAsia="Arial Unicode MS"/>
          <w:bCs/>
          <w:lang w:eastAsia="fr-FR" w:bidi="he-IL"/>
        </w:rPr>
        <w:t>’</w:t>
      </w:r>
      <w:r w:rsidRPr="00C8701B">
        <w:rPr>
          <w:rFonts w:eastAsia="Arial Unicode MS"/>
          <w:bCs/>
          <w:lang w:eastAsia="fr-FR" w:bidi="he-IL"/>
        </w:rPr>
        <w:t>autre un livre ouvert</w:t>
      </w:r>
      <w:r w:rsidR="00E65435">
        <w:rPr>
          <w:rFonts w:eastAsia="Arial Unicode MS"/>
          <w:bCs/>
          <w:lang w:eastAsia="fr-FR" w:bidi="he-IL"/>
        </w:rPr>
        <w:t xml:space="preserve">, </w:t>
      </w:r>
      <w:r w:rsidRPr="00C8701B">
        <w:rPr>
          <w:rFonts w:eastAsia="Arial Unicode MS"/>
          <w:bCs/>
          <w:lang w:eastAsia="fr-FR" w:bidi="he-IL"/>
        </w:rPr>
        <w:t>tandis que S. Matthieu et S. Luc ont un rouleau à la main</w:t>
      </w:r>
      <w:r w:rsidR="00946A1C">
        <w:rPr>
          <w:rFonts w:eastAsia="Arial Unicode MS"/>
          <w:bCs/>
          <w:lang w:eastAsia="fr-FR" w:bidi="he-IL"/>
        </w:rPr>
        <w:t> </w:t>
      </w:r>
      <w:r w:rsidR="00946A1C" w:rsidRPr="00C406FF">
        <w:rPr>
          <w:rStyle w:val="Appelnotedebasdep"/>
        </w:rPr>
        <w:footnoteReference w:id="64"/>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E6137B">
      <w:pPr>
        <w:rPr>
          <w:rFonts w:eastAsia="Arial Unicode MS"/>
          <w:bCs/>
          <w:lang w:eastAsia="fr-FR" w:bidi="he-IL"/>
        </w:rPr>
      </w:pPr>
      <w:r w:rsidRPr="00C8701B">
        <w:rPr>
          <w:rFonts w:eastAsia="Arial Unicode MS"/>
          <w:bCs/>
          <w:lang w:eastAsia="fr-FR" w:bidi="he-IL"/>
        </w:rPr>
        <w:t>Le fragment de sarcophage découvert à Spolète par M. de Rossi présente un intérêt tout spécial au point de vue qui nous occupe. Cette sculpture</w:t>
      </w:r>
      <w:r w:rsidR="00E65435">
        <w:rPr>
          <w:rFonts w:eastAsia="Arial Unicode MS"/>
          <w:bCs/>
          <w:lang w:eastAsia="fr-FR" w:bidi="he-IL"/>
        </w:rPr>
        <w:t xml:space="preserve">, </w:t>
      </w:r>
      <w:r w:rsidRPr="00C8701B">
        <w:rPr>
          <w:rFonts w:eastAsia="Arial Unicode MS"/>
          <w:bCs/>
          <w:lang w:eastAsia="fr-FR" w:bidi="he-IL"/>
        </w:rPr>
        <w:t xml:space="preserve">qui paraît remonter au </w:t>
      </w:r>
      <w:r w:rsidR="00973B8F">
        <w:rPr>
          <w:rFonts w:eastAsia="Arial Unicode MS"/>
          <w:bCs/>
          <w:lang w:eastAsia="fr-FR" w:bidi="he-IL"/>
        </w:rPr>
        <w:t>IV</w:t>
      </w:r>
      <w:r w:rsidR="00E6137B">
        <w:rPr>
          <w:rFonts w:eastAsia="Arial Unicode MS"/>
          <w:bCs/>
          <w:lang w:eastAsia="fr-FR" w:bidi="he-IL"/>
        </w:rPr>
        <w:t>e</w:t>
      </w:r>
      <w:r w:rsidRPr="00C8701B">
        <w:rPr>
          <w:rFonts w:eastAsia="Arial Unicode MS"/>
          <w:bCs/>
          <w:lang w:eastAsia="fr-FR" w:bidi="he-IL"/>
        </w:rPr>
        <w:t xml:space="preserve"> siècle</w:t>
      </w:r>
      <w:r w:rsidR="00E65435">
        <w:rPr>
          <w:rFonts w:eastAsia="Arial Unicode MS"/>
          <w:bCs/>
          <w:lang w:eastAsia="fr-FR" w:bidi="he-IL"/>
        </w:rPr>
        <w:t xml:space="preserve">, </w:t>
      </w:r>
      <w:r w:rsidRPr="00C8701B">
        <w:rPr>
          <w:rFonts w:eastAsia="Arial Unicode MS"/>
          <w:bCs/>
          <w:lang w:eastAsia="fr-FR" w:bidi="he-IL"/>
        </w:rPr>
        <w:t>figure la barque mystique de l</w:t>
      </w:r>
      <w:r w:rsidR="00557DE0">
        <w:rPr>
          <w:rFonts w:eastAsia="Arial Unicode MS"/>
          <w:bCs/>
          <w:lang w:eastAsia="fr-FR" w:bidi="he-IL"/>
        </w:rPr>
        <w:t>’</w:t>
      </w:r>
      <w:r w:rsidR="00C8701B">
        <w:rPr>
          <w:rFonts w:eastAsia="Arial Unicode MS"/>
          <w:bCs/>
          <w:lang w:eastAsia="fr-FR" w:bidi="he-IL"/>
        </w:rPr>
        <w:t>Église</w:t>
      </w:r>
      <w:r w:rsidR="00C2602D" w:rsidRPr="00C8701B">
        <w:rPr>
          <w:rFonts w:eastAsia="Arial Unicode MS"/>
          <w:bCs/>
          <w:lang w:eastAsia="fr-FR" w:bidi="he-IL"/>
        </w:rPr>
        <w:t> :</w:t>
      </w:r>
      <w:r w:rsidRPr="00C8701B">
        <w:rPr>
          <w:rFonts w:eastAsia="Arial Unicode MS"/>
          <w:bCs/>
          <w:lang w:eastAsia="fr-FR" w:bidi="he-IL"/>
        </w:rPr>
        <w:t xml:space="preserve"> Jésus-Christ lui-même la dirige</w:t>
      </w:r>
      <w:r w:rsidR="00E65435">
        <w:rPr>
          <w:rFonts w:eastAsia="Arial Unicode MS"/>
          <w:bCs/>
          <w:lang w:eastAsia="fr-FR" w:bidi="he-IL"/>
        </w:rPr>
        <w:t xml:space="preserve">, </w:t>
      </w:r>
      <w:r w:rsidRPr="00C8701B">
        <w:rPr>
          <w:rFonts w:eastAsia="Arial Unicode MS"/>
          <w:bCs/>
          <w:lang w:eastAsia="fr-FR" w:bidi="he-IL"/>
        </w:rPr>
        <w:t>assis au gouvernail</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les quatre évangélistes rament avec vigueur</w:t>
      </w:r>
      <w:r w:rsidR="00E65435">
        <w:rPr>
          <w:rFonts w:eastAsia="Arial Unicode MS"/>
          <w:bCs/>
          <w:lang w:eastAsia="fr-FR" w:bidi="he-IL"/>
        </w:rPr>
        <w:t xml:space="preserve">, </w:t>
      </w:r>
      <w:r w:rsidRPr="00C8701B">
        <w:rPr>
          <w:rFonts w:eastAsia="Arial Unicode MS"/>
          <w:bCs/>
          <w:lang w:eastAsia="fr-FR" w:bidi="he-IL"/>
        </w:rPr>
        <w:t>encouragés par la main et la parole de leur céleste capitaine</w:t>
      </w:r>
      <w:r w:rsidR="00946A1C">
        <w:rPr>
          <w:rFonts w:eastAsia="Arial Unicode MS"/>
          <w:bCs/>
          <w:lang w:eastAsia="fr-FR" w:bidi="he-IL"/>
        </w:rPr>
        <w:t> </w:t>
      </w:r>
      <w:r w:rsidR="00946A1C" w:rsidRPr="00C406FF">
        <w:rPr>
          <w:rStyle w:val="Appelnotedebasdep"/>
        </w:rPr>
        <w:footnoteReference w:id="65"/>
      </w:r>
      <w:r w:rsidRPr="00C8701B">
        <w:rPr>
          <w:rFonts w:eastAsia="Arial Unicode MS"/>
          <w:bCs/>
          <w:lang w:eastAsia="fr-FR" w:bidi="he-IL"/>
        </w:rPr>
        <w:t>.</w:t>
      </w:r>
      <w:r w:rsidR="00E6137B">
        <w:rPr>
          <w:rFonts w:eastAsia="Arial Unicode MS"/>
          <w:bCs/>
          <w:lang w:eastAsia="fr-FR" w:bidi="he-IL"/>
        </w:rPr>
        <w:t xml:space="preserve"> </w:t>
      </w:r>
    </w:p>
    <w:p w:rsidR="00C2602D" w:rsidRPr="00C8701B" w:rsidRDefault="00C833D7" w:rsidP="00C833D7">
      <w:pPr>
        <w:rPr>
          <w:rFonts w:eastAsia="Arial Unicode MS"/>
          <w:bCs/>
          <w:lang w:eastAsia="fr-FR" w:bidi="he-IL"/>
        </w:rPr>
      </w:pPr>
      <w:r w:rsidRPr="00C8701B">
        <w:rPr>
          <w:rFonts w:eastAsia="Arial Unicode MS"/>
          <w:bCs/>
          <w:lang w:eastAsia="fr-FR" w:bidi="he-IL"/>
        </w:rPr>
        <w:t xml:space="preserve">Sur une mosaïque du </w:t>
      </w:r>
      <w:r>
        <w:rPr>
          <w:rFonts w:eastAsia="Arial Unicode MS"/>
          <w:bCs/>
          <w:lang w:eastAsia="fr-FR" w:bidi="he-IL"/>
        </w:rPr>
        <w:t>Xe</w:t>
      </w:r>
      <w:r w:rsidRPr="00C8701B">
        <w:rPr>
          <w:rFonts w:eastAsia="Arial Unicode MS"/>
          <w:bCs/>
          <w:lang w:eastAsia="fr-FR" w:bidi="he-IL"/>
        </w:rPr>
        <w:t xml:space="preserve"> siècle</w:t>
      </w:r>
      <w:r>
        <w:rPr>
          <w:rFonts w:eastAsia="Arial Unicode MS"/>
          <w:bCs/>
          <w:lang w:eastAsia="fr-FR" w:bidi="he-IL"/>
        </w:rPr>
        <w:t xml:space="preserve">, </w:t>
      </w:r>
      <w:r w:rsidRPr="00C8701B">
        <w:rPr>
          <w:rFonts w:eastAsia="Arial Unicode MS"/>
          <w:bCs/>
          <w:lang w:eastAsia="fr-FR" w:bidi="he-IL"/>
        </w:rPr>
        <w:t>les évangélistes sont enfermés dans une sorte de forteresse. Ils se penchent</w:t>
      </w:r>
      <w:r>
        <w:rPr>
          <w:rFonts w:eastAsia="Arial Unicode MS"/>
          <w:bCs/>
          <w:lang w:eastAsia="fr-FR" w:bidi="he-IL"/>
        </w:rPr>
        <w:t xml:space="preserve">, </w:t>
      </w:r>
      <w:r w:rsidRPr="00C8701B">
        <w:rPr>
          <w:rFonts w:eastAsia="Arial Unicode MS"/>
          <w:bCs/>
          <w:lang w:eastAsia="fr-FR" w:bidi="he-IL"/>
        </w:rPr>
        <w:t xml:space="preserve">soit pour écrire sur les rouleaux </w:t>
      </w:r>
      <w:r w:rsidR="000716BB" w:rsidRPr="000716BB">
        <w:rPr>
          <w:rFonts w:eastAsia="Arial Unicode MS"/>
          <w:bCs/>
          <w:lang w:eastAsia="fr-FR" w:bidi="he-IL"/>
        </w:rPr>
        <w:t>{</w:t>
      </w:r>
      <w:r w:rsidR="000716BB">
        <w:rPr>
          <w:rFonts w:eastAsia="Arial Unicode MS"/>
          <w:bCs/>
          <w:lang w:eastAsia="fr-FR" w:bidi="he-IL"/>
        </w:rPr>
        <w:t>10</w:t>
      </w:r>
      <w:bookmarkStart w:id="18" w:name="pag010"/>
      <w:bookmarkEnd w:id="18"/>
      <w:r w:rsidR="000716BB" w:rsidRPr="000716BB">
        <w:rPr>
          <w:rFonts w:eastAsia="Arial Unicode MS"/>
          <w:bCs/>
          <w:lang w:eastAsia="fr-FR" w:bidi="he-IL"/>
        </w:rPr>
        <w:t xml:space="preserve">} </w:t>
      </w:r>
      <w:r w:rsidR="00B704AD" w:rsidRPr="00C8701B">
        <w:rPr>
          <w:rFonts w:eastAsia="Arial Unicode MS"/>
          <w:bCs/>
          <w:lang w:eastAsia="fr-FR" w:bidi="he-IL"/>
        </w:rPr>
        <w:t>de parchemin qu</w:t>
      </w:r>
      <w:r w:rsidR="00557DE0">
        <w:rPr>
          <w:rFonts w:eastAsia="Arial Unicode MS"/>
          <w:bCs/>
          <w:lang w:eastAsia="fr-FR" w:bidi="he-IL"/>
        </w:rPr>
        <w:t>’</w:t>
      </w:r>
      <w:r w:rsidR="00B704AD" w:rsidRPr="00C8701B">
        <w:rPr>
          <w:rFonts w:eastAsia="Arial Unicode MS"/>
          <w:bCs/>
          <w:lang w:eastAsia="fr-FR" w:bidi="he-IL"/>
        </w:rPr>
        <w:t>ils tiennent sur leurs genoux</w:t>
      </w:r>
      <w:r w:rsidR="00E65435">
        <w:rPr>
          <w:rFonts w:eastAsia="Arial Unicode MS"/>
          <w:bCs/>
          <w:lang w:eastAsia="fr-FR" w:bidi="he-IL"/>
        </w:rPr>
        <w:t xml:space="preserve">, </w:t>
      </w:r>
      <w:r w:rsidR="00B704AD" w:rsidRPr="00C8701B">
        <w:rPr>
          <w:rFonts w:eastAsia="Arial Unicode MS"/>
          <w:bCs/>
          <w:lang w:eastAsia="fr-FR" w:bidi="he-IL"/>
        </w:rPr>
        <w:t>soit pour prêter l</w:t>
      </w:r>
      <w:r w:rsidR="00557DE0">
        <w:rPr>
          <w:rFonts w:eastAsia="Arial Unicode MS"/>
          <w:bCs/>
          <w:lang w:eastAsia="fr-FR" w:bidi="he-IL"/>
        </w:rPr>
        <w:t>’</w:t>
      </w:r>
      <w:r w:rsidR="00B704AD" w:rsidRPr="00C8701B">
        <w:rPr>
          <w:rFonts w:eastAsia="Arial Unicode MS"/>
          <w:bCs/>
          <w:lang w:eastAsia="fr-FR" w:bidi="he-IL"/>
        </w:rPr>
        <w:t>oreille à un cinquième personnage</w:t>
      </w:r>
      <w:r w:rsidR="00E65435">
        <w:rPr>
          <w:rFonts w:eastAsia="Arial Unicode MS"/>
          <w:bCs/>
          <w:lang w:eastAsia="fr-FR" w:bidi="he-IL"/>
        </w:rPr>
        <w:t xml:space="preserve">, </w:t>
      </w:r>
      <w:r w:rsidR="00B704AD" w:rsidRPr="00C8701B">
        <w:rPr>
          <w:rFonts w:eastAsia="Arial Unicode MS"/>
          <w:bCs/>
          <w:lang w:eastAsia="fr-FR" w:bidi="he-IL"/>
        </w:rPr>
        <w:t>qui tient un livre ouvert et leur fait la dictée</w:t>
      </w:r>
      <w:r w:rsidR="00946A1C">
        <w:rPr>
          <w:rFonts w:eastAsia="Arial Unicode MS"/>
          <w:bCs/>
          <w:lang w:eastAsia="fr-FR" w:bidi="he-IL"/>
        </w:rPr>
        <w:t> </w:t>
      </w:r>
      <w:r w:rsidR="00946A1C" w:rsidRPr="00C406FF">
        <w:rPr>
          <w:rStyle w:val="Appelnotedebasdep"/>
        </w:rPr>
        <w:footnoteReference w:id="66"/>
      </w:r>
      <w:r w:rsidR="00B704AD"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833D7">
      <w:pPr>
        <w:rPr>
          <w:rFonts w:eastAsia="Arial Unicode MS"/>
          <w:bCs/>
          <w:lang w:eastAsia="fr-FR" w:bidi="he-IL"/>
        </w:rPr>
      </w:pPr>
      <w:r w:rsidRPr="00C8701B">
        <w:rPr>
          <w:rFonts w:eastAsia="Arial Unicode MS"/>
          <w:bCs/>
          <w:lang w:eastAsia="fr-FR" w:bidi="he-IL"/>
        </w:rPr>
        <w:t xml:space="preserve">Un des vitraux de la cathédrale de </w:t>
      </w:r>
      <w:r w:rsidR="00C833D7" w:rsidRPr="00C8701B">
        <w:rPr>
          <w:rFonts w:eastAsia="Arial Unicode MS"/>
          <w:bCs/>
          <w:lang w:eastAsia="fr-FR" w:bidi="he-IL"/>
        </w:rPr>
        <w:t>Chartres</w:t>
      </w:r>
      <w:r w:rsidRPr="00C8701B">
        <w:rPr>
          <w:rFonts w:eastAsia="Arial Unicode MS"/>
          <w:bCs/>
          <w:lang w:eastAsia="fr-FR" w:bidi="he-IL"/>
        </w:rPr>
        <w:t xml:space="preserve"> offre aux regards </w:t>
      </w:r>
      <w:r w:rsidR="00C2602D" w:rsidRPr="00C8701B">
        <w:rPr>
          <w:rFonts w:eastAsia="Arial Unicode MS"/>
          <w:bCs/>
          <w:lang w:eastAsia="fr-FR" w:bidi="he-IL"/>
        </w:rPr>
        <w:t>« </w:t>
      </w:r>
      <w:r w:rsidRPr="00C8701B">
        <w:rPr>
          <w:rFonts w:eastAsia="Arial Unicode MS"/>
          <w:bCs/>
          <w:lang w:eastAsia="fr-FR" w:bidi="he-IL"/>
        </w:rPr>
        <w:t>un tableau dont</w:t>
      </w:r>
      <w:r w:rsidR="00C833D7">
        <w:rPr>
          <w:rFonts w:eastAsia="Arial Unicode MS"/>
          <w:bCs/>
          <w:lang w:eastAsia="fr-FR" w:bidi="he-IL"/>
        </w:rPr>
        <w:t xml:space="preserve"> l</w:t>
      </w:r>
      <w:r w:rsidR="00557DE0">
        <w:rPr>
          <w:rFonts w:eastAsia="Arial Unicode MS"/>
          <w:bCs/>
          <w:lang w:eastAsia="fr-FR" w:bidi="he-IL"/>
        </w:rPr>
        <w:t>’</w:t>
      </w:r>
      <w:r w:rsidRPr="00C8701B">
        <w:rPr>
          <w:rFonts w:eastAsia="Arial Unicode MS"/>
          <w:bCs/>
          <w:lang w:eastAsia="fr-FR" w:bidi="he-IL"/>
        </w:rPr>
        <w:t>invention et la composition paraîtront d</w:t>
      </w:r>
      <w:r w:rsidR="00557DE0">
        <w:rPr>
          <w:rFonts w:eastAsia="Arial Unicode MS"/>
          <w:bCs/>
          <w:lang w:eastAsia="fr-FR" w:bidi="he-IL"/>
        </w:rPr>
        <w:t>’</w:t>
      </w:r>
      <w:r w:rsidRPr="00C8701B">
        <w:rPr>
          <w:rFonts w:eastAsia="Arial Unicode MS"/>
          <w:bCs/>
          <w:lang w:eastAsia="fr-FR" w:bidi="he-IL"/>
        </w:rPr>
        <w:t>une singulière hardiesse. L</w:t>
      </w:r>
      <w:r w:rsidR="00557DE0">
        <w:rPr>
          <w:rFonts w:eastAsia="Arial Unicode MS"/>
          <w:bCs/>
          <w:lang w:eastAsia="fr-FR" w:bidi="he-IL"/>
        </w:rPr>
        <w:t>’</w:t>
      </w:r>
      <w:r w:rsidRPr="00C8701B">
        <w:rPr>
          <w:rFonts w:eastAsia="Arial Unicode MS"/>
          <w:bCs/>
          <w:lang w:eastAsia="fr-FR" w:bidi="he-IL"/>
        </w:rPr>
        <w:t>artiste a voulu représenter d</w:t>
      </w:r>
      <w:r w:rsidR="00557DE0">
        <w:rPr>
          <w:rFonts w:eastAsia="Arial Unicode MS"/>
          <w:bCs/>
          <w:lang w:eastAsia="fr-FR" w:bidi="he-IL"/>
        </w:rPr>
        <w:t>’</w:t>
      </w:r>
      <w:r w:rsidRPr="00C8701B">
        <w:rPr>
          <w:rFonts w:eastAsia="Arial Unicode MS"/>
          <w:bCs/>
          <w:lang w:eastAsia="fr-FR" w:bidi="he-IL"/>
        </w:rPr>
        <w:t>une manière figurée que l</w:t>
      </w:r>
      <w:r w:rsidR="00557DE0">
        <w:rPr>
          <w:rFonts w:eastAsia="Arial Unicode MS"/>
          <w:bCs/>
          <w:lang w:eastAsia="fr-FR" w:bidi="he-IL"/>
        </w:rPr>
        <w:t>’</w:t>
      </w:r>
      <w:r w:rsidRPr="00C8701B">
        <w:rPr>
          <w:rFonts w:eastAsia="Arial Unicode MS"/>
          <w:bCs/>
          <w:lang w:eastAsia="fr-FR" w:bidi="he-IL"/>
        </w:rPr>
        <w:t>antienne loi est le fondement et le support de la loi nouvelle</w:t>
      </w:r>
      <w:r w:rsidR="00E65435">
        <w:rPr>
          <w:rFonts w:eastAsia="Arial Unicode MS"/>
          <w:bCs/>
          <w:lang w:eastAsia="fr-FR" w:bidi="he-IL"/>
        </w:rPr>
        <w:t xml:space="preserve">, </w:t>
      </w:r>
      <w:r w:rsidRPr="00C8701B">
        <w:rPr>
          <w:rFonts w:eastAsia="Arial Unicode MS"/>
          <w:bCs/>
          <w:lang w:eastAsia="fr-FR" w:bidi="he-IL"/>
        </w:rPr>
        <w:t>et voici le moyen qu</w:t>
      </w:r>
      <w:r w:rsidR="00557DE0">
        <w:rPr>
          <w:rFonts w:eastAsia="Arial Unicode MS"/>
          <w:bCs/>
          <w:lang w:eastAsia="fr-FR" w:bidi="he-IL"/>
        </w:rPr>
        <w:t>’</w:t>
      </w:r>
      <w:r w:rsidRPr="00C8701B">
        <w:rPr>
          <w:rFonts w:eastAsia="Arial Unicode MS"/>
          <w:bCs/>
          <w:lang w:eastAsia="fr-FR" w:bidi="he-IL"/>
        </w:rPr>
        <w:t>il a employé pour que sa peint</w:t>
      </w:r>
      <w:r w:rsidR="00C833D7">
        <w:rPr>
          <w:rFonts w:eastAsia="Arial Unicode MS"/>
          <w:bCs/>
          <w:lang w:eastAsia="fr-FR" w:bidi="he-IL"/>
        </w:rPr>
        <w:t>ure présentât cette pensée aux y</w:t>
      </w:r>
      <w:r w:rsidRPr="00C8701B">
        <w:rPr>
          <w:rFonts w:eastAsia="Arial Unicode MS"/>
          <w:bCs/>
          <w:lang w:eastAsia="fr-FR" w:bidi="he-IL"/>
        </w:rPr>
        <w:t>eux et à l</w:t>
      </w:r>
      <w:r w:rsidR="00557DE0">
        <w:rPr>
          <w:rFonts w:eastAsia="Arial Unicode MS"/>
          <w:bCs/>
          <w:lang w:eastAsia="fr-FR" w:bidi="he-IL"/>
        </w:rPr>
        <w:t>’</w:t>
      </w:r>
      <w:r w:rsidRPr="00C8701B">
        <w:rPr>
          <w:rFonts w:eastAsia="Arial Unicode MS"/>
          <w:bCs/>
          <w:lang w:eastAsia="fr-FR" w:bidi="he-IL"/>
        </w:rPr>
        <w:t>esprit. Il a dessiné chacun des quatre grands prophètes (de l</w:t>
      </w:r>
      <w:r w:rsidR="00557DE0">
        <w:rPr>
          <w:rFonts w:eastAsia="Arial Unicode MS"/>
          <w:bCs/>
          <w:lang w:eastAsia="fr-FR" w:bidi="he-IL"/>
        </w:rPr>
        <w:t>’</w:t>
      </w:r>
      <w:r w:rsidRPr="00C8701B">
        <w:rPr>
          <w:rFonts w:eastAsia="Arial Unicode MS"/>
          <w:bCs/>
          <w:lang w:eastAsia="fr-FR" w:bidi="he-IL"/>
        </w:rPr>
        <w:t>Ancien Testament) portant sur ses épaules un des quatre hérauts de l</w:t>
      </w:r>
      <w:r w:rsidR="00557DE0">
        <w:rPr>
          <w:rFonts w:eastAsia="Arial Unicode MS"/>
          <w:bCs/>
          <w:lang w:eastAsia="fr-FR" w:bidi="he-IL"/>
        </w:rPr>
        <w:t>’</w:t>
      </w:r>
      <w:r w:rsidRPr="00C8701B">
        <w:rPr>
          <w:rFonts w:eastAsia="Arial Unicode MS"/>
          <w:bCs/>
          <w:lang w:eastAsia="fr-FR" w:bidi="he-IL"/>
        </w:rPr>
        <w:t>évangile de Jésus-Christ... (Malgré l</w:t>
      </w:r>
      <w:r w:rsidR="00557DE0">
        <w:rPr>
          <w:rFonts w:eastAsia="Arial Unicode MS"/>
          <w:bCs/>
          <w:lang w:eastAsia="fr-FR" w:bidi="he-IL"/>
        </w:rPr>
        <w:t>’</w:t>
      </w:r>
      <w:r w:rsidRPr="00C8701B">
        <w:rPr>
          <w:rFonts w:eastAsia="Arial Unicode MS"/>
          <w:bCs/>
          <w:lang w:eastAsia="fr-FR" w:bidi="he-IL"/>
        </w:rPr>
        <w:t>étrangeté du coup d</w:t>
      </w:r>
      <w:r w:rsidR="00557DE0">
        <w:rPr>
          <w:rFonts w:eastAsia="Arial Unicode MS"/>
          <w:bCs/>
          <w:lang w:eastAsia="fr-FR" w:bidi="he-IL"/>
        </w:rPr>
        <w:t>’</w:t>
      </w:r>
      <w:r w:rsidR="00C833D7" w:rsidRPr="00C8701B">
        <w:rPr>
          <w:rFonts w:eastAsia="Arial Unicode MS"/>
          <w:bCs/>
          <w:lang w:eastAsia="fr-FR" w:bidi="he-IL"/>
        </w:rPr>
        <w:t>œil</w:t>
      </w:r>
      <w:r w:rsidRPr="00C8701B">
        <w:rPr>
          <w:rFonts w:eastAsia="Arial Unicode MS"/>
          <w:bCs/>
          <w:lang w:eastAsia="fr-FR" w:bidi="he-IL"/>
        </w:rPr>
        <w:t>)</w:t>
      </w:r>
      <w:r w:rsidR="00E65435">
        <w:rPr>
          <w:rFonts w:eastAsia="Arial Unicode MS"/>
          <w:bCs/>
          <w:lang w:eastAsia="fr-FR" w:bidi="he-IL"/>
        </w:rPr>
        <w:t xml:space="preserve">, </w:t>
      </w:r>
      <w:r w:rsidRPr="00C8701B">
        <w:rPr>
          <w:rFonts w:eastAsia="Arial Unicode MS"/>
          <w:bCs/>
          <w:lang w:eastAsia="fr-FR" w:bidi="he-IL"/>
        </w:rPr>
        <w:t>rien ici n</w:t>
      </w:r>
      <w:r w:rsidR="00557DE0">
        <w:rPr>
          <w:rFonts w:eastAsia="Arial Unicode MS"/>
          <w:bCs/>
          <w:lang w:eastAsia="fr-FR" w:bidi="he-IL"/>
        </w:rPr>
        <w:t>’</w:t>
      </w:r>
      <w:r w:rsidRPr="00C8701B">
        <w:rPr>
          <w:rFonts w:eastAsia="Arial Unicode MS"/>
          <w:bCs/>
          <w:lang w:eastAsia="fr-FR" w:bidi="he-IL"/>
        </w:rPr>
        <w:t>est inconvenant ni ridicule</w:t>
      </w:r>
      <w:r w:rsidR="00E65435">
        <w:rPr>
          <w:rFonts w:eastAsia="Arial Unicode MS"/>
          <w:bCs/>
          <w:lang w:eastAsia="fr-FR" w:bidi="he-IL"/>
        </w:rPr>
        <w:t xml:space="preserve">, </w:t>
      </w:r>
      <w:r w:rsidRPr="00C8701B">
        <w:rPr>
          <w:rFonts w:eastAsia="Arial Unicode MS"/>
          <w:bCs/>
          <w:lang w:eastAsia="fr-FR" w:bidi="he-IL"/>
        </w:rPr>
        <w:t>parce que les poses sont naturelles et décentes</w:t>
      </w:r>
      <w:r w:rsidR="00E65435">
        <w:rPr>
          <w:rFonts w:eastAsia="Arial Unicode MS"/>
          <w:bCs/>
          <w:lang w:eastAsia="fr-FR" w:bidi="he-IL"/>
        </w:rPr>
        <w:t xml:space="preserve">, </w:t>
      </w:r>
      <w:r w:rsidRPr="00C8701B">
        <w:rPr>
          <w:rFonts w:eastAsia="Arial Unicode MS"/>
          <w:bCs/>
          <w:lang w:eastAsia="fr-FR" w:bidi="he-IL"/>
        </w:rPr>
        <w:t>et que la dignité des personnages n</w:t>
      </w:r>
      <w:r w:rsidR="00557DE0">
        <w:rPr>
          <w:rFonts w:eastAsia="Arial Unicode MS"/>
          <w:bCs/>
          <w:lang w:eastAsia="fr-FR" w:bidi="he-IL"/>
        </w:rPr>
        <w:t>’</w:t>
      </w:r>
      <w:r w:rsidRPr="00C8701B">
        <w:rPr>
          <w:rFonts w:eastAsia="Arial Unicode MS"/>
          <w:bCs/>
          <w:lang w:eastAsia="fr-FR" w:bidi="he-IL"/>
        </w:rPr>
        <w:t>est point altérée. L</w:t>
      </w:r>
      <w:r w:rsidR="00557DE0">
        <w:rPr>
          <w:rFonts w:eastAsia="Arial Unicode MS"/>
          <w:bCs/>
          <w:lang w:eastAsia="fr-FR" w:bidi="he-IL"/>
        </w:rPr>
        <w:t>’</w:t>
      </w:r>
      <w:r w:rsidRPr="00C8701B">
        <w:rPr>
          <w:rFonts w:eastAsia="Arial Unicode MS"/>
          <w:bCs/>
          <w:lang w:eastAsia="fr-FR" w:bidi="he-IL"/>
        </w:rPr>
        <w:t>expression de leur figure est sérieuse</w:t>
      </w:r>
      <w:r w:rsidR="00E65435">
        <w:rPr>
          <w:rFonts w:eastAsia="Arial Unicode MS"/>
          <w:bCs/>
          <w:lang w:eastAsia="fr-FR" w:bidi="he-IL"/>
        </w:rPr>
        <w:t xml:space="preserve">, </w:t>
      </w:r>
      <w:r w:rsidRPr="00C8701B">
        <w:rPr>
          <w:rFonts w:eastAsia="Arial Unicode MS"/>
          <w:bCs/>
          <w:lang w:eastAsia="fr-FR" w:bidi="he-IL"/>
        </w:rPr>
        <w:t>calme et tranquille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rien dans leur attitude n</w:t>
      </w:r>
      <w:r w:rsidR="00557DE0">
        <w:rPr>
          <w:rFonts w:eastAsia="Arial Unicode MS"/>
          <w:bCs/>
          <w:lang w:eastAsia="fr-FR" w:bidi="he-IL"/>
        </w:rPr>
        <w:t>’</w:t>
      </w:r>
      <w:r w:rsidRPr="00C8701B">
        <w:rPr>
          <w:rFonts w:eastAsia="Arial Unicode MS"/>
          <w:bCs/>
          <w:lang w:eastAsia="fr-FR" w:bidi="he-IL"/>
        </w:rPr>
        <w:t>éloigne notre esprit de la gravité d</w:t>
      </w:r>
      <w:r w:rsidR="00557DE0">
        <w:rPr>
          <w:rFonts w:eastAsia="Arial Unicode MS"/>
          <w:bCs/>
          <w:lang w:eastAsia="fr-FR" w:bidi="he-IL"/>
        </w:rPr>
        <w:t>’</w:t>
      </w:r>
      <w:r w:rsidRPr="00C8701B">
        <w:rPr>
          <w:rFonts w:eastAsia="Arial Unicode MS"/>
          <w:bCs/>
          <w:lang w:eastAsia="fr-FR" w:bidi="he-IL"/>
        </w:rPr>
        <w:t>une peinture religieuse</w:t>
      </w:r>
      <w:r w:rsidR="00E65435">
        <w:rPr>
          <w:rFonts w:eastAsia="Arial Unicode MS"/>
          <w:bCs/>
          <w:lang w:eastAsia="fr-FR" w:bidi="he-IL"/>
        </w:rPr>
        <w:t xml:space="preserve">, </w:t>
      </w:r>
      <w:r w:rsidRPr="00C8701B">
        <w:rPr>
          <w:rFonts w:eastAsia="Arial Unicode MS"/>
          <w:bCs/>
          <w:lang w:eastAsia="fr-FR" w:bidi="he-IL"/>
        </w:rPr>
        <w:t>malgré le mode vulgaire et peu relevé employé par le peintre. C</w:t>
      </w:r>
      <w:r w:rsidR="00557DE0">
        <w:rPr>
          <w:rFonts w:eastAsia="Arial Unicode MS"/>
          <w:bCs/>
          <w:lang w:eastAsia="fr-FR" w:bidi="he-IL"/>
        </w:rPr>
        <w:t>’</w:t>
      </w:r>
      <w:r w:rsidRPr="00C8701B">
        <w:rPr>
          <w:rFonts w:eastAsia="Arial Unicode MS"/>
          <w:bCs/>
          <w:lang w:eastAsia="fr-FR" w:bidi="he-IL"/>
        </w:rPr>
        <w:t xml:space="preserve">est une des prérogatives des âges primitifs que cette naïveté et cette simplicité enfantines... Le prophète </w:t>
      </w:r>
      <w:r w:rsidR="00C833D7" w:rsidRPr="00C8701B">
        <w:rPr>
          <w:rFonts w:eastAsia="Arial Unicode MS"/>
          <w:bCs/>
          <w:lang w:eastAsia="fr-FR" w:bidi="he-IL"/>
        </w:rPr>
        <w:t>Ézéchiel</w:t>
      </w:r>
      <w:r w:rsidRPr="00C8701B">
        <w:rPr>
          <w:rFonts w:eastAsia="Arial Unicode MS"/>
          <w:bCs/>
          <w:lang w:eastAsia="fr-FR" w:bidi="he-IL"/>
        </w:rPr>
        <w:t xml:space="preserve"> porte S. Jean</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 prophète Daniel porte S. Marc</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Isaïe porte S. Matthieu</w:t>
      </w:r>
      <w:r w:rsidR="00C2602D" w:rsidRPr="00C8701B">
        <w:rPr>
          <w:rFonts w:eastAsia="Arial Unicode MS"/>
          <w:bCs/>
          <w:lang w:eastAsia="fr-FR" w:bidi="he-IL"/>
        </w:rPr>
        <w:t> </w:t>
      </w:r>
      <w:r w:rsidR="007F6508">
        <w:rPr>
          <w:rFonts w:eastAsia="Arial Unicode MS"/>
          <w:bCs/>
          <w:lang w:eastAsia="fr-FR" w:bidi="he-IL"/>
        </w:rPr>
        <w:t xml:space="preserve">; </w:t>
      </w:r>
      <w:r w:rsidR="00C833D7" w:rsidRPr="00C8701B">
        <w:rPr>
          <w:rFonts w:eastAsia="Arial Unicode MS"/>
          <w:bCs/>
          <w:lang w:eastAsia="fr-FR" w:bidi="he-IL"/>
        </w:rPr>
        <w:t>Jérémie</w:t>
      </w:r>
      <w:r w:rsidRPr="00C8701B">
        <w:rPr>
          <w:rFonts w:eastAsia="Arial Unicode MS"/>
          <w:bCs/>
          <w:lang w:eastAsia="fr-FR" w:bidi="he-IL"/>
        </w:rPr>
        <w:t xml:space="preserve"> porte S. Luc... Les noms des prophètes et des évangélistes sont écrits en grandes lettres</w:t>
      </w:r>
      <w:r w:rsidR="00946A1C">
        <w:rPr>
          <w:rFonts w:eastAsia="Arial Unicode MS"/>
          <w:bCs/>
          <w:lang w:eastAsia="fr-FR" w:bidi="he-IL"/>
        </w:rPr>
        <w:t> </w:t>
      </w:r>
      <w:r w:rsidR="00946A1C" w:rsidRPr="00C406FF">
        <w:rPr>
          <w:rStyle w:val="Appelnotedebasdep"/>
        </w:rPr>
        <w:footnoteReference w:id="67"/>
      </w:r>
      <w:r w:rsidRPr="00C8701B">
        <w:rPr>
          <w:rFonts w:eastAsia="Arial Unicode MS"/>
          <w:bCs/>
          <w:lang w:eastAsia="fr-FR" w:bidi="he-IL"/>
        </w:rPr>
        <w:t>.</w:t>
      </w:r>
      <w:r w:rsidR="00C833D7">
        <w:rPr>
          <w:rFonts w:eastAsia="Arial Unicode MS"/>
          <w:bCs/>
          <w:lang w:eastAsia="fr-FR" w:bidi="he-IL"/>
        </w:rPr>
        <w:t> »</w:t>
      </w:r>
      <w:r w:rsidR="00C2602D" w:rsidRPr="00C8701B">
        <w:rPr>
          <w:rFonts w:eastAsia="Arial Unicode MS"/>
          <w:bCs/>
          <w:lang w:eastAsia="fr-FR" w:bidi="he-IL"/>
        </w:rPr>
        <w:t xml:space="preserve"> </w:t>
      </w:r>
    </w:p>
    <w:p w:rsidR="00DB523B" w:rsidRPr="00C8701B" w:rsidRDefault="00DB523B" w:rsidP="00DB523B">
      <w:pPr>
        <w:rPr>
          <w:rFonts w:eastAsia="Arial Unicode MS"/>
          <w:bCs/>
          <w:lang w:eastAsia="fr-FR" w:bidi="he-IL"/>
        </w:rPr>
      </w:pPr>
      <w:r w:rsidRPr="00C8701B">
        <w:rPr>
          <w:rFonts w:eastAsia="Arial Unicode MS"/>
          <w:bCs/>
          <w:lang w:eastAsia="fr-FR" w:bidi="he-IL"/>
        </w:rPr>
        <w:t>4° Évidemment</w:t>
      </w:r>
      <w:r>
        <w:rPr>
          <w:rFonts w:eastAsia="Arial Unicode MS"/>
          <w:bCs/>
          <w:lang w:eastAsia="fr-FR" w:bidi="he-IL"/>
        </w:rPr>
        <w:t xml:space="preserve">, </w:t>
      </w:r>
      <w:r w:rsidRPr="00C8701B">
        <w:rPr>
          <w:rFonts w:eastAsia="Arial Unicode MS"/>
          <w:bCs/>
          <w:lang w:eastAsia="fr-FR" w:bidi="he-IL"/>
        </w:rPr>
        <w:t>les peintres modernes n</w:t>
      </w:r>
      <w:r w:rsidR="00557DE0">
        <w:rPr>
          <w:rFonts w:eastAsia="Arial Unicode MS"/>
          <w:bCs/>
          <w:lang w:eastAsia="fr-FR" w:bidi="he-IL"/>
        </w:rPr>
        <w:t>’</w:t>
      </w:r>
      <w:r w:rsidRPr="00C8701B">
        <w:rPr>
          <w:rFonts w:eastAsia="Arial Unicode MS"/>
          <w:bCs/>
          <w:lang w:eastAsia="fr-FR" w:bidi="he-IL"/>
        </w:rPr>
        <w:t>ont pas manqué de s</w:t>
      </w:r>
      <w:r w:rsidR="00557DE0">
        <w:rPr>
          <w:rFonts w:eastAsia="Arial Unicode MS"/>
          <w:bCs/>
          <w:lang w:eastAsia="fr-FR" w:bidi="he-IL"/>
        </w:rPr>
        <w:t>’</w:t>
      </w:r>
      <w:r w:rsidRPr="00C8701B">
        <w:rPr>
          <w:rFonts w:eastAsia="Arial Unicode MS"/>
          <w:bCs/>
          <w:lang w:eastAsia="fr-FR" w:bidi="he-IL"/>
        </w:rPr>
        <w:t xml:space="preserve">intéresser </w:t>
      </w:r>
      <w:r w:rsidR="000716BB" w:rsidRPr="000716BB">
        <w:rPr>
          <w:rFonts w:eastAsia="Arial Unicode MS"/>
          <w:bCs/>
          <w:lang w:eastAsia="fr-FR" w:bidi="he-IL"/>
        </w:rPr>
        <w:t>{</w:t>
      </w:r>
      <w:r w:rsidR="000716BB">
        <w:rPr>
          <w:rFonts w:eastAsia="Arial Unicode MS"/>
          <w:bCs/>
          <w:lang w:eastAsia="fr-FR" w:bidi="he-IL"/>
        </w:rPr>
        <w:t>11</w:t>
      </w:r>
      <w:bookmarkStart w:id="19" w:name="pag011"/>
      <w:bookmarkEnd w:id="19"/>
      <w:r w:rsidR="000716BB" w:rsidRPr="000716BB">
        <w:rPr>
          <w:rFonts w:eastAsia="Arial Unicode MS"/>
          <w:bCs/>
          <w:lang w:eastAsia="fr-FR" w:bidi="he-IL"/>
        </w:rPr>
        <w:t xml:space="preserve">} </w:t>
      </w:r>
      <w:r w:rsidRPr="00C8701B">
        <w:rPr>
          <w:rFonts w:eastAsia="Arial Unicode MS"/>
          <w:bCs/>
          <w:lang w:eastAsia="fr-FR" w:bidi="he-IL"/>
        </w:rPr>
        <w:t>à ce sujet</w:t>
      </w:r>
      <w:r>
        <w:rPr>
          <w:rFonts w:eastAsia="Arial Unicode MS"/>
          <w:bCs/>
          <w:lang w:eastAsia="fr-FR" w:bidi="he-IL"/>
        </w:rPr>
        <w:t xml:space="preserve">, </w:t>
      </w:r>
      <w:r w:rsidRPr="00C8701B">
        <w:rPr>
          <w:rFonts w:eastAsia="Arial Unicode MS"/>
          <w:bCs/>
          <w:lang w:eastAsia="fr-FR" w:bidi="he-IL"/>
        </w:rPr>
        <w:t>digne des pinceaux les plus habiles </w:t>
      </w:r>
      <w:r>
        <w:rPr>
          <w:rFonts w:eastAsia="Arial Unicode MS"/>
          <w:bCs/>
          <w:lang w:eastAsia="fr-FR" w:bidi="he-IL"/>
        </w:rPr>
        <w:t xml:space="preserve">; </w:t>
      </w:r>
      <w:r w:rsidRPr="00C8701B">
        <w:rPr>
          <w:rFonts w:eastAsia="Arial Unicode MS"/>
          <w:bCs/>
          <w:lang w:eastAsia="fr-FR" w:bidi="he-IL"/>
        </w:rPr>
        <w:t>et plusieurs d</w:t>
      </w:r>
      <w:r w:rsidR="00557DE0">
        <w:rPr>
          <w:rFonts w:eastAsia="Arial Unicode MS"/>
          <w:bCs/>
          <w:lang w:eastAsia="fr-FR" w:bidi="he-IL"/>
        </w:rPr>
        <w:t>’</w:t>
      </w:r>
      <w:r w:rsidRPr="00C8701B">
        <w:rPr>
          <w:rFonts w:eastAsia="Arial Unicode MS"/>
          <w:bCs/>
          <w:lang w:eastAsia="fr-FR" w:bidi="he-IL"/>
        </w:rPr>
        <w:t xml:space="preserve">entre eux ont laissé des portraits remarquables des quatre évangélistes. </w:t>
      </w:r>
    </w:p>
    <w:p w:rsidR="00C2602D" w:rsidRPr="00C8701B" w:rsidRDefault="00B704AD" w:rsidP="00DB523B">
      <w:pPr>
        <w:rPr>
          <w:rFonts w:eastAsia="Arial Unicode MS"/>
          <w:bCs/>
          <w:lang w:eastAsia="fr-FR" w:bidi="he-IL"/>
        </w:rPr>
      </w:pPr>
      <w:r w:rsidRPr="00C8701B">
        <w:rPr>
          <w:rFonts w:eastAsia="Arial Unicode MS"/>
          <w:bCs/>
          <w:lang w:eastAsia="fr-FR" w:bidi="he-IL"/>
        </w:rPr>
        <w:t>Les plus célèbres de ces tableaux sont</w:t>
      </w:r>
      <w:r w:rsidR="00C2602D" w:rsidRPr="00C8701B">
        <w:rPr>
          <w:rFonts w:eastAsia="Arial Unicode MS"/>
          <w:bCs/>
          <w:lang w:eastAsia="fr-FR" w:bidi="he-IL"/>
        </w:rPr>
        <w:t> :</w:t>
      </w:r>
      <w:r w:rsidRPr="00C8701B">
        <w:rPr>
          <w:rFonts w:eastAsia="Arial Unicode MS"/>
          <w:bCs/>
          <w:lang w:eastAsia="fr-FR" w:bidi="he-IL"/>
        </w:rPr>
        <w:t xml:space="preserve"> les quatre évangélistes du Corrège</w:t>
      </w:r>
      <w:r w:rsidR="00E65435">
        <w:rPr>
          <w:rFonts w:eastAsia="Arial Unicode MS"/>
          <w:bCs/>
          <w:lang w:eastAsia="fr-FR" w:bidi="he-IL"/>
        </w:rPr>
        <w:t xml:space="preserve">, </w:t>
      </w:r>
      <w:r w:rsidRPr="00C8701B">
        <w:rPr>
          <w:rFonts w:eastAsia="Arial Unicode MS"/>
          <w:bCs/>
          <w:lang w:eastAsia="fr-FR" w:bidi="he-IL"/>
        </w:rPr>
        <w:t xml:space="preserve">associés </w:t>
      </w:r>
      <w:r w:rsidR="00DB523B">
        <w:rPr>
          <w:rFonts w:eastAsia="Arial Unicode MS"/>
          <w:bCs/>
          <w:lang w:eastAsia="fr-FR" w:bidi="he-IL"/>
        </w:rPr>
        <w:t>a</w:t>
      </w:r>
      <w:r w:rsidRPr="00C8701B">
        <w:rPr>
          <w:rFonts w:eastAsia="Arial Unicode MS"/>
          <w:bCs/>
          <w:lang w:eastAsia="fr-FR" w:bidi="he-IL"/>
        </w:rPr>
        <w:t>ux quatre grands docteurs</w:t>
      </w:r>
      <w:r w:rsidR="00E65435">
        <w:rPr>
          <w:rFonts w:eastAsia="Arial Unicode MS"/>
          <w:bCs/>
          <w:lang w:eastAsia="fr-FR" w:bidi="he-IL"/>
        </w:rPr>
        <w:t xml:space="preserve">, </w:t>
      </w:r>
      <w:r w:rsidRPr="00C8701B">
        <w:rPr>
          <w:rFonts w:eastAsia="Arial Unicode MS"/>
          <w:bCs/>
          <w:lang w:eastAsia="fr-FR" w:bidi="he-IL"/>
        </w:rPr>
        <w:t>de l</w:t>
      </w:r>
      <w:r w:rsidR="00557DE0">
        <w:rPr>
          <w:rFonts w:eastAsia="Arial Unicode MS"/>
          <w:bCs/>
          <w:lang w:eastAsia="fr-FR" w:bidi="he-IL"/>
        </w:rPr>
        <w:t>’</w:t>
      </w:r>
      <w:r w:rsidR="00C8701B">
        <w:rPr>
          <w:rFonts w:eastAsia="Arial Unicode MS"/>
          <w:bCs/>
          <w:lang w:eastAsia="fr-FR" w:bidi="he-IL"/>
        </w:rPr>
        <w:t>Église</w:t>
      </w:r>
      <w:r w:rsidRPr="00C8701B">
        <w:rPr>
          <w:rFonts w:eastAsia="Arial Unicode MS"/>
          <w:bCs/>
          <w:lang w:eastAsia="fr-FR" w:bidi="he-IL"/>
        </w:rPr>
        <w:t xml:space="preserve"> latine (S. Jean et S. Augustin</w:t>
      </w:r>
      <w:r w:rsidR="00E65435">
        <w:rPr>
          <w:rFonts w:eastAsia="Arial Unicode MS"/>
          <w:bCs/>
          <w:lang w:eastAsia="fr-FR" w:bidi="he-IL"/>
        </w:rPr>
        <w:t xml:space="preserve">, </w:t>
      </w:r>
      <w:r w:rsidRPr="00C8701B">
        <w:rPr>
          <w:rFonts w:eastAsia="Arial Unicode MS"/>
          <w:bCs/>
          <w:lang w:eastAsia="fr-FR" w:bidi="he-IL"/>
        </w:rPr>
        <w:t>S. Matthieu et S. Jérôme</w:t>
      </w:r>
      <w:r w:rsidR="00C87A2B">
        <w:rPr>
          <w:rFonts w:eastAsia="Arial Unicode MS"/>
          <w:bCs/>
          <w:lang w:eastAsia="fr-FR" w:bidi="he-IL"/>
        </w:rPr>
        <w:t>,</w:t>
      </w:r>
      <w:r w:rsidR="00E65435">
        <w:rPr>
          <w:rFonts w:eastAsia="Arial Unicode MS"/>
          <w:bCs/>
          <w:lang w:eastAsia="fr-FR" w:bidi="he-IL"/>
        </w:rPr>
        <w:t xml:space="preserve"> </w:t>
      </w:r>
      <w:r w:rsidRPr="00C8701B">
        <w:rPr>
          <w:rFonts w:eastAsia="Arial Unicode MS"/>
          <w:bCs/>
          <w:lang w:eastAsia="fr-FR" w:bidi="he-IL"/>
        </w:rPr>
        <w:t>S.</w:t>
      </w:r>
      <w:r w:rsidR="00E65435">
        <w:rPr>
          <w:rFonts w:eastAsia="Arial Unicode MS"/>
          <w:bCs/>
          <w:lang w:eastAsia="fr-FR" w:bidi="he-IL"/>
        </w:rPr>
        <w:t xml:space="preserve"> </w:t>
      </w:r>
      <w:r w:rsidRPr="00C8701B">
        <w:rPr>
          <w:rFonts w:eastAsia="Arial Unicode MS"/>
          <w:bCs/>
          <w:lang w:eastAsia="fr-FR" w:bidi="he-IL"/>
        </w:rPr>
        <w:t>Marc et S. Grégoire</w:t>
      </w:r>
      <w:r w:rsidR="00E65435">
        <w:rPr>
          <w:rFonts w:eastAsia="Arial Unicode MS"/>
          <w:bCs/>
          <w:lang w:eastAsia="fr-FR" w:bidi="he-IL"/>
        </w:rPr>
        <w:t xml:space="preserve">, </w:t>
      </w:r>
      <w:r w:rsidR="00DB523B">
        <w:rPr>
          <w:rFonts w:eastAsia="Arial Unicode MS"/>
          <w:bCs/>
          <w:lang w:eastAsia="fr-FR" w:bidi="he-IL"/>
        </w:rPr>
        <w:t>S. Luc et S. A</w:t>
      </w:r>
      <w:r w:rsidRPr="00C8701B">
        <w:rPr>
          <w:rFonts w:eastAsia="Arial Unicode MS"/>
          <w:bCs/>
          <w:lang w:eastAsia="fr-FR" w:bidi="he-IL"/>
        </w:rPr>
        <w:t>mbroise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coupole de l</w:t>
      </w:r>
      <w:r w:rsidR="00557DE0">
        <w:rPr>
          <w:rFonts w:eastAsia="Arial Unicode MS"/>
          <w:bCs/>
          <w:lang w:eastAsia="fr-FR" w:bidi="he-IL"/>
        </w:rPr>
        <w:t>’</w:t>
      </w:r>
      <w:r w:rsidR="00C8701B">
        <w:rPr>
          <w:rFonts w:eastAsia="Arial Unicode MS"/>
          <w:bCs/>
          <w:lang w:eastAsia="fr-FR" w:bidi="he-IL"/>
        </w:rPr>
        <w:t>Église</w:t>
      </w:r>
      <w:r w:rsidRPr="00C8701B">
        <w:rPr>
          <w:rFonts w:eastAsia="Arial Unicode MS"/>
          <w:bCs/>
          <w:lang w:eastAsia="fr-FR" w:bidi="he-IL"/>
        </w:rPr>
        <w:t xml:space="preserve"> de S. Jean</w:t>
      </w:r>
      <w:r w:rsidR="00E65435">
        <w:rPr>
          <w:rFonts w:eastAsia="Arial Unicode MS"/>
          <w:bCs/>
          <w:lang w:eastAsia="fr-FR" w:bidi="he-IL"/>
        </w:rPr>
        <w:t xml:space="preserve">, </w:t>
      </w:r>
      <w:r w:rsidRPr="00C8701B">
        <w:rPr>
          <w:rFonts w:eastAsia="Arial Unicode MS"/>
          <w:bCs/>
          <w:lang w:eastAsia="fr-FR" w:bidi="he-IL"/>
        </w:rPr>
        <w:t>à Parme)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un saint Jean</w:t>
      </w:r>
      <w:r w:rsidR="00E65435">
        <w:rPr>
          <w:rFonts w:eastAsia="Arial Unicode MS"/>
          <w:bCs/>
          <w:lang w:eastAsia="fr-FR" w:bidi="he-IL"/>
        </w:rPr>
        <w:t xml:space="preserve">, </w:t>
      </w:r>
      <w:r w:rsidRPr="00C8701B">
        <w:rPr>
          <w:rFonts w:eastAsia="Arial Unicode MS"/>
          <w:bCs/>
          <w:lang w:eastAsia="fr-FR" w:bidi="he-IL"/>
        </w:rPr>
        <w:t>du même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 saint Jean du Dominiquin</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les portraits des quatre évangélistes</w:t>
      </w:r>
      <w:r w:rsidR="00E65435">
        <w:rPr>
          <w:rFonts w:eastAsia="Arial Unicode MS"/>
          <w:bCs/>
          <w:lang w:eastAsia="fr-FR" w:bidi="he-IL"/>
        </w:rPr>
        <w:t xml:space="preserve">, </w:t>
      </w:r>
      <w:r w:rsidRPr="00C8701B">
        <w:rPr>
          <w:rFonts w:eastAsia="Arial Unicode MS"/>
          <w:bCs/>
          <w:lang w:eastAsia="fr-FR" w:bidi="he-IL"/>
        </w:rPr>
        <w:t>du même (fresques aux pendentifs de l</w:t>
      </w:r>
      <w:r w:rsidR="00557DE0">
        <w:rPr>
          <w:rFonts w:eastAsia="Arial Unicode MS"/>
          <w:bCs/>
          <w:lang w:eastAsia="fr-FR" w:bidi="he-IL"/>
        </w:rPr>
        <w:t>’</w:t>
      </w:r>
      <w:r w:rsidR="00DB523B">
        <w:rPr>
          <w:rFonts w:eastAsia="Arial Unicode MS"/>
          <w:bCs/>
          <w:lang w:eastAsia="fr-FR" w:bidi="he-IL"/>
        </w:rPr>
        <w:t>église de Saint-</w:t>
      </w:r>
      <w:r w:rsidRPr="00C8701B">
        <w:rPr>
          <w:rFonts w:eastAsia="Arial Unicode MS"/>
          <w:bCs/>
          <w:lang w:eastAsia="fr-FR" w:bidi="he-IL"/>
        </w:rPr>
        <w:t>André-della-Valle</w:t>
      </w:r>
      <w:r w:rsidR="00E65435">
        <w:rPr>
          <w:rFonts w:eastAsia="Arial Unicode MS"/>
          <w:bCs/>
          <w:lang w:eastAsia="fr-FR" w:bidi="he-IL"/>
        </w:rPr>
        <w:t xml:space="preserve">, </w:t>
      </w:r>
      <w:r w:rsidRPr="00C8701B">
        <w:rPr>
          <w:rFonts w:eastAsia="Arial Unicode MS"/>
          <w:bCs/>
          <w:lang w:eastAsia="fr-FR" w:bidi="he-IL"/>
        </w:rPr>
        <w:t>à Rome)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portraits des quatre évangélistes</w:t>
      </w:r>
      <w:r w:rsidR="00E65435">
        <w:rPr>
          <w:rFonts w:eastAsia="Arial Unicode MS"/>
          <w:bCs/>
          <w:lang w:eastAsia="fr-FR" w:bidi="he-IL"/>
        </w:rPr>
        <w:t xml:space="preserve">, </w:t>
      </w:r>
      <w:r w:rsidRPr="00C8701B">
        <w:rPr>
          <w:rFonts w:eastAsia="Arial Unicode MS"/>
          <w:bCs/>
          <w:lang w:eastAsia="fr-FR" w:bidi="he-IL"/>
        </w:rPr>
        <w:t>par fra Angelico</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S. Marc</w:t>
      </w:r>
      <w:r w:rsidR="00E65435">
        <w:rPr>
          <w:rFonts w:eastAsia="Arial Unicode MS"/>
          <w:bCs/>
          <w:lang w:eastAsia="fr-FR" w:bidi="he-IL"/>
        </w:rPr>
        <w:t xml:space="preserve">, </w:t>
      </w:r>
      <w:r w:rsidRPr="00C8701B">
        <w:rPr>
          <w:rFonts w:eastAsia="Arial Unicode MS"/>
          <w:bCs/>
          <w:lang w:eastAsia="fr-FR" w:bidi="he-IL"/>
        </w:rPr>
        <w:t>de fra Bartolomeo</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les quatre évangélistes</w:t>
      </w:r>
      <w:r w:rsidR="00E65435">
        <w:rPr>
          <w:rFonts w:eastAsia="Arial Unicode MS"/>
          <w:bCs/>
          <w:lang w:eastAsia="fr-FR" w:bidi="he-IL"/>
        </w:rPr>
        <w:t xml:space="preserve">, </w:t>
      </w:r>
      <w:r w:rsidR="00DB523B">
        <w:rPr>
          <w:rFonts w:eastAsia="Arial Unicode MS"/>
          <w:bCs/>
          <w:lang w:eastAsia="fr-FR" w:bidi="he-IL"/>
        </w:rPr>
        <w:t xml:space="preserve">de Valentin </w:t>
      </w:r>
      <w:r w:rsidRPr="00C8701B">
        <w:rPr>
          <w:rFonts w:eastAsia="Arial Unicode MS"/>
          <w:bCs/>
          <w:lang w:eastAsia="fr-FR" w:bidi="he-IL"/>
        </w:rPr>
        <w:t>(palais</w:t>
      </w:r>
      <w:r w:rsidR="00DB523B">
        <w:rPr>
          <w:rFonts w:eastAsia="Arial Unicode MS"/>
          <w:bCs/>
          <w:lang w:eastAsia="fr-FR" w:bidi="he-IL"/>
        </w:rPr>
        <w:t xml:space="preserve"> d</w:t>
      </w:r>
      <w:r w:rsidRPr="00C8701B">
        <w:rPr>
          <w:rFonts w:eastAsia="Arial Unicode MS"/>
          <w:bCs/>
          <w:lang w:eastAsia="fr-FR" w:bidi="he-IL"/>
        </w:rPr>
        <w:t>e Versailles)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les évangélistes inspirés par l</w:t>
      </w:r>
      <w:r w:rsidR="00557DE0">
        <w:rPr>
          <w:rFonts w:eastAsia="Arial Unicode MS"/>
          <w:bCs/>
          <w:lang w:eastAsia="fr-FR" w:bidi="he-IL"/>
        </w:rPr>
        <w:t>’</w:t>
      </w:r>
      <w:r w:rsidRPr="00C8701B">
        <w:rPr>
          <w:rFonts w:eastAsia="Arial Unicode MS"/>
          <w:bCs/>
          <w:lang w:eastAsia="fr-FR" w:bidi="he-IL"/>
        </w:rPr>
        <w:t>Esprit saint</w:t>
      </w:r>
      <w:r w:rsidR="00E65435">
        <w:rPr>
          <w:rFonts w:eastAsia="Arial Unicode MS"/>
          <w:bCs/>
          <w:lang w:eastAsia="fr-FR" w:bidi="he-IL"/>
        </w:rPr>
        <w:t xml:space="preserve">, </w:t>
      </w:r>
      <w:r w:rsidRPr="00C8701B">
        <w:rPr>
          <w:rFonts w:eastAsia="Arial Unicode MS"/>
          <w:bCs/>
          <w:lang w:eastAsia="fr-FR" w:bidi="he-IL"/>
        </w:rPr>
        <w:t>tableau de Le Nain</w:t>
      </w:r>
      <w:r w:rsidR="00E65435">
        <w:rPr>
          <w:rFonts w:eastAsia="Arial Unicode MS"/>
          <w:bCs/>
          <w:lang w:eastAsia="fr-FR" w:bidi="he-IL"/>
        </w:rPr>
        <w:t xml:space="preserve">, </w:t>
      </w:r>
      <w:r w:rsidRPr="00C8701B">
        <w:rPr>
          <w:rFonts w:eastAsia="Arial Unicode MS"/>
          <w:bCs/>
          <w:lang w:eastAsia="fr-FR" w:bidi="he-IL"/>
        </w:rPr>
        <w:t>etc.</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On a de Thorwal</w:t>
      </w:r>
      <w:r w:rsidR="00623A37">
        <w:rPr>
          <w:rFonts w:eastAsia="Arial Unicode MS"/>
          <w:bCs/>
          <w:lang w:eastAsia="fr-FR" w:bidi="he-IL"/>
        </w:rPr>
        <w:t>dse</w:t>
      </w:r>
      <w:r w:rsidRPr="00C8701B">
        <w:rPr>
          <w:rFonts w:eastAsia="Arial Unicode MS"/>
          <w:bCs/>
          <w:lang w:eastAsia="fr-FR" w:bidi="he-IL"/>
        </w:rPr>
        <w:t>n quatre belles statues représentant chacun des évangélistes.</w:t>
      </w:r>
      <w:r w:rsidR="00C2602D" w:rsidRPr="00C8701B">
        <w:rPr>
          <w:rFonts w:eastAsia="Arial Unicode MS"/>
          <w:bCs/>
          <w:lang w:eastAsia="fr-FR" w:bidi="he-IL"/>
        </w:rPr>
        <w:t xml:space="preserve"> </w:t>
      </w:r>
    </w:p>
    <w:p w:rsidR="00C2602D" w:rsidRPr="00C8701B" w:rsidRDefault="00B704AD" w:rsidP="003A68DB">
      <w:pPr>
        <w:pStyle w:val="Titre4"/>
        <w:rPr>
          <w:lang w:eastAsia="fr-FR" w:bidi="he-IL"/>
        </w:rPr>
      </w:pPr>
      <w:bookmarkStart w:id="20" w:name="_Toc526755719"/>
      <w:r w:rsidRPr="00C8701B">
        <w:rPr>
          <w:rFonts w:eastAsia="Arial Unicode MS"/>
          <w:bCs/>
          <w:lang w:eastAsia="fr-FR" w:bidi="he-IL"/>
        </w:rPr>
        <w:t xml:space="preserve">§ </w:t>
      </w:r>
      <w:r w:rsidR="00835131">
        <w:rPr>
          <w:rFonts w:eastAsia="Arial Unicode MS"/>
          <w:bCs/>
          <w:lang w:eastAsia="fr-FR" w:bidi="he-IL"/>
        </w:rPr>
        <w:t>V</w:t>
      </w:r>
      <w:r w:rsidRPr="00C8701B">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LES TITRES DES ÉVANGILES</w:t>
      </w:r>
      <w:bookmarkStart w:id="21" w:name="evin05"/>
      <w:bookmarkEnd w:id="20"/>
      <w:bookmarkEnd w:id="21"/>
      <w:r w:rsidR="00C2602D" w:rsidRPr="00C8701B">
        <w:rPr>
          <w:rFonts w:eastAsia="Arial Unicode MS"/>
          <w:bCs/>
          <w:lang w:eastAsia="fr-FR" w:bidi="he-IL"/>
        </w:rPr>
        <w:t xml:space="preserve"> </w:t>
      </w:r>
    </w:p>
    <w:p w:rsidR="00C2602D" w:rsidRPr="00C8701B" w:rsidRDefault="00DB523B" w:rsidP="00DB523B">
      <w:pPr>
        <w:rPr>
          <w:rFonts w:eastAsia="Arial Unicode MS"/>
          <w:bCs/>
          <w:lang w:eastAsia="fr-FR" w:bidi="he-IL"/>
        </w:rPr>
      </w:pPr>
      <w:r>
        <w:rPr>
          <w:rFonts w:eastAsia="Arial Unicode MS"/>
          <w:bCs/>
          <w:lang w:eastAsia="fr-FR" w:bidi="he-IL"/>
        </w:rPr>
        <w:t>1°</w:t>
      </w:r>
      <w:r w:rsidR="00B704AD" w:rsidRPr="00C8701B">
        <w:rPr>
          <w:rFonts w:eastAsia="Arial Unicode MS"/>
          <w:bCs/>
          <w:lang w:eastAsia="fr-FR" w:bidi="he-IL"/>
        </w:rPr>
        <w:t xml:space="preserve"> En tête de chaque évangile</w:t>
      </w:r>
      <w:r w:rsidR="00E65435">
        <w:rPr>
          <w:rFonts w:eastAsia="Arial Unicode MS"/>
          <w:bCs/>
          <w:lang w:eastAsia="fr-FR" w:bidi="he-IL"/>
        </w:rPr>
        <w:t xml:space="preserve">, </w:t>
      </w:r>
      <w:r w:rsidR="00B704AD" w:rsidRPr="00C8701B">
        <w:rPr>
          <w:rFonts w:eastAsia="Arial Unicode MS"/>
          <w:bCs/>
          <w:lang w:eastAsia="fr-FR" w:bidi="he-IL"/>
        </w:rPr>
        <w:t>on trouve</w:t>
      </w:r>
      <w:r w:rsidR="00E65435">
        <w:rPr>
          <w:rFonts w:eastAsia="Arial Unicode MS"/>
          <w:bCs/>
          <w:lang w:eastAsia="fr-FR" w:bidi="he-IL"/>
        </w:rPr>
        <w:t xml:space="preserve">, </w:t>
      </w:r>
      <w:r w:rsidR="00B704AD" w:rsidRPr="00C8701B">
        <w:rPr>
          <w:rFonts w:eastAsia="Arial Unicode MS"/>
          <w:bCs/>
          <w:lang w:eastAsia="fr-FR" w:bidi="he-IL"/>
        </w:rPr>
        <w:t>dans presqu</w:t>
      </w:r>
      <w:r w:rsidR="00B704AD" w:rsidRPr="00DB523B">
        <w:t>e tous les manuscrits grecs</w:t>
      </w:r>
      <w:r w:rsidR="00E65435" w:rsidRPr="00DB523B">
        <w:t xml:space="preserve">, </w:t>
      </w:r>
      <w:r w:rsidR="00B704AD" w:rsidRPr="00DB523B">
        <w:t>les formules</w:t>
      </w:r>
      <w:r w:rsidR="00401D7F" w:rsidRPr="00DB523B">
        <w:t xml:space="preserve"> εὐ</w:t>
      </w:r>
      <w:r w:rsidR="00A74F01">
        <w:t>α</w:t>
      </w:r>
      <w:r w:rsidR="00401D7F" w:rsidRPr="00DB523B">
        <w:t>γ</w:t>
      </w:r>
      <w:r w:rsidR="00B704AD" w:rsidRPr="00DB523B">
        <w:t>γ</w:t>
      </w:r>
      <w:r w:rsidR="00C771BF">
        <w:t>έ</w:t>
      </w:r>
      <w:r w:rsidR="00B704AD" w:rsidRPr="00DB523B">
        <w:t xml:space="preserve">λιον </w:t>
      </w:r>
      <w:r w:rsidR="00C771BF">
        <w:t>κ</w:t>
      </w:r>
      <w:r w:rsidR="00A74F01">
        <w:t>α</w:t>
      </w:r>
      <w:r w:rsidR="00C771BF">
        <w:t>τ</w:t>
      </w:r>
      <w:r w:rsidR="00116664">
        <w:t>ὰ</w:t>
      </w:r>
      <w:r w:rsidR="00B704AD" w:rsidRPr="00DB523B">
        <w:t xml:space="preserve"> Μ</w:t>
      </w:r>
      <w:r w:rsidR="00A74F01">
        <w:t>α</w:t>
      </w:r>
      <w:r w:rsidR="00B704AD" w:rsidRPr="00DB523B">
        <w:t>τθ</w:t>
      </w:r>
      <w:r w:rsidR="00A74F01">
        <w:t>α</w:t>
      </w:r>
      <w:r w:rsidRPr="00DB523B">
        <w:t>ῖον</w:t>
      </w:r>
      <w:r w:rsidR="00B704AD" w:rsidRPr="00DB523B">
        <w:t xml:space="preserve"> (ou Μ</w:t>
      </w:r>
      <w:r w:rsidR="00A74F01">
        <w:t>α</w:t>
      </w:r>
      <w:r w:rsidR="00B704AD" w:rsidRPr="00DB523B">
        <w:t>θθ</w:t>
      </w:r>
      <w:r w:rsidR="00A74F01">
        <w:t>α</w:t>
      </w:r>
      <w:r w:rsidR="00C6425D" w:rsidRPr="00DB523B">
        <w:t>ῖ</w:t>
      </w:r>
      <w:r w:rsidR="00B704AD" w:rsidRPr="00DB523B">
        <w:t>ον)</w:t>
      </w:r>
      <w:r w:rsidR="00E65435" w:rsidRPr="00DB523B">
        <w:t xml:space="preserve">, </w:t>
      </w:r>
      <w:r w:rsidR="00401D7F" w:rsidRPr="00DB523B">
        <w:t>εὐ</w:t>
      </w:r>
      <w:r w:rsidR="00A74F01">
        <w:t>α</w:t>
      </w:r>
      <w:r w:rsidR="00401D7F" w:rsidRPr="00DB523B">
        <w:t>γ</w:t>
      </w:r>
      <w:r w:rsidR="00B704AD" w:rsidRPr="00DB523B">
        <w:t>γ</w:t>
      </w:r>
      <w:r w:rsidR="00C771BF">
        <w:t>έ</w:t>
      </w:r>
      <w:r w:rsidR="00B704AD" w:rsidRPr="00DB523B">
        <w:t xml:space="preserve">λιον </w:t>
      </w:r>
      <w:r w:rsidR="00C771BF">
        <w:t>κ</w:t>
      </w:r>
      <w:r w:rsidR="00A74F01">
        <w:t>α</w:t>
      </w:r>
      <w:r w:rsidR="00C771BF">
        <w:t>τ</w:t>
      </w:r>
      <w:r w:rsidR="00116664">
        <w:t>ὰ</w:t>
      </w:r>
      <w:r w:rsidR="00B704AD" w:rsidRPr="00DB523B">
        <w:t xml:space="preserve"> Μ</w:t>
      </w:r>
      <w:r w:rsidR="00CD3C57">
        <w:t>ά</w:t>
      </w:r>
      <w:r w:rsidR="00B704AD" w:rsidRPr="00DB523B">
        <w:t>ρκον</w:t>
      </w:r>
      <w:r w:rsidR="00E65435" w:rsidRPr="00DB523B">
        <w:t xml:space="preserve">, </w:t>
      </w:r>
      <w:r w:rsidR="00401D7F" w:rsidRPr="00DB523B">
        <w:t>εὐ</w:t>
      </w:r>
      <w:r w:rsidR="00A74F01">
        <w:t>α</w:t>
      </w:r>
      <w:r w:rsidR="00401D7F" w:rsidRPr="00DB523B">
        <w:t>γ</w:t>
      </w:r>
      <w:r w:rsidR="00B704AD" w:rsidRPr="00DB523B">
        <w:t>γ</w:t>
      </w:r>
      <w:r w:rsidR="00C771BF">
        <w:t>έ</w:t>
      </w:r>
      <w:r w:rsidR="00B704AD" w:rsidRPr="00DB523B">
        <w:t xml:space="preserve">λιον </w:t>
      </w:r>
      <w:r w:rsidR="00C771BF">
        <w:t>κ</w:t>
      </w:r>
      <w:r w:rsidR="00A74F01">
        <w:t>α</w:t>
      </w:r>
      <w:r w:rsidR="00C771BF">
        <w:t>τ</w:t>
      </w:r>
      <w:r w:rsidR="00116664">
        <w:t>ὰ</w:t>
      </w:r>
      <w:r w:rsidRPr="00DB523B">
        <w:t xml:space="preserve"> Λουκᾶ</w:t>
      </w:r>
      <w:r w:rsidR="00B704AD" w:rsidRPr="00DB523B">
        <w:t>ν</w:t>
      </w:r>
      <w:r w:rsidR="00E65435" w:rsidRPr="00DB523B">
        <w:t xml:space="preserve">, </w:t>
      </w:r>
      <w:r w:rsidR="00401D7F" w:rsidRPr="00DB523B">
        <w:t>εὐ</w:t>
      </w:r>
      <w:r w:rsidR="00A74F01">
        <w:t>α</w:t>
      </w:r>
      <w:r w:rsidR="00401D7F" w:rsidRPr="00DB523B">
        <w:t>γ</w:t>
      </w:r>
      <w:r w:rsidR="00B704AD" w:rsidRPr="00DB523B">
        <w:t>γ</w:t>
      </w:r>
      <w:r w:rsidR="00C771BF">
        <w:t>έ</w:t>
      </w:r>
      <w:r w:rsidR="00B704AD" w:rsidRPr="00DB523B">
        <w:t xml:space="preserve">λιον </w:t>
      </w:r>
      <w:r w:rsidR="00C771BF">
        <w:t>κ</w:t>
      </w:r>
      <w:r w:rsidR="00A74F01">
        <w:t>α</w:t>
      </w:r>
      <w:r w:rsidR="00C771BF">
        <w:t>τ</w:t>
      </w:r>
      <w:r w:rsidR="00116664">
        <w:t>ὰ</w:t>
      </w:r>
      <w:r w:rsidR="00B704AD" w:rsidRPr="00DB523B">
        <w:t xml:space="preserve"> </w:t>
      </w:r>
      <w:r w:rsidRPr="00DB523B">
        <w:t>Ἰω</w:t>
      </w:r>
      <w:r w:rsidR="00CD3C57">
        <w:t>ά</w:t>
      </w:r>
      <w:r w:rsidR="00B704AD" w:rsidRPr="00DB523B">
        <w:t>ννην</w:t>
      </w:r>
      <w:r w:rsidRPr="00DB523B">
        <w:t>. Ils</w:t>
      </w:r>
      <w:r w:rsidR="00B704AD" w:rsidRPr="00DB523B">
        <w:t xml:space="preserve"> ont passé ensuite dans les éditions imprimées. </w:t>
      </w:r>
      <w:r w:rsidR="00B704AD" w:rsidRPr="00C8701B">
        <w:rPr>
          <w:rFonts w:eastAsia="Arial Unicode MS"/>
          <w:bCs/>
          <w:lang w:eastAsia="fr-FR" w:bidi="he-IL"/>
        </w:rPr>
        <w:t xml:space="preserve">On les appelait des </w:t>
      </w:r>
      <w:r w:rsidR="00234B88">
        <w:rPr>
          <w:rFonts w:eastAsia="Arial Unicode MS"/>
          <w:bCs/>
          <w:lang w:val="el-GR" w:eastAsia="fr-FR" w:bidi="he-IL"/>
        </w:rPr>
        <w:t>ἐ</w:t>
      </w:r>
      <w:r w:rsidR="00B704AD" w:rsidRPr="00C8701B">
        <w:rPr>
          <w:rFonts w:eastAsia="Arial Unicode MS"/>
          <w:bCs/>
          <w:lang w:val="el-GR" w:eastAsia="fr-FR" w:bidi="he-IL"/>
        </w:rPr>
        <w:t>πιγρ</w:t>
      </w:r>
      <w:r w:rsidR="00A74F01">
        <w:rPr>
          <w:rFonts w:eastAsia="Arial Unicode MS"/>
          <w:bCs/>
          <w:lang w:val="el-GR" w:eastAsia="fr-FR" w:bidi="he-IL"/>
        </w:rPr>
        <w:t>α</w:t>
      </w:r>
      <w:r w:rsidR="00B704AD" w:rsidRPr="00C8701B">
        <w:rPr>
          <w:rFonts w:eastAsia="Arial Unicode MS"/>
          <w:bCs/>
          <w:lang w:val="el-GR" w:eastAsia="fr-FR" w:bidi="he-IL"/>
        </w:rPr>
        <w:t>φ</w:t>
      </w:r>
      <w:r w:rsidR="00A74F01">
        <w:rPr>
          <w:rFonts w:eastAsia="Arial Unicode MS"/>
          <w:bCs/>
          <w:lang w:val="el-GR" w:eastAsia="fr-FR" w:bidi="he-IL"/>
        </w:rPr>
        <w:t>α</w:t>
      </w:r>
      <w:r w:rsidR="00DB352C">
        <w:rPr>
          <w:rFonts w:eastAsia="Arial Unicode MS"/>
          <w:bCs/>
          <w:lang w:val="el-GR" w:eastAsia="fr-FR" w:bidi="he-IL"/>
        </w:rPr>
        <w:t>ί</w:t>
      </w:r>
      <w:r w:rsidR="00E65435">
        <w:rPr>
          <w:rFonts w:eastAsia="Arial Unicode MS"/>
          <w:bCs/>
          <w:lang w:val="el-GR" w:eastAsia="fr-FR" w:bidi="he-IL"/>
        </w:rPr>
        <w:t xml:space="preserve">, </w:t>
      </w:r>
      <w:r w:rsidR="00B704AD" w:rsidRPr="00C8701B">
        <w:rPr>
          <w:rFonts w:eastAsia="Arial Unicode MS"/>
          <w:bCs/>
          <w:lang w:eastAsia="fr-FR" w:bidi="he-IL"/>
        </w:rPr>
        <w:t>ou</w:t>
      </w:r>
      <w:r w:rsidR="00E65435">
        <w:rPr>
          <w:rFonts w:eastAsia="Arial Unicode MS"/>
          <w:bCs/>
          <w:lang w:eastAsia="fr-FR" w:bidi="he-IL"/>
        </w:rPr>
        <w:t xml:space="preserve">, </w:t>
      </w:r>
      <w:r w:rsidR="00B704AD" w:rsidRPr="00C8701B">
        <w:rPr>
          <w:rFonts w:eastAsia="Arial Unicode MS"/>
          <w:bCs/>
          <w:lang w:eastAsia="fr-FR" w:bidi="he-IL"/>
        </w:rPr>
        <w:t>chez les Latins</w:t>
      </w:r>
      <w:r w:rsidR="00E65435">
        <w:rPr>
          <w:rFonts w:eastAsia="Arial Unicode MS"/>
          <w:bCs/>
          <w:lang w:eastAsia="fr-FR" w:bidi="he-IL"/>
        </w:rPr>
        <w:t xml:space="preserve">, </w:t>
      </w:r>
      <w:r w:rsidR="00B704AD" w:rsidRPr="00C8701B">
        <w:rPr>
          <w:rFonts w:eastAsia="Arial Unicode MS"/>
          <w:bCs/>
          <w:lang w:eastAsia="fr-FR" w:bidi="he-IL"/>
        </w:rPr>
        <w:t>des</w:t>
      </w:r>
      <w:r w:rsidR="00B704AD" w:rsidRPr="00DC4586">
        <w:rPr>
          <w:rStyle w:val="italicus"/>
        </w:rPr>
        <w:t xml:space="preserve"> </w:t>
      </w:r>
      <w:r w:rsidRPr="00DC4586">
        <w:rPr>
          <w:rStyle w:val="italicus"/>
        </w:rPr>
        <w:t>títuli</w:t>
      </w:r>
      <w:r w:rsidR="00E65435">
        <w:rPr>
          <w:rStyle w:val="italicus"/>
        </w:rPr>
        <w:t xml:space="preserve">, </w:t>
      </w:r>
      <w:r w:rsidR="00B704AD" w:rsidRPr="00C8701B">
        <w:rPr>
          <w:rFonts w:eastAsia="Arial Unicode MS"/>
          <w:bCs/>
          <w:lang w:eastAsia="fr-FR" w:bidi="he-IL"/>
        </w:rPr>
        <w:t>des</w:t>
      </w:r>
      <w:r w:rsidR="00B704AD" w:rsidRPr="00DC4586">
        <w:rPr>
          <w:rStyle w:val="italicus"/>
        </w:rPr>
        <w:t xml:space="preserve"> signa</w:t>
      </w:r>
      <w:r w:rsidR="007D6639">
        <w:rPr>
          <w:rFonts w:eastAsia="Arial Unicode MS"/>
          <w:bCs/>
          <w:lang w:eastAsia="fr-FR" w:bidi="he-IL"/>
        </w:rPr>
        <w:t> </w:t>
      </w:r>
      <w:r w:rsidR="007D6639" w:rsidRPr="00C406FF">
        <w:rPr>
          <w:rStyle w:val="Appelnotedebasdep"/>
        </w:rPr>
        <w:footnoteReference w:id="68"/>
      </w:r>
      <w:r w:rsidR="00B704AD"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7D6639">
      <w:pPr>
        <w:rPr>
          <w:rFonts w:eastAsia="Arial Unicode MS"/>
          <w:bCs/>
          <w:lang w:eastAsia="fr-FR" w:bidi="he-IL"/>
        </w:rPr>
      </w:pPr>
      <w:r w:rsidRPr="00C8701B">
        <w:rPr>
          <w:rFonts w:eastAsia="Arial Unicode MS"/>
          <w:bCs/>
          <w:lang w:eastAsia="fr-FR" w:bidi="he-IL"/>
        </w:rPr>
        <w:t>Dans quelques anciens</w:t>
      </w:r>
      <w:r w:rsidRPr="00DC4586">
        <w:rPr>
          <w:rStyle w:val="italicus"/>
        </w:rPr>
        <w:t xml:space="preserve"> </w:t>
      </w:r>
      <w:r w:rsidR="00DB523B" w:rsidRPr="00DC4586">
        <w:rPr>
          <w:rStyle w:val="italicus"/>
        </w:rPr>
        <w:t>Códices</w:t>
      </w:r>
      <w:r w:rsidR="007D6639">
        <w:rPr>
          <w:rFonts w:eastAsia="Arial Unicode MS"/>
          <w:bCs/>
          <w:lang w:eastAsia="fr-FR" w:bidi="he-IL"/>
        </w:rPr>
        <w:t> </w:t>
      </w:r>
      <w:r w:rsidR="007D6639" w:rsidRPr="00C406FF">
        <w:rPr>
          <w:rStyle w:val="Appelnotedebasdep"/>
        </w:rPr>
        <w:footnoteReference w:id="69"/>
      </w:r>
      <w:r w:rsidR="00E65435">
        <w:rPr>
          <w:rFonts w:eastAsia="Arial Unicode MS"/>
          <w:bCs/>
          <w:lang w:eastAsia="fr-FR" w:bidi="he-IL"/>
        </w:rPr>
        <w:t xml:space="preserve">, </w:t>
      </w:r>
      <w:r w:rsidRPr="00C8701B">
        <w:rPr>
          <w:rFonts w:eastAsia="Arial Unicode MS"/>
          <w:bCs/>
          <w:lang w:eastAsia="fr-FR" w:bidi="he-IL"/>
        </w:rPr>
        <w:t>ces titres ou inscriptions apparaissent sous la forme abrégée</w:t>
      </w:r>
      <w:r w:rsidR="00C2602D" w:rsidRPr="00C8701B">
        <w:rPr>
          <w:rFonts w:eastAsia="Arial Unicode MS"/>
          <w:bCs/>
          <w:lang w:eastAsia="fr-FR" w:bidi="he-IL"/>
        </w:rPr>
        <w:t> :</w:t>
      </w:r>
      <w:r w:rsidRPr="00C8701B">
        <w:rPr>
          <w:rFonts w:eastAsia="Arial Unicode MS"/>
          <w:bCs/>
          <w:lang w:eastAsia="fr-FR" w:bidi="he-IL"/>
        </w:rPr>
        <w:t xml:space="preserve"> </w:t>
      </w:r>
      <w:r w:rsidR="00C771BF">
        <w:t>κ</w:t>
      </w:r>
      <w:r w:rsidR="00A74F01">
        <w:t>α</w:t>
      </w:r>
      <w:r w:rsidR="00C771BF">
        <w:t>τ</w:t>
      </w:r>
      <w:r w:rsidR="00116664">
        <w:t>ὰ</w:t>
      </w:r>
      <w:r w:rsidRPr="00DB523B">
        <w:t xml:space="preserve"> Μ</w:t>
      </w:r>
      <w:r w:rsidR="00A74F01">
        <w:t>α</w:t>
      </w:r>
      <w:r w:rsidRPr="00DB523B">
        <w:t>τθ</w:t>
      </w:r>
      <w:r w:rsidR="00A74F01">
        <w:t>α</w:t>
      </w:r>
      <w:r w:rsidR="00DB523B" w:rsidRPr="00DB523B">
        <w:t>ῖον</w:t>
      </w:r>
      <w:r w:rsidR="00E65435" w:rsidRPr="00DB523B">
        <w:t xml:space="preserve">, </w:t>
      </w:r>
      <w:r w:rsidR="00C771BF">
        <w:t>κ</w:t>
      </w:r>
      <w:r w:rsidR="00A74F01">
        <w:t>α</w:t>
      </w:r>
      <w:r w:rsidR="00C771BF">
        <w:t>τ</w:t>
      </w:r>
      <w:r w:rsidR="00116664">
        <w:t>ὰ</w:t>
      </w:r>
      <w:r w:rsidRPr="00DB523B">
        <w:t xml:space="preserve"> Μ</w:t>
      </w:r>
      <w:r w:rsidR="00CD3C57">
        <w:t>ά</w:t>
      </w:r>
      <w:r w:rsidRPr="00DB523B">
        <w:t>ρκον</w:t>
      </w:r>
      <w:r w:rsidR="00E65435" w:rsidRPr="00DB523B">
        <w:t xml:space="preserve">, </w:t>
      </w:r>
      <w:r w:rsidR="00C771BF">
        <w:t>κ</w:t>
      </w:r>
      <w:r w:rsidR="00A74F01">
        <w:t>α</w:t>
      </w:r>
      <w:r w:rsidR="00C771BF">
        <w:t>τ</w:t>
      </w:r>
      <w:r w:rsidR="00116664">
        <w:t>ὰ</w:t>
      </w:r>
      <w:r w:rsidRPr="00DB523B">
        <w:t xml:space="preserve"> </w:t>
      </w:r>
      <w:r w:rsidR="00F45F65" w:rsidRPr="00DB523B">
        <w:t>Λουκᾶν</w:t>
      </w:r>
      <w:r w:rsidR="00E65435" w:rsidRPr="00DB523B">
        <w:t xml:space="preserve">, </w:t>
      </w:r>
      <w:r w:rsidR="00C771BF">
        <w:t>κ</w:t>
      </w:r>
      <w:r w:rsidR="00A74F01">
        <w:t>α</w:t>
      </w:r>
      <w:r w:rsidR="00C771BF">
        <w:t>τ</w:t>
      </w:r>
      <w:r w:rsidR="00116664">
        <w:t>ὰ</w:t>
      </w:r>
      <w:r w:rsidRPr="00DB523B">
        <w:t xml:space="preserve"> </w:t>
      </w:r>
      <w:r w:rsidR="007D6639">
        <w:t>Ἰ</w:t>
      </w:r>
      <w:r w:rsidRPr="00DB523B">
        <w:t>ω</w:t>
      </w:r>
      <w:r w:rsidR="00CD3C57">
        <w:t>ά</w:t>
      </w:r>
      <w:r w:rsidRPr="00DB523B">
        <w:t>ννην. La</w:t>
      </w:r>
      <w:r w:rsidR="00E65435" w:rsidRPr="00DB523B">
        <w:t xml:space="preserve"> </w:t>
      </w:r>
      <w:r w:rsidRPr="00DC4586">
        <w:rPr>
          <w:rStyle w:val="italicus"/>
        </w:rPr>
        <w:t>Peschito</w:t>
      </w:r>
      <w:r w:rsidRPr="00C8701B">
        <w:rPr>
          <w:rFonts w:eastAsia="Arial Unicode MS"/>
          <w:bCs/>
          <w:lang w:eastAsia="fr-FR" w:bidi="he-IL"/>
        </w:rPr>
        <w:t xml:space="preserve"> syriaque les emploie</w:t>
      </w:r>
      <w:r w:rsidR="00E65435">
        <w:rPr>
          <w:rFonts w:eastAsia="Arial Unicode MS"/>
          <w:bCs/>
          <w:lang w:eastAsia="fr-FR" w:bidi="he-IL"/>
        </w:rPr>
        <w:t xml:space="preserve">, </w:t>
      </w:r>
      <w:r w:rsidRPr="00C8701B">
        <w:rPr>
          <w:rFonts w:eastAsia="Arial Unicode MS"/>
          <w:bCs/>
          <w:lang w:eastAsia="fr-FR" w:bidi="he-IL"/>
        </w:rPr>
        <w:t>au contraire</w:t>
      </w:r>
      <w:r w:rsidR="00E65435">
        <w:rPr>
          <w:rFonts w:eastAsia="Arial Unicode MS"/>
          <w:bCs/>
          <w:lang w:eastAsia="fr-FR" w:bidi="he-IL"/>
        </w:rPr>
        <w:t xml:space="preserve">, </w:t>
      </w:r>
      <w:r w:rsidRPr="00C8701B">
        <w:rPr>
          <w:rFonts w:eastAsia="Arial Unicode MS"/>
          <w:bCs/>
          <w:lang w:eastAsia="fr-FR" w:bidi="he-IL"/>
        </w:rPr>
        <w:t>sous une forme plus développée</w:t>
      </w:r>
      <w:r w:rsidR="00C2602D" w:rsidRPr="00C8701B">
        <w:rPr>
          <w:rFonts w:eastAsia="Arial Unicode MS"/>
          <w:bCs/>
          <w:lang w:eastAsia="fr-FR" w:bidi="he-IL"/>
        </w:rPr>
        <w:t> :</w:t>
      </w:r>
      <w:r w:rsidRPr="00C8701B">
        <w:rPr>
          <w:rFonts w:eastAsia="Arial Unicode MS"/>
          <w:bCs/>
          <w:lang w:eastAsia="fr-FR" w:bidi="he-IL"/>
        </w:rPr>
        <w:t xml:space="preserve"> </w:t>
      </w:r>
      <w:r w:rsidR="00C2602D" w:rsidRPr="00C8701B">
        <w:rPr>
          <w:rFonts w:eastAsia="Arial Unicode MS"/>
          <w:bCs/>
          <w:lang w:eastAsia="fr-FR" w:bidi="he-IL"/>
        </w:rPr>
        <w:t>« </w:t>
      </w:r>
      <w:r w:rsidRPr="00C8701B">
        <w:rPr>
          <w:rFonts w:eastAsia="Arial Unicode MS"/>
          <w:bCs/>
          <w:lang w:eastAsia="fr-FR" w:bidi="he-IL"/>
        </w:rPr>
        <w:t>Le saint évangile</w:t>
      </w:r>
      <w:r w:rsidR="00E65435">
        <w:rPr>
          <w:rFonts w:eastAsia="Arial Unicode MS"/>
          <w:bCs/>
          <w:lang w:eastAsia="fr-FR" w:bidi="he-IL"/>
        </w:rPr>
        <w:t xml:space="preserve">, </w:t>
      </w:r>
      <w:r w:rsidRPr="00C8701B">
        <w:rPr>
          <w:rFonts w:eastAsia="Arial Unicode MS"/>
          <w:bCs/>
          <w:lang w:eastAsia="fr-FR" w:bidi="he-IL"/>
        </w:rPr>
        <w:t>la prédication de l</w:t>
      </w:r>
      <w:r w:rsidR="00557DE0">
        <w:rPr>
          <w:rFonts w:eastAsia="Arial Unicode MS"/>
          <w:bCs/>
          <w:lang w:eastAsia="fr-FR" w:bidi="he-IL"/>
        </w:rPr>
        <w:t>’</w:t>
      </w:r>
      <w:r w:rsidRPr="00C8701B">
        <w:rPr>
          <w:rFonts w:eastAsia="Arial Unicode MS"/>
          <w:bCs/>
          <w:lang w:eastAsia="fr-FR" w:bidi="he-IL"/>
        </w:rPr>
        <w:t>apôtre Matthieu</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 saint évangile</w:t>
      </w:r>
      <w:r w:rsidR="00E65435">
        <w:rPr>
          <w:rFonts w:eastAsia="Arial Unicode MS"/>
          <w:bCs/>
          <w:lang w:eastAsia="fr-FR" w:bidi="he-IL"/>
        </w:rPr>
        <w:t xml:space="preserve">, </w:t>
      </w:r>
      <w:r w:rsidRPr="00C8701B">
        <w:rPr>
          <w:rFonts w:eastAsia="Arial Unicode MS"/>
          <w:bCs/>
          <w:lang w:eastAsia="fr-FR" w:bidi="he-IL"/>
        </w:rPr>
        <w:t>la prédication de l</w:t>
      </w:r>
      <w:r w:rsidR="00557DE0">
        <w:rPr>
          <w:rFonts w:eastAsia="Arial Unicode MS"/>
          <w:bCs/>
          <w:lang w:eastAsia="fr-FR" w:bidi="he-IL"/>
        </w:rPr>
        <w:t>’</w:t>
      </w:r>
      <w:r w:rsidRPr="00C8701B">
        <w:rPr>
          <w:rFonts w:eastAsia="Arial Unicode MS"/>
          <w:bCs/>
          <w:lang w:eastAsia="fr-FR" w:bidi="he-IL"/>
        </w:rPr>
        <w:t>évangéliste Mar</w:t>
      </w:r>
      <w:r w:rsidR="00193902">
        <w:rPr>
          <w:rFonts w:eastAsia="Arial Unicode MS"/>
          <w:bCs/>
          <w:lang w:eastAsia="fr-FR" w:bidi="he-IL"/>
        </w:rPr>
        <w:t>c</w:t>
      </w:r>
      <w:r w:rsidR="00E65435">
        <w:rPr>
          <w:rFonts w:eastAsia="Arial Unicode MS"/>
          <w:bCs/>
          <w:lang w:eastAsia="fr-FR" w:bidi="he-IL"/>
        </w:rPr>
        <w:t xml:space="preserve">, </w:t>
      </w:r>
      <w:r w:rsidRPr="00C8701B">
        <w:rPr>
          <w:rFonts w:eastAsia="Arial Unicode MS"/>
          <w:bCs/>
          <w:lang w:eastAsia="fr-FR" w:bidi="he-IL"/>
        </w:rPr>
        <w:t>etc.</w:t>
      </w:r>
      <w:r w:rsidR="00C2602D" w:rsidRPr="00C8701B">
        <w:rPr>
          <w:rFonts w:eastAsia="Arial Unicode MS"/>
          <w:bCs/>
          <w:lang w:eastAsia="fr-FR" w:bidi="he-IL"/>
        </w:rPr>
        <w:t xml:space="preserve"> </w:t>
      </w:r>
    </w:p>
    <w:p w:rsidR="00C2602D" w:rsidRPr="00C8701B" w:rsidRDefault="00B704AD" w:rsidP="007D6639">
      <w:pPr>
        <w:rPr>
          <w:rFonts w:eastAsia="Arial Unicode MS"/>
          <w:bCs/>
          <w:lang w:eastAsia="fr-FR" w:bidi="he-IL"/>
        </w:rPr>
      </w:pPr>
      <w:r w:rsidRPr="00C8701B">
        <w:rPr>
          <w:rFonts w:eastAsia="Arial Unicode MS"/>
          <w:bCs/>
          <w:lang w:eastAsia="fr-FR" w:bidi="he-IL"/>
        </w:rPr>
        <w:t>2° Ils ont été parfois attribués aux écrivains sacrés eux-mêmes</w:t>
      </w:r>
      <w:r w:rsidR="00E65435">
        <w:rPr>
          <w:rFonts w:eastAsia="Arial Unicode MS"/>
          <w:bCs/>
          <w:lang w:eastAsia="fr-FR" w:bidi="he-IL"/>
        </w:rPr>
        <w:t xml:space="preserve">, </w:t>
      </w:r>
      <w:r w:rsidRPr="00C8701B">
        <w:rPr>
          <w:rFonts w:eastAsia="Arial Unicode MS"/>
          <w:bCs/>
          <w:lang w:eastAsia="fr-FR" w:bidi="he-IL"/>
        </w:rPr>
        <w:t>mais sans raison suffisante. D</w:t>
      </w:r>
      <w:r w:rsidR="00557DE0">
        <w:rPr>
          <w:rFonts w:eastAsia="Arial Unicode MS"/>
          <w:bCs/>
          <w:lang w:eastAsia="fr-FR" w:bidi="he-IL"/>
        </w:rPr>
        <w:t>’</w:t>
      </w:r>
      <w:r w:rsidRPr="00C8701B">
        <w:rPr>
          <w:rFonts w:eastAsia="Arial Unicode MS"/>
          <w:bCs/>
          <w:lang w:eastAsia="fr-FR" w:bidi="he-IL"/>
        </w:rPr>
        <w:t>une part leur uniformité</w:t>
      </w:r>
      <w:r w:rsidR="00E65435">
        <w:rPr>
          <w:rFonts w:eastAsia="Arial Unicode MS"/>
          <w:bCs/>
          <w:lang w:eastAsia="fr-FR" w:bidi="he-IL"/>
        </w:rPr>
        <w:t xml:space="preserve">, </w:t>
      </w:r>
      <w:r w:rsidRPr="00C8701B">
        <w:rPr>
          <w:rFonts w:eastAsia="Arial Unicode MS"/>
          <w:bCs/>
          <w:lang w:eastAsia="fr-FR" w:bidi="he-IL"/>
        </w:rPr>
        <w:t>de l</w:t>
      </w:r>
      <w:r w:rsidR="00557DE0">
        <w:rPr>
          <w:rFonts w:eastAsia="Arial Unicode MS"/>
          <w:bCs/>
          <w:lang w:eastAsia="fr-FR" w:bidi="he-IL"/>
        </w:rPr>
        <w:t>’</w:t>
      </w:r>
      <w:r w:rsidRPr="00C8701B">
        <w:rPr>
          <w:rFonts w:eastAsia="Arial Unicode MS"/>
          <w:bCs/>
          <w:lang w:eastAsia="fr-FR" w:bidi="he-IL"/>
        </w:rPr>
        <w:t>autre les variantes assez ·consi</w:t>
      </w:r>
      <w:r w:rsidR="00193902">
        <w:rPr>
          <w:rFonts w:eastAsia="Arial Unicode MS"/>
          <w:bCs/>
          <w:lang w:eastAsia="fr-FR" w:bidi="he-IL"/>
        </w:rPr>
        <w:t>dérables qui</w:t>
      </w:r>
      <w:r w:rsidRPr="00C8701B">
        <w:rPr>
          <w:rFonts w:eastAsia="Arial Unicode MS"/>
          <w:bCs/>
          <w:lang w:eastAsia="fr-FR" w:bidi="he-IL"/>
        </w:rPr>
        <w:t xml:space="preserve"> viennent d</w:t>
      </w:r>
      <w:r w:rsidR="00557DE0">
        <w:rPr>
          <w:rFonts w:eastAsia="Arial Unicode MS"/>
          <w:bCs/>
          <w:lang w:eastAsia="fr-FR" w:bidi="he-IL"/>
        </w:rPr>
        <w:t>’</w:t>
      </w:r>
      <w:r w:rsidRPr="00C8701B">
        <w:rPr>
          <w:rFonts w:eastAsia="Arial Unicode MS"/>
          <w:bCs/>
          <w:lang w:eastAsia="fr-FR" w:bidi="he-IL"/>
        </w:rPr>
        <w:t>être signalées</w:t>
      </w:r>
      <w:r w:rsidR="00E65435">
        <w:rPr>
          <w:rFonts w:eastAsia="Arial Unicode MS"/>
          <w:bCs/>
          <w:lang w:eastAsia="fr-FR" w:bidi="he-IL"/>
        </w:rPr>
        <w:t xml:space="preserve">, </w:t>
      </w:r>
      <w:r w:rsidRPr="00C8701B">
        <w:rPr>
          <w:rFonts w:eastAsia="Arial Unicode MS"/>
          <w:bCs/>
          <w:lang w:eastAsia="fr-FR" w:bidi="he-IL"/>
        </w:rPr>
        <w:t>vont à l</w:t>
      </w:r>
      <w:r w:rsidR="00557DE0">
        <w:rPr>
          <w:rFonts w:eastAsia="Arial Unicode MS"/>
          <w:bCs/>
          <w:lang w:eastAsia="fr-FR" w:bidi="he-IL"/>
        </w:rPr>
        <w:t>’</w:t>
      </w:r>
      <w:r w:rsidRPr="00C8701B">
        <w:rPr>
          <w:rFonts w:eastAsia="Arial Unicode MS"/>
          <w:bCs/>
          <w:lang w:eastAsia="fr-FR" w:bidi="he-IL"/>
        </w:rPr>
        <w:t>encontre de cette assertion. De plus</w:t>
      </w:r>
      <w:r w:rsidR="00E65435">
        <w:rPr>
          <w:rFonts w:eastAsia="Arial Unicode MS"/>
          <w:bCs/>
          <w:lang w:eastAsia="fr-FR" w:bidi="he-IL"/>
        </w:rPr>
        <w:t xml:space="preserve">, </w:t>
      </w:r>
      <w:r w:rsidR="00193902">
        <w:rPr>
          <w:rFonts w:eastAsia="Arial Unicode MS"/>
          <w:bCs/>
          <w:lang w:eastAsia="fr-FR" w:bidi="he-IL"/>
        </w:rPr>
        <w:t>ces sortes de</w:t>
      </w:r>
      <w:r w:rsidRPr="00C8701B">
        <w:rPr>
          <w:rFonts w:eastAsia="Arial Unicode MS"/>
          <w:bCs/>
          <w:lang w:eastAsia="fr-FR" w:bidi="he-IL"/>
        </w:rPr>
        <w:t xml:space="preserve"> titres ét</w:t>
      </w:r>
      <w:r w:rsidR="007D6639">
        <w:rPr>
          <w:rFonts w:eastAsia="Arial Unicode MS"/>
          <w:bCs/>
          <w:lang w:eastAsia="fr-FR" w:bidi="he-IL"/>
        </w:rPr>
        <w:t>aient alors fort peu de mode </w:t>
      </w:r>
      <w:r w:rsidR="007D6639" w:rsidRPr="00C406FF">
        <w:rPr>
          <w:rStyle w:val="Appelnotedebasdep"/>
        </w:rPr>
        <w:footnoteReference w:id="70"/>
      </w:r>
      <w:r w:rsidRPr="00C8701B">
        <w:rPr>
          <w:rFonts w:eastAsia="Arial Unicode MS"/>
          <w:bCs/>
          <w:lang w:eastAsia="fr-FR" w:bidi="he-IL"/>
        </w:rPr>
        <w:t xml:space="preserve">. </w:t>
      </w:r>
      <w:r w:rsidR="00C2602D" w:rsidRPr="00C8701B">
        <w:rPr>
          <w:rFonts w:eastAsia="Arial Unicode MS"/>
          <w:bCs/>
          <w:lang w:eastAsia="fr-FR" w:bidi="he-IL"/>
        </w:rPr>
        <w:t>« </w:t>
      </w:r>
      <w:r w:rsidR="00341683" w:rsidRPr="00C8701B">
        <w:rPr>
          <w:rFonts w:eastAsia="Arial Unicode MS"/>
          <w:bCs/>
          <w:lang w:eastAsia="fr-FR" w:bidi="he-IL"/>
        </w:rPr>
        <w:t>Móyses</w:t>
      </w:r>
      <w:r w:rsidR="00E65435">
        <w:rPr>
          <w:rFonts w:eastAsia="Arial Unicode MS"/>
          <w:bCs/>
          <w:lang w:eastAsia="fr-FR" w:bidi="he-IL"/>
        </w:rPr>
        <w:t xml:space="preserve">, </w:t>
      </w:r>
      <w:r w:rsidRPr="00C8701B">
        <w:rPr>
          <w:rFonts w:eastAsia="Arial Unicode MS"/>
          <w:bCs/>
          <w:lang w:eastAsia="fr-FR" w:bidi="he-IL"/>
        </w:rPr>
        <w:t>écrit Jean Chrysostome</w:t>
      </w:r>
      <w:r w:rsidR="007D6639">
        <w:rPr>
          <w:rFonts w:eastAsia="Arial Unicode MS"/>
          <w:bCs/>
          <w:lang w:eastAsia="fr-FR" w:bidi="he-IL"/>
        </w:rPr>
        <w:t> </w:t>
      </w:r>
      <w:r w:rsidR="007D6639" w:rsidRPr="00C406FF">
        <w:rPr>
          <w:rStyle w:val="Appelnotedebasdep"/>
        </w:rPr>
        <w:footnoteReference w:id="71"/>
      </w:r>
      <w:r w:rsidR="00E65435">
        <w:rPr>
          <w:rFonts w:eastAsia="Arial Unicode MS"/>
          <w:bCs/>
          <w:lang w:eastAsia="fr-FR" w:bidi="he-IL"/>
        </w:rPr>
        <w:t xml:space="preserve">, </w:t>
      </w:r>
      <w:r w:rsidR="00193902">
        <w:t>libris quinque a se scriptis nun</w:t>
      </w:r>
      <w:r w:rsidRPr="00193902">
        <w:t xml:space="preserve">quam nomen suum </w:t>
      </w:r>
      <w:r w:rsidR="001E304C" w:rsidRPr="00193902">
        <w:t>appósuit</w:t>
      </w:r>
      <w:r w:rsidR="00E65435" w:rsidRPr="00193902">
        <w:t xml:space="preserve">, </w:t>
      </w:r>
      <w:r w:rsidR="00193902">
        <w:t>neque</w:t>
      </w:r>
      <w:r w:rsidRPr="00193902">
        <w:t xml:space="preserve"> illi qui res gestas post ipsum scr</w:t>
      </w:r>
      <w:r w:rsidR="00473B23" w:rsidRPr="00193902">
        <w:t>ipsérunt</w:t>
      </w:r>
      <w:r w:rsidR="00C2602D" w:rsidRPr="00193902">
        <w:t> </w:t>
      </w:r>
      <w:r w:rsidR="007F6508" w:rsidRPr="00193902">
        <w:t xml:space="preserve">; </w:t>
      </w:r>
      <w:r w:rsidRPr="00193902">
        <w:t>sed</w:t>
      </w:r>
      <w:r w:rsidR="00193902">
        <w:t xml:space="preserve"> </w:t>
      </w:r>
      <w:r w:rsidRPr="00193902">
        <w:t xml:space="preserve">neque </w:t>
      </w:r>
      <w:r w:rsidR="001E304C" w:rsidRPr="00193902">
        <w:t>Matthǽus</w:t>
      </w:r>
      <w:r w:rsidR="00E65435" w:rsidRPr="00193902">
        <w:t xml:space="preserve">, </w:t>
      </w:r>
      <w:r w:rsidRPr="00193902">
        <w:t xml:space="preserve">neque </w:t>
      </w:r>
      <w:r w:rsidR="001E304C" w:rsidRPr="00193902">
        <w:t>Joánnes</w:t>
      </w:r>
      <w:r w:rsidR="00E65435" w:rsidRPr="00193902">
        <w:t xml:space="preserve">, </w:t>
      </w:r>
      <w:r w:rsidRPr="00193902">
        <w:t>neque Lucas</w:t>
      </w:r>
      <w:r w:rsidR="00E65435" w:rsidRPr="00193902">
        <w:t xml:space="preserve">, </w:t>
      </w:r>
      <w:r w:rsidR="007D6639">
        <w:t>neque Marcus </w:t>
      </w:r>
      <w:r w:rsidR="007D6639" w:rsidRPr="00C406FF">
        <w:rPr>
          <w:rStyle w:val="Appelnotedebasdep"/>
        </w:rPr>
        <w:footnoteReference w:id="72"/>
      </w:r>
      <w:r w:rsidRPr="00193902">
        <w:t>.</w:t>
      </w:r>
      <w:r w:rsidR="00C2602D" w:rsidRPr="00193902">
        <w:t> </w:t>
      </w:r>
      <w:r w:rsidR="00C2602D" w:rsidRPr="00C8701B">
        <w:rPr>
          <w:rFonts w:eastAsia="Arial Unicode MS"/>
          <w:bCs/>
          <w:lang w:eastAsia="fr-FR" w:bidi="he-IL"/>
        </w:rPr>
        <w:t xml:space="preserve">» </w:t>
      </w:r>
    </w:p>
    <w:p w:rsidR="00C2602D" w:rsidRPr="00E907ED" w:rsidRDefault="00B704AD" w:rsidP="007D6639">
      <w:r w:rsidRPr="00C8701B">
        <w:rPr>
          <w:rFonts w:eastAsia="Arial Unicode MS"/>
          <w:bCs/>
          <w:lang w:eastAsia="fr-FR" w:bidi="he-IL"/>
        </w:rPr>
        <w:t>Néanmoins</w:t>
      </w:r>
      <w:r w:rsidR="00E65435">
        <w:rPr>
          <w:rFonts w:eastAsia="Arial Unicode MS"/>
          <w:bCs/>
          <w:lang w:eastAsia="fr-FR" w:bidi="he-IL"/>
        </w:rPr>
        <w:t xml:space="preserve">, </w:t>
      </w:r>
      <w:r w:rsidR="00F45F65">
        <w:rPr>
          <w:rFonts w:eastAsia="Arial Unicode MS"/>
          <w:bCs/>
          <w:lang w:eastAsia="fr-FR" w:bidi="he-IL"/>
        </w:rPr>
        <w:t>il</w:t>
      </w:r>
      <w:r w:rsidRPr="00C8701B">
        <w:rPr>
          <w:rFonts w:eastAsia="Arial Unicode MS"/>
          <w:bCs/>
          <w:lang w:eastAsia="fr-FR" w:bidi="he-IL"/>
        </w:rPr>
        <w:t xml:space="preserve"> est certain qu</w:t>
      </w:r>
      <w:r w:rsidR="00557DE0">
        <w:rPr>
          <w:rFonts w:eastAsia="Arial Unicode MS"/>
          <w:bCs/>
          <w:lang w:eastAsia="fr-FR" w:bidi="he-IL"/>
        </w:rPr>
        <w:t>’</w:t>
      </w:r>
      <w:r w:rsidRPr="00C8701B">
        <w:rPr>
          <w:rFonts w:eastAsia="Arial Unicode MS"/>
          <w:bCs/>
          <w:lang w:eastAsia="fr-FR" w:bidi="he-IL"/>
        </w:rPr>
        <w:t>ils remontent à une très haute antiquité. S. Irénée et Clément d</w:t>
      </w:r>
      <w:r w:rsidR="00557DE0">
        <w:rPr>
          <w:rFonts w:eastAsia="Arial Unicode MS"/>
          <w:bCs/>
          <w:lang w:eastAsia="fr-FR" w:bidi="he-IL"/>
        </w:rPr>
        <w:t>’</w:t>
      </w:r>
      <w:r w:rsidRPr="00C8701B">
        <w:rPr>
          <w:rFonts w:eastAsia="Arial Unicode MS"/>
          <w:bCs/>
          <w:lang w:eastAsia="fr-FR" w:bidi="he-IL"/>
        </w:rPr>
        <w:t>Alexandrie les connaissent et les emploient</w:t>
      </w:r>
      <w:r w:rsidR="00C2602D" w:rsidRPr="00C8701B">
        <w:rPr>
          <w:rFonts w:eastAsia="Arial Unicode MS"/>
          <w:bCs/>
          <w:lang w:eastAsia="fr-FR" w:bidi="he-IL"/>
        </w:rPr>
        <w:t> :</w:t>
      </w:r>
      <w:r w:rsidRPr="00C8701B">
        <w:rPr>
          <w:rFonts w:eastAsia="Arial Unicode MS"/>
          <w:bCs/>
          <w:lang w:eastAsia="fr-FR" w:bidi="he-IL"/>
        </w:rPr>
        <w:t xml:space="preserve"> </w:t>
      </w:r>
      <w:r w:rsidR="00CE226F" w:rsidRPr="001E304C">
        <w:t>τὸ</w:t>
      </w:r>
      <w:r w:rsidRPr="001E304C">
        <w:t xml:space="preserve"> </w:t>
      </w:r>
      <w:r w:rsidR="00F45F65" w:rsidRPr="001E304C">
        <w:t>μὲν</w:t>
      </w:r>
      <w:r w:rsidRPr="001E304C">
        <w:t xml:space="preserve"> </w:t>
      </w:r>
      <w:r w:rsidR="00C771BF">
        <w:t>κ</w:t>
      </w:r>
      <w:r w:rsidR="00A74F01">
        <w:t>α</w:t>
      </w:r>
      <w:r w:rsidR="00C771BF">
        <w:t>τ</w:t>
      </w:r>
      <w:r w:rsidR="00116664">
        <w:t>ὰ</w:t>
      </w:r>
      <w:r w:rsidRPr="001E304C">
        <w:t xml:space="preserve"> </w:t>
      </w:r>
      <w:r w:rsidR="00F45F65" w:rsidRPr="001E304C">
        <w:t>Ἰω</w:t>
      </w:r>
      <w:r w:rsidR="00CD3C57">
        <w:t>ά</w:t>
      </w:r>
      <w:r w:rsidR="00F45F65" w:rsidRPr="001E304C">
        <w:t>ννην</w:t>
      </w:r>
      <w:r w:rsidR="001E304C" w:rsidRPr="001E304C">
        <w:t xml:space="preserve">, </w:t>
      </w:r>
      <w:r w:rsidR="00C87A2B" w:rsidRPr="001E304C">
        <w:t>...</w:t>
      </w:r>
      <w:r w:rsidRPr="001E304C">
        <w:t>.</w:t>
      </w:r>
      <w:r w:rsidR="001E304C" w:rsidRPr="001E304C">
        <w:t xml:space="preserve"> </w:t>
      </w:r>
      <w:r w:rsidR="00CE226F" w:rsidRPr="001E304C">
        <w:t>τὸ</w:t>
      </w:r>
      <w:r w:rsidR="00F45F65" w:rsidRPr="001E304C">
        <w:t xml:space="preserve"> δὲ</w:t>
      </w:r>
      <w:r w:rsidRPr="001E304C">
        <w:t xml:space="preserve"> </w:t>
      </w:r>
      <w:r w:rsidR="00C771BF">
        <w:t>κ</w:t>
      </w:r>
      <w:r w:rsidR="00A74F01">
        <w:t>α</w:t>
      </w:r>
      <w:r w:rsidR="00C771BF">
        <w:t>τ</w:t>
      </w:r>
      <w:r w:rsidR="00116664">
        <w:t>ὰ</w:t>
      </w:r>
      <w:r w:rsidR="00F45F65" w:rsidRPr="001E304C">
        <w:t xml:space="preserve"> Λουκᾶν</w:t>
      </w:r>
      <w:r w:rsidR="007D6639">
        <w:t> </w:t>
      </w:r>
      <w:r w:rsidR="007D6639" w:rsidRPr="00C406FF">
        <w:rPr>
          <w:rStyle w:val="Appelnotedebasdep"/>
        </w:rPr>
        <w:footnoteReference w:id="73"/>
      </w:r>
      <w:r w:rsidR="00E65435" w:rsidRPr="001E304C">
        <w:t xml:space="preserve">, </w:t>
      </w:r>
      <w:r w:rsidR="00401D7F" w:rsidRPr="001E304C">
        <w:t xml:space="preserve">ἐν </w:t>
      </w:r>
      <w:r w:rsidR="00F45F65" w:rsidRPr="001E304C">
        <w:t>τῷ</w:t>
      </w:r>
      <w:r w:rsidR="00401D7F" w:rsidRPr="001E304C">
        <w:t xml:space="preserve"> </w:t>
      </w:r>
      <w:r w:rsidR="00116664" w:rsidRPr="001E304C">
        <w:t>εὐ</w:t>
      </w:r>
      <w:r w:rsidR="00116664">
        <w:t>α</w:t>
      </w:r>
      <w:r w:rsidR="00116664" w:rsidRPr="001E304C">
        <w:t>γγελίῳ</w:t>
      </w:r>
      <w:r w:rsidR="00F45F65" w:rsidRPr="001E304C">
        <w:t xml:space="preserve"> τῷ </w:t>
      </w:r>
      <w:r w:rsidR="00C771BF">
        <w:t>κ</w:t>
      </w:r>
      <w:r w:rsidR="00A74F01">
        <w:t>α</w:t>
      </w:r>
      <w:r w:rsidR="00C771BF">
        <w:t>τ</w:t>
      </w:r>
      <w:r w:rsidR="00116664">
        <w:t>ὰ</w:t>
      </w:r>
      <w:r w:rsidR="00F45F65" w:rsidRPr="001E304C">
        <w:t xml:space="preserve"> Λουκᾶ</w:t>
      </w:r>
      <w:r w:rsidRPr="001E304C">
        <w:t>ν</w:t>
      </w:r>
      <w:r w:rsidR="00E65435" w:rsidRPr="001E304C">
        <w:t xml:space="preserve">, </w:t>
      </w:r>
      <w:r w:rsidR="00401D7F" w:rsidRPr="001E304C">
        <w:t xml:space="preserve">ἐν </w:t>
      </w:r>
      <w:r w:rsidR="00F45F65" w:rsidRPr="001E304C">
        <w:t>τῷ</w:t>
      </w:r>
      <w:r w:rsidRPr="001E304C">
        <w:t xml:space="preserve"> </w:t>
      </w:r>
      <w:r w:rsidR="00C771BF">
        <w:t>κ</w:t>
      </w:r>
      <w:r w:rsidR="00A74F01">
        <w:t>α</w:t>
      </w:r>
      <w:r w:rsidR="00C771BF">
        <w:t>τ</w:t>
      </w:r>
      <w:r w:rsidR="00116664">
        <w:t>ὰ</w:t>
      </w:r>
      <w:r w:rsidRPr="001E304C">
        <w:t xml:space="preserve"> Μ</w:t>
      </w:r>
      <w:r w:rsidR="00A74F01">
        <w:t>α</w:t>
      </w:r>
      <w:r w:rsidRPr="001E304C">
        <w:t>τθ</w:t>
      </w:r>
      <w:r w:rsidR="00A74F01">
        <w:t>α</w:t>
      </w:r>
      <w:r w:rsidR="00DB523B" w:rsidRPr="001E304C">
        <w:t>ῖον</w:t>
      </w:r>
      <w:r w:rsidR="00401D7F" w:rsidRPr="001E304C">
        <w:t xml:space="preserve"> εὐ</w:t>
      </w:r>
      <w:r w:rsidR="00A74F01">
        <w:t>α</w:t>
      </w:r>
      <w:r w:rsidR="00401D7F" w:rsidRPr="001E304C">
        <w:t>γ</w:t>
      </w:r>
      <w:r w:rsidR="00F45F65" w:rsidRPr="001E304C">
        <w:t>γελ</w:t>
      </w:r>
      <w:r w:rsidR="00DB352C">
        <w:t>ί</w:t>
      </w:r>
      <w:r w:rsidR="00F45F65" w:rsidRPr="001E304C">
        <w:t>ῷ</w:t>
      </w:r>
      <w:r w:rsidR="007D6639">
        <w:t> </w:t>
      </w:r>
      <w:r w:rsidR="007D6639" w:rsidRPr="00C406FF">
        <w:rPr>
          <w:rStyle w:val="Appelnotedebasdep"/>
        </w:rPr>
        <w:footnoteReference w:id="74"/>
      </w:r>
      <w:r w:rsidRPr="001E304C">
        <w:t>. Le canon de Muratori en fait usage dans sa</w:t>
      </w:r>
      <w:r w:rsidR="00C2602D" w:rsidRPr="001E304C">
        <w:t xml:space="preserve"> </w:t>
      </w:r>
      <w:r w:rsidR="000716BB" w:rsidRPr="000716BB">
        <w:rPr>
          <w:rFonts w:eastAsia="Arial Unicode MS"/>
          <w:bCs/>
          <w:lang w:eastAsia="fr-FR" w:bidi="he-IL"/>
        </w:rPr>
        <w:t>{</w:t>
      </w:r>
      <w:r w:rsidR="000716BB">
        <w:rPr>
          <w:rFonts w:eastAsia="Arial Unicode MS"/>
          <w:bCs/>
          <w:lang w:eastAsia="fr-FR" w:bidi="he-IL"/>
        </w:rPr>
        <w:t>12</w:t>
      </w:r>
      <w:bookmarkStart w:id="22" w:name="pag012"/>
      <w:bookmarkEnd w:id="22"/>
      <w:r w:rsidR="000716BB" w:rsidRPr="000716BB">
        <w:rPr>
          <w:rFonts w:eastAsia="Arial Unicode MS"/>
          <w:bCs/>
          <w:lang w:eastAsia="fr-FR" w:bidi="he-IL"/>
        </w:rPr>
        <w:t xml:space="preserve">} </w:t>
      </w:r>
      <w:r w:rsidRPr="00C8701B">
        <w:rPr>
          <w:rFonts w:eastAsia="Arial Unicode MS"/>
          <w:bCs/>
          <w:lang w:eastAsia="fr-FR" w:bidi="he-IL"/>
        </w:rPr>
        <w:t>nomenclature des livres du Nouveau Te</w:t>
      </w:r>
      <w:r w:rsidRPr="001E304C">
        <w:t>stament</w:t>
      </w:r>
      <w:r w:rsidR="00C2602D" w:rsidRPr="001E304C">
        <w:t> :</w:t>
      </w:r>
      <w:r w:rsidRPr="001E304C">
        <w:t xml:space="preserve"> </w:t>
      </w:r>
      <w:r w:rsidR="00C2602D" w:rsidRPr="001E304C">
        <w:t>« </w:t>
      </w:r>
      <w:r w:rsidR="001E304C" w:rsidRPr="001E304C">
        <w:t>Tértium</w:t>
      </w:r>
      <w:r w:rsidRPr="001E304C">
        <w:t xml:space="preserve"> </w:t>
      </w:r>
      <w:r w:rsidR="001E304C" w:rsidRPr="001E304C">
        <w:t>evangélii</w:t>
      </w:r>
      <w:r w:rsidRPr="001E304C">
        <w:t xml:space="preserve"> </w:t>
      </w:r>
      <w:r w:rsidR="001E304C" w:rsidRPr="001E304C">
        <w:t>librum</w:t>
      </w:r>
      <w:r w:rsidRPr="001E304C">
        <w:t xml:space="preserve"> </w:t>
      </w:r>
      <w:r w:rsidR="00E939E7" w:rsidRPr="001E304C">
        <w:t>secúndum</w:t>
      </w:r>
      <w:r w:rsidRPr="001E304C">
        <w:t xml:space="preserve"> Lucam...</w:t>
      </w:r>
      <w:r w:rsidR="00C2602D" w:rsidRPr="001E304C">
        <w:t> »</w:t>
      </w:r>
      <w:r w:rsidRPr="001E304C">
        <w:t xml:space="preserve"> Tertullien en tire un argument pour démontrer le caractère tout humain et </w:t>
      </w:r>
      <w:r w:rsidRPr="00E907ED">
        <w:t>la fausseté de l</w:t>
      </w:r>
      <w:r w:rsidR="00557DE0">
        <w:t>’</w:t>
      </w:r>
      <w:r w:rsidRPr="00E907ED">
        <w:t>évangile composé par Marcion</w:t>
      </w:r>
      <w:r w:rsidR="00C2602D" w:rsidRPr="00E907ED">
        <w:t> :</w:t>
      </w:r>
      <w:r w:rsidRPr="00E907ED">
        <w:t xml:space="preserve"> </w:t>
      </w:r>
      <w:r w:rsidR="00C2602D" w:rsidRPr="00E907ED">
        <w:t>« </w:t>
      </w:r>
      <w:r w:rsidRPr="00E907ED">
        <w:t xml:space="preserve">Marcion </w:t>
      </w:r>
      <w:r w:rsidR="001E304C" w:rsidRPr="00E907ED">
        <w:t>evangélio</w:t>
      </w:r>
      <w:r w:rsidR="00E65435" w:rsidRPr="00E907ED">
        <w:t xml:space="preserve">, </w:t>
      </w:r>
      <w:r w:rsidR="001E304C" w:rsidRPr="00E907ED">
        <w:t>scílicet</w:t>
      </w:r>
      <w:r w:rsidRPr="00E907ED">
        <w:t xml:space="preserve"> suo nullum </w:t>
      </w:r>
      <w:r w:rsidR="00E907ED" w:rsidRPr="00E907ED">
        <w:t>adscrí</w:t>
      </w:r>
      <w:r w:rsidRPr="00E907ED">
        <w:t xml:space="preserve">bit </w:t>
      </w:r>
      <w:r w:rsidR="00E907ED" w:rsidRPr="00E907ED">
        <w:t>auctórem</w:t>
      </w:r>
      <w:r w:rsidR="00C2602D" w:rsidRPr="00E907ED">
        <w:t> </w:t>
      </w:r>
      <w:r w:rsidR="007F6508" w:rsidRPr="00E907ED">
        <w:t xml:space="preserve">; </w:t>
      </w:r>
      <w:r w:rsidR="00E907ED" w:rsidRPr="00E907ED">
        <w:t>quasi non licúerit</w:t>
      </w:r>
      <w:r w:rsidRPr="00E907ED">
        <w:t xml:space="preserve"> illi </w:t>
      </w:r>
      <w:r w:rsidR="00E907ED" w:rsidRPr="00E907ED">
        <w:t>títulum</w:t>
      </w:r>
      <w:r w:rsidR="00E907ED">
        <w:t xml:space="preserve"> quoque affí</w:t>
      </w:r>
      <w:r w:rsidRPr="00E907ED">
        <w:t>ngere</w:t>
      </w:r>
      <w:r w:rsidR="00E65435" w:rsidRPr="00E907ED">
        <w:t xml:space="preserve">, </w:t>
      </w:r>
      <w:r w:rsidRPr="00E907ED">
        <w:t>cui</w:t>
      </w:r>
      <w:r w:rsidR="00E907ED" w:rsidRPr="00E907ED">
        <w:t xml:space="preserve"> </w:t>
      </w:r>
      <w:r w:rsidRPr="00E907ED">
        <w:t xml:space="preserve">nefas non fuit ipsum corpus </w:t>
      </w:r>
      <w:r w:rsidR="00E907ED" w:rsidRPr="00E907ED">
        <w:t>evértere</w:t>
      </w:r>
      <w:r w:rsidRPr="00E907ED">
        <w:t xml:space="preserve">. Et possem hic jam gradum </w:t>
      </w:r>
      <w:r w:rsidR="00E907ED" w:rsidRPr="00E907ED">
        <w:t>fígere</w:t>
      </w:r>
      <w:r w:rsidR="00E65435" w:rsidRPr="00E907ED">
        <w:t xml:space="preserve">, </w:t>
      </w:r>
      <w:r w:rsidRPr="00E907ED">
        <w:t>non agn</w:t>
      </w:r>
      <w:r w:rsidR="00E939E7" w:rsidRPr="00E907ED">
        <w:t>oscéndum</w:t>
      </w:r>
      <w:r w:rsidR="00E907ED">
        <w:t xml:space="preserve"> conté</w:t>
      </w:r>
      <w:r w:rsidRPr="00E907ED">
        <w:t xml:space="preserve">ndens </w:t>
      </w:r>
      <w:r w:rsidR="00E907ED" w:rsidRPr="00E907ED">
        <w:t>opus</w:t>
      </w:r>
      <w:r w:rsidRPr="00E907ED">
        <w:t xml:space="preserve"> quod nullam const</w:t>
      </w:r>
      <w:r w:rsidR="00E907ED" w:rsidRPr="00E907ED">
        <w:t>ántiam</w:t>
      </w:r>
      <w:r w:rsidRPr="00E907ED">
        <w:t xml:space="preserve"> </w:t>
      </w:r>
      <w:r w:rsidR="00E907ED" w:rsidRPr="00E907ED">
        <w:t>prǽferat</w:t>
      </w:r>
      <w:r w:rsidR="00E65435" w:rsidRPr="00E907ED">
        <w:t xml:space="preserve">, </w:t>
      </w:r>
      <w:r w:rsidR="00E37C84" w:rsidRPr="00E907ED">
        <w:t>qu</w:t>
      </w:r>
      <w:r w:rsidRPr="00E907ED">
        <w:t xml:space="preserve">od non </w:t>
      </w:r>
      <w:r w:rsidR="00E907ED" w:rsidRPr="00E907ED">
        <w:t>érigat</w:t>
      </w:r>
      <w:r w:rsidRPr="00E907ED">
        <w:t xml:space="preserve"> frontem</w:t>
      </w:r>
      <w:r w:rsidR="00E65435" w:rsidRPr="00E907ED">
        <w:t xml:space="preserve">, </w:t>
      </w:r>
      <w:r w:rsidR="00E907ED">
        <w:t>nullam fidem repromí</w:t>
      </w:r>
      <w:r w:rsidRPr="00E907ED">
        <w:t xml:space="preserve">ttat de </w:t>
      </w:r>
      <w:r w:rsidR="00E907ED" w:rsidRPr="00E907ED">
        <w:t>plenitúdine</w:t>
      </w:r>
      <w:r w:rsidRPr="00E907ED">
        <w:t xml:space="preserve"> </w:t>
      </w:r>
      <w:r w:rsidR="00E907ED" w:rsidRPr="00E907ED">
        <w:t>títuli</w:t>
      </w:r>
      <w:r w:rsidR="00E907ED">
        <w:t xml:space="preserve"> et professión</w:t>
      </w:r>
      <w:r w:rsidRPr="00E907ED">
        <w:t xml:space="preserve">e </w:t>
      </w:r>
      <w:r w:rsidR="00E907ED" w:rsidRPr="00E907ED">
        <w:t>débita</w:t>
      </w:r>
      <w:r w:rsidRPr="00E907ED">
        <w:t xml:space="preserve"> </w:t>
      </w:r>
      <w:r w:rsidR="00E907ED" w:rsidRPr="00E907ED">
        <w:t>auctóris</w:t>
      </w:r>
      <w:r w:rsidR="007D6639">
        <w:t> </w:t>
      </w:r>
      <w:r w:rsidR="007D6639" w:rsidRPr="00C406FF">
        <w:rPr>
          <w:rStyle w:val="Appelnotedebasdep"/>
        </w:rPr>
        <w:footnoteReference w:id="75"/>
      </w:r>
      <w:r w:rsidRPr="00E907ED">
        <w:t>.</w:t>
      </w:r>
      <w:r w:rsidR="00C2602D" w:rsidRPr="00E907ED">
        <w:t> »</w:t>
      </w:r>
      <w:r w:rsidRPr="00E907ED">
        <w:t xml:space="preserve"> Cette dernière ligne surtout est pleine de force.</w:t>
      </w:r>
      <w:r w:rsidR="00C2602D" w:rsidRPr="00E907ED">
        <w:t xml:space="preserve"> </w:t>
      </w:r>
    </w:p>
    <w:p w:rsidR="00C2602D" w:rsidRPr="00C8701B" w:rsidRDefault="00B704AD" w:rsidP="00C2602D">
      <w:pPr>
        <w:rPr>
          <w:rFonts w:eastAsia="Arial Unicode MS"/>
          <w:bCs/>
          <w:lang w:eastAsia="fr-FR" w:bidi="he-IL"/>
        </w:rPr>
      </w:pPr>
      <w:r w:rsidRPr="00E907ED">
        <w:t>Ces titres</w:t>
      </w:r>
      <w:r w:rsidR="00E65435" w:rsidRPr="00E907ED">
        <w:t xml:space="preserve">, </w:t>
      </w:r>
      <w:r w:rsidRPr="00E907ED">
        <w:t>ainsi employés à la fin du second siècle</w:t>
      </w:r>
      <w:r w:rsidR="00E65435" w:rsidRPr="00E907ED">
        <w:t xml:space="preserve">, </w:t>
      </w:r>
      <w:r w:rsidRPr="00E907ED">
        <w:t>remontaient évidemment beaucoup plus haut</w:t>
      </w:r>
      <w:r w:rsidR="00C2602D" w:rsidRPr="00E907ED">
        <w:t> </w:t>
      </w:r>
      <w:r w:rsidR="007F6508" w:rsidRPr="00E907ED">
        <w:t xml:space="preserve">; </w:t>
      </w:r>
      <w:r w:rsidRPr="00E907ED">
        <w:t>peut-être</w:t>
      </w:r>
      <w:r w:rsidR="00E65435" w:rsidRPr="00E907ED">
        <w:t xml:space="preserve">, </w:t>
      </w:r>
      <w:r w:rsidRPr="00E907ED">
        <w:t>comme on l</w:t>
      </w:r>
      <w:r w:rsidR="00557DE0">
        <w:t>’</w:t>
      </w:r>
      <w:r w:rsidRPr="00E907ED">
        <w:t>a dit</w:t>
      </w:r>
      <w:r w:rsidR="00E65435" w:rsidRPr="00E907ED">
        <w:t xml:space="preserve">, </w:t>
      </w:r>
      <w:r w:rsidRPr="00E907ED">
        <w:t>jusqu</w:t>
      </w:r>
      <w:r w:rsidR="00557DE0">
        <w:t>’</w:t>
      </w:r>
      <w:r w:rsidRPr="00E907ED">
        <w:t>aux</w:t>
      </w:r>
      <w:r w:rsidRPr="00C8701B">
        <w:rPr>
          <w:rFonts w:eastAsia="Arial Unicode MS"/>
          <w:bCs/>
          <w:lang w:eastAsia="fr-FR" w:bidi="he-IL"/>
        </w:rPr>
        <w:t xml:space="preserve"> derniè</w:t>
      </w:r>
      <w:r w:rsidR="007D6639">
        <w:rPr>
          <w:rFonts w:eastAsia="Arial Unicode MS"/>
          <w:bCs/>
          <w:lang w:eastAsia="fr-FR" w:bidi="he-IL"/>
        </w:rPr>
        <w:t>res années du premier siècle </w:t>
      </w:r>
      <w:r w:rsidR="007D6639" w:rsidRPr="00C406FF">
        <w:rPr>
          <w:rStyle w:val="Appelnotedebasdep"/>
        </w:rPr>
        <w:footnoteReference w:id="76"/>
      </w:r>
      <w:r w:rsidRPr="00C8701B">
        <w:rPr>
          <w:rFonts w:eastAsia="Arial Unicode MS"/>
          <w:bCs/>
          <w:lang w:eastAsia="fr-FR" w:bidi="he-IL"/>
        </w:rPr>
        <w:t>. Ils fournissent donc une excellente preuve pour démontrer l</w:t>
      </w:r>
      <w:r w:rsidR="00557DE0">
        <w:rPr>
          <w:rFonts w:eastAsia="Arial Unicode MS"/>
          <w:bCs/>
          <w:lang w:eastAsia="fr-FR" w:bidi="he-IL"/>
        </w:rPr>
        <w:t>’</w:t>
      </w:r>
      <w:r w:rsidRPr="00C8701B">
        <w:rPr>
          <w:rFonts w:eastAsia="Arial Unicode MS"/>
          <w:bCs/>
          <w:lang w:eastAsia="fr-FR" w:bidi="he-IL"/>
        </w:rPr>
        <w:t>authenticité de nos évangiles canoniques.</w:t>
      </w:r>
      <w:r w:rsidR="00C2602D" w:rsidRPr="00C8701B">
        <w:rPr>
          <w:rFonts w:eastAsia="Arial Unicode MS"/>
          <w:bCs/>
          <w:lang w:eastAsia="fr-FR" w:bidi="he-IL"/>
        </w:rPr>
        <w:t xml:space="preserve"> </w:t>
      </w:r>
    </w:p>
    <w:p w:rsidR="00C2602D" w:rsidRPr="00C8701B" w:rsidRDefault="00B704AD" w:rsidP="00E907ED">
      <w:pPr>
        <w:rPr>
          <w:rFonts w:eastAsia="Arial Unicode MS"/>
          <w:bCs/>
          <w:lang w:eastAsia="fr-FR" w:bidi="he-IL"/>
        </w:rPr>
      </w:pPr>
      <w:r w:rsidRPr="00C8701B">
        <w:rPr>
          <w:rFonts w:eastAsia="Arial Unicode MS"/>
          <w:bCs/>
          <w:lang w:eastAsia="fr-FR" w:bidi="he-IL"/>
        </w:rPr>
        <w:t>3° Leur forme est vraiment remarquable. Pourquoi n</w:t>
      </w:r>
      <w:r w:rsidR="00557DE0">
        <w:rPr>
          <w:rFonts w:eastAsia="Arial Unicode MS"/>
          <w:bCs/>
          <w:lang w:eastAsia="fr-FR" w:bidi="he-IL"/>
        </w:rPr>
        <w:t>’</w:t>
      </w:r>
      <w:r w:rsidRPr="00C8701B">
        <w:rPr>
          <w:rFonts w:eastAsia="Arial Unicode MS"/>
          <w:bCs/>
          <w:lang w:eastAsia="fr-FR" w:bidi="he-IL"/>
        </w:rPr>
        <w:t>a-t-on pas dit</w:t>
      </w:r>
      <w:r w:rsidR="00E65435">
        <w:rPr>
          <w:rFonts w:eastAsia="Arial Unicode MS"/>
          <w:bCs/>
          <w:lang w:eastAsia="fr-FR" w:bidi="he-IL"/>
        </w:rPr>
        <w:t xml:space="preserve">, </w:t>
      </w:r>
      <w:r w:rsidRPr="00C8701B">
        <w:rPr>
          <w:rFonts w:eastAsia="Arial Unicode MS"/>
          <w:bCs/>
          <w:lang w:eastAsia="fr-FR" w:bidi="he-IL"/>
        </w:rPr>
        <w:t>à la façon</w:t>
      </w:r>
      <w:r w:rsidR="00E907ED">
        <w:rPr>
          <w:rFonts w:eastAsia="Arial Unicode MS"/>
          <w:bCs/>
          <w:lang w:eastAsia="fr-FR" w:bidi="he-IL"/>
        </w:rPr>
        <w:t xml:space="preserve"> </w:t>
      </w:r>
      <w:r w:rsidRPr="00C8701B">
        <w:rPr>
          <w:rFonts w:eastAsia="Arial Unicode MS"/>
          <w:bCs/>
          <w:lang w:eastAsia="fr-FR" w:bidi="he-IL"/>
        </w:rPr>
        <w:t>accoutumée</w:t>
      </w:r>
      <w:r w:rsidR="00C2602D" w:rsidRPr="00C8701B">
        <w:rPr>
          <w:rFonts w:eastAsia="Arial Unicode MS"/>
          <w:bCs/>
          <w:lang w:eastAsia="fr-FR" w:bidi="he-IL"/>
        </w:rPr>
        <w:t> :</w:t>
      </w:r>
      <w:r w:rsidRPr="00C8701B">
        <w:rPr>
          <w:rFonts w:eastAsia="Arial Unicode MS"/>
          <w:bCs/>
          <w:lang w:eastAsia="fr-FR" w:bidi="he-IL"/>
        </w:rPr>
        <w:t xml:space="preserve"> </w:t>
      </w:r>
      <w:r w:rsidR="000439E9">
        <w:rPr>
          <w:rFonts w:eastAsia="Arial Unicode MS"/>
          <w:bCs/>
          <w:lang w:eastAsia="fr-FR" w:bidi="he-IL"/>
        </w:rPr>
        <w:t>Évangile</w:t>
      </w:r>
      <w:r w:rsidRPr="00C8701B">
        <w:rPr>
          <w:rFonts w:eastAsia="Arial Unicode MS"/>
          <w:bCs/>
          <w:lang w:eastAsia="fr-FR" w:bidi="he-IL"/>
        </w:rPr>
        <w:t xml:space="preserve"> de S. Matthieu</w:t>
      </w:r>
      <w:r w:rsidR="00E65435">
        <w:rPr>
          <w:rFonts w:eastAsia="Arial Unicode MS"/>
          <w:bCs/>
          <w:lang w:eastAsia="fr-FR" w:bidi="he-IL"/>
        </w:rPr>
        <w:t xml:space="preserve">, </w:t>
      </w:r>
      <w:r w:rsidR="000439E9">
        <w:rPr>
          <w:rFonts w:eastAsia="Arial Unicode MS"/>
          <w:bCs/>
          <w:lang w:eastAsia="fr-FR" w:bidi="he-IL"/>
        </w:rPr>
        <w:t>Évangile</w:t>
      </w:r>
      <w:r w:rsidRPr="00C8701B">
        <w:rPr>
          <w:rFonts w:eastAsia="Arial Unicode MS"/>
          <w:bCs/>
          <w:lang w:eastAsia="fr-FR" w:bidi="he-IL"/>
        </w:rPr>
        <w:t xml:space="preserve"> de S. Marc</w:t>
      </w:r>
      <w:r w:rsidR="00E65435">
        <w:rPr>
          <w:rFonts w:eastAsia="Arial Unicode MS"/>
          <w:bCs/>
          <w:lang w:eastAsia="fr-FR" w:bidi="he-IL"/>
        </w:rPr>
        <w:t xml:space="preserve">, </w:t>
      </w:r>
      <w:r w:rsidRPr="00C8701B">
        <w:rPr>
          <w:rFonts w:eastAsia="Arial Unicode MS"/>
          <w:bCs/>
          <w:lang w:eastAsia="fr-FR" w:bidi="he-IL"/>
        </w:rPr>
        <w:t>etc.</w:t>
      </w:r>
      <w:r w:rsidR="00E65435">
        <w:rPr>
          <w:rFonts w:eastAsia="Arial Unicode MS"/>
          <w:bCs/>
          <w:lang w:eastAsia="fr-FR" w:bidi="he-IL"/>
        </w:rPr>
        <w:t xml:space="preserve">, </w:t>
      </w:r>
      <w:r w:rsidRPr="00C8701B">
        <w:rPr>
          <w:rFonts w:eastAsia="Arial Unicode MS"/>
          <w:bCs/>
          <w:lang w:eastAsia="fr-FR" w:bidi="he-IL"/>
        </w:rPr>
        <w:t>mais</w:t>
      </w:r>
      <w:r w:rsidR="00C2602D" w:rsidRPr="00C8701B">
        <w:rPr>
          <w:rFonts w:eastAsia="Arial Unicode MS"/>
          <w:bCs/>
          <w:lang w:eastAsia="fr-FR" w:bidi="he-IL"/>
        </w:rPr>
        <w:t> :</w:t>
      </w:r>
      <w:r w:rsidRPr="00C8701B">
        <w:rPr>
          <w:rFonts w:eastAsia="Arial Unicode MS"/>
          <w:bCs/>
          <w:lang w:eastAsia="fr-FR" w:bidi="he-IL"/>
        </w:rPr>
        <w:t xml:space="preserve"> </w:t>
      </w:r>
      <w:r w:rsidR="000439E9">
        <w:rPr>
          <w:rFonts w:eastAsia="Arial Unicode MS"/>
          <w:bCs/>
          <w:lang w:eastAsia="fr-FR" w:bidi="he-IL"/>
        </w:rPr>
        <w:t>Évangile</w:t>
      </w:r>
      <w:r w:rsidRPr="00C8701B">
        <w:rPr>
          <w:rFonts w:eastAsia="Arial Unicode MS"/>
          <w:bCs/>
          <w:lang w:eastAsia="fr-FR" w:bidi="he-IL"/>
        </w:rPr>
        <w:t xml:space="preserve"> selon (</w:t>
      </w:r>
      <w:r w:rsidR="00C771BF">
        <w:t>κ</w:t>
      </w:r>
      <w:r w:rsidR="00A74F01">
        <w:t>α</w:t>
      </w:r>
      <w:r w:rsidR="00C771BF">
        <w:t>τ</w:t>
      </w:r>
      <w:r w:rsidR="00116664">
        <w:t>ὰ</w:t>
      </w:r>
      <w:r w:rsidR="00E907ED">
        <w:t>,</w:t>
      </w:r>
      <w:r w:rsidR="00E907ED" w:rsidRPr="00DC4586">
        <w:rPr>
          <w:rStyle w:val="italicus"/>
        </w:rPr>
        <w:t xml:space="preserve"> </w:t>
      </w:r>
      <w:r w:rsidR="00E939E7" w:rsidRPr="00DC4586">
        <w:rPr>
          <w:rStyle w:val="italicus"/>
        </w:rPr>
        <w:t>sec</w:t>
      </w:r>
      <w:r w:rsidR="00E939E7">
        <w:rPr>
          <w:rStyle w:val="italicus"/>
        </w:rPr>
        <w:t>ú</w:t>
      </w:r>
      <w:r w:rsidR="00E939E7" w:rsidRPr="00DC4586">
        <w:rPr>
          <w:rStyle w:val="italicus"/>
        </w:rPr>
        <w:t>ndum</w:t>
      </w:r>
      <w:r w:rsidRPr="00C8701B">
        <w:rPr>
          <w:rFonts w:eastAsia="Arial Unicode MS"/>
          <w:bCs/>
          <w:iCs/>
          <w:lang w:eastAsia="fr-FR" w:bidi="he-IL"/>
        </w:rPr>
        <w:t>)</w:t>
      </w:r>
      <w:r w:rsidRPr="00C8701B">
        <w:rPr>
          <w:rFonts w:eastAsia="Arial Unicode MS"/>
          <w:bCs/>
          <w:lang w:eastAsia="fr-FR" w:bidi="he-IL"/>
        </w:rPr>
        <w:t xml:space="preserve"> S. Matthieu</w:t>
      </w:r>
      <w:r w:rsidR="00E65435">
        <w:rPr>
          <w:rFonts w:eastAsia="Arial Unicode MS"/>
          <w:bCs/>
          <w:lang w:eastAsia="fr-FR" w:bidi="he-IL"/>
        </w:rPr>
        <w:t>,</w:t>
      </w:r>
      <w:r w:rsidR="00E907ED">
        <w:rPr>
          <w:rFonts w:eastAsia="Arial Unicode MS"/>
          <w:bCs/>
          <w:lang w:eastAsia="fr-FR" w:bidi="he-IL"/>
        </w:rPr>
        <w:t xml:space="preserve"> s</w:t>
      </w:r>
      <w:r w:rsidRPr="00C8701B">
        <w:rPr>
          <w:rFonts w:eastAsia="Arial Unicode MS"/>
          <w:bCs/>
          <w:lang w:eastAsia="fr-FR" w:bidi="he-IL"/>
        </w:rPr>
        <w:t>elon S. Marc</w:t>
      </w:r>
      <w:r w:rsidR="00E65435">
        <w:rPr>
          <w:rFonts w:eastAsia="Arial Unicode MS"/>
          <w:bCs/>
          <w:lang w:eastAsia="fr-FR" w:bidi="he-IL"/>
        </w:rPr>
        <w:t xml:space="preserve">, </w:t>
      </w:r>
      <w:r w:rsidRPr="00C8701B">
        <w:rPr>
          <w:rFonts w:eastAsia="Arial Unicode MS"/>
          <w:bCs/>
          <w:lang w:eastAsia="fr-FR" w:bidi="he-IL"/>
        </w:rPr>
        <w:t>etc.</w:t>
      </w:r>
      <w:r w:rsidR="00C2602D" w:rsidRPr="00C8701B">
        <w:rPr>
          <w:rFonts w:eastAsia="Arial Unicode MS"/>
          <w:bCs/>
          <w:lang w:eastAsia="fr-FR" w:bidi="he-IL"/>
        </w:rPr>
        <w:t> ?</w:t>
      </w:r>
      <w:r w:rsidRPr="00C8701B">
        <w:rPr>
          <w:rFonts w:eastAsia="Arial Unicode MS"/>
          <w:bCs/>
          <w:lang w:eastAsia="fr-FR" w:bidi="he-IL"/>
        </w:rPr>
        <w:t xml:space="preserve"> Déjà</w:t>
      </w:r>
      <w:r w:rsidR="00E65435">
        <w:rPr>
          <w:rFonts w:eastAsia="Arial Unicode MS"/>
          <w:bCs/>
          <w:lang w:eastAsia="fr-FR" w:bidi="he-IL"/>
        </w:rPr>
        <w:t xml:space="preserve">, </w:t>
      </w:r>
      <w:r w:rsidR="007D6639">
        <w:rPr>
          <w:rFonts w:eastAsia="Arial Unicode MS"/>
          <w:bCs/>
          <w:lang w:eastAsia="fr-FR" w:bidi="he-IL"/>
        </w:rPr>
        <w:t>suivant S. Augustin </w:t>
      </w:r>
      <w:r w:rsidR="007D6639" w:rsidRPr="00C406FF">
        <w:rPr>
          <w:rStyle w:val="Appelnotedebasdep"/>
        </w:rPr>
        <w:footnoteReference w:id="77"/>
      </w:r>
      <w:r w:rsidR="00E65435">
        <w:rPr>
          <w:rFonts w:eastAsia="Arial Unicode MS"/>
          <w:bCs/>
          <w:lang w:eastAsia="fr-FR" w:bidi="he-IL"/>
        </w:rPr>
        <w:t xml:space="preserve">, </w:t>
      </w:r>
      <w:r w:rsidRPr="00C8701B">
        <w:rPr>
          <w:rFonts w:eastAsia="Arial Unicode MS"/>
          <w:bCs/>
          <w:lang w:eastAsia="fr-FR" w:bidi="he-IL"/>
        </w:rPr>
        <w:t>le Manichéen Faustus s</w:t>
      </w:r>
      <w:r w:rsidR="00557DE0">
        <w:rPr>
          <w:rFonts w:eastAsia="Arial Unicode MS"/>
          <w:bCs/>
          <w:lang w:eastAsia="fr-FR" w:bidi="he-IL"/>
        </w:rPr>
        <w:t>’</w:t>
      </w:r>
      <w:r w:rsidRPr="00C8701B">
        <w:rPr>
          <w:rFonts w:eastAsia="Arial Unicode MS"/>
          <w:bCs/>
          <w:lang w:eastAsia="fr-FR" w:bidi="he-IL"/>
        </w:rPr>
        <w:t>appuyait sur ce fait pour affirmer que les quatre évangiles n</w:t>
      </w:r>
      <w:r w:rsidR="00557DE0">
        <w:rPr>
          <w:rFonts w:eastAsia="Arial Unicode MS"/>
          <w:bCs/>
          <w:lang w:eastAsia="fr-FR" w:bidi="he-IL"/>
        </w:rPr>
        <w:t>’</w:t>
      </w:r>
      <w:r w:rsidRPr="00C8701B">
        <w:rPr>
          <w:rFonts w:eastAsia="Arial Unicode MS"/>
          <w:bCs/>
          <w:lang w:eastAsia="fr-FR" w:bidi="he-IL"/>
        </w:rPr>
        <w:t>avaient pas été rédigés par S. Matthieu</w:t>
      </w:r>
      <w:r w:rsidR="00E65435">
        <w:rPr>
          <w:rFonts w:eastAsia="Arial Unicode MS"/>
          <w:bCs/>
          <w:lang w:eastAsia="fr-FR" w:bidi="he-IL"/>
        </w:rPr>
        <w:t xml:space="preserve">, </w:t>
      </w:r>
      <w:r w:rsidRPr="00C8701B">
        <w:rPr>
          <w:rFonts w:eastAsia="Arial Unicode MS"/>
          <w:bCs/>
          <w:lang w:eastAsia="fr-FR" w:bidi="he-IL"/>
        </w:rPr>
        <w:t>S. Marc</w:t>
      </w:r>
      <w:r w:rsidR="00E65435">
        <w:rPr>
          <w:rFonts w:eastAsia="Arial Unicode MS"/>
          <w:bCs/>
          <w:lang w:eastAsia="fr-FR" w:bidi="he-IL"/>
        </w:rPr>
        <w:t xml:space="preserve">, </w:t>
      </w:r>
      <w:r w:rsidRPr="00C8701B">
        <w:rPr>
          <w:rFonts w:eastAsia="Arial Unicode MS"/>
          <w:bCs/>
          <w:lang w:eastAsia="fr-FR" w:bidi="he-IL"/>
        </w:rPr>
        <w:t>S. Luc et S. Jean</w:t>
      </w:r>
      <w:r w:rsidR="00E65435">
        <w:rPr>
          <w:rFonts w:eastAsia="Arial Unicode MS"/>
          <w:bCs/>
          <w:lang w:eastAsia="fr-FR" w:bidi="he-IL"/>
        </w:rPr>
        <w:t xml:space="preserve">, </w:t>
      </w:r>
      <w:r w:rsidRPr="00C8701B">
        <w:rPr>
          <w:rFonts w:eastAsia="Arial Unicode MS"/>
          <w:bCs/>
          <w:lang w:eastAsia="fr-FR" w:bidi="he-IL"/>
        </w:rPr>
        <w:t>mais par des auteurs inconnus</w:t>
      </w:r>
      <w:r w:rsidR="00E65435">
        <w:rPr>
          <w:rFonts w:eastAsia="Arial Unicode MS"/>
          <w:bCs/>
          <w:lang w:eastAsia="fr-FR" w:bidi="he-IL"/>
        </w:rPr>
        <w:t xml:space="preserve">, </w:t>
      </w:r>
      <w:r w:rsidRPr="00C8701B">
        <w:rPr>
          <w:rFonts w:eastAsia="Arial Unicode MS"/>
          <w:bCs/>
          <w:lang w:eastAsia="fr-FR" w:bidi="he-IL"/>
        </w:rPr>
        <w:t>et seulement</w:t>
      </w:r>
      <w:r w:rsidRPr="00DC4586">
        <w:rPr>
          <w:rStyle w:val="italicus"/>
        </w:rPr>
        <w:t xml:space="preserve"> d</w:t>
      </w:r>
      <w:r w:rsidR="00557DE0">
        <w:rPr>
          <w:rStyle w:val="italicus"/>
        </w:rPr>
        <w:t>’</w:t>
      </w:r>
      <w:r w:rsidRPr="00DC4586">
        <w:rPr>
          <w:rStyle w:val="italicus"/>
        </w:rPr>
        <w:t>après</w:t>
      </w:r>
      <w:r w:rsidRPr="00C8701B">
        <w:rPr>
          <w:rFonts w:eastAsia="Arial Unicode MS"/>
          <w:bCs/>
          <w:lang w:eastAsia="fr-FR" w:bidi="he-IL"/>
        </w:rPr>
        <w:t xml:space="preserve"> la prédication ou les notes de</w:t>
      </w:r>
      <w:r w:rsidR="00E907ED">
        <w:rPr>
          <w:rFonts w:eastAsia="Arial Unicode MS"/>
          <w:bCs/>
          <w:lang w:eastAsia="fr-FR" w:bidi="he-IL"/>
        </w:rPr>
        <w:t xml:space="preserve"> S</w:t>
      </w:r>
      <w:r w:rsidRPr="00C8701B">
        <w:rPr>
          <w:rFonts w:eastAsia="Arial Unicode MS"/>
          <w:bCs/>
          <w:lang w:eastAsia="fr-FR" w:bidi="he-IL"/>
        </w:rPr>
        <w:t>. Matthieu</w:t>
      </w:r>
      <w:r w:rsidR="00E65435">
        <w:rPr>
          <w:rFonts w:eastAsia="Arial Unicode MS"/>
          <w:bCs/>
          <w:lang w:eastAsia="fr-FR" w:bidi="he-IL"/>
        </w:rPr>
        <w:t xml:space="preserve">, </w:t>
      </w:r>
      <w:r w:rsidRPr="00C8701B">
        <w:rPr>
          <w:rFonts w:eastAsia="Arial Unicode MS"/>
          <w:bCs/>
          <w:lang w:eastAsia="fr-FR" w:bidi="he-IL"/>
        </w:rPr>
        <w:t>etc.</w:t>
      </w:r>
      <w:r w:rsidR="00C2602D" w:rsidRPr="00C8701B">
        <w:rPr>
          <w:rFonts w:eastAsia="Arial Unicode MS"/>
          <w:bCs/>
          <w:lang w:eastAsia="fr-FR" w:bidi="he-IL"/>
        </w:rPr>
        <w:t xml:space="preserve"> </w:t>
      </w:r>
    </w:p>
    <w:p w:rsidR="00C2602D" w:rsidRPr="00C8701B" w:rsidRDefault="00B704AD" w:rsidP="000716BB">
      <w:r w:rsidRPr="00C8701B">
        <w:t>Plusieurs rationalistes contemporains ont tiré la même conclusion</w:t>
      </w:r>
      <w:r w:rsidR="00C2602D" w:rsidRPr="00C8701B">
        <w:t> :</w:t>
      </w:r>
      <w:r w:rsidRPr="00C8701B">
        <w:t xml:space="preserve"> </w:t>
      </w:r>
      <w:r w:rsidR="00C2602D" w:rsidRPr="00C8701B">
        <w:t>« </w:t>
      </w:r>
      <w:r w:rsidRPr="00C8701B">
        <w:t>Les formules</w:t>
      </w:r>
      <w:r w:rsidRPr="00DC4586">
        <w:rPr>
          <w:rStyle w:val="italicus"/>
        </w:rPr>
        <w:t xml:space="preserve"> selon Matthieu</w:t>
      </w:r>
      <w:r w:rsidR="00E65435">
        <w:rPr>
          <w:rStyle w:val="italicus"/>
        </w:rPr>
        <w:t xml:space="preserve">, </w:t>
      </w:r>
      <w:r w:rsidRPr="00DC4586">
        <w:rPr>
          <w:rStyle w:val="italicus"/>
        </w:rPr>
        <w:t>selon Marc</w:t>
      </w:r>
      <w:r w:rsidR="00E65435">
        <w:rPr>
          <w:rStyle w:val="italicus"/>
        </w:rPr>
        <w:t xml:space="preserve">, </w:t>
      </w:r>
      <w:r w:rsidRPr="00DC4586">
        <w:rPr>
          <w:rStyle w:val="italicus"/>
        </w:rPr>
        <w:t>selon Luc</w:t>
      </w:r>
      <w:r w:rsidR="00E65435">
        <w:rPr>
          <w:rStyle w:val="italicus"/>
        </w:rPr>
        <w:t xml:space="preserve">, </w:t>
      </w:r>
      <w:r w:rsidRPr="00DC4586">
        <w:rPr>
          <w:rStyle w:val="italicus"/>
        </w:rPr>
        <w:t>selon Jean</w:t>
      </w:r>
      <w:r w:rsidR="00E65435">
        <w:rPr>
          <w:rStyle w:val="italicus"/>
        </w:rPr>
        <w:t xml:space="preserve">, </w:t>
      </w:r>
      <w:r w:rsidRPr="00C8701B">
        <w:t>n</w:t>
      </w:r>
      <w:r w:rsidR="00557DE0">
        <w:t>’</w:t>
      </w:r>
      <w:r w:rsidRPr="00C8701B">
        <w:t>impliquent pas que</w:t>
      </w:r>
      <w:r w:rsidR="00E65435">
        <w:t xml:space="preserve">, </w:t>
      </w:r>
      <w:r w:rsidRPr="00C8701B">
        <w:t>dans la plus vieille opinion</w:t>
      </w:r>
      <w:r w:rsidR="00E65435">
        <w:t xml:space="preserve">, </w:t>
      </w:r>
      <w:r w:rsidR="00E907ED">
        <w:t>ces récit</w:t>
      </w:r>
      <w:r w:rsidRPr="00C8701B">
        <w:t>s eussent été écrits d</w:t>
      </w:r>
      <w:r w:rsidR="00557DE0">
        <w:t>’</w:t>
      </w:r>
      <w:r w:rsidRPr="00C8701B">
        <w:t>un bout à l</w:t>
      </w:r>
      <w:r w:rsidR="00557DE0">
        <w:t>’</w:t>
      </w:r>
      <w:r w:rsidRPr="00C8701B">
        <w:t>autre par Matthieu</w:t>
      </w:r>
      <w:r w:rsidR="00E65435">
        <w:t xml:space="preserve">, </w:t>
      </w:r>
      <w:r w:rsidRPr="00C8701B">
        <w:t>par Marc</w:t>
      </w:r>
      <w:r w:rsidR="00E65435">
        <w:t xml:space="preserve">, </w:t>
      </w:r>
      <w:r w:rsidRPr="00C8701B">
        <w:t>par Luc</w:t>
      </w:r>
      <w:r w:rsidR="00E65435">
        <w:t xml:space="preserve">, </w:t>
      </w:r>
      <w:r w:rsidRPr="00C8701B">
        <w:t>par Jean</w:t>
      </w:r>
      <w:r w:rsidR="00C2602D" w:rsidRPr="00C8701B">
        <w:t> </w:t>
      </w:r>
      <w:r w:rsidR="007F6508">
        <w:t xml:space="preserve">; </w:t>
      </w:r>
      <w:r w:rsidR="00E907ED">
        <w:t>elles</w:t>
      </w:r>
      <w:r w:rsidRPr="00C8701B">
        <w:t xml:space="preserve"> signifient seulement que c</w:t>
      </w:r>
      <w:r w:rsidR="00557DE0">
        <w:t>’</w:t>
      </w:r>
      <w:r w:rsidRPr="00C8701B">
        <w:t>étaient là les t</w:t>
      </w:r>
      <w:r w:rsidR="00E907ED">
        <w:t>raditions provenant de chacun de</w:t>
      </w:r>
      <w:r w:rsidRPr="00C8701B">
        <w:t xml:space="preserve"> ces apôtres et se couvrant de leur autorité.</w:t>
      </w:r>
      <w:r w:rsidR="00C2602D" w:rsidRPr="00C8701B">
        <w:t> »</w:t>
      </w:r>
      <w:r w:rsidR="00C82C6C">
        <w:t> </w:t>
      </w:r>
      <w:r w:rsidR="00C82C6C" w:rsidRPr="00C406FF">
        <w:rPr>
          <w:rStyle w:val="Appelnotedebasdep"/>
        </w:rPr>
        <w:footnoteReference w:id="78"/>
      </w:r>
      <w:r w:rsidRPr="00C8701B">
        <w:t xml:space="preserve"> Mais cette preuve est tellement faible</w:t>
      </w:r>
      <w:r w:rsidR="00E65435">
        <w:t xml:space="preserve">, </w:t>
      </w:r>
      <w:r w:rsidRPr="00C8701B">
        <w:t>qu</w:t>
      </w:r>
      <w:r w:rsidR="00557DE0">
        <w:t>’</w:t>
      </w:r>
      <w:r w:rsidRPr="00C8701B">
        <w:t>elle a été abandonnée par ceux-là même qui en faisaient usage</w:t>
      </w:r>
      <w:r w:rsidR="00E65435">
        <w:t xml:space="preserve">, </w:t>
      </w:r>
      <w:r w:rsidRPr="00C8701B">
        <w:t>et par le plus grand nom</w:t>
      </w:r>
      <w:r w:rsidR="00C82C6C">
        <w:t>bre des autres rationalistes </w:t>
      </w:r>
      <w:r w:rsidR="00C82C6C" w:rsidRPr="00C406FF">
        <w:rPr>
          <w:rStyle w:val="Appelnotedebasdep"/>
        </w:rPr>
        <w:footnoteReference w:id="79"/>
      </w:r>
      <w:r w:rsidRPr="00C8701B">
        <w:t>.</w:t>
      </w:r>
      <w:r w:rsidR="00C2602D" w:rsidRPr="00C8701B">
        <w:t xml:space="preserve"> </w:t>
      </w:r>
    </w:p>
    <w:p w:rsidR="00C2602D" w:rsidRPr="00C8701B" w:rsidRDefault="00B704AD" w:rsidP="00C82C6C">
      <w:pPr>
        <w:rPr>
          <w:rFonts w:eastAsia="Arial Unicode MS"/>
          <w:bCs/>
          <w:lang w:eastAsia="fr-FR" w:bidi="he-IL"/>
        </w:rPr>
      </w:pPr>
      <w:r w:rsidRPr="006F5A85">
        <w:t>Non</w:t>
      </w:r>
      <w:r w:rsidR="00E65435" w:rsidRPr="006F5A85">
        <w:t xml:space="preserve">, </w:t>
      </w:r>
      <w:r w:rsidR="00C2602D" w:rsidRPr="006F5A85">
        <w:t>« </w:t>
      </w:r>
      <w:r w:rsidRPr="006F5A85">
        <w:t xml:space="preserve">les formules </w:t>
      </w:r>
      <w:r w:rsidR="00C771BF">
        <w:t>κ</w:t>
      </w:r>
      <w:r w:rsidR="00A74F01">
        <w:t>α</w:t>
      </w:r>
      <w:r w:rsidR="00C771BF">
        <w:t>τ</w:t>
      </w:r>
      <w:r w:rsidR="00116664">
        <w:t>ὰ</w:t>
      </w:r>
      <w:r w:rsidRPr="006F5A85">
        <w:t xml:space="preserve"> Μ</w:t>
      </w:r>
      <w:r w:rsidR="00A74F01">
        <w:t>α</w:t>
      </w:r>
      <w:r w:rsidRPr="006F5A85">
        <w:t>τθ</w:t>
      </w:r>
      <w:r w:rsidR="00A74F01">
        <w:t>α</w:t>
      </w:r>
      <w:r w:rsidR="00DB523B" w:rsidRPr="006F5A85">
        <w:t>ῖον</w:t>
      </w:r>
      <w:r w:rsidR="00E65435" w:rsidRPr="006F5A85">
        <w:t xml:space="preserve">, </w:t>
      </w:r>
      <w:r w:rsidR="00C771BF">
        <w:t>κ</w:t>
      </w:r>
      <w:r w:rsidR="00A74F01">
        <w:t>α</w:t>
      </w:r>
      <w:r w:rsidR="00C771BF">
        <w:t>τ</w:t>
      </w:r>
      <w:r w:rsidR="00116664">
        <w:t>ὰ</w:t>
      </w:r>
      <w:r w:rsidRPr="006F5A85">
        <w:t xml:space="preserve"> </w:t>
      </w:r>
      <w:r w:rsidR="006F5A85" w:rsidRPr="00DB523B">
        <w:t>Μ</w:t>
      </w:r>
      <w:r w:rsidR="00CD3C57">
        <w:t>ά</w:t>
      </w:r>
      <w:r w:rsidR="006F5A85" w:rsidRPr="00DB523B">
        <w:t>ρκον</w:t>
      </w:r>
      <w:r w:rsidR="00E65435" w:rsidRPr="006F5A85">
        <w:t xml:space="preserve">, </w:t>
      </w:r>
      <w:r w:rsidRPr="006F5A85">
        <w:t>etc.</w:t>
      </w:r>
      <w:r w:rsidR="00E65435" w:rsidRPr="006F5A85">
        <w:t xml:space="preserve">, </w:t>
      </w:r>
      <w:r w:rsidRPr="006F5A85">
        <w:t>n</w:t>
      </w:r>
      <w:r w:rsidR="00557DE0">
        <w:t>’</w:t>
      </w:r>
      <w:r w:rsidRPr="006F5A85">
        <w:t>expriment pas le moindre doute relativement aux auteurs traditionnels</w:t>
      </w:r>
      <w:r w:rsidR="00C2602D" w:rsidRPr="006F5A85">
        <w:t> »</w:t>
      </w:r>
      <w:r w:rsidR="00C82C6C">
        <w:t xml:space="preserve"> des évangiles </w:t>
      </w:r>
      <w:r w:rsidR="00C82C6C" w:rsidRPr="00C406FF">
        <w:rPr>
          <w:rStyle w:val="Appelnotedebasdep"/>
        </w:rPr>
        <w:footnoteReference w:id="80"/>
      </w:r>
      <w:r w:rsidRPr="006F5A85">
        <w:t>. La phrase suivante d</w:t>
      </w:r>
      <w:r w:rsidR="00557DE0">
        <w:t>’</w:t>
      </w:r>
      <w:r w:rsidR="00C82C6C">
        <w:t>Eusèbe de Césarée </w:t>
      </w:r>
      <w:r w:rsidR="00C82C6C" w:rsidRPr="00C406FF">
        <w:rPr>
          <w:rStyle w:val="Appelnotedebasdep"/>
        </w:rPr>
        <w:footnoteReference w:id="81"/>
      </w:r>
      <w:r w:rsidR="00E65435" w:rsidRPr="006F5A85">
        <w:t xml:space="preserve">, </w:t>
      </w:r>
      <w:r w:rsidRPr="006F5A85">
        <w:t>suffirait à elle seule pour indique</w:t>
      </w:r>
      <w:r w:rsidR="006F5A85">
        <w:t>r</w:t>
      </w:r>
      <w:r w:rsidRPr="006F5A85">
        <w:t xml:space="preserve"> dans quel sens l</w:t>
      </w:r>
      <w:r w:rsidR="00557DE0">
        <w:t>’</w:t>
      </w:r>
      <w:r w:rsidRPr="006F5A85">
        <w:t>antiquité chrétienne les entendait</w:t>
      </w:r>
      <w:r w:rsidR="00C2602D" w:rsidRPr="006F5A85">
        <w:t> :</w:t>
      </w:r>
      <w:r w:rsidRPr="006F5A85">
        <w:t xml:space="preserve"> </w:t>
      </w:r>
      <w:r w:rsidR="006F5A85" w:rsidRPr="006F5A85">
        <w:t>Μ</w:t>
      </w:r>
      <w:r w:rsidR="00A74F01">
        <w:t>α</w:t>
      </w:r>
      <w:r w:rsidR="006F5A85" w:rsidRPr="006F5A85">
        <w:t>τθ</w:t>
      </w:r>
      <w:r w:rsidR="00A74F01">
        <w:t>α</w:t>
      </w:r>
      <w:r w:rsidR="006F5A85" w:rsidRPr="006F5A85">
        <w:t>ῖ</w:t>
      </w:r>
      <w:r w:rsidRPr="006F5A85">
        <w:t>ος γρ</w:t>
      </w:r>
      <w:r w:rsidR="00A74F01">
        <w:t>α</w:t>
      </w:r>
      <w:r w:rsidR="006F5A85" w:rsidRPr="006F5A85">
        <w:t>φῇ π</w:t>
      </w:r>
      <w:r w:rsidR="00A74F01">
        <w:t>α</w:t>
      </w:r>
      <w:r w:rsidRPr="006F5A85">
        <w:t>ρ</w:t>
      </w:r>
      <w:r w:rsidR="00A74F01">
        <w:t>α</w:t>
      </w:r>
      <w:r w:rsidRPr="006F5A85">
        <w:t>δο</w:t>
      </w:r>
      <w:r w:rsidR="00C151D4">
        <w:t>ύ</w:t>
      </w:r>
      <w:r w:rsidRPr="006F5A85">
        <w:t xml:space="preserve">ς </w:t>
      </w:r>
      <w:r w:rsidR="00CE226F" w:rsidRPr="006F5A85">
        <w:t>τὸ</w:t>
      </w:r>
      <w:r w:rsidRPr="006F5A85">
        <w:t xml:space="preserve"> κ</w:t>
      </w:r>
      <w:r w:rsidR="00A74F01">
        <w:t>α</w:t>
      </w:r>
      <w:r w:rsidRPr="006F5A85">
        <w:t>τ</w:t>
      </w:r>
      <w:r w:rsidR="00557DE0">
        <w:t>’</w:t>
      </w:r>
      <w:r w:rsidRPr="006F5A85">
        <w:t xml:space="preserve"> </w:t>
      </w:r>
      <w:r w:rsidR="00A74F01">
        <w:t>α</w:t>
      </w:r>
      <w:r w:rsidR="006F5A85" w:rsidRPr="006F5A85">
        <w:t>ὐτὸ</w:t>
      </w:r>
      <w:r w:rsidRPr="006F5A85">
        <w:t xml:space="preserve">ν </w:t>
      </w:r>
      <w:r w:rsidR="00F12048" w:rsidRPr="006F5A85">
        <w:t>εὐ</w:t>
      </w:r>
      <w:r w:rsidR="00A74F01">
        <w:t>α</w:t>
      </w:r>
      <w:r w:rsidR="00F12048" w:rsidRPr="006F5A85">
        <w:t>γ</w:t>
      </w:r>
      <w:r w:rsidRPr="006F5A85">
        <w:t>γ</w:t>
      </w:r>
      <w:r w:rsidR="00C771BF">
        <w:t>έ</w:t>
      </w:r>
      <w:r w:rsidRPr="006F5A85">
        <w:t>λιον</w:t>
      </w:r>
      <w:r w:rsidR="00E65435" w:rsidRPr="006F5A85">
        <w:t xml:space="preserve">, </w:t>
      </w:r>
      <w:r w:rsidR="00C2602D" w:rsidRPr="00C8701B">
        <w:rPr>
          <w:rFonts w:eastAsia="Arial Unicode MS"/>
          <w:bCs/>
          <w:lang w:eastAsia="fr-FR" w:bidi="he-IL"/>
        </w:rPr>
        <w:t>« </w:t>
      </w:r>
      <w:r w:rsidR="006F5A85" w:rsidRPr="00C8701B">
        <w:rPr>
          <w:rFonts w:eastAsia="Arial Unicode MS"/>
          <w:bCs/>
          <w:lang w:eastAsia="fr-FR" w:bidi="he-IL"/>
        </w:rPr>
        <w:t>Matt</w:t>
      </w:r>
      <w:r w:rsidR="006F5A85">
        <w:rPr>
          <w:rFonts w:eastAsia="Arial Unicode MS"/>
          <w:bCs/>
          <w:lang w:eastAsia="fr-FR" w:bidi="he-IL"/>
        </w:rPr>
        <w:t>hǽ</w:t>
      </w:r>
      <w:r w:rsidR="006F5A85" w:rsidRPr="00C8701B">
        <w:rPr>
          <w:rFonts w:eastAsia="Arial Unicode MS"/>
          <w:bCs/>
          <w:lang w:eastAsia="fr-FR" w:bidi="he-IL"/>
        </w:rPr>
        <w:t>us</w:t>
      </w:r>
      <w:r w:rsidRPr="00C8701B">
        <w:rPr>
          <w:rFonts w:eastAsia="Arial Unicode MS"/>
          <w:bCs/>
          <w:lang w:eastAsia="fr-FR" w:bidi="he-IL"/>
        </w:rPr>
        <w:t xml:space="preserve"> qui</w:t>
      </w:r>
      <w:r w:rsidRPr="00DC4586">
        <w:rPr>
          <w:rStyle w:val="italicus"/>
        </w:rPr>
        <w:t xml:space="preserve"> scripto </w:t>
      </w:r>
      <w:r w:rsidR="006D3DC1">
        <w:rPr>
          <w:rStyle w:val="italicus"/>
        </w:rPr>
        <w:t>dedit</w:t>
      </w:r>
      <w:r w:rsidRPr="00C8701B">
        <w:rPr>
          <w:rFonts w:eastAsia="Arial Unicode MS"/>
          <w:bCs/>
          <w:lang w:eastAsia="fr-FR" w:bidi="he-IL"/>
        </w:rPr>
        <w:t xml:space="preserve"> </w:t>
      </w:r>
      <w:r w:rsidR="006F5A85" w:rsidRPr="00C8701B">
        <w:rPr>
          <w:rFonts w:eastAsia="Arial Unicode MS"/>
          <w:bCs/>
          <w:lang w:eastAsia="fr-FR" w:bidi="he-IL"/>
        </w:rPr>
        <w:t>evangélium</w:t>
      </w:r>
      <w:r w:rsidRPr="00C8701B">
        <w:rPr>
          <w:rFonts w:eastAsia="Arial Unicode MS"/>
          <w:bCs/>
          <w:lang w:eastAsia="fr-FR" w:bidi="he-IL"/>
        </w:rPr>
        <w:t xml:space="preserve"> </w:t>
      </w:r>
      <w:r w:rsidR="00341683" w:rsidRPr="00C8701B">
        <w:rPr>
          <w:rFonts w:eastAsia="Arial Unicode MS"/>
          <w:bCs/>
          <w:lang w:eastAsia="fr-FR" w:bidi="he-IL"/>
        </w:rPr>
        <w:t>se</w:t>
      </w:r>
      <w:r w:rsidR="00341683">
        <w:rPr>
          <w:rStyle w:val="italicus"/>
        </w:rPr>
        <w:t>cún</w:t>
      </w:r>
      <w:r w:rsidR="00341683" w:rsidRPr="00DC4586">
        <w:rPr>
          <w:rStyle w:val="italicus"/>
        </w:rPr>
        <w:t>dum</w:t>
      </w:r>
      <w:r w:rsidRPr="00DC4586">
        <w:rPr>
          <w:rStyle w:val="italicus"/>
        </w:rPr>
        <w:t xml:space="preserve"> ipsum.</w:t>
      </w:r>
      <w:r w:rsidR="00C2602D" w:rsidRPr="00C8701B">
        <w:rPr>
          <w:rFonts w:eastAsia="Arial Unicode MS"/>
          <w:bCs/>
          <w:lang w:eastAsia="fr-FR" w:bidi="he-IL"/>
        </w:rPr>
        <w:t> »</w:t>
      </w:r>
      <w:r w:rsidRPr="00C8701B">
        <w:rPr>
          <w:rFonts w:eastAsia="Arial Unicode MS"/>
          <w:bCs/>
          <w:lang w:eastAsia="fr-FR" w:bidi="he-IL"/>
        </w:rPr>
        <w:t xml:space="preserve"> Les Septante et plusieurs Pères emploient une tournure identique pour marqu</w:t>
      </w:r>
      <w:r w:rsidR="00244F8E">
        <w:rPr>
          <w:rFonts w:eastAsia="Arial Unicode MS"/>
          <w:bCs/>
          <w:lang w:eastAsia="fr-FR" w:bidi="he-IL"/>
        </w:rPr>
        <w:t>er les auteurs de divers écrits.</w:t>
      </w:r>
      <w:r w:rsidRPr="00244F8E">
        <w:t xml:space="preserve"> Par exemple</w:t>
      </w:r>
      <w:r w:rsidR="00E65435" w:rsidRPr="00244F8E">
        <w:t xml:space="preserve">, </w:t>
      </w:r>
      <w:r w:rsidRPr="00244F8E">
        <w:t xml:space="preserve">au passage II Mach. </w:t>
      </w:r>
      <w:r w:rsidR="00244F8E">
        <w:t>II</w:t>
      </w:r>
      <w:r w:rsidR="00E65435" w:rsidRPr="00244F8E">
        <w:t xml:space="preserve">, </w:t>
      </w:r>
      <w:r w:rsidRPr="00244F8E">
        <w:t>13</w:t>
      </w:r>
      <w:r w:rsidR="00E65435" w:rsidRPr="00244F8E">
        <w:t xml:space="preserve">, </w:t>
      </w:r>
      <w:r w:rsidRPr="00244F8E">
        <w:t>nous lisons dans le texte grec</w:t>
      </w:r>
      <w:r w:rsidR="00C2602D" w:rsidRPr="00244F8E">
        <w:t> :</w:t>
      </w:r>
      <w:r w:rsidRPr="00244F8E">
        <w:t xml:space="preserve"> </w:t>
      </w:r>
      <w:r w:rsidR="00244F8E" w:rsidRPr="00244F8E">
        <w:t>ἐν</w:t>
      </w:r>
      <w:r w:rsidRPr="00244F8E">
        <w:t xml:space="preserve"> </w:t>
      </w:r>
      <w:r w:rsidR="00244F8E" w:rsidRPr="00244F8E">
        <w:t>τοῖ</w:t>
      </w:r>
      <w:r w:rsidRPr="00244F8E">
        <w:t xml:space="preserve">ς </w:t>
      </w:r>
      <w:r w:rsidR="00244F8E" w:rsidRPr="00244F8E">
        <w:t>ὑ</w:t>
      </w:r>
      <w:r w:rsidRPr="00244F8E">
        <w:t>πομνημ</w:t>
      </w:r>
      <w:r w:rsidR="00A74F01">
        <w:t>α</w:t>
      </w:r>
      <w:r w:rsidRPr="00244F8E">
        <w:t>τισμο</w:t>
      </w:r>
      <w:r w:rsidR="00C6425D" w:rsidRPr="00244F8E">
        <w:t>ῖ</w:t>
      </w:r>
      <w:r w:rsidRPr="00244F8E">
        <w:t>ς το</w:t>
      </w:r>
      <w:r w:rsidR="00C6425D" w:rsidRPr="00244F8E">
        <w:t>ῖ</w:t>
      </w:r>
      <w:r w:rsidRPr="00244F8E">
        <w:t xml:space="preserve">ς </w:t>
      </w:r>
      <w:r w:rsidR="00C771BF">
        <w:t>κ</w:t>
      </w:r>
      <w:r w:rsidR="00A74F01">
        <w:t>α</w:t>
      </w:r>
      <w:r w:rsidR="00C771BF">
        <w:t>τ</w:t>
      </w:r>
      <w:r w:rsidR="00116664">
        <w:t>ὰ</w:t>
      </w:r>
      <w:r w:rsidR="00244F8E" w:rsidRPr="00244F8E">
        <w:t xml:space="preserve"> Νεε</w:t>
      </w:r>
      <w:r w:rsidRPr="00244F8E">
        <w:t>μ</w:t>
      </w:r>
      <w:r w:rsidR="00DB352C">
        <w:t>ί</w:t>
      </w:r>
      <w:r w:rsidR="00A74F01">
        <w:t>α</w:t>
      </w:r>
      <w:r w:rsidRPr="00244F8E">
        <w:t>ν</w:t>
      </w:r>
      <w:r w:rsidR="00E65435" w:rsidRPr="00244F8E">
        <w:t xml:space="preserve">, </w:t>
      </w:r>
      <w:r w:rsidRPr="00244F8E">
        <w:t>et dans la</w:t>
      </w:r>
      <w:r w:rsidR="00E65435" w:rsidRPr="00244F8E">
        <w:t xml:space="preserve">, </w:t>
      </w:r>
      <w:r w:rsidR="00244F8E" w:rsidRPr="00244F8E">
        <w:t>Vulg</w:t>
      </w:r>
      <w:r w:rsidRPr="00244F8E">
        <w:t>ate</w:t>
      </w:r>
      <w:r w:rsidR="00C2602D" w:rsidRPr="00244F8E">
        <w:t> :</w:t>
      </w:r>
      <w:r w:rsidRPr="00244F8E">
        <w:t xml:space="preserve"> </w:t>
      </w:r>
      <w:r w:rsidR="00F12048" w:rsidRPr="00244F8E">
        <w:t>« </w:t>
      </w:r>
      <w:r w:rsidRPr="00244F8E">
        <w:t xml:space="preserve">In </w:t>
      </w:r>
      <w:r w:rsidR="00244F8E" w:rsidRPr="00244F8E">
        <w:t>commentáriis</w:t>
      </w:r>
      <w:r w:rsidRPr="00244F8E">
        <w:t xml:space="preserve"> </w:t>
      </w:r>
      <w:r w:rsidR="00341683" w:rsidRPr="00244F8E">
        <w:t>N</w:t>
      </w:r>
      <w:r w:rsidR="00341683">
        <w:rPr>
          <w:rFonts w:eastAsia="Arial Unicode MS"/>
          <w:bCs/>
          <w:lang w:eastAsia="fr-FR" w:bidi="he-IL"/>
        </w:rPr>
        <w:t>ehemíæ</w:t>
      </w:r>
      <w:r w:rsidR="00C2602D" w:rsidRPr="00C8701B">
        <w:rPr>
          <w:rFonts w:eastAsia="Arial Unicode MS"/>
          <w:bCs/>
          <w:lang w:eastAsia="fr-FR" w:bidi="he-IL"/>
        </w:rPr>
        <w:t> »</w:t>
      </w:r>
      <w:r w:rsidRPr="00C8701B">
        <w:rPr>
          <w:rFonts w:eastAsia="Arial Unicode MS"/>
          <w:bCs/>
          <w:lang w:eastAsia="fr-FR" w:bidi="he-IL"/>
        </w:rPr>
        <w:t xml:space="preserve">. S. </w:t>
      </w:r>
      <w:r w:rsidR="00341683" w:rsidRPr="00C8701B">
        <w:rPr>
          <w:rFonts w:eastAsia="Arial Unicode MS"/>
          <w:bCs/>
          <w:lang w:eastAsia="fr-FR" w:bidi="he-IL"/>
        </w:rPr>
        <w:t>Épiphane</w:t>
      </w:r>
      <w:r w:rsidRPr="00C8701B">
        <w:rPr>
          <w:rFonts w:eastAsia="Arial Unicode MS"/>
          <w:bCs/>
          <w:lang w:eastAsia="fr-FR" w:bidi="he-IL"/>
        </w:rPr>
        <w:t xml:space="preserve"> désigne ainsi la Genèse</w:t>
      </w:r>
      <w:r w:rsidR="00C2602D" w:rsidRPr="00C8701B">
        <w:rPr>
          <w:rFonts w:eastAsia="Arial Unicode MS"/>
          <w:bCs/>
          <w:lang w:eastAsia="fr-FR" w:bidi="he-IL"/>
        </w:rPr>
        <w:t> :</w:t>
      </w:r>
      <w:r w:rsidR="0017332F" w:rsidRPr="00C8701B">
        <w:rPr>
          <w:rFonts w:eastAsia="Arial Unicode MS"/>
          <w:bCs/>
          <w:lang w:eastAsia="fr-FR" w:bidi="he-IL"/>
        </w:rPr>
        <w:t xml:space="preserve"> ἡ </w:t>
      </w:r>
      <w:r w:rsidRPr="00C8701B">
        <w:rPr>
          <w:rFonts w:eastAsia="Arial Unicode MS"/>
          <w:bCs/>
          <w:lang w:val="el-GR" w:eastAsia="fr-FR" w:bidi="he-IL"/>
        </w:rPr>
        <w:t>πρ</w:t>
      </w:r>
      <w:r w:rsidR="00736374">
        <w:rPr>
          <w:rFonts w:eastAsia="Arial Unicode MS"/>
          <w:bCs/>
          <w:lang w:val="el-GR" w:eastAsia="fr-FR" w:bidi="he-IL"/>
        </w:rPr>
        <w:t>ώ</w:t>
      </w:r>
      <w:r w:rsidRPr="00C8701B">
        <w:rPr>
          <w:rFonts w:eastAsia="Arial Unicode MS"/>
          <w:bCs/>
          <w:lang w:val="el-GR" w:eastAsia="fr-FR" w:bidi="he-IL"/>
        </w:rPr>
        <w:t>τη β</w:t>
      </w:r>
      <w:r w:rsidR="00DB352C">
        <w:rPr>
          <w:rFonts w:eastAsia="Arial Unicode MS"/>
          <w:bCs/>
          <w:lang w:val="el-GR" w:eastAsia="fr-FR" w:bidi="he-IL"/>
        </w:rPr>
        <w:t>ί</w:t>
      </w:r>
      <w:r w:rsidRPr="00C8701B">
        <w:rPr>
          <w:rFonts w:eastAsia="Arial Unicode MS"/>
          <w:bCs/>
          <w:lang w:val="el-GR" w:eastAsia="fr-FR" w:bidi="he-IL"/>
        </w:rPr>
        <w:t xml:space="preserve">βλος </w:t>
      </w:r>
      <w:r w:rsidR="00244F8E">
        <w:rPr>
          <w:rFonts w:eastAsia="Arial Unicode MS"/>
          <w:bCs/>
          <w:lang w:eastAsia="fr-FR" w:bidi="he-IL"/>
        </w:rPr>
        <w:t>τῆς</w:t>
      </w:r>
      <w:r w:rsidRPr="00C8701B">
        <w:rPr>
          <w:rFonts w:eastAsia="Arial Unicode MS"/>
          <w:bCs/>
          <w:lang w:eastAsia="fr-FR" w:bidi="he-IL"/>
        </w:rPr>
        <w:t xml:space="preserve"> </w:t>
      </w:r>
      <w:r w:rsidR="00C771BF">
        <w:rPr>
          <w:rFonts w:eastAsia="Arial Unicode MS"/>
          <w:bCs/>
          <w:lang w:val="el-GR" w:eastAsia="fr-FR" w:bidi="he-IL"/>
        </w:rPr>
        <w:t>κ</w:t>
      </w:r>
      <w:r w:rsidR="00A74F01">
        <w:rPr>
          <w:rFonts w:eastAsia="Arial Unicode MS"/>
          <w:bCs/>
          <w:lang w:val="el-GR" w:eastAsia="fr-FR" w:bidi="he-IL"/>
        </w:rPr>
        <w:t>α</w:t>
      </w:r>
      <w:r w:rsidR="00C771BF">
        <w:rPr>
          <w:rFonts w:eastAsia="Arial Unicode MS"/>
          <w:bCs/>
          <w:lang w:val="el-GR" w:eastAsia="fr-FR" w:bidi="he-IL"/>
        </w:rPr>
        <w:t>τ</w:t>
      </w:r>
      <w:r w:rsidR="00116664">
        <w:rPr>
          <w:rFonts w:eastAsia="Arial Unicode MS"/>
          <w:bCs/>
          <w:lang w:val="el-GR" w:eastAsia="fr-FR" w:bidi="he-IL"/>
        </w:rPr>
        <w:t>ὰ</w:t>
      </w:r>
      <w:r w:rsidRPr="00C8701B">
        <w:rPr>
          <w:rFonts w:eastAsia="Arial Unicode MS"/>
          <w:bCs/>
          <w:lang w:val="el-GR" w:eastAsia="fr-FR" w:bidi="he-IL"/>
        </w:rPr>
        <w:t xml:space="preserve"> Μωυσ</w:t>
      </w:r>
      <w:r w:rsidR="00C771BF">
        <w:rPr>
          <w:rFonts w:eastAsia="Arial Unicode MS"/>
          <w:bCs/>
          <w:lang w:val="el-GR" w:eastAsia="fr-FR" w:bidi="he-IL"/>
        </w:rPr>
        <w:t>έ</w:t>
      </w:r>
      <w:r w:rsidR="00A74F01">
        <w:rPr>
          <w:rFonts w:eastAsia="Arial Unicode MS"/>
          <w:bCs/>
          <w:lang w:val="el-GR" w:eastAsia="fr-FR" w:bidi="he-IL"/>
        </w:rPr>
        <w:t>α</w:t>
      </w:r>
      <w:r w:rsidRPr="00C8701B">
        <w:rPr>
          <w:rFonts w:eastAsia="Arial Unicode MS"/>
          <w:bCs/>
          <w:lang w:val="el-GR" w:eastAsia="fr-FR" w:bidi="he-IL"/>
        </w:rPr>
        <w:t>·</w:t>
      </w:r>
      <w:r w:rsidRPr="00C31E3A">
        <w:t>πεντ</w:t>
      </w:r>
      <w:r w:rsidR="00A74F01">
        <w:t>α</w:t>
      </w:r>
      <w:r w:rsidRPr="00C31E3A">
        <w:t>τε</w:t>
      </w:r>
      <w:r w:rsidR="00C151D4">
        <w:t>ύ</w:t>
      </w:r>
      <w:r w:rsidRPr="00C31E3A">
        <w:t>χου</w:t>
      </w:r>
      <w:r w:rsidR="00E65435" w:rsidRPr="00C31E3A">
        <w:t>,</w:t>
      </w:r>
      <w:r w:rsidR="00E65435">
        <w:rPr>
          <w:rFonts w:eastAsia="Arial Unicode MS"/>
          <w:bCs/>
          <w:lang w:val="el-GR" w:eastAsia="fr-FR" w:bidi="he-IL"/>
        </w:rPr>
        <w:t xml:space="preserve"> </w:t>
      </w:r>
      <w:r w:rsidR="000716BB" w:rsidRPr="000716BB">
        <w:rPr>
          <w:rFonts w:eastAsia="Arial Unicode MS"/>
          <w:bCs/>
          <w:lang w:eastAsia="fr-FR" w:bidi="he-IL"/>
        </w:rPr>
        <w:t>{</w:t>
      </w:r>
      <w:r w:rsidR="000716BB">
        <w:rPr>
          <w:rFonts w:eastAsia="Arial Unicode MS"/>
          <w:bCs/>
          <w:lang w:eastAsia="fr-FR" w:bidi="he-IL"/>
        </w:rPr>
        <w:t>13</w:t>
      </w:r>
      <w:bookmarkStart w:id="23" w:name="pag013"/>
      <w:bookmarkEnd w:id="23"/>
      <w:r w:rsidR="000716BB" w:rsidRPr="000716BB">
        <w:rPr>
          <w:rFonts w:eastAsia="Arial Unicode MS"/>
          <w:bCs/>
          <w:lang w:eastAsia="fr-FR" w:bidi="he-IL"/>
        </w:rPr>
        <w:t xml:space="preserve">} </w:t>
      </w:r>
      <w:r w:rsidR="00C2602D" w:rsidRPr="00C8701B">
        <w:rPr>
          <w:rFonts w:eastAsia="Arial Unicode MS"/>
          <w:bCs/>
          <w:lang w:eastAsia="fr-FR" w:bidi="he-IL"/>
        </w:rPr>
        <w:t>« </w:t>
      </w:r>
      <w:r w:rsidR="00C31E3A">
        <w:rPr>
          <w:rFonts w:eastAsia="Arial Unicode MS"/>
          <w:bCs/>
          <w:lang w:eastAsia="fr-FR" w:bidi="he-IL"/>
        </w:rPr>
        <w:t>le premier livre du Pentat</w:t>
      </w:r>
      <w:r w:rsidR="00C82C6C">
        <w:rPr>
          <w:rFonts w:eastAsia="Arial Unicode MS"/>
          <w:bCs/>
          <w:lang w:eastAsia="fr-FR" w:bidi="he-IL"/>
        </w:rPr>
        <w:t>euque de Moïse </w:t>
      </w:r>
      <w:r w:rsidR="00C82C6C" w:rsidRPr="00C406FF">
        <w:rPr>
          <w:rStyle w:val="Appelnotedebasdep"/>
        </w:rPr>
        <w:footnoteReference w:id="82"/>
      </w:r>
      <w:r w:rsidRPr="00C8701B">
        <w:rPr>
          <w:rFonts w:eastAsia="Arial Unicode MS"/>
          <w:bCs/>
          <w:lang w:eastAsia="fr-FR" w:bidi="he-IL"/>
        </w:rPr>
        <w:t>.</w:t>
      </w:r>
      <w:r w:rsidR="00C2602D" w:rsidRPr="00C8701B">
        <w:rPr>
          <w:rFonts w:eastAsia="Arial Unicode MS"/>
          <w:bCs/>
          <w:lang w:eastAsia="fr-FR" w:bidi="he-IL"/>
        </w:rPr>
        <w:t> »</w:t>
      </w:r>
      <w:r w:rsidRPr="00C8701B">
        <w:rPr>
          <w:rFonts w:eastAsia="Arial Unicode MS"/>
          <w:bCs/>
          <w:lang w:eastAsia="fr-FR" w:bidi="he-IL"/>
        </w:rPr>
        <w:t xml:space="preserve"> D</w:t>
      </w:r>
      <w:r w:rsidR="00557DE0">
        <w:rPr>
          <w:rFonts w:eastAsia="Arial Unicode MS"/>
          <w:bCs/>
          <w:lang w:eastAsia="fr-FR" w:bidi="he-IL"/>
        </w:rPr>
        <w:t>’</w:t>
      </w:r>
      <w:r w:rsidRPr="00C8701B">
        <w:rPr>
          <w:rFonts w:eastAsia="Arial Unicode MS"/>
          <w:bCs/>
          <w:lang w:eastAsia="fr-FR" w:bidi="he-IL"/>
        </w:rPr>
        <w:t>autres Pères grecs e</w:t>
      </w:r>
      <w:r w:rsidRPr="00C31E3A">
        <w:t>mploient les expressions</w:t>
      </w:r>
      <w:r w:rsidR="00C2602D" w:rsidRPr="00C31E3A">
        <w:t> :</w:t>
      </w:r>
      <w:r w:rsidR="0017332F" w:rsidRPr="00C31E3A">
        <w:t xml:space="preserve"> ἡ </w:t>
      </w:r>
      <w:r w:rsidRPr="00C31E3A">
        <w:t>π</w:t>
      </w:r>
      <w:r w:rsidR="00CD3C57">
        <w:t>ά</w:t>
      </w:r>
      <w:r w:rsidRPr="00C31E3A">
        <w:t>λ</w:t>
      </w:r>
      <w:r w:rsidR="00A74F01">
        <w:t>α</w:t>
      </w:r>
      <w:r w:rsidRPr="00C31E3A">
        <w:t>ι</w:t>
      </w:r>
      <w:r w:rsidR="00A74F01">
        <w:t>α</w:t>
      </w:r>
      <w:r w:rsidRPr="00C31E3A">
        <w:t xml:space="preserve"> δι</w:t>
      </w:r>
      <w:r w:rsidR="00A74F01">
        <w:t>α</w:t>
      </w:r>
      <w:r w:rsidRPr="00C31E3A">
        <w:t>θ</w:t>
      </w:r>
      <w:r w:rsidR="00C151D4">
        <w:t>ή</w:t>
      </w:r>
      <w:r w:rsidRPr="00C31E3A">
        <w:t>κη</w:t>
      </w:r>
      <w:r w:rsidR="0017332F" w:rsidRPr="00C31E3A">
        <w:t xml:space="preserve"> ἡ </w:t>
      </w:r>
      <w:r w:rsidR="00C771BF">
        <w:t>κ</w:t>
      </w:r>
      <w:r w:rsidR="00A74F01">
        <w:t>α</w:t>
      </w:r>
      <w:r w:rsidR="00C771BF">
        <w:t>τ</w:t>
      </w:r>
      <w:r w:rsidR="00116664">
        <w:t>ὰ</w:t>
      </w:r>
      <w:r w:rsidR="00C31E3A" w:rsidRPr="00C31E3A">
        <w:t xml:space="preserve"> το</w:t>
      </w:r>
      <w:r w:rsidR="00C151D4">
        <w:t>ύ</w:t>
      </w:r>
      <w:r w:rsidR="00C31E3A" w:rsidRPr="00C31E3A">
        <w:t>ς ἑ</w:t>
      </w:r>
      <w:r w:rsidRPr="00C31E3A">
        <w:t>βδομ</w:t>
      </w:r>
      <w:r w:rsidR="00C151D4">
        <w:t>ή</w:t>
      </w:r>
      <w:r w:rsidRPr="00C31E3A">
        <w:t>κοντ</w:t>
      </w:r>
      <w:r w:rsidR="00A74F01">
        <w:t>α</w:t>
      </w:r>
      <w:r w:rsidR="00E65435" w:rsidRPr="00C31E3A">
        <w:t xml:space="preserve">, </w:t>
      </w:r>
      <w:r w:rsidR="0017332F" w:rsidRPr="00C31E3A">
        <w:t xml:space="preserve">ἡ </w:t>
      </w:r>
      <w:r w:rsidRPr="00C31E3A">
        <w:t xml:space="preserve">... </w:t>
      </w:r>
      <w:r w:rsidR="00C771BF">
        <w:t>κ</w:t>
      </w:r>
      <w:r w:rsidR="00A74F01">
        <w:t>α</w:t>
      </w:r>
      <w:r w:rsidR="00C771BF">
        <w:t>τ</w:t>
      </w:r>
      <w:r w:rsidR="00116664">
        <w:t>ὰ</w:t>
      </w:r>
      <w:r w:rsidRPr="00C31E3A">
        <w:t xml:space="preserve"> </w:t>
      </w:r>
      <w:r w:rsidR="00C31E3A" w:rsidRPr="00C31E3A">
        <w:t>Ἀ</w:t>
      </w:r>
      <w:r w:rsidRPr="00C31E3A">
        <w:t>κ</w:t>
      </w:r>
      <w:r w:rsidR="00C151D4">
        <w:t>ύ</w:t>
      </w:r>
      <w:r w:rsidRPr="00C31E3A">
        <w:t>λ</w:t>
      </w:r>
      <w:r w:rsidR="00A74F01">
        <w:t>α</w:t>
      </w:r>
      <w:r w:rsidRPr="00C31E3A">
        <w:t>ν</w:t>
      </w:r>
      <w:r w:rsidR="00E65435" w:rsidRPr="00C31E3A">
        <w:t xml:space="preserve">, </w:t>
      </w:r>
      <w:r w:rsidRPr="00C31E3A">
        <w:t>etc.</w:t>
      </w:r>
      <w:r w:rsidR="00E65435" w:rsidRPr="00C31E3A">
        <w:t xml:space="preserve">, </w:t>
      </w:r>
      <w:r w:rsidR="00C2602D" w:rsidRPr="00C31E3A">
        <w:t>« </w:t>
      </w:r>
      <w:r w:rsidRPr="00C31E3A">
        <w:t>l</w:t>
      </w:r>
      <w:r w:rsidR="00557DE0">
        <w:t>’</w:t>
      </w:r>
      <w:r w:rsidRPr="00C31E3A">
        <w:t>Ancien Testament selon les Septante</w:t>
      </w:r>
      <w:r w:rsidR="00E65435" w:rsidRPr="00C31E3A">
        <w:t xml:space="preserve">, </w:t>
      </w:r>
      <w:r w:rsidRPr="00C31E3A">
        <w:t>selon Aquila</w:t>
      </w:r>
      <w:r w:rsidR="00C2602D" w:rsidRPr="00C31E3A">
        <w:t> »</w:t>
      </w:r>
      <w:r w:rsidR="00E65435" w:rsidRPr="00C31E3A">
        <w:t xml:space="preserve">, </w:t>
      </w:r>
      <w:r w:rsidRPr="00C31E3A">
        <w:t xml:space="preserve">etc. </w:t>
      </w:r>
    </w:p>
    <w:p w:rsidR="00C2602D" w:rsidRPr="00C31E3A" w:rsidRDefault="00B704AD" w:rsidP="00C31E3A">
      <w:r w:rsidRPr="00C8701B">
        <w:rPr>
          <w:rFonts w:eastAsia="Arial Unicode MS"/>
          <w:bCs/>
          <w:lang w:eastAsia="fr-FR" w:bidi="he-IL"/>
        </w:rPr>
        <w:t xml:space="preserve">La proposition </w:t>
      </w:r>
      <w:r w:rsidR="00C771BF">
        <w:rPr>
          <w:rFonts w:eastAsia="Arial Unicode MS"/>
          <w:bCs/>
          <w:lang w:val="el-GR" w:eastAsia="fr-FR" w:bidi="he-IL"/>
        </w:rPr>
        <w:t>κ</w:t>
      </w:r>
      <w:r w:rsidR="00A74F01">
        <w:rPr>
          <w:rFonts w:eastAsia="Arial Unicode MS"/>
          <w:bCs/>
          <w:lang w:val="el-GR" w:eastAsia="fr-FR" w:bidi="he-IL"/>
        </w:rPr>
        <w:t>α</w:t>
      </w:r>
      <w:r w:rsidR="00C771BF">
        <w:rPr>
          <w:rFonts w:eastAsia="Arial Unicode MS"/>
          <w:bCs/>
          <w:lang w:val="el-GR" w:eastAsia="fr-FR" w:bidi="he-IL"/>
        </w:rPr>
        <w:t>τ</w:t>
      </w:r>
      <w:r w:rsidR="00116664">
        <w:rPr>
          <w:rFonts w:eastAsia="Arial Unicode MS"/>
          <w:bCs/>
          <w:lang w:val="el-GR" w:eastAsia="fr-FR" w:bidi="he-IL"/>
        </w:rPr>
        <w:t>ὰ</w:t>
      </w:r>
      <w:r w:rsidRPr="00C8701B">
        <w:rPr>
          <w:rFonts w:eastAsia="Arial Unicode MS"/>
          <w:bCs/>
          <w:lang w:val="el-GR" w:eastAsia="fr-FR" w:bidi="he-IL"/>
        </w:rPr>
        <w:t xml:space="preserve"> </w:t>
      </w:r>
      <w:r w:rsidR="00C31E3A">
        <w:rPr>
          <w:rFonts w:eastAsia="Arial Unicode MS"/>
          <w:bCs/>
          <w:lang w:eastAsia="fr-FR" w:bidi="he-IL"/>
        </w:rPr>
        <w:t>est même classique en ce s</w:t>
      </w:r>
      <w:r w:rsidRPr="00C8701B">
        <w:rPr>
          <w:rFonts w:eastAsia="Arial Unicode MS"/>
          <w:bCs/>
          <w:lang w:eastAsia="fr-FR" w:bidi="he-IL"/>
        </w:rPr>
        <w:t>ens</w:t>
      </w:r>
      <w:r w:rsidR="00E65435">
        <w:rPr>
          <w:rFonts w:eastAsia="Arial Unicode MS"/>
          <w:bCs/>
          <w:lang w:eastAsia="fr-FR" w:bidi="he-IL"/>
        </w:rPr>
        <w:t xml:space="preserve">, </w:t>
      </w:r>
      <w:r w:rsidRPr="00C8701B">
        <w:rPr>
          <w:rFonts w:eastAsia="Arial Unicode MS"/>
          <w:bCs/>
          <w:lang w:eastAsia="fr-FR" w:bidi="he-IL"/>
        </w:rPr>
        <w:t>comme on le voit par ces mots de Diodore de Sicile</w:t>
      </w:r>
      <w:r w:rsidR="00C2602D" w:rsidRPr="00C8701B">
        <w:rPr>
          <w:rFonts w:eastAsia="Arial Unicode MS"/>
          <w:bCs/>
          <w:lang w:eastAsia="fr-FR" w:bidi="he-IL"/>
        </w:rPr>
        <w:t> :</w:t>
      </w:r>
      <w:r w:rsidR="0017332F" w:rsidRPr="00C8701B">
        <w:rPr>
          <w:rFonts w:eastAsia="Arial Unicode MS"/>
          <w:bCs/>
          <w:lang w:eastAsia="fr-FR" w:bidi="he-IL"/>
        </w:rPr>
        <w:t xml:space="preserve"> ἡ </w:t>
      </w:r>
      <w:r w:rsidRPr="00C8701B">
        <w:rPr>
          <w:rFonts w:eastAsia="Arial Unicode MS"/>
          <w:bCs/>
          <w:lang w:val="el-GR" w:eastAsia="fr-FR" w:bidi="he-IL"/>
        </w:rPr>
        <w:t>κ</w:t>
      </w:r>
      <w:r w:rsidR="00A74F01">
        <w:rPr>
          <w:rFonts w:eastAsia="Arial Unicode MS"/>
          <w:bCs/>
          <w:lang w:val="el-GR" w:eastAsia="fr-FR" w:bidi="he-IL"/>
        </w:rPr>
        <w:t>α</w:t>
      </w:r>
      <w:r w:rsidRPr="00C8701B">
        <w:rPr>
          <w:rFonts w:eastAsia="Arial Unicode MS"/>
          <w:bCs/>
          <w:lang w:val="el-GR" w:eastAsia="fr-FR" w:bidi="he-IL"/>
        </w:rPr>
        <w:t>τ</w:t>
      </w:r>
      <w:r w:rsidR="00557DE0">
        <w:rPr>
          <w:rFonts w:eastAsia="Arial Unicode MS"/>
          <w:bCs/>
          <w:lang w:val="el-GR" w:eastAsia="fr-FR" w:bidi="he-IL"/>
        </w:rPr>
        <w:t>’</w:t>
      </w:r>
      <w:r w:rsidR="00C31E3A" w:rsidRPr="00C31E3A">
        <w:t xml:space="preserve"> </w:t>
      </w:r>
      <w:r w:rsidR="00C31E3A">
        <w:t>Ἡ</w:t>
      </w:r>
      <w:r w:rsidRPr="00C8701B">
        <w:rPr>
          <w:rFonts w:eastAsia="Arial Unicode MS"/>
          <w:bCs/>
          <w:lang w:val="el-GR" w:eastAsia="fr-FR" w:bidi="he-IL"/>
        </w:rPr>
        <w:t>ρ</w:t>
      </w:r>
      <w:r w:rsidR="00736374">
        <w:rPr>
          <w:rFonts w:eastAsia="Arial Unicode MS"/>
          <w:bCs/>
          <w:lang w:val="el-GR" w:eastAsia="fr-FR" w:bidi="he-IL"/>
        </w:rPr>
        <w:t>ό</w:t>
      </w:r>
      <w:r w:rsidRPr="00C8701B">
        <w:rPr>
          <w:rFonts w:eastAsia="Arial Unicode MS"/>
          <w:bCs/>
          <w:lang w:val="el-GR" w:eastAsia="fr-FR" w:bidi="he-IL"/>
        </w:rPr>
        <w:t>δοτον</w:t>
      </w:r>
      <w:r w:rsidR="00C31E3A">
        <w:rPr>
          <w:rFonts w:eastAsia="Arial Unicode MS"/>
          <w:bCs/>
          <w:lang w:eastAsia="fr-FR" w:bidi="he-IL"/>
        </w:rPr>
        <w:t xml:space="preserve"> ἱστορ</w:t>
      </w:r>
      <w:r w:rsidR="00DB352C">
        <w:rPr>
          <w:rFonts w:eastAsia="Arial Unicode MS"/>
          <w:bCs/>
          <w:lang w:eastAsia="fr-FR" w:bidi="he-IL"/>
        </w:rPr>
        <w:t>ί</w:t>
      </w:r>
      <w:r w:rsidR="00A74F01">
        <w:rPr>
          <w:rFonts w:eastAsia="Arial Unicode MS"/>
          <w:bCs/>
          <w:lang w:eastAsia="fr-FR" w:bidi="he-IL"/>
        </w:rPr>
        <w:t>α</w:t>
      </w:r>
      <w:r w:rsidR="00C31E3A">
        <w:rPr>
          <w:rFonts w:eastAsia="Arial Unicode MS"/>
          <w:bCs/>
          <w:lang w:eastAsia="fr-FR" w:bidi="he-IL"/>
        </w:rPr>
        <w:t xml:space="preserve"> </w:t>
      </w:r>
      <w:r w:rsidR="00C2602D" w:rsidRPr="00C31E3A">
        <w:t>« </w:t>
      </w:r>
      <w:r w:rsidR="00C31E3A">
        <w:t>história</w:t>
      </w:r>
      <w:r w:rsidRPr="00C31E3A">
        <w:t xml:space="preserve"> </w:t>
      </w:r>
      <w:r w:rsidR="00E939E7" w:rsidRPr="00C31E3A">
        <w:t>secúndum</w:t>
      </w:r>
      <w:r w:rsidR="00C2602D" w:rsidRPr="00C31E3A">
        <w:t xml:space="preserve"> </w:t>
      </w:r>
      <w:r w:rsidR="00C31E3A">
        <w:t>Heró</w:t>
      </w:r>
      <w:r w:rsidRPr="00C31E3A">
        <w:t>dotum</w:t>
      </w:r>
      <w:r w:rsidR="00C2602D" w:rsidRPr="00C31E3A">
        <w:t> » </w:t>
      </w:r>
      <w:r w:rsidR="007F6508" w:rsidRPr="00C31E3A">
        <w:t xml:space="preserve">; </w:t>
      </w:r>
      <w:r w:rsidRPr="00C31E3A">
        <w:t>pour dire</w:t>
      </w:r>
      <w:r w:rsidR="00C2602D" w:rsidRPr="00C31E3A">
        <w:t> :</w:t>
      </w:r>
      <w:r w:rsidRPr="00C31E3A">
        <w:t xml:space="preserve"> l</w:t>
      </w:r>
      <w:r w:rsidR="00557DE0">
        <w:t>’</w:t>
      </w:r>
      <w:r w:rsidRPr="00C31E3A">
        <w:t>histoire d</w:t>
      </w:r>
      <w:r w:rsidR="00557DE0">
        <w:t>’</w:t>
      </w:r>
      <w:r w:rsidRPr="00C31E3A">
        <w:t>Hérodote.</w:t>
      </w:r>
      <w:r w:rsidR="00C2602D" w:rsidRPr="00C31E3A">
        <w:t xml:space="preserve"> </w:t>
      </w:r>
    </w:p>
    <w:p w:rsidR="00C2602D" w:rsidRPr="00C8701B" w:rsidRDefault="00B704AD" w:rsidP="00C31E3A">
      <w:pPr>
        <w:rPr>
          <w:rFonts w:eastAsia="Arial Unicode MS"/>
          <w:bCs/>
          <w:lang w:eastAsia="fr-FR" w:bidi="he-IL"/>
        </w:rPr>
      </w:pPr>
      <w:r w:rsidRPr="00C8701B">
        <w:rPr>
          <w:rFonts w:eastAsia="Arial Unicode MS"/>
          <w:bCs/>
          <w:lang w:eastAsia="fr-FR" w:bidi="he-IL"/>
        </w:rPr>
        <w:t>Mais allons plus loin</w:t>
      </w:r>
      <w:r w:rsidR="00E65435">
        <w:rPr>
          <w:rFonts w:eastAsia="Arial Unicode MS"/>
          <w:bCs/>
          <w:lang w:eastAsia="fr-FR" w:bidi="he-IL"/>
        </w:rPr>
        <w:t xml:space="preserve">, </w:t>
      </w:r>
      <w:r w:rsidRPr="00C8701B">
        <w:rPr>
          <w:rFonts w:eastAsia="Arial Unicode MS"/>
          <w:bCs/>
          <w:lang w:eastAsia="fr-FR" w:bidi="he-IL"/>
        </w:rPr>
        <w:t>et ajoutons que</w:t>
      </w:r>
      <w:r w:rsidR="00E65435">
        <w:rPr>
          <w:rFonts w:eastAsia="Arial Unicode MS"/>
          <w:bCs/>
          <w:lang w:eastAsia="fr-FR" w:bidi="he-IL"/>
        </w:rPr>
        <w:t xml:space="preserve">, </w:t>
      </w:r>
      <w:r w:rsidRPr="00C8701B">
        <w:rPr>
          <w:rFonts w:eastAsia="Arial Unicode MS"/>
          <w:bCs/>
          <w:lang w:eastAsia="fr-FR" w:bidi="he-IL"/>
        </w:rPr>
        <w:t>pour ce qui concerne les évangiles</w:t>
      </w:r>
      <w:r w:rsidR="00E65435">
        <w:rPr>
          <w:rFonts w:eastAsia="Arial Unicode MS"/>
          <w:bCs/>
          <w:lang w:eastAsia="fr-FR" w:bidi="he-IL"/>
        </w:rPr>
        <w:t xml:space="preserve">, </w:t>
      </w:r>
      <w:r w:rsidRPr="00C8701B">
        <w:rPr>
          <w:rFonts w:eastAsia="Arial Unicode MS"/>
          <w:bCs/>
          <w:lang w:eastAsia="fr-FR" w:bidi="he-IL"/>
        </w:rPr>
        <w:t>cette formule est d</w:t>
      </w:r>
      <w:r w:rsidR="00557DE0">
        <w:rPr>
          <w:rFonts w:eastAsia="Arial Unicode MS"/>
          <w:bCs/>
          <w:lang w:eastAsia="fr-FR" w:bidi="he-IL"/>
        </w:rPr>
        <w:t>’</w:t>
      </w:r>
      <w:r w:rsidRPr="00C8701B">
        <w:rPr>
          <w:rFonts w:eastAsia="Arial Unicode MS"/>
          <w:bCs/>
          <w:lang w:eastAsia="fr-FR" w:bidi="he-IL"/>
        </w:rPr>
        <w:t xml:space="preserve">une </w:t>
      </w:r>
      <w:r w:rsidRPr="00C82C6C">
        <w:t>très grande délicatesse</w:t>
      </w:r>
      <w:r w:rsidR="00E65435" w:rsidRPr="00C82C6C">
        <w:t xml:space="preserve">, </w:t>
      </w:r>
      <w:r w:rsidRPr="00C82C6C">
        <w:t>et qu</w:t>
      </w:r>
      <w:r w:rsidR="00557DE0">
        <w:t>’</w:t>
      </w:r>
      <w:r w:rsidR="00C31E3A" w:rsidRPr="00C82C6C">
        <w:t>elle convient b</w:t>
      </w:r>
      <w:r w:rsidRPr="00C82C6C">
        <w:t>eaucoup mieux que ce qu</w:t>
      </w:r>
      <w:r w:rsidR="00557DE0">
        <w:t>’</w:t>
      </w:r>
      <w:r w:rsidRPr="00C82C6C">
        <w:t>on nomme le</w:t>
      </w:r>
      <w:r w:rsidR="00341683">
        <w:t xml:space="preserve"> genití</w:t>
      </w:r>
      <w:r w:rsidR="00C31E3A" w:rsidRPr="00C82C6C">
        <w:t>vu</w:t>
      </w:r>
      <w:r w:rsidRPr="00C82C6C">
        <w:t xml:space="preserve">s </w:t>
      </w:r>
      <w:r w:rsidR="00341683" w:rsidRPr="00C82C6C">
        <w:t>auctóris</w:t>
      </w:r>
      <w:r w:rsidR="00E65435" w:rsidRPr="00C82C6C">
        <w:t xml:space="preserve">, </w:t>
      </w:r>
      <w:r w:rsidRPr="00C82C6C">
        <w:t>pour exprimer le rôle des quatre évangélistes en tant qu</w:t>
      </w:r>
      <w:r w:rsidR="00557DE0">
        <w:t>’</w:t>
      </w:r>
      <w:r w:rsidRPr="00C82C6C">
        <w:t>écrivains sacrés. Ainsi qu</w:t>
      </w:r>
      <w:r w:rsidR="00557DE0">
        <w:t>’</w:t>
      </w:r>
      <w:r w:rsidR="00C82C6C">
        <w:t>il a été dit plus haut </w:t>
      </w:r>
      <w:r w:rsidR="00C82C6C" w:rsidRPr="00C406FF">
        <w:rPr>
          <w:rStyle w:val="Appelnotedebasdep"/>
        </w:rPr>
        <w:footnoteReference w:id="83"/>
      </w:r>
      <w:r w:rsidR="00E65435" w:rsidRPr="00C82C6C">
        <w:t xml:space="preserve">, </w:t>
      </w:r>
      <w:r w:rsidRPr="00C82C6C">
        <w:t>il n</w:t>
      </w:r>
      <w:r w:rsidR="00557DE0">
        <w:t>’</w:t>
      </w:r>
      <w:r w:rsidRPr="00C82C6C">
        <w:t>y a qu</w:t>
      </w:r>
      <w:r w:rsidR="00557DE0">
        <w:t>’</w:t>
      </w:r>
      <w:r w:rsidRPr="00C82C6C">
        <w:t>un seul évangile</w:t>
      </w:r>
      <w:r w:rsidR="00E65435" w:rsidRPr="00C82C6C">
        <w:t xml:space="preserve">, </w:t>
      </w:r>
      <w:r w:rsidRPr="00C82C6C">
        <w:t>qu</w:t>
      </w:r>
      <w:r w:rsidR="00557DE0">
        <w:t>’</w:t>
      </w:r>
      <w:r w:rsidRPr="00C82C6C">
        <w:t>une seule bonne nouvelle</w:t>
      </w:r>
      <w:r w:rsidR="00E65435" w:rsidRPr="00C82C6C">
        <w:t xml:space="preserve">, </w:t>
      </w:r>
      <w:r w:rsidRPr="00C82C6C">
        <w:t>et c</w:t>
      </w:r>
      <w:r w:rsidR="00557DE0">
        <w:t>’</w:t>
      </w:r>
      <w:r w:rsidRPr="00C82C6C">
        <w:t>est Dieu</w:t>
      </w:r>
      <w:r w:rsidR="00E65435" w:rsidRPr="00C82C6C">
        <w:t xml:space="preserve">, </w:t>
      </w:r>
      <w:r w:rsidRPr="00C82C6C">
        <w:t>ou Jésus-Christ</w:t>
      </w:r>
      <w:r w:rsidR="00E65435" w:rsidRPr="00C82C6C">
        <w:t xml:space="preserve">, </w:t>
      </w:r>
      <w:r w:rsidRPr="00C82C6C">
        <w:t>qui en est l</w:t>
      </w:r>
      <w:r w:rsidR="00557DE0">
        <w:t>’</w:t>
      </w:r>
      <w:r w:rsidRPr="00C82C6C">
        <w:t>auteur véritable</w:t>
      </w:r>
      <w:r w:rsidR="00C2602D" w:rsidRPr="00C82C6C">
        <w:t> :</w:t>
      </w:r>
      <w:r w:rsidR="00401D7F" w:rsidRPr="00C82C6C">
        <w:t xml:space="preserve"> εὐ</w:t>
      </w:r>
      <w:r w:rsidR="00A74F01">
        <w:t>α</w:t>
      </w:r>
      <w:r w:rsidR="00401D7F" w:rsidRPr="00C82C6C">
        <w:t>γ</w:t>
      </w:r>
      <w:r w:rsidRPr="00C82C6C">
        <w:t>γ</w:t>
      </w:r>
      <w:r w:rsidR="00C771BF">
        <w:t>έ</w:t>
      </w:r>
      <w:r w:rsidRPr="00C82C6C">
        <w:t xml:space="preserve">λιον </w:t>
      </w:r>
      <w:r w:rsidR="00C31E3A" w:rsidRPr="00C82C6C">
        <w:t>τοῦ</w:t>
      </w:r>
      <w:r w:rsidRPr="00C82C6C">
        <w:t xml:space="preserve"> </w:t>
      </w:r>
      <w:r w:rsidR="00C31E3A" w:rsidRPr="00C82C6C">
        <w:t>θεοῦ</w:t>
      </w:r>
      <w:r w:rsidRPr="00C82C6C">
        <w:t xml:space="preserve"> (Rom.</w:t>
      </w:r>
      <w:r w:rsidR="00C21120" w:rsidRPr="00C82C6C">
        <w:t xml:space="preserve"> I, 1</w:t>
      </w:r>
      <w:r w:rsidRPr="00C82C6C">
        <w:t>)</w:t>
      </w:r>
      <w:r w:rsidR="00E65435" w:rsidRPr="00C82C6C">
        <w:t xml:space="preserve">, </w:t>
      </w:r>
      <w:r w:rsidR="00401D7F" w:rsidRPr="00C82C6C">
        <w:t>εὐ</w:t>
      </w:r>
      <w:r w:rsidR="00A74F01">
        <w:t>α</w:t>
      </w:r>
      <w:r w:rsidR="00401D7F" w:rsidRPr="00C82C6C">
        <w:t>γ</w:t>
      </w:r>
      <w:r w:rsidRPr="00C82C6C">
        <w:t>γ</w:t>
      </w:r>
      <w:r w:rsidR="00C771BF">
        <w:t>έ</w:t>
      </w:r>
      <w:r w:rsidRPr="00C82C6C">
        <w:t xml:space="preserve">λιον </w:t>
      </w:r>
      <w:r w:rsidR="00C31E3A" w:rsidRPr="00C82C6C">
        <w:t>Ἰησοῦ</w:t>
      </w:r>
      <w:r w:rsidRPr="00C82C6C">
        <w:t xml:space="preserve"> </w:t>
      </w:r>
      <w:r w:rsidR="00C31E3A" w:rsidRPr="00C82C6C">
        <w:t>Χριστοῦ</w:t>
      </w:r>
      <w:r w:rsidRPr="00C82C6C">
        <w:t xml:space="preserve"> (Marc. I</w:t>
      </w:r>
      <w:r w:rsidR="00E65435" w:rsidRPr="00C82C6C">
        <w:t xml:space="preserve">, </w:t>
      </w:r>
      <w:r w:rsidRPr="00C82C6C">
        <w:t>1). S. Matthieu</w:t>
      </w:r>
      <w:r w:rsidR="00E65435" w:rsidRPr="00C82C6C">
        <w:t xml:space="preserve">, </w:t>
      </w:r>
      <w:r w:rsidRPr="00C82C6C">
        <w:t>S. Marc</w:t>
      </w:r>
      <w:r w:rsidR="00E65435" w:rsidRPr="00C82C6C">
        <w:t xml:space="preserve">, </w:t>
      </w:r>
      <w:r w:rsidRPr="00C82C6C">
        <w:t>S. Luc et S. Jean ont raconté</w:t>
      </w:r>
      <w:r w:rsidR="00E65435" w:rsidRPr="00C82C6C">
        <w:t xml:space="preserve">, </w:t>
      </w:r>
      <w:r w:rsidR="00C31E3A" w:rsidRPr="00C82C6C">
        <w:t>expos</w:t>
      </w:r>
      <w:r w:rsidRPr="00C82C6C">
        <w:t>é</w:t>
      </w:r>
      <w:r w:rsidR="00E65435" w:rsidRPr="00C82C6C">
        <w:t xml:space="preserve">, </w:t>
      </w:r>
      <w:r w:rsidRPr="00C82C6C">
        <w:t>cet évangile</w:t>
      </w:r>
      <w:r w:rsidR="00E65435" w:rsidRPr="00C82C6C">
        <w:t xml:space="preserve">, </w:t>
      </w:r>
      <w:r w:rsidRPr="00C82C6C">
        <w:t>mais non</w:t>
      </w:r>
      <w:r w:rsidRPr="00C8701B">
        <w:rPr>
          <w:rFonts w:eastAsia="Arial Unicode MS"/>
          <w:bCs/>
          <w:lang w:eastAsia="fr-FR" w:bidi="he-IL"/>
        </w:rPr>
        <w:t xml:space="preserve"> pas à la manière ordinaire d</w:t>
      </w:r>
      <w:r w:rsidR="00557DE0">
        <w:rPr>
          <w:rFonts w:eastAsia="Arial Unicode MS"/>
          <w:bCs/>
          <w:lang w:eastAsia="fr-FR" w:bidi="he-IL"/>
        </w:rPr>
        <w:t>’</w:t>
      </w:r>
      <w:r w:rsidRPr="00C8701B">
        <w:rPr>
          <w:rFonts w:eastAsia="Arial Unicode MS"/>
          <w:bCs/>
          <w:lang w:eastAsia="fr-FR" w:bidi="he-IL"/>
        </w:rPr>
        <w:t>un écrivain</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ils ne sont pas les </w:t>
      </w:r>
      <w:r w:rsidR="00C2602D" w:rsidRPr="00C8701B">
        <w:rPr>
          <w:rFonts w:eastAsia="Arial Unicode MS"/>
          <w:bCs/>
          <w:lang w:eastAsia="fr-FR" w:bidi="he-IL"/>
        </w:rPr>
        <w:t>« </w:t>
      </w:r>
      <w:r w:rsidRPr="00C8701B">
        <w:rPr>
          <w:rFonts w:eastAsia="Arial Unicode MS"/>
          <w:bCs/>
          <w:lang w:eastAsia="fr-FR" w:bidi="he-IL"/>
        </w:rPr>
        <w:t>auteurs</w:t>
      </w:r>
      <w:r w:rsidR="00C2602D" w:rsidRPr="00C8701B">
        <w:rPr>
          <w:rFonts w:eastAsia="Arial Unicode MS"/>
          <w:bCs/>
          <w:lang w:eastAsia="fr-FR" w:bidi="he-IL"/>
        </w:rPr>
        <w:t> »</w:t>
      </w:r>
      <w:r w:rsidRPr="00C8701B">
        <w:rPr>
          <w:rFonts w:eastAsia="Arial Unicode MS"/>
          <w:bCs/>
          <w:lang w:eastAsia="fr-FR" w:bidi="he-IL"/>
        </w:rPr>
        <w:t xml:space="preserve"> de leurs livres dans la signif</w:t>
      </w:r>
      <w:r w:rsidR="00C82C6C">
        <w:rPr>
          <w:rFonts w:eastAsia="Arial Unicode MS"/>
          <w:bCs/>
          <w:lang w:eastAsia="fr-FR" w:bidi="he-IL"/>
        </w:rPr>
        <w:t>ication habituelle de ce mot </w:t>
      </w:r>
      <w:r w:rsidR="00C82C6C" w:rsidRPr="00C406FF">
        <w:rPr>
          <w:rStyle w:val="Appelnotedebasdep"/>
        </w:rPr>
        <w:footnoteReference w:id="84"/>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31E3A" w:rsidRDefault="00B704AD" w:rsidP="00C2602D">
      <w:r w:rsidRPr="00C8701B">
        <w:rPr>
          <w:rFonts w:eastAsia="Arial Unicode MS"/>
          <w:bCs/>
          <w:lang w:eastAsia="fr-FR" w:bidi="he-IL"/>
        </w:rPr>
        <w:t>En outre</w:t>
      </w:r>
      <w:r w:rsidR="00E65435">
        <w:rPr>
          <w:rFonts w:eastAsia="Arial Unicode MS"/>
          <w:bCs/>
          <w:lang w:eastAsia="fr-FR" w:bidi="he-IL"/>
        </w:rPr>
        <w:t xml:space="preserve">, </w:t>
      </w:r>
      <w:r w:rsidRPr="00C8701B">
        <w:rPr>
          <w:rFonts w:eastAsia="Arial Unicode MS"/>
          <w:bCs/>
          <w:lang w:eastAsia="fr-FR" w:bidi="he-IL"/>
        </w:rPr>
        <w:t>puisqu</w:t>
      </w:r>
      <w:r w:rsidR="00557DE0">
        <w:rPr>
          <w:rFonts w:eastAsia="Arial Unicode MS"/>
          <w:bCs/>
          <w:lang w:eastAsia="fr-FR" w:bidi="he-IL"/>
        </w:rPr>
        <w:t>’</w:t>
      </w:r>
      <w:r w:rsidRPr="00C8701B">
        <w:rPr>
          <w:rFonts w:eastAsia="Arial Unicode MS"/>
          <w:bCs/>
          <w:lang w:eastAsia="fr-FR" w:bidi="he-IL"/>
        </w:rPr>
        <w:t>ils ont été plusieurs à exposer cette unique bonne nouvelle</w:t>
      </w:r>
      <w:r w:rsidR="00E65435">
        <w:rPr>
          <w:rFonts w:eastAsia="Arial Unicode MS"/>
          <w:bCs/>
          <w:lang w:eastAsia="fr-FR" w:bidi="he-IL"/>
        </w:rPr>
        <w:t xml:space="preserve">, </w:t>
      </w:r>
      <w:r w:rsidRPr="00C8701B">
        <w:rPr>
          <w:rFonts w:eastAsia="Arial Unicode MS"/>
          <w:bCs/>
          <w:lang w:eastAsia="fr-FR" w:bidi="he-IL"/>
        </w:rPr>
        <w:t xml:space="preserve">il était juste de différencier ainsi leur rédaction. </w:t>
      </w:r>
      <w:r w:rsidR="00C2602D" w:rsidRPr="00C31E3A">
        <w:t>« </w:t>
      </w:r>
      <w:r w:rsidRPr="00C31E3A">
        <w:t xml:space="preserve">Illud </w:t>
      </w:r>
      <w:r w:rsidR="00C771BF">
        <w:t>κ</w:t>
      </w:r>
      <w:r w:rsidR="00A74F01">
        <w:t>α</w:t>
      </w:r>
      <w:r w:rsidR="00C771BF">
        <w:t>τ</w:t>
      </w:r>
      <w:r w:rsidR="00116664">
        <w:t>ὰ</w:t>
      </w:r>
      <w:r w:rsidRPr="00C31E3A">
        <w:t xml:space="preserve"> non </w:t>
      </w:r>
      <w:r w:rsidR="00C31E3A" w:rsidRPr="00C31E3A">
        <w:t>divérsam</w:t>
      </w:r>
      <w:r w:rsidRPr="00C31E3A">
        <w:t xml:space="preserve"> </w:t>
      </w:r>
      <w:r w:rsidR="00C31E3A" w:rsidRPr="00C31E3A">
        <w:t>doctrínam</w:t>
      </w:r>
      <w:r w:rsidRPr="00C31E3A">
        <w:t xml:space="preserve"> atque sent</w:t>
      </w:r>
      <w:r w:rsidR="000B732C" w:rsidRPr="00C31E3A">
        <w:t>éntiam</w:t>
      </w:r>
      <w:r w:rsidR="00E65435" w:rsidRPr="00C31E3A">
        <w:t xml:space="preserve">, </w:t>
      </w:r>
      <w:r w:rsidRPr="00C31E3A">
        <w:t xml:space="preserve">sed </w:t>
      </w:r>
      <w:r w:rsidR="00C31E3A" w:rsidRPr="00C31E3A">
        <w:t>divérsos</w:t>
      </w:r>
      <w:r w:rsidRPr="00C31E3A">
        <w:t xml:space="preserve"> tantum </w:t>
      </w:r>
      <w:r w:rsidR="00C31E3A" w:rsidRPr="00C31E3A">
        <w:t>auctóres</w:t>
      </w:r>
      <w:r w:rsidRPr="00C31E3A">
        <w:t xml:space="preserve"> </w:t>
      </w:r>
      <w:r w:rsidR="00C31E3A">
        <w:t>et modum scribéndi div</w:t>
      </w:r>
      <w:r w:rsidR="00C31E3A" w:rsidRPr="00C31E3A">
        <w:t>érsum</w:t>
      </w:r>
      <w:r w:rsidRPr="00C31E3A">
        <w:t xml:space="preserve"> </w:t>
      </w:r>
      <w:r w:rsidR="00C31E3A" w:rsidRPr="00C31E3A">
        <w:t>declárat</w:t>
      </w:r>
      <w:r w:rsidR="00C2602D" w:rsidRPr="00C31E3A">
        <w:t> »</w:t>
      </w:r>
      <w:r w:rsidR="00E65435" w:rsidRPr="00C31E3A">
        <w:t xml:space="preserve">, </w:t>
      </w:r>
      <w:r w:rsidR="00C82C6C">
        <w:t>dit fort bien Maldonat </w:t>
      </w:r>
      <w:r w:rsidR="00C82C6C" w:rsidRPr="00C406FF">
        <w:rPr>
          <w:rStyle w:val="Appelnotedebasdep"/>
        </w:rPr>
        <w:footnoteReference w:id="85"/>
      </w:r>
      <w:r w:rsidRPr="00C31E3A">
        <w:t>.</w:t>
      </w:r>
      <w:r w:rsidR="00C2602D" w:rsidRPr="00C31E3A">
        <w:t xml:space="preserve"> </w:t>
      </w:r>
    </w:p>
    <w:p w:rsidR="00C2602D" w:rsidRPr="00C31E3A" w:rsidRDefault="00B704AD" w:rsidP="00C2602D">
      <w:r w:rsidRPr="00C8701B">
        <w:rPr>
          <w:rFonts w:eastAsia="Arial Unicode MS"/>
          <w:bCs/>
          <w:lang w:eastAsia="fr-FR" w:bidi="he-IL"/>
        </w:rPr>
        <w:t>Au surplus</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emploi du</w:t>
      </w:r>
      <w:r w:rsidRPr="00DC4586">
        <w:rPr>
          <w:rStyle w:val="italicus"/>
        </w:rPr>
        <w:t xml:space="preserve"> </w:t>
      </w:r>
      <w:r w:rsidR="00C31E3A">
        <w:rPr>
          <w:rStyle w:val="italicus"/>
        </w:rPr>
        <w:t>genití</w:t>
      </w:r>
      <w:r w:rsidRPr="00DC4586">
        <w:rPr>
          <w:rStyle w:val="italicus"/>
        </w:rPr>
        <w:t xml:space="preserve">vus </w:t>
      </w:r>
      <w:r w:rsidR="00C31E3A" w:rsidRPr="00DC4586">
        <w:rPr>
          <w:rStyle w:val="italicus"/>
        </w:rPr>
        <w:t>auctóris</w:t>
      </w:r>
      <w:r w:rsidR="00E65435">
        <w:rPr>
          <w:rStyle w:val="italicus"/>
        </w:rPr>
        <w:t xml:space="preserve">, </w:t>
      </w:r>
      <w:r w:rsidRPr="00C8701B">
        <w:rPr>
          <w:rFonts w:eastAsia="Arial Unicode MS"/>
          <w:bCs/>
          <w:lang w:eastAsia="fr-FR" w:bidi="he-IL"/>
        </w:rPr>
        <w:t>quoique rare dans l</w:t>
      </w:r>
      <w:r w:rsidR="00557DE0">
        <w:rPr>
          <w:rFonts w:eastAsia="Arial Unicode MS"/>
          <w:bCs/>
          <w:lang w:eastAsia="fr-FR" w:bidi="he-IL"/>
        </w:rPr>
        <w:t>’</w:t>
      </w:r>
      <w:r w:rsidRPr="00C8701B">
        <w:rPr>
          <w:rFonts w:eastAsia="Arial Unicode MS"/>
          <w:bCs/>
          <w:lang w:eastAsia="fr-FR" w:bidi="he-IL"/>
        </w:rPr>
        <w:t>antiquité</w:t>
      </w:r>
      <w:r w:rsidR="00E65435">
        <w:rPr>
          <w:rFonts w:eastAsia="Arial Unicode MS"/>
          <w:bCs/>
          <w:lang w:eastAsia="fr-FR" w:bidi="he-IL"/>
        </w:rPr>
        <w:t xml:space="preserve">, </w:t>
      </w:r>
      <w:r w:rsidRPr="00C8701B">
        <w:rPr>
          <w:rFonts w:eastAsia="Arial Unicode MS"/>
          <w:bCs/>
          <w:lang w:eastAsia="fr-FR" w:bidi="he-IL"/>
        </w:rPr>
        <w:t>n</w:t>
      </w:r>
      <w:r w:rsidR="00557DE0">
        <w:rPr>
          <w:rFonts w:eastAsia="Arial Unicode MS"/>
          <w:bCs/>
          <w:lang w:eastAsia="fr-FR" w:bidi="he-IL"/>
        </w:rPr>
        <w:t>’</w:t>
      </w:r>
      <w:r w:rsidRPr="00C8701B">
        <w:rPr>
          <w:rFonts w:eastAsia="Arial Unicode MS"/>
          <w:bCs/>
          <w:lang w:eastAsia="fr-FR" w:bidi="he-IL"/>
        </w:rPr>
        <w:t>y est pas absolument inconnu</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témoin ce texte des</w:t>
      </w:r>
      <w:r w:rsidRPr="00DC4586">
        <w:rPr>
          <w:rStyle w:val="italicus"/>
        </w:rPr>
        <w:t xml:space="preserve"> Canons apostoliques</w:t>
      </w:r>
      <w:r w:rsidR="00E65435">
        <w:rPr>
          <w:rStyle w:val="italicus"/>
        </w:rPr>
        <w:t xml:space="preserve">, </w:t>
      </w:r>
      <w:r w:rsidR="00C31E3A">
        <w:rPr>
          <w:rFonts w:eastAsia="Arial Unicode MS"/>
          <w:bCs/>
          <w:lang w:eastAsia="fr-FR" w:bidi="he-IL"/>
        </w:rPr>
        <w:t xml:space="preserve">c. </w:t>
      </w:r>
      <w:r w:rsidRPr="00C8701B">
        <w:rPr>
          <w:rFonts w:eastAsia="Arial Unicode MS"/>
          <w:bCs/>
          <w:lang w:eastAsia="fr-FR" w:bidi="he-IL"/>
        </w:rPr>
        <w:t>85</w:t>
      </w:r>
      <w:r w:rsidR="00C2602D" w:rsidRPr="00C8701B">
        <w:rPr>
          <w:rFonts w:eastAsia="Arial Unicode MS"/>
          <w:bCs/>
          <w:lang w:eastAsia="fr-FR" w:bidi="he-IL"/>
        </w:rPr>
        <w:t> :</w:t>
      </w:r>
      <w:r w:rsidR="00401D7F" w:rsidRPr="00C8701B">
        <w:rPr>
          <w:rFonts w:eastAsia="Arial Unicode MS"/>
          <w:bCs/>
          <w:lang w:eastAsia="fr-FR" w:bidi="he-IL"/>
        </w:rPr>
        <w:t xml:space="preserve"> </w:t>
      </w:r>
      <w:r w:rsidR="00401D7F" w:rsidRPr="00C31E3A">
        <w:t>εὐ</w:t>
      </w:r>
      <w:r w:rsidR="00A74F01">
        <w:t>α</w:t>
      </w:r>
      <w:r w:rsidR="00401D7F" w:rsidRPr="00C31E3A">
        <w:t>γ</w:t>
      </w:r>
      <w:r w:rsidRPr="00C31E3A">
        <w:t>γ</w:t>
      </w:r>
      <w:r w:rsidR="00C771BF">
        <w:t>έ</w:t>
      </w:r>
      <w:r w:rsidRPr="00C31E3A">
        <w:t>λι</w:t>
      </w:r>
      <w:r w:rsidR="00A74F01">
        <w:t>α</w:t>
      </w:r>
      <w:r w:rsidRPr="00C31E3A">
        <w:t xml:space="preserve"> </w:t>
      </w:r>
      <w:r w:rsidR="00C31E3A" w:rsidRPr="00C31E3A">
        <w:t>τ</w:t>
      </w:r>
      <w:r w:rsidR="00C771BF">
        <w:t>έ</w:t>
      </w:r>
      <w:r w:rsidR="00C31E3A" w:rsidRPr="00C31E3A">
        <w:t>σσ</w:t>
      </w:r>
      <w:r w:rsidR="00A74F01">
        <w:t>α</w:t>
      </w:r>
      <w:r w:rsidR="00C31E3A" w:rsidRPr="00C31E3A">
        <w:t>ρ</w:t>
      </w:r>
      <w:r w:rsidR="00A74F01">
        <w:t>α</w:t>
      </w:r>
      <w:r w:rsidRPr="00C31E3A">
        <w:t xml:space="preserve"> </w:t>
      </w:r>
      <w:r w:rsidR="00C31E3A" w:rsidRPr="00C31E3A">
        <w:t>Μ</w:t>
      </w:r>
      <w:r w:rsidR="00A74F01">
        <w:t>α</w:t>
      </w:r>
      <w:r w:rsidR="00C31E3A" w:rsidRPr="00C31E3A">
        <w:t>τθ</w:t>
      </w:r>
      <w:r w:rsidR="00A74F01">
        <w:t>α</w:t>
      </w:r>
      <w:r w:rsidR="00C31E3A" w:rsidRPr="00C31E3A">
        <w:t>ῖον</w:t>
      </w:r>
      <w:r w:rsidR="00E65435" w:rsidRPr="00C31E3A">
        <w:t xml:space="preserve">, </w:t>
      </w:r>
      <w:r w:rsidR="00C31E3A" w:rsidRPr="00C31E3A">
        <w:t>Μ</w:t>
      </w:r>
      <w:r w:rsidR="00CD3C57">
        <w:t>ά</w:t>
      </w:r>
      <w:r w:rsidR="00C31E3A" w:rsidRPr="00C31E3A">
        <w:t>ρκον</w:t>
      </w:r>
      <w:r w:rsidR="00E65435" w:rsidRPr="00C31E3A">
        <w:t xml:space="preserve">, </w:t>
      </w:r>
      <w:r w:rsidR="00C31E3A">
        <w:t>Λουκᾶ</w:t>
      </w:r>
      <w:r w:rsidR="00E65435" w:rsidRPr="00C31E3A">
        <w:t xml:space="preserve">, </w:t>
      </w:r>
      <w:r w:rsidR="00C31E3A">
        <w:t>Ἰ</w:t>
      </w:r>
      <w:r w:rsidRPr="00C31E3A">
        <w:t>ω</w:t>
      </w:r>
      <w:r w:rsidR="00CD3C57">
        <w:t>ά</w:t>
      </w:r>
      <w:r w:rsidRPr="00C31E3A">
        <w:t>ννου.</w:t>
      </w:r>
      <w:r w:rsidR="00C2602D" w:rsidRPr="00C31E3A">
        <w:t xml:space="preserve"> </w:t>
      </w:r>
    </w:p>
    <w:p w:rsidR="00C2602D" w:rsidRPr="00C8701B" w:rsidRDefault="00B704AD" w:rsidP="003A68DB">
      <w:pPr>
        <w:pStyle w:val="Titre4"/>
        <w:rPr>
          <w:lang w:eastAsia="fr-FR" w:bidi="he-IL"/>
        </w:rPr>
      </w:pPr>
      <w:bookmarkStart w:id="24" w:name="_Toc526755720"/>
      <w:r w:rsidRPr="00C8701B">
        <w:rPr>
          <w:rFonts w:eastAsia="Arial Unicode MS"/>
          <w:bCs/>
          <w:lang w:eastAsia="fr-FR" w:bidi="he-IL"/>
        </w:rPr>
        <w:t xml:space="preserve">§ </w:t>
      </w:r>
      <w:r w:rsidR="00A319EA">
        <w:rPr>
          <w:rFonts w:eastAsia="Arial Unicode MS"/>
          <w:bCs/>
          <w:lang w:val="el-GR" w:eastAsia="fr-FR" w:bidi="he-IL"/>
        </w:rPr>
        <w:t>VI</w:t>
      </w:r>
      <w:r w:rsidRPr="00C8701B">
        <w:rPr>
          <w:rFonts w:eastAsia="Arial Unicode MS"/>
          <w:bCs/>
          <w:lang w:val="el-GR" w:eastAsia="fr-FR" w:bidi="he-IL"/>
        </w:rPr>
        <w:t>.</w:t>
      </w:r>
      <w:r w:rsidR="000F7DAA">
        <w:rPr>
          <w:rFonts w:eastAsia="Arial Unicode MS"/>
          <w:bCs/>
          <w:lang w:val="el-GR"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LE CONTENU DES ÉVANGILES.</w:t>
      </w:r>
      <w:bookmarkStart w:id="25" w:name="evin06"/>
      <w:bookmarkEnd w:id="24"/>
      <w:bookmarkEnd w:id="25"/>
      <w:r w:rsidR="00C2602D" w:rsidRPr="00C8701B">
        <w:rPr>
          <w:rFonts w:eastAsia="Arial Unicode MS"/>
          <w:bCs/>
          <w:lang w:eastAsia="fr-FR" w:bidi="he-IL"/>
        </w:rPr>
        <w:t xml:space="preserve"> </w:t>
      </w:r>
    </w:p>
    <w:p w:rsidR="00C2602D" w:rsidRPr="00C8701B" w:rsidRDefault="00073897" w:rsidP="00C2602D">
      <w:pPr>
        <w:rPr>
          <w:rFonts w:eastAsia="Arial Unicode MS"/>
          <w:bCs/>
          <w:lang w:eastAsia="fr-FR" w:bidi="he-IL"/>
        </w:rPr>
      </w:pPr>
      <w:r>
        <w:rPr>
          <w:rFonts w:eastAsia="Arial Unicode MS"/>
          <w:bCs/>
          <w:lang w:val="el-GR" w:eastAsia="fr-FR" w:bidi="he-IL"/>
        </w:rPr>
        <w:t>I</w:t>
      </w:r>
      <w:r w:rsidR="00C82C6C">
        <w:rPr>
          <w:rFonts w:eastAsia="Arial Unicode MS"/>
          <w:bCs/>
          <w:lang w:eastAsia="fr-FR" w:bidi="he-IL"/>
        </w:rPr>
        <w:t>.</w:t>
      </w:r>
      <w:bookmarkStart w:id="26" w:name="evin0601"/>
      <w:bookmarkEnd w:id="26"/>
      <w:r w:rsidR="000F7DAA">
        <w:rPr>
          <w:rFonts w:eastAsia="Arial Unicode MS"/>
          <w:bCs/>
          <w:lang w:val="el-GR" w:eastAsia="fr-FR" w:bidi="he-IL"/>
        </w:rPr>
        <w:t xml:space="preserve"> —</w:t>
      </w:r>
      <w:r w:rsidR="008D0642">
        <w:rPr>
          <w:rFonts w:eastAsia="Arial Unicode MS"/>
          <w:bCs/>
          <w:lang w:eastAsia="fr-FR" w:bidi="he-IL"/>
        </w:rPr>
        <w:t xml:space="preserve"> </w:t>
      </w:r>
      <w:r w:rsidR="00C82C6C" w:rsidRPr="00C8701B">
        <w:rPr>
          <w:rFonts w:eastAsia="Arial Unicode MS"/>
          <w:bCs/>
          <w:lang w:eastAsia="fr-FR" w:bidi="he-IL"/>
        </w:rPr>
        <w:t>S</w:t>
      </w:r>
      <w:r w:rsidR="00B704AD" w:rsidRPr="00C8701B">
        <w:rPr>
          <w:rFonts w:eastAsia="Arial Unicode MS"/>
          <w:bCs/>
          <w:lang w:eastAsia="fr-FR" w:bidi="he-IL"/>
        </w:rPr>
        <w:t>. Jean Chry</w:t>
      </w:r>
      <w:r w:rsidR="00C31E3A">
        <w:rPr>
          <w:rFonts w:eastAsia="Arial Unicode MS"/>
          <w:bCs/>
          <w:lang w:eastAsia="fr-FR" w:bidi="he-IL"/>
        </w:rPr>
        <w:t>sostome</w:t>
      </w:r>
      <w:r w:rsidR="00B704AD" w:rsidRPr="00C8701B">
        <w:rPr>
          <w:rFonts w:eastAsia="Arial Unicode MS"/>
          <w:bCs/>
          <w:lang w:eastAsia="fr-FR" w:bidi="he-IL"/>
        </w:rPr>
        <w:t xml:space="preserve"> a sur ce point des développements oratoires pleins d</w:t>
      </w:r>
      <w:r w:rsidR="00557DE0">
        <w:rPr>
          <w:rFonts w:eastAsia="Arial Unicode MS"/>
          <w:bCs/>
          <w:lang w:eastAsia="fr-FR" w:bidi="he-IL"/>
        </w:rPr>
        <w:t>’</w:t>
      </w:r>
      <w:r w:rsidR="00C31E3A">
        <w:rPr>
          <w:rFonts w:eastAsia="Arial Unicode MS"/>
          <w:bCs/>
          <w:lang w:eastAsia="fr-FR" w:bidi="he-IL"/>
        </w:rPr>
        <w:t>in</w:t>
      </w:r>
      <w:r w:rsidR="00B704AD" w:rsidRPr="00C8701B">
        <w:rPr>
          <w:rFonts w:eastAsia="Arial Unicode MS"/>
          <w:bCs/>
          <w:lang w:eastAsia="fr-FR" w:bidi="he-IL"/>
        </w:rPr>
        <w:t>térêts.</w:t>
      </w:r>
      <w:r w:rsidR="00C2602D" w:rsidRPr="00C8701B">
        <w:rPr>
          <w:rFonts w:eastAsia="Arial Unicode MS"/>
          <w:bCs/>
          <w:lang w:eastAsia="fr-FR" w:bidi="he-IL"/>
        </w:rPr>
        <w:t xml:space="preserve"> </w:t>
      </w:r>
    </w:p>
    <w:p w:rsidR="00C2602D" w:rsidRPr="002C17D7" w:rsidRDefault="00C2602D" w:rsidP="00C215A6">
      <w:r w:rsidRPr="00C31E3A">
        <w:t>« </w:t>
      </w:r>
      <w:r w:rsidR="00B704AD" w:rsidRPr="00C31E3A">
        <w:t xml:space="preserve">Opus autem </w:t>
      </w:r>
      <w:r w:rsidR="002C17D7">
        <w:t xml:space="preserve">suum jure </w:t>
      </w:r>
      <w:r w:rsidR="00776C8C">
        <w:t>evangélium</w:t>
      </w:r>
      <w:r w:rsidR="002C17D7">
        <w:t xml:space="preserve"> </w:t>
      </w:r>
      <w:r w:rsidR="00776C8C">
        <w:t>inscríptis</w:t>
      </w:r>
      <w:r w:rsidR="002C17D7">
        <w:t xml:space="preserve"> (</w:t>
      </w:r>
      <w:r w:rsidR="00776C8C" w:rsidRPr="00C31E3A">
        <w:t>Matthǽus</w:t>
      </w:r>
      <w:r w:rsidR="00776C8C">
        <w:t>). Sublá</w:t>
      </w:r>
      <w:r w:rsidR="00776C8C" w:rsidRPr="00C31E3A">
        <w:t xml:space="preserve">tam </w:t>
      </w:r>
      <w:r w:rsidR="00B704AD" w:rsidRPr="00C31E3A">
        <w:t>enim</w:t>
      </w:r>
      <w:r w:rsidR="002C17D7">
        <w:t xml:space="preserve"> pœ</w:t>
      </w:r>
      <w:r w:rsidR="00B704AD" w:rsidRPr="00C31E3A">
        <w:t>nam</w:t>
      </w:r>
      <w:r w:rsidR="00E65435" w:rsidRPr="00C31E3A">
        <w:t xml:space="preserve">, </w:t>
      </w:r>
      <w:r w:rsidR="00776C8C" w:rsidRPr="00C31E3A">
        <w:t>peccatórum véniam</w:t>
      </w:r>
      <w:r w:rsidR="00E65435" w:rsidRPr="00C31E3A">
        <w:t xml:space="preserve">, </w:t>
      </w:r>
      <w:r w:rsidR="00776C8C" w:rsidRPr="00C31E3A">
        <w:t>justítiam</w:t>
      </w:r>
      <w:r w:rsidR="00E65435" w:rsidRPr="00C31E3A">
        <w:t xml:space="preserve">, </w:t>
      </w:r>
      <w:r w:rsidR="00B704AD" w:rsidRPr="00C31E3A">
        <w:t>sanctificat</w:t>
      </w:r>
      <w:r w:rsidR="000B732C" w:rsidRPr="00C31E3A">
        <w:t>iónem</w:t>
      </w:r>
      <w:r w:rsidR="00E65435" w:rsidRPr="00C31E3A">
        <w:t xml:space="preserve">, </w:t>
      </w:r>
      <w:r w:rsidR="00776C8C">
        <w:t>redemptión</w:t>
      </w:r>
      <w:r w:rsidR="00776C8C" w:rsidRPr="00C31E3A">
        <w:t>em</w:t>
      </w:r>
      <w:r w:rsidR="00E65435" w:rsidRPr="00C31E3A">
        <w:t>,</w:t>
      </w:r>
      <w:r w:rsidR="002C17D7">
        <w:t xml:space="preserve"> a</w:t>
      </w:r>
      <w:r w:rsidR="00B704AD" w:rsidRPr="00C31E3A">
        <w:t>dopt</w:t>
      </w:r>
      <w:r w:rsidR="000B732C" w:rsidRPr="00C31E3A">
        <w:t>iónem</w:t>
      </w:r>
      <w:r w:rsidR="00E65435" w:rsidRPr="00C31E3A">
        <w:t xml:space="preserve">, </w:t>
      </w:r>
      <w:r w:rsidR="00776C8C">
        <w:t>cæ</w:t>
      </w:r>
      <w:r w:rsidR="00776C8C" w:rsidRPr="00C31E3A">
        <w:t>lórum</w:t>
      </w:r>
      <w:r w:rsidR="00B704AD" w:rsidRPr="00C31E3A">
        <w:t xml:space="preserve"> hered</w:t>
      </w:r>
      <w:r w:rsidR="00C21120" w:rsidRPr="00C31E3A">
        <w:t>itátem</w:t>
      </w:r>
      <w:r w:rsidR="00E65435" w:rsidRPr="00C31E3A">
        <w:t xml:space="preserve">, </w:t>
      </w:r>
      <w:r w:rsidR="00B704AD" w:rsidRPr="00C31E3A">
        <w:t>consanguin</w:t>
      </w:r>
      <w:r w:rsidR="00C21120" w:rsidRPr="00C31E3A">
        <w:t>itátem</w:t>
      </w:r>
      <w:r w:rsidR="00B704AD" w:rsidRPr="00C31E3A">
        <w:t xml:space="preserve"> cum </w:t>
      </w:r>
      <w:r w:rsidR="00402B9A" w:rsidRPr="00C31E3A">
        <w:t>Fílio</w:t>
      </w:r>
      <w:r w:rsidR="00B704AD" w:rsidRPr="00C31E3A">
        <w:t xml:space="preserve"> Dei </w:t>
      </w:r>
      <w:r w:rsidR="00695548" w:rsidRPr="00C31E3A">
        <w:t>ómnibus</w:t>
      </w:r>
      <w:r w:rsidR="00B704AD" w:rsidRPr="00C31E3A">
        <w:t xml:space="preserve"> </w:t>
      </w:r>
      <w:r w:rsidR="00776C8C" w:rsidRPr="00C31E3A">
        <w:t>annuntiáre</w:t>
      </w:r>
      <w:r w:rsidR="00B704AD" w:rsidRPr="00C31E3A">
        <w:t xml:space="preserve"> </w:t>
      </w:r>
      <w:r w:rsidR="00776C8C" w:rsidRPr="00C31E3A">
        <w:t>vóluit</w:t>
      </w:r>
      <w:r w:rsidR="00E65435" w:rsidRPr="00C31E3A">
        <w:t xml:space="preserve">, </w:t>
      </w:r>
      <w:r w:rsidR="00776C8C" w:rsidRPr="00C31E3A">
        <w:t>inimícis</w:t>
      </w:r>
      <w:r w:rsidR="00E65435" w:rsidRPr="00C31E3A">
        <w:t xml:space="preserve">, </w:t>
      </w:r>
      <w:r w:rsidR="00776C8C" w:rsidRPr="00C31E3A">
        <w:t>ímprobis</w:t>
      </w:r>
      <w:r w:rsidR="00E65435" w:rsidRPr="00C31E3A">
        <w:t xml:space="preserve">, </w:t>
      </w:r>
      <w:r w:rsidR="00B704AD" w:rsidRPr="00C31E3A">
        <w:t>sed</w:t>
      </w:r>
      <w:r w:rsidR="00356A5E" w:rsidRPr="00C31E3A">
        <w:t>éntibus</w:t>
      </w:r>
      <w:r w:rsidR="00B704AD" w:rsidRPr="00C31E3A">
        <w:t xml:space="preserve"> in </w:t>
      </w:r>
      <w:r w:rsidR="00776C8C" w:rsidRPr="00C31E3A">
        <w:t>ténebris</w:t>
      </w:r>
      <w:r w:rsidR="00B704AD" w:rsidRPr="00C31E3A">
        <w:t xml:space="preserve">. Quid tam bono </w:t>
      </w:r>
      <w:r w:rsidR="00776C8C" w:rsidRPr="00C31E3A">
        <w:t>núntio</w:t>
      </w:r>
      <w:r w:rsidR="00B704AD" w:rsidRPr="00C31E3A">
        <w:t xml:space="preserve"> possit </w:t>
      </w:r>
      <w:r w:rsidR="002C17D7">
        <w:t>æ</w:t>
      </w:r>
      <w:r w:rsidR="00776C8C">
        <w:t>quipará</w:t>
      </w:r>
      <w:r w:rsidR="00B704AD" w:rsidRPr="00C31E3A">
        <w:t>ri</w:t>
      </w:r>
      <w:r w:rsidRPr="00C31E3A">
        <w:t> ?</w:t>
      </w:r>
      <w:r w:rsidR="00B704AD" w:rsidRPr="00C31E3A">
        <w:t xml:space="preserve"> Deus</w:t>
      </w:r>
      <w:r w:rsidR="002C17D7">
        <w:t xml:space="preserve"> </w:t>
      </w:r>
      <w:r w:rsidR="00B704AD" w:rsidRPr="00C31E3A">
        <w:t>in terra</w:t>
      </w:r>
      <w:r w:rsidR="00E65435" w:rsidRPr="00C31E3A">
        <w:t xml:space="preserve">, </w:t>
      </w:r>
      <w:r w:rsidR="00B704AD" w:rsidRPr="00C31E3A">
        <w:t>homo in</w:t>
      </w:r>
      <w:r w:rsidR="002C17D7">
        <w:t xml:space="preserve"> </w:t>
      </w:r>
      <w:r w:rsidR="00B704AD" w:rsidRPr="00C31E3A">
        <w:t>cœlo</w:t>
      </w:r>
      <w:r w:rsidRPr="00C31E3A">
        <w:t> </w:t>
      </w:r>
      <w:r w:rsidR="007F6508" w:rsidRPr="00C31E3A">
        <w:t xml:space="preserve">; </w:t>
      </w:r>
      <w:r w:rsidR="00776C8C" w:rsidRPr="00C31E3A">
        <w:t>factáque</w:t>
      </w:r>
      <w:r w:rsidR="00B704AD" w:rsidRPr="00C31E3A">
        <w:t xml:space="preserve"> </w:t>
      </w:r>
      <w:r w:rsidR="00B52FA3">
        <w:t>ómnium</w:t>
      </w:r>
      <w:r w:rsidR="00B704AD" w:rsidRPr="00C31E3A">
        <w:t xml:space="preserve"> commixt</w:t>
      </w:r>
      <w:r w:rsidR="00356A5E" w:rsidRPr="00C31E3A">
        <w:t>ióne</w:t>
      </w:r>
      <w:r w:rsidR="00E65435" w:rsidRPr="00C31E3A">
        <w:t xml:space="preserve">, </w:t>
      </w:r>
      <w:r w:rsidR="00776C8C" w:rsidRPr="00C31E3A">
        <w:t>ángeli</w:t>
      </w:r>
      <w:r w:rsidR="00B704AD" w:rsidRPr="00C31E3A">
        <w:t xml:space="preserve"> cum hom</w:t>
      </w:r>
      <w:r w:rsidR="00356A5E" w:rsidRPr="00C31E3A">
        <w:t>ínibus</w:t>
      </w:r>
      <w:r w:rsidR="00B704AD" w:rsidRPr="00C31E3A">
        <w:t xml:space="preserve"> </w:t>
      </w:r>
      <w:r w:rsidR="00776C8C" w:rsidRPr="00C31E3A">
        <w:t>choréas</w:t>
      </w:r>
      <w:r w:rsidR="00B704AD" w:rsidRPr="00C31E3A">
        <w:t xml:space="preserve"> agentes</w:t>
      </w:r>
      <w:r w:rsidR="00E65435" w:rsidRPr="00C31E3A">
        <w:t xml:space="preserve">, </w:t>
      </w:r>
      <w:r w:rsidR="00776C8C" w:rsidRPr="00C31E3A">
        <w:t>hómines</w:t>
      </w:r>
      <w:r w:rsidR="00B704AD" w:rsidRPr="00C31E3A">
        <w:t xml:space="preserve"> cum </w:t>
      </w:r>
      <w:r w:rsidR="00776C8C" w:rsidRPr="00C31E3A">
        <w:t>ángelis</w:t>
      </w:r>
      <w:r w:rsidR="00B704AD" w:rsidRPr="00C31E3A">
        <w:t xml:space="preserve"> </w:t>
      </w:r>
      <w:r w:rsidR="00776C8C" w:rsidRPr="00C31E3A">
        <w:t>aliísque</w:t>
      </w:r>
      <w:r w:rsidR="00B704AD" w:rsidRPr="00C31E3A">
        <w:t xml:space="preserve"> cœl</w:t>
      </w:r>
      <w:r w:rsidR="00356A5E" w:rsidRPr="00C31E3A">
        <w:t>éstibus</w:t>
      </w:r>
      <w:r w:rsidR="00B704AD" w:rsidRPr="00C31E3A">
        <w:t xml:space="preserve"> potest</w:t>
      </w:r>
      <w:r w:rsidR="00356A5E" w:rsidRPr="00C31E3A">
        <w:t>átibus</w:t>
      </w:r>
      <w:r w:rsidR="002C17D7">
        <w:t xml:space="preserve"> conversá</w:t>
      </w:r>
      <w:r w:rsidR="00B704AD" w:rsidRPr="00C31E3A">
        <w:t>ntes</w:t>
      </w:r>
      <w:r w:rsidRPr="00C31E3A">
        <w:t> </w:t>
      </w:r>
      <w:r w:rsidR="007F6508" w:rsidRPr="00C31E3A">
        <w:t xml:space="preserve">; </w:t>
      </w:r>
      <w:r w:rsidR="00776C8C">
        <w:t>diutú</w:t>
      </w:r>
      <w:r w:rsidR="00B704AD" w:rsidRPr="00C31E3A">
        <w:t xml:space="preserve">rnum bellum </w:t>
      </w:r>
      <w:r w:rsidR="00776C8C" w:rsidRPr="00C31E3A">
        <w:t>solútum</w:t>
      </w:r>
      <w:r w:rsidR="00E65435" w:rsidRPr="00C31E3A">
        <w:t xml:space="preserve">, </w:t>
      </w:r>
      <w:r w:rsidR="00B704AD" w:rsidRPr="00C31E3A">
        <w:t xml:space="preserve">et fœdus a Deo cum </w:t>
      </w:r>
      <w:r w:rsidR="00776C8C" w:rsidRPr="00C31E3A">
        <w:t>natúra</w:t>
      </w:r>
      <w:r w:rsidR="00B704AD" w:rsidRPr="00C31E3A">
        <w:t xml:space="preserve"> nostra </w:t>
      </w:r>
      <w:r w:rsidR="00776C8C" w:rsidRPr="00C31E3A">
        <w:t>ínitum</w:t>
      </w:r>
      <w:r w:rsidRPr="00C31E3A">
        <w:t> </w:t>
      </w:r>
      <w:r w:rsidR="007F6508" w:rsidRPr="00C31E3A">
        <w:t xml:space="preserve">; </w:t>
      </w:r>
      <w:r w:rsidR="00776C8C" w:rsidRPr="00C31E3A">
        <w:t>diábolus</w:t>
      </w:r>
      <w:r w:rsidR="00B704AD" w:rsidRPr="00C31E3A">
        <w:t xml:space="preserve"> </w:t>
      </w:r>
      <w:r w:rsidR="00776C8C" w:rsidRPr="00C31E3A">
        <w:t>pudóre</w:t>
      </w:r>
      <w:r w:rsidR="00B704AD" w:rsidRPr="00C31E3A">
        <w:t xml:space="preserve"> </w:t>
      </w:r>
      <w:r w:rsidR="00776C8C" w:rsidRPr="00C31E3A">
        <w:t>afféctus</w:t>
      </w:r>
      <w:r w:rsidR="00E65435" w:rsidRPr="00C31E3A">
        <w:t xml:space="preserve">, </w:t>
      </w:r>
      <w:r w:rsidR="00776C8C">
        <w:t>dǽ</w:t>
      </w:r>
      <w:r w:rsidR="00776C8C" w:rsidRPr="00C31E3A">
        <w:t>mones</w:t>
      </w:r>
      <w:r w:rsidR="00B704AD" w:rsidRPr="00C31E3A">
        <w:t xml:space="preserve"> </w:t>
      </w:r>
      <w:r w:rsidR="00776C8C" w:rsidRPr="00C31E3A">
        <w:t>fugáti</w:t>
      </w:r>
      <w:r w:rsidR="00E65435" w:rsidRPr="00C31E3A">
        <w:t xml:space="preserve">, </w:t>
      </w:r>
      <w:r w:rsidR="00B704AD" w:rsidRPr="00C31E3A">
        <w:t xml:space="preserve">mors </w:t>
      </w:r>
      <w:r w:rsidR="00776C8C" w:rsidRPr="00C31E3A">
        <w:t>devícta</w:t>
      </w:r>
      <w:r w:rsidR="00E65435" w:rsidRPr="00C31E3A">
        <w:t xml:space="preserve">, </w:t>
      </w:r>
      <w:r w:rsidR="00776C8C" w:rsidRPr="00C31E3A">
        <w:t>paradísus</w:t>
      </w:r>
      <w:r w:rsidR="00B704AD" w:rsidRPr="00C31E3A">
        <w:t xml:space="preserve"> </w:t>
      </w:r>
      <w:r w:rsidR="00776C8C" w:rsidRPr="00C31E3A">
        <w:t>apértus</w:t>
      </w:r>
      <w:r w:rsidR="00E65435" w:rsidRPr="00C31E3A">
        <w:t xml:space="preserve">, </w:t>
      </w:r>
      <w:r w:rsidR="00776C8C" w:rsidRPr="00C31E3A">
        <w:t>maledíctio</w:t>
      </w:r>
      <w:r w:rsidR="00776C8C">
        <w:t xml:space="preserve"> irritá</w:t>
      </w:r>
      <w:r w:rsidR="00B704AD" w:rsidRPr="00C31E3A">
        <w:t>ta</w:t>
      </w:r>
      <w:r w:rsidR="00E65435" w:rsidRPr="00C31E3A">
        <w:t xml:space="preserve">, </w:t>
      </w:r>
      <w:r w:rsidR="00776C8C" w:rsidRPr="00C31E3A">
        <w:t>peccátum</w:t>
      </w:r>
      <w:r w:rsidR="00B704AD" w:rsidRPr="00C31E3A">
        <w:t xml:space="preserve"> de </w:t>
      </w:r>
      <w:r w:rsidR="00473B23" w:rsidRPr="00C31E3A">
        <w:t>médio</w:t>
      </w:r>
      <w:r w:rsidR="00B704AD" w:rsidRPr="00C31E3A">
        <w:t xml:space="preserve"> </w:t>
      </w:r>
      <w:r w:rsidR="00776C8C" w:rsidRPr="00C31E3A">
        <w:t>sublátum</w:t>
      </w:r>
      <w:r w:rsidR="00E65435" w:rsidRPr="00C31E3A">
        <w:t xml:space="preserve">, </w:t>
      </w:r>
      <w:r w:rsidR="00776C8C">
        <w:t>error depú</w:t>
      </w:r>
      <w:r w:rsidR="00B704AD" w:rsidRPr="00C31E3A">
        <w:t>lsus</w:t>
      </w:r>
      <w:r w:rsidR="00E65435" w:rsidRPr="00C31E3A">
        <w:t xml:space="preserve">, </w:t>
      </w:r>
      <w:r w:rsidR="0096412E" w:rsidRPr="00C31E3A">
        <w:t>véritas</w:t>
      </w:r>
      <w:r w:rsidR="00B704AD" w:rsidRPr="00C31E3A">
        <w:t xml:space="preserve"> </w:t>
      </w:r>
      <w:r w:rsidR="00776C8C" w:rsidRPr="00C31E3A">
        <w:t>redúcta</w:t>
      </w:r>
      <w:r w:rsidR="00E65435" w:rsidRPr="00C31E3A">
        <w:t xml:space="preserve">, </w:t>
      </w:r>
      <w:r w:rsidR="00B704AD" w:rsidRPr="00C31E3A">
        <w:t xml:space="preserve">verbum </w:t>
      </w:r>
      <w:r w:rsidR="00776C8C" w:rsidRPr="00C31E3A">
        <w:t>pietátis</w:t>
      </w:r>
      <w:r w:rsidR="00B704AD" w:rsidRPr="00C31E3A">
        <w:t xml:space="preserve"> </w:t>
      </w:r>
      <w:r w:rsidR="00776C8C" w:rsidRPr="00C31E3A">
        <w:t>ubíque</w:t>
      </w:r>
      <w:r w:rsidR="00B704AD" w:rsidRPr="00C31E3A">
        <w:t xml:space="preserve"> </w:t>
      </w:r>
      <w:r w:rsidR="00776C8C" w:rsidRPr="00C31E3A">
        <w:t>disseminátum</w:t>
      </w:r>
      <w:r w:rsidR="00B704AD" w:rsidRPr="00C31E3A">
        <w:t xml:space="preserve"> et crescens</w:t>
      </w:r>
      <w:r w:rsidR="00E65435" w:rsidRPr="00C31E3A">
        <w:t xml:space="preserve">, </w:t>
      </w:r>
      <w:r w:rsidR="00776C8C" w:rsidRPr="00C31E3A">
        <w:t>supérna</w:t>
      </w:r>
      <w:r w:rsidR="00B704AD" w:rsidRPr="00C31E3A">
        <w:t xml:space="preserve"> vit</w:t>
      </w:r>
      <w:r w:rsidR="00E37C84" w:rsidRPr="00C31E3A">
        <w:t>æ</w:t>
      </w:r>
      <w:r w:rsidRPr="00C31E3A">
        <w:t xml:space="preserve"> </w:t>
      </w:r>
      <w:r w:rsidR="000716BB" w:rsidRPr="000716BB">
        <w:rPr>
          <w:rFonts w:eastAsia="Arial Unicode MS"/>
          <w:bCs/>
          <w:lang w:eastAsia="fr-FR" w:bidi="he-IL"/>
        </w:rPr>
        <w:t>{</w:t>
      </w:r>
      <w:r w:rsidR="000716BB">
        <w:rPr>
          <w:rFonts w:eastAsia="Arial Unicode MS"/>
          <w:bCs/>
          <w:lang w:eastAsia="fr-FR" w:bidi="he-IL"/>
        </w:rPr>
        <w:t>14</w:t>
      </w:r>
      <w:bookmarkStart w:id="27" w:name="pag014"/>
      <w:bookmarkEnd w:id="27"/>
      <w:r w:rsidR="000716BB" w:rsidRPr="000716BB">
        <w:rPr>
          <w:rFonts w:eastAsia="Arial Unicode MS"/>
          <w:bCs/>
          <w:lang w:eastAsia="fr-FR" w:bidi="he-IL"/>
        </w:rPr>
        <w:t xml:space="preserve">} </w:t>
      </w:r>
      <w:r w:rsidR="00776C8C">
        <w:t>rátio</w:t>
      </w:r>
      <w:r w:rsidR="00B704AD" w:rsidRPr="002C17D7">
        <w:t xml:space="preserve"> in terra </w:t>
      </w:r>
      <w:r w:rsidR="00776C8C" w:rsidRPr="002C17D7">
        <w:t>ínsita</w:t>
      </w:r>
      <w:r w:rsidR="00E65435" w:rsidRPr="002C17D7">
        <w:t xml:space="preserve">, </w:t>
      </w:r>
      <w:r w:rsidR="00776C8C" w:rsidRPr="002C17D7">
        <w:t>virtútes</w:t>
      </w:r>
      <w:r w:rsidR="00B704AD" w:rsidRPr="002C17D7">
        <w:t xml:space="preserve"> il</w:t>
      </w:r>
      <w:r w:rsidR="007F6508" w:rsidRPr="002C17D7">
        <w:t>læ</w:t>
      </w:r>
      <w:r w:rsidR="00B704AD" w:rsidRPr="002C17D7">
        <w:t xml:space="preserve"> </w:t>
      </w:r>
      <w:r w:rsidR="00776C8C" w:rsidRPr="002C17D7">
        <w:t>familiáriter</w:t>
      </w:r>
      <w:r w:rsidR="00B704AD" w:rsidRPr="002C17D7">
        <w:t xml:space="preserve"> </w:t>
      </w:r>
      <w:r w:rsidR="00776C8C" w:rsidRPr="002C17D7">
        <w:t>nobíscum</w:t>
      </w:r>
      <w:r w:rsidR="00B704AD" w:rsidRPr="002C17D7">
        <w:t xml:space="preserve"> agentes</w:t>
      </w:r>
      <w:r w:rsidR="00E65435" w:rsidRPr="002C17D7">
        <w:t xml:space="preserve">, </w:t>
      </w:r>
      <w:r w:rsidR="00776C8C">
        <w:t>ángeli</w:t>
      </w:r>
      <w:r w:rsidR="002C17D7">
        <w:t xml:space="preserve"> </w:t>
      </w:r>
      <w:r w:rsidR="00776C8C">
        <w:t>frequénter</w:t>
      </w:r>
      <w:r w:rsidR="002C17D7">
        <w:t xml:space="preserve"> in terra versá</w:t>
      </w:r>
      <w:r w:rsidR="00B704AD" w:rsidRPr="002C17D7">
        <w:t>ntes</w:t>
      </w:r>
      <w:r w:rsidR="00E65435" w:rsidRPr="002C17D7">
        <w:t xml:space="preserve">, </w:t>
      </w:r>
      <w:r w:rsidR="002C17D7">
        <w:t xml:space="preserve">magna spes </w:t>
      </w:r>
      <w:r w:rsidR="00776C8C">
        <w:t>fu</w:t>
      </w:r>
      <w:r w:rsidR="00776C8C" w:rsidRPr="002C17D7">
        <w:t>turórum</w:t>
      </w:r>
      <w:r w:rsidR="00B704AD" w:rsidRPr="002C17D7">
        <w:t>. I</w:t>
      </w:r>
      <w:r w:rsidR="002C17D7">
        <w:t>de</w:t>
      </w:r>
      <w:r w:rsidR="00E37C84" w:rsidRPr="002C17D7">
        <w:t>o</w:t>
      </w:r>
      <w:r w:rsidR="002C17D7">
        <w:t xml:space="preserve"> </w:t>
      </w:r>
      <w:r w:rsidR="00776C8C">
        <w:t>histó</w:t>
      </w:r>
      <w:r w:rsidR="00776C8C" w:rsidRPr="002C17D7">
        <w:t>riam</w:t>
      </w:r>
      <w:r w:rsidR="00B704AD" w:rsidRPr="002C17D7">
        <w:t xml:space="preserve"> </w:t>
      </w:r>
      <w:r w:rsidR="00776C8C" w:rsidRPr="002C17D7">
        <w:t>Evangélium</w:t>
      </w:r>
      <w:r w:rsidR="00B704AD" w:rsidRPr="002C17D7">
        <w:t xml:space="preserve"> </w:t>
      </w:r>
      <w:r w:rsidR="00473B23" w:rsidRPr="002C17D7">
        <w:t>vocávit</w:t>
      </w:r>
      <w:r w:rsidR="00E65435" w:rsidRPr="002C17D7">
        <w:t xml:space="preserve">, </w:t>
      </w:r>
      <w:r w:rsidR="00B704AD" w:rsidRPr="002C17D7">
        <w:t xml:space="preserve">quia </w:t>
      </w:r>
      <w:r w:rsidR="001E304C" w:rsidRPr="002C17D7">
        <w:t>scílicet</w:t>
      </w:r>
      <w:r w:rsidR="00B704AD" w:rsidRPr="002C17D7">
        <w:t xml:space="preserve"> </w:t>
      </w:r>
      <w:r w:rsidR="00EC764F" w:rsidRPr="002C17D7">
        <w:t>ália</w:t>
      </w:r>
      <w:r w:rsidR="00B704AD" w:rsidRPr="002C17D7">
        <w:t xml:space="preserve"> </w:t>
      </w:r>
      <w:r w:rsidR="00992D87" w:rsidRPr="002C17D7">
        <w:t>ómnia</w:t>
      </w:r>
      <w:r w:rsidR="00B704AD" w:rsidRPr="002C17D7">
        <w:t xml:space="preserve"> verba </w:t>
      </w:r>
      <w:r w:rsidR="002C17D7">
        <w:t>r</w:t>
      </w:r>
      <w:r w:rsidR="0094118D">
        <w:t>ébus</w:t>
      </w:r>
      <w:r w:rsidR="00B704AD" w:rsidRPr="002C17D7">
        <w:t xml:space="preserve"> sint </w:t>
      </w:r>
      <w:r w:rsidR="00776C8C" w:rsidRPr="002C17D7">
        <w:t>vácua</w:t>
      </w:r>
      <w:r w:rsidR="00E65435" w:rsidRPr="002C17D7">
        <w:t xml:space="preserve">, </w:t>
      </w:r>
      <w:r w:rsidR="00776C8C" w:rsidRPr="002C17D7">
        <w:t>véluti</w:t>
      </w:r>
      <w:r w:rsidR="00B704AD" w:rsidRPr="002C17D7">
        <w:t xml:space="preserve"> opes </w:t>
      </w:r>
      <w:r w:rsidR="002C17D7">
        <w:t>m</w:t>
      </w:r>
      <w:r w:rsidR="00B704AD" w:rsidRPr="002C17D7">
        <w:t>ult</w:t>
      </w:r>
      <w:r w:rsidR="00E37C84" w:rsidRPr="002C17D7">
        <w:t>æ</w:t>
      </w:r>
      <w:r w:rsidR="00E65435" w:rsidRPr="002C17D7">
        <w:t xml:space="preserve">, </w:t>
      </w:r>
      <w:r w:rsidR="002C17D7">
        <w:t>v</w:t>
      </w:r>
      <w:r w:rsidR="00A964CD" w:rsidRPr="002C17D7">
        <w:t>i</w:t>
      </w:r>
      <w:r w:rsidR="002C17D7">
        <w:t>s</w:t>
      </w:r>
      <w:r w:rsidR="00B704AD" w:rsidRPr="002C17D7">
        <w:t xml:space="preserve"> </w:t>
      </w:r>
      <w:r w:rsidR="00776C8C" w:rsidRPr="002C17D7">
        <w:t>poténtiæ</w:t>
      </w:r>
      <w:r w:rsidR="00E65435" w:rsidRPr="002C17D7">
        <w:t xml:space="preserve">, </w:t>
      </w:r>
      <w:r w:rsidR="00B704AD" w:rsidRPr="002C17D7">
        <w:t>prin</w:t>
      </w:r>
      <w:r w:rsidR="00776C8C" w:rsidRPr="002C17D7">
        <w:t>cip</w:t>
      </w:r>
      <w:r w:rsidR="00776C8C">
        <w:t>á</w:t>
      </w:r>
      <w:r w:rsidR="00776C8C" w:rsidRPr="002C17D7">
        <w:t>tus</w:t>
      </w:r>
      <w:r w:rsidR="00E65435" w:rsidRPr="002C17D7">
        <w:t xml:space="preserve">, </w:t>
      </w:r>
      <w:r w:rsidR="00906914" w:rsidRPr="002C17D7">
        <w:t>glória</w:t>
      </w:r>
      <w:r w:rsidR="00E65435" w:rsidRPr="002C17D7">
        <w:t xml:space="preserve">, </w:t>
      </w:r>
      <w:r w:rsidR="00B704AD" w:rsidRPr="002C17D7">
        <w:t>honores</w:t>
      </w:r>
      <w:r w:rsidR="00E65435" w:rsidRPr="002C17D7">
        <w:t xml:space="preserve">, </w:t>
      </w:r>
      <w:r w:rsidR="00776C8C" w:rsidRPr="002C17D7">
        <w:t>ceteráque</w:t>
      </w:r>
      <w:r w:rsidR="00B704AD" w:rsidRPr="002C17D7">
        <w:t xml:space="preserve"> </w:t>
      </w:r>
      <w:r w:rsidR="00992D87" w:rsidRPr="002C17D7">
        <w:t>ómnia</w:t>
      </w:r>
      <w:r w:rsidR="00B704AD" w:rsidRPr="002C17D7">
        <w:t xml:space="preserve"> qu</w:t>
      </w:r>
      <w:r w:rsidR="00E37C84" w:rsidRPr="002C17D7">
        <w:t>æ</w:t>
      </w:r>
      <w:r w:rsidR="00B704AD" w:rsidRPr="002C17D7">
        <w:t xml:space="preserve"> apud </w:t>
      </w:r>
      <w:r w:rsidR="00776C8C" w:rsidRPr="002C17D7">
        <w:t>hómines</w:t>
      </w:r>
      <w:r w:rsidR="00B704AD" w:rsidRPr="002C17D7">
        <w:t xml:space="preserve"> bona esse </w:t>
      </w:r>
      <w:r w:rsidR="00C21120" w:rsidRPr="002C17D7">
        <w:t>putántur</w:t>
      </w:r>
      <w:r w:rsidR="00E65435" w:rsidRPr="002C17D7">
        <w:t xml:space="preserve">, </w:t>
      </w:r>
      <w:r w:rsidR="00B704AD" w:rsidRPr="002C17D7">
        <w:t>illa e contra qu</w:t>
      </w:r>
      <w:r w:rsidR="00E37C84" w:rsidRPr="002C17D7">
        <w:t>æ</w:t>
      </w:r>
      <w:r w:rsidR="002C17D7">
        <w:t xml:space="preserve"> a pis</w:t>
      </w:r>
      <w:r w:rsidR="00B704AD" w:rsidRPr="002C17D7">
        <w:t>cat</w:t>
      </w:r>
      <w:r w:rsidR="00356A5E" w:rsidRPr="002C17D7">
        <w:t>óribus</w:t>
      </w:r>
      <w:r w:rsidR="00B704AD" w:rsidRPr="002C17D7">
        <w:t xml:space="preserve"> </w:t>
      </w:r>
      <w:r w:rsidR="00776C8C" w:rsidRPr="002C17D7">
        <w:t>promíssa</w:t>
      </w:r>
      <w:r w:rsidR="00B704AD" w:rsidRPr="002C17D7">
        <w:t xml:space="preserve"> sunt</w:t>
      </w:r>
      <w:r w:rsidR="00E65435" w:rsidRPr="002C17D7">
        <w:t xml:space="preserve">, </w:t>
      </w:r>
      <w:r w:rsidR="002C17D7">
        <w:t xml:space="preserve">vere </w:t>
      </w:r>
      <w:r w:rsidR="00B704AD" w:rsidRPr="002C17D7">
        <w:t xml:space="preserve">ac </w:t>
      </w:r>
      <w:r w:rsidR="002C17D7">
        <w:t>próprie</w:t>
      </w:r>
      <w:r w:rsidR="00B704AD" w:rsidRPr="002C17D7">
        <w:t xml:space="preserve"> </w:t>
      </w:r>
      <w:r w:rsidR="00776C8C" w:rsidRPr="002C17D7">
        <w:t>evangélia</w:t>
      </w:r>
      <w:r w:rsidR="00B704AD" w:rsidRPr="002C17D7">
        <w:t xml:space="preserve"> </w:t>
      </w:r>
      <w:r w:rsidR="00C21120" w:rsidRPr="002C17D7">
        <w:t>dicántur</w:t>
      </w:r>
      <w:r w:rsidRPr="002C17D7">
        <w:t> </w:t>
      </w:r>
      <w:r w:rsidR="007F6508" w:rsidRPr="002C17D7">
        <w:t xml:space="preserve">; </w:t>
      </w:r>
      <w:r w:rsidR="002C17D7">
        <w:t>non solum quia firma immobiliá</w:t>
      </w:r>
      <w:r w:rsidR="00B704AD" w:rsidRPr="002C17D7">
        <w:t>que bona sunt</w:t>
      </w:r>
      <w:r w:rsidR="00E65435" w:rsidRPr="002C17D7">
        <w:t xml:space="preserve">, </w:t>
      </w:r>
      <w:r w:rsidR="00776C8C">
        <w:t>nostrámque exsú</w:t>
      </w:r>
      <w:r w:rsidR="00B704AD" w:rsidRPr="002C17D7">
        <w:t>perant dign</w:t>
      </w:r>
      <w:r w:rsidR="00C21120" w:rsidRPr="002C17D7">
        <w:t>itátem</w:t>
      </w:r>
      <w:r w:rsidR="00E65435" w:rsidRPr="002C17D7">
        <w:t xml:space="preserve">, </w:t>
      </w:r>
      <w:r w:rsidR="00B704AD" w:rsidRPr="002C17D7">
        <w:t xml:space="preserve">sed </w:t>
      </w:r>
      <w:r w:rsidR="00776C8C">
        <w:t>étiam</w:t>
      </w:r>
      <w:r w:rsidR="00B704AD" w:rsidRPr="002C17D7">
        <w:t xml:space="preserve"> quia cum omni </w:t>
      </w:r>
      <w:r w:rsidR="00776C8C" w:rsidRPr="002C17D7">
        <w:t>facilitáte</w:t>
      </w:r>
      <w:r w:rsidR="00B704AD" w:rsidRPr="002C17D7">
        <w:t xml:space="preserve"> nobis dantur. </w:t>
      </w:r>
      <w:r w:rsidR="002C17D7">
        <w:t xml:space="preserve">Neque enim ex </w:t>
      </w:r>
      <w:r w:rsidR="00776C8C">
        <w:t>labór</w:t>
      </w:r>
      <w:r w:rsidR="00776C8C" w:rsidRPr="002C17D7">
        <w:t>e</w:t>
      </w:r>
      <w:r w:rsidR="00B704AD" w:rsidRPr="002C17D7">
        <w:t xml:space="preserve"> aut </w:t>
      </w:r>
      <w:r w:rsidR="00776C8C" w:rsidRPr="002C17D7">
        <w:t>sudóre</w:t>
      </w:r>
      <w:r w:rsidR="00B704AD" w:rsidRPr="002C17D7">
        <w:t xml:space="preserve"> nostro</w:t>
      </w:r>
      <w:r w:rsidR="00E65435" w:rsidRPr="002C17D7">
        <w:t xml:space="preserve">, </w:t>
      </w:r>
      <w:r w:rsidR="00776C8C">
        <w:t>neque ex nostris æ</w:t>
      </w:r>
      <w:r w:rsidR="00776C8C" w:rsidRPr="002C17D7">
        <w:t>rúmnis</w:t>
      </w:r>
      <w:r w:rsidR="00E65435" w:rsidRPr="002C17D7">
        <w:t xml:space="preserve">, </w:t>
      </w:r>
      <w:r w:rsidR="00776C8C">
        <w:t>se</w:t>
      </w:r>
      <w:r w:rsidR="00B704AD" w:rsidRPr="002C17D7">
        <w:t xml:space="preserve">d ex Dei erga nos </w:t>
      </w:r>
      <w:r w:rsidR="00776C8C" w:rsidRPr="002C17D7">
        <w:t>amóre</w:t>
      </w:r>
      <w:r w:rsidR="00B704AD" w:rsidRPr="002C17D7">
        <w:t xml:space="preserve"> </w:t>
      </w:r>
      <w:r w:rsidR="00E37C84" w:rsidRPr="002C17D7">
        <w:t>hæ</w:t>
      </w:r>
      <w:r w:rsidR="00B704AD" w:rsidRPr="002C17D7">
        <w:t xml:space="preserve">c </w:t>
      </w:r>
      <w:r w:rsidR="00776C8C" w:rsidRPr="002C17D7">
        <w:t>suscépimus</w:t>
      </w:r>
      <w:r w:rsidR="00C82C6C">
        <w:t> </w:t>
      </w:r>
      <w:r w:rsidR="00C82C6C" w:rsidRPr="00C406FF">
        <w:rPr>
          <w:rStyle w:val="Appelnotedebasdep"/>
        </w:rPr>
        <w:footnoteReference w:id="86"/>
      </w:r>
      <w:r w:rsidR="00B704AD" w:rsidRPr="002C17D7">
        <w:t>.</w:t>
      </w:r>
      <w:r w:rsidR="002C17D7">
        <w:t> »</w:t>
      </w:r>
      <w:r w:rsidRPr="002C17D7">
        <w:t xml:space="preserve"> </w:t>
      </w:r>
    </w:p>
    <w:p w:rsidR="00C2602D" w:rsidRPr="00C8701B" w:rsidRDefault="00776C8C" w:rsidP="00C2602D">
      <w:pPr>
        <w:rPr>
          <w:rFonts w:eastAsia="Arial Unicode MS"/>
          <w:bCs/>
          <w:lang w:eastAsia="fr-FR" w:bidi="he-IL"/>
        </w:rPr>
      </w:pPr>
      <w:r w:rsidRPr="00C8701B">
        <w:rPr>
          <w:rFonts w:eastAsia="Arial Unicode MS"/>
          <w:bCs/>
          <w:lang w:eastAsia="fr-FR" w:bidi="he-IL"/>
        </w:rPr>
        <w:t>Également</w:t>
      </w:r>
      <w:r w:rsidR="00B704AD" w:rsidRPr="00C8701B">
        <w:rPr>
          <w:rFonts w:eastAsia="Arial Unicode MS"/>
          <w:bCs/>
          <w:lang w:eastAsia="fr-FR" w:bidi="he-IL"/>
        </w:rPr>
        <w:t xml:space="preserve"> oratoires</w:t>
      </w:r>
      <w:r w:rsidR="00E65435">
        <w:rPr>
          <w:rFonts w:eastAsia="Arial Unicode MS"/>
          <w:bCs/>
          <w:lang w:eastAsia="fr-FR" w:bidi="he-IL"/>
        </w:rPr>
        <w:t xml:space="preserve">, </w:t>
      </w:r>
      <w:r w:rsidR="00B704AD" w:rsidRPr="00C8701B">
        <w:rPr>
          <w:rFonts w:eastAsia="Arial Unicode MS"/>
          <w:bCs/>
          <w:lang w:eastAsia="fr-FR" w:bidi="he-IL"/>
        </w:rPr>
        <w:t>les esquisses suivantes du P. L</w:t>
      </w:r>
      <w:r>
        <w:rPr>
          <w:rFonts w:eastAsia="Arial Unicode MS"/>
          <w:bCs/>
          <w:lang w:eastAsia="fr-FR" w:bidi="he-IL"/>
        </w:rPr>
        <w:t>ac</w:t>
      </w:r>
      <w:r w:rsidR="00E37C84">
        <w:rPr>
          <w:rFonts w:eastAsia="Arial Unicode MS"/>
          <w:bCs/>
          <w:lang w:eastAsia="fr-FR" w:bidi="he-IL"/>
        </w:rPr>
        <w:t>o</w:t>
      </w:r>
      <w:r w:rsidR="00B704AD" w:rsidRPr="00C8701B">
        <w:rPr>
          <w:rFonts w:eastAsia="Arial Unicode MS"/>
          <w:bCs/>
          <w:lang w:eastAsia="fr-FR" w:bidi="he-IL"/>
        </w:rPr>
        <w:t>rdaire serrent de plus près le sujet.</w:t>
      </w:r>
      <w:r w:rsidR="00C2602D" w:rsidRPr="00C8701B">
        <w:rPr>
          <w:rFonts w:eastAsia="Arial Unicode MS"/>
          <w:bCs/>
          <w:lang w:eastAsia="fr-FR" w:bidi="he-IL"/>
        </w:rPr>
        <w:t xml:space="preserve"> </w:t>
      </w:r>
    </w:p>
    <w:p w:rsidR="00C2602D" w:rsidRPr="00C8701B" w:rsidRDefault="00C2602D" w:rsidP="00776C8C">
      <w:pPr>
        <w:rPr>
          <w:rFonts w:eastAsia="Arial Unicode MS"/>
          <w:bCs/>
          <w:lang w:eastAsia="fr-FR" w:bidi="he-IL"/>
        </w:rPr>
      </w:pPr>
      <w:r w:rsidRPr="00C8701B">
        <w:rPr>
          <w:rFonts w:eastAsia="Arial Unicode MS"/>
          <w:bCs/>
          <w:lang w:eastAsia="fr-FR" w:bidi="he-IL"/>
        </w:rPr>
        <w:t>« </w:t>
      </w:r>
      <w:r w:rsidR="00B704AD" w:rsidRPr="00C8701B">
        <w:rPr>
          <w:rFonts w:eastAsia="Arial Unicode MS"/>
          <w:bCs/>
          <w:lang w:eastAsia="fr-FR" w:bidi="he-IL"/>
        </w:rPr>
        <w:t>Que je vous initie aux mystères de la vie chrétienne...</w:t>
      </w:r>
      <w:r w:rsidR="00E65435">
        <w:rPr>
          <w:rFonts w:eastAsia="Arial Unicode MS"/>
          <w:bCs/>
          <w:lang w:eastAsia="fr-FR" w:bidi="he-IL"/>
        </w:rPr>
        <w:t xml:space="preserve">, </w:t>
      </w:r>
      <w:r w:rsidR="00B704AD" w:rsidRPr="00C8701B">
        <w:rPr>
          <w:rFonts w:eastAsia="Arial Unicode MS"/>
          <w:bCs/>
          <w:lang w:eastAsia="fr-FR" w:bidi="he-IL"/>
        </w:rPr>
        <w:t>que je parcoure avec vous les sentiers de l</w:t>
      </w:r>
      <w:r w:rsidR="00557DE0">
        <w:rPr>
          <w:rFonts w:eastAsia="Arial Unicode MS"/>
          <w:bCs/>
          <w:lang w:eastAsia="fr-FR" w:bidi="he-IL"/>
        </w:rPr>
        <w:t>’</w:t>
      </w:r>
      <w:r w:rsidR="000439E9">
        <w:rPr>
          <w:rFonts w:eastAsia="Arial Unicode MS"/>
          <w:bCs/>
          <w:lang w:eastAsia="fr-FR" w:bidi="he-IL"/>
        </w:rPr>
        <w:t>Évangile</w:t>
      </w:r>
      <w:r w:rsidR="00B704AD" w:rsidRPr="00C8701B">
        <w:rPr>
          <w:rFonts w:eastAsia="Arial Unicode MS"/>
          <w:bCs/>
          <w:lang w:eastAsia="fr-FR" w:bidi="he-IL"/>
        </w:rPr>
        <w:t xml:space="preserve"> sans vous rien cacher</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que je vous conduise</w:t>
      </w:r>
      <w:r w:rsidR="00E65435">
        <w:rPr>
          <w:rFonts w:eastAsia="Arial Unicode MS"/>
          <w:bCs/>
          <w:lang w:eastAsia="fr-FR" w:bidi="he-IL"/>
        </w:rPr>
        <w:t xml:space="preserve">, </w:t>
      </w:r>
      <w:r w:rsidR="00B704AD" w:rsidRPr="00C8701B">
        <w:rPr>
          <w:rFonts w:eastAsia="Arial Unicode MS"/>
          <w:bCs/>
          <w:lang w:eastAsia="fr-FR" w:bidi="he-IL"/>
        </w:rPr>
        <w:t>voyageur attentif et convaincu...</w:t>
      </w:r>
      <w:r w:rsidR="00E65435">
        <w:rPr>
          <w:rFonts w:eastAsia="Arial Unicode MS"/>
          <w:bCs/>
          <w:lang w:eastAsia="fr-FR" w:bidi="he-IL"/>
        </w:rPr>
        <w:t xml:space="preserve">, </w:t>
      </w:r>
      <w:r w:rsidR="00B704AD" w:rsidRPr="00C8701B">
        <w:rPr>
          <w:rFonts w:eastAsia="Arial Unicode MS"/>
          <w:bCs/>
          <w:lang w:eastAsia="fr-FR" w:bidi="he-IL"/>
        </w:rPr>
        <w:t>de l</w:t>
      </w:r>
      <w:r w:rsidR="00557DE0">
        <w:rPr>
          <w:rFonts w:eastAsia="Arial Unicode MS"/>
          <w:bCs/>
          <w:lang w:eastAsia="fr-FR" w:bidi="he-IL"/>
        </w:rPr>
        <w:t>’</w:t>
      </w:r>
      <w:r w:rsidR="00B704AD" w:rsidRPr="00C8701B">
        <w:rPr>
          <w:rFonts w:eastAsia="Arial Unicode MS"/>
          <w:bCs/>
          <w:lang w:eastAsia="fr-FR" w:bidi="he-IL"/>
        </w:rPr>
        <w:t>étable de Bethléem au chaume de Nazareth</w:t>
      </w:r>
      <w:r w:rsidR="00E65435">
        <w:rPr>
          <w:rFonts w:eastAsia="Arial Unicode MS"/>
          <w:bCs/>
          <w:lang w:eastAsia="fr-FR" w:bidi="he-IL"/>
        </w:rPr>
        <w:t xml:space="preserve">, </w:t>
      </w:r>
      <w:r w:rsidR="00B704AD" w:rsidRPr="00C8701B">
        <w:rPr>
          <w:rFonts w:eastAsia="Arial Unicode MS"/>
          <w:bCs/>
          <w:lang w:eastAsia="fr-FR" w:bidi="he-IL"/>
        </w:rPr>
        <w:t>de la barque des pêcheurs de Galilée</w:t>
      </w:r>
      <w:r w:rsidR="00E65435">
        <w:rPr>
          <w:rFonts w:eastAsia="Arial Unicode MS"/>
          <w:bCs/>
          <w:lang w:eastAsia="fr-FR" w:bidi="he-IL"/>
        </w:rPr>
        <w:t xml:space="preserve">, </w:t>
      </w:r>
      <w:r w:rsidR="00B704AD" w:rsidRPr="00C8701B">
        <w:rPr>
          <w:rFonts w:eastAsia="Arial Unicode MS"/>
          <w:bCs/>
          <w:lang w:eastAsia="fr-FR" w:bidi="he-IL"/>
        </w:rPr>
        <w:t>au puits de la Samaritaine</w:t>
      </w:r>
      <w:r w:rsidR="00E65435">
        <w:rPr>
          <w:rFonts w:eastAsia="Arial Unicode MS"/>
          <w:bCs/>
          <w:lang w:eastAsia="fr-FR" w:bidi="he-IL"/>
        </w:rPr>
        <w:t xml:space="preserve">, </w:t>
      </w:r>
      <w:r w:rsidR="00B704AD" w:rsidRPr="00C8701B">
        <w:rPr>
          <w:rFonts w:eastAsia="Arial Unicode MS"/>
          <w:bCs/>
          <w:lang w:eastAsia="fr-FR" w:bidi="he-IL"/>
        </w:rPr>
        <w:t>du</w:t>
      </w:r>
      <w:r w:rsidR="00776C8C">
        <w:rPr>
          <w:rFonts w:eastAsia="Arial Unicode MS"/>
          <w:bCs/>
          <w:lang w:eastAsia="fr-FR" w:bidi="he-IL"/>
        </w:rPr>
        <w:t xml:space="preserve"> </w:t>
      </w:r>
      <w:r w:rsidR="00B704AD" w:rsidRPr="00C8701B">
        <w:rPr>
          <w:rFonts w:eastAsia="Arial Unicode MS"/>
          <w:bCs/>
          <w:lang w:eastAsia="fr-FR" w:bidi="he-IL"/>
        </w:rPr>
        <w:t>désert de S. Jean au tombeau de Lazare</w:t>
      </w:r>
      <w:r w:rsidR="00E65435">
        <w:rPr>
          <w:rFonts w:eastAsia="Arial Unicode MS"/>
          <w:bCs/>
          <w:lang w:eastAsia="fr-FR" w:bidi="he-IL"/>
        </w:rPr>
        <w:t xml:space="preserve">, </w:t>
      </w:r>
      <w:r w:rsidR="00B704AD" w:rsidRPr="00C8701B">
        <w:rPr>
          <w:rFonts w:eastAsia="Arial Unicode MS"/>
          <w:bCs/>
          <w:lang w:eastAsia="fr-FR" w:bidi="he-IL"/>
        </w:rPr>
        <w:t>et que</w:t>
      </w:r>
      <w:r w:rsidR="00E65435">
        <w:rPr>
          <w:rFonts w:eastAsia="Arial Unicode MS"/>
          <w:bCs/>
          <w:lang w:eastAsia="fr-FR" w:bidi="he-IL"/>
        </w:rPr>
        <w:t xml:space="preserve">, </w:t>
      </w:r>
      <w:r w:rsidR="00B704AD" w:rsidRPr="00C8701B">
        <w:rPr>
          <w:rFonts w:eastAsia="Arial Unicode MS"/>
          <w:bCs/>
          <w:lang w:eastAsia="fr-FR" w:bidi="he-IL"/>
        </w:rPr>
        <w:t>suspendu partout aux lèvres du Sauveur</w:t>
      </w:r>
      <w:r w:rsidR="00E65435">
        <w:rPr>
          <w:rFonts w:eastAsia="Arial Unicode MS"/>
          <w:bCs/>
          <w:lang w:eastAsia="fr-FR" w:bidi="he-IL"/>
        </w:rPr>
        <w:t xml:space="preserve">, </w:t>
      </w:r>
      <w:r w:rsidR="00B704AD" w:rsidRPr="00C8701B">
        <w:rPr>
          <w:rFonts w:eastAsia="Arial Unicode MS"/>
          <w:bCs/>
          <w:lang w:eastAsia="fr-FR" w:bidi="he-IL"/>
        </w:rPr>
        <w:t>j</w:t>
      </w:r>
      <w:r w:rsidR="00557DE0">
        <w:rPr>
          <w:rFonts w:eastAsia="Arial Unicode MS"/>
          <w:bCs/>
          <w:lang w:eastAsia="fr-FR" w:bidi="he-IL"/>
        </w:rPr>
        <w:t>’</w:t>
      </w:r>
      <w:r w:rsidR="00776C8C">
        <w:rPr>
          <w:rFonts w:eastAsia="Arial Unicode MS"/>
          <w:bCs/>
          <w:lang w:eastAsia="fr-FR" w:bidi="he-IL"/>
        </w:rPr>
        <w:t>amène enfin vot</w:t>
      </w:r>
      <w:r w:rsidR="00B704AD" w:rsidRPr="00C8701B">
        <w:rPr>
          <w:rFonts w:eastAsia="Arial Unicode MS"/>
          <w:bCs/>
          <w:lang w:eastAsia="fr-FR" w:bidi="he-IL"/>
        </w:rPr>
        <w:t>re âme</w:t>
      </w:r>
      <w:r w:rsidR="00E65435">
        <w:rPr>
          <w:rFonts w:eastAsia="Arial Unicode MS"/>
          <w:bCs/>
          <w:lang w:eastAsia="fr-FR" w:bidi="he-IL"/>
        </w:rPr>
        <w:t xml:space="preserve">, </w:t>
      </w:r>
      <w:r w:rsidR="00B704AD" w:rsidRPr="00C8701B">
        <w:rPr>
          <w:rFonts w:eastAsia="Arial Unicode MS"/>
          <w:bCs/>
          <w:lang w:eastAsia="fr-FR" w:bidi="he-IL"/>
        </w:rPr>
        <w:t>de proche en proche et de lumière en lumière</w:t>
      </w:r>
      <w:r w:rsidR="00E65435">
        <w:rPr>
          <w:rFonts w:eastAsia="Arial Unicode MS"/>
          <w:bCs/>
          <w:lang w:eastAsia="fr-FR" w:bidi="he-IL"/>
        </w:rPr>
        <w:t xml:space="preserve">, </w:t>
      </w:r>
      <w:r w:rsidR="00B704AD" w:rsidRPr="00C8701B">
        <w:rPr>
          <w:rFonts w:eastAsia="Arial Unicode MS"/>
          <w:bCs/>
          <w:lang w:eastAsia="fr-FR" w:bidi="he-IL"/>
        </w:rPr>
        <w:t xml:space="preserve">à regarder </w:t>
      </w:r>
      <w:r w:rsidR="00C82C6C">
        <w:rPr>
          <w:rFonts w:eastAsia="Arial Unicode MS"/>
          <w:bCs/>
          <w:lang w:eastAsia="fr-FR" w:bidi="he-IL"/>
        </w:rPr>
        <w:t>la croix et à la porter </w:t>
      </w:r>
      <w:r w:rsidR="00C82C6C" w:rsidRPr="00C406FF">
        <w:rPr>
          <w:rStyle w:val="Appelnotedebasdep"/>
        </w:rPr>
        <w:footnoteReference w:id="87"/>
      </w:r>
      <w:r w:rsidR="00776C8C">
        <w:rPr>
          <w:rFonts w:eastAsia="Arial Unicode MS"/>
          <w:bCs/>
          <w:lang w:eastAsia="fr-FR" w:bidi="he-IL"/>
        </w:rPr>
        <w:t xml:space="preserve">. </w:t>
      </w:r>
    </w:p>
    <w:p w:rsidR="00C2602D" w:rsidRPr="00C8701B" w:rsidRDefault="00C2602D" w:rsidP="00C82C6C">
      <w:pPr>
        <w:rPr>
          <w:rFonts w:eastAsia="Arial Unicode MS"/>
          <w:bCs/>
          <w:lang w:eastAsia="fr-FR" w:bidi="he-IL"/>
        </w:rPr>
      </w:pPr>
      <w:r w:rsidRPr="00C8701B">
        <w:rPr>
          <w:rFonts w:eastAsia="Arial Unicode MS"/>
          <w:bCs/>
          <w:lang w:eastAsia="fr-FR" w:bidi="he-IL"/>
        </w:rPr>
        <w:t>« </w:t>
      </w:r>
      <w:r w:rsidR="00B704AD" w:rsidRPr="00C8701B">
        <w:rPr>
          <w:rFonts w:eastAsia="Arial Unicode MS"/>
          <w:bCs/>
          <w:lang w:eastAsia="fr-FR" w:bidi="he-IL"/>
        </w:rPr>
        <w:t>Le temple (de Jérusalem) renaît... Il voit venir le Fils de Dieu dans les bras d</w:t>
      </w:r>
      <w:r w:rsidR="00557DE0">
        <w:rPr>
          <w:rFonts w:eastAsia="Arial Unicode MS"/>
          <w:bCs/>
          <w:lang w:eastAsia="fr-FR" w:bidi="he-IL"/>
        </w:rPr>
        <w:t>’</w:t>
      </w:r>
      <w:r w:rsidR="00B704AD" w:rsidRPr="00C8701B">
        <w:rPr>
          <w:rFonts w:eastAsia="Arial Unicode MS"/>
          <w:bCs/>
          <w:lang w:eastAsia="fr-FR" w:bidi="he-IL"/>
        </w:rPr>
        <w:t>une Vierge</w:t>
      </w:r>
      <w:r w:rsidR="00E65435">
        <w:rPr>
          <w:rFonts w:eastAsia="Arial Unicode MS"/>
          <w:bCs/>
          <w:lang w:eastAsia="fr-FR" w:bidi="he-IL"/>
        </w:rPr>
        <w:t xml:space="preserve">, </w:t>
      </w:r>
      <w:r w:rsidR="00B704AD" w:rsidRPr="00C8701B">
        <w:rPr>
          <w:rFonts w:eastAsia="Arial Unicode MS"/>
          <w:bCs/>
          <w:lang w:eastAsia="fr-FR" w:bidi="he-IL"/>
        </w:rPr>
        <w:t>et</w:t>
      </w:r>
      <w:r w:rsidR="00E65435">
        <w:rPr>
          <w:rFonts w:eastAsia="Arial Unicode MS"/>
          <w:bCs/>
          <w:lang w:eastAsia="fr-FR" w:bidi="he-IL"/>
        </w:rPr>
        <w:t xml:space="preserve">, </w:t>
      </w:r>
      <w:r w:rsidR="00B704AD" w:rsidRPr="00C8701B">
        <w:rPr>
          <w:rFonts w:eastAsia="Arial Unicode MS"/>
          <w:bCs/>
          <w:lang w:eastAsia="fr-FR" w:bidi="he-IL"/>
        </w:rPr>
        <w:t>de ses portiques au sanctuaire</w:t>
      </w:r>
      <w:r w:rsidR="00C87A2B">
        <w:rPr>
          <w:rFonts w:eastAsia="Arial Unicode MS"/>
          <w:bCs/>
          <w:lang w:eastAsia="fr-FR" w:bidi="he-IL"/>
        </w:rPr>
        <w:t>,</w:t>
      </w:r>
      <w:r w:rsidR="00E65435">
        <w:rPr>
          <w:rFonts w:eastAsia="Arial Unicode MS"/>
          <w:bCs/>
          <w:lang w:eastAsia="fr-FR" w:bidi="he-IL"/>
        </w:rPr>
        <w:t xml:space="preserve"> </w:t>
      </w:r>
      <w:r w:rsidR="00B704AD" w:rsidRPr="00C8701B">
        <w:rPr>
          <w:rFonts w:eastAsia="Arial Unicode MS"/>
          <w:bCs/>
          <w:lang w:eastAsia="fr-FR" w:bidi="he-IL"/>
        </w:rPr>
        <w:t>du sanctuaire au Saint des Saints</w:t>
      </w:r>
      <w:r w:rsidR="00E65435">
        <w:rPr>
          <w:rFonts w:eastAsia="Arial Unicode MS"/>
          <w:bCs/>
          <w:lang w:eastAsia="fr-FR" w:bidi="he-IL"/>
        </w:rPr>
        <w:t xml:space="preserve">, </w:t>
      </w:r>
      <w:r w:rsidR="00B704AD" w:rsidRPr="00C8701B">
        <w:rPr>
          <w:rFonts w:eastAsia="Arial Unicode MS"/>
          <w:bCs/>
          <w:lang w:eastAsia="fr-FR" w:bidi="he-IL"/>
        </w:rPr>
        <w:t>il se redit la parole suprême du vieillard Siméon</w:t>
      </w:r>
      <w:r w:rsidRPr="00C8701B">
        <w:rPr>
          <w:rFonts w:eastAsia="Arial Unicode MS"/>
          <w:bCs/>
          <w:lang w:eastAsia="fr-FR" w:bidi="he-IL"/>
        </w:rPr>
        <w:t> :</w:t>
      </w:r>
      <w:r w:rsidR="00B704AD" w:rsidRPr="00C8701B">
        <w:rPr>
          <w:rFonts w:eastAsia="Arial Unicode MS"/>
          <w:bCs/>
          <w:lang w:eastAsia="fr-FR" w:bidi="he-IL"/>
        </w:rPr>
        <w:t xml:space="preserve"> </w:t>
      </w:r>
      <w:r w:rsidR="00B704AD" w:rsidRPr="00DC4586">
        <w:rPr>
          <w:rStyle w:val="italicus"/>
        </w:rPr>
        <w:t>Maintenant</w:t>
      </w:r>
      <w:r w:rsidR="00E65435">
        <w:rPr>
          <w:rStyle w:val="italicus"/>
        </w:rPr>
        <w:t xml:space="preserve">, </w:t>
      </w:r>
      <w:r w:rsidR="00B704AD" w:rsidRPr="00DC4586">
        <w:rPr>
          <w:rStyle w:val="italicus"/>
        </w:rPr>
        <w:t>Seigneur</w:t>
      </w:r>
      <w:r w:rsidR="00E65435">
        <w:rPr>
          <w:rStyle w:val="italicus"/>
        </w:rPr>
        <w:t xml:space="preserve">, </w:t>
      </w:r>
      <w:r w:rsidR="00B704AD" w:rsidRPr="00DC4586">
        <w:rPr>
          <w:rStyle w:val="italicus"/>
        </w:rPr>
        <w:t>vous laisserez aller votre serviteur en paix...</w:t>
      </w:r>
      <w:r w:rsidR="00E65435">
        <w:rPr>
          <w:rStyle w:val="italicus"/>
        </w:rPr>
        <w:t xml:space="preserve">, </w:t>
      </w:r>
      <w:r w:rsidR="00B704AD" w:rsidRPr="00DC4586">
        <w:rPr>
          <w:rStyle w:val="italicus"/>
        </w:rPr>
        <w:t>parce que mes yeux ont vu votre sa</w:t>
      </w:r>
      <w:r w:rsidR="00C82C6C">
        <w:rPr>
          <w:rStyle w:val="italicus"/>
        </w:rPr>
        <w:t>lut</w:t>
      </w:r>
      <w:r w:rsidR="00E65435">
        <w:rPr>
          <w:rStyle w:val="italicus"/>
        </w:rPr>
        <w:t xml:space="preserve">, </w:t>
      </w:r>
      <w:r w:rsidR="00B704AD" w:rsidRPr="00DC4586">
        <w:rPr>
          <w:rStyle w:val="italicus"/>
        </w:rPr>
        <w:t>le salut que vous avez préparé à la</w:t>
      </w:r>
      <w:r w:rsidR="00776C8C">
        <w:rPr>
          <w:rStyle w:val="italicus"/>
        </w:rPr>
        <w:t xml:space="preserve"> fac</w:t>
      </w:r>
      <w:r w:rsidR="00B704AD" w:rsidRPr="00DC4586">
        <w:rPr>
          <w:rStyle w:val="italicus"/>
        </w:rPr>
        <w:t>e de tous les peuples...</w:t>
      </w:r>
      <w:r w:rsidR="00B704AD" w:rsidRPr="00C8701B">
        <w:rPr>
          <w:rFonts w:eastAsia="Arial Unicode MS"/>
          <w:bCs/>
          <w:lang w:eastAsia="fr-FR" w:bidi="he-IL"/>
        </w:rPr>
        <w:t xml:space="preserve"> Jésus-Christ est venu. L</w:t>
      </w:r>
      <w:r w:rsidR="00557DE0">
        <w:rPr>
          <w:rFonts w:eastAsia="Arial Unicode MS"/>
          <w:bCs/>
          <w:lang w:eastAsia="fr-FR" w:bidi="he-IL"/>
        </w:rPr>
        <w:t>’</w:t>
      </w:r>
      <w:r w:rsidR="000439E9">
        <w:rPr>
          <w:rFonts w:eastAsia="Arial Unicode MS"/>
          <w:bCs/>
          <w:lang w:eastAsia="fr-FR" w:bidi="he-IL"/>
        </w:rPr>
        <w:t>Évangile</w:t>
      </w:r>
      <w:r w:rsidR="00B704AD" w:rsidRPr="00C8701B">
        <w:rPr>
          <w:rFonts w:eastAsia="Arial Unicode MS"/>
          <w:bCs/>
          <w:lang w:eastAsia="fr-FR" w:bidi="he-IL"/>
        </w:rPr>
        <w:t xml:space="preserve"> succède à la loi et aux prophéties</w:t>
      </w:r>
      <w:r w:rsidR="00E65435">
        <w:rPr>
          <w:rFonts w:eastAsia="Arial Unicode MS"/>
          <w:bCs/>
          <w:lang w:eastAsia="fr-FR" w:bidi="he-IL"/>
        </w:rPr>
        <w:t xml:space="preserve">, </w:t>
      </w:r>
      <w:r w:rsidR="00B704AD" w:rsidRPr="00C8701B">
        <w:rPr>
          <w:rFonts w:eastAsia="Arial Unicode MS"/>
          <w:bCs/>
          <w:lang w:eastAsia="fr-FR" w:bidi="he-IL"/>
        </w:rPr>
        <w:t>et la vérité</w:t>
      </w:r>
      <w:r w:rsidR="00E65435">
        <w:rPr>
          <w:rFonts w:eastAsia="Arial Unicode MS"/>
          <w:bCs/>
          <w:lang w:eastAsia="fr-FR" w:bidi="he-IL"/>
        </w:rPr>
        <w:t xml:space="preserve">, </w:t>
      </w:r>
      <w:r w:rsidR="00B704AD" w:rsidRPr="00C8701B">
        <w:rPr>
          <w:rFonts w:eastAsia="Arial Unicode MS"/>
          <w:bCs/>
          <w:lang w:eastAsia="fr-FR" w:bidi="he-IL"/>
        </w:rPr>
        <w:t>accomplissant la figure</w:t>
      </w:r>
      <w:r w:rsidR="00E65435">
        <w:rPr>
          <w:rFonts w:eastAsia="Arial Unicode MS"/>
          <w:bCs/>
          <w:lang w:eastAsia="fr-FR" w:bidi="he-IL"/>
        </w:rPr>
        <w:t xml:space="preserve">, </w:t>
      </w:r>
      <w:r w:rsidR="00B704AD" w:rsidRPr="00C8701B">
        <w:rPr>
          <w:rFonts w:eastAsia="Arial Unicode MS"/>
          <w:bCs/>
          <w:lang w:eastAsia="fr-FR" w:bidi="he-IL"/>
        </w:rPr>
        <w:t>resplendit sur le passé</w:t>
      </w:r>
      <w:r w:rsidR="00E65435">
        <w:rPr>
          <w:rFonts w:eastAsia="Arial Unicode MS"/>
          <w:bCs/>
          <w:lang w:eastAsia="fr-FR" w:bidi="he-IL"/>
        </w:rPr>
        <w:t xml:space="preserve">, </w:t>
      </w:r>
      <w:r w:rsidR="00B704AD" w:rsidRPr="00C8701B">
        <w:rPr>
          <w:rFonts w:eastAsia="Arial Unicode MS"/>
          <w:bCs/>
          <w:lang w:eastAsia="fr-FR" w:bidi="he-IL"/>
        </w:rPr>
        <w:t>qu</w:t>
      </w:r>
      <w:r w:rsidR="00557DE0">
        <w:rPr>
          <w:rFonts w:eastAsia="Arial Unicode MS"/>
          <w:bCs/>
          <w:lang w:eastAsia="fr-FR" w:bidi="he-IL"/>
        </w:rPr>
        <w:t>’</w:t>
      </w:r>
      <w:r w:rsidR="00B704AD" w:rsidRPr="00C8701B">
        <w:rPr>
          <w:rFonts w:eastAsia="Arial Unicode MS"/>
          <w:bCs/>
          <w:lang w:eastAsia="fr-FR" w:bidi="he-IL"/>
        </w:rPr>
        <w:t>elle explique après en avoir reçu le témoignage. Tous les temps se rencontrent dans le Christ</w:t>
      </w:r>
      <w:r w:rsidR="00E65435">
        <w:rPr>
          <w:rFonts w:eastAsia="Arial Unicode MS"/>
          <w:bCs/>
          <w:lang w:eastAsia="fr-FR" w:bidi="he-IL"/>
        </w:rPr>
        <w:t xml:space="preserve">, </w:t>
      </w:r>
      <w:r w:rsidR="00B704AD" w:rsidRPr="00C8701B">
        <w:rPr>
          <w:rFonts w:eastAsia="Arial Unicode MS"/>
          <w:bCs/>
          <w:lang w:eastAsia="fr-FR" w:bidi="he-IL"/>
        </w:rPr>
        <w:t>et l</w:t>
      </w:r>
      <w:r w:rsidR="00557DE0">
        <w:rPr>
          <w:rFonts w:eastAsia="Arial Unicode MS"/>
          <w:bCs/>
          <w:lang w:eastAsia="fr-FR" w:bidi="he-IL"/>
        </w:rPr>
        <w:t>’</w:t>
      </w:r>
      <w:r w:rsidR="00B704AD" w:rsidRPr="00C8701B">
        <w:rPr>
          <w:rFonts w:eastAsia="Arial Unicode MS"/>
          <w:bCs/>
          <w:lang w:eastAsia="fr-FR" w:bidi="he-IL"/>
        </w:rPr>
        <w:t>histoire prend sous ses pas son éternelle unité. C</w:t>
      </w:r>
      <w:r w:rsidR="00557DE0">
        <w:rPr>
          <w:rFonts w:eastAsia="Arial Unicode MS"/>
          <w:bCs/>
          <w:lang w:eastAsia="fr-FR" w:bidi="he-IL"/>
        </w:rPr>
        <w:t>’</w:t>
      </w:r>
      <w:r w:rsidR="00B704AD" w:rsidRPr="00C8701B">
        <w:rPr>
          <w:rFonts w:eastAsia="Arial Unicode MS"/>
          <w:bCs/>
          <w:lang w:eastAsia="fr-FR" w:bidi="he-IL"/>
        </w:rPr>
        <w:t>est lui qui est tout désormais... Le Jourdain le reçoit dans ses eaux sous la main du Précurseur qui le baptise</w:t>
      </w:r>
      <w:r w:rsidRPr="00C8701B">
        <w:rPr>
          <w:rFonts w:eastAsia="Arial Unicode MS"/>
          <w:bCs/>
          <w:lang w:eastAsia="fr-FR" w:bidi="he-IL"/>
        </w:rPr>
        <w:t> </w:t>
      </w:r>
      <w:r w:rsidR="007F6508">
        <w:rPr>
          <w:rFonts w:eastAsia="Arial Unicode MS"/>
          <w:bCs/>
          <w:lang w:eastAsia="fr-FR" w:bidi="he-IL"/>
        </w:rPr>
        <w:t xml:space="preserve">; </w:t>
      </w:r>
      <w:r w:rsidR="00776C8C">
        <w:rPr>
          <w:rFonts w:eastAsia="Arial Unicode MS"/>
          <w:bCs/>
          <w:lang w:eastAsia="fr-FR" w:bidi="he-IL"/>
        </w:rPr>
        <w:t>les m</w:t>
      </w:r>
      <w:r w:rsidR="00B704AD" w:rsidRPr="00C8701B">
        <w:rPr>
          <w:rFonts w:eastAsia="Arial Unicode MS"/>
          <w:bCs/>
          <w:lang w:eastAsia="fr-FR" w:bidi="he-IL"/>
        </w:rPr>
        <w:t>ontagnes le voient gravir leurs pentes suivi de tout un peuple</w:t>
      </w:r>
      <w:r w:rsidR="00E65435">
        <w:rPr>
          <w:rFonts w:eastAsia="Arial Unicode MS"/>
          <w:bCs/>
          <w:lang w:eastAsia="fr-FR" w:bidi="he-IL"/>
        </w:rPr>
        <w:t xml:space="preserve">, </w:t>
      </w:r>
      <w:r w:rsidR="00B704AD" w:rsidRPr="00C8701B">
        <w:rPr>
          <w:rFonts w:eastAsia="Arial Unicode MS"/>
          <w:bCs/>
          <w:lang w:eastAsia="fr-FR" w:bidi="he-IL"/>
        </w:rPr>
        <w:t>et elles e</w:t>
      </w:r>
      <w:r w:rsidR="00776C8C">
        <w:rPr>
          <w:rFonts w:eastAsia="Arial Unicode MS"/>
          <w:bCs/>
          <w:lang w:eastAsia="fr-FR" w:bidi="he-IL"/>
        </w:rPr>
        <w:t>ntenden</w:t>
      </w:r>
      <w:r w:rsidR="00B704AD" w:rsidRPr="00C8701B">
        <w:rPr>
          <w:rFonts w:eastAsia="Arial Unicode MS"/>
          <w:bCs/>
          <w:lang w:eastAsia="fr-FR" w:bidi="he-IL"/>
        </w:rPr>
        <w:t>t de sa bouche cette parole qu</w:t>
      </w:r>
      <w:r w:rsidR="00557DE0">
        <w:rPr>
          <w:rFonts w:eastAsia="Arial Unicode MS"/>
          <w:bCs/>
          <w:lang w:eastAsia="fr-FR" w:bidi="he-IL"/>
        </w:rPr>
        <w:t>’</w:t>
      </w:r>
      <w:r w:rsidR="00B704AD" w:rsidRPr="00C8701B">
        <w:rPr>
          <w:rFonts w:eastAsia="Arial Unicode MS"/>
          <w:bCs/>
          <w:lang w:eastAsia="fr-FR" w:bidi="he-IL"/>
        </w:rPr>
        <w:t>aucun autre n</w:t>
      </w:r>
      <w:r w:rsidR="00557DE0">
        <w:rPr>
          <w:rFonts w:eastAsia="Arial Unicode MS"/>
          <w:bCs/>
          <w:lang w:eastAsia="fr-FR" w:bidi="he-IL"/>
        </w:rPr>
        <w:t>’</w:t>
      </w:r>
      <w:r w:rsidR="00B704AD" w:rsidRPr="00C8701B">
        <w:rPr>
          <w:rFonts w:eastAsia="Arial Unicode MS"/>
          <w:bCs/>
          <w:lang w:eastAsia="fr-FR" w:bidi="he-IL"/>
        </w:rPr>
        <w:t>avait encore proférée</w:t>
      </w:r>
      <w:r w:rsidRPr="00C8701B">
        <w:rPr>
          <w:rFonts w:eastAsia="Arial Unicode MS"/>
          <w:bCs/>
          <w:lang w:eastAsia="fr-FR" w:bidi="he-IL"/>
        </w:rPr>
        <w:t> :</w:t>
      </w:r>
      <w:r w:rsidR="00B704AD" w:rsidRPr="00DC4586">
        <w:rPr>
          <w:rStyle w:val="italicus"/>
        </w:rPr>
        <w:t xml:space="preserve"> Bienheureux les pauvres</w:t>
      </w:r>
      <w:r w:rsidR="00E65435">
        <w:rPr>
          <w:rStyle w:val="italicus"/>
        </w:rPr>
        <w:t xml:space="preserve">, </w:t>
      </w:r>
      <w:r w:rsidR="00B704AD" w:rsidRPr="00DC4586">
        <w:rPr>
          <w:rStyle w:val="italicus"/>
        </w:rPr>
        <w:t>bienheureux ceux qui pleurent.</w:t>
      </w:r>
      <w:r w:rsidR="00776C8C">
        <w:rPr>
          <w:rFonts w:eastAsia="Arial Unicode MS"/>
          <w:bCs/>
          <w:lang w:eastAsia="fr-FR" w:bidi="he-IL"/>
        </w:rPr>
        <w:t xml:space="preserve"> Les lacs prêtent leurs bor</w:t>
      </w:r>
      <w:r w:rsidR="00B704AD" w:rsidRPr="00C8701B">
        <w:rPr>
          <w:rFonts w:eastAsia="Arial Unicode MS"/>
          <w:bCs/>
          <w:lang w:eastAsia="fr-FR" w:bidi="he-IL"/>
        </w:rPr>
        <w:t>ds à ses discours</w:t>
      </w:r>
      <w:r w:rsidR="00E65435">
        <w:rPr>
          <w:rFonts w:eastAsia="Arial Unicode MS"/>
          <w:bCs/>
          <w:lang w:eastAsia="fr-FR" w:bidi="he-IL"/>
        </w:rPr>
        <w:t xml:space="preserve">, </w:t>
      </w:r>
      <w:r w:rsidR="00B704AD" w:rsidRPr="00C8701B">
        <w:rPr>
          <w:rFonts w:eastAsia="Arial Unicode MS"/>
          <w:bCs/>
          <w:lang w:eastAsia="fr-FR" w:bidi="he-IL"/>
        </w:rPr>
        <w:t>et leurs flots à ses miracles. D</w:t>
      </w:r>
      <w:r w:rsidR="00557DE0">
        <w:rPr>
          <w:rFonts w:eastAsia="Arial Unicode MS"/>
          <w:bCs/>
          <w:lang w:eastAsia="fr-FR" w:bidi="he-IL"/>
        </w:rPr>
        <w:t>’</w:t>
      </w:r>
      <w:r w:rsidR="00B704AD" w:rsidRPr="00C8701B">
        <w:rPr>
          <w:rFonts w:eastAsia="Arial Unicode MS"/>
          <w:bCs/>
          <w:lang w:eastAsia="fr-FR" w:bidi="he-IL"/>
        </w:rPr>
        <w:t>humbles pêcheurs plient leurs filets en le voyant</w:t>
      </w:r>
      <w:r w:rsidR="00E65435">
        <w:rPr>
          <w:rFonts w:eastAsia="Arial Unicode MS"/>
          <w:bCs/>
          <w:lang w:eastAsia="fr-FR" w:bidi="he-IL"/>
        </w:rPr>
        <w:t xml:space="preserve">, </w:t>
      </w:r>
      <w:r w:rsidR="00B704AD" w:rsidRPr="00C8701B">
        <w:rPr>
          <w:rFonts w:eastAsia="Arial Unicode MS"/>
          <w:bCs/>
          <w:lang w:eastAsia="fr-FR" w:bidi="he-IL"/>
        </w:rPr>
        <w:t>et le suivent pour devenir sous lui des pêcheurs d</w:t>
      </w:r>
      <w:r w:rsidR="00557DE0">
        <w:rPr>
          <w:rFonts w:eastAsia="Arial Unicode MS"/>
          <w:bCs/>
          <w:lang w:eastAsia="fr-FR" w:bidi="he-IL"/>
        </w:rPr>
        <w:t>’</w:t>
      </w:r>
      <w:r w:rsidR="00776C8C">
        <w:rPr>
          <w:rFonts w:eastAsia="Arial Unicode MS"/>
          <w:bCs/>
          <w:lang w:eastAsia="fr-FR" w:bidi="he-IL"/>
        </w:rPr>
        <w:t>hommes.</w:t>
      </w:r>
      <w:r w:rsidR="00B704AD" w:rsidRPr="00C8701B">
        <w:rPr>
          <w:rFonts w:eastAsia="Arial Unicode MS"/>
          <w:bCs/>
          <w:lang w:eastAsia="fr-FR" w:bidi="he-IL"/>
        </w:rPr>
        <w:t xml:space="preserve"> Les sages le consultent dans l</w:t>
      </w:r>
      <w:r w:rsidR="00557DE0">
        <w:rPr>
          <w:rFonts w:eastAsia="Arial Unicode MS"/>
          <w:bCs/>
          <w:lang w:eastAsia="fr-FR" w:bidi="he-IL"/>
        </w:rPr>
        <w:t>’</w:t>
      </w:r>
      <w:r w:rsidR="00B704AD" w:rsidRPr="00C8701B">
        <w:rPr>
          <w:rFonts w:eastAsia="Arial Unicode MS"/>
          <w:bCs/>
          <w:lang w:eastAsia="fr-FR" w:bidi="he-IL"/>
        </w:rPr>
        <w:t>ombre de la nuit</w:t>
      </w:r>
      <w:r w:rsidR="00E65435">
        <w:rPr>
          <w:rFonts w:eastAsia="Arial Unicode MS"/>
          <w:bCs/>
          <w:lang w:eastAsia="fr-FR" w:bidi="he-IL"/>
        </w:rPr>
        <w:t xml:space="preserve">, </w:t>
      </w:r>
      <w:r w:rsidR="00B704AD" w:rsidRPr="00C8701B">
        <w:rPr>
          <w:rFonts w:eastAsia="Arial Unicode MS"/>
          <w:bCs/>
          <w:lang w:eastAsia="fr-FR" w:bidi="he-IL"/>
        </w:rPr>
        <w:t>les femmes l</w:t>
      </w:r>
      <w:r w:rsidR="00557DE0">
        <w:rPr>
          <w:rFonts w:eastAsia="Arial Unicode MS"/>
          <w:bCs/>
          <w:lang w:eastAsia="fr-FR" w:bidi="he-IL"/>
        </w:rPr>
        <w:t>’</w:t>
      </w:r>
      <w:r w:rsidR="00B704AD" w:rsidRPr="00C8701B">
        <w:rPr>
          <w:rFonts w:eastAsia="Arial Unicode MS"/>
          <w:bCs/>
          <w:lang w:eastAsia="fr-FR" w:bidi="he-IL"/>
        </w:rPr>
        <w:t>accompagnent et le servent à la clarté du jour. Tout malheur vient le trouver</w:t>
      </w:r>
      <w:r w:rsidR="00E65435">
        <w:rPr>
          <w:rFonts w:eastAsia="Arial Unicode MS"/>
          <w:bCs/>
          <w:lang w:eastAsia="fr-FR" w:bidi="he-IL"/>
        </w:rPr>
        <w:t xml:space="preserve">, </w:t>
      </w:r>
      <w:r w:rsidR="00B704AD" w:rsidRPr="00C8701B">
        <w:rPr>
          <w:rFonts w:eastAsia="Arial Unicode MS"/>
          <w:bCs/>
          <w:lang w:eastAsia="fr-FR" w:bidi="he-IL"/>
        </w:rPr>
        <w:t>toute blessure espère en lui</w:t>
      </w:r>
      <w:r w:rsidR="00E65435">
        <w:rPr>
          <w:rFonts w:eastAsia="Arial Unicode MS"/>
          <w:bCs/>
          <w:lang w:eastAsia="fr-FR" w:bidi="he-IL"/>
        </w:rPr>
        <w:t xml:space="preserve">, </w:t>
      </w:r>
      <w:r w:rsidR="00B704AD" w:rsidRPr="00C8701B">
        <w:rPr>
          <w:rFonts w:eastAsia="Arial Unicode MS"/>
          <w:bCs/>
          <w:lang w:eastAsia="fr-FR" w:bidi="he-IL"/>
        </w:rPr>
        <w:t>et la mort lui cède</w:t>
      </w:r>
      <w:r w:rsidR="00E65435">
        <w:rPr>
          <w:rFonts w:eastAsia="Arial Unicode MS"/>
          <w:bCs/>
          <w:lang w:eastAsia="fr-FR" w:bidi="he-IL"/>
        </w:rPr>
        <w:t xml:space="preserve">, </w:t>
      </w:r>
      <w:r w:rsidR="00B704AD" w:rsidRPr="00C8701B">
        <w:rPr>
          <w:rFonts w:eastAsia="Arial Unicode MS"/>
          <w:bCs/>
          <w:lang w:eastAsia="fr-FR" w:bidi="he-IL"/>
        </w:rPr>
        <w:t>pour les rendre à leurs mères</w:t>
      </w:r>
      <w:r w:rsidR="00E65435">
        <w:rPr>
          <w:rFonts w:eastAsia="Arial Unicode MS"/>
          <w:bCs/>
          <w:lang w:eastAsia="fr-FR" w:bidi="he-IL"/>
        </w:rPr>
        <w:t xml:space="preserve">, </w:t>
      </w:r>
      <w:r w:rsidR="00B704AD" w:rsidRPr="00C8701B">
        <w:rPr>
          <w:rFonts w:eastAsia="Arial Unicode MS"/>
          <w:bCs/>
          <w:lang w:eastAsia="fr-FR" w:bidi="he-IL"/>
        </w:rPr>
        <w:t>des enfants déjà pleurés</w:t>
      </w:r>
      <w:r w:rsidR="00B46FDF">
        <w:rPr>
          <w:rFonts w:eastAsia="Arial Unicode MS"/>
          <w:bCs/>
          <w:lang w:eastAsia="fr-FR" w:bidi="he-IL"/>
        </w:rPr>
        <w:t xml:space="preserve">. Il </w:t>
      </w:r>
      <w:r w:rsidR="00B46FDF" w:rsidRPr="00C8701B">
        <w:rPr>
          <w:rFonts w:eastAsia="Arial Unicode MS"/>
          <w:bCs/>
          <w:lang w:eastAsia="fr-FR" w:bidi="he-IL"/>
        </w:rPr>
        <w:t>a</w:t>
      </w:r>
      <w:r w:rsidR="00B704AD" w:rsidRPr="00C8701B">
        <w:rPr>
          <w:rFonts w:eastAsia="Arial Unicode MS"/>
          <w:bCs/>
          <w:lang w:eastAsia="fr-FR" w:bidi="he-IL"/>
        </w:rPr>
        <w:t>ime S. Jean</w:t>
      </w:r>
      <w:r w:rsidR="00E65435">
        <w:rPr>
          <w:rFonts w:eastAsia="Arial Unicode MS"/>
          <w:bCs/>
          <w:lang w:eastAsia="fr-FR" w:bidi="he-IL"/>
        </w:rPr>
        <w:t xml:space="preserve">, </w:t>
      </w:r>
      <w:r w:rsidR="00B704AD" w:rsidRPr="00C8701B">
        <w:rPr>
          <w:rFonts w:eastAsia="Arial Unicode MS"/>
          <w:bCs/>
          <w:lang w:eastAsia="fr-FR" w:bidi="he-IL"/>
        </w:rPr>
        <w:t>le jeune homme</w:t>
      </w:r>
      <w:r w:rsidR="00E65435">
        <w:rPr>
          <w:rFonts w:eastAsia="Arial Unicode MS"/>
          <w:bCs/>
          <w:lang w:eastAsia="fr-FR" w:bidi="he-IL"/>
        </w:rPr>
        <w:t xml:space="preserve">, </w:t>
      </w:r>
      <w:r w:rsidR="00B704AD" w:rsidRPr="00C8701B">
        <w:rPr>
          <w:rFonts w:eastAsia="Arial Unicode MS"/>
          <w:bCs/>
          <w:lang w:eastAsia="fr-FR" w:bidi="he-IL"/>
        </w:rPr>
        <w:t>et Lazare</w:t>
      </w:r>
      <w:r w:rsidR="00E65435">
        <w:rPr>
          <w:rFonts w:eastAsia="Arial Unicode MS"/>
          <w:bCs/>
          <w:lang w:eastAsia="fr-FR" w:bidi="he-IL"/>
        </w:rPr>
        <w:t xml:space="preserve">, </w:t>
      </w:r>
      <w:r w:rsidR="00B704AD" w:rsidRPr="00C8701B">
        <w:rPr>
          <w:rFonts w:eastAsia="Arial Unicode MS"/>
          <w:bCs/>
          <w:lang w:eastAsia="fr-FR" w:bidi="he-IL"/>
        </w:rPr>
        <w:t>l</w:t>
      </w:r>
      <w:r w:rsidR="00557DE0">
        <w:rPr>
          <w:rFonts w:eastAsia="Arial Unicode MS"/>
          <w:bCs/>
          <w:lang w:eastAsia="fr-FR" w:bidi="he-IL"/>
        </w:rPr>
        <w:t>’</w:t>
      </w:r>
      <w:r w:rsidR="00B704AD" w:rsidRPr="00C8701B">
        <w:rPr>
          <w:rFonts w:eastAsia="Arial Unicode MS"/>
          <w:bCs/>
          <w:lang w:eastAsia="fr-FR" w:bidi="he-IL"/>
        </w:rPr>
        <w:t>homme mûr. Il parle à la Samaritaine</w:t>
      </w:r>
      <w:r w:rsidR="00E65435">
        <w:rPr>
          <w:rFonts w:eastAsia="Arial Unicode MS"/>
          <w:bCs/>
          <w:lang w:eastAsia="fr-FR" w:bidi="he-IL"/>
        </w:rPr>
        <w:t xml:space="preserve">, </w:t>
      </w:r>
      <w:r w:rsidR="00B704AD" w:rsidRPr="00C8701B">
        <w:rPr>
          <w:rFonts w:eastAsia="Arial Unicode MS"/>
          <w:bCs/>
          <w:lang w:eastAsia="fr-FR" w:bidi="he-IL"/>
        </w:rPr>
        <w:t>et bénit l</w:t>
      </w:r>
      <w:r w:rsidR="00557DE0">
        <w:rPr>
          <w:rFonts w:eastAsia="Arial Unicode MS"/>
          <w:bCs/>
          <w:lang w:eastAsia="fr-FR" w:bidi="he-IL"/>
        </w:rPr>
        <w:t>’</w:t>
      </w:r>
      <w:r w:rsidR="00B704AD" w:rsidRPr="00C8701B">
        <w:rPr>
          <w:rFonts w:eastAsia="Arial Unicode MS"/>
          <w:bCs/>
          <w:lang w:eastAsia="fr-FR" w:bidi="he-IL"/>
        </w:rPr>
        <w:t>étrangère. Une pé</w:t>
      </w:r>
      <w:r w:rsidR="00652B4F">
        <w:rPr>
          <w:rFonts w:eastAsia="Arial Unicode MS"/>
          <w:bCs/>
          <w:lang w:eastAsia="fr-FR" w:bidi="he-IL"/>
        </w:rPr>
        <w:t>cheresse embaume sa tête et bais</w:t>
      </w:r>
      <w:r w:rsidR="00B704AD" w:rsidRPr="00C8701B">
        <w:rPr>
          <w:rFonts w:eastAsia="Arial Unicode MS"/>
          <w:bCs/>
          <w:lang w:eastAsia="fr-FR" w:bidi="he-IL"/>
        </w:rPr>
        <w:t>e ses pieds</w:t>
      </w:r>
      <w:r w:rsidR="00E65435">
        <w:rPr>
          <w:rFonts w:eastAsia="Arial Unicode MS"/>
          <w:bCs/>
          <w:lang w:eastAsia="fr-FR" w:bidi="he-IL"/>
        </w:rPr>
        <w:t xml:space="preserve">, </w:t>
      </w:r>
      <w:r w:rsidR="00B704AD" w:rsidRPr="00C8701B">
        <w:rPr>
          <w:rFonts w:eastAsia="Arial Unicode MS"/>
          <w:bCs/>
          <w:lang w:eastAsia="fr-FR" w:bidi="he-IL"/>
        </w:rPr>
        <w:t>une adultère trouve grâce devant lui. Il confond la vaine sagesse des docteurs</w:t>
      </w:r>
      <w:r w:rsidR="00E65435">
        <w:rPr>
          <w:rFonts w:eastAsia="Arial Unicode MS"/>
          <w:bCs/>
          <w:lang w:eastAsia="fr-FR" w:bidi="he-IL"/>
        </w:rPr>
        <w:t xml:space="preserve">, </w:t>
      </w:r>
      <w:r w:rsidR="00B704AD" w:rsidRPr="00C8701B">
        <w:rPr>
          <w:rFonts w:eastAsia="Arial Unicode MS"/>
          <w:bCs/>
          <w:lang w:eastAsia="fr-FR" w:bidi="he-IL"/>
        </w:rPr>
        <w:t>et chasse du temple ceux qui faisaient un lieu de trafic du lieu de la prièr</w:t>
      </w:r>
      <w:r w:rsidR="005069E2" w:rsidRPr="00C8701B">
        <w:rPr>
          <w:rFonts w:eastAsia="Arial Unicode MS"/>
          <w:bCs/>
          <w:lang w:eastAsia="fr-FR" w:bidi="he-IL"/>
        </w:rPr>
        <w:t>e</w:t>
      </w:r>
      <w:r w:rsidR="005069E2">
        <w:rPr>
          <w:rFonts w:eastAsia="Arial Unicode MS"/>
          <w:bCs/>
          <w:lang w:eastAsia="fr-FR" w:bidi="he-IL"/>
        </w:rPr>
        <w:t xml:space="preserve">. Il </w:t>
      </w:r>
      <w:r w:rsidR="005069E2" w:rsidRPr="00C8701B">
        <w:rPr>
          <w:rFonts w:eastAsia="Arial Unicode MS"/>
          <w:bCs/>
          <w:lang w:eastAsia="fr-FR" w:bidi="he-IL"/>
        </w:rPr>
        <w:t>s</w:t>
      </w:r>
      <w:r w:rsidR="00652B4F">
        <w:rPr>
          <w:rFonts w:eastAsia="Arial Unicode MS"/>
          <w:bCs/>
          <w:lang w:eastAsia="fr-FR" w:bidi="he-IL"/>
        </w:rPr>
        <w:t xml:space="preserve">e dérobe à </w:t>
      </w:r>
      <w:r w:rsidR="00B704AD" w:rsidRPr="00C8701B">
        <w:rPr>
          <w:rFonts w:eastAsia="Arial Unicode MS"/>
          <w:bCs/>
          <w:lang w:eastAsia="fr-FR" w:bidi="he-IL"/>
        </w:rPr>
        <w:t>la multitude qui veut le proclamer roi</w:t>
      </w:r>
      <w:r w:rsidR="00E65435">
        <w:rPr>
          <w:rFonts w:eastAsia="Arial Unicode MS"/>
          <w:bCs/>
          <w:lang w:eastAsia="fr-FR" w:bidi="he-IL"/>
        </w:rPr>
        <w:t xml:space="preserve">, </w:t>
      </w:r>
      <w:r w:rsidR="00B704AD" w:rsidRPr="00C8701B">
        <w:rPr>
          <w:rFonts w:eastAsia="Arial Unicode MS"/>
          <w:bCs/>
          <w:lang w:eastAsia="fr-FR" w:bidi="he-IL"/>
        </w:rPr>
        <w:t>et</w:t>
      </w:r>
      <w:r w:rsidR="00E65435">
        <w:rPr>
          <w:rFonts w:eastAsia="Arial Unicode MS"/>
          <w:bCs/>
          <w:lang w:eastAsia="fr-FR" w:bidi="he-IL"/>
        </w:rPr>
        <w:t xml:space="preserve">, </w:t>
      </w:r>
      <w:r w:rsidR="00B704AD" w:rsidRPr="00C8701B">
        <w:rPr>
          <w:rFonts w:eastAsia="Arial Unicode MS"/>
          <w:bCs/>
          <w:lang w:eastAsia="fr-FR" w:bidi="he-IL"/>
        </w:rPr>
        <w:t>lorsqu</w:t>
      </w:r>
      <w:r w:rsidR="00557DE0">
        <w:rPr>
          <w:rFonts w:eastAsia="Arial Unicode MS"/>
          <w:bCs/>
          <w:lang w:eastAsia="fr-FR" w:bidi="he-IL"/>
        </w:rPr>
        <w:t>’</w:t>
      </w:r>
      <w:r w:rsidR="00B704AD" w:rsidRPr="00C8701B">
        <w:rPr>
          <w:rFonts w:eastAsia="Arial Unicode MS"/>
          <w:bCs/>
          <w:lang w:eastAsia="fr-FR" w:bidi="he-IL"/>
        </w:rPr>
        <w:t>il</w:t>
      </w:r>
      <w:r w:rsidRPr="00C8701B">
        <w:rPr>
          <w:rFonts w:eastAsia="Arial Unicode MS"/>
          <w:bCs/>
          <w:lang w:eastAsia="fr-FR" w:bidi="he-IL"/>
        </w:rPr>
        <w:t xml:space="preserve"> </w:t>
      </w:r>
      <w:r w:rsidR="000716BB" w:rsidRPr="000716BB">
        <w:rPr>
          <w:rFonts w:eastAsia="Arial Unicode MS"/>
          <w:bCs/>
          <w:lang w:eastAsia="fr-FR" w:bidi="he-IL"/>
        </w:rPr>
        <w:t>{</w:t>
      </w:r>
      <w:r w:rsidR="000716BB">
        <w:rPr>
          <w:rFonts w:eastAsia="Arial Unicode MS"/>
          <w:bCs/>
          <w:lang w:eastAsia="fr-FR" w:bidi="he-IL"/>
        </w:rPr>
        <w:t>15</w:t>
      </w:r>
      <w:bookmarkStart w:id="28" w:name="pag015"/>
      <w:bookmarkEnd w:id="28"/>
      <w:r w:rsidR="000716BB" w:rsidRPr="000716BB">
        <w:rPr>
          <w:rFonts w:eastAsia="Arial Unicode MS"/>
          <w:bCs/>
          <w:lang w:eastAsia="fr-FR" w:bidi="he-IL"/>
        </w:rPr>
        <w:t xml:space="preserve">} </w:t>
      </w:r>
      <w:r w:rsidR="00B704AD" w:rsidRPr="00C8701B">
        <w:rPr>
          <w:rFonts w:eastAsia="Arial Unicode MS"/>
          <w:bCs/>
          <w:lang w:eastAsia="fr-FR" w:bidi="he-IL"/>
        </w:rPr>
        <w:t>entre à Jérusalem précédé des hosannah qui saluent en lui le fils de David et le rédempteur du monde</w:t>
      </w:r>
      <w:r w:rsidR="00E65435">
        <w:rPr>
          <w:rFonts w:eastAsia="Arial Unicode MS"/>
          <w:bCs/>
          <w:lang w:eastAsia="fr-FR" w:bidi="he-IL"/>
        </w:rPr>
        <w:t xml:space="preserve">, </w:t>
      </w:r>
      <w:r w:rsidR="00B704AD" w:rsidRPr="00C8701B">
        <w:rPr>
          <w:rFonts w:eastAsia="Arial Unicode MS"/>
          <w:bCs/>
          <w:lang w:eastAsia="fr-FR" w:bidi="he-IL"/>
        </w:rPr>
        <w:t>il y rentre sur une ânesse recouverte des habits de ses disciples. La synagogue le juge</w:t>
      </w:r>
      <w:r w:rsidR="00E65435">
        <w:rPr>
          <w:rFonts w:eastAsia="Arial Unicode MS"/>
          <w:bCs/>
          <w:lang w:eastAsia="fr-FR" w:bidi="he-IL"/>
        </w:rPr>
        <w:t xml:space="preserve">, </w:t>
      </w:r>
      <w:r w:rsidR="00B704AD" w:rsidRPr="00C8701B">
        <w:rPr>
          <w:rFonts w:eastAsia="Arial Unicode MS"/>
          <w:bCs/>
          <w:lang w:eastAsia="fr-FR" w:bidi="he-IL"/>
        </w:rPr>
        <w:t>la royauté le méprise</w:t>
      </w:r>
      <w:r w:rsidR="00E65435">
        <w:rPr>
          <w:rFonts w:eastAsia="Arial Unicode MS"/>
          <w:bCs/>
          <w:lang w:eastAsia="fr-FR" w:bidi="he-IL"/>
        </w:rPr>
        <w:t xml:space="preserve">, </w:t>
      </w:r>
      <w:r w:rsidR="00B704AD" w:rsidRPr="00C8701B">
        <w:rPr>
          <w:rFonts w:eastAsia="Arial Unicode MS"/>
          <w:bCs/>
          <w:lang w:eastAsia="fr-FR" w:bidi="he-IL"/>
        </w:rPr>
        <w:t>Rome le condamne</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il meurt sur une croix en bénissant le monde</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et le centurion</w:t>
      </w:r>
      <w:r w:rsidR="00E65435">
        <w:rPr>
          <w:rFonts w:eastAsia="Arial Unicode MS"/>
          <w:bCs/>
          <w:lang w:eastAsia="fr-FR" w:bidi="he-IL"/>
        </w:rPr>
        <w:t xml:space="preserve">, </w:t>
      </w:r>
      <w:r w:rsidR="00B704AD" w:rsidRPr="00C8701B">
        <w:rPr>
          <w:rFonts w:eastAsia="Arial Unicode MS"/>
          <w:bCs/>
          <w:lang w:eastAsia="fr-FR" w:bidi="he-IL"/>
        </w:rPr>
        <w:t>qui le voit mourir entre les insultes de la foule et les blasphèmes des grands</w:t>
      </w:r>
      <w:r w:rsidR="00E65435">
        <w:rPr>
          <w:rFonts w:eastAsia="Arial Unicode MS"/>
          <w:bCs/>
          <w:lang w:eastAsia="fr-FR" w:bidi="he-IL"/>
        </w:rPr>
        <w:t xml:space="preserve">, </w:t>
      </w:r>
      <w:r w:rsidR="00B704AD" w:rsidRPr="00C8701B">
        <w:rPr>
          <w:rFonts w:eastAsia="Arial Unicode MS"/>
          <w:bCs/>
          <w:lang w:eastAsia="fr-FR" w:bidi="he-IL"/>
        </w:rPr>
        <w:t>reconnaît</w:t>
      </w:r>
      <w:r w:rsidR="00E65435">
        <w:rPr>
          <w:rFonts w:eastAsia="Arial Unicode MS"/>
          <w:bCs/>
          <w:lang w:eastAsia="fr-FR" w:bidi="he-IL"/>
        </w:rPr>
        <w:t xml:space="preserve">, </w:t>
      </w:r>
      <w:r w:rsidR="00B704AD" w:rsidRPr="00C8701B">
        <w:rPr>
          <w:rFonts w:eastAsia="Arial Unicode MS"/>
          <w:bCs/>
          <w:lang w:eastAsia="fr-FR" w:bidi="he-IL"/>
        </w:rPr>
        <w:t>en frappant sa poitrine</w:t>
      </w:r>
      <w:r w:rsidR="00E65435">
        <w:rPr>
          <w:rFonts w:eastAsia="Arial Unicode MS"/>
          <w:bCs/>
          <w:lang w:eastAsia="fr-FR" w:bidi="he-IL"/>
        </w:rPr>
        <w:t xml:space="preserve">, </w:t>
      </w:r>
      <w:r w:rsidR="00B704AD" w:rsidRPr="00C8701B">
        <w:rPr>
          <w:rFonts w:eastAsia="Arial Unicode MS"/>
          <w:bCs/>
          <w:lang w:eastAsia="fr-FR" w:bidi="he-IL"/>
        </w:rPr>
        <w:t>qu</w:t>
      </w:r>
      <w:r w:rsidR="00557DE0">
        <w:rPr>
          <w:rFonts w:eastAsia="Arial Unicode MS"/>
          <w:bCs/>
          <w:lang w:eastAsia="fr-FR" w:bidi="he-IL"/>
        </w:rPr>
        <w:t>’</w:t>
      </w:r>
      <w:r w:rsidR="00B704AD" w:rsidRPr="00C8701B">
        <w:rPr>
          <w:rFonts w:eastAsia="Arial Unicode MS"/>
          <w:bCs/>
          <w:lang w:eastAsia="fr-FR" w:bidi="he-IL"/>
        </w:rPr>
        <w:t>il est le Fils de Dieu. Un tombeau le reçoit des mains de la mort</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mais le troisième jour</w:t>
      </w:r>
      <w:r w:rsidR="00E65435">
        <w:rPr>
          <w:rFonts w:eastAsia="Arial Unicode MS"/>
          <w:bCs/>
          <w:lang w:eastAsia="fr-FR" w:bidi="he-IL"/>
        </w:rPr>
        <w:t xml:space="preserve">, </w:t>
      </w:r>
      <w:r w:rsidR="00B704AD" w:rsidRPr="00C8701B">
        <w:rPr>
          <w:rFonts w:eastAsia="Arial Unicode MS"/>
          <w:bCs/>
          <w:lang w:eastAsia="fr-FR" w:bidi="he-IL"/>
        </w:rPr>
        <w:t>ce tombeau</w:t>
      </w:r>
      <w:r w:rsidR="00E65435">
        <w:rPr>
          <w:rFonts w:eastAsia="Arial Unicode MS"/>
          <w:bCs/>
          <w:lang w:eastAsia="fr-FR" w:bidi="he-IL"/>
        </w:rPr>
        <w:t xml:space="preserve">, </w:t>
      </w:r>
      <w:r w:rsidR="00B704AD" w:rsidRPr="00C8701B">
        <w:rPr>
          <w:rFonts w:eastAsia="Arial Unicode MS"/>
          <w:bCs/>
          <w:lang w:eastAsia="fr-FR" w:bidi="he-IL"/>
        </w:rPr>
        <w:t>gardé par la haine</w:t>
      </w:r>
      <w:r w:rsidR="00E65435">
        <w:rPr>
          <w:rFonts w:eastAsia="Arial Unicode MS"/>
          <w:bCs/>
          <w:lang w:eastAsia="fr-FR" w:bidi="he-IL"/>
        </w:rPr>
        <w:t xml:space="preserve">, </w:t>
      </w:r>
      <w:r w:rsidR="00B704AD" w:rsidRPr="00C8701B">
        <w:rPr>
          <w:rFonts w:eastAsia="Arial Unicode MS"/>
          <w:bCs/>
          <w:lang w:eastAsia="fr-FR" w:bidi="he-IL"/>
        </w:rPr>
        <w:t>s</w:t>
      </w:r>
      <w:r w:rsidR="00557DE0">
        <w:rPr>
          <w:rFonts w:eastAsia="Arial Unicode MS"/>
          <w:bCs/>
          <w:lang w:eastAsia="fr-FR" w:bidi="he-IL"/>
        </w:rPr>
        <w:t>’</w:t>
      </w:r>
      <w:r w:rsidR="00B704AD" w:rsidRPr="00C8701B">
        <w:rPr>
          <w:rFonts w:eastAsia="Arial Unicode MS"/>
          <w:bCs/>
          <w:lang w:eastAsia="fr-FR" w:bidi="he-IL"/>
        </w:rPr>
        <w:t>ouvre de lui-même et laisse passer triomphant le maître de la vie. Ses disciples le voient</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leurs mains le touchent et l</w:t>
      </w:r>
      <w:r w:rsidR="00557DE0">
        <w:rPr>
          <w:rFonts w:eastAsia="Arial Unicode MS"/>
          <w:bCs/>
          <w:lang w:eastAsia="fr-FR" w:bidi="he-IL"/>
        </w:rPr>
        <w:t>’</w:t>
      </w:r>
      <w:r w:rsidR="00B704AD" w:rsidRPr="00C8701B">
        <w:rPr>
          <w:rFonts w:eastAsia="Arial Unicode MS"/>
          <w:bCs/>
          <w:lang w:eastAsia="fr-FR" w:bidi="he-IL"/>
        </w:rPr>
        <w:t>adorent</w:t>
      </w:r>
      <w:r w:rsidR="00E65435">
        <w:rPr>
          <w:rFonts w:eastAsia="Arial Unicode MS"/>
          <w:bCs/>
          <w:lang w:eastAsia="fr-FR" w:bidi="he-IL"/>
        </w:rPr>
        <w:t xml:space="preserve">, </w:t>
      </w:r>
      <w:r w:rsidR="00B704AD" w:rsidRPr="00C8701B">
        <w:rPr>
          <w:rFonts w:eastAsia="Arial Unicode MS"/>
          <w:bCs/>
          <w:lang w:eastAsia="fr-FR" w:bidi="he-IL"/>
        </w:rPr>
        <w:t>leur bouche le confesse</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ils reçoivent de lui ses dernières instructions</w:t>
      </w:r>
      <w:r w:rsidR="00E65435">
        <w:rPr>
          <w:rFonts w:eastAsia="Arial Unicode MS"/>
          <w:bCs/>
          <w:lang w:eastAsia="fr-FR" w:bidi="he-IL"/>
        </w:rPr>
        <w:t xml:space="preserve">, </w:t>
      </w:r>
      <w:r w:rsidR="00B704AD" w:rsidRPr="00C8701B">
        <w:rPr>
          <w:rFonts w:eastAsia="Arial Unicode MS"/>
          <w:bCs/>
          <w:lang w:eastAsia="fr-FR" w:bidi="he-IL"/>
        </w:rPr>
        <w:t>et</w:t>
      </w:r>
      <w:r w:rsidR="00E65435">
        <w:rPr>
          <w:rFonts w:eastAsia="Arial Unicode MS"/>
          <w:bCs/>
          <w:lang w:eastAsia="fr-FR" w:bidi="he-IL"/>
        </w:rPr>
        <w:t xml:space="preserve">, </w:t>
      </w:r>
      <w:r w:rsidR="00B704AD" w:rsidRPr="00C8701B">
        <w:rPr>
          <w:rFonts w:eastAsia="Arial Unicode MS"/>
          <w:bCs/>
          <w:lang w:eastAsia="fr-FR" w:bidi="he-IL"/>
        </w:rPr>
        <w:t>tout ce qui doit être visible étant consommé pour l</w:t>
      </w:r>
      <w:r w:rsidR="00557DE0">
        <w:rPr>
          <w:rFonts w:eastAsia="Arial Unicode MS"/>
          <w:bCs/>
          <w:lang w:eastAsia="fr-FR" w:bidi="he-IL"/>
        </w:rPr>
        <w:t>’</w:t>
      </w:r>
      <w:r w:rsidR="00B704AD" w:rsidRPr="00C8701B">
        <w:rPr>
          <w:rFonts w:eastAsia="Arial Unicode MS"/>
          <w:bCs/>
          <w:lang w:eastAsia="fr-FR" w:bidi="he-IL"/>
        </w:rPr>
        <w:t>homme</w:t>
      </w:r>
      <w:r w:rsidR="00E65435">
        <w:rPr>
          <w:rFonts w:eastAsia="Arial Unicode MS"/>
          <w:bCs/>
          <w:lang w:eastAsia="fr-FR" w:bidi="he-IL"/>
        </w:rPr>
        <w:t xml:space="preserve">, </w:t>
      </w:r>
      <w:r w:rsidR="00B704AD" w:rsidRPr="00C8701B">
        <w:rPr>
          <w:rFonts w:eastAsia="Arial Unicode MS"/>
          <w:bCs/>
          <w:lang w:eastAsia="fr-FR" w:bidi="he-IL"/>
        </w:rPr>
        <w:t>le Fils de Dieu et le fils de l</w:t>
      </w:r>
      <w:r w:rsidR="00557DE0">
        <w:rPr>
          <w:rFonts w:eastAsia="Arial Unicode MS"/>
          <w:bCs/>
          <w:lang w:eastAsia="fr-FR" w:bidi="he-IL"/>
        </w:rPr>
        <w:t>’</w:t>
      </w:r>
      <w:r w:rsidR="00B704AD" w:rsidRPr="00C8701B">
        <w:rPr>
          <w:rFonts w:eastAsia="Arial Unicode MS"/>
          <w:bCs/>
          <w:lang w:eastAsia="fr-FR" w:bidi="he-IL"/>
        </w:rPr>
        <w:t>homme prend sur une nuée le chemin du ciel</w:t>
      </w:r>
      <w:r w:rsidR="00E65435">
        <w:rPr>
          <w:rFonts w:eastAsia="Arial Unicode MS"/>
          <w:bCs/>
          <w:lang w:eastAsia="fr-FR" w:bidi="he-IL"/>
        </w:rPr>
        <w:t xml:space="preserve">, </w:t>
      </w:r>
      <w:r w:rsidR="00B704AD" w:rsidRPr="00C8701B">
        <w:rPr>
          <w:rFonts w:eastAsia="Arial Unicode MS"/>
          <w:bCs/>
          <w:lang w:eastAsia="fr-FR" w:bidi="he-IL"/>
        </w:rPr>
        <w:t>laissant à se</w:t>
      </w:r>
      <w:r w:rsidR="00C82C6C">
        <w:rPr>
          <w:rFonts w:eastAsia="Arial Unicode MS"/>
          <w:bCs/>
          <w:lang w:eastAsia="fr-FR" w:bidi="he-IL"/>
        </w:rPr>
        <w:t>s apôtres le monde à vaincre </w:t>
      </w:r>
      <w:r w:rsidR="00C82C6C" w:rsidRPr="00C406FF">
        <w:rPr>
          <w:rStyle w:val="Appelnotedebasdep"/>
        </w:rPr>
        <w:footnoteReference w:id="88"/>
      </w:r>
      <w:r w:rsidR="00B704AD" w:rsidRPr="00C8701B">
        <w:rPr>
          <w:rFonts w:eastAsia="Arial Unicode MS"/>
          <w:bCs/>
          <w:lang w:eastAsia="fr-FR" w:bidi="he-IL"/>
        </w:rPr>
        <w:t>.</w:t>
      </w:r>
      <w:r w:rsidRPr="00C8701B">
        <w:rPr>
          <w:rFonts w:eastAsia="Arial Unicode MS"/>
          <w:bCs/>
          <w:lang w:eastAsia="fr-FR" w:bidi="he-IL"/>
        </w:rPr>
        <w:t xml:space="preserve"> » </w:t>
      </w:r>
    </w:p>
    <w:p w:rsidR="00C2602D" w:rsidRPr="00C8701B" w:rsidRDefault="00B704AD" w:rsidP="00C2602D">
      <w:pPr>
        <w:rPr>
          <w:rFonts w:eastAsia="Arial Unicode MS"/>
          <w:bCs/>
          <w:lang w:eastAsia="fr-FR" w:bidi="he-IL"/>
        </w:rPr>
      </w:pPr>
      <w:r w:rsidRPr="00C8701B">
        <w:rPr>
          <w:rFonts w:eastAsia="Arial Unicode MS"/>
          <w:bCs/>
          <w:lang w:eastAsia="fr-FR" w:bidi="he-IL"/>
        </w:rPr>
        <w:t>II.</w:t>
      </w:r>
      <w:bookmarkStart w:id="29" w:name="evin0602"/>
      <w:bookmarkEnd w:id="29"/>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Mais il faut mettre une limite aux éloquentes paroles</w:t>
      </w:r>
      <w:r w:rsidR="00E65435">
        <w:rPr>
          <w:rFonts w:eastAsia="Arial Unicode MS"/>
          <w:bCs/>
          <w:lang w:eastAsia="fr-FR" w:bidi="he-IL"/>
        </w:rPr>
        <w:t xml:space="preserve">, </w:t>
      </w:r>
      <w:r w:rsidRPr="00C8701B">
        <w:rPr>
          <w:rFonts w:eastAsia="Arial Unicode MS"/>
          <w:bCs/>
          <w:lang w:eastAsia="fr-FR" w:bidi="he-IL"/>
        </w:rPr>
        <w:t>et exposer d</w:t>
      </w:r>
      <w:r w:rsidR="00557DE0">
        <w:rPr>
          <w:rFonts w:eastAsia="Arial Unicode MS"/>
          <w:bCs/>
          <w:lang w:eastAsia="fr-FR" w:bidi="he-IL"/>
        </w:rPr>
        <w:t>’</w:t>
      </w:r>
      <w:r w:rsidRPr="00C8701B">
        <w:rPr>
          <w:rFonts w:eastAsia="Arial Unicode MS"/>
          <w:bCs/>
          <w:lang w:eastAsia="fr-FR" w:bidi="he-IL"/>
        </w:rPr>
        <w:t xml:space="preserve">une manière tout à la fois plus simple et plus scientifique le contenu des </w:t>
      </w:r>
      <w:r w:rsidR="000439E9">
        <w:rPr>
          <w:rFonts w:eastAsia="Arial Unicode MS"/>
          <w:bCs/>
          <w:lang w:eastAsia="fr-FR" w:bidi="he-IL"/>
        </w:rPr>
        <w:t>Évangile</w:t>
      </w:r>
      <w:r w:rsidRPr="00C8701B">
        <w:rPr>
          <w:rFonts w:eastAsia="Arial Unicode MS"/>
          <w:bCs/>
          <w:lang w:eastAsia="fr-FR" w:bidi="he-IL"/>
        </w:rPr>
        <w:t>s.</w:t>
      </w:r>
      <w:r w:rsidR="00C2602D" w:rsidRPr="00C8701B">
        <w:rPr>
          <w:rFonts w:eastAsia="Arial Unicode MS"/>
          <w:bCs/>
          <w:lang w:eastAsia="fr-FR" w:bidi="he-IL"/>
        </w:rPr>
        <w:t xml:space="preserve"> </w:t>
      </w:r>
    </w:p>
    <w:p w:rsidR="00C2602D" w:rsidRPr="00652B4F" w:rsidRDefault="00B704AD" w:rsidP="00C2602D">
      <w:r w:rsidRPr="00C8701B">
        <w:rPr>
          <w:rFonts w:eastAsia="Arial Unicode MS"/>
          <w:bCs/>
          <w:lang w:eastAsia="fr-FR" w:bidi="he-IL"/>
        </w:rPr>
        <w:t>Sous ce rapport</w:t>
      </w:r>
      <w:r w:rsidR="00E65435">
        <w:rPr>
          <w:rFonts w:eastAsia="Arial Unicode MS"/>
          <w:bCs/>
          <w:lang w:eastAsia="fr-FR" w:bidi="he-IL"/>
        </w:rPr>
        <w:t xml:space="preserve">, </w:t>
      </w:r>
      <w:r w:rsidRPr="00C8701B">
        <w:rPr>
          <w:rFonts w:eastAsia="Arial Unicode MS"/>
          <w:bCs/>
          <w:lang w:eastAsia="fr-FR" w:bidi="he-IL"/>
        </w:rPr>
        <w:t>nous pouvons dire que l</w:t>
      </w:r>
      <w:r w:rsidR="00557DE0">
        <w:rPr>
          <w:rFonts w:eastAsia="Arial Unicode MS"/>
          <w:bCs/>
          <w:lang w:eastAsia="fr-FR" w:bidi="he-IL"/>
        </w:rPr>
        <w:t>’</w:t>
      </w:r>
      <w:r w:rsidR="00652B4F">
        <w:rPr>
          <w:rFonts w:eastAsia="Arial Unicode MS"/>
          <w:bCs/>
          <w:lang w:eastAsia="fr-FR" w:bidi="he-IL"/>
        </w:rPr>
        <w:t xml:space="preserve">évangile </w:t>
      </w:r>
      <w:r w:rsidRPr="00C8701B">
        <w:rPr>
          <w:rFonts w:eastAsia="Arial Unicode MS"/>
          <w:bCs/>
          <w:lang w:eastAsia="fr-FR" w:bidi="he-IL"/>
        </w:rPr>
        <w:t>est un exposé sommaire de la vie et de la doctrine de Notre-Seigneur Jésus-Christ</w:t>
      </w:r>
      <w:r w:rsidR="00E65435">
        <w:rPr>
          <w:rFonts w:eastAsia="Arial Unicode MS"/>
          <w:bCs/>
          <w:lang w:eastAsia="fr-FR" w:bidi="he-IL"/>
        </w:rPr>
        <w:t xml:space="preserve">, </w:t>
      </w:r>
      <w:r w:rsidRPr="00C8701B">
        <w:rPr>
          <w:rFonts w:eastAsia="Arial Unicode MS"/>
          <w:bCs/>
          <w:lang w:eastAsia="fr-FR" w:bidi="he-IL"/>
        </w:rPr>
        <w:t>le divin fondateur du christianisme.</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 presque la définition de S. Augustin</w:t>
      </w:r>
      <w:r w:rsidR="00C2602D" w:rsidRPr="00C8701B">
        <w:rPr>
          <w:rFonts w:eastAsia="Arial Unicode MS"/>
          <w:bCs/>
          <w:lang w:eastAsia="fr-FR" w:bidi="he-IL"/>
        </w:rPr>
        <w:t> :</w:t>
      </w:r>
      <w:r w:rsidRPr="00C8701B">
        <w:rPr>
          <w:rFonts w:eastAsia="Arial Unicode MS"/>
          <w:bCs/>
          <w:lang w:eastAsia="fr-FR" w:bidi="he-IL"/>
        </w:rPr>
        <w:t xml:space="preserve"> </w:t>
      </w:r>
      <w:r w:rsidR="00C2602D" w:rsidRPr="00652B4F">
        <w:t>« </w:t>
      </w:r>
      <w:r w:rsidR="00652B4F" w:rsidRPr="00652B4F">
        <w:t>Oríginem</w:t>
      </w:r>
      <w:r w:rsidR="00E65435" w:rsidRPr="00652B4F">
        <w:t xml:space="preserve">, </w:t>
      </w:r>
      <w:r w:rsidRPr="00652B4F">
        <w:t>facta</w:t>
      </w:r>
      <w:r w:rsidR="00E65435" w:rsidRPr="00652B4F">
        <w:t xml:space="preserve">, </w:t>
      </w:r>
      <w:r w:rsidRPr="00652B4F">
        <w:t>dicta</w:t>
      </w:r>
      <w:r w:rsidR="00E65435" w:rsidRPr="00652B4F">
        <w:t xml:space="preserve">, </w:t>
      </w:r>
      <w:r w:rsidRPr="00652B4F">
        <w:t>pass</w:t>
      </w:r>
      <w:r w:rsidR="00356A5E" w:rsidRPr="00652B4F">
        <w:t>iónes</w:t>
      </w:r>
      <w:r w:rsidRPr="00652B4F">
        <w:t xml:space="preserve"> D</w:t>
      </w:r>
      <w:r w:rsidR="004D031F" w:rsidRPr="00652B4F">
        <w:t>ómini</w:t>
      </w:r>
      <w:r w:rsidR="00C82C6C">
        <w:t xml:space="preserve"> Nostri Jesu Christi narrant </w:t>
      </w:r>
      <w:r w:rsidR="00C82C6C" w:rsidRPr="00C406FF">
        <w:rPr>
          <w:rStyle w:val="Appelnotedebasdep"/>
        </w:rPr>
        <w:footnoteReference w:id="89"/>
      </w:r>
      <w:r w:rsidRPr="00652B4F">
        <w:t>.</w:t>
      </w:r>
      <w:r w:rsidR="00C2602D" w:rsidRPr="00652B4F">
        <w:t xml:space="preserve"> » </w:t>
      </w:r>
    </w:p>
    <w:p w:rsidR="00C2602D" w:rsidRPr="00C8701B" w:rsidRDefault="00B704AD" w:rsidP="00C2602D">
      <w:pPr>
        <w:rPr>
          <w:rFonts w:eastAsia="Arial Unicode MS"/>
          <w:bCs/>
          <w:lang w:eastAsia="fr-FR" w:bidi="he-IL"/>
        </w:rPr>
      </w:pPr>
      <w:r w:rsidRPr="00C8701B">
        <w:rPr>
          <w:rFonts w:eastAsia="Arial Unicode MS"/>
          <w:bCs/>
          <w:lang w:eastAsia="fr-FR" w:bidi="he-IL"/>
        </w:rPr>
        <w:t>1°</w:t>
      </w:r>
      <w:bookmarkStart w:id="30" w:name="evin060201"/>
      <w:bookmarkEnd w:id="30"/>
      <w:r w:rsidRPr="00DC4586">
        <w:rPr>
          <w:rStyle w:val="italicus"/>
        </w:rPr>
        <w:t xml:space="preserve"> Exposé sommaire</w:t>
      </w:r>
      <w:r w:rsidR="00E65435">
        <w:rPr>
          <w:rFonts w:eastAsia="Arial Unicode MS"/>
          <w:bCs/>
          <w:lang w:eastAsia="fr-FR" w:bidi="he-IL"/>
        </w:rPr>
        <w:t xml:space="preserve">, </w:t>
      </w:r>
      <w:r w:rsidRPr="00C8701B">
        <w:rPr>
          <w:rFonts w:eastAsia="Arial Unicode MS"/>
          <w:bCs/>
          <w:lang w:eastAsia="fr-FR" w:bidi="he-IL"/>
        </w:rPr>
        <w:t>et même</w:t>
      </w:r>
      <w:r w:rsidR="00E65435">
        <w:rPr>
          <w:rFonts w:eastAsia="Arial Unicode MS"/>
          <w:bCs/>
          <w:lang w:eastAsia="fr-FR" w:bidi="he-IL"/>
        </w:rPr>
        <w:t xml:space="preserve">, </w:t>
      </w:r>
      <w:r w:rsidRPr="00C8701B">
        <w:rPr>
          <w:rFonts w:eastAsia="Arial Unicode MS"/>
          <w:bCs/>
          <w:lang w:eastAsia="fr-FR" w:bidi="he-IL"/>
        </w:rPr>
        <w:t>en un sens</w:t>
      </w:r>
      <w:r w:rsidR="00E65435">
        <w:rPr>
          <w:rFonts w:eastAsia="Arial Unicode MS"/>
          <w:bCs/>
          <w:lang w:eastAsia="fr-FR" w:bidi="he-IL"/>
        </w:rPr>
        <w:t xml:space="preserve">, </w:t>
      </w:r>
      <w:r w:rsidRPr="00C8701B">
        <w:rPr>
          <w:rFonts w:eastAsia="Arial Unicode MS"/>
          <w:bCs/>
          <w:lang w:eastAsia="fr-FR" w:bidi="he-IL"/>
        </w:rPr>
        <w:t>tout à fait sommaire. Les évangélistes montrent très clairement</w:t>
      </w:r>
      <w:r w:rsidR="00E65435">
        <w:rPr>
          <w:rFonts w:eastAsia="Arial Unicode MS"/>
          <w:bCs/>
          <w:lang w:eastAsia="fr-FR" w:bidi="he-IL"/>
        </w:rPr>
        <w:t xml:space="preserve">, </w:t>
      </w:r>
      <w:r w:rsidRPr="00C8701B">
        <w:rPr>
          <w:rFonts w:eastAsia="Arial Unicode MS"/>
          <w:bCs/>
          <w:lang w:eastAsia="fr-FR" w:bidi="he-IL"/>
        </w:rPr>
        <w:t>bien plus</w:t>
      </w:r>
      <w:r w:rsidR="00E65435">
        <w:rPr>
          <w:rFonts w:eastAsia="Arial Unicode MS"/>
          <w:bCs/>
          <w:lang w:eastAsia="fr-FR" w:bidi="he-IL"/>
        </w:rPr>
        <w:t xml:space="preserve">, </w:t>
      </w:r>
      <w:r w:rsidRPr="00C8701B">
        <w:rPr>
          <w:rFonts w:eastAsia="Arial Unicode MS"/>
          <w:bCs/>
          <w:lang w:eastAsia="fr-FR" w:bidi="he-IL"/>
        </w:rPr>
        <w:t>ils avouent tous de la façon la plus expresse</w:t>
      </w:r>
      <w:r w:rsidR="00E65435">
        <w:rPr>
          <w:rFonts w:eastAsia="Arial Unicode MS"/>
          <w:bCs/>
          <w:lang w:eastAsia="fr-FR" w:bidi="he-IL"/>
        </w:rPr>
        <w:t xml:space="preserve">, </w:t>
      </w:r>
      <w:r w:rsidRPr="00C8701B">
        <w:rPr>
          <w:rFonts w:eastAsia="Arial Unicode MS"/>
          <w:bCs/>
          <w:lang w:eastAsia="fr-FR" w:bidi="he-IL"/>
        </w:rPr>
        <w:t>qu</w:t>
      </w:r>
      <w:r w:rsidR="00557DE0">
        <w:rPr>
          <w:rFonts w:eastAsia="Arial Unicode MS"/>
          <w:bCs/>
          <w:lang w:eastAsia="fr-FR" w:bidi="he-IL"/>
        </w:rPr>
        <w:t>’</w:t>
      </w:r>
      <w:r w:rsidRPr="00C8701B">
        <w:rPr>
          <w:rFonts w:eastAsia="Arial Unicode MS"/>
          <w:bCs/>
          <w:lang w:eastAsia="fr-FR" w:bidi="he-IL"/>
        </w:rPr>
        <w:t>ils n</w:t>
      </w:r>
      <w:r w:rsidR="00557DE0">
        <w:rPr>
          <w:rFonts w:eastAsia="Arial Unicode MS"/>
          <w:bCs/>
          <w:lang w:eastAsia="fr-FR" w:bidi="he-IL"/>
        </w:rPr>
        <w:t>’</w:t>
      </w:r>
      <w:r w:rsidRPr="00C8701B">
        <w:rPr>
          <w:rFonts w:eastAsia="Arial Unicode MS"/>
          <w:bCs/>
          <w:lang w:eastAsia="fr-FR" w:bidi="he-IL"/>
        </w:rPr>
        <w:t>ont pas voulu écrire une biographie proprement dite</w:t>
      </w:r>
      <w:r w:rsidR="00E65435">
        <w:rPr>
          <w:rFonts w:eastAsia="Arial Unicode MS"/>
          <w:bCs/>
          <w:lang w:eastAsia="fr-FR" w:bidi="he-IL"/>
        </w:rPr>
        <w:t xml:space="preserve">, </w:t>
      </w:r>
      <w:r w:rsidRPr="00C8701B">
        <w:rPr>
          <w:rFonts w:eastAsia="Arial Unicode MS"/>
          <w:bCs/>
          <w:lang w:eastAsia="fr-FR" w:bidi="he-IL"/>
        </w:rPr>
        <w:t>raconter la vie complète de Jésus-Christ.</w:t>
      </w:r>
      <w:r w:rsidR="00C2602D" w:rsidRPr="00C8701B">
        <w:rPr>
          <w:rFonts w:eastAsia="Arial Unicode MS"/>
          <w:bCs/>
          <w:lang w:eastAsia="fr-FR" w:bidi="he-IL"/>
        </w:rPr>
        <w:t xml:space="preserve"> </w:t>
      </w:r>
      <w:r w:rsidR="000716BB" w:rsidRPr="000716BB">
        <w:rPr>
          <w:rFonts w:eastAsia="Arial Unicode MS"/>
          <w:bCs/>
          <w:lang w:eastAsia="fr-FR" w:bidi="he-IL"/>
        </w:rPr>
        <w:t>{</w:t>
      </w:r>
      <w:r w:rsidR="000716BB">
        <w:rPr>
          <w:rFonts w:eastAsia="Arial Unicode MS"/>
          <w:bCs/>
          <w:lang w:eastAsia="fr-FR" w:bidi="he-IL"/>
        </w:rPr>
        <w:t>16</w:t>
      </w:r>
      <w:bookmarkStart w:id="31" w:name="pag016"/>
      <w:bookmarkEnd w:id="31"/>
      <w:r w:rsidR="000716BB" w:rsidRPr="000716BB">
        <w:rPr>
          <w:rFonts w:eastAsia="Arial Unicode MS"/>
          <w:bCs/>
          <w:lang w:eastAsia="fr-FR" w:bidi="he-IL"/>
        </w:rPr>
        <w:t>}</w:t>
      </w:r>
    </w:p>
    <w:p w:rsidR="00C2602D" w:rsidRPr="00DC4586" w:rsidRDefault="00B704AD" w:rsidP="00C82C6C">
      <w:pPr>
        <w:rPr>
          <w:rStyle w:val="italicus"/>
        </w:rPr>
      </w:pPr>
      <w:r w:rsidRPr="00C8701B">
        <w:rPr>
          <w:rFonts w:eastAsia="Arial Unicode MS"/>
          <w:bCs/>
          <w:lang w:eastAsia="fr-FR" w:bidi="he-IL"/>
        </w:rPr>
        <w:t>Ils le montrent par des formules générales</w:t>
      </w:r>
      <w:r w:rsidR="00E65435">
        <w:rPr>
          <w:rFonts w:eastAsia="Arial Unicode MS"/>
          <w:bCs/>
          <w:lang w:eastAsia="fr-FR" w:bidi="he-IL"/>
        </w:rPr>
        <w:t xml:space="preserve">, </w:t>
      </w:r>
      <w:r w:rsidRPr="00C8701B">
        <w:rPr>
          <w:rFonts w:eastAsia="Arial Unicode MS"/>
          <w:bCs/>
          <w:lang w:eastAsia="fr-FR" w:bidi="he-IL"/>
        </w:rPr>
        <w:t>qui résument des catégories entières de faits ou de discours</w:t>
      </w:r>
      <w:r w:rsidR="00C2602D" w:rsidRPr="00C8701B">
        <w:rPr>
          <w:rFonts w:eastAsia="Arial Unicode MS"/>
          <w:bCs/>
          <w:lang w:eastAsia="fr-FR" w:bidi="he-IL"/>
        </w:rPr>
        <w:t> :</w:t>
      </w:r>
      <w:r w:rsidR="00652B4F">
        <w:rPr>
          <w:rStyle w:val="italicus"/>
        </w:rPr>
        <w:t xml:space="preserve"> Et Je</w:t>
      </w:r>
      <w:r w:rsidRPr="00DC4586">
        <w:rPr>
          <w:rStyle w:val="italicus"/>
        </w:rPr>
        <w:t>sus prof</w:t>
      </w:r>
      <w:r w:rsidR="00473B23" w:rsidRPr="00DC4586">
        <w:rPr>
          <w:rStyle w:val="italicus"/>
        </w:rPr>
        <w:t>ici</w:t>
      </w:r>
      <w:r w:rsidR="00473B23">
        <w:rPr>
          <w:rStyle w:val="italicus"/>
        </w:rPr>
        <w:t>é</w:t>
      </w:r>
      <w:r w:rsidR="00473B23" w:rsidRPr="00DC4586">
        <w:rPr>
          <w:rStyle w:val="italicus"/>
        </w:rPr>
        <w:t>bat</w:t>
      </w:r>
      <w:r w:rsidRPr="00DC4586">
        <w:rPr>
          <w:rStyle w:val="italicus"/>
        </w:rPr>
        <w:t xml:space="preserve"> sapi</w:t>
      </w:r>
      <w:r w:rsidR="00652B4F">
        <w:rPr>
          <w:rStyle w:val="italicus"/>
        </w:rPr>
        <w:t>é</w:t>
      </w:r>
      <w:r w:rsidR="00652B4F" w:rsidRPr="00DC4586">
        <w:rPr>
          <w:rStyle w:val="italicus"/>
        </w:rPr>
        <w:t>ntia</w:t>
      </w:r>
      <w:r w:rsidRPr="00DC4586">
        <w:rPr>
          <w:rStyle w:val="italicus"/>
        </w:rPr>
        <w:t xml:space="preserve"> et </w:t>
      </w:r>
      <w:r w:rsidR="00652B4F">
        <w:rPr>
          <w:rStyle w:val="italicus"/>
        </w:rPr>
        <w:t>ætát</w:t>
      </w:r>
      <w:r w:rsidR="00652B4F" w:rsidRPr="00DC4586">
        <w:rPr>
          <w:rStyle w:val="italicus"/>
        </w:rPr>
        <w:t>e</w:t>
      </w:r>
      <w:r w:rsidRPr="00DC4586">
        <w:rPr>
          <w:rStyle w:val="italicus"/>
        </w:rPr>
        <w:t xml:space="preserve"> et g</w:t>
      </w:r>
      <w:r w:rsidR="004D031F">
        <w:rPr>
          <w:rStyle w:val="italicus"/>
        </w:rPr>
        <w:t>rátia</w:t>
      </w:r>
      <w:r w:rsidR="00E65435">
        <w:rPr>
          <w:rStyle w:val="italicus"/>
        </w:rPr>
        <w:t xml:space="preserve">, </w:t>
      </w:r>
      <w:r w:rsidRPr="00DC4586">
        <w:rPr>
          <w:rStyle w:val="italicus"/>
        </w:rPr>
        <w:t xml:space="preserve">apud Deum et </w:t>
      </w:r>
      <w:r w:rsidR="00652B4F" w:rsidRPr="00DC4586">
        <w:rPr>
          <w:rStyle w:val="italicus"/>
        </w:rPr>
        <w:t>hómines</w:t>
      </w:r>
      <w:r w:rsidR="00C82C6C" w:rsidRPr="00C82C6C">
        <w:t> </w:t>
      </w:r>
      <w:r w:rsidR="00C82C6C" w:rsidRPr="00C406FF">
        <w:rPr>
          <w:rStyle w:val="Appelnotedebasdep"/>
        </w:rPr>
        <w:footnoteReference w:id="90"/>
      </w:r>
      <w:r w:rsidRPr="00DC4586">
        <w:rPr>
          <w:rStyle w:val="italicus"/>
        </w:rPr>
        <w:t xml:space="preserve">. Post </w:t>
      </w:r>
      <w:r w:rsidR="00652B4F">
        <w:rPr>
          <w:rStyle w:val="italicus"/>
        </w:rPr>
        <w:t>hæc venit Je</w:t>
      </w:r>
      <w:r w:rsidRPr="00DC4586">
        <w:rPr>
          <w:rStyle w:val="italicus"/>
        </w:rPr>
        <w:t xml:space="preserve">sus et </w:t>
      </w:r>
      <w:r w:rsidR="00652B4F" w:rsidRPr="00DC4586">
        <w:rPr>
          <w:rStyle w:val="italicus"/>
        </w:rPr>
        <w:t>discípuli</w:t>
      </w:r>
      <w:r w:rsidRPr="00DC4586">
        <w:rPr>
          <w:rStyle w:val="italicus"/>
        </w:rPr>
        <w:t xml:space="preserve"> ejus in terram </w:t>
      </w:r>
      <w:r w:rsidR="00652B4F" w:rsidRPr="00DC4586">
        <w:rPr>
          <w:rStyle w:val="italicus"/>
        </w:rPr>
        <w:t>Judǽam</w:t>
      </w:r>
      <w:r w:rsidR="00E65435">
        <w:rPr>
          <w:rStyle w:val="italicus"/>
        </w:rPr>
        <w:t xml:space="preserve">, </w:t>
      </w:r>
      <w:r w:rsidRPr="00DC4586">
        <w:rPr>
          <w:rStyle w:val="italicus"/>
        </w:rPr>
        <w:t>et illic demo</w:t>
      </w:r>
      <w:r w:rsidR="0096412E" w:rsidRPr="00DC4586">
        <w:rPr>
          <w:rStyle w:val="italicus"/>
        </w:rPr>
        <w:t>rab</w:t>
      </w:r>
      <w:r w:rsidR="0096412E">
        <w:rPr>
          <w:rStyle w:val="italicus"/>
        </w:rPr>
        <w:t>á</w:t>
      </w:r>
      <w:r w:rsidR="0096412E" w:rsidRPr="00DC4586">
        <w:rPr>
          <w:rStyle w:val="italicus"/>
        </w:rPr>
        <w:t>tur</w:t>
      </w:r>
      <w:r w:rsidRPr="00DC4586">
        <w:rPr>
          <w:rStyle w:val="italicus"/>
        </w:rPr>
        <w:t xml:space="preserve"> cum eis</w:t>
      </w:r>
      <w:r w:rsidR="00C82C6C">
        <w:rPr>
          <w:rFonts w:eastAsia="Arial Unicode MS"/>
          <w:bCs/>
          <w:lang w:eastAsia="fr-FR" w:bidi="he-IL"/>
        </w:rPr>
        <w:t> </w:t>
      </w:r>
      <w:r w:rsidR="00C82C6C" w:rsidRPr="00C406FF">
        <w:rPr>
          <w:rStyle w:val="Appelnotedebasdep"/>
        </w:rPr>
        <w:footnoteReference w:id="91"/>
      </w:r>
      <w:r w:rsidRPr="00C8701B">
        <w:rPr>
          <w:rFonts w:eastAsia="Arial Unicode MS"/>
          <w:bCs/>
          <w:lang w:eastAsia="fr-FR" w:bidi="he-IL"/>
        </w:rPr>
        <w:t>.</w:t>
      </w:r>
      <w:r w:rsidRPr="00DC4586">
        <w:rPr>
          <w:rStyle w:val="italicus"/>
        </w:rPr>
        <w:t xml:space="preserve"> Et </w:t>
      </w:r>
      <w:r w:rsidR="00652B4F" w:rsidRPr="00DC4586">
        <w:rPr>
          <w:rStyle w:val="italicus"/>
        </w:rPr>
        <w:t>regréssus</w:t>
      </w:r>
      <w:r w:rsidRPr="00DC4586">
        <w:rPr>
          <w:rStyle w:val="italicus"/>
        </w:rPr>
        <w:t xml:space="preserve"> est Jésus... in </w:t>
      </w:r>
      <w:r w:rsidR="00652B4F" w:rsidRPr="00DC4586">
        <w:rPr>
          <w:rStyle w:val="italicus"/>
        </w:rPr>
        <w:t>Galilǽam</w:t>
      </w:r>
      <w:r w:rsidR="00C2602D" w:rsidRPr="00DC4586">
        <w:rPr>
          <w:rStyle w:val="italicus"/>
        </w:rPr>
        <w:t> </w:t>
      </w:r>
      <w:r w:rsidR="007F6508">
        <w:rPr>
          <w:rStyle w:val="italicus"/>
        </w:rPr>
        <w:t xml:space="preserve">; </w:t>
      </w:r>
      <w:r w:rsidRPr="00DC4586">
        <w:rPr>
          <w:rStyle w:val="italicus"/>
        </w:rPr>
        <w:t xml:space="preserve">... </w:t>
      </w:r>
      <w:r w:rsidR="00652B4F" w:rsidRPr="00DC4586">
        <w:rPr>
          <w:rStyle w:val="italicus"/>
        </w:rPr>
        <w:t>et ipse</w:t>
      </w:r>
      <w:r w:rsidRPr="00DC4586">
        <w:rPr>
          <w:rStyle w:val="italicus"/>
        </w:rPr>
        <w:t xml:space="preserve"> </w:t>
      </w:r>
      <w:r w:rsidR="00473B23" w:rsidRPr="00DC4586">
        <w:rPr>
          <w:rStyle w:val="italicus"/>
        </w:rPr>
        <w:t>doc</w:t>
      </w:r>
      <w:r w:rsidR="00473B23">
        <w:rPr>
          <w:rStyle w:val="italicus"/>
        </w:rPr>
        <w:t>é</w:t>
      </w:r>
      <w:r w:rsidR="00473B23" w:rsidRPr="00DC4586">
        <w:rPr>
          <w:rStyle w:val="italicus"/>
        </w:rPr>
        <w:t>bat</w:t>
      </w:r>
      <w:r w:rsidRPr="00DC4586">
        <w:rPr>
          <w:rStyle w:val="italicus"/>
        </w:rPr>
        <w:t xml:space="preserve"> in </w:t>
      </w:r>
      <w:r w:rsidR="00652B4F" w:rsidRPr="00DC4586">
        <w:rPr>
          <w:rStyle w:val="italicus"/>
        </w:rPr>
        <w:t>synagógis</w:t>
      </w:r>
      <w:r w:rsidR="00652B4F">
        <w:rPr>
          <w:rStyle w:val="italicus"/>
        </w:rPr>
        <w:t xml:space="preserve"> eórum</w:t>
      </w:r>
      <w:r w:rsidRPr="00DC4586">
        <w:rPr>
          <w:rStyle w:val="italicus"/>
        </w:rPr>
        <w:t xml:space="preserve"> et magnifi</w:t>
      </w:r>
      <w:r w:rsidR="0096412E" w:rsidRPr="00DC4586">
        <w:rPr>
          <w:rStyle w:val="italicus"/>
        </w:rPr>
        <w:t>cab</w:t>
      </w:r>
      <w:r w:rsidR="0096412E">
        <w:rPr>
          <w:rStyle w:val="italicus"/>
        </w:rPr>
        <w:t>á</w:t>
      </w:r>
      <w:r w:rsidR="0096412E" w:rsidRPr="00DC4586">
        <w:rPr>
          <w:rStyle w:val="italicus"/>
        </w:rPr>
        <w:t>tur</w:t>
      </w:r>
      <w:r w:rsidRPr="00DC4586">
        <w:rPr>
          <w:rStyle w:val="italicus"/>
        </w:rPr>
        <w:t xml:space="preserve"> ab </w:t>
      </w:r>
      <w:r w:rsidR="00695548">
        <w:rPr>
          <w:rStyle w:val="italicus"/>
        </w:rPr>
        <w:t>ómnibus</w:t>
      </w:r>
      <w:r w:rsidR="00C82C6C">
        <w:rPr>
          <w:rFonts w:eastAsia="Arial Unicode MS"/>
          <w:bCs/>
          <w:lang w:eastAsia="fr-FR" w:bidi="he-IL"/>
        </w:rPr>
        <w:t> </w:t>
      </w:r>
      <w:r w:rsidR="00C82C6C" w:rsidRPr="00C406FF">
        <w:rPr>
          <w:rStyle w:val="Appelnotedebasdep"/>
        </w:rPr>
        <w:footnoteReference w:id="92"/>
      </w:r>
      <w:r w:rsidRPr="00C8701B">
        <w:rPr>
          <w:rFonts w:eastAsia="Arial Unicode MS"/>
          <w:bCs/>
          <w:lang w:eastAsia="fr-FR" w:bidi="he-IL"/>
        </w:rPr>
        <w:t>.</w:t>
      </w:r>
      <w:r w:rsidRPr="00DC4586">
        <w:rPr>
          <w:rStyle w:val="italicus"/>
        </w:rPr>
        <w:t xml:space="preserve"> Et </w:t>
      </w:r>
      <w:r w:rsidR="00652B4F" w:rsidRPr="00DC4586">
        <w:rPr>
          <w:rStyle w:val="italicus"/>
        </w:rPr>
        <w:t>relícta</w:t>
      </w:r>
      <w:r w:rsidRPr="00DC4586">
        <w:rPr>
          <w:rStyle w:val="italicus"/>
        </w:rPr>
        <w:t xml:space="preserve"> </w:t>
      </w:r>
      <w:r w:rsidR="00652B4F" w:rsidRPr="00DC4586">
        <w:rPr>
          <w:rStyle w:val="italicus"/>
        </w:rPr>
        <w:t>civitáte</w:t>
      </w:r>
      <w:r w:rsidRPr="00DC4586">
        <w:rPr>
          <w:rStyle w:val="italicus"/>
        </w:rPr>
        <w:t xml:space="preserve"> Nazareth</w:t>
      </w:r>
      <w:r w:rsidR="00E65435">
        <w:rPr>
          <w:rStyle w:val="italicus"/>
        </w:rPr>
        <w:t xml:space="preserve">, </w:t>
      </w:r>
      <w:r w:rsidRPr="00DC4586">
        <w:rPr>
          <w:rStyle w:val="italicus"/>
        </w:rPr>
        <w:t>venit et ha</w:t>
      </w:r>
      <w:r w:rsidR="00473B23" w:rsidRPr="00DC4586">
        <w:rPr>
          <w:rStyle w:val="italicus"/>
        </w:rPr>
        <w:t>bit</w:t>
      </w:r>
      <w:r w:rsidR="00473B23">
        <w:rPr>
          <w:rStyle w:val="italicus"/>
        </w:rPr>
        <w:t>á</w:t>
      </w:r>
      <w:r w:rsidR="00473B23" w:rsidRPr="00DC4586">
        <w:rPr>
          <w:rStyle w:val="italicus"/>
        </w:rPr>
        <w:t>vit</w:t>
      </w:r>
      <w:r w:rsidR="00652B4F">
        <w:rPr>
          <w:rStyle w:val="italicus"/>
        </w:rPr>
        <w:t xml:space="preserve"> in Ca</w:t>
      </w:r>
      <w:r w:rsidR="00652B4F" w:rsidRPr="00DC4586">
        <w:rPr>
          <w:rStyle w:val="italicus"/>
        </w:rPr>
        <w:t>pharnaúm</w:t>
      </w:r>
      <w:r w:rsidR="00652B4F">
        <w:rPr>
          <w:rStyle w:val="italicus"/>
        </w:rPr>
        <w:t xml:space="preserve"> marítim</w:t>
      </w:r>
      <w:r w:rsidR="00652B4F" w:rsidRPr="00DC4586">
        <w:rPr>
          <w:rStyle w:val="italicus"/>
        </w:rPr>
        <w:t>a</w:t>
      </w:r>
      <w:r w:rsidRPr="00DC4586">
        <w:rPr>
          <w:rStyle w:val="italicus"/>
        </w:rPr>
        <w:t xml:space="preserve">.... </w:t>
      </w:r>
      <w:r w:rsidR="00652B4F" w:rsidRPr="00DC4586">
        <w:rPr>
          <w:rStyle w:val="italicus"/>
        </w:rPr>
        <w:t>Exínde</w:t>
      </w:r>
      <w:r w:rsidR="00652B4F">
        <w:rPr>
          <w:rStyle w:val="italicus"/>
        </w:rPr>
        <w:t xml:space="preserve"> cœ</w:t>
      </w:r>
      <w:r w:rsidRPr="00DC4586">
        <w:rPr>
          <w:rStyle w:val="italicus"/>
        </w:rPr>
        <w:t xml:space="preserve">pit Jésus </w:t>
      </w:r>
      <w:r w:rsidR="00652B4F">
        <w:rPr>
          <w:rStyle w:val="italicus"/>
        </w:rPr>
        <w:t>præ</w:t>
      </w:r>
      <w:r w:rsidR="00652B4F" w:rsidRPr="00DC4586">
        <w:rPr>
          <w:rStyle w:val="italicus"/>
        </w:rPr>
        <w:t>dicáre</w:t>
      </w:r>
      <w:r w:rsidR="00C82C6C">
        <w:rPr>
          <w:rFonts w:eastAsia="Arial Unicode MS"/>
          <w:bCs/>
          <w:lang w:eastAsia="fr-FR" w:bidi="he-IL"/>
        </w:rPr>
        <w:t> </w:t>
      </w:r>
      <w:r w:rsidR="00C82C6C" w:rsidRPr="00C406FF">
        <w:rPr>
          <w:rStyle w:val="Appelnotedebasdep"/>
        </w:rPr>
        <w:footnoteReference w:id="93"/>
      </w:r>
      <w:r w:rsidRPr="00C8701B">
        <w:rPr>
          <w:rFonts w:eastAsia="Arial Unicode MS"/>
          <w:bCs/>
          <w:lang w:eastAsia="fr-FR" w:bidi="he-IL"/>
        </w:rPr>
        <w:t>.</w:t>
      </w:r>
      <w:r w:rsidRPr="00DC4586">
        <w:rPr>
          <w:rStyle w:val="italicus"/>
        </w:rPr>
        <w:t xml:space="preserve"> Et erat </w:t>
      </w:r>
      <w:r w:rsidR="00652B4F">
        <w:rPr>
          <w:rStyle w:val="italicus"/>
        </w:rPr>
        <w:t>prǽ</w:t>
      </w:r>
      <w:r w:rsidR="00652B4F" w:rsidRPr="00DC4586">
        <w:rPr>
          <w:rStyle w:val="italicus"/>
        </w:rPr>
        <w:t>dicans</w:t>
      </w:r>
      <w:r w:rsidRPr="00DC4586">
        <w:rPr>
          <w:rStyle w:val="italicus"/>
        </w:rPr>
        <w:t xml:space="preserve"> in </w:t>
      </w:r>
      <w:r w:rsidR="00652B4F" w:rsidRPr="00DC4586">
        <w:rPr>
          <w:rStyle w:val="italicus"/>
        </w:rPr>
        <w:t>synagógis</w:t>
      </w:r>
      <w:r w:rsidRPr="00DC4586">
        <w:rPr>
          <w:rStyle w:val="italicus"/>
        </w:rPr>
        <w:t xml:space="preserve"> </w:t>
      </w:r>
      <w:r w:rsidR="00473B23">
        <w:rPr>
          <w:rStyle w:val="italicus"/>
        </w:rPr>
        <w:t>eórum</w:t>
      </w:r>
      <w:r w:rsidRPr="00DC4586">
        <w:rPr>
          <w:rStyle w:val="italicus"/>
        </w:rPr>
        <w:t xml:space="preserve"> et in omni </w:t>
      </w:r>
      <w:r w:rsidR="00652B4F" w:rsidRPr="00DC4586">
        <w:rPr>
          <w:rStyle w:val="italicus"/>
        </w:rPr>
        <w:t>Galilǽa</w:t>
      </w:r>
      <w:r w:rsidR="00E65435">
        <w:rPr>
          <w:rStyle w:val="italicus"/>
        </w:rPr>
        <w:t xml:space="preserve">, </w:t>
      </w:r>
      <w:r w:rsidRPr="00DC4586">
        <w:rPr>
          <w:rStyle w:val="italicus"/>
        </w:rPr>
        <w:t xml:space="preserve">et </w:t>
      </w:r>
      <w:r w:rsidR="00652B4F" w:rsidRPr="00DC4586">
        <w:rPr>
          <w:rStyle w:val="italicus"/>
        </w:rPr>
        <w:t>dæmónia</w:t>
      </w:r>
      <w:r w:rsidRPr="00DC4586">
        <w:rPr>
          <w:rStyle w:val="italicus"/>
        </w:rPr>
        <w:t xml:space="preserve"> </w:t>
      </w:r>
      <w:r w:rsidR="00652B4F" w:rsidRPr="00DC4586">
        <w:rPr>
          <w:rStyle w:val="italicus"/>
        </w:rPr>
        <w:t>ejíciens</w:t>
      </w:r>
      <w:r w:rsidR="00C82C6C">
        <w:rPr>
          <w:rFonts w:eastAsia="Arial Unicode MS"/>
          <w:bCs/>
          <w:lang w:eastAsia="fr-FR" w:bidi="he-IL"/>
        </w:rPr>
        <w:t> </w:t>
      </w:r>
      <w:r w:rsidR="00C82C6C" w:rsidRPr="00C406FF">
        <w:rPr>
          <w:rStyle w:val="Appelnotedebasdep"/>
        </w:rPr>
        <w:footnoteReference w:id="94"/>
      </w:r>
      <w:r w:rsidRPr="003C7896">
        <w:t>.</w:t>
      </w:r>
      <w:r w:rsidR="00341514">
        <w:t xml:space="preserve"> </w:t>
      </w:r>
      <w:r w:rsidRPr="00DC4586">
        <w:rPr>
          <w:rStyle w:val="italicus"/>
        </w:rPr>
        <w:t xml:space="preserve">Et </w:t>
      </w:r>
      <w:r w:rsidR="00652B4F" w:rsidRPr="00DC4586">
        <w:rPr>
          <w:rStyle w:val="italicus"/>
        </w:rPr>
        <w:t>circuíbat</w:t>
      </w:r>
      <w:r w:rsidRPr="00DC4586">
        <w:rPr>
          <w:rStyle w:val="italicus"/>
        </w:rPr>
        <w:t xml:space="preserve"> Jésus </w:t>
      </w:r>
      <w:r w:rsidR="00652B4F" w:rsidRPr="00DC4586">
        <w:rPr>
          <w:rStyle w:val="italicus"/>
        </w:rPr>
        <w:t>omnes</w:t>
      </w:r>
      <w:r w:rsidRPr="00DC4586">
        <w:rPr>
          <w:rStyle w:val="italicus"/>
        </w:rPr>
        <w:t xml:space="preserve"> </w:t>
      </w:r>
      <w:r w:rsidR="00652B4F" w:rsidRPr="00DC4586">
        <w:rPr>
          <w:rStyle w:val="italicus"/>
        </w:rPr>
        <w:t>civitátes</w:t>
      </w:r>
      <w:r w:rsidRPr="00DC4586">
        <w:rPr>
          <w:rStyle w:val="italicus"/>
        </w:rPr>
        <w:t xml:space="preserve"> et </w:t>
      </w:r>
      <w:r w:rsidR="00652B4F" w:rsidRPr="00DC4586">
        <w:rPr>
          <w:rStyle w:val="italicus"/>
        </w:rPr>
        <w:t>castélla</w:t>
      </w:r>
      <w:r w:rsidR="00E65435">
        <w:rPr>
          <w:rStyle w:val="italicus"/>
        </w:rPr>
        <w:t xml:space="preserve">, </w:t>
      </w:r>
      <w:r w:rsidRPr="00DC4586">
        <w:rPr>
          <w:rStyle w:val="italicus"/>
        </w:rPr>
        <w:t>docens</w:t>
      </w:r>
      <w:r w:rsidR="00652B4F">
        <w:rPr>
          <w:rStyle w:val="italicus"/>
        </w:rPr>
        <w:t xml:space="preserve"> </w:t>
      </w:r>
      <w:r w:rsidR="00652B4F" w:rsidRPr="00DC4586">
        <w:rPr>
          <w:rStyle w:val="italicus"/>
        </w:rPr>
        <w:t>in</w:t>
      </w:r>
      <w:r w:rsidRPr="00DC4586">
        <w:rPr>
          <w:rStyle w:val="italicus"/>
        </w:rPr>
        <w:t xml:space="preserve"> </w:t>
      </w:r>
      <w:r w:rsidR="00652B4F" w:rsidRPr="00DC4586">
        <w:rPr>
          <w:rStyle w:val="italicus"/>
        </w:rPr>
        <w:t>synagógis</w:t>
      </w:r>
      <w:r w:rsidRPr="00DC4586">
        <w:rPr>
          <w:rStyle w:val="italicus"/>
        </w:rPr>
        <w:t xml:space="preserve"> </w:t>
      </w:r>
      <w:r w:rsidR="00473B23">
        <w:rPr>
          <w:rStyle w:val="italicus"/>
        </w:rPr>
        <w:t>eórum</w:t>
      </w:r>
      <w:r w:rsidR="00E65435">
        <w:rPr>
          <w:rStyle w:val="italicus"/>
        </w:rPr>
        <w:t xml:space="preserve">, </w:t>
      </w:r>
      <w:r w:rsidRPr="00DC4586">
        <w:rPr>
          <w:rStyle w:val="italicus"/>
        </w:rPr>
        <w:t xml:space="preserve">et </w:t>
      </w:r>
      <w:r w:rsidR="00652B4F">
        <w:rPr>
          <w:rStyle w:val="italicus"/>
        </w:rPr>
        <w:t>prǽ</w:t>
      </w:r>
      <w:r w:rsidR="00652B4F" w:rsidRPr="00DC4586">
        <w:rPr>
          <w:rStyle w:val="italicus"/>
        </w:rPr>
        <w:t>dicans</w:t>
      </w:r>
      <w:r w:rsidRPr="00DC4586">
        <w:rPr>
          <w:rStyle w:val="italicus"/>
        </w:rPr>
        <w:t xml:space="preserve"> </w:t>
      </w:r>
      <w:r w:rsidR="00652B4F" w:rsidRPr="00DC4586">
        <w:rPr>
          <w:rStyle w:val="italicus"/>
        </w:rPr>
        <w:t>evangélium</w:t>
      </w:r>
      <w:r w:rsidRPr="00DC4586">
        <w:rPr>
          <w:rStyle w:val="italicus"/>
        </w:rPr>
        <w:t xml:space="preserve"> regni</w:t>
      </w:r>
      <w:r w:rsidR="00E65435">
        <w:rPr>
          <w:rStyle w:val="italicus"/>
        </w:rPr>
        <w:t xml:space="preserve">, </w:t>
      </w:r>
      <w:r w:rsidRPr="00DC4586">
        <w:rPr>
          <w:rStyle w:val="italicus"/>
        </w:rPr>
        <w:t xml:space="preserve">et curans omnem </w:t>
      </w:r>
      <w:r w:rsidR="00652B4F" w:rsidRPr="00DC4586">
        <w:rPr>
          <w:rStyle w:val="italicus"/>
        </w:rPr>
        <w:t>languórem</w:t>
      </w:r>
      <w:r w:rsidRPr="00DC4586">
        <w:rPr>
          <w:rStyle w:val="italicus"/>
        </w:rPr>
        <w:t xml:space="preserve"> et omnem infirm</w:t>
      </w:r>
      <w:r w:rsidR="00C21120">
        <w:rPr>
          <w:rStyle w:val="italicus"/>
        </w:rPr>
        <w:t>itátem</w:t>
      </w:r>
      <w:r w:rsidR="00C82C6C">
        <w:rPr>
          <w:rFonts w:eastAsia="Arial Unicode MS"/>
          <w:bCs/>
          <w:lang w:eastAsia="fr-FR" w:bidi="he-IL"/>
        </w:rPr>
        <w:t> </w:t>
      </w:r>
      <w:r w:rsidR="00C82C6C" w:rsidRPr="00C406FF">
        <w:rPr>
          <w:rStyle w:val="Appelnotedebasdep"/>
        </w:rPr>
        <w:footnoteReference w:id="95"/>
      </w:r>
      <w:r w:rsidRPr="00C8701B">
        <w:rPr>
          <w:rFonts w:eastAsia="Arial Unicode MS"/>
          <w:bCs/>
          <w:lang w:eastAsia="fr-FR" w:bidi="he-IL"/>
        </w:rPr>
        <w:t>. Etc.</w:t>
      </w:r>
      <w:r w:rsidR="00C2602D" w:rsidRPr="00DC4586">
        <w:rPr>
          <w:rStyle w:val="italicus"/>
        </w:rPr>
        <w:t xml:space="preserve"> </w:t>
      </w:r>
    </w:p>
    <w:p w:rsidR="00C2602D" w:rsidRPr="00DC4586" w:rsidRDefault="00B704AD" w:rsidP="00C2602D">
      <w:pPr>
        <w:rPr>
          <w:rStyle w:val="italicus"/>
        </w:rPr>
      </w:pPr>
      <w:r w:rsidRPr="00C8701B">
        <w:rPr>
          <w:rFonts w:eastAsia="Arial Unicode MS"/>
          <w:bCs/>
          <w:lang w:eastAsia="fr-FR" w:bidi="he-IL"/>
        </w:rPr>
        <w:t>Ils l</w:t>
      </w:r>
      <w:r w:rsidR="00557DE0">
        <w:rPr>
          <w:rFonts w:eastAsia="Arial Unicode MS"/>
          <w:bCs/>
          <w:lang w:eastAsia="fr-FR" w:bidi="he-IL"/>
        </w:rPr>
        <w:t>’</w:t>
      </w:r>
      <w:r w:rsidRPr="00C8701B">
        <w:rPr>
          <w:rFonts w:eastAsia="Arial Unicode MS"/>
          <w:bCs/>
          <w:lang w:eastAsia="fr-FR" w:bidi="he-IL"/>
        </w:rPr>
        <w:t>avouent en termes exprès</w:t>
      </w:r>
      <w:r w:rsidR="00C2602D" w:rsidRPr="00C8701B">
        <w:rPr>
          <w:rFonts w:eastAsia="Arial Unicode MS"/>
          <w:bCs/>
          <w:lang w:eastAsia="fr-FR" w:bidi="he-IL"/>
        </w:rPr>
        <w:t> :</w:t>
      </w:r>
      <w:r w:rsidRPr="00DC4586">
        <w:rPr>
          <w:rStyle w:val="italicus"/>
        </w:rPr>
        <w:t xml:space="preserve"> Multa quidem et </w:t>
      </w:r>
      <w:r w:rsidR="00EC764F">
        <w:rPr>
          <w:rStyle w:val="italicus"/>
        </w:rPr>
        <w:t>ália</w:t>
      </w:r>
      <w:r w:rsidRPr="00DC4586">
        <w:rPr>
          <w:rStyle w:val="italicus"/>
        </w:rPr>
        <w:t xml:space="preserve"> signa fecit Jésus in </w:t>
      </w:r>
      <w:r w:rsidR="00652B4F" w:rsidRPr="00DC4586">
        <w:rPr>
          <w:rStyle w:val="italicus"/>
        </w:rPr>
        <w:t>conspéctu</w:t>
      </w:r>
      <w:r w:rsidRPr="00DC4586">
        <w:rPr>
          <w:rStyle w:val="italicus"/>
        </w:rPr>
        <w:t xml:space="preserve"> </w:t>
      </w:r>
      <w:r w:rsidR="00652B4F" w:rsidRPr="00DC4586">
        <w:rPr>
          <w:rStyle w:val="italicus"/>
        </w:rPr>
        <w:t>discipulórum</w:t>
      </w:r>
      <w:r w:rsidRPr="00DC4586">
        <w:rPr>
          <w:rStyle w:val="italicus"/>
        </w:rPr>
        <w:t xml:space="preserve"> </w:t>
      </w:r>
      <w:r w:rsidR="00652B4F" w:rsidRPr="00DC4586">
        <w:rPr>
          <w:rStyle w:val="italicus"/>
        </w:rPr>
        <w:t>suórum</w:t>
      </w:r>
      <w:r w:rsidR="00E65435">
        <w:rPr>
          <w:rStyle w:val="italicus"/>
        </w:rPr>
        <w:t xml:space="preserve">, </w:t>
      </w:r>
      <w:r w:rsidRPr="00DC4586">
        <w:rPr>
          <w:rStyle w:val="italicus"/>
        </w:rPr>
        <w:t>qu</w:t>
      </w:r>
      <w:r w:rsidR="0037178C">
        <w:rPr>
          <w:rStyle w:val="italicus"/>
        </w:rPr>
        <w:t>æ</w:t>
      </w:r>
      <w:r w:rsidRPr="00DC4586">
        <w:rPr>
          <w:rStyle w:val="italicus"/>
        </w:rPr>
        <w:t xml:space="preserve"> non sunt scripta in libro hoc</w:t>
      </w:r>
      <w:r w:rsidR="00C82C6C">
        <w:rPr>
          <w:rFonts w:eastAsia="Arial Unicode MS"/>
          <w:bCs/>
          <w:lang w:eastAsia="fr-FR" w:bidi="he-IL"/>
        </w:rPr>
        <w:t> </w:t>
      </w:r>
      <w:r w:rsidR="00C82C6C" w:rsidRPr="00C406FF">
        <w:rPr>
          <w:rStyle w:val="Appelnotedebasdep"/>
        </w:rPr>
        <w:footnoteReference w:id="96"/>
      </w:r>
      <w:r w:rsidRPr="00C8701B">
        <w:rPr>
          <w:rFonts w:eastAsia="Arial Unicode MS"/>
          <w:bCs/>
          <w:lang w:eastAsia="fr-FR" w:bidi="he-IL"/>
        </w:rPr>
        <w:t>.</w:t>
      </w:r>
      <w:r w:rsidRPr="00DC4586">
        <w:rPr>
          <w:rStyle w:val="italicus"/>
        </w:rPr>
        <w:t xml:space="preserve"> Sunt autem et </w:t>
      </w:r>
      <w:r w:rsidR="00EC764F">
        <w:rPr>
          <w:rStyle w:val="italicus"/>
        </w:rPr>
        <w:t>ália</w:t>
      </w:r>
      <w:r w:rsidRPr="00DC4586">
        <w:rPr>
          <w:rStyle w:val="italicus"/>
        </w:rPr>
        <w:t xml:space="preserve"> multa qu</w:t>
      </w:r>
      <w:r w:rsidR="0037178C">
        <w:rPr>
          <w:rStyle w:val="italicus"/>
        </w:rPr>
        <w:t>æ</w:t>
      </w:r>
      <w:r w:rsidRPr="00DC4586">
        <w:rPr>
          <w:rStyle w:val="italicus"/>
        </w:rPr>
        <w:t xml:space="preserve"> fecit Jésus</w:t>
      </w:r>
      <w:r w:rsidR="00C2602D" w:rsidRPr="00DC4586">
        <w:rPr>
          <w:rStyle w:val="italicus"/>
        </w:rPr>
        <w:t> </w:t>
      </w:r>
      <w:r w:rsidR="007F6508">
        <w:rPr>
          <w:rStyle w:val="italicus"/>
        </w:rPr>
        <w:t xml:space="preserve">; </w:t>
      </w:r>
      <w:r w:rsidRPr="00DC4586">
        <w:rPr>
          <w:rStyle w:val="italicus"/>
        </w:rPr>
        <w:t>qu</w:t>
      </w:r>
      <w:r w:rsidR="0037178C">
        <w:rPr>
          <w:rStyle w:val="italicus"/>
        </w:rPr>
        <w:t>æ</w:t>
      </w:r>
      <w:r w:rsidRPr="00DC4586">
        <w:rPr>
          <w:rStyle w:val="italicus"/>
        </w:rPr>
        <w:t xml:space="preserve"> si </w:t>
      </w:r>
      <w:r w:rsidR="00652B4F" w:rsidRPr="00DC4586">
        <w:rPr>
          <w:rStyle w:val="italicus"/>
        </w:rPr>
        <w:t>scribántur</w:t>
      </w:r>
      <w:r w:rsidR="00652B4F">
        <w:rPr>
          <w:rStyle w:val="italicus"/>
        </w:rPr>
        <w:t xml:space="preserve"> </w:t>
      </w:r>
      <w:r w:rsidRPr="00DC4586">
        <w:rPr>
          <w:rStyle w:val="italicus"/>
        </w:rPr>
        <w:t xml:space="preserve">per </w:t>
      </w:r>
      <w:r w:rsidR="00652B4F" w:rsidRPr="00DC4586">
        <w:rPr>
          <w:rStyle w:val="italicus"/>
        </w:rPr>
        <w:t>síngula</w:t>
      </w:r>
      <w:r w:rsidR="00E65435">
        <w:rPr>
          <w:rStyle w:val="italicus"/>
        </w:rPr>
        <w:t xml:space="preserve">, </w:t>
      </w:r>
      <w:r w:rsidR="00652B4F">
        <w:rPr>
          <w:rStyle w:val="italicus"/>
        </w:rPr>
        <w:t>nec ipsum árbitro</w:t>
      </w:r>
      <w:r w:rsidR="00652B4F" w:rsidRPr="00DC4586">
        <w:rPr>
          <w:rStyle w:val="italicus"/>
        </w:rPr>
        <w:t>r</w:t>
      </w:r>
      <w:r w:rsidRPr="00DC4586">
        <w:rPr>
          <w:rStyle w:val="italicus"/>
        </w:rPr>
        <w:t xml:space="preserve"> mundum </w:t>
      </w:r>
      <w:r w:rsidR="00652B4F" w:rsidRPr="00DC4586">
        <w:rPr>
          <w:rStyle w:val="italicus"/>
        </w:rPr>
        <w:t>cápere</w:t>
      </w:r>
      <w:r w:rsidRPr="00DC4586">
        <w:rPr>
          <w:rStyle w:val="italicus"/>
        </w:rPr>
        <w:t xml:space="preserve"> posse eos qui </w:t>
      </w:r>
      <w:r w:rsidR="00652B4F" w:rsidRPr="00DC4586">
        <w:rPr>
          <w:rStyle w:val="italicus"/>
        </w:rPr>
        <w:t>scribéndi</w:t>
      </w:r>
      <w:r w:rsidRPr="00DC4586">
        <w:rPr>
          <w:rStyle w:val="italicus"/>
        </w:rPr>
        <w:t xml:space="preserve"> sunt libros</w:t>
      </w:r>
      <w:r w:rsidR="00C82C6C">
        <w:rPr>
          <w:rFonts w:eastAsia="Arial Unicode MS"/>
          <w:lang w:eastAsia="fr-FR" w:bidi="he-IL"/>
        </w:rPr>
        <w:t> </w:t>
      </w:r>
      <w:r w:rsidR="00C82C6C" w:rsidRPr="00C406FF">
        <w:rPr>
          <w:rStyle w:val="Appelnotedebasdep"/>
        </w:rPr>
        <w:footnoteReference w:id="97"/>
      </w:r>
      <w:r w:rsidRPr="00C8701B">
        <w:rPr>
          <w:rFonts w:eastAsia="Arial Unicode MS"/>
          <w:lang w:eastAsia="fr-FR" w:bidi="he-IL"/>
        </w:rPr>
        <w:t>.</w:t>
      </w:r>
      <w:r w:rsidR="00C2602D" w:rsidRPr="00DC4586">
        <w:rPr>
          <w:rStyle w:val="italicus"/>
        </w:rPr>
        <w:t xml:space="preserve"> </w:t>
      </w:r>
    </w:p>
    <w:p w:rsidR="00C2602D" w:rsidRPr="00341514" w:rsidRDefault="00B704AD" w:rsidP="00341514">
      <w:r w:rsidRPr="00C8701B">
        <w:rPr>
          <w:rFonts w:eastAsia="Arial Unicode MS"/>
          <w:bCs/>
          <w:lang w:eastAsia="fr-FR" w:bidi="he-IL"/>
        </w:rPr>
        <w:t>Ils se sont donc simplement proposé de livrer à leurs contemporains</w:t>
      </w:r>
      <w:r w:rsidR="00E65435">
        <w:rPr>
          <w:rFonts w:eastAsia="Arial Unicode MS"/>
          <w:bCs/>
          <w:lang w:eastAsia="fr-FR" w:bidi="he-IL"/>
        </w:rPr>
        <w:t xml:space="preserve">, </w:t>
      </w:r>
      <w:r w:rsidRPr="00C8701B">
        <w:rPr>
          <w:rFonts w:eastAsia="Arial Unicode MS"/>
          <w:bCs/>
          <w:lang w:eastAsia="fr-FR" w:bidi="he-IL"/>
        </w:rPr>
        <w:t>chacun d</w:t>
      </w:r>
      <w:r w:rsidR="00557DE0">
        <w:rPr>
          <w:rFonts w:eastAsia="Arial Unicode MS"/>
          <w:bCs/>
          <w:lang w:eastAsia="fr-FR" w:bidi="he-IL"/>
        </w:rPr>
        <w:t>’</w:t>
      </w:r>
      <w:r w:rsidR="00652B4F">
        <w:rPr>
          <w:rFonts w:eastAsia="Arial Unicode MS"/>
          <w:bCs/>
          <w:lang w:eastAsia="fr-FR" w:bidi="he-IL"/>
        </w:rPr>
        <w:t>après un plan</w:t>
      </w:r>
      <w:r w:rsidRPr="00C8701B">
        <w:rPr>
          <w:rFonts w:eastAsia="Arial Unicode MS"/>
          <w:bCs/>
          <w:lang w:eastAsia="fr-FR" w:bidi="he-IL"/>
        </w:rPr>
        <w:t xml:space="preserve"> spécial que nous avons tâché de déterminer dans nos introductions </w:t>
      </w:r>
      <w:r w:rsidR="00C82C6C">
        <w:rPr>
          <w:rFonts w:eastAsia="Arial Unicode MS"/>
          <w:bCs/>
          <w:lang w:eastAsia="fr-FR" w:bidi="he-IL"/>
        </w:rPr>
        <w:t>particulières à leurs récits </w:t>
      </w:r>
      <w:r w:rsidR="00C82C6C" w:rsidRPr="00C406FF">
        <w:rPr>
          <w:rStyle w:val="Appelnotedebasdep"/>
        </w:rPr>
        <w:footnoteReference w:id="98"/>
      </w:r>
      <w:r w:rsidR="00E65435">
        <w:rPr>
          <w:rFonts w:eastAsia="Arial Unicode MS"/>
          <w:bCs/>
          <w:lang w:eastAsia="fr-FR" w:bidi="he-IL"/>
        </w:rPr>
        <w:t xml:space="preserve">, </w:t>
      </w:r>
      <w:r w:rsidRPr="00C8701B">
        <w:rPr>
          <w:rFonts w:eastAsia="Arial Unicode MS"/>
          <w:bCs/>
          <w:lang w:eastAsia="fr-FR" w:bidi="he-IL"/>
        </w:rPr>
        <w:t>un extrait de l</w:t>
      </w:r>
      <w:r w:rsidR="00557DE0">
        <w:rPr>
          <w:rFonts w:eastAsia="Arial Unicode MS"/>
          <w:bCs/>
          <w:lang w:eastAsia="fr-FR" w:bidi="he-IL"/>
        </w:rPr>
        <w:t>’</w:t>
      </w:r>
      <w:r w:rsidRPr="00C8701B">
        <w:rPr>
          <w:rFonts w:eastAsia="Arial Unicode MS"/>
          <w:bCs/>
          <w:lang w:eastAsia="fr-FR" w:bidi="he-IL"/>
        </w:rPr>
        <w:t>histoire et de renseignement de l</w:t>
      </w:r>
      <w:r w:rsidR="00557DE0">
        <w:rPr>
          <w:rFonts w:eastAsia="Arial Unicode MS"/>
          <w:bCs/>
          <w:lang w:eastAsia="fr-FR" w:bidi="he-IL"/>
        </w:rPr>
        <w:t>’</w:t>
      </w:r>
      <w:r w:rsidRPr="00C8701B">
        <w:rPr>
          <w:rFonts w:eastAsia="Arial Unicode MS"/>
          <w:bCs/>
          <w:lang w:eastAsia="fr-FR" w:bidi="he-IL"/>
        </w:rPr>
        <w:t>Homme-Dieu. C</w:t>
      </w:r>
      <w:r w:rsidR="00557DE0">
        <w:rPr>
          <w:rFonts w:eastAsia="Arial Unicode MS"/>
          <w:bCs/>
          <w:lang w:eastAsia="fr-FR" w:bidi="he-IL"/>
        </w:rPr>
        <w:t>’</w:t>
      </w:r>
      <w:r w:rsidRPr="00C8701B">
        <w:rPr>
          <w:rFonts w:eastAsia="Arial Unicode MS"/>
          <w:bCs/>
          <w:lang w:eastAsia="fr-FR" w:bidi="he-IL"/>
        </w:rPr>
        <w:t xml:space="preserve">est pour cela que les premiers écrivains chrétiens donnaient aux évangiles le nom de </w:t>
      </w:r>
      <w:r w:rsidR="00F12048" w:rsidRPr="00C8701B">
        <w:rPr>
          <w:rFonts w:eastAsia="Arial Unicode MS"/>
          <w:bCs/>
          <w:lang w:eastAsia="fr-FR" w:bidi="he-IL"/>
        </w:rPr>
        <w:t>« </w:t>
      </w:r>
      <w:r w:rsidRPr="00C8701B">
        <w:rPr>
          <w:rFonts w:eastAsia="Arial Unicode MS"/>
          <w:bCs/>
          <w:lang w:eastAsia="fr-FR" w:bidi="he-IL"/>
        </w:rPr>
        <w:t>Mémoires</w:t>
      </w:r>
      <w:r w:rsidR="00C2602D" w:rsidRPr="00C8701B">
        <w:rPr>
          <w:rFonts w:eastAsia="Arial Unicode MS"/>
          <w:bCs/>
          <w:lang w:eastAsia="fr-FR" w:bidi="he-IL"/>
        </w:rPr>
        <w:t> »</w:t>
      </w:r>
      <w:r w:rsidR="00E65435">
        <w:rPr>
          <w:rFonts w:eastAsia="Arial Unicode MS"/>
          <w:bCs/>
          <w:lang w:eastAsia="fr-FR" w:bidi="he-IL"/>
        </w:rPr>
        <w:t xml:space="preserve">, </w:t>
      </w:r>
      <w:r w:rsidR="00341514">
        <w:t>ἀ</w:t>
      </w:r>
      <w:r w:rsidR="00C82C6C">
        <w:t>πομνημονε</w:t>
      </w:r>
      <w:r w:rsidR="00C151D4">
        <w:t>ύ</w:t>
      </w:r>
      <w:r w:rsidR="00C82C6C">
        <w:t>μ</w:t>
      </w:r>
      <w:r w:rsidR="00A74F01">
        <w:t>α</w:t>
      </w:r>
      <w:r w:rsidR="00C82C6C">
        <w:t>τ</w:t>
      </w:r>
      <w:r w:rsidR="00A74F01">
        <w:t>α</w:t>
      </w:r>
      <w:r w:rsidR="00C82C6C">
        <w:t> </w:t>
      </w:r>
      <w:r w:rsidR="00C82C6C" w:rsidRPr="00C406FF">
        <w:rPr>
          <w:rStyle w:val="Appelnotedebasdep"/>
        </w:rPr>
        <w:footnoteReference w:id="99"/>
      </w:r>
      <w:r w:rsidRPr="00341514">
        <w:t>.</w:t>
      </w:r>
      <w:r w:rsidR="00C2602D" w:rsidRPr="00341514">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Non seulement chaque évangile pris à part est incomplet</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mais alors même qu</w:t>
      </w:r>
      <w:r w:rsidR="00557DE0">
        <w:rPr>
          <w:rFonts w:eastAsia="Arial Unicode MS"/>
          <w:bCs/>
          <w:lang w:eastAsia="fr-FR" w:bidi="he-IL"/>
        </w:rPr>
        <w:t>’</w:t>
      </w:r>
      <w:r w:rsidRPr="00C8701B">
        <w:rPr>
          <w:rFonts w:eastAsia="Arial Unicode MS"/>
          <w:bCs/>
          <w:lang w:eastAsia="fr-FR" w:bidi="he-IL"/>
        </w:rPr>
        <w:t>on réunit</w:t>
      </w:r>
      <w:r w:rsidR="00E65435">
        <w:rPr>
          <w:rFonts w:eastAsia="Arial Unicode MS"/>
          <w:bCs/>
          <w:lang w:eastAsia="fr-FR" w:bidi="he-IL"/>
        </w:rPr>
        <w:t xml:space="preserve">, </w:t>
      </w:r>
      <w:r w:rsidRPr="00C8701B">
        <w:rPr>
          <w:rFonts w:eastAsia="Arial Unicode MS"/>
          <w:bCs/>
          <w:lang w:eastAsia="fr-FR" w:bidi="he-IL"/>
        </w:rPr>
        <w:t>sous forme d</w:t>
      </w:r>
      <w:r w:rsidR="00557DE0">
        <w:rPr>
          <w:rFonts w:eastAsia="Arial Unicode MS"/>
          <w:bCs/>
          <w:lang w:eastAsia="fr-FR" w:bidi="he-IL"/>
        </w:rPr>
        <w:t>’</w:t>
      </w:r>
      <w:r w:rsidRPr="00C8701B">
        <w:rPr>
          <w:rFonts w:eastAsia="Arial Unicode MS"/>
          <w:bCs/>
          <w:lang w:eastAsia="fr-FR" w:bidi="he-IL"/>
        </w:rPr>
        <w:t>Harmonie ou de Concorde</w:t>
      </w:r>
      <w:r w:rsidR="00E65435">
        <w:rPr>
          <w:rFonts w:eastAsia="Arial Unicode MS"/>
          <w:bCs/>
          <w:lang w:eastAsia="fr-FR" w:bidi="he-IL"/>
        </w:rPr>
        <w:t xml:space="preserve">, </w:t>
      </w:r>
      <w:r w:rsidRPr="00C8701B">
        <w:rPr>
          <w:rFonts w:eastAsia="Arial Unicode MS"/>
          <w:bCs/>
          <w:lang w:eastAsia="fr-FR" w:bidi="he-IL"/>
        </w:rPr>
        <w:t>tous les éléments contenus dans la quadruple narration</w:t>
      </w:r>
      <w:r w:rsidR="00E65435">
        <w:rPr>
          <w:rFonts w:eastAsia="Arial Unicode MS"/>
          <w:bCs/>
          <w:lang w:eastAsia="fr-FR" w:bidi="he-IL"/>
        </w:rPr>
        <w:t xml:space="preserve">, </w:t>
      </w:r>
      <w:r w:rsidRPr="00C8701B">
        <w:rPr>
          <w:rFonts w:eastAsia="Arial Unicode MS"/>
          <w:bCs/>
          <w:lang w:eastAsia="fr-FR" w:bidi="he-IL"/>
        </w:rPr>
        <w:t>on n</w:t>
      </w:r>
      <w:r w:rsidR="00557DE0">
        <w:rPr>
          <w:rFonts w:eastAsia="Arial Unicode MS"/>
          <w:bCs/>
          <w:lang w:eastAsia="fr-FR" w:bidi="he-IL"/>
        </w:rPr>
        <w:t>’</w:t>
      </w:r>
      <w:r w:rsidRPr="00C8701B">
        <w:rPr>
          <w:rFonts w:eastAsia="Arial Unicode MS"/>
          <w:bCs/>
          <w:lang w:eastAsia="fr-FR" w:bidi="he-IL"/>
        </w:rPr>
        <w:t>obtient encore qu</w:t>
      </w:r>
      <w:r w:rsidR="00557DE0">
        <w:rPr>
          <w:rFonts w:eastAsia="Arial Unicode MS"/>
          <w:bCs/>
          <w:lang w:eastAsia="fr-FR" w:bidi="he-IL"/>
        </w:rPr>
        <w:t>’</w:t>
      </w:r>
      <w:r w:rsidRPr="00C8701B">
        <w:rPr>
          <w:rFonts w:eastAsia="Arial Unicode MS"/>
          <w:bCs/>
          <w:lang w:eastAsia="fr-FR" w:bidi="he-IL"/>
        </w:rPr>
        <w:t>un résumé</w:t>
      </w:r>
      <w:r w:rsidR="00E65435">
        <w:rPr>
          <w:rFonts w:eastAsia="Arial Unicode MS"/>
          <w:bCs/>
          <w:lang w:eastAsia="fr-FR" w:bidi="he-IL"/>
        </w:rPr>
        <w:t xml:space="preserve">, </w:t>
      </w:r>
      <w:r w:rsidRPr="00C8701B">
        <w:rPr>
          <w:rFonts w:eastAsia="Arial Unicode MS"/>
          <w:bCs/>
          <w:lang w:eastAsia="fr-FR" w:bidi="he-IL"/>
        </w:rPr>
        <w:t>qu</w:t>
      </w:r>
      <w:r w:rsidR="00557DE0">
        <w:rPr>
          <w:rFonts w:eastAsia="Arial Unicode MS"/>
          <w:bCs/>
          <w:lang w:eastAsia="fr-FR" w:bidi="he-IL"/>
        </w:rPr>
        <w:t>’</w:t>
      </w:r>
      <w:r w:rsidRPr="00C8701B">
        <w:rPr>
          <w:rFonts w:eastAsia="Arial Unicode MS"/>
          <w:bCs/>
          <w:lang w:eastAsia="fr-FR" w:bidi="he-IL"/>
        </w:rPr>
        <w:t>un abrégé de la vie du Sauveur. Que savons-nous des trente premières années de N.-S. Jésus-Christ</w:t>
      </w:r>
      <w:r w:rsidR="00C2602D" w:rsidRPr="00C8701B">
        <w:rPr>
          <w:rFonts w:eastAsia="Arial Unicode MS"/>
          <w:bCs/>
          <w:lang w:eastAsia="fr-FR" w:bidi="he-IL"/>
        </w:rPr>
        <w:t> ?</w:t>
      </w:r>
      <w:r w:rsidRPr="00C8701B">
        <w:rPr>
          <w:rFonts w:eastAsia="Arial Unicode MS"/>
          <w:bCs/>
          <w:lang w:eastAsia="fr-FR" w:bidi="he-IL"/>
        </w:rPr>
        <w:t xml:space="preserve"> Que savons-nous des quarante jours qui s</w:t>
      </w:r>
      <w:r w:rsidR="00557DE0">
        <w:rPr>
          <w:rFonts w:eastAsia="Arial Unicode MS"/>
          <w:bCs/>
          <w:lang w:eastAsia="fr-FR" w:bidi="he-IL"/>
        </w:rPr>
        <w:t>’</w:t>
      </w:r>
      <w:r w:rsidRPr="00C8701B">
        <w:rPr>
          <w:rFonts w:eastAsia="Arial Unicode MS"/>
          <w:bCs/>
          <w:lang w:eastAsia="fr-FR" w:bidi="he-IL"/>
        </w:rPr>
        <w:t>écoulèrent entre sa résurrection et son ascension</w:t>
      </w:r>
      <w:r w:rsidR="00C2602D" w:rsidRPr="00C8701B">
        <w:rPr>
          <w:rFonts w:eastAsia="Arial Unicode MS"/>
          <w:bCs/>
          <w:lang w:eastAsia="fr-FR" w:bidi="he-IL"/>
        </w:rPr>
        <w:t> ?</w:t>
      </w:r>
      <w:r w:rsidRPr="00C8701B">
        <w:rPr>
          <w:rFonts w:eastAsia="Arial Unicode MS"/>
          <w:bCs/>
          <w:lang w:eastAsia="fr-FR" w:bidi="he-IL"/>
        </w:rPr>
        <w:t xml:space="preserve"> Que savons-nous de la vie publique du Messie</w:t>
      </w:r>
      <w:r w:rsidR="00E65435">
        <w:rPr>
          <w:rFonts w:eastAsia="Arial Unicode MS"/>
          <w:bCs/>
          <w:lang w:eastAsia="fr-FR" w:bidi="he-IL"/>
        </w:rPr>
        <w:t xml:space="preserve">, </w:t>
      </w:r>
      <w:r w:rsidRPr="00C8701B">
        <w:rPr>
          <w:rFonts w:eastAsia="Arial Unicode MS"/>
          <w:bCs/>
          <w:lang w:eastAsia="fr-FR" w:bidi="he-IL"/>
        </w:rPr>
        <w:t>bien qu</w:t>
      </w:r>
      <w:r w:rsidR="00557DE0">
        <w:rPr>
          <w:rFonts w:eastAsia="Arial Unicode MS"/>
          <w:bCs/>
          <w:lang w:eastAsia="fr-FR" w:bidi="he-IL"/>
        </w:rPr>
        <w:t>’</w:t>
      </w:r>
      <w:r w:rsidRPr="00C8701B">
        <w:rPr>
          <w:rFonts w:eastAsia="Arial Unicode MS"/>
          <w:bCs/>
          <w:lang w:eastAsia="fr-FR" w:bidi="he-IL"/>
        </w:rPr>
        <w:t>elle constitue en réalité le fond de l</w:t>
      </w:r>
      <w:r w:rsidR="00557DE0">
        <w:rPr>
          <w:rFonts w:eastAsia="Arial Unicode MS"/>
          <w:bCs/>
          <w:lang w:eastAsia="fr-FR" w:bidi="he-IL"/>
        </w:rPr>
        <w:t>’</w:t>
      </w:r>
      <w:r w:rsidRPr="00C8701B">
        <w:rPr>
          <w:rFonts w:eastAsia="Arial Unicode MS"/>
          <w:bCs/>
          <w:lang w:eastAsia="fr-FR" w:bidi="he-IL"/>
        </w:rPr>
        <w:t>histoire évangélique</w:t>
      </w:r>
      <w:r w:rsidR="00C2602D" w:rsidRPr="00C8701B">
        <w:rPr>
          <w:rFonts w:eastAsia="Arial Unicode MS"/>
          <w:bCs/>
          <w:lang w:eastAsia="fr-FR" w:bidi="he-IL"/>
        </w:rPr>
        <w:t> ?</w:t>
      </w:r>
      <w:r w:rsidRPr="00C8701B">
        <w:rPr>
          <w:rFonts w:eastAsia="Arial Unicode MS"/>
          <w:bCs/>
          <w:lang w:eastAsia="fr-FR" w:bidi="he-IL"/>
        </w:rPr>
        <w:t xml:space="preserve"> Sur toutes ces époques nous n</w:t>
      </w:r>
      <w:r w:rsidR="00557DE0">
        <w:rPr>
          <w:rFonts w:eastAsia="Arial Unicode MS"/>
          <w:bCs/>
          <w:lang w:eastAsia="fr-FR" w:bidi="he-IL"/>
        </w:rPr>
        <w:t>’</w:t>
      </w:r>
      <w:r w:rsidR="00341514">
        <w:rPr>
          <w:rFonts w:eastAsia="Arial Unicode MS"/>
          <w:bCs/>
          <w:lang w:eastAsia="fr-FR" w:bidi="he-IL"/>
        </w:rPr>
        <w:t>avons qu</w:t>
      </w:r>
      <w:r w:rsidRPr="00C8701B">
        <w:rPr>
          <w:rFonts w:eastAsia="Arial Unicode MS"/>
          <w:bCs/>
          <w:lang w:eastAsia="fr-FR" w:bidi="he-IL"/>
        </w:rPr>
        <w:t>e des extraits.</w:t>
      </w:r>
      <w:r w:rsidR="00C2602D" w:rsidRPr="00C8701B">
        <w:rPr>
          <w:rFonts w:eastAsia="Arial Unicode MS"/>
          <w:bCs/>
          <w:lang w:eastAsia="fr-FR" w:bidi="he-IL"/>
        </w:rPr>
        <w:t xml:space="preserve"> </w:t>
      </w:r>
    </w:p>
    <w:p w:rsidR="00C2602D" w:rsidRPr="00C8701B" w:rsidRDefault="00B704AD" w:rsidP="00E87D10">
      <w:pPr>
        <w:rPr>
          <w:rFonts w:eastAsia="Arial Unicode MS"/>
          <w:bCs/>
          <w:lang w:eastAsia="fr-FR" w:bidi="he-IL"/>
        </w:rPr>
      </w:pPr>
      <w:r w:rsidRPr="00C8701B">
        <w:rPr>
          <w:rFonts w:eastAsia="Arial Unicode MS"/>
          <w:bCs/>
          <w:lang w:eastAsia="fr-FR" w:bidi="he-IL"/>
        </w:rPr>
        <w:t>Néanmoins</w:t>
      </w:r>
      <w:r w:rsidR="00E65435">
        <w:rPr>
          <w:rFonts w:eastAsia="Arial Unicode MS"/>
          <w:bCs/>
          <w:lang w:eastAsia="fr-FR" w:bidi="he-IL"/>
        </w:rPr>
        <w:t>,</w:t>
      </w:r>
      <w:bookmarkStart w:id="32" w:name="evin060201neanmoins"/>
      <w:bookmarkEnd w:id="32"/>
      <w:r w:rsidR="00E65435">
        <w:rPr>
          <w:rFonts w:eastAsia="Arial Unicode MS"/>
          <w:bCs/>
          <w:lang w:eastAsia="fr-FR" w:bidi="he-IL"/>
        </w:rPr>
        <w:t xml:space="preserve"> </w:t>
      </w:r>
      <w:r w:rsidRPr="00C8701B">
        <w:rPr>
          <w:rFonts w:eastAsia="Arial Unicode MS"/>
          <w:bCs/>
          <w:lang w:eastAsia="fr-FR" w:bidi="he-IL"/>
        </w:rPr>
        <w:t>hâtons-nous de le dire</w:t>
      </w:r>
      <w:r w:rsidR="00E65435">
        <w:rPr>
          <w:rFonts w:eastAsia="Arial Unicode MS"/>
          <w:bCs/>
          <w:lang w:eastAsia="fr-FR" w:bidi="he-IL"/>
        </w:rPr>
        <w:t xml:space="preserve">, </w:t>
      </w:r>
      <w:r w:rsidRPr="00C8701B">
        <w:rPr>
          <w:rFonts w:eastAsia="Arial Unicode MS"/>
          <w:bCs/>
          <w:lang w:eastAsia="fr-FR" w:bidi="he-IL"/>
        </w:rPr>
        <w:t>ces extraits suffisent amplement pour nous faire connaître Jésus-Christ autant qu</w:t>
      </w:r>
      <w:r w:rsidR="00557DE0">
        <w:rPr>
          <w:rFonts w:eastAsia="Arial Unicode MS"/>
          <w:bCs/>
          <w:lang w:eastAsia="fr-FR" w:bidi="he-IL"/>
        </w:rPr>
        <w:t>’</w:t>
      </w:r>
      <w:r w:rsidRPr="00C8701B">
        <w:rPr>
          <w:rFonts w:eastAsia="Arial Unicode MS"/>
          <w:bCs/>
          <w:lang w:eastAsia="fr-FR" w:bidi="he-IL"/>
        </w:rPr>
        <w:t>il importait à l</w:t>
      </w:r>
      <w:r w:rsidR="00557DE0">
        <w:rPr>
          <w:rFonts w:eastAsia="Arial Unicode MS"/>
          <w:bCs/>
          <w:lang w:eastAsia="fr-FR" w:bidi="he-IL"/>
        </w:rPr>
        <w:t>’</w:t>
      </w:r>
      <w:r w:rsidRPr="00C8701B">
        <w:rPr>
          <w:rFonts w:eastAsia="Arial Unicode MS"/>
          <w:bCs/>
          <w:lang w:eastAsia="fr-FR" w:bidi="he-IL"/>
        </w:rPr>
        <w:t>œuvre de la rédemption. Nous possédons l</w:t>
      </w:r>
      <w:r w:rsidR="00557DE0">
        <w:rPr>
          <w:rFonts w:eastAsia="Arial Unicode MS"/>
          <w:bCs/>
          <w:lang w:eastAsia="fr-FR" w:bidi="he-IL"/>
        </w:rPr>
        <w:t>’</w:t>
      </w:r>
      <w:r w:rsidRPr="00C8701B">
        <w:rPr>
          <w:rFonts w:eastAsia="Arial Unicode MS"/>
          <w:bCs/>
          <w:lang w:eastAsia="fr-FR" w:bidi="he-IL"/>
        </w:rPr>
        <w:t>essentiel. Les quatre portraits aux physionomies distinctes</w:t>
      </w:r>
      <w:r w:rsidR="00E65435">
        <w:rPr>
          <w:rFonts w:eastAsia="Arial Unicode MS"/>
          <w:bCs/>
          <w:lang w:eastAsia="fr-FR" w:bidi="he-IL"/>
        </w:rPr>
        <w:t xml:space="preserve">, </w:t>
      </w:r>
      <w:r w:rsidRPr="00C8701B">
        <w:rPr>
          <w:rFonts w:eastAsia="Arial Unicode MS"/>
          <w:bCs/>
          <w:lang w:eastAsia="fr-FR" w:bidi="he-IL"/>
        </w:rPr>
        <w:t>et pourtant si ressemblantes</w:t>
      </w:r>
      <w:r w:rsidR="00E65435">
        <w:rPr>
          <w:rFonts w:eastAsia="Arial Unicode MS"/>
          <w:bCs/>
          <w:lang w:eastAsia="fr-FR" w:bidi="he-IL"/>
        </w:rPr>
        <w:t xml:space="preserve">, </w:t>
      </w:r>
      <w:r w:rsidRPr="00C8701B">
        <w:rPr>
          <w:rFonts w:eastAsia="Arial Unicode MS"/>
          <w:bCs/>
          <w:lang w:eastAsia="fr-FR" w:bidi="he-IL"/>
        </w:rPr>
        <w:t>nous révèlent le Maître aussi pleinement qu</w:t>
      </w:r>
      <w:r w:rsidR="00557DE0">
        <w:rPr>
          <w:rFonts w:eastAsia="Arial Unicode MS"/>
          <w:bCs/>
          <w:lang w:eastAsia="fr-FR" w:bidi="he-IL"/>
        </w:rPr>
        <w:t>’</w:t>
      </w:r>
      <w:r w:rsidRPr="00C8701B">
        <w:rPr>
          <w:rFonts w:eastAsia="Arial Unicode MS"/>
          <w:bCs/>
          <w:lang w:eastAsia="fr-FR" w:bidi="he-IL"/>
        </w:rPr>
        <w:t>il entrait dans les desseins de Dieu. Le choix des actions de Jésus</w:t>
      </w:r>
      <w:r w:rsidR="00E65435">
        <w:rPr>
          <w:rFonts w:eastAsia="Arial Unicode MS"/>
          <w:bCs/>
          <w:lang w:eastAsia="fr-FR" w:bidi="he-IL"/>
        </w:rPr>
        <w:t xml:space="preserve">, </w:t>
      </w:r>
      <w:r w:rsidRPr="00C8701B">
        <w:rPr>
          <w:rFonts w:eastAsia="Arial Unicode MS"/>
          <w:bCs/>
          <w:lang w:eastAsia="fr-FR" w:bidi="he-IL"/>
        </w:rPr>
        <w:t>de ses miracles</w:t>
      </w:r>
      <w:r w:rsidR="00E65435">
        <w:rPr>
          <w:rFonts w:eastAsia="Arial Unicode MS"/>
          <w:bCs/>
          <w:lang w:eastAsia="fr-FR" w:bidi="he-IL"/>
        </w:rPr>
        <w:t xml:space="preserve">, </w:t>
      </w:r>
      <w:r w:rsidRPr="00C8701B">
        <w:rPr>
          <w:rFonts w:eastAsia="Arial Unicode MS"/>
          <w:bCs/>
          <w:lang w:eastAsia="fr-FR" w:bidi="he-IL"/>
        </w:rPr>
        <w:t>de ses discours</w:t>
      </w:r>
      <w:r w:rsidR="00E65435">
        <w:rPr>
          <w:rFonts w:eastAsia="Arial Unicode MS"/>
          <w:bCs/>
          <w:lang w:eastAsia="fr-FR" w:bidi="he-IL"/>
        </w:rPr>
        <w:t xml:space="preserve">, </w:t>
      </w:r>
      <w:r w:rsidR="00341514">
        <w:rPr>
          <w:rFonts w:eastAsia="Arial Unicode MS"/>
          <w:bCs/>
          <w:lang w:eastAsia="fr-FR" w:bidi="he-IL"/>
        </w:rPr>
        <w:t>a été f</w:t>
      </w:r>
      <w:r w:rsidRPr="00C8701B">
        <w:rPr>
          <w:rFonts w:eastAsia="Arial Unicode MS"/>
          <w:bCs/>
          <w:lang w:eastAsia="fr-FR" w:bidi="he-IL"/>
        </w:rPr>
        <w:t>ait de telle sorte</w:t>
      </w:r>
      <w:r w:rsidR="00C87A2B">
        <w:rPr>
          <w:rFonts w:eastAsia="Arial Unicode MS"/>
          <w:bCs/>
          <w:lang w:eastAsia="fr-FR" w:bidi="he-IL"/>
        </w:rPr>
        <w:t>,</w:t>
      </w:r>
      <w:r w:rsidR="00E65435">
        <w:rPr>
          <w:rFonts w:eastAsia="Arial Unicode MS"/>
          <w:bCs/>
          <w:lang w:eastAsia="fr-FR" w:bidi="he-IL"/>
        </w:rPr>
        <w:t xml:space="preserve"> </w:t>
      </w:r>
      <w:r w:rsidRPr="00C8701B">
        <w:rPr>
          <w:rFonts w:eastAsia="Arial Unicode MS"/>
          <w:bCs/>
          <w:lang w:eastAsia="fr-FR" w:bidi="he-IL"/>
        </w:rPr>
        <w:t>sous l</w:t>
      </w:r>
      <w:r w:rsidR="00557DE0">
        <w:rPr>
          <w:rFonts w:eastAsia="Arial Unicode MS"/>
          <w:bCs/>
          <w:lang w:eastAsia="fr-FR" w:bidi="he-IL"/>
        </w:rPr>
        <w:t>’</w:t>
      </w:r>
      <w:r w:rsidRPr="00C8701B">
        <w:rPr>
          <w:rFonts w:eastAsia="Arial Unicode MS"/>
          <w:bCs/>
          <w:lang w:eastAsia="fr-FR" w:bidi="he-IL"/>
        </w:rPr>
        <w:t>inspiration divine</w:t>
      </w:r>
      <w:r w:rsidR="00E65435">
        <w:rPr>
          <w:rFonts w:eastAsia="Arial Unicode MS"/>
          <w:bCs/>
          <w:lang w:eastAsia="fr-FR" w:bidi="he-IL"/>
        </w:rPr>
        <w:t xml:space="preserve">, </w:t>
      </w:r>
      <w:r w:rsidRPr="00C8701B">
        <w:rPr>
          <w:rFonts w:eastAsia="Arial Unicode MS"/>
          <w:bCs/>
          <w:lang w:eastAsia="fr-FR" w:bidi="he-IL"/>
        </w:rPr>
        <w:t>qu</w:t>
      </w:r>
      <w:r w:rsidR="00557DE0">
        <w:rPr>
          <w:rFonts w:eastAsia="Arial Unicode MS"/>
          <w:bCs/>
          <w:lang w:eastAsia="fr-FR" w:bidi="he-IL"/>
        </w:rPr>
        <w:t>’</w:t>
      </w:r>
      <w:r w:rsidRPr="00C8701B">
        <w:rPr>
          <w:rFonts w:eastAsia="Arial Unicode MS"/>
          <w:bCs/>
          <w:lang w:eastAsia="fr-FR" w:bidi="he-IL"/>
        </w:rPr>
        <w:t>un nombre même illimité d</w:t>
      </w:r>
      <w:r w:rsidR="00557DE0">
        <w:rPr>
          <w:rFonts w:eastAsia="Arial Unicode MS"/>
          <w:bCs/>
          <w:lang w:eastAsia="fr-FR" w:bidi="he-IL"/>
        </w:rPr>
        <w:t>’</w:t>
      </w:r>
      <w:r w:rsidRPr="00C8701B">
        <w:rPr>
          <w:rFonts w:eastAsia="Arial Unicode MS"/>
          <w:bCs/>
          <w:lang w:eastAsia="fr-FR" w:bidi="he-IL"/>
        </w:rPr>
        <w:t>actions</w:t>
      </w:r>
      <w:r w:rsidR="00E65435">
        <w:rPr>
          <w:rFonts w:eastAsia="Arial Unicode MS"/>
          <w:bCs/>
          <w:lang w:eastAsia="fr-FR" w:bidi="he-IL"/>
        </w:rPr>
        <w:t xml:space="preserve">, </w:t>
      </w:r>
      <w:r w:rsidR="000716BB" w:rsidRPr="000716BB">
        <w:rPr>
          <w:rFonts w:eastAsia="Arial Unicode MS"/>
          <w:bCs/>
          <w:lang w:eastAsia="fr-FR" w:bidi="he-IL"/>
        </w:rPr>
        <w:t>{</w:t>
      </w:r>
      <w:r w:rsidR="000716BB">
        <w:rPr>
          <w:rFonts w:eastAsia="Arial Unicode MS"/>
          <w:bCs/>
          <w:lang w:eastAsia="fr-FR" w:bidi="he-IL"/>
        </w:rPr>
        <w:t>17</w:t>
      </w:r>
      <w:bookmarkStart w:id="33" w:name="pag017"/>
      <w:bookmarkEnd w:id="33"/>
      <w:r w:rsidR="000716BB" w:rsidRPr="000716BB">
        <w:rPr>
          <w:rFonts w:eastAsia="Arial Unicode MS"/>
          <w:bCs/>
          <w:lang w:eastAsia="fr-FR" w:bidi="he-IL"/>
        </w:rPr>
        <w:t xml:space="preserve">} </w:t>
      </w:r>
      <w:r w:rsidR="00341514">
        <w:rPr>
          <w:rFonts w:eastAsia="Arial Unicode MS"/>
          <w:bCs/>
          <w:lang w:eastAsia="fr-FR" w:bidi="he-IL"/>
        </w:rPr>
        <w:t>d</w:t>
      </w:r>
      <w:r w:rsidRPr="00C8701B">
        <w:rPr>
          <w:rFonts w:eastAsia="Arial Unicode MS"/>
          <w:bCs/>
          <w:lang w:eastAsia="fr-FR" w:bidi="he-IL"/>
        </w:rPr>
        <w:t>e miracles</w:t>
      </w:r>
      <w:r w:rsidR="00E65435">
        <w:rPr>
          <w:rFonts w:eastAsia="Arial Unicode MS"/>
          <w:bCs/>
          <w:lang w:eastAsia="fr-FR" w:bidi="he-IL"/>
        </w:rPr>
        <w:t xml:space="preserve">, </w:t>
      </w:r>
      <w:r w:rsidRPr="00C8701B">
        <w:rPr>
          <w:rFonts w:eastAsia="Arial Unicode MS"/>
          <w:bCs/>
          <w:lang w:eastAsia="fr-FR" w:bidi="he-IL"/>
        </w:rPr>
        <w:t>de paroles analogues</w:t>
      </w:r>
      <w:r w:rsidR="00E65435">
        <w:rPr>
          <w:rFonts w:eastAsia="Arial Unicode MS"/>
          <w:bCs/>
          <w:lang w:eastAsia="fr-FR" w:bidi="he-IL"/>
        </w:rPr>
        <w:t xml:space="preserve">, </w:t>
      </w:r>
      <w:r w:rsidRPr="00C8701B">
        <w:rPr>
          <w:rFonts w:eastAsia="Arial Unicode MS"/>
          <w:bCs/>
          <w:lang w:eastAsia="fr-FR" w:bidi="he-IL"/>
        </w:rPr>
        <w:t>ne nous apprendrait rien de plus· pour nous démontrer la divinité de N.-S. Jésus-Christ.</w:t>
      </w:r>
      <w:r w:rsidR="00C2602D" w:rsidRPr="00C8701B">
        <w:rPr>
          <w:rFonts w:eastAsia="Arial Unicode MS"/>
          <w:bCs/>
          <w:lang w:eastAsia="fr-FR" w:bidi="he-IL"/>
        </w:rPr>
        <w:t xml:space="preserve"> </w:t>
      </w:r>
    </w:p>
    <w:p w:rsidR="00C2602D" w:rsidRPr="00C8701B" w:rsidRDefault="00B704AD" w:rsidP="00341514">
      <w:pPr>
        <w:rPr>
          <w:rFonts w:eastAsia="Arial Unicode MS"/>
          <w:bCs/>
          <w:lang w:eastAsia="fr-FR" w:bidi="he-IL"/>
        </w:rPr>
      </w:pP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ailleurs</w:t>
      </w:r>
      <w:r w:rsidR="00E65435">
        <w:rPr>
          <w:rFonts w:eastAsia="Arial Unicode MS"/>
          <w:bCs/>
          <w:lang w:eastAsia="fr-FR" w:bidi="he-IL"/>
        </w:rPr>
        <w:t xml:space="preserve">, </w:t>
      </w:r>
      <w:r w:rsidRPr="00C8701B">
        <w:rPr>
          <w:rFonts w:eastAsia="Arial Unicode MS"/>
          <w:bCs/>
          <w:lang w:eastAsia="fr-FR" w:bidi="he-IL"/>
        </w:rPr>
        <w:t>était-il donc possible de réaliser d</w:t>
      </w:r>
      <w:r w:rsidR="00557DE0">
        <w:rPr>
          <w:rFonts w:eastAsia="Arial Unicode MS"/>
          <w:bCs/>
          <w:lang w:eastAsia="fr-FR" w:bidi="he-IL"/>
        </w:rPr>
        <w:t>’</w:t>
      </w:r>
      <w:r w:rsidRPr="00C8701B">
        <w:rPr>
          <w:rFonts w:eastAsia="Arial Unicode MS"/>
          <w:bCs/>
          <w:lang w:eastAsia="fr-FR" w:bidi="he-IL"/>
        </w:rPr>
        <w:t>une manière complète et adéquate l</w:t>
      </w:r>
      <w:r w:rsidR="00557DE0">
        <w:rPr>
          <w:rFonts w:eastAsia="Arial Unicode MS"/>
          <w:bCs/>
          <w:lang w:eastAsia="fr-FR" w:bidi="he-IL"/>
        </w:rPr>
        <w:t>’</w:t>
      </w:r>
      <w:r w:rsidRPr="00C8701B">
        <w:rPr>
          <w:rFonts w:eastAsia="Arial Unicode MS"/>
          <w:bCs/>
          <w:lang w:eastAsia="fr-FR" w:bidi="he-IL"/>
        </w:rPr>
        <w:t>idée de l</w:t>
      </w:r>
      <w:r w:rsidR="00557DE0">
        <w:rPr>
          <w:rFonts w:eastAsia="Arial Unicode MS"/>
          <w:bCs/>
          <w:lang w:eastAsia="fr-FR" w:bidi="he-IL"/>
        </w:rPr>
        <w:t>’</w:t>
      </w:r>
      <w:r w:rsidRPr="00C8701B">
        <w:rPr>
          <w:rFonts w:eastAsia="Arial Unicode MS"/>
          <w:bCs/>
          <w:lang w:eastAsia="fr-FR" w:bidi="he-IL"/>
        </w:rPr>
        <w:t>évangile absolu</w:t>
      </w:r>
      <w:r w:rsidR="00E65435">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est-à-dire</w:t>
      </w:r>
      <w:r w:rsidR="00E65435">
        <w:rPr>
          <w:rFonts w:eastAsia="Arial Unicode MS"/>
          <w:bCs/>
          <w:lang w:eastAsia="fr-FR" w:bidi="he-IL"/>
        </w:rPr>
        <w:t xml:space="preserve">, </w:t>
      </w:r>
      <w:r w:rsidRPr="00C8701B">
        <w:rPr>
          <w:rFonts w:eastAsia="Arial Unicode MS"/>
          <w:bCs/>
          <w:lang w:eastAsia="fr-FR" w:bidi="he-IL"/>
        </w:rPr>
        <w:t>de peindre le Fils de Dieu et ses mystères selon toute leur vérité</w:t>
      </w:r>
      <w:r w:rsidR="00E65435">
        <w:rPr>
          <w:rFonts w:eastAsia="Arial Unicode MS"/>
          <w:bCs/>
          <w:lang w:eastAsia="fr-FR" w:bidi="he-IL"/>
        </w:rPr>
        <w:t xml:space="preserve">, </w:t>
      </w:r>
      <w:r w:rsidRPr="00C8701B">
        <w:rPr>
          <w:rFonts w:eastAsia="Arial Unicode MS"/>
          <w:bCs/>
          <w:lang w:eastAsia="fr-FR" w:bidi="he-IL"/>
        </w:rPr>
        <w:t>toute leur beauté</w:t>
      </w:r>
      <w:r w:rsidR="00C2602D" w:rsidRPr="00C8701B">
        <w:rPr>
          <w:rFonts w:eastAsia="Arial Unicode MS"/>
          <w:bCs/>
          <w:lang w:eastAsia="fr-FR" w:bidi="he-IL"/>
        </w:rPr>
        <w:t> ?</w:t>
      </w:r>
      <w:r w:rsidR="00341514">
        <w:rPr>
          <w:rFonts w:eastAsia="Arial Unicode MS"/>
          <w:bCs/>
          <w:lang w:eastAsia="fr-FR" w:bidi="he-IL"/>
        </w:rPr>
        <w:t xml:space="preserve"> </w:t>
      </w:r>
      <w:r w:rsidRPr="00C8701B">
        <w:rPr>
          <w:rFonts w:eastAsia="Arial Unicode MS"/>
          <w:bCs/>
          <w:lang w:eastAsia="fr-FR" w:bidi="he-IL"/>
        </w:rPr>
        <w:t>Non</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et S. Jean</w:t>
      </w:r>
      <w:r w:rsidR="00E65435">
        <w:rPr>
          <w:rFonts w:eastAsia="Arial Unicode MS"/>
          <w:bCs/>
          <w:lang w:eastAsia="fr-FR" w:bidi="he-IL"/>
        </w:rPr>
        <w:t xml:space="preserve">, </w:t>
      </w:r>
      <w:r w:rsidRPr="00C8701B">
        <w:rPr>
          <w:rFonts w:eastAsia="Arial Unicode MS"/>
          <w:bCs/>
          <w:lang w:eastAsia="fr-FR" w:bidi="he-IL"/>
        </w:rPr>
        <w:t>aux passages cités plus haut</w:t>
      </w:r>
      <w:r w:rsidR="00E65435">
        <w:rPr>
          <w:rFonts w:eastAsia="Arial Unicode MS"/>
          <w:bCs/>
          <w:lang w:eastAsia="fr-FR" w:bidi="he-IL"/>
        </w:rPr>
        <w:t xml:space="preserve">, </w:t>
      </w:r>
      <w:r w:rsidRPr="00C8701B">
        <w:rPr>
          <w:rFonts w:eastAsia="Arial Unicode MS"/>
          <w:bCs/>
          <w:lang w:eastAsia="fr-FR" w:bidi="he-IL"/>
        </w:rPr>
        <w:t xml:space="preserve">nous </w:t>
      </w:r>
      <w:r w:rsidR="00341514">
        <w:rPr>
          <w:rFonts w:eastAsia="Arial Unicode MS"/>
          <w:bCs/>
          <w:lang w:eastAsia="fr-FR" w:bidi="he-IL"/>
        </w:rPr>
        <w:t>a</w:t>
      </w:r>
      <w:r w:rsidRPr="00C8701B">
        <w:rPr>
          <w:rFonts w:eastAsia="Arial Unicode MS"/>
          <w:bCs/>
          <w:lang w:eastAsia="fr-FR" w:bidi="he-IL"/>
        </w:rPr>
        <w:t xml:space="preserve"> dit avec une grande profondeur que le sujet est inépuisable. </w:t>
      </w:r>
      <w:r w:rsidR="00C2602D" w:rsidRPr="00C8701B">
        <w:rPr>
          <w:rFonts w:eastAsia="Arial Unicode MS"/>
          <w:bCs/>
          <w:lang w:eastAsia="fr-FR" w:bidi="he-IL"/>
        </w:rPr>
        <w:t>« </w:t>
      </w:r>
      <w:r w:rsidRPr="00C8701B">
        <w:rPr>
          <w:rFonts w:eastAsia="Arial Unicode MS"/>
          <w:bCs/>
          <w:lang w:eastAsia="fr-FR" w:bidi="he-IL"/>
        </w:rPr>
        <w:t>Il n</w:t>
      </w:r>
      <w:r w:rsidR="00557DE0">
        <w:rPr>
          <w:rFonts w:eastAsia="Arial Unicode MS"/>
          <w:bCs/>
          <w:lang w:eastAsia="fr-FR" w:bidi="he-IL"/>
        </w:rPr>
        <w:t>’</w:t>
      </w:r>
      <w:r w:rsidRPr="00C8701B">
        <w:rPr>
          <w:rFonts w:eastAsia="Arial Unicode MS"/>
          <w:bCs/>
          <w:lang w:eastAsia="fr-FR" w:bidi="he-IL"/>
        </w:rPr>
        <w:t xml:space="preserve">est pas de narration qui </w:t>
      </w:r>
      <w:r w:rsidR="00257FD6">
        <w:rPr>
          <w:rFonts w:eastAsia="Arial Unicode MS"/>
          <w:bCs/>
          <w:lang w:eastAsia="fr-FR" w:bidi="he-IL"/>
        </w:rPr>
        <w:t>puisse</w:t>
      </w:r>
      <w:r w:rsidRPr="00C8701B">
        <w:rPr>
          <w:rFonts w:eastAsia="Arial Unicode MS"/>
          <w:bCs/>
          <w:lang w:eastAsia="fr-FR" w:bidi="he-IL"/>
        </w:rPr>
        <w:t xml:space="preserve"> </w:t>
      </w:r>
      <w:r w:rsidR="00341514">
        <w:rPr>
          <w:rFonts w:eastAsia="Arial Unicode MS"/>
          <w:bCs/>
          <w:lang w:eastAsia="fr-FR" w:bidi="he-IL"/>
        </w:rPr>
        <w:t>e</w:t>
      </w:r>
      <w:r w:rsidRPr="00C8701B">
        <w:rPr>
          <w:rFonts w:eastAsia="Arial Unicode MS"/>
          <w:bCs/>
          <w:lang w:eastAsia="fr-FR" w:bidi="he-IL"/>
        </w:rPr>
        <w:t>xposer totalement et complètement l</w:t>
      </w:r>
      <w:r w:rsidR="00557DE0">
        <w:rPr>
          <w:rFonts w:eastAsia="Arial Unicode MS"/>
          <w:bCs/>
          <w:lang w:eastAsia="fr-FR" w:bidi="he-IL"/>
        </w:rPr>
        <w:t>’</w:t>
      </w:r>
      <w:r w:rsidRPr="00C8701B">
        <w:rPr>
          <w:rFonts w:eastAsia="Arial Unicode MS"/>
          <w:bCs/>
          <w:lang w:eastAsia="fr-FR" w:bidi="he-IL"/>
        </w:rPr>
        <w:t>évangile</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œuvre du salut</w:t>
      </w:r>
      <w:r w:rsidR="00E65435">
        <w:rPr>
          <w:rFonts w:eastAsia="Arial Unicode MS"/>
          <w:bCs/>
          <w:lang w:eastAsia="fr-FR" w:bidi="he-IL"/>
        </w:rPr>
        <w:t xml:space="preserve">, </w:t>
      </w:r>
      <w:r w:rsidRPr="00C8701B">
        <w:rPr>
          <w:rFonts w:eastAsia="Arial Unicode MS"/>
          <w:bCs/>
          <w:lang w:eastAsia="fr-FR" w:bidi="he-IL"/>
        </w:rPr>
        <w:t>tout récit quel qu</w:t>
      </w:r>
      <w:r w:rsidR="00557DE0">
        <w:rPr>
          <w:rFonts w:eastAsia="Arial Unicode MS"/>
          <w:bCs/>
          <w:lang w:eastAsia="fr-FR" w:bidi="he-IL"/>
        </w:rPr>
        <w:t>’</w:t>
      </w:r>
      <w:r w:rsidRPr="00C8701B">
        <w:rPr>
          <w:rFonts w:eastAsia="Arial Unicode MS"/>
          <w:bCs/>
          <w:lang w:eastAsia="fr-FR" w:bidi="he-IL"/>
        </w:rPr>
        <w:t>il soit</w:t>
      </w:r>
      <w:r w:rsidR="00E65435">
        <w:rPr>
          <w:rFonts w:eastAsia="Arial Unicode MS"/>
          <w:bCs/>
          <w:lang w:eastAsia="fr-FR" w:bidi="he-IL"/>
        </w:rPr>
        <w:t xml:space="preserve">, </w:t>
      </w:r>
      <w:r w:rsidRPr="00C8701B">
        <w:rPr>
          <w:rFonts w:eastAsia="Arial Unicode MS"/>
          <w:bCs/>
          <w:lang w:eastAsia="fr-FR" w:bidi="he-IL"/>
        </w:rPr>
        <w:t>même le plus parfait</w:t>
      </w:r>
      <w:r w:rsidR="00E65435">
        <w:rPr>
          <w:rFonts w:eastAsia="Arial Unicode MS"/>
          <w:bCs/>
          <w:lang w:eastAsia="fr-FR" w:bidi="he-IL"/>
        </w:rPr>
        <w:t xml:space="preserve">, </w:t>
      </w:r>
      <w:r w:rsidRPr="00C8701B">
        <w:rPr>
          <w:rFonts w:eastAsia="Arial Unicode MS"/>
          <w:bCs/>
          <w:lang w:eastAsia="fr-FR" w:bidi="he-IL"/>
        </w:rPr>
        <w:t>ne peut atteindre sous ce rapport qu</w:t>
      </w:r>
      <w:r w:rsidR="00557DE0">
        <w:rPr>
          <w:rFonts w:eastAsia="Arial Unicode MS"/>
          <w:bCs/>
          <w:lang w:eastAsia="fr-FR" w:bidi="he-IL"/>
        </w:rPr>
        <w:t>’</w:t>
      </w:r>
      <w:r w:rsidR="00AA5498">
        <w:rPr>
          <w:rFonts w:eastAsia="Arial Unicode MS"/>
          <w:bCs/>
          <w:lang w:eastAsia="fr-FR" w:bidi="he-IL"/>
        </w:rPr>
        <w:t>une perfection relative </w:t>
      </w:r>
      <w:r w:rsidR="00AA5498" w:rsidRPr="00C406FF">
        <w:rPr>
          <w:rStyle w:val="Appelnotedebasdep"/>
        </w:rPr>
        <w:footnoteReference w:id="100"/>
      </w:r>
      <w:r w:rsidR="00C2602D" w:rsidRPr="00C8701B">
        <w:rPr>
          <w:rFonts w:eastAsia="Arial Unicode MS"/>
          <w:bCs/>
          <w:lang w:eastAsia="fr-FR" w:bidi="he-IL"/>
        </w:rPr>
        <w:t> »</w:t>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2°</w:t>
      </w:r>
      <w:bookmarkStart w:id="34" w:name="evin060202"/>
      <w:bookmarkEnd w:id="34"/>
      <w:r w:rsidRPr="00C8701B">
        <w:rPr>
          <w:rFonts w:eastAsia="Arial Unicode MS"/>
          <w:bCs/>
          <w:lang w:eastAsia="fr-FR" w:bidi="he-IL"/>
        </w:rPr>
        <w:t xml:space="preserve"> Exposé sommaire de</w:t>
      </w:r>
      <w:r w:rsidRPr="00DC4586">
        <w:rPr>
          <w:rStyle w:val="italicus"/>
        </w:rPr>
        <w:t xml:space="preserve"> la vie et de la doctrine</w:t>
      </w:r>
      <w:r w:rsidR="00341514">
        <w:rPr>
          <w:rFonts w:eastAsia="Arial Unicode MS"/>
          <w:bCs/>
          <w:lang w:eastAsia="fr-FR" w:bidi="he-IL"/>
        </w:rPr>
        <w:t xml:space="preserve"> de Jésu</w:t>
      </w:r>
      <w:r w:rsidRPr="00C8701B">
        <w:rPr>
          <w:rFonts w:eastAsia="Arial Unicode MS"/>
          <w:bCs/>
          <w:lang w:eastAsia="fr-FR" w:bidi="he-IL"/>
        </w:rPr>
        <w:t>s.</w:t>
      </w:r>
      <w:r w:rsidR="00C2602D" w:rsidRPr="00C8701B">
        <w:rPr>
          <w:rFonts w:eastAsia="Arial Unicode MS"/>
          <w:bCs/>
          <w:lang w:eastAsia="fr-FR" w:bidi="he-IL"/>
        </w:rPr>
        <w:t xml:space="preserve"> </w:t>
      </w:r>
    </w:p>
    <w:p w:rsidR="00C2602D" w:rsidRPr="00C8701B" w:rsidRDefault="00B704AD" w:rsidP="00341514">
      <w:pPr>
        <w:rPr>
          <w:rFonts w:eastAsia="Arial Unicode MS"/>
          <w:bCs/>
          <w:lang w:eastAsia="fr-FR" w:bidi="he-IL"/>
        </w:rPr>
      </w:pPr>
      <w:r w:rsidRPr="00C8701B">
        <w:rPr>
          <w:rFonts w:eastAsia="Arial Unicode MS"/>
          <w:bCs/>
          <w:lang w:eastAsia="fr-FR" w:bidi="he-IL"/>
        </w:rPr>
        <w:t>Il y a donc</w:t>
      </w:r>
      <w:r w:rsidR="00E65435">
        <w:rPr>
          <w:rFonts w:eastAsia="Arial Unicode MS"/>
          <w:bCs/>
          <w:lang w:eastAsia="fr-FR" w:bidi="he-IL"/>
        </w:rPr>
        <w:t xml:space="preserve">, </w:t>
      </w:r>
      <w:r w:rsidRPr="00C8701B">
        <w:rPr>
          <w:rFonts w:eastAsia="Arial Unicode MS"/>
          <w:bCs/>
          <w:lang w:eastAsia="fr-FR" w:bidi="he-IL"/>
        </w:rPr>
        <w:t>dans les évangiles</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une part des faits</w:t>
      </w:r>
      <w:r w:rsidR="00E65435">
        <w:rPr>
          <w:rFonts w:eastAsia="Arial Unicode MS"/>
          <w:bCs/>
          <w:lang w:eastAsia="fr-FR" w:bidi="he-IL"/>
        </w:rPr>
        <w:t xml:space="preserve">, </w:t>
      </w:r>
      <w:r w:rsidRPr="00C8701B">
        <w:rPr>
          <w:rFonts w:eastAsia="Arial Unicode MS"/>
          <w:bCs/>
          <w:lang w:eastAsia="fr-FR" w:bidi="he-IL"/>
        </w:rPr>
        <w:t>de l</w:t>
      </w:r>
      <w:r w:rsidR="00557DE0">
        <w:rPr>
          <w:rFonts w:eastAsia="Arial Unicode MS"/>
          <w:bCs/>
          <w:lang w:eastAsia="fr-FR" w:bidi="he-IL"/>
        </w:rPr>
        <w:t>’</w:t>
      </w:r>
      <w:r w:rsidRPr="00C8701B">
        <w:rPr>
          <w:rFonts w:eastAsia="Arial Unicode MS"/>
          <w:bCs/>
          <w:lang w:eastAsia="fr-FR" w:bidi="he-IL"/>
        </w:rPr>
        <w:t>autre des paroles</w:t>
      </w:r>
      <w:r w:rsidR="00341514">
        <w:rPr>
          <w:rFonts w:eastAsia="Arial Unicode MS"/>
          <w:bCs/>
          <w:lang w:eastAsia="fr-FR" w:bidi="he-IL"/>
        </w:rPr>
        <w:t>. L</w:t>
      </w:r>
      <w:r w:rsidRPr="00C8701B">
        <w:rPr>
          <w:rFonts w:eastAsia="Arial Unicode MS"/>
          <w:bCs/>
          <w:lang w:eastAsia="fr-FR" w:bidi="he-IL"/>
        </w:rPr>
        <w:t xml:space="preserve">es faits </w:t>
      </w:r>
      <w:r w:rsidR="00341514">
        <w:rPr>
          <w:rFonts w:eastAsia="Arial Unicode MS"/>
          <w:bCs/>
          <w:lang w:eastAsia="fr-FR" w:bidi="he-IL"/>
        </w:rPr>
        <w:t>c</w:t>
      </w:r>
      <w:r w:rsidRPr="00C8701B">
        <w:rPr>
          <w:rFonts w:eastAsia="Arial Unicode MS"/>
          <w:bCs/>
          <w:lang w:eastAsia="fr-FR" w:bidi="he-IL"/>
        </w:rPr>
        <w:t>onsistent dans les actions du divin Maître</w:t>
      </w:r>
      <w:r w:rsidR="00C2602D" w:rsidRPr="00C8701B">
        <w:rPr>
          <w:rFonts w:eastAsia="Arial Unicode MS"/>
          <w:bCs/>
          <w:lang w:eastAsia="fr-FR" w:bidi="he-IL"/>
        </w:rPr>
        <w:t> :</w:t>
      </w:r>
      <w:r w:rsidRPr="00C8701B">
        <w:rPr>
          <w:rFonts w:eastAsia="Arial Unicode MS"/>
          <w:bCs/>
          <w:lang w:eastAsia="fr-FR" w:bidi="he-IL"/>
        </w:rPr>
        <w:t xml:space="preserve"> mystères joyeux</w:t>
      </w:r>
      <w:r w:rsidR="00E65435">
        <w:rPr>
          <w:rFonts w:eastAsia="Arial Unicode MS"/>
          <w:bCs/>
          <w:lang w:eastAsia="fr-FR" w:bidi="he-IL"/>
        </w:rPr>
        <w:t xml:space="preserve">, </w:t>
      </w:r>
      <w:r w:rsidRPr="00C8701B">
        <w:rPr>
          <w:rFonts w:eastAsia="Arial Unicode MS"/>
          <w:bCs/>
          <w:lang w:eastAsia="fr-FR" w:bidi="he-IL"/>
        </w:rPr>
        <w:t>douloureux et glorieux</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miracles de toute espèce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fréquents voyages à travers toute la Palestine</w:t>
      </w:r>
      <w:r w:rsidR="00E65435">
        <w:rPr>
          <w:rFonts w:eastAsia="Arial Unicode MS"/>
          <w:bCs/>
          <w:lang w:eastAsia="fr-FR" w:bidi="he-IL"/>
        </w:rPr>
        <w:t xml:space="preserve">, </w:t>
      </w:r>
      <w:r w:rsidRPr="00C8701B">
        <w:rPr>
          <w:rFonts w:eastAsia="Arial Unicode MS"/>
          <w:bCs/>
          <w:lang w:eastAsia="fr-FR" w:bidi="he-IL"/>
        </w:rPr>
        <w:t>et spécialement en Galilée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souvent actions d</w:t>
      </w:r>
      <w:r w:rsidR="00557DE0">
        <w:rPr>
          <w:rFonts w:eastAsia="Arial Unicode MS"/>
          <w:bCs/>
          <w:lang w:eastAsia="fr-FR" w:bidi="he-IL"/>
        </w:rPr>
        <w:t>’</w:t>
      </w:r>
      <w:r w:rsidRPr="00C8701B">
        <w:rPr>
          <w:rFonts w:eastAsia="Arial Unicode MS"/>
          <w:bCs/>
          <w:lang w:eastAsia="fr-FR" w:bidi="he-IL"/>
        </w:rPr>
        <w:t>éclat</w:t>
      </w:r>
      <w:r w:rsidR="00E65435">
        <w:rPr>
          <w:rFonts w:eastAsia="Arial Unicode MS"/>
          <w:bCs/>
          <w:lang w:eastAsia="fr-FR" w:bidi="he-IL"/>
        </w:rPr>
        <w:t xml:space="preserve">, </w:t>
      </w:r>
      <w:r w:rsidRPr="00C8701B">
        <w:rPr>
          <w:rFonts w:eastAsia="Arial Unicode MS"/>
          <w:bCs/>
          <w:lang w:eastAsia="fr-FR" w:bidi="he-IL"/>
        </w:rPr>
        <w:t>non moins so</w:t>
      </w:r>
      <w:r w:rsidR="00341514">
        <w:rPr>
          <w:rFonts w:eastAsia="Arial Unicode MS"/>
          <w:bCs/>
          <w:lang w:eastAsia="fr-FR" w:bidi="he-IL"/>
        </w:rPr>
        <w:t>uvent actions marquées au sceau</w:t>
      </w:r>
      <w:r w:rsidRPr="00C8701B">
        <w:rPr>
          <w:rFonts w:eastAsia="Arial Unicode MS"/>
          <w:bCs/>
          <w:lang w:eastAsia="fr-FR" w:bidi="he-IL"/>
        </w:rPr>
        <w:t xml:space="preserve"> de la simplicité et de l</w:t>
      </w:r>
      <w:r w:rsidR="00557DE0">
        <w:rPr>
          <w:rFonts w:eastAsia="Arial Unicode MS"/>
          <w:bCs/>
          <w:lang w:eastAsia="fr-FR" w:bidi="he-IL"/>
        </w:rPr>
        <w:t>’</w:t>
      </w:r>
      <w:r w:rsidRPr="00C8701B">
        <w:rPr>
          <w:rFonts w:eastAsia="Arial Unicode MS"/>
          <w:bCs/>
          <w:lang w:eastAsia="fr-FR" w:bidi="he-IL"/>
        </w:rPr>
        <w:t>humilité</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 tout</w:t>
      </w:r>
      <w:r w:rsidR="00E65435">
        <w:rPr>
          <w:rFonts w:eastAsia="Arial Unicode MS"/>
          <w:bCs/>
          <w:lang w:eastAsia="fr-FR" w:bidi="he-IL"/>
        </w:rPr>
        <w:t xml:space="preserve">, </w:t>
      </w:r>
      <w:r w:rsidRPr="00C8701B">
        <w:rPr>
          <w:rFonts w:eastAsia="Arial Unicode MS"/>
          <w:bCs/>
          <w:lang w:eastAsia="fr-FR" w:bidi="he-IL"/>
        </w:rPr>
        <w:t>vraiment divin. Les paroles sont tantôt d</w:t>
      </w:r>
      <w:r w:rsidR="00557DE0">
        <w:rPr>
          <w:rFonts w:eastAsia="Arial Unicode MS"/>
          <w:bCs/>
          <w:lang w:eastAsia="fr-FR" w:bidi="he-IL"/>
        </w:rPr>
        <w:t>’</w:t>
      </w:r>
      <w:r w:rsidR="00341514">
        <w:rPr>
          <w:rFonts w:eastAsia="Arial Unicode MS"/>
          <w:bCs/>
          <w:lang w:eastAsia="fr-FR" w:bidi="he-IL"/>
        </w:rPr>
        <w:t>assez lon</w:t>
      </w:r>
      <w:r w:rsidRPr="00C8701B">
        <w:rPr>
          <w:rFonts w:eastAsia="Arial Unicode MS"/>
          <w:bCs/>
          <w:lang w:eastAsia="fr-FR" w:bidi="he-IL"/>
        </w:rPr>
        <w:t>gs discours</w:t>
      </w:r>
      <w:r w:rsidR="00E65435">
        <w:rPr>
          <w:rFonts w:eastAsia="Arial Unicode MS"/>
          <w:bCs/>
          <w:lang w:eastAsia="fr-FR" w:bidi="he-IL"/>
        </w:rPr>
        <w:t xml:space="preserve">, </w:t>
      </w:r>
      <w:r w:rsidRPr="00C8701B">
        <w:rPr>
          <w:rFonts w:eastAsia="Arial Unicode MS"/>
          <w:bCs/>
          <w:lang w:eastAsia="fr-FR" w:bidi="he-IL"/>
        </w:rPr>
        <w:t>tantôt des réflexions rapides et familières</w:t>
      </w:r>
      <w:r w:rsidR="00E65435">
        <w:rPr>
          <w:rFonts w:eastAsia="Arial Unicode MS"/>
          <w:bCs/>
          <w:lang w:eastAsia="fr-FR" w:bidi="he-IL"/>
        </w:rPr>
        <w:t xml:space="preserve">, </w:t>
      </w:r>
      <w:r w:rsidRPr="00C8701B">
        <w:rPr>
          <w:rFonts w:eastAsia="Arial Unicode MS"/>
          <w:bCs/>
          <w:lang w:eastAsia="fr-FR" w:bidi="he-IL"/>
        </w:rPr>
        <w:t>tantô</w:t>
      </w:r>
      <w:r w:rsidR="00AA5498">
        <w:rPr>
          <w:rFonts w:eastAsia="Arial Unicode MS"/>
          <w:bCs/>
          <w:lang w:eastAsia="fr-FR" w:bidi="he-IL"/>
        </w:rPr>
        <w:t>t de gracieuses comparaisons </w:t>
      </w:r>
      <w:r w:rsidR="00AA5498" w:rsidRPr="00C406FF">
        <w:rPr>
          <w:rStyle w:val="Appelnotedebasdep"/>
        </w:rPr>
        <w:footnoteReference w:id="101"/>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DC4586" w:rsidRDefault="00341514" w:rsidP="00C2602D">
      <w:pPr>
        <w:rPr>
          <w:rStyle w:val="italicus"/>
        </w:rPr>
      </w:pPr>
      <w:r>
        <w:rPr>
          <w:rFonts w:eastAsia="Arial Unicode MS"/>
          <w:bCs/>
          <w:lang w:eastAsia="fr-FR" w:bidi="he-IL"/>
        </w:rPr>
        <w:t>À</w:t>
      </w:r>
      <w:r w:rsidR="00B704AD" w:rsidRPr="00C8701B">
        <w:rPr>
          <w:rFonts w:eastAsia="Arial Unicode MS"/>
          <w:bCs/>
          <w:lang w:eastAsia="fr-FR" w:bidi="he-IL"/>
        </w:rPr>
        <w:t xml:space="preserve"> ces deux éléments</w:t>
      </w:r>
      <w:r w:rsidR="00E65435">
        <w:rPr>
          <w:rFonts w:eastAsia="Arial Unicode MS"/>
          <w:bCs/>
          <w:lang w:eastAsia="fr-FR" w:bidi="he-IL"/>
        </w:rPr>
        <w:t xml:space="preserve">, </w:t>
      </w:r>
      <w:r w:rsidR="00B704AD" w:rsidRPr="00C8701B">
        <w:rPr>
          <w:rFonts w:eastAsia="Arial Unicode MS"/>
          <w:bCs/>
          <w:lang w:eastAsia="fr-FR" w:bidi="he-IL"/>
        </w:rPr>
        <w:t>les évangélistes ajoutent</w:t>
      </w:r>
      <w:r w:rsidR="00E65435">
        <w:rPr>
          <w:rFonts w:eastAsia="Arial Unicode MS"/>
          <w:bCs/>
          <w:lang w:eastAsia="fr-FR" w:bidi="he-IL"/>
        </w:rPr>
        <w:t xml:space="preserve">, </w:t>
      </w:r>
      <w:r w:rsidR="00B704AD" w:rsidRPr="00C8701B">
        <w:rPr>
          <w:rFonts w:eastAsia="Arial Unicode MS"/>
          <w:bCs/>
          <w:lang w:eastAsia="fr-FR" w:bidi="he-IL"/>
        </w:rPr>
        <w:t>mais assez rarement</w:t>
      </w:r>
      <w:r w:rsidR="00E65435">
        <w:rPr>
          <w:rFonts w:eastAsia="Arial Unicode MS"/>
          <w:bCs/>
          <w:lang w:eastAsia="fr-FR" w:bidi="he-IL"/>
        </w:rPr>
        <w:t xml:space="preserve">, </w:t>
      </w:r>
      <w:r w:rsidR="00B704AD" w:rsidRPr="00C8701B">
        <w:rPr>
          <w:rFonts w:eastAsia="Arial Unicode MS"/>
          <w:bCs/>
          <w:lang w:eastAsia="fr-FR" w:bidi="he-IL"/>
        </w:rPr>
        <w:t>quelques réflexions personnelles</w:t>
      </w:r>
      <w:r w:rsidR="00E65435">
        <w:rPr>
          <w:rFonts w:eastAsia="Arial Unicode MS"/>
          <w:bCs/>
          <w:lang w:eastAsia="fr-FR" w:bidi="he-IL"/>
        </w:rPr>
        <w:t xml:space="preserve">, </w:t>
      </w:r>
      <w:r w:rsidR="00B704AD" w:rsidRPr="00C8701B">
        <w:rPr>
          <w:rFonts w:eastAsia="Arial Unicode MS"/>
          <w:bCs/>
          <w:lang w:eastAsia="fr-FR" w:bidi="he-IL"/>
        </w:rPr>
        <w:t>pour en faire ressortir l</w:t>
      </w:r>
      <w:r w:rsidR="00557DE0">
        <w:rPr>
          <w:rFonts w:eastAsia="Arial Unicode MS"/>
          <w:bCs/>
          <w:lang w:eastAsia="fr-FR" w:bidi="he-IL"/>
        </w:rPr>
        <w:t>’</w:t>
      </w:r>
      <w:r w:rsidR="00B704AD" w:rsidRPr="00C8701B">
        <w:rPr>
          <w:rFonts w:eastAsia="Arial Unicode MS"/>
          <w:bCs/>
          <w:lang w:eastAsia="fr-FR" w:bidi="he-IL"/>
        </w:rPr>
        <w:t>importance et l</w:t>
      </w:r>
      <w:r w:rsidR="00557DE0">
        <w:rPr>
          <w:rFonts w:eastAsia="Arial Unicode MS"/>
          <w:bCs/>
          <w:lang w:eastAsia="fr-FR" w:bidi="he-IL"/>
        </w:rPr>
        <w:t>’</w:t>
      </w:r>
      <w:r w:rsidR="00B704AD" w:rsidRPr="00C8701B">
        <w:rPr>
          <w:rFonts w:eastAsia="Arial Unicode MS"/>
          <w:bCs/>
          <w:lang w:eastAsia="fr-FR" w:bidi="he-IL"/>
        </w:rPr>
        <w:t>intérêt. Par exemple</w:t>
      </w:r>
      <w:r w:rsidR="00C2602D" w:rsidRPr="00C8701B">
        <w:rPr>
          <w:rFonts w:eastAsia="Arial Unicode MS"/>
          <w:bCs/>
          <w:lang w:eastAsia="fr-FR" w:bidi="he-IL"/>
        </w:rPr>
        <w:t> :</w:t>
      </w:r>
      <w:r w:rsidR="00B704AD" w:rsidRPr="00DC4586">
        <w:rPr>
          <w:rStyle w:val="italicus"/>
        </w:rPr>
        <w:t xml:space="preserve"> Et</w:t>
      </w:r>
      <w:r>
        <w:rPr>
          <w:rStyle w:val="italicus"/>
        </w:rPr>
        <w:t xml:space="preserve"> </w:t>
      </w:r>
      <w:r w:rsidR="00B704AD" w:rsidRPr="00DC4586">
        <w:rPr>
          <w:rStyle w:val="italicus"/>
        </w:rPr>
        <w:t xml:space="preserve">vidimus </w:t>
      </w:r>
      <w:r w:rsidR="0096412E">
        <w:rPr>
          <w:rStyle w:val="italicus"/>
        </w:rPr>
        <w:t>glóriam</w:t>
      </w:r>
      <w:r w:rsidR="00B704AD" w:rsidRPr="00DC4586">
        <w:rPr>
          <w:rStyle w:val="italicus"/>
        </w:rPr>
        <w:t xml:space="preserve"> ejus</w:t>
      </w:r>
      <w:r w:rsidR="00E65435">
        <w:rPr>
          <w:rStyle w:val="italicus"/>
        </w:rPr>
        <w:t xml:space="preserve">, </w:t>
      </w:r>
      <w:r w:rsidR="0096412E">
        <w:rPr>
          <w:rStyle w:val="italicus"/>
        </w:rPr>
        <w:t>glóriam</w:t>
      </w:r>
      <w:r w:rsidR="00B704AD" w:rsidRPr="00DC4586">
        <w:rPr>
          <w:rStyle w:val="italicus"/>
        </w:rPr>
        <w:t xml:space="preserve"> quasi </w:t>
      </w:r>
      <w:r w:rsidRPr="00DC4586">
        <w:rPr>
          <w:rStyle w:val="italicus"/>
        </w:rPr>
        <w:t>unigén</w:t>
      </w:r>
      <w:r>
        <w:rPr>
          <w:rStyle w:val="italicus"/>
        </w:rPr>
        <w:t>i</w:t>
      </w:r>
      <w:r w:rsidRPr="00DC4586">
        <w:rPr>
          <w:rStyle w:val="italicus"/>
        </w:rPr>
        <w:t>ti</w:t>
      </w:r>
      <w:r>
        <w:rPr>
          <w:rStyle w:val="italicus"/>
        </w:rPr>
        <w:t xml:space="preserve"> </w:t>
      </w:r>
      <w:r w:rsidR="00776C8C" w:rsidRPr="00DC4586">
        <w:rPr>
          <w:rStyle w:val="italicus"/>
        </w:rPr>
        <w:t>a</w:t>
      </w:r>
      <w:r>
        <w:rPr>
          <w:rStyle w:val="italicus"/>
        </w:rPr>
        <w:t xml:space="preserve"> Pa</w:t>
      </w:r>
      <w:r w:rsidR="00B704AD" w:rsidRPr="00DC4586">
        <w:rPr>
          <w:rStyle w:val="italicus"/>
        </w:rPr>
        <w:t>tre... De</w:t>
      </w:r>
      <w:r>
        <w:rPr>
          <w:rStyle w:val="italicus"/>
        </w:rPr>
        <w:t xml:space="preserve"> </w:t>
      </w:r>
      <w:r w:rsidRPr="00DC4586">
        <w:rPr>
          <w:rStyle w:val="italicus"/>
        </w:rPr>
        <w:t>plenitúdine</w:t>
      </w:r>
      <w:r w:rsidR="00B704AD" w:rsidRPr="00DC4586">
        <w:rPr>
          <w:rStyle w:val="italicus"/>
        </w:rPr>
        <w:t xml:space="preserve"> ejus nos omnes </w:t>
      </w:r>
      <w:r w:rsidRPr="00DC4586">
        <w:rPr>
          <w:rStyle w:val="italicus"/>
        </w:rPr>
        <w:t>accépimus</w:t>
      </w:r>
      <w:r w:rsidR="00AA5498">
        <w:rPr>
          <w:rFonts w:eastAsia="Arial Unicode MS"/>
          <w:bCs/>
          <w:lang w:eastAsia="fr-FR" w:bidi="he-IL"/>
        </w:rPr>
        <w:t> </w:t>
      </w:r>
      <w:r w:rsidR="00AA5498" w:rsidRPr="00C406FF">
        <w:rPr>
          <w:rStyle w:val="Appelnotedebasdep"/>
        </w:rPr>
        <w:footnoteReference w:id="102"/>
      </w:r>
      <w:r w:rsidR="00B704AD" w:rsidRPr="00C8701B">
        <w:rPr>
          <w:rFonts w:eastAsia="Arial Unicode MS"/>
          <w:bCs/>
          <w:lang w:eastAsia="fr-FR" w:bidi="he-IL"/>
        </w:rPr>
        <w:t>.</w:t>
      </w:r>
      <w:r w:rsidR="00B704AD" w:rsidRPr="00DC4586">
        <w:rPr>
          <w:rStyle w:val="italicus"/>
        </w:rPr>
        <w:t xml:space="preserve"> Ipse autem Jésus non c</w:t>
      </w:r>
      <w:r w:rsidR="00473B23" w:rsidRPr="00DC4586">
        <w:rPr>
          <w:rStyle w:val="italicus"/>
        </w:rPr>
        <w:t>red</w:t>
      </w:r>
      <w:r w:rsidR="00473B23">
        <w:rPr>
          <w:rStyle w:val="italicus"/>
        </w:rPr>
        <w:t>é</w:t>
      </w:r>
      <w:r w:rsidR="00473B23" w:rsidRPr="00DC4586">
        <w:rPr>
          <w:rStyle w:val="italicus"/>
        </w:rPr>
        <w:t>bat</w:t>
      </w:r>
      <w:r w:rsidR="00B704AD" w:rsidRPr="00DC4586">
        <w:rPr>
          <w:rStyle w:val="italicus"/>
        </w:rPr>
        <w:t xml:space="preserve"> </w:t>
      </w:r>
      <w:r w:rsidRPr="00DC4586">
        <w:rPr>
          <w:rStyle w:val="italicus"/>
        </w:rPr>
        <w:t>semetípsum</w:t>
      </w:r>
      <w:r w:rsidR="00B704AD" w:rsidRPr="00DC4586">
        <w:rPr>
          <w:rStyle w:val="italicus"/>
        </w:rPr>
        <w:t xml:space="preserve"> eis</w:t>
      </w:r>
      <w:r w:rsidR="00E65435">
        <w:rPr>
          <w:rStyle w:val="italicus"/>
        </w:rPr>
        <w:t xml:space="preserve">, </w:t>
      </w:r>
      <w:r w:rsidR="00B704AD" w:rsidRPr="00DC4586">
        <w:rPr>
          <w:rStyle w:val="italicus"/>
        </w:rPr>
        <w:t>eo quod ipse nosset omnes</w:t>
      </w:r>
      <w:r w:rsidR="00E65435">
        <w:rPr>
          <w:rStyle w:val="italicus"/>
        </w:rPr>
        <w:t xml:space="preserve">, </w:t>
      </w:r>
      <w:r w:rsidR="00B704AD" w:rsidRPr="00DC4586">
        <w:rPr>
          <w:rStyle w:val="italicus"/>
        </w:rPr>
        <w:t>et qu</w:t>
      </w:r>
      <w:r>
        <w:rPr>
          <w:rStyle w:val="italicus"/>
        </w:rPr>
        <w:t>ia opus ei non erat ut quis test</w:t>
      </w:r>
      <w:r w:rsidRPr="00DC4586">
        <w:rPr>
          <w:rStyle w:val="italicus"/>
        </w:rPr>
        <w:t>imónium</w:t>
      </w:r>
      <w:r w:rsidR="00B704AD" w:rsidRPr="00DC4586">
        <w:rPr>
          <w:rStyle w:val="italicus"/>
        </w:rPr>
        <w:t xml:space="preserve"> </w:t>
      </w:r>
      <w:r w:rsidRPr="00DC4586">
        <w:rPr>
          <w:rStyle w:val="italicus"/>
        </w:rPr>
        <w:t>perhibéret</w:t>
      </w:r>
      <w:r w:rsidR="00B704AD" w:rsidRPr="00DC4586">
        <w:rPr>
          <w:rStyle w:val="italicus"/>
        </w:rPr>
        <w:t xml:space="preserve"> de </w:t>
      </w:r>
      <w:r w:rsidR="00215CAD" w:rsidRPr="00DC4586">
        <w:rPr>
          <w:rStyle w:val="italicus"/>
        </w:rPr>
        <w:t>hómine</w:t>
      </w:r>
      <w:r w:rsidR="00C2602D" w:rsidRPr="00DC4586">
        <w:rPr>
          <w:rStyle w:val="italicus"/>
        </w:rPr>
        <w:t> </w:t>
      </w:r>
      <w:r w:rsidR="007F6508">
        <w:rPr>
          <w:rStyle w:val="italicus"/>
        </w:rPr>
        <w:t xml:space="preserve">; </w:t>
      </w:r>
      <w:r w:rsidR="00B704AD" w:rsidRPr="00DC4586">
        <w:rPr>
          <w:rStyle w:val="italicus"/>
        </w:rPr>
        <w:t xml:space="preserve">ipse enim </w:t>
      </w:r>
      <w:r w:rsidR="00473B23" w:rsidRPr="00DC4586">
        <w:rPr>
          <w:rStyle w:val="italicus"/>
        </w:rPr>
        <w:t>sci</w:t>
      </w:r>
      <w:r w:rsidR="00473B23">
        <w:rPr>
          <w:rStyle w:val="italicus"/>
        </w:rPr>
        <w:t>é</w:t>
      </w:r>
      <w:r w:rsidR="00473B23" w:rsidRPr="00DC4586">
        <w:rPr>
          <w:rStyle w:val="italicus"/>
        </w:rPr>
        <w:t>bat</w:t>
      </w:r>
      <w:r w:rsidR="00B704AD" w:rsidRPr="00DC4586">
        <w:rPr>
          <w:rStyle w:val="italicus"/>
        </w:rPr>
        <w:t xml:space="preserve"> quid esset in </w:t>
      </w:r>
      <w:r w:rsidR="00215CAD" w:rsidRPr="00DC4586">
        <w:rPr>
          <w:rStyle w:val="italicus"/>
        </w:rPr>
        <w:t>hómine</w:t>
      </w:r>
      <w:r w:rsidR="00AA5498">
        <w:rPr>
          <w:rFonts w:eastAsia="Arial Unicode MS"/>
          <w:bCs/>
          <w:lang w:eastAsia="fr-FR" w:bidi="he-IL"/>
        </w:rPr>
        <w:t> </w:t>
      </w:r>
      <w:r w:rsidR="00AA5498" w:rsidRPr="00C406FF">
        <w:rPr>
          <w:rStyle w:val="Appelnotedebasdep"/>
        </w:rPr>
        <w:footnoteReference w:id="103"/>
      </w:r>
      <w:r w:rsidR="00E65435">
        <w:rPr>
          <w:rFonts w:eastAsia="Arial Unicode MS"/>
          <w:bCs/>
          <w:lang w:eastAsia="fr-FR" w:bidi="he-IL"/>
        </w:rPr>
        <w:t xml:space="preserve">, </w:t>
      </w:r>
      <w:r w:rsidR="00B704AD" w:rsidRPr="00C8701B">
        <w:rPr>
          <w:rFonts w:eastAsia="Arial Unicode MS"/>
          <w:bCs/>
          <w:lang w:eastAsia="fr-FR" w:bidi="he-IL"/>
        </w:rPr>
        <w:t>etc.</w:t>
      </w:r>
      <w:r w:rsidR="00C2602D" w:rsidRPr="00DC4586">
        <w:rPr>
          <w:rStyle w:val="italicus"/>
        </w:rPr>
        <w:t xml:space="preserve"> </w:t>
      </w:r>
    </w:p>
    <w:p w:rsidR="00C2602D" w:rsidRPr="00C8701B" w:rsidRDefault="00B704AD" w:rsidP="00AA5498">
      <w:pPr>
        <w:rPr>
          <w:rFonts w:eastAsia="Arial Unicode MS"/>
          <w:bCs/>
          <w:lang w:eastAsia="fr-FR" w:bidi="he-IL"/>
        </w:rPr>
      </w:pPr>
      <w:r w:rsidRPr="00C8701B">
        <w:rPr>
          <w:rFonts w:eastAsia="Arial Unicode MS"/>
          <w:bCs/>
          <w:lang w:eastAsia="fr-FR" w:bidi="he-IL"/>
        </w:rPr>
        <w:t>Les faits et les paroles s</w:t>
      </w:r>
      <w:r w:rsidR="00557DE0">
        <w:rPr>
          <w:rFonts w:eastAsia="Arial Unicode MS"/>
          <w:bCs/>
          <w:lang w:eastAsia="fr-FR" w:bidi="he-IL"/>
        </w:rPr>
        <w:t>’</w:t>
      </w:r>
      <w:r w:rsidRPr="00C8701B">
        <w:rPr>
          <w:rFonts w:eastAsia="Arial Unicode MS"/>
          <w:bCs/>
          <w:lang w:eastAsia="fr-FR" w:bidi="he-IL"/>
        </w:rPr>
        <w:t>entremêlent sans art</w:t>
      </w:r>
      <w:r w:rsidR="00E65435">
        <w:rPr>
          <w:rFonts w:eastAsia="Arial Unicode MS"/>
          <w:bCs/>
          <w:lang w:eastAsia="fr-FR" w:bidi="he-IL"/>
        </w:rPr>
        <w:t xml:space="preserve">, </w:t>
      </w:r>
      <w:r w:rsidRPr="00C8701B">
        <w:rPr>
          <w:rFonts w:eastAsia="Arial Unicode MS"/>
          <w:bCs/>
          <w:lang w:eastAsia="fr-FR" w:bidi="he-IL"/>
        </w:rPr>
        <w:t>quoique d</w:t>
      </w:r>
      <w:r w:rsidR="00557DE0">
        <w:rPr>
          <w:rFonts w:eastAsia="Arial Unicode MS"/>
          <w:bCs/>
          <w:lang w:eastAsia="fr-FR" w:bidi="he-IL"/>
        </w:rPr>
        <w:t>’</w:t>
      </w:r>
      <w:r w:rsidRPr="00C8701B">
        <w:rPr>
          <w:rFonts w:eastAsia="Arial Unicode MS"/>
          <w:bCs/>
          <w:lang w:eastAsia="fr-FR" w:bidi="he-IL"/>
        </w:rPr>
        <w:t>une façon très naturelle</w:t>
      </w:r>
      <w:r w:rsidR="00C87A2B">
        <w:rPr>
          <w:rFonts w:eastAsia="Arial Unicode MS"/>
          <w:bCs/>
          <w:lang w:eastAsia="fr-FR" w:bidi="he-IL"/>
        </w:rPr>
        <w:t>,</w:t>
      </w:r>
      <w:r w:rsidR="00E65435">
        <w:rPr>
          <w:rFonts w:eastAsia="Arial Unicode MS"/>
          <w:bCs/>
          <w:lang w:eastAsia="fr-FR" w:bidi="he-IL"/>
        </w:rPr>
        <w:t xml:space="preserve"> </w:t>
      </w:r>
      <w:r w:rsidRPr="00C8701B">
        <w:rPr>
          <w:rFonts w:eastAsia="Arial Unicode MS"/>
          <w:bCs/>
          <w:lang w:eastAsia="fr-FR" w:bidi="he-IL"/>
        </w:rPr>
        <w:t>en général d</w:t>
      </w:r>
      <w:r w:rsidR="00557DE0">
        <w:rPr>
          <w:rFonts w:eastAsia="Arial Unicode MS"/>
          <w:bCs/>
          <w:lang w:eastAsia="fr-FR" w:bidi="he-IL"/>
        </w:rPr>
        <w:t>’</w:t>
      </w:r>
      <w:r w:rsidRPr="00C8701B">
        <w:rPr>
          <w:rFonts w:eastAsia="Arial Unicode MS"/>
          <w:bCs/>
          <w:lang w:eastAsia="fr-FR" w:bidi="he-IL"/>
        </w:rPr>
        <w:t>après l</w:t>
      </w:r>
      <w:r w:rsidR="00557DE0">
        <w:rPr>
          <w:rFonts w:eastAsia="Arial Unicode MS"/>
          <w:bCs/>
          <w:lang w:eastAsia="fr-FR" w:bidi="he-IL"/>
        </w:rPr>
        <w:t>’</w:t>
      </w:r>
      <w:r w:rsidRPr="00C8701B">
        <w:rPr>
          <w:rFonts w:eastAsia="Arial Unicode MS"/>
          <w:bCs/>
          <w:lang w:eastAsia="fr-FR" w:bidi="he-IL"/>
        </w:rPr>
        <w:t xml:space="preserve">ordre chronologique. S. Luc et S. Jean sont particulièrement fidèles </w:t>
      </w:r>
      <w:r w:rsidR="00AA5498">
        <w:rPr>
          <w:rFonts w:eastAsia="Arial Unicode MS"/>
          <w:bCs/>
          <w:lang w:eastAsia="fr-FR" w:bidi="he-IL"/>
        </w:rPr>
        <w:t>à suivre cet ordre des temps </w:t>
      </w:r>
      <w:r w:rsidR="00AA5498" w:rsidRPr="00C406FF">
        <w:rPr>
          <w:rStyle w:val="Appelnotedebasdep"/>
        </w:rPr>
        <w:footnoteReference w:id="104"/>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S. Matthieu prend d</w:t>
      </w:r>
      <w:r w:rsidR="00557DE0">
        <w:rPr>
          <w:rFonts w:eastAsia="Arial Unicode MS"/>
          <w:bCs/>
          <w:lang w:eastAsia="fr-FR" w:bidi="he-IL"/>
        </w:rPr>
        <w:t>’</w:t>
      </w:r>
      <w:r w:rsidRPr="00C8701B">
        <w:rPr>
          <w:rFonts w:eastAsia="Arial Unicode MS"/>
          <w:bCs/>
          <w:lang w:eastAsia="fr-FR" w:bidi="he-IL"/>
        </w:rPr>
        <w:t>assez fréquentes libertés avec la chronologie dans la première</w:t>
      </w:r>
      <w:r w:rsidR="00C2602D" w:rsidRPr="00C8701B">
        <w:rPr>
          <w:rFonts w:eastAsia="Arial Unicode MS"/>
          <w:bCs/>
          <w:lang w:eastAsia="fr-FR" w:bidi="he-IL"/>
        </w:rPr>
        <w:t xml:space="preserve"> </w:t>
      </w:r>
      <w:r w:rsidR="000716BB" w:rsidRPr="000716BB">
        <w:rPr>
          <w:rFonts w:eastAsia="Arial Unicode MS"/>
          <w:bCs/>
          <w:lang w:eastAsia="fr-FR" w:bidi="he-IL"/>
        </w:rPr>
        <w:t>{</w:t>
      </w:r>
      <w:r w:rsidR="000716BB">
        <w:rPr>
          <w:rFonts w:eastAsia="Arial Unicode MS"/>
          <w:bCs/>
          <w:lang w:eastAsia="fr-FR" w:bidi="he-IL"/>
        </w:rPr>
        <w:t>18</w:t>
      </w:r>
      <w:bookmarkStart w:id="35" w:name="pag018"/>
      <w:bookmarkEnd w:id="35"/>
      <w:r w:rsidR="000716BB" w:rsidRPr="000716BB">
        <w:rPr>
          <w:rFonts w:eastAsia="Arial Unicode MS"/>
          <w:bCs/>
          <w:lang w:eastAsia="fr-FR" w:bidi="he-IL"/>
        </w:rPr>
        <w:t xml:space="preserve">} </w:t>
      </w:r>
      <w:r w:rsidRPr="00C8701B">
        <w:rPr>
          <w:rFonts w:eastAsia="Arial Unicode MS"/>
          <w:bCs/>
          <w:lang w:eastAsia="fr-FR" w:bidi="he-IL"/>
        </w:rPr>
        <w:t>partie de la vie publique de Notre-Seigneur</w:t>
      </w:r>
      <w:r w:rsidR="00E65435">
        <w:rPr>
          <w:rFonts w:eastAsia="Arial Unicode MS"/>
          <w:bCs/>
          <w:lang w:eastAsia="fr-FR" w:bidi="he-IL"/>
        </w:rPr>
        <w:t xml:space="preserve">, </w:t>
      </w:r>
      <w:r w:rsidRPr="00C8701B">
        <w:rPr>
          <w:rFonts w:eastAsia="Arial Unicode MS"/>
          <w:bCs/>
          <w:lang w:eastAsia="fr-FR" w:bidi="he-IL"/>
        </w:rPr>
        <w:t>à cause de son plan spécial</w:t>
      </w:r>
      <w:r w:rsidR="00933C60" w:rsidRPr="00C406FF">
        <w:rPr>
          <w:rStyle w:val="Appelnotedebasdep"/>
        </w:rPr>
        <w:footnoteReference w:id="105"/>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S. Marc tient le milieu entre ces deux méthodes.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Quant au choix des matériaux</w:t>
      </w:r>
      <w:r w:rsidR="00E65435">
        <w:rPr>
          <w:rFonts w:eastAsia="Arial Unicode MS"/>
          <w:bCs/>
          <w:lang w:eastAsia="fr-FR" w:bidi="he-IL"/>
        </w:rPr>
        <w:t xml:space="preserve">, </w:t>
      </w:r>
      <w:r w:rsidRPr="00C8701B">
        <w:rPr>
          <w:rFonts w:eastAsia="Arial Unicode MS"/>
          <w:bCs/>
          <w:lang w:eastAsia="fr-FR" w:bidi="he-IL"/>
        </w:rPr>
        <w:t>indépendamment de l</w:t>
      </w:r>
      <w:r w:rsidR="00557DE0">
        <w:rPr>
          <w:rFonts w:eastAsia="Arial Unicode MS"/>
          <w:bCs/>
          <w:lang w:eastAsia="fr-FR" w:bidi="he-IL"/>
        </w:rPr>
        <w:t>’</w:t>
      </w:r>
      <w:r w:rsidRPr="00C8701B">
        <w:rPr>
          <w:rFonts w:eastAsia="Arial Unicode MS"/>
          <w:bCs/>
          <w:lang w:eastAsia="fr-FR" w:bidi="he-IL"/>
        </w:rPr>
        <w:t>inspiration</w:t>
      </w:r>
      <w:r w:rsidR="00E65435">
        <w:rPr>
          <w:rFonts w:eastAsia="Arial Unicode MS"/>
          <w:bCs/>
          <w:lang w:eastAsia="fr-FR" w:bidi="he-IL"/>
        </w:rPr>
        <w:t xml:space="preserve">, </w:t>
      </w:r>
      <w:r w:rsidRPr="00C8701B">
        <w:rPr>
          <w:rFonts w:eastAsia="Arial Unicode MS"/>
          <w:bCs/>
          <w:lang w:eastAsia="fr-FR" w:bidi="he-IL"/>
        </w:rPr>
        <w:t>il fut dirigé par la prédication apostolique</w:t>
      </w:r>
      <w:r w:rsidR="00E65435">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 xml:space="preserve">le </w:t>
      </w:r>
      <w:r w:rsidR="00AA5498" w:rsidRPr="00D73331">
        <w:t>κήρυγμ</w:t>
      </w:r>
      <w:r w:rsidR="00A74F01">
        <w:t>α</w:t>
      </w:r>
      <w:r w:rsidR="00E65435" w:rsidRPr="00D73331">
        <w:t xml:space="preserve">, </w:t>
      </w:r>
      <w:r w:rsidRPr="00C8701B">
        <w:rPr>
          <w:rFonts w:eastAsia="Arial Unicode MS"/>
          <w:bCs/>
          <w:lang w:eastAsia="fr-FR" w:bidi="he-IL"/>
        </w:rPr>
        <w:t>comme disaient les anciens</w:t>
      </w:r>
      <w:r w:rsidR="00E65435">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qui avait fixé de bonne heure soit la méthode générale</w:t>
      </w:r>
      <w:r w:rsidR="00E65435">
        <w:rPr>
          <w:rFonts w:eastAsia="Arial Unicode MS"/>
          <w:bCs/>
          <w:lang w:eastAsia="fr-FR" w:bidi="he-IL"/>
        </w:rPr>
        <w:t xml:space="preserve">, </w:t>
      </w:r>
      <w:r w:rsidRPr="00C8701B">
        <w:rPr>
          <w:rFonts w:eastAsia="Arial Unicode MS"/>
          <w:bCs/>
          <w:lang w:eastAsia="fr-FR" w:bidi="he-IL"/>
        </w:rPr>
        <w:t>soit les traits particuliers de l</w:t>
      </w:r>
      <w:r w:rsidR="00557DE0">
        <w:rPr>
          <w:rFonts w:eastAsia="Arial Unicode MS"/>
          <w:bCs/>
          <w:lang w:eastAsia="fr-FR" w:bidi="he-IL"/>
        </w:rPr>
        <w:t>’</w:t>
      </w:r>
      <w:r w:rsidRPr="00C8701B">
        <w:rPr>
          <w:rFonts w:eastAsia="Arial Unicode MS"/>
          <w:bCs/>
          <w:lang w:eastAsia="fr-FR" w:bidi="he-IL"/>
        </w:rPr>
        <w:t>enseignement chrétien. Plusieurs faits nous apprennent qu</w:t>
      </w:r>
      <w:r w:rsidR="00557DE0">
        <w:rPr>
          <w:rFonts w:eastAsia="Arial Unicode MS"/>
          <w:bCs/>
          <w:lang w:eastAsia="fr-FR" w:bidi="he-IL"/>
        </w:rPr>
        <w:t>’</w:t>
      </w:r>
      <w:r w:rsidRPr="00C8701B">
        <w:rPr>
          <w:rFonts w:eastAsia="Arial Unicode MS"/>
          <w:bCs/>
          <w:lang w:eastAsia="fr-FR" w:bidi="he-IL"/>
        </w:rPr>
        <w:t>elle servit de type et de modèle aux évangélistes</w:t>
      </w:r>
      <w:r w:rsidR="00E65435">
        <w:rPr>
          <w:rFonts w:eastAsia="Arial Unicode MS"/>
          <w:bCs/>
          <w:lang w:eastAsia="fr-FR" w:bidi="he-IL"/>
        </w:rPr>
        <w:t xml:space="preserve">, </w:t>
      </w:r>
      <w:r w:rsidRPr="00C8701B">
        <w:rPr>
          <w:rFonts w:eastAsia="Arial Unicode MS"/>
          <w:bCs/>
          <w:lang w:eastAsia="fr-FR" w:bidi="he-IL"/>
        </w:rPr>
        <w:t>spécialement à S. Matthieu</w:t>
      </w:r>
      <w:r w:rsidR="00E65435">
        <w:rPr>
          <w:rFonts w:eastAsia="Arial Unicode MS"/>
          <w:bCs/>
          <w:lang w:eastAsia="fr-FR" w:bidi="he-IL"/>
        </w:rPr>
        <w:t xml:space="preserve">, </w:t>
      </w:r>
      <w:r w:rsidRPr="00C8701B">
        <w:rPr>
          <w:rFonts w:eastAsia="Arial Unicode MS"/>
          <w:bCs/>
          <w:lang w:eastAsia="fr-FR" w:bidi="he-IL"/>
        </w:rPr>
        <w:t>à S. Marc et à S. Luc</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à Jean aussi dans une certaine mesure.</w:t>
      </w:r>
      <w:r w:rsidR="00C2602D" w:rsidRPr="00C8701B">
        <w:rPr>
          <w:rFonts w:eastAsia="Arial Unicode MS"/>
          <w:bCs/>
          <w:lang w:eastAsia="fr-FR" w:bidi="he-IL"/>
        </w:rPr>
        <w:t xml:space="preserve"> </w:t>
      </w:r>
    </w:p>
    <w:p w:rsidR="00C2602D" w:rsidRPr="00946A1C" w:rsidRDefault="00B704AD" w:rsidP="00D73331">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après les Actes des apôtres et les épitres de S. Paul</w:t>
      </w:r>
      <w:r w:rsidR="00E65435">
        <w:rPr>
          <w:rFonts w:eastAsia="Arial Unicode MS"/>
          <w:bCs/>
          <w:lang w:eastAsia="fr-FR" w:bidi="he-IL"/>
        </w:rPr>
        <w:t xml:space="preserve">, </w:t>
      </w:r>
      <w:r w:rsidRPr="00C8701B">
        <w:rPr>
          <w:rFonts w:eastAsia="Arial Unicode MS"/>
          <w:bCs/>
          <w:lang w:eastAsia="fr-FR" w:bidi="he-IL"/>
        </w:rPr>
        <w:t>la vie publique du Sauveur</w:t>
      </w:r>
      <w:r w:rsidR="00E65435">
        <w:rPr>
          <w:rFonts w:eastAsia="Arial Unicode MS"/>
          <w:bCs/>
          <w:lang w:eastAsia="fr-FR" w:bidi="he-IL"/>
        </w:rPr>
        <w:t xml:space="preserve">, </w:t>
      </w:r>
      <w:r w:rsidRPr="00C8701B">
        <w:rPr>
          <w:rFonts w:eastAsia="Arial Unicode MS"/>
          <w:bCs/>
          <w:lang w:eastAsia="fr-FR" w:bidi="he-IL"/>
        </w:rPr>
        <w:t>ses discours</w:t>
      </w:r>
      <w:r w:rsidR="00E65435">
        <w:rPr>
          <w:rFonts w:eastAsia="Arial Unicode MS"/>
          <w:bCs/>
          <w:lang w:eastAsia="fr-FR" w:bidi="he-IL"/>
        </w:rPr>
        <w:t xml:space="preserve">, </w:t>
      </w:r>
      <w:r w:rsidRPr="00C8701B">
        <w:rPr>
          <w:rFonts w:eastAsia="Arial Unicode MS"/>
          <w:bCs/>
          <w:lang w:eastAsia="fr-FR" w:bidi="he-IL"/>
        </w:rPr>
        <w:t>ses miracles</w:t>
      </w:r>
      <w:r w:rsidR="00E65435">
        <w:rPr>
          <w:rFonts w:eastAsia="Arial Unicode MS"/>
          <w:bCs/>
          <w:lang w:eastAsia="fr-FR" w:bidi="he-IL"/>
        </w:rPr>
        <w:t xml:space="preserve">, </w:t>
      </w:r>
      <w:r w:rsidRPr="00C8701B">
        <w:rPr>
          <w:rFonts w:eastAsia="Arial Unicode MS"/>
          <w:bCs/>
          <w:lang w:eastAsia="fr-FR" w:bidi="he-IL"/>
        </w:rPr>
        <w:t>sa passion</w:t>
      </w:r>
      <w:r w:rsidR="00E65435">
        <w:rPr>
          <w:rFonts w:eastAsia="Arial Unicode MS"/>
          <w:bCs/>
          <w:lang w:eastAsia="fr-FR" w:bidi="he-IL"/>
        </w:rPr>
        <w:t xml:space="preserve">, </w:t>
      </w:r>
      <w:r w:rsidRPr="00C8701B">
        <w:rPr>
          <w:rFonts w:eastAsia="Arial Unicode MS"/>
          <w:bCs/>
          <w:lang w:eastAsia="fr-FR" w:bidi="he-IL"/>
        </w:rPr>
        <w:t>sa mort</w:t>
      </w:r>
      <w:r w:rsidR="00E65435">
        <w:rPr>
          <w:rFonts w:eastAsia="Arial Unicode MS"/>
          <w:bCs/>
          <w:lang w:eastAsia="fr-FR" w:bidi="he-IL"/>
        </w:rPr>
        <w:t xml:space="preserve">, </w:t>
      </w:r>
      <w:r w:rsidRPr="00C8701B">
        <w:rPr>
          <w:rFonts w:eastAsia="Arial Unicode MS"/>
          <w:bCs/>
          <w:lang w:eastAsia="fr-FR" w:bidi="he-IL"/>
        </w:rPr>
        <w:t>sa résurrection</w:t>
      </w:r>
      <w:r w:rsidR="00E65435">
        <w:rPr>
          <w:rFonts w:eastAsia="Arial Unicode MS"/>
          <w:bCs/>
          <w:lang w:eastAsia="fr-FR" w:bidi="he-IL"/>
        </w:rPr>
        <w:t xml:space="preserve">, </w:t>
      </w:r>
      <w:r w:rsidRPr="00C8701B">
        <w:rPr>
          <w:rFonts w:eastAsia="Arial Unicode MS"/>
          <w:bCs/>
          <w:lang w:eastAsia="fr-FR" w:bidi="he-IL"/>
        </w:rPr>
        <w:t>son ascension</w:t>
      </w:r>
      <w:r w:rsidR="00E65435">
        <w:rPr>
          <w:rFonts w:eastAsia="Arial Unicode MS"/>
          <w:bCs/>
          <w:lang w:eastAsia="fr-FR" w:bidi="he-IL"/>
        </w:rPr>
        <w:t xml:space="preserve">, </w:t>
      </w:r>
      <w:r w:rsidRPr="00C8701B">
        <w:rPr>
          <w:rFonts w:eastAsia="Arial Unicode MS"/>
          <w:bCs/>
          <w:lang w:eastAsia="fr-FR" w:bidi="he-IL"/>
        </w:rPr>
        <w:t xml:space="preserve">formaient le thème principal de la prédication des </w:t>
      </w:r>
      <w:r w:rsidRPr="00946A1C">
        <w:t xml:space="preserve">apôtres. </w:t>
      </w:r>
      <w:r w:rsidRPr="000819BA">
        <w:rPr>
          <w:lang w:val="en-GB"/>
        </w:rPr>
        <w:t>Voyez Act.</w:t>
      </w:r>
      <w:r w:rsidR="00C21120" w:rsidRPr="000819BA">
        <w:rPr>
          <w:lang w:val="en-GB"/>
        </w:rPr>
        <w:t xml:space="preserve"> I, 2</w:t>
      </w:r>
      <w:r w:rsidRPr="000819BA">
        <w:rPr>
          <w:lang w:val="en-GB"/>
        </w:rPr>
        <w:t>4</w:t>
      </w:r>
      <w:r w:rsidR="00C2602D" w:rsidRPr="000819BA">
        <w:rPr>
          <w:lang w:val="en-GB"/>
        </w:rPr>
        <w:t> </w:t>
      </w:r>
      <w:r w:rsidR="007F6508" w:rsidRPr="000819BA">
        <w:rPr>
          <w:lang w:val="en-GB"/>
        </w:rPr>
        <w:t xml:space="preserve">; </w:t>
      </w:r>
      <w:r w:rsidR="00D73331" w:rsidRPr="000819BA">
        <w:rPr>
          <w:lang w:val="en-GB"/>
        </w:rPr>
        <w:t>II</w:t>
      </w:r>
      <w:r w:rsidR="00E65435" w:rsidRPr="000819BA">
        <w:rPr>
          <w:lang w:val="en-GB"/>
        </w:rPr>
        <w:t xml:space="preserve">, </w:t>
      </w:r>
      <w:r w:rsidRPr="000819BA">
        <w:rPr>
          <w:lang w:val="en-GB"/>
        </w:rPr>
        <w:t>32</w:t>
      </w:r>
      <w:r w:rsidR="00C2602D" w:rsidRPr="000819BA">
        <w:rPr>
          <w:lang w:val="en-GB"/>
        </w:rPr>
        <w:t> </w:t>
      </w:r>
      <w:r w:rsidR="007F6508" w:rsidRPr="000819BA">
        <w:rPr>
          <w:lang w:val="en-GB"/>
        </w:rPr>
        <w:t xml:space="preserve">; </w:t>
      </w:r>
      <w:r w:rsidR="0017332F" w:rsidRPr="000819BA">
        <w:rPr>
          <w:lang w:val="en-GB"/>
        </w:rPr>
        <w:t>III</w:t>
      </w:r>
      <w:r w:rsidR="00E65435" w:rsidRPr="000819BA">
        <w:rPr>
          <w:lang w:val="en-GB"/>
        </w:rPr>
        <w:t xml:space="preserve">, </w:t>
      </w:r>
      <w:r w:rsidRPr="000819BA">
        <w:rPr>
          <w:lang w:val="en-GB"/>
        </w:rPr>
        <w:t>18</w:t>
      </w:r>
      <w:r w:rsidR="00C2602D" w:rsidRPr="000819BA">
        <w:rPr>
          <w:lang w:val="en-GB"/>
        </w:rPr>
        <w:t> </w:t>
      </w:r>
      <w:r w:rsidR="007F6508" w:rsidRPr="000819BA">
        <w:rPr>
          <w:lang w:val="en-GB"/>
        </w:rPr>
        <w:t xml:space="preserve">; </w:t>
      </w:r>
      <w:r w:rsidR="0096281A" w:rsidRPr="000819BA">
        <w:rPr>
          <w:lang w:val="en-GB"/>
        </w:rPr>
        <w:t>IV</w:t>
      </w:r>
      <w:r w:rsidR="00E65435" w:rsidRPr="000819BA">
        <w:rPr>
          <w:lang w:val="en-GB"/>
        </w:rPr>
        <w:t xml:space="preserve">, </w:t>
      </w:r>
      <w:r w:rsidRPr="000819BA">
        <w:rPr>
          <w:lang w:val="en-GB"/>
        </w:rPr>
        <w:t>33</w:t>
      </w:r>
      <w:r w:rsidR="00C2602D" w:rsidRPr="000819BA">
        <w:rPr>
          <w:lang w:val="en-GB"/>
        </w:rPr>
        <w:t> </w:t>
      </w:r>
      <w:r w:rsidR="007F6508" w:rsidRPr="000819BA">
        <w:rPr>
          <w:lang w:val="en-GB"/>
        </w:rPr>
        <w:t xml:space="preserve">; </w:t>
      </w:r>
      <w:r w:rsidR="00835131" w:rsidRPr="000819BA">
        <w:rPr>
          <w:lang w:val="en-GB"/>
        </w:rPr>
        <w:t>V</w:t>
      </w:r>
      <w:r w:rsidR="00E65435" w:rsidRPr="000819BA">
        <w:rPr>
          <w:lang w:val="en-GB"/>
        </w:rPr>
        <w:t xml:space="preserve">, </w:t>
      </w:r>
      <w:r w:rsidRPr="000819BA">
        <w:rPr>
          <w:lang w:val="en-GB"/>
        </w:rPr>
        <w:t>42</w:t>
      </w:r>
      <w:r w:rsidR="00C2602D" w:rsidRPr="000819BA">
        <w:rPr>
          <w:lang w:val="en-GB"/>
        </w:rPr>
        <w:t> </w:t>
      </w:r>
      <w:r w:rsidR="007F6508" w:rsidRPr="000819BA">
        <w:rPr>
          <w:lang w:val="en-GB"/>
        </w:rPr>
        <w:t xml:space="preserve">; </w:t>
      </w:r>
      <w:r w:rsidR="00D73331" w:rsidRPr="000819BA">
        <w:rPr>
          <w:lang w:val="en-GB"/>
        </w:rPr>
        <w:t>VIII</w:t>
      </w:r>
      <w:r w:rsidR="00E65435" w:rsidRPr="000819BA">
        <w:rPr>
          <w:lang w:val="en-GB"/>
        </w:rPr>
        <w:t xml:space="preserve">, </w:t>
      </w:r>
      <w:r w:rsidRPr="000819BA">
        <w:rPr>
          <w:lang w:val="en-GB"/>
        </w:rPr>
        <w:t>5</w:t>
      </w:r>
      <w:r w:rsidR="00C2602D" w:rsidRPr="000819BA">
        <w:rPr>
          <w:lang w:val="en-GB"/>
        </w:rPr>
        <w:t> </w:t>
      </w:r>
      <w:r w:rsidR="007F6508" w:rsidRPr="000819BA">
        <w:rPr>
          <w:lang w:val="en-GB"/>
        </w:rPr>
        <w:t xml:space="preserve">; </w:t>
      </w:r>
      <w:r w:rsidR="00E1197B" w:rsidRPr="000819BA">
        <w:rPr>
          <w:lang w:val="en-GB"/>
        </w:rPr>
        <w:t>IX</w:t>
      </w:r>
      <w:r w:rsidR="00D73331" w:rsidRPr="000819BA">
        <w:rPr>
          <w:lang w:val="en-GB"/>
        </w:rPr>
        <w:t xml:space="preserve">, </w:t>
      </w:r>
      <w:r w:rsidRPr="000819BA">
        <w:rPr>
          <w:lang w:val="en-GB"/>
        </w:rPr>
        <w:t>20</w:t>
      </w:r>
      <w:r w:rsidR="00C2602D" w:rsidRPr="000819BA">
        <w:rPr>
          <w:lang w:val="en-GB"/>
        </w:rPr>
        <w:t> </w:t>
      </w:r>
      <w:r w:rsidR="007F6508" w:rsidRPr="000819BA">
        <w:rPr>
          <w:lang w:val="en-GB"/>
        </w:rPr>
        <w:t xml:space="preserve">; </w:t>
      </w:r>
      <w:r w:rsidR="001157C4" w:rsidRPr="000819BA">
        <w:rPr>
          <w:lang w:val="en-GB"/>
        </w:rPr>
        <w:t>X</w:t>
      </w:r>
      <w:r w:rsidR="00E65435" w:rsidRPr="000819BA">
        <w:rPr>
          <w:lang w:val="en-GB"/>
        </w:rPr>
        <w:t>,</w:t>
      </w:r>
      <w:r w:rsidR="00CE11E9" w:rsidRPr="000819BA">
        <w:rPr>
          <w:lang w:val="en-GB"/>
        </w:rPr>
        <w:t xml:space="preserve"> </w:t>
      </w:r>
      <w:r w:rsidRPr="000819BA">
        <w:rPr>
          <w:lang w:val="en-GB"/>
        </w:rPr>
        <w:t>40</w:t>
      </w:r>
      <w:r w:rsidR="00C2602D" w:rsidRPr="000819BA">
        <w:rPr>
          <w:lang w:val="en-GB"/>
        </w:rPr>
        <w:t> </w:t>
      </w:r>
      <w:r w:rsidR="007F6508" w:rsidRPr="000819BA">
        <w:rPr>
          <w:lang w:val="en-GB"/>
        </w:rPr>
        <w:t>;</w:t>
      </w:r>
      <w:r w:rsidR="00623A37" w:rsidRPr="000819BA">
        <w:rPr>
          <w:lang w:val="en-GB"/>
        </w:rPr>
        <w:t xml:space="preserve"> XI,</w:t>
      </w:r>
      <w:r w:rsidR="00E65435" w:rsidRPr="000819BA">
        <w:rPr>
          <w:lang w:val="en-GB"/>
        </w:rPr>
        <w:t xml:space="preserve"> </w:t>
      </w:r>
      <w:r w:rsidRPr="000819BA">
        <w:rPr>
          <w:lang w:val="en-GB"/>
        </w:rPr>
        <w:t>23</w:t>
      </w:r>
      <w:r w:rsidR="00C2602D" w:rsidRPr="000819BA">
        <w:rPr>
          <w:lang w:val="en-GB"/>
        </w:rPr>
        <w:t> </w:t>
      </w:r>
      <w:r w:rsidR="007F6508" w:rsidRPr="000819BA">
        <w:rPr>
          <w:lang w:val="en-GB"/>
        </w:rPr>
        <w:t xml:space="preserve">; </w:t>
      </w:r>
      <w:r w:rsidR="003A247F" w:rsidRPr="000819BA">
        <w:rPr>
          <w:lang w:val="en-GB"/>
        </w:rPr>
        <w:t>XIII</w:t>
      </w:r>
      <w:r w:rsidR="00E65435" w:rsidRPr="000819BA">
        <w:rPr>
          <w:lang w:val="en-GB"/>
        </w:rPr>
        <w:t xml:space="preserve">, </w:t>
      </w:r>
      <w:r w:rsidRPr="000819BA">
        <w:rPr>
          <w:lang w:val="en-GB"/>
        </w:rPr>
        <w:t>30</w:t>
      </w:r>
      <w:r w:rsidR="00E65435" w:rsidRPr="000819BA">
        <w:rPr>
          <w:lang w:val="en-GB"/>
        </w:rPr>
        <w:t xml:space="preserve">, </w:t>
      </w:r>
      <w:r w:rsidRPr="000819BA">
        <w:rPr>
          <w:lang w:val="en-GB"/>
        </w:rPr>
        <w:t>34</w:t>
      </w:r>
      <w:r w:rsidR="00E65435" w:rsidRPr="000819BA">
        <w:rPr>
          <w:lang w:val="en-GB"/>
        </w:rPr>
        <w:t xml:space="preserve">, </w:t>
      </w:r>
      <w:r w:rsidRPr="000819BA">
        <w:rPr>
          <w:lang w:val="en-GB"/>
        </w:rPr>
        <w:t>37</w:t>
      </w:r>
      <w:r w:rsidR="00C2602D" w:rsidRPr="000819BA">
        <w:rPr>
          <w:lang w:val="en-GB"/>
        </w:rPr>
        <w:t> </w:t>
      </w:r>
      <w:r w:rsidR="007F6508" w:rsidRPr="000819BA">
        <w:rPr>
          <w:lang w:val="en-GB"/>
        </w:rPr>
        <w:t xml:space="preserve">; </w:t>
      </w:r>
      <w:r w:rsidR="00CA083D" w:rsidRPr="000819BA">
        <w:rPr>
          <w:lang w:val="en-GB"/>
        </w:rPr>
        <w:t>XVII</w:t>
      </w:r>
      <w:r w:rsidR="00E65435" w:rsidRPr="000819BA">
        <w:rPr>
          <w:lang w:val="en-GB"/>
        </w:rPr>
        <w:t xml:space="preserve">, </w:t>
      </w:r>
      <w:r w:rsidRPr="000819BA">
        <w:rPr>
          <w:lang w:val="en-GB"/>
        </w:rPr>
        <w:t>3</w:t>
      </w:r>
      <w:r w:rsidR="00E65435" w:rsidRPr="000819BA">
        <w:rPr>
          <w:lang w:val="en-GB"/>
        </w:rPr>
        <w:t xml:space="preserve">, </w:t>
      </w:r>
      <w:r w:rsidRPr="000819BA">
        <w:rPr>
          <w:lang w:val="en-GB"/>
        </w:rPr>
        <w:t>18</w:t>
      </w:r>
      <w:r w:rsidR="00C2602D" w:rsidRPr="000819BA">
        <w:rPr>
          <w:lang w:val="en-GB"/>
        </w:rPr>
        <w:t> </w:t>
      </w:r>
      <w:r w:rsidR="007F6508" w:rsidRPr="000819BA">
        <w:rPr>
          <w:lang w:val="en-GB"/>
        </w:rPr>
        <w:t xml:space="preserve">; </w:t>
      </w:r>
      <w:r w:rsidR="00FC445E" w:rsidRPr="000819BA">
        <w:rPr>
          <w:lang w:val="en-GB"/>
        </w:rPr>
        <w:t>XIX</w:t>
      </w:r>
      <w:r w:rsidR="00E65435" w:rsidRPr="000819BA">
        <w:rPr>
          <w:lang w:val="en-GB"/>
        </w:rPr>
        <w:t xml:space="preserve">, </w:t>
      </w:r>
      <w:r w:rsidRPr="000819BA">
        <w:rPr>
          <w:lang w:val="en-GB"/>
        </w:rPr>
        <w:t>13</w:t>
      </w:r>
      <w:r w:rsidR="00C2602D" w:rsidRPr="000819BA">
        <w:rPr>
          <w:lang w:val="en-GB"/>
        </w:rPr>
        <w:t> </w:t>
      </w:r>
      <w:r w:rsidR="007F6508" w:rsidRPr="000819BA">
        <w:rPr>
          <w:lang w:val="en-GB"/>
        </w:rPr>
        <w:t xml:space="preserve">; </w:t>
      </w:r>
      <w:r w:rsidRPr="000819BA">
        <w:rPr>
          <w:lang w:val="en-GB"/>
        </w:rPr>
        <w:t xml:space="preserve">Rom. </w:t>
      </w:r>
      <w:r w:rsidR="00835131" w:rsidRPr="00736374">
        <w:rPr>
          <w:lang w:val="en-GB"/>
        </w:rPr>
        <w:t>V</w:t>
      </w:r>
      <w:r w:rsidR="00E65435" w:rsidRPr="00736374">
        <w:rPr>
          <w:lang w:val="en-GB"/>
        </w:rPr>
        <w:t xml:space="preserve">, </w:t>
      </w:r>
      <w:r w:rsidRPr="00736374">
        <w:rPr>
          <w:lang w:val="en-GB"/>
        </w:rPr>
        <w:t>9</w:t>
      </w:r>
      <w:r w:rsidR="00C2602D" w:rsidRPr="00736374">
        <w:rPr>
          <w:lang w:val="en-GB"/>
        </w:rPr>
        <w:t> </w:t>
      </w:r>
      <w:r w:rsidR="007F6508" w:rsidRPr="00736374">
        <w:rPr>
          <w:lang w:val="en-GB"/>
        </w:rPr>
        <w:t xml:space="preserve">; </w:t>
      </w:r>
      <w:r w:rsidRPr="00736374">
        <w:rPr>
          <w:lang w:val="en-GB"/>
        </w:rPr>
        <w:t>I Cor.</w:t>
      </w:r>
      <w:r w:rsidR="00C21120" w:rsidRPr="00736374">
        <w:rPr>
          <w:lang w:val="en-GB"/>
        </w:rPr>
        <w:t xml:space="preserve"> </w:t>
      </w:r>
      <w:r w:rsidR="00C21120" w:rsidRPr="000819BA">
        <w:rPr>
          <w:lang w:val="en-GB"/>
        </w:rPr>
        <w:t>I, 1</w:t>
      </w:r>
      <w:r w:rsidRPr="000819BA">
        <w:rPr>
          <w:lang w:val="en-GB"/>
        </w:rPr>
        <w:t>3</w:t>
      </w:r>
      <w:r w:rsidR="00E65435" w:rsidRPr="000819BA">
        <w:rPr>
          <w:lang w:val="en-GB"/>
        </w:rPr>
        <w:t xml:space="preserve">, </w:t>
      </w:r>
      <w:r w:rsidRPr="000819BA">
        <w:rPr>
          <w:lang w:val="en-GB"/>
        </w:rPr>
        <w:t>23</w:t>
      </w:r>
      <w:r w:rsidR="00C2602D" w:rsidRPr="000819BA">
        <w:rPr>
          <w:lang w:val="en-GB"/>
        </w:rPr>
        <w:t> </w:t>
      </w:r>
      <w:r w:rsidR="007F6508" w:rsidRPr="000819BA">
        <w:rPr>
          <w:lang w:val="en-GB"/>
        </w:rPr>
        <w:t xml:space="preserve">; </w:t>
      </w:r>
      <w:r w:rsidR="00D73331" w:rsidRPr="000819BA">
        <w:rPr>
          <w:lang w:val="en-GB"/>
        </w:rPr>
        <w:t>II</w:t>
      </w:r>
      <w:r w:rsidR="00E65435" w:rsidRPr="000819BA">
        <w:rPr>
          <w:lang w:val="en-GB"/>
        </w:rPr>
        <w:t xml:space="preserve">, </w:t>
      </w:r>
      <w:r w:rsidRPr="000819BA">
        <w:rPr>
          <w:lang w:val="en-GB"/>
        </w:rPr>
        <w:t>2</w:t>
      </w:r>
      <w:r w:rsidR="00C2602D" w:rsidRPr="000819BA">
        <w:rPr>
          <w:lang w:val="en-GB"/>
        </w:rPr>
        <w:t> </w:t>
      </w:r>
      <w:r w:rsidR="007F6508" w:rsidRPr="000819BA">
        <w:rPr>
          <w:lang w:val="en-GB"/>
        </w:rPr>
        <w:t xml:space="preserve">; </w:t>
      </w:r>
      <w:r w:rsidR="00D72CBC" w:rsidRPr="000819BA">
        <w:rPr>
          <w:lang w:val="en-GB"/>
        </w:rPr>
        <w:t>XV</w:t>
      </w:r>
      <w:r w:rsidR="00E65435" w:rsidRPr="000819BA">
        <w:rPr>
          <w:lang w:val="en-GB"/>
        </w:rPr>
        <w:t xml:space="preserve">, </w:t>
      </w:r>
      <w:r w:rsidRPr="000819BA">
        <w:rPr>
          <w:lang w:val="en-GB"/>
        </w:rPr>
        <w:t>3</w:t>
      </w:r>
      <w:r w:rsidR="00E65435" w:rsidRPr="000819BA">
        <w:rPr>
          <w:lang w:val="en-GB"/>
        </w:rPr>
        <w:t xml:space="preserve">, </w:t>
      </w:r>
      <w:r w:rsidRPr="000819BA">
        <w:rPr>
          <w:lang w:val="en-GB"/>
        </w:rPr>
        <w:t>12</w:t>
      </w:r>
      <w:r w:rsidR="00D73331" w:rsidRPr="000819BA">
        <w:rPr>
          <w:lang w:val="en-GB"/>
        </w:rPr>
        <w:t xml:space="preserve"> ; </w:t>
      </w:r>
      <w:r w:rsidRPr="000819BA">
        <w:rPr>
          <w:lang w:val="en-GB"/>
        </w:rPr>
        <w:t>II Cor.</w:t>
      </w:r>
      <w:r w:rsidR="00C21120" w:rsidRPr="000819BA">
        <w:rPr>
          <w:lang w:val="en-GB"/>
        </w:rPr>
        <w:t xml:space="preserve"> I, 1</w:t>
      </w:r>
      <w:r w:rsidRPr="000819BA">
        <w:rPr>
          <w:lang w:val="en-GB"/>
        </w:rPr>
        <w:t>9</w:t>
      </w:r>
      <w:r w:rsidR="00C2602D" w:rsidRPr="000819BA">
        <w:rPr>
          <w:lang w:val="en-GB"/>
        </w:rPr>
        <w:t> </w:t>
      </w:r>
      <w:r w:rsidR="007F6508" w:rsidRPr="000819BA">
        <w:rPr>
          <w:lang w:val="en-GB"/>
        </w:rPr>
        <w:t xml:space="preserve">; </w:t>
      </w:r>
      <w:r w:rsidR="0096281A" w:rsidRPr="000819BA">
        <w:rPr>
          <w:lang w:val="en-GB"/>
        </w:rPr>
        <w:t>IV</w:t>
      </w:r>
      <w:r w:rsidR="00E65435" w:rsidRPr="000819BA">
        <w:rPr>
          <w:lang w:val="en-GB"/>
        </w:rPr>
        <w:t xml:space="preserve">, </w:t>
      </w:r>
      <w:r w:rsidR="00D73331" w:rsidRPr="000819BA">
        <w:rPr>
          <w:lang w:val="en-GB"/>
        </w:rPr>
        <w:t>5</w:t>
      </w:r>
      <w:r w:rsidR="00C2602D" w:rsidRPr="000819BA">
        <w:rPr>
          <w:lang w:val="en-GB"/>
        </w:rPr>
        <w:t> </w:t>
      </w:r>
      <w:r w:rsidR="007F6508" w:rsidRPr="000819BA">
        <w:rPr>
          <w:lang w:val="en-GB"/>
        </w:rPr>
        <w:t>;</w:t>
      </w:r>
      <w:r w:rsidR="00623A37" w:rsidRPr="000819BA">
        <w:rPr>
          <w:lang w:val="en-GB"/>
        </w:rPr>
        <w:t xml:space="preserve"> XI,</w:t>
      </w:r>
      <w:r w:rsidR="00E65435" w:rsidRPr="000819BA">
        <w:rPr>
          <w:lang w:val="en-GB"/>
        </w:rPr>
        <w:t xml:space="preserve"> </w:t>
      </w:r>
      <w:r w:rsidRPr="000819BA">
        <w:rPr>
          <w:lang w:val="en-GB"/>
        </w:rPr>
        <w:t>4</w:t>
      </w:r>
      <w:r w:rsidR="00C2602D" w:rsidRPr="000819BA">
        <w:rPr>
          <w:lang w:val="en-GB"/>
        </w:rPr>
        <w:t> </w:t>
      </w:r>
      <w:r w:rsidR="007F6508" w:rsidRPr="000819BA">
        <w:rPr>
          <w:lang w:val="en-GB"/>
        </w:rPr>
        <w:t xml:space="preserve">; </w:t>
      </w:r>
      <w:r w:rsidRPr="000819BA">
        <w:rPr>
          <w:lang w:val="en-GB"/>
        </w:rPr>
        <w:t>Phil.</w:t>
      </w:r>
      <w:r w:rsidR="00C21120" w:rsidRPr="000819BA">
        <w:rPr>
          <w:lang w:val="en-GB"/>
        </w:rPr>
        <w:t xml:space="preserve"> </w:t>
      </w:r>
      <w:r w:rsidR="00C21120" w:rsidRPr="002D5574">
        <w:t>I, 1</w:t>
      </w:r>
      <w:r w:rsidRPr="002D5574">
        <w:t>5</w:t>
      </w:r>
      <w:r w:rsidR="00C2602D" w:rsidRPr="002D5574">
        <w:t> </w:t>
      </w:r>
      <w:r w:rsidR="007F6508" w:rsidRPr="002D5574">
        <w:t xml:space="preserve">; </w:t>
      </w:r>
      <w:r w:rsidRPr="002D5574">
        <w:t xml:space="preserve">Hebr. </w:t>
      </w:r>
      <w:r w:rsidR="00D73331" w:rsidRPr="00946A1C">
        <w:t>XIII</w:t>
      </w:r>
      <w:r w:rsidR="00E65435" w:rsidRPr="00946A1C">
        <w:t xml:space="preserve">, </w:t>
      </w:r>
      <w:r w:rsidRPr="00946A1C">
        <w:t>42</w:t>
      </w:r>
      <w:r w:rsidR="00C2602D" w:rsidRPr="00946A1C">
        <w:t> </w:t>
      </w:r>
      <w:r w:rsidR="007F6508" w:rsidRPr="00946A1C">
        <w:t xml:space="preserve">; </w:t>
      </w:r>
      <w:r w:rsidRPr="00946A1C">
        <w:t xml:space="preserve">I Petr. </w:t>
      </w:r>
      <w:r w:rsidR="00D73331" w:rsidRPr="00946A1C">
        <w:t>II</w:t>
      </w:r>
      <w:r w:rsidR="00E65435" w:rsidRPr="00946A1C">
        <w:t xml:space="preserve">, </w:t>
      </w:r>
      <w:r w:rsidRPr="00946A1C">
        <w:t>21</w:t>
      </w:r>
      <w:r w:rsidR="00C2602D" w:rsidRPr="00946A1C">
        <w:t> </w:t>
      </w:r>
      <w:r w:rsidR="007F6508" w:rsidRPr="00946A1C">
        <w:t xml:space="preserve">; </w:t>
      </w:r>
      <w:r w:rsidR="0017332F" w:rsidRPr="00946A1C">
        <w:t>III</w:t>
      </w:r>
      <w:r w:rsidR="00E65435" w:rsidRPr="00946A1C">
        <w:t xml:space="preserve">, </w:t>
      </w:r>
      <w:r w:rsidRPr="00946A1C">
        <w:t>18</w:t>
      </w:r>
      <w:r w:rsidR="00C2602D" w:rsidRPr="00946A1C">
        <w:t> </w:t>
      </w:r>
      <w:r w:rsidR="007F6508" w:rsidRPr="00946A1C">
        <w:t xml:space="preserve">; </w:t>
      </w:r>
      <w:r w:rsidR="0096281A" w:rsidRPr="00946A1C">
        <w:t>IV</w:t>
      </w:r>
      <w:r w:rsidR="00E65435" w:rsidRPr="00946A1C">
        <w:t xml:space="preserve">, </w:t>
      </w:r>
      <w:r w:rsidRPr="00946A1C">
        <w:t>1</w:t>
      </w:r>
      <w:r w:rsidR="00E65435" w:rsidRPr="00946A1C">
        <w:t xml:space="preserve">, </w:t>
      </w:r>
      <w:r w:rsidRPr="00946A1C">
        <w:t>etc.</w:t>
      </w:r>
      <w:r w:rsidR="00933C60" w:rsidRPr="00C406FF">
        <w:rPr>
          <w:rStyle w:val="Appelnotedebasdep"/>
        </w:rPr>
        <w:footnoteReference w:id="106"/>
      </w:r>
      <w:r w:rsidRPr="00946A1C">
        <w:t>.</w:t>
      </w:r>
      <w:r w:rsidR="00C2602D" w:rsidRPr="00946A1C">
        <w:t xml:space="preserve"> </w:t>
      </w:r>
    </w:p>
    <w:p w:rsidR="00C2602D" w:rsidRPr="00CF66E3" w:rsidRDefault="00B704AD" w:rsidP="00CF66E3">
      <w:r w:rsidRPr="00C8701B">
        <w:rPr>
          <w:rFonts w:eastAsia="Arial Unicode MS"/>
          <w:bCs/>
          <w:lang w:eastAsia="fr-FR" w:bidi="he-IL"/>
        </w:rPr>
        <w:t>Les Pères parlent en termes encore plus formels</w:t>
      </w:r>
      <w:r w:rsidR="00E65435">
        <w:rPr>
          <w:rFonts w:eastAsia="Arial Unicode MS"/>
          <w:bCs/>
          <w:lang w:eastAsia="fr-FR" w:bidi="he-IL"/>
        </w:rPr>
        <w:t xml:space="preserve">, </w:t>
      </w:r>
      <w:r w:rsidRPr="00C8701B">
        <w:rPr>
          <w:rFonts w:eastAsia="Arial Unicode MS"/>
          <w:bCs/>
          <w:lang w:eastAsia="fr-FR" w:bidi="he-IL"/>
        </w:rPr>
        <w:t>lorsqu</w:t>
      </w:r>
      <w:r w:rsidR="00557DE0">
        <w:rPr>
          <w:rFonts w:eastAsia="Arial Unicode MS"/>
          <w:bCs/>
          <w:lang w:eastAsia="fr-FR" w:bidi="he-IL"/>
        </w:rPr>
        <w:t>’</w:t>
      </w:r>
      <w:r w:rsidRPr="00C8701B">
        <w:rPr>
          <w:rFonts w:eastAsia="Arial Unicode MS"/>
          <w:bCs/>
          <w:lang w:eastAsia="fr-FR" w:bidi="he-IL"/>
        </w:rPr>
        <w:t>ils assurent</w:t>
      </w:r>
      <w:r w:rsidR="00E65435">
        <w:rPr>
          <w:rFonts w:eastAsia="Arial Unicode MS"/>
          <w:bCs/>
          <w:lang w:eastAsia="fr-FR" w:bidi="he-IL"/>
        </w:rPr>
        <w:t xml:space="preserve">, </w:t>
      </w:r>
      <w:r w:rsidRPr="00C8701B">
        <w:rPr>
          <w:rFonts w:eastAsia="Arial Unicode MS"/>
          <w:bCs/>
          <w:lang w:eastAsia="fr-FR" w:bidi="he-IL"/>
        </w:rPr>
        <w:t>comme Papias</w:t>
      </w:r>
      <w:r w:rsidR="00933C60" w:rsidRPr="00C406FF">
        <w:rPr>
          <w:rStyle w:val="Appelnotedebasdep"/>
        </w:rPr>
        <w:footnoteReference w:id="107"/>
      </w:r>
      <w:r w:rsidR="00E65435">
        <w:rPr>
          <w:rFonts w:eastAsia="Arial Unicode MS"/>
          <w:bCs/>
          <w:lang w:eastAsia="fr-FR" w:bidi="he-IL"/>
        </w:rPr>
        <w:t xml:space="preserve">, </w:t>
      </w:r>
      <w:r w:rsidRPr="00C8701B">
        <w:rPr>
          <w:rFonts w:eastAsia="Arial Unicode MS"/>
          <w:bCs/>
          <w:lang w:eastAsia="fr-FR" w:bidi="he-IL"/>
        </w:rPr>
        <w:t>S. Irénée</w:t>
      </w:r>
      <w:r w:rsidR="00E65435">
        <w:rPr>
          <w:rFonts w:eastAsia="Arial Unicode MS"/>
          <w:bCs/>
          <w:lang w:eastAsia="fr-FR" w:bidi="he-IL"/>
        </w:rPr>
        <w:t xml:space="preserve">, </w:t>
      </w:r>
      <w:r w:rsidRPr="00C8701B">
        <w:rPr>
          <w:rFonts w:eastAsia="Arial Unicode MS"/>
          <w:bCs/>
          <w:lang w:eastAsia="fr-FR" w:bidi="he-IL"/>
        </w:rPr>
        <w:t>Clément d</w:t>
      </w:r>
      <w:r w:rsidR="00557DE0">
        <w:rPr>
          <w:rFonts w:eastAsia="Arial Unicode MS"/>
          <w:bCs/>
          <w:lang w:eastAsia="fr-FR" w:bidi="he-IL"/>
        </w:rPr>
        <w:t>’</w:t>
      </w:r>
      <w:r w:rsidRPr="00C8701B">
        <w:rPr>
          <w:rFonts w:eastAsia="Arial Unicode MS"/>
          <w:bCs/>
          <w:lang w:eastAsia="fr-FR" w:bidi="he-IL"/>
        </w:rPr>
        <w:t>Alexandrie</w:t>
      </w:r>
      <w:r w:rsidR="00933C60" w:rsidRPr="00C406FF">
        <w:rPr>
          <w:rStyle w:val="Appelnotedebasdep"/>
        </w:rPr>
        <w:footnoteReference w:id="108"/>
      </w:r>
      <w:r w:rsidR="00E65435">
        <w:rPr>
          <w:rFonts w:eastAsia="Arial Unicode MS"/>
          <w:bCs/>
          <w:lang w:eastAsia="fr-FR" w:bidi="he-IL"/>
        </w:rPr>
        <w:t xml:space="preserve">, </w:t>
      </w:r>
      <w:r w:rsidRPr="00C8701B">
        <w:rPr>
          <w:rFonts w:eastAsia="Arial Unicode MS"/>
          <w:bCs/>
          <w:lang w:eastAsia="fr-FR" w:bidi="he-IL"/>
        </w:rPr>
        <w:t xml:space="preserve">que S. Marc </w:t>
      </w:r>
      <w:r w:rsidR="00C2602D" w:rsidRPr="00C8701B">
        <w:rPr>
          <w:rFonts w:eastAsia="Arial Unicode MS"/>
          <w:bCs/>
          <w:lang w:eastAsia="fr-FR" w:bidi="he-IL"/>
        </w:rPr>
        <w:t>« </w:t>
      </w:r>
      <w:r w:rsidRPr="00C8701B">
        <w:rPr>
          <w:rFonts w:eastAsia="Arial Unicode MS"/>
          <w:bCs/>
          <w:lang w:eastAsia="fr-FR" w:bidi="he-IL"/>
        </w:rPr>
        <w:t>nous a livré par écrit les choses prêchées par Pierre</w:t>
      </w:r>
      <w:r w:rsidR="00C2602D" w:rsidRPr="00C8701B">
        <w:rPr>
          <w:rFonts w:eastAsia="Arial Unicode MS"/>
          <w:bCs/>
          <w:lang w:eastAsia="fr-FR" w:bidi="he-IL"/>
        </w:rPr>
        <w:t> »</w:t>
      </w:r>
      <w:r w:rsidR="00E65435">
        <w:rPr>
          <w:rFonts w:eastAsia="Arial Unicode MS"/>
          <w:bCs/>
          <w:lang w:eastAsia="fr-FR" w:bidi="he-IL"/>
        </w:rPr>
        <w:t xml:space="preserve">, </w:t>
      </w:r>
      <w:r w:rsidRPr="00C8701B">
        <w:rPr>
          <w:rFonts w:eastAsia="Arial Unicode MS"/>
          <w:bCs/>
          <w:lang w:eastAsia="fr-FR" w:bidi="he-IL"/>
        </w:rPr>
        <w:t xml:space="preserve">et que S. Luc </w:t>
      </w:r>
      <w:r w:rsidR="00C2602D" w:rsidRPr="00C8701B">
        <w:rPr>
          <w:rFonts w:eastAsia="Arial Unicode MS"/>
          <w:bCs/>
          <w:lang w:eastAsia="fr-FR" w:bidi="he-IL"/>
        </w:rPr>
        <w:t>« </w:t>
      </w:r>
      <w:r w:rsidRPr="00C8701B">
        <w:rPr>
          <w:rFonts w:eastAsia="Arial Unicode MS"/>
          <w:bCs/>
          <w:lang w:eastAsia="fr-FR" w:bidi="he-IL"/>
        </w:rPr>
        <w:t>a consigné dans son livre l</w:t>
      </w:r>
      <w:r w:rsidR="00557DE0">
        <w:rPr>
          <w:rFonts w:eastAsia="Arial Unicode MS"/>
          <w:bCs/>
          <w:lang w:eastAsia="fr-FR" w:bidi="he-IL"/>
        </w:rPr>
        <w:t>’</w:t>
      </w:r>
      <w:r w:rsidRPr="00C8701B">
        <w:rPr>
          <w:rFonts w:eastAsia="Arial Unicode MS"/>
          <w:bCs/>
          <w:lang w:eastAsia="fr-FR" w:bidi="he-IL"/>
        </w:rPr>
        <w:t>évangile prêché par Paul</w:t>
      </w:r>
      <w:r w:rsidR="00933C60" w:rsidRPr="00C406FF">
        <w:rPr>
          <w:rStyle w:val="Appelnotedebasdep"/>
        </w:rPr>
        <w:footnoteReference w:id="109"/>
      </w:r>
      <w:r w:rsidR="00CF66E3">
        <w:rPr>
          <w:rFonts w:eastAsia="Arial Unicode MS"/>
          <w:bCs/>
          <w:lang w:eastAsia="fr-FR" w:bidi="he-IL"/>
        </w:rPr>
        <w:t xml:space="preserve">. </w:t>
      </w:r>
      <w:r w:rsidR="00C2602D" w:rsidRPr="00C8701B">
        <w:rPr>
          <w:rFonts w:eastAsia="Arial Unicode MS"/>
          <w:bCs/>
          <w:lang w:eastAsia="fr-FR" w:bidi="he-IL"/>
        </w:rPr>
        <w:t>«</w:t>
      </w:r>
      <w:r w:rsidR="00C2602D" w:rsidRPr="00CF66E3">
        <w:t> </w:t>
      </w:r>
      <w:r w:rsidRPr="00CF66E3">
        <w:t>Non enim</w:t>
      </w:r>
      <w:r w:rsidR="00E65435" w:rsidRPr="00CF66E3">
        <w:t xml:space="preserve">, </w:t>
      </w:r>
      <w:r w:rsidRPr="00CF66E3">
        <w:t>dit encore S. Irénée</w:t>
      </w:r>
      <w:r w:rsidR="00933C60" w:rsidRPr="00C406FF">
        <w:rPr>
          <w:rStyle w:val="Appelnotedebasdep"/>
        </w:rPr>
        <w:footnoteReference w:id="110"/>
      </w:r>
      <w:r w:rsidR="00E65435" w:rsidRPr="00CF66E3">
        <w:t xml:space="preserve">, </w:t>
      </w:r>
      <w:r w:rsidRPr="00CF66E3">
        <w:t xml:space="preserve">per </w:t>
      </w:r>
      <w:r w:rsidR="00475503">
        <w:t>álios</w:t>
      </w:r>
      <w:r w:rsidRPr="00CF66E3">
        <w:t xml:space="preserve"> disposit</w:t>
      </w:r>
      <w:r w:rsidR="000B732C" w:rsidRPr="00CF66E3">
        <w:t>iónem</w:t>
      </w:r>
      <w:r w:rsidRPr="00CF66E3">
        <w:t xml:space="preserve"> </w:t>
      </w:r>
      <w:r w:rsidR="00CF66E3" w:rsidRPr="00CF66E3">
        <w:t>salútis</w:t>
      </w:r>
      <w:r w:rsidRPr="00CF66E3">
        <w:t xml:space="preserve"> nostr</w:t>
      </w:r>
      <w:r w:rsidR="00E37C84" w:rsidRPr="00CF66E3">
        <w:t>æ</w:t>
      </w:r>
      <w:r w:rsidRPr="00CF66E3">
        <w:t xml:space="preserve"> </w:t>
      </w:r>
      <w:r w:rsidR="00CF66E3" w:rsidRPr="00CF66E3">
        <w:t>cognóvimus</w:t>
      </w:r>
      <w:r w:rsidR="00E65435" w:rsidRPr="00CF66E3">
        <w:t xml:space="preserve">, </w:t>
      </w:r>
      <w:r w:rsidRPr="00CF66E3">
        <w:t xml:space="preserve">quam per eos per quos </w:t>
      </w:r>
      <w:r w:rsidR="00CF66E3" w:rsidRPr="00CF66E3">
        <w:t>evangélium</w:t>
      </w:r>
      <w:r w:rsidRPr="00CF66E3">
        <w:t xml:space="preserve"> </w:t>
      </w:r>
      <w:r w:rsidR="00CF66E3" w:rsidRPr="00CF66E3">
        <w:t>pervénit</w:t>
      </w:r>
      <w:r w:rsidRPr="00CF66E3">
        <w:t xml:space="preserve"> ad nos</w:t>
      </w:r>
      <w:r w:rsidR="00C2602D" w:rsidRPr="00CF66E3">
        <w:t> </w:t>
      </w:r>
      <w:r w:rsidR="007F6508" w:rsidRPr="00CF66E3">
        <w:t xml:space="preserve">; </w:t>
      </w:r>
      <w:r w:rsidRPr="00CF66E3">
        <w:t xml:space="preserve">quod quidem </w:t>
      </w:r>
      <w:r w:rsidR="002149F0" w:rsidRPr="00CF66E3">
        <w:t>tunc</w:t>
      </w:r>
      <w:r w:rsidRPr="00CF66E3">
        <w:t xml:space="preserve"> </w:t>
      </w:r>
      <w:r w:rsidR="0098142C" w:rsidRPr="00CF66E3">
        <w:t>præ</w:t>
      </w:r>
      <w:r w:rsidRPr="00CF66E3">
        <w:t>co</w:t>
      </w:r>
      <w:r w:rsidR="00473B23" w:rsidRPr="00CF66E3">
        <w:t>navérunt</w:t>
      </w:r>
      <w:r w:rsidR="00E65435" w:rsidRPr="00CF66E3">
        <w:t xml:space="preserve">, </w:t>
      </w:r>
      <w:r w:rsidR="00CF66E3" w:rsidRPr="00CF66E3">
        <w:t>póstea</w:t>
      </w:r>
      <w:r w:rsidRPr="00CF66E3">
        <w:t xml:space="preserve"> vero per Dei </w:t>
      </w:r>
      <w:r w:rsidR="00C87A2B" w:rsidRPr="00CF66E3">
        <w:t>voluntátem</w:t>
      </w:r>
      <w:r w:rsidR="00CF66E3">
        <w:t xml:space="preserve"> in Scriptúris</w:t>
      </w:r>
      <w:r w:rsidRPr="00CF66E3">
        <w:t xml:space="preserve"> nobis tra</w:t>
      </w:r>
      <w:r w:rsidR="00473B23" w:rsidRPr="00CF66E3">
        <w:t>didérunt</w:t>
      </w:r>
      <w:r w:rsidR="00CF66E3" w:rsidRPr="00CF66E3">
        <w:t xml:space="preserve">. » </w:t>
      </w:r>
    </w:p>
    <w:p w:rsidR="00C2602D" w:rsidRPr="00C8701B" w:rsidRDefault="00B704AD" w:rsidP="00CF66E3">
      <w:pPr>
        <w:rPr>
          <w:rFonts w:eastAsia="Arial Unicode MS"/>
          <w:bCs/>
          <w:lang w:eastAsia="fr-FR" w:bidi="he-IL"/>
        </w:rPr>
      </w:pPr>
      <w:r w:rsidRPr="00C8701B">
        <w:rPr>
          <w:rFonts w:eastAsia="Arial Unicode MS"/>
          <w:bCs/>
          <w:lang w:eastAsia="fr-FR" w:bidi="he-IL"/>
        </w:rPr>
        <w:t>III.</w:t>
      </w:r>
      <w:bookmarkStart w:id="36" w:name="evin0603"/>
      <w:bookmarkEnd w:id="36"/>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 xml:space="preserve">Pour mieux manifester encore le contenu des </w:t>
      </w:r>
      <w:r w:rsidR="000439E9">
        <w:rPr>
          <w:rFonts w:eastAsia="Arial Unicode MS"/>
          <w:bCs/>
          <w:lang w:eastAsia="fr-FR" w:bidi="he-IL"/>
        </w:rPr>
        <w:t>Évangile</w:t>
      </w:r>
      <w:r w:rsidRPr="00C8701B">
        <w:rPr>
          <w:rFonts w:eastAsia="Arial Unicode MS"/>
          <w:bCs/>
          <w:lang w:eastAsia="fr-FR" w:bidi="he-IL"/>
        </w:rPr>
        <w:t>s</w:t>
      </w:r>
      <w:r w:rsidR="00E65435">
        <w:rPr>
          <w:rFonts w:eastAsia="Arial Unicode MS"/>
          <w:bCs/>
          <w:lang w:eastAsia="fr-FR" w:bidi="he-IL"/>
        </w:rPr>
        <w:t xml:space="preserve">, </w:t>
      </w:r>
      <w:r w:rsidRPr="00C8701B">
        <w:rPr>
          <w:rFonts w:eastAsia="Arial Unicode MS"/>
          <w:bCs/>
          <w:lang w:eastAsia="fr-FR" w:bidi="he-IL"/>
        </w:rPr>
        <w:t>nous allons les faire passer en quelque sorte</w:t>
      </w:r>
      <w:r w:rsidR="00E65435">
        <w:rPr>
          <w:rFonts w:eastAsia="Arial Unicode MS"/>
          <w:bCs/>
          <w:lang w:eastAsia="fr-FR" w:bidi="he-IL"/>
        </w:rPr>
        <w:t xml:space="preserve">, </w:t>
      </w:r>
      <w:r w:rsidRPr="00C8701B">
        <w:rPr>
          <w:rFonts w:eastAsia="Arial Unicode MS"/>
          <w:bCs/>
          <w:lang w:eastAsia="fr-FR" w:bidi="he-IL"/>
        </w:rPr>
        <w:t>et à plusieurs reprises</w:t>
      </w:r>
      <w:r w:rsidR="00E65435">
        <w:rPr>
          <w:rFonts w:eastAsia="Arial Unicode MS"/>
          <w:bCs/>
          <w:lang w:eastAsia="fr-FR" w:bidi="he-IL"/>
        </w:rPr>
        <w:t xml:space="preserve">, </w:t>
      </w:r>
      <w:r w:rsidR="00CF66E3">
        <w:rPr>
          <w:rFonts w:eastAsia="Arial Unicode MS"/>
          <w:bCs/>
          <w:lang w:eastAsia="fr-FR" w:bidi="he-IL"/>
        </w:rPr>
        <w:t xml:space="preserve">sous les </w:t>
      </w:r>
      <w:r w:rsidRPr="00C8701B">
        <w:rPr>
          <w:rFonts w:eastAsia="Arial Unicode MS"/>
          <w:bCs/>
          <w:lang w:eastAsia="fr-FR" w:bidi="he-IL"/>
        </w:rPr>
        <w:t>yeux du lecteur</w:t>
      </w:r>
      <w:r w:rsidR="00E65435">
        <w:rPr>
          <w:rFonts w:eastAsia="Arial Unicode MS"/>
          <w:bCs/>
          <w:lang w:eastAsia="fr-FR" w:bidi="he-IL"/>
        </w:rPr>
        <w:t xml:space="preserve">, </w:t>
      </w:r>
      <w:r w:rsidRPr="00C8701B">
        <w:rPr>
          <w:rFonts w:eastAsia="Arial Unicode MS"/>
          <w:bCs/>
          <w:lang w:eastAsia="fr-FR" w:bidi="he-IL"/>
        </w:rPr>
        <w:t>comme un panorama grandiose</w:t>
      </w:r>
      <w:r w:rsidR="00E65435">
        <w:rPr>
          <w:rFonts w:eastAsia="Arial Unicode MS"/>
          <w:bCs/>
          <w:lang w:eastAsia="fr-FR" w:bidi="he-IL"/>
        </w:rPr>
        <w:t xml:space="preserve">, </w:t>
      </w:r>
      <w:r w:rsidRPr="00C8701B">
        <w:rPr>
          <w:rFonts w:eastAsia="Arial Unicode MS"/>
          <w:bCs/>
          <w:lang w:eastAsia="fr-FR" w:bidi="he-IL"/>
        </w:rPr>
        <w:t>en résumant les harmonies évangéliques</w:t>
      </w:r>
      <w:r w:rsidR="00E65435">
        <w:rPr>
          <w:rFonts w:eastAsia="Arial Unicode MS"/>
          <w:bCs/>
          <w:lang w:eastAsia="fr-FR" w:bidi="he-IL"/>
        </w:rPr>
        <w:t xml:space="preserve">, </w:t>
      </w:r>
      <w:r w:rsidRPr="00C8701B">
        <w:rPr>
          <w:rFonts w:eastAsia="Arial Unicode MS"/>
          <w:bCs/>
          <w:lang w:eastAsia="fr-FR" w:bidi="he-IL"/>
        </w:rPr>
        <w:t xml:space="preserve">ou les Vies de N.-S. </w:t>
      </w:r>
      <w:r w:rsidR="00341683" w:rsidRPr="00C8701B">
        <w:rPr>
          <w:rFonts w:eastAsia="Arial Unicode MS"/>
          <w:bCs/>
          <w:lang w:eastAsia="fr-FR" w:bidi="he-IL"/>
        </w:rPr>
        <w:t>Jésus-Christ</w:t>
      </w:r>
      <w:r w:rsidR="00E65435">
        <w:rPr>
          <w:rFonts w:eastAsia="Arial Unicode MS"/>
          <w:bCs/>
          <w:lang w:eastAsia="fr-FR" w:bidi="he-IL"/>
        </w:rPr>
        <w:t xml:space="preserve">, </w:t>
      </w:r>
      <w:r w:rsidRPr="00C8701B">
        <w:rPr>
          <w:rFonts w:eastAsia="Arial Unicode MS"/>
          <w:bCs/>
          <w:lang w:eastAsia="fr-FR" w:bidi="he-IL"/>
        </w:rPr>
        <w:t>composées par les meilleurs auteurs contemporains. Nous obtiendrons ainsi ces vues</w:t>
      </w:r>
      <w:r w:rsidR="00CF66E3">
        <w:rPr>
          <w:rFonts w:eastAsia="Arial Unicode MS"/>
          <w:bCs/>
          <w:lang w:eastAsia="fr-FR" w:bidi="he-IL"/>
        </w:rPr>
        <w:t>,</w:t>
      </w:r>
      <w:r w:rsidR="00CF66E3">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ensemble que tout voyageur sérieux aime à se procurer quand il visite une ville ou une contrée nouvelle. L</w:t>
      </w:r>
      <w:r w:rsidR="00557DE0">
        <w:rPr>
          <w:rFonts w:eastAsia="Arial Unicode MS"/>
          <w:bCs/>
          <w:lang w:eastAsia="fr-FR" w:bidi="he-IL"/>
        </w:rPr>
        <w:t>’</w:t>
      </w:r>
      <w:r w:rsidRPr="00C8701B">
        <w:rPr>
          <w:rFonts w:eastAsia="Arial Unicode MS"/>
          <w:bCs/>
          <w:lang w:eastAsia="fr-FR" w:bidi="he-IL"/>
        </w:rPr>
        <w:t>étude des détails</w:t>
      </w:r>
      <w:r w:rsidR="00E65435">
        <w:rPr>
          <w:rFonts w:eastAsia="Arial Unicode MS"/>
          <w:bCs/>
          <w:lang w:eastAsia="fr-FR" w:bidi="he-IL"/>
        </w:rPr>
        <w:t xml:space="preserve">, </w:t>
      </w:r>
      <w:r w:rsidRPr="00C8701B">
        <w:rPr>
          <w:rFonts w:eastAsia="Arial Unicode MS"/>
          <w:bCs/>
          <w:lang w:eastAsia="fr-FR" w:bidi="he-IL"/>
        </w:rPr>
        <w:t>ainsi préparée</w:t>
      </w:r>
      <w:r w:rsidR="00E65435">
        <w:rPr>
          <w:rFonts w:eastAsia="Arial Unicode MS"/>
          <w:bCs/>
          <w:lang w:eastAsia="fr-FR" w:bidi="he-IL"/>
        </w:rPr>
        <w:t xml:space="preserve">, </w:t>
      </w:r>
      <w:r w:rsidRPr="00C8701B">
        <w:rPr>
          <w:rFonts w:eastAsia="Arial Unicode MS"/>
          <w:bCs/>
          <w:lang w:eastAsia="fr-FR" w:bidi="he-IL"/>
        </w:rPr>
        <w:t>devient ensuite beaucoup plus fructueuse</w:t>
      </w:r>
      <w:r w:rsidR="00933C60" w:rsidRPr="00C406FF">
        <w:rPr>
          <w:rStyle w:val="Appelnotedebasdep"/>
        </w:rPr>
        <w:footnoteReference w:id="111"/>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1° La division adoptée par M. Fouard</w:t>
      </w:r>
      <w:r w:rsidR="00933C60" w:rsidRPr="00C406FF">
        <w:rPr>
          <w:rStyle w:val="Appelnotedebasdep"/>
        </w:rPr>
        <w:footnoteReference w:id="112"/>
      </w:r>
      <w:r w:rsidRPr="00C8701B">
        <w:rPr>
          <w:rFonts w:eastAsia="Arial Unicode MS"/>
          <w:bCs/>
          <w:lang w:eastAsia="fr-FR" w:bidi="he-IL"/>
        </w:rPr>
        <w:t xml:space="preserve"> plaît par sa netteté et sa simplicité.</w:t>
      </w:r>
      <w:r w:rsidR="00C2602D" w:rsidRPr="00C8701B">
        <w:rPr>
          <w:rFonts w:eastAsia="Arial Unicode MS"/>
          <w:bCs/>
          <w:lang w:eastAsia="fr-FR" w:bidi="he-IL"/>
        </w:rPr>
        <w:t xml:space="preserve"> </w:t>
      </w:r>
      <w:r w:rsidR="000716BB" w:rsidRPr="000716BB">
        <w:rPr>
          <w:rFonts w:eastAsia="Arial Unicode MS"/>
          <w:bCs/>
          <w:lang w:eastAsia="fr-FR" w:bidi="he-IL"/>
        </w:rPr>
        <w:t>{</w:t>
      </w:r>
      <w:r w:rsidR="000716BB">
        <w:rPr>
          <w:rFonts w:eastAsia="Arial Unicode MS"/>
          <w:bCs/>
          <w:lang w:eastAsia="fr-FR" w:bidi="he-IL"/>
        </w:rPr>
        <w:t>19</w:t>
      </w:r>
      <w:bookmarkStart w:id="37" w:name="pag019"/>
      <w:bookmarkEnd w:id="37"/>
      <w:r w:rsidR="000716BB" w:rsidRPr="000716BB">
        <w:rPr>
          <w:rFonts w:eastAsia="Arial Unicode MS"/>
          <w:bCs/>
          <w:lang w:eastAsia="fr-FR" w:bidi="he-IL"/>
        </w:rPr>
        <w:t>}</w:t>
      </w:r>
    </w:p>
    <w:p w:rsidR="00C2602D" w:rsidRPr="00C8701B" w:rsidRDefault="00B704AD" w:rsidP="00C2602D">
      <w:pPr>
        <w:rPr>
          <w:rFonts w:eastAsia="Arial Unicode MS"/>
          <w:bCs/>
          <w:lang w:eastAsia="fr-FR" w:bidi="he-IL"/>
        </w:rPr>
      </w:pPr>
      <w:r w:rsidRPr="00DC4586">
        <w:rPr>
          <w:rStyle w:val="italicus"/>
        </w:rPr>
        <w:t>Livre premier</w:t>
      </w:r>
      <w:r w:rsidR="00C2602D" w:rsidRPr="00DC4586">
        <w:rPr>
          <w:rStyle w:val="italicus"/>
        </w:rPr>
        <w:t> :</w:t>
      </w:r>
      <w:r w:rsidRPr="00C8701B">
        <w:rPr>
          <w:rFonts w:eastAsia="Arial Unicode MS"/>
          <w:bCs/>
          <w:lang w:eastAsia="fr-FR" w:bidi="he-IL"/>
        </w:rPr>
        <w:t xml:space="preserve"> L</w:t>
      </w:r>
      <w:r w:rsidR="00557DE0">
        <w:rPr>
          <w:rFonts w:eastAsia="Arial Unicode MS"/>
          <w:bCs/>
          <w:lang w:eastAsia="fr-FR" w:bidi="he-IL"/>
        </w:rPr>
        <w:t>’</w:t>
      </w:r>
      <w:r w:rsidRPr="00C8701B">
        <w:rPr>
          <w:rFonts w:eastAsia="Arial Unicode MS"/>
          <w:bCs/>
          <w:lang w:eastAsia="fr-FR" w:bidi="he-IL"/>
        </w:rPr>
        <w:t>enfance de Jésus (la naissance du Précurseur</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Incarnation</w:t>
      </w:r>
      <w:r w:rsidR="00E65435">
        <w:rPr>
          <w:rFonts w:eastAsia="Arial Unicode MS"/>
          <w:bCs/>
          <w:lang w:eastAsia="fr-FR" w:bidi="he-IL"/>
        </w:rPr>
        <w:t xml:space="preserve">, </w:t>
      </w:r>
      <w:r w:rsidRPr="00C8701B">
        <w:rPr>
          <w:rFonts w:eastAsia="Arial Unicode MS"/>
          <w:bCs/>
          <w:lang w:eastAsia="fr-FR" w:bidi="he-IL"/>
        </w:rPr>
        <w:t>la Nativité</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Épiphanie</w:t>
      </w:r>
      <w:r w:rsidR="00E65435">
        <w:rPr>
          <w:rFonts w:eastAsia="Arial Unicode MS"/>
          <w:bCs/>
          <w:lang w:eastAsia="fr-FR" w:bidi="he-IL"/>
        </w:rPr>
        <w:t xml:space="preserve">, </w:t>
      </w:r>
      <w:r w:rsidRPr="00C8701B">
        <w:rPr>
          <w:rFonts w:eastAsia="Arial Unicode MS"/>
          <w:bCs/>
          <w:lang w:eastAsia="fr-FR" w:bidi="he-IL"/>
        </w:rPr>
        <w:t>Jésus à Nazareth).</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DC4586">
        <w:rPr>
          <w:rStyle w:val="italicus"/>
        </w:rPr>
        <w:t>Livre second</w:t>
      </w:r>
      <w:r w:rsidR="00C2602D" w:rsidRPr="00DC4586">
        <w:rPr>
          <w:rStyle w:val="italicus"/>
        </w:rPr>
        <w:t> :</w:t>
      </w:r>
      <w:r w:rsidRPr="00C8701B">
        <w:rPr>
          <w:rFonts w:eastAsia="Arial Unicode MS"/>
          <w:bCs/>
          <w:lang w:eastAsia="fr-FR" w:bidi="he-IL"/>
        </w:rPr>
        <w:t xml:space="preserve"> Les débuts du ministère de Jésus (les temps et les lieux où Jésus exerça son ministère</w:t>
      </w:r>
      <w:r w:rsidR="00E65435">
        <w:rPr>
          <w:rFonts w:eastAsia="Arial Unicode MS"/>
          <w:bCs/>
          <w:lang w:eastAsia="fr-FR" w:bidi="he-IL"/>
        </w:rPr>
        <w:t xml:space="preserve">, </w:t>
      </w:r>
      <w:r w:rsidRPr="00C8701B">
        <w:rPr>
          <w:rFonts w:eastAsia="Arial Unicode MS"/>
          <w:bCs/>
          <w:lang w:eastAsia="fr-FR" w:bidi="he-IL"/>
        </w:rPr>
        <w:t>la mission de Jean-Baptiste</w:t>
      </w:r>
      <w:r w:rsidR="00E65435">
        <w:rPr>
          <w:rFonts w:eastAsia="Arial Unicode MS"/>
          <w:bCs/>
          <w:lang w:eastAsia="fr-FR" w:bidi="he-IL"/>
        </w:rPr>
        <w:t xml:space="preserve">, </w:t>
      </w:r>
      <w:r w:rsidRPr="00C8701B">
        <w:rPr>
          <w:rFonts w:eastAsia="Arial Unicode MS"/>
          <w:bCs/>
          <w:lang w:eastAsia="fr-FR" w:bidi="he-IL"/>
        </w:rPr>
        <w:t>la tentation</w:t>
      </w:r>
      <w:r w:rsidR="00E65435">
        <w:rPr>
          <w:rFonts w:eastAsia="Arial Unicode MS"/>
          <w:bCs/>
          <w:lang w:eastAsia="fr-FR" w:bidi="he-IL"/>
        </w:rPr>
        <w:t xml:space="preserve">, </w:t>
      </w:r>
      <w:r w:rsidRPr="00C8701B">
        <w:rPr>
          <w:rFonts w:eastAsia="Arial Unicode MS"/>
          <w:bCs/>
          <w:lang w:eastAsia="fr-FR" w:bidi="he-IL"/>
        </w:rPr>
        <w:t>le témoignage de Jean-Baptiste et les premiers disciples de Jésus</w:t>
      </w:r>
      <w:r w:rsidR="00E65435">
        <w:rPr>
          <w:rFonts w:eastAsia="Arial Unicode MS"/>
          <w:bCs/>
          <w:lang w:eastAsia="fr-FR" w:bidi="he-IL"/>
        </w:rPr>
        <w:t xml:space="preserve">, </w:t>
      </w:r>
      <w:r w:rsidRPr="00C8701B">
        <w:rPr>
          <w:rFonts w:eastAsia="Arial Unicode MS"/>
          <w:bCs/>
          <w:lang w:eastAsia="fr-FR" w:bidi="he-IL"/>
        </w:rPr>
        <w:t>les noces de Cana</w:t>
      </w:r>
      <w:r w:rsidR="00E65435">
        <w:rPr>
          <w:rFonts w:eastAsia="Arial Unicode MS"/>
          <w:bCs/>
          <w:lang w:eastAsia="fr-FR" w:bidi="he-IL"/>
        </w:rPr>
        <w:t xml:space="preserve">, </w:t>
      </w:r>
      <w:r w:rsidRPr="00C8701B">
        <w:rPr>
          <w:rFonts w:eastAsia="Arial Unicode MS"/>
          <w:bCs/>
          <w:lang w:eastAsia="fr-FR" w:bidi="he-IL"/>
        </w:rPr>
        <w:t>Génésareth).</w:t>
      </w:r>
      <w:r w:rsidR="00C2602D" w:rsidRPr="00C8701B">
        <w:rPr>
          <w:rFonts w:eastAsia="Arial Unicode MS"/>
          <w:bCs/>
          <w:lang w:eastAsia="fr-FR" w:bidi="he-IL"/>
        </w:rPr>
        <w:t xml:space="preserve"> </w:t>
      </w:r>
    </w:p>
    <w:p w:rsidR="00C2602D" w:rsidRPr="00C8701B" w:rsidRDefault="00B704AD" w:rsidP="00033FE8">
      <w:pPr>
        <w:rPr>
          <w:rFonts w:eastAsia="Arial Unicode MS"/>
          <w:bCs/>
          <w:lang w:eastAsia="fr-FR" w:bidi="he-IL"/>
        </w:rPr>
      </w:pPr>
      <w:r w:rsidRPr="00DC4586">
        <w:rPr>
          <w:rStyle w:val="italicus"/>
        </w:rPr>
        <w:t>Livre troisième</w:t>
      </w:r>
      <w:r w:rsidR="00C2602D" w:rsidRPr="00DC4586">
        <w:rPr>
          <w:rStyle w:val="italicus"/>
        </w:rPr>
        <w:t> :</w:t>
      </w:r>
      <w:r w:rsidRPr="00C8701B">
        <w:rPr>
          <w:rFonts w:eastAsia="Arial Unicode MS"/>
          <w:bCs/>
          <w:lang w:eastAsia="fr-FR" w:bidi="he-IL"/>
        </w:rPr>
        <w:t xml:space="preserve"> Première année du ministère de Jésus (la première Pâque de la vie publique de Jésus</w:t>
      </w:r>
      <w:r w:rsidR="00E65435">
        <w:rPr>
          <w:rFonts w:eastAsia="Arial Unicode MS"/>
          <w:bCs/>
          <w:lang w:eastAsia="fr-FR" w:bidi="he-IL"/>
        </w:rPr>
        <w:t xml:space="preserve">, </w:t>
      </w:r>
      <w:r w:rsidRPr="00C8701B">
        <w:rPr>
          <w:rFonts w:eastAsia="Arial Unicode MS"/>
          <w:bCs/>
          <w:lang w:eastAsia="fr-FR" w:bidi="he-IL"/>
        </w:rPr>
        <w:t>l</w:t>
      </w:r>
      <w:r w:rsidR="00033FE8">
        <w:rPr>
          <w:rFonts w:eastAsia="Arial Unicode MS"/>
          <w:bCs/>
          <w:lang w:eastAsia="fr-FR" w:bidi="he-IL"/>
        </w:rPr>
        <w:t xml:space="preserve">e </w:t>
      </w:r>
      <w:r w:rsidRPr="00C8701B">
        <w:rPr>
          <w:rFonts w:eastAsia="Arial Unicode MS"/>
          <w:bCs/>
          <w:lang w:eastAsia="fr-FR" w:bidi="he-IL"/>
        </w:rPr>
        <w:t xml:space="preserve">dernier témoignage de </w:t>
      </w:r>
      <w:r w:rsidR="00FA2CE5">
        <w:rPr>
          <w:rFonts w:eastAsia="Arial Unicode MS"/>
          <w:bCs/>
          <w:lang w:eastAsia="fr-FR" w:bidi="he-IL"/>
        </w:rPr>
        <w:t>Jean-Baptiste</w:t>
      </w:r>
      <w:r w:rsidR="00E65435">
        <w:rPr>
          <w:rFonts w:eastAsia="Arial Unicode MS"/>
          <w:bCs/>
          <w:lang w:eastAsia="fr-FR" w:bidi="he-IL"/>
        </w:rPr>
        <w:t xml:space="preserve">, </w:t>
      </w:r>
      <w:r w:rsidRPr="00C8701B">
        <w:rPr>
          <w:rFonts w:eastAsia="Arial Unicode MS"/>
          <w:bCs/>
          <w:lang w:eastAsia="fr-FR" w:bidi="he-IL"/>
        </w:rPr>
        <w:t>la Samaritaine</w:t>
      </w:r>
      <w:r w:rsidR="00E65435">
        <w:rPr>
          <w:rFonts w:eastAsia="Arial Unicode MS"/>
          <w:bCs/>
          <w:lang w:eastAsia="fr-FR" w:bidi="he-IL"/>
        </w:rPr>
        <w:t xml:space="preserve">, </w:t>
      </w:r>
      <w:r w:rsidRPr="00C8701B">
        <w:rPr>
          <w:rFonts w:eastAsia="Arial Unicode MS"/>
          <w:bCs/>
          <w:lang w:eastAsia="fr-FR" w:bidi="he-IL"/>
        </w:rPr>
        <w:t>Jésus chassé de Nazareth</w:t>
      </w:r>
      <w:r w:rsidR="00E65435">
        <w:rPr>
          <w:rFonts w:eastAsia="Arial Unicode MS"/>
          <w:bCs/>
          <w:lang w:eastAsia="fr-FR" w:bidi="he-IL"/>
        </w:rPr>
        <w:t xml:space="preserve">, </w:t>
      </w:r>
      <w:r w:rsidRPr="00C8701B">
        <w:rPr>
          <w:rFonts w:eastAsia="Arial Unicode MS"/>
          <w:bCs/>
          <w:lang w:eastAsia="fr-FR" w:bidi="he-IL"/>
        </w:rPr>
        <w:t>les premiers actes du ministère de Jésus en Galilée).</w:t>
      </w:r>
      <w:r w:rsidR="00C2602D" w:rsidRPr="00C8701B">
        <w:rPr>
          <w:rFonts w:eastAsia="Arial Unicode MS"/>
          <w:bCs/>
          <w:lang w:eastAsia="fr-FR" w:bidi="he-IL"/>
        </w:rPr>
        <w:t xml:space="preserve"> </w:t>
      </w:r>
    </w:p>
    <w:p w:rsidR="00FA2CE5" w:rsidRDefault="00B704AD" w:rsidP="00FA2CE5">
      <w:pPr>
        <w:rPr>
          <w:rFonts w:eastAsia="Arial Unicode MS"/>
          <w:bCs/>
          <w:lang w:eastAsia="fr-FR" w:bidi="he-IL"/>
        </w:rPr>
      </w:pPr>
      <w:r w:rsidRPr="00DC4586">
        <w:rPr>
          <w:rStyle w:val="italicus"/>
        </w:rPr>
        <w:t>Livre quatrième</w:t>
      </w:r>
      <w:r w:rsidR="00C2602D" w:rsidRPr="00DC4586">
        <w:rPr>
          <w:rStyle w:val="italicus"/>
        </w:rPr>
        <w:t> :</w:t>
      </w:r>
      <w:r w:rsidR="00FA2CE5">
        <w:rPr>
          <w:rFonts w:eastAsia="Arial Unicode MS"/>
          <w:bCs/>
          <w:lang w:eastAsia="fr-FR" w:bidi="he-IL"/>
        </w:rPr>
        <w:t xml:space="preserve"> Deuxième année du ministère de Jésus (la</w:t>
      </w:r>
      <w:r w:rsidRPr="00C8701B">
        <w:rPr>
          <w:rFonts w:eastAsia="Arial Unicode MS"/>
          <w:bCs/>
          <w:lang w:eastAsia="fr-FR" w:bidi="he-IL"/>
        </w:rPr>
        <w:t xml:space="preserve"> deuxième Pâque de la vie publique de Jésus</w:t>
      </w:r>
      <w:r w:rsidR="00E65435">
        <w:rPr>
          <w:rFonts w:eastAsia="Arial Unicode MS"/>
          <w:bCs/>
          <w:lang w:eastAsia="fr-FR" w:bidi="he-IL"/>
        </w:rPr>
        <w:t xml:space="preserve">, </w:t>
      </w:r>
      <w:r w:rsidRPr="00C8701B">
        <w:rPr>
          <w:rFonts w:eastAsia="Arial Unicode MS"/>
          <w:bCs/>
          <w:lang w:eastAsia="fr-FR" w:bidi="he-IL"/>
        </w:rPr>
        <w:t>les douze apôtres</w:t>
      </w:r>
      <w:r w:rsidR="00E65435">
        <w:rPr>
          <w:rFonts w:eastAsia="Arial Unicode MS"/>
          <w:bCs/>
          <w:lang w:eastAsia="fr-FR" w:bidi="he-IL"/>
        </w:rPr>
        <w:t xml:space="preserve">, </w:t>
      </w:r>
      <w:r w:rsidR="00FA2CE5">
        <w:rPr>
          <w:rFonts w:eastAsia="Arial Unicode MS"/>
          <w:bCs/>
          <w:lang w:eastAsia="fr-FR" w:bidi="he-IL"/>
        </w:rPr>
        <w:t xml:space="preserve">le sermon sur la </w:t>
      </w:r>
      <w:r w:rsidRPr="00C8701B">
        <w:rPr>
          <w:rFonts w:eastAsia="Arial Unicode MS"/>
          <w:bCs/>
          <w:lang w:eastAsia="fr-FR" w:bidi="he-IL"/>
        </w:rPr>
        <w:t>montagne</w:t>
      </w:r>
      <w:r w:rsidR="00E65435">
        <w:rPr>
          <w:rFonts w:eastAsia="Arial Unicode MS"/>
          <w:bCs/>
          <w:lang w:eastAsia="fr-FR" w:bidi="he-IL"/>
        </w:rPr>
        <w:t xml:space="preserve">, </w:t>
      </w:r>
      <w:r w:rsidR="00AA5498" w:rsidRPr="00C8701B">
        <w:rPr>
          <w:rFonts w:eastAsia="Arial Unicode MS"/>
          <w:bCs/>
          <w:lang w:eastAsia="fr-FR" w:bidi="he-IL"/>
        </w:rPr>
        <w:t>Capharnaüm</w:t>
      </w:r>
      <w:r w:rsidRPr="00C8701B">
        <w:rPr>
          <w:rFonts w:eastAsia="Arial Unicode MS"/>
          <w:bCs/>
          <w:lang w:eastAsia="fr-FR" w:bidi="he-IL"/>
        </w:rPr>
        <w:t xml:space="preserve"> et Naïm</w:t>
      </w:r>
      <w:r w:rsidR="00E65435">
        <w:rPr>
          <w:rFonts w:eastAsia="Arial Unicode MS"/>
          <w:bCs/>
          <w:lang w:eastAsia="fr-FR" w:bidi="he-IL"/>
        </w:rPr>
        <w:t xml:space="preserve">, </w:t>
      </w:r>
      <w:r w:rsidRPr="00C8701B">
        <w:rPr>
          <w:rFonts w:eastAsia="Arial Unicode MS"/>
          <w:bCs/>
          <w:lang w:eastAsia="fr-FR" w:bidi="he-IL"/>
        </w:rPr>
        <w:t>les paraboles</w:t>
      </w:r>
      <w:r w:rsidR="00E65435">
        <w:rPr>
          <w:rFonts w:eastAsia="Arial Unicode MS"/>
          <w:bCs/>
          <w:lang w:eastAsia="fr-FR" w:bidi="he-IL"/>
        </w:rPr>
        <w:t xml:space="preserve">, </w:t>
      </w:r>
      <w:r w:rsidR="00FA2CE5">
        <w:rPr>
          <w:rFonts w:eastAsia="Arial Unicode MS"/>
          <w:bCs/>
          <w:lang w:eastAsia="fr-FR" w:bidi="he-IL"/>
        </w:rPr>
        <w:t xml:space="preserve">miracles de </w:t>
      </w:r>
      <w:r w:rsidR="00AA5498">
        <w:rPr>
          <w:rFonts w:eastAsia="Arial Unicode MS"/>
          <w:bCs/>
          <w:lang w:eastAsia="fr-FR" w:bidi="he-IL"/>
        </w:rPr>
        <w:t>Gerge</w:t>
      </w:r>
      <w:r w:rsidR="00AA5498" w:rsidRPr="00C8701B">
        <w:rPr>
          <w:rFonts w:eastAsia="Arial Unicode MS"/>
          <w:bCs/>
          <w:lang w:eastAsia="fr-FR" w:bidi="he-IL"/>
        </w:rPr>
        <w:t>sá</w:t>
      </w:r>
      <w:r w:rsidRPr="00C8701B">
        <w:rPr>
          <w:rFonts w:eastAsia="Arial Unicode MS"/>
          <w:bCs/>
          <w:lang w:eastAsia="fr-FR" w:bidi="he-IL"/>
        </w:rPr>
        <w:t xml:space="preserve"> et de </w:t>
      </w:r>
      <w:r w:rsidR="00AA5498" w:rsidRPr="00C8701B">
        <w:rPr>
          <w:rFonts w:eastAsia="Arial Unicode MS"/>
          <w:bCs/>
          <w:lang w:eastAsia="fr-FR" w:bidi="he-IL"/>
        </w:rPr>
        <w:t>Capharnaüm</w:t>
      </w:r>
      <w:r w:rsidR="00E65435">
        <w:rPr>
          <w:rFonts w:eastAsia="Arial Unicode MS"/>
          <w:bCs/>
          <w:lang w:eastAsia="fr-FR" w:bidi="he-IL"/>
        </w:rPr>
        <w:t xml:space="preserve">, </w:t>
      </w:r>
      <w:r w:rsidRPr="00C8701B">
        <w:rPr>
          <w:rFonts w:eastAsia="Arial Unicode MS"/>
          <w:bCs/>
          <w:lang w:eastAsia="fr-FR" w:bidi="he-IL"/>
        </w:rPr>
        <w:t>mission des apôtres</w:t>
      </w:r>
      <w:r w:rsidR="00E65435">
        <w:rPr>
          <w:rFonts w:eastAsia="Arial Unicode MS"/>
          <w:bCs/>
          <w:lang w:eastAsia="fr-FR" w:bidi="he-IL"/>
        </w:rPr>
        <w:t xml:space="preserve">, </w:t>
      </w:r>
      <w:r w:rsidRPr="00C8701B">
        <w:rPr>
          <w:rFonts w:eastAsia="Arial Unicode MS"/>
          <w:bCs/>
          <w:lang w:eastAsia="fr-FR" w:bidi="he-IL"/>
        </w:rPr>
        <w:t>mort du Précurseur</w:t>
      </w:r>
      <w:r w:rsidR="00E65435">
        <w:rPr>
          <w:rFonts w:eastAsia="Arial Unicode MS"/>
          <w:bCs/>
          <w:lang w:eastAsia="fr-FR" w:bidi="he-IL"/>
        </w:rPr>
        <w:t xml:space="preserve">, </w:t>
      </w:r>
      <w:r w:rsidR="00FA2CE5">
        <w:rPr>
          <w:rFonts w:eastAsia="Arial Unicode MS"/>
          <w:bCs/>
          <w:lang w:eastAsia="fr-FR" w:bidi="he-IL"/>
        </w:rPr>
        <w:t>le p</w:t>
      </w:r>
      <w:r w:rsidRPr="00C8701B">
        <w:rPr>
          <w:rFonts w:eastAsia="Arial Unicode MS"/>
          <w:bCs/>
          <w:lang w:eastAsia="fr-FR" w:bidi="he-IL"/>
        </w:rPr>
        <w:t xml:space="preserve">ain de vie). </w:t>
      </w:r>
    </w:p>
    <w:p w:rsidR="00C2602D" w:rsidRPr="00C8701B" w:rsidRDefault="00B704AD" w:rsidP="00FA2CE5">
      <w:pPr>
        <w:rPr>
          <w:rFonts w:eastAsia="Arial Unicode MS"/>
          <w:bCs/>
          <w:lang w:eastAsia="fr-FR" w:bidi="he-IL"/>
        </w:rPr>
      </w:pPr>
      <w:r w:rsidRPr="00DC4586">
        <w:rPr>
          <w:rStyle w:val="italicus"/>
        </w:rPr>
        <w:t>Livre cinquième</w:t>
      </w:r>
      <w:r w:rsidR="00FA2CE5">
        <w:rPr>
          <w:rStyle w:val="italicus"/>
        </w:rPr>
        <w:t xml:space="preserve"> : </w:t>
      </w:r>
      <w:r w:rsidRPr="00C8701B">
        <w:rPr>
          <w:rFonts w:eastAsia="Arial Unicode MS"/>
          <w:bCs/>
          <w:lang w:eastAsia="fr-FR" w:bidi="he-IL"/>
        </w:rPr>
        <w:t>Troisième année du ministère de Jésus (séjour de Jésus à Tyr et dans la Décapole</w:t>
      </w:r>
      <w:r w:rsidR="00E65435">
        <w:rPr>
          <w:rFonts w:eastAsia="Arial Unicode MS"/>
          <w:bCs/>
          <w:lang w:eastAsia="fr-FR" w:bidi="he-IL"/>
        </w:rPr>
        <w:t xml:space="preserve">, </w:t>
      </w:r>
      <w:r w:rsidRPr="00C8701B">
        <w:rPr>
          <w:rFonts w:eastAsia="Arial Unicode MS"/>
          <w:bCs/>
          <w:lang w:eastAsia="fr-FR" w:bidi="he-IL"/>
        </w:rPr>
        <w:t>la confession de S. Pierre</w:t>
      </w:r>
      <w:r w:rsidR="00E65435">
        <w:rPr>
          <w:rFonts w:eastAsia="Arial Unicode MS"/>
          <w:bCs/>
          <w:lang w:eastAsia="fr-FR" w:bidi="he-IL"/>
        </w:rPr>
        <w:t xml:space="preserve">, </w:t>
      </w:r>
      <w:r w:rsidRPr="00C8701B">
        <w:rPr>
          <w:rFonts w:eastAsia="Arial Unicode MS"/>
          <w:bCs/>
          <w:lang w:eastAsia="fr-FR" w:bidi="he-IL"/>
        </w:rPr>
        <w:t>la Transfiguration</w:t>
      </w:r>
      <w:r w:rsidR="00E65435">
        <w:rPr>
          <w:rFonts w:eastAsia="Arial Unicode MS"/>
          <w:bCs/>
          <w:lang w:eastAsia="fr-FR" w:bidi="he-IL"/>
        </w:rPr>
        <w:t xml:space="preserve">, </w:t>
      </w:r>
      <w:r w:rsidRPr="00C8701B">
        <w:rPr>
          <w:rFonts w:eastAsia="Arial Unicode MS"/>
          <w:bCs/>
          <w:lang w:eastAsia="fr-FR" w:bidi="he-IL"/>
        </w:rPr>
        <w:t>la fête des Tabernacles</w:t>
      </w:r>
      <w:r w:rsidR="00E65435">
        <w:rPr>
          <w:rFonts w:eastAsia="Arial Unicode MS"/>
          <w:bCs/>
          <w:lang w:eastAsia="fr-FR" w:bidi="he-IL"/>
        </w:rPr>
        <w:t xml:space="preserve">, </w:t>
      </w:r>
      <w:r w:rsidRPr="00C8701B">
        <w:rPr>
          <w:rFonts w:eastAsia="Arial Unicode MS"/>
          <w:bCs/>
          <w:lang w:eastAsia="fr-FR" w:bidi="he-IL"/>
        </w:rPr>
        <w:t>les soixante-douz</w:t>
      </w:r>
      <w:r w:rsidR="00FA2CE5">
        <w:rPr>
          <w:rFonts w:eastAsia="Arial Unicode MS"/>
          <w:bCs/>
          <w:lang w:eastAsia="fr-FR" w:bidi="he-IL"/>
        </w:rPr>
        <w:t xml:space="preserve">e </w:t>
      </w:r>
      <w:r w:rsidRPr="00C8701B">
        <w:rPr>
          <w:rFonts w:eastAsia="Arial Unicode MS"/>
          <w:bCs/>
          <w:lang w:eastAsia="fr-FR" w:bidi="he-IL"/>
        </w:rPr>
        <w:t>disciples</w:t>
      </w:r>
      <w:r w:rsidR="00E65435">
        <w:rPr>
          <w:rFonts w:eastAsia="Arial Unicode MS"/>
          <w:bCs/>
          <w:lang w:eastAsia="fr-FR" w:bidi="he-IL"/>
        </w:rPr>
        <w:t xml:space="preserve">, </w:t>
      </w:r>
      <w:r w:rsidRPr="00C8701B">
        <w:rPr>
          <w:rFonts w:eastAsia="Arial Unicode MS"/>
          <w:bCs/>
          <w:lang w:eastAsia="fr-FR" w:bidi="he-IL"/>
        </w:rPr>
        <w:t>les Pharisiens de</w:t>
      </w:r>
      <w:r w:rsidR="00FA2CE5">
        <w:rPr>
          <w:rFonts w:eastAsia="Arial Unicode MS"/>
          <w:bCs/>
          <w:lang w:eastAsia="fr-FR" w:bidi="he-IL"/>
        </w:rPr>
        <w:t xml:space="preserve"> l</w:t>
      </w:r>
      <w:r w:rsidRPr="00C8701B">
        <w:rPr>
          <w:rFonts w:eastAsia="Arial Unicode MS"/>
          <w:bCs/>
          <w:lang w:eastAsia="fr-FR" w:bidi="he-IL"/>
        </w:rPr>
        <w:t>a Pérée</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anniversaire de la Dédicace</w:t>
      </w:r>
      <w:r w:rsidR="00E65435">
        <w:rPr>
          <w:rFonts w:eastAsia="Arial Unicode MS"/>
          <w:bCs/>
          <w:lang w:eastAsia="fr-FR" w:bidi="he-IL"/>
        </w:rPr>
        <w:t xml:space="preserve">, </w:t>
      </w:r>
      <w:r w:rsidRPr="00C8701B">
        <w:rPr>
          <w:rFonts w:eastAsia="Arial Unicode MS"/>
          <w:bCs/>
          <w:lang w:eastAsia="fr-FR" w:bidi="he-IL"/>
        </w:rPr>
        <w:t>dernier séjour de Jésus en Pérée</w:t>
      </w:r>
      <w:r w:rsidR="00E65435">
        <w:rPr>
          <w:rFonts w:eastAsia="Arial Unicode MS"/>
          <w:bCs/>
          <w:lang w:eastAsia="fr-FR" w:bidi="he-IL"/>
        </w:rPr>
        <w:t xml:space="preserve">, </w:t>
      </w:r>
      <w:r w:rsidRPr="00C8701B">
        <w:rPr>
          <w:rFonts w:eastAsia="Arial Unicode MS"/>
          <w:bCs/>
          <w:lang w:eastAsia="fr-FR" w:bidi="he-IL"/>
        </w:rPr>
        <w:t>la résurrection de Lazare</w:t>
      </w:r>
      <w:r w:rsidR="00E65435">
        <w:rPr>
          <w:rFonts w:eastAsia="Arial Unicode MS"/>
          <w:bCs/>
          <w:lang w:eastAsia="fr-FR" w:bidi="he-IL"/>
        </w:rPr>
        <w:t xml:space="preserve">, </w:t>
      </w:r>
      <w:r w:rsidRPr="00C8701B">
        <w:rPr>
          <w:rFonts w:eastAsia="Arial Unicode MS"/>
          <w:bCs/>
          <w:lang w:eastAsia="fr-FR" w:bidi="he-IL"/>
        </w:rPr>
        <w:t>le dernier voyage de Jésus à Jérusalem</w:t>
      </w:r>
      <w:r w:rsidR="00E65435">
        <w:rPr>
          <w:rFonts w:eastAsia="Arial Unicode MS"/>
          <w:bCs/>
          <w:lang w:eastAsia="fr-FR" w:bidi="he-IL"/>
        </w:rPr>
        <w:t xml:space="preserve">, </w:t>
      </w:r>
      <w:r w:rsidRPr="00C8701B">
        <w:rPr>
          <w:rFonts w:eastAsia="Arial Unicode MS"/>
          <w:bCs/>
          <w:lang w:eastAsia="fr-FR" w:bidi="he-IL"/>
        </w:rPr>
        <w:t>Jéricho et Béthanie).</w:t>
      </w:r>
      <w:r w:rsidR="00C2602D" w:rsidRPr="00C8701B">
        <w:rPr>
          <w:rFonts w:eastAsia="Arial Unicode MS"/>
          <w:bCs/>
          <w:lang w:eastAsia="fr-FR" w:bidi="he-IL"/>
        </w:rPr>
        <w:t xml:space="preserve"> </w:t>
      </w:r>
    </w:p>
    <w:p w:rsidR="00C2602D" w:rsidRPr="00C8701B" w:rsidRDefault="00B704AD" w:rsidP="00FA2CE5">
      <w:pPr>
        <w:rPr>
          <w:rFonts w:eastAsia="Arial Unicode MS"/>
          <w:bCs/>
          <w:lang w:eastAsia="fr-FR" w:bidi="he-IL"/>
        </w:rPr>
      </w:pPr>
      <w:r w:rsidRPr="00DC4586">
        <w:rPr>
          <w:rStyle w:val="italicus"/>
        </w:rPr>
        <w:t>Livre sixième</w:t>
      </w:r>
      <w:r w:rsidR="00C2602D" w:rsidRPr="00DC4586">
        <w:rPr>
          <w:rStyle w:val="italicus"/>
        </w:rPr>
        <w:t> :</w:t>
      </w:r>
      <w:r w:rsidRPr="00C8701B">
        <w:rPr>
          <w:rFonts w:eastAsia="Arial Unicode MS"/>
          <w:bCs/>
          <w:lang w:eastAsia="fr-FR" w:bidi="he-IL"/>
        </w:rPr>
        <w:t xml:space="preserve"> La grande semaine (le triomphe de Jésus</w:t>
      </w:r>
      <w:r w:rsidR="00E65435">
        <w:rPr>
          <w:rFonts w:eastAsia="Arial Unicode MS"/>
          <w:bCs/>
          <w:lang w:eastAsia="fr-FR" w:bidi="he-IL"/>
        </w:rPr>
        <w:t xml:space="preserve">, </w:t>
      </w:r>
      <w:r w:rsidRPr="00C8701B">
        <w:rPr>
          <w:rFonts w:eastAsia="Arial Unicode MS"/>
          <w:bCs/>
          <w:lang w:eastAsia="fr-FR" w:bidi="he-IL"/>
        </w:rPr>
        <w:t>le dernier jour du ministère de Jésus</w:t>
      </w:r>
      <w:r w:rsidR="00E65435">
        <w:rPr>
          <w:rFonts w:eastAsia="Arial Unicode MS"/>
          <w:bCs/>
          <w:lang w:eastAsia="fr-FR" w:bidi="he-IL"/>
        </w:rPr>
        <w:t xml:space="preserve">, </w:t>
      </w:r>
      <w:r w:rsidRPr="00C8701B">
        <w:rPr>
          <w:rFonts w:eastAsia="Arial Unicode MS"/>
          <w:bCs/>
          <w:lang w:eastAsia="fr-FR" w:bidi="he-IL"/>
        </w:rPr>
        <w:t>les dernières prophéties</w:t>
      </w:r>
      <w:r w:rsidR="00E65435">
        <w:rPr>
          <w:rFonts w:eastAsia="Arial Unicode MS"/>
          <w:bCs/>
          <w:lang w:eastAsia="fr-FR" w:bidi="he-IL"/>
        </w:rPr>
        <w:t xml:space="preserve">, </w:t>
      </w:r>
      <w:r w:rsidRPr="00C8701B">
        <w:rPr>
          <w:rFonts w:eastAsia="Arial Unicode MS"/>
          <w:bCs/>
          <w:lang w:eastAsia="fr-FR" w:bidi="he-IL"/>
        </w:rPr>
        <w:t>la Cène</w:t>
      </w:r>
      <w:r w:rsidR="00E65435">
        <w:rPr>
          <w:rFonts w:eastAsia="Arial Unicode MS"/>
          <w:bCs/>
          <w:lang w:eastAsia="fr-FR" w:bidi="he-IL"/>
        </w:rPr>
        <w:t xml:space="preserve">, </w:t>
      </w:r>
      <w:r w:rsidRPr="00C8701B">
        <w:rPr>
          <w:rFonts w:eastAsia="Arial Unicode MS"/>
          <w:bCs/>
          <w:lang w:eastAsia="fr-FR" w:bidi="he-IL"/>
        </w:rPr>
        <w:t>les derniers discours</w:t>
      </w:r>
      <w:r w:rsidR="00FA2CE5">
        <w:rPr>
          <w:rFonts w:eastAsia="Arial Unicode MS"/>
          <w:bCs/>
          <w:lang w:eastAsia="fr-FR" w:bidi="he-IL"/>
        </w:rPr>
        <w:t xml:space="preserve"> d</w:t>
      </w:r>
      <w:r w:rsidRPr="00C8701B">
        <w:rPr>
          <w:rFonts w:eastAsia="Arial Unicode MS"/>
          <w:bCs/>
          <w:lang w:eastAsia="fr-FR" w:bidi="he-IL"/>
        </w:rPr>
        <w:t>e Jésus)</w:t>
      </w:r>
      <w:r w:rsidR="00FA2CE5">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DC4586">
        <w:rPr>
          <w:rStyle w:val="italicus"/>
        </w:rPr>
        <w:t>Livre septième</w:t>
      </w:r>
      <w:r w:rsidR="00C2602D" w:rsidRPr="00DC4586">
        <w:rPr>
          <w:rStyle w:val="italicus"/>
        </w:rPr>
        <w:t> :</w:t>
      </w:r>
      <w:r w:rsidRPr="00C8701B">
        <w:rPr>
          <w:rFonts w:eastAsia="Arial Unicode MS"/>
          <w:bCs/>
          <w:lang w:eastAsia="fr-FR" w:bidi="he-IL"/>
        </w:rPr>
        <w:t xml:space="preserve"> La passion et la résurrection de Jésus (Jésus au jardin des Oliviers</w:t>
      </w:r>
      <w:r w:rsidR="00E65435">
        <w:rPr>
          <w:rFonts w:eastAsia="Arial Unicode MS"/>
          <w:bCs/>
          <w:lang w:eastAsia="fr-FR" w:bidi="he-IL"/>
        </w:rPr>
        <w:t xml:space="preserve">, </w:t>
      </w:r>
      <w:r w:rsidRPr="00C8701B">
        <w:rPr>
          <w:rFonts w:eastAsia="Arial Unicode MS"/>
          <w:bCs/>
          <w:lang w:eastAsia="fr-FR" w:bidi="he-IL"/>
        </w:rPr>
        <w:t>le jugement de Jésus</w:t>
      </w:r>
      <w:r w:rsidR="00E65435">
        <w:rPr>
          <w:rFonts w:eastAsia="Arial Unicode MS"/>
          <w:bCs/>
          <w:lang w:eastAsia="fr-FR" w:bidi="he-IL"/>
        </w:rPr>
        <w:t xml:space="preserve">, </w:t>
      </w:r>
      <w:r w:rsidR="00FA2CE5">
        <w:rPr>
          <w:rFonts w:eastAsia="Arial Unicode MS"/>
          <w:bCs/>
          <w:lang w:eastAsia="fr-FR" w:bidi="he-IL"/>
        </w:rPr>
        <w:t>Jésus a</w:t>
      </w:r>
      <w:r w:rsidRPr="00C8701B">
        <w:rPr>
          <w:rFonts w:eastAsia="Arial Unicode MS"/>
          <w:bCs/>
          <w:lang w:eastAsia="fr-FR" w:bidi="he-IL"/>
        </w:rPr>
        <w:t>u prétoire et devant Hérode</w:t>
      </w:r>
      <w:r w:rsidR="00E65435">
        <w:rPr>
          <w:rFonts w:eastAsia="Arial Unicode MS"/>
          <w:bCs/>
          <w:lang w:eastAsia="fr-FR" w:bidi="he-IL"/>
        </w:rPr>
        <w:t xml:space="preserve">, </w:t>
      </w:r>
      <w:r w:rsidRPr="00C8701B">
        <w:rPr>
          <w:rFonts w:eastAsia="Arial Unicode MS"/>
          <w:bCs/>
          <w:lang w:eastAsia="fr-FR" w:bidi="he-IL"/>
        </w:rPr>
        <w:t>la condamnation de Jésus</w:t>
      </w:r>
      <w:r w:rsidR="00E65435">
        <w:rPr>
          <w:rFonts w:eastAsia="Arial Unicode MS"/>
          <w:bCs/>
          <w:lang w:eastAsia="fr-FR" w:bidi="he-IL"/>
        </w:rPr>
        <w:t xml:space="preserve">, </w:t>
      </w:r>
      <w:r w:rsidRPr="00C8701B">
        <w:rPr>
          <w:rFonts w:eastAsia="Arial Unicode MS"/>
          <w:bCs/>
          <w:lang w:eastAsia="fr-FR" w:bidi="he-IL"/>
        </w:rPr>
        <w:t>le crucifiement</w:t>
      </w:r>
      <w:r w:rsidR="00E65435">
        <w:rPr>
          <w:rFonts w:eastAsia="Arial Unicode MS"/>
          <w:bCs/>
          <w:lang w:eastAsia="fr-FR" w:bidi="he-IL"/>
        </w:rPr>
        <w:t xml:space="preserve">, </w:t>
      </w:r>
      <w:r w:rsidRPr="00C8701B">
        <w:rPr>
          <w:rFonts w:eastAsia="Arial Unicode MS"/>
          <w:bCs/>
          <w:lang w:eastAsia="fr-FR" w:bidi="he-IL"/>
        </w:rPr>
        <w:t>mort de Jésus</w:t>
      </w:r>
      <w:r w:rsidR="00E65435">
        <w:rPr>
          <w:rFonts w:eastAsia="Arial Unicode MS"/>
          <w:bCs/>
          <w:lang w:eastAsia="fr-FR" w:bidi="he-IL"/>
        </w:rPr>
        <w:t xml:space="preserve">, </w:t>
      </w:r>
      <w:r w:rsidRPr="00C8701B">
        <w:rPr>
          <w:rFonts w:eastAsia="Arial Unicode MS"/>
          <w:bCs/>
          <w:lang w:eastAsia="fr-FR" w:bidi="he-IL"/>
        </w:rPr>
        <w:t>le tombeau de Jésus</w:t>
      </w:r>
      <w:r w:rsidR="00E65435">
        <w:rPr>
          <w:rFonts w:eastAsia="Arial Unicode MS"/>
          <w:bCs/>
          <w:lang w:eastAsia="fr-FR" w:bidi="he-IL"/>
        </w:rPr>
        <w:t xml:space="preserve">, </w:t>
      </w:r>
      <w:r w:rsidR="00FA2CE5">
        <w:rPr>
          <w:rFonts w:eastAsia="Arial Unicode MS"/>
          <w:bCs/>
          <w:lang w:eastAsia="fr-FR" w:bidi="he-IL"/>
        </w:rPr>
        <w:t>la R</w:t>
      </w:r>
      <w:r w:rsidRPr="00C8701B">
        <w:rPr>
          <w:rFonts w:eastAsia="Arial Unicode MS"/>
          <w:bCs/>
          <w:lang w:eastAsia="fr-FR" w:bidi="he-IL"/>
        </w:rPr>
        <w:t>ésurrection</w:t>
      </w:r>
      <w:r w:rsidR="00E65435">
        <w:rPr>
          <w:rFonts w:eastAsia="Arial Unicode MS"/>
          <w:bCs/>
          <w:lang w:eastAsia="fr-FR" w:bidi="he-IL"/>
        </w:rPr>
        <w:t xml:space="preserve">, </w:t>
      </w:r>
      <w:r w:rsidRPr="00C8701B">
        <w:rPr>
          <w:rFonts w:eastAsia="Arial Unicode MS"/>
          <w:bCs/>
          <w:lang w:eastAsia="fr-FR" w:bidi="he-IL"/>
        </w:rPr>
        <w:t>les quarante jours).</w:t>
      </w:r>
      <w:r w:rsidR="00C2602D" w:rsidRPr="00C8701B">
        <w:rPr>
          <w:rFonts w:eastAsia="Arial Unicode MS"/>
          <w:bCs/>
          <w:lang w:eastAsia="fr-FR" w:bidi="he-IL"/>
        </w:rPr>
        <w:t xml:space="preserve"> </w:t>
      </w:r>
    </w:p>
    <w:p w:rsidR="00FA2CE5" w:rsidRDefault="00B704AD" w:rsidP="00C2602D">
      <w:pPr>
        <w:rPr>
          <w:rFonts w:eastAsia="Arial Unicode MS"/>
          <w:bCs/>
          <w:lang w:eastAsia="fr-FR" w:bidi="he-IL"/>
        </w:rPr>
      </w:pPr>
      <w:r w:rsidRPr="00C8701B">
        <w:rPr>
          <w:rFonts w:eastAsia="Arial Unicode MS"/>
          <w:bCs/>
          <w:lang w:eastAsia="fr-FR" w:bidi="he-IL"/>
        </w:rPr>
        <w:t>2° Nous signalerons seulement les grandes lignes du plus récent des ouvrages de M. Bernhard Weiss</w:t>
      </w:r>
      <w:r w:rsidR="00CA121C">
        <w:rPr>
          <w:rStyle w:val="Appelnotedebasdep"/>
          <w:rFonts w:eastAsia="Arial Unicode MS"/>
          <w:bCs/>
          <w:lang w:eastAsia="fr-FR" w:bidi="he-IL"/>
        </w:rPr>
        <w:footnoteReference w:id="113"/>
      </w:r>
      <w:r w:rsidR="00E65435">
        <w:rPr>
          <w:rFonts w:eastAsia="Arial Unicode MS"/>
          <w:bCs/>
          <w:lang w:eastAsia="fr-FR" w:bidi="he-IL"/>
        </w:rPr>
        <w:t xml:space="preserve">, </w:t>
      </w:r>
      <w:r w:rsidRPr="00C8701B">
        <w:rPr>
          <w:rFonts w:eastAsia="Arial Unicode MS"/>
          <w:bCs/>
          <w:lang w:eastAsia="fr-FR" w:bidi="he-IL"/>
        </w:rPr>
        <w:t>qu</w:t>
      </w:r>
      <w:r w:rsidR="00FA2CE5">
        <w:rPr>
          <w:rFonts w:eastAsia="Arial Unicode MS"/>
          <w:bCs/>
          <w:lang w:eastAsia="fr-FR" w:bidi="he-IL"/>
        </w:rPr>
        <w:t>i a fait un assez grand bruit en</w:t>
      </w:r>
      <w:r w:rsidRPr="00C8701B">
        <w:rPr>
          <w:rFonts w:eastAsia="Arial Unicode MS"/>
          <w:bCs/>
          <w:lang w:eastAsia="fr-FR" w:bidi="he-IL"/>
        </w:rPr>
        <w:t xml:space="preserve"> Allemagne. </w:t>
      </w:r>
    </w:p>
    <w:p w:rsidR="00C2602D" w:rsidRPr="00C8701B" w:rsidRDefault="00B704AD" w:rsidP="00C2602D">
      <w:pPr>
        <w:rPr>
          <w:rFonts w:eastAsia="Arial Unicode MS"/>
          <w:bCs/>
          <w:lang w:eastAsia="fr-FR" w:bidi="he-IL"/>
        </w:rPr>
      </w:pPr>
      <w:r w:rsidRPr="00DC4586">
        <w:rPr>
          <w:rStyle w:val="italicus"/>
        </w:rPr>
        <w:t>Livre I</w:t>
      </w:r>
      <w:r w:rsidR="00C2602D" w:rsidRPr="00DC4586">
        <w:rPr>
          <w:rStyle w:val="italicus"/>
        </w:rPr>
        <w:t> :</w:t>
      </w:r>
      <w:r w:rsidRPr="00C8701B">
        <w:rPr>
          <w:rFonts w:eastAsia="Arial Unicode MS"/>
          <w:bCs/>
          <w:lang w:eastAsia="fr-FR" w:bidi="he-IL"/>
        </w:rPr>
        <w:t xml:space="preserve"> les sources.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DC4586">
        <w:rPr>
          <w:rStyle w:val="italicus"/>
        </w:rPr>
        <w:t>Livre II</w:t>
      </w:r>
      <w:r w:rsidR="00C2602D" w:rsidRPr="00DC4586">
        <w:rPr>
          <w:rStyle w:val="italicus"/>
        </w:rPr>
        <w:t> :</w:t>
      </w:r>
      <w:r w:rsidRPr="00C8701B">
        <w:rPr>
          <w:rFonts w:eastAsia="Arial Unicode MS"/>
          <w:bCs/>
          <w:lang w:eastAsia="fr-FR" w:bidi="he-IL"/>
        </w:rPr>
        <w:t xml:space="preserve"> le temps de la préparation (de la naissance de Jésus au premier miracle de Cana).</w:t>
      </w:r>
      <w:r w:rsidR="00C2602D" w:rsidRPr="00C8701B">
        <w:rPr>
          <w:rFonts w:eastAsia="Arial Unicode MS"/>
          <w:bCs/>
          <w:lang w:eastAsia="fr-FR" w:bidi="he-IL"/>
        </w:rPr>
        <w:t xml:space="preserve"> </w:t>
      </w:r>
    </w:p>
    <w:p w:rsidR="00C2602D" w:rsidRPr="00C8701B" w:rsidRDefault="00B704AD" w:rsidP="00FA2CE5">
      <w:pPr>
        <w:rPr>
          <w:rFonts w:eastAsia="Arial Unicode MS"/>
          <w:bCs/>
          <w:lang w:eastAsia="fr-FR" w:bidi="he-IL"/>
        </w:rPr>
      </w:pPr>
      <w:r w:rsidRPr="00DC4586">
        <w:rPr>
          <w:rStyle w:val="italicus"/>
        </w:rPr>
        <w:t>Livre III</w:t>
      </w:r>
      <w:r w:rsidR="00C2602D" w:rsidRPr="00DC4586">
        <w:rPr>
          <w:rStyle w:val="italicus"/>
        </w:rPr>
        <w:t> :</w:t>
      </w:r>
      <w:r w:rsidRPr="00C8701B">
        <w:rPr>
          <w:rFonts w:eastAsia="Arial Unicode MS"/>
          <w:bCs/>
          <w:lang w:eastAsia="fr-FR" w:bidi="he-IL"/>
        </w:rPr>
        <w:t xml:space="preserve"> le temps des semailles (depuis la première Pâque de la vie</w:t>
      </w:r>
      <w:r w:rsidR="00FA2CE5">
        <w:rPr>
          <w:rFonts w:eastAsia="Arial Unicode MS"/>
          <w:bCs/>
          <w:lang w:eastAsia="fr-FR" w:bidi="he-IL"/>
        </w:rPr>
        <w:t xml:space="preserve"> </w:t>
      </w:r>
      <w:r w:rsidRPr="00C8701B">
        <w:rPr>
          <w:rFonts w:eastAsia="Arial Unicode MS"/>
          <w:bCs/>
          <w:lang w:eastAsia="fr-FR" w:bidi="he-IL"/>
        </w:rPr>
        <w:t>publique jusqu</w:t>
      </w:r>
      <w:r w:rsidR="00557DE0">
        <w:rPr>
          <w:rFonts w:eastAsia="Arial Unicode MS"/>
          <w:bCs/>
          <w:lang w:eastAsia="fr-FR" w:bidi="he-IL"/>
        </w:rPr>
        <w:t>’</w:t>
      </w:r>
      <w:r w:rsidRPr="00C8701B">
        <w:rPr>
          <w:rFonts w:eastAsia="Arial Unicode MS"/>
          <w:bCs/>
          <w:lang w:eastAsia="fr-FR" w:bidi="he-IL"/>
        </w:rPr>
        <w:t>à la résurrection de la fille de Jaïre).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DC4586">
        <w:rPr>
          <w:rStyle w:val="italicus"/>
        </w:rPr>
        <w:t xml:space="preserve">Livre </w:t>
      </w:r>
      <w:r w:rsidR="0096281A">
        <w:rPr>
          <w:rStyle w:val="italicus"/>
        </w:rPr>
        <w:t>IV</w:t>
      </w:r>
      <w:r w:rsidR="00C2602D" w:rsidRPr="00DC4586">
        <w:rPr>
          <w:rStyle w:val="italicus"/>
        </w:rPr>
        <w:t> :</w:t>
      </w:r>
      <w:r w:rsidRPr="00C8701B">
        <w:rPr>
          <w:rFonts w:eastAsia="Arial Unicode MS"/>
          <w:bCs/>
          <w:lang w:eastAsia="fr-FR" w:bidi="he-IL"/>
        </w:rPr>
        <w:t xml:space="preserve"> le temps des premières luttes (depuis l</w:t>
      </w:r>
      <w:r w:rsidR="00557DE0">
        <w:rPr>
          <w:rFonts w:eastAsia="Arial Unicode MS"/>
          <w:bCs/>
          <w:lang w:eastAsia="fr-FR" w:bidi="he-IL"/>
        </w:rPr>
        <w:t>’</w:t>
      </w:r>
      <w:r w:rsidRPr="00C8701B">
        <w:rPr>
          <w:rFonts w:eastAsia="Arial Unicode MS"/>
          <w:bCs/>
          <w:lang w:eastAsia="fr-FR" w:bidi="he-IL"/>
        </w:rPr>
        <w:t>ambassade du Précurseur jusqu</w:t>
      </w:r>
      <w:r w:rsidR="00557DE0">
        <w:rPr>
          <w:rFonts w:eastAsia="Arial Unicode MS"/>
          <w:bCs/>
          <w:lang w:eastAsia="fr-FR" w:bidi="he-IL"/>
        </w:rPr>
        <w:t>’</w:t>
      </w:r>
      <w:r w:rsidRPr="00C8701B">
        <w:rPr>
          <w:rFonts w:eastAsia="Arial Unicode MS"/>
          <w:bCs/>
          <w:lang w:eastAsia="fr-FR" w:bidi="he-IL"/>
        </w:rPr>
        <w:t>à la première multiplication des pains).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DC4586">
        <w:rPr>
          <w:rStyle w:val="italicus"/>
        </w:rPr>
        <w:t xml:space="preserve">Livre </w:t>
      </w:r>
      <w:r w:rsidR="00835131">
        <w:rPr>
          <w:rStyle w:val="italicus"/>
        </w:rPr>
        <w:t>V</w:t>
      </w:r>
      <w:r w:rsidR="00C2602D" w:rsidRPr="00DC4586">
        <w:rPr>
          <w:rStyle w:val="italicus"/>
        </w:rPr>
        <w:t> :</w:t>
      </w:r>
      <w:r w:rsidRPr="00C8701B">
        <w:rPr>
          <w:rFonts w:eastAsia="Arial Unicode MS"/>
          <w:bCs/>
          <w:lang w:eastAsia="fr-FR" w:bidi="he-IL"/>
        </w:rPr>
        <w:t xml:space="preserve"> le temps de la crise (depuis la première multiplication des pains jusqu</w:t>
      </w:r>
      <w:r w:rsidR="00557DE0">
        <w:rPr>
          <w:rFonts w:eastAsia="Arial Unicode MS"/>
          <w:bCs/>
          <w:lang w:eastAsia="fr-FR" w:bidi="he-IL"/>
        </w:rPr>
        <w:t>’</w:t>
      </w:r>
      <w:r w:rsidR="00FA2CE5">
        <w:rPr>
          <w:rFonts w:eastAsia="Arial Unicode MS"/>
          <w:bCs/>
          <w:lang w:eastAsia="fr-FR" w:bidi="he-IL"/>
        </w:rPr>
        <w:t>au moment où</w:t>
      </w:r>
      <w:r w:rsidRPr="00C8701B">
        <w:rPr>
          <w:rFonts w:eastAsia="Arial Unicode MS"/>
          <w:bCs/>
          <w:lang w:eastAsia="fr-FR" w:bidi="he-IL"/>
        </w:rPr>
        <w:t xml:space="preserve"> Jésus quitta définitivement la Galilée).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DC4586">
        <w:rPr>
          <w:rStyle w:val="italicus"/>
        </w:rPr>
        <w:t xml:space="preserve">Livre </w:t>
      </w:r>
      <w:r w:rsidR="00A319EA">
        <w:rPr>
          <w:rStyle w:val="italicus"/>
        </w:rPr>
        <w:t>VI</w:t>
      </w:r>
      <w:r w:rsidR="00C2602D" w:rsidRPr="00DC4586">
        <w:rPr>
          <w:rStyle w:val="italicus"/>
        </w:rPr>
        <w:t> :</w:t>
      </w:r>
      <w:r w:rsidR="00FA2CE5">
        <w:rPr>
          <w:rFonts w:eastAsia="Arial Unicode MS"/>
          <w:bCs/>
          <w:lang w:eastAsia="fr-FR" w:bidi="he-IL"/>
        </w:rPr>
        <w:t xml:space="preserve"> L</w:t>
      </w:r>
      <w:r w:rsidRPr="00C8701B">
        <w:rPr>
          <w:rFonts w:eastAsia="Arial Unicode MS"/>
          <w:bCs/>
          <w:lang w:eastAsia="fr-FR" w:bidi="he-IL"/>
        </w:rPr>
        <w:t>e temps passé à Jérusalem (depuis la fête des Tabernacles jusqu</w:t>
      </w:r>
      <w:r w:rsidR="00557DE0">
        <w:rPr>
          <w:rFonts w:eastAsia="Arial Unicode MS"/>
          <w:bCs/>
          <w:lang w:eastAsia="fr-FR" w:bidi="he-IL"/>
        </w:rPr>
        <w:t>’</w:t>
      </w:r>
      <w:r w:rsidRPr="00C8701B">
        <w:rPr>
          <w:rFonts w:eastAsia="Arial Unicode MS"/>
          <w:bCs/>
          <w:lang w:eastAsia="fr-FR" w:bidi="he-IL"/>
        </w:rPr>
        <w:t>au discours relatif à la ruine de Jérusalem et à la fin du monde).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DC4586">
        <w:rPr>
          <w:rStyle w:val="italicus"/>
        </w:rPr>
        <w:t>Livre VII</w:t>
      </w:r>
      <w:r w:rsidR="00C2602D" w:rsidRPr="00DC4586">
        <w:rPr>
          <w:rStyle w:val="italicus"/>
        </w:rPr>
        <w:t> :</w:t>
      </w:r>
      <w:r w:rsidRPr="00C8701B">
        <w:rPr>
          <w:rFonts w:eastAsia="Arial Unicode MS"/>
          <w:bCs/>
          <w:lang w:eastAsia="fr-FR" w:bidi="he-IL"/>
        </w:rPr>
        <w:t xml:space="preserve"> le temps de la passion (du jeudi saint à l</w:t>
      </w:r>
      <w:r w:rsidR="00557DE0">
        <w:rPr>
          <w:rFonts w:eastAsia="Arial Unicode MS"/>
          <w:bCs/>
          <w:lang w:eastAsia="fr-FR" w:bidi="he-IL"/>
        </w:rPr>
        <w:t>’</w:t>
      </w:r>
      <w:r w:rsidRPr="00C8701B">
        <w:rPr>
          <w:rFonts w:eastAsia="Arial Unicode MS"/>
          <w:bCs/>
          <w:lang w:eastAsia="fr-FR" w:bidi="he-IL"/>
        </w:rPr>
        <w:t>Ascension).</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Ces divisions sont assez exactes</w:t>
      </w:r>
      <w:r w:rsidR="00E65435">
        <w:rPr>
          <w:rFonts w:eastAsia="Arial Unicode MS"/>
          <w:bCs/>
          <w:lang w:eastAsia="fr-FR" w:bidi="he-IL"/>
        </w:rPr>
        <w:t xml:space="preserve">, </w:t>
      </w:r>
      <w:r w:rsidRPr="00C8701B">
        <w:rPr>
          <w:rFonts w:eastAsia="Arial Unicode MS"/>
          <w:bCs/>
          <w:lang w:eastAsia="fr-FR" w:bidi="he-IL"/>
        </w:rPr>
        <w:t>bien qu</w:t>
      </w:r>
      <w:r w:rsidR="00557DE0">
        <w:rPr>
          <w:rFonts w:eastAsia="Arial Unicode MS"/>
          <w:bCs/>
          <w:lang w:eastAsia="fr-FR" w:bidi="he-IL"/>
        </w:rPr>
        <w:t>’</w:t>
      </w:r>
      <w:r w:rsidRPr="00C8701B">
        <w:rPr>
          <w:rFonts w:eastAsia="Arial Unicode MS"/>
          <w:bCs/>
          <w:lang w:eastAsia="fr-FR" w:bidi="he-IL"/>
        </w:rPr>
        <w:t>elles visent un peu à l</w:t>
      </w:r>
      <w:r w:rsidR="00557DE0">
        <w:rPr>
          <w:rFonts w:eastAsia="Arial Unicode MS"/>
          <w:bCs/>
          <w:lang w:eastAsia="fr-FR" w:bidi="he-IL"/>
        </w:rPr>
        <w:t>’</w:t>
      </w:r>
      <w:r w:rsidRPr="00C8701B">
        <w:rPr>
          <w:rFonts w:eastAsia="Arial Unicode MS"/>
          <w:bCs/>
          <w:lang w:eastAsia="fr-FR" w:bidi="he-IL"/>
        </w:rPr>
        <w:t>effet.</w:t>
      </w:r>
      <w:r w:rsidR="00C2602D" w:rsidRPr="00C8701B">
        <w:rPr>
          <w:rFonts w:eastAsia="Arial Unicode MS"/>
          <w:bCs/>
          <w:lang w:eastAsia="fr-FR" w:bidi="he-IL"/>
        </w:rPr>
        <w:t xml:space="preserve"> </w:t>
      </w:r>
    </w:p>
    <w:p w:rsidR="00C2602D" w:rsidRPr="00C8701B" w:rsidRDefault="00B704AD" w:rsidP="00C45352">
      <w:pPr>
        <w:rPr>
          <w:rFonts w:eastAsia="Arial Unicode MS"/>
          <w:bCs/>
          <w:lang w:eastAsia="fr-FR" w:bidi="he-IL"/>
        </w:rPr>
      </w:pPr>
      <w:r w:rsidRPr="00C8701B">
        <w:rPr>
          <w:rFonts w:eastAsia="Arial Unicode MS"/>
          <w:bCs/>
          <w:lang w:eastAsia="fr-FR" w:bidi="he-IL"/>
        </w:rPr>
        <w:t>3° M. Edersheim ouvre sa</w:t>
      </w:r>
      <w:r w:rsidR="00FA2CE5">
        <w:rPr>
          <w:rStyle w:val="italicus"/>
        </w:rPr>
        <w:t xml:space="preserve"> Vie de Jé</w:t>
      </w:r>
      <w:r w:rsidRPr="00DC4586">
        <w:rPr>
          <w:rStyle w:val="italicus"/>
        </w:rPr>
        <w:t>sus</w:t>
      </w:r>
      <w:r w:rsidR="00933C60" w:rsidRPr="00C406FF">
        <w:rPr>
          <w:rStyle w:val="Appelnotedebasdep"/>
        </w:rPr>
        <w:footnoteReference w:id="114"/>
      </w:r>
      <w:r w:rsidRPr="00C8701B">
        <w:rPr>
          <w:rFonts w:eastAsia="Arial Unicode MS"/>
          <w:bCs/>
          <w:lang w:eastAsia="fr-FR" w:bidi="he-IL"/>
        </w:rPr>
        <w:t xml:space="preserve"> par un</w:t>
      </w:r>
      <w:r w:rsidRPr="00DC4586">
        <w:rPr>
          <w:rStyle w:val="italicus"/>
        </w:rPr>
        <w:t xml:space="preserve"> Livre préliminaire</w:t>
      </w:r>
      <w:r w:rsidR="00C2602D" w:rsidRPr="00DC4586">
        <w:rPr>
          <w:rStyle w:val="italicus"/>
        </w:rPr>
        <w:t> :</w:t>
      </w:r>
      <w:r w:rsidRPr="00DC4586">
        <w:rPr>
          <w:rStyle w:val="italicus"/>
        </w:rPr>
        <w:t xml:space="preserve"> </w:t>
      </w:r>
      <w:r w:rsidRPr="00C8701B">
        <w:rPr>
          <w:rFonts w:eastAsia="Arial Unicode MS"/>
          <w:bCs/>
          <w:lang w:eastAsia="fr-FR" w:bidi="he-IL"/>
        </w:rPr>
        <w:t>la préparation à l</w:t>
      </w:r>
      <w:r w:rsidR="00557DE0">
        <w:rPr>
          <w:rFonts w:eastAsia="Arial Unicode MS"/>
          <w:bCs/>
          <w:lang w:eastAsia="fr-FR" w:bidi="he-IL"/>
        </w:rPr>
        <w:t>’</w:t>
      </w:r>
      <w:r w:rsidR="00FA2CE5">
        <w:rPr>
          <w:rFonts w:eastAsia="Arial Unicode MS"/>
          <w:bCs/>
          <w:lang w:eastAsia="fr-FR" w:bidi="he-IL"/>
        </w:rPr>
        <w:t xml:space="preserve">évangile </w:t>
      </w:r>
      <w:r w:rsidRPr="00C8701B">
        <w:rPr>
          <w:rFonts w:eastAsia="Arial Unicode MS"/>
          <w:bCs/>
          <w:lang w:eastAsia="fr-FR" w:bidi="he-IL"/>
        </w:rPr>
        <w:t>(état politique</w:t>
      </w:r>
      <w:r w:rsidR="00E65435">
        <w:rPr>
          <w:rFonts w:eastAsia="Arial Unicode MS"/>
          <w:bCs/>
          <w:lang w:eastAsia="fr-FR" w:bidi="he-IL"/>
        </w:rPr>
        <w:t xml:space="preserve">, </w:t>
      </w:r>
      <w:r w:rsidRPr="00C8701B">
        <w:rPr>
          <w:rFonts w:eastAsia="Arial Unicode MS"/>
          <w:bCs/>
          <w:lang w:eastAsia="fr-FR" w:bidi="he-IL"/>
        </w:rPr>
        <w:t>religieux</w:t>
      </w:r>
      <w:r w:rsidR="00E65435">
        <w:rPr>
          <w:rFonts w:eastAsia="Arial Unicode MS"/>
          <w:bCs/>
          <w:lang w:eastAsia="fr-FR" w:bidi="he-IL"/>
        </w:rPr>
        <w:t xml:space="preserve">, </w:t>
      </w:r>
      <w:r w:rsidRPr="00C8701B">
        <w:rPr>
          <w:rFonts w:eastAsia="Arial Unicode MS"/>
          <w:bCs/>
          <w:lang w:eastAsia="fr-FR" w:bidi="he-IL"/>
        </w:rPr>
        <w:t>etc.</w:t>
      </w:r>
      <w:r w:rsidR="00E65435">
        <w:rPr>
          <w:rFonts w:eastAsia="Arial Unicode MS"/>
          <w:bCs/>
          <w:lang w:eastAsia="fr-FR" w:bidi="he-IL"/>
        </w:rPr>
        <w:t xml:space="preserve">, </w:t>
      </w:r>
      <w:r w:rsidRPr="00C8701B">
        <w:rPr>
          <w:rFonts w:eastAsia="Arial Unicode MS"/>
          <w:bCs/>
          <w:lang w:eastAsia="fr-FR" w:bidi="he-IL"/>
        </w:rPr>
        <w:t>des juifs et de</w:t>
      </w:r>
      <w:r w:rsidR="00C2602D" w:rsidRPr="00C8701B">
        <w:rPr>
          <w:rFonts w:eastAsia="Arial Unicode MS"/>
          <w:bCs/>
          <w:lang w:eastAsia="fr-FR" w:bidi="he-IL"/>
        </w:rPr>
        <w:t xml:space="preserve"> </w:t>
      </w:r>
      <w:r w:rsidRPr="00C8701B">
        <w:rPr>
          <w:rFonts w:eastAsia="Arial Unicode MS"/>
          <w:bCs/>
          <w:lang w:eastAsia="fr-FR" w:bidi="he-IL"/>
        </w:rPr>
        <w:t xml:space="preserve">la Palestine avant la naissance du Christ). </w:t>
      </w:r>
      <w:r w:rsidR="00C45352" w:rsidRPr="000716BB">
        <w:rPr>
          <w:rFonts w:eastAsia="Arial Unicode MS"/>
          <w:bCs/>
          <w:lang w:eastAsia="fr-FR" w:bidi="he-IL"/>
        </w:rPr>
        <w:t>{</w:t>
      </w:r>
      <w:r w:rsidR="00C45352">
        <w:rPr>
          <w:rFonts w:eastAsia="Arial Unicode MS"/>
          <w:bCs/>
          <w:lang w:eastAsia="fr-FR" w:bidi="he-IL"/>
        </w:rPr>
        <w:t>20</w:t>
      </w:r>
      <w:bookmarkStart w:id="38" w:name="pag020"/>
      <w:bookmarkEnd w:id="38"/>
      <w:r w:rsidR="00C45352" w:rsidRPr="000716BB">
        <w:rPr>
          <w:rFonts w:eastAsia="Arial Unicode MS"/>
          <w:bCs/>
          <w:lang w:eastAsia="fr-FR" w:bidi="he-IL"/>
        </w:rPr>
        <w:t>}</w:t>
      </w:r>
      <w:r w:rsidR="00C45352">
        <w:rPr>
          <w:rFonts w:eastAsia="Arial Unicode MS"/>
          <w:bCs/>
          <w:lang w:eastAsia="fr-FR" w:bidi="he-IL"/>
        </w:rPr>
        <w:t xml:space="preserve"> </w:t>
      </w:r>
      <w:r w:rsidRPr="00C8701B">
        <w:rPr>
          <w:rFonts w:eastAsia="Arial Unicode MS"/>
          <w:bCs/>
          <w:lang w:eastAsia="fr-FR" w:bidi="he-IL"/>
        </w:rPr>
        <w:t>Il partage ensuite l</w:t>
      </w:r>
      <w:r w:rsidR="00557DE0">
        <w:rPr>
          <w:rFonts w:eastAsia="Arial Unicode MS"/>
          <w:bCs/>
          <w:lang w:eastAsia="fr-FR" w:bidi="he-IL"/>
        </w:rPr>
        <w:t>’</w:t>
      </w:r>
      <w:r w:rsidRPr="00C8701B">
        <w:rPr>
          <w:rFonts w:eastAsia="Arial Unicode MS"/>
          <w:bCs/>
          <w:lang w:eastAsia="fr-FR" w:bidi="he-IL"/>
        </w:rPr>
        <w:t>histoire évangélique en quatre autres livres</w:t>
      </w:r>
      <w:r w:rsidR="00E65435">
        <w:rPr>
          <w:rFonts w:eastAsia="Arial Unicode MS"/>
          <w:bCs/>
          <w:lang w:eastAsia="fr-FR" w:bidi="he-IL"/>
        </w:rPr>
        <w:t xml:space="preserve">, </w:t>
      </w:r>
      <w:r w:rsidRPr="00C8701B">
        <w:rPr>
          <w:rFonts w:eastAsia="Arial Unicode MS"/>
          <w:bCs/>
          <w:lang w:eastAsia="fr-FR" w:bidi="he-IL"/>
        </w:rPr>
        <w:t>dont voici les principaux linéaments.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DC4586">
        <w:rPr>
          <w:rStyle w:val="italicus"/>
        </w:rPr>
        <w:t>Livre</w:t>
      </w:r>
      <w:r w:rsidR="00FA2CE5">
        <w:rPr>
          <w:rStyle w:val="italicus"/>
        </w:rPr>
        <w:t xml:space="preserve"> </w:t>
      </w:r>
      <w:r w:rsidRPr="00DC4586">
        <w:rPr>
          <w:rStyle w:val="italicus"/>
        </w:rPr>
        <w:t>II</w:t>
      </w:r>
      <w:r w:rsidR="00C2602D" w:rsidRPr="00DC4586">
        <w:rPr>
          <w:rStyle w:val="italicus"/>
        </w:rPr>
        <w:t> :</w:t>
      </w:r>
      <w:r w:rsidRPr="00C8701B">
        <w:rPr>
          <w:rFonts w:eastAsia="Arial Unicode MS"/>
          <w:bCs/>
          <w:lang w:eastAsia="fr-FR" w:bidi="he-IL"/>
        </w:rPr>
        <w:t xml:space="preserve"> de la crèche de Bethléem au baptême du Jourdain.</w:t>
      </w:r>
      <w:r w:rsidR="00C2602D" w:rsidRPr="00C8701B">
        <w:rPr>
          <w:rFonts w:eastAsia="Arial Unicode MS"/>
          <w:bCs/>
          <w:lang w:eastAsia="fr-FR" w:bidi="he-IL"/>
        </w:rPr>
        <w:t xml:space="preserve"> </w:t>
      </w:r>
    </w:p>
    <w:p w:rsidR="00C2602D" w:rsidRPr="00C8701B" w:rsidRDefault="00B704AD" w:rsidP="00FA2CE5">
      <w:pPr>
        <w:rPr>
          <w:rFonts w:eastAsia="Arial Unicode MS"/>
          <w:bCs/>
          <w:lang w:eastAsia="fr-FR" w:bidi="he-IL"/>
        </w:rPr>
      </w:pPr>
      <w:r w:rsidRPr="00DC4586">
        <w:rPr>
          <w:rStyle w:val="italicus"/>
        </w:rPr>
        <w:t xml:space="preserve">Livre </w:t>
      </w:r>
      <w:r w:rsidR="00FA2CE5">
        <w:rPr>
          <w:rStyle w:val="italicus"/>
        </w:rPr>
        <w:t>III</w:t>
      </w:r>
      <w:r w:rsidR="00C2602D" w:rsidRPr="00DC4586">
        <w:rPr>
          <w:rStyle w:val="italicus"/>
        </w:rPr>
        <w:t> :</w:t>
      </w:r>
      <w:r w:rsidRPr="00C8701B">
        <w:rPr>
          <w:rFonts w:eastAsia="Arial Unicode MS"/>
          <w:bCs/>
          <w:lang w:eastAsia="fr-FR" w:bidi="he-IL"/>
        </w:rPr>
        <w:t xml:space="preserve"> la montée</w:t>
      </w:r>
      <w:r w:rsidR="00E65435">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est-à-dire</w:t>
      </w:r>
      <w:r w:rsidR="00E65435">
        <w:rPr>
          <w:rFonts w:eastAsia="Arial Unicode MS"/>
          <w:bCs/>
          <w:lang w:eastAsia="fr-FR" w:bidi="he-IL"/>
        </w:rPr>
        <w:t xml:space="preserve">, </w:t>
      </w:r>
      <w:r w:rsidRPr="00C8701B">
        <w:rPr>
          <w:rFonts w:eastAsia="Arial Unicode MS"/>
          <w:bCs/>
          <w:lang w:eastAsia="fr-FR" w:bidi="he-IL"/>
        </w:rPr>
        <w:t>d</w:t>
      </w:r>
      <w:r w:rsidR="00FA2CE5">
        <w:rPr>
          <w:rFonts w:eastAsia="Arial Unicode MS"/>
          <w:bCs/>
          <w:lang w:eastAsia="fr-FR" w:bidi="he-IL"/>
        </w:rPr>
        <w:t>e la vallée du Jourdain à la m</w:t>
      </w:r>
      <w:r w:rsidRPr="00C8701B">
        <w:rPr>
          <w:rFonts w:eastAsia="Arial Unicode MS"/>
          <w:bCs/>
          <w:lang w:eastAsia="fr-FR" w:bidi="he-IL"/>
        </w:rPr>
        <w:t>ontagne de la Transfiguration (la tentation de Jésus</w:t>
      </w:r>
      <w:r w:rsidR="00E65435">
        <w:rPr>
          <w:rFonts w:eastAsia="Arial Unicode MS"/>
          <w:bCs/>
          <w:lang w:eastAsia="fr-FR" w:bidi="he-IL"/>
        </w:rPr>
        <w:t xml:space="preserve">, </w:t>
      </w:r>
      <w:r w:rsidRPr="00C8701B">
        <w:rPr>
          <w:rFonts w:eastAsia="Arial Unicode MS"/>
          <w:bCs/>
          <w:lang w:eastAsia="fr-FR" w:bidi="he-IL"/>
        </w:rPr>
        <w:t>les témoignages de Jean-Baptiste</w:t>
      </w:r>
      <w:r w:rsidR="00E65435">
        <w:rPr>
          <w:rFonts w:eastAsia="Arial Unicode MS"/>
          <w:bCs/>
          <w:lang w:eastAsia="fr-FR" w:bidi="he-IL"/>
        </w:rPr>
        <w:t xml:space="preserve">, </w:t>
      </w:r>
      <w:r w:rsidRPr="00C8701B">
        <w:rPr>
          <w:rFonts w:eastAsia="Arial Unicode MS"/>
          <w:bCs/>
          <w:lang w:eastAsia="fr-FR" w:bidi="he-IL"/>
        </w:rPr>
        <w:t>les premiers disciples de Jésus</w:t>
      </w:r>
      <w:r w:rsidR="00E65435">
        <w:rPr>
          <w:rFonts w:eastAsia="Arial Unicode MS"/>
          <w:bCs/>
          <w:lang w:eastAsia="fr-FR" w:bidi="he-IL"/>
        </w:rPr>
        <w:t xml:space="preserve">, </w:t>
      </w:r>
      <w:r w:rsidRPr="00C8701B">
        <w:rPr>
          <w:rFonts w:eastAsia="Arial Unicode MS"/>
          <w:bCs/>
          <w:lang w:eastAsia="fr-FR" w:bidi="he-IL"/>
        </w:rPr>
        <w:t>les noces de Cana</w:t>
      </w:r>
      <w:r w:rsidR="00E65435">
        <w:rPr>
          <w:rFonts w:eastAsia="Arial Unicode MS"/>
          <w:bCs/>
          <w:lang w:eastAsia="fr-FR" w:bidi="he-IL"/>
        </w:rPr>
        <w:t xml:space="preserve">, </w:t>
      </w:r>
      <w:r w:rsidRPr="00C8701B">
        <w:rPr>
          <w:rFonts w:eastAsia="Arial Unicode MS"/>
          <w:bCs/>
          <w:lang w:eastAsia="fr-FR" w:bidi="he-IL"/>
        </w:rPr>
        <w:t>la première purification du temple</w:t>
      </w:r>
      <w:r w:rsidR="00E65435">
        <w:rPr>
          <w:rFonts w:eastAsia="Arial Unicode MS"/>
          <w:bCs/>
          <w:lang w:eastAsia="fr-FR" w:bidi="he-IL"/>
        </w:rPr>
        <w:t xml:space="preserve">, </w:t>
      </w:r>
      <w:r w:rsidR="00FA2CE5">
        <w:rPr>
          <w:rFonts w:eastAsia="Arial Unicode MS"/>
          <w:bCs/>
          <w:lang w:eastAsia="fr-FR" w:bidi="he-IL"/>
        </w:rPr>
        <w:t>Jésus et Nicodèm</w:t>
      </w:r>
      <w:r w:rsidRPr="00C8701B">
        <w:rPr>
          <w:rFonts w:eastAsia="Arial Unicode MS"/>
          <w:bCs/>
          <w:lang w:eastAsia="fr-FR" w:bidi="he-IL"/>
        </w:rPr>
        <w:t>e</w:t>
      </w:r>
      <w:r w:rsidR="00E65435">
        <w:rPr>
          <w:rFonts w:eastAsia="Arial Unicode MS"/>
          <w:bCs/>
          <w:lang w:eastAsia="fr-FR" w:bidi="he-IL"/>
        </w:rPr>
        <w:t xml:space="preserve">, </w:t>
      </w:r>
      <w:r w:rsidRPr="00C8701B">
        <w:rPr>
          <w:rFonts w:eastAsia="Arial Unicode MS"/>
          <w:bCs/>
          <w:lang w:eastAsia="fr-FR" w:bidi="he-IL"/>
        </w:rPr>
        <w:t>Jésus en Judée</w:t>
      </w:r>
      <w:r w:rsidR="00E65435">
        <w:rPr>
          <w:rFonts w:eastAsia="Arial Unicode MS"/>
          <w:bCs/>
          <w:lang w:eastAsia="fr-FR" w:bidi="he-IL"/>
        </w:rPr>
        <w:t xml:space="preserve">, </w:t>
      </w:r>
      <w:r w:rsidRPr="00C8701B">
        <w:rPr>
          <w:rFonts w:eastAsia="Arial Unicode MS"/>
          <w:bCs/>
          <w:lang w:eastAsia="fr-FR" w:bidi="he-IL"/>
        </w:rPr>
        <w:t>Jésus au puits de Sichar</w:t>
      </w:r>
      <w:r w:rsidR="00E65435">
        <w:rPr>
          <w:rFonts w:eastAsia="Arial Unicode MS"/>
          <w:bCs/>
          <w:lang w:eastAsia="fr-FR" w:bidi="he-IL"/>
        </w:rPr>
        <w:t xml:space="preserve">, </w:t>
      </w:r>
      <w:r w:rsidRPr="00C8701B">
        <w:rPr>
          <w:rFonts w:eastAsia="Arial Unicode MS"/>
          <w:bCs/>
          <w:lang w:eastAsia="fr-FR" w:bidi="he-IL"/>
        </w:rPr>
        <w:t>la synagogue de Nazareth</w:t>
      </w:r>
      <w:r w:rsidR="00E65435">
        <w:rPr>
          <w:rFonts w:eastAsia="Arial Unicode MS"/>
          <w:bCs/>
          <w:lang w:eastAsia="fr-FR" w:bidi="he-IL"/>
        </w:rPr>
        <w:t xml:space="preserve">, </w:t>
      </w:r>
      <w:r w:rsidRPr="00C8701B">
        <w:rPr>
          <w:rFonts w:eastAsia="Arial Unicode MS"/>
          <w:bCs/>
          <w:lang w:eastAsia="fr-FR" w:bidi="he-IL"/>
        </w:rPr>
        <w:t>le premier ministère de Jésus en Galilée</w:t>
      </w:r>
      <w:r w:rsidR="00E65435">
        <w:rPr>
          <w:rFonts w:eastAsia="Arial Unicode MS"/>
          <w:bCs/>
          <w:lang w:eastAsia="fr-FR" w:bidi="he-IL"/>
        </w:rPr>
        <w:t xml:space="preserve">, </w:t>
      </w:r>
      <w:r w:rsidRPr="00C8701B">
        <w:rPr>
          <w:rFonts w:eastAsia="Arial Unicode MS"/>
          <w:bCs/>
          <w:lang w:eastAsia="fr-FR" w:bidi="he-IL"/>
        </w:rPr>
        <w:t>miracle de la piscine de Béthesda</w:t>
      </w:r>
      <w:r w:rsidR="00E65435">
        <w:rPr>
          <w:rFonts w:eastAsia="Arial Unicode MS"/>
          <w:bCs/>
          <w:lang w:eastAsia="fr-FR" w:bidi="he-IL"/>
        </w:rPr>
        <w:t xml:space="preserve">, </w:t>
      </w:r>
      <w:r w:rsidRPr="00C8701B">
        <w:rPr>
          <w:rFonts w:eastAsia="Arial Unicode MS"/>
          <w:bCs/>
          <w:lang w:eastAsia="fr-FR" w:bidi="he-IL"/>
        </w:rPr>
        <w:t>appel définitif des premiers disciples et pêche miraculeuse</w:t>
      </w:r>
      <w:r w:rsidR="00E65435">
        <w:rPr>
          <w:rFonts w:eastAsia="Arial Unicode MS"/>
          <w:bCs/>
          <w:lang w:eastAsia="fr-FR" w:bidi="he-IL"/>
        </w:rPr>
        <w:t xml:space="preserve">, </w:t>
      </w:r>
      <w:r w:rsidR="00C215A6" w:rsidRPr="00C8701B">
        <w:rPr>
          <w:rFonts w:eastAsia="Arial Unicode MS"/>
          <w:bCs/>
          <w:lang w:eastAsia="fr-FR" w:bidi="he-IL"/>
        </w:rPr>
        <w:t>Capharnaüm</w:t>
      </w:r>
      <w:r w:rsidR="00E65435">
        <w:rPr>
          <w:rFonts w:eastAsia="Arial Unicode MS"/>
          <w:bCs/>
          <w:lang w:eastAsia="fr-FR" w:bidi="he-IL"/>
        </w:rPr>
        <w:t xml:space="preserve">, </w:t>
      </w:r>
      <w:r w:rsidRPr="00C8701B">
        <w:rPr>
          <w:rFonts w:eastAsia="Arial Unicode MS"/>
          <w:bCs/>
          <w:lang w:eastAsia="fr-FR" w:bidi="he-IL"/>
        </w:rPr>
        <w:t>vocation de S. Matthieu</w:t>
      </w:r>
      <w:r w:rsidR="00E65435">
        <w:rPr>
          <w:rFonts w:eastAsia="Arial Unicode MS"/>
          <w:bCs/>
          <w:lang w:eastAsia="fr-FR" w:bidi="he-IL"/>
        </w:rPr>
        <w:t xml:space="preserve">, </w:t>
      </w:r>
      <w:r w:rsidRPr="00C8701B">
        <w:rPr>
          <w:rFonts w:eastAsia="Arial Unicode MS"/>
          <w:bCs/>
          <w:lang w:eastAsia="fr-FR" w:bidi="he-IL"/>
        </w:rPr>
        <w:t>appel des douze apôtres</w:t>
      </w:r>
      <w:r w:rsidR="00E65435">
        <w:rPr>
          <w:rFonts w:eastAsia="Arial Unicode MS"/>
          <w:bCs/>
          <w:lang w:eastAsia="fr-FR" w:bidi="he-IL"/>
        </w:rPr>
        <w:t xml:space="preserve">, </w:t>
      </w:r>
      <w:r w:rsidRPr="00C8701B">
        <w:rPr>
          <w:rFonts w:eastAsia="Arial Unicode MS"/>
          <w:bCs/>
          <w:lang w:eastAsia="fr-FR" w:bidi="he-IL"/>
        </w:rPr>
        <w:t>le discours sur la montagne</w:t>
      </w:r>
      <w:r w:rsidR="00E65435">
        <w:rPr>
          <w:rFonts w:eastAsia="Arial Unicode MS"/>
          <w:bCs/>
          <w:lang w:eastAsia="fr-FR" w:bidi="he-IL"/>
        </w:rPr>
        <w:t xml:space="preserve">, </w:t>
      </w:r>
      <w:r w:rsidR="00FA2CE5">
        <w:rPr>
          <w:rFonts w:eastAsia="Arial Unicode MS"/>
          <w:bCs/>
          <w:lang w:eastAsia="fr-FR" w:bidi="he-IL"/>
        </w:rPr>
        <w:t>guérison du serviteur du</w:t>
      </w:r>
      <w:r w:rsidRPr="00C8701B">
        <w:rPr>
          <w:rFonts w:eastAsia="Arial Unicode MS"/>
          <w:bCs/>
          <w:lang w:eastAsia="fr-FR" w:bidi="he-IL"/>
        </w:rPr>
        <w:t xml:space="preserve"> centurion</w:t>
      </w:r>
      <w:r w:rsidR="00E65435">
        <w:rPr>
          <w:rFonts w:eastAsia="Arial Unicode MS"/>
          <w:bCs/>
          <w:lang w:eastAsia="fr-FR" w:bidi="he-IL"/>
        </w:rPr>
        <w:t xml:space="preserve">, </w:t>
      </w:r>
      <w:r w:rsidRPr="00C8701B">
        <w:rPr>
          <w:rFonts w:eastAsia="Arial Unicode MS"/>
          <w:bCs/>
          <w:lang w:eastAsia="fr-FR" w:bidi="he-IL"/>
        </w:rPr>
        <w:t>le fils de la veuve de Naïm</w:t>
      </w:r>
      <w:r w:rsidR="00E65435">
        <w:rPr>
          <w:rFonts w:eastAsia="Arial Unicode MS"/>
          <w:bCs/>
          <w:lang w:eastAsia="fr-FR" w:bidi="he-IL"/>
        </w:rPr>
        <w:t xml:space="preserve">, </w:t>
      </w:r>
      <w:r w:rsidRPr="00C8701B">
        <w:rPr>
          <w:rFonts w:eastAsia="Arial Unicode MS"/>
          <w:bCs/>
          <w:lang w:eastAsia="fr-FR" w:bidi="he-IL"/>
        </w:rPr>
        <w:t>la pécheresse</w:t>
      </w:r>
      <w:r w:rsidR="00E65435">
        <w:rPr>
          <w:rFonts w:eastAsia="Arial Unicode MS"/>
          <w:bCs/>
          <w:lang w:eastAsia="fr-FR" w:bidi="he-IL"/>
        </w:rPr>
        <w:t xml:space="preserve">, </w:t>
      </w:r>
      <w:r w:rsidRPr="00C8701B">
        <w:rPr>
          <w:rFonts w:eastAsia="Arial Unicode MS"/>
          <w:bCs/>
          <w:lang w:eastAsia="fr-FR" w:bidi="he-IL"/>
        </w:rPr>
        <w:t>blasphèmes contre Jésus</w:t>
      </w:r>
      <w:r w:rsidR="00E65435">
        <w:rPr>
          <w:rFonts w:eastAsia="Arial Unicode MS"/>
          <w:bCs/>
          <w:lang w:eastAsia="fr-FR" w:bidi="he-IL"/>
        </w:rPr>
        <w:t xml:space="preserve">, </w:t>
      </w:r>
      <w:r w:rsidRPr="00C8701B">
        <w:rPr>
          <w:rFonts w:eastAsia="Arial Unicode MS"/>
          <w:bCs/>
          <w:lang w:eastAsia="fr-FR" w:bidi="he-IL"/>
        </w:rPr>
        <w:t>les paraboles</w:t>
      </w:r>
      <w:r w:rsidR="00E65435">
        <w:rPr>
          <w:rFonts w:eastAsia="Arial Unicode MS"/>
          <w:bCs/>
          <w:lang w:eastAsia="fr-FR" w:bidi="he-IL"/>
        </w:rPr>
        <w:t xml:space="preserve">, </w:t>
      </w:r>
      <w:r w:rsidRPr="00C8701B">
        <w:rPr>
          <w:rFonts w:eastAsia="Arial Unicode MS"/>
          <w:bCs/>
          <w:lang w:eastAsia="fr-FR" w:bidi="he-IL"/>
        </w:rPr>
        <w:t>la tempête apaisée</w:t>
      </w:r>
      <w:r w:rsidR="00E65435">
        <w:rPr>
          <w:rFonts w:eastAsia="Arial Unicode MS"/>
          <w:bCs/>
          <w:lang w:eastAsia="fr-FR" w:bidi="he-IL"/>
        </w:rPr>
        <w:t xml:space="preserve">, </w:t>
      </w:r>
      <w:r w:rsidRPr="00C8701B">
        <w:rPr>
          <w:rFonts w:eastAsia="Arial Unicode MS"/>
          <w:bCs/>
          <w:lang w:eastAsia="fr-FR" w:bidi="he-IL"/>
        </w:rPr>
        <w:t>les démoniaques de Gérasa</w:t>
      </w:r>
      <w:r w:rsidR="00E65435">
        <w:rPr>
          <w:rFonts w:eastAsia="Arial Unicode MS"/>
          <w:bCs/>
          <w:lang w:eastAsia="fr-FR" w:bidi="he-IL"/>
        </w:rPr>
        <w:t xml:space="preserve">, </w:t>
      </w:r>
      <w:r w:rsidR="00FA2CE5">
        <w:rPr>
          <w:rFonts w:eastAsia="Arial Unicode MS"/>
          <w:bCs/>
          <w:lang w:eastAsia="fr-FR" w:bidi="he-IL"/>
        </w:rPr>
        <w:t>l</w:t>
      </w:r>
      <w:r w:rsidR="00557DE0">
        <w:rPr>
          <w:rFonts w:eastAsia="Arial Unicode MS"/>
          <w:bCs/>
          <w:lang w:eastAsia="fr-FR" w:bidi="he-IL"/>
        </w:rPr>
        <w:t>’</w:t>
      </w:r>
      <w:r w:rsidR="00C215A6" w:rsidRPr="00C8701B">
        <w:rPr>
          <w:rFonts w:eastAsia="Arial Unicode MS"/>
          <w:bCs/>
          <w:lang w:eastAsia="fr-FR" w:bidi="he-IL"/>
        </w:rPr>
        <w:t>hémorroïsse</w:t>
      </w:r>
      <w:r w:rsidRPr="00C8701B">
        <w:rPr>
          <w:rFonts w:eastAsia="Arial Unicode MS"/>
          <w:bCs/>
          <w:lang w:eastAsia="fr-FR" w:bidi="he-IL"/>
        </w:rPr>
        <w:t xml:space="preserve"> et la fille de Jaïre</w:t>
      </w:r>
      <w:r w:rsidR="00E65435">
        <w:rPr>
          <w:rFonts w:eastAsia="Arial Unicode MS"/>
          <w:bCs/>
          <w:lang w:eastAsia="fr-FR" w:bidi="he-IL"/>
        </w:rPr>
        <w:t xml:space="preserve">, </w:t>
      </w:r>
      <w:r w:rsidRPr="00C8701B">
        <w:rPr>
          <w:rFonts w:eastAsia="Arial Unicode MS"/>
          <w:bCs/>
          <w:lang w:eastAsia="fr-FR" w:bidi="he-IL"/>
        </w:rPr>
        <w:t>mission des Douze</w:t>
      </w:r>
      <w:r w:rsidR="00E65435">
        <w:rPr>
          <w:rFonts w:eastAsia="Arial Unicode MS"/>
          <w:bCs/>
          <w:lang w:eastAsia="fr-FR" w:bidi="he-IL"/>
        </w:rPr>
        <w:t xml:space="preserve">, </w:t>
      </w:r>
      <w:r w:rsidRPr="00C8701B">
        <w:rPr>
          <w:rFonts w:eastAsia="Arial Unicode MS"/>
          <w:bCs/>
          <w:lang w:eastAsia="fr-FR" w:bidi="he-IL"/>
        </w:rPr>
        <w:t>martyre de S. Jean-Baptiste</w:t>
      </w:r>
      <w:r w:rsidR="00E65435">
        <w:rPr>
          <w:rFonts w:eastAsia="Arial Unicode MS"/>
          <w:bCs/>
          <w:lang w:eastAsia="fr-FR" w:bidi="he-IL"/>
        </w:rPr>
        <w:t xml:space="preserve">, </w:t>
      </w:r>
      <w:r w:rsidRPr="00C8701B">
        <w:rPr>
          <w:rFonts w:eastAsia="Arial Unicode MS"/>
          <w:bCs/>
          <w:lang w:eastAsia="fr-FR" w:bidi="he-IL"/>
        </w:rPr>
        <w:t>la première multiplication des pains</w:t>
      </w:r>
      <w:r w:rsidR="00E65435">
        <w:rPr>
          <w:rFonts w:eastAsia="Arial Unicode MS"/>
          <w:bCs/>
          <w:lang w:eastAsia="fr-FR" w:bidi="he-IL"/>
        </w:rPr>
        <w:t xml:space="preserve">, </w:t>
      </w:r>
      <w:r w:rsidRPr="00C8701B">
        <w:rPr>
          <w:rFonts w:eastAsia="Arial Unicode MS"/>
          <w:bCs/>
          <w:lang w:eastAsia="fr-FR" w:bidi="he-IL"/>
        </w:rPr>
        <w:t>Jésus le pain de vie</w:t>
      </w:r>
      <w:r w:rsidR="00E65435">
        <w:rPr>
          <w:rFonts w:eastAsia="Arial Unicode MS"/>
          <w:bCs/>
          <w:lang w:eastAsia="fr-FR" w:bidi="he-IL"/>
        </w:rPr>
        <w:t xml:space="preserve">, </w:t>
      </w:r>
      <w:r w:rsidRPr="00C8701B">
        <w:rPr>
          <w:rFonts w:eastAsia="Arial Unicode MS"/>
          <w:bCs/>
          <w:lang w:eastAsia="fr-FR" w:bidi="he-IL"/>
        </w:rPr>
        <w:t>la Chananéenne</w:t>
      </w:r>
      <w:r w:rsidR="00E65435">
        <w:rPr>
          <w:rFonts w:eastAsia="Arial Unicode MS"/>
          <w:bCs/>
          <w:lang w:eastAsia="fr-FR" w:bidi="he-IL"/>
        </w:rPr>
        <w:t xml:space="preserve">, </w:t>
      </w:r>
      <w:r w:rsidRPr="00C8701B">
        <w:rPr>
          <w:rFonts w:eastAsia="Arial Unicode MS"/>
          <w:bCs/>
          <w:lang w:eastAsia="fr-FR" w:bidi="he-IL"/>
        </w:rPr>
        <w:t>controverses à propos du sabbat</w:t>
      </w:r>
      <w:r w:rsidR="00E65435">
        <w:rPr>
          <w:rFonts w:eastAsia="Arial Unicode MS"/>
          <w:bCs/>
          <w:lang w:eastAsia="fr-FR" w:bidi="he-IL"/>
        </w:rPr>
        <w:t xml:space="preserve">, </w:t>
      </w:r>
      <w:r w:rsidRPr="00C8701B">
        <w:rPr>
          <w:rFonts w:eastAsia="Arial Unicode MS"/>
          <w:bCs/>
          <w:lang w:eastAsia="fr-FR" w:bidi="he-IL"/>
        </w:rPr>
        <w:t>seconde multiplication des pains</w:t>
      </w:r>
      <w:r w:rsidR="00E65435">
        <w:rPr>
          <w:rFonts w:eastAsia="Arial Unicode MS"/>
          <w:bCs/>
          <w:lang w:eastAsia="fr-FR" w:bidi="he-IL"/>
        </w:rPr>
        <w:t xml:space="preserve">, </w:t>
      </w:r>
      <w:r w:rsidRPr="00C8701B">
        <w:rPr>
          <w:rFonts w:eastAsia="Arial Unicode MS"/>
          <w:bCs/>
          <w:lang w:eastAsia="fr-FR" w:bidi="he-IL"/>
        </w:rPr>
        <w:t>voyage à Césarée de Philippe</w:t>
      </w:r>
      <w:r w:rsidR="00E65435">
        <w:rPr>
          <w:rFonts w:eastAsia="Arial Unicode MS"/>
          <w:bCs/>
          <w:lang w:eastAsia="fr-FR" w:bidi="he-IL"/>
        </w:rPr>
        <w:t xml:space="preserve">, </w:t>
      </w:r>
      <w:r w:rsidRPr="00C8701B">
        <w:rPr>
          <w:rFonts w:eastAsia="Arial Unicode MS"/>
          <w:bCs/>
          <w:lang w:eastAsia="fr-FR" w:bidi="he-IL"/>
        </w:rPr>
        <w:t>confession de S. Pierre).</w:t>
      </w:r>
      <w:r w:rsidR="00E65435">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DC4586">
        <w:rPr>
          <w:rStyle w:val="italicus"/>
        </w:rPr>
        <w:t xml:space="preserve">Livre </w:t>
      </w:r>
      <w:r w:rsidR="0096281A">
        <w:rPr>
          <w:rStyle w:val="italicus"/>
        </w:rPr>
        <w:t>IV</w:t>
      </w:r>
      <w:r w:rsidR="00C2602D" w:rsidRPr="00DC4586">
        <w:rPr>
          <w:rStyle w:val="italicus"/>
        </w:rPr>
        <w:t> :</w:t>
      </w:r>
      <w:r w:rsidRPr="00C8701B">
        <w:rPr>
          <w:rFonts w:eastAsia="Arial Unicode MS"/>
          <w:bCs/>
          <w:lang w:eastAsia="fr-FR" w:bidi="he-IL"/>
        </w:rPr>
        <w:t xml:space="preserve"> la descente</w:t>
      </w:r>
      <w:r w:rsidR="00E65435">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est-à-dire</w:t>
      </w:r>
      <w:r w:rsidR="00E65435">
        <w:rPr>
          <w:rFonts w:eastAsia="Arial Unicode MS"/>
          <w:bCs/>
          <w:lang w:eastAsia="fr-FR" w:bidi="he-IL"/>
        </w:rPr>
        <w:t xml:space="preserve">, </w:t>
      </w:r>
      <w:r w:rsidRPr="00C8701B">
        <w:rPr>
          <w:rFonts w:eastAsia="Arial Unicode MS"/>
          <w:bCs/>
          <w:lang w:eastAsia="fr-FR" w:bidi="he-IL"/>
        </w:rPr>
        <w:t xml:space="preserve">de la montagne de la </w:t>
      </w:r>
      <w:r w:rsidR="00C215A6" w:rsidRPr="00C8701B">
        <w:rPr>
          <w:rFonts w:eastAsia="Arial Unicode MS"/>
          <w:bCs/>
          <w:lang w:eastAsia="fr-FR" w:bidi="he-IL"/>
        </w:rPr>
        <w:t>Transfiguration</w:t>
      </w:r>
      <w:r w:rsidRPr="00C8701B">
        <w:rPr>
          <w:rFonts w:eastAsia="Arial Unicode MS"/>
          <w:bCs/>
          <w:lang w:eastAsia="fr-FR" w:bidi="he-IL"/>
        </w:rPr>
        <w:t xml:space="preserve"> à la vallée de l</w:t>
      </w:r>
      <w:r w:rsidR="00557DE0">
        <w:rPr>
          <w:rFonts w:eastAsia="Arial Unicode MS"/>
          <w:bCs/>
          <w:lang w:eastAsia="fr-FR" w:bidi="he-IL"/>
        </w:rPr>
        <w:t>’</w:t>
      </w:r>
      <w:r w:rsidRPr="00C8701B">
        <w:rPr>
          <w:rFonts w:eastAsia="Arial Unicode MS"/>
          <w:bCs/>
          <w:lang w:eastAsia="fr-FR" w:bidi="he-IL"/>
        </w:rPr>
        <w:t>humiliation et de la mort (derniers incidents en Galilée</w:t>
      </w:r>
      <w:r w:rsidR="00E65435">
        <w:rPr>
          <w:rFonts w:eastAsia="Arial Unicode MS"/>
          <w:bCs/>
          <w:lang w:eastAsia="fr-FR" w:bidi="he-IL"/>
        </w:rPr>
        <w:t xml:space="preserve">, </w:t>
      </w:r>
      <w:r w:rsidRPr="00C8701B">
        <w:rPr>
          <w:rFonts w:eastAsia="Arial Unicode MS"/>
          <w:bCs/>
          <w:lang w:eastAsia="fr-FR" w:bidi="he-IL"/>
        </w:rPr>
        <w:t>le dernier voyage à Jérusalem</w:t>
      </w:r>
      <w:r w:rsidR="00E65435">
        <w:rPr>
          <w:rFonts w:eastAsia="Arial Unicode MS"/>
          <w:bCs/>
          <w:lang w:eastAsia="fr-FR" w:bidi="he-IL"/>
        </w:rPr>
        <w:t xml:space="preserve">, </w:t>
      </w:r>
      <w:r w:rsidRPr="00C8701B">
        <w:rPr>
          <w:rFonts w:eastAsia="Arial Unicode MS"/>
          <w:bCs/>
          <w:lang w:eastAsia="fr-FR" w:bidi="he-IL"/>
        </w:rPr>
        <w:t>Marthe et Marie</w:t>
      </w:r>
      <w:r w:rsidR="00E65435">
        <w:rPr>
          <w:rFonts w:eastAsia="Arial Unicode MS"/>
          <w:bCs/>
          <w:lang w:eastAsia="fr-FR" w:bidi="he-IL"/>
        </w:rPr>
        <w:t xml:space="preserve">, </w:t>
      </w:r>
      <w:r w:rsidRPr="00C8701B">
        <w:rPr>
          <w:rFonts w:eastAsia="Arial Unicode MS"/>
          <w:bCs/>
          <w:lang w:eastAsia="fr-FR" w:bidi="he-IL"/>
        </w:rPr>
        <w:t>la fête des Tabernacles</w:t>
      </w:r>
      <w:r w:rsidR="00E65435">
        <w:rPr>
          <w:rFonts w:eastAsia="Arial Unicode MS"/>
          <w:bCs/>
          <w:lang w:eastAsia="fr-FR" w:bidi="he-IL"/>
        </w:rPr>
        <w:t xml:space="preserve">, </w:t>
      </w:r>
      <w:r w:rsidRPr="00C8701B">
        <w:rPr>
          <w:rFonts w:eastAsia="Arial Unicode MS"/>
          <w:bCs/>
          <w:lang w:eastAsia="fr-FR" w:bidi="he-IL"/>
        </w:rPr>
        <w:t xml:space="preserve">séjour en </w:t>
      </w:r>
      <w:r w:rsidR="00C215A6" w:rsidRPr="00C8701B">
        <w:rPr>
          <w:rFonts w:eastAsia="Arial Unicode MS"/>
          <w:bCs/>
          <w:lang w:eastAsia="fr-FR" w:bidi="he-IL"/>
        </w:rPr>
        <w:t>Pérée</w:t>
      </w:r>
      <w:r w:rsidR="00E65435">
        <w:rPr>
          <w:rFonts w:eastAsia="Arial Unicode MS"/>
          <w:bCs/>
          <w:lang w:eastAsia="fr-FR" w:bidi="he-IL"/>
        </w:rPr>
        <w:t xml:space="preserve">, </w:t>
      </w:r>
      <w:r w:rsidRPr="00C8701B">
        <w:rPr>
          <w:rFonts w:eastAsia="Arial Unicode MS"/>
          <w:bCs/>
          <w:lang w:eastAsia="fr-FR" w:bidi="he-IL"/>
        </w:rPr>
        <w:t xml:space="preserve">la fête de la Dédicace </w:t>
      </w:r>
      <w:r w:rsidR="00C215A6" w:rsidRPr="00C8701B">
        <w:rPr>
          <w:rFonts w:eastAsia="Arial Unicode MS"/>
          <w:bCs/>
          <w:lang w:eastAsia="fr-FR" w:bidi="he-IL"/>
        </w:rPr>
        <w:t>à Jérusalem</w:t>
      </w:r>
      <w:r w:rsidR="00E65435">
        <w:rPr>
          <w:rFonts w:eastAsia="Arial Unicode MS"/>
          <w:bCs/>
          <w:lang w:eastAsia="fr-FR" w:bidi="he-IL"/>
        </w:rPr>
        <w:t xml:space="preserve">, </w:t>
      </w:r>
      <w:r w:rsidRPr="00C8701B">
        <w:rPr>
          <w:rFonts w:eastAsia="Arial Unicode MS"/>
          <w:bCs/>
          <w:lang w:eastAsia="fr-FR" w:bidi="he-IL"/>
        </w:rPr>
        <w:t>retour en Pérée</w:t>
      </w:r>
      <w:r w:rsidR="00E65435">
        <w:rPr>
          <w:rFonts w:eastAsia="Arial Unicode MS"/>
          <w:bCs/>
          <w:lang w:eastAsia="fr-FR" w:bidi="he-IL"/>
        </w:rPr>
        <w:t xml:space="preserve">, </w:t>
      </w:r>
      <w:r w:rsidRPr="00C8701B">
        <w:rPr>
          <w:rFonts w:eastAsia="Arial Unicode MS"/>
          <w:bCs/>
          <w:lang w:eastAsia="fr-FR" w:bidi="he-IL"/>
        </w:rPr>
        <w:t>résurrection de Lazare</w:t>
      </w:r>
      <w:r w:rsidR="00E65435">
        <w:rPr>
          <w:rFonts w:eastAsia="Arial Unicode MS"/>
          <w:bCs/>
          <w:lang w:eastAsia="fr-FR" w:bidi="he-IL"/>
        </w:rPr>
        <w:t xml:space="preserve">, </w:t>
      </w:r>
      <w:r w:rsidRPr="00C8701B">
        <w:rPr>
          <w:rFonts w:eastAsia="Arial Unicode MS"/>
          <w:bCs/>
          <w:lang w:eastAsia="fr-FR" w:bidi="he-IL"/>
        </w:rPr>
        <w:t>les aveugles de Jéricho</w:t>
      </w:r>
      <w:r w:rsidR="00E65435">
        <w:rPr>
          <w:rFonts w:eastAsia="Arial Unicode MS"/>
          <w:bCs/>
          <w:lang w:eastAsia="fr-FR" w:bidi="he-IL"/>
        </w:rPr>
        <w:t xml:space="preserve">, </w:t>
      </w:r>
      <w:r w:rsidRPr="00C8701B">
        <w:rPr>
          <w:rFonts w:eastAsia="Arial Unicode MS"/>
          <w:bCs/>
          <w:lang w:eastAsia="fr-FR" w:bidi="he-IL"/>
        </w:rPr>
        <w:t>Jésus à Béthanie).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DC4586">
        <w:rPr>
          <w:rStyle w:val="italicus"/>
        </w:rPr>
        <w:t xml:space="preserve">Livre </w:t>
      </w:r>
      <w:r w:rsidR="00835131">
        <w:rPr>
          <w:rStyle w:val="italicus"/>
        </w:rPr>
        <w:t>V</w:t>
      </w:r>
      <w:r w:rsidR="00C2602D" w:rsidRPr="00DC4586">
        <w:rPr>
          <w:rStyle w:val="italicus"/>
        </w:rPr>
        <w:t> :</w:t>
      </w:r>
      <w:r w:rsidRPr="00C8701B">
        <w:rPr>
          <w:rFonts w:eastAsia="Arial Unicode MS"/>
          <w:bCs/>
          <w:lang w:eastAsia="fr-FR" w:bidi="he-IL"/>
        </w:rPr>
        <w:t xml:space="preserve"> la croix et la couronne (Semaine sainte</w:t>
      </w:r>
      <w:r w:rsidR="00E65435">
        <w:rPr>
          <w:rFonts w:eastAsia="Arial Unicode MS"/>
          <w:bCs/>
          <w:lang w:eastAsia="fr-FR" w:bidi="he-IL"/>
        </w:rPr>
        <w:t xml:space="preserve">, </w:t>
      </w:r>
      <w:r w:rsidRPr="00C8701B">
        <w:rPr>
          <w:rFonts w:eastAsia="Arial Unicode MS"/>
          <w:bCs/>
          <w:lang w:eastAsia="fr-FR" w:bidi="he-IL"/>
        </w:rPr>
        <w:t>Passion</w:t>
      </w:r>
      <w:r w:rsidR="00E65435">
        <w:rPr>
          <w:rFonts w:eastAsia="Arial Unicode MS"/>
          <w:bCs/>
          <w:lang w:eastAsia="fr-FR" w:bidi="he-IL"/>
        </w:rPr>
        <w:t xml:space="preserve">, </w:t>
      </w:r>
      <w:r w:rsidRPr="00C8701B">
        <w:rPr>
          <w:rFonts w:eastAsia="Arial Unicode MS"/>
          <w:bCs/>
          <w:lang w:eastAsia="fr-FR" w:bidi="he-IL"/>
        </w:rPr>
        <w:t>Résurrection et Ascension).</w:t>
      </w:r>
      <w:r w:rsidR="00C2602D" w:rsidRPr="00C8701B">
        <w:rPr>
          <w:rFonts w:eastAsia="Arial Unicode MS"/>
          <w:bCs/>
          <w:lang w:eastAsia="fr-FR" w:bidi="he-IL"/>
        </w:rPr>
        <w:t xml:space="preserve"> </w:t>
      </w:r>
    </w:p>
    <w:p w:rsidR="00C2602D" w:rsidRDefault="00FA2CE5" w:rsidP="00FA2CE5">
      <w:pPr>
        <w:rPr>
          <w:rFonts w:eastAsia="Arial Unicode MS"/>
          <w:bCs/>
          <w:lang w:eastAsia="fr-FR" w:bidi="he-IL"/>
        </w:rPr>
      </w:pPr>
      <w:r>
        <w:t>4°</w:t>
      </w:r>
      <w:r w:rsidR="00B704AD" w:rsidRPr="00C8701B">
        <w:rPr>
          <w:rFonts w:eastAsia="Arial Unicode MS"/>
          <w:bCs/>
          <w:lang w:eastAsia="fr-FR" w:bidi="he-IL"/>
        </w:rPr>
        <w:t xml:space="preserve"> La</w:t>
      </w:r>
      <w:r w:rsidR="00B704AD" w:rsidRPr="00DC4586">
        <w:rPr>
          <w:rStyle w:val="italicus"/>
        </w:rPr>
        <w:t xml:space="preserve"> vie de N.-S. Jésus-Christ</w:t>
      </w:r>
      <w:r w:rsidR="00B704AD" w:rsidRPr="00C8701B">
        <w:rPr>
          <w:rFonts w:eastAsia="Arial Unicode MS"/>
          <w:bCs/>
          <w:lang w:eastAsia="fr-FR" w:bidi="he-IL"/>
        </w:rPr>
        <w:t xml:space="preserve"> par M. l</w:t>
      </w:r>
      <w:r w:rsidR="00557DE0">
        <w:rPr>
          <w:rFonts w:eastAsia="Arial Unicode MS"/>
          <w:bCs/>
          <w:lang w:eastAsia="fr-FR" w:bidi="he-IL"/>
        </w:rPr>
        <w:t>’</w:t>
      </w:r>
      <w:r w:rsidR="00B704AD" w:rsidRPr="00C8701B">
        <w:rPr>
          <w:rFonts w:eastAsia="Arial Unicode MS"/>
          <w:bCs/>
          <w:lang w:eastAsia="fr-FR" w:bidi="he-IL"/>
        </w:rPr>
        <w:t xml:space="preserve">abbé E. Le </w:t>
      </w:r>
      <w:r w:rsidR="00B907E8">
        <w:rPr>
          <w:rFonts w:eastAsia="Arial Unicode MS"/>
          <w:bCs/>
          <w:lang w:eastAsia="fr-FR" w:bidi="he-IL"/>
        </w:rPr>
        <w:t>Camus</w:t>
      </w:r>
      <w:r w:rsidR="00933C60" w:rsidRPr="00C406FF">
        <w:rPr>
          <w:rStyle w:val="Appelnotedebasdep"/>
        </w:rPr>
        <w:footnoteReference w:id="115"/>
      </w:r>
      <w:r w:rsidR="00B704AD" w:rsidRPr="00C8701B">
        <w:rPr>
          <w:rFonts w:eastAsia="Arial Unicode MS"/>
          <w:bCs/>
          <w:lang w:eastAsia="fr-FR" w:bidi="he-IL"/>
        </w:rPr>
        <w:t xml:space="preserve"> comprend trois parties</w:t>
      </w:r>
      <w:r w:rsidR="00E65435">
        <w:rPr>
          <w:rFonts w:eastAsia="Arial Unicode MS"/>
          <w:bCs/>
          <w:lang w:eastAsia="fr-FR" w:bidi="he-IL"/>
        </w:rPr>
        <w:t xml:space="preserve">, </w:t>
      </w:r>
      <w:r w:rsidR="00B704AD" w:rsidRPr="00C8701B">
        <w:rPr>
          <w:rFonts w:eastAsia="Arial Unicode MS"/>
          <w:bCs/>
          <w:lang w:eastAsia="fr-FR" w:bidi="he-IL"/>
        </w:rPr>
        <w:t>intitulées</w:t>
      </w:r>
      <w:r w:rsidR="00C2602D" w:rsidRPr="00C8701B">
        <w:rPr>
          <w:rFonts w:eastAsia="Arial Unicode MS"/>
          <w:bCs/>
          <w:lang w:eastAsia="fr-FR" w:bidi="he-IL"/>
        </w:rPr>
        <w:t> :</w:t>
      </w:r>
      <w:r w:rsidR="00B704AD" w:rsidRPr="00C8701B">
        <w:rPr>
          <w:rFonts w:eastAsia="Arial Unicode MS"/>
          <w:bCs/>
          <w:lang w:eastAsia="fr-FR" w:bidi="he-IL"/>
        </w:rPr>
        <w:t xml:space="preserve"> Les commencements</w:t>
      </w:r>
      <w:r>
        <w:rPr>
          <w:rFonts w:eastAsia="Arial Unicode MS"/>
          <w:bCs/>
          <w:lang w:eastAsia="fr-FR" w:bidi="he-IL"/>
        </w:rPr>
        <w:t xml:space="preserve"> </w:t>
      </w:r>
      <w:r w:rsidR="00B704AD" w:rsidRPr="00C8701B">
        <w:rPr>
          <w:rFonts w:eastAsia="Arial Unicode MS"/>
          <w:bCs/>
          <w:lang w:eastAsia="fr-FR" w:bidi="he-IL"/>
        </w:rPr>
        <w:t>de Jésus</w:t>
      </w:r>
      <w:r w:rsidR="00E65435">
        <w:rPr>
          <w:rFonts w:eastAsia="Arial Unicode MS"/>
          <w:bCs/>
          <w:lang w:eastAsia="fr-FR" w:bidi="he-IL"/>
        </w:rPr>
        <w:t xml:space="preserve">, </w:t>
      </w:r>
      <w:r>
        <w:rPr>
          <w:rFonts w:eastAsia="Arial Unicode MS"/>
          <w:bCs/>
          <w:lang w:eastAsia="fr-FR" w:bidi="he-IL"/>
        </w:rPr>
        <w:t>l</w:t>
      </w:r>
      <w:r w:rsidR="00B704AD" w:rsidRPr="00C8701B">
        <w:rPr>
          <w:rFonts w:eastAsia="Arial Unicode MS"/>
          <w:bCs/>
          <w:lang w:eastAsia="fr-FR" w:bidi="he-IL"/>
        </w:rPr>
        <w:t>a vie publique du Sauveur</w:t>
      </w:r>
      <w:r w:rsidR="00E65435">
        <w:rPr>
          <w:rFonts w:eastAsia="Arial Unicode MS"/>
          <w:bCs/>
          <w:lang w:eastAsia="fr-FR" w:bidi="he-IL"/>
        </w:rPr>
        <w:t xml:space="preserve">, </w:t>
      </w:r>
      <w:r w:rsidR="00B704AD" w:rsidRPr="00C8701B">
        <w:rPr>
          <w:rFonts w:eastAsia="Arial Unicode MS"/>
          <w:bCs/>
          <w:lang w:eastAsia="fr-FR" w:bidi="he-IL"/>
        </w:rPr>
        <w:t xml:space="preserve">la fin du Messie. En </w:t>
      </w:r>
      <w:r>
        <w:rPr>
          <w:rFonts w:eastAsia="Arial Unicode MS"/>
          <w:bCs/>
          <w:lang w:eastAsia="fr-FR" w:bidi="he-IL"/>
        </w:rPr>
        <w:t>voici les g</w:t>
      </w:r>
      <w:r w:rsidR="00B704AD" w:rsidRPr="00C8701B">
        <w:rPr>
          <w:rFonts w:eastAsia="Arial Unicode MS"/>
          <w:bCs/>
          <w:lang w:eastAsia="fr-FR" w:bidi="he-IL"/>
        </w:rPr>
        <w:t>randes subdivisi</w:t>
      </w:r>
      <w:r>
        <w:rPr>
          <w:rFonts w:eastAsia="Arial Unicode MS"/>
          <w:bCs/>
          <w:lang w:eastAsia="fr-FR" w:bidi="he-IL"/>
        </w:rPr>
        <w:t>ons.</w:t>
      </w:r>
    </w:p>
    <w:p w:rsidR="00C2602D" w:rsidRPr="00C8701B" w:rsidRDefault="00B704AD" w:rsidP="00C2602D">
      <w:pPr>
        <w:rPr>
          <w:rFonts w:eastAsia="Arial Unicode MS"/>
          <w:bCs/>
          <w:lang w:eastAsia="fr-FR" w:bidi="he-IL"/>
        </w:rPr>
      </w:pPr>
      <w:r w:rsidRPr="00C8701B">
        <w:rPr>
          <w:rFonts w:eastAsia="Arial Unicode MS"/>
          <w:bCs/>
          <w:lang w:eastAsia="fr-FR" w:bidi="he-IL"/>
        </w:rPr>
        <w:t>I</w:t>
      </w:r>
      <w:r w:rsidRPr="00C8701B">
        <w:rPr>
          <w:rFonts w:eastAsia="Arial Unicode MS"/>
          <w:bCs/>
          <w:vertAlign w:val="superscript"/>
          <w:lang w:eastAsia="fr-FR" w:bidi="he-IL"/>
        </w:rPr>
        <w:t>re</w:t>
      </w:r>
      <w:r w:rsidRPr="00C8701B">
        <w:rPr>
          <w:rFonts w:eastAsia="Arial Unicode MS"/>
          <w:bCs/>
          <w:lang w:eastAsia="fr-FR" w:bidi="he-IL"/>
        </w:rPr>
        <w:t xml:space="preserve"> Partie.</w:t>
      </w:r>
      <w:r w:rsidR="000F7DAA">
        <w:rPr>
          <w:rFonts w:eastAsia="Arial Unicode MS"/>
          <w:bCs/>
          <w:lang w:eastAsia="fr-FR" w:bidi="he-IL"/>
        </w:rPr>
        <w:t xml:space="preserve"> —</w:t>
      </w:r>
      <w:r w:rsidR="008D0642">
        <w:rPr>
          <w:rFonts w:eastAsia="Arial Unicode MS"/>
          <w:bCs/>
          <w:lang w:eastAsia="fr-FR" w:bidi="he-IL"/>
        </w:rPr>
        <w:t xml:space="preserve"> </w:t>
      </w:r>
      <w:r w:rsidRPr="00DC4586">
        <w:rPr>
          <w:rStyle w:val="italicus"/>
        </w:rPr>
        <w:t>Livre premier</w:t>
      </w:r>
      <w:r w:rsidR="00C2602D" w:rsidRPr="00DC4586">
        <w:rPr>
          <w:rStyle w:val="italicus"/>
        </w:rPr>
        <w:t> :</w:t>
      </w:r>
      <w:r w:rsidRPr="00C8701B">
        <w:rPr>
          <w:rFonts w:eastAsia="Arial Unicode MS"/>
          <w:bCs/>
          <w:lang w:eastAsia="fr-FR" w:bidi="he-IL"/>
        </w:rPr>
        <w:t xml:space="preserve"> Le Messie apparaît en Israël (le Précurseur</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 Messie est manifesté à Jean-Baptiste).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DC4586">
        <w:rPr>
          <w:rStyle w:val="italicus"/>
        </w:rPr>
        <w:t>Livre second</w:t>
      </w:r>
      <w:r w:rsidR="00C2602D" w:rsidRPr="00DC4586">
        <w:rPr>
          <w:rStyle w:val="italicus"/>
        </w:rPr>
        <w:t> :</w:t>
      </w:r>
      <w:r w:rsidRPr="00C8701B">
        <w:rPr>
          <w:rFonts w:eastAsia="Arial Unicode MS"/>
          <w:bCs/>
          <w:lang w:eastAsia="fr-FR" w:bidi="he-IL"/>
        </w:rPr>
        <w:t xml:space="preserve"> Histoire rétrospective du Messie (la généalogie de Jésus</w:t>
      </w:r>
      <w:r w:rsidR="00E65435">
        <w:rPr>
          <w:rFonts w:eastAsia="Arial Unicode MS"/>
          <w:bCs/>
          <w:lang w:eastAsia="fr-FR" w:bidi="he-IL"/>
        </w:rPr>
        <w:t xml:space="preserve">, </w:t>
      </w:r>
      <w:r w:rsidRPr="00C8701B">
        <w:rPr>
          <w:rFonts w:eastAsia="Arial Unicode MS"/>
          <w:bCs/>
          <w:lang w:eastAsia="fr-FR" w:bidi="he-IL"/>
        </w:rPr>
        <w:t>la conception de Jésus</w:t>
      </w:r>
      <w:r w:rsidR="00E65435">
        <w:rPr>
          <w:rFonts w:eastAsia="Arial Unicode MS"/>
          <w:bCs/>
          <w:lang w:eastAsia="fr-FR" w:bidi="he-IL"/>
        </w:rPr>
        <w:t xml:space="preserve">, </w:t>
      </w:r>
      <w:r w:rsidRPr="00C8701B">
        <w:rPr>
          <w:rFonts w:eastAsia="Arial Unicode MS"/>
          <w:bCs/>
          <w:lang w:eastAsia="fr-FR" w:bidi="he-IL"/>
        </w:rPr>
        <w:t>naissance de Jésus à Bethléem</w:t>
      </w:r>
      <w:r w:rsidR="00E65435">
        <w:rPr>
          <w:rFonts w:eastAsia="Arial Unicode MS"/>
          <w:bCs/>
          <w:lang w:eastAsia="fr-FR" w:bidi="he-IL"/>
        </w:rPr>
        <w:t xml:space="preserve">, </w:t>
      </w:r>
      <w:r w:rsidRPr="00C8701B">
        <w:rPr>
          <w:rFonts w:eastAsia="Arial Unicode MS"/>
          <w:bCs/>
          <w:lang w:eastAsia="fr-FR" w:bidi="he-IL"/>
        </w:rPr>
        <w:t>la circoncision</w:t>
      </w:r>
      <w:r w:rsidR="00E65435">
        <w:rPr>
          <w:rFonts w:eastAsia="Arial Unicode MS"/>
          <w:bCs/>
          <w:lang w:eastAsia="fr-FR" w:bidi="he-IL"/>
        </w:rPr>
        <w:t xml:space="preserve">, </w:t>
      </w:r>
      <w:r w:rsidRPr="00C8701B">
        <w:rPr>
          <w:rFonts w:eastAsia="Arial Unicode MS"/>
          <w:bCs/>
          <w:lang w:eastAsia="fr-FR" w:bidi="he-IL"/>
        </w:rPr>
        <w:t>la visite des Mages</w:t>
      </w:r>
      <w:r w:rsidR="00E65435">
        <w:rPr>
          <w:rFonts w:eastAsia="Arial Unicode MS"/>
          <w:bCs/>
          <w:lang w:eastAsia="fr-FR" w:bidi="he-IL"/>
        </w:rPr>
        <w:t xml:space="preserve">, </w:t>
      </w:r>
      <w:r w:rsidR="00C215A6">
        <w:rPr>
          <w:rFonts w:eastAsia="Arial Unicode MS"/>
          <w:bCs/>
          <w:lang w:eastAsia="fr-FR" w:bidi="he-IL"/>
        </w:rPr>
        <w:t>Purification e</w:t>
      </w:r>
      <w:r w:rsidRPr="00C8701B">
        <w:rPr>
          <w:rFonts w:eastAsia="Arial Unicode MS"/>
          <w:bCs/>
          <w:lang w:eastAsia="fr-FR" w:bidi="he-IL"/>
        </w:rPr>
        <w:t>t Présentation</w:t>
      </w:r>
      <w:r w:rsidR="00E65435">
        <w:rPr>
          <w:rFonts w:eastAsia="Arial Unicode MS"/>
          <w:bCs/>
          <w:lang w:eastAsia="fr-FR" w:bidi="he-IL"/>
        </w:rPr>
        <w:t xml:space="preserve">, </w:t>
      </w:r>
      <w:r w:rsidR="00C215A6">
        <w:rPr>
          <w:rFonts w:eastAsia="Arial Unicode MS"/>
          <w:bCs/>
          <w:lang w:eastAsia="fr-FR" w:bidi="he-IL"/>
        </w:rPr>
        <w:t>persécution et fuite en É</w:t>
      </w:r>
      <w:r w:rsidRPr="00C8701B">
        <w:rPr>
          <w:rFonts w:eastAsia="Arial Unicode MS"/>
          <w:bCs/>
          <w:lang w:eastAsia="fr-FR" w:bidi="he-IL"/>
        </w:rPr>
        <w:t>gypte</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enfance à Nazareth</w:t>
      </w:r>
      <w:r w:rsidR="00E65435">
        <w:rPr>
          <w:rFonts w:eastAsia="Arial Unicode MS"/>
          <w:bCs/>
          <w:lang w:eastAsia="fr-FR" w:bidi="he-IL"/>
        </w:rPr>
        <w:t xml:space="preserve">, </w:t>
      </w:r>
      <w:r w:rsidRPr="00C8701B">
        <w:rPr>
          <w:rFonts w:eastAsia="Arial Unicode MS"/>
          <w:bCs/>
          <w:lang w:eastAsia="fr-FR" w:bidi="he-IL"/>
        </w:rPr>
        <w:t>de douze à trente ans).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DC4586">
        <w:rPr>
          <w:rStyle w:val="italicus"/>
        </w:rPr>
        <w:t>Livre troisième</w:t>
      </w:r>
      <w:r w:rsidR="00C2602D" w:rsidRPr="00DC4586">
        <w:rPr>
          <w:rStyle w:val="italicus"/>
        </w:rPr>
        <w:t> :</w:t>
      </w:r>
      <w:r w:rsidRPr="00C8701B">
        <w:rPr>
          <w:rFonts w:eastAsia="Arial Unicode MS"/>
          <w:bCs/>
          <w:lang w:eastAsia="fr-FR" w:bidi="he-IL"/>
        </w:rPr>
        <w:t xml:space="preserve"> Préparation immédiate à la vie publique (la retraite au désert</w:t>
      </w:r>
      <w:r w:rsidR="00E65435">
        <w:rPr>
          <w:rFonts w:eastAsia="Arial Unicode MS"/>
          <w:bCs/>
          <w:lang w:eastAsia="fr-FR" w:bidi="he-IL"/>
        </w:rPr>
        <w:t xml:space="preserve">, </w:t>
      </w:r>
      <w:r w:rsidRPr="00C8701B">
        <w:rPr>
          <w:rFonts w:eastAsia="Arial Unicode MS"/>
          <w:bCs/>
          <w:lang w:eastAsia="fr-FR" w:bidi="he-IL"/>
        </w:rPr>
        <w:t>la tentation</w:t>
      </w:r>
      <w:r w:rsidR="00E65435">
        <w:rPr>
          <w:rFonts w:eastAsia="Arial Unicode MS"/>
          <w:bCs/>
          <w:lang w:eastAsia="fr-FR" w:bidi="he-IL"/>
        </w:rPr>
        <w:t xml:space="preserve">, </w:t>
      </w:r>
      <w:r w:rsidRPr="00C8701B">
        <w:rPr>
          <w:rFonts w:eastAsia="Arial Unicode MS"/>
          <w:bCs/>
          <w:lang w:eastAsia="fr-FR" w:bidi="he-IL"/>
        </w:rPr>
        <w:t>Jean-Baptiste présente le Messie à Israël).</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II</w:t>
      </w:r>
      <w:r w:rsidRPr="00C8701B">
        <w:rPr>
          <w:rFonts w:eastAsia="Arial Unicode MS"/>
          <w:bCs/>
          <w:vertAlign w:val="superscript"/>
          <w:lang w:eastAsia="fr-FR" w:bidi="he-IL"/>
        </w:rPr>
        <w:t>e</w:t>
      </w:r>
      <w:r w:rsidRPr="00C8701B">
        <w:rPr>
          <w:rFonts w:eastAsia="Arial Unicode MS"/>
          <w:bCs/>
          <w:lang w:eastAsia="fr-FR" w:bidi="he-IL"/>
        </w:rPr>
        <w:t xml:space="preserve"> Partie.</w:t>
      </w:r>
      <w:r w:rsidR="000F7DAA">
        <w:rPr>
          <w:rFonts w:eastAsia="Arial Unicode MS"/>
          <w:bCs/>
          <w:lang w:eastAsia="fr-FR" w:bidi="he-IL"/>
        </w:rPr>
        <w:t xml:space="preserve"> —</w:t>
      </w:r>
      <w:r w:rsidR="008D0642">
        <w:rPr>
          <w:rFonts w:eastAsia="Arial Unicode MS"/>
          <w:bCs/>
          <w:lang w:eastAsia="fr-FR" w:bidi="he-IL"/>
        </w:rPr>
        <w:t xml:space="preserve"> </w:t>
      </w:r>
      <w:r w:rsidRPr="00DC4586">
        <w:rPr>
          <w:rStyle w:val="italicus"/>
        </w:rPr>
        <w:t>Livre premier</w:t>
      </w:r>
      <w:r w:rsidR="00C2602D" w:rsidRPr="00DC4586">
        <w:rPr>
          <w:rStyle w:val="italicus"/>
        </w:rPr>
        <w:t> :</w:t>
      </w:r>
      <w:r w:rsidRPr="00C8701B">
        <w:rPr>
          <w:rFonts w:eastAsia="Arial Unicode MS"/>
          <w:bCs/>
          <w:lang w:eastAsia="fr-FR" w:bidi="he-IL"/>
        </w:rPr>
        <w:t xml:space="preserve"> Période d</w:t>
      </w:r>
      <w:r w:rsidR="00557DE0">
        <w:rPr>
          <w:rFonts w:eastAsia="Arial Unicode MS"/>
          <w:bCs/>
          <w:lang w:eastAsia="fr-FR" w:bidi="he-IL"/>
        </w:rPr>
        <w:t>’</w:t>
      </w:r>
      <w:r w:rsidRPr="00C8701B">
        <w:rPr>
          <w:rFonts w:eastAsia="Arial Unicode MS"/>
          <w:bCs/>
          <w:lang w:eastAsia="fr-FR" w:bidi="he-IL"/>
        </w:rPr>
        <w:t>exploration générale.</w:t>
      </w:r>
      <w:r w:rsidR="000F7DAA">
        <w:rPr>
          <w:rFonts w:eastAsia="Arial Unicode MS"/>
          <w:bCs/>
          <w:lang w:eastAsia="fr-FR" w:bidi="he-IL"/>
        </w:rPr>
        <w:t xml:space="preserve"> —</w:t>
      </w:r>
      <w:r w:rsidR="008D0642">
        <w:rPr>
          <w:rFonts w:eastAsia="Arial Unicode MS"/>
          <w:bCs/>
          <w:lang w:eastAsia="fr-FR" w:bidi="he-IL"/>
        </w:rPr>
        <w:t xml:space="preserve"> </w:t>
      </w:r>
      <w:r w:rsidR="00C215A6">
        <w:rPr>
          <w:rFonts w:eastAsia="Arial Unicode MS"/>
          <w:bCs/>
          <w:lang w:eastAsia="fr-FR" w:bidi="he-IL"/>
        </w:rPr>
        <w:t>Section I</w:t>
      </w:r>
      <w:r w:rsidR="00C2602D" w:rsidRPr="00C8701B">
        <w:rPr>
          <w:rFonts w:eastAsia="Arial Unicode MS"/>
          <w:bCs/>
          <w:lang w:eastAsia="fr-FR" w:bidi="he-IL"/>
        </w:rPr>
        <w:t> :</w:t>
      </w:r>
      <w:r w:rsidRPr="00C8701B">
        <w:rPr>
          <w:rFonts w:eastAsia="Arial Unicode MS"/>
          <w:bCs/>
          <w:lang w:eastAsia="fr-FR" w:bidi="he-IL"/>
        </w:rPr>
        <w:t xml:space="preserve"> Jésus se révèle comme Messie (vocation de quelques disciples</w:t>
      </w:r>
      <w:r w:rsidR="00E65435">
        <w:rPr>
          <w:rFonts w:eastAsia="Arial Unicode MS"/>
          <w:bCs/>
          <w:lang w:eastAsia="fr-FR" w:bidi="he-IL"/>
        </w:rPr>
        <w:t xml:space="preserve">, </w:t>
      </w:r>
      <w:r w:rsidRPr="00C8701B">
        <w:rPr>
          <w:rFonts w:eastAsia="Arial Unicode MS"/>
          <w:bCs/>
          <w:lang w:eastAsia="fr-FR" w:bidi="he-IL"/>
        </w:rPr>
        <w:t>noces de Cana</w:t>
      </w:r>
      <w:r w:rsidR="00E65435">
        <w:rPr>
          <w:rFonts w:eastAsia="Arial Unicode MS"/>
          <w:bCs/>
          <w:lang w:eastAsia="fr-FR" w:bidi="he-IL"/>
        </w:rPr>
        <w:t xml:space="preserve">, </w:t>
      </w:r>
      <w:r w:rsidRPr="00C8701B">
        <w:rPr>
          <w:rFonts w:eastAsia="Arial Unicode MS"/>
          <w:bCs/>
          <w:lang w:eastAsia="fr-FR" w:bidi="he-IL"/>
        </w:rPr>
        <w:t xml:space="preserve">Jésus affirme son autorité dans le </w:t>
      </w:r>
      <w:r w:rsidR="00C215A6" w:rsidRPr="00C8701B">
        <w:rPr>
          <w:rFonts w:eastAsia="Arial Unicode MS"/>
          <w:bCs/>
          <w:lang w:eastAsia="fr-FR" w:bidi="he-IL"/>
        </w:rPr>
        <w:t>temple</w:t>
      </w:r>
      <w:r w:rsidR="00E65435">
        <w:rPr>
          <w:rFonts w:eastAsia="Arial Unicode MS"/>
          <w:bCs/>
          <w:lang w:eastAsia="fr-FR" w:bidi="he-IL"/>
        </w:rPr>
        <w:t xml:space="preserve">, </w:t>
      </w:r>
      <w:r w:rsidRPr="00C8701B">
        <w:rPr>
          <w:rFonts w:eastAsia="Arial Unicode MS"/>
          <w:bCs/>
          <w:lang w:eastAsia="fr-FR" w:bidi="he-IL"/>
        </w:rPr>
        <w:t>entretien avec Nicodème</w:t>
      </w:r>
      <w:r w:rsidR="00E65435">
        <w:rPr>
          <w:rFonts w:eastAsia="Arial Unicode MS"/>
          <w:bCs/>
          <w:lang w:eastAsia="fr-FR" w:bidi="he-IL"/>
        </w:rPr>
        <w:t xml:space="preserve">, </w:t>
      </w:r>
      <w:r w:rsidRPr="00C8701B">
        <w:rPr>
          <w:rFonts w:eastAsia="Arial Unicode MS"/>
          <w:bCs/>
          <w:lang w:eastAsia="fr-FR" w:bidi="he-IL"/>
        </w:rPr>
        <w:t>Jésus dans les campagnes de Judée</w:t>
      </w:r>
      <w:r w:rsidR="00E65435">
        <w:rPr>
          <w:rFonts w:eastAsia="Arial Unicode MS"/>
          <w:bCs/>
          <w:lang w:eastAsia="fr-FR" w:bidi="he-IL"/>
        </w:rPr>
        <w:t xml:space="preserve">, </w:t>
      </w:r>
      <w:r w:rsidRPr="00C8701B">
        <w:rPr>
          <w:rFonts w:eastAsia="Arial Unicode MS"/>
          <w:bCs/>
          <w:lang w:eastAsia="fr-FR" w:bidi="he-IL"/>
        </w:rPr>
        <w:t>Jésus et la Samaritaine).</w:t>
      </w:r>
      <w:r w:rsidR="000F7DAA">
        <w:rPr>
          <w:rFonts w:eastAsia="Arial Unicode MS"/>
          <w:bCs/>
          <w:lang w:eastAsia="fr-FR" w:bidi="he-IL"/>
        </w:rPr>
        <w:t xml:space="preserve"> —</w:t>
      </w:r>
      <w:r w:rsidR="008D0642">
        <w:rPr>
          <w:rFonts w:eastAsia="Arial Unicode MS"/>
          <w:bCs/>
          <w:lang w:eastAsia="fr-FR" w:bidi="he-IL"/>
        </w:rPr>
        <w:t xml:space="preserve"> </w:t>
      </w:r>
      <w:r w:rsidR="00C215A6">
        <w:rPr>
          <w:rFonts w:eastAsia="Arial Unicode MS"/>
          <w:bCs/>
          <w:lang w:eastAsia="fr-FR" w:bidi="he-IL"/>
        </w:rPr>
        <w:t>Section II</w:t>
      </w:r>
      <w:r w:rsidR="00C2602D" w:rsidRPr="00C8701B">
        <w:rPr>
          <w:rFonts w:eastAsia="Arial Unicode MS"/>
          <w:bCs/>
          <w:lang w:eastAsia="fr-FR" w:bidi="he-IL"/>
        </w:rPr>
        <w:t> :</w:t>
      </w:r>
      <w:r w:rsidRPr="00C8701B">
        <w:rPr>
          <w:rFonts w:eastAsia="Arial Unicode MS"/>
          <w:bCs/>
          <w:lang w:eastAsia="fr-FR" w:bidi="he-IL"/>
        </w:rPr>
        <w:t xml:space="preserve"> Premiers résultats de </w:t>
      </w:r>
      <w:r w:rsidR="00C215A6" w:rsidRPr="00C8701B">
        <w:rPr>
          <w:rFonts w:eastAsia="Arial Unicode MS"/>
          <w:bCs/>
          <w:lang w:eastAsia="fr-FR" w:bidi="he-IL"/>
        </w:rPr>
        <w:t>cette</w:t>
      </w:r>
      <w:r w:rsidRPr="00C8701B">
        <w:rPr>
          <w:rFonts w:eastAsia="Arial Unicode MS"/>
          <w:bCs/>
          <w:lang w:eastAsia="fr-FR" w:bidi="he-IL"/>
        </w:rPr>
        <w:t xml:space="preserve"> révélation (foi naissante en Galilée</w:t>
      </w:r>
      <w:r w:rsidR="00E65435">
        <w:rPr>
          <w:rFonts w:eastAsia="Arial Unicode MS"/>
          <w:bCs/>
          <w:lang w:eastAsia="fr-FR" w:bidi="he-IL"/>
        </w:rPr>
        <w:t xml:space="preserve">, </w:t>
      </w:r>
      <w:r w:rsidRPr="00C8701B">
        <w:rPr>
          <w:rFonts w:eastAsia="Arial Unicode MS"/>
          <w:bCs/>
          <w:lang w:eastAsia="fr-FR" w:bidi="he-IL"/>
        </w:rPr>
        <w:t>vive opposition à Jérusalem</w:t>
      </w:r>
      <w:r w:rsidR="00E65435">
        <w:rPr>
          <w:rFonts w:eastAsia="Arial Unicode MS"/>
          <w:bCs/>
          <w:lang w:eastAsia="fr-FR" w:bidi="he-IL"/>
        </w:rPr>
        <w:t xml:space="preserve">, </w:t>
      </w:r>
      <w:r w:rsidRPr="00C8701B">
        <w:rPr>
          <w:rFonts w:eastAsia="Arial Unicode MS"/>
          <w:bCs/>
          <w:lang w:eastAsia="fr-FR" w:bidi="he-IL"/>
        </w:rPr>
        <w:t>emprisonnement du Précurseur et retraite de Jésus en Galilée).</w:t>
      </w:r>
      <w:r w:rsidR="00C2602D" w:rsidRPr="00C8701B">
        <w:rPr>
          <w:rFonts w:eastAsia="Arial Unicode MS"/>
          <w:bCs/>
          <w:lang w:eastAsia="fr-FR" w:bidi="he-IL"/>
        </w:rPr>
        <w:t xml:space="preserve"> </w:t>
      </w:r>
      <w:r w:rsidR="000716BB" w:rsidRPr="000716BB">
        <w:rPr>
          <w:rFonts w:eastAsia="Arial Unicode MS"/>
          <w:bCs/>
          <w:lang w:eastAsia="fr-FR" w:bidi="he-IL"/>
        </w:rPr>
        <w:t>{</w:t>
      </w:r>
      <w:r w:rsidR="000716BB">
        <w:rPr>
          <w:rFonts w:eastAsia="Arial Unicode MS"/>
          <w:bCs/>
          <w:lang w:eastAsia="fr-FR" w:bidi="he-IL"/>
        </w:rPr>
        <w:t>21</w:t>
      </w:r>
      <w:bookmarkStart w:id="39" w:name="pag021"/>
      <w:bookmarkEnd w:id="39"/>
      <w:r w:rsidR="000716BB" w:rsidRPr="000716BB">
        <w:rPr>
          <w:rFonts w:eastAsia="Arial Unicode MS"/>
          <w:bCs/>
          <w:lang w:eastAsia="fr-FR" w:bidi="he-IL"/>
        </w:rPr>
        <w:t>}</w:t>
      </w:r>
    </w:p>
    <w:p w:rsidR="00C2602D" w:rsidRPr="00C8701B" w:rsidRDefault="00B704AD" w:rsidP="00C215A6">
      <w:pPr>
        <w:rPr>
          <w:rFonts w:eastAsia="Arial Unicode MS"/>
          <w:bCs/>
          <w:lang w:eastAsia="fr-FR" w:bidi="he-IL"/>
        </w:rPr>
      </w:pPr>
      <w:r w:rsidRPr="00DC4586">
        <w:rPr>
          <w:rStyle w:val="italicus"/>
        </w:rPr>
        <w:t>Livre second</w:t>
      </w:r>
      <w:r w:rsidR="00C2602D" w:rsidRPr="00DC4586">
        <w:rPr>
          <w:rStyle w:val="italicus"/>
        </w:rPr>
        <w:t> :</w:t>
      </w:r>
      <w:r w:rsidRPr="00C8701B">
        <w:rPr>
          <w:rFonts w:eastAsia="Arial Unicode MS"/>
          <w:bCs/>
          <w:lang w:eastAsia="fr-FR" w:bidi="he-IL"/>
        </w:rPr>
        <w:t xml:space="preserve"> Période de création en Galilée.</w:t>
      </w:r>
      <w:r w:rsidR="000F7DAA">
        <w:rPr>
          <w:rFonts w:eastAsia="Arial Unicode MS"/>
          <w:bCs/>
          <w:lang w:eastAsia="fr-FR" w:bidi="he-IL"/>
        </w:rPr>
        <w:t xml:space="preserve"> —</w:t>
      </w:r>
      <w:r w:rsidR="008D0642">
        <w:rPr>
          <w:rFonts w:eastAsia="Arial Unicode MS"/>
          <w:bCs/>
          <w:lang w:eastAsia="fr-FR" w:bidi="he-IL"/>
        </w:rPr>
        <w:t xml:space="preserve"> </w:t>
      </w:r>
      <w:r w:rsidR="00C215A6">
        <w:rPr>
          <w:rFonts w:eastAsia="Arial Unicode MS"/>
          <w:bCs/>
          <w:lang w:eastAsia="fr-FR" w:bidi="he-IL"/>
        </w:rPr>
        <w:t>Section I</w:t>
      </w:r>
      <w:r w:rsidR="00C2602D" w:rsidRPr="00C8701B">
        <w:rPr>
          <w:rFonts w:eastAsia="Arial Unicode MS"/>
          <w:bCs/>
          <w:lang w:eastAsia="fr-FR" w:bidi="he-IL"/>
        </w:rPr>
        <w:t> :</w:t>
      </w:r>
      <w:r w:rsidRPr="00C8701B">
        <w:rPr>
          <w:rFonts w:eastAsia="Arial Unicode MS"/>
          <w:bCs/>
          <w:lang w:eastAsia="fr-FR" w:bidi="he-IL"/>
        </w:rPr>
        <w:t xml:space="preserve"> Jésus réunit les premiers éléments de son </w:t>
      </w:r>
      <w:r w:rsidR="00C8701B">
        <w:rPr>
          <w:rFonts w:eastAsia="Arial Unicode MS"/>
          <w:bCs/>
          <w:lang w:eastAsia="fr-FR" w:bidi="he-IL"/>
        </w:rPr>
        <w:t>Église</w:t>
      </w:r>
      <w:r w:rsidRPr="00C8701B">
        <w:rPr>
          <w:rFonts w:eastAsia="Arial Unicode MS"/>
          <w:bCs/>
          <w:lang w:eastAsia="fr-FR" w:bidi="he-IL"/>
        </w:rPr>
        <w:t xml:space="preserve"> (tentative infructueuse à Nazareth</w:t>
      </w:r>
      <w:r w:rsidR="00E65435">
        <w:rPr>
          <w:rFonts w:eastAsia="Arial Unicode MS"/>
          <w:bCs/>
          <w:lang w:eastAsia="fr-FR" w:bidi="he-IL"/>
        </w:rPr>
        <w:t xml:space="preserve">, </w:t>
      </w:r>
      <w:r w:rsidRPr="00C8701B">
        <w:rPr>
          <w:rFonts w:eastAsia="Arial Unicode MS"/>
          <w:bCs/>
          <w:lang w:eastAsia="fr-FR" w:bidi="he-IL"/>
        </w:rPr>
        <w:t>vocation définitive des quatre</w:t>
      </w:r>
      <w:r w:rsidR="00E65435">
        <w:rPr>
          <w:rFonts w:eastAsia="Arial Unicode MS"/>
          <w:bCs/>
          <w:lang w:eastAsia="fr-FR" w:bidi="he-IL"/>
        </w:rPr>
        <w:t xml:space="preserve">, </w:t>
      </w:r>
      <w:r w:rsidRPr="00C8701B">
        <w:rPr>
          <w:rFonts w:eastAsia="Arial Unicode MS"/>
          <w:bCs/>
          <w:lang w:eastAsia="fr-FR" w:bidi="he-IL"/>
        </w:rPr>
        <w:t xml:space="preserve">Jésus à </w:t>
      </w:r>
      <w:r w:rsidR="00C215A6">
        <w:rPr>
          <w:rFonts w:eastAsia="Arial Unicode MS"/>
          <w:bCs/>
          <w:lang w:eastAsia="fr-FR" w:bidi="he-IL"/>
        </w:rPr>
        <w:t>Capharnaüm</w:t>
      </w:r>
      <w:r w:rsidR="00E65435">
        <w:rPr>
          <w:rFonts w:eastAsia="Arial Unicode MS"/>
          <w:bCs/>
          <w:lang w:eastAsia="fr-FR" w:bidi="he-IL"/>
        </w:rPr>
        <w:t xml:space="preserve">, </w:t>
      </w:r>
      <w:r w:rsidRPr="00C8701B">
        <w:rPr>
          <w:rFonts w:eastAsia="Arial Unicode MS"/>
          <w:bCs/>
          <w:lang w:eastAsia="fr-FR" w:bidi="he-IL"/>
        </w:rPr>
        <w:t>visite aux villes voisine</w:t>
      </w:r>
      <w:r w:rsidR="00C215A6">
        <w:rPr>
          <w:rFonts w:eastAsia="Arial Unicode MS"/>
          <w:bCs/>
          <w:lang w:eastAsia="fr-FR" w:bidi="he-IL"/>
        </w:rPr>
        <w:t xml:space="preserve">s </w:t>
      </w:r>
      <w:r w:rsidRPr="00C8701B">
        <w:rPr>
          <w:rFonts w:eastAsia="Arial Unicode MS"/>
          <w:bCs/>
          <w:lang w:eastAsia="fr-FR" w:bidi="he-IL"/>
        </w:rPr>
        <w:t xml:space="preserve">retour à </w:t>
      </w:r>
      <w:r w:rsidR="00C215A6">
        <w:rPr>
          <w:rFonts w:eastAsia="Arial Unicode MS"/>
          <w:bCs/>
          <w:lang w:eastAsia="fr-FR" w:bidi="he-IL"/>
        </w:rPr>
        <w:t>Capharnaüm</w:t>
      </w:r>
      <w:r w:rsidR="00E65435">
        <w:rPr>
          <w:rFonts w:eastAsia="Arial Unicode MS"/>
          <w:bCs/>
          <w:lang w:eastAsia="fr-FR" w:bidi="he-IL"/>
        </w:rPr>
        <w:t xml:space="preserve">, </w:t>
      </w:r>
      <w:r w:rsidRPr="00C8701B">
        <w:rPr>
          <w:rFonts w:eastAsia="Arial Unicode MS"/>
          <w:bCs/>
          <w:lang w:eastAsia="fr-FR" w:bidi="he-IL"/>
        </w:rPr>
        <w:t>Jésus ouvre les portes de l</w:t>
      </w:r>
      <w:r w:rsidR="00557DE0">
        <w:rPr>
          <w:rFonts w:eastAsia="Arial Unicode MS"/>
          <w:bCs/>
          <w:lang w:eastAsia="fr-FR" w:bidi="he-IL"/>
        </w:rPr>
        <w:t>’</w:t>
      </w:r>
      <w:r w:rsidR="00C8701B">
        <w:rPr>
          <w:rFonts w:eastAsia="Arial Unicode MS"/>
          <w:bCs/>
          <w:lang w:eastAsia="fr-FR" w:bidi="he-IL"/>
        </w:rPr>
        <w:t>Église</w:t>
      </w:r>
      <w:r w:rsidRPr="00C8701B">
        <w:rPr>
          <w:rFonts w:eastAsia="Arial Unicode MS"/>
          <w:bCs/>
          <w:lang w:eastAsia="fr-FR" w:bidi="he-IL"/>
        </w:rPr>
        <w:t xml:space="preserve"> aux publicains</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00C215A6" w:rsidRPr="00C8701B">
        <w:rPr>
          <w:rFonts w:eastAsia="Arial Unicode MS"/>
          <w:bCs/>
          <w:lang w:eastAsia="fr-FR" w:bidi="he-IL"/>
        </w:rPr>
        <w:t>hémorroïsse</w:t>
      </w:r>
      <w:r w:rsidRPr="00C8701B">
        <w:rPr>
          <w:rFonts w:eastAsia="Arial Unicode MS"/>
          <w:bCs/>
          <w:lang w:eastAsia="fr-FR" w:bidi="he-IL"/>
        </w:rPr>
        <w:t xml:space="preserve"> et la fille de Jaïre</w:t>
      </w:r>
      <w:r w:rsidR="00E65435">
        <w:rPr>
          <w:rFonts w:eastAsia="Arial Unicode MS"/>
          <w:bCs/>
          <w:lang w:eastAsia="fr-FR" w:bidi="he-IL"/>
        </w:rPr>
        <w:t xml:space="preserve">, </w:t>
      </w:r>
      <w:r w:rsidRPr="00C8701B">
        <w:rPr>
          <w:rFonts w:eastAsia="Arial Unicode MS"/>
          <w:bCs/>
          <w:lang w:eastAsia="fr-FR" w:bidi="he-IL"/>
        </w:rPr>
        <w:t>tempête sur le lac et visite au pays de Gergésa</w:t>
      </w:r>
      <w:r w:rsidR="00E65435">
        <w:rPr>
          <w:rFonts w:eastAsia="Arial Unicode MS"/>
          <w:bCs/>
          <w:lang w:eastAsia="fr-FR" w:bidi="he-IL"/>
        </w:rPr>
        <w:t xml:space="preserve">, </w:t>
      </w:r>
      <w:r w:rsidRPr="00C8701B">
        <w:rPr>
          <w:rFonts w:eastAsia="Arial Unicode MS"/>
          <w:bCs/>
          <w:lang w:eastAsia="fr-FR" w:bidi="he-IL"/>
        </w:rPr>
        <w:t>suite des miracles qui achèvent d</w:t>
      </w:r>
      <w:r w:rsidR="00C215A6">
        <w:rPr>
          <w:rFonts w:eastAsia="Arial Unicode MS"/>
          <w:bCs/>
          <w:lang w:eastAsia="fr-FR" w:bidi="he-IL"/>
        </w:rPr>
        <w:t>e préparer les premiers éléments</w:t>
      </w:r>
      <w:r w:rsidRPr="00C8701B">
        <w:rPr>
          <w:rFonts w:eastAsia="Arial Unicode MS"/>
          <w:bCs/>
          <w:lang w:eastAsia="fr-FR" w:bidi="he-IL"/>
        </w:rPr>
        <w:t xml:space="preserve"> de l</w:t>
      </w:r>
      <w:r w:rsidR="00557DE0">
        <w:rPr>
          <w:rFonts w:eastAsia="Arial Unicode MS"/>
          <w:bCs/>
          <w:lang w:eastAsia="fr-FR" w:bidi="he-IL"/>
        </w:rPr>
        <w:t>’</w:t>
      </w:r>
      <w:r w:rsidR="00C8701B">
        <w:rPr>
          <w:rFonts w:eastAsia="Arial Unicode MS"/>
          <w:bCs/>
          <w:lang w:eastAsia="fr-FR" w:bidi="he-IL"/>
        </w:rPr>
        <w:t>Église</w:t>
      </w:r>
      <w:r w:rsidR="00E65435">
        <w:rPr>
          <w:rFonts w:eastAsia="Arial Unicode MS"/>
          <w:bCs/>
          <w:lang w:eastAsia="fr-FR" w:bidi="he-IL"/>
        </w:rPr>
        <w:t xml:space="preserve">, </w:t>
      </w:r>
      <w:r w:rsidRPr="00C8701B">
        <w:rPr>
          <w:rFonts w:eastAsia="Arial Unicode MS"/>
          <w:bCs/>
          <w:lang w:eastAsia="fr-FR" w:bidi="he-IL"/>
        </w:rPr>
        <w:t>visite à Nazaret</w:t>
      </w:r>
      <w:r w:rsidR="00C215A6">
        <w:rPr>
          <w:rFonts w:eastAsia="Arial Unicode MS"/>
          <w:bCs/>
          <w:lang w:eastAsia="fr-FR" w:bidi="he-IL"/>
        </w:rPr>
        <w:t>h et à Naïm</w:t>
      </w:r>
      <w:r w:rsidR="00E65435">
        <w:rPr>
          <w:rFonts w:eastAsia="Arial Unicode MS"/>
          <w:bCs/>
          <w:lang w:eastAsia="fr-FR" w:bidi="he-IL"/>
        </w:rPr>
        <w:t xml:space="preserve">, </w:t>
      </w:r>
      <w:r w:rsidRPr="00C8701B">
        <w:rPr>
          <w:rFonts w:eastAsia="Arial Unicode MS"/>
          <w:bCs/>
          <w:lang w:eastAsia="fr-FR" w:bidi="he-IL"/>
        </w:rPr>
        <w:t>les envoyés de Jean-Baptiste</w:t>
      </w:r>
      <w:r w:rsidR="00E65435">
        <w:rPr>
          <w:rFonts w:eastAsia="Arial Unicode MS"/>
          <w:bCs/>
          <w:lang w:eastAsia="fr-FR" w:bidi="he-IL"/>
        </w:rPr>
        <w:t xml:space="preserve">, </w:t>
      </w:r>
      <w:r w:rsidRPr="00C8701B">
        <w:rPr>
          <w:rFonts w:eastAsia="Arial Unicode MS"/>
          <w:bCs/>
          <w:lang w:eastAsia="fr-FR" w:bidi="he-IL"/>
        </w:rPr>
        <w:t xml:space="preserve">choix des douze </w:t>
      </w:r>
      <w:r w:rsidR="00C215A6" w:rsidRPr="00C8701B">
        <w:rPr>
          <w:rFonts w:eastAsia="Arial Unicode MS"/>
          <w:bCs/>
          <w:lang w:eastAsia="fr-FR" w:bidi="he-IL"/>
        </w:rPr>
        <w:t>apôtres</w:t>
      </w:r>
      <w:r w:rsidRPr="00C8701B">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 xml:space="preserve">Section </w:t>
      </w:r>
      <w:r w:rsidR="00906914">
        <w:rPr>
          <w:rFonts w:eastAsia="Arial Unicode MS"/>
          <w:bCs/>
          <w:lang w:val="el-GR" w:eastAsia="fr-FR" w:bidi="he-IL"/>
        </w:rPr>
        <w:t>II</w:t>
      </w:r>
      <w:r w:rsidR="00C2602D" w:rsidRPr="00C8701B">
        <w:rPr>
          <w:rFonts w:eastAsia="Arial Unicode MS"/>
          <w:bCs/>
          <w:lang w:val="el-GR" w:eastAsia="fr-FR" w:bidi="he-IL"/>
        </w:rPr>
        <w:t> :</w:t>
      </w:r>
      <w:r w:rsidRPr="00C8701B">
        <w:rPr>
          <w:rFonts w:eastAsia="Arial Unicode MS"/>
          <w:bCs/>
          <w:lang w:eastAsia="fr-FR" w:bidi="he-IL"/>
        </w:rPr>
        <w:t xml:space="preserve"> Jésus-Christ instruit son </w:t>
      </w:r>
      <w:r w:rsidR="00C8701B">
        <w:rPr>
          <w:rFonts w:eastAsia="Arial Unicode MS"/>
          <w:bCs/>
          <w:lang w:eastAsia="fr-FR" w:bidi="he-IL"/>
        </w:rPr>
        <w:t>Église</w:t>
      </w:r>
      <w:r w:rsidRPr="00C8701B">
        <w:rPr>
          <w:rFonts w:eastAsia="Arial Unicode MS"/>
          <w:bCs/>
          <w:lang w:eastAsia="fr-FR" w:bidi="he-IL"/>
        </w:rPr>
        <w:t xml:space="preserve"> (le discours sur la montagne</w:t>
      </w:r>
      <w:r w:rsidR="00E65435">
        <w:rPr>
          <w:rFonts w:eastAsia="Arial Unicode MS"/>
          <w:bCs/>
          <w:lang w:eastAsia="fr-FR" w:bidi="he-IL"/>
        </w:rPr>
        <w:t xml:space="preserve">, </w:t>
      </w:r>
      <w:r w:rsidRPr="00C8701B">
        <w:rPr>
          <w:rFonts w:eastAsia="Arial Unicode MS"/>
          <w:bCs/>
          <w:lang w:eastAsia="fr-FR" w:bidi="he-IL"/>
        </w:rPr>
        <w:t>la pécheresse chez Simon le Pharisien</w:t>
      </w:r>
      <w:r w:rsidR="00E65435">
        <w:rPr>
          <w:rFonts w:eastAsia="Arial Unicode MS"/>
          <w:bCs/>
          <w:lang w:eastAsia="fr-FR" w:bidi="he-IL"/>
        </w:rPr>
        <w:t xml:space="preserve">, </w:t>
      </w:r>
      <w:r w:rsidRPr="00C8701B">
        <w:rPr>
          <w:rFonts w:eastAsia="Arial Unicode MS"/>
          <w:bCs/>
          <w:lang w:eastAsia="fr-FR" w:bidi="he-IL"/>
        </w:rPr>
        <w:t>polémique avec les Pharisiens</w:t>
      </w:r>
      <w:r w:rsidR="00E65435">
        <w:rPr>
          <w:rFonts w:eastAsia="Arial Unicode MS"/>
          <w:bCs/>
          <w:lang w:eastAsia="fr-FR" w:bidi="he-IL"/>
        </w:rPr>
        <w:t xml:space="preserve">, </w:t>
      </w:r>
      <w:r w:rsidRPr="00C8701B">
        <w:rPr>
          <w:rFonts w:eastAsia="Arial Unicode MS"/>
          <w:bCs/>
          <w:lang w:eastAsia="fr-FR" w:bidi="he-IL"/>
        </w:rPr>
        <w:t>les paraboles</w:t>
      </w:r>
      <w:r w:rsidR="00C215A6">
        <w:rPr>
          <w:rFonts w:eastAsia="Arial Unicode MS"/>
          <w:bCs/>
          <w:lang w:eastAsia="fr-FR" w:bidi="he-IL"/>
        </w:rPr>
        <w:t xml:space="preserve"> </w:t>
      </w:r>
      <w:r w:rsidRPr="00C8701B">
        <w:rPr>
          <w:rFonts w:eastAsia="Arial Unicode MS"/>
          <w:bCs/>
          <w:lang w:eastAsia="fr-FR" w:bidi="he-IL"/>
        </w:rPr>
        <w:t>aux bords du lac</w:t>
      </w:r>
      <w:r w:rsidR="00E65435">
        <w:rPr>
          <w:rFonts w:eastAsia="Arial Unicode MS"/>
          <w:bCs/>
          <w:lang w:eastAsia="fr-FR" w:bidi="he-IL"/>
        </w:rPr>
        <w:t xml:space="preserve">, </w:t>
      </w:r>
      <w:r w:rsidRPr="00C8701B">
        <w:rPr>
          <w:rFonts w:eastAsia="Arial Unicode MS"/>
          <w:bCs/>
          <w:lang w:eastAsia="fr-FR" w:bidi="he-IL"/>
        </w:rPr>
        <w:t>la mission des Douze).</w:t>
      </w:r>
      <w:r w:rsidR="000F7DAA">
        <w:rPr>
          <w:rFonts w:eastAsia="Arial Unicode MS"/>
          <w:bCs/>
          <w:lang w:eastAsia="fr-FR" w:bidi="he-IL"/>
        </w:rPr>
        <w:t xml:space="preserve"> —</w:t>
      </w:r>
      <w:r w:rsidR="008D0642">
        <w:rPr>
          <w:rFonts w:eastAsia="Arial Unicode MS"/>
          <w:bCs/>
          <w:lang w:eastAsia="fr-FR" w:bidi="he-IL"/>
        </w:rPr>
        <w:t xml:space="preserve"> </w:t>
      </w:r>
      <w:r w:rsidR="00C215A6">
        <w:rPr>
          <w:rFonts w:eastAsia="Arial Unicode MS"/>
          <w:bCs/>
          <w:lang w:eastAsia="fr-FR" w:bidi="he-IL"/>
        </w:rPr>
        <w:t>Section III</w:t>
      </w:r>
      <w:r w:rsidR="00C2602D" w:rsidRPr="00C8701B">
        <w:rPr>
          <w:rFonts w:eastAsia="Arial Unicode MS"/>
          <w:bCs/>
          <w:lang w:eastAsia="fr-FR" w:bidi="he-IL"/>
        </w:rPr>
        <w:t> :</w:t>
      </w:r>
      <w:r w:rsidRPr="00C8701B">
        <w:rPr>
          <w:rFonts w:eastAsia="Arial Unicode MS"/>
          <w:bCs/>
          <w:lang w:eastAsia="fr-FR" w:bidi="he-IL"/>
        </w:rPr>
        <w:t xml:space="preserve"> Jésus-aguerrit son </w:t>
      </w:r>
      <w:r w:rsidR="00C8701B">
        <w:rPr>
          <w:rFonts w:eastAsia="Arial Unicode MS"/>
          <w:bCs/>
          <w:lang w:eastAsia="fr-FR" w:bidi="he-IL"/>
        </w:rPr>
        <w:t>Église</w:t>
      </w:r>
      <w:r w:rsidRPr="00C8701B">
        <w:rPr>
          <w:rFonts w:eastAsia="Arial Unicode MS"/>
          <w:bCs/>
          <w:lang w:eastAsia="fr-FR" w:bidi="he-IL"/>
        </w:rPr>
        <w:t xml:space="preserve"> (Hérode a fait tuer Jean-Baptiste</w:t>
      </w:r>
      <w:r w:rsidR="00E65435">
        <w:rPr>
          <w:rFonts w:eastAsia="Arial Unicode MS"/>
          <w:bCs/>
          <w:lang w:eastAsia="fr-FR" w:bidi="he-IL"/>
        </w:rPr>
        <w:t xml:space="preserve">, </w:t>
      </w:r>
      <w:r w:rsidRPr="00C8701B">
        <w:rPr>
          <w:rFonts w:eastAsia="Arial Unicode MS"/>
          <w:bCs/>
          <w:lang w:eastAsia="fr-FR" w:bidi="he-IL"/>
        </w:rPr>
        <w:t>Jésus multiplie les pains</w:t>
      </w:r>
      <w:r w:rsidR="00E65435">
        <w:rPr>
          <w:rFonts w:eastAsia="Arial Unicode MS"/>
          <w:bCs/>
          <w:lang w:eastAsia="fr-FR" w:bidi="he-IL"/>
        </w:rPr>
        <w:t xml:space="preserve">, </w:t>
      </w:r>
      <w:r w:rsidRPr="00C8701B">
        <w:rPr>
          <w:rFonts w:eastAsia="Arial Unicode MS"/>
          <w:bCs/>
          <w:lang w:eastAsia="fr-FR" w:bidi="he-IL"/>
        </w:rPr>
        <w:t>et marche sur les eaux</w:t>
      </w:r>
      <w:r w:rsidR="00E65435">
        <w:rPr>
          <w:rFonts w:eastAsia="Arial Unicode MS"/>
          <w:bCs/>
          <w:lang w:eastAsia="fr-FR" w:bidi="he-IL"/>
        </w:rPr>
        <w:t xml:space="preserve">, </w:t>
      </w:r>
      <w:r w:rsidRPr="00C8701B">
        <w:rPr>
          <w:rFonts w:eastAsia="Arial Unicode MS"/>
          <w:bCs/>
          <w:lang w:eastAsia="fr-FR" w:bidi="he-IL"/>
        </w:rPr>
        <w:t>discours du pain de vie</w:t>
      </w:r>
      <w:r w:rsidR="00E65435">
        <w:rPr>
          <w:rFonts w:eastAsia="Arial Unicode MS"/>
          <w:bCs/>
          <w:lang w:eastAsia="fr-FR" w:bidi="he-IL"/>
        </w:rPr>
        <w:t xml:space="preserve">, </w:t>
      </w:r>
      <w:r w:rsidRPr="00C8701B">
        <w:rPr>
          <w:rFonts w:eastAsia="Arial Unicode MS"/>
          <w:bCs/>
          <w:lang w:eastAsia="fr-FR" w:bidi="he-IL"/>
        </w:rPr>
        <w:t>les Pharisiens reprennent l</w:t>
      </w:r>
      <w:r w:rsidR="00557DE0">
        <w:rPr>
          <w:rFonts w:eastAsia="Arial Unicode MS"/>
          <w:bCs/>
          <w:lang w:eastAsia="fr-FR" w:bidi="he-IL"/>
        </w:rPr>
        <w:t>’</w:t>
      </w:r>
      <w:r w:rsidRPr="00C8701B">
        <w:rPr>
          <w:rFonts w:eastAsia="Arial Unicode MS"/>
          <w:bCs/>
          <w:lang w:eastAsia="fr-FR" w:bidi="he-IL"/>
        </w:rPr>
        <w:t>offensive</w:t>
      </w:r>
      <w:r w:rsidR="00E65435">
        <w:rPr>
          <w:rFonts w:eastAsia="Arial Unicode MS"/>
          <w:bCs/>
          <w:lang w:eastAsia="fr-FR" w:bidi="he-IL"/>
        </w:rPr>
        <w:t xml:space="preserve">, </w:t>
      </w:r>
      <w:r w:rsidR="00C215A6">
        <w:rPr>
          <w:rFonts w:eastAsia="Arial Unicode MS"/>
          <w:bCs/>
          <w:lang w:eastAsia="fr-FR" w:bidi="he-IL"/>
        </w:rPr>
        <w:t>Jésus se retire vers</w:t>
      </w:r>
      <w:r w:rsidRPr="00C8701B">
        <w:rPr>
          <w:rFonts w:eastAsia="Arial Unicode MS"/>
          <w:bCs/>
          <w:lang w:eastAsia="fr-FR" w:bidi="he-IL"/>
        </w:rPr>
        <w:t xml:space="preserve"> la frontière phénicienne</w:t>
      </w:r>
      <w:r w:rsidR="00E65435">
        <w:rPr>
          <w:rFonts w:eastAsia="Arial Unicode MS"/>
          <w:bCs/>
          <w:lang w:eastAsia="fr-FR" w:bidi="he-IL"/>
        </w:rPr>
        <w:t xml:space="preserve">, </w:t>
      </w:r>
      <w:r w:rsidR="00116664">
        <w:rPr>
          <w:rFonts w:eastAsia="Arial Unicode MS"/>
          <w:bCs/>
          <w:lang w:eastAsia="fr-FR" w:bidi="he-IL"/>
        </w:rPr>
        <w:t>v</w:t>
      </w:r>
      <w:r w:rsidR="00116664" w:rsidRPr="00C8701B">
        <w:rPr>
          <w:rFonts w:eastAsia="Arial Unicode MS"/>
          <w:bCs/>
          <w:lang w:eastAsia="fr-FR" w:bidi="he-IL"/>
        </w:rPr>
        <w:t>oyage</w:t>
      </w:r>
      <w:r w:rsidRPr="00C8701B">
        <w:rPr>
          <w:rFonts w:eastAsia="Arial Unicode MS"/>
          <w:bCs/>
          <w:lang w:eastAsia="fr-FR" w:bidi="he-IL"/>
        </w:rPr>
        <w:t xml:space="preserve"> à Césarée de Philippe</w:t>
      </w:r>
      <w:r w:rsidR="00E65435">
        <w:rPr>
          <w:rFonts w:eastAsia="Arial Unicode MS"/>
          <w:bCs/>
          <w:lang w:eastAsia="fr-FR" w:bidi="he-IL"/>
        </w:rPr>
        <w:t xml:space="preserve">, </w:t>
      </w:r>
      <w:r w:rsidR="00116664">
        <w:rPr>
          <w:rFonts w:eastAsia="Arial Unicode MS"/>
          <w:bCs/>
          <w:lang w:eastAsia="fr-FR" w:bidi="he-IL"/>
        </w:rPr>
        <w:t>la</w:t>
      </w:r>
      <w:r w:rsidRPr="00C8701B">
        <w:rPr>
          <w:rFonts w:eastAsia="Arial Unicode MS"/>
          <w:bCs/>
          <w:lang w:eastAsia="fr-FR" w:bidi="he-IL"/>
        </w:rPr>
        <w:t xml:space="preserve"> transfiguration</w:t>
      </w:r>
      <w:r w:rsidR="00E65435">
        <w:rPr>
          <w:rFonts w:eastAsia="Arial Unicode MS"/>
          <w:bCs/>
          <w:lang w:eastAsia="fr-FR" w:bidi="he-IL"/>
        </w:rPr>
        <w:t xml:space="preserve">, </w:t>
      </w:r>
      <w:r w:rsidRPr="00C8701B">
        <w:rPr>
          <w:rFonts w:eastAsia="Arial Unicode MS"/>
          <w:bCs/>
          <w:lang w:eastAsia="fr-FR" w:bidi="he-IL"/>
        </w:rPr>
        <w:t xml:space="preserve">dernière apparition à </w:t>
      </w:r>
      <w:r w:rsidR="00C215A6">
        <w:rPr>
          <w:rFonts w:eastAsia="Arial Unicode MS"/>
          <w:bCs/>
          <w:lang w:eastAsia="fr-FR" w:bidi="he-IL"/>
        </w:rPr>
        <w:t>Capharnaüm</w:t>
      </w:r>
      <w:r w:rsidR="00E65435">
        <w:rPr>
          <w:rFonts w:eastAsia="Arial Unicode MS"/>
          <w:bCs/>
          <w:lang w:eastAsia="fr-FR" w:bidi="he-IL"/>
        </w:rPr>
        <w:t xml:space="preserve">, </w:t>
      </w:r>
      <w:r w:rsidR="00C215A6">
        <w:rPr>
          <w:rFonts w:eastAsia="Arial Unicode MS"/>
          <w:bCs/>
          <w:lang w:eastAsia="fr-FR" w:bidi="he-IL"/>
        </w:rPr>
        <w:t xml:space="preserve">fin du ministère </w:t>
      </w:r>
      <w:r w:rsidR="00116664">
        <w:rPr>
          <w:rFonts w:eastAsia="Arial Unicode MS"/>
          <w:bCs/>
          <w:lang w:eastAsia="fr-FR" w:bidi="he-IL"/>
        </w:rPr>
        <w:t>galiléen</w:t>
      </w:r>
      <w:r w:rsidR="00C215A6">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C215A6" w:rsidP="00C2602D">
      <w:pPr>
        <w:rPr>
          <w:rFonts w:eastAsia="Arial Unicode MS"/>
          <w:bCs/>
          <w:lang w:eastAsia="fr-FR" w:bidi="he-IL"/>
        </w:rPr>
      </w:pPr>
      <w:r>
        <w:rPr>
          <w:rStyle w:val="italicus"/>
        </w:rPr>
        <w:t>Livr</w:t>
      </w:r>
      <w:r w:rsidR="00B704AD" w:rsidRPr="00DC4586">
        <w:rPr>
          <w:rStyle w:val="italicus"/>
        </w:rPr>
        <w:t>e troisième</w:t>
      </w:r>
      <w:r w:rsidR="00C2602D" w:rsidRPr="00DC4586">
        <w:rPr>
          <w:rStyle w:val="italicus"/>
        </w:rPr>
        <w:t> :</w:t>
      </w:r>
      <w:r w:rsidR="00B704AD" w:rsidRPr="00C8701B">
        <w:rPr>
          <w:rFonts w:eastAsia="Arial Unicode MS"/>
          <w:bCs/>
          <w:lang w:eastAsia="fr-FR" w:bidi="he-IL"/>
        </w:rPr>
        <w:t xml:space="preserve"> Période de combat en Judée</w:t>
      </w:r>
      <w:r w:rsidR="00B35391">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Pr>
          <w:rFonts w:eastAsia="Arial Unicode MS"/>
          <w:bCs/>
          <w:lang w:eastAsia="fr-FR" w:bidi="he-IL"/>
        </w:rPr>
        <w:t>Section I</w:t>
      </w:r>
      <w:r w:rsidR="00C2602D" w:rsidRPr="00C8701B">
        <w:rPr>
          <w:rFonts w:eastAsia="Arial Unicode MS"/>
          <w:bCs/>
          <w:lang w:eastAsia="fr-FR" w:bidi="he-IL"/>
        </w:rPr>
        <w:t> :</w:t>
      </w:r>
      <w:r w:rsidR="00B704AD" w:rsidRPr="00C8701B">
        <w:rPr>
          <w:rFonts w:eastAsia="Arial Unicode MS"/>
          <w:bCs/>
          <w:lang w:eastAsia="fr-FR" w:bidi="he-IL"/>
        </w:rPr>
        <w:t xml:space="preserve"> première lutte à la fête des Tabernacles (Jésus quitte la Galilée pour paraître au milieu de ses ennemis</w:t>
      </w:r>
      <w:r w:rsidR="00E65435">
        <w:rPr>
          <w:rFonts w:eastAsia="Arial Unicode MS"/>
          <w:bCs/>
          <w:lang w:eastAsia="fr-FR" w:bidi="he-IL"/>
        </w:rPr>
        <w:t xml:space="preserve">, </w:t>
      </w:r>
      <w:r w:rsidR="00B704AD" w:rsidRPr="00C8701B">
        <w:rPr>
          <w:rFonts w:eastAsia="Arial Unicode MS"/>
          <w:bCs/>
          <w:lang w:eastAsia="fr-FR" w:bidi="he-IL"/>
        </w:rPr>
        <w:t>son apparition subite à Jérusalem et ses discours pendant la fête</w:t>
      </w:r>
      <w:r w:rsidR="00E65435">
        <w:rPr>
          <w:rFonts w:eastAsia="Arial Unicode MS"/>
          <w:bCs/>
          <w:lang w:eastAsia="fr-FR" w:bidi="he-IL"/>
        </w:rPr>
        <w:t xml:space="preserve">, </w:t>
      </w:r>
      <w:r w:rsidR="00B704AD" w:rsidRPr="00C8701B">
        <w:rPr>
          <w:rFonts w:eastAsia="Arial Unicode MS"/>
          <w:bCs/>
          <w:lang w:eastAsia="fr-FR" w:bidi="he-IL"/>
        </w:rPr>
        <w:t>la femme adultère</w:t>
      </w:r>
      <w:r w:rsidR="00E65435">
        <w:rPr>
          <w:rFonts w:eastAsia="Arial Unicode MS"/>
          <w:bCs/>
          <w:lang w:eastAsia="fr-FR" w:bidi="he-IL"/>
        </w:rPr>
        <w:t xml:space="preserve">, </w:t>
      </w:r>
      <w:r w:rsidR="00B704AD" w:rsidRPr="00C8701B">
        <w:rPr>
          <w:rFonts w:eastAsia="Arial Unicode MS"/>
          <w:bCs/>
          <w:lang w:eastAsia="fr-FR" w:bidi="he-IL"/>
        </w:rPr>
        <w:t>l</w:t>
      </w:r>
      <w:r w:rsidR="00557DE0">
        <w:rPr>
          <w:rFonts w:eastAsia="Arial Unicode MS"/>
          <w:bCs/>
          <w:lang w:eastAsia="fr-FR" w:bidi="he-IL"/>
        </w:rPr>
        <w:t>’</w:t>
      </w:r>
      <w:r w:rsidR="00B704AD" w:rsidRPr="00C8701B">
        <w:rPr>
          <w:rFonts w:eastAsia="Arial Unicode MS"/>
          <w:bCs/>
          <w:lang w:eastAsia="fr-FR" w:bidi="he-IL"/>
        </w:rPr>
        <w:t>aveugle-né</w:t>
      </w:r>
      <w:r w:rsidR="00E65435">
        <w:rPr>
          <w:rFonts w:eastAsia="Arial Unicode MS"/>
          <w:bCs/>
          <w:lang w:eastAsia="fr-FR" w:bidi="he-IL"/>
        </w:rPr>
        <w:t xml:space="preserve">, </w:t>
      </w:r>
      <w:r w:rsidR="00B704AD" w:rsidRPr="00C8701B">
        <w:rPr>
          <w:rFonts w:eastAsia="Arial Unicode MS"/>
          <w:bCs/>
          <w:lang w:eastAsia="fr-FR" w:bidi="he-IL"/>
        </w:rPr>
        <w:t>le Christ et son troupeau</w:t>
      </w:r>
      <w:r w:rsidR="00E65435">
        <w:rPr>
          <w:rFonts w:eastAsia="Arial Unicode MS"/>
          <w:bCs/>
          <w:lang w:eastAsia="fr-FR" w:bidi="he-IL"/>
        </w:rPr>
        <w:t xml:space="preserve">, </w:t>
      </w:r>
      <w:r w:rsidR="00B704AD" w:rsidRPr="00C8701B">
        <w:rPr>
          <w:rFonts w:eastAsia="Arial Unicode MS"/>
          <w:bCs/>
          <w:lang w:eastAsia="fr-FR" w:bidi="he-IL"/>
        </w:rPr>
        <w:t>chez Marthe et Marie</w:t>
      </w:r>
      <w:r w:rsidR="00E65435">
        <w:rPr>
          <w:rFonts w:eastAsia="Arial Unicode MS"/>
          <w:bCs/>
          <w:lang w:eastAsia="fr-FR" w:bidi="he-IL"/>
        </w:rPr>
        <w:t xml:space="preserve">, </w:t>
      </w:r>
      <w:r w:rsidR="00B704AD" w:rsidRPr="00C8701B">
        <w:rPr>
          <w:rFonts w:eastAsia="Arial Unicode MS"/>
          <w:bCs/>
          <w:lang w:eastAsia="fr-FR" w:bidi="he-IL"/>
        </w:rPr>
        <w:t>plusieurs leçons de sagesse).</w:t>
      </w:r>
      <w:r w:rsidR="000F7DAA">
        <w:rPr>
          <w:rFonts w:eastAsia="Arial Unicode MS"/>
          <w:bCs/>
          <w:lang w:eastAsia="fr-FR" w:bidi="he-IL"/>
        </w:rPr>
        <w:t xml:space="preserve"> —</w:t>
      </w:r>
      <w:r w:rsidR="008D0642">
        <w:rPr>
          <w:rFonts w:eastAsia="Arial Unicode MS"/>
          <w:bCs/>
          <w:lang w:eastAsia="fr-FR" w:bidi="he-IL"/>
        </w:rPr>
        <w:t xml:space="preserve"> </w:t>
      </w:r>
      <w:r>
        <w:rPr>
          <w:rFonts w:eastAsia="Arial Unicode MS"/>
          <w:bCs/>
          <w:lang w:eastAsia="fr-FR" w:bidi="he-IL"/>
        </w:rPr>
        <w:t>Section II</w:t>
      </w:r>
      <w:r w:rsidR="00C2602D" w:rsidRPr="00C8701B">
        <w:rPr>
          <w:rFonts w:eastAsia="Arial Unicode MS"/>
          <w:bCs/>
          <w:lang w:eastAsia="fr-FR" w:bidi="he-IL"/>
        </w:rPr>
        <w:t> :</w:t>
      </w:r>
      <w:r w:rsidR="00B704AD" w:rsidRPr="00C8701B">
        <w:rPr>
          <w:rFonts w:eastAsia="Arial Unicode MS"/>
          <w:bCs/>
          <w:lang w:eastAsia="fr-FR" w:bidi="he-IL"/>
        </w:rPr>
        <w:t xml:space="preserve"> nouvelle lutte à la fête de la Dédicace (Jésus à Jérusalem à l</w:t>
      </w:r>
      <w:r w:rsidR="00557DE0">
        <w:rPr>
          <w:rFonts w:eastAsia="Arial Unicode MS"/>
          <w:bCs/>
          <w:lang w:eastAsia="fr-FR" w:bidi="he-IL"/>
        </w:rPr>
        <w:t>’</w:t>
      </w:r>
      <w:r w:rsidR="00B704AD" w:rsidRPr="00C8701B">
        <w:rPr>
          <w:rFonts w:eastAsia="Arial Unicode MS"/>
          <w:bCs/>
          <w:lang w:eastAsia="fr-FR" w:bidi="he-IL"/>
        </w:rPr>
        <w:t>occasion de cette solennité</w:t>
      </w:r>
      <w:r w:rsidR="00E65435">
        <w:rPr>
          <w:rFonts w:eastAsia="Arial Unicode MS"/>
          <w:bCs/>
          <w:lang w:eastAsia="fr-FR" w:bidi="he-IL"/>
        </w:rPr>
        <w:t xml:space="preserve">, </w:t>
      </w:r>
      <w:r w:rsidR="00B704AD" w:rsidRPr="00C8701B">
        <w:rPr>
          <w:rFonts w:eastAsia="Arial Unicode MS"/>
          <w:bCs/>
          <w:lang w:eastAsia="fr-FR" w:bidi="he-IL"/>
        </w:rPr>
        <w:t>voyage en Pérée</w:t>
      </w:r>
      <w:r w:rsidR="00E65435">
        <w:rPr>
          <w:rFonts w:eastAsia="Arial Unicode MS"/>
          <w:bCs/>
          <w:lang w:eastAsia="fr-FR" w:bidi="he-IL"/>
        </w:rPr>
        <w:t xml:space="preserve">, </w:t>
      </w:r>
      <w:r w:rsidR="00B704AD" w:rsidRPr="00C8701B">
        <w:rPr>
          <w:rFonts w:eastAsia="Arial Unicode MS"/>
          <w:bCs/>
          <w:lang w:eastAsia="fr-FR" w:bidi="he-IL"/>
        </w:rPr>
        <w:t>résurrection de Lazare</w:t>
      </w:r>
      <w:r w:rsidR="00E65435">
        <w:rPr>
          <w:rFonts w:eastAsia="Arial Unicode MS"/>
          <w:bCs/>
          <w:lang w:eastAsia="fr-FR" w:bidi="he-IL"/>
        </w:rPr>
        <w:t xml:space="preserve">, </w:t>
      </w:r>
      <w:r w:rsidR="00B704AD" w:rsidRPr="00C8701B">
        <w:rPr>
          <w:rFonts w:eastAsia="Arial Unicode MS"/>
          <w:bCs/>
          <w:lang w:eastAsia="fr-FR" w:bidi="he-IL"/>
        </w:rPr>
        <w:t xml:space="preserve">retraite à </w:t>
      </w:r>
      <w:r w:rsidR="00116664" w:rsidRPr="00C8701B">
        <w:rPr>
          <w:rFonts w:eastAsia="Arial Unicode MS"/>
          <w:bCs/>
          <w:lang w:eastAsia="fr-FR" w:bidi="he-IL"/>
        </w:rPr>
        <w:t>Ephrém</w:t>
      </w:r>
      <w:r w:rsidR="00E65435">
        <w:rPr>
          <w:rFonts w:eastAsia="Arial Unicode MS"/>
          <w:bCs/>
          <w:lang w:eastAsia="fr-FR" w:bidi="he-IL"/>
        </w:rPr>
        <w:t xml:space="preserve">, </w:t>
      </w:r>
      <w:r w:rsidR="00B704AD" w:rsidRPr="00C8701B">
        <w:rPr>
          <w:rFonts w:eastAsia="Arial Unicode MS"/>
          <w:bCs/>
          <w:lang w:eastAsia="fr-FR" w:bidi="he-IL"/>
        </w:rPr>
        <w:t>mission des soixante-douze disciples</w:t>
      </w:r>
      <w:r w:rsidR="00E65435">
        <w:rPr>
          <w:rFonts w:eastAsia="Arial Unicode MS"/>
          <w:bCs/>
          <w:lang w:eastAsia="fr-FR" w:bidi="he-IL"/>
        </w:rPr>
        <w:t xml:space="preserve">, </w:t>
      </w:r>
      <w:r w:rsidR="00B704AD" w:rsidRPr="00C8701B">
        <w:rPr>
          <w:rFonts w:eastAsia="Arial Unicode MS"/>
          <w:bCs/>
          <w:lang w:eastAsia="fr-FR" w:bidi="he-IL"/>
        </w:rPr>
        <w:t>divers enseignements du Sauveur).</w:t>
      </w:r>
      <w:r w:rsidR="000F7DAA">
        <w:rPr>
          <w:rFonts w:eastAsia="Arial Unicode MS"/>
          <w:bCs/>
          <w:lang w:eastAsia="fr-FR" w:bidi="he-IL"/>
        </w:rPr>
        <w:t xml:space="preserve"> —</w:t>
      </w:r>
      <w:r w:rsidR="008D0642">
        <w:rPr>
          <w:rFonts w:eastAsia="Arial Unicode MS"/>
          <w:bCs/>
          <w:lang w:eastAsia="fr-FR" w:bidi="he-IL"/>
        </w:rPr>
        <w:t xml:space="preserve"> </w:t>
      </w:r>
      <w:r w:rsidR="00116664">
        <w:rPr>
          <w:rFonts w:eastAsia="Arial Unicode MS"/>
          <w:bCs/>
          <w:lang w:eastAsia="fr-FR" w:bidi="he-IL"/>
        </w:rPr>
        <w:t>Section</w:t>
      </w:r>
      <w:r>
        <w:rPr>
          <w:rFonts w:eastAsia="Arial Unicode MS"/>
          <w:bCs/>
          <w:lang w:eastAsia="fr-FR" w:bidi="he-IL"/>
        </w:rPr>
        <w:t xml:space="preserve"> III</w:t>
      </w:r>
      <w:r w:rsidR="00C2602D" w:rsidRPr="00C8701B">
        <w:rPr>
          <w:rFonts w:eastAsia="Arial Unicode MS"/>
          <w:bCs/>
          <w:lang w:eastAsia="fr-FR" w:bidi="he-IL"/>
        </w:rPr>
        <w:t> :</w:t>
      </w:r>
      <w:r w:rsidR="00B704AD" w:rsidRPr="00C8701B">
        <w:rPr>
          <w:rFonts w:eastAsia="Arial Unicode MS"/>
          <w:bCs/>
          <w:lang w:eastAsia="fr-FR" w:bidi="he-IL"/>
        </w:rPr>
        <w:t xml:space="preserve"> le dernier voyage à Jérusalem pour la fête pascale (Jéricho</w:t>
      </w:r>
      <w:r w:rsidR="00E65435">
        <w:rPr>
          <w:rFonts w:eastAsia="Arial Unicode MS"/>
          <w:bCs/>
          <w:lang w:eastAsia="fr-FR" w:bidi="he-IL"/>
        </w:rPr>
        <w:t xml:space="preserve">, </w:t>
      </w:r>
      <w:r w:rsidR="00B704AD" w:rsidRPr="00C8701B">
        <w:rPr>
          <w:rFonts w:eastAsia="Arial Unicode MS"/>
          <w:bCs/>
          <w:lang w:eastAsia="fr-FR" w:bidi="he-IL"/>
        </w:rPr>
        <w:t>station à Béthanie</w:t>
      </w:r>
      <w:r w:rsidR="00E65435">
        <w:rPr>
          <w:rFonts w:eastAsia="Arial Unicode MS"/>
          <w:bCs/>
          <w:lang w:eastAsia="fr-FR" w:bidi="he-IL"/>
        </w:rPr>
        <w:t xml:space="preserve">, </w:t>
      </w:r>
      <w:r w:rsidR="00B704AD" w:rsidRPr="00C8701B">
        <w:rPr>
          <w:rFonts w:eastAsia="Arial Unicode MS"/>
          <w:bCs/>
          <w:lang w:eastAsia="fr-FR" w:bidi="he-IL"/>
        </w:rPr>
        <w:t>l</w:t>
      </w:r>
      <w:r w:rsidR="00557DE0">
        <w:rPr>
          <w:rFonts w:eastAsia="Arial Unicode MS"/>
          <w:bCs/>
          <w:lang w:eastAsia="fr-FR" w:bidi="he-IL"/>
        </w:rPr>
        <w:t>’</w:t>
      </w:r>
      <w:r w:rsidR="00B704AD" w:rsidRPr="00C8701B">
        <w:rPr>
          <w:rFonts w:eastAsia="Arial Unicode MS"/>
          <w:bCs/>
          <w:lang w:eastAsia="fr-FR" w:bidi="he-IL"/>
        </w:rPr>
        <w:t>entrée triomphale à Jérusalem</w:t>
      </w:r>
      <w:r w:rsidR="00E65435">
        <w:rPr>
          <w:rFonts w:eastAsia="Arial Unicode MS"/>
          <w:bCs/>
          <w:lang w:eastAsia="fr-FR" w:bidi="he-IL"/>
        </w:rPr>
        <w:t xml:space="preserve">, </w:t>
      </w:r>
      <w:r w:rsidR="00B704AD" w:rsidRPr="00C8701B">
        <w:rPr>
          <w:rFonts w:eastAsia="Arial Unicode MS"/>
          <w:bCs/>
          <w:lang w:eastAsia="fr-FR" w:bidi="he-IL"/>
        </w:rPr>
        <w:t>le lundi saint</w:t>
      </w:r>
      <w:r w:rsidR="00E65435">
        <w:rPr>
          <w:rFonts w:eastAsia="Arial Unicode MS"/>
          <w:bCs/>
          <w:lang w:eastAsia="fr-FR" w:bidi="he-IL"/>
        </w:rPr>
        <w:t xml:space="preserve">, </w:t>
      </w:r>
      <w:r w:rsidR="00B704AD" w:rsidRPr="00C8701B">
        <w:rPr>
          <w:rFonts w:eastAsia="Arial Unicode MS"/>
          <w:bCs/>
          <w:lang w:eastAsia="fr-FR" w:bidi="he-IL"/>
        </w:rPr>
        <w:t>le mardi saint</w:t>
      </w:r>
      <w:r w:rsidR="00E65435">
        <w:rPr>
          <w:rFonts w:eastAsia="Arial Unicode MS"/>
          <w:bCs/>
          <w:lang w:eastAsia="fr-FR" w:bidi="he-IL"/>
        </w:rPr>
        <w:t xml:space="preserve">, </w:t>
      </w:r>
      <w:r w:rsidR="00B704AD" w:rsidRPr="00C8701B">
        <w:rPr>
          <w:rFonts w:eastAsia="Arial Unicode MS"/>
          <w:bCs/>
          <w:lang w:eastAsia="fr-FR" w:bidi="he-IL"/>
        </w:rPr>
        <w:t>le grand discours prophétique</w:t>
      </w:r>
      <w:r w:rsidR="00E65435">
        <w:rPr>
          <w:rFonts w:eastAsia="Arial Unicode MS"/>
          <w:bCs/>
          <w:lang w:eastAsia="fr-FR" w:bidi="he-IL"/>
        </w:rPr>
        <w:t xml:space="preserve">, </w:t>
      </w:r>
      <w:r>
        <w:rPr>
          <w:rFonts w:eastAsia="Arial Unicode MS"/>
          <w:bCs/>
          <w:lang w:eastAsia="fr-FR" w:bidi="he-IL"/>
        </w:rPr>
        <w:t>l</w:t>
      </w:r>
      <w:r w:rsidR="00B704AD" w:rsidRPr="00C8701B">
        <w:rPr>
          <w:rFonts w:eastAsia="Arial Unicode MS"/>
          <w:bCs/>
          <w:lang w:eastAsia="fr-FR" w:bidi="he-IL"/>
        </w:rPr>
        <w:t>e résultat final des missions de Jésus).</w:t>
      </w:r>
      <w:r w:rsidR="00C2602D" w:rsidRPr="00C8701B">
        <w:rPr>
          <w:rFonts w:eastAsia="Arial Unicode MS"/>
          <w:bCs/>
          <w:lang w:eastAsia="fr-FR" w:bidi="he-IL"/>
        </w:rPr>
        <w:t xml:space="preserve"> </w:t>
      </w:r>
    </w:p>
    <w:p w:rsidR="00C2602D" w:rsidRPr="00C8701B" w:rsidRDefault="00B704AD" w:rsidP="00C215A6">
      <w:pPr>
        <w:rPr>
          <w:rFonts w:eastAsia="Arial Unicode MS"/>
          <w:bCs/>
          <w:lang w:eastAsia="fr-FR" w:bidi="he-IL"/>
        </w:rPr>
      </w:pPr>
      <w:r w:rsidRPr="00C8701B">
        <w:rPr>
          <w:rFonts w:eastAsia="Arial Unicode MS"/>
          <w:bCs/>
          <w:lang w:eastAsia="fr-FR" w:bidi="he-IL"/>
        </w:rPr>
        <w:t>III</w:t>
      </w:r>
      <w:r w:rsidRPr="00C8701B">
        <w:rPr>
          <w:rFonts w:eastAsia="Arial Unicode MS"/>
          <w:bCs/>
          <w:vertAlign w:val="superscript"/>
          <w:lang w:eastAsia="fr-FR" w:bidi="he-IL"/>
        </w:rPr>
        <w:t>e</w:t>
      </w:r>
      <w:r w:rsidRPr="00C8701B">
        <w:rPr>
          <w:rFonts w:eastAsia="Arial Unicode MS"/>
          <w:bCs/>
          <w:lang w:eastAsia="fr-FR" w:bidi="he-IL"/>
        </w:rPr>
        <w:t xml:space="preserve"> Partie.</w:t>
      </w:r>
      <w:r w:rsidR="000F7DAA">
        <w:rPr>
          <w:rFonts w:eastAsia="Arial Unicode MS"/>
          <w:bCs/>
          <w:lang w:eastAsia="fr-FR" w:bidi="he-IL"/>
        </w:rPr>
        <w:t xml:space="preserve"> —</w:t>
      </w:r>
      <w:r w:rsidR="008D0642">
        <w:rPr>
          <w:rFonts w:eastAsia="Arial Unicode MS"/>
          <w:bCs/>
          <w:lang w:eastAsia="fr-FR" w:bidi="he-IL"/>
        </w:rPr>
        <w:t xml:space="preserve"> </w:t>
      </w:r>
      <w:r w:rsidRPr="00DC4586">
        <w:rPr>
          <w:rStyle w:val="italicus"/>
        </w:rPr>
        <w:t>Livre premier</w:t>
      </w:r>
      <w:r w:rsidR="00C2602D" w:rsidRPr="00DC4586">
        <w:rPr>
          <w:rStyle w:val="italicus"/>
        </w:rPr>
        <w:t> :</w:t>
      </w:r>
      <w:r w:rsidRPr="00C8701B">
        <w:rPr>
          <w:rFonts w:eastAsia="Arial Unicode MS"/>
          <w:bCs/>
          <w:lang w:eastAsia="fr-FR" w:bidi="he-IL"/>
        </w:rPr>
        <w:t xml:space="preserve"> la mort.</w:t>
      </w:r>
      <w:r w:rsidR="000F7DAA">
        <w:rPr>
          <w:rFonts w:eastAsia="Arial Unicode MS"/>
          <w:bCs/>
          <w:lang w:eastAsia="fr-FR" w:bidi="he-IL"/>
        </w:rPr>
        <w:t xml:space="preserve"> —</w:t>
      </w:r>
      <w:r w:rsidR="008D0642">
        <w:rPr>
          <w:rFonts w:eastAsia="Arial Unicode MS"/>
          <w:bCs/>
          <w:lang w:eastAsia="fr-FR" w:bidi="he-IL"/>
        </w:rPr>
        <w:t xml:space="preserve"> </w:t>
      </w:r>
      <w:r w:rsidR="00C215A6">
        <w:rPr>
          <w:rFonts w:eastAsia="Arial Unicode MS"/>
          <w:bCs/>
          <w:lang w:eastAsia="fr-FR" w:bidi="he-IL"/>
        </w:rPr>
        <w:t>Section I</w:t>
      </w:r>
      <w:r w:rsidR="00C2602D" w:rsidRPr="00C8701B">
        <w:rPr>
          <w:rFonts w:eastAsia="Arial Unicode MS"/>
          <w:bCs/>
          <w:lang w:eastAsia="fr-FR" w:bidi="he-IL"/>
        </w:rPr>
        <w:t> :</w:t>
      </w:r>
      <w:r w:rsidRPr="00C8701B">
        <w:rPr>
          <w:rFonts w:eastAsia="Arial Unicode MS"/>
          <w:bCs/>
          <w:lang w:eastAsia="fr-FR" w:bidi="he-IL"/>
        </w:rPr>
        <w:t xml:space="preserve"> les préliminaires de la fin (Juda propose au sanhédrin de lui livrer Jésus</w:t>
      </w:r>
      <w:r w:rsidR="00E65435">
        <w:rPr>
          <w:rFonts w:eastAsia="Arial Unicode MS"/>
          <w:bCs/>
          <w:lang w:eastAsia="fr-FR" w:bidi="he-IL"/>
        </w:rPr>
        <w:t xml:space="preserve">, </w:t>
      </w:r>
      <w:r w:rsidRPr="00C8701B">
        <w:rPr>
          <w:rFonts w:eastAsia="Arial Unicode MS"/>
          <w:bCs/>
          <w:lang w:eastAsia="fr-FR" w:bidi="he-IL"/>
        </w:rPr>
        <w:t>la dernière cène</w:t>
      </w:r>
      <w:r w:rsidR="00E65435">
        <w:rPr>
          <w:rFonts w:eastAsia="Arial Unicode MS"/>
          <w:bCs/>
          <w:lang w:eastAsia="fr-FR" w:bidi="he-IL"/>
        </w:rPr>
        <w:t xml:space="preserve">, </w:t>
      </w:r>
      <w:r w:rsidRPr="00C8701B">
        <w:rPr>
          <w:rFonts w:eastAsia="Arial Unicode MS"/>
          <w:bCs/>
          <w:lang w:eastAsia="fr-FR" w:bidi="he-IL"/>
        </w:rPr>
        <w:t>discours d</w:t>
      </w:r>
      <w:r w:rsidR="00557DE0">
        <w:rPr>
          <w:rFonts w:eastAsia="Arial Unicode MS"/>
          <w:bCs/>
          <w:lang w:eastAsia="fr-FR" w:bidi="he-IL"/>
        </w:rPr>
        <w:t>’</w:t>
      </w:r>
      <w:r w:rsidRPr="00C8701B">
        <w:rPr>
          <w:rFonts w:eastAsia="Arial Unicode MS"/>
          <w:bCs/>
          <w:lang w:eastAsia="fr-FR" w:bidi="he-IL"/>
        </w:rPr>
        <w:t>adieu</w:t>
      </w:r>
      <w:r w:rsidR="00E65435">
        <w:rPr>
          <w:rFonts w:eastAsia="Arial Unicode MS"/>
          <w:bCs/>
          <w:lang w:eastAsia="fr-FR" w:bidi="he-IL"/>
        </w:rPr>
        <w:t xml:space="preserve">, </w:t>
      </w:r>
      <w:r w:rsidRPr="00C8701B">
        <w:rPr>
          <w:rFonts w:eastAsia="Arial Unicode MS"/>
          <w:bCs/>
          <w:lang w:eastAsia="fr-FR" w:bidi="he-IL"/>
        </w:rPr>
        <w:t>la prière de Jésus).</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 xml:space="preserve">Section </w:t>
      </w:r>
      <w:r w:rsidR="00906914">
        <w:rPr>
          <w:rFonts w:eastAsia="Arial Unicode MS"/>
          <w:bCs/>
          <w:lang w:val="el-GR" w:eastAsia="fr-FR" w:bidi="he-IL"/>
        </w:rPr>
        <w:t>II</w:t>
      </w:r>
      <w:r w:rsidR="00C2602D" w:rsidRPr="00C8701B">
        <w:rPr>
          <w:rFonts w:eastAsia="Arial Unicode MS"/>
          <w:bCs/>
          <w:lang w:val="el-GR" w:eastAsia="fr-FR" w:bidi="he-IL"/>
        </w:rPr>
        <w:t> :</w:t>
      </w:r>
      <w:r w:rsidRPr="00C8701B">
        <w:rPr>
          <w:rFonts w:eastAsia="Arial Unicode MS"/>
          <w:bCs/>
          <w:lang w:eastAsia="fr-FR" w:bidi="he-IL"/>
        </w:rPr>
        <w:t xml:space="preserve"> le procès du Messi</w:t>
      </w:r>
      <w:r w:rsidR="00C215A6">
        <w:rPr>
          <w:rFonts w:eastAsia="Arial Unicode MS"/>
          <w:bCs/>
          <w:lang w:eastAsia="fr-FR" w:bidi="he-IL"/>
        </w:rPr>
        <w:t xml:space="preserve">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agonie à Gethsémani</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arrestation de Jésus</w:t>
      </w:r>
      <w:r w:rsidR="00E65435">
        <w:rPr>
          <w:rFonts w:eastAsia="Arial Unicode MS"/>
          <w:bCs/>
          <w:lang w:eastAsia="fr-FR" w:bidi="he-IL"/>
        </w:rPr>
        <w:t xml:space="preserve">, </w:t>
      </w:r>
      <w:r w:rsidRPr="00C8701B">
        <w:rPr>
          <w:rFonts w:eastAsia="Arial Unicode MS"/>
          <w:bCs/>
          <w:lang w:eastAsia="fr-FR" w:bidi="he-IL"/>
        </w:rPr>
        <w:t>la procédure religieuse</w:t>
      </w:r>
      <w:r w:rsidR="00E65435">
        <w:rPr>
          <w:rFonts w:eastAsia="Arial Unicode MS"/>
          <w:bCs/>
          <w:lang w:eastAsia="fr-FR" w:bidi="he-IL"/>
        </w:rPr>
        <w:t xml:space="preserve">, </w:t>
      </w:r>
      <w:r w:rsidRPr="00C8701B">
        <w:rPr>
          <w:rFonts w:eastAsia="Arial Unicode MS"/>
          <w:bCs/>
          <w:lang w:eastAsia="fr-FR" w:bidi="he-IL"/>
        </w:rPr>
        <w:t>le procès civil).</w:t>
      </w:r>
      <w:r w:rsidR="000F7DAA">
        <w:rPr>
          <w:rFonts w:eastAsia="Arial Unicode MS"/>
          <w:bCs/>
          <w:lang w:eastAsia="fr-FR" w:bidi="he-IL"/>
        </w:rPr>
        <w:t xml:space="preserve"> —</w:t>
      </w:r>
      <w:r w:rsidR="008D0642">
        <w:rPr>
          <w:rFonts w:eastAsia="Arial Unicode MS"/>
          <w:bCs/>
          <w:lang w:eastAsia="fr-FR" w:bidi="he-IL"/>
        </w:rPr>
        <w:t xml:space="preserve"> </w:t>
      </w:r>
      <w:r w:rsidR="00C215A6">
        <w:rPr>
          <w:rFonts w:eastAsia="Arial Unicode MS"/>
          <w:bCs/>
          <w:lang w:eastAsia="fr-FR" w:bidi="he-IL"/>
        </w:rPr>
        <w:t>Section III</w:t>
      </w:r>
      <w:r w:rsidR="00C2602D" w:rsidRPr="00C8701B">
        <w:rPr>
          <w:rFonts w:eastAsia="Arial Unicode MS"/>
          <w:bCs/>
          <w:lang w:eastAsia="fr-FR" w:bidi="he-IL"/>
        </w:rPr>
        <w:t> :</w:t>
      </w:r>
      <w:r w:rsidRPr="00C8701B">
        <w:rPr>
          <w:rFonts w:eastAsia="Arial Unicode MS"/>
          <w:bCs/>
          <w:lang w:eastAsia="fr-FR" w:bidi="he-IL"/>
        </w:rPr>
        <w:t xml:space="preserve"> la catastrophe (Jésus est supplicié</w:t>
      </w:r>
      <w:r w:rsidR="00E65435">
        <w:rPr>
          <w:rFonts w:eastAsia="Arial Unicode MS"/>
          <w:bCs/>
          <w:lang w:eastAsia="fr-FR" w:bidi="he-IL"/>
        </w:rPr>
        <w:t xml:space="preserve">, </w:t>
      </w:r>
      <w:r w:rsidRPr="00C8701B">
        <w:rPr>
          <w:rFonts w:eastAsia="Arial Unicode MS"/>
          <w:bCs/>
          <w:lang w:eastAsia="fr-FR" w:bidi="he-IL"/>
        </w:rPr>
        <w:t>Jésus est enseveli).</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DC4586">
        <w:rPr>
          <w:rStyle w:val="italicus"/>
        </w:rPr>
        <w:t>Livre second</w:t>
      </w:r>
      <w:r w:rsidR="00C2602D" w:rsidRPr="00DC4586">
        <w:rPr>
          <w:rStyle w:val="italicus"/>
        </w:rPr>
        <w:t> :</w:t>
      </w:r>
      <w:r w:rsidRPr="00C8701B">
        <w:rPr>
          <w:rFonts w:eastAsia="Arial Unicode MS"/>
          <w:bCs/>
          <w:lang w:eastAsia="fr-FR" w:bidi="he-IL"/>
        </w:rPr>
        <w:t xml:space="preserve"> la vie (le jour de la résurrection</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octave de la résurrection</w:t>
      </w:r>
      <w:r w:rsidR="00E65435">
        <w:rPr>
          <w:rFonts w:eastAsia="Arial Unicode MS"/>
          <w:bCs/>
          <w:lang w:eastAsia="fr-FR" w:bidi="he-IL"/>
        </w:rPr>
        <w:t xml:space="preserve">, </w:t>
      </w:r>
      <w:r w:rsidRPr="00C8701B">
        <w:rPr>
          <w:rFonts w:eastAsia="Arial Unicode MS"/>
          <w:bCs/>
          <w:lang w:eastAsia="fr-FR" w:bidi="he-IL"/>
        </w:rPr>
        <w:t>apparition de Jésus sur les bords du lac de Tibériade</w:t>
      </w:r>
      <w:r w:rsidR="00E65435">
        <w:rPr>
          <w:rFonts w:eastAsia="Arial Unicode MS"/>
          <w:bCs/>
          <w:lang w:eastAsia="fr-FR" w:bidi="he-IL"/>
        </w:rPr>
        <w:t xml:space="preserve">, </w:t>
      </w:r>
      <w:r w:rsidR="00C215A6">
        <w:rPr>
          <w:rFonts w:eastAsia="Arial Unicode MS"/>
          <w:bCs/>
          <w:lang w:eastAsia="fr-FR" w:bidi="he-IL"/>
        </w:rPr>
        <w:t xml:space="preserve">manifestation de Jésus à </w:t>
      </w:r>
      <w:r w:rsidRPr="00C8701B">
        <w:rPr>
          <w:rFonts w:eastAsia="Arial Unicode MS"/>
          <w:bCs/>
          <w:lang w:eastAsia="fr-FR" w:bidi="he-IL"/>
        </w:rPr>
        <w:t>l</w:t>
      </w:r>
      <w:r w:rsidR="00557DE0">
        <w:rPr>
          <w:rFonts w:eastAsia="Arial Unicode MS"/>
          <w:bCs/>
          <w:lang w:eastAsia="fr-FR" w:bidi="he-IL"/>
        </w:rPr>
        <w:t>’</w:t>
      </w:r>
      <w:r w:rsidR="00C8701B">
        <w:rPr>
          <w:rFonts w:eastAsia="Arial Unicode MS"/>
          <w:bCs/>
          <w:lang w:eastAsia="fr-FR" w:bidi="he-IL"/>
        </w:rPr>
        <w:t>Église</w:t>
      </w:r>
      <w:r w:rsidRPr="00C8701B">
        <w:rPr>
          <w:rFonts w:eastAsia="Arial Unicode MS"/>
          <w:bCs/>
          <w:lang w:eastAsia="fr-FR" w:bidi="he-IL"/>
        </w:rPr>
        <w:t xml:space="preserve"> naissante).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DC4586">
        <w:rPr>
          <w:rStyle w:val="italicus"/>
        </w:rPr>
        <w:t>Livre troisième</w:t>
      </w:r>
      <w:r w:rsidR="00C2602D" w:rsidRPr="00DC4586">
        <w:rPr>
          <w:rStyle w:val="italicus"/>
        </w:rPr>
        <w:t> :</w:t>
      </w:r>
      <w:r w:rsidRPr="00C8701B">
        <w:rPr>
          <w:rFonts w:eastAsia="Arial Unicode MS"/>
          <w:bCs/>
          <w:lang w:eastAsia="fr-FR" w:bidi="he-IL"/>
        </w:rPr>
        <w:t xml:space="preserve"> la gloire (l</w:t>
      </w:r>
      <w:r w:rsidR="00557DE0">
        <w:rPr>
          <w:rFonts w:eastAsia="Arial Unicode MS"/>
          <w:bCs/>
          <w:lang w:eastAsia="fr-FR" w:bidi="he-IL"/>
        </w:rPr>
        <w:t>’</w:t>
      </w:r>
      <w:r w:rsidRPr="00C8701B">
        <w:rPr>
          <w:rFonts w:eastAsia="Arial Unicode MS"/>
          <w:bCs/>
          <w:lang w:eastAsia="fr-FR" w:bidi="he-IL"/>
        </w:rPr>
        <w:t>Ascension).</w:t>
      </w:r>
      <w:r w:rsidR="00C2602D" w:rsidRPr="00C8701B">
        <w:rPr>
          <w:rFonts w:eastAsia="Arial Unicode MS"/>
          <w:bCs/>
          <w:lang w:eastAsia="fr-FR" w:bidi="he-IL"/>
        </w:rPr>
        <w:t xml:space="preserve"> </w:t>
      </w:r>
    </w:p>
    <w:p w:rsidR="00C2602D" w:rsidRPr="00C8701B" w:rsidRDefault="00B704AD" w:rsidP="00C215A6">
      <w:pPr>
        <w:rPr>
          <w:rFonts w:eastAsia="Arial Unicode MS"/>
          <w:bCs/>
          <w:lang w:eastAsia="fr-FR" w:bidi="he-IL"/>
        </w:rPr>
      </w:pPr>
      <w:r w:rsidRPr="00C8701B">
        <w:rPr>
          <w:rFonts w:eastAsia="Arial Unicode MS"/>
          <w:bCs/>
          <w:lang w:eastAsia="fr-FR" w:bidi="he-IL"/>
        </w:rPr>
        <w:t>5° Un coup d</w:t>
      </w:r>
      <w:r w:rsidR="00557DE0">
        <w:rPr>
          <w:rFonts w:eastAsia="Arial Unicode MS"/>
          <w:bCs/>
          <w:lang w:eastAsia="fr-FR" w:bidi="he-IL"/>
        </w:rPr>
        <w:t>’</w:t>
      </w:r>
      <w:r w:rsidR="00C215A6">
        <w:rPr>
          <w:rFonts w:eastAsia="Arial Unicode MS"/>
          <w:bCs/>
          <w:lang w:eastAsia="fr-FR" w:bidi="he-IL"/>
        </w:rPr>
        <w:t>œil jeté ·sur</w:t>
      </w:r>
      <w:r w:rsidRPr="00C8701B">
        <w:rPr>
          <w:rFonts w:eastAsia="Arial Unicode MS"/>
          <w:bCs/>
          <w:lang w:eastAsia="fr-FR" w:bidi="he-IL"/>
        </w:rPr>
        <w:t xml:space="preserve"> notre</w:t>
      </w:r>
      <w:r w:rsidR="00C215A6">
        <w:rPr>
          <w:rStyle w:val="italicus"/>
        </w:rPr>
        <w:t xml:space="preserve"> Synopsis </w:t>
      </w:r>
      <w:r w:rsidR="00116664">
        <w:rPr>
          <w:rStyle w:val="italicus"/>
        </w:rPr>
        <w:t>evangéli</w:t>
      </w:r>
      <w:r w:rsidR="00116664" w:rsidRPr="00DC4586">
        <w:rPr>
          <w:rStyle w:val="italicus"/>
        </w:rPr>
        <w:t>ca</w:t>
      </w:r>
      <w:r w:rsidR="00E65435">
        <w:rPr>
          <w:rStyle w:val="italicus"/>
        </w:rPr>
        <w:t xml:space="preserve">, </w:t>
      </w:r>
      <w:r w:rsidRPr="00C8701B">
        <w:rPr>
          <w:rFonts w:eastAsia="Arial Unicode MS"/>
          <w:bCs/>
          <w:lang w:eastAsia="fr-FR" w:bidi="he-IL"/>
        </w:rPr>
        <w:t>ou sur l</w:t>
      </w:r>
      <w:r w:rsidR="00557DE0">
        <w:rPr>
          <w:rFonts w:eastAsia="Arial Unicode MS"/>
          <w:bCs/>
          <w:lang w:eastAsia="fr-FR" w:bidi="he-IL"/>
        </w:rPr>
        <w:t>’</w:t>
      </w:r>
      <w:r w:rsidRPr="00C8701B">
        <w:rPr>
          <w:rFonts w:eastAsia="Arial Unicode MS"/>
          <w:bCs/>
          <w:lang w:eastAsia="fr-FR" w:bidi="he-IL"/>
        </w:rPr>
        <w:t>harmonie évangélique qui termine ce Volume</w:t>
      </w:r>
      <w:r w:rsidR="00E65435">
        <w:rPr>
          <w:rFonts w:eastAsia="Arial Unicode MS"/>
          <w:bCs/>
          <w:lang w:eastAsia="fr-FR" w:bidi="he-IL"/>
        </w:rPr>
        <w:t xml:space="preserve">, </w:t>
      </w:r>
      <w:r w:rsidRPr="00C8701B">
        <w:rPr>
          <w:rFonts w:eastAsia="Arial Unicode MS"/>
          <w:bCs/>
          <w:lang w:eastAsia="fr-FR" w:bidi="he-IL"/>
        </w:rPr>
        <w:t>montrera les points sur lesquels nous sommes d</w:t>
      </w:r>
      <w:r w:rsidR="00557DE0">
        <w:rPr>
          <w:rFonts w:eastAsia="Arial Unicode MS"/>
          <w:bCs/>
          <w:lang w:eastAsia="fr-FR" w:bidi="he-IL"/>
        </w:rPr>
        <w:t>’</w:t>
      </w:r>
      <w:r w:rsidR="00116664" w:rsidRPr="00C8701B">
        <w:rPr>
          <w:rFonts w:eastAsia="Arial Unicode MS"/>
          <w:bCs/>
          <w:lang w:eastAsia="fr-FR" w:bidi="he-IL"/>
        </w:rPr>
        <w:t>accord</w:t>
      </w:r>
      <w:r w:rsidR="00E65435">
        <w:rPr>
          <w:rFonts w:eastAsia="Arial Unicode MS"/>
          <w:bCs/>
          <w:lang w:eastAsia="fr-FR" w:bidi="he-IL"/>
        </w:rPr>
        <w:t xml:space="preserve">, </w:t>
      </w:r>
      <w:r w:rsidRPr="00C8701B">
        <w:rPr>
          <w:rFonts w:eastAsia="Arial Unicode MS"/>
          <w:bCs/>
          <w:lang w:eastAsia="fr-FR" w:bidi="he-IL"/>
        </w:rPr>
        <w:t>ou en désaccord</w:t>
      </w:r>
      <w:r w:rsidR="00E65435">
        <w:rPr>
          <w:rFonts w:eastAsia="Arial Unicode MS"/>
          <w:bCs/>
          <w:lang w:eastAsia="fr-FR" w:bidi="he-IL"/>
        </w:rPr>
        <w:t xml:space="preserve">, </w:t>
      </w:r>
      <w:r w:rsidRPr="00C8701B">
        <w:rPr>
          <w:rFonts w:eastAsia="Arial Unicode MS"/>
          <w:bCs/>
          <w:lang w:eastAsia="fr-FR" w:bidi="he-IL"/>
        </w:rPr>
        <w:t>avec ces savants auteurs. Sans entrer ici dans des</w:t>
      </w:r>
      <w:r w:rsidR="00E65435">
        <w:rPr>
          <w:rFonts w:eastAsia="Arial Unicode MS"/>
          <w:bCs/>
          <w:lang w:eastAsia="fr-FR" w:bidi="he-IL"/>
        </w:rPr>
        <w:t xml:space="preserve">, </w:t>
      </w:r>
      <w:r w:rsidRPr="00C8701B">
        <w:rPr>
          <w:rFonts w:eastAsia="Arial Unicode MS"/>
          <w:bCs/>
          <w:lang w:eastAsia="fr-FR" w:bidi="he-IL"/>
        </w:rPr>
        <w:t>détails</w:t>
      </w:r>
      <w:r w:rsidR="00E65435">
        <w:rPr>
          <w:rFonts w:eastAsia="Arial Unicode MS"/>
          <w:bCs/>
          <w:lang w:eastAsia="fr-FR" w:bidi="he-IL"/>
        </w:rPr>
        <w:t xml:space="preserve">, </w:t>
      </w:r>
      <w:r w:rsidRPr="00C8701B">
        <w:rPr>
          <w:rFonts w:eastAsia="Arial Unicode MS"/>
          <w:bCs/>
          <w:lang w:eastAsia="fr-FR" w:bidi="he-IL"/>
        </w:rPr>
        <w:t>qui</w:t>
      </w:r>
      <w:r w:rsidR="00E65435">
        <w:rPr>
          <w:rFonts w:eastAsia="Arial Unicode MS"/>
          <w:bCs/>
          <w:lang w:eastAsia="fr-FR" w:bidi="he-IL"/>
        </w:rPr>
        <w:t xml:space="preserve">, </w:t>
      </w:r>
      <w:r w:rsidRPr="00C8701B">
        <w:rPr>
          <w:rFonts w:eastAsia="Arial Unicode MS"/>
          <w:bCs/>
          <w:lang w:eastAsia="fr-FR" w:bidi="he-IL"/>
        </w:rPr>
        <w:t>q</w:t>
      </w:r>
      <w:r w:rsidR="00C215A6">
        <w:rPr>
          <w:rFonts w:eastAsia="Arial Unicode MS"/>
          <w:bCs/>
          <w:lang w:eastAsia="fr-FR" w:bidi="he-IL"/>
        </w:rPr>
        <w:t>uoique t</w:t>
      </w:r>
      <w:r w:rsidRPr="00C8701B">
        <w:rPr>
          <w:rFonts w:eastAsia="Arial Unicode MS"/>
          <w:bCs/>
          <w:lang w:eastAsia="fr-FR" w:bidi="he-IL"/>
        </w:rPr>
        <w:t>rès intéressants</w:t>
      </w:r>
      <w:r w:rsidR="00E65435">
        <w:rPr>
          <w:rFonts w:eastAsia="Arial Unicode MS"/>
          <w:bCs/>
          <w:lang w:eastAsia="fr-FR" w:bidi="he-IL"/>
        </w:rPr>
        <w:t xml:space="preserve">, </w:t>
      </w:r>
      <w:r w:rsidRPr="00C8701B">
        <w:rPr>
          <w:rFonts w:eastAsia="Arial Unicode MS"/>
          <w:bCs/>
          <w:lang w:eastAsia="fr-FR" w:bidi="he-IL"/>
        </w:rPr>
        <w:t>nous conduiraient trop loin</w:t>
      </w:r>
      <w:r w:rsidR="00B907E8">
        <w:rPr>
          <w:rStyle w:val="Appelnotedebasdep"/>
          <w:rFonts w:eastAsia="Arial Unicode MS"/>
          <w:bCs/>
          <w:lang w:eastAsia="fr-FR" w:bidi="he-IL"/>
        </w:rPr>
        <w:footnoteReference w:id="116"/>
      </w:r>
      <w:r w:rsidR="00E65435">
        <w:rPr>
          <w:rFonts w:eastAsia="Arial Unicode MS"/>
          <w:bCs/>
          <w:lang w:eastAsia="fr-FR" w:bidi="he-IL"/>
        </w:rPr>
        <w:t xml:space="preserve">, </w:t>
      </w:r>
      <w:r w:rsidRPr="00C8701B">
        <w:rPr>
          <w:rFonts w:eastAsia="Arial Unicode MS"/>
          <w:bCs/>
          <w:lang w:eastAsia="fr-FR" w:bidi="he-IL"/>
        </w:rPr>
        <w:t>nous nous contenterons de présenter à notre tour un plan général.</w:t>
      </w:r>
      <w:r w:rsidR="00C2602D" w:rsidRPr="00C8701B">
        <w:rPr>
          <w:rFonts w:eastAsia="Arial Unicode MS"/>
          <w:bCs/>
          <w:lang w:eastAsia="fr-FR" w:bidi="he-IL"/>
        </w:rPr>
        <w:t xml:space="preserve"> </w:t>
      </w:r>
      <w:r w:rsidR="000716BB" w:rsidRPr="000716BB">
        <w:rPr>
          <w:rFonts w:eastAsia="Arial Unicode MS"/>
          <w:bCs/>
          <w:lang w:eastAsia="fr-FR" w:bidi="he-IL"/>
        </w:rPr>
        <w:t>{</w:t>
      </w:r>
      <w:r w:rsidR="000716BB">
        <w:rPr>
          <w:rFonts w:eastAsia="Arial Unicode MS"/>
          <w:bCs/>
          <w:lang w:eastAsia="fr-FR" w:bidi="he-IL"/>
        </w:rPr>
        <w:t>22</w:t>
      </w:r>
      <w:bookmarkStart w:id="40" w:name="pag022"/>
      <w:bookmarkEnd w:id="40"/>
      <w:r w:rsidR="000716BB" w:rsidRPr="000716BB">
        <w:rPr>
          <w:rFonts w:eastAsia="Arial Unicode MS"/>
          <w:bCs/>
          <w:lang w:eastAsia="fr-FR" w:bidi="he-IL"/>
        </w:rPr>
        <w:t>}</w:t>
      </w:r>
    </w:p>
    <w:p w:rsidR="00C2602D" w:rsidRPr="00C8701B" w:rsidRDefault="00B704AD" w:rsidP="00C215A6">
      <w:pPr>
        <w:rPr>
          <w:rFonts w:eastAsia="Arial Unicode MS"/>
          <w:bCs/>
          <w:lang w:eastAsia="fr-FR" w:bidi="he-IL"/>
        </w:rPr>
      </w:pPr>
      <w:r w:rsidRPr="00C8701B">
        <w:rPr>
          <w:rFonts w:eastAsia="Arial Unicode MS"/>
          <w:bCs/>
          <w:lang w:eastAsia="fr-FR" w:bidi="he-IL"/>
        </w:rPr>
        <w:t>Comme tout ce qui appartient au temps</w:t>
      </w:r>
      <w:r w:rsidR="00E65435">
        <w:rPr>
          <w:rFonts w:eastAsia="Arial Unicode MS"/>
          <w:bCs/>
          <w:lang w:eastAsia="fr-FR" w:bidi="he-IL"/>
        </w:rPr>
        <w:t xml:space="preserve">, </w:t>
      </w:r>
      <w:r w:rsidRPr="00C8701B">
        <w:rPr>
          <w:rFonts w:eastAsia="Arial Unicode MS"/>
          <w:bCs/>
          <w:lang w:eastAsia="fr-FR" w:bidi="he-IL"/>
        </w:rPr>
        <w:t>la Vie de N.-S. Jésus-Christ présente trois phases distinctes</w:t>
      </w:r>
      <w:r w:rsidR="00C2602D" w:rsidRPr="00C8701B">
        <w:rPr>
          <w:rFonts w:eastAsia="Arial Unicode MS"/>
          <w:bCs/>
          <w:lang w:eastAsia="fr-FR" w:bidi="he-IL"/>
        </w:rPr>
        <w:t> :</w:t>
      </w:r>
      <w:r w:rsidRPr="00C8701B">
        <w:rPr>
          <w:rFonts w:eastAsia="Arial Unicode MS"/>
          <w:bCs/>
          <w:lang w:eastAsia="fr-FR" w:bidi="he-IL"/>
        </w:rPr>
        <w:t xml:space="preserve"> le commencement</w:t>
      </w:r>
      <w:r w:rsidR="00E65435">
        <w:rPr>
          <w:rFonts w:eastAsia="Arial Unicode MS"/>
          <w:bCs/>
          <w:lang w:eastAsia="fr-FR" w:bidi="he-IL"/>
        </w:rPr>
        <w:t xml:space="preserve">, </w:t>
      </w:r>
      <w:r w:rsidRPr="00C8701B">
        <w:rPr>
          <w:rFonts w:eastAsia="Arial Unicode MS"/>
          <w:bCs/>
          <w:lang w:eastAsia="fr-FR" w:bidi="he-IL"/>
        </w:rPr>
        <w:t>le milieu et la fin. Le commencement</w:t>
      </w:r>
      <w:r w:rsidR="00E65435">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 l</w:t>
      </w:r>
      <w:r w:rsidR="00557DE0">
        <w:rPr>
          <w:rFonts w:eastAsia="Arial Unicode MS"/>
          <w:bCs/>
          <w:lang w:eastAsia="fr-FR" w:bidi="he-IL"/>
        </w:rPr>
        <w:t>’</w:t>
      </w:r>
      <w:r w:rsidRPr="00C8701B">
        <w:rPr>
          <w:rFonts w:eastAsia="Arial Unicode MS"/>
          <w:bCs/>
          <w:lang w:eastAsia="fr-FR" w:bidi="he-IL"/>
        </w:rPr>
        <w:t>enfance et la vie cachée du Sauveur</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 milieu</w:t>
      </w:r>
      <w:r w:rsidR="00E65435">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00C215A6">
        <w:rPr>
          <w:rFonts w:eastAsia="Arial Unicode MS"/>
          <w:bCs/>
          <w:lang w:eastAsia="fr-FR" w:bidi="he-IL"/>
        </w:rPr>
        <w:t xml:space="preserve">est sa </w:t>
      </w:r>
      <w:r w:rsidRPr="00C8701B">
        <w:rPr>
          <w:rFonts w:eastAsia="Arial Unicode MS"/>
          <w:bCs/>
          <w:lang w:eastAsia="fr-FR" w:bidi="he-IL"/>
        </w:rPr>
        <w:t>vie publique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la fin</w:t>
      </w:r>
      <w:r w:rsidR="00E65435">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 sa passion et sa mort. La vie cachée est la phase la plus douce</w:t>
      </w:r>
      <w:r w:rsidR="00E65435">
        <w:rPr>
          <w:rFonts w:eastAsia="Arial Unicode MS"/>
          <w:bCs/>
          <w:lang w:eastAsia="fr-FR" w:bidi="he-IL"/>
        </w:rPr>
        <w:t xml:space="preserve">, </w:t>
      </w:r>
      <w:r w:rsidRPr="00C8701B">
        <w:rPr>
          <w:rFonts w:eastAsia="Arial Unicode MS"/>
          <w:bCs/>
          <w:lang w:eastAsia="fr-FR" w:bidi="he-IL"/>
        </w:rPr>
        <w:t>mais la moins connue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la vie publique forme la période la plus riche en événements</w:t>
      </w:r>
      <w:r w:rsidR="00E65435">
        <w:rPr>
          <w:rFonts w:eastAsia="Arial Unicode MS"/>
          <w:bCs/>
          <w:lang w:eastAsia="fr-FR" w:bidi="he-IL"/>
        </w:rPr>
        <w:t xml:space="preserve">, </w:t>
      </w:r>
      <w:r w:rsidRPr="00C8701B">
        <w:rPr>
          <w:rFonts w:eastAsia="Arial Unicode MS"/>
          <w:bCs/>
          <w:lang w:eastAsia="fr-FR" w:bidi="he-IL"/>
        </w:rPr>
        <w:t>et c</w:t>
      </w:r>
      <w:r w:rsidR="00557DE0">
        <w:rPr>
          <w:rFonts w:eastAsia="Arial Unicode MS"/>
          <w:bCs/>
          <w:lang w:eastAsia="fr-FR" w:bidi="he-IL"/>
        </w:rPr>
        <w:t>’</w:t>
      </w:r>
      <w:r w:rsidRPr="00C8701B">
        <w:rPr>
          <w:rFonts w:eastAsia="Arial Unicode MS"/>
          <w:bCs/>
          <w:lang w:eastAsia="fr-FR" w:bidi="he-IL"/>
        </w:rPr>
        <w:t>est elle qui nous apprend le mieux à comprendre le divin Maître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la passion est la phase la plus</w:t>
      </w:r>
      <w:r w:rsidR="00C2602D" w:rsidRPr="00C8701B">
        <w:rPr>
          <w:rFonts w:eastAsia="Arial Unicode MS"/>
          <w:bCs/>
          <w:lang w:eastAsia="fr-FR" w:bidi="he-IL"/>
        </w:rPr>
        <w:t xml:space="preserve"> </w:t>
      </w:r>
      <w:r w:rsidR="00C215A6">
        <w:rPr>
          <w:rFonts w:eastAsia="Arial Unicode MS"/>
          <w:bCs/>
          <w:lang w:eastAsia="fr-FR" w:bidi="he-IL"/>
        </w:rPr>
        <w:t xml:space="preserve">émouvante. </w:t>
      </w:r>
    </w:p>
    <w:p w:rsidR="00C2602D" w:rsidRPr="00C8701B" w:rsidRDefault="00B704AD" w:rsidP="00C2602D">
      <w:pPr>
        <w:rPr>
          <w:rFonts w:eastAsia="Arial Unicode MS"/>
          <w:bCs/>
          <w:lang w:eastAsia="fr-FR" w:bidi="he-IL"/>
        </w:rPr>
      </w:pPr>
      <w:r w:rsidRPr="00C8701B">
        <w:rPr>
          <w:rFonts w:eastAsia="Arial Unicode MS"/>
          <w:bCs/>
          <w:lang w:eastAsia="fr-FR" w:bidi="he-IL"/>
        </w:rPr>
        <w:t>Ou bien</w:t>
      </w:r>
      <w:r w:rsidR="00E65435">
        <w:rPr>
          <w:rFonts w:eastAsia="Arial Unicode MS"/>
          <w:bCs/>
          <w:lang w:eastAsia="fr-FR" w:bidi="he-IL"/>
        </w:rPr>
        <w:t xml:space="preserve">, </w:t>
      </w:r>
      <w:r w:rsidRPr="00C8701B">
        <w:rPr>
          <w:rFonts w:eastAsia="Arial Unicode MS"/>
          <w:bCs/>
          <w:lang w:eastAsia="fr-FR" w:bidi="he-IL"/>
        </w:rPr>
        <w:t>drame sublime</w:t>
      </w:r>
      <w:r w:rsidR="00E65435">
        <w:rPr>
          <w:rFonts w:eastAsia="Arial Unicode MS"/>
          <w:bCs/>
          <w:lang w:eastAsia="fr-FR" w:bidi="he-IL"/>
        </w:rPr>
        <w:t xml:space="preserve">, </w:t>
      </w:r>
      <w:r w:rsidRPr="00C8701B">
        <w:rPr>
          <w:rFonts w:eastAsia="Arial Unicode MS"/>
          <w:bCs/>
          <w:lang w:eastAsia="fr-FR" w:bidi="he-IL"/>
        </w:rPr>
        <w:t>qui se divise en trois actes</w:t>
      </w:r>
      <w:r w:rsidR="00C2602D" w:rsidRPr="00C8701B">
        <w:rPr>
          <w:rFonts w:eastAsia="Arial Unicode MS"/>
          <w:bCs/>
          <w:lang w:eastAsia="fr-FR" w:bidi="he-IL"/>
        </w:rPr>
        <w:t> :</w:t>
      </w:r>
      <w:r w:rsidR="009A1115">
        <w:rPr>
          <w:rFonts w:eastAsia="Arial Unicode MS"/>
          <w:bCs/>
          <w:lang w:eastAsia="fr-FR" w:bidi="he-IL"/>
        </w:rPr>
        <w:t xml:space="preserve"> l</w:t>
      </w:r>
      <w:r w:rsidR="00557DE0">
        <w:rPr>
          <w:rFonts w:eastAsia="Arial Unicode MS"/>
          <w:bCs/>
          <w:lang w:eastAsia="fr-FR" w:bidi="he-IL"/>
        </w:rPr>
        <w:t>’</w:t>
      </w:r>
      <w:r w:rsidR="00116664" w:rsidRPr="00C8701B">
        <w:rPr>
          <w:rFonts w:eastAsia="Arial Unicode MS"/>
          <w:bCs/>
          <w:lang w:eastAsia="fr-FR" w:bidi="he-IL"/>
        </w:rPr>
        <w:t>enfance</w:t>
      </w:r>
      <w:r w:rsidRPr="00C8701B">
        <w:rPr>
          <w:rFonts w:eastAsia="Arial Unicode MS"/>
          <w:bCs/>
          <w:lang w:eastAsia="fr-FR" w:bidi="he-IL"/>
        </w:rPr>
        <w:t xml:space="preserve"> et la vie cachée</w:t>
      </w:r>
      <w:r w:rsidR="00E65435">
        <w:rPr>
          <w:rFonts w:eastAsia="Arial Unicode MS"/>
          <w:bCs/>
          <w:lang w:eastAsia="fr-FR" w:bidi="he-IL"/>
        </w:rPr>
        <w:t xml:space="preserve">, </w:t>
      </w:r>
      <w:r w:rsidRPr="00C8701B">
        <w:rPr>
          <w:rFonts w:eastAsia="Arial Unicode MS"/>
          <w:bCs/>
          <w:lang w:eastAsia="fr-FR" w:bidi="he-IL"/>
        </w:rPr>
        <w:t>la vie publique</w:t>
      </w:r>
      <w:r w:rsidR="00E65435">
        <w:rPr>
          <w:rFonts w:eastAsia="Arial Unicode MS"/>
          <w:bCs/>
          <w:lang w:eastAsia="fr-FR" w:bidi="he-IL"/>
        </w:rPr>
        <w:t xml:space="preserve">, </w:t>
      </w:r>
      <w:r w:rsidRPr="00C8701B">
        <w:rPr>
          <w:rFonts w:eastAsia="Arial Unicode MS"/>
          <w:bCs/>
          <w:lang w:eastAsia="fr-FR" w:bidi="he-IL"/>
        </w:rPr>
        <w:t>la Passion</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 tout</w:t>
      </w:r>
      <w:r w:rsidR="00E65435">
        <w:rPr>
          <w:rFonts w:eastAsia="Arial Unicode MS"/>
          <w:bCs/>
          <w:lang w:eastAsia="fr-FR" w:bidi="he-IL"/>
        </w:rPr>
        <w:t xml:space="preserve">, </w:t>
      </w:r>
      <w:r w:rsidRPr="00C8701B">
        <w:rPr>
          <w:rFonts w:eastAsia="Arial Unicode MS"/>
          <w:bCs/>
          <w:lang w:eastAsia="fr-FR" w:bidi="he-IL"/>
        </w:rPr>
        <w:t>précédé d</w:t>
      </w:r>
      <w:r w:rsidR="00557DE0">
        <w:rPr>
          <w:rFonts w:eastAsia="Arial Unicode MS"/>
          <w:bCs/>
          <w:lang w:eastAsia="fr-FR" w:bidi="he-IL"/>
        </w:rPr>
        <w:t>’</w:t>
      </w:r>
      <w:r w:rsidRPr="00C8701B">
        <w:rPr>
          <w:rFonts w:eastAsia="Arial Unicode MS"/>
          <w:bCs/>
          <w:lang w:eastAsia="fr-FR" w:bidi="he-IL"/>
        </w:rPr>
        <w:t>un céleste prologue</w:t>
      </w:r>
      <w:r w:rsidR="00E65435">
        <w:rPr>
          <w:rFonts w:eastAsia="Arial Unicode MS"/>
          <w:bCs/>
          <w:lang w:eastAsia="fr-FR" w:bidi="he-IL"/>
        </w:rPr>
        <w:t xml:space="preserve">, </w:t>
      </w:r>
      <w:r w:rsidRPr="00C8701B">
        <w:rPr>
          <w:rFonts w:eastAsia="Arial Unicode MS"/>
          <w:bCs/>
          <w:lang w:eastAsia="fr-FR" w:bidi="he-IL"/>
        </w:rPr>
        <w:t>et suivi d</w:t>
      </w:r>
      <w:r w:rsidR="00557DE0">
        <w:rPr>
          <w:rFonts w:eastAsia="Arial Unicode MS"/>
          <w:bCs/>
          <w:lang w:eastAsia="fr-FR" w:bidi="he-IL"/>
        </w:rPr>
        <w:t>’</w:t>
      </w:r>
      <w:r w:rsidRPr="00C8701B">
        <w:rPr>
          <w:rFonts w:eastAsia="Arial Unicode MS"/>
          <w:bCs/>
          <w:lang w:eastAsia="fr-FR" w:bidi="he-IL"/>
        </w:rPr>
        <w:t>un épilogue non moins céleste.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Le Prologue ou prélude se compose de deux parties. 1° Dans la vie de N.-S. Jésus-Christ</w:t>
      </w:r>
      <w:r w:rsidR="00E65435">
        <w:rPr>
          <w:rFonts w:eastAsia="Arial Unicode MS"/>
          <w:bCs/>
          <w:lang w:eastAsia="fr-FR" w:bidi="he-IL"/>
        </w:rPr>
        <w:t xml:space="preserve">, </w:t>
      </w:r>
      <w:r w:rsidRPr="00C8701B">
        <w:rPr>
          <w:rFonts w:eastAsia="Arial Unicode MS"/>
          <w:bCs/>
          <w:lang w:eastAsia="fr-FR" w:bidi="he-IL"/>
        </w:rPr>
        <w:t>il y a ce que nous pourrions appeler les temps préhistoriques</w:t>
      </w:r>
      <w:r w:rsidR="00C2602D" w:rsidRPr="00C8701B">
        <w:rPr>
          <w:rFonts w:eastAsia="Arial Unicode MS"/>
          <w:bCs/>
          <w:lang w:eastAsia="fr-FR" w:bidi="he-IL"/>
        </w:rPr>
        <w:t> :</w:t>
      </w:r>
      <w:r w:rsidRPr="00C8701B">
        <w:rPr>
          <w:rFonts w:eastAsia="Arial Unicode MS"/>
          <w:bCs/>
          <w:lang w:eastAsia="fr-FR" w:bidi="he-IL"/>
        </w:rPr>
        <w:t xml:space="preserve"> ils correspondent à l</w:t>
      </w:r>
      <w:r w:rsidR="00557DE0">
        <w:rPr>
          <w:rFonts w:eastAsia="Arial Unicode MS"/>
          <w:bCs/>
          <w:lang w:eastAsia="fr-FR" w:bidi="he-IL"/>
        </w:rPr>
        <w:t>’</w:t>
      </w:r>
      <w:r w:rsidRPr="00C8701B">
        <w:rPr>
          <w:rFonts w:eastAsia="Arial Unicode MS"/>
          <w:bCs/>
          <w:lang w:eastAsia="fr-FR" w:bidi="he-IL"/>
        </w:rPr>
        <w:t>existence éternelle du Verbe dans le sein de son Père (Joan.</w:t>
      </w:r>
      <w:r w:rsidR="00C21120">
        <w:rPr>
          <w:rFonts w:eastAsia="Arial Unicode MS"/>
          <w:bCs/>
          <w:lang w:eastAsia="fr-FR" w:bidi="he-IL"/>
        </w:rPr>
        <w:t xml:space="preserve"> I, </w:t>
      </w:r>
      <w:r w:rsidR="00C21120" w:rsidRPr="00C8701B">
        <w:rPr>
          <w:rFonts w:eastAsia="Arial Unicode MS"/>
          <w:bCs/>
          <w:lang w:eastAsia="fr-FR" w:bidi="he-IL"/>
        </w:rPr>
        <w:t>1</w:t>
      </w:r>
      <w:r w:rsidRPr="00C8701B">
        <w:rPr>
          <w:rFonts w:eastAsia="Arial Unicode MS"/>
          <w:bCs/>
          <w:lang w:eastAsia="fr-FR" w:bidi="he-IL"/>
        </w:rPr>
        <w:t>-18). 2° De ces temps mystérieux</w:t>
      </w:r>
      <w:r w:rsidR="00E65435">
        <w:rPr>
          <w:rFonts w:eastAsia="Arial Unicode MS"/>
          <w:bCs/>
          <w:lang w:eastAsia="fr-FR" w:bidi="he-IL"/>
        </w:rPr>
        <w:t xml:space="preserve">, </w:t>
      </w:r>
      <w:r w:rsidRPr="00C8701B">
        <w:rPr>
          <w:rFonts w:eastAsia="Arial Unicode MS"/>
          <w:bCs/>
          <w:lang w:eastAsia="fr-FR" w:bidi="he-IL"/>
        </w:rPr>
        <w:t>nous passons à l</w:t>
      </w:r>
      <w:r w:rsidR="00557DE0">
        <w:rPr>
          <w:rFonts w:eastAsia="Arial Unicode MS"/>
          <w:bCs/>
          <w:lang w:eastAsia="fr-FR" w:bidi="he-IL"/>
        </w:rPr>
        <w:t>’</w:t>
      </w:r>
      <w:r w:rsidRPr="00C8701B">
        <w:rPr>
          <w:rFonts w:eastAsia="Arial Unicode MS"/>
          <w:bCs/>
          <w:lang w:eastAsia="fr-FR" w:bidi="he-IL"/>
        </w:rPr>
        <w:t xml:space="preserve">histoire proprement dite. Mais Jésus ne nous apparaît pas encore </w:t>
      </w:r>
      <w:r w:rsidR="00116664" w:rsidRPr="00C8701B">
        <w:rPr>
          <w:rFonts w:eastAsia="Arial Unicode MS"/>
          <w:bCs/>
          <w:lang w:eastAsia="fr-FR" w:bidi="he-IL"/>
        </w:rPr>
        <w:t>immédiatement</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nous ne faisons que l</w:t>
      </w:r>
      <w:r w:rsidR="00557DE0">
        <w:rPr>
          <w:rFonts w:eastAsia="Arial Unicode MS"/>
          <w:bCs/>
          <w:lang w:eastAsia="fr-FR" w:bidi="he-IL"/>
        </w:rPr>
        <w:t>’</w:t>
      </w:r>
      <w:r w:rsidR="009A1115">
        <w:rPr>
          <w:rFonts w:eastAsia="Arial Unicode MS"/>
          <w:bCs/>
          <w:lang w:eastAsia="fr-FR" w:bidi="he-IL"/>
        </w:rPr>
        <w:t xml:space="preserve">entrevoir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une manière médiate</w:t>
      </w:r>
      <w:r w:rsidR="00E65435">
        <w:rPr>
          <w:rFonts w:eastAsia="Arial Unicode MS"/>
          <w:bCs/>
          <w:lang w:eastAsia="fr-FR" w:bidi="he-IL"/>
        </w:rPr>
        <w:t xml:space="preserve">, </w:t>
      </w:r>
      <w:r w:rsidRPr="00C8701B">
        <w:rPr>
          <w:rFonts w:eastAsia="Arial Unicode MS"/>
          <w:bCs/>
          <w:lang w:eastAsia="fr-FR" w:bidi="he-IL"/>
        </w:rPr>
        <w:t>soit dans les témoignages antérieurs des prophètes</w:t>
      </w:r>
      <w:r w:rsidR="00E65435">
        <w:rPr>
          <w:rFonts w:eastAsia="Arial Unicode MS"/>
          <w:bCs/>
          <w:lang w:eastAsia="fr-FR" w:bidi="he-IL"/>
        </w:rPr>
        <w:t xml:space="preserve">, </w:t>
      </w:r>
      <w:r w:rsidRPr="00C8701B">
        <w:rPr>
          <w:rFonts w:eastAsia="Arial Unicode MS"/>
          <w:bCs/>
          <w:lang w:eastAsia="fr-FR" w:bidi="he-IL"/>
        </w:rPr>
        <w:t xml:space="preserve">que résume celui du </w:t>
      </w:r>
      <w:r w:rsidR="00116664" w:rsidRPr="00C8701B">
        <w:rPr>
          <w:rFonts w:eastAsia="Arial Unicode MS"/>
          <w:bCs/>
          <w:lang w:eastAsia="fr-FR" w:bidi="he-IL"/>
        </w:rPr>
        <w:t>Précurseur</w:t>
      </w:r>
      <w:r w:rsidRPr="00C8701B">
        <w:rPr>
          <w:rFonts w:eastAsia="Arial Unicode MS"/>
          <w:bCs/>
          <w:lang w:eastAsia="fr-FR" w:bidi="he-IL"/>
        </w:rPr>
        <w:t xml:space="preserve"> (Joan.</w:t>
      </w:r>
      <w:r w:rsidR="00C21120">
        <w:rPr>
          <w:rFonts w:eastAsia="Arial Unicode MS"/>
          <w:bCs/>
          <w:lang w:eastAsia="fr-FR" w:bidi="he-IL"/>
        </w:rPr>
        <w:t xml:space="preserve"> I, </w:t>
      </w:r>
      <w:r w:rsidR="00C21120" w:rsidRPr="00C8701B">
        <w:rPr>
          <w:rFonts w:eastAsia="Arial Unicode MS"/>
          <w:bCs/>
          <w:lang w:eastAsia="fr-FR" w:bidi="he-IL"/>
        </w:rPr>
        <w:t>6</w:t>
      </w:r>
      <w:r w:rsidRPr="00C8701B">
        <w:rPr>
          <w:rFonts w:eastAsia="Arial Unicode MS"/>
          <w:bCs/>
          <w:lang w:eastAsia="fr-FR" w:bidi="he-IL"/>
        </w:rPr>
        <w:t>-8</w:t>
      </w:r>
      <w:r w:rsidR="00E65435">
        <w:rPr>
          <w:rFonts w:eastAsia="Arial Unicode MS"/>
          <w:bCs/>
          <w:lang w:eastAsia="fr-FR" w:bidi="he-IL"/>
        </w:rPr>
        <w:t xml:space="preserve">, </w:t>
      </w:r>
      <w:r w:rsidRPr="00C8701B">
        <w:rPr>
          <w:rFonts w:eastAsia="Arial Unicode MS"/>
          <w:bCs/>
          <w:lang w:eastAsia="fr-FR" w:bidi="he-IL"/>
        </w:rPr>
        <w:t>etc.)</w:t>
      </w:r>
      <w:r w:rsidR="00E65435">
        <w:rPr>
          <w:rFonts w:eastAsia="Arial Unicode MS"/>
          <w:bCs/>
          <w:lang w:eastAsia="fr-FR" w:bidi="he-IL"/>
        </w:rPr>
        <w:t xml:space="preserve">, </w:t>
      </w:r>
      <w:r w:rsidRPr="00C8701B">
        <w:rPr>
          <w:rFonts w:eastAsia="Arial Unicode MS"/>
          <w:bCs/>
          <w:lang w:eastAsia="fr-FR" w:bidi="he-IL"/>
        </w:rPr>
        <w:t>soit dans ses ancêtres</w:t>
      </w:r>
      <w:r w:rsidR="00E65435">
        <w:rPr>
          <w:rFonts w:eastAsia="Arial Unicode MS"/>
          <w:bCs/>
          <w:lang w:eastAsia="fr-FR" w:bidi="he-IL"/>
        </w:rPr>
        <w:t xml:space="preserve">, </w:t>
      </w:r>
      <w:r w:rsidRPr="00C8701B">
        <w:rPr>
          <w:rFonts w:eastAsia="Arial Unicode MS"/>
          <w:bCs/>
          <w:lang w:eastAsia="fr-FR" w:bidi="he-IL"/>
        </w:rPr>
        <w:t>que nous fait connaître sa généalogie (Matth.</w:t>
      </w:r>
      <w:r w:rsidR="00C21120">
        <w:rPr>
          <w:rFonts w:eastAsia="Arial Unicode MS"/>
          <w:bCs/>
          <w:lang w:eastAsia="fr-FR" w:bidi="he-IL"/>
        </w:rPr>
        <w:t xml:space="preserve"> I, </w:t>
      </w:r>
      <w:r w:rsidR="00C21120" w:rsidRPr="00C8701B">
        <w:rPr>
          <w:rFonts w:eastAsia="Arial Unicode MS"/>
          <w:bCs/>
          <w:lang w:eastAsia="fr-FR" w:bidi="he-IL"/>
        </w:rPr>
        <w:t>1</w:t>
      </w:r>
      <w:r w:rsidRPr="00C8701B">
        <w:rPr>
          <w:rFonts w:eastAsia="Arial Unicode MS"/>
          <w:bCs/>
          <w:lang w:eastAsia="fr-FR" w:bidi="he-IL"/>
        </w:rPr>
        <w:t>-17</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Luc</w:t>
      </w:r>
      <w:r w:rsidR="0058100E">
        <w:rPr>
          <w:rFonts w:eastAsia="Arial Unicode MS"/>
          <w:bCs/>
          <w:lang w:eastAsia="fr-FR" w:bidi="he-IL"/>
        </w:rPr>
        <w:t>. III</w:t>
      </w:r>
      <w:r w:rsidR="00E65435">
        <w:rPr>
          <w:rFonts w:eastAsia="Arial Unicode MS"/>
          <w:bCs/>
          <w:lang w:eastAsia="fr-FR" w:bidi="he-IL"/>
        </w:rPr>
        <w:t xml:space="preserve">, </w:t>
      </w:r>
      <w:r w:rsidRPr="00C8701B">
        <w:rPr>
          <w:rFonts w:eastAsia="Arial Unicode MS"/>
          <w:bCs/>
          <w:lang w:eastAsia="fr-FR" w:bidi="he-IL"/>
        </w:rPr>
        <w:t>23-38).</w:t>
      </w:r>
      <w:r w:rsidR="00C2602D" w:rsidRPr="00C8701B">
        <w:rPr>
          <w:rFonts w:eastAsia="Arial Unicode MS"/>
          <w:bCs/>
          <w:lang w:eastAsia="fr-FR" w:bidi="he-IL"/>
        </w:rPr>
        <w:t xml:space="preserve"> </w:t>
      </w:r>
    </w:p>
    <w:p w:rsidR="009A1115" w:rsidRDefault="00B704AD" w:rsidP="00B907E8">
      <w:pPr>
        <w:rPr>
          <w:rFonts w:eastAsia="Arial Unicode MS"/>
          <w:bCs/>
          <w:lang w:eastAsia="fr-FR" w:bidi="he-IL"/>
        </w:rPr>
      </w:pPr>
      <w:r w:rsidRPr="00C8701B">
        <w:rPr>
          <w:rFonts w:eastAsia="Arial Unicode MS"/>
          <w:bCs/>
          <w:lang w:eastAsia="fr-FR" w:bidi="he-IL"/>
        </w:rPr>
        <w:t>Premier acte</w:t>
      </w:r>
      <w:r w:rsidR="00C2602D" w:rsidRPr="00C8701B">
        <w:rPr>
          <w:rFonts w:eastAsia="Arial Unicode MS"/>
          <w:bCs/>
          <w:lang w:eastAsia="fr-FR" w:bidi="he-IL"/>
        </w:rPr>
        <w:t> :</w:t>
      </w:r>
      <w:r w:rsidRPr="00C8701B">
        <w:rPr>
          <w:rFonts w:eastAsia="Arial Unicode MS"/>
          <w:bCs/>
          <w:lang w:eastAsia="fr-FR" w:bidi="he-IL"/>
        </w:rPr>
        <w:t xml:space="preserve"> l</w:t>
      </w:r>
      <w:r w:rsidR="00557DE0">
        <w:rPr>
          <w:rFonts w:eastAsia="Arial Unicode MS"/>
          <w:bCs/>
          <w:lang w:eastAsia="fr-FR" w:bidi="he-IL"/>
        </w:rPr>
        <w:t>’</w:t>
      </w:r>
      <w:r w:rsidRPr="00C8701B">
        <w:rPr>
          <w:rFonts w:eastAsia="Arial Unicode MS"/>
          <w:bCs/>
          <w:lang w:eastAsia="fr-FR" w:bidi="he-IL"/>
        </w:rPr>
        <w:t>Enfance et la Vie cachée du Sauveur</w:t>
      </w:r>
      <w:r w:rsidR="00B35391">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Quoique le plus court des trois sous le rapport des faits racontés</w:t>
      </w:r>
      <w:r w:rsidR="00E65435">
        <w:rPr>
          <w:rFonts w:eastAsia="Arial Unicode MS"/>
          <w:bCs/>
          <w:lang w:eastAsia="fr-FR" w:bidi="he-IL"/>
        </w:rPr>
        <w:t xml:space="preserve">, </w:t>
      </w:r>
      <w:r w:rsidRPr="00C8701B">
        <w:rPr>
          <w:rFonts w:eastAsia="Arial Unicode MS"/>
          <w:bCs/>
          <w:lang w:eastAsia="fr-FR" w:bidi="he-IL"/>
        </w:rPr>
        <w:t>cet acte est en réalité le plus long</w:t>
      </w:r>
      <w:r w:rsidR="00E65435">
        <w:rPr>
          <w:rFonts w:eastAsia="Arial Unicode MS"/>
          <w:bCs/>
          <w:lang w:eastAsia="fr-FR" w:bidi="he-IL"/>
        </w:rPr>
        <w:t xml:space="preserve">, </w:t>
      </w:r>
      <w:r w:rsidRPr="00C8701B">
        <w:rPr>
          <w:rFonts w:eastAsia="Arial Unicode MS"/>
          <w:bCs/>
          <w:lang w:eastAsia="fr-FR" w:bidi="he-IL"/>
        </w:rPr>
        <w:t>si l</w:t>
      </w:r>
      <w:r w:rsidR="00557DE0">
        <w:rPr>
          <w:rFonts w:eastAsia="Arial Unicode MS"/>
          <w:bCs/>
          <w:lang w:eastAsia="fr-FR" w:bidi="he-IL"/>
        </w:rPr>
        <w:t>’</w:t>
      </w:r>
      <w:r w:rsidRPr="00C8701B">
        <w:rPr>
          <w:rFonts w:eastAsia="Arial Unicode MS"/>
          <w:bCs/>
          <w:lang w:eastAsia="fr-FR" w:bidi="he-IL"/>
        </w:rPr>
        <w:t>on considère sa durée de trente ans. Il nous présente</w:t>
      </w:r>
      <w:r w:rsidR="00E65435">
        <w:rPr>
          <w:rFonts w:eastAsia="Arial Unicode MS"/>
          <w:bCs/>
          <w:lang w:eastAsia="fr-FR" w:bidi="he-IL"/>
        </w:rPr>
        <w:t xml:space="preserve">, </w:t>
      </w:r>
      <w:r w:rsidRPr="00C8701B">
        <w:rPr>
          <w:rFonts w:eastAsia="Arial Unicode MS"/>
          <w:bCs/>
          <w:lang w:eastAsia="fr-FR" w:bidi="he-IL"/>
        </w:rPr>
        <w:t>en huit tableaux distincts</w:t>
      </w:r>
      <w:r w:rsidR="00E65435">
        <w:rPr>
          <w:rFonts w:eastAsia="Arial Unicode MS"/>
          <w:bCs/>
          <w:lang w:eastAsia="fr-FR" w:bidi="he-IL"/>
        </w:rPr>
        <w:t xml:space="preserve">, </w:t>
      </w:r>
      <w:r w:rsidRPr="00C8701B">
        <w:rPr>
          <w:rFonts w:eastAsia="Arial Unicode MS"/>
          <w:bCs/>
          <w:lang w:eastAsia="fr-FR" w:bidi="he-IL"/>
        </w:rPr>
        <w:t>les huit événements de la vie cachée de Jésus dont l</w:t>
      </w:r>
      <w:r w:rsidR="00557DE0">
        <w:rPr>
          <w:rFonts w:eastAsia="Arial Unicode MS"/>
          <w:bCs/>
          <w:lang w:eastAsia="fr-FR" w:bidi="he-IL"/>
        </w:rPr>
        <w:t>’</w:t>
      </w:r>
      <w:r w:rsidR="000439E9">
        <w:rPr>
          <w:rFonts w:eastAsia="Arial Unicode MS"/>
          <w:bCs/>
          <w:lang w:eastAsia="fr-FR" w:bidi="he-IL"/>
        </w:rPr>
        <w:t>Évangile</w:t>
      </w:r>
      <w:r w:rsidRPr="00C8701B">
        <w:rPr>
          <w:rFonts w:eastAsia="Arial Unicode MS"/>
          <w:bCs/>
          <w:lang w:eastAsia="fr-FR" w:bidi="he-IL"/>
        </w:rPr>
        <w:t xml:space="preserve"> nous a cardé le souvenir.</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Premier tableau</w:t>
      </w:r>
      <w:r w:rsidR="00E65435">
        <w:rPr>
          <w:rFonts w:eastAsia="Arial Unicode MS"/>
          <w:bCs/>
          <w:lang w:eastAsia="fr-FR" w:bidi="he-IL"/>
        </w:rPr>
        <w:t xml:space="preserve">, </w:t>
      </w:r>
      <w:r w:rsidRPr="00C8701B">
        <w:rPr>
          <w:rFonts w:eastAsia="Arial Unicode MS"/>
          <w:bCs/>
          <w:lang w:eastAsia="fr-FR" w:bidi="he-IL"/>
        </w:rPr>
        <w:t>qui se dédouble</w:t>
      </w:r>
      <w:r w:rsidR="00C2602D" w:rsidRPr="00C8701B">
        <w:rPr>
          <w:rFonts w:eastAsia="Arial Unicode MS"/>
          <w:bCs/>
          <w:lang w:eastAsia="fr-FR" w:bidi="he-IL"/>
        </w:rPr>
        <w:t> :</w:t>
      </w:r>
      <w:r w:rsidRPr="00C8701B">
        <w:rPr>
          <w:rFonts w:eastAsia="Arial Unicode MS"/>
          <w:bCs/>
          <w:lang w:eastAsia="fr-FR" w:bidi="he-IL"/>
        </w:rPr>
        <w:t xml:space="preserve"> l</w:t>
      </w:r>
      <w:r w:rsidR="00557DE0">
        <w:rPr>
          <w:rFonts w:eastAsia="Arial Unicode MS"/>
          <w:bCs/>
          <w:lang w:eastAsia="fr-FR" w:bidi="he-IL"/>
        </w:rPr>
        <w:t>’</w:t>
      </w:r>
      <w:r w:rsidRPr="00C8701B">
        <w:rPr>
          <w:rFonts w:eastAsia="Arial Unicode MS"/>
          <w:bCs/>
          <w:lang w:eastAsia="fr-FR" w:bidi="he-IL"/>
        </w:rPr>
        <w:t>annonciation de Zacharie</w:t>
      </w:r>
      <w:r w:rsidR="00E65435">
        <w:rPr>
          <w:rFonts w:eastAsia="Arial Unicode MS"/>
          <w:bCs/>
          <w:lang w:eastAsia="fr-FR" w:bidi="he-IL"/>
        </w:rPr>
        <w:t xml:space="preserve">, </w:t>
      </w:r>
      <w:r w:rsidRPr="00C8701B">
        <w:rPr>
          <w:rFonts w:eastAsia="Arial Unicode MS"/>
          <w:bCs/>
          <w:lang w:eastAsia="fr-FR" w:bidi="he-IL"/>
        </w:rPr>
        <w:t>et l</w:t>
      </w:r>
      <w:r w:rsidR="00557DE0">
        <w:rPr>
          <w:rFonts w:eastAsia="Arial Unicode MS"/>
          <w:bCs/>
          <w:lang w:eastAsia="fr-FR" w:bidi="he-IL"/>
        </w:rPr>
        <w:t>’</w:t>
      </w:r>
      <w:r w:rsidR="009A1115">
        <w:rPr>
          <w:rFonts w:eastAsia="Arial Unicode MS"/>
          <w:bCs/>
          <w:lang w:eastAsia="fr-FR" w:bidi="he-IL"/>
        </w:rPr>
        <w:t>annoncia</w:t>
      </w:r>
      <w:r w:rsidRPr="00C8701B">
        <w:rPr>
          <w:rFonts w:eastAsia="Arial Unicode MS"/>
          <w:bCs/>
          <w:lang w:eastAsia="fr-FR" w:bidi="he-IL"/>
        </w:rPr>
        <w:t>tion de la sainte Vierge. Deuxième tableau</w:t>
      </w:r>
      <w:r w:rsidR="00C2602D" w:rsidRPr="00C8701B">
        <w:rPr>
          <w:rFonts w:eastAsia="Arial Unicode MS"/>
          <w:bCs/>
          <w:lang w:eastAsia="fr-FR" w:bidi="he-IL"/>
        </w:rPr>
        <w:t> :</w:t>
      </w:r>
      <w:r w:rsidRPr="00C8701B">
        <w:rPr>
          <w:rFonts w:eastAsia="Arial Unicode MS"/>
          <w:bCs/>
          <w:lang w:eastAsia="fr-FR" w:bidi="he-IL"/>
        </w:rPr>
        <w:t xml:space="preserve"> la Visitation de Marie</w:t>
      </w:r>
      <w:r w:rsidR="00E65435">
        <w:rPr>
          <w:rFonts w:eastAsia="Arial Unicode MS"/>
          <w:bCs/>
          <w:lang w:eastAsia="fr-FR" w:bidi="he-IL"/>
        </w:rPr>
        <w:t xml:space="preserve">, </w:t>
      </w:r>
      <w:r w:rsidRPr="00C8701B">
        <w:rPr>
          <w:rFonts w:eastAsia="Arial Unicode MS"/>
          <w:bCs/>
          <w:lang w:eastAsia="fr-FR" w:bidi="he-IL"/>
        </w:rPr>
        <w:t>suivie de la nativité de Jean-Baptiste et de la révélation faite à Joseph sur l</w:t>
      </w:r>
      <w:r w:rsidR="00557DE0">
        <w:rPr>
          <w:rFonts w:eastAsia="Arial Unicode MS"/>
          <w:bCs/>
          <w:lang w:eastAsia="fr-FR" w:bidi="he-IL"/>
        </w:rPr>
        <w:t>’</w:t>
      </w:r>
      <w:r w:rsidRPr="00C8701B">
        <w:rPr>
          <w:rFonts w:eastAsia="Arial Unicode MS"/>
          <w:bCs/>
          <w:lang w:eastAsia="fr-FR" w:bidi="he-IL"/>
        </w:rPr>
        <w:t>état de sa sainte épouse. Troisième tableau</w:t>
      </w:r>
      <w:r w:rsidR="00C2602D" w:rsidRPr="00C8701B">
        <w:rPr>
          <w:rFonts w:eastAsia="Arial Unicode MS"/>
          <w:bCs/>
          <w:lang w:eastAsia="fr-FR" w:bidi="he-IL"/>
        </w:rPr>
        <w:t> :</w:t>
      </w:r>
      <w:r w:rsidRPr="00C8701B">
        <w:rPr>
          <w:rFonts w:eastAsia="Arial Unicode MS"/>
          <w:bCs/>
          <w:lang w:eastAsia="fr-FR" w:bidi="he-IL"/>
        </w:rPr>
        <w:t xml:space="preserve"> Noël</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 xml:space="preserve">Enfant-Dieu naît à </w:t>
      </w:r>
      <w:r w:rsidR="00116664" w:rsidRPr="00C8701B">
        <w:rPr>
          <w:rFonts w:eastAsia="Arial Unicode MS"/>
          <w:bCs/>
          <w:lang w:eastAsia="fr-FR" w:bidi="he-IL"/>
        </w:rPr>
        <w:t>Bethléem</w:t>
      </w:r>
      <w:r w:rsidR="00E65435">
        <w:rPr>
          <w:rFonts w:eastAsia="Arial Unicode MS"/>
          <w:bCs/>
          <w:lang w:eastAsia="fr-FR" w:bidi="he-IL"/>
        </w:rPr>
        <w:t xml:space="preserve">, </w:t>
      </w:r>
      <w:r w:rsidRPr="00C8701B">
        <w:rPr>
          <w:rFonts w:eastAsia="Arial Unicode MS"/>
          <w:bCs/>
          <w:lang w:eastAsia="fr-FR" w:bidi="he-IL"/>
        </w:rPr>
        <w:t>les anges l</w:t>
      </w:r>
      <w:r w:rsidR="00557DE0">
        <w:rPr>
          <w:rFonts w:eastAsia="Arial Unicode MS"/>
          <w:bCs/>
          <w:lang w:eastAsia="fr-FR" w:bidi="he-IL"/>
        </w:rPr>
        <w:t>’</w:t>
      </w:r>
      <w:r w:rsidR="00116664" w:rsidRPr="00C8701B">
        <w:rPr>
          <w:rFonts w:eastAsia="Arial Unicode MS"/>
          <w:bCs/>
          <w:lang w:eastAsia="fr-FR" w:bidi="he-IL"/>
        </w:rPr>
        <w:t>annoncent</w:t>
      </w:r>
      <w:r w:rsidR="00E65435">
        <w:rPr>
          <w:rFonts w:eastAsia="Arial Unicode MS"/>
          <w:bCs/>
          <w:lang w:eastAsia="fr-FR" w:bidi="he-IL"/>
        </w:rPr>
        <w:t xml:space="preserve">, </w:t>
      </w:r>
      <w:r w:rsidRPr="00C8701B">
        <w:rPr>
          <w:rFonts w:eastAsia="Arial Unicode MS"/>
          <w:bCs/>
          <w:lang w:eastAsia="fr-FR" w:bidi="he-IL"/>
        </w:rPr>
        <w:t>et les pasteurs viennent l</w:t>
      </w:r>
      <w:r w:rsidR="00557DE0">
        <w:rPr>
          <w:rFonts w:eastAsia="Arial Unicode MS"/>
          <w:bCs/>
          <w:lang w:eastAsia="fr-FR" w:bidi="he-IL"/>
        </w:rPr>
        <w:t>’</w:t>
      </w:r>
      <w:r w:rsidRPr="00C8701B">
        <w:rPr>
          <w:rFonts w:eastAsia="Arial Unicode MS"/>
          <w:bCs/>
          <w:lang w:eastAsia="fr-FR" w:bidi="he-IL"/>
        </w:rPr>
        <w:t>adorer. Quatrième tableau</w:t>
      </w:r>
      <w:r w:rsidR="00C2602D" w:rsidRPr="00C8701B">
        <w:rPr>
          <w:rFonts w:eastAsia="Arial Unicode MS"/>
          <w:bCs/>
          <w:lang w:eastAsia="fr-FR" w:bidi="he-IL"/>
        </w:rPr>
        <w:t> :</w:t>
      </w:r>
      <w:r w:rsidRPr="00C8701B">
        <w:rPr>
          <w:rFonts w:eastAsia="Arial Unicode MS"/>
          <w:bCs/>
          <w:lang w:eastAsia="fr-FR" w:bidi="he-IL"/>
        </w:rPr>
        <w:t xml:space="preserve"> la circoncision au huitième jour. Cinquième tableau</w:t>
      </w:r>
      <w:r w:rsidR="00C2602D" w:rsidRPr="00C8701B">
        <w:rPr>
          <w:rFonts w:eastAsia="Arial Unicode MS"/>
          <w:bCs/>
          <w:lang w:eastAsia="fr-FR" w:bidi="he-IL"/>
        </w:rPr>
        <w:t> :</w:t>
      </w:r>
      <w:r w:rsidRPr="00C8701B">
        <w:rPr>
          <w:rFonts w:eastAsia="Arial Unicode MS"/>
          <w:bCs/>
          <w:lang w:eastAsia="fr-FR" w:bidi="he-IL"/>
        </w:rPr>
        <w:t xml:space="preserve"> la purification de Marie et la présentation de Jésus au temple. Sixième tableau</w:t>
      </w:r>
      <w:r w:rsidR="00C2602D" w:rsidRPr="00C8701B">
        <w:rPr>
          <w:rFonts w:eastAsia="Arial Unicode MS"/>
          <w:bCs/>
          <w:lang w:eastAsia="fr-FR" w:bidi="he-IL"/>
        </w:rPr>
        <w:t> :</w:t>
      </w:r>
      <w:r w:rsidRPr="00C8701B">
        <w:rPr>
          <w:rFonts w:eastAsia="Arial Unicode MS"/>
          <w:bCs/>
          <w:lang w:eastAsia="fr-FR" w:bidi="he-IL"/>
        </w:rPr>
        <w:t xml:space="preserve"> la visite </w:t>
      </w:r>
      <w:r w:rsidR="009A1115">
        <w:rPr>
          <w:rFonts w:eastAsia="Arial Unicode MS"/>
          <w:bCs/>
          <w:lang w:eastAsia="fr-FR" w:bidi="he-IL"/>
        </w:rPr>
        <w:t>des M</w:t>
      </w:r>
      <w:r w:rsidRPr="00C8701B">
        <w:rPr>
          <w:rFonts w:eastAsia="Arial Unicode MS"/>
          <w:bCs/>
          <w:lang w:eastAsia="fr-FR" w:bidi="he-IL"/>
        </w:rPr>
        <w:t>ages. Septième tableau</w:t>
      </w:r>
      <w:r w:rsidR="00C2602D" w:rsidRPr="00C8701B">
        <w:rPr>
          <w:rFonts w:eastAsia="Arial Unicode MS"/>
          <w:bCs/>
          <w:lang w:eastAsia="fr-FR" w:bidi="he-IL"/>
        </w:rPr>
        <w:t> :</w:t>
      </w:r>
      <w:r w:rsidRPr="00C8701B">
        <w:rPr>
          <w:rFonts w:eastAsia="Arial Unicode MS"/>
          <w:bCs/>
          <w:lang w:eastAsia="fr-FR" w:bidi="he-IL"/>
        </w:rPr>
        <w:t xml:space="preserve"> la fuite en </w:t>
      </w:r>
      <w:r w:rsidR="00C215A6">
        <w:rPr>
          <w:rFonts w:eastAsia="Arial Unicode MS"/>
          <w:bCs/>
          <w:lang w:eastAsia="fr-FR" w:bidi="he-IL"/>
        </w:rPr>
        <w:t>Égypt</w:t>
      </w:r>
      <w:r w:rsidRPr="00C8701B">
        <w:rPr>
          <w:rFonts w:eastAsia="Arial Unicode MS"/>
          <w:bCs/>
          <w:lang w:eastAsia="fr-FR" w:bidi="he-IL"/>
        </w:rPr>
        <w:t>e</w:t>
      </w:r>
      <w:r w:rsidR="00E65435">
        <w:rPr>
          <w:rFonts w:eastAsia="Arial Unicode MS"/>
          <w:bCs/>
          <w:lang w:eastAsia="fr-FR" w:bidi="he-IL"/>
        </w:rPr>
        <w:t xml:space="preserve">, </w:t>
      </w:r>
      <w:r w:rsidRPr="00C8701B">
        <w:rPr>
          <w:rFonts w:eastAsia="Arial Unicode MS"/>
          <w:bCs/>
          <w:lang w:eastAsia="fr-FR" w:bidi="he-IL"/>
        </w:rPr>
        <w:t>sous le coup des persécutions d</w:t>
      </w:r>
      <w:r w:rsidR="00557DE0">
        <w:rPr>
          <w:rFonts w:eastAsia="Arial Unicode MS"/>
          <w:bCs/>
          <w:lang w:eastAsia="fr-FR" w:bidi="he-IL"/>
        </w:rPr>
        <w:t>’</w:t>
      </w:r>
      <w:r w:rsidRPr="00C8701B">
        <w:rPr>
          <w:rFonts w:eastAsia="Arial Unicode MS"/>
          <w:bCs/>
          <w:lang w:eastAsia="fr-FR" w:bidi="he-IL"/>
        </w:rPr>
        <w:t>Hérode le Grand. Huitième</w:t>
      </w:r>
      <w:r w:rsidR="00B907E8">
        <w:rPr>
          <w:rFonts w:eastAsia="Arial Unicode MS"/>
          <w:bCs/>
          <w:lang w:eastAsia="fr-FR" w:bidi="he-IL"/>
        </w:rPr>
        <w:t xml:space="preserve"> </w:t>
      </w:r>
      <w:r w:rsidRPr="00C8701B">
        <w:rPr>
          <w:rFonts w:eastAsia="Arial Unicode MS"/>
          <w:bCs/>
          <w:lang w:eastAsia="fr-FR" w:bidi="he-IL"/>
        </w:rPr>
        <w:t>tableau</w:t>
      </w:r>
      <w:r w:rsidR="00C2602D" w:rsidRPr="00C8701B">
        <w:rPr>
          <w:rFonts w:eastAsia="Arial Unicode MS"/>
          <w:bCs/>
          <w:lang w:eastAsia="fr-FR" w:bidi="he-IL"/>
        </w:rPr>
        <w:t> :</w:t>
      </w:r>
      <w:r w:rsidRPr="00C8701B">
        <w:rPr>
          <w:rFonts w:eastAsia="Arial Unicode MS"/>
          <w:bCs/>
          <w:lang w:eastAsia="fr-FR" w:bidi="he-IL"/>
        </w:rPr>
        <w:t xml:space="preserve"> le séjour à Nazareth</w:t>
      </w:r>
      <w:r w:rsidR="00E65435">
        <w:rPr>
          <w:rFonts w:eastAsia="Arial Unicode MS"/>
          <w:bCs/>
          <w:lang w:eastAsia="fr-FR" w:bidi="he-IL"/>
        </w:rPr>
        <w:t xml:space="preserve">, </w:t>
      </w:r>
      <w:r w:rsidRPr="00C8701B">
        <w:rPr>
          <w:rFonts w:eastAsia="Arial Unicode MS"/>
          <w:bCs/>
          <w:lang w:eastAsia="fr-FR" w:bidi="he-IL"/>
        </w:rPr>
        <w:t xml:space="preserve">coupé en deux parties par le </w:t>
      </w:r>
      <w:r w:rsidR="009A1115">
        <w:rPr>
          <w:rFonts w:eastAsia="Arial Unicode MS"/>
          <w:bCs/>
          <w:lang w:eastAsia="fr-FR" w:bidi="he-IL"/>
        </w:rPr>
        <w:t>voyage à Jérusalem que raconte S. Luc (II</w:t>
      </w:r>
      <w:r w:rsidR="00E65435">
        <w:rPr>
          <w:rFonts w:eastAsia="Arial Unicode MS"/>
          <w:bCs/>
          <w:lang w:eastAsia="fr-FR" w:bidi="he-IL"/>
        </w:rPr>
        <w:t xml:space="preserve">, </w:t>
      </w:r>
      <w:r w:rsidRPr="00C8701B">
        <w:rPr>
          <w:rFonts w:eastAsia="Arial Unicode MS"/>
          <w:bCs/>
          <w:lang w:eastAsia="fr-FR" w:bidi="he-IL"/>
        </w:rPr>
        <w:t>40</w:t>
      </w:r>
      <w:r w:rsidR="009A1115">
        <w:rPr>
          <w:rFonts w:eastAsia="Arial Unicode MS"/>
          <w:bCs/>
          <w:lang w:eastAsia="fr-FR" w:bidi="he-IL"/>
        </w:rPr>
        <w:t>-</w:t>
      </w:r>
      <w:r w:rsidRPr="00C8701B">
        <w:rPr>
          <w:rFonts w:eastAsia="Arial Unicode MS"/>
          <w:bCs/>
          <w:lang w:eastAsia="fr-FR" w:bidi="he-IL"/>
        </w:rPr>
        <w:t>52)</w:t>
      </w:r>
      <w:r w:rsidR="00933C60" w:rsidRPr="00C406FF">
        <w:rPr>
          <w:rStyle w:val="Appelnotedebasdep"/>
        </w:rPr>
        <w:footnoteReference w:id="117"/>
      </w:r>
      <w:r w:rsidRPr="00C8701B">
        <w:rPr>
          <w:rFonts w:eastAsia="Arial Unicode MS"/>
          <w:bCs/>
          <w:lang w:eastAsia="fr-FR" w:bidi="he-IL"/>
        </w:rPr>
        <w:t>.</w:t>
      </w:r>
    </w:p>
    <w:p w:rsidR="00C2602D" w:rsidRPr="00C8701B" w:rsidRDefault="00B704AD" w:rsidP="009A1115">
      <w:pPr>
        <w:rPr>
          <w:rFonts w:eastAsia="Arial Unicode MS"/>
          <w:bCs/>
          <w:lang w:eastAsia="fr-FR" w:bidi="he-IL"/>
        </w:rPr>
      </w:pPr>
      <w:r w:rsidRPr="00C8701B">
        <w:rPr>
          <w:rFonts w:eastAsia="Arial Unicode MS"/>
          <w:bCs/>
          <w:lang w:eastAsia="fr-FR" w:bidi="he-IL"/>
        </w:rPr>
        <w:t>Deuxième acte de la divine tragédie</w:t>
      </w:r>
      <w:r w:rsidR="00C2602D" w:rsidRPr="00C8701B">
        <w:rPr>
          <w:rFonts w:eastAsia="Arial Unicode MS"/>
          <w:bCs/>
          <w:lang w:eastAsia="fr-FR" w:bidi="he-IL"/>
        </w:rPr>
        <w:t> :</w:t>
      </w:r>
      <w:r w:rsidRPr="00C8701B">
        <w:rPr>
          <w:rFonts w:eastAsia="Arial Unicode MS"/>
          <w:bCs/>
          <w:lang w:eastAsia="fr-FR" w:bidi="he-IL"/>
        </w:rPr>
        <w:t xml:space="preserve"> la vie publique de N.-S. Jésus</w:t>
      </w:r>
      <w:r w:rsidR="009A1115">
        <w:rPr>
          <w:rFonts w:eastAsia="Arial Unicode MS"/>
          <w:bCs/>
          <w:lang w:eastAsia="fr-FR" w:bidi="he-IL"/>
        </w:rPr>
        <w:t>-</w:t>
      </w:r>
      <w:r w:rsidRPr="00C8701B">
        <w:rPr>
          <w:rFonts w:eastAsia="Arial Unicode MS"/>
          <w:bCs/>
          <w:lang w:eastAsia="fr-FR" w:bidi="he-IL"/>
        </w:rPr>
        <w:t>Christ.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Suivant les calculs qui nous paraissent les plus probables</w:t>
      </w:r>
      <w:r w:rsidR="00933C60" w:rsidRPr="00C406FF">
        <w:rPr>
          <w:rStyle w:val="Appelnotedebasdep"/>
        </w:rPr>
        <w:footnoteReference w:id="118"/>
      </w:r>
      <w:r w:rsidR="00E65435">
        <w:rPr>
          <w:rFonts w:eastAsia="Arial Unicode MS"/>
          <w:bCs/>
          <w:lang w:eastAsia="fr-FR" w:bidi="he-IL"/>
        </w:rPr>
        <w:t xml:space="preserve">, </w:t>
      </w:r>
      <w:r w:rsidRPr="00C8701B">
        <w:rPr>
          <w:rFonts w:eastAsia="Arial Unicode MS"/>
          <w:bCs/>
          <w:lang w:eastAsia="fr-FR" w:bidi="he-IL"/>
        </w:rPr>
        <w:t>cet acte comprend une période d</w:t>
      </w:r>
      <w:r w:rsidR="00557DE0">
        <w:rPr>
          <w:rFonts w:eastAsia="Arial Unicode MS"/>
          <w:bCs/>
          <w:lang w:eastAsia="fr-FR" w:bidi="he-IL"/>
        </w:rPr>
        <w:t>’</w:t>
      </w:r>
      <w:r w:rsidRPr="00C8701B">
        <w:rPr>
          <w:rFonts w:eastAsia="Arial Unicode MS"/>
          <w:bCs/>
          <w:lang w:eastAsia="fr-FR" w:bidi="he-IL"/>
        </w:rPr>
        <w:t>un peu plus de trois ans</w:t>
      </w:r>
      <w:r w:rsidR="009A1115">
        <w:rPr>
          <w:rFonts w:eastAsia="Arial Unicode MS"/>
          <w:bCs/>
          <w:lang w:eastAsia="fr-FR" w:bidi="he-IL"/>
        </w:rPr>
        <w:t xml:space="preserve">. </w:t>
      </w:r>
      <w:r w:rsidRPr="00C8701B">
        <w:rPr>
          <w:rFonts w:eastAsia="Arial Unicode MS"/>
          <w:bCs/>
          <w:lang w:eastAsia="fr-FR" w:bidi="he-IL"/>
        </w:rPr>
        <w:t>Les quatre provinces qui formaient alors l</w:t>
      </w:r>
      <w:r w:rsidR="00557DE0">
        <w:rPr>
          <w:rFonts w:eastAsia="Arial Unicode MS"/>
          <w:bCs/>
          <w:lang w:eastAsia="fr-FR" w:bidi="he-IL"/>
        </w:rPr>
        <w:t>’</w:t>
      </w:r>
      <w:r w:rsidRPr="00C8701B">
        <w:rPr>
          <w:rFonts w:eastAsia="Arial Unicode MS"/>
          <w:bCs/>
          <w:lang w:eastAsia="fr-FR" w:bidi="he-IL"/>
        </w:rPr>
        <w:t>état juif servent de scène</w:t>
      </w:r>
      <w:r w:rsidR="00C2602D" w:rsidRPr="00C8701B">
        <w:rPr>
          <w:rFonts w:eastAsia="Arial Unicode MS"/>
          <w:bCs/>
          <w:lang w:eastAsia="fr-FR" w:bidi="he-IL"/>
        </w:rPr>
        <w:t> </w:t>
      </w:r>
      <w:r w:rsidR="007F6508">
        <w:rPr>
          <w:rFonts w:eastAsia="Arial Unicode MS"/>
          <w:bCs/>
          <w:lang w:eastAsia="fr-FR" w:bidi="he-IL"/>
        </w:rPr>
        <w:t xml:space="preserve">; </w:t>
      </w:r>
      <w:r w:rsidR="009A1115">
        <w:rPr>
          <w:rFonts w:eastAsia="Arial Unicode MS"/>
          <w:bCs/>
          <w:lang w:eastAsia="fr-FR" w:bidi="he-IL"/>
        </w:rPr>
        <w:t>mais c</w:t>
      </w:r>
      <w:r w:rsidR="00557DE0">
        <w:rPr>
          <w:rFonts w:eastAsia="Arial Unicode MS"/>
          <w:bCs/>
          <w:lang w:eastAsia="fr-FR" w:bidi="he-IL"/>
        </w:rPr>
        <w:t>’</w:t>
      </w:r>
      <w:r w:rsidR="009A1115">
        <w:rPr>
          <w:rFonts w:eastAsia="Arial Unicode MS"/>
          <w:bCs/>
          <w:lang w:eastAsia="fr-FR" w:bidi="he-IL"/>
        </w:rPr>
        <w:t>est surtou</w:t>
      </w:r>
      <w:r w:rsidRPr="00C8701B">
        <w:rPr>
          <w:rFonts w:eastAsia="Arial Unicode MS"/>
          <w:bCs/>
          <w:lang w:eastAsia="fr-FR" w:bidi="he-IL"/>
        </w:rPr>
        <w:t>t en Galilée et à Jérusalem que Jésus accomplit son divin ministère. La multiplicité des faits</w:t>
      </w:r>
      <w:r w:rsidR="00E65435">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et pourtant nous ne mentionnerons que les principaux</w:t>
      </w:r>
      <w:r w:rsidR="00E65435">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nous oblige de fixer quelques jalons pour nous orienter</w:t>
      </w:r>
      <w:r w:rsidR="00C2602D" w:rsidRPr="00C8701B">
        <w:rPr>
          <w:rFonts w:eastAsia="Arial Unicode MS"/>
          <w:bCs/>
          <w:lang w:eastAsia="fr-FR" w:bidi="he-IL"/>
        </w:rPr>
        <w:t> :</w:t>
      </w:r>
      <w:r w:rsidRPr="00C8701B">
        <w:rPr>
          <w:rFonts w:eastAsia="Arial Unicode MS"/>
          <w:bCs/>
          <w:lang w:eastAsia="fr-FR" w:bidi="he-IL"/>
        </w:rPr>
        <w:t xml:space="preserve"> les grandes solennités juives</w:t>
      </w:r>
      <w:r w:rsidR="00E65435">
        <w:rPr>
          <w:rFonts w:eastAsia="Arial Unicode MS"/>
          <w:bCs/>
          <w:lang w:eastAsia="fr-FR" w:bidi="he-IL"/>
        </w:rPr>
        <w:t xml:space="preserve">, </w:t>
      </w:r>
      <w:r w:rsidRPr="00C8701B">
        <w:rPr>
          <w:rFonts w:eastAsia="Arial Unicode MS"/>
          <w:bCs/>
          <w:lang w:eastAsia="fr-FR" w:bidi="he-IL"/>
        </w:rPr>
        <w:t>qui conduisirent à</w:t>
      </w:r>
      <w:r w:rsidR="009A1115">
        <w:rPr>
          <w:rFonts w:eastAsia="Arial Unicode MS"/>
          <w:bCs/>
          <w:lang w:eastAsia="fr-FR" w:bidi="he-IL"/>
        </w:rPr>
        <w:t xml:space="preserve"> div</w:t>
      </w:r>
      <w:r w:rsidRPr="00C8701B">
        <w:rPr>
          <w:rFonts w:eastAsia="Arial Unicode MS"/>
          <w:bCs/>
          <w:lang w:eastAsia="fr-FR" w:bidi="he-IL"/>
        </w:rPr>
        <w:t>ers intervalles le Sauveur à Jérusalem</w:t>
      </w:r>
      <w:r w:rsidR="00E65435">
        <w:rPr>
          <w:rFonts w:eastAsia="Arial Unicode MS"/>
          <w:bCs/>
          <w:lang w:eastAsia="fr-FR" w:bidi="he-IL"/>
        </w:rPr>
        <w:t xml:space="preserve">, </w:t>
      </w:r>
      <w:r w:rsidRPr="00C8701B">
        <w:rPr>
          <w:rFonts w:eastAsia="Arial Unicode MS"/>
          <w:bCs/>
          <w:lang w:eastAsia="fr-FR" w:bidi="he-IL"/>
        </w:rPr>
        <w:t>remplissent parfaitement ce but.</w:t>
      </w:r>
      <w:r w:rsidR="00C2602D" w:rsidRPr="00C8701B">
        <w:rPr>
          <w:rFonts w:eastAsia="Arial Unicode MS"/>
          <w:bCs/>
          <w:lang w:eastAsia="fr-FR" w:bidi="he-IL"/>
        </w:rPr>
        <w:t xml:space="preserve"> </w:t>
      </w:r>
      <w:r w:rsidR="000716BB" w:rsidRPr="000716BB">
        <w:rPr>
          <w:rFonts w:eastAsia="Arial Unicode MS"/>
          <w:bCs/>
          <w:lang w:eastAsia="fr-FR" w:bidi="he-IL"/>
        </w:rPr>
        <w:t>{</w:t>
      </w:r>
      <w:r w:rsidR="000716BB">
        <w:rPr>
          <w:rFonts w:eastAsia="Arial Unicode MS"/>
          <w:bCs/>
          <w:lang w:eastAsia="fr-FR" w:bidi="he-IL"/>
        </w:rPr>
        <w:t>23</w:t>
      </w:r>
      <w:bookmarkStart w:id="41" w:name="pag023"/>
      <w:bookmarkEnd w:id="41"/>
      <w:r w:rsidR="000716BB" w:rsidRPr="000716BB">
        <w:rPr>
          <w:rFonts w:eastAsia="Arial Unicode MS"/>
          <w:bCs/>
          <w:lang w:eastAsia="fr-FR" w:bidi="he-IL"/>
        </w:rPr>
        <w:t>}</w:t>
      </w:r>
    </w:p>
    <w:p w:rsidR="00C2602D" w:rsidRPr="00C8701B" w:rsidRDefault="00B704AD" w:rsidP="009A1115">
      <w:pPr>
        <w:rPr>
          <w:rFonts w:eastAsia="Arial Unicode MS"/>
          <w:bCs/>
          <w:lang w:eastAsia="fr-FR" w:bidi="he-IL"/>
        </w:rPr>
      </w:pPr>
      <w:r w:rsidRPr="00DC4586">
        <w:rPr>
          <w:rStyle w:val="italicus"/>
        </w:rPr>
        <w:t>Première section</w:t>
      </w:r>
      <w:r w:rsidR="00C2602D" w:rsidRPr="00DC4586">
        <w:rPr>
          <w:rStyle w:val="italicus"/>
        </w:rPr>
        <w:t> :</w:t>
      </w:r>
      <w:r w:rsidR="009A1115">
        <w:rPr>
          <w:rFonts w:eastAsia="Arial Unicode MS"/>
          <w:bCs/>
          <w:lang w:eastAsia="fr-FR" w:bidi="he-IL"/>
        </w:rPr>
        <w:t xml:space="preserve"> Depuis l</w:t>
      </w:r>
      <w:r w:rsidR="00557DE0">
        <w:rPr>
          <w:rFonts w:eastAsia="Arial Unicode MS"/>
          <w:bCs/>
          <w:lang w:eastAsia="fr-FR" w:bidi="he-IL"/>
        </w:rPr>
        <w:t>’</w:t>
      </w:r>
      <w:r w:rsidRPr="00C8701B">
        <w:rPr>
          <w:rFonts w:eastAsia="Arial Unicode MS"/>
          <w:bCs/>
          <w:lang w:eastAsia="fr-FR" w:bidi="he-IL"/>
        </w:rPr>
        <w:t>apparition du Précurseur jusqu</w:t>
      </w:r>
      <w:r w:rsidR="00557DE0">
        <w:rPr>
          <w:rFonts w:eastAsia="Arial Unicode MS"/>
          <w:bCs/>
          <w:lang w:eastAsia="fr-FR" w:bidi="he-IL"/>
        </w:rPr>
        <w:t>’</w:t>
      </w:r>
      <w:r w:rsidRPr="00C8701B">
        <w:rPr>
          <w:rFonts w:eastAsia="Arial Unicode MS"/>
          <w:bCs/>
          <w:lang w:eastAsia="fr-FR" w:bidi="he-IL"/>
        </w:rPr>
        <w:t>à la première Pâque de la vie publique</w:t>
      </w:r>
      <w:r w:rsidR="00933C60" w:rsidRPr="00C406FF">
        <w:rPr>
          <w:rStyle w:val="Appelnotedebasdep"/>
        </w:rPr>
        <w:footnoteReference w:id="119"/>
      </w:r>
      <w:r w:rsidRPr="00C8701B">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 xml:space="preserve">Débuts du ministère </w:t>
      </w:r>
      <w:r w:rsidR="009A1115">
        <w:rPr>
          <w:rFonts w:eastAsia="Arial Unicode MS"/>
          <w:bCs/>
          <w:lang w:eastAsia="fr-FR" w:bidi="he-IL"/>
        </w:rPr>
        <w:t>de</w:t>
      </w:r>
      <w:r w:rsidRPr="00C8701B">
        <w:rPr>
          <w:rFonts w:eastAsia="Arial Unicode MS"/>
          <w:bCs/>
          <w:lang w:eastAsia="fr-FR" w:bidi="he-IL"/>
        </w:rPr>
        <w:t xml:space="preserve"> Jean-Baptiste</w:t>
      </w:r>
      <w:r w:rsidR="00E65435">
        <w:rPr>
          <w:rFonts w:eastAsia="Arial Unicode MS"/>
          <w:bCs/>
          <w:lang w:eastAsia="fr-FR" w:bidi="he-IL"/>
        </w:rPr>
        <w:t xml:space="preserve">, </w:t>
      </w:r>
      <w:r w:rsidRPr="00C8701B">
        <w:rPr>
          <w:rFonts w:eastAsia="Arial Unicode MS"/>
          <w:bCs/>
          <w:lang w:eastAsia="fr-FR" w:bidi="he-IL"/>
        </w:rPr>
        <w:t>sa prédication</w:t>
      </w:r>
      <w:r w:rsidR="00E65435">
        <w:rPr>
          <w:rFonts w:eastAsia="Arial Unicode MS"/>
          <w:bCs/>
          <w:lang w:eastAsia="fr-FR" w:bidi="he-IL"/>
        </w:rPr>
        <w:t xml:space="preserve">, </w:t>
      </w:r>
      <w:r w:rsidRPr="00C8701B">
        <w:rPr>
          <w:rFonts w:eastAsia="Arial Unicode MS"/>
          <w:bCs/>
          <w:lang w:eastAsia="fr-FR" w:bidi="he-IL"/>
        </w:rPr>
        <w:t>ses témoignages</w:t>
      </w:r>
      <w:r w:rsidR="00C2602D" w:rsidRPr="00C8701B">
        <w:rPr>
          <w:rFonts w:eastAsia="Arial Unicode MS"/>
          <w:bCs/>
          <w:lang w:eastAsia="fr-FR" w:bidi="he-IL"/>
        </w:rPr>
        <w:t> </w:t>
      </w:r>
      <w:r w:rsidR="007F6508">
        <w:rPr>
          <w:rFonts w:eastAsia="Arial Unicode MS"/>
          <w:bCs/>
          <w:lang w:eastAsia="fr-FR" w:bidi="he-IL"/>
        </w:rPr>
        <w:t xml:space="preserve">; </w:t>
      </w:r>
      <w:r w:rsidR="009A1115">
        <w:rPr>
          <w:rFonts w:eastAsia="Arial Unicode MS"/>
          <w:bCs/>
          <w:lang w:eastAsia="fr-FR" w:bidi="he-IL"/>
        </w:rPr>
        <w:t>le baptê</w:t>
      </w:r>
      <w:r w:rsidRPr="00C8701B">
        <w:rPr>
          <w:rFonts w:eastAsia="Arial Unicode MS"/>
          <w:bCs/>
          <w:lang w:eastAsia="fr-FR" w:bidi="he-IL"/>
        </w:rPr>
        <w:t>me de Jésus</w:t>
      </w:r>
      <w:r w:rsidR="00E65435">
        <w:rPr>
          <w:rFonts w:eastAsia="Arial Unicode MS"/>
          <w:bCs/>
          <w:lang w:eastAsia="fr-FR" w:bidi="he-IL"/>
        </w:rPr>
        <w:t xml:space="preserve">, </w:t>
      </w:r>
      <w:r w:rsidRPr="00C8701B">
        <w:rPr>
          <w:rFonts w:eastAsia="Arial Unicode MS"/>
          <w:bCs/>
          <w:lang w:eastAsia="fr-FR" w:bidi="he-IL"/>
        </w:rPr>
        <w:t>sa tentation au désert</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les premiers disciples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 premier miracle aux noces de Cana.</w:t>
      </w:r>
      <w:r w:rsidR="00C2602D" w:rsidRPr="00C8701B">
        <w:rPr>
          <w:rFonts w:eastAsia="Arial Unicode MS"/>
          <w:bCs/>
          <w:lang w:eastAsia="fr-FR" w:bidi="he-IL"/>
        </w:rPr>
        <w:t xml:space="preserve"> </w:t>
      </w:r>
    </w:p>
    <w:p w:rsidR="00C2602D" w:rsidRPr="00C8701B" w:rsidRDefault="00B704AD" w:rsidP="009A1115">
      <w:pPr>
        <w:rPr>
          <w:rFonts w:eastAsia="Arial Unicode MS"/>
          <w:bCs/>
          <w:lang w:eastAsia="fr-FR" w:bidi="he-IL"/>
        </w:rPr>
      </w:pPr>
      <w:r w:rsidRPr="00DC4586">
        <w:rPr>
          <w:rStyle w:val="italicus"/>
        </w:rPr>
        <w:t>Deuxième section</w:t>
      </w:r>
      <w:r w:rsidR="009A1115">
        <w:rPr>
          <w:rStyle w:val="italicus"/>
        </w:rPr>
        <w:t xml:space="preserve"> : </w:t>
      </w:r>
      <w:r w:rsidRPr="00C8701B">
        <w:rPr>
          <w:rFonts w:eastAsia="Arial Unicode MS"/>
          <w:bCs/>
          <w:lang w:eastAsia="fr-FR" w:bidi="he-IL"/>
        </w:rPr>
        <w:t>Entre la première et la seconde Pâque de la vie publique</w:t>
      </w:r>
      <w:r w:rsidR="00933C60" w:rsidRPr="00C406FF">
        <w:rPr>
          <w:rStyle w:val="Appelnotedebasdep"/>
        </w:rPr>
        <w:footnoteReference w:id="120"/>
      </w:r>
      <w:r w:rsidRPr="00C8701B">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Jésus à Jérusalem</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les vendeurs chassés du temple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entretien avec Nicodème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ministère préliminaire et préparatoire de </w:t>
      </w:r>
      <w:r w:rsidR="00234B88">
        <w:rPr>
          <w:rFonts w:eastAsia="Arial Unicode MS"/>
          <w:bCs/>
          <w:lang w:eastAsia="fr-FR" w:bidi="he-IL"/>
        </w:rPr>
        <w:t>Jésus-Christ</w:t>
      </w:r>
      <w:r w:rsidRPr="00C8701B">
        <w:rPr>
          <w:rFonts w:eastAsia="Arial Unicode MS"/>
          <w:bCs/>
          <w:lang w:eastAsia="fr-FR" w:bidi="he-IL"/>
        </w:rPr>
        <w:t xml:space="preserve"> en Judée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entretien avec la Samaritaine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Jean-Baptiste est mis en prison</w:t>
      </w:r>
      <w:r w:rsidR="00C2602D" w:rsidRPr="00C8701B">
        <w:rPr>
          <w:rFonts w:eastAsia="Arial Unicode MS"/>
          <w:bCs/>
          <w:lang w:eastAsia="fr-FR" w:bidi="he-IL"/>
        </w:rPr>
        <w:t> </w:t>
      </w:r>
      <w:r w:rsidR="007F6508">
        <w:rPr>
          <w:rFonts w:eastAsia="Arial Unicode MS"/>
          <w:bCs/>
          <w:lang w:eastAsia="fr-FR" w:bidi="he-IL"/>
        </w:rPr>
        <w:t xml:space="preserve">; </w:t>
      </w:r>
      <w:r w:rsidR="009A1115">
        <w:rPr>
          <w:rFonts w:eastAsia="Arial Unicode MS"/>
          <w:bCs/>
          <w:lang w:eastAsia="fr-FR" w:bidi="he-IL"/>
        </w:rPr>
        <w:t>débu</w:t>
      </w:r>
      <w:r w:rsidRPr="00C8701B">
        <w:rPr>
          <w:rFonts w:eastAsia="Arial Unicode MS"/>
          <w:bCs/>
          <w:lang w:eastAsia="fr-FR" w:bidi="he-IL"/>
        </w:rPr>
        <w:t>ts du ministère de Jésus en Galilée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repoussé de Nazareth</w:t>
      </w:r>
      <w:r w:rsidR="00E65435">
        <w:rPr>
          <w:rFonts w:eastAsia="Arial Unicode MS"/>
          <w:bCs/>
          <w:lang w:eastAsia="fr-FR" w:bidi="he-IL"/>
        </w:rPr>
        <w:t xml:space="preserve">, </w:t>
      </w:r>
      <w:r w:rsidRPr="00C8701B">
        <w:rPr>
          <w:rFonts w:eastAsia="Arial Unicode MS"/>
          <w:bCs/>
          <w:lang w:eastAsia="fr-FR" w:bidi="he-IL"/>
        </w:rPr>
        <w:t xml:space="preserve">Notre-Seigneur fixe son séjour à </w:t>
      </w:r>
      <w:r w:rsidR="00C215A6">
        <w:rPr>
          <w:rFonts w:eastAsia="Arial Unicode MS"/>
          <w:bCs/>
          <w:lang w:eastAsia="fr-FR" w:bidi="he-IL"/>
        </w:rPr>
        <w:t>Capharnaüm</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pêche miraculeuse et vocation définitive des quatre premiers disciples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nombreux miracles à </w:t>
      </w:r>
      <w:r w:rsidR="00C215A6">
        <w:rPr>
          <w:rFonts w:eastAsia="Arial Unicode MS"/>
          <w:bCs/>
          <w:lang w:eastAsia="fr-FR" w:bidi="he-IL"/>
        </w:rPr>
        <w:t>Capharnaüm</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Jésus parcourt la Galilée en prêchant le royaume des cieux</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vocation de Lévi.</w:t>
      </w:r>
      <w:r w:rsidR="00C2602D" w:rsidRPr="00C8701B">
        <w:rPr>
          <w:rFonts w:eastAsia="Arial Unicode MS"/>
          <w:bCs/>
          <w:lang w:eastAsia="fr-FR" w:bidi="he-IL"/>
        </w:rPr>
        <w:t xml:space="preserve"> </w:t>
      </w:r>
    </w:p>
    <w:p w:rsidR="00C2602D" w:rsidRPr="00C8701B" w:rsidRDefault="00B704AD" w:rsidP="009A1115">
      <w:pPr>
        <w:rPr>
          <w:rFonts w:eastAsia="Arial Unicode MS"/>
          <w:bCs/>
          <w:lang w:eastAsia="fr-FR" w:bidi="he-IL"/>
        </w:rPr>
      </w:pPr>
      <w:r w:rsidRPr="00DC4586">
        <w:rPr>
          <w:rStyle w:val="italicus"/>
        </w:rPr>
        <w:t>Troisième section</w:t>
      </w:r>
      <w:r w:rsidR="00C2602D" w:rsidRPr="00DC4586">
        <w:rPr>
          <w:rStyle w:val="italicus"/>
        </w:rPr>
        <w:t> :</w:t>
      </w:r>
      <w:r w:rsidRPr="00C8701B">
        <w:rPr>
          <w:rFonts w:eastAsia="Arial Unicode MS"/>
          <w:bCs/>
          <w:lang w:eastAsia="fr-FR" w:bidi="he-IL"/>
        </w:rPr>
        <w:t xml:space="preserve"> Entre la seconde et la troisième Pâque de la vie publique</w:t>
      </w:r>
      <w:r w:rsidR="00933C60" w:rsidRPr="00C406FF">
        <w:rPr>
          <w:rStyle w:val="Appelnotedebasdep"/>
        </w:rPr>
        <w:footnoteReference w:id="121"/>
      </w:r>
      <w:r w:rsidRPr="00C8701B">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Jésus guérit un malade à Jérusalem auprès de la piscine de Béthesda et démontre aux Juifs sa divinité</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retour en </w:t>
      </w:r>
      <w:r w:rsidR="00116664" w:rsidRPr="00C8701B">
        <w:rPr>
          <w:rFonts w:eastAsia="Arial Unicode MS"/>
          <w:bCs/>
          <w:lang w:eastAsia="fr-FR" w:bidi="he-IL"/>
        </w:rPr>
        <w:t>Galilée</w:t>
      </w:r>
      <w:r w:rsidR="00E65435">
        <w:rPr>
          <w:rFonts w:eastAsia="Arial Unicode MS"/>
          <w:bCs/>
          <w:lang w:eastAsia="fr-FR" w:bidi="he-IL"/>
        </w:rPr>
        <w:t xml:space="preserve">, </w:t>
      </w:r>
      <w:r w:rsidRPr="00C8701B">
        <w:rPr>
          <w:rFonts w:eastAsia="Arial Unicode MS"/>
          <w:bCs/>
          <w:lang w:eastAsia="fr-FR" w:bidi="he-IL"/>
        </w:rPr>
        <w:t>et conflit avec les Pharisiens à l</w:t>
      </w:r>
      <w:r w:rsidR="00557DE0">
        <w:rPr>
          <w:rFonts w:eastAsia="Arial Unicode MS"/>
          <w:bCs/>
          <w:lang w:eastAsia="fr-FR" w:bidi="he-IL"/>
        </w:rPr>
        <w:t>’</w:t>
      </w:r>
      <w:r w:rsidRPr="00C8701B">
        <w:rPr>
          <w:rFonts w:eastAsia="Arial Unicode MS"/>
          <w:bCs/>
          <w:lang w:eastAsia="fr-FR" w:bidi="he-IL"/>
        </w:rPr>
        <w:t>occasion de plusieurs autres miracles accomplis le jour du sabbat</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Jésus sur les bords du lac du Tibériade et entouré de foules nombreuses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élection des apôtres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discours sur la montagne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guérison du serviteur du centurion</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résurrection du fils de la veuve de Naïm</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009A1115">
        <w:rPr>
          <w:rFonts w:eastAsia="Arial Unicode MS"/>
          <w:bCs/>
          <w:lang w:eastAsia="fr-FR" w:bidi="he-IL"/>
        </w:rPr>
        <w:t>am</w:t>
      </w:r>
      <w:r w:rsidRPr="00C8701B">
        <w:rPr>
          <w:rFonts w:eastAsia="Arial Unicode MS"/>
          <w:bCs/>
          <w:lang w:eastAsia="fr-FR" w:bidi="he-IL"/>
        </w:rPr>
        <w:t>bassa</w:t>
      </w:r>
      <w:r w:rsidR="009A1115">
        <w:rPr>
          <w:rFonts w:eastAsia="Arial Unicode MS"/>
          <w:bCs/>
          <w:lang w:eastAsia="fr-FR" w:bidi="he-IL"/>
        </w:rPr>
        <w:t>de</w:t>
      </w:r>
      <w:r w:rsidRPr="00C8701B">
        <w:rPr>
          <w:rFonts w:eastAsia="Arial Unicode MS"/>
          <w:bCs/>
          <w:lang w:eastAsia="fr-FR" w:bidi="he-IL"/>
        </w:rPr>
        <w:t xml:space="preserve"> du Précurseur au Messie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la pécheresse chez Simon le Pharisien</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Jésus parcourt de nouveau la Galilée en prêchant</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lutte ouverte avec les pharisiens</w:t>
      </w:r>
      <w:r w:rsidR="00E65435">
        <w:rPr>
          <w:rFonts w:eastAsia="Arial Unicode MS"/>
          <w:bCs/>
          <w:lang w:eastAsia="fr-FR" w:bidi="he-IL"/>
        </w:rPr>
        <w:t xml:space="preserve">, </w:t>
      </w:r>
      <w:r w:rsidRPr="00C8701B">
        <w:rPr>
          <w:rFonts w:eastAsia="Arial Unicode MS"/>
          <w:bCs/>
          <w:lang w:eastAsia="fr-FR" w:bidi="he-IL"/>
        </w:rPr>
        <w:t>qui l</w:t>
      </w:r>
      <w:r w:rsidR="00557DE0">
        <w:rPr>
          <w:rFonts w:eastAsia="Arial Unicode MS"/>
          <w:bCs/>
          <w:lang w:eastAsia="fr-FR" w:bidi="he-IL"/>
        </w:rPr>
        <w:t>’</w:t>
      </w:r>
      <w:r w:rsidRPr="00C8701B">
        <w:rPr>
          <w:rFonts w:eastAsia="Arial Unicode MS"/>
          <w:bCs/>
          <w:lang w:eastAsia="fr-FR" w:bidi="he-IL"/>
        </w:rPr>
        <w:t>accusent d</w:t>
      </w:r>
      <w:r w:rsidR="00557DE0">
        <w:rPr>
          <w:rFonts w:eastAsia="Arial Unicode MS"/>
          <w:bCs/>
          <w:lang w:eastAsia="fr-FR" w:bidi="he-IL"/>
        </w:rPr>
        <w:t>’</w:t>
      </w:r>
      <w:r w:rsidRPr="00C8701B">
        <w:rPr>
          <w:rFonts w:eastAsia="Arial Unicode MS"/>
          <w:bCs/>
          <w:lang w:eastAsia="fr-FR" w:bidi="he-IL"/>
        </w:rPr>
        <w:t>être l</w:t>
      </w:r>
      <w:r w:rsidR="00557DE0">
        <w:rPr>
          <w:rFonts w:eastAsia="Arial Unicode MS"/>
          <w:bCs/>
          <w:lang w:eastAsia="fr-FR" w:bidi="he-IL"/>
        </w:rPr>
        <w:t>’</w:t>
      </w:r>
      <w:r w:rsidRPr="00C8701B">
        <w:rPr>
          <w:rFonts w:eastAsia="Arial Unicode MS"/>
          <w:bCs/>
          <w:lang w:eastAsia="fr-FR" w:bidi="he-IL"/>
        </w:rPr>
        <w:t>instrument de Satan</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les paraboles du royaume des cieux</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la tempête apaisée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Jésus à Gérasa</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retour sur la rive occidentale du lac</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guérison de l</w:t>
      </w:r>
      <w:r w:rsidR="00557DE0">
        <w:rPr>
          <w:rFonts w:eastAsia="Arial Unicode MS"/>
          <w:bCs/>
          <w:lang w:eastAsia="fr-FR" w:bidi="he-IL"/>
        </w:rPr>
        <w:t>’</w:t>
      </w:r>
      <w:r w:rsidRPr="00C8701B">
        <w:rPr>
          <w:rFonts w:eastAsia="Arial Unicode MS"/>
          <w:bCs/>
          <w:lang w:eastAsia="fr-FR" w:bidi="he-IL"/>
        </w:rPr>
        <w:t>h</w:t>
      </w:r>
      <w:r w:rsidR="009A1115">
        <w:rPr>
          <w:rFonts w:eastAsia="Arial Unicode MS"/>
          <w:bCs/>
          <w:lang w:eastAsia="fr-FR" w:bidi="he-IL"/>
        </w:rPr>
        <w:t>émorroïsse</w:t>
      </w:r>
      <w:r w:rsidRPr="00C8701B">
        <w:rPr>
          <w:rFonts w:eastAsia="Arial Unicode MS"/>
          <w:bCs/>
          <w:lang w:eastAsia="fr-FR" w:bidi="he-IL"/>
        </w:rPr>
        <w:t xml:space="preserve"> et résurrection de la fille de Jaïre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 Messie est encore repoussé par les habitants de Nazareth</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il parcourt pour la troisième fois la Galilée</w:t>
      </w:r>
      <w:r w:rsidR="00E65435">
        <w:rPr>
          <w:rFonts w:eastAsia="Arial Unicode MS"/>
          <w:bCs/>
          <w:lang w:eastAsia="fr-FR" w:bidi="he-IL"/>
        </w:rPr>
        <w:t xml:space="preserve">, </w:t>
      </w:r>
      <w:r w:rsidRPr="00C8701B">
        <w:rPr>
          <w:rFonts w:eastAsia="Arial Unicode MS"/>
          <w:bCs/>
          <w:lang w:eastAsia="fr-FR" w:bidi="he-IL"/>
        </w:rPr>
        <w:t>en envo</w:t>
      </w:r>
      <w:r w:rsidR="009A1115">
        <w:rPr>
          <w:rFonts w:eastAsia="Arial Unicode MS"/>
          <w:bCs/>
          <w:lang w:eastAsia="fr-FR" w:bidi="he-IL"/>
        </w:rPr>
        <w:t xml:space="preserve">yant ses </w:t>
      </w:r>
      <w:r w:rsidR="00116664">
        <w:rPr>
          <w:rFonts w:eastAsia="Arial Unicode MS"/>
          <w:bCs/>
          <w:lang w:eastAsia="fr-FR" w:bidi="he-IL"/>
        </w:rPr>
        <w:t>apôtre</w:t>
      </w:r>
      <w:r w:rsidR="00116664" w:rsidRPr="00C8701B">
        <w:rPr>
          <w:rFonts w:eastAsia="Arial Unicode MS"/>
          <w:bCs/>
          <w:lang w:eastAsia="fr-FR" w:bidi="he-IL"/>
        </w:rPr>
        <w:t>s</w:t>
      </w:r>
      <w:r w:rsidRPr="00C8701B">
        <w:rPr>
          <w:rFonts w:eastAsia="Arial Unicode MS"/>
          <w:bCs/>
          <w:lang w:eastAsia="fr-FR" w:bidi="he-IL"/>
        </w:rPr>
        <w:t xml:space="preserve"> devant lui</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martyre de S. </w:t>
      </w:r>
      <w:r w:rsidR="00116664" w:rsidRPr="00C8701B">
        <w:rPr>
          <w:rFonts w:eastAsia="Arial Unicode MS"/>
          <w:bCs/>
          <w:lang w:eastAsia="fr-FR" w:bidi="he-IL"/>
        </w:rPr>
        <w:t>Jean-Baptiste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première multiplication des pains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discours solennel à </w:t>
      </w:r>
      <w:r w:rsidR="00C215A6">
        <w:rPr>
          <w:rFonts w:eastAsia="Arial Unicode MS"/>
          <w:bCs/>
          <w:lang w:eastAsia="fr-FR" w:bidi="he-IL"/>
        </w:rPr>
        <w:t>Capharnaüm</w:t>
      </w:r>
      <w:r w:rsidR="00E65435">
        <w:rPr>
          <w:rFonts w:eastAsia="Arial Unicode MS"/>
          <w:bCs/>
          <w:lang w:eastAsia="fr-FR" w:bidi="he-IL"/>
        </w:rPr>
        <w:t xml:space="preserve">, </w:t>
      </w:r>
      <w:r w:rsidRPr="00C8701B">
        <w:rPr>
          <w:rFonts w:eastAsia="Arial Unicode MS"/>
          <w:bCs/>
          <w:lang w:eastAsia="fr-FR" w:bidi="he-IL"/>
        </w:rPr>
        <w:t>et promesse de l</w:t>
      </w:r>
      <w:r w:rsidR="00557DE0">
        <w:rPr>
          <w:rFonts w:eastAsia="Arial Unicode MS"/>
          <w:bCs/>
          <w:lang w:eastAsia="fr-FR" w:bidi="he-IL"/>
        </w:rPr>
        <w:t>’</w:t>
      </w:r>
      <w:r w:rsidRPr="00C8701B">
        <w:rPr>
          <w:rFonts w:eastAsia="Arial Unicode MS"/>
          <w:bCs/>
          <w:lang w:eastAsia="fr-FR" w:bidi="he-IL"/>
        </w:rPr>
        <w:t>Eucharistie</w:t>
      </w:r>
      <w:r w:rsidR="00E65435">
        <w:rPr>
          <w:rFonts w:eastAsia="Arial Unicode MS"/>
          <w:bCs/>
          <w:lang w:eastAsia="fr-FR" w:bidi="he-IL"/>
        </w:rPr>
        <w:t xml:space="preserve">, </w:t>
      </w:r>
      <w:r w:rsidRPr="00C8701B">
        <w:rPr>
          <w:rFonts w:eastAsia="Arial Unicode MS"/>
          <w:bCs/>
          <w:lang w:eastAsia="fr-FR" w:bidi="he-IL"/>
        </w:rPr>
        <w:t>qui détermine une crise parmi les disciples.</w:t>
      </w:r>
      <w:r w:rsidR="00C2602D" w:rsidRPr="00C8701B">
        <w:rPr>
          <w:rFonts w:eastAsia="Arial Unicode MS"/>
          <w:bCs/>
          <w:lang w:eastAsia="fr-FR" w:bidi="he-IL"/>
        </w:rPr>
        <w:t xml:space="preserve"> </w:t>
      </w:r>
    </w:p>
    <w:p w:rsidR="00C2602D" w:rsidRPr="00C8701B" w:rsidRDefault="00B704AD" w:rsidP="009A1115">
      <w:pPr>
        <w:rPr>
          <w:rFonts w:eastAsia="Arial Unicode MS"/>
          <w:bCs/>
          <w:lang w:eastAsia="fr-FR" w:bidi="he-IL"/>
        </w:rPr>
      </w:pPr>
      <w:r w:rsidRPr="00DC4586">
        <w:rPr>
          <w:rStyle w:val="italicus"/>
        </w:rPr>
        <w:t>Quatrième section</w:t>
      </w:r>
      <w:r w:rsidR="00C2602D" w:rsidRPr="00DC4586">
        <w:rPr>
          <w:rStyle w:val="italicus"/>
        </w:rPr>
        <w:t> :</w:t>
      </w:r>
      <w:r w:rsidRPr="00C8701B">
        <w:rPr>
          <w:rFonts w:eastAsia="Arial Unicode MS"/>
          <w:bCs/>
          <w:lang w:eastAsia="fr-FR" w:bidi="he-IL"/>
        </w:rPr>
        <w:t xml:space="preserve"> Depuis la troisième Pâque de la vie publique du Messie jusqu</w:t>
      </w:r>
      <w:r w:rsidR="00557DE0">
        <w:rPr>
          <w:rFonts w:eastAsia="Arial Unicode MS"/>
          <w:bCs/>
          <w:lang w:eastAsia="fr-FR" w:bidi="he-IL"/>
        </w:rPr>
        <w:t>’</w:t>
      </w:r>
      <w:r w:rsidRPr="00C8701B">
        <w:rPr>
          <w:rFonts w:eastAsia="Arial Unicode MS"/>
          <w:bCs/>
          <w:lang w:eastAsia="fr-FR" w:bidi="he-IL"/>
        </w:rPr>
        <w:t>à la fête suivante des Tabernacles</w:t>
      </w:r>
      <w:r w:rsidR="00933C60" w:rsidRPr="00C406FF">
        <w:rPr>
          <w:rStyle w:val="Appelnotedebasdep"/>
        </w:rPr>
        <w:footnoteReference w:id="122"/>
      </w:r>
      <w:r w:rsidRPr="00C8701B">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Controverse avec les pharisiens au sujet des traditions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Jésus sur les confins de la Phénicie</w:t>
      </w:r>
      <w:r w:rsidR="00E65435">
        <w:rPr>
          <w:rFonts w:eastAsia="Arial Unicode MS"/>
          <w:bCs/>
          <w:lang w:eastAsia="fr-FR" w:bidi="he-IL"/>
        </w:rPr>
        <w:t xml:space="preserve">, </w:t>
      </w:r>
      <w:r w:rsidRPr="00C8701B">
        <w:rPr>
          <w:rFonts w:eastAsia="Arial Unicode MS"/>
          <w:bCs/>
          <w:lang w:eastAsia="fr-FR" w:bidi="he-IL"/>
        </w:rPr>
        <w:t>et guérison de la fille de la Chananéenne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grand voyage au nord de la Galilée</w:t>
      </w:r>
      <w:r w:rsidR="00E65435">
        <w:rPr>
          <w:rFonts w:eastAsia="Arial Unicode MS"/>
          <w:bCs/>
          <w:lang w:eastAsia="fr-FR" w:bidi="he-IL"/>
        </w:rPr>
        <w:t xml:space="preserve">, </w:t>
      </w:r>
      <w:r w:rsidRPr="00C8701B">
        <w:rPr>
          <w:rFonts w:eastAsia="Arial Unicode MS"/>
          <w:bCs/>
          <w:lang w:eastAsia="fr-FR" w:bidi="he-IL"/>
        </w:rPr>
        <w:t>et retour sur les bords du lac par la Décapole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second</w:t>
      </w:r>
      <w:r w:rsidR="009A1115">
        <w:rPr>
          <w:rFonts w:eastAsia="Arial Unicode MS"/>
          <w:bCs/>
          <w:lang w:eastAsia="fr-FR" w:bidi="he-IL"/>
        </w:rPr>
        <w:t xml:space="preserve">e </w:t>
      </w:r>
      <w:r w:rsidRPr="00C8701B">
        <w:rPr>
          <w:rFonts w:eastAsia="Arial Unicode MS"/>
          <w:bCs/>
          <w:lang w:eastAsia="fr-FR" w:bidi="he-IL"/>
        </w:rPr>
        <w:t>multiplication des pains</w:t>
      </w:r>
      <w:r w:rsidR="00C2602D" w:rsidRPr="00C8701B">
        <w:rPr>
          <w:rFonts w:eastAsia="Arial Unicode MS"/>
          <w:bCs/>
          <w:lang w:eastAsia="fr-FR" w:bidi="he-IL"/>
        </w:rPr>
        <w:t> </w:t>
      </w:r>
      <w:r w:rsidR="007F6508">
        <w:rPr>
          <w:rFonts w:eastAsia="Arial Unicode MS"/>
          <w:bCs/>
          <w:lang w:eastAsia="fr-FR" w:bidi="he-IL"/>
        </w:rPr>
        <w:t xml:space="preserve">; </w:t>
      </w:r>
      <w:r w:rsidR="009A1115">
        <w:rPr>
          <w:rFonts w:eastAsia="Arial Unicode MS"/>
          <w:bCs/>
          <w:lang w:eastAsia="fr-FR" w:bidi="he-IL"/>
        </w:rPr>
        <w:t>les Sadducéens unis a</w:t>
      </w:r>
      <w:r w:rsidRPr="00C8701B">
        <w:rPr>
          <w:rFonts w:eastAsia="Arial Unicode MS"/>
          <w:bCs/>
          <w:lang w:eastAsia="fr-FR" w:bidi="he-IL"/>
        </w:rPr>
        <w:t>ux Pharisiens contre Jésus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00116664">
        <w:rPr>
          <w:rFonts w:eastAsia="Arial Unicode MS"/>
          <w:bCs/>
          <w:lang w:eastAsia="fr-FR" w:bidi="he-IL"/>
        </w:rPr>
        <w:t>aveugle de Bethsaïde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la confession de S. Pierre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mystère de la transfiguration</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voyage secret à travers la Galilée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départ pour Jérusalem</w:t>
      </w:r>
      <w:r w:rsidR="00E65435">
        <w:rPr>
          <w:rFonts w:eastAsia="Arial Unicode MS"/>
          <w:bCs/>
          <w:lang w:eastAsia="fr-FR" w:bidi="he-IL"/>
        </w:rPr>
        <w:t xml:space="preserve">, </w:t>
      </w:r>
      <w:r w:rsidRPr="00C8701B">
        <w:rPr>
          <w:rFonts w:eastAsia="Arial Unicode MS"/>
          <w:bCs/>
          <w:lang w:eastAsia="fr-FR" w:bidi="he-IL"/>
        </w:rPr>
        <w:t>à l</w:t>
      </w:r>
      <w:r w:rsidR="00557DE0">
        <w:rPr>
          <w:rFonts w:eastAsia="Arial Unicode MS"/>
          <w:bCs/>
          <w:lang w:eastAsia="fr-FR" w:bidi="he-IL"/>
        </w:rPr>
        <w:t>’</w:t>
      </w:r>
      <w:r w:rsidRPr="00C8701B">
        <w:rPr>
          <w:rFonts w:eastAsia="Arial Unicode MS"/>
          <w:bCs/>
          <w:lang w:eastAsia="fr-FR" w:bidi="he-IL"/>
        </w:rPr>
        <w:t>occasion de la fête des Tabernacles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mission des soixante-douze disciples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Jésus chez Marthe et Marie.</w:t>
      </w:r>
      <w:r w:rsidR="00C2602D" w:rsidRPr="00C8701B">
        <w:rPr>
          <w:rFonts w:eastAsia="Arial Unicode MS"/>
          <w:bCs/>
          <w:lang w:eastAsia="fr-FR" w:bidi="he-IL"/>
        </w:rPr>
        <w:t xml:space="preserve"> </w:t>
      </w:r>
    </w:p>
    <w:p w:rsidR="00C2602D" w:rsidRPr="00C8701B" w:rsidRDefault="00B704AD" w:rsidP="00B907E8">
      <w:pPr>
        <w:rPr>
          <w:rFonts w:eastAsia="Arial Unicode MS"/>
          <w:bCs/>
          <w:lang w:eastAsia="fr-FR" w:bidi="he-IL"/>
        </w:rPr>
      </w:pPr>
      <w:r w:rsidRPr="00DC4586">
        <w:rPr>
          <w:rStyle w:val="italicus"/>
        </w:rPr>
        <w:t>Cinquième section</w:t>
      </w:r>
      <w:r w:rsidR="00C2602D" w:rsidRPr="00DC4586">
        <w:rPr>
          <w:rStyle w:val="italicus"/>
        </w:rPr>
        <w:t> :</w:t>
      </w:r>
      <w:r w:rsidRPr="00C8701B">
        <w:rPr>
          <w:rFonts w:eastAsia="Arial Unicode MS"/>
          <w:bCs/>
          <w:lang w:eastAsia="fr-FR" w:bidi="he-IL"/>
        </w:rPr>
        <w:t xml:space="preserve"> De la fête des Tabernacles à celle de la Dédicace</w:t>
      </w:r>
      <w:r w:rsidR="00933C60" w:rsidRPr="00C406FF">
        <w:rPr>
          <w:rStyle w:val="Appelnotedebasdep"/>
        </w:rPr>
        <w:footnoteReference w:id="123"/>
      </w:r>
      <w:r w:rsidRPr="00C8701B">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Arrivée soudaine de Jésus-Christ à Jérusalem pendant la fête</w:t>
      </w:r>
      <w:r w:rsidR="00C2602D" w:rsidRPr="00C8701B">
        <w:rPr>
          <w:rFonts w:eastAsia="Arial Unicode MS"/>
          <w:bCs/>
          <w:lang w:eastAsia="fr-FR" w:bidi="he-IL"/>
        </w:rPr>
        <w:t> </w:t>
      </w:r>
      <w:r w:rsidR="007F6508">
        <w:rPr>
          <w:rFonts w:eastAsia="Arial Unicode MS"/>
          <w:bCs/>
          <w:lang w:eastAsia="fr-FR" w:bidi="he-IL"/>
        </w:rPr>
        <w:t xml:space="preserve">; </w:t>
      </w:r>
      <w:r w:rsidR="00B907E8" w:rsidRPr="000716BB">
        <w:rPr>
          <w:rFonts w:eastAsia="Arial Unicode MS"/>
          <w:bCs/>
          <w:lang w:eastAsia="fr-FR" w:bidi="he-IL"/>
        </w:rPr>
        <w:t>{</w:t>
      </w:r>
      <w:r w:rsidR="00B907E8">
        <w:rPr>
          <w:rFonts w:eastAsia="Arial Unicode MS"/>
          <w:bCs/>
          <w:lang w:eastAsia="fr-FR" w:bidi="he-IL"/>
        </w:rPr>
        <w:t>24</w:t>
      </w:r>
      <w:bookmarkStart w:id="42" w:name="pag024"/>
      <w:bookmarkEnd w:id="42"/>
      <w:r w:rsidR="00B907E8" w:rsidRPr="000716BB">
        <w:rPr>
          <w:rFonts w:eastAsia="Arial Unicode MS"/>
          <w:bCs/>
          <w:lang w:eastAsia="fr-FR" w:bidi="he-IL"/>
        </w:rPr>
        <w:t>}</w:t>
      </w:r>
      <w:r w:rsidR="00B907E8">
        <w:rPr>
          <w:rFonts w:eastAsia="Arial Unicode MS"/>
          <w:bCs/>
          <w:lang w:eastAsia="fr-FR" w:bidi="he-IL"/>
        </w:rPr>
        <w:t xml:space="preserve"> </w:t>
      </w:r>
      <w:r w:rsidRPr="00C8701B">
        <w:rPr>
          <w:rFonts w:eastAsia="Arial Unicode MS"/>
          <w:bCs/>
          <w:lang w:eastAsia="fr-FR" w:bidi="he-IL"/>
        </w:rPr>
        <w:t>discours</w:t>
      </w:r>
      <w:r w:rsidR="00C2602D" w:rsidRPr="00C8701B">
        <w:rPr>
          <w:rFonts w:eastAsia="Arial Unicode MS"/>
          <w:bCs/>
          <w:lang w:eastAsia="fr-FR" w:bidi="he-IL"/>
        </w:rPr>
        <w:t xml:space="preserve"> </w:t>
      </w:r>
      <w:r w:rsidRPr="00C8701B">
        <w:rPr>
          <w:rFonts w:eastAsia="Arial Unicode MS"/>
          <w:bCs/>
          <w:lang w:eastAsia="fr-FR" w:bidi="he-IL"/>
        </w:rPr>
        <w:t>où il affirme sa divinité</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épisode de la femme adultère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 bon Pasteur</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instructions et exhortations aux disciples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paraboles de la brebis perdue</w:t>
      </w:r>
      <w:r w:rsidR="00E65435">
        <w:rPr>
          <w:rFonts w:eastAsia="Arial Unicode MS"/>
          <w:bCs/>
          <w:lang w:eastAsia="fr-FR" w:bidi="he-IL"/>
        </w:rPr>
        <w:t xml:space="preserve">, </w:t>
      </w:r>
      <w:r w:rsidRPr="00C8701B">
        <w:rPr>
          <w:rFonts w:eastAsia="Arial Unicode MS"/>
          <w:bCs/>
          <w:lang w:eastAsia="fr-FR" w:bidi="he-IL"/>
        </w:rPr>
        <w:t>de la drachme égarée</w:t>
      </w:r>
      <w:r w:rsidR="00E65435">
        <w:rPr>
          <w:rFonts w:eastAsia="Arial Unicode MS"/>
          <w:bCs/>
          <w:lang w:eastAsia="fr-FR" w:bidi="he-IL"/>
        </w:rPr>
        <w:t xml:space="preserve">, </w:t>
      </w:r>
      <w:r w:rsidRPr="00C8701B">
        <w:rPr>
          <w:rFonts w:eastAsia="Arial Unicode MS"/>
          <w:bCs/>
          <w:lang w:eastAsia="fr-FR" w:bidi="he-IL"/>
        </w:rPr>
        <w:t>de l</w:t>
      </w:r>
      <w:r w:rsidR="00557DE0">
        <w:rPr>
          <w:rFonts w:eastAsia="Arial Unicode MS"/>
          <w:bCs/>
          <w:lang w:eastAsia="fr-FR" w:bidi="he-IL"/>
        </w:rPr>
        <w:t>’</w:t>
      </w:r>
      <w:r w:rsidRPr="00C8701B">
        <w:rPr>
          <w:rFonts w:eastAsia="Arial Unicode MS"/>
          <w:bCs/>
          <w:lang w:eastAsia="fr-FR" w:bidi="he-IL"/>
        </w:rPr>
        <w:t>enfant prodigue</w:t>
      </w:r>
      <w:r w:rsidR="00E65435">
        <w:rPr>
          <w:rFonts w:eastAsia="Arial Unicode MS"/>
          <w:bCs/>
          <w:lang w:eastAsia="fr-FR" w:bidi="he-IL"/>
        </w:rPr>
        <w:t xml:space="preserve">, </w:t>
      </w:r>
      <w:r w:rsidRPr="00C8701B">
        <w:rPr>
          <w:rFonts w:eastAsia="Arial Unicode MS"/>
          <w:bCs/>
          <w:lang w:eastAsia="fr-FR" w:bidi="he-IL"/>
        </w:rPr>
        <w:t>de l</w:t>
      </w:r>
      <w:r w:rsidR="00557DE0">
        <w:rPr>
          <w:rFonts w:eastAsia="Arial Unicode MS"/>
          <w:bCs/>
          <w:lang w:eastAsia="fr-FR" w:bidi="he-IL"/>
        </w:rPr>
        <w:t>’</w:t>
      </w:r>
      <w:r w:rsidRPr="00C8701B">
        <w:rPr>
          <w:rFonts w:eastAsia="Arial Unicode MS"/>
          <w:bCs/>
          <w:lang w:eastAsia="fr-FR" w:bidi="he-IL"/>
        </w:rPr>
        <w:t>économe infidèle</w:t>
      </w:r>
      <w:r w:rsidR="00E65435">
        <w:rPr>
          <w:rFonts w:eastAsia="Arial Unicode MS"/>
          <w:bCs/>
          <w:lang w:eastAsia="fr-FR" w:bidi="he-IL"/>
        </w:rPr>
        <w:t xml:space="preserve">, </w:t>
      </w:r>
      <w:r w:rsidRPr="00C8701B">
        <w:rPr>
          <w:rFonts w:eastAsia="Arial Unicode MS"/>
          <w:bCs/>
          <w:lang w:eastAsia="fr-FR" w:bidi="he-IL"/>
        </w:rPr>
        <w:t>du mauvais riche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guérison des dix lépreux</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premier séjour en Pérée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les petits enfants et le jeune homme riche.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DC4586">
        <w:rPr>
          <w:rStyle w:val="italicus"/>
        </w:rPr>
        <w:t>Sixième section</w:t>
      </w:r>
      <w:r w:rsidR="00C2602D" w:rsidRPr="00DC4586">
        <w:rPr>
          <w:rStyle w:val="italicus"/>
        </w:rPr>
        <w:t> :</w:t>
      </w:r>
      <w:r w:rsidRPr="00C8701B">
        <w:rPr>
          <w:rFonts w:eastAsia="Arial Unicode MS"/>
          <w:bCs/>
          <w:lang w:eastAsia="fr-FR" w:bidi="he-IL"/>
        </w:rPr>
        <w:t xml:space="preserve"> Depuis la Dédicace jusqu</w:t>
      </w:r>
      <w:r w:rsidR="00557DE0">
        <w:rPr>
          <w:rFonts w:eastAsia="Arial Unicode MS"/>
          <w:bCs/>
          <w:lang w:eastAsia="fr-FR" w:bidi="he-IL"/>
        </w:rPr>
        <w:t>’</w:t>
      </w:r>
      <w:r w:rsidRPr="00C8701B">
        <w:rPr>
          <w:rFonts w:eastAsia="Arial Unicode MS"/>
          <w:bCs/>
          <w:lang w:eastAsia="fr-FR" w:bidi="he-IL"/>
        </w:rPr>
        <w:t>à l</w:t>
      </w:r>
      <w:r w:rsidR="00557DE0">
        <w:rPr>
          <w:rFonts w:eastAsia="Arial Unicode MS"/>
          <w:bCs/>
          <w:lang w:eastAsia="fr-FR" w:bidi="he-IL"/>
        </w:rPr>
        <w:t>’</w:t>
      </w:r>
      <w:r w:rsidRPr="00C8701B">
        <w:rPr>
          <w:rFonts w:eastAsia="Arial Unicode MS"/>
          <w:bCs/>
          <w:lang w:eastAsia="fr-FR" w:bidi="he-IL"/>
        </w:rPr>
        <w:t>entrée triomphale de Jésus-Christ à Jérusalem</w:t>
      </w:r>
      <w:r w:rsidR="00933C60" w:rsidRPr="00C406FF">
        <w:rPr>
          <w:rStyle w:val="Appelnotedebasdep"/>
        </w:rPr>
        <w:footnoteReference w:id="124"/>
      </w:r>
      <w:r w:rsidRPr="00C8701B">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Séjour à Jérusalem pendant la fête de la Dédicace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retour en Pérée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résurrection de Lazare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séjour à </w:t>
      </w:r>
      <w:r w:rsidR="00116664">
        <w:rPr>
          <w:rFonts w:eastAsia="Arial Unicode MS"/>
          <w:bCs/>
          <w:lang w:eastAsia="fr-FR" w:bidi="he-IL"/>
        </w:rPr>
        <w:t>Ephrém</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les aveugles de Jéricho et Zachée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00F318D3">
        <w:rPr>
          <w:rFonts w:eastAsia="Arial Unicode MS"/>
          <w:bCs/>
          <w:lang w:eastAsia="fr-FR" w:bidi="he-IL"/>
        </w:rPr>
        <w:t>onction de Béthanie.</w:t>
      </w:r>
      <w:r w:rsidR="00C2602D" w:rsidRPr="00C8701B">
        <w:rPr>
          <w:rFonts w:eastAsia="Arial Unicode MS"/>
          <w:bCs/>
          <w:lang w:eastAsia="fr-FR" w:bidi="he-IL"/>
        </w:rPr>
        <w:t xml:space="preserve"> </w:t>
      </w:r>
    </w:p>
    <w:p w:rsidR="00C2602D" w:rsidRPr="00C8701B" w:rsidRDefault="00B704AD" w:rsidP="00F318D3">
      <w:pPr>
        <w:rPr>
          <w:rFonts w:eastAsia="Arial Unicode MS"/>
          <w:bCs/>
          <w:lang w:eastAsia="fr-FR" w:bidi="he-IL"/>
        </w:rPr>
      </w:pPr>
      <w:r w:rsidRPr="00C8701B">
        <w:rPr>
          <w:rFonts w:eastAsia="Arial Unicode MS"/>
          <w:bCs/>
          <w:lang w:eastAsia="fr-FR" w:bidi="he-IL"/>
        </w:rPr>
        <w:t>Troisième acte</w:t>
      </w:r>
      <w:r w:rsidR="00C2602D" w:rsidRPr="00C8701B">
        <w:rPr>
          <w:rFonts w:eastAsia="Arial Unicode MS"/>
          <w:bCs/>
          <w:lang w:eastAsia="fr-FR" w:bidi="he-IL"/>
        </w:rPr>
        <w:t> :</w:t>
      </w:r>
      <w:r w:rsidRPr="00C8701B">
        <w:rPr>
          <w:rFonts w:eastAsia="Arial Unicode MS"/>
          <w:bCs/>
          <w:lang w:eastAsia="fr-FR" w:bidi="he-IL"/>
        </w:rPr>
        <w:t xml:space="preserve"> La Passion de N.-S. Jésus-Christ. C</w:t>
      </w:r>
      <w:r w:rsidR="00557DE0">
        <w:rPr>
          <w:rFonts w:eastAsia="Arial Unicode MS"/>
          <w:bCs/>
          <w:lang w:eastAsia="fr-FR" w:bidi="he-IL"/>
        </w:rPr>
        <w:t>’</w:t>
      </w:r>
      <w:r w:rsidRPr="00C8701B">
        <w:rPr>
          <w:rFonts w:eastAsia="Arial Unicode MS"/>
          <w:bCs/>
          <w:lang w:eastAsia="fr-FR" w:bidi="he-IL"/>
        </w:rPr>
        <w:t xml:space="preserve">est le dénouement du </w:t>
      </w:r>
      <w:r w:rsidR="00116664" w:rsidRPr="00C8701B">
        <w:rPr>
          <w:rFonts w:eastAsia="Arial Unicode MS"/>
          <w:bCs/>
          <w:lang w:eastAsia="fr-FR" w:bidi="he-IL"/>
        </w:rPr>
        <w:t>drame</w:t>
      </w:r>
      <w:r w:rsidRPr="00C8701B">
        <w:rPr>
          <w:rFonts w:eastAsia="Arial Unicode MS"/>
          <w:bCs/>
          <w:lang w:eastAsia="fr-FR" w:bidi="he-IL"/>
        </w:rPr>
        <w:t xml:space="preserve"> grandiose</w:t>
      </w:r>
      <w:r w:rsidR="00E65435">
        <w:rPr>
          <w:rFonts w:eastAsia="Arial Unicode MS"/>
          <w:bCs/>
          <w:lang w:eastAsia="fr-FR" w:bidi="he-IL"/>
        </w:rPr>
        <w:t xml:space="preserve">, </w:t>
      </w:r>
      <w:r w:rsidRPr="00C8701B">
        <w:rPr>
          <w:rFonts w:eastAsia="Arial Unicode MS"/>
          <w:bCs/>
          <w:lang w:eastAsia="fr-FR" w:bidi="he-IL"/>
        </w:rPr>
        <w:t>dans la capitale juive. La durée est d</w:t>
      </w:r>
      <w:r w:rsidR="00557DE0">
        <w:rPr>
          <w:rFonts w:eastAsia="Arial Unicode MS"/>
          <w:bCs/>
          <w:lang w:eastAsia="fr-FR" w:bidi="he-IL"/>
        </w:rPr>
        <w:t>’</w:t>
      </w:r>
      <w:r w:rsidRPr="00C8701B">
        <w:rPr>
          <w:rFonts w:eastAsia="Arial Unicode MS"/>
          <w:bCs/>
          <w:lang w:eastAsia="fr-FR" w:bidi="he-IL"/>
        </w:rPr>
        <w:t>une semaine</w:t>
      </w:r>
      <w:r w:rsidR="00E65435">
        <w:rPr>
          <w:rFonts w:eastAsia="Arial Unicode MS"/>
          <w:bCs/>
          <w:lang w:eastAsia="fr-FR" w:bidi="he-IL"/>
        </w:rPr>
        <w:t xml:space="preserve">, </w:t>
      </w:r>
      <w:r w:rsidRPr="00C8701B">
        <w:rPr>
          <w:rFonts w:eastAsia="Arial Unicode MS"/>
          <w:bCs/>
          <w:lang w:eastAsia="fr-FR" w:bidi="he-IL"/>
        </w:rPr>
        <w:t>du dimanche au samedi soir</w:t>
      </w:r>
      <w:r w:rsidR="00933C60" w:rsidRPr="00C406FF">
        <w:rPr>
          <w:rStyle w:val="Appelnotedebasdep"/>
        </w:rPr>
        <w:footnoteReference w:id="125"/>
      </w:r>
      <w:r w:rsidRPr="00C8701B">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Dimanche de la semaine sainte</w:t>
      </w:r>
      <w:r w:rsidR="00C2602D" w:rsidRPr="00C8701B">
        <w:rPr>
          <w:rFonts w:eastAsia="Arial Unicode MS"/>
          <w:bCs/>
          <w:lang w:eastAsia="fr-FR" w:bidi="he-IL"/>
        </w:rPr>
        <w:t> :</w:t>
      </w:r>
      <w:r w:rsidRPr="00C8701B">
        <w:rPr>
          <w:rFonts w:eastAsia="Arial Unicode MS"/>
          <w:bCs/>
          <w:lang w:eastAsia="fr-FR" w:bidi="he-IL"/>
        </w:rPr>
        <w:t xml:space="preserve"> l</w:t>
      </w:r>
      <w:r w:rsidR="00557DE0">
        <w:rPr>
          <w:rFonts w:eastAsia="Arial Unicode MS"/>
          <w:bCs/>
          <w:lang w:eastAsia="fr-FR" w:bidi="he-IL"/>
        </w:rPr>
        <w:t>’</w:t>
      </w:r>
      <w:r w:rsidRPr="00C8701B">
        <w:rPr>
          <w:rFonts w:eastAsia="Arial Unicode MS"/>
          <w:bCs/>
          <w:lang w:eastAsia="fr-FR" w:bidi="he-IL"/>
        </w:rPr>
        <w:t>entrée solennelle de Jésus à Jérusalem. Lundi saint</w:t>
      </w:r>
      <w:r w:rsidR="00C2602D" w:rsidRPr="00C8701B">
        <w:rPr>
          <w:rFonts w:eastAsia="Arial Unicode MS"/>
          <w:bCs/>
          <w:lang w:eastAsia="fr-FR" w:bidi="he-IL"/>
        </w:rPr>
        <w:t> :</w:t>
      </w:r>
      <w:r w:rsidRPr="00C8701B">
        <w:rPr>
          <w:rFonts w:eastAsia="Arial Unicode MS"/>
          <w:bCs/>
          <w:lang w:eastAsia="fr-FR" w:bidi="he-IL"/>
        </w:rPr>
        <w:t xml:space="preserve"> le figuier desséché</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Jésus règne en maître dans le temple</w:t>
      </w:r>
      <w:r w:rsidR="00E65435">
        <w:rPr>
          <w:rFonts w:eastAsia="Arial Unicode MS"/>
          <w:bCs/>
          <w:lang w:eastAsia="fr-FR" w:bidi="he-IL"/>
        </w:rPr>
        <w:t xml:space="preserve">, </w:t>
      </w:r>
      <w:r w:rsidRPr="00C8701B">
        <w:rPr>
          <w:rFonts w:eastAsia="Arial Unicode MS"/>
          <w:bCs/>
          <w:lang w:eastAsia="fr-FR" w:bidi="he-IL"/>
        </w:rPr>
        <w:t>dont il chasse une seconde fois les ven</w:t>
      </w:r>
      <w:r w:rsidR="00F318D3">
        <w:rPr>
          <w:rFonts w:eastAsia="Arial Unicode MS"/>
          <w:bCs/>
          <w:lang w:eastAsia="fr-FR" w:bidi="he-IL"/>
        </w:rPr>
        <w:t>d</w:t>
      </w:r>
      <w:r w:rsidRPr="00C8701B">
        <w:rPr>
          <w:rFonts w:eastAsia="Arial Unicode MS"/>
          <w:bCs/>
          <w:lang w:eastAsia="fr-FR" w:bidi="he-IL"/>
        </w:rPr>
        <w:t>eurs. Mardi saint</w:t>
      </w:r>
      <w:r w:rsidR="00C2602D" w:rsidRPr="00C8701B">
        <w:rPr>
          <w:rFonts w:eastAsia="Arial Unicode MS"/>
          <w:bCs/>
          <w:lang w:eastAsia="fr-FR" w:bidi="he-IL"/>
        </w:rPr>
        <w:t> :</w:t>
      </w:r>
      <w:r w:rsidRPr="00C8701B">
        <w:rPr>
          <w:rFonts w:eastAsia="Arial Unicode MS"/>
          <w:bCs/>
          <w:lang w:eastAsia="fr-FR" w:bidi="he-IL"/>
        </w:rPr>
        <w:t xml:space="preserve"> les ennemis du Sauveur essayent de l</w:t>
      </w:r>
      <w:r w:rsidR="00557DE0">
        <w:rPr>
          <w:rFonts w:eastAsia="Arial Unicode MS"/>
          <w:bCs/>
          <w:lang w:eastAsia="fr-FR" w:bidi="he-IL"/>
        </w:rPr>
        <w:t>’</w:t>
      </w:r>
      <w:r w:rsidRPr="00C8701B">
        <w:rPr>
          <w:rFonts w:eastAsia="Arial Unicode MS"/>
          <w:bCs/>
          <w:lang w:eastAsia="fr-FR" w:bidi="he-IL"/>
        </w:rPr>
        <w:t>embarrasser et de le compromettre</w:t>
      </w:r>
      <w:r w:rsidR="00E65435">
        <w:rPr>
          <w:rFonts w:eastAsia="Arial Unicode MS"/>
          <w:bCs/>
          <w:lang w:eastAsia="fr-FR" w:bidi="he-IL"/>
        </w:rPr>
        <w:t xml:space="preserve">, </w:t>
      </w:r>
      <w:r w:rsidRPr="00C8701B">
        <w:rPr>
          <w:rFonts w:eastAsia="Arial Unicode MS"/>
          <w:bCs/>
          <w:lang w:eastAsia="fr-FR" w:bidi="he-IL"/>
        </w:rPr>
        <w:t>échec complet de leurs misérables tentatives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Jésus dénonce leur hypocrisie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discours relatif à la ruine de Jérusalem et à la fin des temps.</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Le mercredi fut sans doute passé à Béthanie</w:t>
      </w:r>
      <w:r w:rsidR="00E65435">
        <w:rPr>
          <w:rFonts w:eastAsia="Arial Unicode MS"/>
          <w:bCs/>
          <w:lang w:eastAsia="fr-FR" w:bidi="he-IL"/>
        </w:rPr>
        <w:t xml:space="preserve">, </w:t>
      </w:r>
      <w:r w:rsidRPr="00C8701B">
        <w:rPr>
          <w:rFonts w:eastAsia="Arial Unicode MS"/>
          <w:bCs/>
          <w:lang w:eastAsia="fr-FR" w:bidi="he-IL"/>
        </w:rPr>
        <w:t>dans la retraite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nous n</w:t>
      </w:r>
      <w:r w:rsidR="00557DE0">
        <w:rPr>
          <w:rFonts w:eastAsia="Arial Unicode MS"/>
          <w:bCs/>
          <w:lang w:eastAsia="fr-FR" w:bidi="he-IL"/>
        </w:rPr>
        <w:t>’</w:t>
      </w:r>
      <w:r w:rsidRPr="00C8701B">
        <w:rPr>
          <w:rFonts w:eastAsia="Arial Unicode MS"/>
          <w:bCs/>
          <w:lang w:eastAsia="fr-FR" w:bidi="he-IL"/>
        </w:rPr>
        <w:t>en connaissons pas les détails.</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Le jeudi saint introduit les grands événements de la fin</w:t>
      </w:r>
      <w:r w:rsidR="00E65435">
        <w:rPr>
          <w:rFonts w:eastAsia="Arial Unicode MS"/>
          <w:bCs/>
          <w:lang w:eastAsia="fr-FR" w:bidi="he-IL"/>
        </w:rPr>
        <w:t xml:space="preserve">, </w:t>
      </w:r>
      <w:r w:rsidRPr="00C8701B">
        <w:rPr>
          <w:rFonts w:eastAsia="Arial Unicode MS"/>
          <w:bCs/>
          <w:lang w:eastAsia="fr-FR" w:bidi="he-IL"/>
        </w:rPr>
        <w:t>et nous montre successivement</w:t>
      </w:r>
      <w:r w:rsidR="00C2602D" w:rsidRPr="00C8701B">
        <w:rPr>
          <w:rFonts w:eastAsia="Arial Unicode MS"/>
          <w:bCs/>
          <w:lang w:eastAsia="fr-FR" w:bidi="he-IL"/>
        </w:rPr>
        <w:t> :</w:t>
      </w:r>
      <w:r w:rsidRPr="00C8701B">
        <w:rPr>
          <w:rFonts w:eastAsia="Arial Unicode MS"/>
          <w:bCs/>
          <w:lang w:eastAsia="fr-FR" w:bidi="he-IL"/>
        </w:rPr>
        <w:t xml:space="preserve"> Jésus s</w:t>
      </w:r>
      <w:r w:rsidR="00557DE0">
        <w:rPr>
          <w:rFonts w:eastAsia="Arial Unicode MS"/>
          <w:bCs/>
          <w:lang w:eastAsia="fr-FR" w:bidi="he-IL"/>
        </w:rPr>
        <w:t>’</w:t>
      </w:r>
      <w:r w:rsidRPr="00C8701B">
        <w:rPr>
          <w:rFonts w:eastAsia="Arial Unicode MS"/>
          <w:bCs/>
          <w:lang w:eastAsia="fr-FR" w:bidi="he-IL"/>
        </w:rPr>
        <w:t>occupant des préparatifs de la Pâque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Jésus au cénacle</w:t>
      </w:r>
      <w:r w:rsidR="00E65435">
        <w:rPr>
          <w:rFonts w:eastAsia="Arial Unicode MS"/>
          <w:bCs/>
          <w:lang w:eastAsia="fr-FR" w:bidi="he-IL"/>
        </w:rPr>
        <w:t xml:space="preserve">, </w:t>
      </w:r>
      <w:r w:rsidR="00F318D3">
        <w:rPr>
          <w:rFonts w:eastAsia="Arial Unicode MS"/>
          <w:bCs/>
          <w:lang w:eastAsia="fr-FR" w:bidi="he-IL"/>
        </w:rPr>
        <w:t>man</w:t>
      </w:r>
      <w:r w:rsidRPr="00C8701B">
        <w:rPr>
          <w:rFonts w:eastAsia="Arial Unicode MS"/>
          <w:bCs/>
          <w:lang w:eastAsia="fr-FR" w:bidi="he-IL"/>
        </w:rPr>
        <w:t>geant l</w:t>
      </w:r>
      <w:r w:rsidR="00557DE0">
        <w:rPr>
          <w:rFonts w:eastAsia="Arial Unicode MS"/>
          <w:bCs/>
          <w:lang w:eastAsia="fr-FR" w:bidi="he-IL"/>
        </w:rPr>
        <w:t>’</w:t>
      </w:r>
      <w:r w:rsidRPr="00C8701B">
        <w:rPr>
          <w:rFonts w:eastAsia="Arial Unicode MS"/>
          <w:bCs/>
          <w:lang w:eastAsia="fr-FR" w:bidi="he-IL"/>
        </w:rPr>
        <w:t>agneau pascal avec ses apôtres</w:t>
      </w:r>
      <w:r w:rsidR="00E65435">
        <w:rPr>
          <w:rFonts w:eastAsia="Arial Unicode MS"/>
          <w:bCs/>
          <w:lang w:eastAsia="fr-FR" w:bidi="he-IL"/>
        </w:rPr>
        <w:t xml:space="preserve">, </w:t>
      </w:r>
      <w:r w:rsidRPr="00C8701B">
        <w:rPr>
          <w:rFonts w:eastAsia="Arial Unicode MS"/>
          <w:bCs/>
          <w:lang w:eastAsia="fr-FR" w:bidi="he-IL"/>
        </w:rPr>
        <w:t>instituant l</w:t>
      </w:r>
      <w:r w:rsidR="00557DE0">
        <w:rPr>
          <w:rFonts w:eastAsia="Arial Unicode MS"/>
          <w:bCs/>
          <w:lang w:eastAsia="fr-FR" w:bidi="he-IL"/>
        </w:rPr>
        <w:t>’</w:t>
      </w:r>
      <w:r w:rsidRPr="00C8701B">
        <w:rPr>
          <w:rFonts w:eastAsia="Arial Unicode MS"/>
          <w:bCs/>
          <w:lang w:eastAsia="fr-FR" w:bidi="he-IL"/>
        </w:rPr>
        <w:t>Eucharistie et le sacerdoce</w:t>
      </w:r>
      <w:r w:rsidR="00E65435">
        <w:rPr>
          <w:rFonts w:eastAsia="Arial Unicode MS"/>
          <w:bCs/>
          <w:lang w:eastAsia="fr-FR" w:bidi="he-IL"/>
        </w:rPr>
        <w:t xml:space="preserve">, </w:t>
      </w:r>
      <w:r w:rsidRPr="00C8701B">
        <w:rPr>
          <w:rFonts w:eastAsia="Arial Unicode MS"/>
          <w:bCs/>
          <w:lang w:eastAsia="fr-FR" w:bidi="he-IL"/>
        </w:rPr>
        <w:t>adressant aux siens ses dernières recommandations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Jésus à </w:t>
      </w:r>
      <w:r w:rsidR="00116664" w:rsidRPr="00C8701B">
        <w:rPr>
          <w:rFonts w:eastAsia="Arial Unicode MS"/>
          <w:bCs/>
          <w:lang w:eastAsia="fr-FR" w:bidi="he-IL"/>
        </w:rPr>
        <w:t>Gethsémani</w:t>
      </w:r>
      <w:r w:rsidRPr="00C8701B">
        <w:rPr>
          <w:rFonts w:eastAsia="Arial Unicode MS"/>
          <w:bCs/>
          <w:lang w:eastAsia="fr-FR" w:bidi="he-IL"/>
        </w:rPr>
        <w:t xml:space="preserve"> dans sa triple lutte et sa triple victoire</w:t>
      </w:r>
      <w:r w:rsidR="00E65435">
        <w:rPr>
          <w:rFonts w:eastAsia="Arial Unicode MS"/>
          <w:bCs/>
          <w:lang w:eastAsia="fr-FR" w:bidi="he-IL"/>
        </w:rPr>
        <w:t xml:space="preserve">, </w:t>
      </w:r>
      <w:r w:rsidRPr="00C8701B">
        <w:rPr>
          <w:rFonts w:eastAsia="Arial Unicode MS"/>
          <w:bCs/>
          <w:lang w:eastAsia="fr-FR" w:bidi="he-IL"/>
        </w:rPr>
        <w:t>trahi par Juda et arrêté au nom du Sanhédrin</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Jésus devant Anne et devant Caïphe</w:t>
      </w:r>
      <w:r w:rsidR="00E65435">
        <w:rPr>
          <w:rFonts w:eastAsia="Arial Unicode MS"/>
          <w:bCs/>
          <w:lang w:eastAsia="fr-FR" w:bidi="he-IL"/>
        </w:rPr>
        <w:t xml:space="preserve">, </w:t>
      </w:r>
      <w:r w:rsidRPr="00C8701B">
        <w:rPr>
          <w:rFonts w:eastAsia="Arial Unicode MS"/>
          <w:bCs/>
          <w:lang w:eastAsia="fr-FR" w:bidi="he-IL"/>
        </w:rPr>
        <w:t>jugé</w:t>
      </w:r>
      <w:r w:rsidR="00E65435">
        <w:rPr>
          <w:rFonts w:eastAsia="Arial Unicode MS"/>
          <w:bCs/>
          <w:lang w:eastAsia="fr-FR" w:bidi="he-IL"/>
        </w:rPr>
        <w:t xml:space="preserve">, </w:t>
      </w:r>
      <w:r w:rsidRPr="00C8701B">
        <w:rPr>
          <w:rFonts w:eastAsia="Arial Unicode MS"/>
          <w:bCs/>
          <w:lang w:eastAsia="fr-FR" w:bidi="he-IL"/>
        </w:rPr>
        <w:t>condamné</w:t>
      </w:r>
      <w:r w:rsidR="00E65435">
        <w:rPr>
          <w:rFonts w:eastAsia="Arial Unicode MS"/>
          <w:bCs/>
          <w:lang w:eastAsia="fr-FR" w:bidi="he-IL"/>
        </w:rPr>
        <w:t xml:space="preserve">, </w:t>
      </w:r>
      <w:r w:rsidRPr="00C8701B">
        <w:rPr>
          <w:rFonts w:eastAsia="Arial Unicode MS"/>
          <w:bCs/>
          <w:lang w:eastAsia="fr-FR" w:bidi="he-IL"/>
        </w:rPr>
        <w:t>maltraité</w:t>
      </w:r>
      <w:r w:rsidR="00E65435">
        <w:rPr>
          <w:rFonts w:eastAsia="Arial Unicode MS"/>
          <w:bCs/>
          <w:lang w:eastAsia="fr-FR" w:bidi="he-IL"/>
        </w:rPr>
        <w:t xml:space="preserve">, </w:t>
      </w:r>
      <w:r w:rsidRPr="00C8701B">
        <w:rPr>
          <w:rFonts w:eastAsia="Arial Unicode MS"/>
          <w:bCs/>
          <w:lang w:eastAsia="fr-FR" w:bidi="he-IL"/>
        </w:rPr>
        <w:t>renié par S. Pierre.</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Le vendredi saint achève l</w:t>
      </w:r>
      <w:r w:rsidR="00557DE0">
        <w:rPr>
          <w:rFonts w:eastAsia="Arial Unicode MS"/>
          <w:bCs/>
          <w:lang w:eastAsia="fr-FR" w:bidi="he-IL"/>
        </w:rPr>
        <w:t>’</w:t>
      </w:r>
      <w:r w:rsidRPr="00C8701B">
        <w:rPr>
          <w:rFonts w:eastAsia="Arial Unicode MS"/>
          <w:bCs/>
          <w:lang w:eastAsia="fr-FR" w:bidi="he-IL"/>
        </w:rPr>
        <w:t>œuvre commencée dans la soirée du jeudi</w:t>
      </w:r>
      <w:r w:rsidR="00C2602D" w:rsidRPr="00C8701B">
        <w:rPr>
          <w:rFonts w:eastAsia="Arial Unicode MS"/>
          <w:bCs/>
          <w:lang w:eastAsia="fr-FR" w:bidi="he-IL"/>
        </w:rPr>
        <w:t> :</w:t>
      </w:r>
      <w:r w:rsidRPr="00C8701B">
        <w:rPr>
          <w:rFonts w:eastAsia="Arial Unicode MS"/>
          <w:bCs/>
          <w:lang w:eastAsia="fr-FR" w:bidi="he-IL"/>
        </w:rPr>
        <w:t xml:space="preserve"> Jésus devant Pilate (péripéties douloureuses</w:t>
      </w:r>
      <w:r w:rsidR="00C2602D" w:rsidRPr="00C8701B">
        <w:rPr>
          <w:rFonts w:eastAsia="Arial Unicode MS"/>
          <w:bCs/>
          <w:lang w:eastAsia="fr-FR" w:bidi="he-IL"/>
        </w:rPr>
        <w:t> :</w:t>
      </w:r>
      <w:r w:rsidRPr="00C8701B">
        <w:rPr>
          <w:rFonts w:eastAsia="Arial Unicode MS"/>
          <w:bCs/>
          <w:lang w:eastAsia="fr-FR" w:bidi="he-IL"/>
        </w:rPr>
        <w:t xml:space="preserve"> le désespoir du traître</w:t>
      </w:r>
      <w:r w:rsidR="00E65435">
        <w:rPr>
          <w:rFonts w:eastAsia="Arial Unicode MS"/>
          <w:bCs/>
          <w:lang w:eastAsia="fr-FR" w:bidi="he-IL"/>
        </w:rPr>
        <w:t xml:space="preserve">, </w:t>
      </w:r>
      <w:r w:rsidRPr="00C8701B">
        <w:rPr>
          <w:rFonts w:eastAsia="Arial Unicode MS"/>
          <w:bCs/>
          <w:lang w:eastAsia="fr-FR" w:bidi="he-IL"/>
        </w:rPr>
        <w:t>les accusations lancées contre Jésus par le peuple et par ses chefs spirituels</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interrogatoire au tribunal de Pilate</w:t>
      </w:r>
      <w:r w:rsidR="00E65435">
        <w:rPr>
          <w:rFonts w:eastAsia="Arial Unicode MS"/>
          <w:bCs/>
          <w:lang w:eastAsia="fr-FR" w:bidi="he-IL"/>
        </w:rPr>
        <w:t xml:space="preserve">, </w:t>
      </w:r>
      <w:r w:rsidRPr="00C8701B">
        <w:rPr>
          <w:rFonts w:eastAsia="Arial Unicode MS"/>
          <w:bCs/>
          <w:lang w:eastAsia="fr-FR" w:bidi="he-IL"/>
        </w:rPr>
        <w:t>Jésus devant Hérode</w:t>
      </w:r>
      <w:r w:rsidR="00E65435">
        <w:rPr>
          <w:rFonts w:eastAsia="Arial Unicode MS"/>
          <w:bCs/>
          <w:lang w:eastAsia="fr-FR" w:bidi="he-IL"/>
        </w:rPr>
        <w:t xml:space="preserve">, </w:t>
      </w:r>
      <w:r w:rsidRPr="00C8701B">
        <w:rPr>
          <w:rFonts w:eastAsia="Arial Unicode MS"/>
          <w:bCs/>
          <w:lang w:eastAsia="fr-FR" w:bidi="he-IL"/>
        </w:rPr>
        <w:t>nouvel interrogatoire au prétoire</w:t>
      </w:r>
      <w:r w:rsidR="00E65435">
        <w:rPr>
          <w:rFonts w:eastAsia="Arial Unicode MS"/>
          <w:bCs/>
          <w:lang w:eastAsia="fr-FR" w:bidi="he-IL"/>
        </w:rPr>
        <w:t xml:space="preserve">, </w:t>
      </w:r>
      <w:r w:rsidRPr="00C8701B">
        <w:rPr>
          <w:rFonts w:eastAsia="Arial Unicode MS"/>
          <w:bCs/>
          <w:lang w:eastAsia="fr-FR" w:bidi="he-IL"/>
        </w:rPr>
        <w:t>la flagellation</w:t>
      </w:r>
      <w:r w:rsidR="00E65435">
        <w:rPr>
          <w:rFonts w:eastAsia="Arial Unicode MS"/>
          <w:bCs/>
          <w:lang w:eastAsia="fr-FR" w:bidi="he-IL"/>
        </w:rPr>
        <w:t xml:space="preserve">, </w:t>
      </w:r>
      <w:r w:rsidRPr="00C8701B">
        <w:rPr>
          <w:rFonts w:eastAsia="Arial Unicode MS"/>
          <w:bCs/>
          <w:lang w:eastAsia="fr-FR" w:bidi="he-IL"/>
        </w:rPr>
        <w:t>le couronnement d</w:t>
      </w:r>
      <w:r w:rsidR="00557DE0">
        <w:rPr>
          <w:rFonts w:eastAsia="Arial Unicode MS"/>
          <w:bCs/>
          <w:lang w:eastAsia="fr-FR" w:bidi="he-IL"/>
        </w:rPr>
        <w:t>’</w:t>
      </w:r>
      <w:r w:rsidRPr="00C8701B">
        <w:rPr>
          <w:rFonts w:eastAsia="Arial Unicode MS"/>
          <w:bCs/>
          <w:lang w:eastAsia="fr-FR" w:bidi="he-IL"/>
        </w:rPr>
        <w:t>épines</w:t>
      </w:r>
      <w:r w:rsidR="00E65435">
        <w:rPr>
          <w:rFonts w:eastAsia="Arial Unicode MS"/>
          <w:bCs/>
          <w:lang w:eastAsia="fr-FR" w:bidi="he-IL"/>
        </w:rPr>
        <w:t xml:space="preserve">, </w:t>
      </w:r>
      <w:r w:rsidRPr="00C8701B">
        <w:rPr>
          <w:rFonts w:eastAsia="Arial Unicode MS"/>
          <w:bCs/>
          <w:lang w:eastAsia="fr-FR" w:bidi="he-IL"/>
        </w:rPr>
        <w:t>la sentence définitive)</w:t>
      </w:r>
      <w:r w:rsidR="00C2602D" w:rsidRPr="00C8701B">
        <w:rPr>
          <w:rFonts w:eastAsia="Arial Unicode MS"/>
          <w:bCs/>
          <w:lang w:eastAsia="fr-FR" w:bidi="he-IL"/>
        </w:rPr>
        <w:t> </w:t>
      </w:r>
      <w:r w:rsidR="007F6508">
        <w:rPr>
          <w:rFonts w:eastAsia="Arial Unicode MS"/>
          <w:bCs/>
          <w:lang w:eastAsia="fr-FR" w:bidi="he-IL"/>
        </w:rPr>
        <w:t xml:space="preserve">; </w:t>
      </w:r>
      <w:r w:rsidR="00F318D3">
        <w:rPr>
          <w:rFonts w:eastAsia="Arial Unicode MS"/>
          <w:bCs/>
          <w:lang w:eastAsia="fr-FR" w:bidi="he-IL"/>
        </w:rPr>
        <w:t>Jésus au Gol</w:t>
      </w:r>
      <w:r w:rsidRPr="00C8701B">
        <w:rPr>
          <w:rFonts w:eastAsia="Arial Unicode MS"/>
          <w:bCs/>
          <w:lang w:eastAsia="fr-FR" w:bidi="he-IL"/>
        </w:rPr>
        <w:t xml:space="preserve">gotha (la </w:t>
      </w:r>
      <w:r w:rsidR="00F318D3">
        <w:rPr>
          <w:rStyle w:val="italicus"/>
        </w:rPr>
        <w:t>vi</w:t>
      </w:r>
      <w:r w:rsidRPr="00DC4586">
        <w:rPr>
          <w:rStyle w:val="italicus"/>
        </w:rPr>
        <w:t>a crucis</w:t>
      </w:r>
      <w:r w:rsidR="00E65435">
        <w:rPr>
          <w:rStyle w:val="italicus"/>
        </w:rPr>
        <w:t xml:space="preserve">, </w:t>
      </w:r>
      <w:r w:rsidRPr="00C8701B">
        <w:rPr>
          <w:rFonts w:eastAsia="Arial Unicode MS"/>
          <w:bCs/>
          <w:lang w:eastAsia="fr-FR" w:bidi="he-IL"/>
        </w:rPr>
        <w:t>le crucifiement</w:t>
      </w:r>
      <w:r w:rsidR="00E65435">
        <w:rPr>
          <w:rFonts w:eastAsia="Arial Unicode MS"/>
          <w:bCs/>
          <w:lang w:eastAsia="fr-FR" w:bidi="he-IL"/>
        </w:rPr>
        <w:t xml:space="preserve">, </w:t>
      </w:r>
      <w:r w:rsidRPr="00C8701B">
        <w:rPr>
          <w:rFonts w:eastAsia="Arial Unicode MS"/>
          <w:bCs/>
          <w:lang w:eastAsia="fr-FR" w:bidi="he-IL"/>
        </w:rPr>
        <w:t>les sept paroles du Christ mourant</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agonie</w:t>
      </w:r>
      <w:r w:rsidR="00E65435">
        <w:rPr>
          <w:rFonts w:eastAsia="Arial Unicode MS"/>
          <w:bCs/>
          <w:lang w:eastAsia="fr-FR" w:bidi="he-IL"/>
        </w:rPr>
        <w:t xml:space="preserve">, </w:t>
      </w:r>
      <w:r w:rsidRPr="00C8701B">
        <w:rPr>
          <w:rFonts w:eastAsia="Arial Unicode MS"/>
          <w:bCs/>
          <w:lang w:eastAsia="fr-FR" w:bidi="he-IL"/>
        </w:rPr>
        <w:t>le dernier soupir)</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Jésus au tombeau (le</w:t>
      </w:r>
      <w:r w:rsidR="00F318D3">
        <w:rPr>
          <w:rStyle w:val="italicus"/>
        </w:rPr>
        <w:t xml:space="preserve"> crurifrá</w:t>
      </w:r>
      <w:r w:rsidRPr="00DC4586">
        <w:rPr>
          <w:rStyle w:val="italicus"/>
        </w:rPr>
        <w:t>gium</w:t>
      </w:r>
      <w:r w:rsidR="00E65435">
        <w:rPr>
          <w:rStyle w:val="italicus"/>
        </w:rPr>
        <w:t xml:space="preserve">, </w:t>
      </w:r>
      <w:r w:rsidRPr="00C8701B">
        <w:rPr>
          <w:rFonts w:eastAsia="Arial Unicode MS"/>
          <w:bCs/>
          <w:lang w:eastAsia="fr-FR" w:bidi="he-IL"/>
        </w:rPr>
        <w:t>la descente de croix et la sépulture).</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Le samedi saint est un jour mystérieux</w:t>
      </w:r>
      <w:r w:rsidR="00E65435">
        <w:rPr>
          <w:rFonts w:eastAsia="Arial Unicode MS"/>
          <w:bCs/>
          <w:lang w:eastAsia="fr-FR" w:bidi="he-IL"/>
        </w:rPr>
        <w:t xml:space="preserve">, </w:t>
      </w:r>
      <w:r w:rsidRPr="00C8701B">
        <w:rPr>
          <w:rFonts w:eastAsia="Arial Unicode MS"/>
          <w:bCs/>
          <w:lang w:eastAsia="fr-FR" w:bidi="he-IL"/>
        </w:rPr>
        <w:t>sur lequel les évangélistes gardent le silence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la sainte âme de l</w:t>
      </w:r>
      <w:r w:rsidR="00557DE0">
        <w:rPr>
          <w:rFonts w:eastAsia="Arial Unicode MS"/>
          <w:bCs/>
          <w:lang w:eastAsia="fr-FR" w:bidi="he-IL"/>
        </w:rPr>
        <w:t>’</w:t>
      </w:r>
      <w:r w:rsidRPr="00C8701B">
        <w:rPr>
          <w:rFonts w:eastAsia="Arial Unicode MS"/>
          <w:bCs/>
          <w:lang w:eastAsia="fr-FR" w:bidi="he-IL"/>
        </w:rPr>
        <w:t>Homme-Dieu descend aux limbes</w:t>
      </w:r>
      <w:r w:rsidR="00E65435">
        <w:rPr>
          <w:rFonts w:eastAsia="Arial Unicode MS"/>
          <w:bCs/>
          <w:lang w:eastAsia="fr-FR" w:bidi="he-IL"/>
        </w:rPr>
        <w:t xml:space="preserve">, </w:t>
      </w:r>
      <w:r w:rsidRPr="00C8701B">
        <w:rPr>
          <w:rFonts w:eastAsia="Arial Unicode MS"/>
          <w:bCs/>
          <w:lang w:eastAsia="fr-FR" w:bidi="he-IL"/>
        </w:rPr>
        <w:t>son corps demeure dans le tombeau.</w:t>
      </w:r>
      <w:r w:rsidR="00C2602D" w:rsidRPr="00C8701B">
        <w:rPr>
          <w:rFonts w:eastAsia="Arial Unicode MS"/>
          <w:bCs/>
          <w:lang w:eastAsia="fr-FR" w:bidi="he-IL"/>
        </w:rPr>
        <w:t xml:space="preserve"> </w:t>
      </w:r>
    </w:p>
    <w:p w:rsidR="00C2602D" w:rsidRPr="00C8701B" w:rsidRDefault="00116664" w:rsidP="00B907E8">
      <w:pPr>
        <w:rPr>
          <w:rFonts w:eastAsia="Arial Unicode MS"/>
          <w:bCs/>
          <w:lang w:eastAsia="fr-FR" w:bidi="he-IL"/>
        </w:rPr>
      </w:pPr>
      <w:r w:rsidRPr="00C8701B">
        <w:rPr>
          <w:rFonts w:eastAsia="Arial Unicode MS"/>
          <w:bCs/>
          <w:lang w:eastAsia="fr-FR" w:bidi="he-IL"/>
        </w:rPr>
        <w:t>Épilogue</w:t>
      </w:r>
      <w:r w:rsidR="00B704AD" w:rsidRPr="00C8701B">
        <w:rPr>
          <w:rFonts w:eastAsia="Arial Unicode MS"/>
          <w:bCs/>
          <w:lang w:eastAsia="fr-FR" w:bidi="he-IL"/>
        </w:rPr>
        <w:t xml:space="preserve"> ou conclusion</w:t>
      </w:r>
      <w:r w:rsidR="00933C60" w:rsidRPr="00C406FF">
        <w:rPr>
          <w:rStyle w:val="Appelnotedebasdep"/>
        </w:rPr>
        <w:footnoteReference w:id="126"/>
      </w:r>
      <w:r w:rsidR="00B704AD" w:rsidRPr="00C8701B">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00B704AD" w:rsidRPr="00C8701B">
        <w:rPr>
          <w:rFonts w:eastAsia="Arial Unicode MS"/>
          <w:bCs/>
          <w:lang w:eastAsia="fr-FR" w:bidi="he-IL"/>
        </w:rPr>
        <w:t>Deux grands mystères</w:t>
      </w:r>
      <w:r w:rsidR="00E65435">
        <w:rPr>
          <w:rFonts w:eastAsia="Arial Unicode MS"/>
          <w:bCs/>
          <w:lang w:eastAsia="fr-FR" w:bidi="he-IL"/>
        </w:rPr>
        <w:t xml:space="preserve">, </w:t>
      </w:r>
      <w:r w:rsidR="00B704AD" w:rsidRPr="00C8701B">
        <w:rPr>
          <w:rFonts w:eastAsia="Arial Unicode MS"/>
          <w:bCs/>
          <w:lang w:eastAsia="fr-FR" w:bidi="he-IL"/>
        </w:rPr>
        <w:t>la Résurrection et l</w:t>
      </w:r>
      <w:r w:rsidR="00557DE0">
        <w:rPr>
          <w:rFonts w:eastAsia="Arial Unicode MS"/>
          <w:bCs/>
          <w:lang w:eastAsia="fr-FR" w:bidi="he-IL"/>
        </w:rPr>
        <w:t>’</w:t>
      </w:r>
      <w:r w:rsidR="00B704AD" w:rsidRPr="00C8701B">
        <w:rPr>
          <w:rFonts w:eastAsia="Arial Unicode MS"/>
          <w:bCs/>
          <w:lang w:eastAsia="fr-FR" w:bidi="he-IL"/>
        </w:rPr>
        <w:t>Ascension. La Résurrection nous est racontée sous la forme d</w:t>
      </w:r>
      <w:r w:rsidR="00557DE0">
        <w:rPr>
          <w:rFonts w:eastAsia="Arial Unicode MS"/>
          <w:bCs/>
          <w:lang w:eastAsia="fr-FR" w:bidi="he-IL"/>
        </w:rPr>
        <w:t>’</w:t>
      </w:r>
      <w:r w:rsidR="00B704AD" w:rsidRPr="00C8701B">
        <w:rPr>
          <w:rFonts w:eastAsia="Arial Unicode MS"/>
          <w:bCs/>
          <w:lang w:eastAsia="fr-FR" w:bidi="he-IL"/>
        </w:rPr>
        <w:t>apparitions faites par le divin ressuscité à ses disciples</w:t>
      </w:r>
      <w:r w:rsidR="00E65435">
        <w:rPr>
          <w:rFonts w:eastAsia="Arial Unicode MS"/>
          <w:bCs/>
          <w:lang w:eastAsia="fr-FR" w:bidi="he-IL"/>
        </w:rPr>
        <w:t xml:space="preserve">, </w:t>
      </w:r>
      <w:r w:rsidR="00B704AD" w:rsidRPr="00C8701B">
        <w:rPr>
          <w:rFonts w:eastAsia="Arial Unicode MS"/>
          <w:bCs/>
          <w:lang w:eastAsia="fr-FR" w:bidi="he-IL"/>
        </w:rPr>
        <w:t>pendant les quarante jours qu</w:t>
      </w:r>
      <w:r w:rsidR="00557DE0">
        <w:rPr>
          <w:rFonts w:eastAsia="Arial Unicode MS"/>
          <w:bCs/>
          <w:lang w:eastAsia="fr-FR" w:bidi="he-IL"/>
        </w:rPr>
        <w:t>’</w:t>
      </w:r>
      <w:r w:rsidR="00B704AD" w:rsidRPr="00C8701B">
        <w:rPr>
          <w:rFonts w:eastAsia="Arial Unicode MS"/>
          <w:bCs/>
          <w:lang w:eastAsia="fr-FR" w:bidi="he-IL"/>
        </w:rPr>
        <w:t>il pa</w:t>
      </w:r>
      <w:r w:rsidR="00F318D3">
        <w:rPr>
          <w:rFonts w:eastAsia="Arial Unicode MS"/>
          <w:bCs/>
          <w:lang w:eastAsia="fr-FR" w:bidi="he-IL"/>
        </w:rPr>
        <w:t>ssa encore sur la terre avant de</w:t>
      </w:r>
      <w:r w:rsidR="00B704AD" w:rsidRPr="00C8701B">
        <w:rPr>
          <w:rFonts w:eastAsia="Arial Unicode MS"/>
          <w:bCs/>
          <w:lang w:eastAsia="fr-FR" w:bidi="he-IL"/>
        </w:rPr>
        <w:t xml:space="preserve"> remonter au ciel</w:t>
      </w:r>
      <w:r w:rsidR="00C2602D" w:rsidRPr="00C8701B">
        <w:rPr>
          <w:rFonts w:eastAsia="Arial Unicode MS"/>
          <w:bCs/>
          <w:lang w:eastAsia="fr-FR" w:bidi="he-IL"/>
        </w:rPr>
        <w:t> :</w:t>
      </w:r>
      <w:r w:rsidR="00B704AD" w:rsidRPr="00C8701B">
        <w:rPr>
          <w:rFonts w:eastAsia="Arial Unicode MS"/>
          <w:bCs/>
          <w:lang w:eastAsia="fr-FR" w:bidi="he-IL"/>
        </w:rPr>
        <w:t xml:space="preserve"> apparitions en Judée (à Marie-Madeleine</w:t>
      </w:r>
      <w:r w:rsidR="00E65435">
        <w:rPr>
          <w:rFonts w:eastAsia="Arial Unicode MS"/>
          <w:bCs/>
          <w:lang w:eastAsia="fr-FR" w:bidi="he-IL"/>
        </w:rPr>
        <w:t xml:space="preserve">, </w:t>
      </w:r>
      <w:r w:rsidR="00B704AD" w:rsidRPr="00C8701B">
        <w:rPr>
          <w:rFonts w:eastAsia="Arial Unicode MS"/>
          <w:bCs/>
          <w:lang w:eastAsia="fr-FR" w:bidi="he-IL"/>
        </w:rPr>
        <w:t>aux saintes femmes</w:t>
      </w:r>
      <w:r w:rsidR="00E65435">
        <w:rPr>
          <w:rFonts w:eastAsia="Arial Unicode MS"/>
          <w:bCs/>
          <w:lang w:eastAsia="fr-FR" w:bidi="he-IL"/>
        </w:rPr>
        <w:t xml:space="preserve">, </w:t>
      </w:r>
      <w:r w:rsidR="00B704AD" w:rsidRPr="00C8701B">
        <w:rPr>
          <w:rFonts w:eastAsia="Arial Unicode MS"/>
          <w:bCs/>
          <w:lang w:eastAsia="fr-FR" w:bidi="he-IL"/>
        </w:rPr>
        <w:t xml:space="preserve">aux deux </w:t>
      </w:r>
      <w:r w:rsidRPr="00C8701B">
        <w:rPr>
          <w:rFonts w:eastAsia="Arial Unicode MS"/>
          <w:bCs/>
          <w:lang w:eastAsia="fr-FR" w:bidi="he-IL"/>
        </w:rPr>
        <w:t>disciples</w:t>
      </w:r>
      <w:r w:rsidR="00B704AD" w:rsidRPr="00C8701B">
        <w:rPr>
          <w:rFonts w:eastAsia="Arial Unicode MS"/>
          <w:bCs/>
          <w:lang w:eastAsia="fr-FR" w:bidi="he-IL"/>
        </w:rPr>
        <w:t xml:space="preserve"> sur la route d</w:t>
      </w:r>
      <w:r w:rsidR="00557DE0">
        <w:rPr>
          <w:rFonts w:eastAsia="Arial Unicode MS"/>
          <w:bCs/>
          <w:lang w:eastAsia="fr-FR" w:bidi="he-IL"/>
        </w:rPr>
        <w:t>’</w:t>
      </w:r>
      <w:r w:rsidRPr="00C8701B">
        <w:rPr>
          <w:rFonts w:eastAsia="Arial Unicode MS"/>
          <w:bCs/>
          <w:lang w:eastAsia="fr-FR" w:bidi="he-IL"/>
        </w:rPr>
        <w:t>Emmaüs</w:t>
      </w:r>
      <w:r w:rsidR="00E65435">
        <w:rPr>
          <w:rFonts w:eastAsia="Arial Unicode MS"/>
          <w:bCs/>
          <w:lang w:eastAsia="fr-FR" w:bidi="he-IL"/>
        </w:rPr>
        <w:t xml:space="preserve">, </w:t>
      </w:r>
      <w:r w:rsidR="00B704AD" w:rsidRPr="00C8701B">
        <w:rPr>
          <w:rFonts w:eastAsia="Arial Unicode MS"/>
          <w:bCs/>
          <w:lang w:eastAsia="fr-FR" w:bidi="he-IL"/>
        </w:rPr>
        <w:t>aux apôtres réunis dans le</w:t>
      </w:r>
      <w:r w:rsidR="00F318D3">
        <w:rPr>
          <w:rFonts w:eastAsia="Arial Unicode MS"/>
          <w:bCs/>
          <w:lang w:eastAsia="fr-FR" w:bidi="he-IL"/>
        </w:rPr>
        <w:t xml:space="preserve"> </w:t>
      </w:r>
      <w:r w:rsidR="00B704AD" w:rsidRPr="00C8701B">
        <w:rPr>
          <w:rFonts w:eastAsia="Arial Unicode MS"/>
          <w:bCs/>
          <w:lang w:eastAsia="fr-FR" w:bidi="he-IL"/>
        </w:rPr>
        <w:t>cénacle</w:t>
      </w:r>
      <w:r w:rsidR="00E65435">
        <w:rPr>
          <w:rFonts w:eastAsia="Arial Unicode MS"/>
          <w:bCs/>
          <w:lang w:eastAsia="fr-FR" w:bidi="he-IL"/>
        </w:rPr>
        <w:t xml:space="preserve">, </w:t>
      </w:r>
      <w:r w:rsidR="00B704AD" w:rsidRPr="00C8701B">
        <w:rPr>
          <w:rFonts w:eastAsia="Arial Unicode MS"/>
          <w:bCs/>
          <w:lang w:eastAsia="fr-FR" w:bidi="he-IL"/>
        </w:rPr>
        <w:t>de nouveau dans le cénacle huit jours plus tard)</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apparitions en Galilée (devant quelques apôtres sur les bords du lac de Tibériade</w:t>
      </w:r>
      <w:r w:rsidR="00E65435">
        <w:rPr>
          <w:rFonts w:eastAsia="Arial Unicode MS"/>
          <w:bCs/>
          <w:lang w:eastAsia="fr-FR" w:bidi="he-IL"/>
        </w:rPr>
        <w:t xml:space="preserve">, </w:t>
      </w:r>
      <w:r w:rsidR="00B704AD" w:rsidRPr="00C8701B">
        <w:rPr>
          <w:rFonts w:eastAsia="Arial Unicode MS"/>
          <w:bCs/>
          <w:lang w:eastAsia="fr-FR" w:bidi="he-IL"/>
        </w:rPr>
        <w:t>devant une foule con</w:t>
      </w:r>
      <w:r w:rsidR="00F318D3">
        <w:rPr>
          <w:rFonts w:eastAsia="Arial Unicode MS"/>
          <w:bCs/>
          <w:lang w:eastAsia="fr-FR" w:bidi="he-IL"/>
        </w:rPr>
        <w:t>sidéra</w:t>
      </w:r>
      <w:r w:rsidR="00F318D3" w:rsidRPr="00C8701B">
        <w:rPr>
          <w:rFonts w:eastAsia="Arial Unicode MS"/>
          <w:bCs/>
          <w:lang w:eastAsia="fr-FR" w:bidi="he-IL"/>
        </w:rPr>
        <w:t>ble</w:t>
      </w:r>
      <w:r w:rsidR="000716BB">
        <w:rPr>
          <w:rFonts w:eastAsia="Arial Unicode MS"/>
          <w:bCs/>
          <w:lang w:eastAsia="fr-FR" w:bidi="he-IL"/>
        </w:rPr>
        <w:t xml:space="preserve"> </w:t>
      </w:r>
      <w:r w:rsidR="00B704AD" w:rsidRPr="00C8701B">
        <w:rPr>
          <w:rFonts w:eastAsia="Arial Unicode MS"/>
          <w:bCs/>
          <w:lang w:eastAsia="fr-FR" w:bidi="he-IL"/>
        </w:rPr>
        <w:t>de disciple</w:t>
      </w:r>
      <w:r w:rsidR="00B907E8">
        <w:rPr>
          <w:rFonts w:eastAsia="Arial Unicode MS"/>
          <w:bCs/>
          <w:lang w:eastAsia="fr-FR" w:bidi="he-IL"/>
        </w:rPr>
        <w:t>s</w:t>
      </w:r>
      <w:r w:rsidR="00B704AD" w:rsidRPr="00C8701B">
        <w:rPr>
          <w:rFonts w:eastAsia="Arial Unicode MS"/>
          <w:bCs/>
          <w:lang w:eastAsia="fr-FR" w:bidi="he-IL"/>
        </w:rPr>
        <w:t xml:space="preserve"> réunis sur une montagne).</w:t>
      </w:r>
      <w:r w:rsidR="000F7DAA">
        <w:rPr>
          <w:rFonts w:eastAsia="Arial Unicode MS"/>
          <w:bCs/>
          <w:lang w:eastAsia="fr-FR" w:bidi="he-IL"/>
        </w:rPr>
        <w:t xml:space="preserve"> </w:t>
      </w:r>
      <w:r w:rsidR="00B907E8" w:rsidRPr="000716BB">
        <w:rPr>
          <w:rFonts w:eastAsia="Arial Unicode MS"/>
          <w:bCs/>
          <w:lang w:eastAsia="fr-FR" w:bidi="he-IL"/>
        </w:rPr>
        <w:t>{</w:t>
      </w:r>
      <w:r w:rsidR="00B907E8">
        <w:rPr>
          <w:rFonts w:eastAsia="Arial Unicode MS"/>
          <w:bCs/>
          <w:lang w:eastAsia="fr-FR" w:bidi="he-IL"/>
        </w:rPr>
        <w:t>25</w:t>
      </w:r>
      <w:bookmarkStart w:id="43" w:name="pag025"/>
      <w:bookmarkEnd w:id="43"/>
      <w:r w:rsidR="00B907E8" w:rsidRPr="000716BB">
        <w:rPr>
          <w:rFonts w:eastAsia="Arial Unicode MS"/>
          <w:bCs/>
          <w:lang w:eastAsia="fr-FR" w:bidi="he-IL"/>
        </w:rPr>
        <w:t>}</w:t>
      </w:r>
      <w:r w:rsidR="00B907E8">
        <w:rPr>
          <w:rFonts w:eastAsia="Arial Unicode MS"/>
          <w:bCs/>
          <w:lang w:eastAsia="fr-FR" w:bidi="he-IL"/>
        </w:rPr>
        <w:t xml:space="preserve"> </w:t>
      </w:r>
      <w:r w:rsidR="000F7DAA">
        <w:rPr>
          <w:rFonts w:eastAsia="Arial Unicode MS"/>
          <w:bCs/>
          <w:lang w:eastAsia="fr-FR" w:bidi="he-IL"/>
        </w:rPr>
        <w:t>—</w:t>
      </w:r>
      <w:r w:rsidR="008D0642">
        <w:rPr>
          <w:rFonts w:eastAsia="Arial Unicode MS"/>
          <w:bCs/>
          <w:lang w:eastAsia="fr-FR" w:bidi="he-IL"/>
        </w:rPr>
        <w:t xml:space="preserve"> </w:t>
      </w:r>
      <w:r w:rsidR="00B704AD" w:rsidRPr="00C8701B">
        <w:rPr>
          <w:rFonts w:eastAsia="Arial Unicode MS"/>
          <w:bCs/>
          <w:lang w:eastAsia="fr-FR" w:bidi="he-IL"/>
        </w:rPr>
        <w:t>L</w:t>
      </w:r>
      <w:r w:rsidR="00557DE0">
        <w:rPr>
          <w:rFonts w:eastAsia="Arial Unicode MS"/>
          <w:bCs/>
          <w:lang w:eastAsia="fr-FR" w:bidi="he-IL"/>
        </w:rPr>
        <w:t>’</w:t>
      </w:r>
      <w:r w:rsidR="00B704AD" w:rsidRPr="00C8701B">
        <w:rPr>
          <w:rFonts w:eastAsia="Arial Unicode MS"/>
          <w:bCs/>
          <w:lang w:eastAsia="fr-FR" w:bidi="he-IL"/>
        </w:rPr>
        <w:t>Ascension nous ramène à Jérusalem</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c</w:t>
      </w:r>
      <w:r w:rsidR="00557DE0">
        <w:rPr>
          <w:rFonts w:eastAsia="Arial Unicode MS"/>
          <w:bCs/>
          <w:lang w:eastAsia="fr-FR" w:bidi="he-IL"/>
        </w:rPr>
        <w:t>’</w:t>
      </w:r>
      <w:r w:rsidR="00B704AD" w:rsidRPr="00C8701B">
        <w:rPr>
          <w:rFonts w:eastAsia="Arial Unicode MS"/>
          <w:bCs/>
          <w:lang w:eastAsia="fr-FR" w:bidi="he-IL"/>
        </w:rPr>
        <w:t>est une dernière apparition de Jésus ressuscité</w:t>
      </w:r>
      <w:r w:rsidR="00E65435">
        <w:rPr>
          <w:rFonts w:eastAsia="Arial Unicode MS"/>
          <w:bCs/>
          <w:lang w:eastAsia="fr-FR" w:bidi="he-IL"/>
        </w:rPr>
        <w:t xml:space="preserve">, </w:t>
      </w:r>
      <w:r w:rsidR="00B704AD" w:rsidRPr="00C8701B">
        <w:rPr>
          <w:rFonts w:eastAsia="Arial Unicode MS"/>
          <w:bCs/>
          <w:lang w:eastAsia="fr-FR" w:bidi="he-IL"/>
        </w:rPr>
        <w:t>suivie de son retour dans le ciel.</w:t>
      </w:r>
      <w:r w:rsidR="00C2602D" w:rsidRPr="00C8701B">
        <w:rPr>
          <w:rFonts w:eastAsia="Arial Unicode MS"/>
          <w:bCs/>
          <w:lang w:eastAsia="fr-FR" w:bidi="he-IL"/>
        </w:rPr>
        <w:t xml:space="preserve"> </w:t>
      </w:r>
    </w:p>
    <w:p w:rsidR="00C2602D" w:rsidRPr="00C8701B" w:rsidRDefault="00B704AD" w:rsidP="00116664">
      <w:pPr>
        <w:pStyle w:val="Titre4"/>
        <w:rPr>
          <w:rFonts w:eastAsia="Arial Unicode MS"/>
          <w:bCs/>
          <w:lang w:eastAsia="fr-FR" w:bidi="he-IL"/>
        </w:rPr>
      </w:pPr>
      <w:bookmarkStart w:id="44" w:name="_Toc526755721"/>
      <w:r w:rsidRPr="00C8701B">
        <w:rPr>
          <w:rFonts w:eastAsia="Arial Unicode MS"/>
          <w:bCs/>
          <w:lang w:eastAsia="fr-FR" w:bidi="he-IL"/>
        </w:rPr>
        <w:t xml:space="preserve">§ </w:t>
      </w:r>
      <w:r w:rsidR="00A319EA">
        <w:rPr>
          <w:rFonts w:eastAsia="Arial Unicode MS"/>
          <w:bCs/>
          <w:lang w:eastAsia="fr-FR" w:bidi="he-IL"/>
        </w:rPr>
        <w:t>V</w:t>
      </w:r>
      <w:r w:rsidR="000E647E">
        <w:rPr>
          <w:rFonts w:eastAsia="Arial Unicode MS"/>
          <w:bCs/>
          <w:lang w:eastAsia="fr-FR" w:bidi="he-IL"/>
        </w:rPr>
        <w:t>I</w:t>
      </w:r>
      <w:r w:rsidR="00A319EA">
        <w:rPr>
          <w:rFonts w:eastAsia="Arial Unicode MS"/>
          <w:bCs/>
          <w:lang w:eastAsia="fr-FR" w:bidi="he-IL"/>
        </w:rPr>
        <w:t>I</w:t>
      </w:r>
      <w:r w:rsidRPr="00C8701B">
        <w:rPr>
          <w:rFonts w:eastAsia="Arial Unicode MS"/>
          <w:bCs/>
          <w:lang w:eastAsia="fr-FR" w:bidi="he-IL"/>
        </w:rPr>
        <w:t>. RAPPORTS DES QUATRE ÉVANGÉLISES ENTRE EUX</w:t>
      </w:r>
      <w:r w:rsidR="00C2602D" w:rsidRPr="00C8701B">
        <w:rPr>
          <w:rFonts w:eastAsia="Arial Unicode MS"/>
          <w:bCs/>
          <w:lang w:eastAsia="fr-FR" w:bidi="he-IL"/>
        </w:rPr>
        <w:t> :</w:t>
      </w:r>
      <w:r w:rsidRPr="00C8701B">
        <w:rPr>
          <w:rFonts w:eastAsia="Arial Unicode MS"/>
          <w:bCs/>
          <w:lang w:eastAsia="fr-FR" w:bidi="he-IL"/>
        </w:rPr>
        <w:t xml:space="preserve"> LEURS RESSEMBLANCES ET LEURS </w:t>
      </w:r>
      <w:r w:rsidR="00116664" w:rsidRPr="00C8701B">
        <w:rPr>
          <w:rFonts w:eastAsia="Arial Unicode MS"/>
          <w:bCs/>
          <w:lang w:eastAsia="fr-FR" w:bidi="he-IL"/>
        </w:rPr>
        <w:t>DIFFÉRENCES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LES RAISONS DE CES RESSEMBLANCES ET DE CES DIVERGENCES.</w:t>
      </w:r>
      <w:bookmarkStart w:id="45" w:name="evin07"/>
      <w:bookmarkEnd w:id="44"/>
      <w:bookmarkEnd w:id="45"/>
      <w:r w:rsidR="00C2602D" w:rsidRPr="00C8701B">
        <w:rPr>
          <w:rFonts w:eastAsia="Arial Unicode MS"/>
          <w:bCs/>
          <w:lang w:eastAsia="fr-FR" w:bidi="he-IL"/>
        </w:rPr>
        <w:t xml:space="preserve"> </w:t>
      </w:r>
    </w:p>
    <w:p w:rsidR="00C2602D" w:rsidRPr="00C8701B" w:rsidRDefault="00B704AD" w:rsidP="00F318D3">
      <w:pPr>
        <w:rPr>
          <w:rFonts w:eastAsia="Arial Unicode MS"/>
          <w:bCs/>
          <w:lang w:eastAsia="fr-FR" w:bidi="he-IL"/>
        </w:rPr>
      </w:pPr>
      <w:r w:rsidRPr="00C8701B">
        <w:rPr>
          <w:rFonts w:eastAsia="Arial Unicode MS"/>
          <w:bCs/>
          <w:lang w:eastAsia="fr-FR" w:bidi="he-IL"/>
        </w:rPr>
        <w:t>Question délicate</w:t>
      </w:r>
      <w:r w:rsidR="00E65435">
        <w:rPr>
          <w:rFonts w:eastAsia="Arial Unicode MS"/>
          <w:bCs/>
          <w:lang w:eastAsia="fr-FR" w:bidi="he-IL"/>
        </w:rPr>
        <w:t xml:space="preserve">, </w:t>
      </w:r>
      <w:r w:rsidR="00C2602D" w:rsidRPr="00C8701B">
        <w:rPr>
          <w:rFonts w:eastAsia="Arial Unicode MS"/>
          <w:bCs/>
          <w:lang w:eastAsia="fr-FR" w:bidi="he-IL"/>
        </w:rPr>
        <w:t>« </w:t>
      </w:r>
      <w:r w:rsidRPr="00C8701B">
        <w:rPr>
          <w:rFonts w:eastAsia="Arial Unicode MS"/>
          <w:bCs/>
          <w:lang w:eastAsia="fr-FR" w:bidi="he-IL"/>
        </w:rPr>
        <w:t>épineuse</w:t>
      </w:r>
      <w:r w:rsidR="00C2602D" w:rsidRPr="00C8701B">
        <w:rPr>
          <w:rFonts w:eastAsia="Arial Unicode MS"/>
          <w:bCs/>
          <w:lang w:eastAsia="fr-FR" w:bidi="he-IL"/>
        </w:rPr>
        <w:t> »</w:t>
      </w:r>
      <w:r w:rsidR="00933C60" w:rsidRPr="00C406FF">
        <w:rPr>
          <w:rStyle w:val="Appelnotedebasdep"/>
        </w:rPr>
        <w:footnoteReference w:id="127"/>
      </w:r>
      <w:r w:rsidR="00E65435">
        <w:rPr>
          <w:rFonts w:eastAsia="Arial Unicode MS"/>
          <w:bCs/>
          <w:lang w:eastAsia="fr-FR" w:bidi="he-IL"/>
        </w:rPr>
        <w:t xml:space="preserve">, </w:t>
      </w:r>
      <w:r w:rsidRPr="00C8701B">
        <w:rPr>
          <w:rFonts w:eastAsia="Arial Unicode MS"/>
          <w:bCs/>
          <w:lang w:eastAsia="fr-FR" w:bidi="he-IL"/>
        </w:rPr>
        <w:t>qui a étonnamment occupé les exégètes et les critiques contemporains</w:t>
      </w:r>
      <w:r w:rsidR="00933C60" w:rsidRPr="00C406FF">
        <w:rPr>
          <w:rStyle w:val="Appelnotedebasdep"/>
        </w:rPr>
        <w:footnoteReference w:id="128"/>
      </w:r>
      <w:r w:rsidR="00E65435">
        <w:rPr>
          <w:rFonts w:eastAsia="Arial Unicode MS"/>
          <w:bCs/>
          <w:lang w:eastAsia="fr-FR" w:bidi="he-IL"/>
        </w:rPr>
        <w:t xml:space="preserve">, </w:t>
      </w:r>
      <w:r w:rsidRPr="00C8701B">
        <w:rPr>
          <w:rFonts w:eastAsia="Arial Unicode MS"/>
          <w:bCs/>
          <w:lang w:eastAsia="fr-FR" w:bidi="he-IL"/>
        </w:rPr>
        <w:t>et sur laquelle s</w:t>
      </w:r>
      <w:r w:rsidR="00557DE0">
        <w:rPr>
          <w:rFonts w:eastAsia="Arial Unicode MS"/>
          <w:bCs/>
          <w:lang w:eastAsia="fr-FR" w:bidi="he-IL"/>
        </w:rPr>
        <w:t>’</w:t>
      </w:r>
      <w:r w:rsidRPr="00C8701B">
        <w:rPr>
          <w:rFonts w:eastAsia="Arial Unicode MS"/>
          <w:bCs/>
          <w:lang w:eastAsia="fr-FR" w:bidi="he-IL"/>
        </w:rPr>
        <w:t>est formée une littérature que l</w:t>
      </w:r>
      <w:r w:rsidR="00557DE0">
        <w:rPr>
          <w:rFonts w:eastAsia="Arial Unicode MS"/>
          <w:bCs/>
          <w:lang w:eastAsia="fr-FR" w:bidi="he-IL"/>
        </w:rPr>
        <w:t>’</w:t>
      </w:r>
      <w:r w:rsidRPr="00C8701B">
        <w:rPr>
          <w:rFonts w:eastAsia="Arial Unicode MS"/>
          <w:bCs/>
          <w:lang w:eastAsia="fr-FR" w:bidi="he-IL"/>
        </w:rPr>
        <w:t>on a justement traitée d</w:t>
      </w:r>
      <w:r w:rsidR="00557DE0">
        <w:rPr>
          <w:rFonts w:eastAsia="Arial Unicode MS"/>
          <w:bCs/>
          <w:lang w:eastAsia="fr-FR" w:bidi="he-IL"/>
        </w:rPr>
        <w:t>’</w:t>
      </w:r>
      <w:r w:rsidRPr="00C8701B">
        <w:rPr>
          <w:rFonts w:eastAsia="Arial Unicode MS"/>
          <w:bCs/>
          <w:lang w:eastAsia="fr-FR" w:bidi="he-IL"/>
        </w:rPr>
        <w:t>incommensurable. Il faudrait un petit volume</w:t>
      </w:r>
      <w:r w:rsidR="00E65435">
        <w:rPr>
          <w:rFonts w:eastAsia="Arial Unicode MS"/>
          <w:bCs/>
          <w:lang w:eastAsia="fr-FR" w:bidi="he-IL"/>
        </w:rPr>
        <w:t xml:space="preserve">, </w:t>
      </w:r>
      <w:r w:rsidRPr="00C8701B">
        <w:rPr>
          <w:rFonts w:eastAsia="Arial Unicode MS"/>
          <w:bCs/>
          <w:lang w:eastAsia="fr-FR" w:bidi="he-IL"/>
        </w:rPr>
        <w:t>uniquement pour exposer l</w:t>
      </w:r>
      <w:r w:rsidR="00557DE0">
        <w:rPr>
          <w:rFonts w:eastAsia="Arial Unicode MS"/>
          <w:bCs/>
          <w:lang w:eastAsia="fr-FR" w:bidi="he-IL"/>
        </w:rPr>
        <w:t>’</w:t>
      </w:r>
      <w:r w:rsidRPr="00C8701B">
        <w:rPr>
          <w:rFonts w:eastAsia="Arial Unicode MS"/>
          <w:bCs/>
          <w:lang w:eastAsia="fr-FR" w:bidi="he-IL"/>
        </w:rPr>
        <w:t>histoire abrégée des systèmes qui se sont peu à peu formés sur ce point</w:t>
      </w:r>
      <w:r w:rsidR="00933C60" w:rsidRPr="00C406FF">
        <w:rPr>
          <w:rStyle w:val="Appelnotedebasdep"/>
        </w:rPr>
        <w:footnoteReference w:id="129"/>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Hâtons-nous de dire que cette question</w:t>
      </w:r>
      <w:r w:rsidR="00E65435">
        <w:rPr>
          <w:rFonts w:eastAsia="Arial Unicode MS"/>
          <w:bCs/>
          <w:lang w:eastAsia="fr-FR" w:bidi="he-IL"/>
        </w:rPr>
        <w:t xml:space="preserve">, </w:t>
      </w:r>
      <w:r w:rsidRPr="00C8701B">
        <w:rPr>
          <w:rFonts w:eastAsia="Arial Unicode MS"/>
          <w:bCs/>
          <w:lang w:eastAsia="fr-FR" w:bidi="he-IL"/>
        </w:rPr>
        <w:t>qui roule au fond sur la composition des évangiles</w:t>
      </w:r>
      <w:r w:rsidR="00E65435">
        <w:rPr>
          <w:rFonts w:eastAsia="Arial Unicode MS"/>
          <w:bCs/>
          <w:lang w:eastAsia="fr-FR" w:bidi="he-IL"/>
        </w:rPr>
        <w:t xml:space="preserve">, </w:t>
      </w:r>
      <w:r w:rsidR="00F318D3">
        <w:rPr>
          <w:rFonts w:eastAsia="Arial Unicode MS"/>
          <w:bCs/>
          <w:lang w:eastAsia="fr-FR" w:bidi="he-IL"/>
        </w:rPr>
        <w:t>est l</w:t>
      </w:r>
      <w:r w:rsidRPr="00C8701B">
        <w:rPr>
          <w:rFonts w:eastAsia="Arial Unicode MS"/>
          <w:bCs/>
          <w:lang w:eastAsia="fr-FR" w:bidi="he-IL"/>
        </w:rPr>
        <w:t>oin d</w:t>
      </w:r>
      <w:r w:rsidR="00557DE0">
        <w:rPr>
          <w:rFonts w:eastAsia="Arial Unicode MS"/>
          <w:bCs/>
          <w:lang w:eastAsia="fr-FR" w:bidi="he-IL"/>
        </w:rPr>
        <w:t>’</w:t>
      </w:r>
      <w:r w:rsidRPr="00C8701B">
        <w:rPr>
          <w:rFonts w:eastAsia="Arial Unicode MS"/>
          <w:bCs/>
          <w:lang w:eastAsia="fr-FR" w:bidi="he-IL"/>
        </w:rPr>
        <w:t>avoir pour nous</w:t>
      </w:r>
      <w:r w:rsidR="00E65435">
        <w:rPr>
          <w:rFonts w:eastAsia="Arial Unicode MS"/>
          <w:bCs/>
          <w:lang w:eastAsia="fr-FR" w:bidi="he-IL"/>
        </w:rPr>
        <w:t xml:space="preserve">, </w:t>
      </w:r>
      <w:r w:rsidRPr="00C8701B">
        <w:rPr>
          <w:rFonts w:eastAsia="Arial Unicode MS"/>
          <w:bCs/>
          <w:lang w:eastAsia="fr-FR" w:bidi="he-IL"/>
        </w:rPr>
        <w:t>catholiques</w:t>
      </w:r>
      <w:r w:rsidR="00E65435">
        <w:rPr>
          <w:rFonts w:eastAsia="Arial Unicode MS"/>
          <w:bCs/>
          <w:lang w:eastAsia="fr-FR" w:bidi="he-IL"/>
        </w:rPr>
        <w:t xml:space="preserve">, </w:t>
      </w:r>
      <w:r w:rsidRPr="00C8701B">
        <w:rPr>
          <w:rFonts w:eastAsia="Arial Unicode MS"/>
          <w:bCs/>
          <w:lang w:eastAsia="fr-FR" w:bidi="he-IL"/>
        </w:rPr>
        <w:t>la même importance que pour les protestants</w:t>
      </w:r>
      <w:r w:rsidR="00E65435">
        <w:rPr>
          <w:rFonts w:eastAsia="Arial Unicode MS"/>
          <w:bCs/>
          <w:lang w:eastAsia="fr-FR" w:bidi="he-IL"/>
        </w:rPr>
        <w:t xml:space="preserve">, </w:t>
      </w:r>
      <w:r w:rsidRPr="00C8701B">
        <w:rPr>
          <w:rFonts w:eastAsia="Arial Unicode MS"/>
          <w:bCs/>
          <w:lang w:eastAsia="fr-FR" w:bidi="he-IL"/>
        </w:rPr>
        <w:t>et spécialement pour les rationalistes</w:t>
      </w:r>
      <w:r w:rsidR="00933C60" w:rsidRPr="00C406FF">
        <w:rPr>
          <w:rStyle w:val="Appelnotedebasdep"/>
        </w:rPr>
        <w:footnoteReference w:id="130"/>
      </w:r>
      <w:r w:rsidRPr="00C8701B">
        <w:rPr>
          <w:rFonts w:eastAsia="Arial Unicode MS"/>
          <w:bCs/>
          <w:lang w:eastAsia="fr-FR" w:bidi="he-IL"/>
        </w:rPr>
        <w:t>. Nous croyons à l</w:t>
      </w:r>
      <w:r w:rsidR="00557DE0">
        <w:rPr>
          <w:rFonts w:eastAsia="Arial Unicode MS"/>
          <w:bCs/>
          <w:lang w:eastAsia="fr-FR" w:bidi="he-IL"/>
        </w:rPr>
        <w:t>’</w:t>
      </w:r>
      <w:r w:rsidRPr="00C8701B">
        <w:rPr>
          <w:rFonts w:eastAsia="Arial Unicode MS"/>
          <w:bCs/>
          <w:lang w:eastAsia="fr-FR" w:bidi="he-IL"/>
        </w:rPr>
        <w:t>authenticité et à l</w:t>
      </w:r>
      <w:r w:rsidR="00557DE0">
        <w:rPr>
          <w:rFonts w:eastAsia="Arial Unicode MS"/>
          <w:bCs/>
          <w:lang w:eastAsia="fr-FR" w:bidi="he-IL"/>
        </w:rPr>
        <w:t>’</w:t>
      </w:r>
      <w:r w:rsidRPr="00C8701B">
        <w:rPr>
          <w:rFonts w:eastAsia="Arial Unicode MS"/>
          <w:bCs/>
          <w:lang w:eastAsia="fr-FR" w:bidi="he-IL"/>
        </w:rPr>
        <w:t>inspiration des saints évangiles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ils ont été composés</w:t>
      </w:r>
      <w:r w:rsidR="00E65435">
        <w:rPr>
          <w:rFonts w:eastAsia="Arial Unicode MS"/>
          <w:bCs/>
          <w:lang w:eastAsia="fr-FR" w:bidi="he-IL"/>
        </w:rPr>
        <w:t xml:space="preserve">, </w:t>
      </w:r>
      <w:r w:rsidRPr="00C8701B">
        <w:rPr>
          <w:rFonts w:eastAsia="Arial Unicode MS"/>
          <w:bCs/>
          <w:lang w:eastAsia="fr-FR" w:bidi="he-IL"/>
        </w:rPr>
        <w:t>avec le divin concours</w:t>
      </w:r>
      <w:r w:rsidR="00E65435">
        <w:rPr>
          <w:rFonts w:eastAsia="Arial Unicode MS"/>
          <w:bCs/>
          <w:lang w:eastAsia="fr-FR" w:bidi="he-IL"/>
        </w:rPr>
        <w:t xml:space="preserve">, </w:t>
      </w:r>
      <w:r w:rsidRPr="00C8701B">
        <w:rPr>
          <w:rFonts w:eastAsia="Arial Unicode MS"/>
          <w:bCs/>
          <w:lang w:eastAsia="fr-FR" w:bidi="he-IL"/>
        </w:rPr>
        <w:t>par les apôtres et les d</w:t>
      </w:r>
      <w:r w:rsidR="00F318D3">
        <w:rPr>
          <w:rFonts w:eastAsia="Arial Unicode MS"/>
          <w:bCs/>
          <w:lang w:eastAsia="fr-FR" w:bidi="he-IL"/>
        </w:rPr>
        <w:t>isciples auxquels la tradition l</w:t>
      </w:r>
      <w:r w:rsidRPr="00C8701B">
        <w:rPr>
          <w:rFonts w:eastAsia="Arial Unicode MS"/>
          <w:bCs/>
          <w:lang w:eastAsia="fr-FR" w:bidi="he-IL"/>
        </w:rPr>
        <w:t>es attribue</w:t>
      </w:r>
      <w:r w:rsidR="00C2602D" w:rsidRPr="00C8701B">
        <w:rPr>
          <w:rFonts w:eastAsia="Arial Unicode MS"/>
          <w:bCs/>
          <w:lang w:eastAsia="fr-FR" w:bidi="he-IL"/>
        </w:rPr>
        <w:t> :</w:t>
      </w:r>
      <w:r w:rsidRPr="00C8701B">
        <w:rPr>
          <w:rFonts w:eastAsia="Arial Unicode MS"/>
          <w:bCs/>
          <w:lang w:eastAsia="fr-FR" w:bidi="he-IL"/>
        </w:rPr>
        <w:t xml:space="preserve"> c</w:t>
      </w:r>
      <w:r w:rsidR="00557DE0">
        <w:rPr>
          <w:rFonts w:eastAsia="Arial Unicode MS"/>
          <w:bCs/>
          <w:lang w:eastAsia="fr-FR" w:bidi="he-IL"/>
        </w:rPr>
        <w:t>’</w:t>
      </w:r>
      <w:r w:rsidRPr="00C8701B">
        <w:rPr>
          <w:rFonts w:eastAsia="Arial Unicode MS"/>
          <w:bCs/>
          <w:lang w:eastAsia="fr-FR" w:bidi="he-IL"/>
        </w:rPr>
        <w:t>est l</w:t>
      </w:r>
      <w:r w:rsidR="00557DE0">
        <w:rPr>
          <w:rFonts w:eastAsia="Arial Unicode MS"/>
          <w:bCs/>
          <w:lang w:eastAsia="fr-FR" w:bidi="he-IL"/>
        </w:rPr>
        <w:t>’</w:t>
      </w:r>
      <w:r w:rsidRPr="00C8701B">
        <w:rPr>
          <w:rFonts w:eastAsia="Arial Unicode MS"/>
          <w:bCs/>
          <w:lang w:eastAsia="fr-FR" w:bidi="he-IL"/>
        </w:rPr>
        <w:t>essentiel. Quant à la manière dont chacun d</w:t>
      </w:r>
      <w:r w:rsidR="00557DE0">
        <w:rPr>
          <w:rFonts w:eastAsia="Arial Unicode MS"/>
          <w:bCs/>
          <w:lang w:eastAsia="fr-FR" w:bidi="he-IL"/>
        </w:rPr>
        <w:t>’</w:t>
      </w:r>
      <w:r w:rsidRPr="00C8701B">
        <w:rPr>
          <w:rFonts w:eastAsia="Arial Unicode MS"/>
          <w:bCs/>
          <w:lang w:eastAsia="fr-FR" w:bidi="he-IL"/>
        </w:rPr>
        <w:t>eux s</w:t>
      </w:r>
      <w:r w:rsidR="00557DE0">
        <w:rPr>
          <w:rFonts w:eastAsia="Arial Unicode MS"/>
          <w:bCs/>
          <w:lang w:eastAsia="fr-FR" w:bidi="he-IL"/>
        </w:rPr>
        <w:t>’</w:t>
      </w:r>
      <w:r w:rsidRPr="00C8701B">
        <w:rPr>
          <w:rFonts w:eastAsia="Arial Unicode MS"/>
          <w:bCs/>
          <w:lang w:eastAsia="fr-FR" w:bidi="he-IL"/>
        </w:rPr>
        <w:t>y sera pris</w:t>
      </w:r>
      <w:r w:rsidR="00E65435">
        <w:rPr>
          <w:rFonts w:eastAsia="Arial Unicode MS"/>
          <w:bCs/>
          <w:lang w:eastAsia="fr-FR" w:bidi="he-IL"/>
        </w:rPr>
        <w:t xml:space="preserve">, </w:t>
      </w:r>
      <w:r w:rsidRPr="00C8701B">
        <w:rPr>
          <w:rFonts w:eastAsia="Arial Unicode MS"/>
          <w:bCs/>
          <w:lang w:eastAsia="fr-FR" w:bidi="he-IL"/>
        </w:rPr>
        <w:t>humainement parlant</w:t>
      </w:r>
      <w:r w:rsidR="00E65435">
        <w:rPr>
          <w:rFonts w:eastAsia="Arial Unicode MS"/>
          <w:bCs/>
          <w:lang w:eastAsia="fr-FR" w:bidi="he-IL"/>
        </w:rPr>
        <w:t xml:space="preserve">, </w:t>
      </w:r>
      <w:r w:rsidRPr="00C8701B">
        <w:rPr>
          <w:rFonts w:eastAsia="Arial Unicode MS"/>
          <w:bCs/>
          <w:lang w:eastAsia="fr-FR" w:bidi="he-IL"/>
        </w:rPr>
        <w:t>pour réunir et agencer ses matériaux</w:t>
      </w:r>
      <w:r w:rsidR="00E65435">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 là quelque chose de très accessoire.</w:t>
      </w:r>
      <w:r w:rsidR="00C2602D" w:rsidRPr="00C8701B">
        <w:rPr>
          <w:rFonts w:eastAsia="Arial Unicode MS"/>
          <w:bCs/>
          <w:lang w:eastAsia="fr-FR" w:bidi="he-IL"/>
        </w:rPr>
        <w:t xml:space="preserve"> </w:t>
      </w:r>
    </w:p>
    <w:p w:rsidR="00C2602D" w:rsidRPr="00C8701B" w:rsidRDefault="00B704AD" w:rsidP="00F318D3">
      <w:pPr>
        <w:rPr>
          <w:rFonts w:eastAsia="Arial Unicode MS"/>
          <w:bCs/>
          <w:lang w:eastAsia="fr-FR" w:bidi="he-IL"/>
        </w:rPr>
      </w:pPr>
      <w:r w:rsidRPr="00C8701B">
        <w:rPr>
          <w:rFonts w:eastAsia="Arial Unicode MS"/>
          <w:bCs/>
          <w:lang w:eastAsia="fr-FR" w:bidi="he-IL"/>
        </w:rPr>
        <w:t>Néanmoins</w:t>
      </w:r>
      <w:r w:rsidR="00E65435">
        <w:rPr>
          <w:rFonts w:eastAsia="Arial Unicode MS"/>
          <w:bCs/>
          <w:lang w:eastAsia="fr-FR" w:bidi="he-IL"/>
        </w:rPr>
        <w:t xml:space="preserve">, </w:t>
      </w:r>
      <w:r w:rsidRPr="00C8701B">
        <w:rPr>
          <w:rFonts w:eastAsia="Arial Unicode MS"/>
          <w:bCs/>
          <w:lang w:eastAsia="fr-FR" w:bidi="he-IL"/>
        </w:rPr>
        <w:t>il ne serait pas possible de négliger un point sur lequel on discute autour de nous avec une si vive ardeur</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 xml:space="preserve">autant mieux que les rapprochements qui ont dû être établis entre les </w:t>
      </w:r>
      <w:r w:rsidR="00116664" w:rsidRPr="00C8701B">
        <w:rPr>
          <w:rFonts w:eastAsia="Arial Unicode MS"/>
          <w:bCs/>
          <w:lang w:eastAsia="fr-FR" w:bidi="he-IL"/>
        </w:rPr>
        <w:t>quatre</w:t>
      </w:r>
      <w:r w:rsidRPr="00C8701B">
        <w:rPr>
          <w:rFonts w:eastAsia="Arial Unicode MS"/>
          <w:bCs/>
          <w:lang w:eastAsia="fr-FR" w:bidi="he-IL"/>
        </w:rPr>
        <w:t xml:space="preserve"> évangiles</w:t>
      </w:r>
      <w:r w:rsidR="00F318D3">
        <w:rPr>
          <w:rFonts w:eastAsia="Arial Unicode MS"/>
          <w:bCs/>
          <w:lang w:eastAsia="fr-FR" w:bidi="he-IL"/>
        </w:rPr>
        <w:t xml:space="preserve"> </w:t>
      </w:r>
      <w:r w:rsidRPr="00C8701B">
        <w:rPr>
          <w:rFonts w:eastAsia="Arial Unicode MS"/>
          <w:bCs/>
          <w:lang w:eastAsia="fr-FR" w:bidi="he-IL"/>
        </w:rPr>
        <w:t>à propos de cette discussion</w:t>
      </w:r>
      <w:r w:rsidR="00E65435">
        <w:rPr>
          <w:rFonts w:eastAsia="Arial Unicode MS"/>
          <w:bCs/>
          <w:lang w:eastAsia="fr-FR" w:bidi="he-IL"/>
        </w:rPr>
        <w:t xml:space="preserve">, </w:t>
      </w:r>
      <w:r w:rsidRPr="00C8701B">
        <w:rPr>
          <w:rFonts w:eastAsia="Arial Unicode MS"/>
          <w:bCs/>
          <w:lang w:eastAsia="fr-FR" w:bidi="he-IL"/>
        </w:rPr>
        <w:t>nous ouvrent sur eux des horizons nouveaux</w:t>
      </w:r>
      <w:r w:rsidR="00E65435">
        <w:rPr>
          <w:rFonts w:eastAsia="Arial Unicode MS"/>
          <w:bCs/>
          <w:lang w:eastAsia="fr-FR" w:bidi="he-IL"/>
        </w:rPr>
        <w:t xml:space="preserve">, </w:t>
      </w:r>
      <w:r w:rsidRPr="00C8701B">
        <w:rPr>
          <w:rFonts w:eastAsia="Arial Unicode MS"/>
          <w:bCs/>
          <w:lang w:eastAsia="fr-FR" w:bidi="he-IL"/>
        </w:rPr>
        <w:t>intéressants. Nous ne craindrons donc pas d</w:t>
      </w:r>
      <w:r w:rsidR="00557DE0">
        <w:rPr>
          <w:rFonts w:eastAsia="Arial Unicode MS"/>
          <w:bCs/>
          <w:lang w:eastAsia="fr-FR" w:bidi="he-IL"/>
        </w:rPr>
        <w:t>’</w:t>
      </w:r>
      <w:r w:rsidRPr="00C8701B">
        <w:rPr>
          <w:rFonts w:eastAsia="Arial Unicode MS"/>
          <w:bCs/>
          <w:lang w:eastAsia="fr-FR" w:bidi="he-IL"/>
        </w:rPr>
        <w:t>aborder un certain nombre de détails</w:t>
      </w:r>
      <w:r w:rsidR="00E65435">
        <w:rPr>
          <w:rFonts w:eastAsia="Arial Unicode MS"/>
          <w:bCs/>
          <w:lang w:eastAsia="fr-FR" w:bidi="he-IL"/>
        </w:rPr>
        <w:t xml:space="preserve">, </w:t>
      </w:r>
      <w:r w:rsidRPr="00C8701B">
        <w:rPr>
          <w:rFonts w:eastAsia="Arial Unicode MS"/>
          <w:bCs/>
          <w:lang w:eastAsia="fr-FR" w:bidi="he-IL"/>
        </w:rPr>
        <w:t>quoique avec la concision nécessitée par notre plan.</w:t>
      </w:r>
      <w:r w:rsidR="00C2602D" w:rsidRPr="00C8701B">
        <w:rPr>
          <w:rFonts w:eastAsia="Arial Unicode MS"/>
          <w:bCs/>
          <w:lang w:eastAsia="fr-FR" w:bidi="he-IL"/>
        </w:rPr>
        <w:t xml:space="preserve"> </w:t>
      </w:r>
    </w:p>
    <w:p w:rsidR="00C2602D" w:rsidRPr="00C8701B" w:rsidRDefault="00F318D3" w:rsidP="00116664">
      <w:pPr>
        <w:pStyle w:val="Titre5"/>
        <w:rPr>
          <w:lang w:eastAsia="fr-FR" w:bidi="he-IL"/>
        </w:rPr>
      </w:pPr>
      <w:r>
        <w:rPr>
          <w:lang w:eastAsia="fr-FR" w:bidi="he-IL"/>
        </w:rPr>
        <w:t>I</w:t>
      </w:r>
      <w:r w:rsidR="00B704AD" w:rsidRPr="00C8701B">
        <w:rPr>
          <w:lang w:eastAsia="fr-FR" w:bidi="he-IL"/>
        </w:rPr>
        <w:t>.</w:t>
      </w:r>
      <w:r w:rsidR="000F7DAA">
        <w:rPr>
          <w:lang w:eastAsia="fr-FR" w:bidi="he-IL"/>
        </w:rPr>
        <w:t xml:space="preserve"> —</w:t>
      </w:r>
      <w:r w:rsidR="008D0642">
        <w:rPr>
          <w:lang w:eastAsia="fr-FR" w:bidi="he-IL"/>
        </w:rPr>
        <w:t xml:space="preserve"> </w:t>
      </w:r>
      <w:r w:rsidRPr="00C8701B">
        <w:rPr>
          <w:lang w:eastAsia="fr-FR" w:bidi="he-IL"/>
        </w:rPr>
        <w:t>L</w:t>
      </w:r>
      <w:r w:rsidR="00557DE0">
        <w:rPr>
          <w:lang w:eastAsia="fr-FR" w:bidi="he-IL"/>
        </w:rPr>
        <w:t>’</w:t>
      </w:r>
      <w:r w:rsidRPr="00C8701B">
        <w:rPr>
          <w:lang w:eastAsia="fr-FR" w:bidi="he-IL"/>
        </w:rPr>
        <w:t xml:space="preserve">état </w:t>
      </w:r>
      <w:r w:rsidR="00B704AD" w:rsidRPr="00C8701B">
        <w:rPr>
          <w:lang w:eastAsia="fr-FR" w:bidi="he-IL"/>
        </w:rPr>
        <w:t>de la question</w:t>
      </w:r>
      <w:bookmarkStart w:id="46" w:name="evin0701"/>
      <w:bookmarkEnd w:id="46"/>
      <w:r w:rsidR="00C2602D" w:rsidRPr="00C8701B">
        <w:rPr>
          <w:lang w:eastAsia="fr-FR" w:bidi="he-IL"/>
        </w:rPr>
        <w:t xml:space="preserve"> </w:t>
      </w:r>
    </w:p>
    <w:p w:rsidR="00C2602D" w:rsidRPr="00557DE0" w:rsidRDefault="00B704AD" w:rsidP="00C2602D">
      <w:pPr>
        <w:rPr>
          <w:rFonts w:eastAsia="Arial Unicode MS"/>
          <w:bCs/>
          <w:lang w:eastAsia="fr-FR" w:bidi="he-IL"/>
        </w:rPr>
      </w:pPr>
      <w:r w:rsidRPr="00C8701B">
        <w:rPr>
          <w:rFonts w:eastAsia="Arial Unicode MS"/>
          <w:bCs/>
          <w:lang w:eastAsia="fr-FR" w:bidi="he-IL"/>
        </w:rPr>
        <w:t>Constatons d</w:t>
      </w:r>
      <w:r w:rsidR="00557DE0">
        <w:rPr>
          <w:rFonts w:eastAsia="Arial Unicode MS"/>
          <w:bCs/>
          <w:lang w:eastAsia="fr-FR" w:bidi="he-IL"/>
        </w:rPr>
        <w:t>’</w:t>
      </w:r>
      <w:r w:rsidRPr="00C8701B">
        <w:rPr>
          <w:rFonts w:eastAsia="Arial Unicode MS"/>
          <w:bCs/>
          <w:lang w:eastAsia="fr-FR" w:bidi="he-IL"/>
        </w:rPr>
        <w:t>abord un double fait</w:t>
      </w:r>
      <w:r w:rsidR="00E65435">
        <w:rPr>
          <w:rFonts w:eastAsia="Arial Unicode MS"/>
          <w:bCs/>
          <w:lang w:eastAsia="fr-FR" w:bidi="he-IL"/>
        </w:rPr>
        <w:t xml:space="preserve">, </w:t>
      </w:r>
      <w:r w:rsidRPr="00C8701B">
        <w:rPr>
          <w:rFonts w:eastAsia="Arial Unicode MS"/>
          <w:bCs/>
          <w:lang w:eastAsia="fr-FR" w:bidi="he-IL"/>
        </w:rPr>
        <w:t>et établissons en même temps une division générale qui simplifiera beaucoup l</w:t>
      </w:r>
      <w:r w:rsidR="00557DE0">
        <w:rPr>
          <w:rFonts w:eastAsia="Arial Unicode MS"/>
          <w:bCs/>
          <w:lang w:eastAsia="fr-FR" w:bidi="he-IL"/>
        </w:rPr>
        <w:t>’</w:t>
      </w:r>
      <w:r w:rsidRPr="00C8701B">
        <w:rPr>
          <w:rFonts w:eastAsia="Arial Unicode MS"/>
          <w:bCs/>
          <w:lang w:eastAsia="fr-FR" w:bidi="he-IL"/>
        </w:rPr>
        <w:t>examen auquel nous allons nous livrer.</w:t>
      </w:r>
      <w:r w:rsidR="00C2602D" w:rsidRPr="00C8701B">
        <w:rPr>
          <w:rFonts w:eastAsia="Arial Unicode MS"/>
          <w:bCs/>
          <w:lang w:eastAsia="fr-FR" w:bidi="he-IL"/>
        </w:rPr>
        <w:t xml:space="preserve"> </w:t>
      </w:r>
      <w:r w:rsidR="000716BB" w:rsidRPr="00557DE0">
        <w:rPr>
          <w:rFonts w:eastAsia="Arial Unicode MS"/>
          <w:bCs/>
          <w:lang w:eastAsia="fr-FR" w:bidi="he-IL"/>
        </w:rPr>
        <w:t>{26</w:t>
      </w:r>
      <w:bookmarkStart w:id="47" w:name="pag026"/>
      <w:bookmarkEnd w:id="47"/>
      <w:r w:rsidR="000716BB" w:rsidRPr="00557DE0">
        <w:rPr>
          <w:rFonts w:eastAsia="Arial Unicode MS"/>
          <w:bCs/>
          <w:lang w:eastAsia="fr-FR" w:bidi="he-IL"/>
        </w:rPr>
        <w:t>}</w:t>
      </w:r>
    </w:p>
    <w:p w:rsidR="00C2602D" w:rsidRPr="00C8701B" w:rsidRDefault="00B704AD" w:rsidP="000D3E6A">
      <w:pPr>
        <w:rPr>
          <w:rFonts w:eastAsia="Arial Unicode MS"/>
          <w:bCs/>
          <w:lang w:eastAsia="fr-FR" w:bidi="he-IL"/>
        </w:rPr>
      </w:pPr>
      <w:r w:rsidRPr="00DC4586">
        <w:rPr>
          <w:rStyle w:val="italicus"/>
        </w:rPr>
        <w:t>Premier fait.</w:t>
      </w:r>
      <w:bookmarkStart w:id="48" w:name="evin070101"/>
      <w:bookmarkEnd w:id="48"/>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Ainsi que nous avons essayé de</w:t>
      </w:r>
      <w:r w:rsidR="000D3E6A">
        <w:rPr>
          <w:rFonts w:eastAsia="Arial Unicode MS"/>
          <w:bCs/>
          <w:lang w:eastAsia="fr-FR" w:bidi="he-IL"/>
        </w:rPr>
        <w:t xml:space="preserve"> l</w:t>
      </w:r>
      <w:r w:rsidRPr="00C8701B">
        <w:rPr>
          <w:rFonts w:eastAsia="Arial Unicode MS"/>
          <w:bCs/>
          <w:lang w:eastAsia="fr-FR" w:bidi="he-IL"/>
        </w:rPr>
        <w:t>e démontrer à chaque page de nos commentaires</w:t>
      </w:r>
      <w:r w:rsidR="00E65435">
        <w:rPr>
          <w:rFonts w:eastAsia="Arial Unicode MS"/>
          <w:bCs/>
          <w:lang w:eastAsia="fr-FR" w:bidi="he-IL"/>
        </w:rPr>
        <w:t xml:space="preserve">, </w:t>
      </w:r>
      <w:r w:rsidRPr="00C8701B">
        <w:rPr>
          <w:rFonts w:eastAsia="Arial Unicode MS"/>
          <w:bCs/>
          <w:lang w:eastAsia="fr-FR" w:bidi="he-IL"/>
        </w:rPr>
        <w:t>et aussi dans nos introductions spéciales placées en tête de chacun des évangiles</w:t>
      </w:r>
      <w:r w:rsidR="00E65435">
        <w:rPr>
          <w:rFonts w:eastAsia="Arial Unicode MS"/>
          <w:bCs/>
          <w:lang w:eastAsia="fr-FR" w:bidi="he-IL"/>
        </w:rPr>
        <w:t xml:space="preserve">, </w:t>
      </w:r>
      <w:r w:rsidRPr="00C8701B">
        <w:rPr>
          <w:rFonts w:eastAsia="Arial Unicode MS"/>
          <w:bCs/>
          <w:lang w:eastAsia="fr-FR" w:bidi="he-IL"/>
        </w:rPr>
        <w:t xml:space="preserve">il est certain que les quatre biographes de N.-S. </w:t>
      </w:r>
      <w:r w:rsidR="00F318D3" w:rsidRPr="00C8701B">
        <w:rPr>
          <w:rFonts w:eastAsia="Arial Unicode MS"/>
          <w:bCs/>
          <w:lang w:eastAsia="fr-FR" w:bidi="he-IL"/>
        </w:rPr>
        <w:t>Jésus-Christ</w:t>
      </w:r>
      <w:r w:rsidRPr="00C8701B">
        <w:rPr>
          <w:rFonts w:eastAsia="Arial Unicode MS"/>
          <w:bCs/>
          <w:lang w:eastAsia="fr-FR" w:bidi="he-IL"/>
        </w:rPr>
        <w:t xml:space="preserve"> ont tous leurs particularités</w:t>
      </w:r>
      <w:r w:rsidR="00E65435">
        <w:rPr>
          <w:rFonts w:eastAsia="Arial Unicode MS"/>
          <w:bCs/>
          <w:lang w:eastAsia="fr-FR" w:bidi="he-IL"/>
        </w:rPr>
        <w:t xml:space="preserve">, </w:t>
      </w:r>
      <w:r w:rsidRPr="00C8701B">
        <w:rPr>
          <w:rFonts w:eastAsia="Arial Unicode MS"/>
          <w:bCs/>
          <w:lang w:eastAsia="fr-FR" w:bidi="he-IL"/>
        </w:rPr>
        <w:t>leur caractère distinct. Un auteur anglais contemporain nous a paru fort bien marquer ces diverses nuances</w:t>
      </w:r>
      <w:r w:rsidR="00E65435">
        <w:rPr>
          <w:rFonts w:eastAsia="Arial Unicode MS"/>
          <w:bCs/>
          <w:lang w:eastAsia="fr-FR" w:bidi="he-IL"/>
        </w:rPr>
        <w:t xml:space="preserve">, </w:t>
      </w:r>
      <w:r w:rsidRPr="00C8701B">
        <w:rPr>
          <w:rFonts w:eastAsia="Arial Unicode MS"/>
          <w:bCs/>
          <w:lang w:eastAsia="fr-FR" w:bidi="he-IL"/>
        </w:rPr>
        <w:t>dans une page qu</w:t>
      </w:r>
      <w:r w:rsidR="00557DE0">
        <w:rPr>
          <w:rFonts w:eastAsia="Arial Unicode MS"/>
          <w:bCs/>
          <w:lang w:eastAsia="fr-FR" w:bidi="he-IL"/>
        </w:rPr>
        <w:t>’</w:t>
      </w:r>
      <w:r w:rsidRPr="00C8701B">
        <w:rPr>
          <w:rFonts w:eastAsia="Arial Unicode MS"/>
          <w:bCs/>
          <w:lang w:eastAsia="fr-FR" w:bidi="he-IL"/>
        </w:rPr>
        <w:t>on nous permettra de citer intégralement.</w:t>
      </w:r>
      <w:r w:rsidR="00C2602D" w:rsidRPr="00C8701B">
        <w:rPr>
          <w:rFonts w:eastAsia="Arial Unicode MS"/>
          <w:bCs/>
          <w:lang w:eastAsia="fr-FR" w:bidi="he-IL"/>
        </w:rPr>
        <w:t xml:space="preserve"> </w:t>
      </w:r>
    </w:p>
    <w:p w:rsidR="00C2602D" w:rsidRPr="00C8701B" w:rsidRDefault="00C2602D" w:rsidP="000D3E6A">
      <w:pPr>
        <w:rPr>
          <w:rFonts w:eastAsia="Arial Unicode MS"/>
          <w:bCs/>
          <w:lang w:eastAsia="fr-FR" w:bidi="he-IL"/>
        </w:rPr>
      </w:pPr>
      <w:r w:rsidRPr="00C8701B">
        <w:rPr>
          <w:rFonts w:eastAsia="Arial Unicode MS"/>
          <w:bCs/>
          <w:lang w:eastAsia="fr-FR" w:bidi="he-IL"/>
        </w:rPr>
        <w:t>« </w:t>
      </w:r>
      <w:r w:rsidR="00B704AD" w:rsidRPr="00C8701B">
        <w:rPr>
          <w:rFonts w:eastAsia="Arial Unicode MS"/>
          <w:bCs/>
          <w:lang w:eastAsia="fr-FR" w:bidi="he-IL"/>
        </w:rPr>
        <w:t>1° Sous le rapport des traits et des caractères extérieurs</w:t>
      </w:r>
      <w:r w:rsidR="00E65435">
        <w:rPr>
          <w:rFonts w:eastAsia="Arial Unicode MS"/>
          <w:bCs/>
          <w:lang w:eastAsia="fr-FR" w:bidi="he-IL"/>
        </w:rPr>
        <w:t xml:space="preserve">, </w:t>
      </w:r>
      <w:r w:rsidR="00B704AD" w:rsidRPr="00C8701B">
        <w:rPr>
          <w:rFonts w:eastAsia="Arial Unicode MS"/>
          <w:bCs/>
          <w:lang w:eastAsia="fr-FR" w:bidi="he-IL"/>
        </w:rPr>
        <w:t>nous sommes peut-être autorisé à dire</w:t>
      </w:r>
      <w:r w:rsidRPr="00C8701B">
        <w:rPr>
          <w:rFonts w:eastAsia="Arial Unicode MS"/>
          <w:bCs/>
          <w:lang w:eastAsia="fr-FR" w:bidi="he-IL"/>
        </w:rPr>
        <w:t> :</w:t>
      </w:r>
      <w:r w:rsidR="00B704AD" w:rsidRPr="00DC4586">
        <w:rPr>
          <w:rStyle w:val="italicus"/>
        </w:rPr>
        <w:t xml:space="preserve"> a</w:t>
      </w:r>
      <w:r w:rsidR="00B704AD" w:rsidRPr="00C8701B">
        <w:rPr>
          <w:rFonts w:eastAsia="Arial Unicode MS"/>
          <w:bCs/>
          <w:iCs/>
          <w:lang w:eastAsia="fr-FR" w:bidi="he-IL"/>
        </w:rPr>
        <w:t>)</w:t>
      </w:r>
      <w:r w:rsidR="00B704AD" w:rsidRPr="00C8701B">
        <w:rPr>
          <w:rFonts w:eastAsia="Arial Unicode MS"/>
          <w:bCs/>
          <w:lang w:eastAsia="fr-FR" w:bidi="he-IL"/>
        </w:rPr>
        <w:t xml:space="preserve"> que le point de vue du premier évangile est surtout israélite</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celui du second</w:t>
      </w:r>
      <w:r w:rsidR="00E65435">
        <w:rPr>
          <w:rFonts w:eastAsia="Arial Unicode MS"/>
          <w:bCs/>
          <w:lang w:eastAsia="fr-FR" w:bidi="he-IL"/>
        </w:rPr>
        <w:t xml:space="preserve">, </w:t>
      </w:r>
      <w:r w:rsidR="00B704AD" w:rsidRPr="00C8701B">
        <w:rPr>
          <w:rFonts w:eastAsia="Arial Unicode MS"/>
          <w:bCs/>
          <w:lang w:eastAsia="fr-FR" w:bidi="he-IL"/>
        </w:rPr>
        <w:t>gentil</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celui du troisième</w:t>
      </w:r>
      <w:r w:rsidR="00E65435">
        <w:rPr>
          <w:rFonts w:eastAsia="Arial Unicode MS"/>
          <w:bCs/>
          <w:lang w:eastAsia="fr-FR" w:bidi="he-IL"/>
        </w:rPr>
        <w:t xml:space="preserve">, </w:t>
      </w:r>
      <w:r w:rsidR="00B704AD" w:rsidRPr="00C8701B">
        <w:rPr>
          <w:rFonts w:eastAsia="Arial Unicode MS"/>
          <w:bCs/>
          <w:lang w:eastAsia="fr-FR" w:bidi="he-IL"/>
        </w:rPr>
        <w:t>universel</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celui du quatrième</w:t>
      </w:r>
      <w:r w:rsidR="00E65435">
        <w:rPr>
          <w:rFonts w:eastAsia="Arial Unicode MS"/>
          <w:bCs/>
          <w:lang w:eastAsia="fr-FR" w:bidi="he-IL"/>
        </w:rPr>
        <w:t xml:space="preserve">, </w:t>
      </w:r>
      <w:r w:rsidR="00B704AD" w:rsidRPr="00C8701B">
        <w:rPr>
          <w:rFonts w:eastAsia="Arial Unicode MS"/>
          <w:bCs/>
          <w:lang w:eastAsia="fr-FR" w:bidi="he-IL"/>
        </w:rPr>
        <w:t>chrétien</w:t>
      </w:r>
      <w:r w:rsidRPr="00C8701B">
        <w:rPr>
          <w:rFonts w:eastAsia="Arial Unicode MS"/>
          <w:bCs/>
          <w:lang w:eastAsia="fr-FR" w:bidi="he-IL"/>
        </w:rPr>
        <w:t> :</w:t>
      </w:r>
      <w:r w:rsidR="00B704AD" w:rsidRPr="00DC4586">
        <w:rPr>
          <w:rStyle w:val="italicus"/>
        </w:rPr>
        <w:t xml:space="preserve"> b</w:t>
      </w:r>
      <w:r w:rsidR="00B704AD" w:rsidRPr="00C8701B">
        <w:rPr>
          <w:rFonts w:eastAsia="Arial Unicode MS"/>
          <w:bCs/>
          <w:iCs/>
          <w:lang w:eastAsia="fr-FR" w:bidi="he-IL"/>
        </w:rPr>
        <w:t>)</w:t>
      </w:r>
      <w:r w:rsidR="00B704AD" w:rsidRPr="00C8701B">
        <w:rPr>
          <w:rFonts w:eastAsia="Arial Unicode MS"/>
          <w:bCs/>
          <w:lang w:eastAsia="fr-FR" w:bidi="he-IL"/>
        </w:rPr>
        <w:t xml:space="preserve"> que l</w:t>
      </w:r>
      <w:r w:rsidR="00557DE0">
        <w:rPr>
          <w:rFonts w:eastAsia="Arial Unicode MS"/>
          <w:bCs/>
          <w:lang w:eastAsia="fr-FR" w:bidi="he-IL"/>
        </w:rPr>
        <w:t>’</w:t>
      </w:r>
      <w:r w:rsidR="00B704AD" w:rsidRPr="00C8701B">
        <w:rPr>
          <w:rFonts w:eastAsia="Arial Unicode MS"/>
          <w:bCs/>
          <w:lang w:eastAsia="fr-FR" w:bidi="he-IL"/>
        </w:rPr>
        <w:t>aspect général (et pour ainsi dire la physionomie) du premier est surtout oriental</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celui du second</w:t>
      </w:r>
      <w:r w:rsidR="00E65435">
        <w:rPr>
          <w:rFonts w:eastAsia="Arial Unicode MS"/>
          <w:bCs/>
          <w:lang w:eastAsia="fr-FR" w:bidi="he-IL"/>
        </w:rPr>
        <w:t xml:space="preserve">, </w:t>
      </w:r>
      <w:r w:rsidR="00B704AD" w:rsidRPr="00C8701B">
        <w:rPr>
          <w:rFonts w:eastAsia="Arial Unicode MS"/>
          <w:bCs/>
          <w:lang w:eastAsia="fr-FR" w:bidi="he-IL"/>
        </w:rPr>
        <w:t>romain</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celui du troisième</w:t>
      </w:r>
      <w:r w:rsidR="00E65435">
        <w:rPr>
          <w:rFonts w:eastAsia="Arial Unicode MS"/>
          <w:bCs/>
          <w:lang w:eastAsia="fr-FR" w:bidi="he-IL"/>
        </w:rPr>
        <w:t xml:space="preserve">, </w:t>
      </w:r>
      <w:r w:rsidR="00B704AD" w:rsidRPr="00C8701B">
        <w:rPr>
          <w:rFonts w:eastAsia="Arial Unicode MS"/>
          <w:bCs/>
          <w:lang w:eastAsia="fr-FR" w:bidi="he-IL"/>
        </w:rPr>
        <w:t>grec</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celui du quatrième</w:t>
      </w:r>
      <w:r w:rsidR="00E65435">
        <w:rPr>
          <w:rFonts w:eastAsia="Arial Unicode MS"/>
          <w:bCs/>
          <w:lang w:eastAsia="fr-FR" w:bidi="he-IL"/>
        </w:rPr>
        <w:t xml:space="preserve">, </w:t>
      </w:r>
      <w:r w:rsidR="00B704AD" w:rsidRPr="00C8701B">
        <w:rPr>
          <w:rFonts w:eastAsia="Arial Unicode MS"/>
          <w:bCs/>
          <w:lang w:eastAsia="fr-FR" w:bidi="he-IL"/>
        </w:rPr>
        <w:t>spirituel</w:t>
      </w:r>
      <w:r w:rsidRPr="00C8701B">
        <w:rPr>
          <w:rFonts w:eastAsia="Arial Unicode MS"/>
          <w:bCs/>
          <w:lang w:eastAsia="fr-FR" w:bidi="he-IL"/>
        </w:rPr>
        <w:t> :</w:t>
      </w:r>
      <w:r w:rsidR="00B704AD" w:rsidRPr="00C8701B">
        <w:rPr>
          <w:rFonts w:eastAsia="Arial Unicode MS"/>
          <w:bCs/>
          <w:lang w:eastAsia="fr-FR" w:bidi="he-IL"/>
        </w:rPr>
        <w:t xml:space="preserve"> c) que le style du premier est pompeux et </w:t>
      </w:r>
      <w:r w:rsidR="00F318D3" w:rsidRPr="00C8701B">
        <w:rPr>
          <w:rFonts w:eastAsia="Arial Unicode MS"/>
          <w:bCs/>
          <w:lang w:eastAsia="fr-FR" w:bidi="he-IL"/>
        </w:rPr>
        <w:t>rythmé</w:t>
      </w:r>
      <w:r w:rsidRPr="00C8701B">
        <w:rPr>
          <w:rFonts w:eastAsia="Arial Unicode MS"/>
          <w:bCs/>
          <w:lang w:eastAsia="fr-FR" w:bidi="he-IL"/>
        </w:rPr>
        <w:t> </w:t>
      </w:r>
      <w:r w:rsidR="007F6508">
        <w:rPr>
          <w:rFonts w:eastAsia="Arial Unicode MS"/>
          <w:bCs/>
          <w:lang w:eastAsia="fr-FR" w:bidi="he-IL"/>
        </w:rPr>
        <w:t xml:space="preserve">; </w:t>
      </w:r>
      <w:r w:rsidR="000D3E6A">
        <w:rPr>
          <w:rFonts w:eastAsia="Arial Unicode MS"/>
          <w:bCs/>
          <w:lang w:eastAsia="fr-FR" w:bidi="he-IL"/>
        </w:rPr>
        <w:t>celui du se</w:t>
      </w:r>
      <w:r w:rsidR="00B704AD" w:rsidRPr="00C8701B">
        <w:rPr>
          <w:rFonts w:eastAsia="Arial Unicode MS"/>
          <w:bCs/>
          <w:lang w:eastAsia="fr-FR" w:bidi="he-IL"/>
        </w:rPr>
        <w:t>cond</w:t>
      </w:r>
      <w:r w:rsidR="00E65435">
        <w:rPr>
          <w:rFonts w:eastAsia="Arial Unicode MS"/>
          <w:bCs/>
          <w:lang w:eastAsia="fr-FR" w:bidi="he-IL"/>
        </w:rPr>
        <w:t xml:space="preserve">, </w:t>
      </w:r>
      <w:r w:rsidR="00B704AD" w:rsidRPr="00C8701B">
        <w:rPr>
          <w:rFonts w:eastAsia="Arial Unicode MS"/>
          <w:bCs/>
          <w:lang w:eastAsia="fr-FR" w:bidi="he-IL"/>
        </w:rPr>
        <w:t>élégant et précis</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celui du troisième</w:t>
      </w:r>
      <w:r w:rsidR="00E65435">
        <w:rPr>
          <w:rFonts w:eastAsia="Arial Unicode MS"/>
          <w:bCs/>
          <w:lang w:eastAsia="fr-FR" w:bidi="he-IL"/>
        </w:rPr>
        <w:t xml:space="preserve">, </w:t>
      </w:r>
      <w:r w:rsidR="00B704AD" w:rsidRPr="00C8701B">
        <w:rPr>
          <w:rFonts w:eastAsia="Arial Unicode MS"/>
          <w:bCs/>
          <w:lang w:eastAsia="fr-FR" w:bidi="he-IL"/>
        </w:rPr>
        <w:t>calme et abondant</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celui du quatrième</w:t>
      </w:r>
      <w:r w:rsidR="00E65435">
        <w:rPr>
          <w:rFonts w:eastAsia="Arial Unicode MS"/>
          <w:bCs/>
          <w:lang w:eastAsia="fr-FR" w:bidi="he-IL"/>
        </w:rPr>
        <w:t xml:space="preserve">, </w:t>
      </w:r>
      <w:r w:rsidR="00B704AD" w:rsidRPr="00C8701B">
        <w:rPr>
          <w:rFonts w:eastAsia="Arial Unicode MS"/>
          <w:bCs/>
          <w:lang w:eastAsia="fr-FR" w:bidi="he-IL"/>
        </w:rPr>
        <w:t>sans art et familier</w:t>
      </w:r>
      <w:r w:rsidRPr="00C8701B">
        <w:rPr>
          <w:rFonts w:eastAsia="Arial Unicode MS"/>
          <w:bCs/>
          <w:lang w:eastAsia="fr-FR" w:bidi="he-IL"/>
        </w:rPr>
        <w:t> :</w:t>
      </w:r>
      <w:r w:rsidR="00B704AD" w:rsidRPr="00C8701B">
        <w:rPr>
          <w:rFonts w:eastAsia="Arial Unicode MS"/>
          <w:bCs/>
          <w:lang w:eastAsia="fr-FR" w:bidi="he-IL"/>
        </w:rPr>
        <w:t xml:space="preserve"> d) que le caractère le plus frappant du premier est la symétrie</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celui du second</w:t>
      </w:r>
      <w:r w:rsidR="00E65435">
        <w:rPr>
          <w:rFonts w:eastAsia="Arial Unicode MS"/>
          <w:bCs/>
          <w:lang w:eastAsia="fr-FR" w:bidi="he-IL"/>
        </w:rPr>
        <w:t xml:space="preserve">, </w:t>
      </w:r>
      <w:r w:rsidR="00B704AD" w:rsidRPr="00C8701B">
        <w:rPr>
          <w:rFonts w:eastAsia="Arial Unicode MS"/>
          <w:bCs/>
          <w:lang w:eastAsia="fr-FR" w:bidi="he-IL"/>
        </w:rPr>
        <w:t>la compression</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celui du troisième</w:t>
      </w:r>
      <w:r w:rsidR="00E65435">
        <w:rPr>
          <w:rFonts w:eastAsia="Arial Unicode MS"/>
          <w:bCs/>
          <w:lang w:eastAsia="fr-FR" w:bidi="he-IL"/>
        </w:rPr>
        <w:t xml:space="preserve">, </w:t>
      </w:r>
      <w:r w:rsidR="00B704AD" w:rsidRPr="00C8701B">
        <w:rPr>
          <w:rFonts w:eastAsia="Arial Unicode MS"/>
          <w:bCs/>
          <w:lang w:eastAsia="fr-FR" w:bidi="he-IL"/>
        </w:rPr>
        <w:t>l</w:t>
      </w:r>
      <w:r w:rsidR="00557DE0">
        <w:rPr>
          <w:rFonts w:eastAsia="Arial Unicode MS"/>
          <w:bCs/>
          <w:lang w:eastAsia="fr-FR" w:bidi="he-IL"/>
        </w:rPr>
        <w:t>’</w:t>
      </w:r>
      <w:r w:rsidR="00B704AD" w:rsidRPr="00C8701B">
        <w:rPr>
          <w:rFonts w:eastAsia="Arial Unicode MS"/>
          <w:bCs/>
          <w:lang w:eastAsia="fr-FR" w:bidi="he-IL"/>
        </w:rPr>
        <w:t>ordre</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celui du quatrième</w:t>
      </w:r>
      <w:r w:rsidR="00E65435">
        <w:rPr>
          <w:rFonts w:eastAsia="Arial Unicode MS"/>
          <w:bCs/>
          <w:lang w:eastAsia="fr-FR" w:bidi="he-IL"/>
        </w:rPr>
        <w:t xml:space="preserve">, </w:t>
      </w:r>
      <w:r w:rsidR="00B704AD" w:rsidRPr="00C8701B">
        <w:rPr>
          <w:rFonts w:eastAsia="Arial Unicode MS"/>
          <w:bCs/>
          <w:lang w:eastAsia="fr-FR" w:bidi="he-IL"/>
        </w:rPr>
        <w:t>le système</w:t>
      </w:r>
      <w:r w:rsidRPr="00C8701B">
        <w:rPr>
          <w:rFonts w:eastAsia="Arial Unicode MS"/>
          <w:bCs/>
          <w:lang w:eastAsia="fr-FR" w:bidi="he-IL"/>
        </w:rPr>
        <w:t> :</w:t>
      </w:r>
      <w:r w:rsidR="00B704AD" w:rsidRPr="00DC4586">
        <w:rPr>
          <w:rStyle w:val="italicus"/>
        </w:rPr>
        <w:t xml:space="preserve"> e</w:t>
      </w:r>
      <w:r w:rsidR="00B704AD" w:rsidRPr="00C8701B">
        <w:rPr>
          <w:rFonts w:eastAsia="Arial Unicode MS"/>
          <w:bCs/>
          <w:iCs/>
          <w:lang w:eastAsia="fr-FR" w:bidi="he-IL"/>
        </w:rPr>
        <w:t>)</w:t>
      </w:r>
      <w:r w:rsidR="000D3E6A">
        <w:rPr>
          <w:rFonts w:eastAsia="Arial Unicode MS"/>
          <w:bCs/>
          <w:lang w:eastAsia="fr-FR" w:bidi="he-IL"/>
        </w:rPr>
        <w:t xml:space="preserve"> que la pensé</w:t>
      </w:r>
      <w:r w:rsidR="00B704AD" w:rsidRPr="00C8701B">
        <w:rPr>
          <w:rFonts w:eastAsia="Arial Unicode MS"/>
          <w:bCs/>
          <w:lang w:eastAsia="fr-FR" w:bidi="he-IL"/>
        </w:rPr>
        <w:t>e et le langage sont hébraïques dans le premier</w:t>
      </w:r>
      <w:r w:rsidR="00E65435">
        <w:rPr>
          <w:rFonts w:eastAsia="Arial Unicode MS"/>
          <w:bCs/>
          <w:lang w:eastAsia="fr-FR" w:bidi="he-IL"/>
        </w:rPr>
        <w:t xml:space="preserve">, </w:t>
      </w:r>
      <w:r w:rsidR="00116664" w:rsidRPr="00C8701B">
        <w:rPr>
          <w:rFonts w:eastAsia="Arial Unicode MS"/>
          <w:bCs/>
          <w:lang w:eastAsia="fr-FR" w:bidi="he-IL"/>
        </w:rPr>
        <w:t>hellénistes</w:t>
      </w:r>
      <w:r w:rsidR="00B704AD" w:rsidRPr="00C8701B">
        <w:rPr>
          <w:rFonts w:eastAsia="Arial Unicode MS"/>
          <w:bCs/>
          <w:lang w:eastAsia="fr-FR" w:bidi="he-IL"/>
        </w:rPr>
        <w:t xml:space="preserve"> dans le troisième</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tandis que</w:t>
      </w:r>
      <w:r w:rsidR="00E65435">
        <w:rPr>
          <w:rFonts w:eastAsia="Arial Unicode MS"/>
          <w:bCs/>
          <w:lang w:eastAsia="fr-FR" w:bidi="he-IL"/>
        </w:rPr>
        <w:t xml:space="preserve">, </w:t>
      </w:r>
      <w:r w:rsidR="00B704AD" w:rsidRPr="00C8701B">
        <w:rPr>
          <w:rFonts w:eastAsia="Arial Unicode MS"/>
          <w:bCs/>
          <w:lang w:eastAsia="fr-FR" w:bidi="he-IL"/>
        </w:rPr>
        <w:t>dans le second</w:t>
      </w:r>
      <w:r w:rsidR="00E65435">
        <w:rPr>
          <w:rFonts w:eastAsia="Arial Unicode MS"/>
          <w:bCs/>
          <w:lang w:eastAsia="fr-FR" w:bidi="he-IL"/>
        </w:rPr>
        <w:t xml:space="preserve">, </w:t>
      </w:r>
      <w:r w:rsidR="00B704AD" w:rsidRPr="00C8701B">
        <w:rPr>
          <w:rFonts w:eastAsia="Arial Unicode MS"/>
          <w:bCs/>
          <w:lang w:eastAsia="fr-FR" w:bidi="he-IL"/>
        </w:rPr>
        <w:t>la pensée est souvent occidentale</w:t>
      </w:r>
      <w:r w:rsidR="00E65435">
        <w:rPr>
          <w:rFonts w:eastAsia="Arial Unicode MS"/>
          <w:bCs/>
          <w:lang w:eastAsia="fr-FR" w:bidi="he-IL"/>
        </w:rPr>
        <w:t xml:space="preserve">, </w:t>
      </w:r>
      <w:r w:rsidR="00B704AD" w:rsidRPr="00C8701B">
        <w:rPr>
          <w:rFonts w:eastAsia="Arial Unicode MS"/>
          <w:bCs/>
          <w:lang w:eastAsia="fr-FR" w:bidi="he-IL"/>
        </w:rPr>
        <w:t>quoique le langage soit hébraïque</w:t>
      </w:r>
      <w:r w:rsidR="00E65435">
        <w:rPr>
          <w:rFonts w:eastAsia="Arial Unicode MS"/>
          <w:bCs/>
          <w:lang w:eastAsia="fr-FR" w:bidi="he-IL"/>
        </w:rPr>
        <w:t xml:space="preserve">, </w:t>
      </w:r>
      <w:r w:rsidR="00B704AD" w:rsidRPr="00C8701B">
        <w:rPr>
          <w:rFonts w:eastAsia="Arial Unicode MS"/>
          <w:bCs/>
          <w:lang w:eastAsia="fr-FR" w:bidi="he-IL"/>
        </w:rPr>
        <w:t>et</w:t>
      </w:r>
      <w:r w:rsidR="00B704AD" w:rsidRPr="00C8701B">
        <w:rPr>
          <w:rFonts w:eastAsia="Arial Unicode MS"/>
          <w:bCs/>
          <w:vertAlign w:val="subscript"/>
          <w:lang w:eastAsia="fr-FR" w:bidi="he-IL"/>
        </w:rPr>
        <w:t xml:space="preserve"> </w:t>
      </w:r>
      <w:r w:rsidR="00B704AD" w:rsidRPr="00C8701B">
        <w:rPr>
          <w:rFonts w:eastAsia="Arial Unicode MS"/>
          <w:bCs/>
          <w:lang w:eastAsia="fr-FR" w:bidi="he-IL"/>
        </w:rPr>
        <w:t>dans le quatrième</w:t>
      </w:r>
      <w:r w:rsidR="00E65435">
        <w:rPr>
          <w:rFonts w:eastAsia="Arial Unicode MS"/>
          <w:bCs/>
          <w:lang w:eastAsia="fr-FR" w:bidi="he-IL"/>
        </w:rPr>
        <w:t xml:space="preserve">, </w:t>
      </w:r>
      <w:r w:rsidR="00B704AD" w:rsidRPr="00C8701B">
        <w:rPr>
          <w:rFonts w:eastAsia="Arial Unicode MS"/>
          <w:bCs/>
          <w:lang w:eastAsia="fr-FR" w:bidi="he-IL"/>
        </w:rPr>
        <w:t>le langage est helléniste et la pensée hébraïque.</w:t>
      </w:r>
      <w:r w:rsidR="000F7DAA">
        <w:rPr>
          <w:rFonts w:eastAsia="Arial Unicode MS"/>
          <w:bCs/>
          <w:lang w:eastAsia="fr-FR" w:bidi="he-IL"/>
        </w:rPr>
        <w:t xml:space="preserve"> —</w:t>
      </w:r>
      <w:r w:rsidR="008D0642">
        <w:rPr>
          <w:rFonts w:eastAsia="Arial Unicode MS"/>
          <w:bCs/>
          <w:lang w:eastAsia="fr-FR" w:bidi="he-IL"/>
        </w:rPr>
        <w:t xml:space="preserve"> </w:t>
      </w:r>
      <w:r w:rsidR="00B704AD" w:rsidRPr="00C8701B">
        <w:rPr>
          <w:rFonts w:eastAsia="Arial Unicode MS"/>
          <w:bCs/>
          <w:lang w:eastAsia="fr-FR" w:bidi="he-IL"/>
        </w:rPr>
        <w:t>2° Sous le rapport du sujet et du contenu</w:t>
      </w:r>
      <w:r w:rsidR="00E65435">
        <w:rPr>
          <w:rFonts w:eastAsia="Arial Unicode MS"/>
          <w:bCs/>
          <w:lang w:eastAsia="fr-FR" w:bidi="he-IL"/>
        </w:rPr>
        <w:t xml:space="preserve">, </w:t>
      </w:r>
      <w:r w:rsidR="00B704AD" w:rsidRPr="00C8701B">
        <w:rPr>
          <w:rFonts w:eastAsia="Arial Unicode MS"/>
          <w:bCs/>
          <w:lang w:eastAsia="fr-FR" w:bidi="he-IL"/>
        </w:rPr>
        <w:t>nous pouvons dire peut-être</w:t>
      </w:r>
      <w:r w:rsidRPr="00C8701B">
        <w:rPr>
          <w:rFonts w:eastAsia="Arial Unicode MS"/>
          <w:bCs/>
          <w:lang w:eastAsia="fr-FR" w:bidi="he-IL"/>
        </w:rPr>
        <w:t> :</w:t>
      </w:r>
      <w:r w:rsidR="00B704AD" w:rsidRPr="00C8701B">
        <w:rPr>
          <w:rFonts w:eastAsia="Arial Unicode MS"/>
          <w:bCs/>
          <w:lang w:eastAsia="fr-FR" w:bidi="he-IL"/>
        </w:rPr>
        <w:t xml:space="preserve"> </w:t>
      </w:r>
      <w:r w:rsidR="00B704AD" w:rsidRPr="000D3E6A">
        <w:rPr>
          <w:rStyle w:val="italicus"/>
        </w:rPr>
        <w:t>a)</w:t>
      </w:r>
      <w:r w:rsidR="00B704AD" w:rsidRPr="00C8701B">
        <w:rPr>
          <w:rFonts w:eastAsia="Arial Unicode MS"/>
          <w:bCs/>
          <w:lang w:eastAsia="fr-FR" w:bidi="he-IL"/>
        </w:rPr>
        <w:t xml:space="preserve"> que</w:t>
      </w:r>
      <w:r w:rsidR="00E65435">
        <w:rPr>
          <w:rFonts w:eastAsia="Arial Unicode MS"/>
          <w:bCs/>
          <w:lang w:eastAsia="fr-FR" w:bidi="he-IL"/>
        </w:rPr>
        <w:t xml:space="preserve">, </w:t>
      </w:r>
      <w:r w:rsidR="00B704AD" w:rsidRPr="00C8701B">
        <w:rPr>
          <w:rFonts w:eastAsia="Arial Unicode MS"/>
          <w:bCs/>
          <w:lang w:eastAsia="fr-FR" w:bidi="he-IL"/>
        </w:rPr>
        <w:t>dans le premier évangile</w:t>
      </w:r>
      <w:r w:rsidR="00E65435">
        <w:rPr>
          <w:rFonts w:eastAsia="Arial Unicode MS"/>
          <w:bCs/>
          <w:lang w:eastAsia="fr-FR" w:bidi="he-IL"/>
        </w:rPr>
        <w:t xml:space="preserve">, </w:t>
      </w:r>
      <w:r w:rsidR="00B704AD" w:rsidRPr="00C8701B">
        <w:rPr>
          <w:rFonts w:eastAsia="Arial Unicode MS"/>
          <w:bCs/>
          <w:lang w:eastAsia="fr-FR" w:bidi="he-IL"/>
        </w:rPr>
        <w:t>nous avons de la narration</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dans le second</w:t>
      </w:r>
      <w:r w:rsidR="00E65435">
        <w:rPr>
          <w:rFonts w:eastAsia="Arial Unicode MS"/>
          <w:bCs/>
          <w:lang w:eastAsia="fr-FR" w:bidi="he-IL"/>
        </w:rPr>
        <w:t xml:space="preserve">, </w:t>
      </w:r>
      <w:r w:rsidR="00B704AD" w:rsidRPr="00C8701B">
        <w:rPr>
          <w:rFonts w:eastAsia="Arial Unicode MS"/>
          <w:bCs/>
          <w:lang w:eastAsia="fr-FR" w:bidi="he-IL"/>
        </w:rPr>
        <w:t>des mémoires</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dans le troisième</w:t>
      </w:r>
      <w:r w:rsidR="00E65435">
        <w:rPr>
          <w:rFonts w:eastAsia="Arial Unicode MS"/>
          <w:bCs/>
          <w:lang w:eastAsia="fr-FR" w:bidi="he-IL"/>
        </w:rPr>
        <w:t xml:space="preserve">, </w:t>
      </w:r>
      <w:r w:rsidR="00B704AD" w:rsidRPr="00C8701B">
        <w:rPr>
          <w:rFonts w:eastAsia="Arial Unicode MS"/>
          <w:bCs/>
          <w:lang w:eastAsia="fr-FR" w:bidi="he-IL"/>
        </w:rPr>
        <w:t>de l</w:t>
      </w:r>
      <w:r w:rsidR="00557DE0">
        <w:rPr>
          <w:rFonts w:eastAsia="Arial Unicode MS"/>
          <w:bCs/>
          <w:lang w:eastAsia="fr-FR" w:bidi="he-IL"/>
        </w:rPr>
        <w:t>’</w:t>
      </w:r>
      <w:r w:rsidR="00B704AD" w:rsidRPr="00C8701B">
        <w:rPr>
          <w:rFonts w:eastAsia="Arial Unicode MS"/>
          <w:bCs/>
          <w:lang w:eastAsia="fr-FR" w:bidi="he-IL"/>
        </w:rPr>
        <w:t>histoire</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dans le quatrième</w:t>
      </w:r>
      <w:r w:rsidR="00E65435">
        <w:rPr>
          <w:rFonts w:eastAsia="Arial Unicode MS"/>
          <w:bCs/>
          <w:lang w:eastAsia="fr-FR" w:bidi="he-IL"/>
        </w:rPr>
        <w:t xml:space="preserve">, </w:t>
      </w:r>
      <w:r w:rsidR="00B704AD" w:rsidRPr="00C8701B">
        <w:rPr>
          <w:rFonts w:eastAsia="Arial Unicode MS"/>
          <w:bCs/>
          <w:lang w:eastAsia="fr-FR" w:bidi="he-IL"/>
        </w:rPr>
        <w:t>des portraits dramatiques</w:t>
      </w:r>
      <w:r w:rsidRPr="00C8701B">
        <w:rPr>
          <w:rFonts w:eastAsia="Arial Unicode MS"/>
          <w:bCs/>
          <w:lang w:eastAsia="fr-FR" w:bidi="he-IL"/>
        </w:rPr>
        <w:t> :</w:t>
      </w:r>
      <w:r w:rsidR="00B704AD" w:rsidRPr="00DC4586">
        <w:rPr>
          <w:rStyle w:val="italicus"/>
        </w:rPr>
        <w:t xml:space="preserve"> b</w:t>
      </w:r>
      <w:r w:rsidR="00B704AD" w:rsidRPr="00C8701B">
        <w:rPr>
          <w:rFonts w:eastAsia="Arial Unicode MS"/>
          <w:bCs/>
          <w:iCs/>
          <w:lang w:eastAsia="fr-FR" w:bidi="he-IL"/>
        </w:rPr>
        <w:t>)</w:t>
      </w:r>
      <w:r w:rsidR="00B704AD" w:rsidRPr="00C8701B">
        <w:rPr>
          <w:rFonts w:eastAsia="Arial Unicode MS"/>
          <w:bCs/>
          <w:lang w:eastAsia="fr-FR" w:bidi="he-IL"/>
        </w:rPr>
        <w:t xml:space="preserve"> que le premier présente d</w:t>
      </w:r>
      <w:r w:rsidR="00557DE0">
        <w:rPr>
          <w:rFonts w:eastAsia="Arial Unicode MS"/>
          <w:bCs/>
          <w:lang w:eastAsia="fr-FR" w:bidi="he-IL"/>
        </w:rPr>
        <w:t>’</w:t>
      </w:r>
      <w:r w:rsidR="00B704AD" w:rsidRPr="00C8701B">
        <w:rPr>
          <w:rFonts w:eastAsia="Arial Unicode MS"/>
          <w:bCs/>
          <w:lang w:eastAsia="fr-FR" w:bidi="he-IL"/>
        </w:rPr>
        <w:t>ordinaire les faits sous le rapport de leur accomplissement</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le second</w:t>
      </w:r>
      <w:r w:rsidR="00E65435">
        <w:rPr>
          <w:rFonts w:eastAsia="Arial Unicode MS"/>
          <w:bCs/>
          <w:lang w:eastAsia="fr-FR" w:bidi="he-IL"/>
        </w:rPr>
        <w:t xml:space="preserve">, </w:t>
      </w:r>
      <w:r w:rsidR="00B704AD" w:rsidRPr="00C8701B">
        <w:rPr>
          <w:rFonts w:eastAsia="Arial Unicode MS"/>
          <w:bCs/>
          <w:lang w:eastAsia="fr-FR" w:bidi="he-IL"/>
        </w:rPr>
        <w:t>dans leur détail</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le troisième</w:t>
      </w:r>
      <w:r w:rsidR="00E65435">
        <w:rPr>
          <w:rFonts w:eastAsia="Arial Unicode MS"/>
          <w:bCs/>
          <w:lang w:eastAsia="fr-FR" w:bidi="he-IL"/>
        </w:rPr>
        <w:t xml:space="preserve">, </w:t>
      </w:r>
      <w:r w:rsidR="00B704AD" w:rsidRPr="00C8701B">
        <w:rPr>
          <w:rFonts w:eastAsia="Arial Unicode MS"/>
          <w:bCs/>
          <w:lang w:eastAsia="fr-FR" w:bidi="he-IL"/>
        </w:rPr>
        <w:t>dans leur connexion</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le quatrième</w:t>
      </w:r>
      <w:r w:rsidR="00E65435">
        <w:rPr>
          <w:rFonts w:eastAsia="Arial Unicode MS"/>
          <w:bCs/>
          <w:lang w:eastAsia="fr-FR" w:bidi="he-IL"/>
        </w:rPr>
        <w:t xml:space="preserve">, </w:t>
      </w:r>
      <w:r w:rsidR="000D3E6A">
        <w:rPr>
          <w:rFonts w:eastAsia="Arial Unicode MS"/>
          <w:bCs/>
          <w:lang w:eastAsia="fr-FR" w:bidi="he-IL"/>
        </w:rPr>
        <w:t xml:space="preserve">dans leur relation </w:t>
      </w:r>
      <w:r w:rsidR="00B704AD" w:rsidRPr="00C8701B">
        <w:rPr>
          <w:rFonts w:eastAsia="Arial Unicode MS"/>
          <w:bCs/>
          <w:lang w:eastAsia="fr-FR" w:bidi="he-IL"/>
        </w:rPr>
        <w:t>avec les enseignements spirituels qui en émanent</w:t>
      </w:r>
      <w:r w:rsidRPr="00C8701B">
        <w:rPr>
          <w:rFonts w:eastAsia="Arial Unicode MS"/>
          <w:bCs/>
          <w:lang w:eastAsia="fr-FR" w:bidi="he-IL"/>
        </w:rPr>
        <w:t> :</w:t>
      </w:r>
      <w:r w:rsidR="00B704AD" w:rsidRPr="00C8701B">
        <w:rPr>
          <w:rFonts w:eastAsia="Arial Unicode MS"/>
          <w:bCs/>
          <w:lang w:eastAsia="fr-FR" w:bidi="he-IL"/>
        </w:rPr>
        <w:t xml:space="preserve"> </w:t>
      </w:r>
      <w:r w:rsidR="00B704AD" w:rsidRPr="000D3E6A">
        <w:rPr>
          <w:rStyle w:val="italicus"/>
        </w:rPr>
        <w:t>c)</w:t>
      </w:r>
      <w:r w:rsidR="00B704AD" w:rsidRPr="00C8701B">
        <w:rPr>
          <w:rFonts w:eastAsia="Arial Unicode MS"/>
          <w:bCs/>
          <w:lang w:eastAsia="fr-FR" w:bidi="he-IL"/>
        </w:rPr>
        <w:t xml:space="preserve"> qu</w:t>
      </w:r>
      <w:r w:rsidR="00557DE0">
        <w:rPr>
          <w:rFonts w:eastAsia="Arial Unicode MS"/>
          <w:bCs/>
          <w:lang w:eastAsia="fr-FR" w:bidi="he-IL"/>
        </w:rPr>
        <w:t>’</w:t>
      </w:r>
      <w:r w:rsidR="00B704AD" w:rsidRPr="00C8701B">
        <w:rPr>
          <w:rFonts w:eastAsia="Arial Unicode MS"/>
          <w:bCs/>
          <w:lang w:eastAsia="fr-FR" w:bidi="he-IL"/>
        </w:rPr>
        <w:t>ainsi</w:t>
      </w:r>
      <w:r w:rsidR="00E65435">
        <w:rPr>
          <w:rFonts w:eastAsia="Arial Unicode MS"/>
          <w:bCs/>
          <w:lang w:eastAsia="fr-FR" w:bidi="he-IL"/>
        </w:rPr>
        <w:t xml:space="preserve">, </w:t>
      </w:r>
      <w:r w:rsidR="00B704AD" w:rsidRPr="00C8701B">
        <w:rPr>
          <w:rFonts w:eastAsia="Arial Unicode MS"/>
          <w:bCs/>
          <w:lang w:eastAsia="fr-FR" w:bidi="he-IL"/>
        </w:rPr>
        <w:t>dans le premier</w:t>
      </w:r>
      <w:r w:rsidR="00E65435">
        <w:rPr>
          <w:rFonts w:eastAsia="Arial Unicode MS"/>
          <w:bCs/>
          <w:lang w:eastAsia="fr-FR" w:bidi="he-IL"/>
        </w:rPr>
        <w:t xml:space="preserve">, </w:t>
      </w:r>
      <w:r w:rsidR="00B704AD" w:rsidRPr="00C8701B">
        <w:rPr>
          <w:rFonts w:eastAsia="Arial Unicode MS"/>
          <w:bCs/>
          <w:lang w:eastAsia="fr-FR" w:bidi="he-IL"/>
        </w:rPr>
        <w:t>ce sont des impressions que nous trouvons le plus souvent notées</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des faits</w:t>
      </w:r>
      <w:r w:rsidR="00E65435">
        <w:rPr>
          <w:rFonts w:eastAsia="Arial Unicode MS"/>
          <w:bCs/>
          <w:lang w:eastAsia="fr-FR" w:bidi="he-IL"/>
        </w:rPr>
        <w:t xml:space="preserve">, </w:t>
      </w:r>
      <w:r w:rsidR="00B704AD" w:rsidRPr="00C8701B">
        <w:rPr>
          <w:rFonts w:eastAsia="Arial Unicode MS"/>
          <w:bCs/>
          <w:lang w:eastAsia="fr-FR" w:bidi="he-IL"/>
        </w:rPr>
        <w:t>dans le second</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des motifs</w:t>
      </w:r>
      <w:r w:rsidR="00E65435">
        <w:rPr>
          <w:rFonts w:eastAsia="Arial Unicode MS"/>
          <w:bCs/>
          <w:lang w:eastAsia="fr-FR" w:bidi="he-IL"/>
        </w:rPr>
        <w:t xml:space="preserve">, </w:t>
      </w:r>
      <w:r w:rsidR="00B704AD" w:rsidRPr="00C8701B">
        <w:rPr>
          <w:rFonts w:eastAsia="Arial Unicode MS"/>
          <w:bCs/>
          <w:lang w:eastAsia="fr-FR" w:bidi="he-IL"/>
        </w:rPr>
        <w:t>dans le troisième</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des paroles</w:t>
      </w:r>
      <w:r w:rsidR="00E65435">
        <w:rPr>
          <w:rFonts w:eastAsia="Arial Unicode MS"/>
          <w:bCs/>
          <w:lang w:eastAsia="fr-FR" w:bidi="he-IL"/>
        </w:rPr>
        <w:t xml:space="preserve">, </w:t>
      </w:r>
      <w:r w:rsidR="00B704AD" w:rsidRPr="00C8701B">
        <w:rPr>
          <w:rFonts w:eastAsia="Arial Unicode MS"/>
          <w:bCs/>
          <w:lang w:eastAsia="fr-FR" w:bidi="he-IL"/>
        </w:rPr>
        <w:t>dans le quatrième</w:t>
      </w:r>
      <w:r w:rsidRPr="00C8701B">
        <w:rPr>
          <w:rFonts w:eastAsia="Arial Unicode MS"/>
          <w:bCs/>
          <w:lang w:eastAsia="fr-FR" w:bidi="he-IL"/>
        </w:rPr>
        <w:t> :</w:t>
      </w:r>
      <w:r w:rsidR="00B704AD" w:rsidRPr="00C8701B">
        <w:rPr>
          <w:rFonts w:eastAsia="Arial Unicode MS"/>
          <w:bCs/>
          <w:lang w:eastAsia="fr-FR" w:bidi="he-IL"/>
        </w:rPr>
        <w:t xml:space="preserve"> </w:t>
      </w:r>
      <w:r w:rsidR="00B704AD" w:rsidRPr="000D3E6A">
        <w:rPr>
          <w:rStyle w:val="italicus"/>
        </w:rPr>
        <w:t>d)</w:t>
      </w:r>
      <w:r w:rsidR="00B704AD" w:rsidRPr="00C8701B">
        <w:rPr>
          <w:rFonts w:eastAsia="Arial Unicode MS"/>
          <w:bCs/>
          <w:lang w:eastAsia="fr-FR" w:bidi="he-IL"/>
        </w:rPr>
        <w:t xml:space="preserve"> enfin</w:t>
      </w:r>
      <w:r w:rsidR="00E65435">
        <w:rPr>
          <w:rFonts w:eastAsia="Arial Unicode MS"/>
          <w:bCs/>
          <w:lang w:eastAsia="fr-FR" w:bidi="he-IL"/>
        </w:rPr>
        <w:t xml:space="preserve">, </w:t>
      </w:r>
      <w:r w:rsidR="00B704AD" w:rsidRPr="00C8701B">
        <w:rPr>
          <w:rFonts w:eastAsia="Arial Unicode MS"/>
          <w:bCs/>
          <w:lang w:eastAsia="fr-FR" w:bidi="he-IL"/>
        </w:rPr>
        <w:t>que la narration du premier est souvent collective et souvent antithétique</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celle du second</w:t>
      </w:r>
      <w:r w:rsidR="00E65435">
        <w:rPr>
          <w:rFonts w:eastAsia="Arial Unicode MS"/>
          <w:bCs/>
          <w:lang w:eastAsia="fr-FR" w:bidi="he-IL"/>
        </w:rPr>
        <w:t xml:space="preserve">, </w:t>
      </w:r>
      <w:r w:rsidR="00B704AD" w:rsidRPr="00C8701B">
        <w:rPr>
          <w:rFonts w:eastAsia="Arial Unicode MS"/>
          <w:bCs/>
          <w:lang w:eastAsia="fr-FR" w:bidi="he-IL"/>
        </w:rPr>
        <w:t>graphique et circonstanciée</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celle du troisième</w:t>
      </w:r>
      <w:r w:rsidR="00E65435">
        <w:rPr>
          <w:rFonts w:eastAsia="Arial Unicode MS"/>
          <w:bCs/>
          <w:lang w:eastAsia="fr-FR" w:bidi="he-IL"/>
        </w:rPr>
        <w:t xml:space="preserve">, </w:t>
      </w:r>
      <w:r w:rsidR="00B704AD" w:rsidRPr="00C8701B">
        <w:rPr>
          <w:rFonts w:eastAsia="Arial Unicode MS"/>
          <w:bCs/>
          <w:lang w:eastAsia="fr-FR" w:bidi="he-IL"/>
        </w:rPr>
        <w:t>didactique et réfléchie</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celle du quatrième</w:t>
      </w:r>
      <w:r w:rsidR="00E65435">
        <w:rPr>
          <w:rFonts w:eastAsia="Arial Unicode MS"/>
          <w:bCs/>
          <w:lang w:eastAsia="fr-FR" w:bidi="he-IL"/>
        </w:rPr>
        <w:t xml:space="preserve">, </w:t>
      </w:r>
      <w:r w:rsidR="00B704AD" w:rsidRPr="00C8701B">
        <w:rPr>
          <w:rFonts w:eastAsia="Arial Unicode MS"/>
          <w:bCs/>
          <w:lang w:eastAsia="fr-FR" w:bidi="he-IL"/>
        </w:rPr>
        <w:t>choisie et supplémentaire.</w:t>
      </w:r>
      <w:r w:rsidR="000F7DAA">
        <w:rPr>
          <w:rFonts w:eastAsia="Arial Unicode MS"/>
          <w:bCs/>
          <w:lang w:eastAsia="fr-FR" w:bidi="he-IL"/>
        </w:rPr>
        <w:t xml:space="preserve"> —</w:t>
      </w:r>
      <w:r w:rsidR="008D0642">
        <w:rPr>
          <w:rFonts w:eastAsia="Arial Unicode MS"/>
          <w:bCs/>
          <w:lang w:eastAsia="fr-FR" w:bidi="he-IL"/>
        </w:rPr>
        <w:t xml:space="preserve"> </w:t>
      </w:r>
      <w:r w:rsidR="00B704AD" w:rsidRPr="00C8701B">
        <w:rPr>
          <w:rFonts w:eastAsia="Arial Unicode MS"/>
          <w:bCs/>
          <w:lang w:eastAsia="fr-FR" w:bidi="he-IL"/>
        </w:rPr>
        <w:t>3° Nous pouvons conclure en disant que</w:t>
      </w:r>
      <w:r w:rsidR="00E65435">
        <w:rPr>
          <w:rFonts w:eastAsia="Arial Unicode MS"/>
          <w:bCs/>
          <w:lang w:eastAsia="fr-FR" w:bidi="he-IL"/>
        </w:rPr>
        <w:t xml:space="preserve">, </w:t>
      </w:r>
      <w:r w:rsidR="00B704AD" w:rsidRPr="00C8701B">
        <w:rPr>
          <w:rFonts w:eastAsia="Arial Unicode MS"/>
          <w:bCs/>
          <w:lang w:eastAsia="fr-FR" w:bidi="he-IL"/>
        </w:rPr>
        <w:t>pour ce qui concerne le portrait de Notre-Seigneur</w:t>
      </w:r>
      <w:r w:rsidR="00E65435">
        <w:rPr>
          <w:rFonts w:eastAsia="Arial Unicode MS"/>
          <w:bCs/>
          <w:lang w:eastAsia="fr-FR" w:bidi="he-IL"/>
        </w:rPr>
        <w:t xml:space="preserve">, </w:t>
      </w:r>
      <w:r w:rsidR="00B704AD" w:rsidRPr="00C8701B">
        <w:rPr>
          <w:rFonts w:eastAsia="Arial Unicode MS"/>
          <w:bCs/>
          <w:lang w:eastAsia="fr-FR" w:bidi="he-IL"/>
        </w:rPr>
        <w:t>le premier évangile nous présente surtout Jésus comme Messie</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le second</w:t>
      </w:r>
      <w:r w:rsidR="00E65435">
        <w:rPr>
          <w:rFonts w:eastAsia="Arial Unicode MS"/>
          <w:bCs/>
          <w:lang w:eastAsia="fr-FR" w:bidi="he-IL"/>
        </w:rPr>
        <w:t xml:space="preserve">, </w:t>
      </w:r>
      <w:r w:rsidR="00B704AD" w:rsidRPr="00C8701B">
        <w:rPr>
          <w:rFonts w:eastAsia="Arial Unicode MS"/>
          <w:bCs/>
          <w:lang w:eastAsia="fr-FR" w:bidi="he-IL"/>
        </w:rPr>
        <w:t>surtout comme Dieu-homme</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le troisième</w:t>
      </w:r>
      <w:r w:rsidR="00E65435">
        <w:rPr>
          <w:rFonts w:eastAsia="Arial Unicode MS"/>
          <w:bCs/>
          <w:lang w:eastAsia="fr-FR" w:bidi="he-IL"/>
        </w:rPr>
        <w:t xml:space="preserve">, </w:t>
      </w:r>
      <w:r w:rsidR="00B704AD" w:rsidRPr="00C8701B">
        <w:rPr>
          <w:rFonts w:eastAsia="Arial Unicode MS"/>
          <w:bCs/>
          <w:lang w:eastAsia="fr-FR" w:bidi="he-IL"/>
        </w:rPr>
        <w:t>comme Rédempteur</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le quatrième</w:t>
      </w:r>
      <w:r w:rsidR="00E65435">
        <w:rPr>
          <w:rFonts w:eastAsia="Arial Unicode MS"/>
          <w:bCs/>
          <w:lang w:eastAsia="fr-FR" w:bidi="he-IL"/>
        </w:rPr>
        <w:t xml:space="preserve">, </w:t>
      </w:r>
      <w:r w:rsidR="00B704AD" w:rsidRPr="00C8701B">
        <w:rPr>
          <w:rFonts w:eastAsia="Arial Unicode MS"/>
          <w:bCs/>
          <w:lang w:eastAsia="fr-FR" w:bidi="he-IL"/>
        </w:rPr>
        <w:t>comme Fils unique de Dieu</w:t>
      </w:r>
      <w:r w:rsidR="00933C60" w:rsidRPr="00C406FF">
        <w:rPr>
          <w:rStyle w:val="Appelnotedebasdep"/>
        </w:rPr>
        <w:footnoteReference w:id="131"/>
      </w:r>
      <w:r w:rsidRPr="00C8701B">
        <w:rPr>
          <w:rFonts w:eastAsia="Arial Unicode MS"/>
          <w:bCs/>
          <w:lang w:eastAsia="fr-FR" w:bidi="he-IL"/>
        </w:rPr>
        <w:t> »</w:t>
      </w:r>
      <w:r w:rsidR="00B704AD" w:rsidRPr="00C8701B">
        <w:rPr>
          <w:rFonts w:eastAsia="Arial Unicode MS"/>
          <w:bCs/>
          <w:lang w:eastAsia="fr-FR" w:bidi="he-IL"/>
        </w:rPr>
        <w:t>.</w:t>
      </w:r>
      <w:r w:rsidRPr="00C8701B">
        <w:rPr>
          <w:rFonts w:eastAsia="Arial Unicode MS"/>
          <w:bCs/>
          <w:lang w:eastAsia="fr-FR" w:bidi="he-IL"/>
        </w:rPr>
        <w:t xml:space="preserve"> </w:t>
      </w:r>
    </w:p>
    <w:p w:rsidR="00C2602D" w:rsidRPr="00C8701B" w:rsidRDefault="00B704AD" w:rsidP="00B907E8">
      <w:pPr>
        <w:rPr>
          <w:rFonts w:eastAsia="Arial Unicode MS"/>
          <w:bCs/>
          <w:lang w:eastAsia="fr-FR" w:bidi="he-IL"/>
        </w:rPr>
      </w:pPr>
      <w:r w:rsidRPr="00DC4586">
        <w:rPr>
          <w:rStyle w:val="italicus"/>
        </w:rPr>
        <w:t>Deuxième fait.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Bien qu</w:t>
      </w:r>
      <w:r w:rsidR="00557DE0">
        <w:rPr>
          <w:rFonts w:eastAsia="Arial Unicode MS"/>
          <w:bCs/>
          <w:lang w:eastAsia="fr-FR" w:bidi="he-IL"/>
        </w:rPr>
        <w:t>’</w:t>
      </w:r>
      <w:r w:rsidRPr="00C8701B">
        <w:rPr>
          <w:rFonts w:eastAsia="Arial Unicode MS"/>
          <w:bCs/>
          <w:lang w:eastAsia="fr-FR" w:bidi="he-IL"/>
        </w:rPr>
        <w:t>en réalité les quatre narrations évangéliques s</w:t>
      </w:r>
      <w:r w:rsidR="00557DE0">
        <w:rPr>
          <w:rFonts w:eastAsia="Arial Unicode MS"/>
          <w:bCs/>
          <w:lang w:eastAsia="fr-FR" w:bidi="he-IL"/>
        </w:rPr>
        <w:t>’</w:t>
      </w:r>
      <w:r w:rsidRPr="00C8701B">
        <w:rPr>
          <w:rFonts w:eastAsia="Arial Unicode MS"/>
          <w:bCs/>
          <w:lang w:eastAsia="fr-FR" w:bidi="he-IL"/>
        </w:rPr>
        <w:t>occupent d</w:t>
      </w:r>
      <w:r w:rsidR="00557DE0">
        <w:rPr>
          <w:rFonts w:eastAsia="Arial Unicode MS"/>
          <w:bCs/>
          <w:lang w:eastAsia="fr-FR" w:bidi="he-IL"/>
        </w:rPr>
        <w:t>’</w:t>
      </w:r>
      <w:r w:rsidRPr="00C8701B">
        <w:rPr>
          <w:rFonts w:eastAsia="Arial Unicode MS"/>
          <w:bCs/>
          <w:lang w:eastAsia="fr-FR" w:bidi="he-IL"/>
        </w:rPr>
        <w:t>une seule et même biographie</w:t>
      </w:r>
      <w:r w:rsidR="00E65435">
        <w:rPr>
          <w:rFonts w:eastAsia="Arial Unicode MS"/>
          <w:bCs/>
          <w:lang w:eastAsia="fr-FR" w:bidi="he-IL"/>
        </w:rPr>
        <w:t xml:space="preserve">, </w:t>
      </w:r>
      <w:r w:rsidRPr="00C8701B">
        <w:rPr>
          <w:rFonts w:eastAsia="Arial Unicode MS"/>
          <w:bCs/>
          <w:lang w:eastAsia="fr-FR" w:bidi="he-IL"/>
        </w:rPr>
        <w:t>et qu</w:t>
      </w:r>
      <w:r w:rsidR="00557DE0">
        <w:rPr>
          <w:rFonts w:eastAsia="Arial Unicode MS"/>
          <w:bCs/>
          <w:lang w:eastAsia="fr-FR" w:bidi="he-IL"/>
        </w:rPr>
        <w:t>’</w:t>
      </w:r>
      <w:r w:rsidRPr="00C8701B">
        <w:rPr>
          <w:rFonts w:eastAsia="Arial Unicode MS"/>
          <w:bCs/>
          <w:lang w:eastAsia="fr-FR" w:bidi="he-IL"/>
        </w:rPr>
        <w:t>elles possèdent beaucoup de matériaux communs</w:t>
      </w:r>
      <w:r w:rsidR="00933C60" w:rsidRPr="00C406FF">
        <w:rPr>
          <w:rStyle w:val="Appelnotedebasdep"/>
        </w:rPr>
        <w:footnoteReference w:id="132"/>
      </w:r>
      <w:r w:rsidR="00E65435">
        <w:rPr>
          <w:rFonts w:eastAsia="Arial Unicode MS"/>
          <w:bCs/>
          <w:lang w:eastAsia="fr-FR" w:bidi="he-IL"/>
        </w:rPr>
        <w:t xml:space="preserve">, </w:t>
      </w:r>
      <w:r w:rsidRPr="00C8701B">
        <w:rPr>
          <w:rFonts w:eastAsia="Arial Unicode MS"/>
          <w:bCs/>
          <w:lang w:eastAsia="fr-FR" w:bidi="he-IL"/>
        </w:rPr>
        <w:t>cependant</w:t>
      </w:r>
      <w:r w:rsidR="00E65435">
        <w:rPr>
          <w:rFonts w:eastAsia="Arial Unicode MS"/>
          <w:bCs/>
          <w:lang w:eastAsia="fr-FR" w:bidi="he-IL"/>
        </w:rPr>
        <w:t xml:space="preserve">, </w:t>
      </w:r>
      <w:r w:rsidRPr="00C8701B">
        <w:rPr>
          <w:rFonts w:eastAsia="Arial Unicode MS"/>
          <w:bCs/>
          <w:lang w:eastAsia="fr-FR" w:bidi="he-IL"/>
        </w:rPr>
        <w:t>en un sens</w:t>
      </w:r>
      <w:r w:rsidR="00E65435">
        <w:rPr>
          <w:rFonts w:eastAsia="Arial Unicode MS"/>
          <w:bCs/>
          <w:lang w:eastAsia="fr-FR" w:bidi="he-IL"/>
        </w:rPr>
        <w:t xml:space="preserve">, </w:t>
      </w:r>
      <w:r w:rsidR="000D3E6A">
        <w:rPr>
          <w:rFonts w:eastAsia="Arial Unicode MS"/>
          <w:bCs/>
          <w:lang w:eastAsia="fr-FR" w:bidi="he-IL"/>
        </w:rPr>
        <w:t>elles peuvent s</w:t>
      </w:r>
      <w:r w:rsidRPr="00C8701B">
        <w:rPr>
          <w:rFonts w:eastAsia="Arial Unicode MS"/>
          <w:bCs/>
          <w:lang w:eastAsia="fr-FR" w:bidi="he-IL"/>
        </w:rPr>
        <w:t>e ré</w:t>
      </w:r>
      <w:r w:rsidR="000D3E6A" w:rsidRPr="00C8701B">
        <w:rPr>
          <w:rFonts w:eastAsia="Arial Unicode MS"/>
          <w:bCs/>
          <w:lang w:eastAsia="fr-FR" w:bidi="he-IL"/>
        </w:rPr>
        <w:t>duire</w:t>
      </w:r>
      <w:r w:rsidR="000D3E6A">
        <w:rPr>
          <w:rFonts w:eastAsia="Arial Unicode MS"/>
          <w:bCs/>
          <w:lang w:eastAsia="fr-FR" w:bidi="he-IL"/>
        </w:rPr>
        <w:t xml:space="preserve"> à deux</w:t>
      </w:r>
      <w:r w:rsidRPr="00C8701B">
        <w:rPr>
          <w:rFonts w:eastAsia="Arial Unicode MS"/>
          <w:bCs/>
          <w:lang w:eastAsia="fr-FR" w:bidi="he-IL"/>
        </w:rPr>
        <w:t xml:space="preserve"> récits</w:t>
      </w:r>
      <w:r w:rsidR="00C2602D" w:rsidRPr="00C8701B">
        <w:rPr>
          <w:rFonts w:eastAsia="Arial Unicode MS"/>
          <w:bCs/>
          <w:lang w:eastAsia="fr-FR" w:bidi="he-IL"/>
        </w:rPr>
        <w:t> :</w:t>
      </w:r>
      <w:r w:rsidR="000D3E6A">
        <w:rPr>
          <w:rFonts w:eastAsia="Arial Unicode MS"/>
          <w:bCs/>
          <w:lang w:eastAsia="fr-FR" w:bidi="he-IL"/>
        </w:rPr>
        <w:t xml:space="preserve"> </w:t>
      </w:r>
      <w:r w:rsidR="00B907E8" w:rsidRPr="000716BB">
        <w:rPr>
          <w:rFonts w:eastAsia="Arial Unicode MS"/>
          <w:bCs/>
          <w:lang w:eastAsia="fr-FR" w:bidi="he-IL"/>
        </w:rPr>
        <w:t>{</w:t>
      </w:r>
      <w:r w:rsidR="00B907E8">
        <w:rPr>
          <w:rFonts w:eastAsia="Arial Unicode MS"/>
          <w:bCs/>
          <w:lang w:eastAsia="fr-FR" w:bidi="he-IL"/>
        </w:rPr>
        <w:t>27</w:t>
      </w:r>
      <w:bookmarkStart w:id="49" w:name="pag027"/>
      <w:bookmarkEnd w:id="49"/>
      <w:r w:rsidR="00B907E8" w:rsidRPr="000716BB">
        <w:rPr>
          <w:rFonts w:eastAsia="Arial Unicode MS"/>
          <w:bCs/>
          <w:lang w:eastAsia="fr-FR" w:bidi="he-IL"/>
        </w:rPr>
        <w:t>}</w:t>
      </w:r>
      <w:r w:rsidR="00B907E8">
        <w:rPr>
          <w:rFonts w:eastAsia="Arial Unicode MS"/>
          <w:bCs/>
          <w:lang w:eastAsia="fr-FR" w:bidi="he-IL"/>
        </w:rPr>
        <w:t xml:space="preserve"> </w:t>
      </w:r>
      <w:r w:rsidRPr="00C8701B">
        <w:rPr>
          <w:rFonts w:eastAsia="Arial Unicode MS"/>
          <w:bCs/>
          <w:lang w:eastAsia="fr-FR" w:bidi="he-IL"/>
        </w:rPr>
        <w:t>un premier récit</w:t>
      </w:r>
      <w:r w:rsidR="00E65435">
        <w:rPr>
          <w:rFonts w:eastAsia="Arial Unicode MS"/>
          <w:bCs/>
          <w:lang w:eastAsia="fr-FR" w:bidi="he-IL"/>
        </w:rPr>
        <w:t xml:space="preserve">, </w:t>
      </w:r>
      <w:r w:rsidRPr="00C8701B">
        <w:rPr>
          <w:rFonts w:eastAsia="Arial Unicode MS"/>
          <w:bCs/>
          <w:lang w:eastAsia="fr-FR" w:bidi="he-IL"/>
        </w:rPr>
        <w:t>formé par la combinaison des évangiles selon S. Matthieu</w:t>
      </w:r>
      <w:r w:rsidR="00E65435">
        <w:rPr>
          <w:rFonts w:eastAsia="Arial Unicode MS"/>
          <w:bCs/>
          <w:lang w:eastAsia="fr-FR" w:bidi="he-IL"/>
        </w:rPr>
        <w:t xml:space="preserve">, </w:t>
      </w:r>
      <w:r w:rsidRPr="00C8701B">
        <w:rPr>
          <w:rFonts w:eastAsia="Arial Unicode MS"/>
          <w:bCs/>
          <w:lang w:eastAsia="fr-FR" w:bidi="he-IL"/>
        </w:rPr>
        <w:t>S. Marc et S. Luc</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un second récit</w:t>
      </w:r>
      <w:r w:rsidR="00E65435">
        <w:rPr>
          <w:rFonts w:eastAsia="Arial Unicode MS"/>
          <w:bCs/>
          <w:lang w:eastAsia="fr-FR" w:bidi="he-IL"/>
        </w:rPr>
        <w:t xml:space="preserve">, </w:t>
      </w:r>
      <w:r w:rsidRPr="00C8701B">
        <w:rPr>
          <w:rFonts w:eastAsia="Arial Unicode MS"/>
          <w:bCs/>
          <w:lang w:eastAsia="fr-FR" w:bidi="he-IL"/>
        </w:rPr>
        <w:t>que nous fournit l</w:t>
      </w:r>
      <w:r w:rsidR="00557DE0">
        <w:rPr>
          <w:rFonts w:eastAsia="Arial Unicode MS"/>
          <w:bCs/>
          <w:lang w:eastAsia="fr-FR" w:bidi="he-IL"/>
        </w:rPr>
        <w:t>’</w:t>
      </w:r>
      <w:r w:rsidR="000D3E6A">
        <w:rPr>
          <w:rFonts w:eastAsia="Arial Unicode MS"/>
          <w:bCs/>
          <w:lang w:eastAsia="fr-FR" w:bidi="he-IL"/>
        </w:rPr>
        <w:t>évangile selon S. Jea</w:t>
      </w:r>
      <w:r w:rsidRPr="00C8701B">
        <w:rPr>
          <w:rFonts w:eastAsia="Arial Unicode MS"/>
          <w:bCs/>
          <w:lang w:eastAsia="fr-FR" w:bidi="he-IL"/>
        </w:rPr>
        <w:t>n.</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Il y a donc</w:t>
      </w:r>
      <w:r w:rsidR="00E65435">
        <w:rPr>
          <w:rFonts w:eastAsia="Arial Unicode MS"/>
          <w:bCs/>
          <w:lang w:eastAsia="fr-FR" w:bidi="he-IL"/>
        </w:rPr>
        <w:t xml:space="preserve">, </w:t>
      </w:r>
      <w:r w:rsidRPr="00C8701B">
        <w:rPr>
          <w:rFonts w:eastAsia="Arial Unicode MS"/>
          <w:bCs/>
          <w:lang w:eastAsia="fr-FR" w:bidi="he-IL"/>
        </w:rPr>
        <w:t>pour ainsi dire</w:t>
      </w:r>
      <w:r w:rsidR="00E65435">
        <w:rPr>
          <w:rFonts w:eastAsia="Arial Unicode MS"/>
          <w:bCs/>
          <w:lang w:eastAsia="fr-FR" w:bidi="he-IL"/>
        </w:rPr>
        <w:t xml:space="preserve">, </w:t>
      </w:r>
      <w:r w:rsidRPr="00C8701B">
        <w:rPr>
          <w:rFonts w:eastAsia="Arial Unicode MS"/>
          <w:bCs/>
          <w:lang w:eastAsia="fr-FR" w:bidi="he-IL"/>
        </w:rPr>
        <w:t>deux groupes</w:t>
      </w:r>
      <w:r w:rsidR="00E65435">
        <w:rPr>
          <w:rFonts w:eastAsia="Arial Unicode MS"/>
          <w:bCs/>
          <w:lang w:eastAsia="fr-FR" w:bidi="he-IL"/>
        </w:rPr>
        <w:t xml:space="preserve">, </w:t>
      </w:r>
      <w:r w:rsidRPr="00C8701B">
        <w:rPr>
          <w:rFonts w:eastAsia="Arial Unicode MS"/>
          <w:bCs/>
          <w:lang w:eastAsia="fr-FR" w:bidi="he-IL"/>
        </w:rPr>
        <w:t>deux types d</w:t>
      </w:r>
      <w:r w:rsidR="00557DE0">
        <w:rPr>
          <w:rFonts w:eastAsia="Arial Unicode MS"/>
          <w:bCs/>
          <w:lang w:eastAsia="fr-FR" w:bidi="he-IL"/>
        </w:rPr>
        <w:t>’</w:t>
      </w:r>
      <w:r w:rsidRPr="00C8701B">
        <w:rPr>
          <w:rFonts w:eastAsia="Arial Unicode MS"/>
          <w:bCs/>
          <w:lang w:eastAsia="fr-FR" w:bidi="he-IL"/>
        </w:rPr>
        <w:t>évangiles</w:t>
      </w:r>
      <w:r w:rsidR="00E65435">
        <w:rPr>
          <w:rFonts w:eastAsia="Arial Unicode MS"/>
          <w:bCs/>
          <w:lang w:eastAsia="fr-FR" w:bidi="he-IL"/>
        </w:rPr>
        <w:t xml:space="preserve">, </w:t>
      </w:r>
      <w:r w:rsidRPr="00C8701B">
        <w:rPr>
          <w:rFonts w:eastAsia="Arial Unicode MS"/>
          <w:bCs/>
          <w:lang w:eastAsia="fr-FR" w:bidi="he-IL"/>
        </w:rPr>
        <w:t>qui ont leurs dissemblances très accentuées.</w:t>
      </w:r>
      <w:r w:rsidR="000F7DAA">
        <w:rPr>
          <w:rFonts w:eastAsia="Arial Unicode MS"/>
          <w:bCs/>
          <w:lang w:eastAsia="fr-FR" w:bidi="he-IL"/>
        </w:rPr>
        <w:t xml:space="preserve"> —</w:t>
      </w:r>
      <w:r w:rsidR="008D0642">
        <w:rPr>
          <w:rFonts w:eastAsia="Arial Unicode MS"/>
          <w:bCs/>
          <w:lang w:eastAsia="fr-FR" w:bidi="he-IL"/>
        </w:rPr>
        <w:t xml:space="preserve"> </w:t>
      </w:r>
      <w:r w:rsidR="000D3E6A">
        <w:rPr>
          <w:rFonts w:eastAsia="Arial Unicode MS"/>
          <w:bCs/>
          <w:lang w:eastAsia="fr-FR" w:bidi="he-IL"/>
        </w:rPr>
        <w:t>1° À</w:t>
      </w:r>
      <w:r w:rsidRPr="00C8701B">
        <w:rPr>
          <w:rFonts w:eastAsia="Arial Unicode MS"/>
          <w:bCs/>
          <w:lang w:eastAsia="fr-FR" w:bidi="he-IL"/>
        </w:rPr>
        <w:t xml:space="preserve"> part la Passion</w:t>
      </w:r>
      <w:r w:rsidR="00E65435">
        <w:rPr>
          <w:rFonts w:eastAsia="Arial Unicode MS"/>
          <w:bCs/>
          <w:lang w:eastAsia="fr-FR" w:bidi="he-IL"/>
        </w:rPr>
        <w:t xml:space="preserve">, </w:t>
      </w:r>
      <w:r w:rsidRPr="00C8701B">
        <w:rPr>
          <w:rFonts w:eastAsia="Arial Unicode MS"/>
          <w:bCs/>
          <w:lang w:eastAsia="fr-FR" w:bidi="he-IL"/>
        </w:rPr>
        <w:t>S. Matthieu</w:t>
      </w:r>
      <w:r w:rsidR="00E65435">
        <w:rPr>
          <w:rFonts w:eastAsia="Arial Unicode MS"/>
          <w:bCs/>
          <w:lang w:eastAsia="fr-FR" w:bidi="he-IL"/>
        </w:rPr>
        <w:t xml:space="preserve">, </w:t>
      </w:r>
      <w:r w:rsidRPr="00C8701B">
        <w:rPr>
          <w:rFonts w:eastAsia="Arial Unicode MS"/>
          <w:bCs/>
          <w:lang w:eastAsia="fr-FR" w:bidi="he-IL"/>
        </w:rPr>
        <w:t>S. Marc et S. Luc ne racontent à peu près rien du ministère de N.-S. Jésus-Christ à Jérusalem</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presque toujours</w:t>
      </w:r>
      <w:r w:rsidR="00E65435">
        <w:rPr>
          <w:rFonts w:eastAsia="Arial Unicode MS"/>
          <w:bCs/>
          <w:lang w:eastAsia="fr-FR" w:bidi="he-IL"/>
        </w:rPr>
        <w:t xml:space="preserve">, </w:t>
      </w:r>
      <w:r w:rsidRPr="00C8701B">
        <w:rPr>
          <w:rFonts w:eastAsia="Arial Unicode MS"/>
          <w:bCs/>
          <w:lang w:eastAsia="fr-FR" w:bidi="he-IL"/>
        </w:rPr>
        <w:t>leur divin héros agit et prêche en Galilée</w:t>
      </w:r>
      <w:r w:rsidR="00E65435">
        <w:rPr>
          <w:rFonts w:eastAsia="Arial Unicode MS"/>
          <w:bCs/>
          <w:lang w:eastAsia="fr-FR" w:bidi="he-IL"/>
        </w:rPr>
        <w:t xml:space="preserve">, </w:t>
      </w:r>
      <w:r w:rsidRPr="00C8701B">
        <w:rPr>
          <w:rFonts w:eastAsia="Arial Unicode MS"/>
          <w:bCs/>
          <w:lang w:eastAsia="fr-FR" w:bidi="he-IL"/>
        </w:rPr>
        <w:t>en Pérée. D</w:t>
      </w:r>
      <w:r w:rsidR="00557DE0">
        <w:rPr>
          <w:rFonts w:eastAsia="Arial Unicode MS"/>
          <w:bCs/>
          <w:lang w:eastAsia="fr-FR" w:bidi="he-IL"/>
        </w:rPr>
        <w:t>’</w:t>
      </w:r>
      <w:r w:rsidRPr="00C8701B">
        <w:rPr>
          <w:rFonts w:eastAsia="Arial Unicode MS"/>
          <w:bCs/>
          <w:lang w:eastAsia="fr-FR" w:bidi="he-IL"/>
        </w:rPr>
        <w:t>après S. Jean</w:t>
      </w:r>
      <w:r w:rsidR="00E65435">
        <w:rPr>
          <w:rFonts w:eastAsia="Arial Unicode MS"/>
          <w:bCs/>
          <w:lang w:eastAsia="fr-FR" w:bidi="he-IL"/>
        </w:rPr>
        <w:t xml:space="preserve">, </w:t>
      </w:r>
      <w:r w:rsidRPr="00C8701B">
        <w:rPr>
          <w:rFonts w:eastAsia="Arial Unicode MS"/>
          <w:bCs/>
          <w:lang w:eastAsia="fr-FR" w:bidi="he-IL"/>
        </w:rPr>
        <w:t>au contraire</w:t>
      </w:r>
      <w:r w:rsidR="00E65435">
        <w:rPr>
          <w:rFonts w:eastAsia="Arial Unicode MS"/>
          <w:bCs/>
          <w:lang w:eastAsia="fr-FR" w:bidi="he-IL"/>
        </w:rPr>
        <w:t xml:space="preserve">, </w:t>
      </w:r>
      <w:r w:rsidRPr="00C8701B">
        <w:rPr>
          <w:rFonts w:eastAsia="Arial Unicode MS"/>
          <w:bCs/>
          <w:lang w:eastAsia="fr-FR" w:bidi="he-IL"/>
        </w:rPr>
        <w:t>Jésus vit et agit surtout en Judée et à Jérusalem</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 disciple bien-aimé ne signale guère que deux épisodes du ministère galiléen du Sauveur</w:t>
      </w:r>
      <w:r w:rsidR="00933C60" w:rsidRPr="00C406FF">
        <w:rPr>
          <w:rStyle w:val="Appelnotedebasdep"/>
        </w:rPr>
        <w:footnoteReference w:id="133"/>
      </w:r>
      <w:r w:rsidR="00E65435">
        <w:rPr>
          <w:rFonts w:eastAsia="Arial Unicode MS"/>
          <w:bCs/>
          <w:lang w:eastAsia="fr-FR" w:bidi="he-IL"/>
        </w:rPr>
        <w:t xml:space="preserve">, </w:t>
      </w:r>
      <w:r w:rsidRPr="00C8701B">
        <w:rPr>
          <w:rFonts w:eastAsia="Arial Unicode MS"/>
          <w:bCs/>
          <w:lang w:eastAsia="fr-FR" w:bidi="he-IL"/>
        </w:rPr>
        <w:t>et n</w:t>
      </w:r>
      <w:r w:rsidR="00557DE0">
        <w:rPr>
          <w:rFonts w:eastAsia="Arial Unicode MS"/>
          <w:bCs/>
          <w:lang w:eastAsia="fr-FR" w:bidi="he-IL"/>
        </w:rPr>
        <w:t>’</w:t>
      </w:r>
      <w:r w:rsidRPr="00C8701B">
        <w:rPr>
          <w:rFonts w:eastAsia="Arial Unicode MS"/>
          <w:bCs/>
          <w:lang w:eastAsia="fr-FR" w:bidi="he-IL"/>
        </w:rPr>
        <w:t>a qu</w:t>
      </w:r>
      <w:r w:rsidR="00557DE0">
        <w:rPr>
          <w:rFonts w:eastAsia="Arial Unicode MS"/>
          <w:bCs/>
          <w:lang w:eastAsia="fr-FR" w:bidi="he-IL"/>
        </w:rPr>
        <w:t>’</w:t>
      </w:r>
      <w:r w:rsidRPr="00C8701B">
        <w:rPr>
          <w:rFonts w:eastAsia="Arial Unicode MS"/>
          <w:bCs/>
          <w:lang w:eastAsia="fr-FR" w:bidi="he-IL"/>
        </w:rPr>
        <w:t>un mot sur son séjour en Pérée</w:t>
      </w:r>
      <w:r w:rsidR="00933C60" w:rsidRPr="00C406FF">
        <w:rPr>
          <w:rStyle w:val="Appelnotedebasdep"/>
        </w:rPr>
        <w:footnoteReference w:id="134"/>
      </w:r>
      <w:r w:rsidRPr="00C8701B">
        <w:rPr>
          <w:rFonts w:eastAsia="Arial Unicode MS"/>
          <w:bCs/>
          <w:lang w:eastAsia="fr-FR" w:bidi="he-IL"/>
        </w:rPr>
        <w:t>. 2° Dans les trois premiers évangiles</w:t>
      </w:r>
      <w:r w:rsidR="00E65435">
        <w:rPr>
          <w:rFonts w:eastAsia="Arial Unicode MS"/>
          <w:bCs/>
          <w:lang w:eastAsia="fr-FR" w:bidi="he-IL"/>
        </w:rPr>
        <w:t xml:space="preserve">, </w:t>
      </w:r>
      <w:r w:rsidRPr="00C8701B">
        <w:rPr>
          <w:rFonts w:eastAsia="Arial Unicode MS"/>
          <w:bCs/>
          <w:lang w:eastAsia="fr-FR" w:bidi="he-IL"/>
        </w:rPr>
        <w:t>les actes et les paroles de Jésus revêtent un caractère plus</w:t>
      </w:r>
      <w:r w:rsidR="00E65435">
        <w:rPr>
          <w:rFonts w:eastAsia="Arial Unicode MS"/>
          <w:bCs/>
          <w:lang w:eastAsia="fr-FR" w:bidi="he-IL"/>
        </w:rPr>
        <w:t xml:space="preserve">, </w:t>
      </w:r>
      <w:r w:rsidRPr="00C8701B">
        <w:rPr>
          <w:rFonts w:eastAsia="Arial Unicode MS"/>
          <w:bCs/>
          <w:lang w:eastAsia="fr-FR" w:bidi="he-IL"/>
        </w:rPr>
        <w:t>simple</w:t>
      </w:r>
      <w:r w:rsidR="00E65435">
        <w:rPr>
          <w:rFonts w:eastAsia="Arial Unicode MS"/>
          <w:bCs/>
          <w:lang w:eastAsia="fr-FR" w:bidi="he-IL"/>
        </w:rPr>
        <w:t xml:space="preserve">, </w:t>
      </w:r>
      <w:r w:rsidR="000D3E6A">
        <w:rPr>
          <w:rFonts w:eastAsia="Arial Unicode MS"/>
          <w:bCs/>
          <w:lang w:eastAsia="fr-FR" w:bidi="he-IL"/>
        </w:rPr>
        <w:t>en que</w:t>
      </w:r>
      <w:r w:rsidRPr="00C8701B">
        <w:rPr>
          <w:rFonts w:eastAsia="Arial Unicode MS"/>
          <w:bCs/>
          <w:lang w:eastAsia="fr-FR" w:bidi="he-IL"/>
        </w:rPr>
        <w:t>lque sorte plus populaire</w:t>
      </w:r>
      <w:r w:rsidR="00E65435">
        <w:rPr>
          <w:rFonts w:eastAsia="Arial Unicode MS"/>
          <w:bCs/>
          <w:lang w:eastAsia="fr-FR" w:bidi="he-IL"/>
        </w:rPr>
        <w:t xml:space="preserve">, </w:t>
      </w:r>
      <w:r w:rsidRPr="00C8701B">
        <w:rPr>
          <w:rFonts w:eastAsia="Arial Unicode MS"/>
          <w:bCs/>
          <w:lang w:eastAsia="fr-FR" w:bidi="he-IL"/>
        </w:rPr>
        <w:t>conformément au milieu où s</w:t>
      </w:r>
      <w:r w:rsidR="00557DE0">
        <w:rPr>
          <w:rFonts w:eastAsia="Arial Unicode MS"/>
          <w:bCs/>
          <w:lang w:eastAsia="fr-FR" w:bidi="he-IL"/>
        </w:rPr>
        <w:t>’</w:t>
      </w:r>
      <w:r w:rsidRPr="00C8701B">
        <w:rPr>
          <w:rFonts w:eastAsia="Arial Unicode MS"/>
          <w:bCs/>
          <w:lang w:eastAsia="fr-FR" w:bidi="he-IL"/>
        </w:rPr>
        <w:t>exerçait alors l</w:t>
      </w:r>
      <w:r w:rsidR="00557DE0">
        <w:rPr>
          <w:rFonts w:eastAsia="Arial Unicode MS"/>
          <w:bCs/>
          <w:lang w:eastAsia="fr-FR" w:bidi="he-IL"/>
        </w:rPr>
        <w:t>’</w:t>
      </w:r>
      <w:r w:rsidRPr="00C8701B">
        <w:rPr>
          <w:rFonts w:eastAsia="Arial Unicode MS"/>
          <w:bCs/>
          <w:lang w:eastAsia="fr-FR" w:bidi="he-IL"/>
        </w:rPr>
        <w:t>activité messianique. Le quatrième évangile a une forme plus relevée</w:t>
      </w:r>
      <w:r w:rsidR="00E65435">
        <w:rPr>
          <w:rFonts w:eastAsia="Arial Unicode MS"/>
          <w:bCs/>
          <w:lang w:eastAsia="fr-FR" w:bidi="he-IL"/>
        </w:rPr>
        <w:t xml:space="preserve">, </w:t>
      </w:r>
      <w:r w:rsidRPr="00C8701B">
        <w:rPr>
          <w:rFonts w:eastAsia="Arial Unicode MS"/>
          <w:bCs/>
          <w:lang w:eastAsia="fr-FR" w:bidi="he-IL"/>
        </w:rPr>
        <w:t>plus spirituelle</w:t>
      </w:r>
      <w:r w:rsidR="00E65435">
        <w:rPr>
          <w:rFonts w:eastAsia="Arial Unicode MS"/>
          <w:bCs/>
          <w:lang w:eastAsia="fr-FR" w:bidi="he-IL"/>
        </w:rPr>
        <w:t xml:space="preserve">, </w:t>
      </w:r>
      <w:r w:rsidRPr="00C8701B">
        <w:rPr>
          <w:rFonts w:eastAsia="Arial Unicode MS"/>
          <w:bCs/>
          <w:lang w:eastAsia="fr-FR" w:bidi="he-IL"/>
        </w:rPr>
        <w:t>parce qu</w:t>
      </w:r>
      <w:r w:rsidR="00557DE0">
        <w:rPr>
          <w:rFonts w:eastAsia="Arial Unicode MS"/>
          <w:bCs/>
          <w:lang w:eastAsia="fr-FR" w:bidi="he-IL"/>
        </w:rPr>
        <w:t>’</w:t>
      </w:r>
      <w:r w:rsidRPr="00C8701B">
        <w:rPr>
          <w:rFonts w:eastAsia="Arial Unicode MS"/>
          <w:bCs/>
          <w:lang w:eastAsia="fr-FR" w:bidi="he-IL"/>
        </w:rPr>
        <w:t>il nous montre surtout le Messie parmi les classes dirigeantes de la société juive. S. Matthieu</w:t>
      </w:r>
      <w:r w:rsidR="00E65435">
        <w:rPr>
          <w:rFonts w:eastAsia="Arial Unicode MS"/>
          <w:bCs/>
          <w:lang w:eastAsia="fr-FR" w:bidi="he-IL"/>
        </w:rPr>
        <w:t xml:space="preserve">, </w:t>
      </w:r>
      <w:r w:rsidRPr="00C8701B">
        <w:rPr>
          <w:rFonts w:eastAsia="Arial Unicode MS"/>
          <w:bCs/>
          <w:lang w:eastAsia="fr-FR" w:bidi="he-IL"/>
        </w:rPr>
        <w:t>S. Marc et S. Luc sont plutôt historiens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S. Jean est davantage théologien</w:t>
      </w:r>
      <w:r w:rsidR="00933C60" w:rsidRPr="00C406FF">
        <w:rPr>
          <w:rStyle w:val="Appelnotedebasdep"/>
        </w:rPr>
        <w:footnoteReference w:id="135"/>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0D3E6A">
      <w:pPr>
        <w:rPr>
          <w:rFonts w:eastAsia="Arial Unicode MS"/>
          <w:bCs/>
          <w:lang w:eastAsia="fr-FR" w:bidi="he-IL"/>
        </w:rPr>
      </w:pPr>
      <w:r w:rsidRPr="00C8701B">
        <w:rPr>
          <w:rFonts w:eastAsia="Arial Unicode MS"/>
          <w:bCs/>
          <w:lang w:eastAsia="fr-FR" w:bidi="he-IL"/>
        </w:rPr>
        <w:t>Pour mieux manifester les ressemblances frappantes qui existent entre les trois premiers évangiles</w:t>
      </w:r>
      <w:r w:rsidR="00E65435">
        <w:rPr>
          <w:rFonts w:eastAsia="Arial Unicode MS"/>
          <w:bCs/>
          <w:lang w:eastAsia="fr-FR" w:bidi="he-IL"/>
        </w:rPr>
        <w:t xml:space="preserve">, </w:t>
      </w:r>
      <w:r w:rsidRPr="00C8701B">
        <w:rPr>
          <w:rFonts w:eastAsia="Arial Unicode MS"/>
          <w:bCs/>
          <w:lang w:eastAsia="fr-FR" w:bidi="he-IL"/>
        </w:rPr>
        <w:t>on a eu</w:t>
      </w:r>
      <w:r w:rsidR="00E65435">
        <w:rPr>
          <w:rFonts w:eastAsia="Arial Unicode MS"/>
          <w:bCs/>
          <w:lang w:eastAsia="fr-FR" w:bidi="he-IL"/>
        </w:rPr>
        <w:t xml:space="preserve">, </w:t>
      </w:r>
      <w:r w:rsidRPr="00C8701B">
        <w:rPr>
          <w:rFonts w:eastAsia="Arial Unicode MS"/>
          <w:bCs/>
          <w:lang w:eastAsia="fr-FR" w:bidi="he-IL"/>
        </w:rPr>
        <w:t xml:space="preserve">vers la fin du </w:t>
      </w:r>
      <w:r w:rsidR="00CA083D">
        <w:rPr>
          <w:rFonts w:eastAsia="Arial Unicode MS"/>
          <w:bCs/>
          <w:lang w:eastAsia="fr-FR" w:bidi="he-IL"/>
        </w:rPr>
        <w:t>XVII</w:t>
      </w:r>
      <w:r w:rsidR="00C87A2B">
        <w:rPr>
          <w:rFonts w:eastAsia="Arial Unicode MS"/>
          <w:bCs/>
          <w:lang w:eastAsia="fr-FR" w:bidi="he-IL"/>
        </w:rPr>
        <w:t>I</w:t>
      </w:r>
      <w:r w:rsidR="000D3E6A">
        <w:rPr>
          <w:rFonts w:eastAsia="Arial Unicode MS"/>
          <w:bCs/>
          <w:lang w:eastAsia="fr-FR" w:bidi="he-IL"/>
        </w:rPr>
        <w:t>e</w:t>
      </w:r>
      <w:r w:rsidRPr="00C8701B">
        <w:rPr>
          <w:rFonts w:eastAsia="Arial Unicode MS"/>
          <w:bCs/>
          <w:lang w:eastAsia="fr-FR" w:bidi="he-IL"/>
        </w:rPr>
        <w:t xml:space="preserve"> siècle</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heureuse pensée de les imprimer en regard</w:t>
      </w:r>
      <w:r w:rsidR="000D3E6A">
        <w:rPr>
          <w:rFonts w:eastAsia="Arial Unicode MS"/>
          <w:bCs/>
          <w:lang w:eastAsia="fr-FR" w:bidi="he-IL"/>
        </w:rPr>
        <w:t xml:space="preserve"> </w:t>
      </w:r>
      <w:r w:rsidRPr="00C8701B">
        <w:rPr>
          <w:rFonts w:eastAsia="Arial Unicode MS"/>
          <w:bCs/>
          <w:lang w:eastAsia="fr-FR" w:bidi="he-IL"/>
        </w:rPr>
        <w:t>les uns des autres</w:t>
      </w:r>
      <w:r w:rsidR="00E65435">
        <w:rPr>
          <w:rFonts w:eastAsia="Arial Unicode MS"/>
          <w:bCs/>
          <w:lang w:eastAsia="fr-FR" w:bidi="he-IL"/>
        </w:rPr>
        <w:t xml:space="preserve">, </w:t>
      </w:r>
      <w:r w:rsidRPr="00C8701B">
        <w:rPr>
          <w:rFonts w:eastAsia="Arial Unicode MS"/>
          <w:bCs/>
          <w:lang w:eastAsia="fr-FR" w:bidi="he-IL"/>
        </w:rPr>
        <w:t>sur des colonnes parallèles formant une</w:t>
      </w:r>
      <w:r w:rsidRPr="00DC4586">
        <w:rPr>
          <w:rStyle w:val="italicus"/>
        </w:rPr>
        <w:t xml:space="preserve"> Synopse</w:t>
      </w:r>
      <w:r w:rsidR="00933C60" w:rsidRPr="00C406FF">
        <w:rPr>
          <w:rStyle w:val="Appelnotedebasdep"/>
        </w:rPr>
        <w:footnoteReference w:id="136"/>
      </w:r>
      <w:r w:rsidR="00C2602D" w:rsidRPr="00C8701B">
        <w:rPr>
          <w:rFonts w:eastAsia="Arial Unicode MS"/>
          <w:bCs/>
          <w:lang w:eastAsia="fr-FR" w:bidi="he-IL"/>
        </w:rPr>
        <w:t> :</w:t>
      </w:r>
      <w:r w:rsidRPr="00C8701B">
        <w:rPr>
          <w:rFonts w:eastAsia="Arial Unicode MS"/>
          <w:bCs/>
          <w:lang w:eastAsia="fr-FR" w:bidi="he-IL"/>
        </w:rPr>
        <w:t xml:space="preserve"> de là l</w:t>
      </w:r>
      <w:r w:rsidR="00557DE0">
        <w:rPr>
          <w:rFonts w:eastAsia="Arial Unicode MS"/>
          <w:bCs/>
          <w:lang w:eastAsia="fr-FR" w:bidi="he-IL"/>
        </w:rPr>
        <w:t>’</w:t>
      </w:r>
      <w:r w:rsidRPr="00C8701B">
        <w:rPr>
          <w:rFonts w:eastAsia="Arial Unicode MS"/>
          <w:bCs/>
          <w:lang w:eastAsia="fr-FR" w:bidi="he-IL"/>
        </w:rPr>
        <w:t>épithète de</w:t>
      </w:r>
      <w:r w:rsidRPr="00DC4586">
        <w:rPr>
          <w:rStyle w:val="italicus"/>
        </w:rPr>
        <w:t xml:space="preserve"> synoptiques</w:t>
      </w:r>
      <w:r w:rsidR="00933C60" w:rsidRPr="00C406FF">
        <w:rPr>
          <w:rStyle w:val="Appelnotedebasdep"/>
        </w:rPr>
        <w:footnoteReference w:id="137"/>
      </w:r>
      <w:r w:rsidR="00E65435">
        <w:rPr>
          <w:rFonts w:eastAsia="Arial Unicode MS"/>
          <w:bCs/>
          <w:lang w:eastAsia="fr-FR" w:bidi="he-IL"/>
        </w:rPr>
        <w:t xml:space="preserve">, </w:t>
      </w:r>
      <w:r w:rsidRPr="00C8701B">
        <w:rPr>
          <w:rFonts w:eastAsia="Arial Unicode MS"/>
          <w:bCs/>
          <w:lang w:eastAsia="fr-FR" w:bidi="he-IL"/>
        </w:rPr>
        <w:t>dont on se sert pour les désigner en bloc</w:t>
      </w:r>
      <w:r w:rsidR="00E65435">
        <w:rPr>
          <w:rFonts w:eastAsia="Arial Unicode MS"/>
          <w:bCs/>
          <w:lang w:eastAsia="fr-FR" w:bidi="he-IL"/>
        </w:rPr>
        <w:t xml:space="preserve">, </w:t>
      </w:r>
      <w:r w:rsidRPr="00C8701B">
        <w:rPr>
          <w:rFonts w:eastAsia="Arial Unicode MS"/>
          <w:bCs/>
          <w:lang w:eastAsia="fr-FR" w:bidi="he-IL"/>
        </w:rPr>
        <w:t>par abréviation.</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Toutefois</w:t>
      </w:r>
      <w:r w:rsidR="00E65435">
        <w:rPr>
          <w:rFonts w:eastAsia="Arial Unicode MS"/>
          <w:bCs/>
          <w:lang w:eastAsia="fr-FR" w:bidi="he-IL"/>
        </w:rPr>
        <w:t xml:space="preserve">, </w:t>
      </w:r>
      <w:r w:rsidRPr="00C8701B">
        <w:rPr>
          <w:rFonts w:eastAsia="Arial Unicode MS"/>
          <w:bCs/>
          <w:lang w:eastAsia="fr-FR" w:bidi="he-IL"/>
        </w:rPr>
        <w:t>à côté de leur harmonie remarquable</w:t>
      </w:r>
      <w:r w:rsidR="00E65435">
        <w:rPr>
          <w:rFonts w:eastAsia="Arial Unicode MS"/>
          <w:bCs/>
          <w:lang w:eastAsia="fr-FR" w:bidi="he-IL"/>
        </w:rPr>
        <w:t xml:space="preserve">, </w:t>
      </w:r>
      <w:r w:rsidRPr="00C8701B">
        <w:rPr>
          <w:rFonts w:eastAsia="Arial Unicode MS"/>
          <w:bCs/>
          <w:lang w:eastAsia="fr-FR" w:bidi="he-IL"/>
        </w:rPr>
        <w:t>dont on ne trouve pas d</w:t>
      </w:r>
      <w:r w:rsidR="00557DE0">
        <w:rPr>
          <w:rFonts w:eastAsia="Arial Unicode MS"/>
          <w:bCs/>
          <w:lang w:eastAsia="fr-FR" w:bidi="he-IL"/>
        </w:rPr>
        <w:t>’</w:t>
      </w:r>
      <w:r w:rsidRPr="00C8701B">
        <w:rPr>
          <w:rFonts w:eastAsia="Arial Unicode MS"/>
          <w:bCs/>
          <w:lang w:eastAsia="fr-FR" w:bidi="he-IL"/>
        </w:rPr>
        <w:t>exemple dans l</w:t>
      </w:r>
      <w:r w:rsidR="00557DE0">
        <w:rPr>
          <w:rFonts w:eastAsia="Arial Unicode MS"/>
          <w:bCs/>
          <w:lang w:eastAsia="fr-FR" w:bidi="he-IL"/>
        </w:rPr>
        <w:t>’</w:t>
      </w:r>
      <w:r w:rsidRPr="00C8701B">
        <w:rPr>
          <w:rFonts w:eastAsia="Arial Unicode MS"/>
          <w:bCs/>
          <w:lang w:eastAsia="fr-FR" w:bidi="he-IL"/>
        </w:rPr>
        <w:t>histoire de la littérature</w:t>
      </w:r>
      <w:r w:rsidR="00E65435">
        <w:rPr>
          <w:rFonts w:eastAsia="Arial Unicode MS"/>
          <w:bCs/>
          <w:lang w:eastAsia="fr-FR" w:bidi="he-IL"/>
        </w:rPr>
        <w:t xml:space="preserve">, </w:t>
      </w:r>
      <w:r w:rsidRPr="00C8701B">
        <w:rPr>
          <w:rFonts w:eastAsia="Arial Unicode MS"/>
          <w:bCs/>
          <w:lang w:eastAsia="fr-FR" w:bidi="he-IL"/>
        </w:rPr>
        <w:t>les évangiles synoptiques présentent des divergences d</w:t>
      </w:r>
      <w:r w:rsidR="00557DE0">
        <w:rPr>
          <w:rFonts w:eastAsia="Arial Unicode MS"/>
          <w:bCs/>
          <w:lang w:eastAsia="fr-FR" w:bidi="he-IL"/>
        </w:rPr>
        <w:t>’</w:t>
      </w:r>
      <w:r w:rsidRPr="00C8701B">
        <w:rPr>
          <w:rFonts w:eastAsia="Arial Unicode MS"/>
          <w:bCs/>
          <w:lang w:eastAsia="fr-FR" w:bidi="he-IL"/>
        </w:rPr>
        <w:t>ensemble et de détail qui n</w:t>
      </w:r>
      <w:r w:rsidR="00557DE0">
        <w:rPr>
          <w:rFonts w:eastAsia="Arial Unicode MS"/>
          <w:bCs/>
          <w:lang w:eastAsia="fr-FR" w:bidi="he-IL"/>
        </w:rPr>
        <w:t>’</w:t>
      </w:r>
      <w:r w:rsidRPr="00C8701B">
        <w:rPr>
          <w:rFonts w:eastAsia="Arial Unicode MS"/>
          <w:bCs/>
          <w:lang w:eastAsia="fr-FR" w:bidi="he-IL"/>
        </w:rPr>
        <w:t>excitent pas moins notre admiration</w:t>
      </w:r>
      <w:r w:rsidR="00933C60" w:rsidRPr="00C406FF">
        <w:rPr>
          <w:rStyle w:val="Appelnotedebasdep"/>
        </w:rPr>
        <w:footnoteReference w:id="138"/>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Ainsi</w:t>
      </w:r>
      <w:r w:rsidR="00E65435">
        <w:rPr>
          <w:rFonts w:eastAsia="Arial Unicode MS"/>
          <w:bCs/>
          <w:lang w:eastAsia="fr-FR" w:bidi="he-IL"/>
        </w:rPr>
        <w:t xml:space="preserve">, </w:t>
      </w:r>
      <w:r w:rsidRPr="00C8701B">
        <w:rPr>
          <w:rFonts w:eastAsia="Arial Unicode MS"/>
          <w:bCs/>
          <w:lang w:eastAsia="fr-FR" w:bidi="he-IL"/>
        </w:rPr>
        <w:t>pour traiter sous toutes ses faces le problème dont nous avons entrepris l</w:t>
      </w:r>
      <w:r w:rsidR="00557DE0">
        <w:rPr>
          <w:rFonts w:eastAsia="Arial Unicode MS"/>
          <w:bCs/>
          <w:lang w:eastAsia="fr-FR" w:bidi="he-IL"/>
        </w:rPr>
        <w:t>’</w:t>
      </w:r>
      <w:r w:rsidRPr="00C8701B">
        <w:rPr>
          <w:rFonts w:eastAsia="Arial Unicode MS"/>
          <w:bCs/>
          <w:lang w:eastAsia="fr-FR" w:bidi="he-IL"/>
        </w:rPr>
        <w:t>étude</w:t>
      </w:r>
      <w:r w:rsidR="00E65435">
        <w:rPr>
          <w:rFonts w:eastAsia="Arial Unicode MS"/>
          <w:bCs/>
          <w:lang w:eastAsia="fr-FR" w:bidi="he-IL"/>
        </w:rPr>
        <w:t xml:space="preserve">, </w:t>
      </w:r>
      <w:r w:rsidRPr="00C8701B">
        <w:rPr>
          <w:rFonts w:eastAsia="Arial Unicode MS"/>
          <w:bCs/>
          <w:lang w:eastAsia="fr-FR" w:bidi="he-IL"/>
        </w:rPr>
        <w:t>il conviendra d</w:t>
      </w:r>
      <w:r w:rsidR="00557DE0">
        <w:rPr>
          <w:rFonts w:eastAsia="Arial Unicode MS"/>
          <w:bCs/>
          <w:lang w:eastAsia="fr-FR" w:bidi="he-IL"/>
        </w:rPr>
        <w:t>’</w:t>
      </w:r>
      <w:r w:rsidRPr="00C8701B">
        <w:rPr>
          <w:rFonts w:eastAsia="Arial Unicode MS"/>
          <w:bCs/>
          <w:lang w:eastAsia="fr-FR" w:bidi="he-IL"/>
        </w:rPr>
        <w:t>envisager successivement</w:t>
      </w:r>
      <w:r w:rsidR="00C2602D" w:rsidRPr="00C8701B">
        <w:rPr>
          <w:rFonts w:eastAsia="Arial Unicode MS"/>
          <w:bCs/>
          <w:lang w:eastAsia="fr-FR" w:bidi="he-IL"/>
        </w:rPr>
        <w:t> :</w:t>
      </w:r>
      <w:r w:rsidRPr="00C8701B">
        <w:rPr>
          <w:rFonts w:eastAsia="Arial Unicode MS"/>
          <w:bCs/>
          <w:lang w:eastAsia="fr-FR" w:bidi="he-IL"/>
        </w:rPr>
        <w:t xml:space="preserve"> 1° les rapports mutuels des Synoptiques</w:t>
      </w:r>
      <w:r w:rsidR="00E65435">
        <w:rPr>
          <w:rFonts w:eastAsia="Arial Unicode MS"/>
          <w:bCs/>
          <w:lang w:eastAsia="fr-FR" w:bidi="he-IL"/>
        </w:rPr>
        <w:t xml:space="preserve">, </w:t>
      </w:r>
      <w:r w:rsidRPr="00C8701B">
        <w:rPr>
          <w:rFonts w:eastAsia="Arial Unicode MS"/>
          <w:bCs/>
          <w:lang w:eastAsia="fr-FR" w:bidi="he-IL"/>
        </w:rPr>
        <w:t>2° les rapports du quatrième évangile avec les trois premiers.</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Relativement aux Synoptiques</w:t>
      </w:r>
      <w:r w:rsidR="00E65435">
        <w:rPr>
          <w:rFonts w:eastAsia="Arial Unicode MS"/>
          <w:bCs/>
          <w:lang w:eastAsia="fr-FR" w:bidi="he-IL"/>
        </w:rPr>
        <w:t xml:space="preserve">, </w:t>
      </w:r>
      <w:r w:rsidRPr="00C8701B">
        <w:rPr>
          <w:rFonts w:eastAsia="Arial Unicode MS"/>
          <w:bCs/>
          <w:lang w:eastAsia="fr-FR" w:bidi="he-IL"/>
        </w:rPr>
        <w:t>nous parlerons d</w:t>
      </w:r>
      <w:r w:rsidR="00557DE0">
        <w:rPr>
          <w:rFonts w:eastAsia="Arial Unicode MS"/>
          <w:bCs/>
          <w:lang w:eastAsia="fr-FR" w:bidi="he-IL"/>
        </w:rPr>
        <w:t>’</w:t>
      </w:r>
      <w:r w:rsidRPr="00C8701B">
        <w:rPr>
          <w:rFonts w:eastAsia="Arial Unicode MS"/>
          <w:bCs/>
          <w:lang w:eastAsia="fr-FR" w:bidi="he-IL"/>
        </w:rPr>
        <w:t>abord de leurs ressemblances</w:t>
      </w:r>
      <w:r w:rsidR="00E65435">
        <w:rPr>
          <w:rFonts w:eastAsia="Arial Unicode MS"/>
          <w:bCs/>
          <w:lang w:eastAsia="fr-FR" w:bidi="he-IL"/>
        </w:rPr>
        <w:t xml:space="preserve">, </w:t>
      </w:r>
      <w:r w:rsidRPr="00C8701B">
        <w:rPr>
          <w:rFonts w:eastAsia="Arial Unicode MS"/>
          <w:bCs/>
          <w:lang w:eastAsia="fr-FR" w:bidi="he-IL"/>
        </w:rPr>
        <w:t>puis de leurs divergences</w:t>
      </w:r>
      <w:r w:rsidR="00E65435">
        <w:rPr>
          <w:rFonts w:eastAsia="Arial Unicode MS"/>
          <w:bCs/>
          <w:lang w:eastAsia="fr-FR" w:bidi="he-IL"/>
        </w:rPr>
        <w:t xml:space="preserve">, </w:t>
      </w:r>
      <w:r w:rsidRPr="00C8701B">
        <w:rPr>
          <w:rFonts w:eastAsia="Arial Unicode MS"/>
          <w:bCs/>
          <w:lang w:eastAsia="fr-FR" w:bidi="he-IL"/>
        </w:rPr>
        <w:t>enfin des systèmes par lesquels on a essayé d</w:t>
      </w:r>
      <w:r w:rsidR="00557DE0">
        <w:rPr>
          <w:rFonts w:eastAsia="Arial Unicode MS"/>
          <w:bCs/>
          <w:lang w:eastAsia="fr-FR" w:bidi="he-IL"/>
        </w:rPr>
        <w:t>’</w:t>
      </w:r>
      <w:r w:rsidRPr="00C8701B">
        <w:rPr>
          <w:rFonts w:eastAsia="Arial Unicode MS"/>
          <w:bCs/>
          <w:lang w:eastAsia="fr-FR" w:bidi="he-IL"/>
        </w:rPr>
        <w:t>expliquer ces rapports soit de ressemblance</w:t>
      </w:r>
      <w:r w:rsidR="00E65435">
        <w:rPr>
          <w:rFonts w:eastAsia="Arial Unicode MS"/>
          <w:bCs/>
          <w:lang w:eastAsia="fr-FR" w:bidi="he-IL"/>
        </w:rPr>
        <w:t xml:space="preserve">, </w:t>
      </w:r>
      <w:r w:rsidRPr="00C8701B">
        <w:rPr>
          <w:rFonts w:eastAsia="Arial Unicode MS"/>
          <w:bCs/>
          <w:lang w:eastAsia="fr-FR" w:bidi="he-IL"/>
        </w:rPr>
        <w:t>soit de différence.</w:t>
      </w:r>
      <w:r w:rsidR="00C2602D" w:rsidRPr="00C8701B">
        <w:rPr>
          <w:rFonts w:eastAsia="Arial Unicode MS"/>
          <w:bCs/>
          <w:lang w:eastAsia="fr-FR" w:bidi="he-IL"/>
        </w:rPr>
        <w:t xml:space="preserve"> </w:t>
      </w:r>
    </w:p>
    <w:p w:rsidR="00C2602D" w:rsidRPr="00C8701B" w:rsidRDefault="00B704AD" w:rsidP="001A4F8D">
      <w:pPr>
        <w:pStyle w:val="Titre5"/>
        <w:rPr>
          <w:lang w:bidi="he-IL"/>
        </w:rPr>
      </w:pPr>
      <w:r w:rsidRPr="00C8701B">
        <w:rPr>
          <w:lang w:bidi="he-IL"/>
        </w:rPr>
        <w:t>II.</w:t>
      </w:r>
      <w:r w:rsidR="000F7DAA">
        <w:rPr>
          <w:lang w:bidi="he-IL"/>
        </w:rPr>
        <w:t xml:space="preserve"> —</w:t>
      </w:r>
      <w:r w:rsidR="008D0642">
        <w:rPr>
          <w:lang w:bidi="he-IL"/>
        </w:rPr>
        <w:t xml:space="preserve"> </w:t>
      </w:r>
      <w:r w:rsidR="001A4F8D" w:rsidRPr="00C8701B">
        <w:rPr>
          <w:lang w:bidi="he-IL"/>
        </w:rPr>
        <w:t xml:space="preserve">Rapports </w:t>
      </w:r>
      <w:r w:rsidRPr="00C8701B">
        <w:rPr>
          <w:lang w:bidi="he-IL"/>
        </w:rPr>
        <w:t xml:space="preserve">mutuels des </w:t>
      </w:r>
      <w:r w:rsidR="001A4F8D" w:rsidRPr="00C8701B">
        <w:rPr>
          <w:lang w:bidi="he-IL"/>
        </w:rPr>
        <w:t xml:space="preserve">Évangiles </w:t>
      </w:r>
      <w:r w:rsidRPr="00C8701B">
        <w:rPr>
          <w:lang w:bidi="he-IL"/>
        </w:rPr>
        <w:t>synoptiques</w:t>
      </w:r>
      <w:bookmarkStart w:id="50" w:name="evin0702"/>
      <w:bookmarkEnd w:id="50"/>
      <w:r w:rsidR="00C2602D" w:rsidRPr="00C8701B">
        <w:rPr>
          <w:lang w:bidi="he-IL"/>
        </w:rPr>
        <w:t xml:space="preserve"> </w:t>
      </w:r>
    </w:p>
    <w:p w:rsidR="00C2602D" w:rsidRPr="00C8701B" w:rsidRDefault="00B704AD" w:rsidP="001A4F8D">
      <w:pPr>
        <w:rPr>
          <w:rFonts w:eastAsia="Arial Unicode MS"/>
          <w:bCs/>
          <w:lang w:eastAsia="fr-FR" w:bidi="he-IL"/>
        </w:rPr>
      </w:pPr>
      <w:r w:rsidRPr="00C8701B">
        <w:rPr>
          <w:rFonts w:eastAsia="Arial Unicode MS"/>
          <w:bCs/>
          <w:lang w:eastAsia="fr-FR" w:bidi="he-IL"/>
        </w:rPr>
        <w:t>I.</w:t>
      </w:r>
      <w:r w:rsidRPr="00DC4586">
        <w:rPr>
          <w:rStyle w:val="italicus"/>
        </w:rPr>
        <w:t xml:space="preserve"> Rapports de ressemblance.</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Il n</w:t>
      </w:r>
      <w:r w:rsidR="00557DE0">
        <w:rPr>
          <w:rFonts w:eastAsia="Arial Unicode MS"/>
          <w:bCs/>
          <w:lang w:eastAsia="fr-FR" w:bidi="he-IL"/>
        </w:rPr>
        <w:t>’</w:t>
      </w:r>
      <w:r w:rsidRPr="00C8701B">
        <w:rPr>
          <w:rFonts w:eastAsia="Arial Unicode MS"/>
          <w:bCs/>
          <w:lang w:eastAsia="fr-FR" w:bidi="he-IL"/>
        </w:rPr>
        <w:t>est pas besoin de longues recherches</w:t>
      </w:r>
      <w:r w:rsidR="00E65435">
        <w:rPr>
          <w:rFonts w:eastAsia="Arial Unicode MS"/>
          <w:bCs/>
          <w:lang w:eastAsia="fr-FR" w:bidi="he-IL"/>
        </w:rPr>
        <w:t xml:space="preserve">, </w:t>
      </w:r>
      <w:r w:rsidRPr="00C8701B">
        <w:rPr>
          <w:rFonts w:eastAsia="Arial Unicode MS"/>
          <w:bCs/>
          <w:lang w:eastAsia="fr-FR" w:bidi="he-IL"/>
        </w:rPr>
        <w:t>pour s</w:t>
      </w:r>
      <w:r w:rsidR="00557DE0">
        <w:rPr>
          <w:rFonts w:eastAsia="Arial Unicode MS"/>
          <w:bCs/>
          <w:lang w:eastAsia="fr-FR" w:bidi="he-IL"/>
        </w:rPr>
        <w:t>’</w:t>
      </w:r>
      <w:r w:rsidRPr="00C8701B">
        <w:rPr>
          <w:rFonts w:eastAsia="Arial Unicode MS"/>
          <w:bCs/>
          <w:lang w:eastAsia="fr-FR" w:bidi="he-IL"/>
        </w:rPr>
        <w:t>apercevoir qu</w:t>
      </w:r>
      <w:r w:rsidR="00557DE0">
        <w:rPr>
          <w:rFonts w:eastAsia="Arial Unicode MS"/>
          <w:bCs/>
          <w:lang w:eastAsia="fr-FR" w:bidi="he-IL"/>
        </w:rPr>
        <w:t>’</w:t>
      </w:r>
      <w:r w:rsidRPr="00C8701B">
        <w:rPr>
          <w:rFonts w:eastAsia="Arial Unicode MS"/>
          <w:bCs/>
          <w:lang w:eastAsia="fr-FR" w:bidi="he-IL"/>
        </w:rPr>
        <w:t>il règne entre les évangiles selon S. Matthieu</w:t>
      </w:r>
      <w:r w:rsidR="00E65435">
        <w:rPr>
          <w:rFonts w:eastAsia="Arial Unicode MS"/>
          <w:bCs/>
          <w:lang w:eastAsia="fr-FR" w:bidi="he-IL"/>
        </w:rPr>
        <w:t xml:space="preserve">, </w:t>
      </w:r>
      <w:r w:rsidRPr="00C8701B">
        <w:rPr>
          <w:rFonts w:eastAsia="Arial Unicode MS"/>
          <w:bCs/>
          <w:lang w:eastAsia="fr-FR" w:bidi="he-IL"/>
        </w:rPr>
        <w:t>selon S. Marc et selon S. Luc une vraie</w:t>
      </w:r>
      <w:r w:rsidR="000D3E6A">
        <w:rPr>
          <w:rFonts w:eastAsia="Arial Unicode MS"/>
          <w:bCs/>
          <w:lang w:eastAsia="fr-FR" w:bidi="he-IL"/>
        </w:rPr>
        <w:t xml:space="preserve"> </w:t>
      </w:r>
      <w:r w:rsidR="00F12048" w:rsidRPr="00C8701B">
        <w:rPr>
          <w:rFonts w:eastAsia="Arial Unicode MS"/>
          <w:bCs/>
          <w:lang w:eastAsia="fr-FR" w:bidi="he-IL"/>
        </w:rPr>
        <w:t>« </w:t>
      </w:r>
      <w:r w:rsidRPr="00C8701B">
        <w:rPr>
          <w:rFonts w:eastAsia="Arial Unicode MS"/>
          <w:bCs/>
          <w:lang w:eastAsia="fr-FR" w:bidi="he-IL"/>
        </w:rPr>
        <w:t>parenté fraternelle</w:t>
      </w:r>
      <w:r w:rsidR="00C2602D" w:rsidRPr="00C8701B">
        <w:rPr>
          <w:rFonts w:eastAsia="Arial Unicode MS"/>
          <w:bCs/>
          <w:lang w:eastAsia="fr-FR" w:bidi="he-IL"/>
        </w:rPr>
        <w:t> »</w:t>
      </w:r>
      <w:r w:rsidR="00E65435">
        <w:rPr>
          <w:rFonts w:eastAsia="Arial Unicode MS"/>
          <w:bCs/>
          <w:lang w:eastAsia="fr-FR" w:bidi="he-IL"/>
        </w:rPr>
        <w:t xml:space="preserve">, </w:t>
      </w:r>
      <w:r w:rsidRPr="00C8701B">
        <w:rPr>
          <w:rFonts w:eastAsia="Arial Unicode MS"/>
          <w:bCs/>
          <w:lang w:eastAsia="fr-FR" w:bidi="he-IL"/>
        </w:rPr>
        <w:t>comme</w:t>
      </w:r>
      <w:r w:rsidR="00C2602D" w:rsidRPr="00C8701B">
        <w:rPr>
          <w:rFonts w:eastAsia="Arial Unicode MS"/>
          <w:bCs/>
          <w:lang w:eastAsia="fr-FR" w:bidi="he-IL"/>
        </w:rPr>
        <w:t xml:space="preserve"> </w:t>
      </w:r>
      <w:r w:rsidRPr="00C8701B">
        <w:rPr>
          <w:rFonts w:eastAsia="Arial Unicode MS"/>
          <w:bCs/>
          <w:lang w:eastAsia="fr-FR" w:bidi="he-IL"/>
        </w:rPr>
        <w:t>on a dit justement</w:t>
      </w:r>
      <w:r w:rsidR="00933C60" w:rsidRPr="00C406FF">
        <w:rPr>
          <w:rStyle w:val="Appelnotedebasdep"/>
        </w:rPr>
        <w:footnoteReference w:id="139"/>
      </w:r>
      <w:r w:rsidRPr="00C8701B">
        <w:rPr>
          <w:rFonts w:eastAsia="Arial Unicode MS"/>
          <w:bCs/>
          <w:lang w:eastAsia="fr-FR" w:bidi="he-IL"/>
        </w:rPr>
        <w:t xml:space="preserve">. </w:t>
      </w:r>
      <w:r w:rsidR="00B907E8" w:rsidRPr="000716BB">
        <w:rPr>
          <w:rFonts w:eastAsia="Arial Unicode MS"/>
          <w:bCs/>
          <w:lang w:eastAsia="fr-FR" w:bidi="he-IL"/>
        </w:rPr>
        <w:t>{</w:t>
      </w:r>
      <w:r w:rsidR="00B907E8">
        <w:rPr>
          <w:rFonts w:eastAsia="Arial Unicode MS"/>
          <w:bCs/>
          <w:lang w:eastAsia="fr-FR" w:bidi="he-IL"/>
        </w:rPr>
        <w:t>28</w:t>
      </w:r>
      <w:bookmarkStart w:id="51" w:name="pag028"/>
      <w:bookmarkEnd w:id="51"/>
      <w:r w:rsidR="00B907E8" w:rsidRPr="000716BB">
        <w:rPr>
          <w:rFonts w:eastAsia="Arial Unicode MS"/>
          <w:bCs/>
          <w:lang w:eastAsia="fr-FR" w:bidi="he-IL"/>
        </w:rPr>
        <w:t>}</w:t>
      </w:r>
      <w:r w:rsidR="00B907E8">
        <w:rPr>
          <w:rFonts w:eastAsia="Arial Unicode MS"/>
          <w:bCs/>
          <w:lang w:eastAsia="fr-FR" w:bidi="he-IL"/>
        </w:rPr>
        <w:t xml:space="preserve"> </w:t>
      </w:r>
      <w:r w:rsidRPr="00C8701B">
        <w:rPr>
          <w:rFonts w:eastAsia="Arial Unicode MS"/>
          <w:bCs/>
          <w:lang w:eastAsia="fr-FR" w:bidi="he-IL"/>
        </w:rPr>
        <w:t>Ils surprennent vraiment le lecteur par leur grande harmonie</w:t>
      </w:r>
      <w:r w:rsidR="00E65435">
        <w:rPr>
          <w:rFonts w:eastAsia="Arial Unicode MS"/>
          <w:bCs/>
          <w:lang w:eastAsia="fr-FR" w:bidi="he-IL"/>
        </w:rPr>
        <w:t xml:space="preserve">, </w:t>
      </w:r>
      <w:r w:rsidRPr="00C8701B">
        <w:rPr>
          <w:rFonts w:eastAsia="Arial Unicode MS"/>
          <w:bCs/>
          <w:lang w:eastAsia="fr-FR" w:bidi="he-IL"/>
        </w:rPr>
        <w:t>qu</w:t>
      </w:r>
      <w:r w:rsidR="00557DE0">
        <w:rPr>
          <w:rFonts w:eastAsia="Arial Unicode MS"/>
          <w:bCs/>
          <w:lang w:eastAsia="fr-FR" w:bidi="he-IL"/>
        </w:rPr>
        <w:t>’</w:t>
      </w:r>
      <w:r w:rsidRPr="00C8701B">
        <w:rPr>
          <w:rFonts w:eastAsia="Arial Unicode MS"/>
          <w:bCs/>
          <w:lang w:eastAsia="fr-FR" w:bidi="he-IL"/>
        </w:rPr>
        <w:t>un certain nombre de divergences ne mettent que davantage en relief.</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Leurs coïncidences concernent tout à la fois le fond et la forme.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1° Ressemblances au point de vue du fond</w:t>
      </w:r>
      <w:r w:rsidR="00E65435">
        <w:rPr>
          <w:rFonts w:eastAsia="Arial Unicode MS"/>
          <w:bCs/>
          <w:lang w:eastAsia="fr-FR" w:bidi="he-IL"/>
        </w:rPr>
        <w:t xml:space="preserve">, </w:t>
      </w:r>
      <w:r w:rsidRPr="00C8701B">
        <w:rPr>
          <w:rFonts w:eastAsia="Arial Unicode MS"/>
          <w:bCs/>
          <w:lang w:eastAsia="fr-FR" w:bidi="he-IL"/>
        </w:rPr>
        <w:t>ou du sujet traité.</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Déjà nous l</w:t>
      </w:r>
      <w:r w:rsidR="00557DE0">
        <w:rPr>
          <w:rFonts w:eastAsia="Arial Unicode MS"/>
          <w:bCs/>
          <w:lang w:eastAsia="fr-FR" w:bidi="he-IL"/>
        </w:rPr>
        <w:t>’</w:t>
      </w:r>
      <w:r w:rsidRPr="00C8701B">
        <w:rPr>
          <w:rFonts w:eastAsia="Arial Unicode MS"/>
          <w:bCs/>
          <w:lang w:eastAsia="fr-FR" w:bidi="he-IL"/>
        </w:rPr>
        <w:t>avons insinué précédemment</w:t>
      </w:r>
      <w:r w:rsidR="00933C60" w:rsidRPr="00C406FF">
        <w:rPr>
          <w:rStyle w:val="Appelnotedebasdep"/>
        </w:rPr>
        <w:footnoteReference w:id="140"/>
      </w:r>
      <w:r w:rsidR="00E65435">
        <w:rPr>
          <w:rFonts w:eastAsia="Arial Unicode MS"/>
          <w:bCs/>
          <w:lang w:eastAsia="fr-FR" w:bidi="he-IL"/>
        </w:rPr>
        <w:t xml:space="preserve">, </w:t>
      </w:r>
      <w:r w:rsidRPr="00C8701B">
        <w:rPr>
          <w:rFonts w:eastAsia="Arial Unicode MS"/>
          <w:bCs/>
          <w:lang w:eastAsia="fr-FR" w:bidi="he-IL"/>
        </w:rPr>
        <w:t>les Synoptiques ont en général le même fond historique et dogmatique</w:t>
      </w:r>
      <w:r w:rsidR="00E65435">
        <w:rPr>
          <w:rFonts w:eastAsia="Arial Unicode MS"/>
          <w:bCs/>
          <w:lang w:eastAsia="fr-FR" w:bidi="he-IL"/>
        </w:rPr>
        <w:t xml:space="preserve">, </w:t>
      </w:r>
      <w:r w:rsidRPr="00C8701B">
        <w:rPr>
          <w:rFonts w:eastAsia="Arial Unicode MS"/>
          <w:bCs/>
          <w:lang w:eastAsia="fr-FR" w:bidi="he-IL"/>
        </w:rPr>
        <w:t>ils exposent la même série de faits et de discours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un nombre considérable de matériaux leur est commun. La prédication de S. Jean-Baptiste</w:t>
      </w:r>
      <w:r w:rsidR="00E65435">
        <w:rPr>
          <w:rFonts w:eastAsia="Arial Unicode MS"/>
          <w:bCs/>
          <w:lang w:eastAsia="fr-FR" w:bidi="he-IL"/>
        </w:rPr>
        <w:t xml:space="preserve">, </w:t>
      </w:r>
      <w:r w:rsidRPr="00C8701B">
        <w:rPr>
          <w:rFonts w:eastAsia="Arial Unicode MS"/>
          <w:bCs/>
          <w:lang w:eastAsia="fr-FR" w:bidi="he-IL"/>
        </w:rPr>
        <w:t xml:space="preserve">le baptême et la tentation de </w:t>
      </w:r>
      <w:r w:rsidR="00234B88">
        <w:rPr>
          <w:rFonts w:eastAsia="Arial Unicode MS"/>
          <w:bCs/>
          <w:lang w:eastAsia="fr-FR" w:bidi="he-IL"/>
        </w:rPr>
        <w:t>Jésus-Christ</w:t>
      </w:r>
      <w:r w:rsidR="00E65435">
        <w:rPr>
          <w:rFonts w:eastAsia="Arial Unicode MS"/>
          <w:bCs/>
          <w:lang w:eastAsia="fr-FR" w:bidi="he-IL"/>
        </w:rPr>
        <w:t xml:space="preserve">, </w:t>
      </w:r>
      <w:r w:rsidRPr="00C8701B">
        <w:rPr>
          <w:rFonts w:eastAsia="Arial Unicode MS"/>
          <w:bCs/>
          <w:lang w:eastAsia="fr-FR" w:bidi="he-IL"/>
        </w:rPr>
        <w:t>le ministère du Sauveur en Galilée durant plusieurs années</w:t>
      </w:r>
      <w:r w:rsidR="00E65435">
        <w:rPr>
          <w:rFonts w:eastAsia="Arial Unicode MS"/>
          <w:bCs/>
          <w:lang w:eastAsia="fr-FR" w:bidi="he-IL"/>
        </w:rPr>
        <w:t xml:space="preserve">, </w:t>
      </w:r>
      <w:r w:rsidRPr="00C8701B">
        <w:rPr>
          <w:rFonts w:eastAsia="Arial Unicode MS"/>
          <w:bCs/>
          <w:lang w:eastAsia="fr-FR" w:bidi="he-IL"/>
        </w:rPr>
        <w:t>son voyage à Jérusalem pour la dernière Pâque</w:t>
      </w:r>
      <w:r w:rsidR="00E65435">
        <w:rPr>
          <w:rFonts w:eastAsia="Arial Unicode MS"/>
          <w:bCs/>
          <w:lang w:eastAsia="fr-FR" w:bidi="he-IL"/>
        </w:rPr>
        <w:t xml:space="preserve">, </w:t>
      </w:r>
      <w:r w:rsidRPr="00C8701B">
        <w:rPr>
          <w:rFonts w:eastAsia="Arial Unicode MS"/>
          <w:bCs/>
          <w:lang w:eastAsia="fr-FR" w:bidi="he-IL"/>
        </w:rPr>
        <w:t>sa passion</w:t>
      </w:r>
      <w:r w:rsidR="00E65435">
        <w:rPr>
          <w:rFonts w:eastAsia="Arial Unicode MS"/>
          <w:bCs/>
          <w:lang w:eastAsia="fr-FR" w:bidi="he-IL"/>
        </w:rPr>
        <w:t xml:space="preserve">, </w:t>
      </w:r>
      <w:r w:rsidRPr="00C8701B">
        <w:rPr>
          <w:rFonts w:eastAsia="Arial Unicode MS"/>
          <w:bCs/>
          <w:lang w:eastAsia="fr-FR" w:bidi="he-IL"/>
        </w:rPr>
        <w:t>sa mort et sa résurrection</w:t>
      </w:r>
      <w:r w:rsidR="00C2602D" w:rsidRPr="00C8701B">
        <w:rPr>
          <w:rFonts w:eastAsia="Arial Unicode MS"/>
          <w:bCs/>
          <w:lang w:eastAsia="fr-FR" w:bidi="he-IL"/>
        </w:rPr>
        <w:t> :</w:t>
      </w:r>
      <w:r w:rsidRPr="00C8701B">
        <w:rPr>
          <w:rFonts w:eastAsia="Arial Unicode MS"/>
          <w:bCs/>
          <w:lang w:eastAsia="fr-FR" w:bidi="he-IL"/>
        </w:rPr>
        <w:t xml:space="preserve"> voilà l</w:t>
      </w:r>
      <w:r w:rsidR="00557DE0">
        <w:rPr>
          <w:rFonts w:eastAsia="Arial Unicode MS"/>
          <w:bCs/>
          <w:lang w:eastAsia="fr-FR" w:bidi="he-IL"/>
        </w:rPr>
        <w:t>’</w:t>
      </w:r>
      <w:r w:rsidRPr="00C8701B">
        <w:rPr>
          <w:rFonts w:eastAsia="Arial Unicode MS"/>
          <w:bCs/>
          <w:lang w:eastAsia="fr-FR" w:bidi="he-IL"/>
        </w:rPr>
        <w:t>abrégé sommaire de leur triple narration</w:t>
      </w:r>
      <w:r w:rsidR="00933C60" w:rsidRPr="00C406FF">
        <w:rPr>
          <w:rStyle w:val="Appelnotedebasdep"/>
        </w:rPr>
        <w:footnoteReference w:id="141"/>
      </w:r>
      <w:r w:rsidRPr="00C8701B">
        <w:rPr>
          <w:rFonts w:eastAsia="Arial Unicode MS"/>
          <w:bCs/>
          <w:lang w:eastAsia="fr-FR" w:bidi="he-IL"/>
        </w:rPr>
        <w:t>. Ce point est si évident</w:t>
      </w:r>
      <w:r w:rsidR="00E65435">
        <w:rPr>
          <w:rFonts w:eastAsia="Arial Unicode MS"/>
          <w:bCs/>
          <w:lang w:eastAsia="fr-FR" w:bidi="he-IL"/>
        </w:rPr>
        <w:t xml:space="preserve">, </w:t>
      </w:r>
      <w:r w:rsidRPr="00C8701B">
        <w:rPr>
          <w:rFonts w:eastAsia="Arial Unicode MS"/>
          <w:bCs/>
          <w:lang w:eastAsia="fr-FR" w:bidi="he-IL"/>
        </w:rPr>
        <w:t>qu</w:t>
      </w:r>
      <w:r w:rsidR="00557DE0">
        <w:rPr>
          <w:rFonts w:eastAsia="Arial Unicode MS"/>
          <w:bCs/>
          <w:lang w:eastAsia="fr-FR" w:bidi="he-IL"/>
        </w:rPr>
        <w:t>’</w:t>
      </w:r>
      <w:r w:rsidRPr="00C8701B">
        <w:rPr>
          <w:rFonts w:eastAsia="Arial Unicode MS"/>
          <w:bCs/>
          <w:lang w:eastAsia="fr-FR" w:bidi="he-IL"/>
        </w:rPr>
        <w:t>il est tout à fait inutile d</w:t>
      </w:r>
      <w:r w:rsidR="00557DE0">
        <w:rPr>
          <w:rFonts w:eastAsia="Arial Unicode MS"/>
          <w:bCs/>
          <w:lang w:eastAsia="fr-FR" w:bidi="he-IL"/>
        </w:rPr>
        <w:t>’</w:t>
      </w:r>
      <w:r w:rsidRPr="00C8701B">
        <w:rPr>
          <w:rFonts w:eastAsia="Arial Unicode MS"/>
          <w:bCs/>
          <w:lang w:eastAsia="fr-FR" w:bidi="he-IL"/>
        </w:rPr>
        <w:t>y insister.</w:t>
      </w:r>
      <w:r w:rsidR="00C2602D" w:rsidRPr="00C8701B">
        <w:rPr>
          <w:rFonts w:eastAsia="Arial Unicode MS"/>
          <w:bCs/>
          <w:lang w:eastAsia="fr-FR" w:bidi="he-IL"/>
        </w:rPr>
        <w:t xml:space="preserve"> </w:t>
      </w:r>
    </w:p>
    <w:p w:rsidR="00C2602D" w:rsidRPr="00C8701B" w:rsidRDefault="00C2602D" w:rsidP="00C2602D">
      <w:pPr>
        <w:rPr>
          <w:rFonts w:eastAsia="Arial Unicode MS"/>
          <w:bCs/>
          <w:lang w:eastAsia="fr-FR" w:bidi="he-IL"/>
        </w:rPr>
      </w:pPr>
      <w:r w:rsidRPr="00C8701B">
        <w:rPr>
          <w:rFonts w:eastAsia="Arial Unicode MS"/>
          <w:bCs/>
          <w:lang w:eastAsia="fr-FR" w:bidi="he-IL"/>
        </w:rPr>
        <w:t>« </w:t>
      </w:r>
      <w:r w:rsidR="00B704AD" w:rsidRPr="00C8701B">
        <w:rPr>
          <w:rFonts w:eastAsia="Arial Unicode MS"/>
          <w:bCs/>
          <w:lang w:eastAsia="fr-FR" w:bidi="he-IL"/>
        </w:rPr>
        <w:t>Notre-Seigneur guérit une multitude innombrable de malades</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mais les trois synoptiques choisissent toujours les mêmes cas de guérison pour les raconter plus pleinement. De même</w:t>
      </w:r>
      <w:r w:rsidR="00E65435">
        <w:rPr>
          <w:rFonts w:eastAsia="Arial Unicode MS"/>
          <w:bCs/>
          <w:lang w:eastAsia="fr-FR" w:bidi="he-IL"/>
        </w:rPr>
        <w:t xml:space="preserve">, </w:t>
      </w:r>
      <w:r w:rsidR="00B704AD" w:rsidRPr="00C8701B">
        <w:rPr>
          <w:rFonts w:eastAsia="Arial Unicode MS"/>
          <w:bCs/>
          <w:lang w:eastAsia="fr-FR" w:bidi="he-IL"/>
        </w:rPr>
        <w:t>tes paroles de Jésus ont été très nombreuses</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mais nos trois évangélistes sont d</w:t>
      </w:r>
      <w:r w:rsidR="00557DE0">
        <w:rPr>
          <w:rFonts w:eastAsia="Arial Unicode MS"/>
          <w:bCs/>
          <w:lang w:eastAsia="fr-FR" w:bidi="he-IL"/>
        </w:rPr>
        <w:t>’</w:t>
      </w:r>
      <w:r w:rsidR="00B704AD" w:rsidRPr="00C8701B">
        <w:rPr>
          <w:rFonts w:eastAsia="Arial Unicode MS"/>
          <w:bCs/>
          <w:lang w:eastAsia="fr-FR" w:bidi="he-IL"/>
        </w:rPr>
        <w:t>accord pour choisir les mêmes discours</w:t>
      </w:r>
      <w:r w:rsidR="00933C60" w:rsidRPr="00C406FF">
        <w:rPr>
          <w:rStyle w:val="Appelnotedebasdep"/>
        </w:rPr>
        <w:footnoteReference w:id="142"/>
      </w:r>
      <w:r w:rsidRPr="00C8701B">
        <w:rPr>
          <w:rFonts w:eastAsia="Arial Unicode MS"/>
          <w:bCs/>
          <w:lang w:eastAsia="fr-FR" w:bidi="he-IL"/>
        </w:rPr>
        <w:t> »</w:t>
      </w:r>
      <w:r w:rsidR="00B704AD" w:rsidRPr="00C8701B">
        <w:rPr>
          <w:rFonts w:eastAsia="Arial Unicode MS"/>
          <w:bCs/>
          <w:lang w:eastAsia="fr-FR" w:bidi="he-IL"/>
        </w:rPr>
        <w:t>.</w:t>
      </w:r>
      <w:r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2° Les ressemblances au point de vue de la forme comporteraient</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assez longs développements. Nous nous bornerons à quelques traits</w:t>
      </w:r>
      <w:r w:rsidR="00E65435">
        <w:rPr>
          <w:rFonts w:eastAsia="Arial Unicode MS"/>
          <w:bCs/>
          <w:lang w:eastAsia="fr-FR" w:bidi="he-IL"/>
        </w:rPr>
        <w:t xml:space="preserve">, </w:t>
      </w:r>
      <w:r w:rsidRPr="00C8701B">
        <w:rPr>
          <w:rFonts w:eastAsia="Arial Unicode MS"/>
          <w:bCs/>
          <w:lang w:eastAsia="fr-FR" w:bidi="he-IL"/>
        </w:rPr>
        <w:t>choisis parmi les plus saillants.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Ces ressemblances s</w:t>
      </w:r>
      <w:r w:rsidR="00557DE0">
        <w:rPr>
          <w:rFonts w:eastAsia="Arial Unicode MS"/>
          <w:bCs/>
          <w:lang w:eastAsia="fr-FR" w:bidi="he-IL"/>
        </w:rPr>
        <w:t>’</w:t>
      </w:r>
      <w:r w:rsidRPr="00C8701B">
        <w:rPr>
          <w:rFonts w:eastAsia="Arial Unicode MS"/>
          <w:bCs/>
          <w:lang w:eastAsia="fr-FR" w:bidi="he-IL"/>
        </w:rPr>
        <w:t>étendent non seulement à l</w:t>
      </w:r>
      <w:r w:rsidR="00557DE0">
        <w:rPr>
          <w:rFonts w:eastAsia="Arial Unicode MS"/>
          <w:bCs/>
          <w:lang w:eastAsia="fr-FR" w:bidi="he-IL"/>
        </w:rPr>
        <w:t>’</w:t>
      </w:r>
      <w:r w:rsidR="0018720C" w:rsidRPr="00C8701B">
        <w:rPr>
          <w:rFonts w:eastAsia="Arial Unicode MS"/>
          <w:bCs/>
          <w:lang w:eastAsia="fr-FR" w:bidi="he-IL"/>
        </w:rPr>
        <w:t>arrangement</w:t>
      </w:r>
      <w:r w:rsidRPr="00C8701B">
        <w:rPr>
          <w:rFonts w:eastAsia="Arial Unicode MS"/>
          <w:bCs/>
          <w:lang w:eastAsia="fr-FR" w:bidi="he-IL"/>
        </w:rPr>
        <w:t xml:space="preserve"> général des matériaux</w:t>
      </w:r>
      <w:r w:rsidR="00E65435">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est-à-dire au plan de chaque évangéliste considéré dans son ensemble</w:t>
      </w:r>
      <w:r w:rsidR="00E65435">
        <w:rPr>
          <w:rFonts w:eastAsia="Arial Unicode MS"/>
          <w:bCs/>
          <w:lang w:eastAsia="fr-FR" w:bidi="he-IL"/>
        </w:rPr>
        <w:t xml:space="preserve">, </w:t>
      </w:r>
      <w:r w:rsidRPr="00C8701B">
        <w:rPr>
          <w:rFonts w:eastAsia="Arial Unicode MS"/>
          <w:bCs/>
          <w:lang w:eastAsia="fr-FR" w:bidi="he-IL"/>
        </w:rPr>
        <w:t>à la combinaison des faits et des discours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non seulement à l</w:t>
      </w:r>
      <w:r w:rsidR="00557DE0">
        <w:rPr>
          <w:rFonts w:eastAsia="Arial Unicode MS"/>
          <w:bCs/>
          <w:lang w:eastAsia="fr-FR" w:bidi="he-IL"/>
        </w:rPr>
        <w:t>’</w:t>
      </w:r>
      <w:r w:rsidRPr="00C8701B">
        <w:rPr>
          <w:rFonts w:eastAsia="Arial Unicode MS"/>
          <w:bCs/>
          <w:lang w:eastAsia="fr-FR" w:bidi="he-IL"/>
        </w:rPr>
        <w:t>arrangement particulier</w:t>
      </w:r>
      <w:r w:rsidR="00E65435">
        <w:rPr>
          <w:rFonts w:eastAsia="Arial Unicode MS"/>
          <w:bCs/>
          <w:lang w:eastAsia="fr-FR" w:bidi="he-IL"/>
        </w:rPr>
        <w:t xml:space="preserve">, </w:t>
      </w:r>
      <w:r w:rsidRPr="00C8701B">
        <w:rPr>
          <w:rFonts w:eastAsia="Arial Unicode MS"/>
          <w:bCs/>
          <w:lang w:eastAsia="fr-FR" w:bidi="he-IL"/>
        </w:rPr>
        <w:t>détaillé</w:t>
      </w:r>
      <w:r w:rsidR="00E65435">
        <w:rPr>
          <w:rFonts w:eastAsia="Arial Unicode MS"/>
          <w:bCs/>
          <w:lang w:eastAsia="fr-FR" w:bidi="he-IL"/>
        </w:rPr>
        <w:t xml:space="preserve">, </w:t>
      </w:r>
      <w:r w:rsidRPr="00C8701B">
        <w:rPr>
          <w:rFonts w:eastAsia="Arial Unicode MS"/>
          <w:bCs/>
          <w:lang w:eastAsia="fr-FR" w:bidi="he-IL"/>
        </w:rPr>
        <w:t>de chacun de ces faits ou de ces discours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mais encore à la diction même</w:t>
      </w:r>
      <w:r w:rsidR="00E65435">
        <w:rPr>
          <w:rFonts w:eastAsia="Arial Unicode MS"/>
          <w:bCs/>
          <w:lang w:eastAsia="fr-FR" w:bidi="he-IL"/>
        </w:rPr>
        <w:t xml:space="preserve">, </w:t>
      </w:r>
      <w:r w:rsidRPr="00C8701B">
        <w:rPr>
          <w:rFonts w:eastAsia="Arial Unicode MS"/>
          <w:bCs/>
          <w:lang w:eastAsia="fr-FR" w:bidi="he-IL"/>
        </w:rPr>
        <w:t>par conséquent aux expressions</w:t>
      </w:r>
      <w:r w:rsidR="00E65435">
        <w:rPr>
          <w:rFonts w:eastAsia="Arial Unicode MS"/>
          <w:bCs/>
          <w:lang w:eastAsia="fr-FR" w:bidi="he-IL"/>
        </w:rPr>
        <w:t xml:space="preserve">, </w:t>
      </w:r>
      <w:r w:rsidRPr="00C8701B">
        <w:rPr>
          <w:rFonts w:eastAsia="Arial Unicode MS"/>
          <w:bCs/>
          <w:lang w:eastAsia="fr-FR" w:bidi="he-IL"/>
        </w:rPr>
        <w:t>aux tournures</w:t>
      </w:r>
      <w:r w:rsidR="00E65435">
        <w:rPr>
          <w:rFonts w:eastAsia="Arial Unicode MS"/>
          <w:bCs/>
          <w:lang w:eastAsia="fr-FR" w:bidi="he-IL"/>
        </w:rPr>
        <w:t xml:space="preserve">, </w:t>
      </w:r>
      <w:r w:rsidRPr="00C8701B">
        <w:rPr>
          <w:rFonts w:eastAsia="Arial Unicode MS"/>
          <w:bCs/>
          <w:lang w:eastAsia="fr-FR" w:bidi="he-IL"/>
        </w:rPr>
        <w:t>aux transitions</w:t>
      </w:r>
      <w:r w:rsidR="00E65435">
        <w:rPr>
          <w:rFonts w:eastAsia="Arial Unicode MS"/>
          <w:bCs/>
          <w:lang w:eastAsia="fr-FR" w:bidi="he-IL"/>
        </w:rPr>
        <w:t xml:space="preserve">, </w:t>
      </w:r>
      <w:r w:rsidRPr="00C8701B">
        <w:rPr>
          <w:rFonts w:eastAsia="Arial Unicode MS"/>
          <w:bCs/>
          <w:lang w:eastAsia="fr-FR" w:bidi="he-IL"/>
        </w:rPr>
        <w:t>à des phrases entières</w:t>
      </w:r>
      <w:r w:rsidR="00E65435">
        <w:rPr>
          <w:rFonts w:eastAsia="Arial Unicode MS"/>
          <w:bCs/>
          <w:lang w:eastAsia="fr-FR" w:bidi="he-IL"/>
        </w:rPr>
        <w:t xml:space="preserve">, </w:t>
      </w:r>
      <w:r w:rsidRPr="00C8701B">
        <w:rPr>
          <w:rFonts w:eastAsia="Arial Unicode MS"/>
          <w:bCs/>
          <w:lang w:eastAsia="fr-FR" w:bidi="he-IL"/>
        </w:rPr>
        <w:t>qui ont été coulées dans un moule identique.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Chacune de ces assertions donne lieu à des rapprochements des plus intéressants.</w:t>
      </w:r>
      <w:r w:rsidR="00C2602D" w:rsidRPr="00C8701B">
        <w:rPr>
          <w:rFonts w:eastAsia="Arial Unicode MS"/>
          <w:bCs/>
          <w:lang w:eastAsia="fr-FR" w:bidi="he-IL"/>
        </w:rPr>
        <w:t xml:space="preserve"> </w:t>
      </w:r>
    </w:p>
    <w:p w:rsidR="00C2602D" w:rsidRPr="00C8701B" w:rsidRDefault="00B704AD" w:rsidP="0018720C">
      <w:pPr>
        <w:rPr>
          <w:rFonts w:eastAsia="Arial Unicode MS"/>
          <w:bCs/>
          <w:lang w:eastAsia="fr-FR" w:bidi="he-IL"/>
        </w:rPr>
      </w:pPr>
      <w:r w:rsidRPr="00C8701B">
        <w:rPr>
          <w:rFonts w:eastAsia="Arial Unicode MS"/>
          <w:bCs/>
          <w:lang w:eastAsia="fr-FR" w:bidi="he-IL"/>
        </w:rPr>
        <w:t>A. Coïncidence pour l</w:t>
      </w:r>
      <w:r w:rsidR="00557DE0">
        <w:rPr>
          <w:rFonts w:eastAsia="Arial Unicode MS"/>
          <w:bCs/>
          <w:lang w:eastAsia="fr-FR" w:bidi="he-IL"/>
        </w:rPr>
        <w:t>’</w:t>
      </w:r>
      <w:r w:rsidRPr="00C8701B">
        <w:rPr>
          <w:rFonts w:eastAsia="Arial Unicode MS"/>
          <w:bCs/>
          <w:lang w:eastAsia="fr-FR" w:bidi="he-IL"/>
        </w:rPr>
        <w:t>arrangement général des matériaux.</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Ces matériaux</w:t>
      </w:r>
      <w:r w:rsidR="00E65435">
        <w:rPr>
          <w:rFonts w:eastAsia="Arial Unicode MS"/>
          <w:bCs/>
          <w:lang w:eastAsia="fr-FR" w:bidi="he-IL"/>
        </w:rPr>
        <w:t xml:space="preserve">, </w:t>
      </w:r>
      <w:r w:rsidRPr="00C8701B">
        <w:rPr>
          <w:rFonts w:eastAsia="Arial Unicode MS"/>
          <w:bCs/>
          <w:lang w:eastAsia="fr-FR" w:bidi="he-IL"/>
        </w:rPr>
        <w:t>que nous avons dit être en grande partie les mêmes pour les synoptiques</w:t>
      </w:r>
      <w:r w:rsidR="00E65435">
        <w:rPr>
          <w:rFonts w:eastAsia="Arial Unicode MS"/>
          <w:bCs/>
          <w:lang w:eastAsia="fr-FR" w:bidi="he-IL"/>
        </w:rPr>
        <w:t xml:space="preserve">, </w:t>
      </w:r>
      <w:r w:rsidRPr="00C8701B">
        <w:rPr>
          <w:rFonts w:eastAsia="Arial Unicode MS"/>
          <w:bCs/>
          <w:lang w:eastAsia="fr-FR" w:bidi="he-IL"/>
        </w:rPr>
        <w:t>sont en outre combiné</w:t>
      </w:r>
      <w:r w:rsidR="0018720C">
        <w:rPr>
          <w:rFonts w:eastAsia="Arial Unicode MS"/>
          <w:bCs/>
          <w:lang w:eastAsia="fr-FR" w:bidi="he-IL"/>
        </w:rPr>
        <w:t xml:space="preserve">s </w:t>
      </w:r>
      <w:r w:rsidRPr="00C8701B">
        <w:rPr>
          <w:rFonts w:eastAsia="Arial Unicode MS"/>
          <w:bCs/>
          <w:lang w:eastAsia="fr-FR" w:bidi="he-IL"/>
        </w:rPr>
        <w:t>organisés d</w:t>
      </w:r>
      <w:r w:rsidR="00557DE0">
        <w:rPr>
          <w:rFonts w:eastAsia="Arial Unicode MS"/>
          <w:bCs/>
          <w:lang w:eastAsia="fr-FR" w:bidi="he-IL"/>
        </w:rPr>
        <w:t>’</w:t>
      </w:r>
      <w:r w:rsidRPr="00C8701B">
        <w:rPr>
          <w:rFonts w:eastAsia="Arial Unicode MS"/>
          <w:bCs/>
          <w:lang w:eastAsia="fr-FR" w:bidi="he-IL"/>
        </w:rPr>
        <w:t>après un plan unique dans chacun des trois évangiles.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Prenons d</w:t>
      </w:r>
      <w:r w:rsidR="00557DE0">
        <w:rPr>
          <w:rFonts w:eastAsia="Arial Unicode MS"/>
          <w:bCs/>
          <w:lang w:eastAsia="fr-FR" w:bidi="he-IL"/>
        </w:rPr>
        <w:t>’</w:t>
      </w:r>
      <w:r w:rsidRPr="00C8701B">
        <w:rPr>
          <w:rFonts w:eastAsia="Arial Unicode MS"/>
          <w:bCs/>
          <w:lang w:eastAsia="fr-FR" w:bidi="he-IL"/>
        </w:rPr>
        <w:t>abord une série de faits. Comparez</w:t>
      </w:r>
      <w:r w:rsidR="00E65435">
        <w:rPr>
          <w:rFonts w:eastAsia="Arial Unicode MS"/>
          <w:bCs/>
          <w:lang w:eastAsia="fr-FR" w:bidi="he-IL"/>
        </w:rPr>
        <w:t xml:space="preserve">, </w:t>
      </w:r>
      <w:r w:rsidR="0018720C">
        <w:rPr>
          <w:rFonts w:eastAsia="Arial Unicode MS"/>
          <w:bCs/>
          <w:lang w:eastAsia="fr-FR" w:bidi="he-IL"/>
        </w:rPr>
        <w:t>dans une synopse</w:t>
      </w:r>
      <w:r w:rsidR="00933C60" w:rsidRPr="00C406FF">
        <w:rPr>
          <w:rStyle w:val="Appelnotedebasdep"/>
        </w:rPr>
        <w:footnoteReference w:id="143"/>
      </w:r>
      <w:r w:rsidR="00E65435">
        <w:rPr>
          <w:rFonts w:eastAsia="Arial Unicode MS"/>
          <w:bCs/>
          <w:lang w:eastAsia="fr-FR" w:bidi="he-IL"/>
        </w:rPr>
        <w:t xml:space="preserve">, </w:t>
      </w:r>
      <w:r w:rsidRPr="00C8701B">
        <w:rPr>
          <w:rFonts w:eastAsia="Arial Unicode MS"/>
          <w:bCs/>
          <w:lang w:eastAsia="fr-FR" w:bidi="he-IL"/>
        </w:rPr>
        <w:t>les passages suivants</w:t>
      </w:r>
      <w:r w:rsidR="00C2602D" w:rsidRPr="00C8701B">
        <w:rPr>
          <w:rFonts w:eastAsia="Arial Unicode MS"/>
          <w:bCs/>
          <w:lang w:eastAsia="fr-FR" w:bidi="he-IL"/>
        </w:rPr>
        <w:t> :</w:t>
      </w:r>
      <w:r w:rsidRPr="00C8701B">
        <w:rPr>
          <w:rFonts w:eastAsia="Arial Unicode MS"/>
          <w:bCs/>
          <w:lang w:eastAsia="fr-FR" w:bidi="he-IL"/>
        </w:rPr>
        <w:t xml:space="preserve"> Matth.</w:t>
      </w:r>
      <w:r w:rsidR="0017332F" w:rsidRPr="00C8701B">
        <w:rPr>
          <w:rFonts w:eastAsia="Arial Unicode MS"/>
          <w:bCs/>
          <w:lang w:eastAsia="fr-FR" w:bidi="he-IL"/>
        </w:rPr>
        <w:t xml:space="preserve"> III</w:t>
      </w:r>
      <w:r w:rsidR="00E65435">
        <w:rPr>
          <w:rFonts w:eastAsia="Arial Unicode MS"/>
          <w:bCs/>
          <w:lang w:eastAsia="fr-FR" w:bidi="he-IL"/>
        </w:rPr>
        <w:t xml:space="preserve">, </w:t>
      </w:r>
      <w:r w:rsidRPr="00C8701B">
        <w:rPr>
          <w:rFonts w:eastAsia="Arial Unicode MS"/>
          <w:bCs/>
          <w:lang w:eastAsia="fr-FR" w:bidi="he-IL"/>
        </w:rPr>
        <w:t>1-</w:t>
      </w:r>
      <w:r w:rsidR="0096281A">
        <w:rPr>
          <w:rFonts w:eastAsia="Arial Unicode MS"/>
          <w:bCs/>
          <w:lang w:eastAsia="fr-FR" w:bidi="he-IL"/>
        </w:rPr>
        <w:t>IV</w:t>
      </w:r>
      <w:r w:rsidR="00E65435">
        <w:rPr>
          <w:rFonts w:eastAsia="Arial Unicode MS"/>
          <w:bCs/>
          <w:lang w:eastAsia="fr-FR" w:bidi="he-IL"/>
        </w:rPr>
        <w:t xml:space="preserve">, </w:t>
      </w:r>
      <w:r w:rsidRPr="00C8701B">
        <w:rPr>
          <w:rFonts w:eastAsia="Arial Unicode MS"/>
          <w:bCs/>
          <w:lang w:eastAsia="fr-FR" w:bidi="he-IL"/>
        </w:rPr>
        <w:t>12</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Marc.</w:t>
      </w:r>
      <w:r w:rsidR="00C21120">
        <w:rPr>
          <w:rFonts w:eastAsia="Arial Unicode MS"/>
          <w:bCs/>
          <w:lang w:eastAsia="fr-FR" w:bidi="he-IL"/>
        </w:rPr>
        <w:t xml:space="preserve"> I, </w:t>
      </w:r>
      <w:r w:rsidR="00C21120" w:rsidRPr="00C8701B">
        <w:rPr>
          <w:rFonts w:eastAsia="Arial Unicode MS"/>
          <w:bCs/>
          <w:lang w:eastAsia="fr-FR" w:bidi="he-IL"/>
        </w:rPr>
        <w:t>1</w:t>
      </w:r>
      <w:r w:rsidRPr="00C8701B">
        <w:rPr>
          <w:rFonts w:eastAsia="Arial Unicode MS"/>
          <w:bCs/>
          <w:lang w:eastAsia="fr-FR" w:bidi="he-IL"/>
        </w:rPr>
        <w:t>-14</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Luc.</w:t>
      </w:r>
      <w:r w:rsidR="0017332F" w:rsidRPr="00C8701B">
        <w:rPr>
          <w:rFonts w:eastAsia="Arial Unicode MS"/>
          <w:bCs/>
          <w:lang w:eastAsia="fr-FR" w:bidi="he-IL"/>
        </w:rPr>
        <w:t xml:space="preserve"> III</w:t>
      </w:r>
      <w:r w:rsidR="00E65435">
        <w:rPr>
          <w:rFonts w:eastAsia="Arial Unicode MS"/>
          <w:bCs/>
          <w:lang w:eastAsia="fr-FR" w:bidi="he-IL"/>
        </w:rPr>
        <w:t xml:space="preserve">, </w:t>
      </w:r>
      <w:r w:rsidR="00116664">
        <w:rPr>
          <w:rFonts w:eastAsia="Arial Unicode MS"/>
          <w:bCs/>
          <w:lang w:eastAsia="fr-FR" w:bidi="he-IL"/>
        </w:rPr>
        <w:t>I</w:t>
      </w:r>
      <w:r w:rsidRPr="00C8701B">
        <w:rPr>
          <w:rFonts w:eastAsia="Arial Unicode MS"/>
          <w:bCs/>
          <w:lang w:eastAsia="fr-FR" w:bidi="he-IL"/>
        </w:rPr>
        <w:t>-</w:t>
      </w:r>
      <w:r w:rsidR="0096281A">
        <w:rPr>
          <w:rFonts w:eastAsia="Arial Unicode MS"/>
          <w:bCs/>
          <w:lang w:eastAsia="fr-FR" w:bidi="he-IL"/>
        </w:rPr>
        <w:t>IV</w:t>
      </w:r>
      <w:r w:rsidR="00E65435">
        <w:rPr>
          <w:rFonts w:eastAsia="Arial Unicode MS"/>
          <w:bCs/>
          <w:lang w:eastAsia="fr-FR" w:bidi="he-IL"/>
        </w:rPr>
        <w:t xml:space="preserve">, </w:t>
      </w:r>
      <w:r w:rsidRPr="00C8701B">
        <w:rPr>
          <w:rFonts w:eastAsia="Arial Unicode MS"/>
          <w:bCs/>
          <w:lang w:eastAsia="fr-FR" w:bidi="he-IL"/>
        </w:rPr>
        <w:t>14</w:t>
      </w:r>
      <w:r w:rsidR="00E65435">
        <w:rPr>
          <w:rFonts w:eastAsia="Arial Unicode MS"/>
          <w:bCs/>
          <w:lang w:eastAsia="fr-FR" w:bidi="he-IL"/>
        </w:rPr>
        <w:t xml:space="preserve">, </w:t>
      </w:r>
      <w:r w:rsidRPr="00C8701B">
        <w:rPr>
          <w:rFonts w:eastAsia="Arial Unicode MS"/>
          <w:bCs/>
          <w:lang w:eastAsia="fr-FR" w:bidi="he-IL"/>
        </w:rPr>
        <w:t>qui racontent la prédication de S. Jean-Baptiste</w:t>
      </w:r>
      <w:r w:rsidR="00E65435">
        <w:rPr>
          <w:rFonts w:eastAsia="Arial Unicode MS"/>
          <w:bCs/>
          <w:lang w:eastAsia="fr-FR" w:bidi="he-IL"/>
        </w:rPr>
        <w:t xml:space="preserve">, </w:t>
      </w:r>
      <w:r w:rsidRPr="00C8701B">
        <w:rPr>
          <w:rFonts w:eastAsia="Arial Unicode MS"/>
          <w:bCs/>
          <w:lang w:eastAsia="fr-FR" w:bidi="he-IL"/>
        </w:rPr>
        <w:t>le baptême et la tentation de N.-S. Jésus-Christ et son arrivée en Galilée pour y inaugurer son ministère. Tout ne se suit-il pas d</w:t>
      </w:r>
      <w:r w:rsidR="00557DE0">
        <w:rPr>
          <w:rFonts w:eastAsia="Arial Unicode MS"/>
          <w:bCs/>
          <w:lang w:eastAsia="fr-FR" w:bidi="he-IL"/>
        </w:rPr>
        <w:t>’</w:t>
      </w:r>
      <w:r w:rsidRPr="00C8701B">
        <w:rPr>
          <w:rFonts w:eastAsia="Arial Unicode MS"/>
          <w:bCs/>
          <w:lang w:eastAsia="fr-FR" w:bidi="he-IL"/>
        </w:rPr>
        <w:t>après le même ordre général</w:t>
      </w:r>
      <w:r w:rsidR="00C2602D" w:rsidRPr="00C8701B">
        <w:rPr>
          <w:rFonts w:eastAsia="Arial Unicode MS"/>
          <w:bCs/>
          <w:lang w:eastAsia="fr-FR" w:bidi="he-IL"/>
        </w:rPr>
        <w:t xml:space="preserve"> ? </w:t>
      </w:r>
      <w:r w:rsidR="00A067B1" w:rsidRPr="000716BB">
        <w:rPr>
          <w:rFonts w:eastAsia="Arial Unicode MS"/>
          <w:bCs/>
          <w:lang w:eastAsia="fr-FR" w:bidi="he-IL"/>
        </w:rPr>
        <w:t>{</w:t>
      </w:r>
      <w:r w:rsidR="00A067B1">
        <w:rPr>
          <w:rFonts w:eastAsia="Arial Unicode MS"/>
          <w:bCs/>
          <w:lang w:eastAsia="fr-FR" w:bidi="he-IL"/>
        </w:rPr>
        <w:t>29</w:t>
      </w:r>
      <w:bookmarkStart w:id="52" w:name="pag029"/>
      <w:bookmarkEnd w:id="52"/>
      <w:r w:rsidR="00A067B1" w:rsidRPr="000716BB">
        <w:rPr>
          <w:rFonts w:eastAsia="Arial Unicode MS"/>
          <w:bCs/>
          <w:lang w:eastAsia="fr-FR" w:bidi="he-IL"/>
        </w:rPr>
        <w:t>}</w:t>
      </w:r>
    </w:p>
    <w:p w:rsidR="00C2602D" w:rsidRPr="00C8701B" w:rsidRDefault="00B704AD" w:rsidP="0018720C">
      <w:pPr>
        <w:rPr>
          <w:rFonts w:eastAsia="Arial Unicode MS"/>
          <w:bCs/>
          <w:lang w:eastAsia="fr-FR" w:bidi="he-IL"/>
        </w:rPr>
      </w:pPr>
      <w:r w:rsidRPr="00C8701B">
        <w:rPr>
          <w:rFonts w:eastAsia="Arial Unicode MS"/>
          <w:bCs/>
          <w:lang w:eastAsia="fr-FR" w:bidi="he-IL"/>
        </w:rPr>
        <w:t>En rapprochant ces autres passages</w:t>
      </w:r>
      <w:r w:rsidR="00E65435">
        <w:rPr>
          <w:rFonts w:eastAsia="Arial Unicode MS"/>
          <w:bCs/>
          <w:lang w:eastAsia="fr-FR" w:bidi="he-IL"/>
        </w:rPr>
        <w:t xml:space="preserve">, </w:t>
      </w:r>
      <w:r w:rsidRPr="00C8701B">
        <w:rPr>
          <w:rFonts w:eastAsia="Arial Unicode MS"/>
          <w:bCs/>
          <w:lang w:eastAsia="fr-FR" w:bidi="he-IL"/>
        </w:rPr>
        <w:t>Matth</w:t>
      </w:r>
      <w:r w:rsidR="00DD17CA" w:rsidRPr="00C8701B">
        <w:rPr>
          <w:rFonts w:eastAsia="Arial Unicode MS"/>
          <w:bCs/>
          <w:lang w:eastAsia="fr-FR" w:bidi="he-IL"/>
        </w:rPr>
        <w:t>. VIII</w:t>
      </w:r>
      <w:r w:rsidR="00E65435">
        <w:rPr>
          <w:rFonts w:eastAsia="Arial Unicode MS"/>
          <w:bCs/>
          <w:lang w:eastAsia="fr-FR" w:bidi="he-IL"/>
        </w:rPr>
        <w:t xml:space="preserve">, </w:t>
      </w:r>
      <w:r w:rsidRPr="00C8701B">
        <w:rPr>
          <w:rFonts w:eastAsia="Arial Unicode MS"/>
          <w:bCs/>
          <w:lang w:eastAsia="fr-FR" w:bidi="he-IL"/>
        </w:rPr>
        <w:t>23-</w:t>
      </w:r>
      <w:r w:rsidR="00E1197B">
        <w:rPr>
          <w:rFonts w:eastAsia="Arial Unicode MS"/>
          <w:bCs/>
          <w:lang w:eastAsia="fr-FR" w:bidi="he-IL"/>
        </w:rPr>
        <w:t>IX</w:t>
      </w:r>
      <w:r w:rsidR="00E65435">
        <w:rPr>
          <w:rFonts w:eastAsia="Arial Unicode MS"/>
          <w:bCs/>
          <w:lang w:eastAsia="fr-FR" w:bidi="he-IL"/>
        </w:rPr>
        <w:t xml:space="preserve">, </w:t>
      </w:r>
      <w:r w:rsidRPr="00C8701B">
        <w:rPr>
          <w:rFonts w:eastAsia="Arial Unicode MS"/>
          <w:bCs/>
          <w:lang w:eastAsia="fr-FR" w:bidi="he-IL"/>
        </w:rPr>
        <w:t>26</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Marc</w:t>
      </w:r>
      <w:r w:rsidR="00E65435">
        <w:rPr>
          <w:rFonts w:eastAsia="Arial Unicode MS"/>
          <w:bCs/>
          <w:lang w:eastAsia="fr-FR" w:bidi="he-IL"/>
        </w:rPr>
        <w:t xml:space="preserve">, </w:t>
      </w:r>
      <w:r w:rsidR="0096281A">
        <w:rPr>
          <w:rFonts w:eastAsia="Arial Unicode MS"/>
          <w:bCs/>
          <w:lang w:eastAsia="fr-FR" w:bidi="he-IL"/>
        </w:rPr>
        <w:t>IV</w:t>
      </w:r>
      <w:r w:rsidR="0018720C">
        <w:rPr>
          <w:rFonts w:eastAsia="Arial Unicode MS"/>
          <w:bCs/>
          <w:lang w:eastAsia="fr-FR" w:bidi="he-IL"/>
        </w:rPr>
        <w:t>,</w:t>
      </w:r>
      <w:r w:rsidRPr="00C8701B">
        <w:rPr>
          <w:rFonts w:eastAsia="Arial Unicode MS"/>
          <w:bCs/>
          <w:lang w:eastAsia="fr-FR" w:bidi="he-IL"/>
        </w:rPr>
        <w:t xml:space="preserve"> 35-</w:t>
      </w:r>
      <w:r w:rsidR="00835131">
        <w:rPr>
          <w:rFonts w:eastAsia="Arial Unicode MS"/>
          <w:bCs/>
          <w:lang w:eastAsia="fr-FR" w:bidi="he-IL"/>
        </w:rPr>
        <w:t>V</w:t>
      </w:r>
      <w:r w:rsidR="00E65435">
        <w:rPr>
          <w:rFonts w:eastAsia="Arial Unicode MS"/>
          <w:bCs/>
          <w:lang w:eastAsia="fr-FR" w:bidi="he-IL"/>
        </w:rPr>
        <w:t xml:space="preserve">, </w:t>
      </w:r>
      <w:r w:rsidRPr="00C8701B">
        <w:rPr>
          <w:rFonts w:eastAsia="Arial Unicode MS"/>
          <w:bCs/>
          <w:lang w:eastAsia="fr-FR" w:bidi="he-IL"/>
        </w:rPr>
        <w:t>43</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Luc. </w:t>
      </w:r>
      <w:r w:rsidR="0033515E">
        <w:rPr>
          <w:rFonts w:eastAsia="Arial Unicode MS"/>
          <w:bCs/>
          <w:lang w:eastAsia="fr-FR" w:bidi="he-IL"/>
        </w:rPr>
        <w:t>VIII</w:t>
      </w:r>
      <w:r w:rsidR="00E65435">
        <w:rPr>
          <w:rFonts w:eastAsia="Arial Unicode MS"/>
          <w:bCs/>
          <w:lang w:eastAsia="fr-FR" w:bidi="he-IL"/>
        </w:rPr>
        <w:t xml:space="preserve">, </w:t>
      </w:r>
      <w:r w:rsidRPr="00C8701B">
        <w:rPr>
          <w:rFonts w:eastAsia="Arial Unicode MS"/>
          <w:bCs/>
          <w:lang w:eastAsia="fr-FR" w:bidi="he-IL"/>
        </w:rPr>
        <w:t>22-56</w:t>
      </w:r>
      <w:r w:rsidR="00933C60" w:rsidRPr="00C406FF">
        <w:rPr>
          <w:rStyle w:val="Appelnotedebasdep"/>
        </w:rPr>
        <w:footnoteReference w:id="144"/>
      </w:r>
      <w:r w:rsidR="00E65435">
        <w:rPr>
          <w:rFonts w:eastAsia="Arial Unicode MS"/>
          <w:bCs/>
          <w:lang w:eastAsia="fr-FR" w:bidi="he-IL"/>
        </w:rPr>
        <w:t xml:space="preserve">, </w:t>
      </w:r>
      <w:r w:rsidRPr="00C8701B">
        <w:rPr>
          <w:rFonts w:eastAsia="Arial Unicode MS"/>
          <w:bCs/>
          <w:lang w:eastAsia="fr-FR" w:bidi="he-IL"/>
        </w:rPr>
        <w:t>également relatifs à des faits</w:t>
      </w:r>
      <w:r w:rsidR="00E65435">
        <w:rPr>
          <w:rFonts w:eastAsia="Arial Unicode MS"/>
          <w:bCs/>
          <w:lang w:eastAsia="fr-FR" w:bidi="he-IL"/>
        </w:rPr>
        <w:t xml:space="preserve">, </w:t>
      </w:r>
      <w:r w:rsidRPr="00C8701B">
        <w:rPr>
          <w:rFonts w:eastAsia="Arial Unicode MS"/>
          <w:bCs/>
          <w:lang w:eastAsia="fr-FR" w:bidi="he-IL"/>
        </w:rPr>
        <w:t>nous constatons le même phénomène. Les trois évangélistes exposent dans un ordre semblable les divers incidents d</w:t>
      </w:r>
      <w:r w:rsidR="00557DE0">
        <w:rPr>
          <w:rFonts w:eastAsia="Arial Unicode MS"/>
          <w:bCs/>
          <w:lang w:eastAsia="fr-FR" w:bidi="he-IL"/>
        </w:rPr>
        <w:t>’</w:t>
      </w:r>
      <w:r w:rsidRPr="00C8701B">
        <w:rPr>
          <w:rFonts w:eastAsia="Arial Unicode MS"/>
          <w:bCs/>
          <w:lang w:eastAsia="fr-FR" w:bidi="he-IL"/>
        </w:rPr>
        <w:t>un voyage que Jésus accomplit sur le lac de Tibériade et aux environs</w:t>
      </w:r>
      <w:r w:rsidR="00C2602D" w:rsidRPr="00C8701B">
        <w:rPr>
          <w:rFonts w:eastAsia="Arial Unicode MS"/>
          <w:bCs/>
          <w:lang w:eastAsia="fr-FR" w:bidi="he-IL"/>
        </w:rPr>
        <w:t> :</w:t>
      </w:r>
      <w:r w:rsidRPr="00C8701B">
        <w:rPr>
          <w:rFonts w:eastAsia="Arial Unicode MS"/>
          <w:bCs/>
          <w:lang w:eastAsia="fr-FR" w:bidi="he-IL"/>
        </w:rPr>
        <w:t xml:space="preserve"> tempête apaisée</w:t>
      </w:r>
      <w:r w:rsidR="00E65435">
        <w:rPr>
          <w:rFonts w:eastAsia="Arial Unicode MS"/>
          <w:bCs/>
          <w:lang w:eastAsia="fr-FR" w:bidi="he-IL"/>
        </w:rPr>
        <w:t xml:space="preserve">, </w:t>
      </w:r>
      <w:r w:rsidRPr="00C8701B">
        <w:rPr>
          <w:rFonts w:eastAsia="Arial Unicode MS"/>
          <w:bCs/>
          <w:lang w:eastAsia="fr-FR" w:bidi="he-IL"/>
        </w:rPr>
        <w:t>guérison des démoniaques de Gérasa</w:t>
      </w:r>
      <w:r w:rsidR="00E65435">
        <w:rPr>
          <w:rFonts w:eastAsia="Arial Unicode MS"/>
          <w:bCs/>
          <w:lang w:eastAsia="fr-FR" w:bidi="he-IL"/>
        </w:rPr>
        <w:t xml:space="preserve">, </w:t>
      </w:r>
      <w:r w:rsidRPr="00C8701B">
        <w:rPr>
          <w:rFonts w:eastAsia="Arial Unicode MS"/>
          <w:bCs/>
          <w:lang w:eastAsia="fr-FR" w:bidi="he-IL"/>
        </w:rPr>
        <w:t>guérison d</w:t>
      </w:r>
      <w:r w:rsidR="00557DE0">
        <w:rPr>
          <w:rFonts w:eastAsia="Arial Unicode MS"/>
          <w:bCs/>
          <w:lang w:eastAsia="fr-FR" w:bidi="he-IL"/>
        </w:rPr>
        <w:t>’</w:t>
      </w:r>
      <w:r w:rsidRPr="00C8701B">
        <w:rPr>
          <w:rFonts w:eastAsia="Arial Unicode MS"/>
          <w:bCs/>
          <w:lang w:eastAsia="fr-FR" w:bidi="he-IL"/>
        </w:rPr>
        <w:t>un paralytique</w:t>
      </w:r>
      <w:r w:rsidR="00E65435">
        <w:rPr>
          <w:rFonts w:eastAsia="Arial Unicode MS"/>
          <w:bCs/>
          <w:lang w:eastAsia="fr-FR" w:bidi="he-IL"/>
        </w:rPr>
        <w:t xml:space="preserve">, </w:t>
      </w:r>
      <w:r w:rsidR="0018720C">
        <w:rPr>
          <w:rFonts w:eastAsia="Arial Unicode MS"/>
          <w:bCs/>
          <w:lang w:eastAsia="fr-FR" w:bidi="he-IL"/>
        </w:rPr>
        <w:t xml:space="preserve">à </w:t>
      </w:r>
      <w:r w:rsidR="00116664">
        <w:rPr>
          <w:rFonts w:eastAsia="Arial Unicode MS"/>
          <w:bCs/>
          <w:lang w:eastAsia="fr-FR" w:bidi="he-IL"/>
        </w:rPr>
        <w:t>Capharnaüm</w:t>
      </w:r>
      <w:r w:rsidR="0018720C">
        <w:rPr>
          <w:rFonts w:eastAsia="Arial Unicode MS"/>
          <w:bCs/>
          <w:lang w:eastAsia="fr-FR" w:bidi="he-IL"/>
        </w:rPr>
        <w:t>,</w:t>
      </w:r>
      <w:r w:rsidRPr="00C8701B">
        <w:rPr>
          <w:rFonts w:eastAsia="Arial Unicode MS"/>
          <w:bCs/>
          <w:lang w:eastAsia="fr-FR" w:bidi="he-IL"/>
        </w:rPr>
        <w:t xml:space="preserve"> guérison de l</w:t>
      </w:r>
      <w:r w:rsidR="00557DE0">
        <w:rPr>
          <w:rFonts w:eastAsia="Arial Unicode MS"/>
          <w:bCs/>
          <w:lang w:eastAsia="fr-FR" w:bidi="he-IL"/>
        </w:rPr>
        <w:t>’</w:t>
      </w:r>
      <w:r w:rsidRPr="00C8701B">
        <w:rPr>
          <w:rFonts w:eastAsia="Arial Unicode MS"/>
          <w:bCs/>
          <w:lang w:eastAsia="fr-FR" w:bidi="he-IL"/>
        </w:rPr>
        <w:t>h</w:t>
      </w:r>
      <w:r w:rsidR="009A1115">
        <w:rPr>
          <w:rFonts w:eastAsia="Arial Unicode MS"/>
          <w:bCs/>
          <w:lang w:eastAsia="fr-FR" w:bidi="he-IL"/>
        </w:rPr>
        <w:t>émorroïsse</w:t>
      </w:r>
      <w:r w:rsidRPr="00C8701B">
        <w:rPr>
          <w:rFonts w:eastAsia="Arial Unicode MS"/>
          <w:bCs/>
          <w:lang w:eastAsia="fr-FR" w:bidi="he-IL"/>
        </w:rPr>
        <w:t xml:space="preserve"> et résurrection de la fille de Jaïre.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Prenons aussi une ou deux</w:t>
      </w:r>
      <w:r w:rsidR="00E65435">
        <w:rPr>
          <w:rFonts w:eastAsia="Arial Unicode MS"/>
          <w:bCs/>
          <w:lang w:eastAsia="fr-FR" w:bidi="he-IL"/>
        </w:rPr>
        <w:t xml:space="preserve">, </w:t>
      </w:r>
      <w:r w:rsidRPr="00C8701B">
        <w:rPr>
          <w:rFonts w:eastAsia="Arial Unicode MS"/>
          <w:bCs/>
          <w:lang w:eastAsia="fr-FR" w:bidi="he-IL"/>
        </w:rPr>
        <w:t>séries de paroles prononcées par Notre-Seigneur</w:t>
      </w:r>
      <w:r w:rsidR="00E65435">
        <w:rPr>
          <w:rFonts w:eastAsia="Arial Unicode MS"/>
          <w:bCs/>
          <w:lang w:eastAsia="fr-FR" w:bidi="he-IL"/>
        </w:rPr>
        <w:t xml:space="preserve">, </w:t>
      </w:r>
      <w:r w:rsidRPr="00C8701B">
        <w:rPr>
          <w:rFonts w:eastAsia="Arial Unicode MS"/>
          <w:bCs/>
          <w:lang w:eastAsia="fr-FR" w:bidi="he-IL"/>
        </w:rPr>
        <w:t xml:space="preserve">et nous </w:t>
      </w:r>
      <w:r w:rsidR="00116664" w:rsidRPr="00C8701B">
        <w:rPr>
          <w:rFonts w:eastAsia="Arial Unicode MS"/>
          <w:bCs/>
          <w:lang w:eastAsia="fr-FR" w:bidi="he-IL"/>
        </w:rPr>
        <w:t>assister</w:t>
      </w:r>
      <w:r w:rsidR="00116664">
        <w:rPr>
          <w:rFonts w:eastAsia="Arial Unicode MS"/>
          <w:bCs/>
          <w:lang w:eastAsia="fr-FR" w:bidi="he-IL"/>
        </w:rPr>
        <w:t>on</w:t>
      </w:r>
      <w:r w:rsidR="00116664" w:rsidRPr="00C8701B">
        <w:rPr>
          <w:rFonts w:eastAsia="Arial Unicode MS"/>
          <w:bCs/>
          <w:lang w:eastAsia="fr-FR" w:bidi="he-IL"/>
        </w:rPr>
        <w:t>s</w:t>
      </w:r>
      <w:r w:rsidRPr="00C8701B">
        <w:rPr>
          <w:rFonts w:eastAsia="Arial Unicode MS"/>
          <w:bCs/>
          <w:lang w:eastAsia="fr-FR" w:bidi="he-IL"/>
        </w:rPr>
        <w:t xml:space="preserve"> encore à la reproduction du fait signalé. Par exemple</w:t>
      </w:r>
      <w:r w:rsidR="00E65435">
        <w:rPr>
          <w:rFonts w:eastAsia="Arial Unicode MS"/>
          <w:bCs/>
          <w:lang w:eastAsia="fr-FR" w:bidi="he-IL"/>
        </w:rPr>
        <w:t xml:space="preserve">, </w:t>
      </w:r>
      <w:r w:rsidRPr="00C8701B">
        <w:rPr>
          <w:rFonts w:eastAsia="Arial Unicode MS"/>
          <w:bCs/>
          <w:lang w:eastAsia="fr-FR" w:bidi="he-IL"/>
        </w:rPr>
        <w:t>la réponse de Jésus au blasphème des pharisiens</w:t>
      </w:r>
      <w:r w:rsidR="00C2602D" w:rsidRPr="00C8701B">
        <w:rPr>
          <w:rFonts w:eastAsia="Arial Unicode MS"/>
          <w:bCs/>
          <w:lang w:eastAsia="fr-FR" w:bidi="he-IL"/>
        </w:rPr>
        <w:t> :</w:t>
      </w:r>
      <w:r w:rsidRPr="00C8701B">
        <w:rPr>
          <w:rFonts w:eastAsia="Arial Unicode MS"/>
          <w:bCs/>
          <w:lang w:eastAsia="fr-FR" w:bidi="he-IL"/>
        </w:rPr>
        <w:t xml:space="preserve"> Matth. </w:t>
      </w:r>
      <w:r w:rsidR="00CB43AA">
        <w:rPr>
          <w:rFonts w:eastAsia="Arial Unicode MS"/>
          <w:bCs/>
          <w:lang w:eastAsia="fr-FR" w:bidi="he-IL"/>
        </w:rPr>
        <w:t>XII</w:t>
      </w:r>
      <w:r w:rsidR="00E65435">
        <w:rPr>
          <w:rFonts w:eastAsia="Arial Unicode MS"/>
          <w:bCs/>
          <w:lang w:eastAsia="fr-FR" w:bidi="he-IL"/>
        </w:rPr>
        <w:t xml:space="preserve">, </w:t>
      </w:r>
      <w:r w:rsidRPr="00C8701B">
        <w:rPr>
          <w:rFonts w:eastAsia="Arial Unicode MS"/>
          <w:bCs/>
          <w:lang w:eastAsia="fr-FR" w:bidi="he-IL"/>
        </w:rPr>
        <w:t>22-45</w:t>
      </w:r>
      <w:r w:rsidR="00C2602D" w:rsidRPr="00C8701B">
        <w:rPr>
          <w:rFonts w:eastAsia="Arial Unicode MS"/>
          <w:bCs/>
          <w:lang w:eastAsia="fr-FR" w:bidi="he-IL"/>
        </w:rPr>
        <w:t> </w:t>
      </w:r>
      <w:r w:rsidR="007F6508">
        <w:rPr>
          <w:rFonts w:eastAsia="Arial Unicode MS"/>
          <w:bCs/>
          <w:lang w:eastAsia="fr-FR" w:bidi="he-IL"/>
        </w:rPr>
        <w:t xml:space="preserve">; </w:t>
      </w:r>
      <w:r w:rsidR="0018720C">
        <w:rPr>
          <w:rFonts w:eastAsia="Arial Unicode MS"/>
          <w:bCs/>
          <w:lang w:eastAsia="fr-FR" w:bidi="he-IL"/>
        </w:rPr>
        <w:t>Marc. III</w:t>
      </w:r>
      <w:r w:rsidR="00E65435">
        <w:rPr>
          <w:rFonts w:eastAsia="Arial Unicode MS"/>
          <w:bCs/>
          <w:lang w:eastAsia="fr-FR" w:bidi="he-IL"/>
        </w:rPr>
        <w:t xml:space="preserve">, </w:t>
      </w:r>
      <w:r w:rsidRPr="00C8701B">
        <w:rPr>
          <w:rFonts w:eastAsia="Arial Unicode MS"/>
          <w:bCs/>
          <w:lang w:eastAsia="fr-FR" w:bidi="he-IL"/>
        </w:rPr>
        <w:t>20-30</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Luc.</w:t>
      </w:r>
      <w:r w:rsidR="00623A37">
        <w:rPr>
          <w:rFonts w:eastAsia="Arial Unicode MS"/>
          <w:bCs/>
          <w:lang w:eastAsia="fr-FR" w:bidi="he-IL"/>
        </w:rPr>
        <w:t xml:space="preserve"> XI,</w:t>
      </w:r>
      <w:r w:rsidR="00E65435">
        <w:rPr>
          <w:rFonts w:eastAsia="Arial Unicode MS"/>
          <w:bCs/>
          <w:lang w:eastAsia="fr-FR" w:bidi="he-IL"/>
        </w:rPr>
        <w:t xml:space="preserve"> </w:t>
      </w:r>
      <w:r w:rsidRPr="00C8701B">
        <w:rPr>
          <w:rFonts w:eastAsia="Arial Unicode MS"/>
          <w:bCs/>
          <w:lang w:eastAsia="fr-FR" w:bidi="he-IL"/>
        </w:rPr>
        <w:t>14-21</w:t>
      </w:r>
      <w:r w:rsidR="00933C60" w:rsidRPr="00C406FF">
        <w:rPr>
          <w:rStyle w:val="Appelnotedebasdep"/>
        </w:rPr>
        <w:footnoteReference w:id="145"/>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ou bien</w:t>
      </w:r>
      <w:r w:rsidR="00E65435">
        <w:rPr>
          <w:rFonts w:eastAsia="Arial Unicode MS"/>
          <w:bCs/>
          <w:lang w:eastAsia="fr-FR" w:bidi="he-IL"/>
        </w:rPr>
        <w:t xml:space="preserve">, </w:t>
      </w:r>
      <w:r w:rsidRPr="00C8701B">
        <w:rPr>
          <w:rFonts w:eastAsia="Arial Unicode MS"/>
          <w:bCs/>
          <w:lang w:eastAsia="fr-FR" w:bidi="he-IL"/>
        </w:rPr>
        <w:t>dans la journée du mardi saint</w:t>
      </w:r>
      <w:r w:rsidR="00E65435">
        <w:rPr>
          <w:rFonts w:eastAsia="Arial Unicode MS"/>
          <w:bCs/>
          <w:lang w:eastAsia="fr-FR" w:bidi="he-IL"/>
        </w:rPr>
        <w:t xml:space="preserve">, </w:t>
      </w:r>
      <w:r w:rsidRPr="00C8701B">
        <w:rPr>
          <w:rFonts w:eastAsia="Arial Unicode MS"/>
          <w:bCs/>
          <w:lang w:eastAsia="fr-FR" w:bidi="he-IL"/>
        </w:rPr>
        <w:t>les répliques énergiques et victorieuses du Sauveur à tous ses ennemis</w:t>
      </w:r>
      <w:r w:rsidR="00C2602D" w:rsidRPr="00C8701B">
        <w:rPr>
          <w:rFonts w:eastAsia="Arial Unicode MS"/>
          <w:bCs/>
          <w:lang w:eastAsia="fr-FR" w:bidi="he-IL"/>
        </w:rPr>
        <w:t> :</w:t>
      </w:r>
      <w:r w:rsidRPr="00C8701B">
        <w:rPr>
          <w:rFonts w:eastAsia="Arial Unicode MS"/>
          <w:bCs/>
          <w:lang w:eastAsia="fr-FR" w:bidi="he-IL"/>
        </w:rPr>
        <w:t xml:space="preserve"> Matth</w:t>
      </w:r>
      <w:r w:rsidR="00116664">
        <w:rPr>
          <w:rFonts w:eastAsia="Arial Unicode MS"/>
          <w:bCs/>
          <w:lang w:eastAsia="fr-FR" w:bidi="he-IL"/>
        </w:rPr>
        <w:t>.,</w:t>
      </w:r>
      <w:r w:rsidR="0017332F" w:rsidRPr="00C8701B">
        <w:rPr>
          <w:rFonts w:eastAsia="Arial Unicode MS"/>
          <w:bCs/>
          <w:lang w:eastAsia="fr-FR" w:bidi="he-IL"/>
        </w:rPr>
        <w:t xml:space="preserve"> XXI</w:t>
      </w:r>
      <w:r w:rsidR="00E65435">
        <w:rPr>
          <w:rFonts w:eastAsia="Arial Unicode MS"/>
          <w:bCs/>
          <w:lang w:eastAsia="fr-FR" w:bidi="he-IL"/>
        </w:rPr>
        <w:t xml:space="preserve">, </w:t>
      </w:r>
      <w:r w:rsidRPr="00C8701B">
        <w:rPr>
          <w:rFonts w:eastAsia="Arial Unicode MS"/>
          <w:bCs/>
          <w:lang w:eastAsia="fr-FR" w:bidi="he-IL"/>
        </w:rPr>
        <w:t>23-</w:t>
      </w:r>
      <w:r w:rsidR="005069E2">
        <w:rPr>
          <w:rFonts w:eastAsia="Arial Unicode MS"/>
          <w:bCs/>
          <w:lang w:eastAsia="fr-FR" w:bidi="he-IL"/>
        </w:rPr>
        <w:t>XX</w:t>
      </w:r>
      <w:r w:rsidR="0018720C">
        <w:rPr>
          <w:rFonts w:eastAsia="Arial Unicode MS"/>
          <w:bCs/>
          <w:lang w:eastAsia="fr-FR" w:bidi="he-IL"/>
        </w:rPr>
        <w:t>II</w:t>
      </w:r>
      <w:r w:rsidR="00E65435">
        <w:rPr>
          <w:rFonts w:eastAsia="Arial Unicode MS"/>
          <w:bCs/>
          <w:lang w:eastAsia="fr-FR" w:bidi="he-IL"/>
        </w:rPr>
        <w:t xml:space="preserve">, </w:t>
      </w:r>
      <w:r w:rsidRPr="00C8701B">
        <w:rPr>
          <w:rFonts w:eastAsia="Arial Unicode MS"/>
          <w:bCs/>
          <w:lang w:eastAsia="fr-FR" w:bidi="he-IL"/>
        </w:rPr>
        <w:t>46</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Marc. </w:t>
      </w:r>
      <w:r w:rsidR="00C6425D">
        <w:rPr>
          <w:rFonts w:eastAsia="Arial Unicode MS"/>
          <w:bCs/>
          <w:lang w:eastAsia="fr-FR" w:bidi="he-IL"/>
        </w:rPr>
        <w:t>XI</w:t>
      </w:r>
      <w:r w:rsidRPr="00C8701B">
        <w:rPr>
          <w:rFonts w:eastAsia="Arial Unicode MS"/>
          <w:bCs/>
          <w:lang w:eastAsia="fr-FR" w:bidi="he-IL"/>
        </w:rPr>
        <w:t>. 27-</w:t>
      </w:r>
      <w:r w:rsidR="00CB43AA">
        <w:rPr>
          <w:rFonts w:eastAsia="Arial Unicode MS"/>
          <w:bCs/>
          <w:lang w:eastAsia="fr-FR" w:bidi="he-IL"/>
        </w:rPr>
        <w:t>XII</w:t>
      </w:r>
      <w:r w:rsidR="00E65435">
        <w:rPr>
          <w:rFonts w:eastAsia="Arial Unicode MS"/>
          <w:bCs/>
          <w:lang w:eastAsia="fr-FR" w:bidi="he-IL"/>
        </w:rPr>
        <w:t xml:space="preserve">, </w:t>
      </w:r>
      <w:r w:rsidRPr="00C8701B">
        <w:rPr>
          <w:rFonts w:eastAsia="Arial Unicode MS"/>
          <w:bCs/>
          <w:lang w:eastAsia="fr-FR" w:bidi="he-IL"/>
        </w:rPr>
        <w:t>37</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Luc. </w:t>
      </w:r>
      <w:r w:rsidR="005069E2">
        <w:rPr>
          <w:rFonts w:eastAsia="Arial Unicode MS"/>
          <w:bCs/>
          <w:lang w:eastAsia="fr-FR" w:bidi="he-IL"/>
        </w:rPr>
        <w:t>XX</w:t>
      </w:r>
      <w:r w:rsidR="00E65435">
        <w:rPr>
          <w:rFonts w:eastAsia="Arial Unicode MS"/>
          <w:bCs/>
          <w:lang w:eastAsia="fr-FR" w:bidi="he-IL"/>
        </w:rPr>
        <w:t xml:space="preserve">, </w:t>
      </w:r>
      <w:r w:rsidRPr="00C8701B">
        <w:rPr>
          <w:rFonts w:eastAsia="Arial Unicode MS"/>
          <w:bCs/>
          <w:lang w:eastAsia="fr-FR" w:bidi="he-IL"/>
        </w:rPr>
        <w:t>1-44. C</w:t>
      </w:r>
      <w:r w:rsidR="00557DE0">
        <w:rPr>
          <w:rFonts w:eastAsia="Arial Unicode MS"/>
          <w:bCs/>
          <w:lang w:eastAsia="fr-FR" w:bidi="he-IL"/>
        </w:rPr>
        <w:t>’</w:t>
      </w:r>
      <w:r w:rsidRPr="00C8701B">
        <w:rPr>
          <w:rFonts w:eastAsia="Arial Unicode MS"/>
          <w:bCs/>
          <w:lang w:eastAsia="fr-FR" w:bidi="he-IL"/>
        </w:rPr>
        <w:t>est</w:t>
      </w:r>
      <w:r w:rsidR="00E65435">
        <w:rPr>
          <w:rFonts w:eastAsia="Arial Unicode MS"/>
          <w:bCs/>
          <w:lang w:eastAsia="fr-FR" w:bidi="he-IL"/>
        </w:rPr>
        <w:t xml:space="preserve">, </w:t>
      </w:r>
      <w:r w:rsidRPr="00C8701B">
        <w:rPr>
          <w:rFonts w:eastAsia="Arial Unicode MS"/>
          <w:bCs/>
          <w:lang w:eastAsia="fr-FR" w:bidi="he-IL"/>
        </w:rPr>
        <w:t>de part et d</w:t>
      </w:r>
      <w:r w:rsidR="00557DE0">
        <w:rPr>
          <w:rFonts w:eastAsia="Arial Unicode MS"/>
          <w:bCs/>
          <w:lang w:eastAsia="fr-FR" w:bidi="he-IL"/>
        </w:rPr>
        <w:t>’</w:t>
      </w:r>
      <w:r w:rsidRPr="00C8701B">
        <w:rPr>
          <w:rFonts w:eastAsia="Arial Unicode MS"/>
          <w:bCs/>
          <w:lang w:eastAsia="fr-FR" w:bidi="he-IL"/>
        </w:rPr>
        <w:t>autre</w:t>
      </w:r>
      <w:r w:rsidR="00E65435">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et de même en divers endroits analogues</w:t>
      </w:r>
      <w:r w:rsidR="00E65435">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une suite identique de raisonnements</w:t>
      </w:r>
      <w:r w:rsidR="00E65435">
        <w:rPr>
          <w:rFonts w:eastAsia="Arial Unicode MS"/>
          <w:bCs/>
          <w:lang w:eastAsia="fr-FR" w:bidi="he-IL"/>
        </w:rPr>
        <w:t xml:space="preserve">, </w:t>
      </w:r>
      <w:r w:rsidRPr="00C8701B">
        <w:rPr>
          <w:rFonts w:eastAsia="Arial Unicode MS"/>
          <w:bCs/>
          <w:lang w:eastAsia="fr-FR" w:bidi="he-IL"/>
        </w:rPr>
        <w:t>en des occasions identiques</w:t>
      </w:r>
      <w:r w:rsidR="00933C60" w:rsidRPr="00C406FF">
        <w:rPr>
          <w:rStyle w:val="Appelnotedebasdep"/>
        </w:rPr>
        <w:footnoteReference w:id="146"/>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B. La coïncidence n</w:t>
      </w:r>
      <w:r w:rsidR="00557DE0">
        <w:rPr>
          <w:rFonts w:eastAsia="Arial Unicode MS"/>
          <w:bCs/>
          <w:lang w:eastAsia="fr-FR" w:bidi="he-IL"/>
        </w:rPr>
        <w:t>’</w:t>
      </w:r>
      <w:r w:rsidRPr="00C8701B">
        <w:rPr>
          <w:rFonts w:eastAsia="Arial Unicode MS"/>
          <w:bCs/>
          <w:lang w:eastAsia="fr-FR" w:bidi="he-IL"/>
        </w:rPr>
        <w:t>est pas moindre pour l</w:t>
      </w:r>
      <w:r w:rsidR="00557DE0">
        <w:rPr>
          <w:rFonts w:eastAsia="Arial Unicode MS"/>
          <w:bCs/>
          <w:lang w:eastAsia="fr-FR" w:bidi="he-IL"/>
        </w:rPr>
        <w:t>’</w:t>
      </w:r>
      <w:r w:rsidRPr="00C8701B">
        <w:rPr>
          <w:rFonts w:eastAsia="Arial Unicode MS"/>
          <w:bCs/>
          <w:lang w:eastAsia="fr-FR" w:bidi="he-IL"/>
        </w:rPr>
        <w:t>arrangement détaillé des circonstances particulières des faits considérés isolément. Il arrive très fréquemment que les trois récits s</w:t>
      </w:r>
      <w:r w:rsidR="00557DE0">
        <w:rPr>
          <w:rFonts w:eastAsia="Arial Unicode MS"/>
          <w:bCs/>
          <w:lang w:eastAsia="fr-FR" w:bidi="he-IL"/>
        </w:rPr>
        <w:t>’</w:t>
      </w:r>
      <w:r w:rsidRPr="00C8701B">
        <w:rPr>
          <w:rFonts w:eastAsia="Arial Unicode MS"/>
          <w:bCs/>
          <w:lang w:eastAsia="fr-FR" w:bidi="he-IL"/>
        </w:rPr>
        <w:t>harmonisent de la manière la plus intime</w:t>
      </w:r>
      <w:r w:rsidR="00E65435">
        <w:rPr>
          <w:rFonts w:eastAsia="Arial Unicode MS"/>
          <w:bCs/>
          <w:lang w:eastAsia="fr-FR" w:bidi="he-IL"/>
        </w:rPr>
        <w:t xml:space="preserve">, </w:t>
      </w:r>
      <w:r w:rsidRPr="00C8701B">
        <w:rPr>
          <w:rFonts w:eastAsia="Arial Unicode MS"/>
          <w:bCs/>
          <w:lang w:eastAsia="fr-FR" w:bidi="he-IL"/>
        </w:rPr>
        <w:t>la plus minutieuse</w:t>
      </w:r>
      <w:r w:rsidR="00E65435">
        <w:rPr>
          <w:rFonts w:eastAsia="Arial Unicode MS"/>
          <w:bCs/>
          <w:lang w:eastAsia="fr-FR" w:bidi="he-IL"/>
        </w:rPr>
        <w:t xml:space="preserve">, </w:t>
      </w:r>
      <w:r w:rsidR="0018720C">
        <w:rPr>
          <w:rFonts w:eastAsia="Arial Unicode MS"/>
          <w:bCs/>
          <w:lang w:eastAsia="fr-FR" w:bidi="he-IL"/>
        </w:rPr>
        <w:t>pour</w:t>
      </w:r>
      <w:r w:rsidRPr="00C8701B">
        <w:rPr>
          <w:rFonts w:eastAsia="Arial Unicode MS"/>
          <w:bCs/>
          <w:lang w:eastAsia="fr-FR" w:bidi="he-IL"/>
        </w:rPr>
        <w:t xml:space="preserve"> de très petits incidents. Ici</w:t>
      </w:r>
      <w:r w:rsidR="00E65435">
        <w:rPr>
          <w:rFonts w:eastAsia="Arial Unicode MS"/>
          <w:bCs/>
          <w:lang w:eastAsia="fr-FR" w:bidi="he-IL"/>
        </w:rPr>
        <w:t xml:space="preserve">, </w:t>
      </w:r>
      <w:r w:rsidRPr="00C8701B">
        <w:rPr>
          <w:rFonts w:eastAsia="Arial Unicode MS"/>
          <w:bCs/>
          <w:lang w:eastAsia="fr-FR" w:bidi="he-IL"/>
        </w:rPr>
        <w:t>il nous faut citer les textes mêmes</w:t>
      </w:r>
      <w:r w:rsidR="00E65435">
        <w:rPr>
          <w:rFonts w:eastAsia="Arial Unicode MS"/>
          <w:bCs/>
          <w:lang w:eastAsia="fr-FR" w:bidi="he-IL"/>
        </w:rPr>
        <w:t xml:space="preserve">, </w:t>
      </w:r>
      <w:r w:rsidRPr="00C8701B">
        <w:rPr>
          <w:rFonts w:eastAsia="Arial Unicode MS"/>
          <w:bCs/>
          <w:lang w:eastAsia="fr-FR" w:bidi="he-IL"/>
        </w:rPr>
        <w:t>afin de rendre cette ressemblance tout à fait palpable.</w:t>
      </w:r>
      <w:r w:rsidR="00C2602D" w:rsidRPr="00C8701B">
        <w:rPr>
          <w:rFonts w:eastAsia="Arial Unicode MS"/>
          <w:bCs/>
          <w:lang w:eastAsia="fr-FR" w:bidi="he-IL"/>
        </w:rPr>
        <w:t xml:space="preserve"> </w:t>
      </w:r>
    </w:p>
    <w:p w:rsidR="0018720C" w:rsidRDefault="00B704AD" w:rsidP="00C2602D">
      <w:pPr>
        <w:rPr>
          <w:rFonts w:eastAsia="Arial Unicode MS"/>
          <w:bCs/>
          <w:lang w:eastAsia="fr-FR" w:bidi="he-IL"/>
        </w:rPr>
      </w:pPr>
      <w:r w:rsidRPr="00C8701B">
        <w:rPr>
          <w:rFonts w:eastAsia="Arial Unicode MS"/>
          <w:bCs/>
          <w:lang w:eastAsia="fr-FR" w:bidi="he-IL"/>
        </w:rPr>
        <w:t>Voici d</w:t>
      </w:r>
      <w:r w:rsidR="00557DE0">
        <w:rPr>
          <w:rFonts w:eastAsia="Arial Unicode MS"/>
          <w:bCs/>
          <w:lang w:eastAsia="fr-FR" w:bidi="he-IL"/>
        </w:rPr>
        <w:t>’</w:t>
      </w:r>
      <w:r w:rsidRPr="00C8701B">
        <w:rPr>
          <w:rFonts w:eastAsia="Arial Unicode MS"/>
          <w:bCs/>
          <w:lang w:eastAsia="fr-FR" w:bidi="he-IL"/>
        </w:rPr>
        <w:t xml:space="preserve">abord la guérison de la belle-mère de S. Pierre à </w:t>
      </w:r>
      <w:r w:rsidR="00C215A6">
        <w:rPr>
          <w:rFonts w:eastAsia="Arial Unicode MS"/>
          <w:bCs/>
          <w:lang w:eastAsia="fr-FR" w:bidi="he-IL"/>
        </w:rPr>
        <w:t>Capharnaüm</w:t>
      </w:r>
      <w:r w:rsidR="00933C60" w:rsidRPr="00C406FF">
        <w:rPr>
          <w:rStyle w:val="Appelnotedebasdep"/>
        </w:rPr>
        <w:footnoteReference w:id="147"/>
      </w:r>
      <w:r w:rsidR="00C2602D" w:rsidRPr="00C8701B">
        <w:rPr>
          <w:rFonts w:eastAsia="Arial Unicode MS"/>
          <w:bCs/>
          <w:lang w:eastAsia="fr-FR" w:bidi="he-IL"/>
        </w:rPr>
        <w:t> :</w:t>
      </w:r>
    </w:p>
    <w:p w:rsidR="0018720C" w:rsidRDefault="0018720C" w:rsidP="00C2602D">
      <w:pPr>
        <w:rPr>
          <w:rFonts w:eastAsia="Arial Unicode MS"/>
          <w:bCs/>
          <w:lang w:eastAsia="fr-FR" w:bidi="he-IL"/>
        </w:rPr>
      </w:pPr>
    </w:p>
    <w:tbl>
      <w:tblPr>
        <w:tblW w:w="0" w:type="auto"/>
        <w:tblLook w:val="04A0"/>
      </w:tblPr>
      <w:tblGrid>
        <w:gridCol w:w="3536"/>
        <w:gridCol w:w="3530"/>
        <w:gridCol w:w="3526"/>
      </w:tblGrid>
      <w:tr w:rsidR="0018720C" w:rsidRPr="007114F4" w:rsidTr="007114F4">
        <w:tc>
          <w:tcPr>
            <w:tcW w:w="3616" w:type="dxa"/>
          </w:tcPr>
          <w:p w:rsidR="0018720C" w:rsidRDefault="0018720C" w:rsidP="00B93B92">
            <w:pPr>
              <w:pStyle w:val="centrum"/>
              <w:rPr>
                <w:lang w:bidi="he-IL"/>
              </w:rPr>
            </w:pPr>
            <w:r w:rsidRPr="0018720C">
              <w:rPr>
                <w:lang w:bidi="he-IL"/>
              </w:rPr>
              <w:t xml:space="preserve">Matth. VIII, 14-15. </w:t>
            </w:r>
          </w:p>
        </w:tc>
        <w:tc>
          <w:tcPr>
            <w:tcW w:w="3616" w:type="dxa"/>
          </w:tcPr>
          <w:p w:rsidR="0018720C" w:rsidRDefault="0018720C" w:rsidP="00B93B92">
            <w:pPr>
              <w:pStyle w:val="centrum"/>
              <w:rPr>
                <w:lang w:bidi="he-IL"/>
              </w:rPr>
            </w:pPr>
            <w:r w:rsidRPr="0018720C">
              <w:rPr>
                <w:lang w:bidi="he-IL"/>
              </w:rPr>
              <w:t>Marc. I, 29-31.</w:t>
            </w:r>
          </w:p>
        </w:tc>
        <w:tc>
          <w:tcPr>
            <w:tcW w:w="3617" w:type="dxa"/>
          </w:tcPr>
          <w:p w:rsidR="0018720C" w:rsidRDefault="0018720C" w:rsidP="00B93B92">
            <w:pPr>
              <w:pStyle w:val="centrum"/>
              <w:rPr>
                <w:lang w:bidi="he-IL"/>
              </w:rPr>
            </w:pPr>
            <w:r w:rsidRPr="0018720C">
              <w:rPr>
                <w:lang w:bidi="he-IL"/>
              </w:rPr>
              <w:t>Luc</w:t>
            </w:r>
            <w:r w:rsidR="001157C4">
              <w:rPr>
                <w:lang w:bidi="he-IL"/>
              </w:rPr>
              <w:t xml:space="preserve">. </w:t>
            </w:r>
            <w:r w:rsidR="0096281A">
              <w:rPr>
                <w:lang w:bidi="he-IL"/>
              </w:rPr>
              <w:t>IV</w:t>
            </w:r>
            <w:r w:rsidR="001157C4">
              <w:rPr>
                <w:lang w:bidi="he-IL"/>
              </w:rPr>
              <w:t>,</w:t>
            </w:r>
            <w:r w:rsidRPr="0018720C">
              <w:rPr>
                <w:lang w:bidi="he-IL"/>
              </w:rPr>
              <w:t xml:space="preserve"> 38-39.</w:t>
            </w:r>
          </w:p>
        </w:tc>
      </w:tr>
      <w:tr w:rsidR="0018720C" w:rsidRPr="007114F4" w:rsidTr="007114F4">
        <w:tc>
          <w:tcPr>
            <w:tcW w:w="3616" w:type="dxa"/>
          </w:tcPr>
          <w:p w:rsidR="0018720C" w:rsidRDefault="0018720C" w:rsidP="00C12E55">
            <w:pPr>
              <w:rPr>
                <w:lang w:bidi="he-IL"/>
              </w:rPr>
            </w:pPr>
          </w:p>
        </w:tc>
        <w:tc>
          <w:tcPr>
            <w:tcW w:w="3616" w:type="dxa"/>
          </w:tcPr>
          <w:p w:rsidR="0018720C" w:rsidRDefault="0018720C" w:rsidP="00B93B92">
            <w:pPr>
              <w:pStyle w:val="centrum"/>
              <w:rPr>
                <w:lang w:bidi="he-IL"/>
              </w:rPr>
            </w:pPr>
            <w:r w:rsidRPr="007114F4">
              <w:rPr>
                <w:bCs/>
                <w:lang w:bidi="he-IL"/>
              </w:rPr>
              <w:t xml:space="preserve">Et </w:t>
            </w:r>
            <w:r w:rsidR="00C12E55" w:rsidRPr="007114F4">
              <w:rPr>
                <w:bCs/>
                <w:lang w:bidi="he-IL"/>
              </w:rPr>
              <w:t>prótinus</w:t>
            </w:r>
            <w:r w:rsidRPr="007114F4">
              <w:rPr>
                <w:bCs/>
                <w:lang w:bidi="he-IL"/>
              </w:rPr>
              <w:t xml:space="preserve"> </w:t>
            </w:r>
            <w:r w:rsidR="00C12E55" w:rsidRPr="007114F4">
              <w:rPr>
                <w:bCs/>
                <w:lang w:bidi="he-IL"/>
              </w:rPr>
              <w:t>egrediéntes</w:t>
            </w:r>
            <w:r w:rsidRPr="007114F4">
              <w:rPr>
                <w:bCs/>
                <w:lang w:bidi="he-IL"/>
              </w:rPr>
              <w:t xml:space="preserve"> de </w:t>
            </w:r>
            <w:r w:rsidR="00C12E55" w:rsidRPr="007114F4">
              <w:rPr>
                <w:bCs/>
                <w:lang w:bidi="he-IL"/>
              </w:rPr>
              <w:t>synagóga</w:t>
            </w:r>
            <w:r w:rsidRPr="007114F4">
              <w:rPr>
                <w:bCs/>
                <w:lang w:bidi="he-IL"/>
              </w:rPr>
              <w:t xml:space="preserve">, </w:t>
            </w:r>
          </w:p>
        </w:tc>
        <w:tc>
          <w:tcPr>
            <w:tcW w:w="3617" w:type="dxa"/>
          </w:tcPr>
          <w:p w:rsidR="0018720C" w:rsidRDefault="0018720C" w:rsidP="00B93B92">
            <w:pPr>
              <w:pStyle w:val="centrum"/>
              <w:rPr>
                <w:lang w:bidi="he-IL"/>
              </w:rPr>
            </w:pPr>
            <w:r w:rsidRPr="007114F4">
              <w:rPr>
                <w:bCs/>
                <w:lang w:bidi="he-IL"/>
              </w:rPr>
              <w:t xml:space="preserve">Surgens autem Jésus de </w:t>
            </w:r>
            <w:r w:rsidR="00C12E55" w:rsidRPr="007114F4">
              <w:rPr>
                <w:bCs/>
                <w:lang w:bidi="he-IL"/>
              </w:rPr>
              <w:t>synagóga</w:t>
            </w:r>
            <w:r w:rsidRPr="007114F4">
              <w:rPr>
                <w:bCs/>
                <w:lang w:bidi="he-IL"/>
              </w:rPr>
              <w:t xml:space="preserve">, </w:t>
            </w:r>
          </w:p>
        </w:tc>
      </w:tr>
      <w:tr w:rsidR="00C12E55" w:rsidRPr="007114F4" w:rsidTr="007114F4">
        <w:tc>
          <w:tcPr>
            <w:tcW w:w="3616" w:type="dxa"/>
          </w:tcPr>
          <w:p w:rsidR="00C12E55" w:rsidRPr="007114F4" w:rsidRDefault="00C12E55" w:rsidP="00B93B92">
            <w:pPr>
              <w:pStyle w:val="centrum"/>
              <w:rPr>
                <w:lang w:bidi="he-IL"/>
              </w:rPr>
            </w:pPr>
            <w:r w:rsidRPr="007114F4">
              <w:rPr>
                <w:bCs/>
                <w:lang w:bidi="he-IL"/>
              </w:rPr>
              <w:t xml:space="preserve">Et cum venísset Jesus in domum Petri, </w:t>
            </w:r>
          </w:p>
        </w:tc>
        <w:tc>
          <w:tcPr>
            <w:tcW w:w="3616" w:type="dxa"/>
          </w:tcPr>
          <w:p w:rsidR="00C12E55" w:rsidRPr="007114F4" w:rsidRDefault="00C12E55" w:rsidP="00B93B92">
            <w:pPr>
              <w:pStyle w:val="centrum"/>
              <w:rPr>
                <w:lang w:bidi="he-IL"/>
              </w:rPr>
            </w:pPr>
            <w:r w:rsidRPr="007114F4">
              <w:rPr>
                <w:bCs/>
                <w:lang w:bidi="he-IL"/>
              </w:rPr>
              <w:t>venérunt in domum</w:t>
            </w:r>
          </w:p>
        </w:tc>
        <w:tc>
          <w:tcPr>
            <w:tcW w:w="3617" w:type="dxa"/>
          </w:tcPr>
          <w:p w:rsidR="00C12E55" w:rsidRPr="007114F4" w:rsidRDefault="00C12E55" w:rsidP="00B93B92">
            <w:pPr>
              <w:pStyle w:val="centrum"/>
              <w:rPr>
                <w:lang w:bidi="he-IL"/>
              </w:rPr>
            </w:pPr>
            <w:r w:rsidRPr="007114F4">
              <w:rPr>
                <w:bCs/>
                <w:lang w:bidi="he-IL"/>
              </w:rPr>
              <w:t>introívit in domum</w:t>
            </w:r>
          </w:p>
        </w:tc>
      </w:tr>
      <w:tr w:rsidR="00C12E55" w:rsidRPr="007114F4" w:rsidTr="007114F4">
        <w:tc>
          <w:tcPr>
            <w:tcW w:w="3616" w:type="dxa"/>
          </w:tcPr>
          <w:p w:rsidR="00C12E55" w:rsidRPr="007114F4" w:rsidRDefault="00C12E55" w:rsidP="00C12E55">
            <w:pPr>
              <w:rPr>
                <w:bCs/>
                <w:lang w:bidi="he-IL"/>
              </w:rPr>
            </w:pPr>
          </w:p>
        </w:tc>
        <w:tc>
          <w:tcPr>
            <w:tcW w:w="3616" w:type="dxa"/>
          </w:tcPr>
          <w:p w:rsidR="00C12E55" w:rsidRPr="007114F4" w:rsidRDefault="00C12E55" w:rsidP="00B93B92">
            <w:pPr>
              <w:pStyle w:val="centrum"/>
              <w:rPr>
                <w:lang w:bidi="he-IL"/>
              </w:rPr>
            </w:pPr>
            <w:r w:rsidRPr="007114F4">
              <w:rPr>
                <w:bCs/>
                <w:lang w:bidi="he-IL"/>
              </w:rPr>
              <w:t xml:space="preserve">Simónis et Andréæ, cum Jacobo et </w:t>
            </w:r>
            <w:r w:rsidR="00B771C3">
              <w:rPr>
                <w:bCs/>
                <w:lang w:bidi="he-IL"/>
              </w:rPr>
              <w:t>Joánne</w:t>
            </w:r>
            <w:r w:rsidRPr="007114F4">
              <w:rPr>
                <w:bCs/>
                <w:lang w:bidi="he-IL"/>
              </w:rPr>
              <w:t>.</w:t>
            </w:r>
          </w:p>
        </w:tc>
        <w:tc>
          <w:tcPr>
            <w:tcW w:w="3617" w:type="dxa"/>
          </w:tcPr>
          <w:p w:rsidR="00C12E55" w:rsidRPr="007114F4" w:rsidRDefault="00C12E55" w:rsidP="00B93B92">
            <w:pPr>
              <w:pStyle w:val="centrum"/>
              <w:rPr>
                <w:lang w:bidi="he-IL"/>
              </w:rPr>
            </w:pPr>
            <w:r w:rsidRPr="007114F4">
              <w:rPr>
                <w:bCs/>
                <w:lang w:bidi="he-IL"/>
              </w:rPr>
              <w:t>Simónis.</w:t>
            </w:r>
          </w:p>
        </w:tc>
      </w:tr>
      <w:tr w:rsidR="00C12E55" w:rsidRPr="007114F4" w:rsidTr="007114F4">
        <w:tc>
          <w:tcPr>
            <w:tcW w:w="3616" w:type="dxa"/>
          </w:tcPr>
          <w:p w:rsidR="00C12E55" w:rsidRPr="007114F4" w:rsidRDefault="00C12E55" w:rsidP="00B93B92">
            <w:pPr>
              <w:pStyle w:val="centrum"/>
              <w:rPr>
                <w:lang w:bidi="he-IL"/>
              </w:rPr>
            </w:pPr>
            <w:r w:rsidRPr="007114F4">
              <w:rPr>
                <w:bCs/>
                <w:lang w:bidi="he-IL"/>
              </w:rPr>
              <w:t>vidit socrum ejus jacéntem et febricitántem.</w:t>
            </w:r>
          </w:p>
        </w:tc>
        <w:tc>
          <w:tcPr>
            <w:tcW w:w="3616" w:type="dxa"/>
          </w:tcPr>
          <w:p w:rsidR="00C12E55" w:rsidRPr="007114F4" w:rsidRDefault="00C12E55" w:rsidP="00B93B92">
            <w:pPr>
              <w:pStyle w:val="centrum"/>
              <w:rPr>
                <w:lang w:bidi="he-IL"/>
              </w:rPr>
            </w:pPr>
            <w:r w:rsidRPr="007114F4">
              <w:rPr>
                <w:bCs/>
                <w:lang w:bidi="he-IL"/>
              </w:rPr>
              <w:t>Recumbébat autem socrus Simónis febrícitans ;</w:t>
            </w:r>
          </w:p>
        </w:tc>
        <w:tc>
          <w:tcPr>
            <w:tcW w:w="3617" w:type="dxa"/>
          </w:tcPr>
          <w:p w:rsidR="00C12E55" w:rsidRPr="007114F4" w:rsidRDefault="00C12E55" w:rsidP="00B93B92">
            <w:pPr>
              <w:pStyle w:val="centrum"/>
              <w:rPr>
                <w:lang w:bidi="he-IL"/>
              </w:rPr>
            </w:pPr>
            <w:r w:rsidRPr="007114F4">
              <w:rPr>
                <w:bCs/>
                <w:lang w:bidi="he-IL"/>
              </w:rPr>
              <w:t>Socrus autem Simónis tenebátur magnis fébribus ;</w:t>
            </w:r>
          </w:p>
        </w:tc>
      </w:tr>
      <w:tr w:rsidR="0018720C" w:rsidRPr="007114F4" w:rsidTr="007114F4">
        <w:tc>
          <w:tcPr>
            <w:tcW w:w="3616" w:type="dxa"/>
          </w:tcPr>
          <w:p w:rsidR="0018720C" w:rsidRPr="007114F4" w:rsidRDefault="0018720C" w:rsidP="00C12E55">
            <w:pPr>
              <w:rPr>
                <w:bCs/>
                <w:lang w:bidi="he-IL"/>
              </w:rPr>
            </w:pPr>
          </w:p>
        </w:tc>
        <w:tc>
          <w:tcPr>
            <w:tcW w:w="3616" w:type="dxa"/>
          </w:tcPr>
          <w:p w:rsidR="0018720C" w:rsidRPr="007114F4" w:rsidRDefault="00C12E55" w:rsidP="00B93B92">
            <w:pPr>
              <w:pStyle w:val="centrum"/>
              <w:rPr>
                <w:lang w:bidi="he-IL"/>
              </w:rPr>
            </w:pPr>
            <w:r w:rsidRPr="007114F4">
              <w:rPr>
                <w:bCs/>
                <w:lang w:bidi="he-IL"/>
              </w:rPr>
              <w:t>et statim dicunt ei de ill</w:t>
            </w:r>
            <w:r w:rsidR="0018720C" w:rsidRPr="007114F4">
              <w:rPr>
                <w:bCs/>
                <w:lang w:bidi="he-IL"/>
              </w:rPr>
              <w:t>a.</w:t>
            </w:r>
          </w:p>
        </w:tc>
        <w:tc>
          <w:tcPr>
            <w:tcW w:w="3617" w:type="dxa"/>
          </w:tcPr>
          <w:p w:rsidR="0018720C" w:rsidRPr="007114F4" w:rsidRDefault="00C12E55" w:rsidP="00B93B92">
            <w:pPr>
              <w:pStyle w:val="centrum"/>
              <w:rPr>
                <w:lang w:bidi="he-IL"/>
              </w:rPr>
            </w:pPr>
            <w:r w:rsidRPr="007114F4">
              <w:rPr>
                <w:bCs/>
                <w:lang w:bidi="he-IL"/>
              </w:rPr>
              <w:t>et rogavérunt illum pro ea.</w:t>
            </w:r>
          </w:p>
        </w:tc>
      </w:tr>
      <w:tr w:rsidR="0018720C" w:rsidRPr="007114F4" w:rsidTr="007114F4">
        <w:tc>
          <w:tcPr>
            <w:tcW w:w="3616" w:type="dxa"/>
          </w:tcPr>
          <w:p w:rsidR="0018720C" w:rsidRPr="007114F4" w:rsidRDefault="0018720C" w:rsidP="00C12E55">
            <w:pPr>
              <w:rPr>
                <w:bCs/>
                <w:lang w:bidi="he-IL"/>
              </w:rPr>
            </w:pPr>
          </w:p>
        </w:tc>
        <w:tc>
          <w:tcPr>
            <w:tcW w:w="3616" w:type="dxa"/>
          </w:tcPr>
          <w:p w:rsidR="0018720C" w:rsidRPr="007114F4" w:rsidRDefault="0018720C" w:rsidP="00B93B92">
            <w:pPr>
              <w:pStyle w:val="centrum"/>
              <w:rPr>
                <w:lang w:bidi="he-IL"/>
              </w:rPr>
            </w:pPr>
            <w:r w:rsidRPr="007114F4">
              <w:rPr>
                <w:bCs/>
                <w:lang w:bidi="he-IL"/>
              </w:rPr>
              <w:t xml:space="preserve">Et </w:t>
            </w:r>
            <w:r w:rsidR="00C12E55" w:rsidRPr="007114F4">
              <w:rPr>
                <w:bCs/>
                <w:lang w:bidi="he-IL"/>
              </w:rPr>
              <w:t>accédens</w:t>
            </w:r>
            <w:r w:rsidRPr="007114F4">
              <w:rPr>
                <w:bCs/>
                <w:lang w:bidi="he-IL"/>
              </w:rPr>
              <w:t xml:space="preserve"> elevávit eam</w:t>
            </w:r>
          </w:p>
        </w:tc>
        <w:tc>
          <w:tcPr>
            <w:tcW w:w="3617" w:type="dxa"/>
          </w:tcPr>
          <w:p w:rsidR="0018720C" w:rsidRPr="007114F4" w:rsidRDefault="00C12E55" w:rsidP="00B93B92">
            <w:pPr>
              <w:pStyle w:val="centrum"/>
              <w:rPr>
                <w:lang w:bidi="he-IL"/>
              </w:rPr>
            </w:pPr>
            <w:r w:rsidRPr="007114F4">
              <w:rPr>
                <w:bCs/>
                <w:lang w:bidi="he-IL"/>
              </w:rPr>
              <w:t>Et stans super illam</w:t>
            </w:r>
          </w:p>
        </w:tc>
      </w:tr>
      <w:tr w:rsidR="0018720C" w:rsidRPr="007114F4" w:rsidTr="007114F4">
        <w:tc>
          <w:tcPr>
            <w:tcW w:w="3616" w:type="dxa"/>
          </w:tcPr>
          <w:p w:rsidR="0018720C" w:rsidRPr="007114F4" w:rsidRDefault="0018720C" w:rsidP="00B93B92">
            <w:pPr>
              <w:pStyle w:val="centrum"/>
              <w:rPr>
                <w:lang w:bidi="he-IL"/>
              </w:rPr>
            </w:pPr>
            <w:r w:rsidRPr="007114F4">
              <w:rPr>
                <w:bCs/>
                <w:lang w:bidi="he-IL"/>
              </w:rPr>
              <w:t xml:space="preserve">Et </w:t>
            </w:r>
            <w:r w:rsidR="00C12E55" w:rsidRPr="007114F4">
              <w:rPr>
                <w:bCs/>
                <w:lang w:bidi="he-IL"/>
              </w:rPr>
              <w:t>tétigit</w:t>
            </w:r>
            <w:r w:rsidRPr="007114F4">
              <w:rPr>
                <w:bCs/>
                <w:lang w:bidi="he-IL"/>
              </w:rPr>
              <w:t xml:space="preserve"> manum ejus,</w:t>
            </w:r>
          </w:p>
        </w:tc>
        <w:tc>
          <w:tcPr>
            <w:tcW w:w="3616" w:type="dxa"/>
          </w:tcPr>
          <w:p w:rsidR="0018720C" w:rsidRPr="007114F4" w:rsidRDefault="00C12E55" w:rsidP="00B93B92">
            <w:pPr>
              <w:pStyle w:val="centrum"/>
              <w:rPr>
                <w:lang w:bidi="he-IL"/>
              </w:rPr>
            </w:pPr>
            <w:r w:rsidRPr="007114F4">
              <w:rPr>
                <w:bCs/>
                <w:lang w:bidi="he-IL"/>
              </w:rPr>
              <w:t>apprehénsa</w:t>
            </w:r>
            <w:r w:rsidR="0018720C" w:rsidRPr="007114F4">
              <w:rPr>
                <w:bCs/>
                <w:lang w:bidi="he-IL"/>
              </w:rPr>
              <w:t xml:space="preserve"> manu ejus,</w:t>
            </w:r>
          </w:p>
        </w:tc>
        <w:tc>
          <w:tcPr>
            <w:tcW w:w="3617" w:type="dxa"/>
          </w:tcPr>
          <w:p w:rsidR="0018720C" w:rsidRPr="007114F4" w:rsidRDefault="0018720C" w:rsidP="00B93B92">
            <w:pPr>
              <w:pStyle w:val="centrum"/>
              <w:rPr>
                <w:lang w:bidi="he-IL"/>
              </w:rPr>
            </w:pPr>
          </w:p>
        </w:tc>
      </w:tr>
      <w:tr w:rsidR="0018720C" w:rsidRPr="007114F4" w:rsidTr="007114F4">
        <w:tc>
          <w:tcPr>
            <w:tcW w:w="3616" w:type="dxa"/>
          </w:tcPr>
          <w:p w:rsidR="0018720C" w:rsidRPr="007114F4" w:rsidRDefault="0018720C" w:rsidP="00C12E55">
            <w:pPr>
              <w:rPr>
                <w:rFonts w:eastAsia="Arial Unicode MS"/>
                <w:lang w:bidi="he-IL"/>
              </w:rPr>
            </w:pPr>
          </w:p>
        </w:tc>
        <w:tc>
          <w:tcPr>
            <w:tcW w:w="3616" w:type="dxa"/>
          </w:tcPr>
          <w:p w:rsidR="0018720C" w:rsidRPr="007114F4" w:rsidRDefault="0018720C" w:rsidP="00C12E55">
            <w:pPr>
              <w:rPr>
                <w:rFonts w:eastAsia="Arial Unicode MS"/>
                <w:lang w:bidi="he-IL"/>
              </w:rPr>
            </w:pPr>
          </w:p>
        </w:tc>
        <w:tc>
          <w:tcPr>
            <w:tcW w:w="3617" w:type="dxa"/>
          </w:tcPr>
          <w:p w:rsidR="0018720C" w:rsidRPr="007114F4" w:rsidRDefault="0018720C" w:rsidP="00B93B92">
            <w:pPr>
              <w:pStyle w:val="centrum"/>
              <w:rPr>
                <w:lang w:bidi="he-IL"/>
              </w:rPr>
            </w:pPr>
            <w:r w:rsidRPr="007114F4">
              <w:rPr>
                <w:bCs/>
                <w:lang w:bidi="he-IL"/>
              </w:rPr>
              <w:t>imperávit febri ;</w:t>
            </w:r>
          </w:p>
        </w:tc>
      </w:tr>
      <w:tr w:rsidR="0018720C" w:rsidRPr="007114F4" w:rsidTr="007114F4">
        <w:tc>
          <w:tcPr>
            <w:tcW w:w="3616" w:type="dxa"/>
          </w:tcPr>
          <w:p w:rsidR="0018720C" w:rsidRPr="007114F4" w:rsidRDefault="0018720C" w:rsidP="00B93B92">
            <w:pPr>
              <w:pStyle w:val="centrum"/>
              <w:rPr>
                <w:lang w:bidi="he-IL"/>
              </w:rPr>
            </w:pPr>
            <w:r w:rsidRPr="007114F4">
              <w:rPr>
                <w:bCs/>
                <w:lang w:bidi="he-IL"/>
              </w:rPr>
              <w:t xml:space="preserve">et </w:t>
            </w:r>
            <w:r w:rsidR="00C12E55" w:rsidRPr="007114F4">
              <w:rPr>
                <w:bCs/>
                <w:lang w:bidi="he-IL"/>
              </w:rPr>
              <w:t>dimísit</w:t>
            </w:r>
            <w:r w:rsidRPr="007114F4">
              <w:rPr>
                <w:bCs/>
                <w:lang w:bidi="he-IL"/>
              </w:rPr>
              <w:t xml:space="preserve"> eam febris,</w:t>
            </w:r>
          </w:p>
        </w:tc>
        <w:tc>
          <w:tcPr>
            <w:tcW w:w="3616" w:type="dxa"/>
          </w:tcPr>
          <w:p w:rsidR="0018720C" w:rsidRPr="007114F4" w:rsidRDefault="0018720C" w:rsidP="00B93B92">
            <w:pPr>
              <w:pStyle w:val="centrum"/>
              <w:rPr>
                <w:lang w:bidi="he-IL"/>
              </w:rPr>
            </w:pPr>
            <w:r w:rsidRPr="007114F4">
              <w:rPr>
                <w:bCs/>
                <w:lang w:bidi="he-IL"/>
              </w:rPr>
              <w:t xml:space="preserve">et continuo </w:t>
            </w:r>
            <w:r w:rsidR="00C12E55" w:rsidRPr="007114F4">
              <w:rPr>
                <w:bCs/>
                <w:lang w:bidi="he-IL"/>
              </w:rPr>
              <w:t>dimísit</w:t>
            </w:r>
            <w:r w:rsidRPr="007114F4">
              <w:rPr>
                <w:bCs/>
                <w:lang w:bidi="he-IL"/>
              </w:rPr>
              <w:t xml:space="preserve"> eam febris</w:t>
            </w:r>
          </w:p>
        </w:tc>
        <w:tc>
          <w:tcPr>
            <w:tcW w:w="3617" w:type="dxa"/>
          </w:tcPr>
          <w:p w:rsidR="0018720C" w:rsidRPr="007114F4" w:rsidRDefault="0018720C" w:rsidP="00B93B92">
            <w:pPr>
              <w:pStyle w:val="centrum"/>
              <w:rPr>
                <w:lang w:bidi="he-IL"/>
              </w:rPr>
            </w:pPr>
            <w:r w:rsidRPr="007114F4">
              <w:rPr>
                <w:bCs/>
                <w:lang w:bidi="he-IL"/>
              </w:rPr>
              <w:t xml:space="preserve">et </w:t>
            </w:r>
            <w:r w:rsidR="00C12E55" w:rsidRPr="007114F4">
              <w:rPr>
                <w:bCs/>
                <w:lang w:bidi="he-IL"/>
              </w:rPr>
              <w:t>dimísit</w:t>
            </w:r>
            <w:r w:rsidRPr="007114F4">
              <w:rPr>
                <w:bCs/>
                <w:lang w:bidi="he-IL"/>
              </w:rPr>
              <w:t xml:space="preserve"> illam.</w:t>
            </w:r>
          </w:p>
        </w:tc>
      </w:tr>
      <w:tr w:rsidR="0018720C" w:rsidRPr="007114F4" w:rsidTr="007114F4">
        <w:tc>
          <w:tcPr>
            <w:tcW w:w="3616" w:type="dxa"/>
          </w:tcPr>
          <w:p w:rsidR="0018720C" w:rsidRPr="007114F4" w:rsidRDefault="0018720C" w:rsidP="00B93B92">
            <w:pPr>
              <w:pStyle w:val="centrum"/>
              <w:rPr>
                <w:lang w:bidi="he-IL"/>
              </w:rPr>
            </w:pPr>
            <w:r w:rsidRPr="007114F4">
              <w:rPr>
                <w:bCs/>
                <w:lang w:bidi="he-IL"/>
              </w:rPr>
              <w:t xml:space="preserve">et </w:t>
            </w:r>
            <w:r w:rsidR="00C12E55" w:rsidRPr="007114F4">
              <w:rPr>
                <w:bCs/>
                <w:lang w:bidi="he-IL"/>
              </w:rPr>
              <w:t>surréxit</w:t>
            </w:r>
          </w:p>
        </w:tc>
        <w:tc>
          <w:tcPr>
            <w:tcW w:w="3616" w:type="dxa"/>
          </w:tcPr>
          <w:p w:rsidR="0018720C" w:rsidRPr="007114F4" w:rsidRDefault="0018720C" w:rsidP="00C12E55">
            <w:pPr>
              <w:rPr>
                <w:rFonts w:eastAsia="Arial Unicode MS"/>
                <w:lang w:bidi="he-IL"/>
              </w:rPr>
            </w:pPr>
          </w:p>
        </w:tc>
        <w:tc>
          <w:tcPr>
            <w:tcW w:w="3617" w:type="dxa"/>
          </w:tcPr>
          <w:p w:rsidR="0018720C" w:rsidRPr="007114F4" w:rsidRDefault="0018720C" w:rsidP="00B93B92">
            <w:pPr>
              <w:pStyle w:val="centrum"/>
              <w:rPr>
                <w:lang w:bidi="he-IL"/>
              </w:rPr>
            </w:pPr>
            <w:r w:rsidRPr="007114F4">
              <w:rPr>
                <w:bCs/>
                <w:lang w:bidi="he-IL"/>
              </w:rPr>
              <w:t>Et continuo surgens</w:t>
            </w:r>
          </w:p>
        </w:tc>
      </w:tr>
      <w:tr w:rsidR="0018720C" w:rsidRPr="007114F4" w:rsidTr="007114F4">
        <w:tc>
          <w:tcPr>
            <w:tcW w:w="3616" w:type="dxa"/>
          </w:tcPr>
          <w:p w:rsidR="0018720C" w:rsidRPr="007114F4" w:rsidRDefault="00C12E55" w:rsidP="00B93B92">
            <w:pPr>
              <w:pStyle w:val="centrum"/>
              <w:rPr>
                <w:lang w:bidi="he-IL"/>
              </w:rPr>
            </w:pPr>
            <w:r w:rsidRPr="007114F4">
              <w:rPr>
                <w:bCs/>
                <w:lang w:bidi="he-IL"/>
              </w:rPr>
              <w:t>et mini</w:t>
            </w:r>
            <w:r w:rsidR="0018720C" w:rsidRPr="007114F4">
              <w:rPr>
                <w:bCs/>
                <w:lang w:bidi="he-IL"/>
              </w:rPr>
              <w:t>strábat eis.</w:t>
            </w:r>
          </w:p>
        </w:tc>
        <w:tc>
          <w:tcPr>
            <w:tcW w:w="3616" w:type="dxa"/>
          </w:tcPr>
          <w:p w:rsidR="0018720C" w:rsidRPr="007114F4" w:rsidRDefault="0018720C" w:rsidP="00B93B92">
            <w:pPr>
              <w:pStyle w:val="centrum"/>
              <w:rPr>
                <w:lang w:bidi="he-IL"/>
              </w:rPr>
            </w:pPr>
            <w:r w:rsidRPr="007114F4">
              <w:rPr>
                <w:bCs/>
                <w:lang w:bidi="he-IL"/>
              </w:rPr>
              <w:t>et ministrábat eis.</w:t>
            </w:r>
          </w:p>
        </w:tc>
        <w:tc>
          <w:tcPr>
            <w:tcW w:w="3617" w:type="dxa"/>
          </w:tcPr>
          <w:p w:rsidR="0018720C" w:rsidRPr="007114F4" w:rsidRDefault="0018720C" w:rsidP="00B93B92">
            <w:pPr>
              <w:pStyle w:val="centrum"/>
              <w:rPr>
                <w:lang w:bidi="he-IL"/>
              </w:rPr>
            </w:pPr>
            <w:r w:rsidRPr="007114F4">
              <w:rPr>
                <w:bCs/>
                <w:lang w:bidi="he-IL"/>
              </w:rPr>
              <w:t>ministrábat illis.</w:t>
            </w:r>
          </w:p>
        </w:tc>
      </w:tr>
    </w:tbl>
    <w:p w:rsidR="00C12E55" w:rsidRDefault="00C12E55" w:rsidP="00C2602D">
      <w:pPr>
        <w:rPr>
          <w:rFonts w:eastAsia="Arial Unicode MS"/>
          <w:bCs/>
          <w:lang w:eastAsia="fr-FR" w:bidi="he-IL"/>
        </w:rPr>
      </w:pPr>
    </w:p>
    <w:p w:rsidR="00C2602D" w:rsidRPr="00C8701B" w:rsidRDefault="00B704AD" w:rsidP="00C2602D">
      <w:pPr>
        <w:rPr>
          <w:rFonts w:eastAsia="Arial Unicode MS"/>
          <w:bCs/>
          <w:lang w:eastAsia="fr-FR" w:bidi="he-IL"/>
        </w:rPr>
      </w:pPr>
      <w:r w:rsidRPr="00C8701B">
        <w:rPr>
          <w:rFonts w:eastAsia="Arial Unicode MS"/>
          <w:bCs/>
          <w:lang w:eastAsia="fr-FR" w:bidi="he-IL"/>
        </w:rPr>
        <w:t>Un peu plus loin</w:t>
      </w:r>
      <w:r w:rsidR="00E65435">
        <w:rPr>
          <w:rFonts w:eastAsia="Arial Unicode MS"/>
          <w:bCs/>
          <w:lang w:eastAsia="fr-FR" w:bidi="he-IL"/>
        </w:rPr>
        <w:t xml:space="preserve">, </w:t>
      </w:r>
      <w:r w:rsidRPr="00C8701B">
        <w:rPr>
          <w:rFonts w:eastAsia="Arial Unicode MS"/>
          <w:bCs/>
          <w:lang w:eastAsia="fr-FR" w:bidi="he-IL"/>
        </w:rPr>
        <w:t>Jésus est à table chez S. Matthieu</w:t>
      </w:r>
      <w:r w:rsidR="00E65435">
        <w:rPr>
          <w:rFonts w:eastAsia="Arial Unicode MS"/>
          <w:bCs/>
          <w:lang w:eastAsia="fr-FR" w:bidi="he-IL"/>
        </w:rPr>
        <w:t xml:space="preserve">, </w:t>
      </w:r>
      <w:r w:rsidRPr="00C8701B">
        <w:rPr>
          <w:rFonts w:eastAsia="Arial Unicode MS"/>
          <w:bCs/>
          <w:lang w:eastAsia="fr-FR" w:bidi="he-IL"/>
        </w:rPr>
        <w:t>attaché récemment à sa personne</w:t>
      </w:r>
      <w:r w:rsidR="00E65435">
        <w:rPr>
          <w:rFonts w:eastAsia="Arial Unicode MS"/>
          <w:bCs/>
          <w:lang w:eastAsia="fr-FR" w:bidi="he-IL"/>
        </w:rPr>
        <w:t xml:space="preserve">, </w:t>
      </w:r>
      <w:r w:rsidRPr="00C8701B">
        <w:rPr>
          <w:rFonts w:eastAsia="Arial Unicode MS"/>
          <w:bCs/>
          <w:lang w:eastAsia="fr-FR" w:bidi="he-IL"/>
        </w:rPr>
        <w:t>et les disciples du Précurseur lui posent cette question insidieuse</w:t>
      </w:r>
      <w:r w:rsidR="00C2602D" w:rsidRPr="00C8701B">
        <w:rPr>
          <w:rFonts w:eastAsia="Arial Unicode MS"/>
          <w:bCs/>
          <w:lang w:eastAsia="fr-FR" w:bidi="he-IL"/>
        </w:rPr>
        <w:t xml:space="preserve"> : </w:t>
      </w:r>
      <w:r w:rsidR="00A067B1" w:rsidRPr="000716BB">
        <w:rPr>
          <w:rFonts w:eastAsia="Arial Unicode MS"/>
          <w:bCs/>
          <w:lang w:eastAsia="fr-FR" w:bidi="he-IL"/>
        </w:rPr>
        <w:t>{</w:t>
      </w:r>
      <w:r w:rsidR="00A067B1">
        <w:rPr>
          <w:rFonts w:eastAsia="Arial Unicode MS"/>
          <w:bCs/>
          <w:lang w:eastAsia="fr-FR" w:bidi="he-IL"/>
        </w:rPr>
        <w:t>30</w:t>
      </w:r>
      <w:bookmarkStart w:id="53" w:name="pag030"/>
      <w:bookmarkEnd w:id="53"/>
      <w:r w:rsidR="00A067B1" w:rsidRPr="000716BB">
        <w:rPr>
          <w:rFonts w:eastAsia="Arial Unicode MS"/>
          <w:bCs/>
          <w:lang w:eastAsia="fr-FR" w:bidi="he-IL"/>
        </w:rPr>
        <w:t>}</w:t>
      </w:r>
    </w:p>
    <w:p w:rsidR="00C12E55" w:rsidRDefault="00C12E55" w:rsidP="00C2602D">
      <w:pPr>
        <w:rPr>
          <w:rFonts w:eastAsia="Arial Unicode MS"/>
          <w:bCs/>
          <w:lang w:eastAsia="fr-FR" w:bidi="he-IL"/>
        </w:rPr>
      </w:pPr>
    </w:p>
    <w:tbl>
      <w:tblPr>
        <w:tblW w:w="0" w:type="auto"/>
        <w:tblLook w:val="04A0"/>
      </w:tblPr>
      <w:tblGrid>
        <w:gridCol w:w="3524"/>
        <w:gridCol w:w="3531"/>
        <w:gridCol w:w="3537"/>
      </w:tblGrid>
      <w:tr w:rsidR="00590FBA" w:rsidRPr="007114F4" w:rsidTr="007114F4">
        <w:tc>
          <w:tcPr>
            <w:tcW w:w="3616" w:type="dxa"/>
            <w:vAlign w:val="center"/>
          </w:tcPr>
          <w:p w:rsidR="00590FBA" w:rsidRPr="00590FBA" w:rsidRDefault="00590FBA" w:rsidP="00B93B92">
            <w:pPr>
              <w:pStyle w:val="centrum"/>
              <w:rPr>
                <w:lang w:bidi="he-IL"/>
              </w:rPr>
            </w:pPr>
            <w:r w:rsidRPr="00590FBA">
              <w:rPr>
                <w:lang w:bidi="he-IL"/>
              </w:rPr>
              <w:t xml:space="preserve">Matth. </w:t>
            </w:r>
            <w:r w:rsidR="00E1197B">
              <w:rPr>
                <w:lang w:bidi="he-IL"/>
              </w:rPr>
              <w:t>IX</w:t>
            </w:r>
            <w:r w:rsidRPr="00590FBA">
              <w:rPr>
                <w:lang w:bidi="he-IL"/>
              </w:rPr>
              <w:t>, 14-15.</w:t>
            </w:r>
          </w:p>
        </w:tc>
        <w:tc>
          <w:tcPr>
            <w:tcW w:w="3616" w:type="dxa"/>
            <w:vAlign w:val="center"/>
          </w:tcPr>
          <w:p w:rsidR="00590FBA" w:rsidRPr="00590FBA" w:rsidRDefault="00590FBA" w:rsidP="00B93B92">
            <w:pPr>
              <w:pStyle w:val="centrum"/>
              <w:rPr>
                <w:lang w:bidi="he-IL"/>
              </w:rPr>
            </w:pPr>
            <w:r w:rsidRPr="00590FBA">
              <w:rPr>
                <w:lang w:bidi="he-IL"/>
              </w:rPr>
              <w:t>Marc, II, 18-20.</w:t>
            </w:r>
          </w:p>
        </w:tc>
        <w:tc>
          <w:tcPr>
            <w:tcW w:w="3617" w:type="dxa"/>
            <w:vAlign w:val="center"/>
          </w:tcPr>
          <w:p w:rsidR="00590FBA" w:rsidRPr="007114F4" w:rsidRDefault="00590FBA" w:rsidP="00B93B92">
            <w:pPr>
              <w:pStyle w:val="centrum"/>
              <w:rPr>
                <w:lang w:bidi="he-IL"/>
              </w:rPr>
            </w:pPr>
            <w:r w:rsidRPr="007114F4">
              <w:rPr>
                <w:rFonts w:eastAsia="Times New Roman"/>
                <w:color w:val="000000"/>
                <w:szCs w:val="25"/>
                <w:lang w:bidi="he-IL"/>
              </w:rPr>
              <w:t xml:space="preserve">Luc. </w:t>
            </w:r>
            <w:r w:rsidR="00835131">
              <w:rPr>
                <w:rFonts w:eastAsia="Times New Roman"/>
                <w:color w:val="000000"/>
                <w:szCs w:val="25"/>
                <w:lang w:bidi="he-IL"/>
              </w:rPr>
              <w:t>V</w:t>
            </w:r>
            <w:r w:rsidRPr="007114F4">
              <w:rPr>
                <w:rFonts w:eastAsia="Times New Roman"/>
                <w:color w:val="000000"/>
                <w:szCs w:val="25"/>
                <w:lang w:bidi="he-IL"/>
              </w:rPr>
              <w:t>, 33-35.</w:t>
            </w:r>
          </w:p>
        </w:tc>
      </w:tr>
      <w:tr w:rsidR="00590FBA" w:rsidRPr="007114F4" w:rsidTr="007114F4">
        <w:tc>
          <w:tcPr>
            <w:tcW w:w="3616" w:type="dxa"/>
            <w:vAlign w:val="center"/>
          </w:tcPr>
          <w:p w:rsidR="00590FBA" w:rsidRPr="00590FBA" w:rsidRDefault="00590FBA" w:rsidP="00B93B92">
            <w:pPr>
              <w:pStyle w:val="centrum"/>
              <w:rPr>
                <w:lang w:bidi="he-IL"/>
              </w:rPr>
            </w:pPr>
            <w:r w:rsidRPr="00590FBA">
              <w:rPr>
                <w:lang w:bidi="he-IL"/>
              </w:rPr>
              <w:t>Quare nos</w:t>
            </w:r>
          </w:p>
        </w:tc>
        <w:tc>
          <w:tcPr>
            <w:tcW w:w="3616" w:type="dxa"/>
            <w:vAlign w:val="center"/>
          </w:tcPr>
          <w:p w:rsidR="00590FBA" w:rsidRPr="00590FBA" w:rsidRDefault="00590FBA" w:rsidP="00B93B92">
            <w:pPr>
              <w:pStyle w:val="centrum"/>
              <w:rPr>
                <w:lang w:bidi="he-IL"/>
              </w:rPr>
            </w:pPr>
            <w:r w:rsidRPr="00590FBA">
              <w:rPr>
                <w:lang w:bidi="he-IL"/>
              </w:rPr>
              <w:t>Quare discípuli Joánnis</w:t>
            </w:r>
          </w:p>
        </w:tc>
        <w:tc>
          <w:tcPr>
            <w:tcW w:w="3617" w:type="dxa"/>
            <w:vAlign w:val="center"/>
          </w:tcPr>
          <w:p w:rsidR="00590FBA" w:rsidRPr="007114F4" w:rsidRDefault="00590FBA" w:rsidP="00B93B92">
            <w:pPr>
              <w:pStyle w:val="centrum"/>
              <w:rPr>
                <w:lang w:bidi="he-IL"/>
              </w:rPr>
            </w:pPr>
            <w:r w:rsidRPr="007114F4">
              <w:rPr>
                <w:rFonts w:eastAsia="Times New Roman"/>
                <w:color w:val="000000"/>
                <w:szCs w:val="25"/>
                <w:lang w:bidi="he-IL"/>
              </w:rPr>
              <w:t>Quare discípuli Joánnis</w:t>
            </w:r>
          </w:p>
        </w:tc>
      </w:tr>
      <w:tr w:rsidR="00590FBA" w:rsidRPr="007114F4" w:rsidTr="007114F4">
        <w:tc>
          <w:tcPr>
            <w:tcW w:w="3616" w:type="dxa"/>
            <w:vAlign w:val="center"/>
          </w:tcPr>
          <w:p w:rsidR="00590FBA" w:rsidRPr="00590FBA" w:rsidRDefault="00590FBA" w:rsidP="00B93B92">
            <w:pPr>
              <w:pStyle w:val="centrum"/>
              <w:rPr>
                <w:lang w:bidi="he-IL"/>
              </w:rPr>
            </w:pPr>
            <w:r w:rsidRPr="00590FBA">
              <w:rPr>
                <w:lang w:bidi="he-IL"/>
              </w:rPr>
              <w:t>et pharisǽi</w:t>
            </w:r>
          </w:p>
        </w:tc>
        <w:tc>
          <w:tcPr>
            <w:tcW w:w="3616" w:type="dxa"/>
            <w:vAlign w:val="center"/>
          </w:tcPr>
          <w:p w:rsidR="00590FBA" w:rsidRPr="00590FBA" w:rsidRDefault="00590FBA" w:rsidP="00B93B92">
            <w:pPr>
              <w:pStyle w:val="centrum"/>
              <w:rPr>
                <w:lang w:bidi="he-IL"/>
              </w:rPr>
            </w:pPr>
            <w:r w:rsidRPr="00590FBA">
              <w:rPr>
                <w:lang w:bidi="he-IL"/>
              </w:rPr>
              <w:t>et pharisæórum</w:t>
            </w:r>
          </w:p>
        </w:tc>
        <w:tc>
          <w:tcPr>
            <w:tcW w:w="3617" w:type="dxa"/>
            <w:vAlign w:val="center"/>
          </w:tcPr>
          <w:p w:rsidR="00590FBA" w:rsidRPr="007114F4" w:rsidRDefault="00590FBA" w:rsidP="00B93B92">
            <w:pPr>
              <w:pStyle w:val="centrum"/>
              <w:rPr>
                <w:lang w:bidi="he-IL"/>
              </w:rPr>
            </w:pPr>
          </w:p>
        </w:tc>
      </w:tr>
      <w:tr w:rsidR="00590FBA" w:rsidRPr="007114F4" w:rsidTr="007114F4">
        <w:tc>
          <w:tcPr>
            <w:tcW w:w="3616" w:type="dxa"/>
            <w:vAlign w:val="center"/>
          </w:tcPr>
          <w:p w:rsidR="00590FBA" w:rsidRPr="00590FBA" w:rsidRDefault="00590FBA" w:rsidP="00B93B92">
            <w:pPr>
              <w:pStyle w:val="centrum"/>
              <w:rPr>
                <w:lang w:bidi="he-IL"/>
              </w:rPr>
            </w:pPr>
            <w:r w:rsidRPr="00590FBA">
              <w:rPr>
                <w:lang w:bidi="he-IL"/>
              </w:rPr>
              <w:t>jejunámus fréquenter,</w:t>
            </w:r>
          </w:p>
        </w:tc>
        <w:tc>
          <w:tcPr>
            <w:tcW w:w="3616" w:type="dxa"/>
            <w:vAlign w:val="center"/>
          </w:tcPr>
          <w:p w:rsidR="00590FBA" w:rsidRPr="00590FBA" w:rsidRDefault="00590FBA" w:rsidP="00B93B92">
            <w:pPr>
              <w:pStyle w:val="centrum"/>
              <w:rPr>
                <w:lang w:bidi="he-IL"/>
              </w:rPr>
            </w:pPr>
            <w:r w:rsidRPr="00590FBA">
              <w:rPr>
                <w:lang w:bidi="he-IL"/>
              </w:rPr>
              <w:t>jejúnant,</w:t>
            </w:r>
          </w:p>
        </w:tc>
        <w:tc>
          <w:tcPr>
            <w:tcW w:w="3617" w:type="dxa"/>
            <w:vAlign w:val="center"/>
          </w:tcPr>
          <w:p w:rsidR="00590FBA" w:rsidRPr="007114F4" w:rsidRDefault="00590FBA" w:rsidP="00B93B92">
            <w:pPr>
              <w:pStyle w:val="centrum"/>
              <w:rPr>
                <w:lang w:bidi="he-IL"/>
              </w:rPr>
            </w:pPr>
            <w:r w:rsidRPr="007114F4">
              <w:rPr>
                <w:rFonts w:eastAsia="Times New Roman"/>
                <w:color w:val="000000"/>
                <w:szCs w:val="25"/>
                <w:lang w:bidi="he-IL"/>
              </w:rPr>
              <w:t>jejúnant fréquenter</w:t>
            </w:r>
          </w:p>
        </w:tc>
      </w:tr>
      <w:tr w:rsidR="00590FBA" w:rsidRPr="007114F4" w:rsidTr="007114F4">
        <w:tc>
          <w:tcPr>
            <w:tcW w:w="3616" w:type="dxa"/>
            <w:vAlign w:val="center"/>
          </w:tcPr>
          <w:p w:rsidR="00590FBA" w:rsidRPr="00590FBA" w:rsidRDefault="00590FBA" w:rsidP="00590FBA">
            <w:pPr>
              <w:rPr>
                <w:lang w:bidi="he-IL"/>
              </w:rPr>
            </w:pPr>
          </w:p>
        </w:tc>
        <w:tc>
          <w:tcPr>
            <w:tcW w:w="3616" w:type="dxa"/>
            <w:vAlign w:val="center"/>
          </w:tcPr>
          <w:p w:rsidR="00590FBA" w:rsidRPr="00590FBA" w:rsidRDefault="00590FBA" w:rsidP="00590FBA">
            <w:pPr>
              <w:rPr>
                <w:lang w:bidi="he-IL"/>
              </w:rPr>
            </w:pPr>
          </w:p>
        </w:tc>
        <w:tc>
          <w:tcPr>
            <w:tcW w:w="3617" w:type="dxa"/>
            <w:vAlign w:val="center"/>
          </w:tcPr>
          <w:p w:rsidR="00590FBA" w:rsidRPr="007114F4" w:rsidRDefault="00590FBA" w:rsidP="00B93B92">
            <w:pPr>
              <w:pStyle w:val="centrum"/>
              <w:rPr>
                <w:lang w:bidi="he-IL"/>
              </w:rPr>
            </w:pPr>
            <w:r w:rsidRPr="007114F4">
              <w:rPr>
                <w:rFonts w:eastAsia="Times New Roman"/>
                <w:color w:val="000000"/>
                <w:szCs w:val="25"/>
                <w:lang w:bidi="he-IL"/>
              </w:rPr>
              <w:t>et obsecratiónes fáciunt ;</w:t>
            </w:r>
          </w:p>
          <w:p w:rsidR="00590FBA" w:rsidRPr="007114F4" w:rsidRDefault="00590FBA" w:rsidP="00B93B92">
            <w:pPr>
              <w:pStyle w:val="centrum"/>
              <w:rPr>
                <w:lang w:bidi="he-IL"/>
              </w:rPr>
            </w:pPr>
            <w:r w:rsidRPr="007114F4">
              <w:rPr>
                <w:lang w:bidi="he-IL"/>
              </w:rPr>
              <w:t>simíliter et pharisæórum :</w:t>
            </w:r>
          </w:p>
        </w:tc>
      </w:tr>
      <w:tr w:rsidR="00590FBA" w:rsidRPr="007114F4" w:rsidTr="007114F4">
        <w:tc>
          <w:tcPr>
            <w:tcW w:w="3616" w:type="dxa"/>
            <w:vAlign w:val="center"/>
          </w:tcPr>
          <w:p w:rsidR="00590FBA" w:rsidRPr="00590FBA" w:rsidRDefault="00590FBA" w:rsidP="00B93B92">
            <w:pPr>
              <w:pStyle w:val="centrum"/>
              <w:rPr>
                <w:lang w:bidi="he-IL"/>
              </w:rPr>
            </w:pPr>
            <w:r w:rsidRPr="00590FBA">
              <w:rPr>
                <w:lang w:bidi="he-IL"/>
              </w:rPr>
              <w:t>discípuli autem tui non jejúnant ?</w:t>
            </w:r>
          </w:p>
        </w:tc>
        <w:tc>
          <w:tcPr>
            <w:tcW w:w="3616" w:type="dxa"/>
            <w:vAlign w:val="center"/>
          </w:tcPr>
          <w:p w:rsidR="00590FBA" w:rsidRPr="00590FBA" w:rsidRDefault="00590FBA" w:rsidP="00B93B92">
            <w:pPr>
              <w:pStyle w:val="centrum"/>
              <w:rPr>
                <w:lang w:bidi="he-IL"/>
              </w:rPr>
            </w:pPr>
            <w:r w:rsidRPr="00590FBA">
              <w:rPr>
                <w:lang w:bidi="he-IL"/>
              </w:rPr>
              <w:t>tui autem discípuli non jejúnant ?</w:t>
            </w:r>
          </w:p>
        </w:tc>
        <w:tc>
          <w:tcPr>
            <w:tcW w:w="3617" w:type="dxa"/>
            <w:vAlign w:val="center"/>
          </w:tcPr>
          <w:p w:rsidR="00590FBA" w:rsidRPr="007114F4" w:rsidRDefault="00590FBA" w:rsidP="00B93B92">
            <w:pPr>
              <w:pStyle w:val="centrum"/>
              <w:rPr>
                <w:lang w:bidi="he-IL"/>
              </w:rPr>
            </w:pPr>
            <w:r w:rsidRPr="007114F4">
              <w:rPr>
                <w:rFonts w:eastAsia="Times New Roman"/>
                <w:color w:val="000000"/>
                <w:szCs w:val="25"/>
                <w:lang w:bidi="he-IL"/>
              </w:rPr>
              <w:t>tui autem edunt et bibunt ?</w:t>
            </w:r>
          </w:p>
        </w:tc>
      </w:tr>
      <w:tr w:rsidR="00590FBA" w:rsidRPr="007114F4" w:rsidTr="007114F4">
        <w:tc>
          <w:tcPr>
            <w:tcW w:w="3616" w:type="dxa"/>
            <w:vAlign w:val="center"/>
          </w:tcPr>
          <w:p w:rsidR="00590FBA" w:rsidRPr="00590FBA" w:rsidRDefault="00590FBA" w:rsidP="00B93B92">
            <w:pPr>
              <w:pStyle w:val="centrum"/>
              <w:rPr>
                <w:lang w:bidi="he-IL"/>
              </w:rPr>
            </w:pPr>
            <w:r w:rsidRPr="00590FBA">
              <w:rPr>
                <w:lang w:bidi="he-IL"/>
              </w:rPr>
              <w:t>Et ait illis Jésus :</w:t>
            </w:r>
          </w:p>
        </w:tc>
        <w:tc>
          <w:tcPr>
            <w:tcW w:w="3616" w:type="dxa"/>
            <w:vAlign w:val="center"/>
          </w:tcPr>
          <w:p w:rsidR="00590FBA" w:rsidRPr="00590FBA" w:rsidRDefault="00590FBA" w:rsidP="00B93B92">
            <w:pPr>
              <w:pStyle w:val="centrum"/>
              <w:rPr>
                <w:lang w:bidi="he-IL"/>
              </w:rPr>
            </w:pPr>
            <w:r w:rsidRPr="00590FBA">
              <w:rPr>
                <w:lang w:bidi="he-IL"/>
              </w:rPr>
              <w:t>Et ait illis Jésus :</w:t>
            </w:r>
          </w:p>
        </w:tc>
        <w:tc>
          <w:tcPr>
            <w:tcW w:w="3617" w:type="dxa"/>
            <w:vAlign w:val="center"/>
          </w:tcPr>
          <w:p w:rsidR="00590FBA" w:rsidRPr="007114F4" w:rsidRDefault="00590FBA" w:rsidP="00B93B92">
            <w:pPr>
              <w:pStyle w:val="centrum"/>
              <w:rPr>
                <w:lang w:bidi="he-IL"/>
              </w:rPr>
            </w:pPr>
            <w:r w:rsidRPr="007114F4">
              <w:rPr>
                <w:rFonts w:eastAsia="Times New Roman"/>
                <w:color w:val="000000"/>
                <w:szCs w:val="25"/>
                <w:lang w:bidi="he-IL"/>
              </w:rPr>
              <w:t>Quibus ipse ait :</w:t>
            </w:r>
          </w:p>
        </w:tc>
      </w:tr>
      <w:tr w:rsidR="00590FBA" w:rsidRPr="007114F4" w:rsidTr="007114F4">
        <w:tc>
          <w:tcPr>
            <w:tcW w:w="3616" w:type="dxa"/>
            <w:vAlign w:val="center"/>
          </w:tcPr>
          <w:p w:rsidR="00590FBA" w:rsidRPr="00590FBA" w:rsidRDefault="00590FBA" w:rsidP="00B93B92">
            <w:pPr>
              <w:pStyle w:val="centrum"/>
              <w:rPr>
                <w:lang w:bidi="he-IL"/>
              </w:rPr>
            </w:pPr>
            <w:r w:rsidRPr="00590FBA">
              <w:t>Numquid possunt fílii sponsi lugére</w:t>
            </w:r>
          </w:p>
        </w:tc>
        <w:tc>
          <w:tcPr>
            <w:tcW w:w="3616" w:type="dxa"/>
            <w:vAlign w:val="center"/>
          </w:tcPr>
          <w:p w:rsidR="00590FBA" w:rsidRPr="00590FBA" w:rsidRDefault="00590FBA" w:rsidP="00B93B92">
            <w:pPr>
              <w:pStyle w:val="centrum"/>
              <w:rPr>
                <w:lang w:bidi="he-IL"/>
              </w:rPr>
            </w:pPr>
            <w:r w:rsidRPr="00590FBA">
              <w:rPr>
                <w:lang w:bidi="he-IL"/>
              </w:rPr>
              <w:t>Numquid possunt fílii nuptiárum,</w:t>
            </w:r>
          </w:p>
        </w:tc>
        <w:tc>
          <w:tcPr>
            <w:tcW w:w="3617" w:type="dxa"/>
            <w:vAlign w:val="center"/>
          </w:tcPr>
          <w:p w:rsidR="00590FBA" w:rsidRPr="007114F4" w:rsidRDefault="00590FBA" w:rsidP="00B93B92">
            <w:pPr>
              <w:pStyle w:val="centrum"/>
              <w:rPr>
                <w:lang w:bidi="he-IL"/>
              </w:rPr>
            </w:pPr>
            <w:r w:rsidRPr="007114F4">
              <w:rPr>
                <w:rFonts w:eastAsia="Times New Roman"/>
                <w:color w:val="000000"/>
                <w:szCs w:val="25"/>
                <w:lang w:bidi="he-IL"/>
              </w:rPr>
              <w:t>Numquid potéstis fílios sponsi,</w:t>
            </w:r>
          </w:p>
        </w:tc>
      </w:tr>
      <w:tr w:rsidR="00590FBA" w:rsidRPr="007114F4" w:rsidTr="007114F4">
        <w:tc>
          <w:tcPr>
            <w:tcW w:w="3616" w:type="dxa"/>
            <w:vAlign w:val="center"/>
          </w:tcPr>
          <w:p w:rsidR="00590FBA" w:rsidRPr="00590FBA" w:rsidRDefault="00590FBA" w:rsidP="00590FBA"/>
        </w:tc>
        <w:tc>
          <w:tcPr>
            <w:tcW w:w="3616" w:type="dxa"/>
            <w:vAlign w:val="center"/>
          </w:tcPr>
          <w:p w:rsidR="00590FBA" w:rsidRPr="00590FBA" w:rsidRDefault="00590FBA" w:rsidP="00B93B92">
            <w:pPr>
              <w:pStyle w:val="centrum"/>
            </w:pPr>
            <w:r w:rsidRPr="00590FBA">
              <w:t>quámdiu sponsus cum illis est,</w:t>
            </w:r>
          </w:p>
        </w:tc>
        <w:tc>
          <w:tcPr>
            <w:tcW w:w="3617" w:type="dxa"/>
            <w:vAlign w:val="center"/>
          </w:tcPr>
          <w:p w:rsidR="00590FBA" w:rsidRPr="00590FBA" w:rsidRDefault="00590FBA" w:rsidP="00B93B92">
            <w:pPr>
              <w:pStyle w:val="centrum"/>
            </w:pPr>
            <w:r w:rsidRPr="007114F4">
              <w:rPr>
                <w:rFonts w:eastAsia="Times New Roman"/>
                <w:color w:val="000000"/>
                <w:szCs w:val="25"/>
                <w:lang w:bidi="he-IL"/>
              </w:rPr>
              <w:t>dum cum illis est,</w:t>
            </w:r>
          </w:p>
        </w:tc>
      </w:tr>
      <w:tr w:rsidR="00590FBA" w:rsidRPr="007114F4" w:rsidTr="007114F4">
        <w:tc>
          <w:tcPr>
            <w:tcW w:w="3616" w:type="dxa"/>
            <w:vAlign w:val="center"/>
          </w:tcPr>
          <w:p w:rsidR="00590FBA" w:rsidRPr="00590FBA" w:rsidRDefault="00590FBA" w:rsidP="00B93B92">
            <w:pPr>
              <w:pStyle w:val="centrum"/>
            </w:pPr>
            <w:r w:rsidRPr="00590FBA">
              <w:t>quámdiu cum illis est sponsus ?</w:t>
            </w:r>
          </w:p>
        </w:tc>
        <w:tc>
          <w:tcPr>
            <w:tcW w:w="3616" w:type="dxa"/>
            <w:vAlign w:val="center"/>
          </w:tcPr>
          <w:p w:rsidR="00590FBA" w:rsidRPr="00590FBA" w:rsidRDefault="00590FBA" w:rsidP="00B93B92">
            <w:pPr>
              <w:pStyle w:val="centrum"/>
            </w:pPr>
            <w:r w:rsidRPr="00590FBA">
              <w:t>jejunáre ?</w:t>
            </w:r>
          </w:p>
        </w:tc>
        <w:tc>
          <w:tcPr>
            <w:tcW w:w="3617" w:type="dxa"/>
            <w:vAlign w:val="center"/>
          </w:tcPr>
          <w:p w:rsidR="00590FBA" w:rsidRPr="00590FBA" w:rsidRDefault="00590FBA" w:rsidP="00B93B92">
            <w:pPr>
              <w:pStyle w:val="centrum"/>
            </w:pPr>
            <w:r w:rsidRPr="00590FBA">
              <w:t>fácere jejunáre ?</w:t>
            </w:r>
          </w:p>
        </w:tc>
      </w:tr>
      <w:tr w:rsidR="00590FBA" w:rsidRPr="007114F4" w:rsidTr="007114F4">
        <w:tc>
          <w:tcPr>
            <w:tcW w:w="3616" w:type="dxa"/>
            <w:vAlign w:val="center"/>
          </w:tcPr>
          <w:p w:rsidR="00590FBA" w:rsidRPr="00590FBA" w:rsidRDefault="00590FBA" w:rsidP="00590FBA"/>
        </w:tc>
        <w:tc>
          <w:tcPr>
            <w:tcW w:w="3616" w:type="dxa"/>
            <w:vAlign w:val="center"/>
          </w:tcPr>
          <w:p w:rsidR="00590FBA" w:rsidRPr="00590FBA" w:rsidRDefault="00590FBA" w:rsidP="00B93B92">
            <w:pPr>
              <w:pStyle w:val="centrum"/>
            </w:pPr>
            <w:r w:rsidRPr="00590FBA">
              <w:t>Quanto témpore habent secum sponsum, non possunt jejunáre.</w:t>
            </w:r>
          </w:p>
        </w:tc>
        <w:tc>
          <w:tcPr>
            <w:tcW w:w="3617" w:type="dxa"/>
            <w:vAlign w:val="center"/>
          </w:tcPr>
          <w:p w:rsidR="00590FBA" w:rsidRPr="00590FBA" w:rsidRDefault="00590FBA" w:rsidP="00B93B92">
            <w:pPr>
              <w:pStyle w:val="centrum"/>
            </w:pPr>
          </w:p>
        </w:tc>
      </w:tr>
      <w:tr w:rsidR="00590FBA" w:rsidRPr="007114F4" w:rsidTr="007114F4">
        <w:tc>
          <w:tcPr>
            <w:tcW w:w="3616" w:type="dxa"/>
            <w:vAlign w:val="center"/>
          </w:tcPr>
          <w:p w:rsidR="00590FBA" w:rsidRPr="00590FBA" w:rsidRDefault="00590FBA" w:rsidP="00B93B92">
            <w:pPr>
              <w:pStyle w:val="centrum"/>
            </w:pPr>
            <w:r w:rsidRPr="00590FBA">
              <w:t>Vénient autem dies</w:t>
            </w:r>
          </w:p>
        </w:tc>
        <w:tc>
          <w:tcPr>
            <w:tcW w:w="3616" w:type="dxa"/>
            <w:vAlign w:val="center"/>
          </w:tcPr>
          <w:p w:rsidR="00590FBA" w:rsidRPr="00590FBA" w:rsidRDefault="00590FBA" w:rsidP="00B93B92">
            <w:pPr>
              <w:pStyle w:val="centrum"/>
            </w:pPr>
            <w:r w:rsidRPr="00590FBA">
              <w:t>Vénient autem dies</w:t>
            </w:r>
          </w:p>
        </w:tc>
        <w:tc>
          <w:tcPr>
            <w:tcW w:w="3617" w:type="dxa"/>
            <w:vAlign w:val="center"/>
          </w:tcPr>
          <w:p w:rsidR="00590FBA" w:rsidRPr="00590FBA" w:rsidRDefault="00590FBA" w:rsidP="00B93B92">
            <w:pPr>
              <w:pStyle w:val="centrum"/>
            </w:pPr>
            <w:r w:rsidRPr="00590FBA">
              <w:t>Vénient autem dies</w:t>
            </w:r>
          </w:p>
        </w:tc>
      </w:tr>
      <w:tr w:rsidR="00590FBA" w:rsidRPr="007114F4" w:rsidTr="007114F4">
        <w:tc>
          <w:tcPr>
            <w:tcW w:w="3616" w:type="dxa"/>
            <w:vAlign w:val="center"/>
          </w:tcPr>
          <w:p w:rsidR="00590FBA" w:rsidRPr="000819BA" w:rsidRDefault="00590FBA" w:rsidP="00B93B92">
            <w:pPr>
              <w:pStyle w:val="centrum"/>
              <w:rPr>
                <w:lang w:val="de-AT"/>
              </w:rPr>
            </w:pPr>
            <w:r w:rsidRPr="000819BA">
              <w:rPr>
                <w:lang w:val="de-AT"/>
              </w:rPr>
              <w:t>cum auferétur ab eis sponsus ;</w:t>
            </w:r>
          </w:p>
        </w:tc>
        <w:tc>
          <w:tcPr>
            <w:tcW w:w="3616" w:type="dxa"/>
            <w:vAlign w:val="center"/>
          </w:tcPr>
          <w:p w:rsidR="00590FBA" w:rsidRPr="000819BA" w:rsidRDefault="00590FBA" w:rsidP="00B93B92">
            <w:pPr>
              <w:pStyle w:val="centrum"/>
              <w:rPr>
                <w:lang w:val="de-AT"/>
              </w:rPr>
            </w:pPr>
            <w:r w:rsidRPr="000819BA">
              <w:rPr>
                <w:lang w:val="de-AT"/>
              </w:rPr>
              <w:t>cum auferétur ab eis sponsus ;</w:t>
            </w:r>
          </w:p>
        </w:tc>
        <w:tc>
          <w:tcPr>
            <w:tcW w:w="3617" w:type="dxa"/>
            <w:vAlign w:val="center"/>
          </w:tcPr>
          <w:p w:rsidR="00590FBA" w:rsidRPr="00590FBA" w:rsidRDefault="00590FBA" w:rsidP="00B93B92">
            <w:pPr>
              <w:pStyle w:val="centrum"/>
            </w:pPr>
            <w:r w:rsidRPr="00590FBA">
              <w:t>cum ablátus fúerit ab illis sponsus ;</w:t>
            </w:r>
          </w:p>
        </w:tc>
      </w:tr>
      <w:tr w:rsidR="00590FBA" w:rsidRPr="007114F4" w:rsidTr="007114F4">
        <w:tc>
          <w:tcPr>
            <w:tcW w:w="3616" w:type="dxa"/>
            <w:vAlign w:val="center"/>
          </w:tcPr>
          <w:p w:rsidR="00590FBA" w:rsidRPr="00590FBA" w:rsidRDefault="00590FBA" w:rsidP="00B93B92">
            <w:pPr>
              <w:pStyle w:val="centrum"/>
            </w:pPr>
            <w:r w:rsidRPr="00590FBA">
              <w:t>et tunc jejunábunt.</w:t>
            </w:r>
          </w:p>
        </w:tc>
        <w:tc>
          <w:tcPr>
            <w:tcW w:w="3616" w:type="dxa"/>
            <w:vAlign w:val="center"/>
          </w:tcPr>
          <w:p w:rsidR="00590FBA" w:rsidRPr="00590FBA" w:rsidRDefault="00590FBA" w:rsidP="00B93B92">
            <w:pPr>
              <w:pStyle w:val="centrum"/>
            </w:pPr>
            <w:r w:rsidRPr="00590FBA">
              <w:t>et tunc jejunábunt</w:t>
            </w:r>
          </w:p>
        </w:tc>
        <w:tc>
          <w:tcPr>
            <w:tcW w:w="3617" w:type="dxa"/>
            <w:vAlign w:val="center"/>
          </w:tcPr>
          <w:p w:rsidR="00590FBA" w:rsidRPr="00590FBA" w:rsidRDefault="00590FBA" w:rsidP="00B93B92">
            <w:pPr>
              <w:pStyle w:val="centrum"/>
            </w:pPr>
            <w:r w:rsidRPr="00590FBA">
              <w:t>tunc jejunábunt</w:t>
            </w:r>
          </w:p>
        </w:tc>
      </w:tr>
      <w:tr w:rsidR="00590FBA" w:rsidRPr="007114F4" w:rsidTr="007114F4">
        <w:tc>
          <w:tcPr>
            <w:tcW w:w="3616" w:type="dxa"/>
            <w:vAlign w:val="center"/>
          </w:tcPr>
          <w:p w:rsidR="00590FBA" w:rsidRPr="00590FBA" w:rsidRDefault="00590FBA" w:rsidP="00590FBA"/>
        </w:tc>
        <w:tc>
          <w:tcPr>
            <w:tcW w:w="3616" w:type="dxa"/>
            <w:vAlign w:val="center"/>
          </w:tcPr>
          <w:p w:rsidR="00590FBA" w:rsidRPr="00590FBA" w:rsidRDefault="00590FBA" w:rsidP="00B93B92">
            <w:pPr>
              <w:pStyle w:val="centrum"/>
            </w:pPr>
            <w:r w:rsidRPr="007114F4">
              <w:rPr>
                <w:rFonts w:eastAsia="Arial Unicode MS"/>
                <w:bCs/>
                <w:lang w:bidi="he-IL"/>
              </w:rPr>
              <w:t>in illis diébus.</w:t>
            </w:r>
          </w:p>
        </w:tc>
        <w:tc>
          <w:tcPr>
            <w:tcW w:w="3617" w:type="dxa"/>
            <w:vAlign w:val="center"/>
          </w:tcPr>
          <w:p w:rsidR="00590FBA" w:rsidRPr="00590FBA" w:rsidRDefault="00590FBA" w:rsidP="00B93B92">
            <w:pPr>
              <w:pStyle w:val="centrum"/>
            </w:pPr>
            <w:r w:rsidRPr="00590FBA">
              <w:t>in illis diébus.</w:t>
            </w:r>
          </w:p>
        </w:tc>
      </w:tr>
    </w:tbl>
    <w:p w:rsidR="00C12E55" w:rsidRDefault="00C12E55" w:rsidP="00C2602D">
      <w:pPr>
        <w:rPr>
          <w:rFonts w:eastAsia="Arial Unicode MS"/>
          <w:bCs/>
          <w:lang w:eastAsia="fr-FR" w:bidi="he-IL"/>
        </w:rPr>
      </w:pPr>
    </w:p>
    <w:p w:rsidR="00C2602D" w:rsidRPr="00C8701B" w:rsidRDefault="00B704AD" w:rsidP="00C2602D">
      <w:pPr>
        <w:rPr>
          <w:rFonts w:eastAsia="Arial Unicode MS"/>
          <w:bCs/>
          <w:lang w:eastAsia="fr-FR" w:bidi="he-IL"/>
        </w:rPr>
      </w:pPr>
      <w:r w:rsidRPr="00C8701B">
        <w:rPr>
          <w:rFonts w:eastAsia="Arial Unicode MS"/>
          <w:bCs/>
          <w:lang w:eastAsia="fr-FR" w:bidi="he-IL"/>
        </w:rPr>
        <w:t>Nous pourrions faire passer de la même manière une partie considérable des évangiles synoptiques sous les yeux du lecteur.</w:t>
      </w:r>
      <w:r w:rsidR="00C2602D" w:rsidRPr="00C8701B">
        <w:rPr>
          <w:rFonts w:eastAsia="Arial Unicode MS"/>
          <w:bCs/>
          <w:lang w:eastAsia="fr-FR" w:bidi="he-IL"/>
        </w:rPr>
        <w:t xml:space="preserve"> </w:t>
      </w:r>
    </w:p>
    <w:p w:rsidR="00C2602D" w:rsidRPr="00C8701B" w:rsidRDefault="00B704AD" w:rsidP="00590FBA">
      <w:pPr>
        <w:rPr>
          <w:rFonts w:eastAsia="Arial Unicode MS"/>
          <w:bCs/>
          <w:lang w:eastAsia="fr-FR" w:bidi="he-IL"/>
        </w:rPr>
      </w:pPr>
      <w:r w:rsidRPr="00C8701B">
        <w:rPr>
          <w:rFonts w:eastAsia="Arial Unicode MS"/>
          <w:bCs/>
          <w:lang w:eastAsia="fr-FR" w:bidi="he-IL"/>
        </w:rPr>
        <w:t>Qu</w:t>
      </w:r>
      <w:r w:rsidR="00557DE0">
        <w:rPr>
          <w:rFonts w:eastAsia="Arial Unicode MS"/>
          <w:bCs/>
          <w:lang w:eastAsia="fr-FR" w:bidi="he-IL"/>
        </w:rPr>
        <w:t>’</w:t>
      </w:r>
      <w:r w:rsidRPr="00C8701B">
        <w:rPr>
          <w:rFonts w:eastAsia="Arial Unicode MS"/>
          <w:bCs/>
          <w:lang w:eastAsia="fr-FR" w:bidi="he-IL"/>
        </w:rPr>
        <w:t>il veuille bien comparer lui-même</w:t>
      </w:r>
      <w:r w:rsidR="00E65435">
        <w:rPr>
          <w:rFonts w:eastAsia="Arial Unicode MS"/>
          <w:bCs/>
          <w:lang w:eastAsia="fr-FR" w:bidi="he-IL"/>
        </w:rPr>
        <w:t xml:space="preserve">, </w:t>
      </w:r>
      <w:r w:rsidRPr="00C8701B">
        <w:rPr>
          <w:rFonts w:eastAsia="Arial Unicode MS"/>
          <w:bCs/>
          <w:lang w:eastAsia="fr-FR" w:bidi="he-IL"/>
        </w:rPr>
        <w:t>à</w:t>
      </w:r>
      <w:r w:rsidR="00590FBA">
        <w:rPr>
          <w:rFonts w:eastAsia="Arial Unicode MS"/>
          <w:bCs/>
          <w:lang w:eastAsia="fr-FR" w:bidi="he-IL"/>
        </w:rPr>
        <w:t xml:space="preserve"> l</w:t>
      </w:r>
      <w:r w:rsidR="00557DE0">
        <w:rPr>
          <w:rFonts w:eastAsia="Arial Unicode MS"/>
          <w:bCs/>
          <w:lang w:eastAsia="fr-FR" w:bidi="he-IL"/>
        </w:rPr>
        <w:t>’</w:t>
      </w:r>
      <w:r w:rsidRPr="00C8701B">
        <w:rPr>
          <w:rFonts w:eastAsia="Arial Unicode MS"/>
          <w:bCs/>
          <w:lang w:eastAsia="fr-FR" w:bidi="he-IL"/>
        </w:rPr>
        <w:t>aide d</w:t>
      </w:r>
      <w:r w:rsidR="00557DE0">
        <w:rPr>
          <w:rFonts w:eastAsia="Arial Unicode MS"/>
          <w:bCs/>
          <w:lang w:eastAsia="fr-FR" w:bidi="he-IL"/>
        </w:rPr>
        <w:t>’</w:t>
      </w:r>
      <w:r w:rsidRPr="00C8701B">
        <w:rPr>
          <w:rFonts w:eastAsia="Arial Unicode MS"/>
          <w:bCs/>
          <w:lang w:eastAsia="fr-FR" w:bidi="he-IL"/>
        </w:rPr>
        <w:t>une</w:t>
      </w:r>
      <w:r w:rsidRPr="00DC4586">
        <w:rPr>
          <w:rStyle w:val="italicus"/>
        </w:rPr>
        <w:t xml:space="preserve"> Synopsis</w:t>
      </w:r>
      <w:r w:rsidR="00E65435">
        <w:rPr>
          <w:rStyle w:val="italicus"/>
        </w:rPr>
        <w:t xml:space="preserve">, </w:t>
      </w:r>
      <w:r w:rsidRPr="00C8701B">
        <w:rPr>
          <w:rFonts w:eastAsia="Arial Unicode MS"/>
          <w:bCs/>
          <w:lang w:eastAsia="fr-FR" w:bidi="he-IL"/>
        </w:rPr>
        <w:t>ces autres passages intéressants</w:t>
      </w:r>
      <w:r w:rsidR="00C2602D" w:rsidRPr="00C8701B">
        <w:rPr>
          <w:rFonts w:eastAsia="Arial Unicode MS"/>
          <w:bCs/>
          <w:lang w:eastAsia="fr-FR" w:bidi="he-IL"/>
        </w:rPr>
        <w:t> :</w:t>
      </w:r>
      <w:r w:rsidRPr="00C8701B">
        <w:rPr>
          <w:rFonts w:eastAsia="Arial Unicode MS"/>
          <w:bCs/>
          <w:lang w:eastAsia="fr-FR" w:bidi="he-IL"/>
        </w:rPr>
        <w:t xml:space="preserve"> Matth. </w:t>
      </w:r>
      <w:r w:rsidR="00590FBA">
        <w:rPr>
          <w:rFonts w:eastAsia="Arial Unicode MS"/>
          <w:bCs/>
          <w:lang w:eastAsia="fr-FR" w:bidi="he-IL"/>
        </w:rPr>
        <w:t>VIII</w:t>
      </w:r>
      <w:r w:rsidR="00E65435">
        <w:rPr>
          <w:rFonts w:eastAsia="Arial Unicode MS"/>
          <w:bCs/>
          <w:lang w:eastAsia="fr-FR" w:bidi="he-IL"/>
        </w:rPr>
        <w:t xml:space="preserve">, </w:t>
      </w:r>
      <w:r w:rsidRPr="00C8701B">
        <w:rPr>
          <w:rFonts w:eastAsia="Arial Unicode MS"/>
          <w:bCs/>
          <w:lang w:eastAsia="fr-FR" w:bidi="he-IL"/>
        </w:rPr>
        <w:t>1 et ss.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Marc.</w:t>
      </w:r>
      <w:r w:rsidR="00C21120">
        <w:rPr>
          <w:rFonts w:eastAsia="Arial Unicode MS"/>
          <w:bCs/>
          <w:lang w:eastAsia="fr-FR" w:bidi="he-IL"/>
        </w:rPr>
        <w:t xml:space="preserve"> I, </w:t>
      </w:r>
      <w:r w:rsidR="00C21120" w:rsidRPr="00C8701B">
        <w:rPr>
          <w:rFonts w:eastAsia="Arial Unicode MS"/>
          <w:bCs/>
          <w:lang w:eastAsia="fr-FR" w:bidi="he-IL"/>
        </w:rPr>
        <w:t>4</w:t>
      </w:r>
      <w:r w:rsidRPr="00C8701B">
        <w:rPr>
          <w:rFonts w:eastAsia="Arial Unicode MS"/>
          <w:bCs/>
          <w:lang w:eastAsia="fr-FR" w:bidi="he-IL"/>
        </w:rPr>
        <w:t>0 et ss.</w:t>
      </w:r>
      <w:r w:rsidR="00C2602D" w:rsidRPr="00C8701B">
        <w:rPr>
          <w:rFonts w:eastAsia="Arial Unicode MS"/>
          <w:bCs/>
          <w:lang w:eastAsia="fr-FR" w:bidi="he-IL"/>
        </w:rPr>
        <w:t> </w:t>
      </w:r>
      <w:r w:rsidR="007F6508">
        <w:rPr>
          <w:rFonts w:eastAsia="Arial Unicode MS"/>
          <w:bCs/>
          <w:lang w:eastAsia="fr-FR" w:bidi="he-IL"/>
        </w:rPr>
        <w:t xml:space="preserve">; </w:t>
      </w:r>
      <w:r w:rsidR="00590FBA">
        <w:rPr>
          <w:rFonts w:eastAsia="Arial Unicode MS"/>
          <w:bCs/>
          <w:lang w:eastAsia="fr-FR" w:bidi="he-IL"/>
        </w:rPr>
        <w:t xml:space="preserve">Luc. </w:t>
      </w:r>
      <w:r w:rsidR="00835131">
        <w:rPr>
          <w:rFonts w:eastAsia="Arial Unicode MS"/>
          <w:bCs/>
          <w:lang w:eastAsia="fr-FR" w:bidi="he-IL"/>
        </w:rPr>
        <w:t>V</w:t>
      </w:r>
      <w:r w:rsidR="00E65435">
        <w:rPr>
          <w:rFonts w:eastAsia="Arial Unicode MS"/>
          <w:bCs/>
          <w:lang w:eastAsia="fr-FR" w:bidi="he-IL"/>
        </w:rPr>
        <w:t xml:space="preserve">, </w:t>
      </w:r>
      <w:r w:rsidRPr="00C8701B">
        <w:rPr>
          <w:rFonts w:eastAsia="Arial Unicode MS"/>
          <w:bCs/>
          <w:lang w:eastAsia="fr-FR" w:bidi="he-IL"/>
        </w:rPr>
        <w:t>12 et ss.</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 xml:space="preserve">Matth. </w:t>
      </w:r>
      <w:r w:rsidR="00E1197B">
        <w:rPr>
          <w:rFonts w:eastAsia="Arial Unicode MS"/>
          <w:bCs/>
          <w:lang w:eastAsia="fr-FR" w:bidi="he-IL"/>
        </w:rPr>
        <w:t>IX</w:t>
      </w:r>
      <w:r w:rsidR="00E65435">
        <w:rPr>
          <w:rFonts w:eastAsia="Arial Unicode MS"/>
          <w:bCs/>
          <w:lang w:eastAsia="fr-FR" w:bidi="he-IL"/>
        </w:rPr>
        <w:t xml:space="preserve">, </w:t>
      </w:r>
      <w:r w:rsidRPr="00C8701B">
        <w:rPr>
          <w:rFonts w:eastAsia="Arial Unicode MS"/>
          <w:bCs/>
          <w:lang w:eastAsia="fr-FR" w:bidi="he-IL"/>
        </w:rPr>
        <w:t>7 et ss.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Marc</w:t>
      </w:r>
      <w:r w:rsidR="00E65435">
        <w:rPr>
          <w:rFonts w:eastAsia="Arial Unicode MS"/>
          <w:bCs/>
          <w:lang w:eastAsia="fr-FR" w:bidi="he-IL"/>
        </w:rPr>
        <w:t xml:space="preserve">, </w:t>
      </w:r>
      <w:r w:rsidR="00906914">
        <w:rPr>
          <w:rFonts w:eastAsia="Arial Unicode MS"/>
          <w:bCs/>
          <w:lang w:val="el-GR" w:eastAsia="fr-FR" w:bidi="he-IL"/>
        </w:rPr>
        <w:t>II</w:t>
      </w:r>
      <w:r w:rsidR="00E65435">
        <w:rPr>
          <w:rFonts w:eastAsia="Arial Unicode MS"/>
          <w:bCs/>
          <w:lang w:val="el-GR" w:eastAsia="fr-FR" w:bidi="he-IL"/>
        </w:rPr>
        <w:t xml:space="preserve">, </w:t>
      </w:r>
      <w:r w:rsidRPr="00C8701B">
        <w:rPr>
          <w:rFonts w:eastAsia="Arial Unicode MS"/>
          <w:bCs/>
          <w:lang w:eastAsia="fr-FR" w:bidi="he-IL"/>
        </w:rPr>
        <w:t>1 et ss.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Luc. </w:t>
      </w:r>
      <w:r w:rsidR="00835131">
        <w:rPr>
          <w:rFonts w:eastAsia="Arial Unicode MS"/>
          <w:bCs/>
          <w:lang w:eastAsia="fr-FR" w:bidi="he-IL"/>
        </w:rPr>
        <w:t>V</w:t>
      </w:r>
      <w:r w:rsidR="00E65435">
        <w:rPr>
          <w:rFonts w:eastAsia="Arial Unicode MS"/>
          <w:bCs/>
          <w:lang w:eastAsia="fr-FR" w:bidi="he-IL"/>
        </w:rPr>
        <w:t xml:space="preserve">, </w:t>
      </w:r>
      <w:r w:rsidRPr="00C8701B">
        <w:rPr>
          <w:rFonts w:eastAsia="Arial Unicode MS"/>
          <w:bCs/>
          <w:lang w:eastAsia="fr-FR" w:bidi="he-IL"/>
        </w:rPr>
        <w:t>17 et ss.</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 xml:space="preserve">Matth. </w:t>
      </w:r>
      <w:r w:rsidR="00E1197B">
        <w:rPr>
          <w:rFonts w:eastAsia="Arial Unicode MS"/>
          <w:bCs/>
          <w:lang w:eastAsia="fr-FR" w:bidi="he-IL"/>
        </w:rPr>
        <w:t>IX</w:t>
      </w:r>
      <w:r w:rsidR="00E65435">
        <w:rPr>
          <w:rFonts w:eastAsia="Arial Unicode MS"/>
          <w:bCs/>
          <w:lang w:eastAsia="fr-FR" w:bidi="he-IL"/>
        </w:rPr>
        <w:t xml:space="preserve">, </w:t>
      </w:r>
      <w:r w:rsidRPr="00C8701B">
        <w:rPr>
          <w:rFonts w:eastAsia="Arial Unicode MS"/>
          <w:bCs/>
          <w:lang w:eastAsia="fr-FR" w:bidi="he-IL"/>
        </w:rPr>
        <w:t>9 et ss.</w:t>
      </w:r>
      <w:r w:rsidR="00C2602D" w:rsidRPr="00C8701B">
        <w:rPr>
          <w:rFonts w:eastAsia="Arial Unicode MS"/>
          <w:bCs/>
          <w:lang w:eastAsia="fr-FR" w:bidi="he-IL"/>
        </w:rPr>
        <w:t> </w:t>
      </w:r>
      <w:r w:rsidR="007F6508">
        <w:rPr>
          <w:rFonts w:eastAsia="Arial Unicode MS"/>
          <w:bCs/>
          <w:lang w:eastAsia="fr-FR" w:bidi="he-IL"/>
        </w:rPr>
        <w:t xml:space="preserve">; </w:t>
      </w:r>
      <w:r w:rsidR="001407D9">
        <w:rPr>
          <w:rFonts w:eastAsia="Arial Unicode MS"/>
          <w:bCs/>
          <w:lang w:eastAsia="fr-FR" w:bidi="he-IL"/>
        </w:rPr>
        <w:t>Marc. II,</w:t>
      </w:r>
      <w:r w:rsidR="00E65435">
        <w:rPr>
          <w:rFonts w:eastAsia="Arial Unicode MS"/>
          <w:bCs/>
          <w:lang w:eastAsia="fr-FR" w:bidi="he-IL"/>
        </w:rPr>
        <w:t xml:space="preserve"> </w:t>
      </w:r>
      <w:r w:rsidRPr="00C8701B">
        <w:rPr>
          <w:rFonts w:eastAsia="Arial Unicode MS"/>
          <w:bCs/>
          <w:lang w:eastAsia="fr-FR" w:bidi="he-IL"/>
        </w:rPr>
        <w:t>13 et ss.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Luc. </w:t>
      </w:r>
      <w:r w:rsidR="00835131">
        <w:rPr>
          <w:rFonts w:eastAsia="Arial Unicode MS"/>
          <w:bCs/>
          <w:lang w:eastAsia="fr-FR" w:bidi="he-IL"/>
        </w:rPr>
        <w:t>V</w:t>
      </w:r>
      <w:r w:rsidR="00E65435">
        <w:rPr>
          <w:rFonts w:eastAsia="Arial Unicode MS"/>
          <w:bCs/>
          <w:lang w:eastAsia="fr-FR" w:bidi="he-IL"/>
        </w:rPr>
        <w:t xml:space="preserve">, </w:t>
      </w:r>
      <w:r w:rsidRPr="00C8701B">
        <w:rPr>
          <w:rFonts w:eastAsia="Arial Unicode MS"/>
          <w:bCs/>
          <w:lang w:eastAsia="fr-FR" w:bidi="he-IL"/>
        </w:rPr>
        <w:t>27 et ss.</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 xml:space="preserve">Matth. </w:t>
      </w:r>
      <w:r w:rsidR="00EF1E04">
        <w:rPr>
          <w:rFonts w:eastAsia="Arial Unicode MS"/>
          <w:bCs/>
          <w:lang w:eastAsia="fr-FR" w:bidi="he-IL"/>
        </w:rPr>
        <w:t>XVI</w:t>
      </w:r>
      <w:r w:rsidR="00E65435">
        <w:rPr>
          <w:rFonts w:eastAsia="Arial Unicode MS"/>
          <w:bCs/>
          <w:lang w:eastAsia="fr-FR" w:bidi="he-IL"/>
        </w:rPr>
        <w:t xml:space="preserve">, </w:t>
      </w:r>
      <w:r w:rsidRPr="00C8701B">
        <w:rPr>
          <w:rFonts w:eastAsia="Arial Unicode MS"/>
          <w:bCs/>
          <w:lang w:eastAsia="fr-FR" w:bidi="he-IL"/>
        </w:rPr>
        <w:t>15 et ss.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Marc. </w:t>
      </w:r>
      <w:r w:rsidR="00A319EA">
        <w:rPr>
          <w:rFonts w:eastAsia="Arial Unicode MS"/>
          <w:bCs/>
          <w:lang w:eastAsia="fr-FR" w:bidi="he-IL"/>
        </w:rPr>
        <w:t>VI</w:t>
      </w:r>
      <w:r w:rsidR="00590FBA">
        <w:rPr>
          <w:rFonts w:eastAsia="Arial Unicode MS"/>
          <w:bCs/>
          <w:lang w:eastAsia="fr-FR" w:bidi="he-IL"/>
        </w:rPr>
        <w:t>,</w:t>
      </w:r>
      <w:r w:rsidRPr="00C8701B">
        <w:rPr>
          <w:rFonts w:eastAsia="Arial Unicode MS"/>
          <w:bCs/>
          <w:lang w:eastAsia="fr-FR" w:bidi="he-IL"/>
        </w:rPr>
        <w:t xml:space="preserve"> 36 et ss.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Luc. </w:t>
      </w:r>
      <w:r w:rsidR="00E1197B">
        <w:rPr>
          <w:rFonts w:eastAsia="Arial Unicode MS"/>
          <w:bCs/>
          <w:lang w:eastAsia="fr-FR" w:bidi="he-IL"/>
        </w:rPr>
        <w:t>IX</w:t>
      </w:r>
      <w:r w:rsidR="00E65435">
        <w:rPr>
          <w:rFonts w:eastAsia="Arial Unicode MS"/>
          <w:bCs/>
          <w:lang w:eastAsia="fr-FR" w:bidi="he-IL"/>
        </w:rPr>
        <w:t xml:space="preserve">, </w:t>
      </w:r>
      <w:r w:rsidRPr="00C8701B">
        <w:rPr>
          <w:rFonts w:eastAsia="Arial Unicode MS"/>
          <w:bCs/>
          <w:lang w:eastAsia="fr-FR" w:bidi="he-IL"/>
        </w:rPr>
        <w:t>12 et ss. Les récits de la Passion se prêtent souvent aussi à des rapprochements de ce genre</w:t>
      </w:r>
      <w:r w:rsidR="00E65435">
        <w:rPr>
          <w:rFonts w:eastAsia="Arial Unicode MS"/>
          <w:bCs/>
          <w:lang w:eastAsia="fr-FR" w:bidi="he-IL"/>
        </w:rPr>
        <w:t xml:space="preserve">, </w:t>
      </w:r>
    </w:p>
    <w:p w:rsidR="00C2602D" w:rsidRPr="00C8701B" w:rsidRDefault="00B704AD" w:rsidP="00590FBA">
      <w:pPr>
        <w:rPr>
          <w:rFonts w:eastAsia="Arial Unicode MS"/>
          <w:bCs/>
          <w:lang w:eastAsia="fr-FR" w:bidi="he-IL"/>
        </w:rPr>
      </w:pPr>
      <w:r w:rsidRPr="00C8701B">
        <w:rPr>
          <w:rFonts w:eastAsia="Arial Unicode MS"/>
          <w:bCs/>
          <w:lang w:eastAsia="fr-FR" w:bidi="he-IL"/>
        </w:rPr>
        <w:t>C. Coïncidence dans les expressions mêmes</w:t>
      </w:r>
      <w:r w:rsidR="00E65435">
        <w:rPr>
          <w:rFonts w:eastAsia="Arial Unicode MS"/>
          <w:bCs/>
          <w:lang w:eastAsia="fr-FR" w:bidi="he-IL"/>
        </w:rPr>
        <w:t xml:space="preserve">, </w:t>
      </w:r>
      <w:r w:rsidRPr="00C8701B">
        <w:rPr>
          <w:rFonts w:eastAsia="Arial Unicode MS"/>
          <w:bCs/>
          <w:lang w:eastAsia="fr-FR" w:bidi="he-IL"/>
        </w:rPr>
        <w:t>ou ressemblances verbales.</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Il arrive</w:t>
      </w:r>
      <w:r w:rsidR="00E65435">
        <w:rPr>
          <w:rFonts w:eastAsia="Arial Unicode MS"/>
          <w:bCs/>
          <w:lang w:eastAsia="fr-FR" w:bidi="he-IL"/>
        </w:rPr>
        <w:t xml:space="preserve">, </w:t>
      </w:r>
      <w:r w:rsidRPr="00C8701B">
        <w:rPr>
          <w:rFonts w:eastAsia="Arial Unicode MS"/>
          <w:bCs/>
          <w:lang w:eastAsia="fr-FR" w:bidi="he-IL"/>
        </w:rPr>
        <w:t>en effet</w:t>
      </w:r>
      <w:r w:rsidR="00E65435">
        <w:rPr>
          <w:rFonts w:eastAsia="Arial Unicode MS"/>
          <w:bCs/>
          <w:lang w:eastAsia="fr-FR" w:bidi="he-IL"/>
        </w:rPr>
        <w:t xml:space="preserve">, </w:t>
      </w:r>
      <w:r w:rsidRPr="00C8701B">
        <w:rPr>
          <w:rFonts w:eastAsia="Arial Unicode MS"/>
          <w:bCs/>
          <w:lang w:eastAsia="fr-FR" w:bidi="he-IL"/>
        </w:rPr>
        <w:t>et le cas est loin d</w:t>
      </w:r>
      <w:r w:rsidR="00557DE0">
        <w:rPr>
          <w:rFonts w:eastAsia="Arial Unicode MS"/>
          <w:bCs/>
          <w:lang w:eastAsia="fr-FR" w:bidi="he-IL"/>
        </w:rPr>
        <w:t>’</w:t>
      </w:r>
      <w:r w:rsidRPr="00C8701B">
        <w:rPr>
          <w:rFonts w:eastAsia="Arial Unicode MS"/>
          <w:bCs/>
          <w:lang w:eastAsia="fr-FR" w:bidi="he-IL"/>
        </w:rPr>
        <w:t>être rare</w:t>
      </w:r>
      <w:r w:rsidR="00E65435">
        <w:rPr>
          <w:rFonts w:eastAsia="Arial Unicode MS"/>
          <w:bCs/>
          <w:lang w:eastAsia="fr-FR" w:bidi="he-IL"/>
        </w:rPr>
        <w:t xml:space="preserve">, </w:t>
      </w:r>
      <w:r w:rsidRPr="00C8701B">
        <w:rPr>
          <w:rFonts w:eastAsia="Arial Unicode MS"/>
          <w:bCs/>
          <w:lang w:eastAsia="fr-FR" w:bidi="he-IL"/>
        </w:rPr>
        <w:t>que les synoptiques exposent une action</w:t>
      </w:r>
      <w:r w:rsidR="00E65435">
        <w:rPr>
          <w:rFonts w:eastAsia="Arial Unicode MS"/>
          <w:bCs/>
          <w:lang w:eastAsia="fr-FR" w:bidi="he-IL"/>
        </w:rPr>
        <w:t xml:space="preserve">, </w:t>
      </w:r>
      <w:r w:rsidR="00590FBA">
        <w:rPr>
          <w:rFonts w:eastAsia="Arial Unicode MS"/>
          <w:bCs/>
          <w:lang w:eastAsia="fr-FR" w:bidi="he-IL"/>
        </w:rPr>
        <w:t>une parole de Notre-Seigne</w:t>
      </w:r>
      <w:r w:rsidRPr="00C8701B">
        <w:rPr>
          <w:rFonts w:eastAsia="Arial Unicode MS"/>
          <w:bCs/>
          <w:lang w:eastAsia="fr-FR" w:bidi="he-IL"/>
        </w:rPr>
        <w:t>ur ou d</w:t>
      </w:r>
      <w:r w:rsidR="00557DE0">
        <w:rPr>
          <w:rFonts w:eastAsia="Arial Unicode MS"/>
          <w:bCs/>
          <w:lang w:eastAsia="fr-FR" w:bidi="he-IL"/>
        </w:rPr>
        <w:t>’</w:t>
      </w:r>
      <w:r w:rsidRPr="00C8701B">
        <w:rPr>
          <w:rFonts w:eastAsia="Arial Unicode MS"/>
          <w:bCs/>
          <w:lang w:eastAsia="fr-FR" w:bidi="he-IL"/>
        </w:rPr>
        <w:t>autres pe</w:t>
      </w:r>
      <w:r w:rsidR="00590FBA">
        <w:rPr>
          <w:rFonts w:eastAsia="Arial Unicode MS"/>
          <w:bCs/>
          <w:lang w:eastAsia="fr-FR" w:bidi="he-IL"/>
        </w:rPr>
        <w:t>rs</w:t>
      </w:r>
      <w:r w:rsidRPr="00C8701B">
        <w:rPr>
          <w:rFonts w:eastAsia="Arial Unicode MS"/>
          <w:bCs/>
          <w:lang w:eastAsia="fr-FR" w:bidi="he-IL"/>
        </w:rPr>
        <w:t>onnages</w:t>
      </w:r>
      <w:r w:rsidR="00E65435">
        <w:rPr>
          <w:rFonts w:eastAsia="Arial Unicode MS"/>
          <w:bCs/>
          <w:lang w:eastAsia="fr-FR" w:bidi="he-IL"/>
        </w:rPr>
        <w:t xml:space="preserve">, </w:t>
      </w:r>
      <w:r w:rsidRPr="00C8701B">
        <w:rPr>
          <w:rFonts w:eastAsia="Arial Unicode MS"/>
          <w:bCs/>
          <w:lang w:eastAsia="fr-FR" w:bidi="he-IL"/>
        </w:rPr>
        <w:t>absolument dans les mêmes termes</w:t>
      </w:r>
      <w:r w:rsidR="00E65435">
        <w:rPr>
          <w:rFonts w:eastAsia="Arial Unicode MS"/>
          <w:bCs/>
          <w:lang w:eastAsia="fr-FR" w:bidi="he-IL"/>
        </w:rPr>
        <w:t xml:space="preserve">, </w:t>
      </w:r>
      <w:r w:rsidRPr="00C8701B">
        <w:rPr>
          <w:rFonts w:eastAsia="Arial Unicode MS"/>
          <w:bCs/>
          <w:lang w:eastAsia="fr-FR" w:bidi="he-IL"/>
        </w:rPr>
        <w:t>ou du moins à peu près dans les mêmes termes.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Cette fois</w:t>
      </w:r>
      <w:r w:rsidR="00E65435">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 le texte grec que nous devons citer</w:t>
      </w:r>
      <w:r w:rsidR="00E65435">
        <w:rPr>
          <w:rFonts w:eastAsia="Arial Unicode MS"/>
          <w:bCs/>
          <w:lang w:eastAsia="fr-FR" w:bidi="he-IL"/>
        </w:rPr>
        <w:t xml:space="preserve">, </w:t>
      </w:r>
      <w:r w:rsidRPr="00C8701B">
        <w:rPr>
          <w:rFonts w:eastAsia="Arial Unicode MS"/>
          <w:bCs/>
          <w:lang w:eastAsia="fr-FR" w:bidi="he-IL"/>
        </w:rPr>
        <w:t>pour ne rien enlever de sa force à la démonstration.</w:t>
      </w:r>
      <w:r w:rsidR="00C2602D" w:rsidRPr="00C8701B">
        <w:rPr>
          <w:rFonts w:eastAsia="Arial Unicode MS"/>
          <w:bCs/>
          <w:lang w:eastAsia="fr-FR" w:bidi="he-IL"/>
        </w:rPr>
        <w:t xml:space="preserve"> </w:t>
      </w:r>
    </w:p>
    <w:p w:rsidR="00590FBA" w:rsidRDefault="00B704AD" w:rsidP="00C2602D">
      <w:pPr>
        <w:rPr>
          <w:rFonts w:eastAsia="Arial Unicode MS"/>
          <w:bCs/>
          <w:lang w:eastAsia="fr-FR" w:bidi="he-IL"/>
        </w:rPr>
      </w:pPr>
      <w:r w:rsidRPr="00C8701B">
        <w:rPr>
          <w:rFonts w:eastAsia="Arial Unicode MS"/>
          <w:bCs/>
          <w:lang w:eastAsia="fr-FR" w:bidi="he-IL"/>
        </w:rPr>
        <w:t xml:space="preserve">Prenons comme premier exemple la guérison du paralytique à </w:t>
      </w:r>
      <w:r w:rsidR="00C215A6">
        <w:rPr>
          <w:rFonts w:eastAsia="Arial Unicode MS"/>
          <w:bCs/>
          <w:lang w:eastAsia="fr-FR" w:bidi="he-IL"/>
        </w:rPr>
        <w:t>Capharnaüm</w:t>
      </w:r>
      <w:r w:rsidRPr="00C8701B">
        <w:rPr>
          <w:rFonts w:eastAsia="Arial Unicode MS"/>
          <w:bCs/>
          <w:lang w:eastAsia="fr-FR" w:bidi="he-IL"/>
        </w:rPr>
        <w:t>.</w:t>
      </w:r>
    </w:p>
    <w:p w:rsidR="00590FBA" w:rsidRDefault="00590FBA" w:rsidP="00C2602D">
      <w:pPr>
        <w:rPr>
          <w:rFonts w:eastAsia="Arial Unicode MS"/>
          <w:bCs/>
          <w:lang w:eastAsia="fr-FR" w:bidi="he-IL"/>
        </w:rPr>
      </w:pPr>
    </w:p>
    <w:tbl>
      <w:tblPr>
        <w:tblW w:w="0" w:type="auto"/>
        <w:tblLook w:val="04A0"/>
      </w:tblPr>
      <w:tblGrid>
        <w:gridCol w:w="3528"/>
        <w:gridCol w:w="3528"/>
        <w:gridCol w:w="3536"/>
      </w:tblGrid>
      <w:tr w:rsidR="003908CB" w:rsidRPr="007114F4" w:rsidTr="007114F4">
        <w:tc>
          <w:tcPr>
            <w:tcW w:w="3616" w:type="dxa"/>
            <w:vAlign w:val="bottom"/>
          </w:tcPr>
          <w:p w:rsidR="003908CB" w:rsidRPr="003908CB" w:rsidRDefault="003908CB" w:rsidP="00B93B92">
            <w:pPr>
              <w:pStyle w:val="centrum"/>
            </w:pPr>
            <w:r w:rsidRPr="003908CB">
              <w:t xml:space="preserve">Matth. </w:t>
            </w:r>
            <w:r w:rsidR="00E1197B">
              <w:t>IX</w:t>
            </w:r>
            <w:r w:rsidRPr="003908CB">
              <w:t>, 5-6.</w:t>
            </w:r>
          </w:p>
        </w:tc>
        <w:tc>
          <w:tcPr>
            <w:tcW w:w="3616" w:type="dxa"/>
            <w:vAlign w:val="bottom"/>
          </w:tcPr>
          <w:p w:rsidR="003908CB" w:rsidRPr="003908CB" w:rsidRDefault="003908CB" w:rsidP="00B93B92">
            <w:pPr>
              <w:pStyle w:val="centrum"/>
            </w:pPr>
            <w:r w:rsidRPr="003908CB">
              <w:t>Marc. II, 9-11.</w:t>
            </w:r>
          </w:p>
        </w:tc>
        <w:tc>
          <w:tcPr>
            <w:tcW w:w="3617" w:type="dxa"/>
            <w:vAlign w:val="bottom"/>
          </w:tcPr>
          <w:p w:rsidR="003908CB" w:rsidRPr="003908CB" w:rsidRDefault="003908CB" w:rsidP="00B93B92">
            <w:pPr>
              <w:pStyle w:val="centrum"/>
            </w:pPr>
            <w:r w:rsidRPr="003908CB">
              <w:t xml:space="preserve">Luc. </w:t>
            </w:r>
            <w:r w:rsidR="00835131">
              <w:t>V</w:t>
            </w:r>
            <w:r w:rsidRPr="003908CB">
              <w:t xml:space="preserve">, 23-24. </w:t>
            </w:r>
          </w:p>
        </w:tc>
      </w:tr>
      <w:tr w:rsidR="003908CB" w:rsidRPr="007114F4" w:rsidTr="007114F4">
        <w:tc>
          <w:tcPr>
            <w:tcW w:w="3616" w:type="dxa"/>
            <w:vAlign w:val="bottom"/>
          </w:tcPr>
          <w:p w:rsidR="003908CB" w:rsidRPr="003908CB" w:rsidRDefault="003908CB" w:rsidP="00B93B92">
            <w:pPr>
              <w:pStyle w:val="centrum"/>
            </w:pPr>
            <w:r w:rsidRPr="003908CB">
              <w:t>τ</w:t>
            </w:r>
            <w:r w:rsidR="00DB352C">
              <w:t>ί</w:t>
            </w:r>
            <w:r w:rsidRPr="003908CB">
              <w:t xml:space="preserve"> γ</w:t>
            </w:r>
            <w:r w:rsidR="00CD3C57">
              <w:t>ά</w:t>
            </w:r>
            <w:r w:rsidRPr="003908CB">
              <w:t xml:space="preserve">ρ ἐστιν εὐκοπώτερον, </w:t>
            </w:r>
          </w:p>
        </w:tc>
        <w:tc>
          <w:tcPr>
            <w:tcW w:w="3616" w:type="dxa"/>
            <w:vAlign w:val="bottom"/>
          </w:tcPr>
          <w:p w:rsidR="003908CB" w:rsidRPr="003908CB" w:rsidRDefault="003908CB" w:rsidP="00B93B92">
            <w:pPr>
              <w:pStyle w:val="centrum"/>
            </w:pPr>
            <w:r w:rsidRPr="003908CB">
              <w:t>τ</w:t>
            </w:r>
            <w:r w:rsidR="00DB352C">
              <w:t>ί</w:t>
            </w:r>
            <w:r w:rsidRPr="003908CB">
              <w:t xml:space="preserve"> ἐστιν εὐκοπώτερον, ε</w:t>
            </w:r>
          </w:p>
        </w:tc>
        <w:tc>
          <w:tcPr>
            <w:tcW w:w="3617" w:type="dxa"/>
            <w:vAlign w:val="bottom"/>
          </w:tcPr>
          <w:p w:rsidR="003908CB" w:rsidRPr="003908CB" w:rsidRDefault="003908CB" w:rsidP="00B93B92">
            <w:pPr>
              <w:pStyle w:val="centrum"/>
            </w:pPr>
            <w:r w:rsidRPr="003908CB">
              <w:t>τ</w:t>
            </w:r>
            <w:r w:rsidR="00DB352C">
              <w:t>ί</w:t>
            </w:r>
            <w:r w:rsidRPr="003908CB">
              <w:t xml:space="preserve"> ἐστιν εὐκοπώτερον,</w:t>
            </w:r>
          </w:p>
        </w:tc>
      </w:tr>
      <w:tr w:rsidR="003908CB" w:rsidRPr="007114F4" w:rsidTr="007114F4">
        <w:tc>
          <w:tcPr>
            <w:tcW w:w="3616" w:type="dxa"/>
            <w:vAlign w:val="bottom"/>
          </w:tcPr>
          <w:p w:rsidR="003908CB" w:rsidRPr="003908CB" w:rsidRDefault="003908CB" w:rsidP="00B93B92">
            <w:pPr>
              <w:pStyle w:val="centrum"/>
            </w:pPr>
            <w:r w:rsidRPr="003908CB">
              <w:t xml:space="preserve">εἰπεῖν, </w:t>
            </w:r>
          </w:p>
        </w:tc>
        <w:tc>
          <w:tcPr>
            <w:tcW w:w="3616" w:type="dxa"/>
            <w:vAlign w:val="bottom"/>
          </w:tcPr>
          <w:p w:rsidR="003908CB" w:rsidRPr="003908CB" w:rsidRDefault="00257FD6" w:rsidP="00B93B92">
            <w:pPr>
              <w:pStyle w:val="centrum"/>
            </w:pPr>
            <w:r>
              <w:t>ε</w:t>
            </w:r>
            <w:r w:rsidR="003908CB" w:rsidRPr="003908CB">
              <w:t>ἰπεῖν τῷ π</w:t>
            </w:r>
            <w:r w:rsidR="00A74F01">
              <w:t>α</w:t>
            </w:r>
            <w:r w:rsidR="003908CB" w:rsidRPr="003908CB">
              <w:t>ρ</w:t>
            </w:r>
            <w:r w:rsidR="00A74F01">
              <w:t>α</w:t>
            </w:r>
            <w:r w:rsidR="003908CB" w:rsidRPr="003908CB">
              <w:t>λυτικῷ,</w:t>
            </w:r>
          </w:p>
        </w:tc>
        <w:tc>
          <w:tcPr>
            <w:tcW w:w="3617" w:type="dxa"/>
            <w:vAlign w:val="bottom"/>
          </w:tcPr>
          <w:p w:rsidR="003908CB" w:rsidRPr="003908CB" w:rsidRDefault="003908CB" w:rsidP="00B93B92">
            <w:pPr>
              <w:pStyle w:val="centrum"/>
            </w:pPr>
            <w:r w:rsidRPr="003908CB">
              <w:t>εἰπεῖν,</w:t>
            </w:r>
          </w:p>
        </w:tc>
      </w:tr>
      <w:tr w:rsidR="003908CB" w:rsidRPr="007114F4" w:rsidTr="007114F4">
        <w:tc>
          <w:tcPr>
            <w:tcW w:w="3616" w:type="dxa"/>
            <w:vAlign w:val="bottom"/>
          </w:tcPr>
          <w:p w:rsidR="003908CB" w:rsidRPr="003908CB" w:rsidRDefault="003908CB" w:rsidP="00B93B92">
            <w:pPr>
              <w:pStyle w:val="centrum"/>
            </w:pPr>
            <w:r w:rsidRPr="003908CB">
              <w:t>Ἀφ</w:t>
            </w:r>
            <w:r w:rsidR="00DB352C">
              <w:t>ί</w:t>
            </w:r>
            <w:r w:rsidRPr="003908CB">
              <w:t>εντ</w:t>
            </w:r>
            <w:r w:rsidR="00A74F01">
              <w:t>α</w:t>
            </w:r>
            <w:r w:rsidR="00DB352C">
              <w:t>ί</w:t>
            </w:r>
            <w:r w:rsidRPr="003908CB">
              <w:t xml:space="preserve"> σου </w:t>
            </w:r>
            <w:r w:rsidR="00A74F01">
              <w:t>α</w:t>
            </w:r>
            <w:r w:rsidRPr="003908CB">
              <w:t>ἱ ἁμ</w:t>
            </w:r>
            <w:r w:rsidR="00A74F01">
              <w:t>α</w:t>
            </w:r>
            <w:r w:rsidRPr="003908CB">
              <w:t>ρτ</w:t>
            </w:r>
            <w:r w:rsidR="00DB352C">
              <w:t>ί</w:t>
            </w:r>
            <w:r w:rsidR="00A74F01">
              <w:t>α</w:t>
            </w:r>
            <w:r w:rsidRPr="003908CB">
              <w:t xml:space="preserve">ι, </w:t>
            </w:r>
          </w:p>
        </w:tc>
        <w:tc>
          <w:tcPr>
            <w:tcW w:w="3616" w:type="dxa"/>
            <w:vAlign w:val="bottom"/>
          </w:tcPr>
          <w:p w:rsidR="003908CB" w:rsidRPr="003908CB" w:rsidRDefault="003908CB" w:rsidP="00B93B92">
            <w:pPr>
              <w:pStyle w:val="centrum"/>
            </w:pPr>
            <w:r w:rsidRPr="003908CB">
              <w:t>Ἀφ</w:t>
            </w:r>
            <w:r w:rsidR="00DB352C">
              <w:t>ί</w:t>
            </w:r>
            <w:r w:rsidRPr="003908CB">
              <w:t>εντ</w:t>
            </w:r>
            <w:r w:rsidR="00A74F01">
              <w:t>α</w:t>
            </w:r>
            <w:r w:rsidR="00DB352C">
              <w:t>ί</w:t>
            </w:r>
            <w:r w:rsidRPr="003908CB">
              <w:t xml:space="preserve"> σου </w:t>
            </w:r>
            <w:r w:rsidR="00A74F01">
              <w:t>α</w:t>
            </w:r>
            <w:r w:rsidRPr="003908CB">
              <w:t>ἱ ἁμ</w:t>
            </w:r>
            <w:r w:rsidR="00A74F01">
              <w:t>α</w:t>
            </w:r>
            <w:r w:rsidRPr="003908CB">
              <w:t>ρτ</w:t>
            </w:r>
            <w:r w:rsidR="00DB352C">
              <w:t>ί</w:t>
            </w:r>
            <w:r w:rsidR="00A74F01">
              <w:t>α</w:t>
            </w:r>
            <w:r w:rsidRPr="003908CB">
              <w:t>ι,</w:t>
            </w:r>
          </w:p>
        </w:tc>
        <w:tc>
          <w:tcPr>
            <w:tcW w:w="3617" w:type="dxa"/>
            <w:vAlign w:val="bottom"/>
          </w:tcPr>
          <w:p w:rsidR="003908CB" w:rsidRPr="003908CB" w:rsidRDefault="003908CB" w:rsidP="00B93B92">
            <w:pPr>
              <w:pStyle w:val="centrum"/>
            </w:pPr>
            <w:r w:rsidRPr="003908CB">
              <w:t>Ἀφ</w:t>
            </w:r>
            <w:r w:rsidR="00C771BF">
              <w:t>έ</w:t>
            </w:r>
            <w:r w:rsidRPr="003908CB">
              <w:t>ωντ</w:t>
            </w:r>
            <w:r w:rsidR="00A74F01">
              <w:t>α</w:t>
            </w:r>
            <w:r w:rsidR="00DB352C">
              <w:t>ί</w:t>
            </w:r>
            <w:r w:rsidRPr="003908CB">
              <w:t xml:space="preserve"> σοι </w:t>
            </w:r>
            <w:r w:rsidR="00A74F01">
              <w:t>α</w:t>
            </w:r>
            <w:r w:rsidRPr="003908CB">
              <w:t>ἱ ἁμ</w:t>
            </w:r>
            <w:r w:rsidR="00A74F01">
              <w:t>α</w:t>
            </w:r>
            <w:r w:rsidRPr="003908CB">
              <w:t>ρτ</w:t>
            </w:r>
            <w:r w:rsidR="00DB352C">
              <w:t>ί</w:t>
            </w:r>
            <w:r w:rsidR="00A74F01">
              <w:t>α</w:t>
            </w:r>
            <w:r w:rsidRPr="003908CB">
              <w:t>ι σου,</w:t>
            </w:r>
          </w:p>
        </w:tc>
      </w:tr>
      <w:tr w:rsidR="003908CB" w:rsidRPr="007114F4" w:rsidTr="007114F4">
        <w:tc>
          <w:tcPr>
            <w:tcW w:w="3616" w:type="dxa"/>
            <w:vAlign w:val="bottom"/>
          </w:tcPr>
          <w:p w:rsidR="003908CB" w:rsidRPr="003908CB" w:rsidRDefault="003908CB" w:rsidP="00B93B92">
            <w:pPr>
              <w:pStyle w:val="centrum"/>
            </w:pPr>
            <w:r w:rsidRPr="003908CB">
              <w:t xml:space="preserve">ἢ εἰπεῖν, </w:t>
            </w:r>
          </w:p>
        </w:tc>
        <w:tc>
          <w:tcPr>
            <w:tcW w:w="3616" w:type="dxa"/>
            <w:vAlign w:val="bottom"/>
          </w:tcPr>
          <w:p w:rsidR="003908CB" w:rsidRPr="003908CB" w:rsidRDefault="003908CB" w:rsidP="00B93B92">
            <w:pPr>
              <w:pStyle w:val="centrum"/>
            </w:pPr>
            <w:r w:rsidRPr="003908CB">
              <w:t>ἢ εἰπεῖν,</w:t>
            </w:r>
          </w:p>
        </w:tc>
        <w:tc>
          <w:tcPr>
            <w:tcW w:w="3617" w:type="dxa"/>
            <w:vAlign w:val="bottom"/>
          </w:tcPr>
          <w:p w:rsidR="003908CB" w:rsidRPr="003908CB" w:rsidRDefault="003908CB" w:rsidP="00B93B92">
            <w:pPr>
              <w:pStyle w:val="centrum"/>
            </w:pPr>
            <w:r w:rsidRPr="003908CB">
              <w:t>ἢ εἰπεῖν,</w:t>
            </w:r>
          </w:p>
        </w:tc>
      </w:tr>
      <w:tr w:rsidR="003908CB" w:rsidRPr="007114F4" w:rsidTr="007114F4">
        <w:tc>
          <w:tcPr>
            <w:tcW w:w="3616" w:type="dxa"/>
            <w:vAlign w:val="bottom"/>
          </w:tcPr>
          <w:p w:rsidR="003908CB" w:rsidRPr="003908CB" w:rsidRDefault="003908CB" w:rsidP="00B93B92">
            <w:pPr>
              <w:pStyle w:val="centrum"/>
            </w:pPr>
            <w:r w:rsidRPr="003908CB">
              <w:t>Ἔγειρε κ</w:t>
            </w:r>
            <w:r w:rsidR="00A74F01">
              <w:t>α</w:t>
            </w:r>
            <w:r w:rsidRPr="003908CB">
              <w:t>ὶ περιπ</w:t>
            </w:r>
            <w:r w:rsidR="00CD3C57">
              <w:t>ά</w:t>
            </w:r>
            <w:r w:rsidRPr="003908CB">
              <w:t>τει;</w:t>
            </w:r>
          </w:p>
        </w:tc>
        <w:tc>
          <w:tcPr>
            <w:tcW w:w="3616" w:type="dxa"/>
            <w:vAlign w:val="bottom"/>
          </w:tcPr>
          <w:p w:rsidR="003908CB" w:rsidRPr="003908CB" w:rsidRDefault="003908CB" w:rsidP="00B93B92">
            <w:pPr>
              <w:pStyle w:val="centrum"/>
            </w:pPr>
            <w:r w:rsidRPr="003908CB">
              <w:t>Ἔγειρε κ</w:t>
            </w:r>
            <w:r w:rsidR="00A74F01">
              <w:t>α</w:t>
            </w:r>
            <w:r w:rsidRPr="003908CB">
              <w:t>ὶ [ὕπ</w:t>
            </w:r>
            <w:r w:rsidR="00A74F01">
              <w:t>α</w:t>
            </w:r>
            <w:r w:rsidRPr="003908CB">
              <w:t>γε ;]</w:t>
            </w:r>
          </w:p>
        </w:tc>
        <w:tc>
          <w:tcPr>
            <w:tcW w:w="3617" w:type="dxa"/>
            <w:vAlign w:val="bottom"/>
          </w:tcPr>
          <w:p w:rsidR="003908CB" w:rsidRPr="003908CB" w:rsidRDefault="003908CB" w:rsidP="00B93B92">
            <w:pPr>
              <w:pStyle w:val="centrum"/>
            </w:pPr>
            <w:r w:rsidRPr="003908CB">
              <w:t>Ἔγειρε κ</w:t>
            </w:r>
            <w:r w:rsidR="00A74F01">
              <w:t>α</w:t>
            </w:r>
            <w:r w:rsidRPr="003908CB">
              <w:t>ὶ περιπ</w:t>
            </w:r>
            <w:r w:rsidR="00CD3C57">
              <w:t>ά</w:t>
            </w:r>
            <w:r w:rsidRPr="003908CB">
              <w:t>τει;</w:t>
            </w:r>
          </w:p>
        </w:tc>
      </w:tr>
      <w:tr w:rsidR="003908CB" w:rsidRPr="007114F4" w:rsidTr="007114F4">
        <w:tc>
          <w:tcPr>
            <w:tcW w:w="3616" w:type="dxa"/>
            <w:vAlign w:val="bottom"/>
          </w:tcPr>
          <w:p w:rsidR="003908CB" w:rsidRPr="003908CB" w:rsidRDefault="003908CB" w:rsidP="00B93B92">
            <w:pPr>
              <w:pStyle w:val="centrum"/>
            </w:pPr>
            <w:r w:rsidRPr="003908CB">
              <w:t>ἵν</w:t>
            </w:r>
            <w:r w:rsidR="00A74F01">
              <w:t>α</w:t>
            </w:r>
            <w:r w:rsidRPr="003908CB">
              <w:t xml:space="preserve"> δὲ εἰδῆτε </w:t>
            </w:r>
          </w:p>
        </w:tc>
        <w:tc>
          <w:tcPr>
            <w:tcW w:w="3616" w:type="dxa"/>
            <w:vAlign w:val="bottom"/>
          </w:tcPr>
          <w:p w:rsidR="003908CB" w:rsidRPr="003908CB" w:rsidRDefault="003908CB" w:rsidP="00B93B92">
            <w:pPr>
              <w:pStyle w:val="centrum"/>
            </w:pPr>
            <w:r w:rsidRPr="003908CB">
              <w:t>ἵν</w:t>
            </w:r>
            <w:r w:rsidR="00A74F01">
              <w:t>α</w:t>
            </w:r>
            <w:r w:rsidRPr="003908CB">
              <w:t xml:space="preserve"> δὲ εἰδῆτε</w:t>
            </w:r>
          </w:p>
        </w:tc>
        <w:tc>
          <w:tcPr>
            <w:tcW w:w="3617" w:type="dxa"/>
            <w:vAlign w:val="bottom"/>
          </w:tcPr>
          <w:p w:rsidR="003908CB" w:rsidRPr="003908CB" w:rsidRDefault="003908CB" w:rsidP="00B93B92">
            <w:pPr>
              <w:pStyle w:val="centrum"/>
            </w:pPr>
            <w:r w:rsidRPr="003908CB">
              <w:t>ἵν</w:t>
            </w:r>
            <w:r w:rsidR="00A74F01">
              <w:t>α</w:t>
            </w:r>
            <w:r w:rsidRPr="003908CB">
              <w:t xml:space="preserve"> δὲ εἰδῆτε</w:t>
            </w:r>
          </w:p>
        </w:tc>
      </w:tr>
      <w:tr w:rsidR="003908CB" w:rsidRPr="007114F4" w:rsidTr="007114F4">
        <w:tc>
          <w:tcPr>
            <w:tcW w:w="3616" w:type="dxa"/>
            <w:vAlign w:val="bottom"/>
          </w:tcPr>
          <w:p w:rsidR="003908CB" w:rsidRPr="003908CB" w:rsidRDefault="003908CB" w:rsidP="00B93B92">
            <w:pPr>
              <w:pStyle w:val="centrum"/>
            </w:pPr>
            <w:r w:rsidRPr="003908CB">
              <w:t>ὅτι ἐξουσ</w:t>
            </w:r>
            <w:r w:rsidR="00DB352C">
              <w:t>ί</w:t>
            </w:r>
            <w:r w:rsidR="00A74F01">
              <w:t>α</w:t>
            </w:r>
            <w:r w:rsidRPr="003908CB">
              <w:t xml:space="preserve">ν ἔχει </w:t>
            </w:r>
          </w:p>
        </w:tc>
        <w:tc>
          <w:tcPr>
            <w:tcW w:w="3616" w:type="dxa"/>
            <w:vAlign w:val="bottom"/>
          </w:tcPr>
          <w:p w:rsidR="003908CB" w:rsidRPr="003908CB" w:rsidRDefault="003908CB" w:rsidP="00B93B92">
            <w:pPr>
              <w:pStyle w:val="centrum"/>
            </w:pPr>
            <w:r w:rsidRPr="003908CB">
              <w:t>ὅτι ἐξουσ</w:t>
            </w:r>
            <w:r w:rsidR="00DB352C">
              <w:t>ί</w:t>
            </w:r>
            <w:r w:rsidR="00A74F01">
              <w:t>α</w:t>
            </w:r>
            <w:r w:rsidRPr="003908CB">
              <w:t>ν ἔχει</w:t>
            </w:r>
          </w:p>
        </w:tc>
        <w:tc>
          <w:tcPr>
            <w:tcW w:w="3617" w:type="dxa"/>
            <w:vAlign w:val="bottom"/>
          </w:tcPr>
          <w:p w:rsidR="003908CB" w:rsidRPr="003908CB" w:rsidRDefault="003908CB" w:rsidP="00B93B92">
            <w:pPr>
              <w:pStyle w:val="centrum"/>
            </w:pPr>
            <w:r w:rsidRPr="003908CB">
              <w:t>ὅτι ὁ υἱὸς τοῦ ἀνθρώπου</w:t>
            </w:r>
          </w:p>
        </w:tc>
      </w:tr>
      <w:tr w:rsidR="003908CB" w:rsidRPr="007114F4" w:rsidTr="007114F4">
        <w:tc>
          <w:tcPr>
            <w:tcW w:w="3616" w:type="dxa"/>
            <w:vAlign w:val="bottom"/>
          </w:tcPr>
          <w:p w:rsidR="003908CB" w:rsidRPr="003908CB" w:rsidRDefault="003908CB" w:rsidP="00B93B92">
            <w:pPr>
              <w:pStyle w:val="centrum"/>
            </w:pPr>
            <w:r w:rsidRPr="003908CB">
              <w:t xml:space="preserve">ὁ υἱὸς τοῦ ἀνθρώπου </w:t>
            </w:r>
          </w:p>
        </w:tc>
        <w:tc>
          <w:tcPr>
            <w:tcW w:w="3616" w:type="dxa"/>
            <w:vAlign w:val="bottom"/>
          </w:tcPr>
          <w:p w:rsidR="003908CB" w:rsidRPr="003908CB" w:rsidRDefault="003908CB" w:rsidP="00B93B92">
            <w:pPr>
              <w:pStyle w:val="centrum"/>
            </w:pPr>
            <w:r w:rsidRPr="003908CB">
              <w:t>ὁ υἱὸς τοῦ ἀνθρώπου</w:t>
            </w:r>
          </w:p>
        </w:tc>
        <w:tc>
          <w:tcPr>
            <w:tcW w:w="3617" w:type="dxa"/>
            <w:vAlign w:val="bottom"/>
          </w:tcPr>
          <w:p w:rsidR="003908CB" w:rsidRPr="003908CB" w:rsidRDefault="003908CB" w:rsidP="00B93B92">
            <w:pPr>
              <w:pStyle w:val="centrum"/>
            </w:pPr>
            <w:r w:rsidRPr="003908CB">
              <w:t>ἐξουσ</w:t>
            </w:r>
            <w:r w:rsidR="00DB352C">
              <w:t>ί</w:t>
            </w:r>
            <w:r w:rsidR="00A74F01">
              <w:t>α</w:t>
            </w:r>
            <w:r w:rsidRPr="003908CB">
              <w:t>ν ἔχει</w:t>
            </w:r>
          </w:p>
        </w:tc>
      </w:tr>
      <w:tr w:rsidR="003908CB" w:rsidRPr="007114F4" w:rsidTr="007114F4">
        <w:tc>
          <w:tcPr>
            <w:tcW w:w="3616" w:type="dxa"/>
            <w:vAlign w:val="bottom"/>
          </w:tcPr>
          <w:p w:rsidR="003908CB" w:rsidRPr="003908CB" w:rsidRDefault="003908CB" w:rsidP="00B93B92">
            <w:pPr>
              <w:pStyle w:val="centrum"/>
            </w:pPr>
            <w:r w:rsidRPr="003908CB">
              <w:t xml:space="preserve">ἐπὶ τῆς γῆς </w:t>
            </w:r>
          </w:p>
        </w:tc>
        <w:tc>
          <w:tcPr>
            <w:tcW w:w="3616" w:type="dxa"/>
            <w:vAlign w:val="bottom"/>
          </w:tcPr>
          <w:p w:rsidR="003908CB" w:rsidRPr="003908CB" w:rsidRDefault="003908CB" w:rsidP="00B93B92">
            <w:pPr>
              <w:pStyle w:val="centrum"/>
            </w:pPr>
            <w:r w:rsidRPr="003908CB">
              <w:t>ἐπὶ τῆς γῆς</w:t>
            </w:r>
          </w:p>
        </w:tc>
        <w:tc>
          <w:tcPr>
            <w:tcW w:w="3617" w:type="dxa"/>
            <w:vAlign w:val="bottom"/>
          </w:tcPr>
          <w:p w:rsidR="003908CB" w:rsidRPr="003908CB" w:rsidRDefault="003908CB" w:rsidP="00B93B92">
            <w:pPr>
              <w:pStyle w:val="centrum"/>
            </w:pPr>
            <w:r w:rsidRPr="003908CB">
              <w:t>ἐπὶ τῆς γῆς</w:t>
            </w:r>
          </w:p>
        </w:tc>
      </w:tr>
      <w:tr w:rsidR="003908CB" w:rsidRPr="007114F4" w:rsidTr="007114F4">
        <w:tc>
          <w:tcPr>
            <w:tcW w:w="3616" w:type="dxa"/>
            <w:vAlign w:val="bottom"/>
          </w:tcPr>
          <w:p w:rsidR="003908CB" w:rsidRPr="003908CB" w:rsidRDefault="003908CB" w:rsidP="00B93B92">
            <w:pPr>
              <w:pStyle w:val="centrum"/>
            </w:pPr>
            <w:r w:rsidRPr="003908CB">
              <w:t>ἀφι</w:t>
            </w:r>
            <w:r w:rsidR="00C771BF">
              <w:t>έ</w:t>
            </w:r>
            <w:r w:rsidRPr="003908CB">
              <w:t>ν</w:t>
            </w:r>
            <w:r w:rsidR="00A74F01">
              <w:t>α</w:t>
            </w:r>
            <w:r w:rsidRPr="003908CB">
              <w:t>ι ἁμ</w:t>
            </w:r>
            <w:r w:rsidR="00A74F01">
              <w:t>α</w:t>
            </w:r>
            <w:r w:rsidRPr="003908CB">
              <w:t>ρτ</w:t>
            </w:r>
            <w:r w:rsidR="00DB352C">
              <w:t>ί</w:t>
            </w:r>
            <w:r w:rsidR="00A74F01">
              <w:t>α</w:t>
            </w:r>
            <w:r w:rsidRPr="003908CB">
              <w:t xml:space="preserve">ς </w:t>
            </w:r>
          </w:p>
        </w:tc>
        <w:tc>
          <w:tcPr>
            <w:tcW w:w="3616" w:type="dxa"/>
            <w:vAlign w:val="bottom"/>
          </w:tcPr>
          <w:p w:rsidR="003908CB" w:rsidRPr="003908CB" w:rsidRDefault="003908CB" w:rsidP="00B93B92">
            <w:pPr>
              <w:pStyle w:val="centrum"/>
            </w:pPr>
            <w:r w:rsidRPr="003908CB">
              <w:t>ἀφι</w:t>
            </w:r>
            <w:r w:rsidR="00C771BF">
              <w:t>έ</w:t>
            </w:r>
            <w:r w:rsidRPr="003908CB">
              <w:t>ν</w:t>
            </w:r>
            <w:r w:rsidR="00A74F01">
              <w:t>α</w:t>
            </w:r>
            <w:r w:rsidRPr="003908CB">
              <w:t>ι ἁμ</w:t>
            </w:r>
            <w:r w:rsidR="00A74F01">
              <w:t>α</w:t>
            </w:r>
            <w:r w:rsidRPr="003908CB">
              <w:t>ρτ</w:t>
            </w:r>
            <w:r w:rsidR="00DB352C">
              <w:t>ί</w:t>
            </w:r>
            <w:r w:rsidR="00A74F01">
              <w:t>α</w:t>
            </w:r>
            <w:r w:rsidRPr="003908CB">
              <w:t>ς</w:t>
            </w:r>
          </w:p>
        </w:tc>
        <w:tc>
          <w:tcPr>
            <w:tcW w:w="3617" w:type="dxa"/>
            <w:vAlign w:val="bottom"/>
          </w:tcPr>
          <w:p w:rsidR="003908CB" w:rsidRPr="003908CB" w:rsidRDefault="003908CB" w:rsidP="00B93B92">
            <w:pPr>
              <w:pStyle w:val="centrum"/>
            </w:pPr>
            <w:r w:rsidRPr="003908CB">
              <w:t>ἀφι</w:t>
            </w:r>
            <w:r w:rsidR="00C771BF">
              <w:t>έ</w:t>
            </w:r>
            <w:r w:rsidRPr="003908CB">
              <w:t>ν</w:t>
            </w:r>
            <w:r w:rsidR="00A74F01">
              <w:t>α</w:t>
            </w:r>
            <w:r w:rsidRPr="003908CB">
              <w:t>ι ἁμ</w:t>
            </w:r>
            <w:r w:rsidR="00A74F01">
              <w:t>α</w:t>
            </w:r>
            <w:r w:rsidRPr="003908CB">
              <w:t>ρτ</w:t>
            </w:r>
            <w:r w:rsidR="00DB352C">
              <w:t>ί</w:t>
            </w:r>
            <w:r w:rsidR="00A74F01">
              <w:t>α</w:t>
            </w:r>
            <w:r w:rsidRPr="003908CB">
              <w:t>ς</w:t>
            </w:r>
          </w:p>
        </w:tc>
      </w:tr>
      <w:tr w:rsidR="003908CB" w:rsidRPr="007114F4" w:rsidTr="007114F4">
        <w:tc>
          <w:tcPr>
            <w:tcW w:w="3616" w:type="dxa"/>
            <w:vAlign w:val="bottom"/>
          </w:tcPr>
          <w:p w:rsidR="003908CB" w:rsidRPr="003908CB" w:rsidRDefault="003908CB" w:rsidP="00B93B92">
            <w:pPr>
              <w:pStyle w:val="centrum"/>
            </w:pPr>
            <w:r w:rsidRPr="003908CB">
              <w:t>τ</w:t>
            </w:r>
            <w:r w:rsidR="00736374">
              <w:t>ό</w:t>
            </w:r>
            <w:r w:rsidRPr="003908CB">
              <w:t>τε λ</w:t>
            </w:r>
            <w:r w:rsidR="00C771BF">
              <w:t>έ</w:t>
            </w:r>
            <w:r w:rsidRPr="003908CB">
              <w:t>γει τῷ π</w:t>
            </w:r>
            <w:r w:rsidR="00A74F01">
              <w:t>α</w:t>
            </w:r>
            <w:r w:rsidRPr="003908CB">
              <w:t>ρ</w:t>
            </w:r>
            <w:r w:rsidR="00A74F01">
              <w:t>α</w:t>
            </w:r>
            <w:r w:rsidRPr="003908CB">
              <w:t xml:space="preserve">λυτικῷ, </w:t>
            </w:r>
          </w:p>
        </w:tc>
        <w:tc>
          <w:tcPr>
            <w:tcW w:w="3616" w:type="dxa"/>
            <w:vAlign w:val="bottom"/>
          </w:tcPr>
          <w:p w:rsidR="003908CB" w:rsidRPr="003908CB" w:rsidRDefault="003908CB" w:rsidP="00B93B92">
            <w:pPr>
              <w:pStyle w:val="centrum"/>
            </w:pPr>
            <w:r w:rsidRPr="003908CB">
              <w:t>λ</w:t>
            </w:r>
            <w:r w:rsidR="00C771BF">
              <w:t>έ</w:t>
            </w:r>
            <w:r w:rsidRPr="003908CB">
              <w:t>γει τῷ π</w:t>
            </w:r>
            <w:r w:rsidR="00A74F01">
              <w:t>α</w:t>
            </w:r>
            <w:r w:rsidRPr="003908CB">
              <w:t>ρ</w:t>
            </w:r>
            <w:r w:rsidR="00A74F01">
              <w:t>α</w:t>
            </w:r>
            <w:r w:rsidRPr="003908CB">
              <w:t>λυτικῷ,</w:t>
            </w:r>
          </w:p>
        </w:tc>
        <w:tc>
          <w:tcPr>
            <w:tcW w:w="3617" w:type="dxa"/>
            <w:vAlign w:val="bottom"/>
          </w:tcPr>
          <w:p w:rsidR="003908CB" w:rsidRPr="003908CB" w:rsidRDefault="003908CB" w:rsidP="00B93B92">
            <w:pPr>
              <w:pStyle w:val="centrum"/>
            </w:pPr>
            <w:r w:rsidRPr="003908CB">
              <w:t>εἶπεν τῷ π</w:t>
            </w:r>
            <w:r w:rsidR="00A74F01">
              <w:t>α</w:t>
            </w:r>
            <w:r w:rsidRPr="003908CB">
              <w:t>ρ</w:t>
            </w:r>
            <w:r w:rsidR="00A74F01">
              <w:t>α</w:t>
            </w:r>
            <w:r w:rsidRPr="003908CB">
              <w:t>λελυμ</w:t>
            </w:r>
            <w:r w:rsidR="00C771BF">
              <w:t>έ</w:t>
            </w:r>
            <w:r w:rsidRPr="003908CB">
              <w:t>νῳ,</w:t>
            </w:r>
          </w:p>
        </w:tc>
      </w:tr>
      <w:tr w:rsidR="003908CB" w:rsidRPr="007114F4" w:rsidTr="007114F4">
        <w:tc>
          <w:tcPr>
            <w:tcW w:w="3616" w:type="dxa"/>
            <w:vAlign w:val="bottom"/>
          </w:tcPr>
          <w:p w:rsidR="003908CB" w:rsidRPr="003908CB" w:rsidRDefault="003908CB" w:rsidP="003908CB"/>
        </w:tc>
        <w:tc>
          <w:tcPr>
            <w:tcW w:w="3616" w:type="dxa"/>
            <w:vAlign w:val="bottom"/>
          </w:tcPr>
          <w:p w:rsidR="003908CB" w:rsidRPr="003908CB" w:rsidRDefault="003908CB" w:rsidP="00B93B92">
            <w:pPr>
              <w:pStyle w:val="centrum"/>
            </w:pPr>
            <w:r w:rsidRPr="003908CB">
              <w:t>Σοὶ λ</w:t>
            </w:r>
            <w:r w:rsidR="00C771BF">
              <w:t>έ</w:t>
            </w:r>
            <w:r w:rsidRPr="003908CB">
              <w:t>γω,</w:t>
            </w:r>
          </w:p>
        </w:tc>
        <w:tc>
          <w:tcPr>
            <w:tcW w:w="3617" w:type="dxa"/>
            <w:vAlign w:val="bottom"/>
          </w:tcPr>
          <w:p w:rsidR="003908CB" w:rsidRPr="003908CB" w:rsidRDefault="003908CB" w:rsidP="00B93B92">
            <w:pPr>
              <w:pStyle w:val="centrum"/>
            </w:pPr>
            <w:r w:rsidRPr="003908CB">
              <w:t>Σοὶ λ</w:t>
            </w:r>
            <w:r w:rsidR="00C771BF">
              <w:t>έ</w:t>
            </w:r>
            <w:r w:rsidRPr="003908CB">
              <w:t>γω,</w:t>
            </w:r>
          </w:p>
        </w:tc>
      </w:tr>
      <w:tr w:rsidR="003908CB" w:rsidRPr="007114F4" w:rsidTr="007114F4">
        <w:tc>
          <w:tcPr>
            <w:tcW w:w="3616" w:type="dxa"/>
            <w:vAlign w:val="bottom"/>
          </w:tcPr>
          <w:p w:rsidR="003908CB" w:rsidRPr="003908CB" w:rsidRDefault="003908CB" w:rsidP="00B93B92">
            <w:pPr>
              <w:pStyle w:val="centrum"/>
            </w:pPr>
            <w:r w:rsidRPr="003908CB">
              <w:t xml:space="preserve">Ἐγερθεὶς </w:t>
            </w:r>
          </w:p>
        </w:tc>
        <w:tc>
          <w:tcPr>
            <w:tcW w:w="3616" w:type="dxa"/>
            <w:vAlign w:val="bottom"/>
          </w:tcPr>
          <w:p w:rsidR="003908CB" w:rsidRPr="003908CB" w:rsidRDefault="003908CB" w:rsidP="00B93B92">
            <w:pPr>
              <w:pStyle w:val="centrum"/>
            </w:pPr>
            <w:r w:rsidRPr="003908CB">
              <w:t>ἔγειρε</w:t>
            </w:r>
          </w:p>
        </w:tc>
        <w:tc>
          <w:tcPr>
            <w:tcW w:w="3617" w:type="dxa"/>
            <w:vAlign w:val="bottom"/>
          </w:tcPr>
          <w:p w:rsidR="003908CB" w:rsidRPr="003908CB" w:rsidRDefault="003908CB" w:rsidP="00B93B92">
            <w:pPr>
              <w:pStyle w:val="centrum"/>
            </w:pPr>
            <w:r w:rsidRPr="003908CB">
              <w:t>ἔγειρε</w:t>
            </w:r>
          </w:p>
        </w:tc>
      </w:tr>
      <w:tr w:rsidR="003908CB" w:rsidRPr="007114F4" w:rsidTr="007114F4">
        <w:tc>
          <w:tcPr>
            <w:tcW w:w="3616" w:type="dxa"/>
            <w:vAlign w:val="bottom"/>
          </w:tcPr>
          <w:p w:rsidR="003908CB" w:rsidRPr="003908CB" w:rsidRDefault="003908CB" w:rsidP="00B93B92">
            <w:pPr>
              <w:pStyle w:val="centrum"/>
            </w:pPr>
            <w:r w:rsidRPr="003908CB">
              <w:t>ἆρ</w:t>
            </w:r>
            <w:r w:rsidR="00736374">
              <w:t>ό</w:t>
            </w:r>
            <w:r w:rsidRPr="003908CB">
              <w:t>ν σου τὴν κλ</w:t>
            </w:r>
            <w:r w:rsidR="00DB352C">
              <w:t>ί</w:t>
            </w:r>
            <w:r w:rsidRPr="003908CB">
              <w:t xml:space="preserve">νην </w:t>
            </w:r>
          </w:p>
        </w:tc>
        <w:tc>
          <w:tcPr>
            <w:tcW w:w="3616" w:type="dxa"/>
            <w:vAlign w:val="bottom"/>
          </w:tcPr>
          <w:p w:rsidR="003908CB" w:rsidRPr="003908CB" w:rsidRDefault="003908CB" w:rsidP="00B93B92">
            <w:pPr>
              <w:pStyle w:val="centrum"/>
            </w:pPr>
            <w:r w:rsidRPr="003908CB">
              <w:t>ἆρον τὸν κρ</w:t>
            </w:r>
            <w:r w:rsidR="00CD3C57">
              <w:t>ά</w:t>
            </w:r>
            <w:r w:rsidRPr="003908CB">
              <w:t>β</w:t>
            </w:r>
            <w:r w:rsidR="00A74F01">
              <w:t>α</w:t>
            </w:r>
            <w:r w:rsidRPr="003908CB">
              <w:t>ττ</w:t>
            </w:r>
            <w:r w:rsidR="00736374">
              <w:t>ό</w:t>
            </w:r>
            <w:r w:rsidRPr="003908CB">
              <w:t>ν σου</w:t>
            </w:r>
          </w:p>
        </w:tc>
        <w:tc>
          <w:tcPr>
            <w:tcW w:w="3617" w:type="dxa"/>
            <w:vAlign w:val="bottom"/>
          </w:tcPr>
          <w:p w:rsidR="003908CB" w:rsidRPr="003908CB" w:rsidRDefault="003908CB" w:rsidP="00B93B92">
            <w:pPr>
              <w:pStyle w:val="centrum"/>
            </w:pPr>
            <w:r w:rsidRPr="003908CB">
              <w:t>κ</w:t>
            </w:r>
            <w:r w:rsidR="00A74F01">
              <w:t>α</w:t>
            </w:r>
            <w:r w:rsidRPr="003908CB">
              <w:t>ὶ ἄρ</w:t>
            </w:r>
            <w:r w:rsidR="00A74F01">
              <w:t>α</w:t>
            </w:r>
            <w:r w:rsidRPr="003908CB">
              <w:t>ς τὸ κλιν</w:t>
            </w:r>
            <w:r w:rsidR="00DB352C">
              <w:t>ί</w:t>
            </w:r>
            <w:r w:rsidRPr="003908CB">
              <w:t>δι</w:t>
            </w:r>
            <w:r w:rsidR="00736374">
              <w:t>ό</w:t>
            </w:r>
            <w:r w:rsidRPr="003908CB">
              <w:t>ν σου</w:t>
            </w:r>
          </w:p>
        </w:tc>
      </w:tr>
      <w:tr w:rsidR="003908CB" w:rsidRPr="007114F4" w:rsidTr="007114F4">
        <w:tc>
          <w:tcPr>
            <w:tcW w:w="3616" w:type="dxa"/>
            <w:vAlign w:val="bottom"/>
          </w:tcPr>
          <w:p w:rsidR="003908CB" w:rsidRPr="003908CB" w:rsidRDefault="003908CB" w:rsidP="00B93B92">
            <w:pPr>
              <w:pStyle w:val="centrum"/>
            </w:pPr>
            <w:r w:rsidRPr="003908CB">
              <w:t>κ</w:t>
            </w:r>
            <w:r w:rsidR="00A74F01">
              <w:t>α</w:t>
            </w:r>
            <w:r w:rsidRPr="003908CB">
              <w:t>ὶ ὕπ</w:t>
            </w:r>
            <w:r w:rsidR="00A74F01">
              <w:t>α</w:t>
            </w:r>
            <w:r w:rsidRPr="003908CB">
              <w:t xml:space="preserve">γε </w:t>
            </w:r>
          </w:p>
        </w:tc>
        <w:tc>
          <w:tcPr>
            <w:tcW w:w="3616" w:type="dxa"/>
            <w:vAlign w:val="bottom"/>
          </w:tcPr>
          <w:p w:rsidR="003908CB" w:rsidRPr="003908CB" w:rsidRDefault="003908CB" w:rsidP="00B93B92">
            <w:pPr>
              <w:pStyle w:val="centrum"/>
            </w:pPr>
            <w:r w:rsidRPr="003908CB">
              <w:t xml:space="preserve"> κ</w:t>
            </w:r>
            <w:r w:rsidR="00A74F01">
              <w:t>α</w:t>
            </w:r>
            <w:r w:rsidRPr="003908CB">
              <w:t>ὶ ὕπ</w:t>
            </w:r>
            <w:r w:rsidR="00A74F01">
              <w:t>α</w:t>
            </w:r>
            <w:r w:rsidRPr="003908CB">
              <w:t>γε</w:t>
            </w:r>
          </w:p>
        </w:tc>
        <w:tc>
          <w:tcPr>
            <w:tcW w:w="3617" w:type="dxa"/>
            <w:vAlign w:val="bottom"/>
          </w:tcPr>
          <w:p w:rsidR="003908CB" w:rsidRPr="003908CB" w:rsidRDefault="003908CB" w:rsidP="00B93B92">
            <w:pPr>
              <w:pStyle w:val="centrum"/>
            </w:pPr>
            <w:r w:rsidRPr="003908CB">
              <w:t>πορε</w:t>
            </w:r>
            <w:r w:rsidR="00C151D4">
              <w:t>ύ</w:t>
            </w:r>
            <w:r w:rsidRPr="003908CB">
              <w:t>ου</w:t>
            </w:r>
          </w:p>
        </w:tc>
      </w:tr>
      <w:tr w:rsidR="003908CB" w:rsidRPr="007114F4" w:rsidTr="007114F4">
        <w:tc>
          <w:tcPr>
            <w:tcW w:w="3616" w:type="dxa"/>
            <w:vAlign w:val="bottom"/>
          </w:tcPr>
          <w:p w:rsidR="003908CB" w:rsidRPr="003908CB" w:rsidRDefault="003908CB" w:rsidP="00B93B92">
            <w:pPr>
              <w:pStyle w:val="centrum"/>
            </w:pPr>
            <w:r w:rsidRPr="003908CB">
              <w:t>εἰς τὸν οἶκ</w:t>
            </w:r>
            <w:r w:rsidR="00736374">
              <w:t>ό</w:t>
            </w:r>
            <w:r w:rsidRPr="003908CB">
              <w:t>ν σου.</w:t>
            </w:r>
          </w:p>
        </w:tc>
        <w:tc>
          <w:tcPr>
            <w:tcW w:w="3616" w:type="dxa"/>
            <w:vAlign w:val="bottom"/>
          </w:tcPr>
          <w:p w:rsidR="003908CB" w:rsidRPr="003908CB" w:rsidRDefault="003908CB" w:rsidP="00B93B92">
            <w:pPr>
              <w:pStyle w:val="centrum"/>
            </w:pPr>
            <w:r w:rsidRPr="003908CB">
              <w:t>εἰς τὸν οἶκ</w:t>
            </w:r>
            <w:r w:rsidR="00736374">
              <w:t>ό</w:t>
            </w:r>
            <w:r w:rsidRPr="003908CB">
              <w:t>ν σου.</w:t>
            </w:r>
          </w:p>
        </w:tc>
        <w:tc>
          <w:tcPr>
            <w:tcW w:w="3617" w:type="dxa"/>
            <w:vAlign w:val="bottom"/>
          </w:tcPr>
          <w:p w:rsidR="003908CB" w:rsidRPr="003908CB" w:rsidRDefault="003908CB" w:rsidP="00B93B92">
            <w:pPr>
              <w:pStyle w:val="centrum"/>
            </w:pPr>
            <w:r w:rsidRPr="003908CB">
              <w:t>εἰς τὸν οἶκ</w:t>
            </w:r>
            <w:r w:rsidR="00736374">
              <w:t>ό</w:t>
            </w:r>
            <w:r w:rsidRPr="003908CB">
              <w:t>ν σου.</w:t>
            </w:r>
          </w:p>
        </w:tc>
      </w:tr>
    </w:tbl>
    <w:p w:rsidR="003908CB" w:rsidRDefault="003908CB" w:rsidP="00C2602D">
      <w:pPr>
        <w:rPr>
          <w:rFonts w:eastAsia="Arial Unicode MS"/>
          <w:bCs/>
          <w:lang w:eastAsia="fr-FR" w:bidi="he-IL"/>
        </w:rPr>
      </w:pPr>
    </w:p>
    <w:p w:rsidR="00C2602D" w:rsidRDefault="00B704AD" w:rsidP="00C2602D">
      <w:pPr>
        <w:rPr>
          <w:rFonts w:eastAsia="Arial Unicode MS"/>
          <w:bCs/>
          <w:lang w:eastAsia="fr-FR" w:bidi="he-IL"/>
        </w:rPr>
      </w:pPr>
      <w:r w:rsidRPr="00C8701B">
        <w:rPr>
          <w:rFonts w:eastAsia="Arial Unicode MS"/>
          <w:bCs/>
          <w:lang w:eastAsia="fr-FR" w:bidi="he-IL"/>
        </w:rPr>
        <w:t>Autre exemple</w:t>
      </w:r>
      <w:r w:rsidR="00E65435">
        <w:rPr>
          <w:rFonts w:eastAsia="Arial Unicode MS"/>
          <w:bCs/>
          <w:lang w:eastAsia="fr-FR" w:bidi="he-IL"/>
        </w:rPr>
        <w:t xml:space="preserve">, </w:t>
      </w:r>
      <w:r w:rsidRPr="00C8701B">
        <w:rPr>
          <w:rFonts w:eastAsia="Arial Unicode MS"/>
          <w:bCs/>
          <w:lang w:eastAsia="fr-FR" w:bidi="he-IL"/>
        </w:rPr>
        <w:t>emprunté au récit de la guérison d</w:t>
      </w:r>
      <w:r w:rsidR="00557DE0">
        <w:rPr>
          <w:rFonts w:eastAsia="Arial Unicode MS"/>
          <w:bCs/>
          <w:lang w:eastAsia="fr-FR" w:bidi="he-IL"/>
        </w:rPr>
        <w:t>’</w:t>
      </w:r>
      <w:r w:rsidRPr="00C8701B">
        <w:rPr>
          <w:rFonts w:eastAsia="Arial Unicode MS"/>
          <w:bCs/>
          <w:lang w:eastAsia="fr-FR" w:bidi="he-IL"/>
        </w:rPr>
        <w:t>un lépreux au début du ministère de Jésus en Galilée.</w:t>
      </w:r>
      <w:r w:rsidR="00C2602D" w:rsidRPr="00C8701B">
        <w:rPr>
          <w:rFonts w:eastAsia="Arial Unicode MS"/>
          <w:bCs/>
          <w:lang w:eastAsia="fr-FR" w:bidi="he-IL"/>
        </w:rPr>
        <w:t xml:space="preserve"> </w:t>
      </w:r>
      <w:r w:rsidR="00A067B1" w:rsidRPr="000716BB">
        <w:rPr>
          <w:rFonts w:eastAsia="Arial Unicode MS"/>
          <w:bCs/>
          <w:lang w:eastAsia="fr-FR" w:bidi="he-IL"/>
        </w:rPr>
        <w:t>{</w:t>
      </w:r>
      <w:r w:rsidR="00A067B1">
        <w:rPr>
          <w:rFonts w:eastAsia="Arial Unicode MS"/>
          <w:bCs/>
          <w:lang w:eastAsia="fr-FR" w:bidi="he-IL"/>
        </w:rPr>
        <w:t>31</w:t>
      </w:r>
      <w:bookmarkStart w:id="54" w:name="pag031"/>
      <w:bookmarkEnd w:id="54"/>
      <w:r w:rsidR="00A067B1" w:rsidRPr="000716BB">
        <w:rPr>
          <w:rFonts w:eastAsia="Arial Unicode MS"/>
          <w:bCs/>
          <w:lang w:eastAsia="fr-FR" w:bidi="he-IL"/>
        </w:rPr>
        <w:t>}</w:t>
      </w:r>
    </w:p>
    <w:p w:rsidR="003908CB" w:rsidRDefault="003908CB" w:rsidP="00C2602D">
      <w:pPr>
        <w:rPr>
          <w:rFonts w:eastAsia="Arial Unicode MS"/>
          <w:bCs/>
          <w:lang w:eastAsia="fr-FR" w:bidi="he-IL"/>
        </w:rPr>
      </w:pPr>
    </w:p>
    <w:tbl>
      <w:tblPr>
        <w:tblW w:w="0" w:type="auto"/>
        <w:tblLook w:val="04A0"/>
      </w:tblPr>
      <w:tblGrid>
        <w:gridCol w:w="3528"/>
        <w:gridCol w:w="3534"/>
        <w:gridCol w:w="3530"/>
      </w:tblGrid>
      <w:tr w:rsidR="00A604BA" w:rsidRPr="003908CB" w:rsidTr="007114F4">
        <w:tc>
          <w:tcPr>
            <w:tcW w:w="3616" w:type="dxa"/>
            <w:vAlign w:val="bottom"/>
          </w:tcPr>
          <w:p w:rsidR="00A604BA" w:rsidRPr="007114F4" w:rsidRDefault="00A604BA">
            <w:pPr>
              <w:rPr>
                <w:color w:val="000000"/>
                <w:szCs w:val="25"/>
              </w:rPr>
            </w:pPr>
            <w:r w:rsidRPr="007114F4">
              <w:rPr>
                <w:rFonts w:eastAsia="Arial Unicode MS"/>
                <w:color w:val="000000"/>
                <w:szCs w:val="25"/>
              </w:rPr>
              <w:t>Matth. VIII, 2-3.</w:t>
            </w:r>
          </w:p>
        </w:tc>
        <w:tc>
          <w:tcPr>
            <w:tcW w:w="3616" w:type="dxa"/>
            <w:vAlign w:val="bottom"/>
          </w:tcPr>
          <w:p w:rsidR="00A604BA" w:rsidRPr="007114F4" w:rsidRDefault="00A604BA">
            <w:pPr>
              <w:rPr>
                <w:color w:val="000000"/>
                <w:szCs w:val="25"/>
              </w:rPr>
            </w:pPr>
            <w:r w:rsidRPr="007114F4">
              <w:rPr>
                <w:rFonts w:eastAsia="Arial Unicode MS"/>
                <w:color w:val="000000"/>
                <w:szCs w:val="25"/>
              </w:rPr>
              <w:t xml:space="preserve">Marc. I, 40-41. </w:t>
            </w:r>
          </w:p>
        </w:tc>
        <w:tc>
          <w:tcPr>
            <w:tcW w:w="3617" w:type="dxa"/>
            <w:vAlign w:val="bottom"/>
          </w:tcPr>
          <w:p w:rsidR="00A604BA" w:rsidRPr="007114F4" w:rsidRDefault="00A604BA">
            <w:pPr>
              <w:rPr>
                <w:color w:val="000000"/>
                <w:szCs w:val="25"/>
              </w:rPr>
            </w:pPr>
            <w:r w:rsidRPr="007114F4">
              <w:rPr>
                <w:rFonts w:eastAsia="Arial Unicode MS"/>
                <w:color w:val="000000"/>
                <w:szCs w:val="25"/>
              </w:rPr>
              <w:t xml:space="preserve">Luc. </w:t>
            </w:r>
            <w:r w:rsidR="00835131">
              <w:rPr>
                <w:rFonts w:eastAsia="Arial Unicode MS"/>
                <w:color w:val="000000"/>
                <w:szCs w:val="25"/>
              </w:rPr>
              <w:t>V</w:t>
            </w:r>
            <w:r w:rsidRPr="007114F4">
              <w:rPr>
                <w:rFonts w:eastAsia="Arial Unicode MS"/>
                <w:color w:val="000000"/>
                <w:szCs w:val="25"/>
              </w:rPr>
              <w:t>, 12-13.</w:t>
            </w:r>
          </w:p>
        </w:tc>
      </w:tr>
      <w:tr w:rsidR="00A604BA" w:rsidRPr="003908CB" w:rsidTr="007114F4">
        <w:tc>
          <w:tcPr>
            <w:tcW w:w="3616" w:type="dxa"/>
            <w:vAlign w:val="bottom"/>
          </w:tcPr>
          <w:p w:rsidR="00A604BA" w:rsidRPr="007114F4" w:rsidRDefault="00A604BA">
            <w:pPr>
              <w:rPr>
                <w:color w:val="000000"/>
                <w:szCs w:val="25"/>
              </w:rPr>
            </w:pPr>
            <w:r w:rsidRPr="007114F4">
              <w:rPr>
                <w:color w:val="000000"/>
                <w:szCs w:val="25"/>
              </w:rPr>
              <w:t>λ</w:t>
            </w:r>
            <w:r w:rsidR="00C771BF">
              <w:rPr>
                <w:color w:val="000000"/>
                <w:szCs w:val="25"/>
              </w:rPr>
              <w:t>έ</w:t>
            </w:r>
            <w:r w:rsidRPr="007114F4">
              <w:rPr>
                <w:color w:val="000000"/>
                <w:szCs w:val="25"/>
              </w:rPr>
              <w:t xml:space="preserve">γων, </w:t>
            </w:r>
          </w:p>
        </w:tc>
        <w:tc>
          <w:tcPr>
            <w:tcW w:w="3616" w:type="dxa"/>
            <w:vAlign w:val="bottom"/>
          </w:tcPr>
          <w:p w:rsidR="00A604BA" w:rsidRPr="007114F4" w:rsidRDefault="00A604BA">
            <w:pPr>
              <w:rPr>
                <w:color w:val="000000"/>
                <w:szCs w:val="25"/>
              </w:rPr>
            </w:pPr>
            <w:r w:rsidRPr="007114F4">
              <w:rPr>
                <w:color w:val="000000"/>
                <w:szCs w:val="25"/>
              </w:rPr>
              <w:t>λ</w:t>
            </w:r>
            <w:r w:rsidR="00C771BF">
              <w:rPr>
                <w:color w:val="000000"/>
                <w:szCs w:val="25"/>
              </w:rPr>
              <w:t>έ</w:t>
            </w:r>
            <w:r w:rsidRPr="007114F4">
              <w:rPr>
                <w:color w:val="000000"/>
                <w:szCs w:val="25"/>
              </w:rPr>
              <w:t>γων</w:t>
            </w:r>
          </w:p>
        </w:tc>
        <w:tc>
          <w:tcPr>
            <w:tcW w:w="3617" w:type="dxa"/>
            <w:vAlign w:val="bottom"/>
          </w:tcPr>
          <w:p w:rsidR="00A604BA" w:rsidRPr="007114F4" w:rsidRDefault="00A604BA">
            <w:pPr>
              <w:rPr>
                <w:color w:val="000000"/>
                <w:szCs w:val="25"/>
              </w:rPr>
            </w:pPr>
            <w:r w:rsidRPr="007114F4">
              <w:rPr>
                <w:color w:val="000000"/>
                <w:szCs w:val="25"/>
              </w:rPr>
              <w:t>κ</w:t>
            </w:r>
            <w:r w:rsidR="00A74F01">
              <w:rPr>
                <w:color w:val="000000"/>
                <w:szCs w:val="25"/>
              </w:rPr>
              <w:t>α</w:t>
            </w:r>
            <w:r w:rsidRPr="007114F4">
              <w:rPr>
                <w:color w:val="000000"/>
                <w:szCs w:val="25"/>
              </w:rPr>
              <w:t>ὶ λ</w:t>
            </w:r>
            <w:r w:rsidR="00C771BF">
              <w:rPr>
                <w:color w:val="000000"/>
                <w:szCs w:val="25"/>
              </w:rPr>
              <w:t>έ</w:t>
            </w:r>
            <w:r w:rsidRPr="007114F4">
              <w:rPr>
                <w:color w:val="000000"/>
                <w:szCs w:val="25"/>
              </w:rPr>
              <w:t xml:space="preserve">γων </w:t>
            </w:r>
            <w:r w:rsidR="00A74F01">
              <w:rPr>
                <w:color w:val="000000"/>
                <w:szCs w:val="25"/>
              </w:rPr>
              <w:t>α</w:t>
            </w:r>
            <w:r w:rsidRPr="007114F4">
              <w:rPr>
                <w:color w:val="000000"/>
                <w:szCs w:val="25"/>
              </w:rPr>
              <w:t>ὐτῷ,</w:t>
            </w:r>
          </w:p>
        </w:tc>
      </w:tr>
      <w:tr w:rsidR="00A604BA" w:rsidRPr="003908CB" w:rsidTr="007114F4">
        <w:tc>
          <w:tcPr>
            <w:tcW w:w="3616" w:type="dxa"/>
            <w:vAlign w:val="bottom"/>
          </w:tcPr>
          <w:p w:rsidR="00A604BA" w:rsidRPr="007114F4" w:rsidRDefault="00A604BA">
            <w:pPr>
              <w:rPr>
                <w:color w:val="000000"/>
                <w:szCs w:val="25"/>
              </w:rPr>
            </w:pPr>
            <w:r w:rsidRPr="007114F4">
              <w:rPr>
                <w:color w:val="000000"/>
                <w:szCs w:val="25"/>
              </w:rPr>
              <w:t>Κ</w:t>
            </w:r>
            <w:r w:rsidR="00C151D4">
              <w:rPr>
                <w:color w:val="000000"/>
                <w:szCs w:val="25"/>
              </w:rPr>
              <w:t>ύ</w:t>
            </w:r>
            <w:r w:rsidRPr="007114F4">
              <w:rPr>
                <w:color w:val="000000"/>
                <w:szCs w:val="25"/>
              </w:rPr>
              <w:t>ριε, ἐ</w:t>
            </w:r>
            <w:r w:rsidR="00116664">
              <w:rPr>
                <w:color w:val="000000"/>
                <w:szCs w:val="25"/>
              </w:rPr>
              <w:t>ὰ</w:t>
            </w:r>
            <w:r w:rsidRPr="007114F4">
              <w:rPr>
                <w:color w:val="000000"/>
                <w:szCs w:val="25"/>
              </w:rPr>
              <w:t>ν θ</w:t>
            </w:r>
            <w:r w:rsidR="00C771BF">
              <w:rPr>
                <w:color w:val="000000"/>
                <w:szCs w:val="25"/>
              </w:rPr>
              <w:t>έ</w:t>
            </w:r>
            <w:r w:rsidRPr="007114F4">
              <w:rPr>
                <w:color w:val="000000"/>
                <w:szCs w:val="25"/>
              </w:rPr>
              <w:t xml:space="preserve">λῃς </w:t>
            </w:r>
          </w:p>
        </w:tc>
        <w:tc>
          <w:tcPr>
            <w:tcW w:w="3616" w:type="dxa"/>
            <w:vAlign w:val="bottom"/>
          </w:tcPr>
          <w:p w:rsidR="00A604BA" w:rsidRPr="007114F4" w:rsidRDefault="00A604BA">
            <w:pPr>
              <w:rPr>
                <w:color w:val="000000"/>
                <w:szCs w:val="25"/>
              </w:rPr>
            </w:pPr>
            <w:r w:rsidRPr="007114F4">
              <w:rPr>
                <w:color w:val="000000"/>
                <w:szCs w:val="25"/>
              </w:rPr>
              <w:t>ὅτι Ἐ</w:t>
            </w:r>
            <w:r w:rsidR="00116664">
              <w:rPr>
                <w:color w:val="000000"/>
                <w:szCs w:val="25"/>
              </w:rPr>
              <w:t>ὰ</w:t>
            </w:r>
            <w:r w:rsidRPr="007114F4">
              <w:rPr>
                <w:color w:val="000000"/>
                <w:szCs w:val="25"/>
              </w:rPr>
              <w:t>ν θ</w:t>
            </w:r>
            <w:r w:rsidR="00C771BF">
              <w:rPr>
                <w:color w:val="000000"/>
                <w:szCs w:val="25"/>
              </w:rPr>
              <w:t>έ</w:t>
            </w:r>
            <w:r w:rsidRPr="007114F4">
              <w:rPr>
                <w:color w:val="000000"/>
                <w:szCs w:val="25"/>
              </w:rPr>
              <w:t>λῃς</w:t>
            </w:r>
          </w:p>
        </w:tc>
        <w:tc>
          <w:tcPr>
            <w:tcW w:w="3617" w:type="dxa"/>
            <w:vAlign w:val="bottom"/>
          </w:tcPr>
          <w:p w:rsidR="00A604BA" w:rsidRPr="007114F4" w:rsidRDefault="00A604BA">
            <w:pPr>
              <w:rPr>
                <w:color w:val="000000"/>
                <w:szCs w:val="25"/>
              </w:rPr>
            </w:pPr>
            <w:r w:rsidRPr="007114F4">
              <w:rPr>
                <w:color w:val="000000"/>
                <w:szCs w:val="25"/>
              </w:rPr>
              <w:t>Κ</w:t>
            </w:r>
            <w:r w:rsidR="00C151D4">
              <w:rPr>
                <w:color w:val="000000"/>
                <w:szCs w:val="25"/>
              </w:rPr>
              <w:t>ύ</w:t>
            </w:r>
            <w:r w:rsidRPr="007114F4">
              <w:rPr>
                <w:color w:val="000000"/>
                <w:szCs w:val="25"/>
              </w:rPr>
              <w:t>ριε, ἐ</w:t>
            </w:r>
            <w:r w:rsidR="00116664">
              <w:rPr>
                <w:color w:val="000000"/>
                <w:szCs w:val="25"/>
              </w:rPr>
              <w:t>ὰ</w:t>
            </w:r>
            <w:r w:rsidRPr="007114F4">
              <w:rPr>
                <w:color w:val="000000"/>
                <w:szCs w:val="25"/>
              </w:rPr>
              <w:t>ν θ</w:t>
            </w:r>
            <w:r w:rsidR="00C771BF">
              <w:rPr>
                <w:color w:val="000000"/>
                <w:szCs w:val="25"/>
              </w:rPr>
              <w:t>έ</w:t>
            </w:r>
            <w:r w:rsidRPr="007114F4">
              <w:rPr>
                <w:color w:val="000000"/>
                <w:szCs w:val="25"/>
              </w:rPr>
              <w:t>λῃς</w:t>
            </w:r>
          </w:p>
        </w:tc>
      </w:tr>
      <w:tr w:rsidR="00A604BA" w:rsidRPr="003908CB" w:rsidTr="007114F4">
        <w:tc>
          <w:tcPr>
            <w:tcW w:w="3616" w:type="dxa"/>
            <w:vAlign w:val="bottom"/>
          </w:tcPr>
          <w:p w:rsidR="00A604BA" w:rsidRPr="007114F4" w:rsidRDefault="00A604BA">
            <w:pPr>
              <w:rPr>
                <w:color w:val="000000"/>
                <w:szCs w:val="25"/>
              </w:rPr>
            </w:pPr>
            <w:r w:rsidRPr="007114F4">
              <w:rPr>
                <w:color w:val="000000"/>
                <w:szCs w:val="25"/>
              </w:rPr>
              <w:t>δ</w:t>
            </w:r>
            <w:r w:rsidR="00C151D4">
              <w:rPr>
                <w:color w:val="000000"/>
                <w:szCs w:val="25"/>
              </w:rPr>
              <w:t>ύ</w:t>
            </w:r>
            <w:r w:rsidRPr="007114F4">
              <w:rPr>
                <w:color w:val="000000"/>
                <w:szCs w:val="25"/>
              </w:rPr>
              <w:t>ν</w:t>
            </w:r>
            <w:r w:rsidR="00A74F01">
              <w:rPr>
                <w:color w:val="000000"/>
                <w:szCs w:val="25"/>
              </w:rPr>
              <w:t>α</w:t>
            </w:r>
            <w:r w:rsidRPr="007114F4">
              <w:rPr>
                <w:color w:val="000000"/>
                <w:szCs w:val="25"/>
              </w:rPr>
              <w:t>σ</w:t>
            </w:r>
            <w:r w:rsidR="00A74F01">
              <w:rPr>
                <w:color w:val="000000"/>
                <w:szCs w:val="25"/>
              </w:rPr>
              <w:t>α</w:t>
            </w:r>
            <w:r w:rsidR="00DB352C">
              <w:rPr>
                <w:color w:val="000000"/>
                <w:szCs w:val="25"/>
              </w:rPr>
              <w:t>ί</w:t>
            </w:r>
            <w:r w:rsidRPr="007114F4">
              <w:rPr>
                <w:color w:val="000000"/>
                <w:szCs w:val="25"/>
              </w:rPr>
              <w:t xml:space="preserve"> με κ</w:t>
            </w:r>
            <w:r w:rsidR="00A74F01">
              <w:rPr>
                <w:color w:val="000000"/>
                <w:szCs w:val="25"/>
              </w:rPr>
              <w:t>α</w:t>
            </w:r>
            <w:r w:rsidRPr="007114F4">
              <w:rPr>
                <w:color w:val="000000"/>
                <w:szCs w:val="25"/>
              </w:rPr>
              <w:t>θ</w:t>
            </w:r>
            <w:r w:rsidR="00A74F01">
              <w:rPr>
                <w:color w:val="000000"/>
                <w:szCs w:val="25"/>
              </w:rPr>
              <w:t>α</w:t>
            </w:r>
            <w:r w:rsidRPr="007114F4">
              <w:rPr>
                <w:color w:val="000000"/>
                <w:szCs w:val="25"/>
              </w:rPr>
              <w:t>ρ</w:t>
            </w:r>
            <w:r w:rsidR="00DB352C">
              <w:rPr>
                <w:color w:val="000000"/>
                <w:szCs w:val="25"/>
              </w:rPr>
              <w:t>ί</w:t>
            </w:r>
            <w:r w:rsidRPr="007114F4">
              <w:rPr>
                <w:color w:val="000000"/>
                <w:szCs w:val="25"/>
              </w:rPr>
              <w:t>σ</w:t>
            </w:r>
            <w:r w:rsidR="00A74F01">
              <w:rPr>
                <w:color w:val="000000"/>
                <w:szCs w:val="25"/>
              </w:rPr>
              <w:t>α</w:t>
            </w:r>
            <w:r w:rsidRPr="007114F4">
              <w:rPr>
                <w:color w:val="000000"/>
                <w:szCs w:val="25"/>
              </w:rPr>
              <w:t>ι.</w:t>
            </w:r>
          </w:p>
        </w:tc>
        <w:tc>
          <w:tcPr>
            <w:tcW w:w="3616" w:type="dxa"/>
            <w:vAlign w:val="bottom"/>
          </w:tcPr>
          <w:p w:rsidR="00A604BA" w:rsidRPr="007114F4" w:rsidRDefault="00A604BA">
            <w:pPr>
              <w:rPr>
                <w:color w:val="000000"/>
                <w:szCs w:val="25"/>
              </w:rPr>
            </w:pPr>
            <w:r w:rsidRPr="007114F4">
              <w:rPr>
                <w:color w:val="000000"/>
                <w:szCs w:val="25"/>
              </w:rPr>
              <w:t>δ</w:t>
            </w:r>
            <w:r w:rsidR="00C151D4">
              <w:rPr>
                <w:color w:val="000000"/>
                <w:szCs w:val="25"/>
              </w:rPr>
              <w:t>ύ</w:t>
            </w:r>
            <w:r w:rsidRPr="007114F4">
              <w:rPr>
                <w:color w:val="000000"/>
                <w:szCs w:val="25"/>
              </w:rPr>
              <w:t>ν</w:t>
            </w:r>
            <w:r w:rsidR="00A74F01">
              <w:rPr>
                <w:color w:val="000000"/>
                <w:szCs w:val="25"/>
              </w:rPr>
              <w:t>α</w:t>
            </w:r>
            <w:r w:rsidRPr="007114F4">
              <w:rPr>
                <w:color w:val="000000"/>
                <w:szCs w:val="25"/>
              </w:rPr>
              <w:t>σ</w:t>
            </w:r>
            <w:r w:rsidR="00A74F01">
              <w:rPr>
                <w:color w:val="000000"/>
                <w:szCs w:val="25"/>
              </w:rPr>
              <w:t>α</w:t>
            </w:r>
            <w:r w:rsidR="00DB352C">
              <w:rPr>
                <w:color w:val="000000"/>
                <w:szCs w:val="25"/>
              </w:rPr>
              <w:t>ί</w:t>
            </w:r>
            <w:r w:rsidRPr="007114F4">
              <w:rPr>
                <w:color w:val="000000"/>
                <w:szCs w:val="25"/>
              </w:rPr>
              <w:t xml:space="preserve"> με κ</w:t>
            </w:r>
            <w:r w:rsidR="00A74F01">
              <w:rPr>
                <w:color w:val="000000"/>
                <w:szCs w:val="25"/>
              </w:rPr>
              <w:t>α</w:t>
            </w:r>
            <w:r w:rsidRPr="007114F4">
              <w:rPr>
                <w:color w:val="000000"/>
                <w:szCs w:val="25"/>
              </w:rPr>
              <w:t>θ</w:t>
            </w:r>
            <w:r w:rsidR="00A74F01">
              <w:rPr>
                <w:color w:val="000000"/>
                <w:szCs w:val="25"/>
              </w:rPr>
              <w:t>α</w:t>
            </w:r>
            <w:r w:rsidRPr="007114F4">
              <w:rPr>
                <w:color w:val="000000"/>
                <w:szCs w:val="25"/>
              </w:rPr>
              <w:t>ρ</w:t>
            </w:r>
            <w:r w:rsidR="00DB352C">
              <w:rPr>
                <w:color w:val="000000"/>
                <w:szCs w:val="25"/>
              </w:rPr>
              <w:t>ί</w:t>
            </w:r>
            <w:r w:rsidRPr="007114F4">
              <w:rPr>
                <w:color w:val="000000"/>
                <w:szCs w:val="25"/>
              </w:rPr>
              <w:t>σ</w:t>
            </w:r>
            <w:r w:rsidR="00A74F01">
              <w:rPr>
                <w:color w:val="000000"/>
                <w:szCs w:val="25"/>
              </w:rPr>
              <w:t>α</w:t>
            </w:r>
            <w:r w:rsidRPr="007114F4">
              <w:rPr>
                <w:color w:val="000000"/>
                <w:szCs w:val="25"/>
              </w:rPr>
              <w:t>ι.</w:t>
            </w:r>
          </w:p>
        </w:tc>
        <w:tc>
          <w:tcPr>
            <w:tcW w:w="3617" w:type="dxa"/>
            <w:vAlign w:val="bottom"/>
          </w:tcPr>
          <w:p w:rsidR="00A604BA" w:rsidRPr="007114F4" w:rsidRDefault="00A604BA">
            <w:pPr>
              <w:rPr>
                <w:color w:val="000000"/>
                <w:szCs w:val="25"/>
              </w:rPr>
            </w:pPr>
            <w:r w:rsidRPr="007114F4">
              <w:rPr>
                <w:color w:val="000000"/>
                <w:szCs w:val="25"/>
              </w:rPr>
              <w:t>δ</w:t>
            </w:r>
            <w:r w:rsidR="00C151D4">
              <w:rPr>
                <w:color w:val="000000"/>
                <w:szCs w:val="25"/>
              </w:rPr>
              <w:t>ύ</w:t>
            </w:r>
            <w:r w:rsidRPr="007114F4">
              <w:rPr>
                <w:color w:val="000000"/>
                <w:szCs w:val="25"/>
              </w:rPr>
              <w:t>ν</w:t>
            </w:r>
            <w:r w:rsidR="00A74F01">
              <w:rPr>
                <w:color w:val="000000"/>
                <w:szCs w:val="25"/>
              </w:rPr>
              <w:t>α</w:t>
            </w:r>
            <w:r w:rsidRPr="007114F4">
              <w:rPr>
                <w:color w:val="000000"/>
                <w:szCs w:val="25"/>
              </w:rPr>
              <w:t>σ</w:t>
            </w:r>
            <w:r w:rsidR="00A74F01">
              <w:rPr>
                <w:color w:val="000000"/>
                <w:szCs w:val="25"/>
              </w:rPr>
              <w:t>α</w:t>
            </w:r>
            <w:r w:rsidR="00DB352C">
              <w:rPr>
                <w:color w:val="000000"/>
                <w:szCs w:val="25"/>
              </w:rPr>
              <w:t>ί</w:t>
            </w:r>
            <w:r w:rsidRPr="007114F4">
              <w:rPr>
                <w:color w:val="000000"/>
                <w:szCs w:val="25"/>
              </w:rPr>
              <w:t xml:space="preserve"> με κ</w:t>
            </w:r>
            <w:r w:rsidR="00A74F01">
              <w:rPr>
                <w:color w:val="000000"/>
                <w:szCs w:val="25"/>
              </w:rPr>
              <w:t>α</w:t>
            </w:r>
            <w:r w:rsidRPr="007114F4">
              <w:rPr>
                <w:color w:val="000000"/>
                <w:szCs w:val="25"/>
              </w:rPr>
              <w:t>θ</w:t>
            </w:r>
            <w:r w:rsidR="00A74F01">
              <w:rPr>
                <w:color w:val="000000"/>
                <w:szCs w:val="25"/>
              </w:rPr>
              <w:t>α</w:t>
            </w:r>
            <w:r w:rsidRPr="007114F4">
              <w:rPr>
                <w:color w:val="000000"/>
                <w:szCs w:val="25"/>
              </w:rPr>
              <w:t>ρ</w:t>
            </w:r>
            <w:r w:rsidR="00DB352C">
              <w:rPr>
                <w:color w:val="000000"/>
                <w:szCs w:val="25"/>
              </w:rPr>
              <w:t>ί</w:t>
            </w:r>
            <w:r w:rsidRPr="007114F4">
              <w:rPr>
                <w:color w:val="000000"/>
                <w:szCs w:val="25"/>
              </w:rPr>
              <w:t>σ</w:t>
            </w:r>
            <w:r w:rsidR="00A74F01">
              <w:rPr>
                <w:color w:val="000000"/>
                <w:szCs w:val="25"/>
              </w:rPr>
              <w:t>α</w:t>
            </w:r>
            <w:r w:rsidRPr="007114F4">
              <w:rPr>
                <w:color w:val="000000"/>
                <w:szCs w:val="25"/>
              </w:rPr>
              <w:t>ι.</w:t>
            </w:r>
          </w:p>
        </w:tc>
      </w:tr>
      <w:tr w:rsidR="00A604BA" w:rsidRPr="003908CB" w:rsidTr="007114F4">
        <w:tc>
          <w:tcPr>
            <w:tcW w:w="3616" w:type="dxa"/>
            <w:vAlign w:val="bottom"/>
          </w:tcPr>
          <w:p w:rsidR="00A604BA" w:rsidRPr="007114F4" w:rsidRDefault="00A604BA">
            <w:pPr>
              <w:rPr>
                <w:color w:val="000000"/>
                <w:szCs w:val="25"/>
              </w:rPr>
            </w:pPr>
          </w:p>
        </w:tc>
        <w:tc>
          <w:tcPr>
            <w:tcW w:w="3616" w:type="dxa"/>
            <w:vAlign w:val="bottom"/>
          </w:tcPr>
          <w:p w:rsidR="00A604BA" w:rsidRPr="007114F4" w:rsidRDefault="00A604BA">
            <w:pPr>
              <w:rPr>
                <w:color w:val="000000"/>
                <w:szCs w:val="25"/>
              </w:rPr>
            </w:pPr>
            <w:r w:rsidRPr="007114F4">
              <w:rPr>
                <w:color w:val="000000"/>
                <w:szCs w:val="25"/>
              </w:rPr>
              <w:t>ὁ δὲ Ἰησοῦς σπλ</w:t>
            </w:r>
            <w:r w:rsidR="00A74F01">
              <w:rPr>
                <w:color w:val="000000"/>
                <w:szCs w:val="25"/>
              </w:rPr>
              <w:t>α</w:t>
            </w:r>
            <w:r w:rsidRPr="007114F4">
              <w:rPr>
                <w:color w:val="000000"/>
                <w:szCs w:val="25"/>
              </w:rPr>
              <w:t>γχνισθεὶς</w:t>
            </w:r>
          </w:p>
        </w:tc>
        <w:tc>
          <w:tcPr>
            <w:tcW w:w="3617" w:type="dxa"/>
            <w:vAlign w:val="bottom"/>
          </w:tcPr>
          <w:p w:rsidR="00A604BA" w:rsidRPr="007114F4" w:rsidRDefault="00A604BA">
            <w:pPr>
              <w:rPr>
                <w:color w:val="000000"/>
                <w:szCs w:val="25"/>
              </w:rPr>
            </w:pPr>
          </w:p>
        </w:tc>
      </w:tr>
      <w:tr w:rsidR="00A604BA" w:rsidRPr="003908CB" w:rsidTr="007114F4">
        <w:tc>
          <w:tcPr>
            <w:tcW w:w="3616" w:type="dxa"/>
            <w:vAlign w:val="bottom"/>
          </w:tcPr>
          <w:p w:rsidR="00A604BA" w:rsidRPr="007114F4" w:rsidRDefault="00A604BA">
            <w:pPr>
              <w:rPr>
                <w:color w:val="000000"/>
                <w:szCs w:val="25"/>
              </w:rPr>
            </w:pPr>
            <w:r w:rsidRPr="007114F4">
              <w:rPr>
                <w:color w:val="000000"/>
                <w:szCs w:val="25"/>
              </w:rPr>
              <w:t>κ</w:t>
            </w:r>
            <w:r w:rsidR="00A74F01">
              <w:rPr>
                <w:color w:val="000000"/>
                <w:szCs w:val="25"/>
              </w:rPr>
              <w:t>α</w:t>
            </w:r>
            <w:r w:rsidRPr="007114F4">
              <w:rPr>
                <w:color w:val="000000"/>
                <w:szCs w:val="25"/>
              </w:rPr>
              <w:t>ὶ ἐκτε</w:t>
            </w:r>
            <w:r w:rsidR="00DB352C">
              <w:rPr>
                <w:color w:val="000000"/>
                <w:szCs w:val="25"/>
              </w:rPr>
              <w:t>ί</w:t>
            </w:r>
            <w:r w:rsidRPr="007114F4">
              <w:rPr>
                <w:color w:val="000000"/>
                <w:szCs w:val="25"/>
              </w:rPr>
              <w:t>ν</w:t>
            </w:r>
            <w:r w:rsidR="00A74F01">
              <w:rPr>
                <w:color w:val="000000"/>
                <w:szCs w:val="25"/>
              </w:rPr>
              <w:t>α</w:t>
            </w:r>
            <w:r w:rsidRPr="007114F4">
              <w:rPr>
                <w:color w:val="000000"/>
                <w:szCs w:val="25"/>
              </w:rPr>
              <w:t>ς τὴν χεῖρ</w:t>
            </w:r>
            <w:r w:rsidR="00A74F01">
              <w:rPr>
                <w:color w:val="000000"/>
                <w:szCs w:val="25"/>
              </w:rPr>
              <w:t>α</w:t>
            </w:r>
            <w:r w:rsidRPr="007114F4">
              <w:rPr>
                <w:color w:val="000000"/>
                <w:szCs w:val="25"/>
              </w:rPr>
              <w:t xml:space="preserve"> </w:t>
            </w:r>
          </w:p>
        </w:tc>
        <w:tc>
          <w:tcPr>
            <w:tcW w:w="3616" w:type="dxa"/>
            <w:vAlign w:val="bottom"/>
          </w:tcPr>
          <w:p w:rsidR="00A604BA" w:rsidRPr="007114F4" w:rsidRDefault="00A604BA">
            <w:pPr>
              <w:rPr>
                <w:color w:val="000000"/>
                <w:szCs w:val="25"/>
              </w:rPr>
            </w:pPr>
            <w:r w:rsidRPr="007114F4">
              <w:rPr>
                <w:color w:val="000000"/>
                <w:szCs w:val="25"/>
              </w:rPr>
              <w:t>ἐκτε</w:t>
            </w:r>
            <w:r w:rsidR="00DB352C">
              <w:rPr>
                <w:color w:val="000000"/>
                <w:szCs w:val="25"/>
              </w:rPr>
              <w:t>ί</w:t>
            </w:r>
            <w:r w:rsidRPr="007114F4">
              <w:rPr>
                <w:color w:val="000000"/>
                <w:szCs w:val="25"/>
              </w:rPr>
              <w:t>ν</w:t>
            </w:r>
            <w:r w:rsidR="00A74F01">
              <w:rPr>
                <w:color w:val="000000"/>
                <w:szCs w:val="25"/>
              </w:rPr>
              <w:t>α</w:t>
            </w:r>
            <w:r w:rsidRPr="007114F4">
              <w:rPr>
                <w:color w:val="000000"/>
                <w:szCs w:val="25"/>
              </w:rPr>
              <w:t>ς τὴν χεῖρ</w:t>
            </w:r>
            <w:r w:rsidR="00A74F01">
              <w:rPr>
                <w:color w:val="000000"/>
                <w:szCs w:val="25"/>
              </w:rPr>
              <w:t>α</w:t>
            </w:r>
          </w:p>
        </w:tc>
        <w:tc>
          <w:tcPr>
            <w:tcW w:w="3617" w:type="dxa"/>
            <w:vAlign w:val="bottom"/>
          </w:tcPr>
          <w:p w:rsidR="00A604BA" w:rsidRPr="007114F4" w:rsidRDefault="00A604BA">
            <w:pPr>
              <w:rPr>
                <w:color w:val="000000"/>
                <w:szCs w:val="25"/>
              </w:rPr>
            </w:pPr>
            <w:r w:rsidRPr="007114F4">
              <w:rPr>
                <w:color w:val="000000"/>
                <w:szCs w:val="25"/>
              </w:rPr>
              <w:t>κ</w:t>
            </w:r>
            <w:r w:rsidR="00A74F01">
              <w:rPr>
                <w:color w:val="000000"/>
                <w:szCs w:val="25"/>
              </w:rPr>
              <w:t>α</w:t>
            </w:r>
            <w:r w:rsidRPr="007114F4">
              <w:rPr>
                <w:color w:val="000000"/>
                <w:szCs w:val="25"/>
              </w:rPr>
              <w:t>ὶ ἐκτε</w:t>
            </w:r>
            <w:r w:rsidR="00DB352C">
              <w:rPr>
                <w:color w:val="000000"/>
                <w:szCs w:val="25"/>
              </w:rPr>
              <w:t>ί</w:t>
            </w:r>
            <w:r w:rsidRPr="007114F4">
              <w:rPr>
                <w:color w:val="000000"/>
                <w:szCs w:val="25"/>
              </w:rPr>
              <w:t>ν</w:t>
            </w:r>
            <w:r w:rsidR="00A74F01">
              <w:rPr>
                <w:color w:val="000000"/>
                <w:szCs w:val="25"/>
              </w:rPr>
              <w:t>α</w:t>
            </w:r>
            <w:r w:rsidRPr="007114F4">
              <w:rPr>
                <w:color w:val="000000"/>
                <w:szCs w:val="25"/>
              </w:rPr>
              <w:t>ς τὴν χεῖρ</w:t>
            </w:r>
            <w:r w:rsidR="00A74F01">
              <w:rPr>
                <w:color w:val="000000"/>
                <w:szCs w:val="25"/>
              </w:rPr>
              <w:t>α</w:t>
            </w:r>
          </w:p>
        </w:tc>
      </w:tr>
      <w:tr w:rsidR="00A604BA" w:rsidRPr="003908CB" w:rsidTr="007114F4">
        <w:tc>
          <w:tcPr>
            <w:tcW w:w="3616" w:type="dxa"/>
            <w:vAlign w:val="bottom"/>
          </w:tcPr>
          <w:p w:rsidR="00A604BA" w:rsidRPr="007114F4" w:rsidRDefault="00A604BA">
            <w:pPr>
              <w:rPr>
                <w:color w:val="000000"/>
                <w:szCs w:val="25"/>
              </w:rPr>
            </w:pPr>
            <w:r w:rsidRPr="007114F4">
              <w:rPr>
                <w:color w:val="000000"/>
                <w:szCs w:val="25"/>
              </w:rPr>
              <w:t>ἥψ</w:t>
            </w:r>
            <w:r w:rsidR="00A74F01">
              <w:rPr>
                <w:color w:val="000000"/>
                <w:szCs w:val="25"/>
              </w:rPr>
              <w:t>α</w:t>
            </w:r>
            <w:r w:rsidRPr="007114F4">
              <w:rPr>
                <w:color w:val="000000"/>
                <w:szCs w:val="25"/>
              </w:rPr>
              <w:t xml:space="preserve">το </w:t>
            </w:r>
            <w:r w:rsidR="00A74F01">
              <w:rPr>
                <w:color w:val="000000"/>
                <w:szCs w:val="25"/>
              </w:rPr>
              <w:t>α</w:t>
            </w:r>
            <w:r w:rsidRPr="007114F4">
              <w:rPr>
                <w:color w:val="000000"/>
                <w:szCs w:val="25"/>
              </w:rPr>
              <w:t>ὐτοῦ ὁ Ἰησοῦς</w:t>
            </w:r>
          </w:p>
        </w:tc>
        <w:tc>
          <w:tcPr>
            <w:tcW w:w="3616" w:type="dxa"/>
            <w:vAlign w:val="bottom"/>
          </w:tcPr>
          <w:p w:rsidR="00A604BA" w:rsidRPr="007114F4" w:rsidRDefault="00A604BA">
            <w:pPr>
              <w:rPr>
                <w:color w:val="000000"/>
                <w:szCs w:val="25"/>
              </w:rPr>
            </w:pPr>
            <w:r w:rsidRPr="007114F4">
              <w:rPr>
                <w:color w:val="000000"/>
                <w:szCs w:val="25"/>
              </w:rPr>
              <w:t>ἥψ</w:t>
            </w:r>
            <w:r w:rsidR="00A74F01">
              <w:rPr>
                <w:color w:val="000000"/>
                <w:szCs w:val="25"/>
              </w:rPr>
              <w:t>α</w:t>
            </w:r>
            <w:r w:rsidRPr="007114F4">
              <w:rPr>
                <w:color w:val="000000"/>
                <w:szCs w:val="25"/>
              </w:rPr>
              <w:t xml:space="preserve">το </w:t>
            </w:r>
            <w:r w:rsidR="00A74F01">
              <w:rPr>
                <w:color w:val="000000"/>
                <w:szCs w:val="25"/>
              </w:rPr>
              <w:t>α</w:t>
            </w:r>
            <w:r w:rsidRPr="007114F4">
              <w:rPr>
                <w:color w:val="000000"/>
                <w:szCs w:val="25"/>
              </w:rPr>
              <w:t>ὐτοῦ</w:t>
            </w:r>
          </w:p>
        </w:tc>
        <w:tc>
          <w:tcPr>
            <w:tcW w:w="3617" w:type="dxa"/>
            <w:vAlign w:val="bottom"/>
          </w:tcPr>
          <w:p w:rsidR="00A604BA" w:rsidRPr="007114F4" w:rsidRDefault="00A604BA">
            <w:pPr>
              <w:rPr>
                <w:color w:val="000000"/>
                <w:szCs w:val="25"/>
              </w:rPr>
            </w:pPr>
            <w:r w:rsidRPr="007114F4">
              <w:rPr>
                <w:color w:val="000000"/>
                <w:szCs w:val="25"/>
              </w:rPr>
              <w:t>ἥψ</w:t>
            </w:r>
            <w:r w:rsidR="00A74F01">
              <w:rPr>
                <w:color w:val="000000"/>
                <w:szCs w:val="25"/>
              </w:rPr>
              <w:t>α</w:t>
            </w:r>
            <w:r w:rsidRPr="007114F4">
              <w:rPr>
                <w:color w:val="000000"/>
                <w:szCs w:val="25"/>
              </w:rPr>
              <w:t xml:space="preserve">το </w:t>
            </w:r>
            <w:r w:rsidR="00A74F01">
              <w:rPr>
                <w:color w:val="000000"/>
                <w:szCs w:val="25"/>
              </w:rPr>
              <w:t>α</w:t>
            </w:r>
            <w:r w:rsidRPr="007114F4">
              <w:rPr>
                <w:color w:val="000000"/>
                <w:szCs w:val="25"/>
              </w:rPr>
              <w:t>ὐτοῦ</w:t>
            </w:r>
          </w:p>
        </w:tc>
      </w:tr>
      <w:tr w:rsidR="00A604BA" w:rsidRPr="003908CB" w:rsidTr="007114F4">
        <w:tc>
          <w:tcPr>
            <w:tcW w:w="3616" w:type="dxa"/>
            <w:vAlign w:val="bottom"/>
          </w:tcPr>
          <w:p w:rsidR="00A604BA" w:rsidRPr="007114F4" w:rsidRDefault="00A604BA">
            <w:pPr>
              <w:rPr>
                <w:color w:val="000000"/>
                <w:szCs w:val="25"/>
              </w:rPr>
            </w:pPr>
            <w:r w:rsidRPr="007114F4">
              <w:rPr>
                <w:color w:val="000000"/>
                <w:szCs w:val="25"/>
              </w:rPr>
              <w:t>λ</w:t>
            </w:r>
            <w:r w:rsidR="00C771BF">
              <w:rPr>
                <w:color w:val="000000"/>
                <w:szCs w:val="25"/>
              </w:rPr>
              <w:t>έ</w:t>
            </w:r>
            <w:r w:rsidRPr="007114F4">
              <w:rPr>
                <w:color w:val="000000"/>
                <w:szCs w:val="25"/>
              </w:rPr>
              <w:t xml:space="preserve">γων, </w:t>
            </w:r>
          </w:p>
        </w:tc>
        <w:tc>
          <w:tcPr>
            <w:tcW w:w="3616" w:type="dxa"/>
            <w:vAlign w:val="bottom"/>
          </w:tcPr>
          <w:p w:rsidR="00A604BA" w:rsidRPr="007114F4" w:rsidRDefault="00A604BA">
            <w:pPr>
              <w:rPr>
                <w:color w:val="000000"/>
                <w:szCs w:val="25"/>
              </w:rPr>
            </w:pPr>
            <w:r w:rsidRPr="007114F4">
              <w:rPr>
                <w:color w:val="000000"/>
                <w:szCs w:val="25"/>
              </w:rPr>
              <w:t>κ</w:t>
            </w:r>
            <w:r w:rsidR="00A74F01">
              <w:rPr>
                <w:color w:val="000000"/>
                <w:szCs w:val="25"/>
              </w:rPr>
              <w:t>α</w:t>
            </w:r>
            <w:r w:rsidRPr="007114F4">
              <w:rPr>
                <w:color w:val="000000"/>
                <w:szCs w:val="25"/>
              </w:rPr>
              <w:t>ὶ λ</w:t>
            </w:r>
            <w:r w:rsidR="00C771BF">
              <w:rPr>
                <w:color w:val="000000"/>
                <w:szCs w:val="25"/>
              </w:rPr>
              <w:t>έ</w:t>
            </w:r>
            <w:r w:rsidRPr="007114F4">
              <w:rPr>
                <w:color w:val="000000"/>
                <w:szCs w:val="25"/>
              </w:rPr>
              <w:t xml:space="preserve">γει </w:t>
            </w:r>
            <w:r w:rsidR="00A74F01">
              <w:rPr>
                <w:color w:val="000000"/>
                <w:szCs w:val="25"/>
              </w:rPr>
              <w:t>α</w:t>
            </w:r>
            <w:r w:rsidRPr="007114F4">
              <w:rPr>
                <w:color w:val="000000"/>
                <w:szCs w:val="25"/>
              </w:rPr>
              <w:t>ὐτῷ,</w:t>
            </w:r>
          </w:p>
        </w:tc>
        <w:tc>
          <w:tcPr>
            <w:tcW w:w="3617" w:type="dxa"/>
            <w:vAlign w:val="bottom"/>
          </w:tcPr>
          <w:p w:rsidR="00A604BA" w:rsidRPr="007114F4" w:rsidRDefault="00A604BA">
            <w:pPr>
              <w:rPr>
                <w:color w:val="000000"/>
                <w:szCs w:val="25"/>
              </w:rPr>
            </w:pPr>
            <w:r w:rsidRPr="007114F4">
              <w:rPr>
                <w:color w:val="000000"/>
                <w:szCs w:val="25"/>
              </w:rPr>
              <w:t>εἰπὼν,</w:t>
            </w:r>
          </w:p>
        </w:tc>
      </w:tr>
      <w:tr w:rsidR="00A604BA" w:rsidRPr="003908CB" w:rsidTr="007114F4">
        <w:tc>
          <w:tcPr>
            <w:tcW w:w="3616" w:type="dxa"/>
            <w:vAlign w:val="bottom"/>
          </w:tcPr>
          <w:p w:rsidR="00A604BA" w:rsidRPr="007114F4" w:rsidRDefault="00A604BA">
            <w:pPr>
              <w:rPr>
                <w:color w:val="000000"/>
                <w:szCs w:val="25"/>
              </w:rPr>
            </w:pPr>
            <w:r w:rsidRPr="007114F4">
              <w:rPr>
                <w:color w:val="000000"/>
                <w:szCs w:val="25"/>
              </w:rPr>
              <w:t>Θ</w:t>
            </w:r>
            <w:r w:rsidR="00C771BF">
              <w:rPr>
                <w:color w:val="000000"/>
                <w:szCs w:val="25"/>
              </w:rPr>
              <w:t>έ</w:t>
            </w:r>
            <w:r w:rsidRPr="007114F4">
              <w:rPr>
                <w:color w:val="000000"/>
                <w:szCs w:val="25"/>
              </w:rPr>
              <w:t>λω, κ</w:t>
            </w:r>
            <w:r w:rsidR="00A74F01">
              <w:rPr>
                <w:color w:val="000000"/>
                <w:szCs w:val="25"/>
              </w:rPr>
              <w:t>α</w:t>
            </w:r>
            <w:r w:rsidRPr="007114F4">
              <w:rPr>
                <w:color w:val="000000"/>
                <w:szCs w:val="25"/>
              </w:rPr>
              <w:t>θ</w:t>
            </w:r>
            <w:r w:rsidR="00A74F01">
              <w:rPr>
                <w:color w:val="000000"/>
                <w:szCs w:val="25"/>
              </w:rPr>
              <w:t>α</w:t>
            </w:r>
            <w:r w:rsidRPr="007114F4">
              <w:rPr>
                <w:color w:val="000000"/>
                <w:szCs w:val="25"/>
              </w:rPr>
              <w:t>ρ</w:t>
            </w:r>
            <w:r w:rsidR="00DB352C">
              <w:rPr>
                <w:color w:val="000000"/>
                <w:szCs w:val="25"/>
              </w:rPr>
              <w:t>ί</w:t>
            </w:r>
            <w:r w:rsidRPr="007114F4">
              <w:rPr>
                <w:color w:val="000000"/>
                <w:szCs w:val="25"/>
              </w:rPr>
              <w:t xml:space="preserve">σθητι· </w:t>
            </w:r>
          </w:p>
        </w:tc>
        <w:tc>
          <w:tcPr>
            <w:tcW w:w="3616" w:type="dxa"/>
            <w:vAlign w:val="bottom"/>
          </w:tcPr>
          <w:p w:rsidR="00A604BA" w:rsidRPr="007114F4" w:rsidRDefault="00A604BA">
            <w:pPr>
              <w:rPr>
                <w:color w:val="000000"/>
                <w:szCs w:val="25"/>
              </w:rPr>
            </w:pPr>
            <w:r w:rsidRPr="007114F4">
              <w:rPr>
                <w:color w:val="000000"/>
                <w:szCs w:val="25"/>
              </w:rPr>
              <w:t>Θ</w:t>
            </w:r>
            <w:r w:rsidR="00C771BF">
              <w:rPr>
                <w:color w:val="000000"/>
                <w:szCs w:val="25"/>
              </w:rPr>
              <w:t>έ</w:t>
            </w:r>
            <w:r w:rsidRPr="007114F4">
              <w:rPr>
                <w:color w:val="000000"/>
                <w:szCs w:val="25"/>
              </w:rPr>
              <w:t>λω, κ</w:t>
            </w:r>
            <w:r w:rsidR="00A74F01">
              <w:rPr>
                <w:color w:val="000000"/>
                <w:szCs w:val="25"/>
              </w:rPr>
              <w:t>α</w:t>
            </w:r>
            <w:r w:rsidRPr="007114F4">
              <w:rPr>
                <w:color w:val="000000"/>
                <w:szCs w:val="25"/>
              </w:rPr>
              <w:t>θ</w:t>
            </w:r>
            <w:r w:rsidR="00A74F01">
              <w:rPr>
                <w:color w:val="000000"/>
                <w:szCs w:val="25"/>
              </w:rPr>
              <w:t>α</w:t>
            </w:r>
            <w:r w:rsidRPr="007114F4">
              <w:rPr>
                <w:color w:val="000000"/>
                <w:szCs w:val="25"/>
              </w:rPr>
              <w:t>ρ</w:t>
            </w:r>
            <w:r w:rsidR="00DB352C">
              <w:rPr>
                <w:color w:val="000000"/>
                <w:szCs w:val="25"/>
              </w:rPr>
              <w:t>ί</w:t>
            </w:r>
            <w:r w:rsidRPr="007114F4">
              <w:rPr>
                <w:color w:val="000000"/>
                <w:szCs w:val="25"/>
              </w:rPr>
              <w:t>σθητι·</w:t>
            </w:r>
          </w:p>
        </w:tc>
        <w:tc>
          <w:tcPr>
            <w:tcW w:w="3617" w:type="dxa"/>
            <w:vAlign w:val="bottom"/>
          </w:tcPr>
          <w:p w:rsidR="00A604BA" w:rsidRPr="007114F4" w:rsidRDefault="00A604BA">
            <w:pPr>
              <w:rPr>
                <w:color w:val="000000"/>
                <w:szCs w:val="25"/>
              </w:rPr>
            </w:pPr>
            <w:r w:rsidRPr="007114F4">
              <w:rPr>
                <w:color w:val="000000"/>
                <w:szCs w:val="25"/>
              </w:rPr>
              <w:t>Θ</w:t>
            </w:r>
            <w:r w:rsidR="00C771BF">
              <w:rPr>
                <w:color w:val="000000"/>
                <w:szCs w:val="25"/>
              </w:rPr>
              <w:t>έ</w:t>
            </w:r>
            <w:r w:rsidRPr="007114F4">
              <w:rPr>
                <w:color w:val="000000"/>
                <w:szCs w:val="25"/>
              </w:rPr>
              <w:t>λω, κ</w:t>
            </w:r>
            <w:r w:rsidR="00A74F01">
              <w:rPr>
                <w:color w:val="000000"/>
                <w:szCs w:val="25"/>
              </w:rPr>
              <w:t>α</w:t>
            </w:r>
            <w:r w:rsidRPr="007114F4">
              <w:rPr>
                <w:color w:val="000000"/>
                <w:szCs w:val="25"/>
              </w:rPr>
              <w:t>θ</w:t>
            </w:r>
            <w:r w:rsidR="00A74F01">
              <w:rPr>
                <w:color w:val="000000"/>
                <w:szCs w:val="25"/>
              </w:rPr>
              <w:t>α</w:t>
            </w:r>
            <w:r w:rsidRPr="007114F4">
              <w:rPr>
                <w:color w:val="000000"/>
                <w:szCs w:val="25"/>
              </w:rPr>
              <w:t>ρ</w:t>
            </w:r>
            <w:r w:rsidR="00DB352C">
              <w:rPr>
                <w:color w:val="000000"/>
                <w:szCs w:val="25"/>
              </w:rPr>
              <w:t>ί</w:t>
            </w:r>
            <w:r w:rsidRPr="007114F4">
              <w:rPr>
                <w:color w:val="000000"/>
                <w:szCs w:val="25"/>
              </w:rPr>
              <w:t>σθητι·</w:t>
            </w:r>
          </w:p>
        </w:tc>
      </w:tr>
    </w:tbl>
    <w:p w:rsidR="00A604BA" w:rsidRDefault="00A604BA" w:rsidP="00C2602D">
      <w:pPr>
        <w:rPr>
          <w:rFonts w:eastAsia="Arial Unicode MS"/>
          <w:bCs/>
          <w:lang w:eastAsia="fr-FR" w:bidi="he-IL"/>
        </w:rPr>
      </w:pPr>
    </w:p>
    <w:p w:rsidR="00C2602D" w:rsidRPr="00C8701B" w:rsidRDefault="00B704AD" w:rsidP="00C2602D">
      <w:pPr>
        <w:rPr>
          <w:rFonts w:eastAsia="Arial Unicode MS"/>
          <w:bCs/>
          <w:lang w:eastAsia="fr-FR" w:bidi="he-IL"/>
        </w:rPr>
      </w:pPr>
      <w:r w:rsidRPr="00C8701B">
        <w:rPr>
          <w:rFonts w:eastAsia="Arial Unicode MS"/>
          <w:bCs/>
          <w:lang w:eastAsia="fr-FR" w:bidi="he-IL"/>
        </w:rPr>
        <w:t>Et encore</w:t>
      </w:r>
      <w:r w:rsidR="00C2602D" w:rsidRPr="00C8701B">
        <w:rPr>
          <w:rFonts w:eastAsia="Arial Unicode MS"/>
          <w:bCs/>
          <w:lang w:eastAsia="fr-FR" w:bidi="he-IL"/>
        </w:rPr>
        <w:t xml:space="preserve"> : </w:t>
      </w:r>
    </w:p>
    <w:p w:rsidR="00A604BA" w:rsidRDefault="00A604BA" w:rsidP="00C2602D">
      <w:pPr>
        <w:rPr>
          <w:rFonts w:eastAsia="Arial Unicode MS"/>
          <w:lang w:eastAsia="fr-FR" w:bidi="he-IL"/>
        </w:rPr>
      </w:pPr>
    </w:p>
    <w:tbl>
      <w:tblPr>
        <w:tblW w:w="21697" w:type="dxa"/>
        <w:tblLook w:val="04A0"/>
      </w:tblPr>
      <w:tblGrid>
        <w:gridCol w:w="3616"/>
        <w:gridCol w:w="3616"/>
        <w:gridCol w:w="3616"/>
        <w:gridCol w:w="3616"/>
        <w:gridCol w:w="3616"/>
        <w:gridCol w:w="3617"/>
      </w:tblGrid>
      <w:tr w:rsidR="000B6795" w:rsidRPr="003908CB" w:rsidTr="000B6795">
        <w:tc>
          <w:tcPr>
            <w:tcW w:w="3616" w:type="dxa"/>
          </w:tcPr>
          <w:p w:rsidR="000B6795" w:rsidRPr="000B6795" w:rsidRDefault="000B6795" w:rsidP="00B93B92">
            <w:pPr>
              <w:pStyle w:val="centrum"/>
            </w:pPr>
            <w:r w:rsidRPr="000B6795">
              <w:t>Matth. XXI, 23 et ss.</w:t>
            </w:r>
          </w:p>
        </w:tc>
        <w:tc>
          <w:tcPr>
            <w:tcW w:w="3616" w:type="dxa"/>
          </w:tcPr>
          <w:p w:rsidR="000B6795" w:rsidRPr="000B6795" w:rsidRDefault="000B6795" w:rsidP="00B93B92">
            <w:pPr>
              <w:pStyle w:val="centrum"/>
            </w:pPr>
            <w:r w:rsidRPr="000B6795">
              <w:t xml:space="preserve">Marc. XI, 28 et ss. </w:t>
            </w:r>
          </w:p>
        </w:tc>
        <w:tc>
          <w:tcPr>
            <w:tcW w:w="3616" w:type="dxa"/>
          </w:tcPr>
          <w:p w:rsidR="000B6795" w:rsidRPr="000B6795" w:rsidRDefault="000B6795" w:rsidP="00B93B92">
            <w:pPr>
              <w:pStyle w:val="centrum"/>
            </w:pPr>
            <w:r w:rsidRPr="000B6795">
              <w:t xml:space="preserve">Luc. XX, 2 et ss. </w:t>
            </w:r>
          </w:p>
        </w:tc>
        <w:tc>
          <w:tcPr>
            <w:tcW w:w="3616" w:type="dxa"/>
            <w:vAlign w:val="bottom"/>
          </w:tcPr>
          <w:p w:rsidR="000B6795" w:rsidRPr="003908CB" w:rsidRDefault="000B6795" w:rsidP="007114F4"/>
        </w:tc>
        <w:tc>
          <w:tcPr>
            <w:tcW w:w="3616" w:type="dxa"/>
            <w:vAlign w:val="bottom"/>
          </w:tcPr>
          <w:p w:rsidR="000B6795" w:rsidRPr="003908CB" w:rsidRDefault="000B6795" w:rsidP="007114F4"/>
        </w:tc>
        <w:tc>
          <w:tcPr>
            <w:tcW w:w="3617" w:type="dxa"/>
            <w:vAlign w:val="bottom"/>
          </w:tcPr>
          <w:p w:rsidR="000B6795" w:rsidRPr="003908CB" w:rsidRDefault="000B6795" w:rsidP="00B93B92">
            <w:pPr>
              <w:pStyle w:val="centrum"/>
            </w:pPr>
          </w:p>
        </w:tc>
      </w:tr>
      <w:tr w:rsidR="000B6795" w:rsidRPr="003908CB" w:rsidTr="000B6795">
        <w:tc>
          <w:tcPr>
            <w:tcW w:w="3616" w:type="dxa"/>
          </w:tcPr>
          <w:p w:rsidR="000B6795" w:rsidRPr="000B6795" w:rsidRDefault="000B6795" w:rsidP="00B93B92">
            <w:pPr>
              <w:pStyle w:val="centrum"/>
            </w:pPr>
            <w:r w:rsidRPr="000B6795">
              <w:t>Ἐν πο</w:t>
            </w:r>
            <w:r w:rsidR="00DB352C">
              <w:t>ί</w:t>
            </w:r>
            <w:r w:rsidRPr="000B6795">
              <w:t>ᾳ ἐξουσ</w:t>
            </w:r>
            <w:r w:rsidR="00DB352C">
              <w:t>ί</w:t>
            </w:r>
            <w:r w:rsidRPr="000B6795">
              <w:t xml:space="preserve">ᾳ </w:t>
            </w:r>
          </w:p>
        </w:tc>
        <w:tc>
          <w:tcPr>
            <w:tcW w:w="3616" w:type="dxa"/>
          </w:tcPr>
          <w:p w:rsidR="000B6795" w:rsidRPr="000B6795" w:rsidRDefault="000B6795" w:rsidP="00B93B92">
            <w:pPr>
              <w:pStyle w:val="centrum"/>
            </w:pPr>
            <w:r w:rsidRPr="000B6795">
              <w:t>Ἐν πο</w:t>
            </w:r>
            <w:r w:rsidR="00DB352C">
              <w:t>ί</w:t>
            </w:r>
            <w:r w:rsidRPr="000B6795">
              <w:t>ᾳ ἐξουσ</w:t>
            </w:r>
            <w:r w:rsidR="00DB352C">
              <w:t>ί</w:t>
            </w:r>
            <w:r w:rsidRPr="000B6795">
              <w:t xml:space="preserve">ᾳ </w:t>
            </w:r>
          </w:p>
        </w:tc>
        <w:tc>
          <w:tcPr>
            <w:tcW w:w="3616" w:type="dxa"/>
          </w:tcPr>
          <w:p w:rsidR="000B6795" w:rsidRPr="000B6795" w:rsidRDefault="000B6795" w:rsidP="00B93B92">
            <w:pPr>
              <w:pStyle w:val="centrum"/>
            </w:pPr>
            <w:r w:rsidRPr="000B6795">
              <w:t>ἐν πο</w:t>
            </w:r>
            <w:r w:rsidR="00DB352C">
              <w:t>ί</w:t>
            </w:r>
            <w:r w:rsidRPr="000B6795">
              <w:t>ᾳ ἐξουσ</w:t>
            </w:r>
            <w:r w:rsidR="00DB352C">
              <w:t>ί</w:t>
            </w:r>
            <w:r w:rsidRPr="000B6795">
              <w:t xml:space="preserve">ᾳ </w:t>
            </w:r>
          </w:p>
        </w:tc>
        <w:tc>
          <w:tcPr>
            <w:tcW w:w="3616" w:type="dxa"/>
            <w:vAlign w:val="bottom"/>
          </w:tcPr>
          <w:p w:rsidR="000B6795" w:rsidRPr="003908CB" w:rsidRDefault="000B6795" w:rsidP="007114F4"/>
        </w:tc>
        <w:tc>
          <w:tcPr>
            <w:tcW w:w="3616" w:type="dxa"/>
            <w:vAlign w:val="bottom"/>
          </w:tcPr>
          <w:p w:rsidR="000B6795" w:rsidRPr="003908CB" w:rsidRDefault="000B6795" w:rsidP="007114F4"/>
        </w:tc>
        <w:tc>
          <w:tcPr>
            <w:tcW w:w="3617" w:type="dxa"/>
            <w:vAlign w:val="bottom"/>
          </w:tcPr>
          <w:p w:rsidR="000B6795" w:rsidRPr="003908CB" w:rsidRDefault="000B6795" w:rsidP="00B93B92">
            <w:pPr>
              <w:pStyle w:val="centrum"/>
            </w:pPr>
          </w:p>
        </w:tc>
      </w:tr>
      <w:tr w:rsidR="000B6795" w:rsidRPr="003908CB" w:rsidTr="000B6795">
        <w:tc>
          <w:tcPr>
            <w:tcW w:w="3616" w:type="dxa"/>
          </w:tcPr>
          <w:p w:rsidR="000B6795" w:rsidRPr="000B6795" w:rsidRDefault="000B6795" w:rsidP="00B93B92">
            <w:pPr>
              <w:pStyle w:val="centrum"/>
            </w:pPr>
            <w:r w:rsidRPr="000B6795">
              <w:t>τ</w:t>
            </w:r>
            <w:r w:rsidR="00A74F01">
              <w:t>α</w:t>
            </w:r>
            <w:r w:rsidRPr="000B6795">
              <w:t>ῦτ</w:t>
            </w:r>
            <w:r w:rsidR="00A74F01">
              <w:t>α</w:t>
            </w:r>
            <w:r w:rsidRPr="000B6795">
              <w:t xml:space="preserve"> ποιεῖς; </w:t>
            </w:r>
          </w:p>
        </w:tc>
        <w:tc>
          <w:tcPr>
            <w:tcW w:w="3616" w:type="dxa"/>
          </w:tcPr>
          <w:p w:rsidR="000B6795" w:rsidRPr="000B6795" w:rsidRDefault="000B6795" w:rsidP="00B93B92">
            <w:pPr>
              <w:pStyle w:val="centrum"/>
            </w:pPr>
            <w:r w:rsidRPr="000B6795">
              <w:t>τ</w:t>
            </w:r>
            <w:r w:rsidR="00A74F01">
              <w:t>α</w:t>
            </w:r>
            <w:r w:rsidRPr="000B6795">
              <w:t>ῦτ</w:t>
            </w:r>
            <w:r w:rsidR="00A74F01">
              <w:t>α</w:t>
            </w:r>
            <w:r w:rsidRPr="000B6795">
              <w:t xml:space="preserve"> ποιεῖς; </w:t>
            </w:r>
          </w:p>
        </w:tc>
        <w:tc>
          <w:tcPr>
            <w:tcW w:w="3616" w:type="dxa"/>
          </w:tcPr>
          <w:p w:rsidR="000B6795" w:rsidRPr="000B6795" w:rsidRDefault="000B6795" w:rsidP="00B93B92">
            <w:pPr>
              <w:pStyle w:val="centrum"/>
            </w:pPr>
            <w:r w:rsidRPr="000B6795">
              <w:t>τ</w:t>
            </w:r>
            <w:r w:rsidR="00A74F01">
              <w:t>α</w:t>
            </w:r>
            <w:r w:rsidRPr="000B6795">
              <w:t>ῦτ</w:t>
            </w:r>
            <w:r w:rsidR="00A74F01">
              <w:t>α</w:t>
            </w:r>
            <w:r w:rsidRPr="000B6795">
              <w:t xml:space="preserve"> ποιεῖς, </w:t>
            </w:r>
          </w:p>
        </w:tc>
        <w:tc>
          <w:tcPr>
            <w:tcW w:w="3616" w:type="dxa"/>
            <w:vAlign w:val="bottom"/>
          </w:tcPr>
          <w:p w:rsidR="000B6795" w:rsidRPr="003908CB" w:rsidRDefault="000B6795" w:rsidP="007114F4"/>
        </w:tc>
        <w:tc>
          <w:tcPr>
            <w:tcW w:w="3616" w:type="dxa"/>
            <w:vAlign w:val="bottom"/>
          </w:tcPr>
          <w:p w:rsidR="000B6795" w:rsidRPr="003908CB" w:rsidRDefault="000B6795" w:rsidP="007114F4"/>
        </w:tc>
        <w:tc>
          <w:tcPr>
            <w:tcW w:w="3617" w:type="dxa"/>
            <w:vAlign w:val="bottom"/>
          </w:tcPr>
          <w:p w:rsidR="000B6795" w:rsidRPr="003908CB" w:rsidRDefault="000B6795" w:rsidP="00B93B92">
            <w:pPr>
              <w:pStyle w:val="centrum"/>
            </w:pPr>
          </w:p>
        </w:tc>
      </w:tr>
      <w:tr w:rsidR="000B6795" w:rsidRPr="003908CB" w:rsidTr="000B6795">
        <w:tc>
          <w:tcPr>
            <w:tcW w:w="3616" w:type="dxa"/>
          </w:tcPr>
          <w:p w:rsidR="000B6795" w:rsidRPr="000B6795" w:rsidRDefault="000B6795" w:rsidP="00B93B92">
            <w:pPr>
              <w:pStyle w:val="centrum"/>
            </w:pPr>
            <w:r w:rsidRPr="000B6795">
              <w:t>κ</w:t>
            </w:r>
            <w:r w:rsidR="00A74F01">
              <w:t>α</w:t>
            </w:r>
            <w:r w:rsidRPr="000B6795">
              <w:t>ὶ τ</w:t>
            </w:r>
            <w:r w:rsidR="00DB352C">
              <w:t>ί</w:t>
            </w:r>
            <w:r w:rsidRPr="000B6795">
              <w:t xml:space="preserve">ς σοι ἔδωκεν </w:t>
            </w:r>
          </w:p>
        </w:tc>
        <w:tc>
          <w:tcPr>
            <w:tcW w:w="3616" w:type="dxa"/>
          </w:tcPr>
          <w:p w:rsidR="000B6795" w:rsidRPr="000B6795" w:rsidRDefault="000B6795" w:rsidP="00B93B92">
            <w:pPr>
              <w:pStyle w:val="centrum"/>
            </w:pPr>
            <w:r w:rsidRPr="000B6795">
              <w:t>κ</w:t>
            </w:r>
            <w:r w:rsidR="00A74F01">
              <w:t>α</w:t>
            </w:r>
            <w:r w:rsidRPr="000B6795">
              <w:t>ὶ τ</w:t>
            </w:r>
            <w:r w:rsidR="00DB352C">
              <w:t>ί</w:t>
            </w:r>
            <w:r w:rsidRPr="000B6795">
              <w:t xml:space="preserve">ς σοι </w:t>
            </w:r>
          </w:p>
        </w:tc>
        <w:tc>
          <w:tcPr>
            <w:tcW w:w="3616" w:type="dxa"/>
          </w:tcPr>
          <w:p w:rsidR="000B6795" w:rsidRPr="000B6795" w:rsidRDefault="000B6795" w:rsidP="00B93B92">
            <w:pPr>
              <w:pStyle w:val="centrum"/>
            </w:pPr>
            <w:r w:rsidRPr="000B6795">
              <w:t>ἢ τ</w:t>
            </w:r>
            <w:r w:rsidR="00DB352C">
              <w:t>ί</w:t>
            </w:r>
            <w:r w:rsidRPr="000B6795">
              <w:t>ς ἐστιν ὁ δο</w:t>
            </w:r>
            <w:r w:rsidR="00C151D4">
              <w:t>ύ</w:t>
            </w:r>
            <w:r w:rsidRPr="000B6795">
              <w:t xml:space="preserve">ς σοι </w:t>
            </w:r>
          </w:p>
        </w:tc>
        <w:tc>
          <w:tcPr>
            <w:tcW w:w="3616" w:type="dxa"/>
            <w:vAlign w:val="bottom"/>
          </w:tcPr>
          <w:p w:rsidR="000B6795" w:rsidRPr="003908CB" w:rsidRDefault="000B6795" w:rsidP="007114F4"/>
        </w:tc>
        <w:tc>
          <w:tcPr>
            <w:tcW w:w="3616" w:type="dxa"/>
            <w:vAlign w:val="bottom"/>
          </w:tcPr>
          <w:p w:rsidR="000B6795" w:rsidRPr="003908CB" w:rsidRDefault="000B6795" w:rsidP="007114F4"/>
        </w:tc>
        <w:tc>
          <w:tcPr>
            <w:tcW w:w="3617" w:type="dxa"/>
            <w:vAlign w:val="bottom"/>
          </w:tcPr>
          <w:p w:rsidR="000B6795" w:rsidRPr="003908CB" w:rsidRDefault="000B6795" w:rsidP="00B93B92">
            <w:pPr>
              <w:pStyle w:val="centrum"/>
            </w:pPr>
          </w:p>
        </w:tc>
      </w:tr>
      <w:tr w:rsidR="000B6795" w:rsidRPr="003908CB" w:rsidTr="000B6795">
        <w:tc>
          <w:tcPr>
            <w:tcW w:w="3616" w:type="dxa"/>
          </w:tcPr>
          <w:p w:rsidR="000B6795" w:rsidRPr="000B6795" w:rsidRDefault="000B6795" w:rsidP="00B93B92">
            <w:pPr>
              <w:pStyle w:val="centrum"/>
            </w:pPr>
            <w:r w:rsidRPr="000B6795">
              <w:t>τὴν ἐξουσ</w:t>
            </w:r>
            <w:r w:rsidR="00DB352C">
              <w:t>ί</w:t>
            </w:r>
            <w:r w:rsidR="00A74F01">
              <w:t>α</w:t>
            </w:r>
            <w:r w:rsidRPr="000B6795">
              <w:t>ν τ</w:t>
            </w:r>
            <w:r w:rsidR="00A74F01">
              <w:t>α</w:t>
            </w:r>
            <w:r w:rsidR="00C151D4">
              <w:t>ύ</w:t>
            </w:r>
            <w:r w:rsidRPr="000B6795">
              <w:t>την;</w:t>
            </w:r>
          </w:p>
        </w:tc>
        <w:tc>
          <w:tcPr>
            <w:tcW w:w="3616" w:type="dxa"/>
          </w:tcPr>
          <w:p w:rsidR="000B6795" w:rsidRPr="000B6795" w:rsidRDefault="000B6795" w:rsidP="00B93B92">
            <w:pPr>
              <w:pStyle w:val="centrum"/>
            </w:pPr>
            <w:r w:rsidRPr="000B6795">
              <w:t>τὴν ἐξουσ</w:t>
            </w:r>
            <w:r w:rsidR="00DB352C">
              <w:t>ί</w:t>
            </w:r>
            <w:r w:rsidR="00A74F01">
              <w:t>α</w:t>
            </w:r>
            <w:r w:rsidRPr="000B6795">
              <w:t>ν τ</w:t>
            </w:r>
            <w:r w:rsidR="00A74F01">
              <w:t>α</w:t>
            </w:r>
            <w:r w:rsidR="00C151D4">
              <w:t>ύ</w:t>
            </w:r>
            <w:r w:rsidRPr="000B6795">
              <w:t>την ἔδωκεν</w:t>
            </w:r>
          </w:p>
        </w:tc>
        <w:tc>
          <w:tcPr>
            <w:tcW w:w="3616" w:type="dxa"/>
          </w:tcPr>
          <w:p w:rsidR="000B6795" w:rsidRPr="000B6795" w:rsidRDefault="000B6795" w:rsidP="00B93B92">
            <w:pPr>
              <w:pStyle w:val="centrum"/>
            </w:pPr>
            <w:r w:rsidRPr="000B6795">
              <w:t>τὴν ἐξουσ</w:t>
            </w:r>
            <w:r w:rsidR="00DB352C">
              <w:t>ί</w:t>
            </w:r>
            <w:r w:rsidR="00A74F01">
              <w:t>α</w:t>
            </w:r>
            <w:r w:rsidRPr="000B6795">
              <w:t>ν τ</w:t>
            </w:r>
            <w:r w:rsidR="00A74F01">
              <w:t>α</w:t>
            </w:r>
            <w:r w:rsidR="00C151D4">
              <w:t>ύ</w:t>
            </w:r>
            <w:r w:rsidRPr="000B6795">
              <w:t>την.</w:t>
            </w:r>
          </w:p>
        </w:tc>
        <w:tc>
          <w:tcPr>
            <w:tcW w:w="3616" w:type="dxa"/>
            <w:vAlign w:val="bottom"/>
          </w:tcPr>
          <w:p w:rsidR="000B6795" w:rsidRPr="003908CB" w:rsidRDefault="000B6795" w:rsidP="007114F4"/>
        </w:tc>
        <w:tc>
          <w:tcPr>
            <w:tcW w:w="3616" w:type="dxa"/>
            <w:vAlign w:val="bottom"/>
          </w:tcPr>
          <w:p w:rsidR="000B6795" w:rsidRPr="003908CB" w:rsidRDefault="000B6795" w:rsidP="007114F4"/>
        </w:tc>
        <w:tc>
          <w:tcPr>
            <w:tcW w:w="3617" w:type="dxa"/>
            <w:vAlign w:val="bottom"/>
          </w:tcPr>
          <w:p w:rsidR="000B6795" w:rsidRPr="003908CB" w:rsidRDefault="000B6795" w:rsidP="00B93B92">
            <w:pPr>
              <w:pStyle w:val="centrum"/>
            </w:pPr>
          </w:p>
        </w:tc>
      </w:tr>
      <w:tr w:rsidR="000B6795" w:rsidRPr="003908CB" w:rsidTr="000B6795">
        <w:tc>
          <w:tcPr>
            <w:tcW w:w="3616" w:type="dxa"/>
          </w:tcPr>
          <w:p w:rsidR="000B6795" w:rsidRPr="000B6795" w:rsidRDefault="000B6795" w:rsidP="000B6795"/>
        </w:tc>
        <w:tc>
          <w:tcPr>
            <w:tcW w:w="3616" w:type="dxa"/>
          </w:tcPr>
          <w:p w:rsidR="000B6795" w:rsidRPr="000B6795" w:rsidRDefault="000B6795" w:rsidP="00B93B92">
            <w:pPr>
              <w:pStyle w:val="centrum"/>
            </w:pPr>
            <w:r w:rsidRPr="000B6795">
              <w:t>ἵν</w:t>
            </w:r>
            <w:r w:rsidR="00A74F01">
              <w:t>α</w:t>
            </w:r>
            <w:r w:rsidRPr="000B6795">
              <w:t xml:space="preserve"> τ</w:t>
            </w:r>
            <w:r w:rsidR="00A74F01">
              <w:t>α</w:t>
            </w:r>
            <w:r w:rsidRPr="000B6795">
              <w:t>ῦτ</w:t>
            </w:r>
            <w:r w:rsidR="00A74F01">
              <w:t>α</w:t>
            </w:r>
            <w:r w:rsidRPr="000B6795">
              <w:t xml:space="preserve"> ποιῇς;</w:t>
            </w:r>
          </w:p>
        </w:tc>
        <w:tc>
          <w:tcPr>
            <w:tcW w:w="3616" w:type="dxa"/>
          </w:tcPr>
          <w:p w:rsidR="000B6795" w:rsidRPr="000B6795" w:rsidRDefault="000B6795" w:rsidP="000B6795"/>
        </w:tc>
        <w:tc>
          <w:tcPr>
            <w:tcW w:w="3616" w:type="dxa"/>
            <w:vAlign w:val="bottom"/>
          </w:tcPr>
          <w:p w:rsidR="000B6795" w:rsidRPr="003908CB" w:rsidRDefault="000B6795" w:rsidP="007114F4"/>
        </w:tc>
        <w:tc>
          <w:tcPr>
            <w:tcW w:w="3616" w:type="dxa"/>
            <w:vAlign w:val="bottom"/>
          </w:tcPr>
          <w:p w:rsidR="000B6795" w:rsidRPr="003908CB" w:rsidRDefault="000B6795" w:rsidP="007114F4"/>
        </w:tc>
        <w:tc>
          <w:tcPr>
            <w:tcW w:w="3617" w:type="dxa"/>
            <w:vAlign w:val="bottom"/>
          </w:tcPr>
          <w:p w:rsidR="000B6795" w:rsidRPr="003908CB" w:rsidRDefault="000B6795" w:rsidP="00B93B92">
            <w:pPr>
              <w:pStyle w:val="centrum"/>
            </w:pPr>
          </w:p>
        </w:tc>
      </w:tr>
      <w:tr w:rsidR="000B6795" w:rsidRPr="003908CB" w:rsidTr="000B6795">
        <w:tc>
          <w:tcPr>
            <w:tcW w:w="3616" w:type="dxa"/>
          </w:tcPr>
          <w:p w:rsidR="000B6795" w:rsidRPr="000B6795" w:rsidRDefault="000B6795" w:rsidP="00B93B92">
            <w:pPr>
              <w:pStyle w:val="centrum"/>
            </w:pPr>
            <w:r w:rsidRPr="000B6795">
              <w:t xml:space="preserve">ἀποκριθεὶς δὲ ὁ Ἰησοῦς </w:t>
            </w:r>
          </w:p>
        </w:tc>
        <w:tc>
          <w:tcPr>
            <w:tcW w:w="3616" w:type="dxa"/>
          </w:tcPr>
          <w:p w:rsidR="000B6795" w:rsidRPr="000B6795" w:rsidRDefault="000B6795" w:rsidP="00B93B92">
            <w:pPr>
              <w:pStyle w:val="centrum"/>
            </w:pPr>
            <w:r w:rsidRPr="000B6795">
              <w:t xml:space="preserve">ὁ δὲ Ἰησοῦς ἀποκριθεὶς </w:t>
            </w:r>
          </w:p>
        </w:tc>
        <w:tc>
          <w:tcPr>
            <w:tcW w:w="3616" w:type="dxa"/>
          </w:tcPr>
          <w:p w:rsidR="000B6795" w:rsidRPr="000B6795" w:rsidRDefault="000B6795" w:rsidP="00B93B92">
            <w:pPr>
              <w:pStyle w:val="centrum"/>
            </w:pPr>
            <w:r w:rsidRPr="000B6795">
              <w:t xml:space="preserve">ἀποκριθεὶς δὲ </w:t>
            </w:r>
          </w:p>
        </w:tc>
        <w:tc>
          <w:tcPr>
            <w:tcW w:w="3616" w:type="dxa"/>
            <w:vAlign w:val="bottom"/>
          </w:tcPr>
          <w:p w:rsidR="000B6795" w:rsidRPr="003908CB" w:rsidRDefault="000B6795" w:rsidP="007114F4"/>
        </w:tc>
        <w:tc>
          <w:tcPr>
            <w:tcW w:w="3616" w:type="dxa"/>
            <w:vAlign w:val="bottom"/>
          </w:tcPr>
          <w:p w:rsidR="000B6795" w:rsidRPr="003908CB" w:rsidRDefault="000B6795" w:rsidP="007114F4"/>
        </w:tc>
        <w:tc>
          <w:tcPr>
            <w:tcW w:w="3617" w:type="dxa"/>
            <w:vAlign w:val="bottom"/>
          </w:tcPr>
          <w:p w:rsidR="000B6795" w:rsidRPr="003908CB" w:rsidRDefault="000B6795" w:rsidP="00B93B92">
            <w:pPr>
              <w:pStyle w:val="centrum"/>
            </w:pPr>
          </w:p>
        </w:tc>
      </w:tr>
      <w:tr w:rsidR="000B6795" w:rsidRPr="003908CB" w:rsidTr="000B6795">
        <w:tc>
          <w:tcPr>
            <w:tcW w:w="3616" w:type="dxa"/>
          </w:tcPr>
          <w:p w:rsidR="000B6795" w:rsidRPr="000B6795" w:rsidRDefault="000B6795" w:rsidP="00B93B92">
            <w:pPr>
              <w:pStyle w:val="centrum"/>
            </w:pPr>
            <w:r w:rsidRPr="000B6795">
              <w:t xml:space="preserve">εἶπεν </w:t>
            </w:r>
            <w:r w:rsidR="00A74F01">
              <w:t>α</w:t>
            </w:r>
            <w:r w:rsidRPr="000B6795">
              <w:t xml:space="preserve">ὐτοῖς, </w:t>
            </w:r>
          </w:p>
        </w:tc>
        <w:tc>
          <w:tcPr>
            <w:tcW w:w="3616" w:type="dxa"/>
          </w:tcPr>
          <w:p w:rsidR="000B6795" w:rsidRPr="000B6795" w:rsidRDefault="000B6795" w:rsidP="00B93B92">
            <w:pPr>
              <w:pStyle w:val="centrum"/>
            </w:pPr>
            <w:r w:rsidRPr="000B6795">
              <w:t xml:space="preserve">εἶπεν </w:t>
            </w:r>
            <w:r w:rsidR="00A74F01">
              <w:t>α</w:t>
            </w:r>
            <w:r w:rsidRPr="000B6795">
              <w:t xml:space="preserve">ὐτοῖς, </w:t>
            </w:r>
          </w:p>
        </w:tc>
        <w:tc>
          <w:tcPr>
            <w:tcW w:w="3616" w:type="dxa"/>
          </w:tcPr>
          <w:p w:rsidR="000B6795" w:rsidRPr="000B6795" w:rsidRDefault="000B6795" w:rsidP="00B93B92">
            <w:pPr>
              <w:pStyle w:val="centrum"/>
            </w:pPr>
            <w:r w:rsidRPr="000B6795">
              <w:t xml:space="preserve">εἶπεν πρὸς </w:t>
            </w:r>
            <w:r w:rsidR="00A74F01">
              <w:t>α</w:t>
            </w:r>
            <w:r w:rsidRPr="000B6795">
              <w:t>ὐτο</w:t>
            </w:r>
            <w:r w:rsidR="00C151D4">
              <w:t>ύ</w:t>
            </w:r>
            <w:r w:rsidRPr="000B6795">
              <w:t xml:space="preserve">ς, </w:t>
            </w:r>
          </w:p>
        </w:tc>
        <w:tc>
          <w:tcPr>
            <w:tcW w:w="3616" w:type="dxa"/>
            <w:vAlign w:val="bottom"/>
          </w:tcPr>
          <w:p w:rsidR="000B6795" w:rsidRPr="003908CB" w:rsidRDefault="000B6795" w:rsidP="007114F4"/>
        </w:tc>
        <w:tc>
          <w:tcPr>
            <w:tcW w:w="3616" w:type="dxa"/>
            <w:vAlign w:val="bottom"/>
          </w:tcPr>
          <w:p w:rsidR="000B6795" w:rsidRPr="003908CB" w:rsidRDefault="000B6795" w:rsidP="007114F4"/>
        </w:tc>
        <w:tc>
          <w:tcPr>
            <w:tcW w:w="3617" w:type="dxa"/>
            <w:vAlign w:val="bottom"/>
          </w:tcPr>
          <w:p w:rsidR="000B6795" w:rsidRPr="003908CB" w:rsidRDefault="000B6795" w:rsidP="00B93B92">
            <w:pPr>
              <w:pStyle w:val="centrum"/>
            </w:pPr>
          </w:p>
        </w:tc>
      </w:tr>
      <w:tr w:rsidR="000B6795" w:rsidRPr="003908CB" w:rsidTr="000B6795">
        <w:tc>
          <w:tcPr>
            <w:tcW w:w="3616" w:type="dxa"/>
          </w:tcPr>
          <w:p w:rsidR="000B6795" w:rsidRPr="000B6795" w:rsidRDefault="000B6795" w:rsidP="00B93B92">
            <w:pPr>
              <w:pStyle w:val="centrum"/>
            </w:pPr>
            <w:r w:rsidRPr="000B6795">
              <w:t xml:space="preserve">Ἐρωτήσω ὑμᾶς κἀγὼ </w:t>
            </w:r>
          </w:p>
        </w:tc>
        <w:tc>
          <w:tcPr>
            <w:tcW w:w="3616" w:type="dxa"/>
          </w:tcPr>
          <w:p w:rsidR="000B6795" w:rsidRPr="000B6795" w:rsidRDefault="000B6795" w:rsidP="00B93B92">
            <w:pPr>
              <w:pStyle w:val="centrum"/>
            </w:pPr>
            <w:r w:rsidRPr="000B6795">
              <w:t>Ἐπερωτήσω ὑμᾶς κἀγώ</w:t>
            </w:r>
          </w:p>
        </w:tc>
        <w:tc>
          <w:tcPr>
            <w:tcW w:w="3616" w:type="dxa"/>
          </w:tcPr>
          <w:p w:rsidR="000B6795" w:rsidRPr="000B6795" w:rsidRDefault="000B6795" w:rsidP="00B93B92">
            <w:pPr>
              <w:pStyle w:val="centrum"/>
            </w:pPr>
            <w:r w:rsidRPr="000B6795">
              <w:t xml:space="preserve">Ἐρωτήσω ὑμᾶς κἀγὼ </w:t>
            </w:r>
          </w:p>
        </w:tc>
        <w:tc>
          <w:tcPr>
            <w:tcW w:w="3616" w:type="dxa"/>
            <w:vAlign w:val="bottom"/>
          </w:tcPr>
          <w:p w:rsidR="000B6795" w:rsidRPr="003908CB" w:rsidRDefault="000B6795" w:rsidP="007114F4"/>
        </w:tc>
        <w:tc>
          <w:tcPr>
            <w:tcW w:w="3616" w:type="dxa"/>
            <w:vAlign w:val="bottom"/>
          </w:tcPr>
          <w:p w:rsidR="000B6795" w:rsidRPr="003908CB" w:rsidRDefault="000B6795" w:rsidP="007114F4"/>
        </w:tc>
        <w:tc>
          <w:tcPr>
            <w:tcW w:w="3617" w:type="dxa"/>
            <w:vAlign w:val="bottom"/>
          </w:tcPr>
          <w:p w:rsidR="000B6795" w:rsidRPr="003908CB" w:rsidRDefault="000B6795" w:rsidP="00B93B92">
            <w:pPr>
              <w:pStyle w:val="centrum"/>
            </w:pPr>
          </w:p>
        </w:tc>
      </w:tr>
      <w:tr w:rsidR="000B6795" w:rsidRPr="003908CB" w:rsidTr="000B6795">
        <w:tc>
          <w:tcPr>
            <w:tcW w:w="3616" w:type="dxa"/>
          </w:tcPr>
          <w:p w:rsidR="000B6795" w:rsidRPr="000B6795" w:rsidRDefault="000B6795" w:rsidP="00B93B92">
            <w:pPr>
              <w:pStyle w:val="centrum"/>
            </w:pPr>
            <w:r w:rsidRPr="000B6795">
              <w:t>λ</w:t>
            </w:r>
            <w:r w:rsidR="00736374">
              <w:t>ό</w:t>
            </w:r>
            <w:r w:rsidRPr="000B6795">
              <w:t>γον ἕν</w:t>
            </w:r>
            <w:r w:rsidR="00A74F01">
              <w:t>α</w:t>
            </w:r>
            <w:r w:rsidRPr="000B6795">
              <w:t xml:space="preserve">… </w:t>
            </w:r>
          </w:p>
        </w:tc>
        <w:tc>
          <w:tcPr>
            <w:tcW w:w="3616" w:type="dxa"/>
          </w:tcPr>
          <w:p w:rsidR="000B6795" w:rsidRPr="000B6795" w:rsidRDefault="000B6795" w:rsidP="00B93B92">
            <w:pPr>
              <w:pStyle w:val="centrum"/>
            </w:pPr>
            <w:r w:rsidRPr="000B6795">
              <w:t>ἕν</w:t>
            </w:r>
            <w:r w:rsidR="00A74F01">
              <w:t>α</w:t>
            </w:r>
            <w:r w:rsidRPr="000B6795">
              <w:t xml:space="preserve"> λ</w:t>
            </w:r>
            <w:r w:rsidR="00736374">
              <w:t>ό</w:t>
            </w:r>
            <w:r w:rsidRPr="000B6795">
              <w:t>γον…</w:t>
            </w:r>
          </w:p>
        </w:tc>
        <w:tc>
          <w:tcPr>
            <w:tcW w:w="3616" w:type="dxa"/>
          </w:tcPr>
          <w:p w:rsidR="000B6795" w:rsidRPr="000B6795" w:rsidRDefault="000B6795" w:rsidP="00B93B92">
            <w:pPr>
              <w:pStyle w:val="centrum"/>
            </w:pPr>
            <w:r w:rsidRPr="000B6795">
              <w:t>ἕν</w:t>
            </w:r>
            <w:r w:rsidR="00A74F01">
              <w:t>α</w:t>
            </w:r>
            <w:r w:rsidRPr="000B6795">
              <w:t xml:space="preserve"> λ</w:t>
            </w:r>
            <w:r w:rsidR="00736374">
              <w:t>ό</w:t>
            </w:r>
            <w:r w:rsidRPr="000B6795">
              <w:t>γον…</w:t>
            </w:r>
          </w:p>
        </w:tc>
        <w:tc>
          <w:tcPr>
            <w:tcW w:w="3616" w:type="dxa"/>
            <w:vAlign w:val="bottom"/>
          </w:tcPr>
          <w:p w:rsidR="000B6795" w:rsidRPr="003908CB" w:rsidRDefault="000B6795" w:rsidP="007114F4"/>
        </w:tc>
        <w:tc>
          <w:tcPr>
            <w:tcW w:w="3616" w:type="dxa"/>
            <w:vAlign w:val="bottom"/>
          </w:tcPr>
          <w:p w:rsidR="000B6795" w:rsidRPr="003908CB" w:rsidRDefault="000B6795" w:rsidP="007114F4"/>
        </w:tc>
        <w:tc>
          <w:tcPr>
            <w:tcW w:w="3617" w:type="dxa"/>
            <w:vAlign w:val="bottom"/>
          </w:tcPr>
          <w:p w:rsidR="000B6795" w:rsidRPr="003908CB" w:rsidRDefault="000B6795" w:rsidP="00B93B92">
            <w:pPr>
              <w:pStyle w:val="centrum"/>
            </w:pPr>
          </w:p>
        </w:tc>
      </w:tr>
    </w:tbl>
    <w:p w:rsidR="00C450AD" w:rsidRDefault="00C450AD" w:rsidP="00A604BA">
      <w:pPr>
        <w:rPr>
          <w:rFonts w:eastAsia="Arial Unicode MS"/>
          <w:bCs/>
          <w:lang w:eastAsia="fr-FR" w:bidi="he-IL"/>
        </w:rPr>
      </w:pPr>
    </w:p>
    <w:p w:rsidR="00C2602D" w:rsidRPr="00C8701B" w:rsidRDefault="00B704AD" w:rsidP="00A604BA">
      <w:pPr>
        <w:rPr>
          <w:rFonts w:eastAsia="Arial Unicode MS"/>
          <w:bCs/>
          <w:lang w:eastAsia="fr-FR" w:bidi="he-IL"/>
        </w:rPr>
      </w:pPr>
      <w:r w:rsidRPr="00C8701B">
        <w:rPr>
          <w:rFonts w:eastAsia="Arial Unicode MS"/>
          <w:bCs/>
          <w:lang w:eastAsia="fr-FR" w:bidi="he-IL"/>
        </w:rPr>
        <w:t>Parfois</w:t>
      </w:r>
      <w:r w:rsidR="00E65435">
        <w:rPr>
          <w:rFonts w:eastAsia="Arial Unicode MS"/>
          <w:bCs/>
          <w:lang w:eastAsia="fr-FR" w:bidi="he-IL"/>
        </w:rPr>
        <w:t xml:space="preserve">, </w:t>
      </w:r>
      <w:r w:rsidRPr="00C8701B">
        <w:rPr>
          <w:rFonts w:eastAsia="Arial Unicode MS"/>
          <w:bCs/>
          <w:lang w:eastAsia="fr-FR" w:bidi="he-IL"/>
        </w:rPr>
        <w:t>on a noté que ces coïnciden</w:t>
      </w:r>
      <w:r w:rsidR="004F0C07">
        <w:rPr>
          <w:rFonts w:eastAsia="Arial Unicode MS"/>
          <w:bCs/>
          <w:lang w:eastAsia="fr-FR" w:bidi="he-IL"/>
        </w:rPr>
        <w:t>ces verbales ont lieu dans des c</w:t>
      </w:r>
      <w:r w:rsidRPr="00C8701B">
        <w:rPr>
          <w:rFonts w:eastAsia="Arial Unicode MS"/>
          <w:bCs/>
          <w:lang w:eastAsia="fr-FR" w:bidi="he-IL"/>
        </w:rPr>
        <w:t>irconstances trop extraordinaires pour qu</w:t>
      </w:r>
      <w:r w:rsidR="00557DE0">
        <w:rPr>
          <w:rFonts w:eastAsia="Arial Unicode MS"/>
          <w:bCs/>
          <w:lang w:eastAsia="fr-FR" w:bidi="he-IL"/>
        </w:rPr>
        <w:t>’</w:t>
      </w:r>
      <w:r w:rsidRPr="00C8701B">
        <w:rPr>
          <w:rFonts w:eastAsia="Arial Unicode MS"/>
          <w:bCs/>
          <w:lang w:eastAsia="fr-FR" w:bidi="he-IL"/>
        </w:rPr>
        <w:t xml:space="preserve">on </w:t>
      </w:r>
      <w:r w:rsidR="00257FD6">
        <w:rPr>
          <w:rFonts w:eastAsia="Arial Unicode MS"/>
          <w:bCs/>
          <w:lang w:eastAsia="fr-FR" w:bidi="he-IL"/>
        </w:rPr>
        <w:t>puisse</w:t>
      </w:r>
      <w:r w:rsidRPr="00C8701B">
        <w:rPr>
          <w:rFonts w:eastAsia="Arial Unicode MS"/>
          <w:bCs/>
          <w:lang w:eastAsia="fr-FR" w:bidi="he-IL"/>
        </w:rPr>
        <w:t xml:space="preserve"> les attribuer simplement au hasard. Ainsi</w:t>
      </w:r>
      <w:r w:rsidR="00E65435">
        <w:rPr>
          <w:rFonts w:eastAsia="Arial Unicode MS"/>
          <w:bCs/>
          <w:lang w:eastAsia="fr-FR" w:bidi="he-IL"/>
        </w:rPr>
        <w:t xml:space="preserve">, </w:t>
      </w:r>
      <w:r w:rsidRPr="00C8701B">
        <w:rPr>
          <w:rFonts w:eastAsia="Arial Unicode MS"/>
          <w:bCs/>
          <w:lang w:eastAsia="fr-FR" w:bidi="he-IL"/>
        </w:rPr>
        <w:t>dans le triple récit de</w:t>
      </w:r>
      <w:r w:rsidR="00A604BA">
        <w:rPr>
          <w:rFonts w:eastAsia="Arial Unicode MS"/>
          <w:bCs/>
          <w:lang w:eastAsia="fr-FR" w:bidi="he-IL"/>
        </w:rPr>
        <w:t xml:space="preserve"> la</w:t>
      </w:r>
      <w:r w:rsidRPr="00C8701B">
        <w:rPr>
          <w:rFonts w:eastAsia="Arial Unicode MS"/>
          <w:bCs/>
          <w:lang w:eastAsia="fr-FR" w:bidi="he-IL"/>
        </w:rPr>
        <w:t xml:space="preserve"> guérison du paralytique</w:t>
      </w:r>
      <w:r w:rsidR="00CE11E9">
        <w:rPr>
          <w:rFonts w:eastAsia="Arial Unicode MS"/>
          <w:bCs/>
          <w:lang w:eastAsia="fr-FR" w:bidi="he-IL"/>
        </w:rPr>
        <w:t> </w:t>
      </w:r>
      <w:r w:rsidR="00CE11E9" w:rsidRPr="00C406FF">
        <w:rPr>
          <w:rStyle w:val="Appelnotedebasdep"/>
        </w:rPr>
        <w:footnoteReference w:id="148"/>
      </w:r>
      <w:r w:rsidR="00E65435">
        <w:rPr>
          <w:rFonts w:eastAsia="Arial Unicode MS"/>
          <w:bCs/>
          <w:lang w:eastAsia="fr-FR" w:bidi="he-IL"/>
        </w:rPr>
        <w:t xml:space="preserve">, </w:t>
      </w:r>
      <w:r w:rsidRPr="00C8701B">
        <w:rPr>
          <w:rFonts w:eastAsia="Arial Unicode MS"/>
          <w:bCs/>
          <w:lang w:eastAsia="fr-FR" w:bidi="he-IL"/>
        </w:rPr>
        <w:t xml:space="preserve">nous avons rencontré la forme rare et irrégulière </w:t>
      </w:r>
      <w:r w:rsidR="00A25B88" w:rsidRPr="004F0C07">
        <w:t>ἀ</w:t>
      </w:r>
      <w:r w:rsidRPr="004F0C07">
        <w:t>φ</w:t>
      </w:r>
      <w:r w:rsidR="00C771BF">
        <w:t>έ</w:t>
      </w:r>
      <w:r w:rsidRPr="004F0C07">
        <w:t>ων</w:t>
      </w:r>
      <w:r w:rsidR="00A604BA" w:rsidRPr="004F0C07">
        <w:t>τ</w:t>
      </w:r>
      <w:r w:rsidR="00A74F01">
        <w:t>α</w:t>
      </w:r>
      <w:r w:rsidR="00A604BA" w:rsidRPr="004F0C07">
        <w:t>ι</w:t>
      </w:r>
      <w:r w:rsidR="00E65435" w:rsidRPr="004F0C07">
        <w:t>,</w:t>
      </w:r>
      <w:r w:rsidR="00E65435">
        <w:rPr>
          <w:rFonts w:eastAsia="Arial Unicode MS"/>
          <w:bCs/>
          <w:lang w:eastAsia="fr-FR" w:bidi="he-IL"/>
        </w:rPr>
        <w:t xml:space="preserve"> </w:t>
      </w:r>
      <w:r w:rsidRPr="00C8701B">
        <w:rPr>
          <w:rFonts w:eastAsia="Arial Unicode MS"/>
          <w:bCs/>
          <w:lang w:eastAsia="fr-FR" w:bidi="he-IL"/>
        </w:rPr>
        <w:t>et</w:t>
      </w:r>
      <w:r w:rsidR="00E65435">
        <w:rPr>
          <w:rFonts w:eastAsia="Arial Unicode MS"/>
          <w:bCs/>
          <w:lang w:eastAsia="fr-FR" w:bidi="he-IL"/>
        </w:rPr>
        <w:t xml:space="preserve">, </w:t>
      </w:r>
      <w:r w:rsidRPr="00C8701B">
        <w:rPr>
          <w:rFonts w:eastAsia="Arial Unicode MS"/>
          <w:bCs/>
          <w:lang w:eastAsia="fr-FR" w:bidi="he-IL"/>
        </w:rPr>
        <w:t>en outre</w:t>
      </w:r>
      <w:r w:rsidR="00E65435">
        <w:rPr>
          <w:rFonts w:eastAsia="Arial Unicode MS"/>
          <w:bCs/>
          <w:lang w:eastAsia="fr-FR" w:bidi="he-IL"/>
        </w:rPr>
        <w:t xml:space="preserve">, </w:t>
      </w:r>
      <w:r w:rsidRPr="00C8701B">
        <w:rPr>
          <w:rFonts w:eastAsia="Arial Unicode MS"/>
          <w:bCs/>
          <w:lang w:eastAsia="fr-FR" w:bidi="he-IL"/>
        </w:rPr>
        <w:t>la parenthèse assez étrange</w:t>
      </w:r>
      <w:r w:rsidR="00C2602D" w:rsidRPr="00C8701B">
        <w:rPr>
          <w:rFonts w:eastAsia="Arial Unicode MS"/>
          <w:bCs/>
          <w:lang w:eastAsia="fr-FR" w:bidi="he-IL"/>
        </w:rPr>
        <w:t> :</w:t>
      </w:r>
      <w:r w:rsidRPr="00C8701B">
        <w:rPr>
          <w:rFonts w:eastAsia="Arial Unicode MS"/>
          <w:bCs/>
          <w:lang w:eastAsia="fr-FR" w:bidi="he-IL"/>
        </w:rPr>
        <w:t xml:space="preserve"> </w:t>
      </w:r>
      <w:r w:rsidR="00C2602D" w:rsidRPr="00C8701B">
        <w:rPr>
          <w:rFonts w:eastAsia="Arial Unicode MS"/>
          <w:bCs/>
          <w:lang w:eastAsia="fr-FR" w:bidi="he-IL"/>
        </w:rPr>
        <w:t>« </w:t>
      </w:r>
      <w:r w:rsidRPr="00C8701B">
        <w:rPr>
          <w:rFonts w:eastAsia="Arial Unicode MS"/>
          <w:bCs/>
          <w:lang w:eastAsia="fr-FR" w:bidi="he-IL"/>
        </w:rPr>
        <w:t>il dit au paralytique</w:t>
      </w:r>
      <w:r w:rsidR="004F0C07">
        <w:rPr>
          <w:rFonts w:eastAsia="Arial Unicode MS"/>
          <w:bCs/>
          <w:lang w:eastAsia="fr-FR" w:bidi="he-IL"/>
        </w:rPr>
        <w:t> </w:t>
      </w:r>
      <w:r w:rsidR="00A604BA">
        <w:rPr>
          <w:rFonts w:eastAsia="Arial Unicode MS"/>
          <w:bCs/>
          <w:lang w:eastAsia="fr-FR" w:bidi="he-IL"/>
        </w:rPr>
        <w:t>».</w:t>
      </w:r>
      <w:r w:rsidRPr="00C8701B">
        <w:rPr>
          <w:rFonts w:eastAsia="Arial Unicode MS"/>
          <w:bCs/>
          <w:rtl/>
          <w:lang w:eastAsia="fr-FR" w:bidi="he-IL"/>
        </w:rPr>
        <w:t xml:space="preserve"> </w:t>
      </w:r>
      <w:r w:rsidRPr="00C8701B">
        <w:rPr>
          <w:rFonts w:eastAsia="Arial Unicode MS"/>
          <w:bCs/>
          <w:lang w:eastAsia="fr-FR" w:bidi="he-IL"/>
        </w:rPr>
        <w:t xml:space="preserve">Aux passages Matth. </w:t>
      </w:r>
      <w:r w:rsidR="00FC445E">
        <w:rPr>
          <w:rFonts w:eastAsia="Arial Unicode MS"/>
          <w:bCs/>
          <w:lang w:eastAsia="fr-FR" w:bidi="he-IL"/>
        </w:rPr>
        <w:t>XIX</w:t>
      </w:r>
      <w:r w:rsidR="00E65435">
        <w:rPr>
          <w:rFonts w:eastAsia="Arial Unicode MS"/>
          <w:bCs/>
          <w:lang w:eastAsia="fr-FR" w:bidi="he-IL"/>
        </w:rPr>
        <w:t xml:space="preserve">, </w:t>
      </w:r>
      <w:r w:rsidRPr="00C8701B">
        <w:rPr>
          <w:rFonts w:eastAsia="Arial Unicode MS"/>
          <w:bCs/>
          <w:lang w:eastAsia="fr-FR" w:bidi="he-IL"/>
        </w:rPr>
        <w:t>23</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Marc</w:t>
      </w:r>
      <w:r w:rsidR="00E65435">
        <w:rPr>
          <w:rFonts w:eastAsia="Arial Unicode MS"/>
          <w:bCs/>
          <w:lang w:eastAsia="fr-FR" w:bidi="he-IL"/>
        </w:rPr>
        <w:t xml:space="preserve">, </w:t>
      </w:r>
      <w:r w:rsidR="001157C4">
        <w:rPr>
          <w:rFonts w:eastAsia="Arial Unicode MS"/>
          <w:bCs/>
          <w:lang w:eastAsia="fr-FR" w:bidi="he-IL"/>
        </w:rPr>
        <w:t>X</w:t>
      </w:r>
      <w:r w:rsidR="00E65435">
        <w:rPr>
          <w:rFonts w:eastAsia="Arial Unicode MS"/>
          <w:bCs/>
          <w:lang w:eastAsia="fr-FR" w:bidi="he-IL"/>
        </w:rPr>
        <w:t xml:space="preserve">, </w:t>
      </w:r>
      <w:r w:rsidRPr="00C8701B">
        <w:rPr>
          <w:rFonts w:eastAsia="Arial Unicode MS"/>
          <w:bCs/>
          <w:lang w:eastAsia="fr-FR" w:bidi="he-IL"/>
        </w:rPr>
        <w:t>23</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Luc. </w:t>
      </w:r>
      <w:r w:rsidR="00CA083D">
        <w:rPr>
          <w:rFonts w:eastAsia="Arial Unicode MS"/>
          <w:bCs/>
          <w:lang w:eastAsia="fr-FR" w:bidi="he-IL"/>
        </w:rPr>
        <w:t>XVII</w:t>
      </w:r>
      <w:r w:rsidR="00C87A2B">
        <w:rPr>
          <w:rFonts w:eastAsia="Arial Unicode MS"/>
          <w:bCs/>
          <w:lang w:eastAsia="fr-FR" w:bidi="he-IL"/>
        </w:rPr>
        <w:t>I</w:t>
      </w:r>
      <w:r w:rsidR="00E65435">
        <w:rPr>
          <w:rFonts w:eastAsia="Arial Unicode MS"/>
          <w:bCs/>
          <w:lang w:eastAsia="fr-FR" w:bidi="he-IL"/>
        </w:rPr>
        <w:t xml:space="preserve">, </w:t>
      </w:r>
      <w:r w:rsidRPr="00C8701B">
        <w:rPr>
          <w:rFonts w:eastAsia="Arial Unicode MS"/>
          <w:bCs/>
          <w:lang w:eastAsia="fr-FR" w:bidi="he-IL"/>
        </w:rPr>
        <w:t>24</w:t>
      </w:r>
      <w:r w:rsidR="00E65435">
        <w:rPr>
          <w:rFonts w:eastAsia="Arial Unicode MS"/>
          <w:bCs/>
          <w:lang w:eastAsia="fr-FR" w:bidi="he-IL"/>
        </w:rPr>
        <w:t xml:space="preserve">, </w:t>
      </w:r>
      <w:r w:rsidRPr="00C8701B">
        <w:rPr>
          <w:rFonts w:eastAsia="Arial Unicode MS"/>
          <w:bCs/>
          <w:lang w:eastAsia="fr-FR" w:bidi="he-IL"/>
        </w:rPr>
        <w:t>les synoptiques emploient de concert l</w:t>
      </w:r>
      <w:r w:rsidR="00557DE0">
        <w:rPr>
          <w:rFonts w:eastAsia="Arial Unicode MS"/>
          <w:bCs/>
          <w:lang w:eastAsia="fr-FR" w:bidi="he-IL"/>
        </w:rPr>
        <w:t>’</w:t>
      </w:r>
      <w:r w:rsidRPr="00C8701B">
        <w:rPr>
          <w:rFonts w:eastAsia="Arial Unicode MS"/>
          <w:bCs/>
          <w:lang w:eastAsia="fr-FR" w:bidi="he-IL"/>
        </w:rPr>
        <w:t xml:space="preserve">adverbe </w:t>
      </w:r>
      <w:r w:rsidR="00A604BA" w:rsidRPr="004F0C07">
        <w:t>δυσκ</w:t>
      </w:r>
      <w:r w:rsidR="00736374">
        <w:t>ό</w:t>
      </w:r>
      <w:r w:rsidR="00A604BA" w:rsidRPr="004F0C07">
        <w:t>λως</w:t>
      </w:r>
      <w:r w:rsidR="00E65435">
        <w:rPr>
          <w:rFonts w:eastAsia="Arial Unicode MS"/>
          <w:bCs/>
          <w:lang w:val="el-GR" w:eastAsia="fr-FR" w:bidi="he-IL"/>
        </w:rPr>
        <w:t xml:space="preserve">, </w:t>
      </w:r>
      <w:r w:rsidRPr="00C8701B">
        <w:rPr>
          <w:rFonts w:eastAsia="Arial Unicode MS"/>
          <w:bCs/>
          <w:lang w:eastAsia="fr-FR" w:bidi="he-IL"/>
        </w:rPr>
        <w:t>qui n</w:t>
      </w:r>
      <w:r w:rsidR="00557DE0">
        <w:rPr>
          <w:rFonts w:eastAsia="Arial Unicode MS"/>
          <w:bCs/>
          <w:lang w:eastAsia="fr-FR" w:bidi="he-IL"/>
        </w:rPr>
        <w:t>’</w:t>
      </w:r>
      <w:r w:rsidRPr="00C8701B">
        <w:rPr>
          <w:rFonts w:eastAsia="Arial Unicode MS"/>
          <w:bCs/>
          <w:lang w:eastAsia="fr-FR" w:bidi="he-IL"/>
        </w:rPr>
        <w:t>apparaît pas ailleurs dans le Nouveau Testament. De même pour ces autres locutions peu communes</w:t>
      </w:r>
      <w:r w:rsidR="00C2602D" w:rsidRPr="00C8701B">
        <w:rPr>
          <w:rFonts w:eastAsia="Arial Unicode MS"/>
          <w:bCs/>
          <w:lang w:eastAsia="fr-FR" w:bidi="he-IL"/>
        </w:rPr>
        <w:t> :</w:t>
      </w:r>
      <w:r w:rsidRPr="00C8701B">
        <w:rPr>
          <w:rFonts w:eastAsia="Arial Unicode MS"/>
          <w:bCs/>
          <w:lang w:eastAsia="fr-FR" w:bidi="he-IL"/>
        </w:rPr>
        <w:t xml:space="preserve"> </w:t>
      </w:r>
      <w:r w:rsidR="00A604BA" w:rsidRPr="00B41422">
        <w:rPr>
          <w:lang w:eastAsia="fr-FR"/>
        </w:rPr>
        <w:t>οἱ</w:t>
      </w:r>
      <w:r w:rsidR="00A604BA" w:rsidRPr="00A74F01">
        <w:rPr>
          <w:lang w:eastAsia="fr-FR"/>
        </w:rPr>
        <w:t xml:space="preserve"> </w:t>
      </w:r>
      <w:r w:rsidR="00A604BA" w:rsidRPr="00B41422">
        <w:rPr>
          <w:lang w:eastAsia="fr-FR"/>
        </w:rPr>
        <w:t>υἱοὶ</w:t>
      </w:r>
      <w:r w:rsidR="00A604BA" w:rsidRPr="00A74F01">
        <w:rPr>
          <w:lang w:eastAsia="fr-FR"/>
        </w:rPr>
        <w:t xml:space="preserve"> </w:t>
      </w:r>
      <w:r w:rsidR="00A604BA" w:rsidRPr="00B41422">
        <w:rPr>
          <w:lang w:eastAsia="fr-FR"/>
        </w:rPr>
        <w:t>τοῦ</w:t>
      </w:r>
      <w:r w:rsidR="00A604BA" w:rsidRPr="00A74F01">
        <w:rPr>
          <w:lang w:eastAsia="fr-FR"/>
        </w:rPr>
        <w:t xml:space="preserve"> </w:t>
      </w:r>
      <w:r w:rsidR="00A604BA" w:rsidRPr="00B41422">
        <w:rPr>
          <w:lang w:eastAsia="fr-FR"/>
        </w:rPr>
        <w:t>νυμ</w:t>
      </w:r>
      <w:r w:rsidR="00A604BA">
        <w:rPr>
          <w:lang w:eastAsia="fr-FR"/>
        </w:rPr>
        <w:t>φ</w:t>
      </w:r>
      <w:r w:rsidR="00A604BA" w:rsidRPr="00B41422">
        <w:rPr>
          <w:lang w:eastAsia="fr-FR"/>
        </w:rPr>
        <w:t>ῶνος</w:t>
      </w:r>
      <w:r w:rsidRPr="00C8701B">
        <w:rPr>
          <w:rFonts w:eastAsia="Arial Unicode MS"/>
          <w:bCs/>
          <w:lang w:val="el-GR" w:eastAsia="fr-FR" w:bidi="he-IL"/>
        </w:rPr>
        <w:t xml:space="preserve"> </w:t>
      </w:r>
      <w:r w:rsidR="00A604BA">
        <w:rPr>
          <w:rFonts w:eastAsia="Arial Unicode MS"/>
          <w:bCs/>
          <w:lang w:eastAsia="fr-FR" w:bidi="he-IL"/>
        </w:rPr>
        <w:t>(Ma</w:t>
      </w:r>
      <w:r w:rsidRPr="00C8701B">
        <w:rPr>
          <w:rFonts w:eastAsia="Arial Unicode MS"/>
          <w:bCs/>
          <w:lang w:eastAsia="fr-FR" w:bidi="he-IL"/>
        </w:rPr>
        <w:t xml:space="preserve">tth. </w:t>
      </w:r>
      <w:r w:rsidR="00E1197B">
        <w:rPr>
          <w:rFonts w:eastAsia="Arial Unicode MS"/>
          <w:bCs/>
          <w:lang w:eastAsia="fr-FR" w:bidi="he-IL"/>
        </w:rPr>
        <w:t>IX</w:t>
      </w:r>
      <w:r w:rsidR="00E65435">
        <w:rPr>
          <w:rFonts w:eastAsia="Arial Unicode MS"/>
          <w:bCs/>
          <w:lang w:eastAsia="fr-FR" w:bidi="he-IL"/>
        </w:rPr>
        <w:t xml:space="preserve">, </w:t>
      </w:r>
      <w:r w:rsidRPr="00C8701B">
        <w:rPr>
          <w:rFonts w:eastAsia="Arial Unicode MS"/>
          <w:bCs/>
          <w:lang w:eastAsia="fr-FR" w:bidi="he-IL"/>
        </w:rPr>
        <w:t>15</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Marc</w:t>
      </w:r>
      <w:r w:rsidR="00E65435">
        <w:rPr>
          <w:rFonts w:eastAsia="Arial Unicode MS"/>
          <w:bCs/>
          <w:lang w:eastAsia="fr-FR" w:bidi="he-IL"/>
        </w:rPr>
        <w:t xml:space="preserve">, </w:t>
      </w:r>
      <w:r w:rsidR="00906914">
        <w:rPr>
          <w:rFonts w:eastAsia="Arial Unicode MS"/>
          <w:bCs/>
          <w:lang w:val="el-GR" w:eastAsia="fr-FR" w:bidi="he-IL"/>
        </w:rPr>
        <w:t>II</w:t>
      </w:r>
      <w:r w:rsidR="00E65435">
        <w:rPr>
          <w:rFonts w:eastAsia="Arial Unicode MS"/>
          <w:bCs/>
          <w:lang w:val="el-GR" w:eastAsia="fr-FR" w:bidi="he-IL"/>
        </w:rPr>
        <w:t xml:space="preserve">, </w:t>
      </w:r>
      <w:r w:rsidRPr="00C8701B">
        <w:rPr>
          <w:rFonts w:eastAsia="Arial Unicode MS"/>
          <w:bCs/>
          <w:lang w:eastAsia="fr-FR" w:bidi="he-IL"/>
        </w:rPr>
        <w:t>19</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Luc. </w:t>
      </w:r>
      <w:r w:rsidR="00835131">
        <w:rPr>
          <w:rFonts w:eastAsia="Arial Unicode MS"/>
          <w:bCs/>
          <w:lang w:eastAsia="fr-FR" w:bidi="he-IL"/>
        </w:rPr>
        <w:t>V</w:t>
      </w:r>
      <w:r w:rsidR="00E65435">
        <w:rPr>
          <w:rFonts w:eastAsia="Arial Unicode MS"/>
          <w:bCs/>
          <w:lang w:eastAsia="fr-FR" w:bidi="he-IL"/>
        </w:rPr>
        <w:t xml:space="preserve">, </w:t>
      </w:r>
      <w:r w:rsidRPr="00C8701B">
        <w:rPr>
          <w:rFonts w:eastAsia="Arial Unicode MS"/>
          <w:bCs/>
          <w:lang w:eastAsia="fr-FR" w:bidi="he-IL"/>
        </w:rPr>
        <w:t>34)</w:t>
      </w:r>
      <w:r w:rsidR="00E65435">
        <w:rPr>
          <w:rFonts w:eastAsia="Arial Unicode MS"/>
          <w:bCs/>
          <w:lang w:eastAsia="fr-FR" w:bidi="he-IL"/>
        </w:rPr>
        <w:t xml:space="preserve">, </w:t>
      </w:r>
      <w:r w:rsidR="00A604BA" w:rsidRPr="00B41422">
        <w:rPr>
          <w:lang w:eastAsia="fr-FR"/>
        </w:rPr>
        <w:t>γε</w:t>
      </w:r>
      <w:r w:rsidR="00C151D4">
        <w:rPr>
          <w:lang w:eastAsia="fr-FR"/>
        </w:rPr>
        <w:t>ύ</w:t>
      </w:r>
      <w:r w:rsidR="00A604BA" w:rsidRPr="00B41422">
        <w:rPr>
          <w:lang w:eastAsia="fr-FR"/>
        </w:rPr>
        <w:t>σ</w:t>
      </w:r>
      <w:r w:rsidR="00A74F01">
        <w:rPr>
          <w:lang w:eastAsia="fr-FR"/>
        </w:rPr>
        <w:t>α</w:t>
      </w:r>
      <w:r w:rsidR="00A604BA" w:rsidRPr="00B41422">
        <w:rPr>
          <w:lang w:eastAsia="fr-FR"/>
        </w:rPr>
        <w:t>σ</w:t>
      </w:r>
      <w:r w:rsidR="00A604BA">
        <w:rPr>
          <w:lang w:eastAsia="fr-FR"/>
        </w:rPr>
        <w:t>θ</w:t>
      </w:r>
      <w:r w:rsidR="00A74F01">
        <w:rPr>
          <w:lang w:eastAsia="fr-FR"/>
        </w:rPr>
        <w:t>α</w:t>
      </w:r>
      <w:r w:rsidR="00A604BA" w:rsidRPr="00B41422">
        <w:rPr>
          <w:lang w:eastAsia="fr-FR"/>
        </w:rPr>
        <w:t>ι</w:t>
      </w:r>
      <w:r w:rsidRPr="00C8701B">
        <w:rPr>
          <w:rFonts w:eastAsia="Arial Unicode MS"/>
          <w:bCs/>
          <w:lang w:val="el-GR" w:eastAsia="fr-FR" w:bidi="he-IL"/>
        </w:rPr>
        <w:t xml:space="preserve"> θ</w:t>
      </w:r>
      <w:r w:rsidR="00A74F01">
        <w:rPr>
          <w:rFonts w:eastAsia="Arial Unicode MS"/>
          <w:bCs/>
          <w:lang w:val="el-GR" w:eastAsia="fr-FR" w:bidi="he-IL"/>
        </w:rPr>
        <w:t>α</w:t>
      </w:r>
      <w:r w:rsidRPr="00C8701B">
        <w:rPr>
          <w:rFonts w:eastAsia="Arial Unicode MS"/>
          <w:bCs/>
          <w:lang w:val="el-GR" w:eastAsia="fr-FR" w:bidi="he-IL"/>
        </w:rPr>
        <w:t>ν</w:t>
      </w:r>
      <w:r w:rsidR="00CD3C57">
        <w:rPr>
          <w:rFonts w:eastAsia="Arial Unicode MS"/>
          <w:bCs/>
          <w:lang w:val="el-GR" w:eastAsia="fr-FR" w:bidi="he-IL"/>
        </w:rPr>
        <w:t>ά</w:t>
      </w:r>
      <w:r w:rsidRPr="00C8701B">
        <w:rPr>
          <w:rFonts w:eastAsia="Arial Unicode MS"/>
          <w:bCs/>
          <w:lang w:val="el-GR" w:eastAsia="fr-FR" w:bidi="he-IL"/>
        </w:rPr>
        <w:t xml:space="preserve">του </w:t>
      </w:r>
      <w:r w:rsidRPr="00C8701B">
        <w:rPr>
          <w:rFonts w:eastAsia="Arial Unicode MS"/>
          <w:bCs/>
          <w:lang w:eastAsia="fr-FR" w:bidi="he-IL"/>
        </w:rPr>
        <w:t xml:space="preserve">(Matth. </w:t>
      </w:r>
      <w:r w:rsidR="00EF1E04">
        <w:rPr>
          <w:rFonts w:eastAsia="Arial Unicode MS"/>
          <w:bCs/>
          <w:lang w:eastAsia="fr-FR" w:bidi="he-IL"/>
        </w:rPr>
        <w:t>XVI</w:t>
      </w:r>
      <w:r w:rsidR="00E65435">
        <w:rPr>
          <w:rFonts w:eastAsia="Arial Unicode MS"/>
          <w:bCs/>
          <w:lang w:eastAsia="fr-FR" w:bidi="he-IL"/>
        </w:rPr>
        <w:t xml:space="preserve">, </w:t>
      </w:r>
      <w:r w:rsidRPr="00C8701B">
        <w:rPr>
          <w:rFonts w:eastAsia="Arial Unicode MS"/>
          <w:bCs/>
          <w:lang w:eastAsia="fr-FR" w:bidi="he-IL"/>
        </w:rPr>
        <w:t>28</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Marc</w:t>
      </w:r>
      <w:r w:rsidR="00E65435">
        <w:rPr>
          <w:rFonts w:eastAsia="Arial Unicode MS"/>
          <w:bCs/>
          <w:lang w:eastAsia="fr-FR" w:bidi="he-IL"/>
        </w:rPr>
        <w:t xml:space="preserve">, </w:t>
      </w:r>
      <w:r w:rsidR="00E1197B">
        <w:rPr>
          <w:rFonts w:eastAsia="Arial Unicode MS"/>
          <w:bCs/>
          <w:lang w:eastAsia="fr-FR" w:bidi="he-IL"/>
        </w:rPr>
        <w:t>IX</w:t>
      </w:r>
      <w:r w:rsidR="00E65435">
        <w:rPr>
          <w:rFonts w:eastAsia="Arial Unicode MS"/>
          <w:bCs/>
          <w:lang w:eastAsia="fr-FR" w:bidi="he-IL"/>
        </w:rPr>
        <w:t xml:space="preserve">, </w:t>
      </w:r>
      <w:r w:rsidRPr="00C8701B">
        <w:rPr>
          <w:rFonts w:eastAsia="Arial Unicode MS"/>
          <w:bCs/>
          <w:lang w:eastAsia="fr-FR" w:bidi="he-IL"/>
        </w:rPr>
        <w:t>1</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Luc. </w:t>
      </w:r>
      <w:r w:rsidR="00E1197B">
        <w:rPr>
          <w:rFonts w:eastAsia="Arial Unicode MS"/>
          <w:bCs/>
          <w:lang w:eastAsia="fr-FR" w:bidi="he-IL"/>
        </w:rPr>
        <w:t>IX</w:t>
      </w:r>
      <w:r w:rsidR="00E65435">
        <w:rPr>
          <w:rFonts w:eastAsia="Arial Unicode MS"/>
          <w:bCs/>
          <w:lang w:eastAsia="fr-FR" w:bidi="he-IL"/>
        </w:rPr>
        <w:t xml:space="preserve">, </w:t>
      </w:r>
      <w:r w:rsidRPr="00C8701B">
        <w:rPr>
          <w:rFonts w:eastAsia="Arial Unicode MS"/>
          <w:bCs/>
          <w:lang w:eastAsia="fr-FR" w:bidi="he-IL"/>
        </w:rPr>
        <w:t>27)</w:t>
      </w:r>
      <w:r w:rsidR="00E65435">
        <w:rPr>
          <w:rFonts w:eastAsia="Arial Unicode MS"/>
          <w:bCs/>
          <w:lang w:eastAsia="fr-FR" w:bidi="he-IL"/>
        </w:rPr>
        <w:t xml:space="preserve">, </w:t>
      </w:r>
      <w:r w:rsidR="00A604BA">
        <w:rPr>
          <w:rFonts w:eastAsia="Arial Unicode MS"/>
          <w:bCs/>
          <w:lang w:val="el-GR" w:eastAsia="fr-FR" w:bidi="he-IL"/>
        </w:rPr>
        <w:t>κολοβ</w:t>
      </w:r>
      <w:r w:rsidR="00736374">
        <w:rPr>
          <w:rFonts w:eastAsia="Arial Unicode MS"/>
          <w:bCs/>
          <w:lang w:eastAsia="fr-FR" w:bidi="he-IL"/>
        </w:rPr>
        <w:t>ό</w:t>
      </w:r>
      <w:r w:rsidRPr="00C8701B">
        <w:rPr>
          <w:rFonts w:eastAsia="Arial Unicode MS"/>
          <w:bCs/>
          <w:lang w:val="el-GR" w:eastAsia="fr-FR" w:bidi="he-IL"/>
        </w:rPr>
        <w:t xml:space="preserve">ω </w:t>
      </w:r>
      <w:r w:rsidRPr="00C8701B">
        <w:rPr>
          <w:rFonts w:eastAsia="Arial Unicode MS"/>
          <w:bCs/>
          <w:lang w:eastAsia="fr-FR" w:bidi="he-IL"/>
        </w:rPr>
        <w:t xml:space="preserve">(Matth. </w:t>
      </w:r>
      <w:r w:rsidR="00C2681A">
        <w:rPr>
          <w:rFonts w:eastAsia="Arial Unicode MS"/>
          <w:bCs/>
          <w:lang w:eastAsia="fr-FR" w:bidi="he-IL"/>
        </w:rPr>
        <w:t>XX</w:t>
      </w:r>
      <w:r w:rsidR="00CB43AA">
        <w:rPr>
          <w:rFonts w:eastAsia="Arial Unicode MS"/>
          <w:bCs/>
          <w:lang w:eastAsia="fr-FR" w:bidi="he-IL"/>
        </w:rPr>
        <w:t>IV</w:t>
      </w:r>
      <w:r w:rsidR="00E65435">
        <w:rPr>
          <w:rFonts w:eastAsia="Arial Unicode MS"/>
          <w:bCs/>
          <w:lang w:eastAsia="fr-FR" w:bidi="he-IL"/>
        </w:rPr>
        <w:t xml:space="preserve">, </w:t>
      </w:r>
      <w:r w:rsidRPr="00C8701B">
        <w:rPr>
          <w:rFonts w:eastAsia="Arial Unicode MS"/>
          <w:bCs/>
          <w:lang w:eastAsia="fr-FR" w:bidi="he-IL"/>
        </w:rPr>
        <w:t>22</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Marc</w:t>
      </w:r>
      <w:r w:rsidR="00E65435">
        <w:rPr>
          <w:rFonts w:eastAsia="Arial Unicode MS"/>
          <w:bCs/>
          <w:lang w:eastAsia="fr-FR" w:bidi="he-IL"/>
        </w:rPr>
        <w:t xml:space="preserve">, </w:t>
      </w:r>
      <w:r w:rsidR="003A247F">
        <w:rPr>
          <w:rFonts w:eastAsia="Arial Unicode MS"/>
          <w:bCs/>
          <w:lang w:eastAsia="fr-FR" w:bidi="he-IL"/>
        </w:rPr>
        <w:t>XIII</w:t>
      </w:r>
      <w:r w:rsidR="00E65435">
        <w:rPr>
          <w:rFonts w:eastAsia="Arial Unicode MS"/>
          <w:bCs/>
          <w:lang w:eastAsia="fr-FR" w:bidi="he-IL"/>
        </w:rPr>
        <w:t xml:space="preserve">, </w:t>
      </w:r>
      <w:r w:rsidRPr="00C8701B">
        <w:rPr>
          <w:rFonts w:eastAsia="Arial Unicode MS"/>
          <w:bCs/>
          <w:lang w:eastAsia="fr-FR" w:bidi="he-IL"/>
        </w:rPr>
        <w:t>20)</w:t>
      </w:r>
      <w:r w:rsidR="00E65435">
        <w:rPr>
          <w:rFonts w:eastAsia="Arial Unicode MS"/>
          <w:bCs/>
          <w:lang w:eastAsia="fr-FR" w:bidi="he-IL"/>
        </w:rPr>
        <w:t xml:space="preserve">, </w:t>
      </w:r>
      <w:r w:rsidRPr="00C8701B">
        <w:rPr>
          <w:rFonts w:eastAsia="Arial Unicode MS"/>
          <w:bCs/>
          <w:lang w:eastAsia="fr-FR" w:bidi="he-IL"/>
        </w:rPr>
        <w:t xml:space="preserve">le diminutif </w:t>
      </w:r>
      <w:r w:rsidR="00A604BA" w:rsidRPr="00CE11E9">
        <w:t>ὠ</w:t>
      </w:r>
      <w:r w:rsidRPr="00CE11E9">
        <w:t>τ</w:t>
      </w:r>
      <w:r w:rsidR="00DB352C">
        <w:t>ί</w:t>
      </w:r>
      <w:r w:rsidR="00DB523B" w:rsidRPr="00CE11E9">
        <w:t>ον</w:t>
      </w:r>
      <w:r w:rsidRPr="00C8701B">
        <w:rPr>
          <w:rFonts w:eastAsia="Arial Unicode MS"/>
          <w:bCs/>
          <w:lang w:val="el-GR" w:eastAsia="fr-FR" w:bidi="he-IL"/>
        </w:rPr>
        <w:t xml:space="preserve"> </w:t>
      </w:r>
      <w:r w:rsidRPr="00C8701B">
        <w:rPr>
          <w:rFonts w:eastAsia="Arial Unicode MS"/>
          <w:bCs/>
          <w:lang w:eastAsia="fr-FR" w:bidi="he-IL"/>
        </w:rPr>
        <w:t xml:space="preserve">(Matth. </w:t>
      </w:r>
      <w:r w:rsidR="0042479B">
        <w:rPr>
          <w:rFonts w:eastAsia="Arial Unicode MS"/>
          <w:bCs/>
          <w:lang w:eastAsia="fr-FR" w:bidi="he-IL"/>
        </w:rPr>
        <w:t>X</w:t>
      </w:r>
      <w:r w:rsidR="00EF1E04">
        <w:rPr>
          <w:rFonts w:eastAsia="Arial Unicode MS"/>
          <w:bCs/>
          <w:lang w:eastAsia="fr-FR" w:bidi="he-IL"/>
        </w:rPr>
        <w:t>XVI</w:t>
      </w:r>
      <w:r w:rsidR="00E65435">
        <w:rPr>
          <w:rFonts w:eastAsia="Arial Unicode MS"/>
          <w:bCs/>
          <w:lang w:eastAsia="fr-FR" w:bidi="he-IL"/>
        </w:rPr>
        <w:t xml:space="preserve">, </w:t>
      </w:r>
      <w:r w:rsidRPr="00C8701B">
        <w:rPr>
          <w:rFonts w:eastAsia="Arial Unicode MS"/>
          <w:bCs/>
          <w:lang w:eastAsia="fr-FR" w:bidi="he-IL"/>
        </w:rPr>
        <w:t>51</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Marc</w:t>
      </w:r>
      <w:r w:rsidR="00E65435">
        <w:rPr>
          <w:rFonts w:eastAsia="Arial Unicode MS"/>
          <w:bCs/>
          <w:lang w:eastAsia="fr-FR" w:bidi="he-IL"/>
        </w:rPr>
        <w:t xml:space="preserve">, </w:t>
      </w:r>
      <w:r w:rsidR="00CB43AA">
        <w:rPr>
          <w:rFonts w:eastAsia="Arial Unicode MS"/>
          <w:bCs/>
          <w:lang w:eastAsia="fr-FR" w:bidi="he-IL"/>
        </w:rPr>
        <w:t>XIV</w:t>
      </w:r>
      <w:r w:rsidR="00E65435">
        <w:rPr>
          <w:rFonts w:eastAsia="Arial Unicode MS"/>
          <w:bCs/>
          <w:lang w:eastAsia="fr-FR" w:bidi="he-IL"/>
        </w:rPr>
        <w:t xml:space="preserve">, </w:t>
      </w:r>
      <w:r w:rsidRPr="00C8701B">
        <w:rPr>
          <w:rFonts w:eastAsia="Arial Unicode MS"/>
          <w:bCs/>
          <w:lang w:eastAsia="fr-FR" w:bidi="he-IL"/>
        </w:rPr>
        <w:t>47</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Luc. </w:t>
      </w:r>
      <w:r w:rsidR="003A247F">
        <w:rPr>
          <w:rFonts w:eastAsia="Arial Unicode MS"/>
          <w:bCs/>
          <w:lang w:eastAsia="fr-FR" w:bidi="he-IL"/>
        </w:rPr>
        <w:t>XXII</w:t>
      </w:r>
      <w:r w:rsidR="00E65435">
        <w:rPr>
          <w:rFonts w:eastAsia="Arial Unicode MS"/>
          <w:bCs/>
          <w:lang w:eastAsia="fr-FR" w:bidi="he-IL"/>
        </w:rPr>
        <w:t xml:space="preserve">, </w:t>
      </w:r>
      <w:r w:rsidRPr="00C8701B">
        <w:rPr>
          <w:rFonts w:eastAsia="Arial Unicode MS"/>
          <w:bCs/>
          <w:lang w:eastAsia="fr-FR" w:bidi="he-IL"/>
        </w:rPr>
        <w:t>51)</w:t>
      </w:r>
      <w:r w:rsidR="00E65435">
        <w:rPr>
          <w:rFonts w:eastAsia="Arial Unicode MS"/>
          <w:bCs/>
          <w:lang w:eastAsia="fr-FR" w:bidi="he-IL"/>
        </w:rPr>
        <w:t xml:space="preserve">, </w:t>
      </w:r>
      <w:r w:rsidRPr="00C8701B">
        <w:rPr>
          <w:rFonts w:eastAsia="Arial Unicode MS"/>
          <w:bCs/>
          <w:lang w:eastAsia="fr-FR" w:bidi="he-IL"/>
        </w:rPr>
        <w:t xml:space="preserve">le double augment </w:t>
      </w:r>
      <w:r w:rsidR="00A604BA" w:rsidRPr="00B41422">
        <w:rPr>
          <w:lang w:eastAsia="fr-FR"/>
        </w:rPr>
        <w:t>ἀπεκ</w:t>
      </w:r>
      <w:r w:rsidR="00A74F01">
        <w:rPr>
          <w:lang w:eastAsia="fr-FR"/>
        </w:rPr>
        <w:t>α</w:t>
      </w:r>
      <w:r w:rsidR="00A604BA" w:rsidRPr="00B41422">
        <w:rPr>
          <w:lang w:eastAsia="fr-FR"/>
        </w:rPr>
        <w:t>τεστ</w:t>
      </w:r>
      <w:r w:rsidR="00CD3C57">
        <w:rPr>
          <w:lang w:eastAsia="fr-FR"/>
        </w:rPr>
        <w:t>ά</w:t>
      </w:r>
      <w:r w:rsidR="00A604BA">
        <w:rPr>
          <w:lang w:eastAsia="fr-FR"/>
        </w:rPr>
        <w:t>θ</w:t>
      </w:r>
      <w:r w:rsidR="00A604BA" w:rsidRPr="00B41422">
        <w:rPr>
          <w:lang w:eastAsia="fr-FR"/>
        </w:rPr>
        <w:t>η</w:t>
      </w:r>
      <w:r w:rsidRPr="00C8701B">
        <w:rPr>
          <w:rFonts w:eastAsia="Arial Unicode MS"/>
          <w:bCs/>
          <w:lang w:val="el-GR" w:eastAsia="fr-FR" w:bidi="he-IL"/>
        </w:rPr>
        <w:t xml:space="preserve"> </w:t>
      </w:r>
      <w:r w:rsidRPr="00C8701B">
        <w:rPr>
          <w:rFonts w:eastAsia="Arial Unicode MS"/>
          <w:bCs/>
          <w:lang w:eastAsia="fr-FR" w:bidi="he-IL"/>
        </w:rPr>
        <w:t xml:space="preserve">(Matth. </w:t>
      </w:r>
      <w:r w:rsidR="00CB43AA">
        <w:rPr>
          <w:rFonts w:eastAsia="Arial Unicode MS"/>
          <w:bCs/>
          <w:lang w:eastAsia="fr-FR" w:bidi="he-IL"/>
        </w:rPr>
        <w:t>XII</w:t>
      </w:r>
      <w:r w:rsidR="00E65435">
        <w:rPr>
          <w:rFonts w:eastAsia="Arial Unicode MS"/>
          <w:bCs/>
          <w:lang w:eastAsia="fr-FR" w:bidi="he-IL"/>
        </w:rPr>
        <w:t xml:space="preserve">, </w:t>
      </w:r>
      <w:r w:rsidRPr="00C8701B">
        <w:rPr>
          <w:rFonts w:eastAsia="Arial Unicode MS"/>
          <w:bCs/>
          <w:lang w:eastAsia="fr-FR" w:bidi="he-IL"/>
        </w:rPr>
        <w:t>13</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Marc.</w:t>
      </w:r>
      <w:r w:rsidR="00160AA0">
        <w:rPr>
          <w:rFonts w:eastAsia="Arial Unicode MS"/>
          <w:bCs/>
          <w:lang w:eastAsia="fr-FR" w:bidi="he-IL"/>
        </w:rPr>
        <w:t xml:space="preserve"> III,</w:t>
      </w:r>
      <w:r w:rsidR="00E65435">
        <w:rPr>
          <w:rFonts w:eastAsia="Arial Unicode MS"/>
          <w:bCs/>
          <w:lang w:eastAsia="fr-FR" w:bidi="he-IL"/>
        </w:rPr>
        <w:t xml:space="preserve"> </w:t>
      </w:r>
      <w:r w:rsidRPr="00C8701B">
        <w:rPr>
          <w:rFonts w:eastAsia="Arial Unicode MS"/>
          <w:bCs/>
          <w:lang w:eastAsia="fr-FR" w:bidi="he-IL"/>
        </w:rPr>
        <w:t>5</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Luc</w:t>
      </w:r>
      <w:r w:rsidR="00DD17CA" w:rsidRPr="00C8701B">
        <w:rPr>
          <w:rFonts w:eastAsia="Arial Unicode MS"/>
          <w:bCs/>
          <w:lang w:eastAsia="fr-FR" w:bidi="he-IL"/>
        </w:rPr>
        <w:t xml:space="preserve">. </w:t>
      </w:r>
      <w:r w:rsidR="00A319EA">
        <w:rPr>
          <w:rFonts w:eastAsia="Arial Unicode MS"/>
          <w:bCs/>
          <w:lang w:eastAsia="fr-FR" w:bidi="he-IL"/>
        </w:rPr>
        <w:t>VI</w:t>
      </w:r>
      <w:r w:rsidR="00E65435">
        <w:rPr>
          <w:rFonts w:eastAsia="Arial Unicode MS"/>
          <w:bCs/>
          <w:lang w:eastAsia="fr-FR" w:bidi="he-IL"/>
        </w:rPr>
        <w:t xml:space="preserve">, </w:t>
      </w:r>
      <w:r w:rsidRPr="00C8701B">
        <w:rPr>
          <w:rFonts w:eastAsia="Arial Unicode MS"/>
          <w:bCs/>
          <w:lang w:eastAsia="fr-FR" w:bidi="he-IL"/>
        </w:rPr>
        <w:t>18)</w:t>
      </w:r>
      <w:r w:rsidR="00E65435">
        <w:rPr>
          <w:rFonts w:eastAsia="Arial Unicode MS"/>
          <w:bCs/>
          <w:lang w:eastAsia="fr-FR" w:bidi="he-IL"/>
        </w:rPr>
        <w:t xml:space="preserve">, </w:t>
      </w:r>
      <w:r w:rsidRPr="00C8701B">
        <w:rPr>
          <w:rFonts w:eastAsia="Arial Unicode MS"/>
          <w:bCs/>
          <w:lang w:eastAsia="fr-FR" w:bidi="he-IL"/>
        </w:rPr>
        <w:t>etc.</w:t>
      </w:r>
      <w:r w:rsidR="00C2602D" w:rsidRPr="00C8701B">
        <w:rPr>
          <w:rFonts w:eastAsia="Arial Unicode MS"/>
          <w:bCs/>
          <w:lang w:eastAsia="fr-FR" w:bidi="he-IL"/>
        </w:rPr>
        <w:t xml:space="preserve"> </w:t>
      </w:r>
    </w:p>
    <w:p w:rsidR="00A604BA" w:rsidRDefault="00B704AD" w:rsidP="00C2602D">
      <w:pPr>
        <w:rPr>
          <w:rFonts w:eastAsia="Arial Unicode MS"/>
          <w:bCs/>
          <w:lang w:eastAsia="fr-FR" w:bidi="he-IL"/>
        </w:rPr>
      </w:pPr>
      <w:r w:rsidRPr="00C8701B">
        <w:rPr>
          <w:rFonts w:eastAsia="Arial Unicode MS"/>
          <w:bCs/>
          <w:lang w:eastAsia="fr-FR" w:bidi="he-IL"/>
        </w:rPr>
        <w:t>Ou encore</w:t>
      </w:r>
      <w:r w:rsidR="00E65435">
        <w:rPr>
          <w:rFonts w:eastAsia="Arial Unicode MS"/>
          <w:bCs/>
          <w:lang w:eastAsia="fr-FR" w:bidi="he-IL"/>
        </w:rPr>
        <w:t xml:space="preserve">, </w:t>
      </w:r>
      <w:r w:rsidRPr="00C8701B">
        <w:rPr>
          <w:rFonts w:eastAsia="Arial Unicode MS"/>
          <w:bCs/>
          <w:lang w:eastAsia="fr-FR" w:bidi="he-IL"/>
        </w:rPr>
        <w:t>les synoptiques</w:t>
      </w:r>
      <w:r w:rsidR="00E65435">
        <w:rPr>
          <w:rFonts w:eastAsia="Arial Unicode MS"/>
          <w:bCs/>
          <w:lang w:eastAsia="fr-FR" w:bidi="he-IL"/>
        </w:rPr>
        <w:t xml:space="preserve">, </w:t>
      </w:r>
      <w:r w:rsidRPr="00C8701B">
        <w:rPr>
          <w:rFonts w:eastAsia="Arial Unicode MS"/>
          <w:bCs/>
          <w:lang w:eastAsia="fr-FR" w:bidi="he-IL"/>
        </w:rPr>
        <w:t>dans certaines citations de l</w:t>
      </w:r>
      <w:r w:rsidR="00557DE0">
        <w:rPr>
          <w:rFonts w:eastAsia="Arial Unicode MS"/>
          <w:bCs/>
          <w:lang w:eastAsia="fr-FR" w:bidi="he-IL"/>
        </w:rPr>
        <w:t>’</w:t>
      </w:r>
      <w:r w:rsidRPr="00C8701B">
        <w:rPr>
          <w:rFonts w:eastAsia="Arial Unicode MS"/>
          <w:bCs/>
          <w:lang w:eastAsia="fr-FR" w:bidi="he-IL"/>
        </w:rPr>
        <w:t>Ancien Testament</w:t>
      </w:r>
      <w:r w:rsidR="00E65435">
        <w:rPr>
          <w:rFonts w:eastAsia="Arial Unicode MS"/>
          <w:bCs/>
          <w:lang w:eastAsia="fr-FR" w:bidi="he-IL"/>
        </w:rPr>
        <w:t xml:space="preserve">, </w:t>
      </w:r>
      <w:r w:rsidRPr="00C8701B">
        <w:rPr>
          <w:rFonts w:eastAsia="Arial Unicode MS"/>
          <w:bCs/>
          <w:lang w:eastAsia="fr-FR" w:bidi="he-IL"/>
        </w:rPr>
        <w:t>abandonnent tous ensemble soit l</w:t>
      </w:r>
      <w:r w:rsidR="00557DE0">
        <w:rPr>
          <w:rFonts w:eastAsia="Arial Unicode MS"/>
          <w:bCs/>
          <w:lang w:eastAsia="fr-FR" w:bidi="he-IL"/>
        </w:rPr>
        <w:t>’</w:t>
      </w:r>
      <w:r w:rsidRPr="00C8701B">
        <w:rPr>
          <w:rFonts w:eastAsia="Arial Unicode MS"/>
          <w:bCs/>
          <w:lang w:eastAsia="fr-FR" w:bidi="he-IL"/>
        </w:rPr>
        <w:t>hébreu</w:t>
      </w:r>
      <w:r w:rsidR="00E65435">
        <w:rPr>
          <w:rFonts w:eastAsia="Arial Unicode MS"/>
          <w:bCs/>
          <w:lang w:eastAsia="fr-FR" w:bidi="he-IL"/>
        </w:rPr>
        <w:t xml:space="preserve">, </w:t>
      </w:r>
      <w:r w:rsidRPr="00C8701B">
        <w:rPr>
          <w:rFonts w:eastAsia="Arial Unicode MS"/>
          <w:bCs/>
          <w:lang w:eastAsia="fr-FR" w:bidi="he-IL"/>
        </w:rPr>
        <w:t>soit la traduction des Septante</w:t>
      </w:r>
      <w:r w:rsidR="00E65435">
        <w:rPr>
          <w:rFonts w:eastAsia="Arial Unicode MS"/>
          <w:bCs/>
          <w:lang w:eastAsia="fr-FR" w:bidi="he-IL"/>
        </w:rPr>
        <w:t xml:space="preserve">, </w:t>
      </w:r>
      <w:r w:rsidRPr="00C8701B">
        <w:rPr>
          <w:rFonts w:eastAsia="Arial Unicode MS"/>
          <w:bCs/>
          <w:lang w:eastAsia="fr-FR" w:bidi="he-IL"/>
        </w:rPr>
        <w:t>pour adopter une rédaction nouvelle et identique.</w:t>
      </w:r>
    </w:p>
    <w:p w:rsidR="00A604BA" w:rsidRDefault="00A604BA" w:rsidP="00C2602D">
      <w:pPr>
        <w:rPr>
          <w:rFonts w:eastAsia="Arial Unicode MS"/>
          <w:bCs/>
          <w:lang w:eastAsia="fr-FR" w:bidi="he-IL"/>
        </w:rPr>
      </w:pPr>
    </w:p>
    <w:tbl>
      <w:tblPr>
        <w:tblW w:w="5000" w:type="pct"/>
        <w:tblLook w:val="04A0"/>
      </w:tblPr>
      <w:tblGrid>
        <w:gridCol w:w="3532"/>
        <w:gridCol w:w="3531"/>
        <w:gridCol w:w="3529"/>
      </w:tblGrid>
      <w:tr w:rsidR="00CE11E9" w:rsidRPr="000B6795" w:rsidTr="00CE11E9">
        <w:tc>
          <w:tcPr>
            <w:tcW w:w="1667" w:type="pct"/>
          </w:tcPr>
          <w:p w:rsidR="00CE11E9" w:rsidRPr="00CE11E9" w:rsidRDefault="00CE11E9" w:rsidP="00B93B92">
            <w:pPr>
              <w:pStyle w:val="centrum"/>
              <w:rPr>
                <w:lang w:bidi="he-IL"/>
              </w:rPr>
            </w:pPr>
            <w:r w:rsidRPr="00CE11E9">
              <w:rPr>
                <w:lang w:bidi="he-IL"/>
              </w:rPr>
              <w:t xml:space="preserve">Matth. III, 3. </w:t>
            </w:r>
          </w:p>
        </w:tc>
        <w:tc>
          <w:tcPr>
            <w:tcW w:w="1667" w:type="pct"/>
          </w:tcPr>
          <w:p w:rsidR="00CE11E9" w:rsidRPr="00CE11E9" w:rsidRDefault="00CE11E9" w:rsidP="00B93B92">
            <w:pPr>
              <w:pStyle w:val="centrum"/>
              <w:rPr>
                <w:lang w:val="el-GR" w:bidi="he-IL"/>
              </w:rPr>
            </w:pPr>
            <w:r w:rsidRPr="00CE11E9">
              <w:rPr>
                <w:lang w:bidi="he-IL"/>
              </w:rPr>
              <w:t>Marc</w:t>
            </w:r>
            <w:r w:rsidRPr="00CE11E9">
              <w:rPr>
                <w:lang w:val="el-GR" w:bidi="he-IL"/>
              </w:rPr>
              <w:t xml:space="preserve">. I, 3. </w:t>
            </w:r>
          </w:p>
        </w:tc>
        <w:tc>
          <w:tcPr>
            <w:tcW w:w="1666" w:type="pct"/>
          </w:tcPr>
          <w:p w:rsidR="00CE11E9" w:rsidRPr="00CE11E9" w:rsidRDefault="00CE11E9" w:rsidP="00B93B92">
            <w:pPr>
              <w:pStyle w:val="centrum"/>
              <w:rPr>
                <w:lang w:val="el-GR" w:bidi="he-IL"/>
              </w:rPr>
            </w:pPr>
            <w:r w:rsidRPr="00CE11E9">
              <w:rPr>
                <w:lang w:bidi="he-IL"/>
              </w:rPr>
              <w:t>Luc</w:t>
            </w:r>
            <w:r w:rsidRPr="00CE11E9">
              <w:rPr>
                <w:lang w:val="el-GR" w:bidi="he-IL"/>
              </w:rPr>
              <w:t xml:space="preserve">. III, 4. </w:t>
            </w:r>
          </w:p>
        </w:tc>
      </w:tr>
      <w:tr w:rsidR="00CE11E9" w:rsidRPr="000B6795" w:rsidTr="00CE11E9">
        <w:tc>
          <w:tcPr>
            <w:tcW w:w="1667" w:type="pct"/>
          </w:tcPr>
          <w:p w:rsidR="00CE11E9" w:rsidRPr="00CE11E9" w:rsidRDefault="00CE11E9" w:rsidP="00B93B92">
            <w:pPr>
              <w:pStyle w:val="centrum"/>
              <w:rPr>
                <w:lang w:val="en-US"/>
              </w:rPr>
            </w:pPr>
            <w:r w:rsidRPr="00CE11E9">
              <w:t>Φωνὴ</w:t>
            </w:r>
            <w:r w:rsidRPr="00CE11E9">
              <w:rPr>
                <w:lang w:val="en-US"/>
              </w:rPr>
              <w:t xml:space="preserve"> </w:t>
            </w:r>
            <w:r w:rsidRPr="00CE11E9">
              <w:t>βοῶντος</w:t>
            </w:r>
            <w:r w:rsidRPr="00CE11E9">
              <w:rPr>
                <w:lang w:val="en-US"/>
              </w:rPr>
              <w:t xml:space="preserve"> </w:t>
            </w:r>
          </w:p>
        </w:tc>
        <w:tc>
          <w:tcPr>
            <w:tcW w:w="1667" w:type="pct"/>
          </w:tcPr>
          <w:p w:rsidR="00CE11E9" w:rsidRPr="00CE11E9" w:rsidRDefault="00CE11E9" w:rsidP="00B93B92">
            <w:pPr>
              <w:pStyle w:val="centrum"/>
            </w:pPr>
            <w:r w:rsidRPr="00CE11E9">
              <w:t xml:space="preserve">Φωνὴ βοῶντος </w:t>
            </w:r>
          </w:p>
        </w:tc>
        <w:tc>
          <w:tcPr>
            <w:tcW w:w="1666" w:type="pct"/>
          </w:tcPr>
          <w:p w:rsidR="00CE11E9" w:rsidRPr="00CE11E9" w:rsidRDefault="00CE11E9" w:rsidP="00B93B92">
            <w:pPr>
              <w:pStyle w:val="centrum"/>
            </w:pPr>
            <w:r w:rsidRPr="00CE11E9">
              <w:t xml:space="preserve">Φωνὴ βοῶντος </w:t>
            </w:r>
          </w:p>
        </w:tc>
      </w:tr>
      <w:tr w:rsidR="00CE11E9" w:rsidRPr="000B6795" w:rsidTr="00CE11E9">
        <w:tc>
          <w:tcPr>
            <w:tcW w:w="1667" w:type="pct"/>
          </w:tcPr>
          <w:p w:rsidR="00CE11E9" w:rsidRPr="00CE11E9" w:rsidRDefault="00CE11E9" w:rsidP="00B93B92">
            <w:pPr>
              <w:pStyle w:val="centrum"/>
              <w:rPr>
                <w:lang w:val="en-US"/>
              </w:rPr>
            </w:pPr>
            <w:r w:rsidRPr="00CE11E9">
              <w:t>ἐν</w:t>
            </w:r>
            <w:r w:rsidRPr="00CE11E9">
              <w:rPr>
                <w:lang w:val="en-US"/>
              </w:rPr>
              <w:t xml:space="preserve"> </w:t>
            </w:r>
            <w:r w:rsidRPr="00CE11E9">
              <w:t>τῇ</w:t>
            </w:r>
            <w:r w:rsidRPr="00CE11E9">
              <w:rPr>
                <w:lang w:val="en-US"/>
              </w:rPr>
              <w:t xml:space="preserve"> </w:t>
            </w:r>
            <w:r w:rsidRPr="00CE11E9">
              <w:t>ἐρήμῳ</w:t>
            </w:r>
            <w:r w:rsidRPr="00CE11E9">
              <w:rPr>
                <w:lang w:val="en-US"/>
              </w:rPr>
              <w:t xml:space="preserve">, </w:t>
            </w:r>
          </w:p>
        </w:tc>
        <w:tc>
          <w:tcPr>
            <w:tcW w:w="1667" w:type="pct"/>
          </w:tcPr>
          <w:p w:rsidR="00CE11E9" w:rsidRPr="00CE11E9" w:rsidRDefault="00CE11E9" w:rsidP="00B93B92">
            <w:pPr>
              <w:pStyle w:val="centrum"/>
            </w:pPr>
            <w:r w:rsidRPr="00CE11E9">
              <w:t xml:space="preserve">ἐν τῇ ἐρήμῳ, </w:t>
            </w:r>
          </w:p>
        </w:tc>
        <w:tc>
          <w:tcPr>
            <w:tcW w:w="1666" w:type="pct"/>
          </w:tcPr>
          <w:p w:rsidR="00CE11E9" w:rsidRPr="00CE11E9" w:rsidRDefault="00CE11E9" w:rsidP="00B93B92">
            <w:pPr>
              <w:pStyle w:val="centrum"/>
            </w:pPr>
            <w:r w:rsidRPr="00CE11E9">
              <w:t xml:space="preserve">ἐν τῇ ἐρήμῳ, </w:t>
            </w:r>
          </w:p>
        </w:tc>
      </w:tr>
      <w:tr w:rsidR="00CE11E9" w:rsidRPr="000B6795" w:rsidTr="00CE11E9">
        <w:tc>
          <w:tcPr>
            <w:tcW w:w="1667" w:type="pct"/>
          </w:tcPr>
          <w:p w:rsidR="00CE11E9" w:rsidRPr="00CE11E9" w:rsidRDefault="00CE11E9" w:rsidP="00B93B92">
            <w:pPr>
              <w:pStyle w:val="centrum"/>
              <w:rPr>
                <w:lang w:val="en-US"/>
              </w:rPr>
            </w:pPr>
            <w:r w:rsidRPr="00CE11E9">
              <w:t>Ἑτοιμ</w:t>
            </w:r>
            <w:r w:rsidR="00CD3C57">
              <w:t>ά</w:t>
            </w:r>
            <w:r w:rsidRPr="00CE11E9">
              <w:t>σ</w:t>
            </w:r>
            <w:r w:rsidR="00A74F01">
              <w:t>α</w:t>
            </w:r>
            <w:r w:rsidRPr="00CE11E9">
              <w:t>τε</w:t>
            </w:r>
            <w:r w:rsidRPr="00CE11E9">
              <w:rPr>
                <w:lang w:val="en-US"/>
              </w:rPr>
              <w:t xml:space="preserve"> </w:t>
            </w:r>
          </w:p>
        </w:tc>
        <w:tc>
          <w:tcPr>
            <w:tcW w:w="1667" w:type="pct"/>
          </w:tcPr>
          <w:p w:rsidR="00CE11E9" w:rsidRPr="00CE11E9" w:rsidRDefault="00CE11E9" w:rsidP="00B93B92">
            <w:pPr>
              <w:pStyle w:val="centrum"/>
            </w:pPr>
            <w:r w:rsidRPr="00CE11E9">
              <w:t>Ἑτοιμ</w:t>
            </w:r>
            <w:r w:rsidR="00CD3C57">
              <w:t>ά</w:t>
            </w:r>
            <w:r w:rsidRPr="00CE11E9">
              <w:t>σ</w:t>
            </w:r>
            <w:r w:rsidR="00A74F01">
              <w:t>α</w:t>
            </w:r>
            <w:r w:rsidRPr="00CE11E9">
              <w:t xml:space="preserve">τε </w:t>
            </w:r>
          </w:p>
        </w:tc>
        <w:tc>
          <w:tcPr>
            <w:tcW w:w="1666" w:type="pct"/>
          </w:tcPr>
          <w:p w:rsidR="00CE11E9" w:rsidRPr="00CE11E9" w:rsidRDefault="00CE11E9" w:rsidP="00B93B92">
            <w:pPr>
              <w:pStyle w:val="centrum"/>
            </w:pPr>
            <w:r w:rsidRPr="00CE11E9">
              <w:t>Ἑτοιμ</w:t>
            </w:r>
            <w:r w:rsidR="00CD3C57">
              <w:t>ά</w:t>
            </w:r>
            <w:r w:rsidRPr="00CE11E9">
              <w:t>σ</w:t>
            </w:r>
            <w:r w:rsidR="00A74F01">
              <w:t>α</w:t>
            </w:r>
            <w:r w:rsidRPr="00CE11E9">
              <w:t xml:space="preserve">τε </w:t>
            </w:r>
          </w:p>
        </w:tc>
      </w:tr>
      <w:tr w:rsidR="00CE11E9" w:rsidRPr="000B6795" w:rsidTr="00CE11E9">
        <w:tc>
          <w:tcPr>
            <w:tcW w:w="1667" w:type="pct"/>
          </w:tcPr>
          <w:p w:rsidR="00CE11E9" w:rsidRPr="00CE11E9" w:rsidRDefault="00CE11E9" w:rsidP="00B93B92">
            <w:pPr>
              <w:pStyle w:val="centrum"/>
              <w:rPr>
                <w:lang w:val="en-US"/>
              </w:rPr>
            </w:pPr>
            <w:r w:rsidRPr="00CE11E9">
              <w:t>τὴν</w:t>
            </w:r>
            <w:r w:rsidRPr="00CE11E9">
              <w:rPr>
                <w:lang w:val="en-US"/>
              </w:rPr>
              <w:t xml:space="preserve"> </w:t>
            </w:r>
            <w:r w:rsidRPr="00CE11E9">
              <w:t>ὁδὸν</w:t>
            </w:r>
            <w:r w:rsidRPr="00CE11E9">
              <w:rPr>
                <w:lang w:val="en-US"/>
              </w:rPr>
              <w:t xml:space="preserve"> </w:t>
            </w:r>
            <w:r w:rsidRPr="00CE11E9">
              <w:t>κυρ</w:t>
            </w:r>
            <w:r w:rsidR="00DB352C">
              <w:t>ί</w:t>
            </w:r>
            <w:r w:rsidRPr="00CE11E9">
              <w:t>ου</w:t>
            </w:r>
            <w:r w:rsidRPr="00CE11E9">
              <w:rPr>
                <w:lang w:val="en-US"/>
              </w:rPr>
              <w:t xml:space="preserve">, </w:t>
            </w:r>
          </w:p>
        </w:tc>
        <w:tc>
          <w:tcPr>
            <w:tcW w:w="1667" w:type="pct"/>
          </w:tcPr>
          <w:p w:rsidR="00CE11E9" w:rsidRPr="00CE11E9" w:rsidRDefault="00CE11E9" w:rsidP="00B93B92">
            <w:pPr>
              <w:pStyle w:val="centrum"/>
            </w:pPr>
            <w:r w:rsidRPr="00CE11E9">
              <w:t>τὴν ὁδὸν κυρ</w:t>
            </w:r>
            <w:r w:rsidR="00DB352C">
              <w:t>ί</w:t>
            </w:r>
            <w:r w:rsidRPr="00CE11E9">
              <w:t xml:space="preserve">ου, </w:t>
            </w:r>
          </w:p>
        </w:tc>
        <w:tc>
          <w:tcPr>
            <w:tcW w:w="1666" w:type="pct"/>
          </w:tcPr>
          <w:p w:rsidR="00CE11E9" w:rsidRPr="00CE11E9" w:rsidRDefault="00CE11E9" w:rsidP="00B93B92">
            <w:pPr>
              <w:pStyle w:val="centrum"/>
            </w:pPr>
            <w:r w:rsidRPr="00CE11E9">
              <w:t>τὴν ὁδὸν κυρ</w:t>
            </w:r>
            <w:r w:rsidR="00DB352C">
              <w:t>ί</w:t>
            </w:r>
            <w:r w:rsidRPr="00CE11E9">
              <w:t xml:space="preserve">ου, </w:t>
            </w:r>
          </w:p>
        </w:tc>
      </w:tr>
      <w:tr w:rsidR="00CE11E9" w:rsidRPr="000B6795" w:rsidTr="00CE11E9">
        <w:tc>
          <w:tcPr>
            <w:tcW w:w="1667" w:type="pct"/>
          </w:tcPr>
          <w:p w:rsidR="00CE11E9" w:rsidRPr="00CE11E9" w:rsidRDefault="00CE11E9" w:rsidP="00B93B92">
            <w:pPr>
              <w:pStyle w:val="centrum"/>
              <w:rPr>
                <w:lang w:val="en-US"/>
              </w:rPr>
            </w:pPr>
            <w:r w:rsidRPr="00CE11E9">
              <w:t>εὐθε</w:t>
            </w:r>
            <w:r w:rsidR="00DB352C">
              <w:t>ί</w:t>
            </w:r>
            <w:r w:rsidR="00A74F01">
              <w:t>α</w:t>
            </w:r>
            <w:r w:rsidRPr="00CE11E9">
              <w:t>ς</w:t>
            </w:r>
            <w:r w:rsidRPr="00CE11E9">
              <w:rPr>
                <w:lang w:val="en-US"/>
              </w:rPr>
              <w:t xml:space="preserve"> </w:t>
            </w:r>
            <w:r w:rsidRPr="00CE11E9">
              <w:t>ποιεῖτε</w:t>
            </w:r>
            <w:r w:rsidRPr="00CE11E9">
              <w:rPr>
                <w:lang w:val="en-US"/>
              </w:rPr>
              <w:t xml:space="preserve"> </w:t>
            </w:r>
          </w:p>
        </w:tc>
        <w:tc>
          <w:tcPr>
            <w:tcW w:w="1667" w:type="pct"/>
          </w:tcPr>
          <w:p w:rsidR="00CE11E9" w:rsidRPr="00CE11E9" w:rsidRDefault="00CE11E9" w:rsidP="00B93B92">
            <w:pPr>
              <w:pStyle w:val="centrum"/>
            </w:pPr>
            <w:r w:rsidRPr="00CE11E9">
              <w:t>εὐθε</w:t>
            </w:r>
            <w:r w:rsidR="00DB352C">
              <w:t>ί</w:t>
            </w:r>
            <w:r w:rsidR="00A74F01">
              <w:t>α</w:t>
            </w:r>
            <w:r w:rsidRPr="00CE11E9">
              <w:t xml:space="preserve">ς ποιεῖτε </w:t>
            </w:r>
          </w:p>
        </w:tc>
        <w:tc>
          <w:tcPr>
            <w:tcW w:w="1666" w:type="pct"/>
          </w:tcPr>
          <w:p w:rsidR="00CE11E9" w:rsidRPr="00CE11E9" w:rsidRDefault="00CE11E9" w:rsidP="00B93B92">
            <w:pPr>
              <w:pStyle w:val="centrum"/>
            </w:pPr>
            <w:r w:rsidRPr="00CE11E9">
              <w:t>εὐθε</w:t>
            </w:r>
            <w:r w:rsidR="00DB352C">
              <w:t>ί</w:t>
            </w:r>
            <w:r w:rsidR="00A74F01">
              <w:t>α</w:t>
            </w:r>
            <w:r w:rsidRPr="00CE11E9">
              <w:t xml:space="preserve">ς ποιεῖτε </w:t>
            </w:r>
          </w:p>
        </w:tc>
      </w:tr>
      <w:tr w:rsidR="00CE11E9" w:rsidRPr="000B6795" w:rsidTr="00CE11E9">
        <w:tc>
          <w:tcPr>
            <w:tcW w:w="1667" w:type="pct"/>
          </w:tcPr>
          <w:p w:rsidR="00CE11E9" w:rsidRPr="00CE11E9" w:rsidRDefault="00CE11E9" w:rsidP="00B93B92">
            <w:pPr>
              <w:pStyle w:val="centrum"/>
              <w:rPr>
                <w:lang w:val="en-US"/>
              </w:rPr>
            </w:pPr>
            <w:r w:rsidRPr="00CE11E9">
              <w:t>τ</w:t>
            </w:r>
            <w:r w:rsidR="00116664">
              <w:t>ὰ</w:t>
            </w:r>
            <w:r w:rsidRPr="00CE11E9">
              <w:t>ς</w:t>
            </w:r>
            <w:r w:rsidRPr="00CE11E9">
              <w:rPr>
                <w:lang w:val="en-US"/>
              </w:rPr>
              <w:t xml:space="preserve"> </w:t>
            </w:r>
            <w:r w:rsidRPr="00CE11E9">
              <w:t>τρ</w:t>
            </w:r>
            <w:r w:rsidR="00DB352C">
              <w:t>ί</w:t>
            </w:r>
            <w:r w:rsidRPr="00CE11E9">
              <w:t>βους</w:t>
            </w:r>
            <w:r w:rsidRPr="00CE11E9">
              <w:rPr>
                <w:lang w:val="en-US"/>
              </w:rPr>
              <w:t xml:space="preserve"> </w:t>
            </w:r>
            <w:r w:rsidR="00A74F01">
              <w:t>α</w:t>
            </w:r>
            <w:r w:rsidRPr="00CE11E9">
              <w:t>ὐτοῦ</w:t>
            </w:r>
            <w:r w:rsidRPr="00CE11E9">
              <w:rPr>
                <w:lang w:val="en-US"/>
              </w:rPr>
              <w:t>.</w:t>
            </w:r>
          </w:p>
        </w:tc>
        <w:tc>
          <w:tcPr>
            <w:tcW w:w="1667" w:type="pct"/>
          </w:tcPr>
          <w:p w:rsidR="00CE11E9" w:rsidRPr="00CE11E9" w:rsidRDefault="00CE11E9" w:rsidP="00B93B92">
            <w:pPr>
              <w:pStyle w:val="centrum"/>
              <w:rPr>
                <w:lang w:bidi="he-IL"/>
              </w:rPr>
            </w:pPr>
            <w:r w:rsidRPr="00CE11E9">
              <w:t>τ</w:t>
            </w:r>
            <w:r w:rsidR="00116664">
              <w:t>ὰ</w:t>
            </w:r>
            <w:r w:rsidRPr="00CE11E9">
              <w:t>ς τρ</w:t>
            </w:r>
            <w:r w:rsidR="00DB352C">
              <w:t>ί</w:t>
            </w:r>
            <w:r w:rsidRPr="00CE11E9">
              <w:t xml:space="preserve">βους </w:t>
            </w:r>
            <w:r w:rsidR="00A74F01">
              <w:t>α</w:t>
            </w:r>
            <w:r w:rsidRPr="00CE11E9">
              <w:t>ὐτοῦ.</w:t>
            </w:r>
          </w:p>
        </w:tc>
        <w:tc>
          <w:tcPr>
            <w:tcW w:w="1666" w:type="pct"/>
          </w:tcPr>
          <w:p w:rsidR="00CE11E9" w:rsidRPr="00CE11E9" w:rsidRDefault="00CE11E9" w:rsidP="00B93B92">
            <w:pPr>
              <w:pStyle w:val="centrum"/>
            </w:pPr>
            <w:r w:rsidRPr="00CE11E9">
              <w:t>τ</w:t>
            </w:r>
            <w:r w:rsidR="00116664">
              <w:t>ὰ</w:t>
            </w:r>
            <w:r w:rsidRPr="00CE11E9">
              <w:t>ς τρ</w:t>
            </w:r>
            <w:r w:rsidR="00DB352C">
              <w:t>ί</w:t>
            </w:r>
            <w:r w:rsidRPr="00CE11E9">
              <w:t xml:space="preserve">βους </w:t>
            </w:r>
            <w:r w:rsidR="00A74F01">
              <w:t>α</w:t>
            </w:r>
            <w:r w:rsidRPr="00CE11E9">
              <w:t>ὐτοῦ</w:t>
            </w:r>
            <w:r>
              <w:t> </w:t>
            </w:r>
            <w:r w:rsidRPr="00C406FF">
              <w:rPr>
                <w:rStyle w:val="Appelnotedebasdep"/>
              </w:rPr>
              <w:footnoteReference w:id="149"/>
            </w:r>
            <w:r w:rsidRPr="00CE11E9">
              <w:t>.</w:t>
            </w:r>
          </w:p>
        </w:tc>
      </w:tr>
    </w:tbl>
    <w:p w:rsidR="00CE11E9" w:rsidRDefault="00CE11E9" w:rsidP="00CE11E9">
      <w:pPr>
        <w:jc w:val="left"/>
        <w:rPr>
          <w:rFonts w:eastAsia="Arial Unicode MS"/>
          <w:bCs/>
          <w:lang w:eastAsia="fr-FR" w:bidi="he-IL"/>
        </w:rPr>
      </w:pPr>
    </w:p>
    <w:p w:rsidR="00C2602D" w:rsidRPr="00CE11E9" w:rsidRDefault="00B704AD" w:rsidP="00CE11E9">
      <w:r w:rsidRPr="00116664">
        <w:t>L</w:t>
      </w:r>
      <w:r w:rsidR="00557DE0">
        <w:t>’</w:t>
      </w:r>
      <w:r w:rsidRPr="00116664">
        <w:t>hébreu porte</w:t>
      </w:r>
      <w:r w:rsidR="00E65435" w:rsidRPr="00116664">
        <w:t xml:space="preserve">, </w:t>
      </w:r>
      <w:r w:rsidRPr="00116664">
        <w:t>pour les derniers mots</w:t>
      </w:r>
      <w:r w:rsidR="00C2602D" w:rsidRPr="00116664">
        <w:t> :</w:t>
      </w:r>
      <w:r w:rsidR="00CE11E9" w:rsidRPr="00116664">
        <w:t xml:space="preserve"> </w:t>
      </w:r>
      <w:r w:rsidR="00F12048" w:rsidRPr="00116664">
        <w:t>« </w:t>
      </w:r>
      <w:r w:rsidRPr="00116664">
        <w:t xml:space="preserve">Aplanissez dans le désert </w:t>
      </w:r>
      <w:r w:rsidRPr="00C8701B">
        <w:rPr>
          <w:rFonts w:eastAsia="Arial Unicode MS"/>
          <w:bCs/>
          <w:lang w:eastAsia="fr-FR" w:bidi="he-IL"/>
        </w:rPr>
        <w:t>une</w:t>
      </w:r>
      <w:r w:rsidRPr="00C8701B">
        <w:rPr>
          <w:rFonts w:eastAsia="Arial Unicode MS"/>
          <w:bCs/>
          <w:lang w:val="el-GR" w:eastAsia="fr-FR" w:bidi="he-IL"/>
        </w:rPr>
        <w:t xml:space="preserve"> </w:t>
      </w:r>
      <w:r w:rsidRPr="00C8701B">
        <w:rPr>
          <w:rFonts w:eastAsia="Arial Unicode MS"/>
          <w:bCs/>
          <w:lang w:eastAsia="fr-FR" w:bidi="he-IL"/>
        </w:rPr>
        <w:t>route</w:t>
      </w:r>
      <w:r w:rsidRPr="00C8701B">
        <w:rPr>
          <w:rFonts w:eastAsia="Arial Unicode MS"/>
          <w:bCs/>
          <w:lang w:val="el-GR" w:eastAsia="fr-FR" w:bidi="he-IL"/>
        </w:rPr>
        <w:t xml:space="preserve"> </w:t>
      </w:r>
      <w:r w:rsidRPr="00C8701B">
        <w:rPr>
          <w:rFonts w:eastAsia="Arial Unicode MS"/>
          <w:bCs/>
          <w:lang w:eastAsia="fr-FR" w:bidi="he-IL"/>
        </w:rPr>
        <w:t>pour</w:t>
      </w:r>
      <w:r w:rsidRPr="00C8701B">
        <w:rPr>
          <w:rFonts w:eastAsia="Arial Unicode MS"/>
          <w:bCs/>
          <w:lang w:val="el-GR" w:eastAsia="fr-FR" w:bidi="he-IL"/>
        </w:rPr>
        <w:t xml:space="preserve"> </w:t>
      </w:r>
      <w:r w:rsidRPr="00C8701B">
        <w:rPr>
          <w:rFonts w:eastAsia="Arial Unicode MS"/>
          <w:bCs/>
          <w:lang w:eastAsia="fr-FR" w:bidi="he-IL"/>
        </w:rPr>
        <w:t>notre</w:t>
      </w:r>
      <w:r w:rsidRPr="00C8701B">
        <w:rPr>
          <w:rFonts w:eastAsia="Arial Unicode MS"/>
          <w:bCs/>
          <w:lang w:val="el-GR" w:eastAsia="fr-FR" w:bidi="he-IL"/>
        </w:rPr>
        <w:t xml:space="preserve"> </w:t>
      </w:r>
      <w:r w:rsidRPr="00C8701B">
        <w:rPr>
          <w:rFonts w:eastAsia="Arial Unicode MS"/>
          <w:bCs/>
          <w:lang w:eastAsia="fr-FR" w:bidi="he-IL"/>
        </w:rPr>
        <w:t>Dieu</w:t>
      </w:r>
      <w:r w:rsidR="00C2602D" w:rsidRPr="00C8701B">
        <w:rPr>
          <w:rFonts w:eastAsia="Arial Unicode MS"/>
          <w:bCs/>
          <w:lang w:val="el-GR" w:eastAsia="fr-FR" w:bidi="he-IL"/>
        </w:rPr>
        <w:t> »</w:t>
      </w:r>
      <w:r w:rsidR="00E65435">
        <w:rPr>
          <w:rFonts w:eastAsia="Arial Unicode MS"/>
          <w:bCs/>
          <w:lang w:val="el-GR" w:eastAsia="fr-FR" w:bidi="he-IL"/>
        </w:rPr>
        <w:t xml:space="preserve">, </w:t>
      </w:r>
      <w:r w:rsidRPr="00C8701B">
        <w:rPr>
          <w:rFonts w:eastAsia="Arial Unicode MS"/>
          <w:bCs/>
          <w:lang w:eastAsia="fr-FR" w:bidi="he-IL"/>
        </w:rPr>
        <w:t>et</w:t>
      </w:r>
      <w:r w:rsidRPr="00C8701B">
        <w:rPr>
          <w:rFonts w:eastAsia="Arial Unicode MS"/>
          <w:bCs/>
          <w:lang w:val="el-GR" w:eastAsia="fr-FR" w:bidi="he-IL"/>
        </w:rPr>
        <w:t xml:space="preserve"> </w:t>
      </w:r>
      <w:r w:rsidRPr="00C8701B">
        <w:rPr>
          <w:rFonts w:eastAsia="Arial Unicode MS"/>
          <w:bCs/>
          <w:lang w:eastAsia="fr-FR" w:bidi="he-IL"/>
        </w:rPr>
        <w:t>les</w:t>
      </w:r>
      <w:r w:rsidRPr="00C8701B">
        <w:rPr>
          <w:rFonts w:eastAsia="Arial Unicode MS"/>
          <w:bCs/>
          <w:lang w:val="el-GR" w:eastAsia="fr-FR" w:bidi="he-IL"/>
        </w:rPr>
        <w:t xml:space="preserve"> </w:t>
      </w:r>
      <w:r w:rsidRPr="00C8701B">
        <w:rPr>
          <w:rFonts w:eastAsia="Arial Unicode MS"/>
          <w:bCs/>
          <w:lang w:eastAsia="fr-FR" w:bidi="he-IL"/>
        </w:rPr>
        <w:t>Septante</w:t>
      </w:r>
      <w:r w:rsidRPr="00C8701B">
        <w:rPr>
          <w:rFonts w:eastAsia="Arial Unicode MS"/>
          <w:bCs/>
          <w:lang w:val="el-GR" w:eastAsia="fr-FR" w:bidi="he-IL"/>
        </w:rPr>
        <w:t xml:space="preserve"> </w:t>
      </w:r>
      <w:r w:rsidRPr="00C8701B">
        <w:rPr>
          <w:rFonts w:eastAsia="Arial Unicode MS"/>
          <w:bCs/>
          <w:lang w:eastAsia="fr-FR" w:bidi="he-IL"/>
        </w:rPr>
        <w:t>traduisent</w:t>
      </w:r>
      <w:r w:rsidR="00C2602D" w:rsidRPr="00C8701B">
        <w:rPr>
          <w:rFonts w:eastAsia="Arial Unicode MS"/>
          <w:bCs/>
          <w:lang w:val="el-GR" w:eastAsia="fr-FR" w:bidi="he-IL"/>
        </w:rPr>
        <w:t> :</w:t>
      </w:r>
      <w:r w:rsidRPr="00C8701B">
        <w:rPr>
          <w:rFonts w:eastAsia="Arial Unicode MS"/>
          <w:bCs/>
          <w:lang w:val="el-GR" w:eastAsia="fr-FR" w:bidi="he-IL"/>
        </w:rPr>
        <w:t xml:space="preserve"> </w:t>
      </w:r>
      <w:r w:rsidR="00CE11E9" w:rsidRPr="00CE11E9">
        <w:t>εὐ</w:t>
      </w:r>
      <w:r w:rsidRPr="00CE11E9">
        <w:t>θε</w:t>
      </w:r>
      <w:r w:rsidR="00DB352C">
        <w:t>ί</w:t>
      </w:r>
      <w:r w:rsidR="00A74F01">
        <w:t>α</w:t>
      </w:r>
      <w:r w:rsidRPr="00CE11E9">
        <w:t xml:space="preserve">ς </w:t>
      </w:r>
      <w:r w:rsidR="00CE11E9" w:rsidRPr="00CE11E9">
        <w:t>ποι</w:t>
      </w:r>
      <w:r w:rsidRPr="00CE11E9">
        <w:t>ε</w:t>
      </w:r>
      <w:r w:rsidR="00CE11E9" w:rsidRPr="00CE11E9">
        <w:t>ῖ</w:t>
      </w:r>
      <w:r w:rsidRPr="00CE11E9">
        <w:t>τε τ</w:t>
      </w:r>
      <w:r w:rsidR="00116664">
        <w:t>ὰ</w:t>
      </w:r>
      <w:r w:rsidRPr="00CE11E9">
        <w:t>ς τρ</w:t>
      </w:r>
      <w:r w:rsidR="00DB352C">
        <w:t>ί</w:t>
      </w:r>
      <w:r w:rsidRPr="00CE11E9">
        <w:t xml:space="preserve">βους </w:t>
      </w:r>
      <w:r w:rsidR="00CE11E9" w:rsidRPr="00CE11E9">
        <w:t>τοῦ θεοῦ</w:t>
      </w:r>
      <w:r w:rsidRPr="00CE11E9">
        <w:t xml:space="preserve"> </w:t>
      </w:r>
      <w:r w:rsidR="00CE11E9" w:rsidRPr="00CE11E9">
        <w:t>ἡμῶν</w:t>
      </w:r>
      <w:r w:rsidRPr="00CE11E9">
        <w:t>.</w:t>
      </w:r>
      <w:r w:rsidR="00C2602D" w:rsidRPr="00CE11E9">
        <w:t xml:space="preserve"> </w:t>
      </w:r>
    </w:p>
    <w:p w:rsidR="00C2602D" w:rsidRDefault="00B704AD" w:rsidP="00C2602D">
      <w:pPr>
        <w:rPr>
          <w:rFonts w:eastAsia="Arial Unicode MS"/>
          <w:bCs/>
          <w:lang w:eastAsia="fr-FR" w:bidi="he-IL"/>
        </w:rPr>
      </w:pPr>
      <w:r w:rsidRPr="00C8701B">
        <w:rPr>
          <w:rFonts w:eastAsia="Arial Unicode MS"/>
          <w:bCs/>
          <w:lang w:eastAsia="fr-FR" w:bidi="he-IL"/>
        </w:rPr>
        <w:t>La citation suivante de Zacharie</w:t>
      </w:r>
      <w:r w:rsidR="00E65435">
        <w:rPr>
          <w:rFonts w:eastAsia="Arial Unicode MS"/>
          <w:bCs/>
          <w:lang w:eastAsia="fr-FR" w:bidi="he-IL"/>
        </w:rPr>
        <w:t xml:space="preserve">, </w:t>
      </w:r>
      <w:r w:rsidR="003A247F">
        <w:rPr>
          <w:rFonts w:eastAsia="Arial Unicode MS"/>
          <w:bCs/>
          <w:lang w:eastAsia="fr-FR" w:bidi="he-IL"/>
        </w:rPr>
        <w:t>XIII</w:t>
      </w:r>
      <w:r w:rsidR="00E65435">
        <w:rPr>
          <w:rFonts w:eastAsia="Arial Unicode MS"/>
          <w:bCs/>
          <w:lang w:eastAsia="fr-FR" w:bidi="he-IL"/>
        </w:rPr>
        <w:t xml:space="preserve">, </w:t>
      </w:r>
      <w:r w:rsidRPr="00C8701B">
        <w:rPr>
          <w:rFonts w:eastAsia="Arial Unicode MS"/>
          <w:bCs/>
          <w:lang w:eastAsia="fr-FR" w:bidi="he-IL"/>
        </w:rPr>
        <w:t>7</w:t>
      </w:r>
      <w:r w:rsidR="00E65435">
        <w:rPr>
          <w:rFonts w:eastAsia="Arial Unicode MS"/>
          <w:bCs/>
          <w:lang w:eastAsia="fr-FR" w:bidi="he-IL"/>
        </w:rPr>
        <w:t xml:space="preserve">, </w:t>
      </w:r>
      <w:r w:rsidRPr="00C8701B">
        <w:rPr>
          <w:rFonts w:eastAsia="Arial Unicode MS"/>
          <w:bCs/>
          <w:lang w:eastAsia="fr-FR" w:bidi="he-IL"/>
        </w:rPr>
        <w:t>ne répond non plus ni complètement à l</w:t>
      </w:r>
      <w:r w:rsidR="00557DE0">
        <w:rPr>
          <w:rFonts w:eastAsia="Arial Unicode MS"/>
          <w:bCs/>
          <w:lang w:eastAsia="fr-FR" w:bidi="he-IL"/>
        </w:rPr>
        <w:t>’</w:t>
      </w:r>
      <w:r w:rsidRPr="00C8701B">
        <w:rPr>
          <w:rFonts w:eastAsia="Arial Unicode MS"/>
          <w:bCs/>
          <w:lang w:eastAsia="fr-FR" w:bidi="he-IL"/>
        </w:rPr>
        <w:t>hébreu</w:t>
      </w:r>
      <w:r w:rsidR="00E65435">
        <w:rPr>
          <w:rFonts w:eastAsia="Arial Unicode MS"/>
          <w:bCs/>
          <w:lang w:eastAsia="fr-FR" w:bidi="he-IL"/>
        </w:rPr>
        <w:t xml:space="preserve">, </w:t>
      </w:r>
      <w:r w:rsidRPr="00C8701B">
        <w:rPr>
          <w:rFonts w:eastAsia="Arial Unicode MS"/>
          <w:bCs/>
          <w:lang w:eastAsia="fr-FR" w:bidi="he-IL"/>
        </w:rPr>
        <w:t>ni complètement à la version des Septante.</w:t>
      </w:r>
      <w:r w:rsidR="00C2602D" w:rsidRPr="00C8701B">
        <w:rPr>
          <w:rFonts w:eastAsia="Arial Unicode MS"/>
          <w:bCs/>
          <w:lang w:eastAsia="fr-FR" w:bidi="he-IL"/>
        </w:rPr>
        <w:t xml:space="preserve"> </w:t>
      </w:r>
      <w:r w:rsidR="00A067B1" w:rsidRPr="000716BB">
        <w:rPr>
          <w:rFonts w:eastAsia="Arial Unicode MS"/>
          <w:bCs/>
          <w:lang w:eastAsia="fr-FR" w:bidi="he-IL"/>
        </w:rPr>
        <w:t>{</w:t>
      </w:r>
      <w:r w:rsidR="00A067B1">
        <w:rPr>
          <w:rFonts w:eastAsia="Arial Unicode MS"/>
          <w:bCs/>
          <w:lang w:eastAsia="fr-FR" w:bidi="he-IL"/>
        </w:rPr>
        <w:t>32</w:t>
      </w:r>
      <w:bookmarkStart w:id="55" w:name="pag032"/>
      <w:bookmarkEnd w:id="55"/>
      <w:r w:rsidR="00A067B1" w:rsidRPr="000716BB">
        <w:rPr>
          <w:rFonts w:eastAsia="Arial Unicode MS"/>
          <w:bCs/>
          <w:lang w:eastAsia="fr-FR" w:bidi="he-IL"/>
        </w:rPr>
        <w:t>}</w:t>
      </w:r>
    </w:p>
    <w:p w:rsidR="00CE11E9" w:rsidRDefault="00CE11E9" w:rsidP="00C2602D">
      <w:pPr>
        <w:rPr>
          <w:rFonts w:eastAsia="Arial Unicode MS"/>
          <w:bCs/>
          <w:lang w:eastAsia="fr-FR" w:bidi="he-IL"/>
        </w:rPr>
      </w:pPr>
    </w:p>
    <w:tbl>
      <w:tblPr>
        <w:tblW w:w="5000" w:type="pct"/>
        <w:tblLook w:val="04A0"/>
      </w:tblPr>
      <w:tblGrid>
        <w:gridCol w:w="5315"/>
        <w:gridCol w:w="5277"/>
      </w:tblGrid>
      <w:tr w:rsidR="00CE11E9" w:rsidRPr="00CE11E9" w:rsidTr="00CE11E9">
        <w:tc>
          <w:tcPr>
            <w:tcW w:w="2509" w:type="pct"/>
          </w:tcPr>
          <w:p w:rsidR="00CE11E9" w:rsidRPr="00CE11E9" w:rsidRDefault="00CE11E9" w:rsidP="00B93B92">
            <w:pPr>
              <w:pStyle w:val="centrum"/>
            </w:pPr>
            <w:r w:rsidRPr="00CE11E9">
              <w:t>Matth. XXVI, 31.</w:t>
            </w:r>
          </w:p>
        </w:tc>
        <w:tc>
          <w:tcPr>
            <w:tcW w:w="2509" w:type="pct"/>
          </w:tcPr>
          <w:p w:rsidR="00CE11E9" w:rsidRPr="00CE11E9" w:rsidRDefault="00CE11E9" w:rsidP="00B93B92">
            <w:pPr>
              <w:pStyle w:val="centrum"/>
            </w:pPr>
            <w:r w:rsidRPr="00CE11E9">
              <w:t>Marc, XIV, 27</w:t>
            </w:r>
            <w:r w:rsidR="00933C60" w:rsidRPr="00C406FF">
              <w:rPr>
                <w:rStyle w:val="Appelnotedebasdep"/>
              </w:rPr>
              <w:footnoteReference w:id="150"/>
            </w:r>
            <w:r w:rsidRPr="00CE11E9">
              <w:t xml:space="preserve">. </w:t>
            </w:r>
          </w:p>
        </w:tc>
      </w:tr>
      <w:tr w:rsidR="00CE11E9" w:rsidRPr="00CE11E9" w:rsidTr="00CE11E9">
        <w:tc>
          <w:tcPr>
            <w:tcW w:w="2509" w:type="pct"/>
          </w:tcPr>
          <w:p w:rsidR="00CE11E9" w:rsidRPr="00CE11E9" w:rsidRDefault="00CE11E9" w:rsidP="00B93B92">
            <w:pPr>
              <w:pStyle w:val="centrum"/>
              <w:rPr>
                <w:lang w:val="en-US"/>
              </w:rPr>
            </w:pPr>
            <w:r w:rsidRPr="00CE11E9">
              <w:t>Π</w:t>
            </w:r>
            <w:r w:rsidR="00A74F01">
              <w:t>α</w:t>
            </w:r>
            <w:r w:rsidRPr="00CE11E9">
              <w:t>τ</w:t>
            </w:r>
            <w:r w:rsidR="00CD3C57">
              <w:t>ά</w:t>
            </w:r>
            <w:r w:rsidRPr="00CE11E9">
              <w:t>ξω</w:t>
            </w:r>
            <w:r w:rsidRPr="00CE11E9">
              <w:rPr>
                <w:lang w:val="en-US"/>
              </w:rPr>
              <w:t xml:space="preserve"> </w:t>
            </w:r>
            <w:r w:rsidRPr="00CE11E9">
              <w:t>τὸν</w:t>
            </w:r>
            <w:r w:rsidRPr="00CE11E9">
              <w:rPr>
                <w:lang w:val="en-US"/>
              </w:rPr>
              <w:t xml:space="preserve"> </w:t>
            </w:r>
            <w:r w:rsidRPr="00CE11E9">
              <w:t>ποιμ</w:t>
            </w:r>
            <w:r w:rsidR="00C771BF">
              <w:t>έ</w:t>
            </w:r>
            <w:r w:rsidRPr="00CE11E9">
              <w:t>ν</w:t>
            </w:r>
            <w:r w:rsidR="00A74F01">
              <w:t>α</w:t>
            </w:r>
            <w:r w:rsidRPr="00CE11E9">
              <w:rPr>
                <w:lang w:val="en-US"/>
              </w:rPr>
              <w:t xml:space="preserve">, </w:t>
            </w:r>
          </w:p>
        </w:tc>
        <w:tc>
          <w:tcPr>
            <w:tcW w:w="2509" w:type="pct"/>
          </w:tcPr>
          <w:p w:rsidR="00CE11E9" w:rsidRPr="00CE11E9" w:rsidRDefault="00CE11E9" w:rsidP="00B93B92">
            <w:pPr>
              <w:pStyle w:val="centrum"/>
            </w:pPr>
            <w:r w:rsidRPr="00CE11E9">
              <w:t>Π</w:t>
            </w:r>
            <w:r w:rsidR="00A74F01">
              <w:t>α</w:t>
            </w:r>
            <w:r w:rsidRPr="00CE11E9">
              <w:t>τ</w:t>
            </w:r>
            <w:r w:rsidR="00CD3C57">
              <w:t>ά</w:t>
            </w:r>
            <w:r w:rsidRPr="00CE11E9">
              <w:t>ξω τὸν ποιμ</w:t>
            </w:r>
            <w:r w:rsidR="00C771BF">
              <w:t>έ</w:t>
            </w:r>
            <w:r w:rsidRPr="00CE11E9">
              <w:t>ν</w:t>
            </w:r>
            <w:r w:rsidR="00A74F01">
              <w:t>α</w:t>
            </w:r>
            <w:r w:rsidRPr="00CE11E9">
              <w:t xml:space="preserve">, </w:t>
            </w:r>
          </w:p>
        </w:tc>
      </w:tr>
      <w:tr w:rsidR="00CE11E9" w:rsidRPr="00CE11E9" w:rsidTr="00CE11E9">
        <w:tc>
          <w:tcPr>
            <w:tcW w:w="2509" w:type="pct"/>
          </w:tcPr>
          <w:p w:rsidR="00CE11E9" w:rsidRPr="00CE11E9" w:rsidRDefault="00CE11E9" w:rsidP="00B93B92">
            <w:pPr>
              <w:pStyle w:val="centrum"/>
              <w:rPr>
                <w:lang w:val="en-US"/>
              </w:rPr>
            </w:pPr>
            <w:r w:rsidRPr="00CE11E9">
              <w:t>κ</w:t>
            </w:r>
            <w:r w:rsidR="00A74F01">
              <w:t>α</w:t>
            </w:r>
            <w:r w:rsidRPr="00CE11E9">
              <w:t>ὶ</w:t>
            </w:r>
            <w:r w:rsidRPr="00CE11E9">
              <w:rPr>
                <w:lang w:val="en-US"/>
              </w:rPr>
              <w:t xml:space="preserve"> </w:t>
            </w:r>
            <w:r w:rsidRPr="00CE11E9">
              <w:t>δι</w:t>
            </w:r>
            <w:r w:rsidR="00A74F01">
              <w:t>α</w:t>
            </w:r>
            <w:r w:rsidRPr="00CE11E9">
              <w:t>σκορπισθήσοντ</w:t>
            </w:r>
            <w:r w:rsidR="00A74F01">
              <w:t>α</w:t>
            </w:r>
            <w:r w:rsidRPr="00CE11E9">
              <w:t>ι</w:t>
            </w:r>
            <w:r w:rsidRPr="00CE11E9">
              <w:rPr>
                <w:lang w:val="en-US"/>
              </w:rPr>
              <w:t xml:space="preserve"> </w:t>
            </w:r>
          </w:p>
        </w:tc>
        <w:tc>
          <w:tcPr>
            <w:tcW w:w="2509" w:type="pct"/>
          </w:tcPr>
          <w:p w:rsidR="00CE11E9" w:rsidRPr="00CE11E9" w:rsidRDefault="00CE11E9" w:rsidP="00B93B92">
            <w:pPr>
              <w:pStyle w:val="centrum"/>
            </w:pPr>
            <w:r w:rsidRPr="00CE11E9">
              <w:t>κ</w:t>
            </w:r>
            <w:r w:rsidR="00A74F01">
              <w:t>α</w:t>
            </w:r>
            <w:r w:rsidRPr="00CE11E9">
              <w:t>ὶ τ</w:t>
            </w:r>
            <w:r w:rsidR="00116664">
              <w:t>ὰ</w:t>
            </w:r>
            <w:r w:rsidRPr="00CE11E9">
              <w:t xml:space="preserve"> πρ</w:t>
            </w:r>
            <w:r w:rsidR="00736374">
              <w:t>ό</w:t>
            </w:r>
            <w:r w:rsidRPr="00CE11E9">
              <w:t>β</w:t>
            </w:r>
            <w:r w:rsidR="00A74F01">
              <w:t>α</w:t>
            </w:r>
            <w:r w:rsidRPr="00CE11E9">
              <w:t>τ</w:t>
            </w:r>
            <w:r w:rsidR="00A74F01">
              <w:t>α</w:t>
            </w:r>
            <w:r w:rsidRPr="00CE11E9">
              <w:t xml:space="preserve"> </w:t>
            </w:r>
          </w:p>
        </w:tc>
      </w:tr>
      <w:tr w:rsidR="00CE11E9" w:rsidRPr="00CE11E9" w:rsidTr="00CE11E9">
        <w:tc>
          <w:tcPr>
            <w:tcW w:w="2509" w:type="pct"/>
          </w:tcPr>
          <w:p w:rsidR="00CE11E9" w:rsidRPr="00CE11E9" w:rsidRDefault="00CE11E9" w:rsidP="00B93B92">
            <w:pPr>
              <w:pStyle w:val="centrum"/>
            </w:pPr>
            <w:r w:rsidRPr="00CE11E9">
              <w:t>τ</w:t>
            </w:r>
            <w:r w:rsidR="00116664">
              <w:t>ὰ</w:t>
            </w:r>
            <w:r w:rsidRPr="00CE11E9">
              <w:rPr>
                <w:lang w:val="en-US"/>
              </w:rPr>
              <w:t xml:space="preserve"> </w:t>
            </w:r>
            <w:r w:rsidRPr="00CE11E9">
              <w:t>πρ</w:t>
            </w:r>
            <w:r w:rsidR="00736374">
              <w:t>ό</w:t>
            </w:r>
            <w:r w:rsidRPr="00CE11E9">
              <w:t>β</w:t>
            </w:r>
            <w:r w:rsidR="00A74F01">
              <w:t>α</w:t>
            </w:r>
            <w:r w:rsidRPr="00CE11E9">
              <w:t>τ</w:t>
            </w:r>
            <w:r w:rsidR="00A74F01">
              <w:t>α</w:t>
            </w:r>
            <w:r w:rsidRPr="00CE11E9">
              <w:rPr>
                <w:lang w:val="en-US"/>
              </w:rPr>
              <w:t xml:space="preserve"> </w:t>
            </w:r>
            <w:r w:rsidRPr="00CE11E9">
              <w:t>τῆς</w:t>
            </w:r>
            <w:r w:rsidRPr="00CE11E9">
              <w:rPr>
                <w:lang w:val="en-US"/>
              </w:rPr>
              <w:t xml:space="preserve"> </w:t>
            </w:r>
            <w:r w:rsidRPr="00CE11E9">
              <w:t>πο</w:t>
            </w:r>
            <w:r w:rsidR="00DB352C">
              <w:t>ί</w:t>
            </w:r>
            <w:r w:rsidRPr="00CE11E9">
              <w:t>μνης·</w:t>
            </w:r>
          </w:p>
        </w:tc>
        <w:tc>
          <w:tcPr>
            <w:tcW w:w="2509" w:type="pct"/>
          </w:tcPr>
          <w:p w:rsidR="00CE11E9" w:rsidRPr="00CE11E9" w:rsidRDefault="00CE11E9" w:rsidP="00B93B92">
            <w:pPr>
              <w:pStyle w:val="centrum"/>
            </w:pPr>
            <w:r w:rsidRPr="00CE11E9">
              <w:t>δι</w:t>
            </w:r>
            <w:r w:rsidR="00A74F01">
              <w:t>α</w:t>
            </w:r>
            <w:r w:rsidRPr="00CE11E9">
              <w:t>σκορπισθήσοντ</w:t>
            </w:r>
            <w:r w:rsidR="00A74F01">
              <w:t>α</w:t>
            </w:r>
            <w:r w:rsidRPr="00CE11E9">
              <w:t>ι·</w:t>
            </w:r>
          </w:p>
        </w:tc>
      </w:tr>
    </w:tbl>
    <w:p w:rsidR="00CE11E9" w:rsidRDefault="00CE11E9" w:rsidP="00C2602D">
      <w:pPr>
        <w:rPr>
          <w:rFonts w:eastAsia="Arial Unicode MS"/>
          <w:bCs/>
          <w:lang w:eastAsia="fr-FR" w:bidi="he-IL"/>
        </w:rPr>
      </w:pPr>
    </w:p>
    <w:p w:rsidR="00C2602D" w:rsidRPr="00C8701B" w:rsidRDefault="00B704AD" w:rsidP="00C2602D">
      <w:pPr>
        <w:rPr>
          <w:rFonts w:eastAsia="Arial Unicode MS"/>
          <w:bCs/>
          <w:lang w:eastAsia="fr-FR" w:bidi="he-IL"/>
        </w:rPr>
      </w:pPr>
      <w:r w:rsidRPr="00C8701B">
        <w:rPr>
          <w:rFonts w:eastAsia="Arial Unicode MS"/>
          <w:bCs/>
          <w:lang w:eastAsia="fr-FR" w:bidi="he-IL"/>
        </w:rPr>
        <w:t>La vraie traduction de l</w:t>
      </w:r>
      <w:r w:rsidR="00557DE0">
        <w:rPr>
          <w:rFonts w:eastAsia="Arial Unicode MS"/>
          <w:bCs/>
          <w:lang w:eastAsia="fr-FR" w:bidi="he-IL"/>
        </w:rPr>
        <w:t>’</w:t>
      </w:r>
      <w:r w:rsidRPr="00C8701B">
        <w:rPr>
          <w:rFonts w:eastAsia="Arial Unicode MS"/>
          <w:bCs/>
          <w:lang w:eastAsia="fr-FR" w:bidi="he-IL"/>
        </w:rPr>
        <w:t>hébreu serait</w:t>
      </w:r>
      <w:r w:rsidR="00C2602D" w:rsidRPr="00C8701B">
        <w:rPr>
          <w:rFonts w:eastAsia="Arial Unicode MS"/>
          <w:bCs/>
          <w:lang w:eastAsia="fr-FR" w:bidi="he-IL"/>
        </w:rPr>
        <w:t> :</w:t>
      </w:r>
      <w:r w:rsidRPr="00C8701B">
        <w:rPr>
          <w:rFonts w:eastAsia="Arial Unicode MS"/>
          <w:bCs/>
          <w:lang w:eastAsia="fr-FR" w:bidi="he-IL"/>
        </w:rPr>
        <w:t xml:space="preserve"> </w:t>
      </w:r>
      <w:r w:rsidR="00C2602D" w:rsidRPr="00C8701B">
        <w:rPr>
          <w:rFonts w:eastAsia="Arial Unicode MS"/>
          <w:bCs/>
          <w:lang w:eastAsia="fr-FR" w:bidi="he-IL"/>
        </w:rPr>
        <w:t>« </w:t>
      </w:r>
      <w:r w:rsidRPr="00C8701B">
        <w:rPr>
          <w:rFonts w:eastAsia="Arial Unicode MS"/>
          <w:bCs/>
          <w:lang w:eastAsia="fr-FR" w:bidi="he-IL"/>
        </w:rPr>
        <w:t>Frappe le pasteur</w:t>
      </w:r>
      <w:r w:rsidR="00E65435">
        <w:rPr>
          <w:rFonts w:eastAsia="Arial Unicode MS"/>
          <w:bCs/>
          <w:lang w:eastAsia="fr-FR" w:bidi="he-IL"/>
        </w:rPr>
        <w:t xml:space="preserve">, </w:t>
      </w:r>
      <w:r w:rsidRPr="00C8701B">
        <w:rPr>
          <w:rFonts w:eastAsia="Arial Unicode MS"/>
          <w:bCs/>
          <w:lang w:eastAsia="fr-FR" w:bidi="he-IL"/>
        </w:rPr>
        <w:t>et que les brebis se dispersent</w:t>
      </w:r>
      <w:r w:rsidR="00C2602D" w:rsidRPr="00C8701B">
        <w:rPr>
          <w:rFonts w:eastAsia="Arial Unicode MS"/>
          <w:bCs/>
          <w:lang w:eastAsia="fr-FR" w:bidi="he-IL"/>
        </w:rPr>
        <w:t> »</w:t>
      </w:r>
      <w:r w:rsidRPr="00C8701B">
        <w:rPr>
          <w:rFonts w:eastAsia="Arial Unicode MS"/>
          <w:bCs/>
          <w:lang w:eastAsia="fr-FR" w:bidi="he-IL"/>
        </w:rPr>
        <w:t xml:space="preserve"> (Septante</w:t>
      </w:r>
      <w:r w:rsidR="00C2602D" w:rsidRPr="00C8701B">
        <w:rPr>
          <w:rFonts w:eastAsia="Arial Unicode MS"/>
          <w:bCs/>
          <w:lang w:eastAsia="fr-FR" w:bidi="he-IL"/>
        </w:rPr>
        <w:t> :</w:t>
      </w:r>
      <w:r w:rsidRPr="00C8701B">
        <w:rPr>
          <w:rFonts w:eastAsia="Arial Unicode MS"/>
          <w:bCs/>
          <w:lang w:eastAsia="fr-FR" w:bidi="he-IL"/>
        </w:rPr>
        <w:t xml:space="preserve"> </w:t>
      </w:r>
      <w:r w:rsidRPr="00954AA2">
        <w:t>π</w:t>
      </w:r>
      <w:r w:rsidR="00A74F01">
        <w:t>α</w:t>
      </w:r>
      <w:r w:rsidRPr="00954AA2">
        <w:t>τ</w:t>
      </w:r>
      <w:r w:rsidR="00CD3C57">
        <w:t>ά</w:t>
      </w:r>
      <w:r w:rsidRPr="00954AA2">
        <w:t>ξ</w:t>
      </w:r>
      <w:r w:rsidR="00A74F01">
        <w:t>α</w:t>
      </w:r>
      <w:r w:rsidRPr="00954AA2">
        <w:t>τε</w:t>
      </w:r>
      <w:r w:rsidR="00E65435">
        <w:rPr>
          <w:rFonts w:eastAsia="Arial Unicode MS"/>
          <w:bCs/>
          <w:lang w:val="el-GR" w:eastAsia="fr-FR" w:bidi="he-IL"/>
        </w:rPr>
        <w:t xml:space="preserve">, </w:t>
      </w:r>
      <w:r w:rsidRPr="00C8701B">
        <w:rPr>
          <w:rFonts w:eastAsia="Arial Unicode MS"/>
          <w:bCs/>
          <w:lang w:eastAsia="fr-FR" w:bidi="he-IL"/>
        </w:rPr>
        <w:t>à l</w:t>
      </w:r>
      <w:r w:rsidR="00557DE0">
        <w:rPr>
          <w:rFonts w:eastAsia="Arial Unicode MS"/>
          <w:bCs/>
          <w:lang w:eastAsia="fr-FR" w:bidi="he-IL"/>
        </w:rPr>
        <w:t>’</w:t>
      </w:r>
      <w:r w:rsidRPr="00C8701B">
        <w:rPr>
          <w:rFonts w:eastAsia="Arial Unicode MS"/>
          <w:bCs/>
          <w:lang w:eastAsia="fr-FR" w:bidi="he-IL"/>
        </w:rPr>
        <w:t>imp</w:t>
      </w:r>
      <w:r w:rsidR="00954AA2">
        <w:rPr>
          <w:rFonts w:eastAsia="Arial Unicode MS"/>
          <w:bCs/>
          <w:lang w:eastAsia="fr-FR" w:bidi="he-IL"/>
        </w:rPr>
        <w:t>ératif mais au pluriel)</w:t>
      </w:r>
      <w:r w:rsidR="00933C60" w:rsidRPr="00C406FF">
        <w:rPr>
          <w:rStyle w:val="Appelnotedebasdep"/>
        </w:rPr>
        <w:footnoteReference w:id="151"/>
      </w:r>
      <w:r w:rsidR="00954AA2">
        <w:rPr>
          <w:rFonts w:eastAsia="Arial Unicode MS"/>
          <w:bCs/>
          <w:lang w:eastAsia="fr-FR" w:bidi="he-IL"/>
        </w:rPr>
        <w:t>.</w:t>
      </w:r>
    </w:p>
    <w:p w:rsidR="00C2602D" w:rsidRDefault="00B704AD" w:rsidP="00CE11E9">
      <w:pPr>
        <w:rPr>
          <w:rFonts w:eastAsia="Arial Unicode MS"/>
          <w:bCs/>
          <w:lang w:eastAsia="fr-FR" w:bidi="he-IL"/>
        </w:rPr>
      </w:pPr>
      <w:r w:rsidRPr="00C8701B">
        <w:rPr>
          <w:rFonts w:eastAsia="Arial Unicode MS"/>
          <w:bCs/>
          <w:lang w:eastAsia="fr-FR" w:bidi="he-IL"/>
        </w:rPr>
        <w:t>Les ressemblances verbales n</w:t>
      </w:r>
      <w:r w:rsidR="00557DE0">
        <w:rPr>
          <w:rFonts w:eastAsia="Arial Unicode MS"/>
          <w:bCs/>
          <w:lang w:eastAsia="fr-FR" w:bidi="he-IL"/>
        </w:rPr>
        <w:t>’</w:t>
      </w:r>
      <w:r w:rsidRPr="00C8701B">
        <w:rPr>
          <w:rFonts w:eastAsia="Arial Unicode MS"/>
          <w:bCs/>
          <w:lang w:eastAsia="fr-FR" w:bidi="he-IL"/>
        </w:rPr>
        <w:t>ont pas toujours lieu entre les trois synoptiques</w:t>
      </w:r>
      <w:r w:rsidR="00E65435">
        <w:rPr>
          <w:rFonts w:eastAsia="Arial Unicode MS"/>
          <w:bCs/>
          <w:lang w:eastAsia="fr-FR" w:bidi="he-IL"/>
        </w:rPr>
        <w:t xml:space="preserve">, </w:t>
      </w:r>
      <w:r w:rsidRPr="00C8701B">
        <w:rPr>
          <w:rFonts w:eastAsia="Arial Unicode MS"/>
          <w:bCs/>
          <w:lang w:eastAsia="fr-FR" w:bidi="he-IL"/>
        </w:rPr>
        <w:t>mais çà et là elles n</w:t>
      </w:r>
      <w:r w:rsidR="00557DE0">
        <w:rPr>
          <w:rFonts w:eastAsia="Arial Unicode MS"/>
          <w:bCs/>
          <w:lang w:eastAsia="fr-FR" w:bidi="he-IL"/>
        </w:rPr>
        <w:t>’</w:t>
      </w:r>
      <w:r w:rsidRPr="00C8701B">
        <w:rPr>
          <w:rFonts w:eastAsia="Arial Unicode MS"/>
          <w:bCs/>
          <w:lang w:eastAsia="fr-FR" w:bidi="he-IL"/>
        </w:rPr>
        <w:t>affectent que deux d</w:t>
      </w:r>
      <w:r w:rsidR="00557DE0">
        <w:rPr>
          <w:rFonts w:eastAsia="Arial Unicode MS"/>
          <w:bCs/>
          <w:lang w:eastAsia="fr-FR" w:bidi="he-IL"/>
        </w:rPr>
        <w:t>’</w:t>
      </w:r>
      <w:r w:rsidRPr="00C8701B">
        <w:rPr>
          <w:rFonts w:eastAsia="Arial Unicode MS"/>
          <w:bCs/>
          <w:lang w:eastAsia="fr-FR" w:bidi="he-IL"/>
        </w:rPr>
        <w:t>entre eux</w:t>
      </w:r>
      <w:r w:rsidR="00E65435">
        <w:rPr>
          <w:rFonts w:eastAsia="Arial Unicode MS"/>
          <w:bCs/>
          <w:lang w:eastAsia="fr-FR" w:bidi="he-IL"/>
        </w:rPr>
        <w:t xml:space="preserve">, </w:t>
      </w:r>
      <w:r w:rsidRPr="00C8701B">
        <w:rPr>
          <w:rFonts w:eastAsia="Arial Unicode MS"/>
          <w:bCs/>
          <w:lang w:eastAsia="fr-FR" w:bidi="he-IL"/>
        </w:rPr>
        <w:t>la troisième rédaction revêtant une forme indépendante. Par exemple</w:t>
      </w:r>
      <w:r w:rsidR="00C2602D" w:rsidRPr="00C8701B">
        <w:rPr>
          <w:rFonts w:eastAsia="Arial Unicode MS"/>
          <w:bCs/>
          <w:lang w:eastAsia="fr-FR" w:bidi="he-IL"/>
        </w:rPr>
        <w:t xml:space="preserve"> : </w:t>
      </w:r>
    </w:p>
    <w:p w:rsidR="00954AA2" w:rsidRDefault="00954AA2" w:rsidP="00CE11E9">
      <w:pPr>
        <w:rPr>
          <w:rFonts w:eastAsia="Arial Unicode MS"/>
          <w:bCs/>
          <w:lang w:eastAsia="fr-FR" w:bidi="he-IL"/>
        </w:rPr>
      </w:pPr>
    </w:p>
    <w:tbl>
      <w:tblPr>
        <w:tblW w:w="3734" w:type="pct"/>
        <w:tblLook w:val="04A0"/>
      </w:tblPr>
      <w:tblGrid>
        <w:gridCol w:w="2637"/>
        <w:gridCol w:w="2637"/>
        <w:gridCol w:w="2636"/>
      </w:tblGrid>
      <w:tr w:rsidR="00954AA2" w:rsidRPr="00CE11E9" w:rsidTr="00954AA2">
        <w:tc>
          <w:tcPr>
            <w:tcW w:w="1667" w:type="pct"/>
          </w:tcPr>
          <w:p w:rsidR="00954AA2" w:rsidRPr="00954AA2" w:rsidRDefault="00954AA2" w:rsidP="00954AA2">
            <w:pPr>
              <w:ind w:firstLine="0"/>
              <w:rPr>
                <w:rFonts w:eastAsia="Arial Unicode MS"/>
                <w:lang w:eastAsia="fr-FR" w:bidi="he-IL"/>
              </w:rPr>
            </w:pPr>
            <w:r w:rsidRPr="00954AA2">
              <w:rPr>
                <w:rFonts w:eastAsia="Arial Unicode MS"/>
                <w:lang w:eastAsia="fr-FR" w:bidi="he-IL"/>
              </w:rPr>
              <w:t xml:space="preserve">Matth. VIII, 3. </w:t>
            </w:r>
          </w:p>
        </w:tc>
        <w:tc>
          <w:tcPr>
            <w:tcW w:w="1667" w:type="pct"/>
          </w:tcPr>
          <w:p w:rsidR="00954AA2" w:rsidRPr="00954AA2" w:rsidRDefault="00954AA2" w:rsidP="00954AA2">
            <w:pPr>
              <w:ind w:firstLine="0"/>
              <w:rPr>
                <w:rFonts w:eastAsia="Arial Unicode MS"/>
                <w:lang w:eastAsia="fr-FR" w:bidi="he-IL"/>
              </w:rPr>
            </w:pPr>
            <w:r w:rsidRPr="00954AA2">
              <w:rPr>
                <w:rFonts w:eastAsia="Arial Unicode MS"/>
                <w:lang w:eastAsia="fr-FR" w:bidi="he-IL"/>
              </w:rPr>
              <w:t>Marc. I, 42.</w:t>
            </w:r>
          </w:p>
        </w:tc>
        <w:tc>
          <w:tcPr>
            <w:tcW w:w="1666" w:type="pct"/>
          </w:tcPr>
          <w:p w:rsidR="00954AA2" w:rsidRPr="00954AA2" w:rsidRDefault="00954AA2" w:rsidP="00954AA2">
            <w:pPr>
              <w:ind w:firstLine="0"/>
              <w:rPr>
                <w:rFonts w:eastAsia="Arial Unicode MS"/>
                <w:lang w:eastAsia="fr-FR" w:bidi="he-IL"/>
              </w:rPr>
            </w:pPr>
            <w:r w:rsidRPr="00954AA2">
              <w:rPr>
                <w:rFonts w:eastAsia="Arial Unicode MS"/>
                <w:lang w:eastAsia="fr-FR" w:bidi="he-IL"/>
              </w:rPr>
              <w:t xml:space="preserve">Luc. V, 13. </w:t>
            </w:r>
          </w:p>
        </w:tc>
      </w:tr>
      <w:tr w:rsidR="00954AA2" w:rsidRPr="00CE11E9" w:rsidTr="00954AA2">
        <w:tc>
          <w:tcPr>
            <w:tcW w:w="1667" w:type="pct"/>
          </w:tcPr>
          <w:p w:rsidR="00954AA2" w:rsidRPr="00954AA2" w:rsidRDefault="00954AA2" w:rsidP="00954AA2">
            <w:pPr>
              <w:ind w:firstLine="0"/>
              <w:rPr>
                <w:lang w:val="en-US" w:eastAsia="fr-FR"/>
              </w:rPr>
            </w:pPr>
            <w:r w:rsidRPr="00954AA2">
              <w:rPr>
                <w:lang w:eastAsia="fr-FR"/>
              </w:rPr>
              <w:t>Θ</w:t>
            </w:r>
            <w:r w:rsidR="00C771BF">
              <w:rPr>
                <w:lang w:eastAsia="fr-FR"/>
              </w:rPr>
              <w:t>έ</w:t>
            </w:r>
            <w:r w:rsidRPr="00954AA2">
              <w:rPr>
                <w:lang w:eastAsia="fr-FR"/>
              </w:rPr>
              <w:t>λω</w:t>
            </w:r>
            <w:r w:rsidRPr="00954AA2">
              <w:rPr>
                <w:lang w:val="en-US" w:eastAsia="fr-FR"/>
              </w:rPr>
              <w:t xml:space="preserve">, </w:t>
            </w:r>
            <w:r w:rsidRPr="00954AA2">
              <w:rPr>
                <w:lang w:eastAsia="fr-FR"/>
              </w:rPr>
              <w:t>κ</w:t>
            </w:r>
            <w:r w:rsidR="00A74F01">
              <w:rPr>
                <w:lang w:eastAsia="fr-FR"/>
              </w:rPr>
              <w:t>α</w:t>
            </w:r>
            <w:r w:rsidRPr="00954AA2">
              <w:rPr>
                <w:lang w:eastAsia="fr-FR"/>
              </w:rPr>
              <w:t>θ</w:t>
            </w:r>
            <w:r w:rsidR="00A74F01">
              <w:rPr>
                <w:lang w:eastAsia="fr-FR"/>
              </w:rPr>
              <w:t>α</w:t>
            </w:r>
            <w:r w:rsidRPr="00954AA2">
              <w:rPr>
                <w:lang w:eastAsia="fr-FR"/>
              </w:rPr>
              <w:t>ρ</w:t>
            </w:r>
            <w:r w:rsidR="00DB352C">
              <w:rPr>
                <w:lang w:eastAsia="fr-FR"/>
              </w:rPr>
              <w:t>ί</w:t>
            </w:r>
            <w:r w:rsidRPr="00954AA2">
              <w:rPr>
                <w:lang w:eastAsia="fr-FR"/>
              </w:rPr>
              <w:t>σθητι·</w:t>
            </w:r>
            <w:r w:rsidRPr="00954AA2">
              <w:rPr>
                <w:lang w:val="en-US" w:eastAsia="fr-FR"/>
              </w:rPr>
              <w:t xml:space="preserve"> </w:t>
            </w:r>
          </w:p>
        </w:tc>
        <w:tc>
          <w:tcPr>
            <w:tcW w:w="1667" w:type="pct"/>
          </w:tcPr>
          <w:p w:rsidR="00954AA2" w:rsidRPr="00954AA2" w:rsidRDefault="00954AA2" w:rsidP="00954AA2">
            <w:pPr>
              <w:ind w:firstLine="0"/>
            </w:pPr>
            <w:r w:rsidRPr="00954AA2">
              <w:t>Θ</w:t>
            </w:r>
            <w:r w:rsidR="00C771BF">
              <w:t>έ</w:t>
            </w:r>
            <w:r w:rsidRPr="00954AA2">
              <w:t>λω, κ</w:t>
            </w:r>
            <w:r w:rsidR="00A74F01">
              <w:t>α</w:t>
            </w:r>
            <w:r w:rsidRPr="00954AA2">
              <w:t>θ</w:t>
            </w:r>
            <w:r w:rsidR="00A74F01">
              <w:t>α</w:t>
            </w:r>
            <w:r w:rsidRPr="00954AA2">
              <w:t>ρ</w:t>
            </w:r>
            <w:r w:rsidR="00DB352C">
              <w:t>ί</w:t>
            </w:r>
            <w:r w:rsidRPr="00954AA2">
              <w:t xml:space="preserve">σθητι· </w:t>
            </w:r>
          </w:p>
        </w:tc>
        <w:tc>
          <w:tcPr>
            <w:tcW w:w="1666" w:type="pct"/>
          </w:tcPr>
          <w:p w:rsidR="00954AA2" w:rsidRPr="00954AA2" w:rsidRDefault="00954AA2" w:rsidP="00954AA2">
            <w:pPr>
              <w:ind w:firstLine="0"/>
            </w:pPr>
            <w:r w:rsidRPr="00954AA2">
              <w:t>Θ</w:t>
            </w:r>
            <w:r w:rsidR="00C771BF">
              <w:t>έ</w:t>
            </w:r>
            <w:r w:rsidRPr="00954AA2">
              <w:t>λω, κ</w:t>
            </w:r>
            <w:r w:rsidR="00A74F01">
              <w:t>α</w:t>
            </w:r>
            <w:r w:rsidRPr="00954AA2">
              <w:t>θ</w:t>
            </w:r>
            <w:r w:rsidR="00A74F01">
              <w:t>α</w:t>
            </w:r>
            <w:r w:rsidRPr="00954AA2">
              <w:t>ρ</w:t>
            </w:r>
            <w:r w:rsidR="00DB352C">
              <w:t>ί</w:t>
            </w:r>
            <w:r w:rsidRPr="00954AA2">
              <w:t xml:space="preserve">σθητι· </w:t>
            </w:r>
          </w:p>
        </w:tc>
      </w:tr>
      <w:tr w:rsidR="00954AA2" w:rsidRPr="00CE11E9" w:rsidTr="00954AA2">
        <w:tc>
          <w:tcPr>
            <w:tcW w:w="1667" w:type="pct"/>
          </w:tcPr>
          <w:p w:rsidR="00954AA2" w:rsidRPr="00954AA2" w:rsidRDefault="00954AA2" w:rsidP="00954AA2">
            <w:pPr>
              <w:ind w:firstLine="0"/>
              <w:rPr>
                <w:lang w:val="en-US" w:eastAsia="fr-FR"/>
              </w:rPr>
            </w:pPr>
            <w:r w:rsidRPr="00954AA2">
              <w:rPr>
                <w:lang w:eastAsia="fr-FR"/>
              </w:rPr>
              <w:t>Κ</w:t>
            </w:r>
            <w:r w:rsidR="00A74F01">
              <w:rPr>
                <w:lang w:eastAsia="fr-FR"/>
              </w:rPr>
              <w:t>α</w:t>
            </w:r>
            <w:r w:rsidRPr="00954AA2">
              <w:rPr>
                <w:lang w:eastAsia="fr-FR"/>
              </w:rPr>
              <w:t>ὶ</w:t>
            </w:r>
            <w:r w:rsidRPr="00954AA2">
              <w:rPr>
                <w:lang w:val="en-US" w:eastAsia="fr-FR"/>
              </w:rPr>
              <w:t xml:space="preserve"> </w:t>
            </w:r>
            <w:r w:rsidRPr="00954AA2">
              <w:rPr>
                <w:lang w:eastAsia="fr-FR"/>
              </w:rPr>
              <w:t>εὐθ</w:t>
            </w:r>
            <w:r w:rsidR="00C771BF">
              <w:rPr>
                <w:lang w:eastAsia="fr-FR"/>
              </w:rPr>
              <w:t>έ</w:t>
            </w:r>
            <w:r w:rsidRPr="00954AA2">
              <w:rPr>
                <w:lang w:eastAsia="fr-FR"/>
              </w:rPr>
              <w:t>ως</w:t>
            </w:r>
            <w:r w:rsidRPr="00954AA2">
              <w:rPr>
                <w:lang w:val="en-US" w:eastAsia="fr-FR"/>
              </w:rPr>
              <w:t xml:space="preserve"> </w:t>
            </w:r>
          </w:p>
        </w:tc>
        <w:tc>
          <w:tcPr>
            <w:tcW w:w="1667" w:type="pct"/>
          </w:tcPr>
          <w:p w:rsidR="00954AA2" w:rsidRPr="00954AA2" w:rsidRDefault="00954AA2" w:rsidP="00954AA2">
            <w:pPr>
              <w:ind w:firstLine="0"/>
            </w:pPr>
            <w:r w:rsidRPr="00954AA2">
              <w:t>Κ</w:t>
            </w:r>
            <w:r w:rsidR="00A74F01">
              <w:t>α</w:t>
            </w:r>
            <w:r w:rsidRPr="00954AA2">
              <w:t xml:space="preserve">ὶ εὐθὺς </w:t>
            </w:r>
          </w:p>
        </w:tc>
        <w:tc>
          <w:tcPr>
            <w:tcW w:w="1666" w:type="pct"/>
          </w:tcPr>
          <w:p w:rsidR="00954AA2" w:rsidRPr="00954AA2" w:rsidRDefault="00954AA2" w:rsidP="00954AA2">
            <w:pPr>
              <w:ind w:firstLine="0"/>
            </w:pPr>
            <w:r w:rsidRPr="00954AA2">
              <w:t>Κ</w:t>
            </w:r>
            <w:r w:rsidR="00A74F01">
              <w:t>α</w:t>
            </w:r>
            <w:r w:rsidRPr="00954AA2">
              <w:t>ὶ εὐθ</w:t>
            </w:r>
            <w:r w:rsidR="00C771BF">
              <w:t>έ</w:t>
            </w:r>
            <w:r w:rsidRPr="00954AA2">
              <w:t xml:space="preserve">ως </w:t>
            </w:r>
          </w:p>
        </w:tc>
      </w:tr>
      <w:tr w:rsidR="00954AA2" w:rsidRPr="00CE11E9" w:rsidTr="00954AA2">
        <w:tc>
          <w:tcPr>
            <w:tcW w:w="1667" w:type="pct"/>
          </w:tcPr>
          <w:p w:rsidR="00954AA2" w:rsidRPr="00954AA2" w:rsidRDefault="00954AA2" w:rsidP="00954AA2">
            <w:pPr>
              <w:ind w:firstLine="0"/>
              <w:rPr>
                <w:rFonts w:eastAsia="Arial Unicode MS"/>
                <w:lang w:eastAsia="fr-FR" w:bidi="he-IL"/>
              </w:rPr>
            </w:pPr>
            <w:r w:rsidRPr="00954AA2">
              <w:rPr>
                <w:lang w:eastAsia="fr-FR"/>
              </w:rPr>
              <w:t>ἐκ</w:t>
            </w:r>
            <w:r w:rsidR="00A74F01">
              <w:rPr>
                <w:lang w:eastAsia="fr-FR"/>
              </w:rPr>
              <w:t>α</w:t>
            </w:r>
            <w:r w:rsidRPr="00954AA2">
              <w:rPr>
                <w:lang w:eastAsia="fr-FR"/>
              </w:rPr>
              <w:t>θ</w:t>
            </w:r>
            <w:r w:rsidR="00A74F01">
              <w:rPr>
                <w:lang w:eastAsia="fr-FR"/>
              </w:rPr>
              <w:t>α</w:t>
            </w:r>
            <w:r w:rsidRPr="00954AA2">
              <w:rPr>
                <w:lang w:eastAsia="fr-FR"/>
              </w:rPr>
              <w:t>ρ</w:t>
            </w:r>
            <w:r w:rsidR="00DB352C">
              <w:rPr>
                <w:lang w:eastAsia="fr-FR"/>
              </w:rPr>
              <w:t>ί</w:t>
            </w:r>
            <w:r w:rsidRPr="00954AA2">
              <w:rPr>
                <w:lang w:eastAsia="fr-FR"/>
              </w:rPr>
              <w:t>σθη</w:t>
            </w:r>
            <w:r w:rsidRPr="00954AA2">
              <w:rPr>
                <w:lang w:val="en-US" w:eastAsia="fr-FR"/>
              </w:rPr>
              <w:t xml:space="preserve"> </w:t>
            </w:r>
            <w:r w:rsidR="00A74F01">
              <w:rPr>
                <w:lang w:eastAsia="fr-FR"/>
              </w:rPr>
              <w:t>α</w:t>
            </w:r>
            <w:r w:rsidRPr="00954AA2">
              <w:rPr>
                <w:lang w:eastAsia="fr-FR"/>
              </w:rPr>
              <w:t>ὐτοῦ</w:t>
            </w:r>
            <w:r w:rsidRPr="00954AA2">
              <w:rPr>
                <w:lang w:val="en-US" w:eastAsia="fr-FR"/>
              </w:rPr>
              <w:t xml:space="preserve"> </w:t>
            </w:r>
            <w:r w:rsidRPr="00954AA2">
              <w:rPr>
                <w:lang w:eastAsia="fr-FR"/>
              </w:rPr>
              <w:t>ἡ</w:t>
            </w:r>
            <w:r w:rsidRPr="00954AA2">
              <w:rPr>
                <w:lang w:val="en-US" w:eastAsia="fr-FR"/>
              </w:rPr>
              <w:t xml:space="preserve"> </w:t>
            </w:r>
            <w:r w:rsidRPr="00954AA2">
              <w:rPr>
                <w:lang w:eastAsia="fr-FR"/>
              </w:rPr>
              <w:t>λ</w:t>
            </w:r>
            <w:r w:rsidR="00C771BF">
              <w:rPr>
                <w:lang w:eastAsia="fr-FR"/>
              </w:rPr>
              <w:t>έ</w:t>
            </w:r>
            <w:r w:rsidRPr="00954AA2">
              <w:rPr>
                <w:lang w:eastAsia="fr-FR"/>
              </w:rPr>
              <w:t>πρ</w:t>
            </w:r>
            <w:r w:rsidR="00A74F01">
              <w:rPr>
                <w:lang w:eastAsia="fr-FR"/>
              </w:rPr>
              <w:t>α</w:t>
            </w:r>
            <w:r w:rsidRPr="00954AA2">
              <w:rPr>
                <w:lang w:val="en-US" w:eastAsia="fr-FR"/>
              </w:rPr>
              <w:t>.</w:t>
            </w:r>
          </w:p>
        </w:tc>
        <w:tc>
          <w:tcPr>
            <w:tcW w:w="1667" w:type="pct"/>
          </w:tcPr>
          <w:p w:rsidR="00954AA2" w:rsidRPr="00954AA2" w:rsidRDefault="00954AA2" w:rsidP="00954AA2">
            <w:pPr>
              <w:ind w:firstLine="0"/>
            </w:pPr>
            <w:r w:rsidRPr="00954AA2">
              <w:t>ἀπῆλθεν ἀπ</w:t>
            </w:r>
            <w:r w:rsidR="00557DE0">
              <w:t>’</w:t>
            </w:r>
            <w:r w:rsidRPr="00954AA2">
              <w:t xml:space="preserve"> </w:t>
            </w:r>
            <w:r w:rsidR="00A74F01">
              <w:t>α</w:t>
            </w:r>
            <w:r w:rsidRPr="00954AA2">
              <w:t>ὐτοῦ ἡ λ</w:t>
            </w:r>
            <w:r w:rsidR="00C771BF">
              <w:t>έ</w:t>
            </w:r>
            <w:r w:rsidRPr="00954AA2">
              <w:t>πρ</w:t>
            </w:r>
            <w:r w:rsidR="00A74F01">
              <w:t>α</w:t>
            </w:r>
            <w:r w:rsidRPr="00954AA2">
              <w:t xml:space="preserve">, </w:t>
            </w:r>
          </w:p>
        </w:tc>
        <w:tc>
          <w:tcPr>
            <w:tcW w:w="1666" w:type="pct"/>
          </w:tcPr>
          <w:p w:rsidR="00954AA2" w:rsidRPr="00954AA2" w:rsidRDefault="00954AA2" w:rsidP="00954AA2">
            <w:pPr>
              <w:ind w:firstLine="0"/>
              <w:rPr>
                <w:rFonts w:eastAsia="Arial Unicode MS"/>
                <w:lang w:eastAsia="fr-FR" w:bidi="he-IL"/>
              </w:rPr>
            </w:pPr>
            <w:r w:rsidRPr="00954AA2">
              <w:t>ἡ λ</w:t>
            </w:r>
            <w:r w:rsidR="00C771BF">
              <w:t>έ</w:t>
            </w:r>
            <w:r w:rsidRPr="00954AA2">
              <w:t>πρ</w:t>
            </w:r>
            <w:r w:rsidR="00A74F01">
              <w:t>α</w:t>
            </w:r>
            <w:r w:rsidRPr="00954AA2">
              <w:t xml:space="preserve"> ἀπῆλθεν ἀπ</w:t>
            </w:r>
            <w:r w:rsidR="00557DE0">
              <w:t>’</w:t>
            </w:r>
            <w:r w:rsidRPr="00954AA2">
              <w:t xml:space="preserve"> </w:t>
            </w:r>
            <w:r w:rsidR="00A74F01">
              <w:t>α</w:t>
            </w:r>
            <w:r w:rsidRPr="00954AA2">
              <w:t>ὐτοῦ.</w:t>
            </w:r>
          </w:p>
        </w:tc>
      </w:tr>
      <w:tr w:rsidR="00954AA2" w:rsidRPr="00CE11E9" w:rsidTr="00954AA2">
        <w:tc>
          <w:tcPr>
            <w:tcW w:w="1667" w:type="pct"/>
          </w:tcPr>
          <w:p w:rsidR="00954AA2" w:rsidRPr="00A74F01" w:rsidRDefault="00954AA2" w:rsidP="00B93B92">
            <w:pPr>
              <w:pStyle w:val="centrum"/>
            </w:pPr>
          </w:p>
        </w:tc>
        <w:tc>
          <w:tcPr>
            <w:tcW w:w="1667" w:type="pct"/>
          </w:tcPr>
          <w:p w:rsidR="00954AA2" w:rsidRPr="00954AA2" w:rsidRDefault="00954AA2" w:rsidP="00954AA2">
            <w:pPr>
              <w:ind w:firstLine="0"/>
              <w:rPr>
                <w:rFonts w:eastAsia="Arial Unicode MS"/>
                <w:lang w:eastAsia="fr-FR" w:bidi="he-IL"/>
              </w:rPr>
            </w:pPr>
            <w:r w:rsidRPr="00954AA2">
              <w:t>κ</w:t>
            </w:r>
            <w:r w:rsidR="00A74F01">
              <w:t>α</w:t>
            </w:r>
            <w:r w:rsidRPr="00954AA2">
              <w:t>ὶ ἐκ</w:t>
            </w:r>
            <w:r w:rsidR="00A74F01">
              <w:t>α</w:t>
            </w:r>
            <w:r w:rsidRPr="00954AA2">
              <w:t>θ</w:t>
            </w:r>
            <w:r w:rsidR="00A74F01">
              <w:t>α</w:t>
            </w:r>
            <w:r w:rsidRPr="00954AA2">
              <w:t>ρ</w:t>
            </w:r>
            <w:r w:rsidR="00DB352C">
              <w:t>ί</w:t>
            </w:r>
            <w:r w:rsidRPr="00954AA2">
              <w:t>σθη.</w:t>
            </w:r>
          </w:p>
        </w:tc>
        <w:tc>
          <w:tcPr>
            <w:tcW w:w="1666" w:type="pct"/>
          </w:tcPr>
          <w:p w:rsidR="00954AA2" w:rsidRPr="00CE11E9" w:rsidRDefault="00954AA2" w:rsidP="00B93B92">
            <w:pPr>
              <w:pStyle w:val="centrum"/>
            </w:pPr>
          </w:p>
        </w:tc>
      </w:tr>
    </w:tbl>
    <w:p w:rsidR="00954AA2" w:rsidRDefault="00954AA2" w:rsidP="00C2602D">
      <w:pPr>
        <w:rPr>
          <w:rFonts w:eastAsia="Arial Unicode MS"/>
          <w:bCs/>
          <w:lang w:eastAsia="fr-FR" w:bidi="he-IL"/>
        </w:rPr>
      </w:pPr>
    </w:p>
    <w:p w:rsidR="00C2602D" w:rsidRPr="00C8701B" w:rsidRDefault="00B704AD" w:rsidP="00954AA2">
      <w:pPr>
        <w:rPr>
          <w:rFonts w:eastAsia="Arial Unicode MS"/>
          <w:bCs/>
          <w:lang w:eastAsia="fr-FR" w:bidi="he-IL"/>
        </w:rPr>
      </w:pPr>
      <w:r w:rsidRPr="00C8701B">
        <w:rPr>
          <w:rFonts w:eastAsia="Arial Unicode MS"/>
          <w:bCs/>
          <w:lang w:eastAsia="fr-FR" w:bidi="he-IL"/>
        </w:rPr>
        <w:t>Ne croirait-on pas voir</w:t>
      </w:r>
      <w:r w:rsidR="00E65435">
        <w:rPr>
          <w:rFonts w:eastAsia="Arial Unicode MS"/>
          <w:bCs/>
          <w:lang w:eastAsia="fr-FR" w:bidi="he-IL"/>
        </w:rPr>
        <w:t xml:space="preserve">, </w:t>
      </w:r>
      <w:r w:rsidRPr="00C8701B">
        <w:rPr>
          <w:rFonts w:eastAsia="Arial Unicode MS"/>
          <w:bCs/>
          <w:lang w:eastAsia="fr-FR" w:bidi="he-IL"/>
        </w:rPr>
        <w:t>dans S. Marc</w:t>
      </w:r>
      <w:r w:rsidR="00E65435">
        <w:rPr>
          <w:rFonts w:eastAsia="Arial Unicode MS"/>
          <w:bCs/>
          <w:lang w:eastAsia="fr-FR" w:bidi="he-IL"/>
        </w:rPr>
        <w:t xml:space="preserve">, </w:t>
      </w:r>
      <w:r w:rsidRPr="00C8701B">
        <w:rPr>
          <w:rFonts w:eastAsia="Arial Unicode MS"/>
          <w:bCs/>
          <w:lang w:eastAsia="fr-FR" w:bidi="he-IL"/>
        </w:rPr>
        <w:t>une combinaison des deux dernières phrases de S. Matthieu et de S. Luc</w:t>
      </w:r>
      <w:r w:rsidR="00C2602D" w:rsidRPr="00C8701B">
        <w:rPr>
          <w:rFonts w:eastAsia="Arial Unicode MS"/>
          <w:bCs/>
          <w:lang w:eastAsia="fr-FR" w:bidi="he-IL"/>
        </w:rPr>
        <w:t> ?</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Le plus souvent</w:t>
      </w:r>
      <w:r w:rsidR="00E65435">
        <w:rPr>
          <w:rFonts w:eastAsia="Arial Unicode MS"/>
          <w:bCs/>
          <w:lang w:eastAsia="fr-FR" w:bidi="he-IL"/>
        </w:rPr>
        <w:t xml:space="preserve">, </w:t>
      </w:r>
      <w:r w:rsidR="00954AA2">
        <w:rPr>
          <w:rFonts w:eastAsia="Arial Unicode MS"/>
          <w:bCs/>
          <w:lang w:eastAsia="fr-FR" w:bidi="he-IL"/>
        </w:rPr>
        <w:t>dans c</w:t>
      </w:r>
      <w:r w:rsidRPr="00C8701B">
        <w:rPr>
          <w:rFonts w:eastAsia="Arial Unicode MS"/>
          <w:bCs/>
          <w:lang w:eastAsia="fr-FR" w:bidi="he-IL"/>
        </w:rPr>
        <w:t>es sortes de cas</w:t>
      </w:r>
      <w:r w:rsidR="00E65435">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 xml:space="preserve">est entré S. Matthieu et S. Marc </w:t>
      </w:r>
      <w:r w:rsidR="00116664" w:rsidRPr="00C8701B">
        <w:rPr>
          <w:rFonts w:eastAsia="Arial Unicode MS"/>
          <w:bCs/>
          <w:lang w:eastAsia="fr-FR" w:bidi="he-IL"/>
        </w:rPr>
        <w:t>qu</w:t>
      </w:r>
      <w:r w:rsidR="00557DE0">
        <w:rPr>
          <w:rFonts w:eastAsia="Arial Unicode MS"/>
          <w:bCs/>
          <w:lang w:eastAsia="fr-FR" w:bidi="he-IL"/>
        </w:rPr>
        <w:t>’</w:t>
      </w:r>
      <w:r w:rsidR="00116664" w:rsidRPr="00C8701B">
        <w:rPr>
          <w:rFonts w:eastAsia="Arial Unicode MS"/>
          <w:bCs/>
          <w:lang w:eastAsia="fr-FR" w:bidi="he-IL"/>
        </w:rPr>
        <w:t>existe</w:t>
      </w:r>
      <w:r w:rsidRPr="00C8701B">
        <w:rPr>
          <w:rFonts w:eastAsia="Arial Unicode MS"/>
          <w:bCs/>
          <w:lang w:eastAsia="fr-FR" w:bidi="he-IL"/>
        </w:rPr>
        <w:t xml:space="preserve"> la coïncidence. Au reste</w:t>
      </w:r>
      <w:r w:rsidR="00E65435">
        <w:rPr>
          <w:rFonts w:eastAsia="Arial Unicode MS"/>
          <w:bCs/>
          <w:lang w:eastAsia="fr-FR" w:bidi="he-IL"/>
        </w:rPr>
        <w:t xml:space="preserve">, </w:t>
      </w:r>
      <w:r w:rsidR="00954AA2">
        <w:rPr>
          <w:rFonts w:eastAsia="Arial Unicode MS"/>
          <w:bCs/>
          <w:lang w:eastAsia="fr-FR" w:bidi="he-IL"/>
        </w:rPr>
        <w:t>le</w:t>
      </w:r>
      <w:r w:rsidRPr="00C8701B">
        <w:rPr>
          <w:rFonts w:eastAsia="Arial Unicode MS"/>
          <w:bCs/>
          <w:lang w:eastAsia="fr-FR" w:bidi="he-IL"/>
        </w:rPr>
        <w:t>s ressemblances verbales ne sont jamais bien longues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elles cessent après quelques versets.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En résumé</w:t>
      </w:r>
      <w:r w:rsidR="00E65435">
        <w:rPr>
          <w:rFonts w:eastAsia="Arial Unicode MS"/>
          <w:bCs/>
          <w:lang w:eastAsia="fr-FR" w:bidi="he-IL"/>
        </w:rPr>
        <w:t xml:space="preserve">, </w:t>
      </w:r>
      <w:r w:rsidR="00C2602D" w:rsidRPr="00C8701B">
        <w:rPr>
          <w:rFonts w:eastAsia="Arial Unicode MS"/>
          <w:bCs/>
          <w:lang w:eastAsia="fr-FR" w:bidi="he-IL"/>
        </w:rPr>
        <w:t>« </w:t>
      </w:r>
      <w:r w:rsidRPr="00C8701B">
        <w:rPr>
          <w:rFonts w:eastAsia="Arial Unicode MS"/>
          <w:bCs/>
          <w:lang w:eastAsia="fr-FR" w:bidi="he-IL"/>
        </w:rPr>
        <w:t>ces trois livres offrent une ressemblance frappante entre eux</w:t>
      </w:r>
      <w:r w:rsidR="00E65435">
        <w:rPr>
          <w:rFonts w:eastAsia="Arial Unicode MS"/>
          <w:bCs/>
          <w:lang w:eastAsia="fr-FR" w:bidi="he-IL"/>
        </w:rPr>
        <w:t xml:space="preserve">, </w:t>
      </w:r>
      <w:r w:rsidRPr="00C8701B">
        <w:rPr>
          <w:rFonts w:eastAsia="Arial Unicode MS"/>
          <w:bCs/>
          <w:lang w:eastAsia="fr-FR" w:bidi="he-IL"/>
        </w:rPr>
        <w:t>non seulement quant aux matériaux dont ils se composent</w:t>
      </w:r>
      <w:r w:rsidR="00E65435">
        <w:rPr>
          <w:rFonts w:eastAsia="Arial Unicode MS"/>
          <w:bCs/>
          <w:lang w:eastAsia="fr-FR" w:bidi="he-IL"/>
        </w:rPr>
        <w:t xml:space="preserve">, </w:t>
      </w:r>
      <w:r w:rsidRPr="00C8701B">
        <w:rPr>
          <w:rFonts w:eastAsia="Arial Unicode MS"/>
          <w:bCs/>
          <w:lang w:eastAsia="fr-FR" w:bidi="he-IL"/>
        </w:rPr>
        <w:t>mais encore en ce qui concerne la méthode de la rédaction</w:t>
      </w:r>
      <w:r w:rsidR="00E65435">
        <w:rPr>
          <w:rFonts w:eastAsia="Arial Unicode MS"/>
          <w:bCs/>
          <w:lang w:eastAsia="fr-FR" w:bidi="he-IL"/>
        </w:rPr>
        <w:t xml:space="preserve">, </w:t>
      </w:r>
      <w:r w:rsidRPr="00C8701B">
        <w:rPr>
          <w:rFonts w:eastAsia="Arial Unicode MS"/>
          <w:bCs/>
          <w:lang w:eastAsia="fr-FR" w:bidi="he-IL"/>
        </w:rPr>
        <w:t>la succession des faits</w:t>
      </w:r>
      <w:r w:rsidR="00E65435">
        <w:rPr>
          <w:rFonts w:eastAsia="Arial Unicode MS"/>
          <w:bCs/>
          <w:lang w:eastAsia="fr-FR" w:bidi="he-IL"/>
        </w:rPr>
        <w:t xml:space="preserve">, </w:t>
      </w:r>
      <w:r w:rsidRPr="00C8701B">
        <w:rPr>
          <w:rFonts w:eastAsia="Arial Unicode MS"/>
          <w:bCs/>
          <w:lang w:eastAsia="fr-FR" w:bidi="he-IL"/>
        </w:rPr>
        <w:t>et même les formes du langage</w:t>
      </w:r>
      <w:r w:rsidR="00E65435">
        <w:rPr>
          <w:rFonts w:eastAsia="Arial Unicode MS"/>
          <w:bCs/>
          <w:lang w:eastAsia="fr-FR" w:bidi="he-IL"/>
        </w:rPr>
        <w:t xml:space="preserve">, </w:t>
      </w:r>
      <w:r w:rsidRPr="00C8701B">
        <w:rPr>
          <w:rFonts w:eastAsia="Arial Unicode MS"/>
          <w:bCs/>
          <w:lang w:eastAsia="fr-FR" w:bidi="he-IL"/>
        </w:rPr>
        <w:t>à l</w:t>
      </w:r>
      <w:r w:rsidR="00557DE0">
        <w:rPr>
          <w:rFonts w:eastAsia="Arial Unicode MS"/>
          <w:bCs/>
          <w:lang w:eastAsia="fr-FR" w:bidi="he-IL"/>
        </w:rPr>
        <w:t>’</w:t>
      </w:r>
      <w:r w:rsidRPr="00C8701B">
        <w:rPr>
          <w:rFonts w:eastAsia="Arial Unicode MS"/>
          <w:bCs/>
          <w:lang w:eastAsia="fr-FR" w:bidi="he-IL"/>
        </w:rPr>
        <w:t>égard desquelles on peut souvent constater une identité absolue de la phraséologie</w:t>
      </w:r>
      <w:r w:rsidR="00933C60" w:rsidRPr="00C406FF">
        <w:rPr>
          <w:rStyle w:val="Appelnotedebasdep"/>
        </w:rPr>
        <w:footnoteReference w:id="152"/>
      </w:r>
      <w:r w:rsidR="00C2602D" w:rsidRPr="00C8701B">
        <w:rPr>
          <w:rFonts w:eastAsia="Arial Unicode MS"/>
          <w:bCs/>
          <w:lang w:eastAsia="fr-FR" w:bidi="he-IL"/>
        </w:rPr>
        <w:t> »</w:t>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954AA2">
      <w:pPr>
        <w:rPr>
          <w:rFonts w:eastAsia="Arial Unicode MS"/>
          <w:bCs/>
          <w:lang w:eastAsia="fr-FR" w:bidi="he-IL"/>
        </w:rPr>
      </w:pPr>
      <w:r w:rsidRPr="00C8701B">
        <w:rPr>
          <w:rFonts w:eastAsia="Arial Unicode MS"/>
          <w:bCs/>
          <w:lang w:eastAsia="fr-FR" w:bidi="he-IL"/>
        </w:rPr>
        <w:t>Concluons par cette simple réflexion</w:t>
      </w:r>
      <w:r w:rsidR="00C2602D" w:rsidRPr="00C8701B">
        <w:rPr>
          <w:rFonts w:eastAsia="Arial Unicode MS"/>
          <w:bCs/>
          <w:lang w:eastAsia="fr-FR" w:bidi="he-IL"/>
        </w:rPr>
        <w:t> :</w:t>
      </w:r>
      <w:r w:rsidRPr="00C8701B">
        <w:rPr>
          <w:rFonts w:eastAsia="Arial Unicode MS"/>
          <w:bCs/>
          <w:lang w:eastAsia="fr-FR" w:bidi="he-IL"/>
        </w:rPr>
        <w:t xml:space="preserve"> des</w:t>
      </w:r>
      <w:r w:rsidR="00E65435">
        <w:rPr>
          <w:rFonts w:eastAsia="Arial Unicode MS"/>
          <w:bCs/>
          <w:lang w:eastAsia="fr-FR" w:bidi="he-IL"/>
        </w:rPr>
        <w:t xml:space="preserve">, </w:t>
      </w:r>
      <w:r w:rsidRPr="00C8701B">
        <w:rPr>
          <w:rFonts w:eastAsia="Arial Unicode MS"/>
          <w:bCs/>
          <w:lang w:eastAsia="fr-FR" w:bidi="he-IL"/>
        </w:rPr>
        <w:t>écrivains totalement indépendants les uns des autres présente</w:t>
      </w:r>
      <w:r w:rsidR="00954AA2">
        <w:rPr>
          <w:rFonts w:eastAsia="Arial Unicode MS"/>
          <w:bCs/>
          <w:lang w:eastAsia="fr-FR" w:bidi="he-IL"/>
        </w:rPr>
        <w:t>raient-ils des coïncidences si c</w:t>
      </w:r>
      <w:r w:rsidRPr="00C8701B">
        <w:rPr>
          <w:rFonts w:eastAsia="Arial Unicode MS"/>
          <w:bCs/>
          <w:lang w:eastAsia="fr-FR" w:bidi="he-IL"/>
        </w:rPr>
        <w:t>onsidérables</w:t>
      </w:r>
      <w:r w:rsidR="00933C60" w:rsidRPr="00C406FF">
        <w:rPr>
          <w:rStyle w:val="Appelnotedebasdep"/>
        </w:rPr>
        <w:footnoteReference w:id="153"/>
      </w:r>
      <w:r w:rsidR="00C2602D" w:rsidRPr="00C8701B">
        <w:rPr>
          <w:rFonts w:eastAsia="Arial Unicode MS"/>
          <w:bCs/>
          <w:lang w:eastAsia="fr-FR" w:bidi="he-IL"/>
        </w:rPr>
        <w:t xml:space="preserve"> ? </w:t>
      </w:r>
    </w:p>
    <w:p w:rsidR="00C2602D" w:rsidRPr="00C8701B" w:rsidRDefault="00B704AD" w:rsidP="00954AA2">
      <w:pPr>
        <w:rPr>
          <w:rFonts w:eastAsia="Arial Unicode MS"/>
          <w:bCs/>
          <w:lang w:eastAsia="fr-FR" w:bidi="he-IL"/>
        </w:rPr>
      </w:pPr>
      <w:r w:rsidRPr="00C8701B">
        <w:rPr>
          <w:rFonts w:eastAsia="Arial Unicode MS"/>
          <w:bCs/>
          <w:lang w:eastAsia="fr-FR" w:bidi="he-IL"/>
        </w:rPr>
        <w:t>II.</w:t>
      </w:r>
      <w:bookmarkStart w:id="56" w:name="evin070202"/>
      <w:bookmarkEnd w:id="56"/>
      <w:r w:rsidRPr="00DC4586">
        <w:rPr>
          <w:rStyle w:val="italicus"/>
        </w:rPr>
        <w:t xml:space="preserve"> Rapports de différence entre les synoptiques.</w:t>
      </w:r>
      <w:r w:rsidR="000F7DAA">
        <w:rPr>
          <w:rFonts w:eastAsia="Arial Unicode MS"/>
          <w:bCs/>
          <w:lang w:eastAsia="fr-FR" w:bidi="he-IL"/>
        </w:rPr>
        <w:t xml:space="preserve"> —</w:t>
      </w:r>
      <w:r w:rsidR="008D0642">
        <w:rPr>
          <w:rFonts w:eastAsia="Arial Unicode MS"/>
          <w:bCs/>
          <w:lang w:eastAsia="fr-FR" w:bidi="he-IL"/>
        </w:rPr>
        <w:t xml:space="preserve"> </w:t>
      </w:r>
      <w:r w:rsidR="00C2602D" w:rsidRPr="00C8701B">
        <w:rPr>
          <w:rFonts w:eastAsia="Arial Unicode MS"/>
          <w:bCs/>
          <w:lang w:eastAsia="fr-FR" w:bidi="he-IL"/>
        </w:rPr>
        <w:t>« </w:t>
      </w:r>
      <w:r w:rsidR="00954AA2">
        <w:rPr>
          <w:rFonts w:eastAsia="Arial Unicode MS"/>
          <w:bCs/>
          <w:lang w:eastAsia="fr-FR" w:bidi="he-IL"/>
        </w:rPr>
        <w:t>À</w:t>
      </w:r>
      <w:r w:rsidRPr="00C8701B">
        <w:rPr>
          <w:rFonts w:eastAsia="Arial Unicode MS"/>
          <w:bCs/>
          <w:lang w:eastAsia="fr-FR" w:bidi="he-IL"/>
        </w:rPr>
        <w:t xml:space="preserve"> côté de cette</w:t>
      </w:r>
      <w:r w:rsidR="00954AA2">
        <w:rPr>
          <w:rFonts w:eastAsia="Arial Unicode MS"/>
          <w:bCs/>
          <w:lang w:eastAsia="fr-FR" w:bidi="he-IL"/>
        </w:rPr>
        <w:t xml:space="preserve"> re</w:t>
      </w:r>
      <w:r w:rsidRPr="00C8701B">
        <w:rPr>
          <w:rFonts w:eastAsia="Arial Unicode MS"/>
          <w:bCs/>
          <w:lang w:eastAsia="fr-FR" w:bidi="he-IL"/>
        </w:rPr>
        <w:t>ssemblance</w:t>
      </w:r>
      <w:r w:rsidR="00E65435">
        <w:rPr>
          <w:rFonts w:eastAsia="Arial Unicode MS"/>
          <w:bCs/>
          <w:lang w:eastAsia="fr-FR" w:bidi="he-IL"/>
        </w:rPr>
        <w:t xml:space="preserve">, </w:t>
      </w:r>
      <w:r w:rsidRPr="00C8701B">
        <w:rPr>
          <w:rFonts w:eastAsia="Arial Unicode MS"/>
          <w:bCs/>
          <w:lang w:eastAsia="fr-FR" w:bidi="he-IL"/>
        </w:rPr>
        <w:t>ces mêmes livres offrent aussi des caractères tout opposés. La diversité y est quelquefois plus remarquable encore</w:t>
      </w:r>
      <w:r w:rsidR="00C2602D" w:rsidRPr="00C8701B">
        <w:rPr>
          <w:rFonts w:eastAsia="Arial Unicode MS"/>
          <w:bCs/>
          <w:lang w:eastAsia="fr-FR" w:bidi="he-IL"/>
        </w:rPr>
        <w:t> :</w:t>
      </w:r>
      <w:r w:rsidRPr="00C8701B">
        <w:rPr>
          <w:rFonts w:eastAsia="Arial Unicode MS"/>
          <w:bCs/>
          <w:lang w:eastAsia="fr-FR" w:bidi="he-IL"/>
        </w:rPr>
        <w:t xml:space="preserve"> l</w:t>
      </w:r>
      <w:r w:rsidR="00557DE0">
        <w:rPr>
          <w:rFonts w:eastAsia="Arial Unicode MS"/>
          <w:bCs/>
          <w:lang w:eastAsia="fr-FR" w:bidi="he-IL"/>
        </w:rPr>
        <w:t>’</w:t>
      </w:r>
      <w:r w:rsidRPr="00C8701B">
        <w:rPr>
          <w:rFonts w:eastAsia="Arial Unicode MS"/>
          <w:bCs/>
          <w:lang w:eastAsia="fr-FR" w:bidi="he-IL"/>
        </w:rPr>
        <w:t>ordre des matières se trouve interverti</w:t>
      </w:r>
      <w:r w:rsidR="00E65435">
        <w:rPr>
          <w:rFonts w:eastAsia="Arial Unicode MS"/>
          <w:bCs/>
          <w:lang w:eastAsia="fr-FR" w:bidi="he-IL"/>
        </w:rPr>
        <w:t xml:space="preserve">, </w:t>
      </w:r>
      <w:r w:rsidRPr="00C8701B">
        <w:rPr>
          <w:rFonts w:eastAsia="Arial Unicode MS"/>
          <w:bCs/>
          <w:lang w:eastAsia="fr-FR" w:bidi="he-IL"/>
        </w:rPr>
        <w:t>les éléments sont déplacés et combinés autrement</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expression varie</w:t>
      </w:r>
      <w:r w:rsidR="00E65435">
        <w:rPr>
          <w:rFonts w:eastAsia="Arial Unicode MS"/>
          <w:bCs/>
          <w:lang w:eastAsia="fr-FR" w:bidi="he-IL"/>
        </w:rPr>
        <w:t xml:space="preserve">, </w:t>
      </w:r>
      <w:r w:rsidRPr="00C8701B">
        <w:rPr>
          <w:rFonts w:eastAsia="Arial Unicode MS"/>
          <w:bCs/>
          <w:lang w:eastAsia="fr-FR" w:bidi="he-IL"/>
        </w:rPr>
        <w:t>la couleur change</w:t>
      </w:r>
      <w:r w:rsidR="00E65435">
        <w:rPr>
          <w:rFonts w:eastAsia="Arial Unicode MS"/>
          <w:bCs/>
          <w:lang w:eastAsia="fr-FR" w:bidi="he-IL"/>
        </w:rPr>
        <w:t xml:space="preserve">, </w:t>
      </w:r>
      <w:r w:rsidRPr="00C8701B">
        <w:rPr>
          <w:rFonts w:eastAsia="Arial Unicode MS"/>
          <w:bCs/>
          <w:lang w:eastAsia="fr-FR" w:bidi="he-IL"/>
        </w:rPr>
        <w:t>de nombreuses omissions et additions rendent tantôt l</w:t>
      </w:r>
      <w:r w:rsidR="00557DE0">
        <w:rPr>
          <w:rFonts w:eastAsia="Arial Unicode MS"/>
          <w:bCs/>
          <w:lang w:eastAsia="fr-FR" w:bidi="he-IL"/>
        </w:rPr>
        <w:t>’</w:t>
      </w:r>
      <w:r w:rsidRPr="00C8701B">
        <w:rPr>
          <w:rFonts w:eastAsia="Arial Unicode MS"/>
          <w:bCs/>
          <w:lang w:eastAsia="fr-FR" w:bidi="he-IL"/>
        </w:rPr>
        <w:t>un</w:t>
      </w:r>
      <w:r w:rsidR="00E65435">
        <w:rPr>
          <w:rFonts w:eastAsia="Arial Unicode MS"/>
          <w:bCs/>
          <w:lang w:eastAsia="fr-FR" w:bidi="he-IL"/>
        </w:rPr>
        <w:t xml:space="preserve">, </w:t>
      </w:r>
      <w:r w:rsidRPr="00C8701B">
        <w:rPr>
          <w:rFonts w:eastAsia="Arial Unicode MS"/>
          <w:bCs/>
          <w:lang w:eastAsia="fr-FR" w:bidi="he-IL"/>
        </w:rPr>
        <w:t>tantôt l</w:t>
      </w:r>
      <w:r w:rsidR="00557DE0">
        <w:rPr>
          <w:rFonts w:eastAsia="Arial Unicode MS"/>
          <w:bCs/>
          <w:lang w:eastAsia="fr-FR" w:bidi="he-IL"/>
        </w:rPr>
        <w:t>’</w:t>
      </w:r>
      <w:r w:rsidRPr="00C8701B">
        <w:rPr>
          <w:rFonts w:eastAsia="Arial Unicode MS"/>
          <w:bCs/>
          <w:lang w:eastAsia="fr-FR" w:bidi="he-IL"/>
        </w:rPr>
        <w:t>autre recueil plus complet quant au fond</w:t>
      </w:r>
      <w:r w:rsidR="00E65435">
        <w:rPr>
          <w:rFonts w:eastAsia="Arial Unicode MS"/>
          <w:bCs/>
          <w:lang w:eastAsia="fr-FR" w:bidi="he-IL"/>
        </w:rPr>
        <w:t xml:space="preserve">, </w:t>
      </w:r>
      <w:r w:rsidRPr="00C8701B">
        <w:rPr>
          <w:rFonts w:eastAsia="Arial Unicode MS"/>
          <w:bCs/>
          <w:lang w:eastAsia="fr-FR" w:bidi="he-IL"/>
        </w:rPr>
        <w:t>plus circonstancié dans les détails</w:t>
      </w:r>
      <w:r w:rsidR="00E65435">
        <w:rPr>
          <w:rFonts w:eastAsia="Arial Unicode MS"/>
          <w:bCs/>
          <w:lang w:eastAsia="fr-FR" w:bidi="he-IL"/>
        </w:rPr>
        <w:t xml:space="preserve">, </w:t>
      </w:r>
      <w:r w:rsidRPr="00C8701B">
        <w:rPr>
          <w:rFonts w:eastAsia="Arial Unicode MS"/>
          <w:bCs/>
          <w:lang w:eastAsia="fr-FR" w:bidi="he-IL"/>
        </w:rPr>
        <w:t>et il n</w:t>
      </w:r>
      <w:r w:rsidR="00557DE0">
        <w:rPr>
          <w:rFonts w:eastAsia="Arial Unicode MS"/>
          <w:bCs/>
          <w:lang w:eastAsia="fr-FR" w:bidi="he-IL"/>
        </w:rPr>
        <w:t>’</w:t>
      </w:r>
      <w:r w:rsidRPr="00C8701B">
        <w:rPr>
          <w:rFonts w:eastAsia="Arial Unicode MS"/>
          <w:bCs/>
          <w:lang w:eastAsia="fr-FR" w:bidi="he-IL"/>
        </w:rPr>
        <w:t>est pas rare d</w:t>
      </w:r>
      <w:r w:rsidR="00557DE0">
        <w:rPr>
          <w:rFonts w:eastAsia="Arial Unicode MS"/>
          <w:bCs/>
          <w:lang w:eastAsia="fr-FR" w:bidi="he-IL"/>
        </w:rPr>
        <w:t>’</w:t>
      </w:r>
      <w:r w:rsidRPr="00C8701B">
        <w:rPr>
          <w:rFonts w:eastAsia="Arial Unicode MS"/>
          <w:bCs/>
          <w:lang w:eastAsia="fr-FR" w:bidi="he-IL"/>
        </w:rPr>
        <w:t>y rencontrer des divergences telles</w:t>
      </w:r>
      <w:r w:rsidR="00E65435">
        <w:rPr>
          <w:rFonts w:eastAsia="Arial Unicode MS"/>
          <w:bCs/>
          <w:lang w:eastAsia="fr-FR" w:bidi="he-IL"/>
        </w:rPr>
        <w:t xml:space="preserve">, </w:t>
      </w:r>
      <w:r w:rsidRPr="00C8701B">
        <w:rPr>
          <w:rFonts w:eastAsia="Arial Unicode MS"/>
          <w:bCs/>
          <w:lang w:eastAsia="fr-FR" w:bidi="he-IL"/>
        </w:rPr>
        <w:t>qu</w:t>
      </w:r>
      <w:r w:rsidR="00557DE0">
        <w:rPr>
          <w:rFonts w:eastAsia="Arial Unicode MS"/>
          <w:bCs/>
          <w:lang w:eastAsia="fr-FR" w:bidi="he-IL"/>
        </w:rPr>
        <w:t>’</w:t>
      </w:r>
      <w:r w:rsidRPr="00C8701B">
        <w:rPr>
          <w:rFonts w:eastAsia="Arial Unicode MS"/>
          <w:bCs/>
          <w:lang w:eastAsia="fr-FR" w:bidi="he-IL"/>
        </w:rPr>
        <w:t>elles frisent la contradiction</w:t>
      </w:r>
      <w:r w:rsidR="00933C60" w:rsidRPr="00C406FF">
        <w:rPr>
          <w:rStyle w:val="Appelnotedebasdep"/>
        </w:rPr>
        <w:footnoteReference w:id="154"/>
      </w:r>
      <w:r w:rsidR="00C2602D" w:rsidRPr="00C8701B">
        <w:rPr>
          <w:rFonts w:eastAsia="Arial Unicode MS"/>
          <w:bCs/>
          <w:lang w:eastAsia="fr-FR" w:bidi="he-IL"/>
        </w:rPr>
        <w:t> »</w:t>
      </w:r>
      <w:r w:rsidRPr="00C8701B">
        <w:rPr>
          <w:rFonts w:eastAsia="Arial Unicode MS"/>
          <w:bCs/>
          <w:lang w:eastAsia="fr-FR" w:bidi="he-IL"/>
        </w:rPr>
        <w:t>.</w:t>
      </w:r>
      <w:r w:rsidR="00C2602D" w:rsidRPr="00C8701B">
        <w:rPr>
          <w:rFonts w:eastAsia="Arial Unicode MS"/>
          <w:bCs/>
          <w:lang w:eastAsia="fr-FR" w:bidi="he-IL"/>
        </w:rPr>
        <w:t xml:space="preserve"> </w:t>
      </w:r>
    </w:p>
    <w:p w:rsidR="00C2602D" w:rsidRDefault="00B704AD" w:rsidP="00C2602D">
      <w:pPr>
        <w:rPr>
          <w:rFonts w:eastAsia="Arial Unicode MS"/>
          <w:bCs/>
          <w:lang w:eastAsia="fr-FR" w:bidi="he-IL"/>
        </w:rPr>
      </w:pPr>
      <w:r w:rsidRPr="00C8701B">
        <w:rPr>
          <w:rFonts w:eastAsia="Arial Unicode MS"/>
          <w:bCs/>
          <w:lang w:eastAsia="fr-FR" w:bidi="he-IL"/>
        </w:rPr>
        <w:t>Nous allons reprendre notre division antérieure</w:t>
      </w:r>
      <w:r w:rsidR="00E65435">
        <w:rPr>
          <w:rFonts w:eastAsia="Arial Unicode MS"/>
          <w:bCs/>
          <w:lang w:eastAsia="fr-FR" w:bidi="he-IL"/>
        </w:rPr>
        <w:t xml:space="preserve">, </w:t>
      </w:r>
      <w:r w:rsidRPr="00C8701B">
        <w:rPr>
          <w:rFonts w:eastAsia="Arial Unicode MS"/>
          <w:bCs/>
          <w:lang w:eastAsia="fr-FR" w:bidi="he-IL"/>
        </w:rPr>
        <w:t>et démontrer de nouveau par des exemples l</w:t>
      </w:r>
      <w:r w:rsidR="00557DE0">
        <w:rPr>
          <w:rFonts w:eastAsia="Arial Unicode MS"/>
          <w:bCs/>
          <w:lang w:eastAsia="fr-FR" w:bidi="he-IL"/>
        </w:rPr>
        <w:t>’</w:t>
      </w:r>
      <w:r w:rsidRPr="00C8701B">
        <w:rPr>
          <w:rFonts w:eastAsia="Arial Unicode MS"/>
          <w:bCs/>
          <w:lang w:eastAsia="fr-FR" w:bidi="he-IL"/>
        </w:rPr>
        <w:t>exactitude de toutes ces assertions.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1°</w:t>
      </w:r>
      <w:bookmarkStart w:id="57" w:name="evin07020201"/>
      <w:bookmarkEnd w:id="57"/>
      <w:r w:rsidRPr="00C8701B">
        <w:rPr>
          <w:rFonts w:eastAsia="Arial Unicode MS"/>
          <w:bCs/>
          <w:lang w:eastAsia="fr-FR" w:bidi="he-IL"/>
        </w:rPr>
        <w:t xml:space="preserve"> Dissemblances au point de vue du fond</w:t>
      </w:r>
      <w:r w:rsidR="00E65435">
        <w:rPr>
          <w:rFonts w:eastAsia="Arial Unicode MS"/>
          <w:bCs/>
          <w:lang w:eastAsia="fr-FR" w:bidi="he-IL"/>
        </w:rPr>
        <w:t xml:space="preserve">, </w:t>
      </w:r>
      <w:r w:rsidRPr="00C8701B">
        <w:rPr>
          <w:rFonts w:eastAsia="Arial Unicode MS"/>
          <w:bCs/>
          <w:lang w:eastAsia="fr-FR" w:bidi="he-IL"/>
        </w:rPr>
        <w:t>ou du sujet traité.</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 xml:space="preserve">Chacun </w:t>
      </w:r>
      <w:r w:rsidR="00A067B1" w:rsidRPr="000716BB">
        <w:rPr>
          <w:rFonts w:eastAsia="Arial Unicode MS"/>
          <w:bCs/>
          <w:lang w:eastAsia="fr-FR" w:bidi="he-IL"/>
        </w:rPr>
        <w:t>{</w:t>
      </w:r>
      <w:r w:rsidR="00A067B1">
        <w:rPr>
          <w:rFonts w:eastAsia="Arial Unicode MS"/>
          <w:bCs/>
          <w:lang w:eastAsia="fr-FR" w:bidi="he-IL"/>
        </w:rPr>
        <w:t>33</w:t>
      </w:r>
      <w:bookmarkStart w:id="58" w:name="pag033"/>
      <w:bookmarkEnd w:id="58"/>
      <w:r w:rsidR="00A067B1" w:rsidRPr="000716BB">
        <w:rPr>
          <w:rFonts w:eastAsia="Arial Unicode MS"/>
          <w:bCs/>
          <w:lang w:eastAsia="fr-FR" w:bidi="he-IL"/>
        </w:rPr>
        <w:t xml:space="preserve">} </w:t>
      </w:r>
      <w:r w:rsidRPr="00C8701B">
        <w:rPr>
          <w:rFonts w:eastAsia="Arial Unicode MS"/>
          <w:bCs/>
          <w:lang w:eastAsia="fr-FR" w:bidi="he-IL"/>
        </w:rPr>
        <w:t>des synoptiques introduit dans sa narration des fragments plus ou moins considérables</w:t>
      </w:r>
      <w:r w:rsidR="00E65435">
        <w:rPr>
          <w:rFonts w:eastAsia="Arial Unicode MS"/>
          <w:bCs/>
          <w:lang w:eastAsia="fr-FR" w:bidi="he-IL"/>
        </w:rPr>
        <w:t xml:space="preserve">, </w:t>
      </w:r>
      <w:r w:rsidRPr="00C8701B">
        <w:rPr>
          <w:rFonts w:eastAsia="Arial Unicode MS"/>
          <w:bCs/>
          <w:lang w:eastAsia="fr-FR" w:bidi="he-IL"/>
        </w:rPr>
        <w:t>parfois des épisodes complets</w:t>
      </w:r>
      <w:r w:rsidR="00E65435">
        <w:rPr>
          <w:rFonts w:eastAsia="Arial Unicode MS"/>
          <w:bCs/>
          <w:lang w:eastAsia="fr-FR" w:bidi="he-IL"/>
        </w:rPr>
        <w:t xml:space="preserve">, </w:t>
      </w:r>
      <w:r w:rsidRPr="00C8701B">
        <w:rPr>
          <w:rFonts w:eastAsia="Arial Unicode MS"/>
          <w:bCs/>
          <w:lang w:eastAsia="fr-FR" w:bidi="he-IL"/>
        </w:rPr>
        <w:t>qu</w:t>
      </w:r>
      <w:r w:rsidR="00557DE0">
        <w:rPr>
          <w:rFonts w:eastAsia="Arial Unicode MS"/>
          <w:bCs/>
          <w:lang w:eastAsia="fr-FR" w:bidi="he-IL"/>
        </w:rPr>
        <w:t>’</w:t>
      </w:r>
      <w:r w:rsidRPr="00C8701B">
        <w:rPr>
          <w:rFonts w:eastAsia="Arial Unicode MS"/>
          <w:bCs/>
          <w:lang w:eastAsia="fr-FR" w:bidi="he-IL"/>
        </w:rPr>
        <w:t>on ne trouve pas chez les deux autres évangélistes. S. Marc passe entièrement sous silence l</w:t>
      </w:r>
      <w:r w:rsidR="00557DE0">
        <w:rPr>
          <w:rFonts w:eastAsia="Arial Unicode MS"/>
          <w:bCs/>
          <w:lang w:eastAsia="fr-FR" w:bidi="he-IL"/>
        </w:rPr>
        <w:t>’</w:t>
      </w:r>
      <w:r w:rsidRPr="00C8701B">
        <w:rPr>
          <w:rFonts w:eastAsia="Arial Unicode MS"/>
          <w:bCs/>
          <w:lang w:eastAsia="fr-FR" w:bidi="he-IL"/>
        </w:rPr>
        <w:t>enfance et la vie cachée du Sauveur</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S. </w:t>
      </w:r>
      <w:r w:rsidR="00116664" w:rsidRPr="00C8701B">
        <w:rPr>
          <w:rFonts w:eastAsia="Arial Unicode MS"/>
          <w:bCs/>
          <w:lang w:eastAsia="fr-FR" w:bidi="he-IL"/>
        </w:rPr>
        <w:t>Matthieu</w:t>
      </w:r>
      <w:r w:rsidRPr="00C8701B">
        <w:rPr>
          <w:rFonts w:eastAsia="Arial Unicode MS"/>
          <w:bCs/>
          <w:lang w:eastAsia="fr-FR" w:bidi="he-IL"/>
        </w:rPr>
        <w:t xml:space="preserve"> et S. Luc</w:t>
      </w:r>
      <w:r w:rsidR="00E65435">
        <w:rPr>
          <w:rFonts w:eastAsia="Arial Unicode MS"/>
          <w:bCs/>
          <w:lang w:eastAsia="fr-FR" w:bidi="he-IL"/>
        </w:rPr>
        <w:t xml:space="preserve">, </w:t>
      </w:r>
      <w:r w:rsidRPr="00C8701B">
        <w:rPr>
          <w:rFonts w:eastAsia="Arial Unicode MS"/>
          <w:bCs/>
          <w:lang w:eastAsia="fr-FR" w:bidi="he-IL"/>
        </w:rPr>
        <w:t>qui la racontent</w:t>
      </w:r>
      <w:r w:rsidR="00E65435">
        <w:rPr>
          <w:rFonts w:eastAsia="Arial Unicode MS"/>
          <w:bCs/>
          <w:lang w:eastAsia="fr-FR" w:bidi="he-IL"/>
        </w:rPr>
        <w:t xml:space="preserve">, </w:t>
      </w:r>
      <w:r w:rsidRPr="00C8701B">
        <w:rPr>
          <w:rFonts w:eastAsia="Arial Unicode MS"/>
          <w:bCs/>
          <w:lang w:eastAsia="fr-FR" w:bidi="he-IL"/>
        </w:rPr>
        <w:t>n</w:t>
      </w:r>
      <w:r w:rsidR="00557DE0">
        <w:rPr>
          <w:rFonts w:eastAsia="Arial Unicode MS"/>
          <w:bCs/>
          <w:lang w:eastAsia="fr-FR" w:bidi="he-IL"/>
        </w:rPr>
        <w:t>’</w:t>
      </w:r>
      <w:r w:rsidRPr="00C8701B">
        <w:rPr>
          <w:rFonts w:eastAsia="Arial Unicode MS"/>
          <w:bCs/>
          <w:lang w:eastAsia="fr-FR" w:bidi="he-IL"/>
        </w:rPr>
        <w:t>en exposent généralement pas les mêmes faits. Nous chercherions également en vain</w:t>
      </w:r>
      <w:r w:rsidR="00E65435">
        <w:rPr>
          <w:rFonts w:eastAsia="Arial Unicode MS"/>
          <w:bCs/>
          <w:lang w:eastAsia="fr-FR" w:bidi="he-IL"/>
        </w:rPr>
        <w:t xml:space="preserve">, </w:t>
      </w:r>
      <w:r w:rsidRPr="00C8701B">
        <w:rPr>
          <w:rFonts w:eastAsia="Arial Unicode MS"/>
          <w:bCs/>
          <w:lang w:eastAsia="fr-FR" w:bidi="he-IL"/>
        </w:rPr>
        <w:t>dans le second évangile</w:t>
      </w:r>
      <w:r w:rsidR="00E65435">
        <w:rPr>
          <w:rFonts w:eastAsia="Arial Unicode MS"/>
          <w:bCs/>
          <w:lang w:eastAsia="fr-FR" w:bidi="he-IL"/>
        </w:rPr>
        <w:t xml:space="preserve">, </w:t>
      </w:r>
      <w:r w:rsidRPr="00C8701B">
        <w:rPr>
          <w:rFonts w:eastAsia="Arial Unicode MS"/>
          <w:bCs/>
          <w:lang w:eastAsia="fr-FR" w:bidi="he-IL"/>
        </w:rPr>
        <w:t>le discours sur la montagne. S. Luc est seul à narrer en détail le voyage que le Sauveur fit de Galilée à Jérusalem à l</w:t>
      </w:r>
      <w:r w:rsidR="00557DE0">
        <w:rPr>
          <w:rFonts w:eastAsia="Arial Unicode MS"/>
          <w:bCs/>
          <w:lang w:eastAsia="fr-FR" w:bidi="he-IL"/>
        </w:rPr>
        <w:t>’</w:t>
      </w:r>
      <w:r w:rsidRPr="00C8701B">
        <w:rPr>
          <w:rFonts w:eastAsia="Arial Unicode MS"/>
          <w:bCs/>
          <w:lang w:eastAsia="fr-FR" w:bidi="he-IL"/>
        </w:rPr>
        <w:t>occasion de la dernière Pâque de sa vie mortelle</w:t>
      </w:r>
      <w:r w:rsidR="00933C60" w:rsidRPr="00C406FF">
        <w:rPr>
          <w:rStyle w:val="Appelnotedebasdep"/>
        </w:rPr>
        <w:footnoteReference w:id="155"/>
      </w:r>
      <w:r w:rsidRPr="00C8701B">
        <w:rPr>
          <w:rFonts w:eastAsia="Arial Unicode MS"/>
          <w:bCs/>
          <w:lang w:eastAsia="fr-FR" w:bidi="he-IL"/>
        </w:rPr>
        <w:t>. D</w:t>
      </w:r>
      <w:r w:rsidR="00557DE0">
        <w:rPr>
          <w:rFonts w:eastAsia="Arial Unicode MS"/>
          <w:bCs/>
          <w:lang w:eastAsia="fr-FR" w:bidi="he-IL"/>
        </w:rPr>
        <w:t>’</w:t>
      </w:r>
      <w:r w:rsidRPr="00C8701B">
        <w:rPr>
          <w:rFonts w:eastAsia="Arial Unicode MS"/>
          <w:bCs/>
          <w:lang w:eastAsia="fr-FR" w:bidi="he-IL"/>
        </w:rPr>
        <w:t>autre</w:t>
      </w:r>
      <w:r w:rsidR="00954AA2">
        <w:rPr>
          <w:rFonts w:eastAsia="Arial Unicode MS"/>
          <w:bCs/>
          <w:lang w:eastAsia="fr-FR" w:bidi="he-IL"/>
        </w:rPr>
        <w:t xml:space="preserve"> </w:t>
      </w:r>
      <w:r w:rsidRPr="00C8701B">
        <w:rPr>
          <w:rFonts w:eastAsia="Arial Unicode MS"/>
          <w:bCs/>
          <w:lang w:eastAsia="fr-FR" w:bidi="he-IL"/>
        </w:rPr>
        <w:t>part</w:t>
      </w:r>
      <w:r w:rsidR="00E65435">
        <w:rPr>
          <w:rFonts w:eastAsia="Arial Unicode MS"/>
          <w:bCs/>
          <w:lang w:eastAsia="fr-FR" w:bidi="he-IL"/>
        </w:rPr>
        <w:t xml:space="preserve">, </w:t>
      </w:r>
      <w:r w:rsidRPr="00C8701B">
        <w:rPr>
          <w:rFonts w:eastAsia="Arial Unicode MS"/>
          <w:bCs/>
          <w:lang w:eastAsia="fr-FR" w:bidi="he-IL"/>
        </w:rPr>
        <w:t>S. Matthieu</w:t>
      </w:r>
      <w:r w:rsidR="00E65435">
        <w:rPr>
          <w:rFonts w:eastAsia="Arial Unicode MS"/>
          <w:bCs/>
          <w:lang w:eastAsia="fr-FR" w:bidi="he-IL"/>
        </w:rPr>
        <w:t xml:space="preserve">, </w:t>
      </w:r>
      <w:r w:rsidR="00CB43AA">
        <w:rPr>
          <w:rFonts w:eastAsia="Arial Unicode MS"/>
          <w:bCs/>
          <w:lang w:eastAsia="fr-FR" w:bidi="he-IL"/>
        </w:rPr>
        <w:t>XIV</w:t>
      </w:r>
      <w:r w:rsidR="00E65435">
        <w:rPr>
          <w:rFonts w:eastAsia="Arial Unicode MS"/>
          <w:bCs/>
          <w:lang w:eastAsia="fr-FR" w:bidi="he-IL"/>
        </w:rPr>
        <w:t xml:space="preserve">, </w:t>
      </w:r>
      <w:r w:rsidRPr="00C8701B">
        <w:rPr>
          <w:rFonts w:eastAsia="Arial Unicode MS"/>
          <w:bCs/>
          <w:lang w:eastAsia="fr-FR" w:bidi="he-IL"/>
        </w:rPr>
        <w:t>22-</w:t>
      </w:r>
      <w:r w:rsidR="00EF1E04">
        <w:rPr>
          <w:rFonts w:eastAsia="Arial Unicode MS"/>
          <w:bCs/>
          <w:lang w:eastAsia="fr-FR" w:bidi="he-IL"/>
        </w:rPr>
        <w:t>XVI</w:t>
      </w:r>
      <w:r w:rsidR="00E65435">
        <w:rPr>
          <w:rFonts w:eastAsia="Arial Unicode MS"/>
          <w:bCs/>
          <w:lang w:eastAsia="fr-FR" w:bidi="he-IL"/>
        </w:rPr>
        <w:t xml:space="preserve">, </w:t>
      </w:r>
      <w:r w:rsidRPr="00C8701B">
        <w:rPr>
          <w:rFonts w:eastAsia="Arial Unicode MS"/>
          <w:bCs/>
          <w:lang w:eastAsia="fr-FR" w:bidi="he-IL"/>
        </w:rPr>
        <w:t>12</w:t>
      </w:r>
      <w:r w:rsidR="00E65435">
        <w:rPr>
          <w:rFonts w:eastAsia="Arial Unicode MS"/>
          <w:bCs/>
          <w:lang w:eastAsia="fr-FR" w:bidi="he-IL"/>
        </w:rPr>
        <w:t xml:space="preserve">, </w:t>
      </w:r>
      <w:r w:rsidRPr="00C8701B">
        <w:rPr>
          <w:rFonts w:eastAsia="Arial Unicode MS"/>
          <w:bCs/>
          <w:lang w:eastAsia="fr-FR" w:bidi="he-IL"/>
        </w:rPr>
        <w:t>et S. Marc</w:t>
      </w:r>
      <w:r w:rsidR="00E65435">
        <w:rPr>
          <w:rFonts w:eastAsia="Arial Unicode MS"/>
          <w:bCs/>
          <w:lang w:eastAsia="fr-FR" w:bidi="he-IL"/>
        </w:rPr>
        <w:t>,</w:t>
      </w:r>
      <w:r w:rsidR="00954AA2">
        <w:rPr>
          <w:rFonts w:eastAsia="Arial Unicode MS"/>
          <w:bCs/>
          <w:lang w:eastAsia="fr-FR" w:bidi="he-IL"/>
        </w:rPr>
        <w:t xml:space="preserve"> </w:t>
      </w:r>
      <w:r w:rsidR="00A319EA">
        <w:rPr>
          <w:rFonts w:eastAsia="Arial Unicode MS"/>
          <w:bCs/>
          <w:lang w:eastAsia="fr-FR" w:bidi="he-IL"/>
        </w:rPr>
        <w:t>VI</w:t>
      </w:r>
      <w:r w:rsidR="00954AA2">
        <w:rPr>
          <w:rFonts w:eastAsia="Arial Unicode MS"/>
          <w:bCs/>
          <w:lang w:eastAsia="fr-FR" w:bidi="he-IL"/>
        </w:rPr>
        <w:t>,</w:t>
      </w:r>
      <w:r w:rsidR="00E65435">
        <w:rPr>
          <w:rFonts w:eastAsia="Arial Unicode MS"/>
          <w:bCs/>
          <w:lang w:eastAsia="fr-FR" w:bidi="he-IL"/>
        </w:rPr>
        <w:t xml:space="preserve"> </w:t>
      </w:r>
      <w:r w:rsidRPr="00C8701B">
        <w:rPr>
          <w:rFonts w:eastAsia="Arial Unicode MS"/>
          <w:bCs/>
          <w:lang w:eastAsia="fr-FR" w:bidi="he-IL"/>
        </w:rPr>
        <w:t>45</w:t>
      </w:r>
      <w:r w:rsidR="00954AA2">
        <w:rPr>
          <w:rFonts w:eastAsia="Arial Unicode MS"/>
          <w:bCs/>
          <w:lang w:eastAsia="fr-FR" w:bidi="he-IL"/>
        </w:rPr>
        <w:t>-</w:t>
      </w:r>
      <w:r w:rsidR="00C2681A">
        <w:rPr>
          <w:rFonts w:eastAsia="Arial Unicode MS"/>
          <w:bCs/>
          <w:lang w:eastAsia="fr-FR" w:bidi="he-IL"/>
        </w:rPr>
        <w:t>VI</w:t>
      </w:r>
      <w:r w:rsidR="00C87A2B">
        <w:rPr>
          <w:rFonts w:eastAsia="Arial Unicode MS"/>
          <w:bCs/>
          <w:lang w:eastAsia="fr-FR" w:bidi="he-IL"/>
        </w:rPr>
        <w:t>II</w:t>
      </w:r>
      <w:r w:rsidR="00E65435">
        <w:rPr>
          <w:rFonts w:eastAsia="Arial Unicode MS"/>
          <w:bCs/>
          <w:lang w:eastAsia="fr-FR" w:bidi="he-IL"/>
        </w:rPr>
        <w:t xml:space="preserve">, </w:t>
      </w:r>
      <w:r w:rsidRPr="00C8701B">
        <w:rPr>
          <w:rFonts w:eastAsia="Arial Unicode MS"/>
          <w:bCs/>
          <w:lang w:eastAsia="fr-FR" w:bidi="he-IL"/>
        </w:rPr>
        <w:t>26</w:t>
      </w:r>
      <w:r w:rsidR="00E65435">
        <w:rPr>
          <w:rFonts w:eastAsia="Arial Unicode MS"/>
          <w:bCs/>
          <w:lang w:eastAsia="fr-FR" w:bidi="he-IL"/>
        </w:rPr>
        <w:t xml:space="preserve">, </w:t>
      </w:r>
      <w:r w:rsidRPr="00C8701B">
        <w:rPr>
          <w:rFonts w:eastAsia="Arial Unicode MS"/>
          <w:bCs/>
          <w:lang w:eastAsia="fr-FR" w:bidi="he-IL"/>
        </w:rPr>
        <w:t>ont une série d</w:t>
      </w:r>
      <w:r w:rsidR="00557DE0">
        <w:rPr>
          <w:rFonts w:eastAsia="Arial Unicode MS"/>
          <w:bCs/>
          <w:lang w:eastAsia="fr-FR" w:bidi="he-IL"/>
        </w:rPr>
        <w:t>’</w:t>
      </w:r>
      <w:r w:rsidRPr="00C8701B">
        <w:rPr>
          <w:rFonts w:eastAsia="Arial Unicode MS"/>
          <w:bCs/>
          <w:lang w:eastAsia="fr-FR" w:bidi="he-IL"/>
        </w:rPr>
        <w:t>incidents galiléens qui manquent absolument dans le troisième évangile. S. Marc</w:t>
      </w:r>
      <w:r w:rsidR="00E65435">
        <w:rPr>
          <w:rFonts w:eastAsia="Arial Unicode MS"/>
          <w:bCs/>
          <w:lang w:eastAsia="fr-FR" w:bidi="he-IL"/>
        </w:rPr>
        <w:t xml:space="preserve">, </w:t>
      </w:r>
      <w:r w:rsidRPr="00C8701B">
        <w:rPr>
          <w:rFonts w:eastAsia="Arial Unicode MS"/>
          <w:bCs/>
          <w:lang w:eastAsia="fr-FR" w:bidi="he-IL"/>
        </w:rPr>
        <w:t>malgré sa brièveté accoutumée</w:t>
      </w:r>
      <w:r w:rsidR="00E65435">
        <w:rPr>
          <w:rFonts w:eastAsia="Arial Unicode MS"/>
          <w:bCs/>
          <w:lang w:eastAsia="fr-FR" w:bidi="he-IL"/>
        </w:rPr>
        <w:t xml:space="preserve">, </w:t>
      </w:r>
      <w:r w:rsidRPr="00C8701B">
        <w:rPr>
          <w:rFonts w:eastAsia="Arial Unicode MS"/>
          <w:bCs/>
          <w:lang w:eastAsia="fr-FR" w:bidi="he-IL"/>
        </w:rPr>
        <w:t>a deux miracles</w:t>
      </w:r>
      <w:r w:rsidR="00933C60" w:rsidRPr="00C406FF">
        <w:rPr>
          <w:rStyle w:val="Appelnotedebasdep"/>
        </w:rPr>
        <w:footnoteReference w:id="156"/>
      </w:r>
      <w:r w:rsidRPr="00C8701B">
        <w:rPr>
          <w:rFonts w:eastAsia="Arial Unicode MS"/>
          <w:bCs/>
          <w:lang w:eastAsia="fr-FR" w:bidi="he-IL"/>
        </w:rPr>
        <w:t xml:space="preserve"> et deux paraboles</w:t>
      </w:r>
      <w:r w:rsidR="00933C60" w:rsidRPr="00C406FF">
        <w:rPr>
          <w:rStyle w:val="Appelnotedebasdep"/>
        </w:rPr>
        <w:footnoteReference w:id="157"/>
      </w:r>
      <w:r w:rsidRPr="00C8701B">
        <w:rPr>
          <w:rFonts w:eastAsia="Arial Unicode MS"/>
          <w:bCs/>
          <w:lang w:eastAsia="fr-FR" w:bidi="he-IL"/>
        </w:rPr>
        <w:t xml:space="preserve"> qui lui appartiennent en propre. S. Matthieu omet complètement le récit de l</w:t>
      </w:r>
      <w:r w:rsidR="00557DE0">
        <w:rPr>
          <w:rFonts w:eastAsia="Arial Unicode MS"/>
          <w:bCs/>
          <w:lang w:eastAsia="fr-FR" w:bidi="he-IL"/>
        </w:rPr>
        <w:t>’</w:t>
      </w:r>
      <w:r w:rsidRPr="00C8701B">
        <w:rPr>
          <w:rFonts w:eastAsia="Arial Unicode MS"/>
          <w:bCs/>
          <w:lang w:eastAsia="fr-FR" w:bidi="he-IL"/>
        </w:rPr>
        <w:t>Ascension.</w:t>
      </w:r>
      <w:r w:rsidR="00C2602D" w:rsidRPr="00C8701B">
        <w:rPr>
          <w:rFonts w:eastAsia="Arial Unicode MS"/>
          <w:bCs/>
          <w:lang w:eastAsia="fr-FR" w:bidi="he-IL"/>
        </w:rPr>
        <w:t xml:space="preserve"> </w:t>
      </w:r>
    </w:p>
    <w:p w:rsidR="00C2602D" w:rsidRPr="00C8701B" w:rsidRDefault="00954AA2" w:rsidP="00C2602D">
      <w:pPr>
        <w:rPr>
          <w:rFonts w:eastAsia="Arial Unicode MS"/>
          <w:bCs/>
          <w:lang w:eastAsia="fr-FR" w:bidi="he-IL"/>
        </w:rPr>
      </w:pPr>
      <w:r>
        <w:rPr>
          <w:rFonts w:eastAsia="Arial Unicode MS"/>
          <w:bCs/>
          <w:lang w:eastAsia="fr-FR" w:bidi="he-IL"/>
        </w:rPr>
        <w:t>Et nous ne signalons que l</w:t>
      </w:r>
      <w:r w:rsidR="00B704AD" w:rsidRPr="00C8701B">
        <w:rPr>
          <w:rFonts w:eastAsia="Arial Unicode MS"/>
          <w:bCs/>
          <w:lang w:eastAsia="fr-FR" w:bidi="he-IL"/>
        </w:rPr>
        <w:t>es grands épisodes. Que n</w:t>
      </w:r>
      <w:r w:rsidR="00557DE0">
        <w:rPr>
          <w:rFonts w:eastAsia="Arial Unicode MS"/>
          <w:bCs/>
          <w:lang w:eastAsia="fr-FR" w:bidi="he-IL"/>
        </w:rPr>
        <w:t>’</w:t>
      </w:r>
      <w:r w:rsidR="00B704AD" w:rsidRPr="00C8701B">
        <w:rPr>
          <w:rFonts w:eastAsia="Arial Unicode MS"/>
          <w:bCs/>
          <w:lang w:eastAsia="fr-FR" w:bidi="he-IL"/>
        </w:rPr>
        <w:t>aurions-nous pas à dire</w:t>
      </w:r>
      <w:r w:rsidR="00E65435">
        <w:rPr>
          <w:rFonts w:eastAsia="Arial Unicode MS"/>
          <w:bCs/>
          <w:lang w:eastAsia="fr-FR" w:bidi="he-IL"/>
        </w:rPr>
        <w:t xml:space="preserve">, </w:t>
      </w:r>
      <w:r w:rsidR="00B704AD" w:rsidRPr="00C8701B">
        <w:rPr>
          <w:rFonts w:eastAsia="Arial Unicode MS"/>
          <w:bCs/>
          <w:lang w:eastAsia="fr-FR" w:bidi="he-IL"/>
        </w:rPr>
        <w:t>si nous voulions relever les petits détails particuliers à chaque synoptique</w:t>
      </w:r>
      <w:r w:rsidR="00C2602D" w:rsidRPr="00C8701B">
        <w:rPr>
          <w:rFonts w:eastAsia="Arial Unicode MS"/>
          <w:bCs/>
          <w:lang w:eastAsia="fr-FR" w:bidi="he-IL"/>
        </w:rPr>
        <w:t> ?</w:t>
      </w:r>
      <w:r w:rsidR="00B704AD" w:rsidRPr="00C8701B">
        <w:rPr>
          <w:rFonts w:eastAsia="Arial Unicode MS"/>
          <w:bCs/>
          <w:lang w:eastAsia="fr-FR" w:bidi="he-IL"/>
        </w:rPr>
        <w:t xml:space="preserve"> Mais nous les avons fidèlement notés dans nos commentaires</w:t>
      </w:r>
      <w:r w:rsidR="00E65435">
        <w:rPr>
          <w:rFonts w:eastAsia="Arial Unicode MS"/>
          <w:bCs/>
          <w:lang w:eastAsia="fr-FR" w:bidi="he-IL"/>
        </w:rPr>
        <w:t xml:space="preserve">, </w:t>
      </w:r>
      <w:r w:rsidR="00B704AD" w:rsidRPr="00C8701B">
        <w:rPr>
          <w:rFonts w:eastAsia="Arial Unicode MS"/>
          <w:bCs/>
          <w:lang w:eastAsia="fr-FR" w:bidi="he-IL"/>
        </w:rPr>
        <w:t>page par page</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et on les y retrouvera sans peine</w:t>
      </w:r>
      <w:r w:rsidR="00933C60" w:rsidRPr="00C406FF">
        <w:rPr>
          <w:rStyle w:val="Appelnotedebasdep"/>
        </w:rPr>
        <w:footnoteReference w:id="158"/>
      </w:r>
      <w:r w:rsidR="00B704AD"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151D4">
      <w:pPr>
        <w:rPr>
          <w:rFonts w:eastAsia="Arial Unicode MS"/>
          <w:bCs/>
          <w:lang w:eastAsia="fr-FR" w:bidi="he-IL"/>
        </w:rPr>
      </w:pPr>
      <w:r w:rsidRPr="00C8701B">
        <w:rPr>
          <w:rFonts w:eastAsia="Arial Unicode MS"/>
          <w:bCs/>
          <w:lang w:eastAsia="fr-FR" w:bidi="he-IL"/>
        </w:rPr>
        <w:t>Quelquefois</w:t>
      </w:r>
      <w:r w:rsidR="00E65435">
        <w:rPr>
          <w:rFonts w:eastAsia="Arial Unicode MS"/>
          <w:bCs/>
          <w:lang w:eastAsia="fr-FR" w:bidi="he-IL"/>
        </w:rPr>
        <w:t>,</w:t>
      </w:r>
      <w:bookmarkStart w:id="59" w:name="evin07020201quelquefois"/>
      <w:bookmarkEnd w:id="59"/>
      <w:r w:rsidR="00E65435">
        <w:rPr>
          <w:rFonts w:eastAsia="Arial Unicode MS"/>
          <w:bCs/>
          <w:lang w:eastAsia="fr-FR" w:bidi="he-IL"/>
        </w:rPr>
        <w:t xml:space="preserve"> </w:t>
      </w:r>
      <w:r w:rsidRPr="00C8701B">
        <w:rPr>
          <w:rFonts w:eastAsia="Arial Unicode MS"/>
          <w:bCs/>
          <w:lang w:eastAsia="fr-FR" w:bidi="he-IL"/>
        </w:rPr>
        <w:t>les divergences du fond sont si considérables</w:t>
      </w:r>
      <w:r w:rsidR="00E65435">
        <w:rPr>
          <w:rFonts w:eastAsia="Arial Unicode MS"/>
          <w:bCs/>
          <w:lang w:eastAsia="fr-FR" w:bidi="he-IL"/>
        </w:rPr>
        <w:t xml:space="preserve">, </w:t>
      </w:r>
      <w:r w:rsidRPr="00C8701B">
        <w:rPr>
          <w:rFonts w:eastAsia="Arial Unicode MS"/>
          <w:bCs/>
          <w:lang w:eastAsia="fr-FR" w:bidi="he-IL"/>
        </w:rPr>
        <w:t>qu</w:t>
      </w:r>
      <w:r w:rsidR="00557DE0">
        <w:rPr>
          <w:rFonts w:eastAsia="Arial Unicode MS"/>
          <w:bCs/>
          <w:lang w:eastAsia="fr-FR" w:bidi="he-IL"/>
        </w:rPr>
        <w:t>’</w:t>
      </w:r>
      <w:r w:rsidRPr="00C8701B">
        <w:rPr>
          <w:rFonts w:eastAsia="Arial Unicode MS"/>
          <w:bCs/>
          <w:lang w:eastAsia="fr-FR" w:bidi="he-IL"/>
        </w:rPr>
        <w:t>on serait porté tout d</w:t>
      </w:r>
      <w:r w:rsidR="00557DE0">
        <w:rPr>
          <w:rFonts w:eastAsia="Arial Unicode MS"/>
          <w:bCs/>
          <w:lang w:eastAsia="fr-FR" w:bidi="he-IL"/>
        </w:rPr>
        <w:t>’</w:t>
      </w:r>
      <w:r w:rsidRPr="00C8701B">
        <w:rPr>
          <w:rFonts w:eastAsia="Arial Unicode MS"/>
          <w:bCs/>
          <w:lang w:eastAsia="fr-FR" w:bidi="he-IL"/>
        </w:rPr>
        <w:t>abord à les regarder comme des contradictions proprement dites. C</w:t>
      </w:r>
      <w:r w:rsidR="00557DE0">
        <w:rPr>
          <w:rFonts w:eastAsia="Arial Unicode MS"/>
          <w:bCs/>
          <w:lang w:eastAsia="fr-FR" w:bidi="he-IL"/>
        </w:rPr>
        <w:t>’</w:t>
      </w:r>
      <w:r w:rsidRPr="00C8701B">
        <w:rPr>
          <w:rFonts w:eastAsia="Arial Unicode MS"/>
          <w:bCs/>
          <w:lang w:eastAsia="fr-FR" w:bidi="he-IL"/>
        </w:rPr>
        <w:t>est le cas pour la double généalogie de Jésus d</w:t>
      </w:r>
      <w:r w:rsidR="00557DE0">
        <w:rPr>
          <w:rFonts w:eastAsia="Arial Unicode MS"/>
          <w:bCs/>
          <w:lang w:eastAsia="fr-FR" w:bidi="he-IL"/>
        </w:rPr>
        <w:t>’</w:t>
      </w:r>
      <w:r w:rsidR="00954AA2">
        <w:rPr>
          <w:rFonts w:eastAsia="Arial Unicode MS"/>
          <w:bCs/>
          <w:lang w:eastAsia="fr-FR" w:bidi="he-IL"/>
        </w:rPr>
        <w:t>a</w:t>
      </w:r>
      <w:r w:rsidRPr="00C8701B">
        <w:rPr>
          <w:rFonts w:eastAsia="Arial Unicode MS"/>
          <w:bCs/>
          <w:lang w:eastAsia="fr-FR" w:bidi="he-IL"/>
        </w:rPr>
        <w:t>près S. Matthieu</w:t>
      </w:r>
      <w:r w:rsidR="00E65435">
        <w:rPr>
          <w:rFonts w:eastAsia="Arial Unicode MS"/>
          <w:bCs/>
          <w:lang w:eastAsia="fr-FR" w:bidi="he-IL"/>
        </w:rPr>
        <w:t>,</w:t>
      </w:r>
      <w:r w:rsidR="00C21120">
        <w:rPr>
          <w:rFonts w:eastAsia="Arial Unicode MS"/>
          <w:bCs/>
          <w:lang w:eastAsia="fr-FR" w:bidi="he-IL"/>
        </w:rPr>
        <w:t xml:space="preserve"> I, </w:t>
      </w:r>
      <w:r w:rsidR="00C21120" w:rsidRPr="00C8701B">
        <w:rPr>
          <w:rFonts w:eastAsia="Arial Unicode MS"/>
          <w:bCs/>
          <w:lang w:eastAsia="fr-FR" w:bidi="he-IL"/>
        </w:rPr>
        <w:t>1</w:t>
      </w:r>
      <w:r w:rsidRPr="00C8701B">
        <w:rPr>
          <w:rFonts w:eastAsia="Arial Unicode MS"/>
          <w:bCs/>
          <w:lang w:eastAsia="fr-FR" w:bidi="he-IL"/>
        </w:rPr>
        <w:t>-17</w:t>
      </w:r>
      <w:r w:rsidR="00E65435">
        <w:rPr>
          <w:rFonts w:eastAsia="Arial Unicode MS"/>
          <w:bCs/>
          <w:lang w:eastAsia="fr-FR" w:bidi="he-IL"/>
        </w:rPr>
        <w:t xml:space="preserve">, </w:t>
      </w:r>
      <w:r w:rsidRPr="00C8701B">
        <w:rPr>
          <w:rFonts w:eastAsia="Arial Unicode MS"/>
          <w:bCs/>
          <w:lang w:eastAsia="fr-FR" w:bidi="he-IL"/>
        </w:rPr>
        <w:t>et d</w:t>
      </w:r>
      <w:r w:rsidR="00557DE0">
        <w:rPr>
          <w:rFonts w:eastAsia="Arial Unicode MS"/>
          <w:bCs/>
          <w:lang w:eastAsia="fr-FR" w:bidi="he-IL"/>
        </w:rPr>
        <w:t>’</w:t>
      </w:r>
      <w:r w:rsidRPr="00C8701B">
        <w:rPr>
          <w:rFonts w:eastAsia="Arial Unicode MS"/>
          <w:bCs/>
          <w:lang w:eastAsia="fr-FR" w:bidi="he-IL"/>
        </w:rPr>
        <w:t>après S. Luc</w:t>
      </w:r>
      <w:r w:rsidR="00954AA2">
        <w:rPr>
          <w:rFonts w:eastAsia="Arial Unicode MS"/>
          <w:bCs/>
          <w:lang w:eastAsia="fr-FR" w:bidi="he-IL"/>
        </w:rPr>
        <w:t>, III,</w:t>
      </w:r>
      <w:r w:rsidR="00E65435">
        <w:rPr>
          <w:rFonts w:eastAsia="Arial Unicode MS"/>
          <w:bCs/>
          <w:lang w:eastAsia="fr-FR" w:bidi="he-IL"/>
        </w:rPr>
        <w:t xml:space="preserve"> </w:t>
      </w:r>
      <w:r w:rsidRPr="00C8701B">
        <w:rPr>
          <w:rFonts w:eastAsia="Arial Unicode MS"/>
          <w:bCs/>
          <w:lang w:eastAsia="fr-FR" w:bidi="he-IL"/>
        </w:rPr>
        <w:t>23-38</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pour les démoniaques de Gérasa (Matth. </w:t>
      </w:r>
      <w:r w:rsidR="0033515E">
        <w:rPr>
          <w:rFonts w:eastAsia="Arial Unicode MS"/>
          <w:bCs/>
          <w:lang w:eastAsia="fr-FR" w:bidi="he-IL"/>
        </w:rPr>
        <w:t>VIII</w:t>
      </w:r>
      <w:r w:rsidR="00E65435">
        <w:rPr>
          <w:rFonts w:eastAsia="Arial Unicode MS"/>
          <w:bCs/>
          <w:lang w:eastAsia="fr-FR" w:bidi="he-IL"/>
        </w:rPr>
        <w:t xml:space="preserve">, </w:t>
      </w:r>
      <w:r w:rsidRPr="00C8701B">
        <w:rPr>
          <w:rFonts w:eastAsia="Arial Unicode MS"/>
          <w:bCs/>
          <w:lang w:eastAsia="fr-FR" w:bidi="he-IL"/>
        </w:rPr>
        <w:t>28</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Marc</w:t>
      </w:r>
      <w:r w:rsidR="00E65435">
        <w:rPr>
          <w:rFonts w:eastAsia="Arial Unicode MS"/>
          <w:bCs/>
          <w:lang w:eastAsia="fr-FR" w:bidi="he-IL"/>
        </w:rPr>
        <w:t xml:space="preserve">, </w:t>
      </w:r>
      <w:r w:rsidR="00835131">
        <w:rPr>
          <w:rFonts w:eastAsia="Arial Unicode MS"/>
          <w:bCs/>
          <w:lang w:eastAsia="fr-FR" w:bidi="he-IL"/>
        </w:rPr>
        <w:t>V</w:t>
      </w:r>
      <w:r w:rsidR="00E65435">
        <w:rPr>
          <w:rFonts w:eastAsia="Arial Unicode MS"/>
          <w:bCs/>
          <w:lang w:eastAsia="fr-FR" w:bidi="he-IL"/>
        </w:rPr>
        <w:t xml:space="preserve">, </w:t>
      </w:r>
      <w:r w:rsidRPr="00C8701B">
        <w:rPr>
          <w:rFonts w:eastAsia="Arial Unicode MS"/>
          <w:bCs/>
          <w:lang w:eastAsia="fr-FR" w:bidi="he-IL"/>
        </w:rPr>
        <w:t>1-2</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Luc. </w:t>
      </w:r>
      <w:r w:rsidR="0033515E">
        <w:rPr>
          <w:rFonts w:eastAsia="Arial Unicode MS"/>
          <w:bCs/>
          <w:lang w:eastAsia="fr-FR" w:bidi="he-IL"/>
        </w:rPr>
        <w:t>VIII</w:t>
      </w:r>
      <w:r w:rsidR="00E65435">
        <w:rPr>
          <w:rFonts w:eastAsia="Arial Unicode MS"/>
          <w:bCs/>
          <w:lang w:eastAsia="fr-FR" w:bidi="he-IL"/>
        </w:rPr>
        <w:t xml:space="preserve">, </w:t>
      </w:r>
      <w:r w:rsidRPr="00C8701B">
        <w:rPr>
          <w:rFonts w:eastAsia="Arial Unicode MS"/>
          <w:bCs/>
          <w:lang w:eastAsia="fr-FR" w:bidi="he-IL"/>
        </w:rPr>
        <w:t>27)</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pour les aveugles de Jéricho (Matth. </w:t>
      </w:r>
      <w:r w:rsidR="005069E2">
        <w:rPr>
          <w:rFonts w:eastAsia="Arial Unicode MS"/>
          <w:bCs/>
          <w:lang w:eastAsia="fr-FR" w:bidi="he-IL"/>
        </w:rPr>
        <w:t>XX</w:t>
      </w:r>
      <w:r w:rsidR="00E65435">
        <w:rPr>
          <w:rFonts w:eastAsia="Arial Unicode MS"/>
          <w:bCs/>
          <w:lang w:eastAsia="fr-FR" w:bidi="he-IL"/>
        </w:rPr>
        <w:t xml:space="preserve">, </w:t>
      </w:r>
      <w:r w:rsidRPr="00C8701B">
        <w:rPr>
          <w:rFonts w:eastAsia="Arial Unicode MS"/>
          <w:bCs/>
          <w:lang w:eastAsia="fr-FR" w:bidi="he-IL"/>
        </w:rPr>
        <w:t>30</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Marc</w:t>
      </w:r>
      <w:r w:rsidR="00E65435">
        <w:rPr>
          <w:rFonts w:eastAsia="Arial Unicode MS"/>
          <w:bCs/>
          <w:lang w:eastAsia="fr-FR" w:bidi="he-IL"/>
        </w:rPr>
        <w:t xml:space="preserve">, </w:t>
      </w:r>
      <w:r w:rsidR="001157C4">
        <w:rPr>
          <w:rFonts w:eastAsia="Arial Unicode MS"/>
          <w:bCs/>
          <w:lang w:eastAsia="fr-FR" w:bidi="he-IL"/>
        </w:rPr>
        <w:t>X</w:t>
      </w:r>
      <w:r w:rsidR="00E65435">
        <w:rPr>
          <w:rFonts w:eastAsia="Arial Unicode MS"/>
          <w:bCs/>
          <w:lang w:eastAsia="fr-FR" w:bidi="he-IL"/>
        </w:rPr>
        <w:t xml:space="preserve">, </w:t>
      </w:r>
      <w:r w:rsidRPr="00C8701B">
        <w:rPr>
          <w:rFonts w:eastAsia="Arial Unicode MS"/>
          <w:bCs/>
          <w:lang w:eastAsia="fr-FR" w:bidi="he-IL"/>
        </w:rPr>
        <w:t>46</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Luc. </w:t>
      </w:r>
      <w:r w:rsidR="00CA083D">
        <w:rPr>
          <w:rFonts w:eastAsia="Arial Unicode MS"/>
          <w:bCs/>
          <w:lang w:eastAsia="fr-FR" w:bidi="he-IL"/>
        </w:rPr>
        <w:t>XVII</w:t>
      </w:r>
      <w:r w:rsidR="00C87A2B">
        <w:rPr>
          <w:rFonts w:eastAsia="Arial Unicode MS"/>
          <w:bCs/>
          <w:lang w:eastAsia="fr-FR" w:bidi="he-IL"/>
        </w:rPr>
        <w:t>I</w:t>
      </w:r>
      <w:r w:rsidR="00E65435">
        <w:rPr>
          <w:rFonts w:eastAsia="Arial Unicode MS"/>
          <w:bCs/>
          <w:lang w:eastAsia="fr-FR" w:bidi="he-IL"/>
        </w:rPr>
        <w:t xml:space="preserve">, </w:t>
      </w:r>
      <w:r w:rsidRPr="00C8701B">
        <w:rPr>
          <w:rFonts w:eastAsia="Arial Unicode MS"/>
          <w:bCs/>
          <w:lang w:eastAsia="fr-FR" w:bidi="he-IL"/>
        </w:rPr>
        <w:t>35)</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pour la pétition de la mère des apôtres S. Jac</w:t>
      </w:r>
      <w:r w:rsidR="00C151D4">
        <w:rPr>
          <w:rFonts w:eastAsia="Arial Unicode MS"/>
          <w:bCs/>
          <w:lang w:eastAsia="fr-FR" w:bidi="he-IL"/>
        </w:rPr>
        <w:t>ques e</w:t>
      </w:r>
      <w:r w:rsidRPr="00C8701B">
        <w:rPr>
          <w:rFonts w:eastAsia="Arial Unicode MS"/>
          <w:bCs/>
          <w:lang w:eastAsia="fr-FR" w:bidi="he-IL"/>
        </w:rPr>
        <w:t xml:space="preserve">t S. Jean (Matth. </w:t>
      </w:r>
      <w:r w:rsidR="005069E2">
        <w:rPr>
          <w:rFonts w:eastAsia="Arial Unicode MS"/>
          <w:bCs/>
          <w:lang w:eastAsia="fr-FR" w:bidi="he-IL"/>
        </w:rPr>
        <w:t>XX</w:t>
      </w:r>
      <w:r w:rsidR="00E65435">
        <w:rPr>
          <w:rFonts w:eastAsia="Arial Unicode MS"/>
          <w:bCs/>
          <w:lang w:eastAsia="fr-FR" w:bidi="he-IL"/>
        </w:rPr>
        <w:t xml:space="preserve">, </w:t>
      </w:r>
      <w:r w:rsidRPr="00C8701B">
        <w:rPr>
          <w:rFonts w:eastAsia="Arial Unicode MS"/>
          <w:bCs/>
          <w:lang w:eastAsia="fr-FR" w:bidi="he-IL"/>
        </w:rPr>
        <w:t>20-28</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Marc</w:t>
      </w:r>
      <w:r w:rsidR="00E65435">
        <w:rPr>
          <w:rFonts w:eastAsia="Arial Unicode MS"/>
          <w:bCs/>
          <w:lang w:eastAsia="fr-FR" w:bidi="he-IL"/>
        </w:rPr>
        <w:t xml:space="preserve">, </w:t>
      </w:r>
      <w:r w:rsidR="001157C4">
        <w:rPr>
          <w:rFonts w:eastAsia="Arial Unicode MS"/>
          <w:bCs/>
          <w:lang w:eastAsia="fr-FR" w:bidi="he-IL"/>
        </w:rPr>
        <w:t>X</w:t>
      </w:r>
      <w:r w:rsidR="00E65435">
        <w:rPr>
          <w:rFonts w:eastAsia="Arial Unicode MS"/>
          <w:bCs/>
          <w:lang w:eastAsia="fr-FR" w:bidi="he-IL"/>
        </w:rPr>
        <w:t xml:space="preserve">, </w:t>
      </w:r>
      <w:r w:rsidRPr="00C8701B">
        <w:rPr>
          <w:rFonts w:eastAsia="Arial Unicode MS"/>
          <w:bCs/>
          <w:lang w:eastAsia="fr-FR" w:bidi="he-IL"/>
        </w:rPr>
        <w:t>35-45)</w:t>
      </w:r>
      <w:r w:rsidR="00E65435">
        <w:rPr>
          <w:rFonts w:eastAsia="Arial Unicode MS"/>
          <w:bCs/>
          <w:lang w:eastAsia="fr-FR" w:bidi="he-IL"/>
        </w:rPr>
        <w:t xml:space="preserve">, </w:t>
      </w:r>
      <w:r w:rsidRPr="00C8701B">
        <w:rPr>
          <w:rFonts w:eastAsia="Arial Unicode MS"/>
          <w:bCs/>
          <w:lang w:eastAsia="fr-FR" w:bidi="he-IL"/>
        </w:rPr>
        <w:t>et pour plusieurs autres traits analogues. En réalité</w:t>
      </w:r>
      <w:r w:rsidR="00E65435">
        <w:rPr>
          <w:rFonts w:eastAsia="Arial Unicode MS"/>
          <w:bCs/>
          <w:lang w:eastAsia="fr-FR" w:bidi="he-IL"/>
        </w:rPr>
        <w:t xml:space="preserve">, </w:t>
      </w:r>
      <w:r w:rsidRPr="00C8701B">
        <w:rPr>
          <w:rFonts w:eastAsia="Arial Unicode MS"/>
          <w:bCs/>
          <w:lang w:eastAsia="fr-FR" w:bidi="he-IL"/>
        </w:rPr>
        <w:t>les adversaires du christianisme</w:t>
      </w:r>
      <w:r w:rsidR="00E65435">
        <w:rPr>
          <w:rFonts w:eastAsia="Arial Unicode MS"/>
          <w:bCs/>
          <w:lang w:eastAsia="fr-FR" w:bidi="he-IL"/>
        </w:rPr>
        <w:t xml:space="preserve">, </w:t>
      </w:r>
      <w:r w:rsidRPr="00C8701B">
        <w:rPr>
          <w:rFonts w:eastAsia="Arial Unicode MS"/>
          <w:bCs/>
          <w:lang w:eastAsia="fr-FR" w:bidi="he-IL"/>
        </w:rPr>
        <w:t>à tous les âges</w:t>
      </w:r>
      <w:r w:rsidR="00E65435">
        <w:rPr>
          <w:rFonts w:eastAsia="Arial Unicode MS"/>
          <w:bCs/>
          <w:lang w:eastAsia="fr-FR" w:bidi="he-IL"/>
        </w:rPr>
        <w:t xml:space="preserve">, </w:t>
      </w:r>
      <w:r w:rsidRPr="00C8701B">
        <w:rPr>
          <w:rFonts w:eastAsia="Arial Unicode MS"/>
          <w:bCs/>
          <w:lang w:eastAsia="fr-FR" w:bidi="he-IL"/>
        </w:rPr>
        <w:t>n</w:t>
      </w:r>
      <w:r w:rsidR="00557DE0">
        <w:rPr>
          <w:rFonts w:eastAsia="Arial Unicode MS"/>
          <w:bCs/>
          <w:lang w:eastAsia="fr-FR" w:bidi="he-IL"/>
        </w:rPr>
        <w:t>’</w:t>
      </w:r>
      <w:r w:rsidRPr="00C8701B">
        <w:rPr>
          <w:rFonts w:eastAsia="Arial Unicode MS"/>
          <w:bCs/>
          <w:lang w:eastAsia="fr-FR" w:bidi="he-IL"/>
        </w:rPr>
        <w:t>ont</w:t>
      </w:r>
      <w:r w:rsidRPr="00C151D4">
        <w:t xml:space="preserve"> pas manqué en ces différentes occasions </w:t>
      </w:r>
      <w:r w:rsidRPr="00C8701B">
        <w:rPr>
          <w:rFonts w:eastAsia="Arial Unicode MS"/>
          <w:bCs/>
          <w:lang w:eastAsia="fr-FR" w:bidi="he-IL"/>
        </w:rPr>
        <w:t>de crier à l</w:t>
      </w:r>
      <w:r w:rsidR="00557DE0">
        <w:rPr>
          <w:rFonts w:eastAsia="Arial Unicode MS"/>
          <w:bCs/>
          <w:lang w:eastAsia="fr-FR" w:bidi="he-IL"/>
        </w:rPr>
        <w:t>’</w:t>
      </w:r>
      <w:r w:rsidRPr="00C8701B">
        <w:rPr>
          <w:rFonts w:eastAsia="Arial Unicode MS"/>
          <w:bCs/>
          <w:lang w:eastAsia="fr-FR" w:bidi="he-IL"/>
        </w:rPr>
        <w:t>antilogie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et on a dû composer des ouvrages spéciaux pour les réfuter</w:t>
      </w:r>
      <w:r w:rsidR="00C2602D" w:rsidRPr="00C8701B">
        <w:rPr>
          <w:rFonts w:eastAsia="Arial Unicode MS"/>
          <w:bCs/>
          <w:lang w:eastAsia="fr-FR" w:bidi="he-IL"/>
        </w:rPr>
        <w:t> :</w:t>
      </w:r>
      <w:r w:rsidRPr="00C8701B">
        <w:rPr>
          <w:rFonts w:eastAsia="Arial Unicode MS"/>
          <w:bCs/>
          <w:lang w:eastAsia="fr-FR" w:bidi="he-IL"/>
        </w:rPr>
        <w:t xml:space="preserve"> notamment</w:t>
      </w:r>
      <w:r w:rsidR="00E65435">
        <w:rPr>
          <w:rFonts w:eastAsia="Arial Unicode MS"/>
          <w:bCs/>
          <w:lang w:eastAsia="fr-FR" w:bidi="he-IL"/>
        </w:rPr>
        <w:t xml:space="preserve">, </w:t>
      </w:r>
      <w:r w:rsidR="00C151D4">
        <w:rPr>
          <w:rFonts w:eastAsia="Arial Unicode MS"/>
          <w:bCs/>
          <w:lang w:eastAsia="fr-FR" w:bidi="he-IL"/>
        </w:rPr>
        <w:t>E</w:t>
      </w:r>
      <w:r w:rsidRPr="00C8701B">
        <w:rPr>
          <w:rFonts w:eastAsia="Arial Unicode MS"/>
          <w:bCs/>
          <w:lang w:eastAsia="fr-FR" w:bidi="he-IL"/>
        </w:rPr>
        <w:t>usèbe de Césarée</w:t>
      </w:r>
      <w:r w:rsidR="00933C60" w:rsidRPr="00C406FF">
        <w:rPr>
          <w:rStyle w:val="Appelnotedebasdep"/>
        </w:rPr>
        <w:footnoteReference w:id="159"/>
      </w:r>
      <w:r w:rsidRPr="00C8701B">
        <w:rPr>
          <w:rFonts w:eastAsia="Arial Unicode MS"/>
          <w:bCs/>
          <w:lang w:eastAsia="fr-FR" w:bidi="he-IL"/>
        </w:rPr>
        <w:t xml:space="preserve"> et S. Augustin</w:t>
      </w:r>
      <w:r w:rsidR="00933C60" w:rsidRPr="00C406FF">
        <w:rPr>
          <w:rStyle w:val="Appelnotedebasdep"/>
        </w:rPr>
        <w:footnoteReference w:id="160"/>
      </w:r>
      <w:r w:rsidRPr="00C8701B">
        <w:rPr>
          <w:rFonts w:eastAsia="Arial Unicode MS"/>
          <w:bCs/>
          <w:lang w:eastAsia="fr-FR" w:bidi="he-IL"/>
        </w:rPr>
        <w:t xml:space="preserve"> dès les premiers siècles</w:t>
      </w:r>
      <w:r w:rsidR="00933C60" w:rsidRPr="00C406FF">
        <w:rPr>
          <w:rStyle w:val="Appelnotedebasdep"/>
        </w:rPr>
        <w:footnoteReference w:id="161"/>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2° Divergences sous le rapport de la forme.</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Nous les rassemblerons sous trois chefs</w:t>
      </w:r>
      <w:r w:rsidR="00E65435">
        <w:rPr>
          <w:rFonts w:eastAsia="Arial Unicode MS"/>
          <w:bCs/>
          <w:lang w:eastAsia="fr-FR" w:bidi="he-IL"/>
        </w:rPr>
        <w:t xml:space="preserve">, </w:t>
      </w:r>
      <w:r w:rsidRPr="00C8701B">
        <w:rPr>
          <w:rFonts w:eastAsia="Arial Unicode MS"/>
          <w:bCs/>
          <w:lang w:eastAsia="fr-FR" w:bidi="he-IL"/>
        </w:rPr>
        <w:t>comme les ressemblances de la même espèce</w:t>
      </w:r>
      <w:r w:rsidR="00E65435">
        <w:rPr>
          <w:rFonts w:eastAsia="Arial Unicode MS"/>
          <w:bCs/>
          <w:lang w:eastAsia="fr-FR" w:bidi="he-IL"/>
        </w:rPr>
        <w:t xml:space="preserve">, </w:t>
      </w:r>
      <w:r w:rsidRPr="00C8701B">
        <w:rPr>
          <w:rFonts w:eastAsia="Arial Unicode MS"/>
          <w:bCs/>
          <w:lang w:eastAsia="fr-FR" w:bidi="he-IL"/>
        </w:rPr>
        <w:t>et no</w:t>
      </w:r>
      <w:r w:rsidR="00C151D4">
        <w:rPr>
          <w:rFonts w:eastAsia="Arial Unicode MS"/>
          <w:bCs/>
          <w:lang w:eastAsia="fr-FR" w:bidi="he-IL"/>
        </w:rPr>
        <w:t>us verrons</w:t>
      </w:r>
      <w:r w:rsidR="00E65435">
        <w:rPr>
          <w:rFonts w:eastAsia="Arial Unicode MS"/>
          <w:bCs/>
          <w:lang w:eastAsia="fr-FR" w:bidi="he-IL"/>
        </w:rPr>
        <w:t xml:space="preserve">, </w:t>
      </w:r>
      <w:r w:rsidRPr="00C8701B">
        <w:rPr>
          <w:rFonts w:eastAsia="Arial Unicode MS"/>
          <w:bCs/>
          <w:lang w:eastAsia="fr-FR" w:bidi="he-IL"/>
        </w:rPr>
        <w:t>sous chacun de ces chefs</w:t>
      </w:r>
      <w:r w:rsidR="00E65435">
        <w:rPr>
          <w:rFonts w:eastAsia="Arial Unicode MS"/>
          <w:bCs/>
          <w:lang w:eastAsia="fr-FR" w:bidi="he-IL"/>
        </w:rPr>
        <w:t xml:space="preserve">, </w:t>
      </w:r>
      <w:r w:rsidRPr="00C8701B">
        <w:rPr>
          <w:rFonts w:eastAsia="Arial Unicode MS"/>
          <w:bCs/>
          <w:lang w:eastAsia="fr-FR" w:bidi="he-IL"/>
        </w:rPr>
        <w:t>des particularités étonnantes.</w:t>
      </w:r>
      <w:r w:rsidR="00C2602D" w:rsidRPr="00C8701B">
        <w:rPr>
          <w:rFonts w:eastAsia="Arial Unicode MS"/>
          <w:bCs/>
          <w:lang w:eastAsia="fr-FR" w:bidi="he-IL"/>
        </w:rPr>
        <w:t xml:space="preserve"> </w:t>
      </w:r>
    </w:p>
    <w:p w:rsidR="00C2602D" w:rsidRPr="00C8701B" w:rsidRDefault="00B704AD" w:rsidP="00557DE0">
      <w:pPr>
        <w:rPr>
          <w:rFonts w:eastAsia="Arial Unicode MS"/>
          <w:bCs/>
          <w:lang w:eastAsia="fr-FR" w:bidi="he-IL"/>
        </w:rPr>
      </w:pPr>
      <w:r w:rsidRPr="00C8701B">
        <w:rPr>
          <w:rFonts w:eastAsia="Arial Unicode MS"/>
          <w:bCs/>
          <w:lang w:eastAsia="fr-FR" w:bidi="he-IL"/>
        </w:rPr>
        <w:t>A. Rien de plus varié</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abord</w:t>
      </w:r>
      <w:r w:rsidR="00E65435">
        <w:rPr>
          <w:rFonts w:eastAsia="Arial Unicode MS"/>
          <w:bCs/>
          <w:lang w:eastAsia="fr-FR" w:bidi="he-IL"/>
        </w:rPr>
        <w:t xml:space="preserve">, </w:t>
      </w:r>
      <w:r w:rsidRPr="00C8701B">
        <w:rPr>
          <w:rFonts w:eastAsia="Arial Unicode MS"/>
          <w:bCs/>
          <w:lang w:eastAsia="fr-FR" w:bidi="he-IL"/>
        </w:rPr>
        <w:t>et de plus personnel</w:t>
      </w:r>
      <w:r w:rsidR="00E65435">
        <w:rPr>
          <w:rFonts w:eastAsia="Arial Unicode MS"/>
          <w:bCs/>
          <w:lang w:eastAsia="fr-FR" w:bidi="he-IL"/>
        </w:rPr>
        <w:t xml:space="preserve">, </w:t>
      </w:r>
      <w:r w:rsidRPr="00C8701B">
        <w:rPr>
          <w:rFonts w:eastAsia="Arial Unicode MS"/>
          <w:bCs/>
          <w:lang w:eastAsia="fr-FR" w:bidi="he-IL"/>
        </w:rPr>
        <w:t>que le groupement général des faits par chacun des synoptiques. Ainsi</w:t>
      </w:r>
      <w:r w:rsidR="00E65435">
        <w:rPr>
          <w:rFonts w:eastAsia="Arial Unicode MS"/>
          <w:bCs/>
          <w:lang w:eastAsia="fr-FR" w:bidi="he-IL"/>
        </w:rPr>
        <w:t xml:space="preserve">, </w:t>
      </w:r>
      <w:r w:rsidRPr="00C8701B">
        <w:rPr>
          <w:rFonts w:eastAsia="Arial Unicode MS"/>
          <w:bCs/>
          <w:lang w:eastAsia="fr-FR" w:bidi="he-IL"/>
        </w:rPr>
        <w:t>tandis que S.</w:t>
      </w:r>
      <w:r w:rsidR="00C151D4">
        <w:rPr>
          <w:rFonts w:eastAsia="Arial Unicode MS"/>
          <w:bCs/>
          <w:lang w:eastAsia="fr-FR" w:bidi="he-IL"/>
        </w:rPr>
        <w:t xml:space="preserve"> </w:t>
      </w:r>
      <w:r w:rsidRPr="00C8701B">
        <w:rPr>
          <w:rFonts w:eastAsia="Arial Unicode MS"/>
          <w:bCs/>
          <w:lang w:eastAsia="fr-FR" w:bidi="he-IL"/>
        </w:rPr>
        <w:t>Matthieu relate tout d</w:t>
      </w:r>
      <w:r w:rsidR="00557DE0">
        <w:rPr>
          <w:rFonts w:eastAsia="Arial Unicode MS"/>
          <w:bCs/>
          <w:lang w:eastAsia="fr-FR" w:bidi="he-IL"/>
        </w:rPr>
        <w:t>’</w:t>
      </w:r>
      <w:r w:rsidRPr="00C8701B">
        <w:rPr>
          <w:rFonts w:eastAsia="Arial Unicode MS"/>
          <w:bCs/>
          <w:lang w:eastAsia="fr-FR" w:bidi="he-IL"/>
        </w:rPr>
        <w:t>un trait le discours sur la montagne</w:t>
      </w:r>
      <w:r w:rsidR="00933C60" w:rsidRPr="00C406FF">
        <w:rPr>
          <w:rStyle w:val="Appelnotedebasdep"/>
        </w:rPr>
        <w:footnoteReference w:id="162"/>
      </w:r>
      <w:r w:rsidRPr="00C8701B">
        <w:rPr>
          <w:rFonts w:eastAsia="Arial Unicode MS"/>
          <w:bCs/>
          <w:lang w:eastAsia="fr-FR" w:bidi="he-IL"/>
        </w:rPr>
        <w:t xml:space="preserve"> et les</w:t>
      </w:r>
      <w:r w:rsidR="00C2602D" w:rsidRPr="00C8701B">
        <w:rPr>
          <w:rFonts w:eastAsia="Arial Unicode MS"/>
          <w:bCs/>
          <w:lang w:eastAsia="fr-FR" w:bidi="he-IL"/>
        </w:rPr>
        <w:t xml:space="preserve"> </w:t>
      </w:r>
      <w:r w:rsidR="00557DE0">
        <w:rPr>
          <w:rFonts w:eastAsia="Arial Unicode MS"/>
          <w:bCs/>
          <w:lang w:eastAsia="fr-FR" w:bidi="he-IL"/>
        </w:rPr>
        <w:t xml:space="preserve"> </w:t>
      </w:r>
      <w:r w:rsidRPr="00C8701B">
        <w:rPr>
          <w:rFonts w:eastAsia="Arial Unicode MS"/>
          <w:bCs/>
          <w:lang w:eastAsia="fr-FR" w:bidi="he-IL"/>
        </w:rPr>
        <w:t>paraboles du royaume des cieux</w:t>
      </w:r>
      <w:r w:rsidR="00933C60" w:rsidRPr="00C406FF">
        <w:rPr>
          <w:rStyle w:val="Appelnotedebasdep"/>
        </w:rPr>
        <w:footnoteReference w:id="163"/>
      </w:r>
      <w:r w:rsidR="00E65435">
        <w:rPr>
          <w:rFonts w:eastAsia="Arial Unicode MS"/>
          <w:bCs/>
          <w:lang w:eastAsia="fr-FR" w:bidi="he-IL"/>
        </w:rPr>
        <w:t xml:space="preserve">, </w:t>
      </w:r>
      <w:r w:rsidR="00557DE0" w:rsidRPr="000716BB">
        <w:rPr>
          <w:rFonts w:eastAsia="Arial Unicode MS"/>
          <w:bCs/>
          <w:lang w:eastAsia="fr-FR" w:bidi="he-IL"/>
        </w:rPr>
        <w:t>{</w:t>
      </w:r>
      <w:r w:rsidR="00557DE0">
        <w:rPr>
          <w:rFonts w:eastAsia="Arial Unicode MS"/>
          <w:bCs/>
          <w:lang w:eastAsia="fr-FR" w:bidi="he-IL"/>
        </w:rPr>
        <w:t>34</w:t>
      </w:r>
      <w:bookmarkStart w:id="60" w:name="pag034"/>
      <w:bookmarkEnd w:id="60"/>
      <w:r w:rsidR="00557DE0" w:rsidRPr="000716BB">
        <w:rPr>
          <w:rFonts w:eastAsia="Arial Unicode MS"/>
          <w:bCs/>
          <w:lang w:eastAsia="fr-FR" w:bidi="he-IL"/>
        </w:rPr>
        <w:t>}</w:t>
      </w:r>
      <w:r w:rsidR="00557DE0">
        <w:rPr>
          <w:rFonts w:eastAsia="Arial Unicode MS"/>
          <w:bCs/>
          <w:lang w:eastAsia="fr-FR" w:bidi="he-IL"/>
        </w:rPr>
        <w:t xml:space="preserve"> </w:t>
      </w:r>
      <w:r w:rsidRPr="00C8701B">
        <w:rPr>
          <w:rFonts w:eastAsia="Arial Unicode MS"/>
          <w:bCs/>
          <w:lang w:eastAsia="fr-FR" w:bidi="he-IL"/>
        </w:rPr>
        <w:t>S. Luc partage</w:t>
      </w:r>
      <w:r w:rsidR="00C151D4">
        <w:rPr>
          <w:rFonts w:eastAsia="Arial Unicode MS"/>
          <w:bCs/>
          <w:lang w:eastAsia="fr-FR" w:bidi="he-IL"/>
        </w:rPr>
        <w:t xml:space="preserve"> </w:t>
      </w:r>
      <w:r w:rsidRPr="00C8701B">
        <w:rPr>
          <w:rFonts w:eastAsia="Arial Unicode MS"/>
          <w:bCs/>
          <w:lang w:eastAsia="fr-FR" w:bidi="he-IL"/>
        </w:rPr>
        <w:t>ce double sujet en plusieurs fragments</w:t>
      </w:r>
      <w:r w:rsidR="00E65435">
        <w:rPr>
          <w:rFonts w:eastAsia="Arial Unicode MS"/>
          <w:bCs/>
          <w:lang w:eastAsia="fr-FR" w:bidi="he-IL"/>
        </w:rPr>
        <w:t xml:space="preserve">, </w:t>
      </w:r>
      <w:r w:rsidRPr="00C8701B">
        <w:rPr>
          <w:rFonts w:eastAsia="Arial Unicode MS"/>
          <w:bCs/>
          <w:lang w:eastAsia="fr-FR" w:bidi="he-IL"/>
        </w:rPr>
        <w:t>qu</w:t>
      </w:r>
      <w:r w:rsidR="00557DE0">
        <w:rPr>
          <w:rFonts w:eastAsia="Arial Unicode MS"/>
          <w:bCs/>
          <w:lang w:eastAsia="fr-FR" w:bidi="he-IL"/>
        </w:rPr>
        <w:t>’</w:t>
      </w:r>
      <w:r w:rsidRPr="00C8701B">
        <w:rPr>
          <w:rFonts w:eastAsia="Arial Unicode MS"/>
          <w:bCs/>
          <w:lang w:eastAsia="fr-FR" w:bidi="he-IL"/>
        </w:rPr>
        <w:t>il rattache à des circonstances distinctes</w:t>
      </w:r>
      <w:r w:rsidR="00933C60" w:rsidRPr="00C406FF">
        <w:rPr>
          <w:rStyle w:val="Appelnotedebasdep"/>
        </w:rPr>
        <w:footnoteReference w:id="164"/>
      </w:r>
      <w:r w:rsidRPr="00C8701B">
        <w:rPr>
          <w:rFonts w:eastAsia="Arial Unicode MS"/>
          <w:bCs/>
          <w:lang w:eastAsia="fr-FR" w:bidi="he-IL"/>
        </w:rPr>
        <w:t>. Il est reconnu que S. Matthieu combine et arrange</w:t>
      </w:r>
      <w:r w:rsidR="00E65435">
        <w:rPr>
          <w:rFonts w:eastAsia="Arial Unicode MS"/>
          <w:bCs/>
          <w:lang w:eastAsia="fr-FR" w:bidi="he-IL"/>
        </w:rPr>
        <w:t xml:space="preserve">, </w:t>
      </w:r>
      <w:r w:rsidRPr="00C8701B">
        <w:rPr>
          <w:rFonts w:eastAsia="Arial Unicode MS"/>
          <w:bCs/>
          <w:lang w:eastAsia="fr-FR" w:bidi="he-IL"/>
        </w:rPr>
        <w:t>en divers endroits</w:t>
      </w:r>
      <w:r w:rsidR="00E65435">
        <w:rPr>
          <w:rFonts w:eastAsia="Arial Unicode MS"/>
          <w:bCs/>
          <w:lang w:eastAsia="fr-FR" w:bidi="he-IL"/>
        </w:rPr>
        <w:t xml:space="preserve">, </w:t>
      </w:r>
      <w:r w:rsidRPr="00C8701B">
        <w:rPr>
          <w:rFonts w:eastAsia="Arial Unicode MS"/>
          <w:bCs/>
          <w:lang w:eastAsia="fr-FR" w:bidi="he-IL"/>
        </w:rPr>
        <w:t>les événements d</w:t>
      </w:r>
      <w:r w:rsidR="00557DE0">
        <w:rPr>
          <w:rFonts w:eastAsia="Arial Unicode MS"/>
          <w:bCs/>
          <w:lang w:eastAsia="fr-FR" w:bidi="he-IL"/>
        </w:rPr>
        <w:t>’</w:t>
      </w:r>
      <w:r w:rsidRPr="00C8701B">
        <w:rPr>
          <w:rFonts w:eastAsia="Arial Unicode MS"/>
          <w:bCs/>
          <w:lang w:eastAsia="fr-FR" w:bidi="he-IL"/>
        </w:rPr>
        <w:t>après un ordre systématique</w:t>
      </w:r>
      <w:r w:rsidR="00933C60" w:rsidRPr="00C406FF">
        <w:rPr>
          <w:rStyle w:val="Appelnotedebasdep"/>
        </w:rPr>
        <w:footnoteReference w:id="165"/>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S. Marc et S. Luc suive</w:t>
      </w:r>
      <w:r w:rsidR="00C151D4">
        <w:rPr>
          <w:rFonts w:eastAsia="Arial Unicode MS"/>
          <w:bCs/>
          <w:lang w:eastAsia="fr-FR" w:bidi="he-IL"/>
        </w:rPr>
        <w:t>n</w:t>
      </w:r>
      <w:r w:rsidRPr="00C8701B">
        <w:rPr>
          <w:rFonts w:eastAsia="Arial Unicode MS"/>
          <w:bCs/>
          <w:lang w:eastAsia="fr-FR" w:bidi="he-IL"/>
        </w:rPr>
        <w:t>t davantage l</w:t>
      </w:r>
      <w:r w:rsidR="00557DE0">
        <w:rPr>
          <w:rFonts w:eastAsia="Arial Unicode MS"/>
          <w:bCs/>
          <w:lang w:eastAsia="fr-FR" w:bidi="he-IL"/>
        </w:rPr>
        <w:t>’</w:t>
      </w:r>
      <w:r w:rsidRPr="00C8701B">
        <w:rPr>
          <w:rFonts w:eastAsia="Arial Unicode MS"/>
          <w:bCs/>
          <w:lang w:eastAsia="fr-FR" w:bidi="he-IL"/>
        </w:rPr>
        <w:t>ordre chronologique</w:t>
      </w:r>
      <w:r w:rsidR="00C2602D" w:rsidRPr="00C8701B">
        <w:rPr>
          <w:rFonts w:eastAsia="Arial Unicode MS"/>
          <w:bCs/>
          <w:lang w:eastAsia="fr-FR" w:bidi="he-IL"/>
        </w:rPr>
        <w:t> :</w:t>
      </w:r>
      <w:r w:rsidRPr="00C8701B">
        <w:rPr>
          <w:rFonts w:eastAsia="Arial Unicode MS"/>
          <w:bCs/>
          <w:lang w:eastAsia="fr-FR" w:bidi="he-IL"/>
        </w:rPr>
        <w:t xml:space="preserve"> de là</w:t>
      </w:r>
      <w:r w:rsidR="00E65435">
        <w:rPr>
          <w:rFonts w:eastAsia="Arial Unicode MS"/>
          <w:bCs/>
          <w:lang w:eastAsia="fr-FR" w:bidi="he-IL"/>
        </w:rPr>
        <w:t xml:space="preserve">, </w:t>
      </w:r>
      <w:r w:rsidRPr="00C8701B">
        <w:rPr>
          <w:rFonts w:eastAsia="Arial Unicode MS"/>
          <w:bCs/>
          <w:lang w:eastAsia="fr-FR" w:bidi="he-IL"/>
        </w:rPr>
        <w:t>naturellement</w:t>
      </w:r>
      <w:r w:rsidR="00E65435">
        <w:rPr>
          <w:rFonts w:eastAsia="Arial Unicode MS"/>
          <w:bCs/>
          <w:lang w:eastAsia="fr-FR" w:bidi="he-IL"/>
        </w:rPr>
        <w:t xml:space="preserve">, </w:t>
      </w:r>
      <w:r w:rsidRPr="00C8701B">
        <w:rPr>
          <w:rFonts w:eastAsia="Arial Unicode MS"/>
          <w:bCs/>
          <w:lang w:eastAsia="fr-FR" w:bidi="he-IL"/>
        </w:rPr>
        <w:t>des transpositions multiples pour l</w:t>
      </w:r>
      <w:r w:rsidR="00557DE0">
        <w:rPr>
          <w:rFonts w:eastAsia="Arial Unicode MS"/>
          <w:bCs/>
          <w:lang w:eastAsia="fr-FR" w:bidi="he-IL"/>
        </w:rPr>
        <w:t>’</w:t>
      </w:r>
      <w:r w:rsidRPr="00C8701B">
        <w:rPr>
          <w:rFonts w:eastAsia="Arial Unicode MS"/>
          <w:bCs/>
          <w:lang w:eastAsia="fr-FR" w:bidi="he-IL"/>
        </w:rPr>
        <w:t>ensemble de la narration</w:t>
      </w:r>
      <w:r w:rsidR="00933C60" w:rsidRPr="00C406FF">
        <w:rPr>
          <w:rStyle w:val="Appelnotedebasdep"/>
        </w:rPr>
        <w:footnoteReference w:id="166"/>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151D4">
      <w:pPr>
        <w:rPr>
          <w:rFonts w:eastAsia="Arial Unicode MS"/>
          <w:bCs/>
          <w:lang w:eastAsia="fr-FR" w:bidi="he-IL"/>
        </w:rPr>
      </w:pPr>
      <w:r w:rsidRPr="00C8701B">
        <w:rPr>
          <w:rFonts w:eastAsia="Arial Unicode MS"/>
          <w:bCs/>
          <w:lang w:eastAsia="fr-FR" w:bidi="he-IL"/>
        </w:rPr>
        <w:t>M. le D</w:t>
      </w:r>
      <w:r w:rsidRPr="00C8701B">
        <w:rPr>
          <w:rFonts w:eastAsia="Arial Unicode MS"/>
          <w:bCs/>
          <w:vertAlign w:val="superscript"/>
          <w:lang w:eastAsia="fr-FR" w:bidi="he-IL"/>
        </w:rPr>
        <w:t>r</w:t>
      </w:r>
      <w:r w:rsidRPr="00C8701B">
        <w:rPr>
          <w:rFonts w:eastAsia="Arial Unicode MS"/>
          <w:bCs/>
          <w:lang w:eastAsia="fr-FR" w:bidi="he-IL"/>
        </w:rPr>
        <w:t xml:space="preserve"> Wetzel</w:t>
      </w:r>
      <w:r w:rsidR="00E65435">
        <w:rPr>
          <w:rFonts w:eastAsia="Arial Unicode MS"/>
          <w:bCs/>
          <w:lang w:eastAsia="fr-FR" w:bidi="he-IL"/>
        </w:rPr>
        <w:t xml:space="preserve">, </w:t>
      </w:r>
      <w:r w:rsidRPr="00C8701B">
        <w:rPr>
          <w:rFonts w:eastAsia="Arial Unicode MS"/>
          <w:bCs/>
          <w:lang w:eastAsia="fr-FR" w:bidi="he-IL"/>
        </w:rPr>
        <w:t xml:space="preserve">dans son récent volume sur les évangiles </w:t>
      </w:r>
      <w:r w:rsidR="00116664" w:rsidRPr="00C8701B">
        <w:rPr>
          <w:rFonts w:eastAsia="Arial Unicode MS"/>
          <w:bCs/>
          <w:lang w:eastAsia="fr-FR" w:bidi="he-IL"/>
        </w:rPr>
        <w:t>synoptiques</w:t>
      </w:r>
      <w:r w:rsidR="00933C60" w:rsidRPr="00C406FF">
        <w:rPr>
          <w:rStyle w:val="Appelnotedebasdep"/>
        </w:rPr>
        <w:footnoteReference w:id="167"/>
      </w:r>
      <w:r w:rsidR="00E65435">
        <w:rPr>
          <w:rFonts w:eastAsia="Arial Unicode MS"/>
          <w:bCs/>
          <w:lang w:eastAsia="fr-FR" w:bidi="he-IL"/>
        </w:rPr>
        <w:t xml:space="preserve">, </w:t>
      </w:r>
      <w:r w:rsidRPr="00C8701B">
        <w:rPr>
          <w:rFonts w:eastAsia="Arial Unicode MS"/>
          <w:bCs/>
          <w:lang w:eastAsia="fr-FR" w:bidi="he-IL"/>
        </w:rPr>
        <w:t>exprime ce fait d</w:t>
      </w:r>
      <w:r w:rsidR="00557DE0">
        <w:rPr>
          <w:rFonts w:eastAsia="Arial Unicode MS"/>
          <w:bCs/>
          <w:lang w:eastAsia="fr-FR" w:bidi="he-IL"/>
        </w:rPr>
        <w:t>’</w:t>
      </w:r>
      <w:r w:rsidRPr="00C8701B">
        <w:rPr>
          <w:rFonts w:eastAsia="Arial Unicode MS"/>
          <w:bCs/>
          <w:lang w:eastAsia="fr-FR" w:bidi="he-IL"/>
        </w:rPr>
        <w:t>une manière aussi simple qu</w:t>
      </w:r>
      <w:r w:rsidR="00557DE0">
        <w:rPr>
          <w:rFonts w:eastAsia="Arial Unicode MS"/>
          <w:bCs/>
          <w:lang w:eastAsia="fr-FR" w:bidi="he-IL"/>
        </w:rPr>
        <w:t>’</w:t>
      </w:r>
      <w:r w:rsidRPr="00C8701B">
        <w:rPr>
          <w:rFonts w:eastAsia="Arial Unicode MS"/>
          <w:bCs/>
          <w:lang w:eastAsia="fr-FR" w:bidi="he-IL"/>
        </w:rPr>
        <w:t>ingénieuse. Cinq pages à trois colonnes</w:t>
      </w:r>
      <w:r w:rsidR="00E65435">
        <w:rPr>
          <w:rFonts w:eastAsia="Arial Unicode MS"/>
          <w:bCs/>
          <w:lang w:eastAsia="fr-FR" w:bidi="he-IL"/>
        </w:rPr>
        <w:t xml:space="preserve">, </w:t>
      </w:r>
      <w:r w:rsidRPr="00C8701B">
        <w:rPr>
          <w:rFonts w:eastAsia="Arial Unicode MS"/>
          <w:bCs/>
          <w:lang w:eastAsia="fr-FR" w:bidi="he-IL"/>
        </w:rPr>
        <w:t>en forme de tableaux. Chaque colonne est subdivisée en petits quadrilatères</w:t>
      </w:r>
      <w:r w:rsidR="00E65435">
        <w:rPr>
          <w:rFonts w:eastAsia="Arial Unicode MS"/>
          <w:bCs/>
          <w:lang w:eastAsia="fr-FR" w:bidi="he-IL"/>
        </w:rPr>
        <w:t xml:space="preserve">, </w:t>
      </w:r>
      <w:r w:rsidRPr="00C8701B">
        <w:rPr>
          <w:rFonts w:eastAsia="Arial Unicode MS"/>
          <w:bCs/>
          <w:lang w:eastAsia="fr-FR" w:bidi="he-IL"/>
        </w:rPr>
        <w:t>qui contiennent le titre d</w:t>
      </w:r>
      <w:r w:rsidR="00557DE0">
        <w:rPr>
          <w:rFonts w:eastAsia="Arial Unicode MS"/>
          <w:bCs/>
          <w:lang w:eastAsia="fr-FR" w:bidi="he-IL"/>
        </w:rPr>
        <w:t>’</w:t>
      </w:r>
      <w:r w:rsidRPr="00C8701B">
        <w:rPr>
          <w:rFonts w:eastAsia="Arial Unicode MS"/>
          <w:bCs/>
          <w:lang w:eastAsia="fr-FR" w:bidi="he-IL"/>
        </w:rPr>
        <w:t>un événement de la vie de Jésus. La première colonne appartient à S. Matthieu</w:t>
      </w:r>
      <w:r w:rsidR="00E65435">
        <w:rPr>
          <w:rFonts w:eastAsia="Arial Unicode MS"/>
          <w:bCs/>
          <w:lang w:eastAsia="fr-FR" w:bidi="he-IL"/>
        </w:rPr>
        <w:t xml:space="preserve">, </w:t>
      </w:r>
      <w:r w:rsidRPr="00C8701B">
        <w:rPr>
          <w:rFonts w:eastAsia="Arial Unicode MS"/>
          <w:bCs/>
          <w:lang w:eastAsia="fr-FR" w:bidi="he-IL"/>
        </w:rPr>
        <w:t>et va de Matth</w:t>
      </w:r>
      <w:r w:rsidR="001157C4">
        <w:rPr>
          <w:rFonts w:eastAsia="Arial Unicode MS"/>
          <w:bCs/>
          <w:lang w:eastAsia="fr-FR" w:bidi="he-IL"/>
        </w:rPr>
        <w:t xml:space="preserve">. </w:t>
      </w:r>
      <w:r w:rsidR="0096281A">
        <w:rPr>
          <w:rFonts w:eastAsia="Arial Unicode MS"/>
          <w:bCs/>
          <w:lang w:eastAsia="fr-FR" w:bidi="he-IL"/>
        </w:rPr>
        <w:t>IV</w:t>
      </w:r>
      <w:r w:rsidR="001157C4">
        <w:rPr>
          <w:rFonts w:eastAsia="Arial Unicode MS"/>
          <w:bCs/>
          <w:lang w:eastAsia="fr-FR" w:bidi="he-IL"/>
        </w:rPr>
        <w:t>,</w:t>
      </w:r>
      <w:r w:rsidR="00E65435">
        <w:rPr>
          <w:rFonts w:eastAsia="Arial Unicode MS"/>
          <w:bCs/>
          <w:lang w:eastAsia="fr-FR" w:bidi="he-IL"/>
        </w:rPr>
        <w:t xml:space="preserve"> </w:t>
      </w:r>
      <w:r w:rsidRPr="00C8701B">
        <w:rPr>
          <w:rFonts w:eastAsia="Arial Unicode MS"/>
          <w:bCs/>
          <w:lang w:eastAsia="fr-FR" w:bidi="he-IL"/>
        </w:rPr>
        <w:t xml:space="preserve">18 à </w:t>
      </w:r>
      <w:r w:rsidR="00C151D4">
        <w:rPr>
          <w:rFonts w:eastAsia="Arial Unicode MS"/>
          <w:bCs/>
          <w:lang w:eastAsia="fr-FR" w:bidi="he-IL"/>
        </w:rPr>
        <w:t>Matth</w:t>
      </w:r>
      <w:r w:rsidRPr="00C8701B">
        <w:rPr>
          <w:rFonts w:eastAsia="Arial Unicode MS"/>
          <w:bCs/>
          <w:lang w:eastAsia="fr-FR" w:bidi="he-IL"/>
        </w:rPr>
        <w:t>.</w:t>
      </w:r>
      <w:r w:rsidR="0017332F" w:rsidRPr="00C8701B">
        <w:rPr>
          <w:rFonts w:eastAsia="Arial Unicode MS"/>
          <w:bCs/>
          <w:lang w:eastAsia="fr-FR" w:bidi="he-IL"/>
        </w:rPr>
        <w:t xml:space="preserve"> XXI</w:t>
      </w:r>
      <w:r w:rsidR="00E65435">
        <w:rPr>
          <w:rFonts w:eastAsia="Arial Unicode MS"/>
          <w:bCs/>
          <w:lang w:eastAsia="fr-FR" w:bidi="he-IL"/>
        </w:rPr>
        <w:t xml:space="preserve">, </w:t>
      </w:r>
      <w:r w:rsidRPr="00C8701B">
        <w:rPr>
          <w:rFonts w:eastAsia="Arial Unicode MS"/>
          <w:bCs/>
          <w:lang w:eastAsia="fr-FR" w:bidi="he-IL"/>
        </w:rPr>
        <w:t>27</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la seconde porte le nom de S. Marc</w:t>
      </w:r>
      <w:r w:rsidR="00E65435">
        <w:rPr>
          <w:rFonts w:eastAsia="Arial Unicode MS"/>
          <w:bCs/>
          <w:lang w:eastAsia="fr-FR" w:bidi="he-IL"/>
        </w:rPr>
        <w:t xml:space="preserve">, </w:t>
      </w:r>
      <w:r w:rsidRPr="00C8701B">
        <w:rPr>
          <w:rFonts w:eastAsia="Arial Unicode MS"/>
          <w:bCs/>
          <w:lang w:eastAsia="fr-FR" w:bidi="he-IL"/>
        </w:rPr>
        <w:t>et s</w:t>
      </w:r>
      <w:r w:rsidR="00557DE0">
        <w:rPr>
          <w:rFonts w:eastAsia="Arial Unicode MS"/>
          <w:bCs/>
          <w:lang w:eastAsia="fr-FR" w:bidi="he-IL"/>
        </w:rPr>
        <w:t>’</w:t>
      </w:r>
      <w:r w:rsidRPr="00C8701B">
        <w:rPr>
          <w:rFonts w:eastAsia="Arial Unicode MS"/>
          <w:bCs/>
          <w:lang w:eastAsia="fr-FR" w:bidi="he-IL"/>
        </w:rPr>
        <w:t>étend de Marc.</w:t>
      </w:r>
      <w:r w:rsidR="00C21120">
        <w:rPr>
          <w:rFonts w:eastAsia="Arial Unicode MS"/>
          <w:bCs/>
          <w:lang w:eastAsia="fr-FR" w:bidi="he-IL"/>
        </w:rPr>
        <w:t xml:space="preserve"> I, </w:t>
      </w:r>
      <w:r w:rsidR="00C21120" w:rsidRPr="00C8701B">
        <w:rPr>
          <w:rFonts w:eastAsia="Arial Unicode MS"/>
          <w:bCs/>
          <w:lang w:eastAsia="fr-FR" w:bidi="he-IL"/>
        </w:rPr>
        <w:t>1</w:t>
      </w:r>
      <w:r w:rsidRPr="00C8701B">
        <w:rPr>
          <w:rFonts w:eastAsia="Arial Unicode MS"/>
          <w:bCs/>
          <w:lang w:eastAsia="fr-FR" w:bidi="he-IL"/>
        </w:rPr>
        <w:t>6 à Marc</w:t>
      </w:r>
      <w:r w:rsidR="00E65435">
        <w:rPr>
          <w:rFonts w:eastAsia="Arial Unicode MS"/>
          <w:bCs/>
          <w:lang w:eastAsia="fr-FR" w:bidi="he-IL"/>
        </w:rPr>
        <w:t xml:space="preserve">, </w:t>
      </w:r>
      <w:r w:rsidR="00EF1E04">
        <w:rPr>
          <w:rFonts w:eastAsia="Arial Unicode MS"/>
          <w:bCs/>
          <w:lang w:eastAsia="fr-FR" w:bidi="he-IL"/>
        </w:rPr>
        <w:t>XVI</w:t>
      </w:r>
      <w:r w:rsidR="00E65435">
        <w:rPr>
          <w:rFonts w:eastAsia="Arial Unicode MS"/>
          <w:bCs/>
          <w:lang w:eastAsia="fr-FR" w:bidi="he-IL"/>
        </w:rPr>
        <w:t xml:space="preserve">, </w:t>
      </w:r>
      <w:r w:rsidRPr="00C8701B">
        <w:rPr>
          <w:rFonts w:eastAsia="Arial Unicode MS"/>
          <w:bCs/>
          <w:lang w:eastAsia="fr-FR" w:bidi="he-IL"/>
        </w:rPr>
        <w:t>7</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la troisième</w:t>
      </w:r>
      <w:r w:rsidR="00E65435">
        <w:rPr>
          <w:rFonts w:eastAsia="Arial Unicode MS"/>
          <w:bCs/>
          <w:lang w:eastAsia="fr-FR" w:bidi="he-IL"/>
        </w:rPr>
        <w:t xml:space="preserve">, </w:t>
      </w:r>
      <w:r w:rsidRPr="00C8701B">
        <w:rPr>
          <w:rFonts w:eastAsia="Arial Unicode MS"/>
          <w:bCs/>
          <w:lang w:eastAsia="fr-FR" w:bidi="he-IL"/>
        </w:rPr>
        <w:t>consacrée à S. Luc</w:t>
      </w:r>
      <w:r w:rsidR="00E65435">
        <w:rPr>
          <w:rFonts w:eastAsia="Arial Unicode MS"/>
          <w:bCs/>
          <w:lang w:eastAsia="fr-FR" w:bidi="he-IL"/>
        </w:rPr>
        <w:t xml:space="preserve">, </w:t>
      </w:r>
      <w:r w:rsidRPr="00C8701B">
        <w:rPr>
          <w:rFonts w:eastAsia="Arial Unicode MS"/>
          <w:bCs/>
          <w:lang w:eastAsia="fr-FR" w:bidi="he-IL"/>
        </w:rPr>
        <w:t>va de Luc</w:t>
      </w:r>
      <w:r w:rsidR="001157C4">
        <w:rPr>
          <w:rFonts w:eastAsia="Arial Unicode MS"/>
          <w:bCs/>
          <w:lang w:eastAsia="fr-FR" w:bidi="he-IL"/>
        </w:rPr>
        <w:t xml:space="preserve">. </w:t>
      </w:r>
      <w:r w:rsidR="0096281A">
        <w:rPr>
          <w:rFonts w:eastAsia="Arial Unicode MS"/>
          <w:bCs/>
          <w:lang w:eastAsia="fr-FR" w:bidi="he-IL"/>
        </w:rPr>
        <w:t>IV</w:t>
      </w:r>
      <w:r w:rsidR="001157C4">
        <w:rPr>
          <w:rFonts w:eastAsia="Arial Unicode MS"/>
          <w:bCs/>
          <w:lang w:eastAsia="fr-FR" w:bidi="he-IL"/>
        </w:rPr>
        <w:t>,</w:t>
      </w:r>
      <w:r w:rsidR="00E65435">
        <w:rPr>
          <w:rFonts w:eastAsia="Arial Unicode MS"/>
          <w:bCs/>
          <w:lang w:eastAsia="fr-FR" w:bidi="he-IL"/>
        </w:rPr>
        <w:t xml:space="preserve"> </w:t>
      </w:r>
      <w:r w:rsidRPr="00C8701B">
        <w:rPr>
          <w:rFonts w:eastAsia="Arial Unicode MS"/>
          <w:bCs/>
          <w:lang w:eastAsia="fr-FR" w:bidi="he-IL"/>
        </w:rPr>
        <w:t xml:space="preserve">16 à Luc. </w:t>
      </w:r>
      <w:r w:rsidR="00C2681A">
        <w:rPr>
          <w:rFonts w:eastAsia="Arial Unicode MS"/>
          <w:bCs/>
          <w:lang w:eastAsia="fr-FR" w:bidi="he-IL"/>
        </w:rPr>
        <w:t>XX</w:t>
      </w:r>
      <w:r w:rsidR="00CB43AA">
        <w:rPr>
          <w:rFonts w:eastAsia="Arial Unicode MS"/>
          <w:bCs/>
          <w:lang w:eastAsia="fr-FR" w:bidi="he-IL"/>
        </w:rPr>
        <w:t>IV</w:t>
      </w:r>
      <w:r w:rsidR="00E65435">
        <w:rPr>
          <w:rFonts w:eastAsia="Arial Unicode MS"/>
          <w:bCs/>
          <w:lang w:eastAsia="fr-FR" w:bidi="he-IL"/>
        </w:rPr>
        <w:t xml:space="preserve">, </w:t>
      </w:r>
      <w:r w:rsidR="00C151D4">
        <w:rPr>
          <w:rFonts w:eastAsia="Arial Unicode MS"/>
          <w:bCs/>
          <w:lang w:eastAsia="fr-FR" w:bidi="he-IL"/>
        </w:rPr>
        <w:t>9. La deuxième colonne e</w:t>
      </w:r>
      <w:r w:rsidRPr="00C8701B">
        <w:rPr>
          <w:rFonts w:eastAsia="Arial Unicode MS"/>
          <w:bCs/>
          <w:lang w:eastAsia="fr-FR" w:bidi="he-IL"/>
        </w:rPr>
        <w:t>st prise pour centre de comparaison</w:t>
      </w:r>
      <w:r w:rsidR="00E65435">
        <w:rPr>
          <w:rFonts w:eastAsia="Arial Unicode MS"/>
          <w:bCs/>
          <w:lang w:eastAsia="fr-FR" w:bidi="he-IL"/>
        </w:rPr>
        <w:t xml:space="preserve">, </w:t>
      </w:r>
      <w:r w:rsidRPr="00C8701B">
        <w:rPr>
          <w:rFonts w:eastAsia="Arial Unicode MS"/>
          <w:bCs/>
          <w:lang w:eastAsia="fr-FR" w:bidi="he-IL"/>
        </w:rPr>
        <w:t>et ses quadrilatères sont numérotés de 1 à 83</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les quadrilatères des deux autres colonnes portent des chiffres qui renvoient aux nombres correspondants de S. Marc</w:t>
      </w:r>
      <w:r w:rsidR="00B35391">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Maintenant</w:t>
      </w:r>
      <w:r w:rsidR="00E65435">
        <w:rPr>
          <w:rFonts w:eastAsia="Arial Unicode MS"/>
          <w:bCs/>
          <w:lang w:eastAsia="fr-FR" w:bidi="he-IL"/>
        </w:rPr>
        <w:t xml:space="preserve">, </w:t>
      </w:r>
      <w:r w:rsidRPr="00C8701B">
        <w:rPr>
          <w:rFonts w:eastAsia="Arial Unicode MS"/>
          <w:bCs/>
          <w:lang w:eastAsia="fr-FR" w:bidi="he-IL"/>
        </w:rPr>
        <w:t>veut-on quelques exemples</w:t>
      </w:r>
      <w:r w:rsidR="00C2602D" w:rsidRPr="00C8701B">
        <w:rPr>
          <w:rFonts w:eastAsia="Arial Unicode MS"/>
          <w:bCs/>
          <w:lang w:eastAsia="fr-FR" w:bidi="he-IL"/>
        </w:rPr>
        <w:t> ?</w:t>
      </w:r>
      <w:r w:rsidRPr="00C8701B">
        <w:rPr>
          <w:rFonts w:eastAsia="Arial Unicode MS"/>
          <w:bCs/>
          <w:lang w:eastAsia="fr-FR" w:bidi="he-IL"/>
        </w:rPr>
        <w:t xml:space="preserve"> Le chiffre 1 de la première et de la seconde colonne fait face à 24 de la troisième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 46</w:t>
      </w:r>
      <w:r w:rsidRPr="00C8701B">
        <w:rPr>
          <w:rFonts w:eastAsia="Arial Unicode MS"/>
          <w:bCs/>
          <w:vertAlign w:val="superscript"/>
          <w:lang w:eastAsia="fr-FR" w:bidi="he-IL"/>
        </w:rPr>
        <w:t>e</w:t>
      </w:r>
      <w:r w:rsidRPr="00C8701B">
        <w:rPr>
          <w:rFonts w:eastAsia="Arial Unicode MS"/>
          <w:bCs/>
          <w:lang w:eastAsia="fr-FR" w:bidi="he-IL"/>
        </w:rPr>
        <w:t xml:space="preserve"> quadrilatère du premier évangile a pour voisins les carrés 4 de S. Marc et de S. Luc. Dans la colonne de S. Matthieu</w:t>
      </w:r>
      <w:r w:rsidR="00E65435">
        <w:rPr>
          <w:rFonts w:eastAsia="Arial Unicode MS"/>
          <w:bCs/>
          <w:lang w:eastAsia="fr-FR" w:bidi="he-IL"/>
        </w:rPr>
        <w:t xml:space="preserve">, </w:t>
      </w:r>
      <w:r w:rsidRPr="00C8701B">
        <w:rPr>
          <w:rFonts w:eastAsia="Arial Unicode MS"/>
          <w:bCs/>
          <w:lang w:eastAsia="fr-FR" w:bidi="he-IL"/>
        </w:rPr>
        <w:t>je lis 59</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7 dans celle de S. Marc</w:t>
      </w:r>
      <w:r w:rsidR="00E65435">
        <w:rPr>
          <w:rFonts w:eastAsia="Arial Unicode MS"/>
          <w:bCs/>
          <w:lang w:eastAsia="fr-FR" w:bidi="he-IL"/>
        </w:rPr>
        <w:t xml:space="preserve">, </w:t>
      </w:r>
      <w:r w:rsidRPr="00C8701B">
        <w:rPr>
          <w:rFonts w:eastAsia="Arial Unicode MS"/>
          <w:bCs/>
          <w:lang w:eastAsia="fr-FR" w:bidi="he-IL"/>
        </w:rPr>
        <w:t>6 dans celle de S. Luc. Plus loin</w:t>
      </w:r>
      <w:r w:rsidR="00E65435">
        <w:rPr>
          <w:rFonts w:eastAsia="Arial Unicode MS"/>
          <w:bCs/>
          <w:lang w:eastAsia="fr-FR" w:bidi="he-IL"/>
        </w:rPr>
        <w:t xml:space="preserve">, </w:t>
      </w:r>
      <w:r w:rsidRPr="00C8701B">
        <w:rPr>
          <w:rFonts w:eastAsia="Arial Unicode MS"/>
          <w:bCs/>
          <w:lang w:eastAsia="fr-FR" w:bidi="he-IL"/>
        </w:rPr>
        <w:t>je vois</w:t>
      </w:r>
      <w:r w:rsidR="00C2602D" w:rsidRPr="00C8701B">
        <w:rPr>
          <w:rFonts w:eastAsia="Arial Unicode MS"/>
          <w:bCs/>
          <w:lang w:eastAsia="fr-FR" w:bidi="he-IL"/>
        </w:rPr>
        <w:t> :</w:t>
      </w:r>
      <w:r w:rsidRPr="00C8701B">
        <w:rPr>
          <w:rFonts w:eastAsia="Arial Unicode MS"/>
          <w:bCs/>
          <w:lang w:eastAsia="fr-FR" w:bidi="he-IL"/>
        </w:rPr>
        <w:t xml:space="preserve"> 18</w:t>
      </w:r>
      <w:r w:rsidR="00E65435">
        <w:rPr>
          <w:rFonts w:eastAsia="Arial Unicode MS"/>
          <w:bCs/>
          <w:lang w:eastAsia="fr-FR" w:bidi="he-IL"/>
        </w:rPr>
        <w:t xml:space="preserve">, </w:t>
      </w:r>
      <w:r w:rsidRPr="00C8701B">
        <w:rPr>
          <w:rFonts w:eastAsia="Arial Unicode MS"/>
          <w:bCs/>
          <w:lang w:eastAsia="fr-FR" w:bidi="he-IL"/>
        </w:rPr>
        <w:t>10</w:t>
      </w:r>
      <w:r w:rsidR="00E65435">
        <w:rPr>
          <w:rFonts w:eastAsia="Arial Unicode MS"/>
          <w:bCs/>
          <w:lang w:eastAsia="fr-FR" w:bidi="he-IL"/>
        </w:rPr>
        <w:t xml:space="preserve">, </w:t>
      </w:r>
      <w:r w:rsidRPr="00C8701B">
        <w:rPr>
          <w:rFonts w:eastAsia="Arial Unicode MS"/>
          <w:bCs/>
          <w:lang w:eastAsia="fr-FR" w:bidi="he-IL"/>
        </w:rPr>
        <w:t>9</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27</w:t>
      </w:r>
      <w:r w:rsidR="00E65435">
        <w:rPr>
          <w:rFonts w:eastAsia="Arial Unicode MS"/>
          <w:bCs/>
          <w:lang w:eastAsia="fr-FR" w:bidi="he-IL"/>
        </w:rPr>
        <w:t xml:space="preserve">, </w:t>
      </w:r>
      <w:r w:rsidRPr="00C8701B">
        <w:rPr>
          <w:rFonts w:eastAsia="Arial Unicode MS"/>
          <w:bCs/>
          <w:lang w:eastAsia="fr-FR" w:bidi="he-IL"/>
        </w:rPr>
        <w:t>47</w:t>
      </w:r>
      <w:r w:rsidR="00E65435">
        <w:rPr>
          <w:rFonts w:eastAsia="Arial Unicode MS"/>
          <w:bCs/>
          <w:lang w:eastAsia="fr-FR" w:bidi="he-IL"/>
        </w:rPr>
        <w:t xml:space="preserve">, </w:t>
      </w:r>
      <w:r w:rsidRPr="00C8701B">
        <w:rPr>
          <w:rFonts w:eastAsia="Arial Unicode MS"/>
          <w:bCs/>
          <w:lang w:eastAsia="fr-FR" w:bidi="he-IL"/>
        </w:rPr>
        <w:t>50</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34</w:t>
      </w:r>
      <w:r w:rsidR="00E65435">
        <w:rPr>
          <w:rFonts w:eastAsia="Arial Unicode MS"/>
          <w:bCs/>
          <w:lang w:eastAsia="fr-FR" w:bidi="he-IL"/>
        </w:rPr>
        <w:t xml:space="preserve">, </w:t>
      </w:r>
      <w:r w:rsidRPr="00C8701B">
        <w:rPr>
          <w:rFonts w:eastAsia="Arial Unicode MS"/>
          <w:bCs/>
          <w:lang w:eastAsia="fr-FR" w:bidi="he-IL"/>
        </w:rPr>
        <w:t>53</w:t>
      </w:r>
      <w:r w:rsidR="00E65435">
        <w:rPr>
          <w:rFonts w:eastAsia="Arial Unicode MS"/>
          <w:bCs/>
          <w:lang w:eastAsia="fr-FR" w:bidi="he-IL"/>
        </w:rPr>
        <w:t xml:space="preserve">, </w:t>
      </w:r>
      <w:r w:rsidRPr="00C8701B">
        <w:rPr>
          <w:rFonts w:eastAsia="Arial Unicode MS"/>
          <w:bCs/>
          <w:lang w:eastAsia="fr-FR" w:bidi="he-IL"/>
        </w:rPr>
        <w:t>57</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40</w:t>
      </w:r>
      <w:r w:rsidR="00E65435">
        <w:rPr>
          <w:rFonts w:eastAsia="Arial Unicode MS"/>
          <w:bCs/>
          <w:lang w:eastAsia="fr-FR" w:bidi="he-IL"/>
        </w:rPr>
        <w:t xml:space="preserve">, </w:t>
      </w:r>
      <w:r w:rsidRPr="00C8701B">
        <w:rPr>
          <w:rFonts w:eastAsia="Arial Unicode MS"/>
          <w:bCs/>
          <w:lang w:eastAsia="fr-FR" w:bidi="he-IL"/>
        </w:rPr>
        <w:t>59</w:t>
      </w:r>
      <w:r w:rsidR="00E65435">
        <w:rPr>
          <w:rFonts w:eastAsia="Arial Unicode MS"/>
          <w:bCs/>
          <w:lang w:eastAsia="fr-FR" w:bidi="he-IL"/>
        </w:rPr>
        <w:t xml:space="preserve">, </w:t>
      </w:r>
      <w:r w:rsidRPr="00C8701B">
        <w:rPr>
          <w:rFonts w:eastAsia="Arial Unicode MS"/>
          <w:bCs/>
          <w:lang w:eastAsia="fr-FR" w:bidi="he-IL"/>
        </w:rPr>
        <w:t>66</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48</w:t>
      </w:r>
      <w:r w:rsidR="00E65435">
        <w:rPr>
          <w:rFonts w:eastAsia="Arial Unicode MS"/>
          <w:bCs/>
          <w:lang w:eastAsia="fr-FR" w:bidi="he-IL"/>
        </w:rPr>
        <w:t xml:space="preserve">, </w:t>
      </w:r>
      <w:r w:rsidRPr="00C8701B">
        <w:rPr>
          <w:rFonts w:eastAsia="Arial Unicode MS"/>
          <w:bCs/>
          <w:lang w:eastAsia="fr-FR" w:bidi="he-IL"/>
        </w:rPr>
        <w:t>68</w:t>
      </w:r>
      <w:r w:rsidR="00E65435">
        <w:rPr>
          <w:rFonts w:eastAsia="Arial Unicode MS"/>
          <w:bCs/>
          <w:lang w:eastAsia="fr-FR" w:bidi="he-IL"/>
        </w:rPr>
        <w:t xml:space="preserve">, </w:t>
      </w:r>
      <w:r w:rsidRPr="00C8701B">
        <w:rPr>
          <w:rFonts w:eastAsia="Arial Unicode MS"/>
          <w:bCs/>
          <w:lang w:eastAsia="fr-FR" w:bidi="he-IL"/>
        </w:rPr>
        <w:t>76</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57</w:t>
      </w:r>
      <w:r w:rsidR="00E65435">
        <w:rPr>
          <w:rFonts w:eastAsia="Arial Unicode MS"/>
          <w:bCs/>
          <w:lang w:eastAsia="fr-FR" w:bidi="he-IL"/>
        </w:rPr>
        <w:t xml:space="preserve">, </w:t>
      </w:r>
      <w:r w:rsidRPr="00C8701B">
        <w:rPr>
          <w:rFonts w:eastAsia="Arial Unicode MS"/>
          <w:bCs/>
          <w:lang w:eastAsia="fr-FR" w:bidi="he-IL"/>
        </w:rPr>
        <w:t>77</w:t>
      </w:r>
      <w:r w:rsidR="00E65435">
        <w:rPr>
          <w:rFonts w:eastAsia="Arial Unicode MS"/>
          <w:bCs/>
          <w:lang w:eastAsia="fr-FR" w:bidi="he-IL"/>
        </w:rPr>
        <w:t xml:space="preserve">, </w:t>
      </w:r>
      <w:r w:rsidRPr="00C8701B">
        <w:rPr>
          <w:rFonts w:eastAsia="Arial Unicode MS"/>
          <w:bCs/>
          <w:lang w:eastAsia="fr-FR" w:bidi="he-IL"/>
        </w:rPr>
        <w:t>83. Etc. Certes</w:t>
      </w:r>
      <w:r w:rsidR="00E65435">
        <w:rPr>
          <w:rFonts w:eastAsia="Arial Unicode MS"/>
          <w:bCs/>
          <w:lang w:eastAsia="fr-FR" w:bidi="he-IL"/>
        </w:rPr>
        <w:t xml:space="preserve">, </w:t>
      </w:r>
      <w:r w:rsidRPr="00C8701B">
        <w:rPr>
          <w:rFonts w:eastAsia="Arial Unicode MS"/>
          <w:bCs/>
          <w:lang w:eastAsia="fr-FR" w:bidi="he-IL"/>
        </w:rPr>
        <w:t>cela ne prouve pas un ordre complètement identique pour la marche générale.</w:t>
      </w:r>
      <w:r w:rsidR="00C2602D" w:rsidRPr="00C8701B">
        <w:rPr>
          <w:rFonts w:eastAsia="Arial Unicode MS"/>
          <w:bCs/>
          <w:lang w:eastAsia="fr-FR" w:bidi="he-IL"/>
        </w:rPr>
        <w:t xml:space="preserve"> </w:t>
      </w:r>
    </w:p>
    <w:p w:rsidR="00C2602D" w:rsidRPr="00C8701B" w:rsidRDefault="00C151D4" w:rsidP="00C2602D">
      <w:pPr>
        <w:rPr>
          <w:rFonts w:eastAsia="Arial Unicode MS"/>
          <w:bCs/>
          <w:lang w:eastAsia="fr-FR" w:bidi="he-IL"/>
        </w:rPr>
      </w:pPr>
      <w:r>
        <w:rPr>
          <w:rFonts w:eastAsia="Arial Unicode MS"/>
          <w:bCs/>
          <w:lang w:eastAsia="fr-FR" w:bidi="he-IL"/>
        </w:rPr>
        <w:t>B. Il</w:t>
      </w:r>
      <w:r w:rsidR="00B704AD" w:rsidRPr="00C8701B">
        <w:rPr>
          <w:rFonts w:eastAsia="Arial Unicode MS"/>
          <w:bCs/>
          <w:lang w:eastAsia="fr-FR" w:bidi="he-IL"/>
        </w:rPr>
        <w:t xml:space="preserve"> y a aussi des variantes notables dans l</w:t>
      </w:r>
      <w:r w:rsidR="00557DE0">
        <w:rPr>
          <w:rFonts w:eastAsia="Arial Unicode MS"/>
          <w:bCs/>
          <w:lang w:eastAsia="fr-FR" w:bidi="he-IL"/>
        </w:rPr>
        <w:t>’</w:t>
      </w:r>
      <w:r w:rsidR="00B704AD" w:rsidRPr="00C8701B">
        <w:rPr>
          <w:rFonts w:eastAsia="Arial Unicode MS"/>
          <w:bCs/>
          <w:lang w:eastAsia="fr-FR" w:bidi="he-IL"/>
        </w:rPr>
        <w:t>arrangement particulier des faits ou des paroles. Alors même qu</w:t>
      </w:r>
      <w:r w:rsidR="00557DE0">
        <w:rPr>
          <w:rFonts w:eastAsia="Arial Unicode MS"/>
          <w:bCs/>
          <w:lang w:eastAsia="fr-FR" w:bidi="he-IL"/>
        </w:rPr>
        <w:t>’</w:t>
      </w:r>
      <w:r w:rsidR="00B704AD" w:rsidRPr="00C8701B">
        <w:rPr>
          <w:rFonts w:eastAsia="Arial Unicode MS"/>
          <w:bCs/>
          <w:lang w:eastAsia="fr-FR" w:bidi="he-IL"/>
        </w:rPr>
        <w:t>un épisode se compose des mêmes éléments</w:t>
      </w:r>
      <w:r w:rsidR="00E65435">
        <w:rPr>
          <w:rFonts w:eastAsia="Arial Unicode MS"/>
          <w:bCs/>
          <w:lang w:eastAsia="fr-FR" w:bidi="he-IL"/>
        </w:rPr>
        <w:t xml:space="preserve">, </w:t>
      </w:r>
      <w:r w:rsidR="00B704AD" w:rsidRPr="00C8701B">
        <w:rPr>
          <w:rFonts w:eastAsia="Arial Unicode MS"/>
          <w:bCs/>
          <w:lang w:eastAsia="fr-FR" w:bidi="he-IL"/>
        </w:rPr>
        <w:t>ces éléments changent souvent de place dans l</w:t>
      </w:r>
      <w:r w:rsidR="00557DE0">
        <w:rPr>
          <w:rFonts w:eastAsia="Arial Unicode MS"/>
          <w:bCs/>
          <w:lang w:eastAsia="fr-FR" w:bidi="he-IL"/>
        </w:rPr>
        <w:t>’</w:t>
      </w:r>
      <w:r w:rsidR="00B704AD" w:rsidRPr="00C8701B">
        <w:rPr>
          <w:rFonts w:eastAsia="Arial Unicode MS"/>
          <w:bCs/>
          <w:lang w:eastAsia="fr-FR" w:bidi="he-IL"/>
        </w:rPr>
        <w:t>une ou l</w:t>
      </w:r>
      <w:r w:rsidR="00557DE0">
        <w:rPr>
          <w:rFonts w:eastAsia="Arial Unicode MS"/>
          <w:bCs/>
          <w:lang w:eastAsia="fr-FR" w:bidi="he-IL"/>
        </w:rPr>
        <w:t>’</w:t>
      </w:r>
      <w:r w:rsidR="00B704AD" w:rsidRPr="00C8701B">
        <w:rPr>
          <w:rFonts w:eastAsia="Arial Unicode MS"/>
          <w:bCs/>
          <w:lang w:eastAsia="fr-FR" w:bidi="he-IL"/>
        </w:rPr>
        <w:t>autre des narrations</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ou bien</w:t>
      </w:r>
      <w:r w:rsidR="00E65435">
        <w:rPr>
          <w:rFonts w:eastAsia="Arial Unicode MS"/>
          <w:bCs/>
          <w:lang w:eastAsia="fr-FR" w:bidi="he-IL"/>
        </w:rPr>
        <w:t xml:space="preserve">, </w:t>
      </w:r>
      <w:r w:rsidR="00B704AD" w:rsidRPr="00C8701B">
        <w:rPr>
          <w:rFonts w:eastAsia="Arial Unicode MS"/>
          <w:bCs/>
          <w:lang w:eastAsia="fr-FR" w:bidi="he-IL"/>
        </w:rPr>
        <w:t>quelqu</w:t>
      </w:r>
      <w:r w:rsidR="00557DE0">
        <w:rPr>
          <w:rFonts w:eastAsia="Arial Unicode MS"/>
          <w:bCs/>
          <w:lang w:eastAsia="fr-FR" w:bidi="he-IL"/>
        </w:rPr>
        <w:t>’</w:t>
      </w:r>
      <w:r w:rsidR="00B704AD" w:rsidRPr="00C8701B">
        <w:rPr>
          <w:rFonts w:eastAsia="Arial Unicode MS"/>
          <w:bCs/>
          <w:lang w:eastAsia="fr-FR" w:bidi="he-IL"/>
        </w:rPr>
        <w:t>un des synoptiques supprimera</w:t>
      </w:r>
      <w:r w:rsidR="00E65435">
        <w:rPr>
          <w:rFonts w:eastAsia="Arial Unicode MS"/>
          <w:bCs/>
          <w:lang w:eastAsia="fr-FR" w:bidi="he-IL"/>
        </w:rPr>
        <w:t xml:space="preserve">, </w:t>
      </w:r>
      <w:r w:rsidR="00B704AD" w:rsidRPr="00C8701B">
        <w:rPr>
          <w:rFonts w:eastAsia="Arial Unicode MS"/>
          <w:bCs/>
          <w:lang w:eastAsia="fr-FR" w:bidi="he-IL"/>
        </w:rPr>
        <w:t>ajoutera un trait</w:t>
      </w:r>
      <w:r w:rsidR="00E65435">
        <w:rPr>
          <w:rFonts w:eastAsia="Arial Unicode MS"/>
          <w:bCs/>
          <w:lang w:eastAsia="fr-FR" w:bidi="he-IL"/>
        </w:rPr>
        <w:t xml:space="preserve">, </w:t>
      </w:r>
      <w:r w:rsidR="00B704AD" w:rsidRPr="00C8701B">
        <w:rPr>
          <w:rFonts w:eastAsia="Arial Unicode MS"/>
          <w:bCs/>
          <w:lang w:eastAsia="fr-FR" w:bidi="he-IL"/>
        </w:rPr>
        <w:t>de manière à modifier l</w:t>
      </w:r>
      <w:r w:rsidR="00557DE0">
        <w:rPr>
          <w:rFonts w:eastAsia="Arial Unicode MS"/>
          <w:bCs/>
          <w:lang w:eastAsia="fr-FR" w:bidi="he-IL"/>
        </w:rPr>
        <w:t>’</w:t>
      </w:r>
      <w:r w:rsidR="00B704AD" w:rsidRPr="00C8701B">
        <w:rPr>
          <w:rFonts w:eastAsia="Arial Unicode MS"/>
          <w:bCs/>
          <w:lang w:eastAsia="fr-FR" w:bidi="he-IL"/>
        </w:rPr>
        <w:t>incident.</w:t>
      </w:r>
      <w:r w:rsidR="00C2602D" w:rsidRPr="00C8701B">
        <w:rPr>
          <w:rFonts w:eastAsia="Arial Unicode MS"/>
          <w:bCs/>
          <w:lang w:eastAsia="fr-FR" w:bidi="he-IL"/>
        </w:rPr>
        <w:t xml:space="preserve"> </w:t>
      </w:r>
    </w:p>
    <w:p w:rsidR="00C2602D" w:rsidRPr="00C8701B" w:rsidRDefault="00B704AD" w:rsidP="00557DE0">
      <w:pPr>
        <w:rPr>
          <w:rFonts w:eastAsia="Arial Unicode MS"/>
          <w:bCs/>
          <w:lang w:eastAsia="fr-FR" w:bidi="he-IL"/>
        </w:rPr>
      </w:pPr>
      <w:r w:rsidRPr="00C8701B">
        <w:rPr>
          <w:rFonts w:eastAsia="Arial Unicode MS"/>
          <w:bCs/>
          <w:lang w:eastAsia="fr-FR" w:bidi="he-IL"/>
        </w:rPr>
        <w:t>La vigoureuse réponse de Jésus à l</w:t>
      </w:r>
      <w:r w:rsidR="00557DE0">
        <w:rPr>
          <w:rFonts w:eastAsia="Arial Unicode MS"/>
          <w:bCs/>
          <w:lang w:eastAsia="fr-FR" w:bidi="he-IL"/>
        </w:rPr>
        <w:t>’</w:t>
      </w:r>
      <w:r w:rsidRPr="00C8701B">
        <w:rPr>
          <w:rFonts w:eastAsia="Arial Unicode MS"/>
          <w:bCs/>
          <w:lang w:eastAsia="fr-FR" w:bidi="he-IL"/>
        </w:rPr>
        <w:t>accusation blasphématoire des Pharisiens est très instructive sous ce rapport</w:t>
      </w:r>
      <w:r w:rsidR="00933C60" w:rsidRPr="00C406FF">
        <w:rPr>
          <w:rStyle w:val="Appelnotedebasdep"/>
        </w:rPr>
        <w:footnoteReference w:id="168"/>
      </w:r>
      <w:r w:rsidRPr="00C8701B">
        <w:rPr>
          <w:rFonts w:eastAsia="Arial Unicode MS"/>
          <w:bCs/>
          <w:lang w:eastAsia="fr-FR" w:bidi="he-IL"/>
        </w:rPr>
        <w:t>. En réalité</w:t>
      </w:r>
      <w:r w:rsidR="00E65435">
        <w:rPr>
          <w:rFonts w:eastAsia="Arial Unicode MS"/>
          <w:bCs/>
          <w:lang w:eastAsia="fr-FR" w:bidi="he-IL"/>
        </w:rPr>
        <w:t xml:space="preserve">, </w:t>
      </w:r>
      <w:r w:rsidRPr="00C8701B">
        <w:rPr>
          <w:rFonts w:eastAsia="Arial Unicode MS"/>
          <w:bCs/>
          <w:lang w:eastAsia="fr-FR" w:bidi="he-IL"/>
        </w:rPr>
        <w:t>nous avons un récit commun et identique dans les trois volumes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et pourtant</w:t>
      </w:r>
      <w:r w:rsidR="00E65435">
        <w:rPr>
          <w:rFonts w:eastAsia="Arial Unicode MS"/>
          <w:bCs/>
          <w:lang w:eastAsia="fr-FR" w:bidi="he-IL"/>
        </w:rPr>
        <w:t xml:space="preserve">, </w:t>
      </w:r>
      <w:r w:rsidRPr="00C8701B">
        <w:rPr>
          <w:rFonts w:eastAsia="Arial Unicode MS"/>
          <w:bCs/>
          <w:lang w:eastAsia="fr-FR" w:bidi="he-IL"/>
        </w:rPr>
        <w:t>quelles différences nombreuses dans chaque évangile pour les détails et pour leur agencement</w:t>
      </w:r>
      <w:r w:rsidR="00C2602D" w:rsidRPr="00C8701B">
        <w:rPr>
          <w:rFonts w:eastAsia="Arial Unicode MS"/>
          <w:bCs/>
          <w:lang w:eastAsia="fr-FR" w:bidi="he-IL"/>
        </w:rPr>
        <w:t> !</w:t>
      </w:r>
      <w:r w:rsidRPr="00C8701B">
        <w:rPr>
          <w:rFonts w:eastAsia="Arial Unicode MS"/>
          <w:bCs/>
          <w:lang w:eastAsia="fr-FR" w:bidi="he-IL"/>
        </w:rPr>
        <w:t xml:space="preserve"> S. Marc est seul à faire connaître l</w:t>
      </w:r>
      <w:r w:rsidR="00557DE0">
        <w:rPr>
          <w:rFonts w:eastAsia="Arial Unicode MS"/>
          <w:bCs/>
          <w:lang w:eastAsia="fr-FR" w:bidi="he-IL"/>
        </w:rPr>
        <w:t>’</w:t>
      </w:r>
      <w:r w:rsidRPr="00C8701B">
        <w:rPr>
          <w:rFonts w:eastAsia="Arial Unicode MS"/>
          <w:bCs/>
          <w:lang w:eastAsia="fr-FR" w:bidi="he-IL"/>
        </w:rPr>
        <w:t>occasion générale</w:t>
      </w:r>
      <w:r w:rsidR="00C2602D" w:rsidRPr="00C8701B">
        <w:rPr>
          <w:rFonts w:eastAsia="Arial Unicode MS"/>
          <w:bCs/>
          <w:lang w:eastAsia="fr-FR" w:bidi="he-IL"/>
        </w:rPr>
        <w:t> :</w:t>
      </w:r>
      <w:r w:rsidRPr="00C8701B">
        <w:rPr>
          <w:rFonts w:eastAsia="Arial Unicode MS"/>
          <w:bCs/>
          <w:lang w:eastAsia="fr-FR" w:bidi="he-IL"/>
        </w:rPr>
        <w:t xml:space="preserve"> </w:t>
      </w:r>
      <w:r w:rsidR="00C2602D" w:rsidRPr="00C8701B">
        <w:rPr>
          <w:rFonts w:eastAsia="Arial Unicode MS"/>
          <w:bCs/>
          <w:lang w:eastAsia="fr-FR" w:bidi="he-IL"/>
        </w:rPr>
        <w:t>« </w:t>
      </w:r>
      <w:r w:rsidRPr="00C8701B">
        <w:rPr>
          <w:rFonts w:eastAsia="Arial Unicode MS"/>
          <w:bCs/>
          <w:lang w:eastAsia="fr-FR" w:bidi="he-IL"/>
        </w:rPr>
        <w:t>Et ils vinrent à la maison</w:t>
      </w:r>
      <w:r w:rsidR="00E65435">
        <w:rPr>
          <w:rFonts w:eastAsia="Arial Unicode MS"/>
          <w:bCs/>
          <w:lang w:eastAsia="fr-FR" w:bidi="he-IL"/>
        </w:rPr>
        <w:t xml:space="preserve">, </w:t>
      </w:r>
      <w:r w:rsidRPr="00C8701B">
        <w:rPr>
          <w:rFonts w:eastAsia="Arial Unicode MS"/>
          <w:bCs/>
          <w:lang w:eastAsia="fr-FR" w:bidi="he-IL"/>
        </w:rPr>
        <w:t>et la foule s</w:t>
      </w:r>
      <w:r w:rsidR="00557DE0">
        <w:rPr>
          <w:rFonts w:eastAsia="Arial Unicode MS"/>
          <w:bCs/>
          <w:lang w:eastAsia="fr-FR" w:bidi="he-IL"/>
        </w:rPr>
        <w:t>’</w:t>
      </w:r>
      <w:r w:rsidRPr="00C8701B">
        <w:rPr>
          <w:rFonts w:eastAsia="Arial Unicode MS"/>
          <w:bCs/>
          <w:lang w:eastAsia="fr-FR" w:bidi="he-IL"/>
        </w:rPr>
        <w:t>y assembla de nouveau</w:t>
      </w:r>
      <w:r w:rsidR="00E65435">
        <w:rPr>
          <w:rFonts w:eastAsia="Arial Unicode MS"/>
          <w:bCs/>
          <w:lang w:eastAsia="fr-FR" w:bidi="he-IL"/>
        </w:rPr>
        <w:t xml:space="preserve">, </w:t>
      </w:r>
      <w:r w:rsidRPr="00C8701B">
        <w:rPr>
          <w:rFonts w:eastAsia="Arial Unicode MS"/>
          <w:bCs/>
          <w:lang w:eastAsia="fr-FR" w:bidi="he-IL"/>
        </w:rPr>
        <w:t>à tel point qu</w:t>
      </w:r>
      <w:r w:rsidR="00557DE0">
        <w:rPr>
          <w:rFonts w:eastAsia="Arial Unicode MS"/>
          <w:bCs/>
          <w:lang w:eastAsia="fr-FR" w:bidi="he-IL"/>
        </w:rPr>
        <w:t>’</w:t>
      </w:r>
      <w:r w:rsidRPr="00C8701B">
        <w:rPr>
          <w:rFonts w:eastAsia="Arial Unicode MS"/>
          <w:bCs/>
          <w:lang w:eastAsia="fr-FR" w:bidi="he-IL"/>
        </w:rPr>
        <w:t>ils ne pouvaient pas même manger</w:t>
      </w:r>
      <w:r w:rsidR="00C151D4">
        <w:rPr>
          <w:rFonts w:eastAsia="Arial Unicode MS"/>
          <w:bCs/>
          <w:lang w:eastAsia="fr-FR" w:bidi="he-IL"/>
        </w:rPr>
        <w:t> »</w:t>
      </w:r>
      <w:r w:rsidR="00933C60" w:rsidRPr="00C406FF">
        <w:rPr>
          <w:rStyle w:val="Appelnotedebasdep"/>
        </w:rPr>
        <w:footnoteReference w:id="169"/>
      </w:r>
      <w:r w:rsidRPr="00C8701B">
        <w:rPr>
          <w:rFonts w:eastAsia="Arial Unicode MS"/>
          <w:bCs/>
          <w:lang w:eastAsia="fr-FR" w:bidi="he-IL"/>
        </w:rPr>
        <w:t>. Mais il omet de marquer ensuite l</w:t>
      </w:r>
      <w:r w:rsidR="00557DE0">
        <w:rPr>
          <w:rFonts w:eastAsia="Arial Unicode MS"/>
          <w:bCs/>
          <w:lang w:eastAsia="fr-FR" w:bidi="he-IL"/>
        </w:rPr>
        <w:t>’</w:t>
      </w:r>
      <w:r w:rsidRPr="00C8701B">
        <w:rPr>
          <w:rFonts w:eastAsia="Arial Unicode MS"/>
          <w:bCs/>
          <w:lang w:eastAsia="fr-FR" w:bidi="he-IL"/>
        </w:rPr>
        <w:t>occasion particulière du blasphème</w:t>
      </w:r>
      <w:r w:rsidR="00C2602D" w:rsidRPr="00C8701B">
        <w:rPr>
          <w:rFonts w:eastAsia="Arial Unicode MS"/>
          <w:bCs/>
          <w:lang w:eastAsia="fr-FR" w:bidi="he-IL"/>
        </w:rPr>
        <w:t> :</w:t>
      </w:r>
      <w:r w:rsidR="00CE11E9">
        <w:rPr>
          <w:rFonts w:eastAsia="Arial Unicode MS"/>
          <w:bCs/>
          <w:lang w:eastAsia="fr-FR" w:bidi="he-IL"/>
        </w:rPr>
        <w:t xml:space="preserve"> </w:t>
      </w:r>
      <w:r w:rsidR="00F12048" w:rsidRPr="00C8701B">
        <w:rPr>
          <w:rFonts w:eastAsia="Arial Unicode MS"/>
          <w:bCs/>
          <w:lang w:eastAsia="fr-FR" w:bidi="he-IL"/>
        </w:rPr>
        <w:t>« </w:t>
      </w:r>
      <w:r w:rsidRPr="00C8701B">
        <w:rPr>
          <w:rFonts w:eastAsia="Arial Unicode MS"/>
          <w:bCs/>
          <w:lang w:eastAsia="fr-FR" w:bidi="he-IL"/>
        </w:rPr>
        <w:t>Alors</w:t>
      </w:r>
      <w:r w:rsidR="00C151D4">
        <w:rPr>
          <w:rFonts w:eastAsia="Arial Unicode MS"/>
          <w:bCs/>
          <w:lang w:eastAsia="fr-FR" w:bidi="he-IL"/>
        </w:rPr>
        <w:t xml:space="preserve"> on présenta à Jésus un homme av</w:t>
      </w:r>
      <w:r w:rsidRPr="00C8701B">
        <w:rPr>
          <w:rFonts w:eastAsia="Arial Unicode MS"/>
          <w:bCs/>
          <w:lang w:eastAsia="fr-FR" w:bidi="he-IL"/>
        </w:rPr>
        <w:t>eugle et muet</w:t>
      </w:r>
      <w:r w:rsidR="00E65435">
        <w:rPr>
          <w:rFonts w:eastAsia="Arial Unicode MS"/>
          <w:bCs/>
          <w:lang w:eastAsia="fr-FR" w:bidi="he-IL"/>
        </w:rPr>
        <w:t xml:space="preserve">, </w:t>
      </w:r>
      <w:r w:rsidRPr="00C8701B">
        <w:rPr>
          <w:rFonts w:eastAsia="Arial Unicode MS"/>
          <w:bCs/>
          <w:lang w:eastAsia="fr-FR" w:bidi="he-IL"/>
        </w:rPr>
        <w:t>possédé au démon</w:t>
      </w:r>
      <w:r w:rsidR="00E65435">
        <w:rPr>
          <w:rFonts w:eastAsia="Arial Unicode MS"/>
          <w:bCs/>
          <w:lang w:eastAsia="fr-FR" w:bidi="he-IL"/>
        </w:rPr>
        <w:t xml:space="preserve">, </w:t>
      </w:r>
      <w:r w:rsidRPr="00C8701B">
        <w:rPr>
          <w:rFonts w:eastAsia="Arial Unicode MS"/>
          <w:bCs/>
          <w:lang w:eastAsia="fr-FR" w:bidi="he-IL"/>
        </w:rPr>
        <w:t>et il le guérit</w:t>
      </w:r>
      <w:r w:rsidR="00E65435">
        <w:rPr>
          <w:rFonts w:eastAsia="Arial Unicode MS"/>
          <w:bCs/>
          <w:lang w:eastAsia="fr-FR" w:bidi="he-IL"/>
        </w:rPr>
        <w:t xml:space="preserve">, </w:t>
      </w:r>
      <w:r w:rsidRPr="00C8701B">
        <w:rPr>
          <w:rFonts w:eastAsia="Arial Unicode MS"/>
          <w:bCs/>
          <w:lang w:eastAsia="fr-FR" w:bidi="he-IL"/>
        </w:rPr>
        <w:t>de sorte qu</w:t>
      </w:r>
      <w:r w:rsidR="00557DE0">
        <w:rPr>
          <w:rFonts w:eastAsia="Arial Unicode MS"/>
          <w:bCs/>
          <w:lang w:eastAsia="fr-FR" w:bidi="he-IL"/>
        </w:rPr>
        <w:t>’</w:t>
      </w:r>
      <w:r w:rsidRPr="00C8701B">
        <w:rPr>
          <w:rFonts w:eastAsia="Arial Unicode MS"/>
          <w:bCs/>
          <w:lang w:eastAsia="fr-FR" w:bidi="he-IL"/>
        </w:rPr>
        <w:t>il parlait et voyait. Et tout le peuple stupéfait disait</w:t>
      </w:r>
      <w:r w:rsidR="00C2602D" w:rsidRPr="00C8701B">
        <w:rPr>
          <w:rFonts w:eastAsia="Arial Unicode MS"/>
          <w:bCs/>
          <w:lang w:eastAsia="fr-FR" w:bidi="he-IL"/>
        </w:rPr>
        <w:t> :</w:t>
      </w:r>
      <w:r w:rsidRPr="00C8701B">
        <w:rPr>
          <w:rFonts w:eastAsia="Arial Unicode MS"/>
          <w:bCs/>
          <w:lang w:eastAsia="fr-FR" w:bidi="he-IL"/>
        </w:rPr>
        <w:t xml:space="preserve"> Celui-ci n</w:t>
      </w:r>
      <w:r w:rsidR="00557DE0">
        <w:rPr>
          <w:rFonts w:eastAsia="Arial Unicode MS"/>
          <w:bCs/>
          <w:lang w:eastAsia="fr-FR" w:bidi="he-IL"/>
        </w:rPr>
        <w:t>’</w:t>
      </w:r>
      <w:r w:rsidRPr="00C8701B">
        <w:rPr>
          <w:rFonts w:eastAsia="Arial Unicode MS"/>
          <w:bCs/>
          <w:lang w:eastAsia="fr-FR" w:bidi="he-IL"/>
        </w:rPr>
        <w:t>est</w:t>
      </w:r>
      <w:r w:rsidR="00557DE0">
        <w:rPr>
          <w:rFonts w:eastAsia="Arial Unicode MS"/>
          <w:bCs/>
          <w:lang w:eastAsia="fr-FR" w:bidi="he-IL"/>
        </w:rPr>
        <w:t xml:space="preserve"> </w:t>
      </w:r>
      <w:r w:rsidRPr="00C8701B">
        <w:rPr>
          <w:rFonts w:eastAsia="Arial Unicode MS"/>
          <w:bCs/>
          <w:lang w:eastAsia="fr-FR" w:bidi="he-IL"/>
        </w:rPr>
        <w:t>il point le fils de David</w:t>
      </w:r>
      <w:r w:rsidR="00933C60" w:rsidRPr="00C406FF">
        <w:rPr>
          <w:rStyle w:val="Appelnotedebasdep"/>
        </w:rPr>
        <w:footnoteReference w:id="170"/>
      </w:r>
      <w:r w:rsidR="00C2602D" w:rsidRPr="00C8701B">
        <w:rPr>
          <w:rFonts w:eastAsia="Arial Unicode MS"/>
          <w:bCs/>
          <w:lang w:eastAsia="fr-FR" w:bidi="he-IL"/>
        </w:rPr>
        <w:t> ?</w:t>
      </w:r>
      <w:r w:rsidR="00C27A97">
        <w:rPr>
          <w:rFonts w:eastAsia="Arial Unicode MS"/>
          <w:bCs/>
          <w:lang w:eastAsia="fr-FR" w:bidi="he-IL"/>
        </w:rPr>
        <w:t> »</w:t>
      </w:r>
      <w:r w:rsidRPr="00C8701B">
        <w:rPr>
          <w:rFonts w:eastAsia="Arial Unicode MS"/>
          <w:bCs/>
          <w:lang w:eastAsia="fr-FR" w:bidi="he-IL"/>
        </w:rPr>
        <w:t xml:space="preserve">. </w:t>
      </w:r>
      <w:r w:rsidR="00557DE0" w:rsidRPr="000716BB">
        <w:rPr>
          <w:rFonts w:eastAsia="Arial Unicode MS"/>
          <w:bCs/>
          <w:lang w:eastAsia="fr-FR" w:bidi="he-IL"/>
        </w:rPr>
        <w:t>{</w:t>
      </w:r>
      <w:r w:rsidR="00557DE0">
        <w:rPr>
          <w:rFonts w:eastAsia="Arial Unicode MS"/>
          <w:bCs/>
          <w:lang w:eastAsia="fr-FR" w:bidi="he-IL"/>
        </w:rPr>
        <w:t>35</w:t>
      </w:r>
      <w:bookmarkStart w:id="61" w:name="pag035"/>
      <w:bookmarkEnd w:id="61"/>
      <w:r w:rsidR="00557DE0" w:rsidRPr="000716BB">
        <w:rPr>
          <w:rFonts w:eastAsia="Arial Unicode MS"/>
          <w:bCs/>
          <w:lang w:eastAsia="fr-FR" w:bidi="he-IL"/>
        </w:rPr>
        <w:t xml:space="preserve">} </w:t>
      </w:r>
      <w:r w:rsidRPr="00C8701B">
        <w:rPr>
          <w:rFonts w:eastAsia="Arial Unicode MS"/>
          <w:bCs/>
          <w:lang w:eastAsia="fr-FR" w:bidi="he-IL"/>
        </w:rPr>
        <w:t>Les troi</w:t>
      </w:r>
      <w:r w:rsidR="00C27A97">
        <w:rPr>
          <w:rFonts w:eastAsia="Arial Unicode MS"/>
          <w:bCs/>
          <w:lang w:eastAsia="fr-FR" w:bidi="he-IL"/>
        </w:rPr>
        <w:t xml:space="preserve">s </w:t>
      </w:r>
      <w:r w:rsidRPr="00C8701B">
        <w:rPr>
          <w:rFonts w:eastAsia="Arial Unicode MS"/>
          <w:bCs/>
          <w:lang w:eastAsia="fr-FR" w:bidi="he-IL"/>
        </w:rPr>
        <w:t>narrations se rencontrent ensuite pour signaler l</w:t>
      </w:r>
      <w:r w:rsidR="00557DE0">
        <w:rPr>
          <w:rFonts w:eastAsia="Arial Unicode MS"/>
          <w:bCs/>
          <w:lang w:eastAsia="fr-FR" w:bidi="he-IL"/>
        </w:rPr>
        <w:t>’</w:t>
      </w:r>
      <w:r w:rsidRPr="00C8701B">
        <w:rPr>
          <w:rFonts w:eastAsia="Arial Unicode MS"/>
          <w:bCs/>
          <w:lang w:eastAsia="fr-FR" w:bidi="he-IL"/>
        </w:rPr>
        <w:t>outrage</w:t>
      </w:r>
      <w:r w:rsidR="00C2602D" w:rsidRPr="00C8701B">
        <w:rPr>
          <w:rFonts w:eastAsia="Arial Unicode MS"/>
          <w:bCs/>
          <w:lang w:eastAsia="fr-FR" w:bidi="he-IL"/>
        </w:rPr>
        <w:t> :</w:t>
      </w:r>
      <w:r w:rsidRPr="00C8701B">
        <w:rPr>
          <w:rFonts w:eastAsia="Arial Unicode MS"/>
          <w:bCs/>
          <w:lang w:eastAsia="fr-FR" w:bidi="he-IL"/>
        </w:rPr>
        <w:t xml:space="preserve"> </w:t>
      </w:r>
      <w:r w:rsidR="00C2602D" w:rsidRPr="00C8701B">
        <w:rPr>
          <w:rFonts w:eastAsia="Arial Unicode MS"/>
          <w:bCs/>
          <w:lang w:eastAsia="fr-FR" w:bidi="he-IL"/>
        </w:rPr>
        <w:t>« </w:t>
      </w:r>
      <w:r w:rsidRPr="00C8701B">
        <w:rPr>
          <w:rFonts w:eastAsia="Arial Unicode MS"/>
          <w:bCs/>
          <w:lang w:eastAsia="fr-FR" w:bidi="he-IL"/>
        </w:rPr>
        <w:t xml:space="preserve">Celui-ci ne chasse les démons que par </w:t>
      </w:r>
      <w:r w:rsidR="00116664" w:rsidRPr="00C8701B">
        <w:rPr>
          <w:rFonts w:eastAsia="Arial Unicode MS"/>
          <w:bCs/>
          <w:lang w:eastAsia="fr-FR" w:bidi="he-IL"/>
        </w:rPr>
        <w:t>Beelzebúb</w:t>
      </w:r>
      <w:r w:rsidR="00E65435">
        <w:rPr>
          <w:rFonts w:eastAsia="Arial Unicode MS"/>
          <w:bCs/>
          <w:lang w:eastAsia="fr-FR" w:bidi="he-IL"/>
        </w:rPr>
        <w:t xml:space="preserve">, </w:t>
      </w:r>
      <w:r w:rsidRPr="00C8701B">
        <w:rPr>
          <w:rFonts w:eastAsia="Arial Unicode MS"/>
          <w:bCs/>
          <w:lang w:eastAsia="fr-FR" w:bidi="he-IL"/>
        </w:rPr>
        <w:t>prince des démons</w:t>
      </w:r>
      <w:r w:rsidR="00C2602D" w:rsidRPr="00C8701B">
        <w:rPr>
          <w:rFonts w:eastAsia="Arial Unicode MS"/>
          <w:bCs/>
          <w:lang w:eastAsia="fr-FR" w:bidi="he-IL"/>
        </w:rPr>
        <w:t> » </w:t>
      </w:r>
      <w:r w:rsidR="007F6508">
        <w:rPr>
          <w:rFonts w:eastAsia="Arial Unicode MS"/>
          <w:bCs/>
          <w:lang w:eastAsia="fr-FR" w:bidi="he-IL"/>
        </w:rPr>
        <w:t xml:space="preserve">; </w:t>
      </w:r>
      <w:r w:rsidRPr="00C8701B">
        <w:rPr>
          <w:rFonts w:eastAsia="Arial Unicode MS"/>
          <w:bCs/>
          <w:lang w:eastAsia="fr-FR" w:bidi="he-IL"/>
        </w:rPr>
        <w:t>mais elles se séparent presque aussitôt</w:t>
      </w:r>
      <w:r w:rsidR="00E65435">
        <w:rPr>
          <w:rFonts w:eastAsia="Arial Unicode MS"/>
          <w:bCs/>
          <w:lang w:eastAsia="fr-FR" w:bidi="he-IL"/>
        </w:rPr>
        <w:t xml:space="preserve">, </w:t>
      </w:r>
      <w:r w:rsidRPr="00C8701B">
        <w:rPr>
          <w:rFonts w:eastAsia="Arial Unicode MS"/>
          <w:bCs/>
          <w:lang w:eastAsia="fr-FR" w:bidi="he-IL"/>
        </w:rPr>
        <w:t>S. Luc insérant dès lors un petit trait entièrement omis par S. Marc</w:t>
      </w:r>
      <w:r w:rsidR="00E65435">
        <w:rPr>
          <w:rFonts w:eastAsia="Arial Unicode MS"/>
          <w:bCs/>
          <w:lang w:eastAsia="fr-FR" w:bidi="he-IL"/>
        </w:rPr>
        <w:t xml:space="preserve">, </w:t>
      </w:r>
      <w:r w:rsidRPr="00C8701B">
        <w:rPr>
          <w:rFonts w:eastAsia="Arial Unicode MS"/>
          <w:bCs/>
          <w:lang w:eastAsia="fr-FR" w:bidi="he-IL"/>
        </w:rPr>
        <w:t>et rejeté plus loin par S. Matthieu</w:t>
      </w:r>
      <w:r w:rsidR="00933C60" w:rsidRPr="00C406FF">
        <w:rPr>
          <w:rStyle w:val="Appelnotedebasdep"/>
        </w:rPr>
        <w:footnoteReference w:id="171"/>
      </w:r>
      <w:r w:rsidR="00C2602D" w:rsidRPr="00C8701B">
        <w:rPr>
          <w:rFonts w:eastAsia="Arial Unicode MS"/>
          <w:bCs/>
          <w:lang w:eastAsia="fr-FR" w:bidi="he-IL"/>
        </w:rPr>
        <w:t> :</w:t>
      </w:r>
      <w:r w:rsidRPr="00C8701B">
        <w:rPr>
          <w:rFonts w:eastAsia="Arial Unicode MS"/>
          <w:bCs/>
          <w:lang w:eastAsia="fr-FR" w:bidi="he-IL"/>
        </w:rPr>
        <w:t xml:space="preserve"> </w:t>
      </w:r>
      <w:r w:rsidR="00C2602D" w:rsidRPr="00C8701B">
        <w:rPr>
          <w:rFonts w:eastAsia="Arial Unicode MS"/>
          <w:bCs/>
          <w:lang w:eastAsia="fr-FR" w:bidi="he-IL"/>
        </w:rPr>
        <w:t>«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autres</w:t>
      </w:r>
      <w:r w:rsidR="00E65435">
        <w:rPr>
          <w:rFonts w:eastAsia="Arial Unicode MS"/>
          <w:bCs/>
          <w:lang w:eastAsia="fr-FR" w:bidi="he-IL"/>
        </w:rPr>
        <w:t xml:space="preserve">, </w:t>
      </w:r>
      <w:r w:rsidRPr="00C8701B">
        <w:rPr>
          <w:rFonts w:eastAsia="Arial Unicode MS"/>
          <w:bCs/>
          <w:lang w:eastAsia="fr-FR" w:bidi="he-IL"/>
        </w:rPr>
        <w:t>pour le tenter</w:t>
      </w:r>
      <w:r w:rsidR="00E65435">
        <w:rPr>
          <w:rFonts w:eastAsia="Arial Unicode MS"/>
          <w:bCs/>
          <w:lang w:eastAsia="fr-FR" w:bidi="he-IL"/>
        </w:rPr>
        <w:t xml:space="preserve">, </w:t>
      </w:r>
      <w:r w:rsidRPr="00C8701B">
        <w:rPr>
          <w:rFonts w:eastAsia="Arial Unicode MS"/>
          <w:bCs/>
          <w:lang w:eastAsia="fr-FR" w:bidi="he-IL"/>
        </w:rPr>
        <w:t>lui demandaient un signe du ciel</w:t>
      </w:r>
      <w:r w:rsidR="00C2602D" w:rsidRPr="00C8701B">
        <w:rPr>
          <w:rFonts w:eastAsia="Arial Unicode MS"/>
          <w:bCs/>
          <w:lang w:eastAsia="fr-FR" w:bidi="he-IL"/>
        </w:rPr>
        <w:t> »</w:t>
      </w:r>
      <w:r w:rsidR="00933C60" w:rsidRPr="00C406FF">
        <w:rPr>
          <w:rStyle w:val="Appelnotedebasdep"/>
        </w:rPr>
        <w:footnoteReference w:id="172"/>
      </w:r>
      <w:r w:rsidRPr="00C8701B">
        <w:rPr>
          <w:rFonts w:eastAsia="Arial Unicode MS"/>
          <w:bCs/>
          <w:lang w:eastAsia="fr-FR" w:bidi="he-IL"/>
        </w:rPr>
        <w:t>. Que de divergences déjà</w:t>
      </w:r>
      <w:r w:rsidR="00C2602D" w:rsidRPr="00C8701B">
        <w:rPr>
          <w:rFonts w:eastAsia="Arial Unicode MS"/>
          <w:bCs/>
          <w:lang w:eastAsia="fr-FR" w:bidi="he-IL"/>
        </w:rPr>
        <w:t> !</w:t>
      </w:r>
      <w:r w:rsidRPr="00C8701B">
        <w:rPr>
          <w:rFonts w:eastAsia="Arial Unicode MS"/>
          <w:bCs/>
          <w:lang w:eastAsia="fr-FR" w:bidi="he-IL"/>
        </w:rPr>
        <w:t xml:space="preserve"> Et nous ne sommes qu</w:t>
      </w:r>
      <w:r w:rsidR="00557DE0">
        <w:rPr>
          <w:rFonts w:eastAsia="Arial Unicode MS"/>
          <w:bCs/>
          <w:lang w:eastAsia="fr-FR" w:bidi="he-IL"/>
        </w:rPr>
        <w:t>’</w:t>
      </w:r>
      <w:r w:rsidRPr="00C8701B">
        <w:rPr>
          <w:rFonts w:eastAsia="Arial Unicode MS"/>
          <w:bCs/>
          <w:lang w:eastAsia="fr-FR" w:bidi="he-IL"/>
        </w:rPr>
        <w:t>au début du récit. Jésus commence son argumentation</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mais ses raisonnements ne sont pas absolument les mêmes</w:t>
      </w:r>
      <w:r w:rsidR="00E65435">
        <w:rPr>
          <w:rFonts w:eastAsia="Arial Unicode MS"/>
          <w:bCs/>
          <w:lang w:eastAsia="fr-FR" w:bidi="he-IL"/>
        </w:rPr>
        <w:t xml:space="preserve">, </w:t>
      </w:r>
      <w:r w:rsidR="00C27A97">
        <w:rPr>
          <w:rFonts w:eastAsia="Arial Unicode MS"/>
          <w:bCs/>
          <w:lang w:eastAsia="fr-FR" w:bidi="he-IL"/>
        </w:rPr>
        <w:t>et ils ne se suivent point dan</w:t>
      </w:r>
      <w:r w:rsidRPr="00C8701B">
        <w:rPr>
          <w:rFonts w:eastAsia="Arial Unicode MS"/>
          <w:bCs/>
          <w:lang w:eastAsia="fr-FR" w:bidi="he-IL"/>
        </w:rPr>
        <w:t>s le même ordre d</w:t>
      </w:r>
      <w:r w:rsidR="00557DE0">
        <w:rPr>
          <w:rFonts w:eastAsia="Arial Unicode MS"/>
          <w:bCs/>
          <w:lang w:eastAsia="fr-FR" w:bidi="he-IL"/>
        </w:rPr>
        <w:t>’</w:t>
      </w:r>
      <w:r w:rsidRPr="00C8701B">
        <w:rPr>
          <w:rFonts w:eastAsia="Arial Unicode MS"/>
          <w:bCs/>
          <w:lang w:eastAsia="fr-FR" w:bidi="he-IL"/>
        </w:rPr>
        <w:t>après les différentes rédactions. Remarquez surtout la transposition extraordinaire de ce qui concerne l</w:t>
      </w:r>
      <w:r w:rsidR="00557DE0">
        <w:rPr>
          <w:rFonts w:eastAsia="Arial Unicode MS"/>
          <w:bCs/>
          <w:lang w:eastAsia="fr-FR" w:bidi="he-IL"/>
        </w:rPr>
        <w:t>’</w:t>
      </w:r>
      <w:r w:rsidRPr="00C8701B">
        <w:rPr>
          <w:rFonts w:eastAsia="Arial Unicode MS"/>
          <w:bCs/>
          <w:lang w:eastAsia="fr-FR" w:bidi="he-IL"/>
        </w:rPr>
        <w:t>esprit immonde chassé de sa maison</w:t>
      </w:r>
      <w:r w:rsidR="00E65435">
        <w:rPr>
          <w:rFonts w:eastAsia="Arial Unicode MS"/>
          <w:bCs/>
          <w:lang w:eastAsia="fr-FR" w:bidi="he-IL"/>
        </w:rPr>
        <w:t xml:space="preserve">, </w:t>
      </w:r>
      <w:r w:rsidRPr="00C8701B">
        <w:rPr>
          <w:rFonts w:eastAsia="Arial Unicode MS"/>
          <w:bCs/>
          <w:lang w:eastAsia="fr-FR" w:bidi="he-IL"/>
        </w:rPr>
        <w:t>et y rentrant avec une nouvelle puissance.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Il y aurait cent autres traits analogues à signaler. L</w:t>
      </w:r>
      <w:r w:rsidR="00557DE0">
        <w:rPr>
          <w:rFonts w:eastAsia="Arial Unicode MS"/>
          <w:bCs/>
          <w:lang w:eastAsia="fr-FR" w:bidi="he-IL"/>
        </w:rPr>
        <w:t>’</w:t>
      </w:r>
      <w:r w:rsidRPr="00C8701B">
        <w:rPr>
          <w:rFonts w:eastAsia="Arial Unicode MS"/>
          <w:bCs/>
          <w:lang w:eastAsia="fr-FR" w:bidi="he-IL"/>
        </w:rPr>
        <w:t>un des plus saisissants nous serait fourni par les récits du reniement de S. Pierre</w:t>
      </w:r>
      <w:r w:rsidR="00E65435">
        <w:rPr>
          <w:rFonts w:eastAsia="Arial Unicode MS"/>
          <w:bCs/>
          <w:lang w:eastAsia="fr-FR" w:bidi="he-IL"/>
        </w:rPr>
        <w:t xml:space="preserve">, </w:t>
      </w:r>
      <w:r w:rsidRPr="00C8701B">
        <w:rPr>
          <w:rFonts w:eastAsia="Arial Unicode MS"/>
          <w:bCs/>
          <w:lang w:eastAsia="fr-FR" w:bidi="he-IL"/>
        </w:rPr>
        <w:t>où l</w:t>
      </w:r>
      <w:r w:rsidR="00557DE0">
        <w:rPr>
          <w:rFonts w:eastAsia="Arial Unicode MS"/>
          <w:bCs/>
          <w:lang w:eastAsia="fr-FR" w:bidi="he-IL"/>
        </w:rPr>
        <w:t>’</w:t>
      </w:r>
      <w:r w:rsidRPr="00C8701B">
        <w:rPr>
          <w:rFonts w:eastAsia="Arial Unicode MS"/>
          <w:bCs/>
          <w:lang w:eastAsia="fr-FR" w:bidi="he-IL"/>
        </w:rPr>
        <w:t>on rencontre tant de divergences associées à une très grande coïncidence</w:t>
      </w:r>
      <w:r w:rsidR="00933C60" w:rsidRPr="00C406FF">
        <w:rPr>
          <w:rStyle w:val="Appelnotedebasdep"/>
        </w:rPr>
        <w:footnoteReference w:id="173"/>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On pourrait établir également avec fruit des comparaisons entre les synoptiques</w:t>
      </w:r>
      <w:r w:rsidR="00E65435">
        <w:rPr>
          <w:rFonts w:eastAsia="Arial Unicode MS"/>
          <w:bCs/>
          <w:lang w:eastAsia="fr-FR" w:bidi="he-IL"/>
        </w:rPr>
        <w:t xml:space="preserve">, </w:t>
      </w:r>
      <w:r w:rsidRPr="00C8701B">
        <w:rPr>
          <w:rFonts w:eastAsia="Arial Unicode MS"/>
          <w:bCs/>
          <w:lang w:eastAsia="fr-FR" w:bidi="he-IL"/>
        </w:rPr>
        <w:t>pour les incidents relatifs à la passion et à la résurrection de Notre-Seigneur Jésus-Christ.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C. Les divergences de diction</w:t>
      </w:r>
      <w:r w:rsidR="00E65435">
        <w:rPr>
          <w:rFonts w:eastAsia="Arial Unicode MS"/>
          <w:bCs/>
          <w:lang w:eastAsia="fr-FR" w:bidi="he-IL"/>
        </w:rPr>
        <w:t xml:space="preserve">, </w:t>
      </w:r>
      <w:r w:rsidRPr="00C8701B">
        <w:rPr>
          <w:rFonts w:eastAsia="Arial Unicode MS"/>
          <w:bCs/>
          <w:lang w:eastAsia="fr-FR" w:bidi="he-IL"/>
        </w:rPr>
        <w:t>ou divergences verbales</w:t>
      </w:r>
      <w:r w:rsidR="00E65435">
        <w:rPr>
          <w:rFonts w:eastAsia="Arial Unicode MS"/>
          <w:bCs/>
          <w:lang w:eastAsia="fr-FR" w:bidi="he-IL"/>
        </w:rPr>
        <w:t xml:space="preserve">, </w:t>
      </w:r>
      <w:r w:rsidRPr="00C8701B">
        <w:rPr>
          <w:rFonts w:eastAsia="Arial Unicode MS"/>
          <w:bCs/>
          <w:lang w:eastAsia="fr-FR" w:bidi="he-IL"/>
        </w:rPr>
        <w:t>frappent l</w:t>
      </w:r>
      <w:r w:rsidR="00557DE0">
        <w:rPr>
          <w:rFonts w:eastAsia="Arial Unicode MS"/>
          <w:bCs/>
          <w:lang w:eastAsia="fr-FR" w:bidi="he-IL"/>
        </w:rPr>
        <w:t>’</w:t>
      </w:r>
      <w:r w:rsidRPr="00C8701B">
        <w:rPr>
          <w:rFonts w:eastAsia="Arial Unicode MS"/>
          <w:bCs/>
          <w:lang w:eastAsia="fr-FR" w:bidi="he-IL"/>
        </w:rPr>
        <w:t>esprit et le regard plus aisément encore que celles qui se rapportent aux matériaux et à leur organisation.</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Qu</w:t>
      </w:r>
      <w:r w:rsidR="00557DE0">
        <w:rPr>
          <w:rFonts w:eastAsia="Arial Unicode MS"/>
          <w:bCs/>
          <w:lang w:eastAsia="fr-FR" w:bidi="he-IL"/>
        </w:rPr>
        <w:t>’</w:t>
      </w:r>
      <w:r w:rsidRPr="00C8701B">
        <w:rPr>
          <w:rFonts w:eastAsia="Arial Unicode MS"/>
          <w:bCs/>
          <w:lang w:eastAsia="fr-FR" w:bidi="he-IL"/>
        </w:rPr>
        <w:t>on veuille bien se reporter aux textes transcrits plus haut</w:t>
      </w:r>
      <w:r w:rsidR="00933C60" w:rsidRPr="00C406FF">
        <w:rPr>
          <w:rStyle w:val="Appelnotedebasdep"/>
        </w:rPr>
        <w:footnoteReference w:id="174"/>
      </w:r>
      <w:r w:rsidRPr="00C8701B">
        <w:rPr>
          <w:rFonts w:eastAsia="Arial Unicode MS"/>
          <w:bCs/>
          <w:lang w:eastAsia="fr-FR" w:bidi="he-IL"/>
        </w:rPr>
        <w:t>. Ils avaient cependant pour but d</w:t>
      </w:r>
      <w:r w:rsidR="00557DE0">
        <w:rPr>
          <w:rFonts w:eastAsia="Arial Unicode MS"/>
          <w:bCs/>
          <w:lang w:eastAsia="fr-FR" w:bidi="he-IL"/>
        </w:rPr>
        <w:t>’</w:t>
      </w:r>
      <w:r w:rsidRPr="00C8701B">
        <w:rPr>
          <w:rFonts w:eastAsia="Arial Unicode MS"/>
          <w:bCs/>
          <w:lang w:eastAsia="fr-FR" w:bidi="he-IL"/>
        </w:rPr>
        <w:t>établir des relations d</w:t>
      </w:r>
      <w:r w:rsidR="00557DE0">
        <w:rPr>
          <w:rFonts w:eastAsia="Arial Unicode MS"/>
          <w:bCs/>
          <w:lang w:eastAsia="fr-FR" w:bidi="he-IL"/>
        </w:rPr>
        <w:t>’</w:t>
      </w:r>
      <w:r w:rsidRPr="00C8701B">
        <w:rPr>
          <w:rFonts w:eastAsia="Arial Unicode MS"/>
          <w:bCs/>
          <w:lang w:eastAsia="fr-FR" w:bidi="he-IL"/>
        </w:rPr>
        <w:t>intime ressemblance entre les évangiles synoptiques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mais ils ne marquent pas moins les différences du fond</w:t>
      </w:r>
      <w:r w:rsidR="00E65435">
        <w:rPr>
          <w:rFonts w:eastAsia="Arial Unicode MS"/>
          <w:bCs/>
          <w:lang w:eastAsia="fr-FR" w:bidi="he-IL"/>
        </w:rPr>
        <w:t xml:space="preserve">, </w:t>
      </w:r>
      <w:r w:rsidRPr="00C8701B">
        <w:rPr>
          <w:rFonts w:eastAsia="Arial Unicode MS"/>
          <w:bCs/>
          <w:lang w:eastAsia="fr-FR" w:bidi="he-IL"/>
        </w:rPr>
        <w:t>et surtout de la forme. Nous pouvons</w:t>
      </w:r>
      <w:r w:rsidR="00E65435">
        <w:rPr>
          <w:rFonts w:eastAsia="Arial Unicode MS"/>
          <w:bCs/>
          <w:lang w:eastAsia="fr-FR" w:bidi="he-IL"/>
        </w:rPr>
        <w:t xml:space="preserve">, </w:t>
      </w:r>
      <w:r w:rsidRPr="00C8701B">
        <w:rPr>
          <w:rFonts w:eastAsia="Arial Unicode MS"/>
          <w:bCs/>
          <w:lang w:eastAsia="fr-FR" w:bidi="he-IL"/>
        </w:rPr>
        <w:t>du reste</w:t>
      </w:r>
      <w:r w:rsidR="00E65435">
        <w:rPr>
          <w:rFonts w:eastAsia="Arial Unicode MS"/>
          <w:bCs/>
          <w:lang w:eastAsia="fr-FR" w:bidi="he-IL"/>
        </w:rPr>
        <w:t xml:space="preserve">, </w:t>
      </w:r>
      <w:r w:rsidRPr="00C8701B">
        <w:rPr>
          <w:rFonts w:eastAsia="Arial Unicode MS"/>
          <w:bCs/>
          <w:lang w:eastAsia="fr-FR" w:bidi="he-IL"/>
        </w:rPr>
        <w:t>ajouter quelques passages nouveaux et caractéristiques.</w:t>
      </w:r>
      <w:r w:rsidR="00C2602D" w:rsidRPr="00C8701B">
        <w:rPr>
          <w:rFonts w:eastAsia="Arial Unicode MS"/>
          <w:bCs/>
          <w:lang w:eastAsia="fr-FR" w:bidi="he-IL"/>
        </w:rPr>
        <w:t xml:space="preserve"> </w:t>
      </w:r>
    </w:p>
    <w:p w:rsidR="00C2602D" w:rsidRDefault="00B704AD" w:rsidP="00C2602D">
      <w:pPr>
        <w:rPr>
          <w:rFonts w:eastAsia="Arial Unicode MS"/>
          <w:bCs/>
          <w:lang w:eastAsia="fr-FR" w:bidi="he-IL"/>
        </w:rPr>
      </w:pPr>
      <w:r w:rsidRPr="00C8701B">
        <w:rPr>
          <w:rFonts w:eastAsia="Arial Unicode MS"/>
          <w:bCs/>
          <w:lang w:eastAsia="fr-FR" w:bidi="he-IL"/>
        </w:rPr>
        <w:t>1° Mise en scène</w:t>
      </w:r>
      <w:r w:rsidR="00E65435">
        <w:rPr>
          <w:rFonts w:eastAsia="Arial Unicode MS"/>
          <w:bCs/>
          <w:lang w:eastAsia="fr-FR" w:bidi="he-IL"/>
        </w:rPr>
        <w:t xml:space="preserve">, </w:t>
      </w:r>
      <w:r w:rsidRPr="00C8701B">
        <w:rPr>
          <w:rFonts w:eastAsia="Arial Unicode MS"/>
          <w:bCs/>
          <w:lang w:eastAsia="fr-FR" w:bidi="he-IL"/>
        </w:rPr>
        <w:t>à propos d</w:t>
      </w:r>
      <w:r w:rsidR="00557DE0">
        <w:rPr>
          <w:rFonts w:eastAsia="Arial Unicode MS"/>
          <w:bCs/>
          <w:lang w:eastAsia="fr-FR" w:bidi="he-IL"/>
        </w:rPr>
        <w:t>’</w:t>
      </w:r>
      <w:r w:rsidRPr="00C8701B">
        <w:rPr>
          <w:rFonts w:eastAsia="Arial Unicode MS"/>
          <w:bCs/>
          <w:lang w:eastAsia="fr-FR" w:bidi="he-IL"/>
        </w:rPr>
        <w:t>une exhortation à l</w:t>
      </w:r>
      <w:r w:rsidR="00557DE0">
        <w:rPr>
          <w:rFonts w:eastAsia="Arial Unicode MS"/>
          <w:bCs/>
          <w:lang w:eastAsia="fr-FR" w:bidi="he-IL"/>
        </w:rPr>
        <w:t>’</w:t>
      </w:r>
      <w:r w:rsidRPr="00C8701B">
        <w:rPr>
          <w:rFonts w:eastAsia="Arial Unicode MS"/>
          <w:bCs/>
          <w:lang w:eastAsia="fr-FR" w:bidi="he-IL"/>
        </w:rPr>
        <w:t>humilité adressée aux apôtres par Jésus-Christ.</w:t>
      </w:r>
      <w:r w:rsidR="00C2602D" w:rsidRPr="00C8701B">
        <w:rPr>
          <w:rFonts w:eastAsia="Arial Unicode MS"/>
          <w:bCs/>
          <w:lang w:eastAsia="fr-FR" w:bidi="he-IL"/>
        </w:rPr>
        <w:t xml:space="preserve"> </w:t>
      </w:r>
    </w:p>
    <w:p w:rsidR="00C27A97" w:rsidRDefault="00C27A97" w:rsidP="00C2602D">
      <w:pPr>
        <w:rPr>
          <w:rFonts w:eastAsia="Arial Unicode MS"/>
          <w:bCs/>
          <w:lang w:eastAsia="fr-FR" w:bidi="he-IL"/>
        </w:rPr>
      </w:pPr>
    </w:p>
    <w:tbl>
      <w:tblPr>
        <w:tblW w:w="5000" w:type="pct"/>
        <w:tblLook w:val="04A0"/>
      </w:tblPr>
      <w:tblGrid>
        <w:gridCol w:w="4383"/>
        <w:gridCol w:w="3786"/>
        <w:gridCol w:w="2423"/>
      </w:tblGrid>
      <w:tr w:rsidR="00C27A97" w:rsidRPr="003908CB" w:rsidTr="00C27A97">
        <w:tc>
          <w:tcPr>
            <w:tcW w:w="2069" w:type="pct"/>
          </w:tcPr>
          <w:p w:rsidR="00C27A97" w:rsidRPr="00C27A97" w:rsidRDefault="00C27A97" w:rsidP="00B93B92">
            <w:pPr>
              <w:pStyle w:val="centrum"/>
              <w:rPr>
                <w:lang w:val="en-US" w:bidi="he-IL"/>
              </w:rPr>
            </w:pPr>
            <w:r w:rsidRPr="00C27A97">
              <w:rPr>
                <w:lang w:val="en-US" w:bidi="he-IL"/>
              </w:rPr>
              <w:t xml:space="preserve">Matth. XVIII, 2-3. </w:t>
            </w:r>
          </w:p>
        </w:tc>
        <w:tc>
          <w:tcPr>
            <w:tcW w:w="1787" w:type="pct"/>
          </w:tcPr>
          <w:p w:rsidR="00C27A97" w:rsidRPr="00C27A97" w:rsidRDefault="00C27A97" w:rsidP="00B93B92">
            <w:pPr>
              <w:pStyle w:val="centrum"/>
              <w:rPr>
                <w:lang w:val="en-US" w:bidi="he-IL"/>
              </w:rPr>
            </w:pPr>
            <w:r w:rsidRPr="00C27A97">
              <w:rPr>
                <w:lang w:val="en-US" w:bidi="he-IL"/>
              </w:rPr>
              <w:t>Marc. IX, 36.</w:t>
            </w:r>
          </w:p>
        </w:tc>
        <w:tc>
          <w:tcPr>
            <w:tcW w:w="1144" w:type="pct"/>
          </w:tcPr>
          <w:p w:rsidR="00C27A97" w:rsidRPr="00C27A97" w:rsidRDefault="00C27A97" w:rsidP="00B93B92">
            <w:pPr>
              <w:pStyle w:val="centrum"/>
              <w:rPr>
                <w:lang w:val="el-GR" w:bidi="he-IL"/>
              </w:rPr>
            </w:pPr>
            <w:r w:rsidRPr="00C27A97">
              <w:rPr>
                <w:lang w:val="en-US" w:bidi="he-IL"/>
              </w:rPr>
              <w:t>Luc. IX, 47-48.</w:t>
            </w:r>
            <w:r w:rsidRPr="00C27A97">
              <w:rPr>
                <w:lang w:val="el-GR" w:bidi="he-IL"/>
              </w:rPr>
              <w:t xml:space="preserve"> </w:t>
            </w:r>
          </w:p>
        </w:tc>
      </w:tr>
      <w:tr w:rsidR="00C27A97" w:rsidRPr="003908CB" w:rsidTr="00C27A97">
        <w:tc>
          <w:tcPr>
            <w:tcW w:w="2069" w:type="pct"/>
          </w:tcPr>
          <w:p w:rsidR="00C27A97" w:rsidRPr="00C27A97" w:rsidRDefault="00C27A97" w:rsidP="00B93B92">
            <w:pPr>
              <w:pStyle w:val="centrum"/>
              <w:rPr>
                <w:lang w:val="en-US"/>
              </w:rPr>
            </w:pPr>
            <w:r w:rsidRPr="00C27A97">
              <w:t>κ</w:t>
            </w:r>
            <w:r w:rsidR="00A74F01">
              <w:t>α</w:t>
            </w:r>
            <w:r w:rsidRPr="00C27A97">
              <w:t>ὶ</w:t>
            </w:r>
            <w:r w:rsidRPr="00C27A97">
              <w:rPr>
                <w:lang w:val="en-US"/>
              </w:rPr>
              <w:t xml:space="preserve"> </w:t>
            </w:r>
            <w:r w:rsidRPr="00C27A97">
              <w:t>προσκ</w:t>
            </w:r>
            <w:r w:rsidR="00A74F01">
              <w:t>α</w:t>
            </w:r>
            <w:r w:rsidRPr="00C27A97">
              <w:t>λεσ</w:t>
            </w:r>
            <w:r w:rsidR="00CD3C57">
              <w:t>ά</w:t>
            </w:r>
            <w:r w:rsidRPr="00C27A97">
              <w:t>μενος</w:t>
            </w:r>
            <w:r w:rsidRPr="00C27A97">
              <w:rPr>
                <w:lang w:val="en-US"/>
              </w:rPr>
              <w:t xml:space="preserve"> </w:t>
            </w:r>
            <w:r w:rsidRPr="00C27A97">
              <w:rPr>
                <w:lang w:bidi="he-IL"/>
              </w:rPr>
              <w:t>ὁ</w:t>
            </w:r>
            <w:r w:rsidRPr="00C27A97">
              <w:rPr>
                <w:lang w:val="el-GR" w:bidi="he-IL"/>
              </w:rPr>
              <w:t xml:space="preserve"> Ἰησοῦ</w:t>
            </w:r>
            <w:r w:rsidRPr="00C27A97">
              <w:rPr>
                <w:lang w:bidi="he-IL"/>
              </w:rPr>
              <w:t>ς</w:t>
            </w:r>
          </w:p>
        </w:tc>
        <w:tc>
          <w:tcPr>
            <w:tcW w:w="1787" w:type="pct"/>
          </w:tcPr>
          <w:p w:rsidR="00C27A97" w:rsidRPr="00C27A97" w:rsidRDefault="00C27A97" w:rsidP="00B93B92">
            <w:pPr>
              <w:pStyle w:val="centrum"/>
            </w:pPr>
            <w:r w:rsidRPr="00C27A97">
              <w:t>Κ</w:t>
            </w:r>
            <w:r w:rsidR="00A74F01">
              <w:t>α</w:t>
            </w:r>
            <w:r w:rsidRPr="00C27A97">
              <w:t>ὶ λ</w:t>
            </w:r>
            <w:r w:rsidR="00A74F01">
              <w:t>α</w:t>
            </w:r>
            <w:r w:rsidRPr="00C27A97">
              <w:t xml:space="preserve">βὼν </w:t>
            </w:r>
          </w:p>
        </w:tc>
        <w:tc>
          <w:tcPr>
            <w:tcW w:w="1144" w:type="pct"/>
          </w:tcPr>
          <w:p w:rsidR="00C27A97" w:rsidRPr="00C27A97" w:rsidRDefault="00C27A97" w:rsidP="00B93B92">
            <w:pPr>
              <w:pStyle w:val="centrum"/>
            </w:pPr>
            <w:r w:rsidRPr="00C27A97">
              <w:t>ἐπιλ</w:t>
            </w:r>
            <w:r w:rsidR="00A74F01">
              <w:t>α</w:t>
            </w:r>
            <w:r w:rsidRPr="00C27A97">
              <w:t>β</w:t>
            </w:r>
            <w:r w:rsidR="00736374">
              <w:t>ό</w:t>
            </w:r>
            <w:r w:rsidRPr="00C27A97">
              <w:t xml:space="preserve">μενος </w:t>
            </w:r>
          </w:p>
        </w:tc>
      </w:tr>
      <w:tr w:rsidR="00C27A97" w:rsidRPr="003908CB" w:rsidTr="00C27A97">
        <w:tc>
          <w:tcPr>
            <w:tcW w:w="2069" w:type="pct"/>
          </w:tcPr>
          <w:p w:rsidR="00C27A97" w:rsidRPr="00C27A97" w:rsidRDefault="00C27A97" w:rsidP="00B93B92">
            <w:pPr>
              <w:pStyle w:val="centrum"/>
              <w:rPr>
                <w:lang w:val="en-US"/>
              </w:rPr>
            </w:pPr>
            <w:r w:rsidRPr="00C27A97">
              <w:t>π</w:t>
            </w:r>
            <w:r w:rsidR="00A74F01">
              <w:t>α</w:t>
            </w:r>
            <w:r w:rsidRPr="00C27A97">
              <w:t>ιδ</w:t>
            </w:r>
            <w:r w:rsidR="00DB352C">
              <w:t>ί</w:t>
            </w:r>
            <w:r w:rsidRPr="00C27A97">
              <w:t>ον</w:t>
            </w:r>
            <w:r w:rsidRPr="00C27A97">
              <w:rPr>
                <w:lang w:val="en-US"/>
              </w:rPr>
              <w:t xml:space="preserve"> </w:t>
            </w:r>
          </w:p>
        </w:tc>
        <w:tc>
          <w:tcPr>
            <w:tcW w:w="1787" w:type="pct"/>
          </w:tcPr>
          <w:p w:rsidR="00C27A97" w:rsidRPr="00C27A97" w:rsidRDefault="00C27A97" w:rsidP="00B93B92">
            <w:pPr>
              <w:pStyle w:val="centrum"/>
            </w:pPr>
            <w:r w:rsidRPr="00C27A97">
              <w:t>π</w:t>
            </w:r>
            <w:r w:rsidR="00A74F01">
              <w:t>α</w:t>
            </w:r>
            <w:r w:rsidRPr="00C27A97">
              <w:t>ιδ</w:t>
            </w:r>
            <w:r w:rsidR="00DB352C">
              <w:t>ί</w:t>
            </w:r>
            <w:r w:rsidRPr="00C27A97">
              <w:t xml:space="preserve">ον </w:t>
            </w:r>
          </w:p>
        </w:tc>
        <w:tc>
          <w:tcPr>
            <w:tcW w:w="1144" w:type="pct"/>
          </w:tcPr>
          <w:p w:rsidR="00C27A97" w:rsidRPr="00C27A97" w:rsidRDefault="00C27A97" w:rsidP="00B93B92">
            <w:pPr>
              <w:pStyle w:val="centrum"/>
            </w:pPr>
            <w:r w:rsidRPr="00C27A97">
              <w:t>π</w:t>
            </w:r>
            <w:r w:rsidR="00A74F01">
              <w:t>α</w:t>
            </w:r>
            <w:r w:rsidRPr="00C27A97">
              <w:t>ιδ</w:t>
            </w:r>
            <w:r w:rsidR="00DB352C">
              <w:t>ί</w:t>
            </w:r>
            <w:r w:rsidRPr="00C27A97">
              <w:t xml:space="preserve">ον </w:t>
            </w:r>
          </w:p>
        </w:tc>
      </w:tr>
      <w:tr w:rsidR="00C27A97" w:rsidRPr="003908CB" w:rsidTr="00C27A97">
        <w:tc>
          <w:tcPr>
            <w:tcW w:w="2069" w:type="pct"/>
          </w:tcPr>
          <w:p w:rsidR="00C27A97" w:rsidRPr="00C27A97" w:rsidRDefault="00C27A97" w:rsidP="00B93B92">
            <w:pPr>
              <w:pStyle w:val="centrum"/>
              <w:rPr>
                <w:lang w:val="en-US"/>
              </w:rPr>
            </w:pPr>
            <w:r w:rsidRPr="00C27A97">
              <w:t>ἔστησεν</w:t>
            </w:r>
            <w:r w:rsidRPr="00C27A97">
              <w:rPr>
                <w:lang w:val="en-US"/>
              </w:rPr>
              <w:t xml:space="preserve"> </w:t>
            </w:r>
            <w:r w:rsidR="00A74F01">
              <w:t>α</w:t>
            </w:r>
            <w:r w:rsidRPr="00C27A97">
              <w:t>ὐτὸ</w:t>
            </w:r>
            <w:r w:rsidRPr="00C27A97">
              <w:rPr>
                <w:lang w:val="en-US"/>
              </w:rPr>
              <w:t xml:space="preserve"> </w:t>
            </w:r>
          </w:p>
        </w:tc>
        <w:tc>
          <w:tcPr>
            <w:tcW w:w="1787" w:type="pct"/>
          </w:tcPr>
          <w:p w:rsidR="00C27A97" w:rsidRPr="00C27A97" w:rsidRDefault="00C27A97" w:rsidP="00B93B92">
            <w:pPr>
              <w:pStyle w:val="centrum"/>
            </w:pPr>
            <w:r w:rsidRPr="00C27A97">
              <w:t xml:space="preserve">ἔστησεν </w:t>
            </w:r>
            <w:r w:rsidR="00A74F01">
              <w:t>α</w:t>
            </w:r>
            <w:r w:rsidRPr="00C27A97">
              <w:t xml:space="preserve">ὐτὸ </w:t>
            </w:r>
          </w:p>
        </w:tc>
        <w:tc>
          <w:tcPr>
            <w:tcW w:w="1144" w:type="pct"/>
          </w:tcPr>
          <w:p w:rsidR="00C27A97" w:rsidRPr="00C27A97" w:rsidRDefault="00C27A97" w:rsidP="00B93B92">
            <w:pPr>
              <w:pStyle w:val="centrum"/>
            </w:pPr>
            <w:r w:rsidRPr="00C27A97">
              <w:t xml:space="preserve">ἔστησεν </w:t>
            </w:r>
            <w:r w:rsidR="00A74F01">
              <w:t>α</w:t>
            </w:r>
            <w:r w:rsidRPr="00C27A97">
              <w:t xml:space="preserve">ὐτὸ </w:t>
            </w:r>
          </w:p>
        </w:tc>
      </w:tr>
      <w:tr w:rsidR="00C27A97" w:rsidRPr="003908CB" w:rsidTr="00C27A97">
        <w:tc>
          <w:tcPr>
            <w:tcW w:w="2069" w:type="pct"/>
          </w:tcPr>
          <w:p w:rsidR="00C27A97" w:rsidRPr="00C27A97" w:rsidRDefault="00C27A97" w:rsidP="00B93B92">
            <w:pPr>
              <w:pStyle w:val="centrum"/>
              <w:rPr>
                <w:lang w:val="en-US"/>
              </w:rPr>
            </w:pPr>
            <w:r w:rsidRPr="00C27A97">
              <w:t>ἐν</w:t>
            </w:r>
            <w:r w:rsidRPr="00C27A97">
              <w:rPr>
                <w:lang w:val="en-US"/>
              </w:rPr>
              <w:t xml:space="preserve"> </w:t>
            </w:r>
            <w:r w:rsidRPr="00C27A97">
              <w:t>μ</w:t>
            </w:r>
            <w:r w:rsidR="00C771BF">
              <w:t>έ</w:t>
            </w:r>
            <w:r w:rsidRPr="00C27A97">
              <w:t>σῳ</w:t>
            </w:r>
            <w:r w:rsidRPr="00C27A97">
              <w:rPr>
                <w:lang w:val="en-US"/>
              </w:rPr>
              <w:t xml:space="preserve"> </w:t>
            </w:r>
            <w:r w:rsidR="00A74F01">
              <w:t>α</w:t>
            </w:r>
            <w:r w:rsidRPr="00C27A97">
              <w:t>ὐτῶν</w:t>
            </w:r>
          </w:p>
        </w:tc>
        <w:tc>
          <w:tcPr>
            <w:tcW w:w="1787" w:type="pct"/>
          </w:tcPr>
          <w:p w:rsidR="00C27A97" w:rsidRPr="00C27A97" w:rsidRDefault="00C27A97" w:rsidP="00B93B92">
            <w:pPr>
              <w:pStyle w:val="centrum"/>
            </w:pPr>
            <w:r w:rsidRPr="00C27A97">
              <w:t>ἐν μ</w:t>
            </w:r>
            <w:r w:rsidR="00C771BF">
              <w:t>έ</w:t>
            </w:r>
            <w:r w:rsidRPr="00C27A97">
              <w:t xml:space="preserve">σῳ </w:t>
            </w:r>
            <w:r w:rsidR="00A74F01">
              <w:t>α</w:t>
            </w:r>
            <w:r w:rsidRPr="00C27A97">
              <w:t xml:space="preserve">ὐτῶν, </w:t>
            </w:r>
          </w:p>
        </w:tc>
        <w:tc>
          <w:tcPr>
            <w:tcW w:w="1144" w:type="pct"/>
          </w:tcPr>
          <w:p w:rsidR="00C27A97" w:rsidRPr="00C27A97" w:rsidRDefault="00C27A97" w:rsidP="00B93B92">
            <w:pPr>
              <w:pStyle w:val="centrum"/>
            </w:pPr>
            <w:r w:rsidRPr="00C27A97">
              <w:t>π</w:t>
            </w:r>
            <w:r w:rsidR="00A74F01">
              <w:t>α</w:t>
            </w:r>
            <w:r w:rsidRPr="00C27A97">
              <w:t>ρ</w:t>
            </w:r>
            <w:r w:rsidR="00557DE0">
              <w:t>’</w:t>
            </w:r>
            <w:r w:rsidRPr="00C27A97">
              <w:t xml:space="preserve"> ἑ</w:t>
            </w:r>
            <w:r w:rsidR="00A74F01">
              <w:t>α</w:t>
            </w:r>
            <w:r w:rsidRPr="00C27A97">
              <w:t>υτῷ,</w:t>
            </w:r>
          </w:p>
        </w:tc>
      </w:tr>
      <w:tr w:rsidR="00C27A97" w:rsidRPr="003908CB" w:rsidTr="00C27A97">
        <w:tc>
          <w:tcPr>
            <w:tcW w:w="2069" w:type="pct"/>
          </w:tcPr>
          <w:p w:rsidR="00C27A97" w:rsidRPr="00C27A97" w:rsidRDefault="00C27A97" w:rsidP="00C27A97"/>
        </w:tc>
        <w:tc>
          <w:tcPr>
            <w:tcW w:w="1787" w:type="pct"/>
          </w:tcPr>
          <w:p w:rsidR="00C27A97" w:rsidRPr="00C27A97" w:rsidRDefault="00C27A97" w:rsidP="00B93B92">
            <w:pPr>
              <w:pStyle w:val="centrum"/>
            </w:pPr>
            <w:r w:rsidRPr="00C27A97">
              <w:t>κ</w:t>
            </w:r>
            <w:r w:rsidR="00A74F01">
              <w:t>α</w:t>
            </w:r>
            <w:r w:rsidRPr="00C27A97">
              <w:t>ὶ ἐν</w:t>
            </w:r>
            <w:r w:rsidR="00A74F01">
              <w:t>α</w:t>
            </w:r>
            <w:r w:rsidRPr="00C27A97">
              <w:t>γκ</w:t>
            </w:r>
            <w:r w:rsidR="00A74F01">
              <w:t>α</w:t>
            </w:r>
            <w:r w:rsidRPr="00C27A97">
              <w:t>λισ</w:t>
            </w:r>
            <w:r w:rsidR="00CD3C57">
              <w:t>ά</w:t>
            </w:r>
            <w:r w:rsidRPr="00C27A97">
              <w:t xml:space="preserve">μενος </w:t>
            </w:r>
            <w:r w:rsidR="00A74F01">
              <w:t>α</w:t>
            </w:r>
            <w:r w:rsidRPr="00C27A97">
              <w:t xml:space="preserve">ὐτὸ, </w:t>
            </w:r>
          </w:p>
        </w:tc>
        <w:tc>
          <w:tcPr>
            <w:tcW w:w="1144" w:type="pct"/>
          </w:tcPr>
          <w:p w:rsidR="00C27A97" w:rsidRPr="00C27A97" w:rsidRDefault="00C27A97" w:rsidP="00B93B92">
            <w:pPr>
              <w:pStyle w:val="centrum"/>
            </w:pPr>
          </w:p>
        </w:tc>
      </w:tr>
      <w:tr w:rsidR="00C27A97" w:rsidRPr="003908CB" w:rsidTr="00C27A97">
        <w:tc>
          <w:tcPr>
            <w:tcW w:w="2069" w:type="pct"/>
          </w:tcPr>
          <w:p w:rsidR="00C27A97" w:rsidRPr="00C27A97" w:rsidRDefault="00C27A97" w:rsidP="00B93B92">
            <w:pPr>
              <w:pStyle w:val="centrum"/>
              <w:rPr>
                <w:lang w:val="en-US" w:bidi="he-IL"/>
              </w:rPr>
            </w:pPr>
            <w:r w:rsidRPr="00C27A97">
              <w:t>κ</w:t>
            </w:r>
            <w:r w:rsidR="00A74F01">
              <w:t>α</w:t>
            </w:r>
            <w:r w:rsidRPr="00C27A97">
              <w:t>ὶ</w:t>
            </w:r>
            <w:r w:rsidRPr="00C27A97">
              <w:rPr>
                <w:lang w:val="en-US"/>
              </w:rPr>
              <w:t xml:space="preserve"> </w:t>
            </w:r>
            <w:r w:rsidRPr="00C27A97">
              <w:t>εἶπεν</w:t>
            </w:r>
          </w:p>
        </w:tc>
        <w:tc>
          <w:tcPr>
            <w:tcW w:w="1787" w:type="pct"/>
          </w:tcPr>
          <w:p w:rsidR="00C27A97" w:rsidRPr="00C27A97" w:rsidRDefault="00C27A97" w:rsidP="00B93B92">
            <w:pPr>
              <w:pStyle w:val="centrum"/>
            </w:pPr>
            <w:r w:rsidRPr="00C27A97">
              <w:t xml:space="preserve">εἶπεν </w:t>
            </w:r>
            <w:r w:rsidR="00A74F01">
              <w:t>α</w:t>
            </w:r>
            <w:r w:rsidRPr="00C27A97">
              <w:t>ὐτοῖς.</w:t>
            </w:r>
          </w:p>
        </w:tc>
        <w:tc>
          <w:tcPr>
            <w:tcW w:w="1144" w:type="pct"/>
          </w:tcPr>
          <w:p w:rsidR="00C27A97" w:rsidRPr="00C27A97" w:rsidRDefault="00C27A97" w:rsidP="00B93B92">
            <w:pPr>
              <w:pStyle w:val="centrum"/>
              <w:rPr>
                <w:lang w:bidi="he-IL"/>
              </w:rPr>
            </w:pPr>
            <w:r w:rsidRPr="00C27A97">
              <w:t>κ</w:t>
            </w:r>
            <w:r w:rsidR="00A74F01">
              <w:t>α</w:t>
            </w:r>
            <w:r w:rsidRPr="00C27A97">
              <w:t xml:space="preserve">ὶ εἶπεν </w:t>
            </w:r>
            <w:r w:rsidR="00A74F01">
              <w:t>α</w:t>
            </w:r>
            <w:r w:rsidRPr="00C27A97">
              <w:t>ὐτοῖς,</w:t>
            </w:r>
          </w:p>
        </w:tc>
      </w:tr>
    </w:tbl>
    <w:p w:rsidR="00C27A97" w:rsidRDefault="00C27A97" w:rsidP="00C2602D">
      <w:pPr>
        <w:rPr>
          <w:rFonts w:eastAsia="Arial Unicode MS"/>
          <w:bCs/>
          <w:lang w:eastAsia="fr-FR" w:bidi="he-IL"/>
        </w:rPr>
      </w:pPr>
    </w:p>
    <w:p w:rsidR="00C2602D" w:rsidRPr="00C8701B" w:rsidRDefault="00B704AD" w:rsidP="00C2602D">
      <w:pPr>
        <w:rPr>
          <w:rFonts w:eastAsia="Arial Unicode MS"/>
          <w:bCs/>
          <w:lang w:eastAsia="fr-FR" w:bidi="he-IL"/>
        </w:rPr>
      </w:pPr>
      <w:r w:rsidRPr="00C8701B">
        <w:rPr>
          <w:rFonts w:eastAsia="Arial Unicode MS"/>
          <w:bCs/>
          <w:lang w:eastAsia="fr-FR" w:bidi="he-IL"/>
        </w:rPr>
        <w:t>Ce passage est du nombre de ceux qui présentent une véritable coïncidence verbale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et pourtant</w:t>
      </w:r>
      <w:r w:rsidR="00E65435">
        <w:rPr>
          <w:rFonts w:eastAsia="Arial Unicode MS"/>
          <w:bCs/>
          <w:lang w:eastAsia="fr-FR" w:bidi="he-IL"/>
        </w:rPr>
        <w:t xml:space="preserve">, </w:t>
      </w:r>
      <w:r w:rsidRPr="00C8701B">
        <w:rPr>
          <w:rFonts w:eastAsia="Arial Unicode MS"/>
          <w:bCs/>
          <w:lang w:eastAsia="fr-FR" w:bidi="he-IL"/>
        </w:rPr>
        <w:t>sur six lignes minuscules</w:t>
      </w:r>
      <w:r w:rsidR="00E65435">
        <w:rPr>
          <w:rFonts w:eastAsia="Arial Unicode MS"/>
          <w:bCs/>
          <w:lang w:eastAsia="fr-FR" w:bidi="he-IL"/>
        </w:rPr>
        <w:t xml:space="preserve">, </w:t>
      </w:r>
      <w:r w:rsidRPr="00C8701B">
        <w:rPr>
          <w:rFonts w:eastAsia="Arial Unicode MS"/>
          <w:bCs/>
          <w:lang w:eastAsia="fr-FR" w:bidi="he-IL"/>
        </w:rPr>
        <w:t>il n</w:t>
      </w:r>
      <w:r w:rsidR="00557DE0">
        <w:rPr>
          <w:rFonts w:eastAsia="Arial Unicode MS"/>
          <w:bCs/>
          <w:lang w:eastAsia="fr-FR" w:bidi="he-IL"/>
        </w:rPr>
        <w:t>’</w:t>
      </w:r>
      <w:r w:rsidRPr="00C8701B">
        <w:rPr>
          <w:rFonts w:eastAsia="Arial Unicode MS"/>
          <w:bCs/>
          <w:lang w:eastAsia="fr-FR" w:bidi="he-IL"/>
        </w:rPr>
        <w:t>y en a qu</w:t>
      </w:r>
      <w:r w:rsidR="00557DE0">
        <w:rPr>
          <w:rFonts w:eastAsia="Arial Unicode MS"/>
          <w:bCs/>
          <w:lang w:eastAsia="fr-FR" w:bidi="he-IL"/>
        </w:rPr>
        <w:t>’</w:t>
      </w:r>
      <w:r w:rsidRPr="00C8701B">
        <w:rPr>
          <w:rFonts w:eastAsia="Arial Unicode MS"/>
          <w:bCs/>
          <w:lang w:eastAsia="fr-FR" w:bidi="he-IL"/>
        </w:rPr>
        <w:t>une qui soit absolument la même dans les trois narrations.</w:t>
      </w:r>
      <w:r w:rsidR="00C2602D" w:rsidRPr="00C8701B">
        <w:rPr>
          <w:rFonts w:eastAsia="Arial Unicode MS"/>
          <w:bCs/>
          <w:lang w:eastAsia="fr-FR" w:bidi="he-IL"/>
        </w:rPr>
        <w:t xml:space="preserve"> </w:t>
      </w:r>
      <w:r w:rsidR="00A067B1" w:rsidRPr="000716BB">
        <w:rPr>
          <w:rFonts w:eastAsia="Arial Unicode MS"/>
          <w:bCs/>
          <w:lang w:eastAsia="fr-FR" w:bidi="he-IL"/>
        </w:rPr>
        <w:t>{</w:t>
      </w:r>
      <w:r w:rsidR="00A067B1">
        <w:rPr>
          <w:rFonts w:eastAsia="Arial Unicode MS"/>
          <w:bCs/>
          <w:lang w:eastAsia="fr-FR" w:bidi="he-IL"/>
        </w:rPr>
        <w:t>36</w:t>
      </w:r>
      <w:bookmarkStart w:id="62" w:name="pag036"/>
      <w:bookmarkEnd w:id="62"/>
      <w:r w:rsidR="00A067B1" w:rsidRPr="000716BB">
        <w:rPr>
          <w:rFonts w:eastAsia="Arial Unicode MS"/>
          <w:bCs/>
          <w:lang w:eastAsia="fr-FR" w:bidi="he-IL"/>
        </w:rPr>
        <w:t>}</w:t>
      </w:r>
    </w:p>
    <w:p w:rsidR="00C27A97" w:rsidRDefault="00B704AD" w:rsidP="00C2602D">
      <w:pPr>
        <w:rPr>
          <w:rFonts w:eastAsia="Arial Unicode MS"/>
          <w:bCs/>
          <w:lang w:eastAsia="fr-FR" w:bidi="he-IL"/>
        </w:rPr>
      </w:pPr>
      <w:r w:rsidRPr="00C8701B">
        <w:rPr>
          <w:rFonts w:eastAsia="Arial Unicode MS"/>
          <w:bCs/>
          <w:lang w:eastAsia="fr-FR" w:bidi="he-IL"/>
        </w:rPr>
        <w:t>Remarquez surtout les nuances du verbe dans la première</w:t>
      </w:r>
      <w:r w:rsidR="00933C60" w:rsidRPr="00C406FF">
        <w:rPr>
          <w:rStyle w:val="Appelnotedebasdep"/>
        </w:rPr>
        <w:footnoteReference w:id="175"/>
      </w:r>
      <w:r w:rsidRPr="00C8701B">
        <w:rPr>
          <w:rFonts w:eastAsia="Arial Unicode MS"/>
          <w:bCs/>
          <w:lang w:eastAsia="fr-FR" w:bidi="he-IL"/>
        </w:rPr>
        <w:t xml:space="preserve">. </w:t>
      </w:r>
    </w:p>
    <w:p w:rsidR="00C27A97" w:rsidRPr="00A85866" w:rsidRDefault="00B704AD" w:rsidP="0012077A">
      <w:pPr>
        <w:rPr>
          <w:lang w:eastAsia="fr-FR" w:bidi="he-IL"/>
        </w:rPr>
      </w:pPr>
      <w:r w:rsidRPr="00A85866">
        <w:rPr>
          <w:lang w:eastAsia="fr-FR" w:bidi="he-IL"/>
        </w:rPr>
        <w:t>2° Variantes par</w:t>
      </w:r>
      <w:r w:rsidR="00C27A97" w:rsidRPr="00A85866">
        <w:rPr>
          <w:lang w:eastAsia="fr-FR" w:bidi="he-IL"/>
        </w:rPr>
        <w:t xml:space="preserve"> l</w:t>
      </w:r>
      <w:r w:rsidR="00557DE0">
        <w:rPr>
          <w:lang w:eastAsia="fr-FR" w:bidi="he-IL"/>
        </w:rPr>
        <w:t>’</w:t>
      </w:r>
      <w:r w:rsidRPr="00A85866">
        <w:rPr>
          <w:lang w:eastAsia="fr-FR" w:bidi="he-IL"/>
        </w:rPr>
        <w:t>emploi de synonymes</w:t>
      </w:r>
      <w:r w:rsidR="00C2602D" w:rsidRPr="00A85866">
        <w:rPr>
          <w:lang w:eastAsia="fr-FR" w:bidi="he-IL"/>
        </w:rPr>
        <w:t> :</w:t>
      </w:r>
    </w:p>
    <w:p w:rsidR="00750D92" w:rsidRPr="00A85866" w:rsidRDefault="00750D92" w:rsidP="00C2602D">
      <w:pPr>
        <w:rPr>
          <w:rFonts w:eastAsia="Arial Unicode MS"/>
          <w:bCs/>
          <w:lang w:eastAsia="fr-FR" w:bidi="he-IL"/>
        </w:rPr>
      </w:pPr>
    </w:p>
    <w:tbl>
      <w:tblPr>
        <w:tblW w:w="5000" w:type="pct"/>
        <w:tblCellMar>
          <w:left w:w="70" w:type="dxa"/>
          <w:right w:w="70" w:type="dxa"/>
        </w:tblCellMar>
        <w:tblLook w:val="04A0"/>
      </w:tblPr>
      <w:tblGrid>
        <w:gridCol w:w="1033"/>
        <w:gridCol w:w="406"/>
        <w:gridCol w:w="1901"/>
        <w:gridCol w:w="671"/>
        <w:gridCol w:w="406"/>
        <w:gridCol w:w="2141"/>
        <w:gridCol w:w="860"/>
        <w:gridCol w:w="406"/>
        <w:gridCol w:w="2692"/>
      </w:tblGrid>
      <w:tr w:rsidR="00750D92" w:rsidRPr="001E3400" w:rsidTr="00750D92">
        <w:trPr>
          <w:cantSplit/>
          <w:trHeight w:val="20"/>
        </w:trPr>
        <w:tc>
          <w:tcPr>
            <w:tcW w:w="491" w:type="pct"/>
            <w:tcBorders>
              <w:top w:val="nil"/>
              <w:left w:val="nil"/>
              <w:bottom w:val="nil"/>
              <w:right w:val="nil"/>
            </w:tcBorders>
            <w:shd w:val="clear" w:color="auto" w:fill="auto"/>
            <w:noWrap/>
            <w:vAlign w:val="bottom"/>
            <w:hideMark/>
          </w:tcPr>
          <w:p w:rsidR="00750D92" w:rsidRPr="00A85866" w:rsidRDefault="00750D92" w:rsidP="0012077A">
            <w:pPr>
              <w:pStyle w:val="nsr"/>
              <w:rPr>
                <w:lang w:bidi="he-IL"/>
              </w:rPr>
            </w:pPr>
          </w:p>
        </w:tc>
        <w:tc>
          <w:tcPr>
            <w:tcW w:w="193" w:type="pct"/>
            <w:tcBorders>
              <w:top w:val="nil"/>
              <w:left w:val="nil"/>
              <w:bottom w:val="nil"/>
              <w:right w:val="nil"/>
            </w:tcBorders>
            <w:shd w:val="clear" w:color="auto" w:fill="auto"/>
            <w:noWrap/>
            <w:vAlign w:val="bottom"/>
            <w:hideMark/>
          </w:tcPr>
          <w:p w:rsidR="00750D92" w:rsidRPr="00A85866" w:rsidRDefault="00750D92" w:rsidP="0012077A">
            <w:pPr>
              <w:pStyle w:val="nsr"/>
              <w:rPr>
                <w:lang w:bidi="he-IL"/>
              </w:rPr>
            </w:pPr>
          </w:p>
        </w:tc>
        <w:tc>
          <w:tcPr>
            <w:tcW w:w="90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t>Saint Matthieu</w:t>
            </w:r>
          </w:p>
        </w:tc>
        <w:tc>
          <w:tcPr>
            <w:tcW w:w="31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p>
        </w:tc>
        <w:tc>
          <w:tcPr>
            <w:tcW w:w="1018" w:type="pct"/>
            <w:tcBorders>
              <w:top w:val="nil"/>
              <w:left w:val="nil"/>
              <w:bottom w:val="nil"/>
              <w:right w:val="nil"/>
            </w:tcBorders>
            <w:shd w:val="clear" w:color="auto" w:fill="auto"/>
            <w:noWrap/>
            <w:vAlign w:val="bottom"/>
            <w:hideMark/>
          </w:tcPr>
          <w:p w:rsidR="00750D92" w:rsidRPr="001E3400" w:rsidRDefault="00750D92" w:rsidP="00D62373">
            <w:pPr>
              <w:pStyle w:val="nsr"/>
              <w:rPr>
                <w:lang w:bidi="he-IL"/>
              </w:rPr>
            </w:pPr>
            <w:r w:rsidRPr="001E3400">
              <w:t xml:space="preserve">Saint </w:t>
            </w:r>
            <w:r w:rsidR="00D62373">
              <w:t>Marc</w:t>
            </w:r>
          </w:p>
        </w:tc>
        <w:tc>
          <w:tcPr>
            <w:tcW w:w="40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p>
        </w:tc>
        <w:tc>
          <w:tcPr>
            <w:tcW w:w="1282" w:type="pct"/>
            <w:tcBorders>
              <w:top w:val="nil"/>
              <w:left w:val="nil"/>
              <w:bottom w:val="nil"/>
              <w:right w:val="nil"/>
            </w:tcBorders>
            <w:shd w:val="clear" w:color="auto" w:fill="auto"/>
            <w:noWrap/>
            <w:vAlign w:val="bottom"/>
            <w:hideMark/>
          </w:tcPr>
          <w:p w:rsidR="00750D92" w:rsidRPr="001E3400" w:rsidRDefault="00750D92" w:rsidP="006C278E">
            <w:pPr>
              <w:pStyle w:val="nsr"/>
              <w:rPr>
                <w:lang w:bidi="he-IL"/>
              </w:rPr>
            </w:pPr>
            <w:r w:rsidRPr="001E3400">
              <w:t xml:space="preserve">Saint </w:t>
            </w:r>
            <w:r w:rsidR="006C278E">
              <w:t>Luc</w:t>
            </w:r>
          </w:p>
        </w:tc>
      </w:tr>
      <w:tr w:rsidR="00750D92" w:rsidRPr="001E3400" w:rsidTr="00750D92">
        <w:trPr>
          <w:cantSplit/>
          <w:trHeight w:val="20"/>
        </w:trPr>
        <w:tc>
          <w:tcPr>
            <w:tcW w:w="491"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VIII,</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14</w:t>
            </w:r>
          </w:p>
        </w:tc>
        <w:tc>
          <w:tcPr>
            <w:tcW w:w="90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ἔρχεσθ</w:t>
            </w:r>
            <w:r w:rsidR="00A74F01">
              <w:rPr>
                <w:lang w:bidi="he-IL"/>
              </w:rPr>
              <w:t>α</w:t>
            </w:r>
            <w:r w:rsidRPr="001E3400">
              <w:rPr>
                <w:lang w:bidi="he-IL"/>
              </w:rPr>
              <w:t>ι εἰς</w:t>
            </w:r>
          </w:p>
        </w:tc>
        <w:tc>
          <w:tcPr>
            <w:tcW w:w="31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I,</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29</w:t>
            </w:r>
          </w:p>
        </w:tc>
        <w:tc>
          <w:tcPr>
            <w:tcW w:w="1018"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ἔρχεσθ</w:t>
            </w:r>
            <w:r w:rsidR="00A74F01">
              <w:rPr>
                <w:lang w:bidi="he-IL"/>
              </w:rPr>
              <w:t>α</w:t>
            </w:r>
            <w:r w:rsidRPr="001E3400">
              <w:rPr>
                <w:lang w:bidi="he-IL"/>
              </w:rPr>
              <w:t>ι εἰς</w:t>
            </w:r>
          </w:p>
        </w:tc>
        <w:tc>
          <w:tcPr>
            <w:tcW w:w="40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IV,</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38</w:t>
            </w:r>
          </w:p>
        </w:tc>
        <w:tc>
          <w:tcPr>
            <w:tcW w:w="1282"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εἰσ</w:t>
            </w:r>
            <w:r w:rsidR="002C2968">
              <w:rPr>
                <w:lang w:bidi="he-IL"/>
              </w:rPr>
              <w:t>ε</w:t>
            </w:r>
            <w:r w:rsidR="006C278E">
              <w:rPr>
                <w:lang w:bidi="he-IL"/>
              </w:rPr>
              <w:t>ρχε</w:t>
            </w:r>
            <w:r w:rsidRPr="001E3400">
              <w:rPr>
                <w:lang w:bidi="he-IL"/>
              </w:rPr>
              <w:t>σθ</w:t>
            </w:r>
            <w:r w:rsidR="00A74F01">
              <w:rPr>
                <w:lang w:bidi="he-IL"/>
              </w:rPr>
              <w:t>α</w:t>
            </w:r>
            <w:r w:rsidRPr="001E3400">
              <w:rPr>
                <w:lang w:bidi="he-IL"/>
              </w:rPr>
              <w:t>ι εἰς</w:t>
            </w:r>
          </w:p>
        </w:tc>
      </w:tr>
      <w:tr w:rsidR="00750D92" w:rsidRPr="001E3400" w:rsidTr="00750D92">
        <w:trPr>
          <w:cantSplit/>
          <w:trHeight w:val="20"/>
        </w:trPr>
        <w:tc>
          <w:tcPr>
            <w:tcW w:w="491"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16</w:t>
            </w:r>
          </w:p>
        </w:tc>
        <w:tc>
          <w:tcPr>
            <w:tcW w:w="90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προσφ</w:t>
            </w:r>
            <w:r w:rsidR="00C771BF">
              <w:rPr>
                <w:lang w:bidi="he-IL"/>
              </w:rPr>
              <w:t>έ</w:t>
            </w:r>
            <w:r w:rsidRPr="001E3400">
              <w:rPr>
                <w:lang w:bidi="he-IL"/>
              </w:rPr>
              <w:t>ρειν</w:t>
            </w:r>
          </w:p>
        </w:tc>
        <w:tc>
          <w:tcPr>
            <w:tcW w:w="31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32</w:t>
            </w:r>
          </w:p>
        </w:tc>
        <w:tc>
          <w:tcPr>
            <w:tcW w:w="1018"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φ</w:t>
            </w:r>
            <w:r w:rsidR="00C771BF">
              <w:rPr>
                <w:lang w:bidi="he-IL"/>
              </w:rPr>
              <w:t>έ</w:t>
            </w:r>
            <w:r w:rsidRPr="001E3400">
              <w:rPr>
                <w:lang w:bidi="he-IL"/>
              </w:rPr>
              <w:t>ρειν</w:t>
            </w:r>
          </w:p>
        </w:tc>
        <w:tc>
          <w:tcPr>
            <w:tcW w:w="40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40</w:t>
            </w:r>
          </w:p>
        </w:tc>
        <w:tc>
          <w:tcPr>
            <w:tcW w:w="1282"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ἀγ</w:t>
            </w:r>
            <w:r w:rsidR="00A74F01">
              <w:rPr>
                <w:lang w:bidi="he-IL"/>
              </w:rPr>
              <w:t>α</w:t>
            </w:r>
            <w:r w:rsidRPr="001E3400">
              <w:rPr>
                <w:lang w:bidi="he-IL"/>
              </w:rPr>
              <w:t>γεῖν</w:t>
            </w:r>
          </w:p>
        </w:tc>
      </w:tr>
      <w:tr w:rsidR="00750D92" w:rsidRPr="001E3400" w:rsidTr="00750D92">
        <w:trPr>
          <w:cantSplit/>
          <w:trHeight w:val="20"/>
        </w:trPr>
        <w:tc>
          <w:tcPr>
            <w:tcW w:w="491"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90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κ</w:t>
            </w:r>
            <w:r w:rsidR="00A74F01">
              <w:rPr>
                <w:lang w:bidi="he-IL"/>
              </w:rPr>
              <w:t>α</w:t>
            </w:r>
            <w:r w:rsidRPr="001E3400">
              <w:rPr>
                <w:lang w:bidi="he-IL"/>
              </w:rPr>
              <w:t>κῶς ἔχειν</w:t>
            </w:r>
          </w:p>
        </w:tc>
        <w:tc>
          <w:tcPr>
            <w:tcW w:w="31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018"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κ</w:t>
            </w:r>
            <w:r w:rsidR="00A74F01">
              <w:rPr>
                <w:lang w:bidi="he-IL"/>
              </w:rPr>
              <w:t>α</w:t>
            </w:r>
            <w:r w:rsidRPr="001E3400">
              <w:rPr>
                <w:lang w:bidi="he-IL"/>
              </w:rPr>
              <w:t>κῶς ἔχειν</w:t>
            </w:r>
          </w:p>
        </w:tc>
        <w:tc>
          <w:tcPr>
            <w:tcW w:w="40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282"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ἀσθενεῖν</w:t>
            </w:r>
          </w:p>
        </w:tc>
      </w:tr>
      <w:tr w:rsidR="00750D92" w:rsidRPr="001E3400" w:rsidTr="00750D92">
        <w:trPr>
          <w:cantSplit/>
          <w:trHeight w:val="20"/>
        </w:trPr>
        <w:tc>
          <w:tcPr>
            <w:tcW w:w="491"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2</w:t>
            </w:r>
          </w:p>
        </w:tc>
        <w:tc>
          <w:tcPr>
            <w:tcW w:w="90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προσκυνεῖν</w:t>
            </w:r>
          </w:p>
        </w:tc>
        <w:tc>
          <w:tcPr>
            <w:tcW w:w="31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40</w:t>
            </w:r>
          </w:p>
        </w:tc>
        <w:tc>
          <w:tcPr>
            <w:tcW w:w="1018"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γονυπετεῖν</w:t>
            </w:r>
          </w:p>
        </w:tc>
        <w:tc>
          <w:tcPr>
            <w:tcW w:w="40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V,</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12</w:t>
            </w:r>
          </w:p>
        </w:tc>
        <w:tc>
          <w:tcPr>
            <w:tcW w:w="1282"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π</w:t>
            </w:r>
            <w:r w:rsidR="00DB352C">
              <w:rPr>
                <w:lang w:bidi="he-IL"/>
              </w:rPr>
              <w:t>ί</w:t>
            </w:r>
            <w:r w:rsidRPr="001E3400">
              <w:rPr>
                <w:lang w:bidi="he-IL"/>
              </w:rPr>
              <w:t>πτειν ἐπὶ τὸ πρ</w:t>
            </w:r>
            <w:r w:rsidR="00736374">
              <w:rPr>
                <w:lang w:bidi="he-IL"/>
              </w:rPr>
              <w:t>ό</w:t>
            </w:r>
            <w:r w:rsidRPr="001E3400">
              <w:rPr>
                <w:lang w:bidi="he-IL"/>
              </w:rPr>
              <w:t>σωπον</w:t>
            </w:r>
          </w:p>
        </w:tc>
      </w:tr>
      <w:tr w:rsidR="00750D92" w:rsidRPr="001E3400" w:rsidTr="00750D92">
        <w:trPr>
          <w:cantSplit/>
          <w:trHeight w:val="20"/>
        </w:trPr>
        <w:tc>
          <w:tcPr>
            <w:tcW w:w="491"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4</w:t>
            </w:r>
          </w:p>
        </w:tc>
        <w:tc>
          <w:tcPr>
            <w:tcW w:w="90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π</w:t>
            </w:r>
            <w:r w:rsidR="00A74F01">
              <w:rPr>
                <w:lang w:bidi="he-IL"/>
              </w:rPr>
              <w:t>α</w:t>
            </w:r>
            <w:r w:rsidRPr="001E3400">
              <w:rPr>
                <w:lang w:bidi="he-IL"/>
              </w:rPr>
              <w:t>ρ</w:t>
            </w:r>
            <w:r w:rsidR="00A74F01">
              <w:rPr>
                <w:lang w:bidi="he-IL"/>
              </w:rPr>
              <w:t>α</w:t>
            </w:r>
            <w:r w:rsidRPr="001E3400">
              <w:rPr>
                <w:lang w:bidi="he-IL"/>
              </w:rPr>
              <w:t>κ</w:t>
            </w:r>
            <w:r w:rsidR="00A74F01">
              <w:rPr>
                <w:lang w:bidi="he-IL"/>
              </w:rPr>
              <w:t>α</w:t>
            </w:r>
            <w:r w:rsidRPr="001E3400">
              <w:rPr>
                <w:lang w:bidi="he-IL"/>
              </w:rPr>
              <w:t>λεῖν</w:t>
            </w:r>
          </w:p>
        </w:tc>
        <w:tc>
          <w:tcPr>
            <w:tcW w:w="31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018"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π</w:t>
            </w:r>
            <w:r w:rsidR="00A74F01">
              <w:rPr>
                <w:lang w:bidi="he-IL"/>
              </w:rPr>
              <w:t>α</w:t>
            </w:r>
            <w:r w:rsidRPr="001E3400">
              <w:rPr>
                <w:lang w:bidi="he-IL"/>
              </w:rPr>
              <w:t>ρ</w:t>
            </w:r>
            <w:r w:rsidR="00A74F01">
              <w:rPr>
                <w:lang w:bidi="he-IL"/>
              </w:rPr>
              <w:t>α</w:t>
            </w:r>
            <w:r w:rsidRPr="001E3400">
              <w:rPr>
                <w:lang w:bidi="he-IL"/>
              </w:rPr>
              <w:t>κ</w:t>
            </w:r>
            <w:r w:rsidR="00A74F01">
              <w:rPr>
                <w:lang w:bidi="he-IL"/>
              </w:rPr>
              <w:t>α</w:t>
            </w:r>
            <w:r w:rsidRPr="001E3400">
              <w:rPr>
                <w:lang w:bidi="he-IL"/>
              </w:rPr>
              <w:t>λεῖν</w:t>
            </w:r>
          </w:p>
        </w:tc>
        <w:tc>
          <w:tcPr>
            <w:tcW w:w="40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282"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δεῖσθ</w:t>
            </w:r>
            <w:r w:rsidR="00A74F01">
              <w:rPr>
                <w:lang w:bidi="he-IL"/>
              </w:rPr>
              <w:t>α</w:t>
            </w:r>
            <w:r w:rsidRPr="001E3400">
              <w:rPr>
                <w:lang w:bidi="he-IL"/>
              </w:rPr>
              <w:t>ι</w:t>
            </w:r>
          </w:p>
        </w:tc>
      </w:tr>
      <w:tr w:rsidR="00750D92" w:rsidRPr="001E3400" w:rsidTr="00750D92">
        <w:trPr>
          <w:cantSplit/>
          <w:trHeight w:val="20"/>
        </w:trPr>
        <w:tc>
          <w:tcPr>
            <w:tcW w:w="491"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IX,</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6</w:t>
            </w:r>
          </w:p>
        </w:tc>
        <w:tc>
          <w:tcPr>
            <w:tcW w:w="90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κλ</w:t>
            </w:r>
            <w:r w:rsidR="00DB352C">
              <w:rPr>
                <w:lang w:bidi="he-IL"/>
              </w:rPr>
              <w:t>ί</w:t>
            </w:r>
            <w:r w:rsidRPr="001E3400">
              <w:rPr>
                <w:lang w:bidi="he-IL"/>
              </w:rPr>
              <w:t>νῃ</w:t>
            </w:r>
          </w:p>
        </w:tc>
        <w:tc>
          <w:tcPr>
            <w:tcW w:w="31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II,</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9</w:t>
            </w:r>
          </w:p>
        </w:tc>
        <w:tc>
          <w:tcPr>
            <w:tcW w:w="1018"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κρ</w:t>
            </w:r>
            <w:r w:rsidR="00CD3C57">
              <w:rPr>
                <w:lang w:bidi="he-IL"/>
              </w:rPr>
              <w:t>ά</w:t>
            </w:r>
            <w:r w:rsidRPr="001E3400">
              <w:rPr>
                <w:lang w:bidi="he-IL"/>
              </w:rPr>
              <w:t>β</w:t>
            </w:r>
            <w:r w:rsidR="00A74F01">
              <w:rPr>
                <w:lang w:bidi="he-IL"/>
              </w:rPr>
              <w:t>α</w:t>
            </w:r>
            <w:r w:rsidRPr="001E3400">
              <w:rPr>
                <w:lang w:bidi="he-IL"/>
              </w:rPr>
              <w:t>ττος</w:t>
            </w:r>
          </w:p>
        </w:tc>
        <w:tc>
          <w:tcPr>
            <w:tcW w:w="40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V,</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24</w:t>
            </w:r>
          </w:p>
        </w:tc>
        <w:tc>
          <w:tcPr>
            <w:tcW w:w="1282"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κλιν</w:t>
            </w:r>
            <w:r w:rsidR="00DB352C">
              <w:rPr>
                <w:lang w:bidi="he-IL"/>
              </w:rPr>
              <w:t>ί</w:t>
            </w:r>
            <w:r w:rsidRPr="001E3400">
              <w:rPr>
                <w:lang w:bidi="he-IL"/>
              </w:rPr>
              <w:t>δι</w:t>
            </w:r>
            <w:r w:rsidR="00736374">
              <w:rPr>
                <w:lang w:bidi="he-IL"/>
              </w:rPr>
              <w:t>ό</w:t>
            </w:r>
            <w:r w:rsidRPr="001E3400">
              <w:rPr>
                <w:lang w:bidi="he-IL"/>
              </w:rPr>
              <w:t>ν</w:t>
            </w:r>
          </w:p>
        </w:tc>
      </w:tr>
      <w:tr w:rsidR="00750D92" w:rsidRPr="001E3400" w:rsidTr="00750D92">
        <w:trPr>
          <w:cantSplit/>
          <w:trHeight w:val="20"/>
        </w:trPr>
        <w:tc>
          <w:tcPr>
            <w:tcW w:w="491"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9</w:t>
            </w:r>
          </w:p>
        </w:tc>
        <w:tc>
          <w:tcPr>
            <w:tcW w:w="90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ὁρᾶν</w:t>
            </w:r>
          </w:p>
        </w:tc>
        <w:tc>
          <w:tcPr>
            <w:tcW w:w="31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14</w:t>
            </w:r>
          </w:p>
        </w:tc>
        <w:tc>
          <w:tcPr>
            <w:tcW w:w="1018"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ὁρᾶν</w:t>
            </w:r>
          </w:p>
        </w:tc>
        <w:tc>
          <w:tcPr>
            <w:tcW w:w="40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27</w:t>
            </w:r>
          </w:p>
        </w:tc>
        <w:tc>
          <w:tcPr>
            <w:tcW w:w="1282"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θεᾶσθ</w:t>
            </w:r>
            <w:r w:rsidR="00A74F01">
              <w:rPr>
                <w:lang w:bidi="he-IL"/>
              </w:rPr>
              <w:t>α</w:t>
            </w:r>
            <w:r w:rsidRPr="001E3400">
              <w:rPr>
                <w:lang w:bidi="he-IL"/>
              </w:rPr>
              <w:t>ι</w:t>
            </w:r>
          </w:p>
        </w:tc>
      </w:tr>
      <w:tr w:rsidR="00750D92" w:rsidRPr="001E3400" w:rsidTr="00750D92">
        <w:trPr>
          <w:cantSplit/>
          <w:trHeight w:val="20"/>
        </w:trPr>
        <w:tc>
          <w:tcPr>
            <w:tcW w:w="491"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XII,</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1</w:t>
            </w:r>
          </w:p>
        </w:tc>
        <w:tc>
          <w:tcPr>
            <w:tcW w:w="90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π</w:t>
            </w:r>
            <w:r w:rsidR="00A74F01">
              <w:rPr>
                <w:lang w:bidi="he-IL"/>
              </w:rPr>
              <w:t>α</w:t>
            </w:r>
            <w:r w:rsidRPr="001E3400">
              <w:rPr>
                <w:lang w:bidi="he-IL"/>
              </w:rPr>
              <w:t>ρ</w:t>
            </w:r>
            <w:r w:rsidR="00A74F01">
              <w:rPr>
                <w:lang w:bidi="he-IL"/>
              </w:rPr>
              <w:t>α</w:t>
            </w:r>
            <w:r w:rsidRPr="001E3400">
              <w:rPr>
                <w:lang w:bidi="he-IL"/>
              </w:rPr>
              <w:t>πορεύεσθ</w:t>
            </w:r>
            <w:r w:rsidR="00A74F01">
              <w:rPr>
                <w:lang w:bidi="he-IL"/>
              </w:rPr>
              <w:t>α</w:t>
            </w:r>
            <w:r w:rsidRPr="001E3400">
              <w:rPr>
                <w:lang w:bidi="he-IL"/>
              </w:rPr>
              <w:t>ι</w:t>
            </w:r>
          </w:p>
        </w:tc>
        <w:tc>
          <w:tcPr>
            <w:tcW w:w="31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23</w:t>
            </w:r>
          </w:p>
        </w:tc>
        <w:tc>
          <w:tcPr>
            <w:tcW w:w="1018"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π</w:t>
            </w:r>
            <w:r w:rsidR="00A74F01">
              <w:rPr>
                <w:lang w:bidi="he-IL"/>
              </w:rPr>
              <w:t>α</w:t>
            </w:r>
            <w:r w:rsidRPr="001E3400">
              <w:rPr>
                <w:lang w:bidi="he-IL"/>
              </w:rPr>
              <w:t>ρ</w:t>
            </w:r>
            <w:r w:rsidR="00A74F01">
              <w:rPr>
                <w:lang w:bidi="he-IL"/>
              </w:rPr>
              <w:t>α</w:t>
            </w:r>
            <w:r w:rsidRPr="001E3400">
              <w:rPr>
                <w:lang w:bidi="he-IL"/>
              </w:rPr>
              <w:t>πορεύεσθ</w:t>
            </w:r>
            <w:r w:rsidR="00A74F01">
              <w:rPr>
                <w:lang w:bidi="he-IL"/>
              </w:rPr>
              <w:t>α</w:t>
            </w:r>
            <w:r w:rsidRPr="001E3400">
              <w:rPr>
                <w:lang w:bidi="he-IL"/>
              </w:rPr>
              <w:t>ι</w:t>
            </w:r>
          </w:p>
        </w:tc>
        <w:tc>
          <w:tcPr>
            <w:tcW w:w="409" w:type="pct"/>
            <w:tcBorders>
              <w:top w:val="nil"/>
              <w:left w:val="nil"/>
              <w:bottom w:val="nil"/>
              <w:right w:val="nil"/>
            </w:tcBorders>
            <w:shd w:val="clear" w:color="auto" w:fill="auto"/>
            <w:noWrap/>
            <w:vAlign w:val="bottom"/>
            <w:hideMark/>
          </w:tcPr>
          <w:p w:rsidR="00750D92" w:rsidRPr="001E3400" w:rsidRDefault="00A319EA" w:rsidP="0012077A">
            <w:pPr>
              <w:pStyle w:val="nsr"/>
              <w:rPr>
                <w:lang w:bidi="he-IL"/>
              </w:rPr>
            </w:pPr>
            <w:r>
              <w:rPr>
                <w:lang w:bidi="he-IL"/>
              </w:rPr>
              <w:t>VI</w:t>
            </w:r>
            <w:r w:rsidR="00750D92"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1</w:t>
            </w:r>
          </w:p>
        </w:tc>
        <w:tc>
          <w:tcPr>
            <w:tcW w:w="1282"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δι</w:t>
            </w:r>
            <w:r w:rsidR="00A74F01">
              <w:rPr>
                <w:lang w:bidi="he-IL"/>
              </w:rPr>
              <w:t>α</w:t>
            </w:r>
            <w:r w:rsidRPr="001E3400">
              <w:rPr>
                <w:lang w:bidi="he-IL"/>
              </w:rPr>
              <w:t>πορεύεσθ</w:t>
            </w:r>
            <w:r w:rsidR="00A74F01">
              <w:rPr>
                <w:lang w:bidi="he-IL"/>
              </w:rPr>
              <w:t>α</w:t>
            </w:r>
            <w:r w:rsidRPr="001E3400">
              <w:rPr>
                <w:lang w:bidi="he-IL"/>
              </w:rPr>
              <w:t>ι</w:t>
            </w:r>
          </w:p>
        </w:tc>
      </w:tr>
      <w:tr w:rsidR="00750D92" w:rsidRPr="001E3400" w:rsidTr="00750D92">
        <w:trPr>
          <w:cantSplit/>
          <w:trHeight w:val="20"/>
        </w:trPr>
        <w:tc>
          <w:tcPr>
            <w:tcW w:w="491"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50</w:t>
            </w:r>
          </w:p>
        </w:tc>
        <w:tc>
          <w:tcPr>
            <w:tcW w:w="90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θ</w:t>
            </w:r>
            <w:r w:rsidR="00C771BF">
              <w:rPr>
                <w:lang w:bidi="he-IL"/>
              </w:rPr>
              <w:t>έ</w:t>
            </w:r>
            <w:r w:rsidRPr="001E3400">
              <w:rPr>
                <w:lang w:bidi="he-IL"/>
              </w:rPr>
              <w:t>λημ</w:t>
            </w:r>
            <w:r w:rsidR="00A74F01">
              <w:rPr>
                <w:lang w:bidi="he-IL"/>
              </w:rPr>
              <w:t>α</w:t>
            </w:r>
            <w:r w:rsidRPr="001E3400">
              <w:rPr>
                <w:lang w:bidi="he-IL"/>
              </w:rPr>
              <w:t xml:space="preserve"> τοῦ θεοῦ</w:t>
            </w:r>
          </w:p>
        </w:tc>
        <w:tc>
          <w:tcPr>
            <w:tcW w:w="31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III,</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35</w:t>
            </w:r>
          </w:p>
        </w:tc>
        <w:tc>
          <w:tcPr>
            <w:tcW w:w="1018"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θελήμ</w:t>
            </w:r>
            <w:r w:rsidR="00A74F01">
              <w:rPr>
                <w:lang w:bidi="he-IL"/>
              </w:rPr>
              <w:t>α</w:t>
            </w:r>
            <w:r w:rsidRPr="001E3400">
              <w:rPr>
                <w:lang w:bidi="he-IL"/>
              </w:rPr>
              <w:t>τ</w:t>
            </w:r>
            <w:r w:rsidR="00A74F01">
              <w:rPr>
                <w:lang w:bidi="he-IL"/>
              </w:rPr>
              <w:t>α</w:t>
            </w:r>
            <w:r w:rsidRPr="001E3400">
              <w:rPr>
                <w:lang w:bidi="he-IL"/>
              </w:rPr>
              <w:t xml:space="preserve"> τοῦ θεοῦ</w:t>
            </w:r>
          </w:p>
        </w:tc>
        <w:tc>
          <w:tcPr>
            <w:tcW w:w="40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VIII,</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21</w:t>
            </w:r>
          </w:p>
        </w:tc>
        <w:tc>
          <w:tcPr>
            <w:tcW w:w="1282"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ὁ λ</w:t>
            </w:r>
            <w:r w:rsidR="00736374">
              <w:rPr>
                <w:lang w:bidi="he-IL"/>
              </w:rPr>
              <w:t>ό</w:t>
            </w:r>
            <w:r w:rsidRPr="001E3400">
              <w:rPr>
                <w:lang w:bidi="he-IL"/>
              </w:rPr>
              <w:t>γος τοῦ θεοῦ</w:t>
            </w:r>
          </w:p>
        </w:tc>
      </w:tr>
      <w:tr w:rsidR="00750D92" w:rsidRPr="001E3400" w:rsidTr="00750D92">
        <w:trPr>
          <w:cantSplit/>
          <w:trHeight w:val="20"/>
        </w:trPr>
        <w:tc>
          <w:tcPr>
            <w:tcW w:w="491"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XIII,</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19</w:t>
            </w:r>
          </w:p>
        </w:tc>
        <w:tc>
          <w:tcPr>
            <w:tcW w:w="90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ὁ πονηρ</w:t>
            </w:r>
            <w:r w:rsidR="00736374">
              <w:rPr>
                <w:lang w:bidi="he-IL"/>
              </w:rPr>
              <w:t>ό</w:t>
            </w:r>
            <w:r w:rsidRPr="001E3400">
              <w:rPr>
                <w:lang w:bidi="he-IL"/>
              </w:rPr>
              <w:t>ς</w:t>
            </w:r>
          </w:p>
        </w:tc>
        <w:tc>
          <w:tcPr>
            <w:tcW w:w="31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IV,</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15</w:t>
            </w:r>
          </w:p>
        </w:tc>
        <w:tc>
          <w:tcPr>
            <w:tcW w:w="1018"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ὁ σ</w:t>
            </w:r>
            <w:r w:rsidR="00A74F01">
              <w:rPr>
                <w:lang w:bidi="he-IL"/>
              </w:rPr>
              <w:t>α</w:t>
            </w:r>
            <w:r w:rsidRPr="001E3400">
              <w:rPr>
                <w:lang w:bidi="he-IL"/>
              </w:rPr>
              <w:t>τ</w:t>
            </w:r>
            <w:r w:rsidR="00A74F01">
              <w:rPr>
                <w:lang w:bidi="he-IL"/>
              </w:rPr>
              <w:t>α</w:t>
            </w:r>
            <w:r w:rsidRPr="001E3400">
              <w:rPr>
                <w:lang w:bidi="he-IL"/>
              </w:rPr>
              <w:t>νᾶς</w:t>
            </w:r>
          </w:p>
        </w:tc>
        <w:tc>
          <w:tcPr>
            <w:tcW w:w="40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XI,</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12</w:t>
            </w:r>
          </w:p>
        </w:tc>
        <w:tc>
          <w:tcPr>
            <w:tcW w:w="1282"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ὁ δι</w:t>
            </w:r>
            <w:r w:rsidR="00CD3C57">
              <w:rPr>
                <w:lang w:bidi="he-IL"/>
              </w:rPr>
              <w:t>ά</w:t>
            </w:r>
            <w:r w:rsidRPr="001E3400">
              <w:rPr>
                <w:lang w:bidi="he-IL"/>
              </w:rPr>
              <w:t>βολος</w:t>
            </w:r>
          </w:p>
        </w:tc>
      </w:tr>
      <w:tr w:rsidR="00750D92" w:rsidRPr="001E3400" w:rsidTr="00750D92">
        <w:trPr>
          <w:cantSplit/>
          <w:trHeight w:val="20"/>
        </w:trPr>
        <w:tc>
          <w:tcPr>
            <w:tcW w:w="491"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VIII,</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25</w:t>
            </w:r>
          </w:p>
        </w:tc>
        <w:tc>
          <w:tcPr>
            <w:tcW w:w="90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κύριος</w:t>
            </w:r>
          </w:p>
        </w:tc>
        <w:tc>
          <w:tcPr>
            <w:tcW w:w="31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38</w:t>
            </w:r>
          </w:p>
        </w:tc>
        <w:tc>
          <w:tcPr>
            <w:tcW w:w="1018"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διδ</w:t>
            </w:r>
            <w:r w:rsidR="00CD3C57">
              <w:rPr>
                <w:lang w:bidi="he-IL"/>
              </w:rPr>
              <w:t>ά</w:t>
            </w:r>
            <w:r w:rsidRPr="001E3400">
              <w:rPr>
                <w:lang w:bidi="he-IL"/>
              </w:rPr>
              <w:t>σκ</w:t>
            </w:r>
            <w:r w:rsidR="00A74F01">
              <w:rPr>
                <w:lang w:bidi="he-IL"/>
              </w:rPr>
              <w:t>α</w:t>
            </w:r>
            <w:r w:rsidRPr="001E3400">
              <w:rPr>
                <w:lang w:bidi="he-IL"/>
              </w:rPr>
              <w:t>λος</w:t>
            </w:r>
          </w:p>
        </w:tc>
        <w:tc>
          <w:tcPr>
            <w:tcW w:w="40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VIII,</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24</w:t>
            </w:r>
          </w:p>
        </w:tc>
        <w:tc>
          <w:tcPr>
            <w:tcW w:w="1282"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ἐπιστ</w:t>
            </w:r>
            <w:r w:rsidR="00CD3C57">
              <w:rPr>
                <w:lang w:bidi="he-IL"/>
              </w:rPr>
              <w:t>ά</w:t>
            </w:r>
            <w:r w:rsidRPr="001E3400">
              <w:rPr>
                <w:lang w:bidi="he-IL"/>
              </w:rPr>
              <w:t>της</w:t>
            </w:r>
          </w:p>
        </w:tc>
      </w:tr>
      <w:tr w:rsidR="00750D92" w:rsidRPr="001E3400" w:rsidTr="00750D92">
        <w:trPr>
          <w:cantSplit/>
          <w:trHeight w:val="20"/>
        </w:trPr>
        <w:tc>
          <w:tcPr>
            <w:tcW w:w="491"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28</w:t>
            </w:r>
          </w:p>
        </w:tc>
        <w:tc>
          <w:tcPr>
            <w:tcW w:w="90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ἔρχεσθ</w:t>
            </w:r>
            <w:r w:rsidR="00A74F01">
              <w:rPr>
                <w:lang w:bidi="he-IL"/>
              </w:rPr>
              <w:t>α</w:t>
            </w:r>
            <w:r w:rsidRPr="001E3400">
              <w:rPr>
                <w:lang w:bidi="he-IL"/>
              </w:rPr>
              <w:t>ι</w:t>
            </w:r>
          </w:p>
        </w:tc>
        <w:tc>
          <w:tcPr>
            <w:tcW w:w="31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V,</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1</w:t>
            </w:r>
          </w:p>
        </w:tc>
        <w:tc>
          <w:tcPr>
            <w:tcW w:w="1018"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ἔρχεσθ</w:t>
            </w:r>
            <w:r w:rsidR="00A74F01">
              <w:rPr>
                <w:lang w:bidi="he-IL"/>
              </w:rPr>
              <w:t>α</w:t>
            </w:r>
            <w:r w:rsidRPr="001E3400">
              <w:rPr>
                <w:lang w:bidi="he-IL"/>
              </w:rPr>
              <w:t>ι</w:t>
            </w:r>
          </w:p>
        </w:tc>
        <w:tc>
          <w:tcPr>
            <w:tcW w:w="40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26</w:t>
            </w:r>
          </w:p>
        </w:tc>
        <w:tc>
          <w:tcPr>
            <w:tcW w:w="1282"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κ</w:t>
            </w:r>
            <w:r w:rsidR="00A74F01">
              <w:rPr>
                <w:lang w:bidi="he-IL"/>
              </w:rPr>
              <w:t>α</w:t>
            </w:r>
            <w:r w:rsidRPr="001E3400">
              <w:rPr>
                <w:lang w:bidi="he-IL"/>
              </w:rPr>
              <w:t>τ</w:t>
            </w:r>
            <w:r w:rsidR="00A74F01">
              <w:rPr>
                <w:lang w:bidi="he-IL"/>
              </w:rPr>
              <w:t>α</w:t>
            </w:r>
            <w:r w:rsidRPr="001E3400">
              <w:rPr>
                <w:lang w:bidi="he-IL"/>
              </w:rPr>
              <w:t>πιεῖν</w:t>
            </w:r>
          </w:p>
        </w:tc>
      </w:tr>
      <w:tr w:rsidR="00750D92" w:rsidRPr="001E3400" w:rsidTr="00750D92">
        <w:trPr>
          <w:cantSplit/>
          <w:trHeight w:val="20"/>
        </w:trPr>
        <w:tc>
          <w:tcPr>
            <w:tcW w:w="491"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34</w:t>
            </w:r>
          </w:p>
        </w:tc>
        <w:tc>
          <w:tcPr>
            <w:tcW w:w="90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ἀποθ</w:t>
            </w:r>
            <w:r w:rsidR="00A74F01">
              <w:rPr>
                <w:lang w:bidi="he-IL"/>
              </w:rPr>
              <w:t>α</w:t>
            </w:r>
            <w:r w:rsidRPr="001E3400">
              <w:rPr>
                <w:lang w:bidi="he-IL"/>
              </w:rPr>
              <w:t>νεῖν</w:t>
            </w:r>
          </w:p>
        </w:tc>
        <w:tc>
          <w:tcPr>
            <w:tcW w:w="31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13</w:t>
            </w:r>
          </w:p>
        </w:tc>
        <w:tc>
          <w:tcPr>
            <w:tcW w:w="1018"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πν</w:t>
            </w:r>
            <w:r w:rsidR="00DB352C">
              <w:rPr>
                <w:lang w:bidi="he-IL"/>
              </w:rPr>
              <w:t>ί</w:t>
            </w:r>
            <w:r w:rsidRPr="001E3400">
              <w:rPr>
                <w:lang w:bidi="he-IL"/>
              </w:rPr>
              <w:t>γεσθ</w:t>
            </w:r>
            <w:r w:rsidR="00A74F01">
              <w:rPr>
                <w:lang w:bidi="he-IL"/>
              </w:rPr>
              <w:t>α</w:t>
            </w:r>
            <w:r w:rsidRPr="001E3400">
              <w:rPr>
                <w:lang w:bidi="he-IL"/>
              </w:rPr>
              <w:t>ι</w:t>
            </w:r>
          </w:p>
        </w:tc>
        <w:tc>
          <w:tcPr>
            <w:tcW w:w="40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33</w:t>
            </w:r>
          </w:p>
        </w:tc>
        <w:tc>
          <w:tcPr>
            <w:tcW w:w="1282"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ἀποπν</w:t>
            </w:r>
            <w:r w:rsidR="00DB352C">
              <w:rPr>
                <w:lang w:bidi="he-IL"/>
              </w:rPr>
              <w:t>ί</w:t>
            </w:r>
            <w:r w:rsidRPr="001E3400">
              <w:rPr>
                <w:lang w:bidi="he-IL"/>
              </w:rPr>
              <w:t>γεσθ</w:t>
            </w:r>
            <w:r w:rsidR="00A74F01">
              <w:rPr>
                <w:lang w:bidi="he-IL"/>
              </w:rPr>
              <w:t>α</w:t>
            </w:r>
            <w:r w:rsidRPr="001E3400">
              <w:rPr>
                <w:lang w:bidi="he-IL"/>
              </w:rPr>
              <w:t>ι</w:t>
            </w:r>
          </w:p>
        </w:tc>
      </w:tr>
      <w:tr w:rsidR="00750D92" w:rsidRPr="001E3400" w:rsidTr="00750D92">
        <w:trPr>
          <w:cantSplit/>
          <w:trHeight w:val="20"/>
        </w:trPr>
        <w:tc>
          <w:tcPr>
            <w:tcW w:w="491"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XVIII,</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6</w:t>
            </w:r>
          </w:p>
        </w:tc>
        <w:tc>
          <w:tcPr>
            <w:tcW w:w="90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συμφ</w:t>
            </w:r>
            <w:r w:rsidR="00C771BF">
              <w:rPr>
                <w:lang w:bidi="he-IL"/>
              </w:rPr>
              <w:t>έ</w:t>
            </w:r>
            <w:r w:rsidRPr="001E3400">
              <w:rPr>
                <w:lang w:bidi="he-IL"/>
              </w:rPr>
              <w:t>ρει</w:t>
            </w:r>
          </w:p>
        </w:tc>
        <w:tc>
          <w:tcPr>
            <w:tcW w:w="31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IX,</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42</w:t>
            </w:r>
          </w:p>
        </w:tc>
        <w:tc>
          <w:tcPr>
            <w:tcW w:w="1018"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κ</w:t>
            </w:r>
            <w:r w:rsidR="00A74F01">
              <w:rPr>
                <w:lang w:bidi="he-IL"/>
              </w:rPr>
              <w:t>α</w:t>
            </w:r>
            <w:r w:rsidRPr="001E3400">
              <w:rPr>
                <w:lang w:bidi="he-IL"/>
              </w:rPr>
              <w:t>λ</w:t>
            </w:r>
            <w:r w:rsidR="00736374">
              <w:rPr>
                <w:lang w:bidi="he-IL"/>
              </w:rPr>
              <w:t>ό</w:t>
            </w:r>
            <w:r w:rsidRPr="001E3400">
              <w:rPr>
                <w:lang w:bidi="he-IL"/>
              </w:rPr>
              <w:t>ν ἐστιν</w:t>
            </w:r>
          </w:p>
        </w:tc>
        <w:tc>
          <w:tcPr>
            <w:tcW w:w="40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XVII,</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2</w:t>
            </w:r>
          </w:p>
        </w:tc>
        <w:tc>
          <w:tcPr>
            <w:tcW w:w="1282"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λυσιτελεῖ</w:t>
            </w:r>
          </w:p>
        </w:tc>
      </w:tr>
      <w:tr w:rsidR="00750D92" w:rsidRPr="001E3400" w:rsidTr="00750D92">
        <w:trPr>
          <w:cantSplit/>
          <w:trHeight w:val="20"/>
        </w:trPr>
        <w:tc>
          <w:tcPr>
            <w:tcW w:w="491"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XIX,</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22</w:t>
            </w:r>
          </w:p>
        </w:tc>
        <w:tc>
          <w:tcPr>
            <w:tcW w:w="90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λυπούμενος</w:t>
            </w:r>
          </w:p>
        </w:tc>
        <w:tc>
          <w:tcPr>
            <w:tcW w:w="31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22</w:t>
            </w:r>
          </w:p>
        </w:tc>
        <w:tc>
          <w:tcPr>
            <w:tcW w:w="1018"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λυπούμενος</w:t>
            </w:r>
          </w:p>
        </w:tc>
        <w:tc>
          <w:tcPr>
            <w:tcW w:w="40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23</w:t>
            </w:r>
          </w:p>
        </w:tc>
        <w:tc>
          <w:tcPr>
            <w:tcW w:w="1282"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περ</w:t>
            </w:r>
            <w:r w:rsidR="00DB352C">
              <w:rPr>
                <w:lang w:bidi="he-IL"/>
              </w:rPr>
              <w:t>ί</w:t>
            </w:r>
            <w:r w:rsidRPr="001E3400">
              <w:rPr>
                <w:lang w:bidi="he-IL"/>
              </w:rPr>
              <w:t>λυπος</w:t>
            </w:r>
          </w:p>
        </w:tc>
      </w:tr>
      <w:tr w:rsidR="00750D92" w:rsidRPr="001E3400" w:rsidTr="00750D92">
        <w:trPr>
          <w:cantSplit/>
          <w:trHeight w:val="20"/>
        </w:trPr>
        <w:tc>
          <w:tcPr>
            <w:tcW w:w="491"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24</w:t>
            </w:r>
          </w:p>
        </w:tc>
        <w:tc>
          <w:tcPr>
            <w:tcW w:w="90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τρύπημ</w:t>
            </w:r>
            <w:r w:rsidR="00A74F01">
              <w:rPr>
                <w:lang w:bidi="he-IL"/>
              </w:rPr>
              <w:t>α</w:t>
            </w:r>
          </w:p>
        </w:tc>
        <w:tc>
          <w:tcPr>
            <w:tcW w:w="31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25</w:t>
            </w:r>
          </w:p>
        </w:tc>
        <w:tc>
          <w:tcPr>
            <w:tcW w:w="1018"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τρυμ</w:t>
            </w:r>
            <w:r w:rsidR="00A74F01">
              <w:rPr>
                <w:lang w:bidi="he-IL"/>
              </w:rPr>
              <w:t>α</w:t>
            </w:r>
            <w:r w:rsidRPr="001E3400">
              <w:rPr>
                <w:lang w:bidi="he-IL"/>
              </w:rPr>
              <w:t>λ</w:t>
            </w:r>
            <w:r w:rsidR="00DB352C">
              <w:rPr>
                <w:lang w:bidi="he-IL"/>
              </w:rPr>
              <w:t>ί</w:t>
            </w:r>
            <w:r w:rsidR="00A74F01">
              <w:rPr>
                <w:lang w:bidi="he-IL"/>
              </w:rPr>
              <w:t>α</w:t>
            </w:r>
          </w:p>
        </w:tc>
        <w:tc>
          <w:tcPr>
            <w:tcW w:w="40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25</w:t>
            </w:r>
          </w:p>
        </w:tc>
        <w:tc>
          <w:tcPr>
            <w:tcW w:w="1282"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τρῆμ</w:t>
            </w:r>
            <w:r w:rsidR="00A74F01">
              <w:rPr>
                <w:lang w:bidi="he-IL"/>
              </w:rPr>
              <w:t>α</w:t>
            </w:r>
          </w:p>
        </w:tc>
      </w:tr>
      <w:tr w:rsidR="00750D92" w:rsidRPr="001E3400" w:rsidTr="00750D92">
        <w:trPr>
          <w:cantSplit/>
          <w:trHeight w:val="20"/>
        </w:trPr>
        <w:tc>
          <w:tcPr>
            <w:tcW w:w="491"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XX,</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34</w:t>
            </w:r>
          </w:p>
        </w:tc>
        <w:tc>
          <w:tcPr>
            <w:tcW w:w="90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εὐθ</w:t>
            </w:r>
            <w:r w:rsidR="00C771BF">
              <w:rPr>
                <w:lang w:bidi="he-IL"/>
              </w:rPr>
              <w:t>έ</w:t>
            </w:r>
            <w:r w:rsidRPr="001E3400">
              <w:rPr>
                <w:lang w:bidi="he-IL"/>
              </w:rPr>
              <w:t>ως</w:t>
            </w:r>
          </w:p>
        </w:tc>
        <w:tc>
          <w:tcPr>
            <w:tcW w:w="31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52</w:t>
            </w:r>
          </w:p>
        </w:tc>
        <w:tc>
          <w:tcPr>
            <w:tcW w:w="1018"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εὐθύς</w:t>
            </w:r>
          </w:p>
        </w:tc>
        <w:tc>
          <w:tcPr>
            <w:tcW w:w="40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42</w:t>
            </w:r>
          </w:p>
        </w:tc>
        <w:tc>
          <w:tcPr>
            <w:tcW w:w="1282"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π</w:t>
            </w:r>
            <w:r w:rsidR="00A74F01">
              <w:rPr>
                <w:lang w:bidi="he-IL"/>
              </w:rPr>
              <w:t>α</w:t>
            </w:r>
            <w:r w:rsidRPr="001E3400">
              <w:rPr>
                <w:lang w:bidi="he-IL"/>
              </w:rPr>
              <w:t>ρ</w:t>
            </w:r>
            <w:r w:rsidR="00A74F01">
              <w:rPr>
                <w:lang w:bidi="he-IL"/>
              </w:rPr>
              <w:t>α</w:t>
            </w:r>
            <w:r w:rsidRPr="001E3400">
              <w:rPr>
                <w:lang w:bidi="he-IL"/>
              </w:rPr>
              <w:t>χρῆμ</w:t>
            </w:r>
            <w:r w:rsidR="00A74F01">
              <w:rPr>
                <w:lang w:bidi="he-IL"/>
              </w:rPr>
              <w:t>α</w:t>
            </w:r>
          </w:p>
        </w:tc>
      </w:tr>
      <w:tr w:rsidR="00750D92" w:rsidRPr="001E3400" w:rsidTr="00750D92">
        <w:trPr>
          <w:cantSplit/>
          <w:trHeight w:val="20"/>
        </w:trPr>
        <w:tc>
          <w:tcPr>
            <w:tcW w:w="491"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XXI,</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7</w:t>
            </w:r>
          </w:p>
        </w:tc>
        <w:tc>
          <w:tcPr>
            <w:tcW w:w="90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ἐπιτιθ</w:t>
            </w:r>
            <w:r w:rsidR="00C771BF">
              <w:rPr>
                <w:lang w:bidi="he-IL"/>
              </w:rPr>
              <w:t>έ</w:t>
            </w:r>
            <w:r w:rsidRPr="001E3400">
              <w:rPr>
                <w:lang w:bidi="he-IL"/>
              </w:rPr>
              <w:t>ν</w:t>
            </w:r>
            <w:r w:rsidR="00A74F01">
              <w:rPr>
                <w:lang w:bidi="he-IL"/>
              </w:rPr>
              <w:t>α</w:t>
            </w:r>
            <w:r w:rsidRPr="001E3400">
              <w:rPr>
                <w:lang w:bidi="he-IL"/>
              </w:rPr>
              <w:t>ι</w:t>
            </w:r>
          </w:p>
        </w:tc>
        <w:tc>
          <w:tcPr>
            <w:tcW w:w="31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XI,</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7</w:t>
            </w:r>
          </w:p>
        </w:tc>
        <w:tc>
          <w:tcPr>
            <w:tcW w:w="1018"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ἐπιβ</w:t>
            </w:r>
            <w:r w:rsidR="00CD3C57">
              <w:rPr>
                <w:lang w:bidi="he-IL"/>
              </w:rPr>
              <w:t>ά</w:t>
            </w:r>
            <w:r w:rsidRPr="001E3400">
              <w:rPr>
                <w:lang w:bidi="he-IL"/>
              </w:rPr>
              <w:t>λλειν</w:t>
            </w:r>
          </w:p>
        </w:tc>
        <w:tc>
          <w:tcPr>
            <w:tcW w:w="40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XIX,</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35</w:t>
            </w:r>
          </w:p>
        </w:tc>
        <w:tc>
          <w:tcPr>
            <w:tcW w:w="1282"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ἐπιρρ</w:t>
            </w:r>
            <w:r w:rsidR="00DB352C">
              <w:rPr>
                <w:lang w:bidi="he-IL"/>
              </w:rPr>
              <w:t>ί</w:t>
            </w:r>
            <w:r w:rsidRPr="001E3400">
              <w:rPr>
                <w:lang w:bidi="he-IL"/>
              </w:rPr>
              <w:t>πτειν</w:t>
            </w:r>
          </w:p>
        </w:tc>
      </w:tr>
      <w:tr w:rsidR="00750D92" w:rsidRPr="001E3400" w:rsidTr="00750D92">
        <w:trPr>
          <w:cantSplit/>
          <w:trHeight w:val="20"/>
        </w:trPr>
        <w:tc>
          <w:tcPr>
            <w:tcW w:w="491"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25</w:t>
            </w:r>
          </w:p>
        </w:tc>
        <w:tc>
          <w:tcPr>
            <w:tcW w:w="90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δι</w:t>
            </w:r>
            <w:r w:rsidR="00A74F01">
              <w:rPr>
                <w:lang w:bidi="he-IL"/>
              </w:rPr>
              <w:t>α</w:t>
            </w:r>
            <w:r w:rsidRPr="001E3400">
              <w:rPr>
                <w:lang w:bidi="he-IL"/>
              </w:rPr>
              <w:t>λογ</w:t>
            </w:r>
            <w:r w:rsidR="00DB352C">
              <w:rPr>
                <w:lang w:bidi="he-IL"/>
              </w:rPr>
              <w:t>ί</w:t>
            </w:r>
            <w:r w:rsidRPr="001E3400">
              <w:rPr>
                <w:lang w:bidi="he-IL"/>
              </w:rPr>
              <w:t>ζεσθ</w:t>
            </w:r>
            <w:r w:rsidR="00A74F01">
              <w:rPr>
                <w:lang w:bidi="he-IL"/>
              </w:rPr>
              <w:t>α</w:t>
            </w:r>
            <w:r w:rsidRPr="001E3400">
              <w:rPr>
                <w:lang w:bidi="he-IL"/>
              </w:rPr>
              <w:t>ι</w:t>
            </w:r>
          </w:p>
        </w:tc>
        <w:tc>
          <w:tcPr>
            <w:tcW w:w="31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31</w:t>
            </w:r>
          </w:p>
        </w:tc>
        <w:tc>
          <w:tcPr>
            <w:tcW w:w="1018"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λογ</w:t>
            </w:r>
            <w:r w:rsidR="00DB352C">
              <w:rPr>
                <w:lang w:bidi="he-IL"/>
              </w:rPr>
              <w:t>ί</w:t>
            </w:r>
            <w:r w:rsidRPr="001E3400">
              <w:rPr>
                <w:lang w:bidi="he-IL"/>
              </w:rPr>
              <w:t>ζεσθ</w:t>
            </w:r>
            <w:r w:rsidR="00A74F01">
              <w:rPr>
                <w:lang w:bidi="he-IL"/>
              </w:rPr>
              <w:t>α</w:t>
            </w:r>
            <w:r w:rsidRPr="001E3400">
              <w:rPr>
                <w:lang w:bidi="he-IL"/>
              </w:rPr>
              <w:t>ι</w:t>
            </w:r>
          </w:p>
        </w:tc>
        <w:tc>
          <w:tcPr>
            <w:tcW w:w="40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XX,</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5</w:t>
            </w:r>
          </w:p>
        </w:tc>
        <w:tc>
          <w:tcPr>
            <w:tcW w:w="1282"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συλλογ</w:t>
            </w:r>
            <w:r w:rsidR="00DB352C">
              <w:rPr>
                <w:lang w:bidi="he-IL"/>
              </w:rPr>
              <w:t>ί</w:t>
            </w:r>
            <w:r w:rsidRPr="001E3400">
              <w:rPr>
                <w:lang w:bidi="he-IL"/>
              </w:rPr>
              <w:t>ζεσθ</w:t>
            </w:r>
            <w:r w:rsidR="00A74F01">
              <w:rPr>
                <w:lang w:bidi="he-IL"/>
              </w:rPr>
              <w:t>α</w:t>
            </w:r>
            <w:r w:rsidRPr="001E3400">
              <w:rPr>
                <w:lang w:bidi="he-IL"/>
              </w:rPr>
              <w:t>ι</w:t>
            </w:r>
          </w:p>
        </w:tc>
      </w:tr>
      <w:tr w:rsidR="00750D92" w:rsidRPr="001E3400" w:rsidTr="00750D92">
        <w:trPr>
          <w:cantSplit/>
          <w:trHeight w:val="20"/>
        </w:trPr>
        <w:tc>
          <w:tcPr>
            <w:tcW w:w="491"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XXII,</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18</w:t>
            </w:r>
          </w:p>
        </w:tc>
        <w:tc>
          <w:tcPr>
            <w:tcW w:w="90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γνούς</w:t>
            </w:r>
          </w:p>
        </w:tc>
        <w:tc>
          <w:tcPr>
            <w:tcW w:w="31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XII,</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15</w:t>
            </w:r>
          </w:p>
        </w:tc>
        <w:tc>
          <w:tcPr>
            <w:tcW w:w="1018"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εἰδώς</w:t>
            </w:r>
          </w:p>
        </w:tc>
        <w:tc>
          <w:tcPr>
            <w:tcW w:w="40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23</w:t>
            </w:r>
          </w:p>
        </w:tc>
        <w:tc>
          <w:tcPr>
            <w:tcW w:w="1282"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χ</w:t>
            </w:r>
            <w:r w:rsidR="00A74F01">
              <w:rPr>
                <w:lang w:bidi="he-IL"/>
              </w:rPr>
              <w:t>α</w:t>
            </w:r>
            <w:r w:rsidRPr="001E3400">
              <w:rPr>
                <w:lang w:bidi="he-IL"/>
              </w:rPr>
              <w:t>τ</w:t>
            </w:r>
            <w:r w:rsidR="00A74F01">
              <w:rPr>
                <w:lang w:bidi="he-IL"/>
              </w:rPr>
              <w:t>α</w:t>
            </w:r>
            <w:r w:rsidRPr="001E3400">
              <w:rPr>
                <w:lang w:bidi="he-IL"/>
              </w:rPr>
              <w:t>νοήσ ???ς</w:t>
            </w:r>
          </w:p>
        </w:tc>
      </w:tr>
      <w:tr w:rsidR="00750D92" w:rsidRPr="001E3400" w:rsidTr="00750D92">
        <w:trPr>
          <w:cantSplit/>
          <w:trHeight w:val="20"/>
        </w:trPr>
        <w:tc>
          <w:tcPr>
            <w:tcW w:w="491"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90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πονηρ</w:t>
            </w:r>
            <w:r w:rsidR="00DB352C">
              <w:rPr>
                <w:lang w:bidi="he-IL"/>
              </w:rPr>
              <w:t>ί</w:t>
            </w:r>
            <w:r w:rsidR="00A74F01">
              <w:rPr>
                <w:lang w:bidi="he-IL"/>
              </w:rPr>
              <w:t>α</w:t>
            </w:r>
          </w:p>
        </w:tc>
        <w:tc>
          <w:tcPr>
            <w:tcW w:w="31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018"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ὑπ</w:t>
            </w:r>
            <w:r w:rsidR="00736374">
              <w:rPr>
                <w:lang w:bidi="he-IL"/>
              </w:rPr>
              <w:t>ό</w:t>
            </w:r>
            <w:r w:rsidRPr="001E3400">
              <w:rPr>
                <w:lang w:bidi="he-IL"/>
              </w:rPr>
              <w:t>κρισις</w:t>
            </w:r>
          </w:p>
        </w:tc>
        <w:tc>
          <w:tcPr>
            <w:tcW w:w="40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282"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π</w:t>
            </w:r>
            <w:r w:rsidR="00A74F01">
              <w:rPr>
                <w:lang w:bidi="he-IL"/>
              </w:rPr>
              <w:t>α</w:t>
            </w:r>
            <w:r w:rsidRPr="001E3400">
              <w:rPr>
                <w:lang w:bidi="he-IL"/>
              </w:rPr>
              <w:t>νουργ</w:t>
            </w:r>
            <w:r w:rsidR="00DB352C">
              <w:rPr>
                <w:lang w:bidi="he-IL"/>
              </w:rPr>
              <w:t>ί</w:t>
            </w:r>
            <w:r w:rsidRPr="001E3400">
              <w:rPr>
                <w:lang w:bidi="he-IL"/>
              </w:rPr>
              <w:t> ???</w:t>
            </w:r>
          </w:p>
        </w:tc>
      </w:tr>
      <w:tr w:rsidR="00750D92" w:rsidRPr="001E3400" w:rsidTr="00750D92">
        <w:trPr>
          <w:cantSplit/>
          <w:trHeight w:val="20"/>
        </w:trPr>
        <w:tc>
          <w:tcPr>
            <w:tcW w:w="491"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XXIV,</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15</w:t>
            </w:r>
          </w:p>
        </w:tc>
        <w:tc>
          <w:tcPr>
            <w:tcW w:w="90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ἔστησ</w:t>
            </w:r>
            <w:r w:rsidR="00A74F01">
              <w:rPr>
                <w:lang w:bidi="he-IL"/>
              </w:rPr>
              <w:t>α</w:t>
            </w:r>
            <w:r w:rsidRPr="001E3400">
              <w:rPr>
                <w:lang w:bidi="he-IL"/>
              </w:rPr>
              <w:t>ν</w:t>
            </w:r>
          </w:p>
        </w:tc>
        <w:tc>
          <w:tcPr>
            <w:tcW w:w="31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XIV,</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11</w:t>
            </w:r>
          </w:p>
        </w:tc>
        <w:tc>
          <w:tcPr>
            <w:tcW w:w="1018"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ἐπηγγε</w:t>
            </w:r>
            <w:r w:rsidR="00DB352C">
              <w:rPr>
                <w:lang w:bidi="he-IL"/>
              </w:rPr>
              <w:t>ί</w:t>
            </w:r>
            <w:r w:rsidRPr="001E3400">
              <w:rPr>
                <w:lang w:bidi="he-IL"/>
              </w:rPr>
              <w:t>λ</w:t>
            </w:r>
            <w:r w:rsidR="00A74F01">
              <w:rPr>
                <w:lang w:bidi="he-IL"/>
              </w:rPr>
              <w:t>α</w:t>
            </w:r>
            <w:r w:rsidRPr="001E3400">
              <w:rPr>
                <w:lang w:bidi="he-IL"/>
              </w:rPr>
              <w:t>ντο</w:t>
            </w:r>
          </w:p>
        </w:tc>
        <w:tc>
          <w:tcPr>
            <w:tcW w:w="40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XXI,</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5</w:t>
            </w:r>
          </w:p>
        </w:tc>
        <w:tc>
          <w:tcPr>
            <w:tcW w:w="1282"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συν</w:t>
            </w:r>
            <w:r w:rsidR="00C771BF">
              <w:rPr>
                <w:lang w:bidi="he-IL"/>
              </w:rPr>
              <w:t>έ</w:t>
            </w:r>
            <w:r w:rsidRPr="001E3400">
              <w:rPr>
                <w:lang w:bidi="he-IL"/>
              </w:rPr>
              <w:t>θεντο</w:t>
            </w:r>
          </w:p>
        </w:tc>
      </w:tr>
      <w:tr w:rsidR="00750D92" w:rsidRPr="001E3400" w:rsidTr="00750D92">
        <w:trPr>
          <w:cantSplit/>
          <w:trHeight w:val="20"/>
        </w:trPr>
        <w:tc>
          <w:tcPr>
            <w:tcW w:w="491"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XXVII,</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2</w:t>
            </w:r>
          </w:p>
        </w:tc>
        <w:tc>
          <w:tcPr>
            <w:tcW w:w="90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ἀπ</w:t>
            </w:r>
            <w:r w:rsidR="00CD3C57">
              <w:rPr>
                <w:lang w:bidi="he-IL"/>
              </w:rPr>
              <w:t>ά</w:t>
            </w:r>
            <w:r w:rsidRPr="001E3400">
              <w:rPr>
                <w:lang w:bidi="he-IL"/>
              </w:rPr>
              <w:t>γειν</w:t>
            </w:r>
          </w:p>
        </w:tc>
        <w:tc>
          <w:tcPr>
            <w:tcW w:w="31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XV,</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1</w:t>
            </w:r>
          </w:p>
        </w:tc>
        <w:tc>
          <w:tcPr>
            <w:tcW w:w="1018"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ἀποφ</w:t>
            </w:r>
            <w:r w:rsidR="00C771BF">
              <w:rPr>
                <w:lang w:bidi="he-IL"/>
              </w:rPr>
              <w:t>έ</w:t>
            </w:r>
            <w:r w:rsidRPr="001E3400">
              <w:rPr>
                <w:lang w:bidi="he-IL"/>
              </w:rPr>
              <w:t>ρειν</w:t>
            </w:r>
          </w:p>
        </w:tc>
        <w:tc>
          <w:tcPr>
            <w:tcW w:w="40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XXIII,</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1</w:t>
            </w:r>
          </w:p>
        </w:tc>
        <w:tc>
          <w:tcPr>
            <w:tcW w:w="1282"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ἄγειν</w:t>
            </w:r>
          </w:p>
        </w:tc>
      </w:tr>
      <w:tr w:rsidR="00750D92" w:rsidRPr="001E3400" w:rsidTr="00750D92">
        <w:trPr>
          <w:cantSplit/>
          <w:trHeight w:val="20"/>
        </w:trPr>
        <w:tc>
          <w:tcPr>
            <w:tcW w:w="491"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51</w:t>
            </w:r>
          </w:p>
        </w:tc>
        <w:tc>
          <w:tcPr>
            <w:tcW w:w="90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ἀληθῶς</w:t>
            </w:r>
          </w:p>
        </w:tc>
        <w:tc>
          <w:tcPr>
            <w:tcW w:w="31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39</w:t>
            </w:r>
          </w:p>
        </w:tc>
        <w:tc>
          <w:tcPr>
            <w:tcW w:w="1018"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ἀληθῶς</w:t>
            </w:r>
          </w:p>
        </w:tc>
        <w:tc>
          <w:tcPr>
            <w:tcW w:w="40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47</w:t>
            </w:r>
          </w:p>
        </w:tc>
        <w:tc>
          <w:tcPr>
            <w:tcW w:w="1282"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ὄντως</w:t>
            </w:r>
          </w:p>
        </w:tc>
      </w:tr>
      <w:tr w:rsidR="00750D92" w:rsidRPr="001E3400" w:rsidTr="00750D92">
        <w:trPr>
          <w:cantSplit/>
          <w:trHeight w:val="20"/>
        </w:trPr>
        <w:tc>
          <w:tcPr>
            <w:tcW w:w="491"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XXVIII,</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8</w:t>
            </w:r>
          </w:p>
        </w:tc>
        <w:tc>
          <w:tcPr>
            <w:tcW w:w="90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ἀπελθοῦσ</w:t>
            </w:r>
            <w:r w:rsidR="00A74F01">
              <w:rPr>
                <w:lang w:bidi="he-IL"/>
              </w:rPr>
              <w:t>α</w:t>
            </w:r>
            <w:r w:rsidRPr="001E3400">
              <w:rPr>
                <w:lang w:bidi="he-IL"/>
              </w:rPr>
              <w:t>ι</w:t>
            </w:r>
          </w:p>
        </w:tc>
        <w:tc>
          <w:tcPr>
            <w:tcW w:w="31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XVI,</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8</w:t>
            </w:r>
          </w:p>
        </w:tc>
        <w:tc>
          <w:tcPr>
            <w:tcW w:w="1018"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ἐξελθοῦσ</w:t>
            </w:r>
            <w:r w:rsidR="00A74F01">
              <w:rPr>
                <w:lang w:bidi="he-IL"/>
              </w:rPr>
              <w:t>α</w:t>
            </w:r>
            <w:r w:rsidRPr="001E3400">
              <w:rPr>
                <w:lang w:bidi="he-IL"/>
              </w:rPr>
              <w:t>ι</w:t>
            </w:r>
          </w:p>
        </w:tc>
        <w:tc>
          <w:tcPr>
            <w:tcW w:w="40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XXIV,</w:t>
            </w:r>
          </w:p>
        </w:tc>
        <w:tc>
          <w:tcPr>
            <w:tcW w:w="19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9</w:t>
            </w:r>
          </w:p>
        </w:tc>
        <w:tc>
          <w:tcPr>
            <w:tcW w:w="1282"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ὑποστρ</w:t>
            </w:r>
            <w:r w:rsidR="00C771BF">
              <w:rPr>
                <w:lang w:bidi="he-IL"/>
              </w:rPr>
              <w:t>έ</w:t>
            </w:r>
            <w:r w:rsidRPr="001E3400">
              <w:rPr>
                <w:lang w:bidi="he-IL"/>
              </w:rPr>
              <w:t>ψ</w:t>
            </w:r>
            <w:r w:rsidR="00A74F01">
              <w:rPr>
                <w:lang w:bidi="he-IL"/>
              </w:rPr>
              <w:t>α</w:t>
            </w:r>
            <w:r w:rsidRPr="001E3400">
              <w:rPr>
                <w:lang w:bidi="he-IL"/>
              </w:rPr>
              <w:t>σ</w:t>
            </w:r>
            <w:r w:rsidR="00A74F01">
              <w:rPr>
                <w:lang w:bidi="he-IL"/>
              </w:rPr>
              <w:t>α</w:t>
            </w:r>
            <w:r w:rsidRPr="001E3400">
              <w:rPr>
                <w:lang w:bidi="he-IL"/>
              </w:rPr>
              <w:t>ι</w:t>
            </w:r>
          </w:p>
        </w:tc>
      </w:tr>
    </w:tbl>
    <w:p w:rsidR="00750D92" w:rsidRDefault="00750D92" w:rsidP="00C2602D">
      <w:pPr>
        <w:rPr>
          <w:rFonts w:eastAsia="Arial Unicode MS"/>
          <w:bCs/>
          <w:lang w:eastAsia="fr-FR" w:bidi="he-IL"/>
        </w:rPr>
      </w:pPr>
    </w:p>
    <w:p w:rsidR="00750D92" w:rsidRDefault="00750D92" w:rsidP="00C2602D">
      <w:pPr>
        <w:rPr>
          <w:rFonts w:eastAsia="Arial Unicode MS"/>
          <w:bCs/>
          <w:lang w:eastAsia="fr-FR" w:bidi="he-IL"/>
        </w:rPr>
      </w:pPr>
      <w:r>
        <w:rPr>
          <w:rFonts w:eastAsia="Arial Unicode MS"/>
          <w:bCs/>
          <w:lang w:eastAsia="fr-FR" w:bidi="he-IL"/>
        </w:rPr>
        <w:t>3° Variantes par l</w:t>
      </w:r>
      <w:r w:rsidR="00557DE0">
        <w:rPr>
          <w:rFonts w:eastAsia="Arial Unicode MS"/>
          <w:bCs/>
          <w:lang w:eastAsia="fr-FR" w:bidi="he-IL"/>
        </w:rPr>
        <w:t>’</w:t>
      </w:r>
      <w:r>
        <w:rPr>
          <w:rFonts w:eastAsia="Arial Unicode MS"/>
          <w:bCs/>
          <w:lang w:eastAsia="fr-FR" w:bidi="he-IL"/>
        </w:rPr>
        <w:t xml:space="preserve">emploi des temps divers : </w:t>
      </w:r>
    </w:p>
    <w:p w:rsidR="00750D92" w:rsidRDefault="00750D92" w:rsidP="00C2602D">
      <w:pPr>
        <w:rPr>
          <w:rFonts w:eastAsia="Arial Unicode MS"/>
          <w:bCs/>
          <w:lang w:eastAsia="fr-FR" w:bidi="he-IL"/>
        </w:rPr>
      </w:pPr>
    </w:p>
    <w:tbl>
      <w:tblPr>
        <w:tblW w:w="5000" w:type="pct"/>
        <w:tblCellMar>
          <w:left w:w="70" w:type="dxa"/>
          <w:right w:w="70" w:type="dxa"/>
        </w:tblCellMar>
        <w:tblLook w:val="04A0"/>
      </w:tblPr>
      <w:tblGrid>
        <w:gridCol w:w="1259"/>
        <w:gridCol w:w="540"/>
        <w:gridCol w:w="2242"/>
        <w:gridCol w:w="875"/>
        <w:gridCol w:w="541"/>
        <w:gridCol w:w="1788"/>
        <w:gridCol w:w="1125"/>
        <w:gridCol w:w="541"/>
        <w:gridCol w:w="1605"/>
      </w:tblGrid>
      <w:tr w:rsidR="00750D92" w:rsidRPr="001E3400" w:rsidTr="00750D92">
        <w:trPr>
          <w:cantSplit/>
          <w:trHeight w:val="288"/>
        </w:trPr>
        <w:tc>
          <w:tcPr>
            <w:tcW w:w="59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p>
        </w:tc>
        <w:tc>
          <w:tcPr>
            <w:tcW w:w="257"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p>
        </w:tc>
        <w:tc>
          <w:tcPr>
            <w:tcW w:w="106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t>Saint Matthieu</w:t>
            </w:r>
          </w:p>
        </w:tc>
        <w:tc>
          <w:tcPr>
            <w:tcW w:w="41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p>
        </w:tc>
        <w:tc>
          <w:tcPr>
            <w:tcW w:w="257"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p>
        </w:tc>
        <w:tc>
          <w:tcPr>
            <w:tcW w:w="850" w:type="pct"/>
            <w:tcBorders>
              <w:top w:val="nil"/>
              <w:left w:val="nil"/>
              <w:bottom w:val="nil"/>
              <w:right w:val="nil"/>
            </w:tcBorders>
            <w:shd w:val="clear" w:color="auto" w:fill="auto"/>
            <w:noWrap/>
            <w:vAlign w:val="bottom"/>
            <w:hideMark/>
          </w:tcPr>
          <w:p w:rsidR="00750D92" w:rsidRPr="001E3400" w:rsidRDefault="00750D92" w:rsidP="00D62373">
            <w:pPr>
              <w:pStyle w:val="nsr"/>
              <w:rPr>
                <w:lang w:bidi="he-IL"/>
              </w:rPr>
            </w:pPr>
            <w:r w:rsidRPr="001E3400">
              <w:t xml:space="preserve">Saint </w:t>
            </w:r>
            <w:r w:rsidR="00D62373">
              <w:t>Marc</w:t>
            </w:r>
          </w:p>
        </w:tc>
        <w:tc>
          <w:tcPr>
            <w:tcW w:w="535"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p>
        </w:tc>
        <w:tc>
          <w:tcPr>
            <w:tcW w:w="257"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p>
        </w:tc>
        <w:tc>
          <w:tcPr>
            <w:tcW w:w="764" w:type="pct"/>
            <w:tcBorders>
              <w:top w:val="nil"/>
              <w:left w:val="nil"/>
              <w:bottom w:val="nil"/>
              <w:right w:val="nil"/>
            </w:tcBorders>
            <w:shd w:val="clear" w:color="auto" w:fill="auto"/>
            <w:noWrap/>
            <w:vAlign w:val="bottom"/>
            <w:hideMark/>
          </w:tcPr>
          <w:p w:rsidR="00750D92" w:rsidRPr="001E3400" w:rsidRDefault="00750D92" w:rsidP="00D62373">
            <w:pPr>
              <w:pStyle w:val="nsr"/>
              <w:rPr>
                <w:lang w:bidi="he-IL"/>
              </w:rPr>
            </w:pPr>
            <w:r w:rsidRPr="001E3400">
              <w:t xml:space="preserve">Saint </w:t>
            </w:r>
            <w:r w:rsidR="00D62373">
              <w:t>Luc</w:t>
            </w:r>
          </w:p>
        </w:tc>
      </w:tr>
      <w:tr w:rsidR="00750D92" w:rsidRPr="001E3400" w:rsidTr="00750D92">
        <w:trPr>
          <w:cantSplit/>
          <w:trHeight w:val="324"/>
        </w:trPr>
        <w:tc>
          <w:tcPr>
            <w:tcW w:w="59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VIII,</w:t>
            </w:r>
          </w:p>
        </w:tc>
        <w:tc>
          <w:tcPr>
            <w:tcW w:w="257"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15</w:t>
            </w:r>
          </w:p>
        </w:tc>
        <w:tc>
          <w:tcPr>
            <w:tcW w:w="106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λ</w:t>
            </w:r>
            <w:r w:rsidR="00C771BF">
              <w:rPr>
                <w:lang w:bidi="he-IL"/>
              </w:rPr>
              <w:t>έ</w:t>
            </w:r>
            <w:r w:rsidRPr="001E3400">
              <w:rPr>
                <w:lang w:bidi="he-IL"/>
              </w:rPr>
              <w:t>γει</w:t>
            </w:r>
          </w:p>
        </w:tc>
        <w:tc>
          <w:tcPr>
            <w:tcW w:w="41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I,</w:t>
            </w:r>
          </w:p>
        </w:tc>
        <w:tc>
          <w:tcPr>
            <w:tcW w:w="257"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30</w:t>
            </w:r>
          </w:p>
        </w:tc>
        <w:tc>
          <w:tcPr>
            <w:tcW w:w="850"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λ</w:t>
            </w:r>
            <w:r w:rsidR="00C771BF">
              <w:rPr>
                <w:lang w:bidi="he-IL"/>
              </w:rPr>
              <w:t>έ</w:t>
            </w:r>
            <w:r w:rsidRPr="001E3400">
              <w:rPr>
                <w:lang w:bidi="he-IL"/>
              </w:rPr>
              <w:t>γει</w:t>
            </w:r>
          </w:p>
        </w:tc>
        <w:tc>
          <w:tcPr>
            <w:tcW w:w="535"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IV,</w:t>
            </w:r>
          </w:p>
        </w:tc>
        <w:tc>
          <w:tcPr>
            <w:tcW w:w="257"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38</w:t>
            </w:r>
          </w:p>
        </w:tc>
        <w:tc>
          <w:tcPr>
            <w:tcW w:w="76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l</w:t>
            </w:r>
            <w:r w:rsidR="00557DE0">
              <w:rPr>
                <w:lang w:bidi="he-IL"/>
              </w:rPr>
              <w:t>’</w:t>
            </w:r>
            <w:r w:rsidRPr="001E3400">
              <w:rPr>
                <w:lang w:bidi="he-IL"/>
              </w:rPr>
              <w:t>aoriste</w:t>
            </w:r>
          </w:p>
        </w:tc>
      </w:tr>
      <w:tr w:rsidR="00750D92" w:rsidRPr="001E3400" w:rsidTr="00750D92">
        <w:trPr>
          <w:cantSplit/>
          <w:trHeight w:val="324"/>
        </w:trPr>
        <w:tc>
          <w:tcPr>
            <w:tcW w:w="59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IX,</w:t>
            </w:r>
          </w:p>
        </w:tc>
        <w:tc>
          <w:tcPr>
            <w:tcW w:w="257"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2</w:t>
            </w:r>
          </w:p>
        </w:tc>
        <w:tc>
          <w:tcPr>
            <w:tcW w:w="106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l</w:t>
            </w:r>
            <w:r w:rsidR="00557DE0">
              <w:rPr>
                <w:lang w:bidi="he-IL"/>
              </w:rPr>
              <w:t>’</w:t>
            </w:r>
            <w:r w:rsidRPr="001E3400">
              <w:rPr>
                <w:lang w:bidi="he-IL"/>
              </w:rPr>
              <w:t>aoriste</w:t>
            </w:r>
          </w:p>
        </w:tc>
        <w:tc>
          <w:tcPr>
            <w:tcW w:w="41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II,</w:t>
            </w:r>
          </w:p>
        </w:tc>
        <w:tc>
          <w:tcPr>
            <w:tcW w:w="257"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5</w:t>
            </w:r>
          </w:p>
        </w:tc>
        <w:tc>
          <w:tcPr>
            <w:tcW w:w="850"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le présent</w:t>
            </w:r>
          </w:p>
        </w:tc>
        <w:tc>
          <w:tcPr>
            <w:tcW w:w="535"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V,</w:t>
            </w:r>
          </w:p>
        </w:tc>
        <w:tc>
          <w:tcPr>
            <w:tcW w:w="257"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20</w:t>
            </w:r>
          </w:p>
        </w:tc>
        <w:tc>
          <w:tcPr>
            <w:tcW w:w="76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le présent</w:t>
            </w:r>
          </w:p>
        </w:tc>
      </w:tr>
      <w:tr w:rsidR="00750D92" w:rsidRPr="001E3400" w:rsidTr="00750D92">
        <w:trPr>
          <w:cantSplit/>
          <w:trHeight w:val="324"/>
        </w:trPr>
        <w:tc>
          <w:tcPr>
            <w:tcW w:w="59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257"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17</w:t>
            </w:r>
          </w:p>
        </w:tc>
        <w:tc>
          <w:tcPr>
            <w:tcW w:w="106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ῥήγνυντ</w:t>
            </w:r>
            <w:r w:rsidR="00A74F01">
              <w:rPr>
                <w:lang w:bidi="he-IL"/>
              </w:rPr>
              <w:t>α</w:t>
            </w:r>
            <w:r w:rsidRPr="001E3400">
              <w:rPr>
                <w:lang w:bidi="he-IL"/>
              </w:rPr>
              <w:t>ι</w:t>
            </w:r>
          </w:p>
        </w:tc>
        <w:tc>
          <w:tcPr>
            <w:tcW w:w="41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257"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22</w:t>
            </w:r>
          </w:p>
        </w:tc>
        <w:tc>
          <w:tcPr>
            <w:tcW w:w="850"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ῥήσσει</w:t>
            </w:r>
          </w:p>
        </w:tc>
        <w:tc>
          <w:tcPr>
            <w:tcW w:w="535"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257"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25</w:t>
            </w:r>
          </w:p>
        </w:tc>
        <w:tc>
          <w:tcPr>
            <w:tcW w:w="76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ῥήσσει</w:t>
            </w:r>
          </w:p>
        </w:tc>
      </w:tr>
      <w:tr w:rsidR="00750D92" w:rsidRPr="001E3400" w:rsidTr="00750D92">
        <w:trPr>
          <w:cantSplit/>
          <w:trHeight w:val="324"/>
        </w:trPr>
        <w:tc>
          <w:tcPr>
            <w:tcW w:w="59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XVI,</w:t>
            </w:r>
          </w:p>
        </w:tc>
        <w:tc>
          <w:tcPr>
            <w:tcW w:w="257"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13</w:t>
            </w:r>
          </w:p>
        </w:tc>
        <w:tc>
          <w:tcPr>
            <w:tcW w:w="106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ἐπηρώτ</w:t>
            </w:r>
            <w:r w:rsidR="00A74F01">
              <w:rPr>
                <w:lang w:bidi="he-IL"/>
              </w:rPr>
              <w:t>α</w:t>
            </w:r>
          </w:p>
        </w:tc>
        <w:tc>
          <w:tcPr>
            <w:tcW w:w="41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VIII,</w:t>
            </w:r>
          </w:p>
        </w:tc>
        <w:tc>
          <w:tcPr>
            <w:tcW w:w="257"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27</w:t>
            </w:r>
          </w:p>
        </w:tc>
        <w:tc>
          <w:tcPr>
            <w:tcW w:w="850"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ἐπηρώτ</w:t>
            </w:r>
            <w:r w:rsidR="00A74F01">
              <w:rPr>
                <w:lang w:bidi="he-IL"/>
              </w:rPr>
              <w:t>α</w:t>
            </w:r>
          </w:p>
        </w:tc>
        <w:tc>
          <w:tcPr>
            <w:tcW w:w="535"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IX,</w:t>
            </w:r>
          </w:p>
        </w:tc>
        <w:tc>
          <w:tcPr>
            <w:tcW w:w="257"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18</w:t>
            </w:r>
          </w:p>
        </w:tc>
        <w:tc>
          <w:tcPr>
            <w:tcW w:w="76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l</w:t>
            </w:r>
            <w:r w:rsidR="00557DE0">
              <w:rPr>
                <w:lang w:bidi="he-IL"/>
              </w:rPr>
              <w:t>’</w:t>
            </w:r>
            <w:r w:rsidRPr="001E3400">
              <w:rPr>
                <w:lang w:bidi="he-IL"/>
              </w:rPr>
              <w:t>aoriste</w:t>
            </w:r>
          </w:p>
        </w:tc>
      </w:tr>
      <w:tr w:rsidR="00750D92" w:rsidRPr="001E3400" w:rsidTr="00750D92">
        <w:trPr>
          <w:cantSplit/>
          <w:trHeight w:val="324"/>
        </w:trPr>
        <w:tc>
          <w:tcPr>
            <w:tcW w:w="59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XIX,</w:t>
            </w:r>
          </w:p>
        </w:tc>
        <w:tc>
          <w:tcPr>
            <w:tcW w:w="257"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12</w:t>
            </w:r>
          </w:p>
        </w:tc>
        <w:tc>
          <w:tcPr>
            <w:tcW w:w="106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ἅψητ</w:t>
            </w:r>
            <w:r w:rsidR="00A74F01">
              <w:rPr>
                <w:lang w:bidi="he-IL"/>
              </w:rPr>
              <w:t>α</w:t>
            </w:r>
            <w:r w:rsidRPr="001E3400">
              <w:rPr>
                <w:lang w:bidi="he-IL"/>
              </w:rPr>
              <w:t>ι</w:t>
            </w:r>
          </w:p>
        </w:tc>
        <w:tc>
          <w:tcPr>
            <w:tcW w:w="41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w:t>
            </w:r>
          </w:p>
        </w:tc>
        <w:tc>
          <w:tcPr>
            <w:tcW w:w="257"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13</w:t>
            </w:r>
          </w:p>
        </w:tc>
        <w:tc>
          <w:tcPr>
            <w:tcW w:w="850"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ἅψητ</w:t>
            </w:r>
            <w:r w:rsidR="00A74F01">
              <w:rPr>
                <w:lang w:bidi="he-IL"/>
              </w:rPr>
              <w:t>α</w:t>
            </w:r>
            <w:r w:rsidRPr="001E3400">
              <w:rPr>
                <w:lang w:bidi="he-IL"/>
              </w:rPr>
              <w:t>ι</w:t>
            </w:r>
          </w:p>
        </w:tc>
        <w:tc>
          <w:tcPr>
            <w:tcW w:w="535"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XVIII,</w:t>
            </w:r>
          </w:p>
        </w:tc>
        <w:tc>
          <w:tcPr>
            <w:tcW w:w="257"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15</w:t>
            </w:r>
          </w:p>
        </w:tc>
        <w:tc>
          <w:tcPr>
            <w:tcW w:w="76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ἅπτητ</w:t>
            </w:r>
            <w:r w:rsidR="00A74F01">
              <w:rPr>
                <w:lang w:bidi="he-IL"/>
              </w:rPr>
              <w:t>α</w:t>
            </w:r>
            <w:r w:rsidRPr="001E3400">
              <w:rPr>
                <w:lang w:bidi="he-IL"/>
              </w:rPr>
              <w:t>ι</w:t>
            </w:r>
          </w:p>
        </w:tc>
      </w:tr>
      <w:tr w:rsidR="00750D92" w:rsidRPr="001E3400" w:rsidTr="00750D92">
        <w:trPr>
          <w:cantSplit/>
          <w:trHeight w:val="648"/>
        </w:trPr>
        <w:tc>
          <w:tcPr>
            <w:tcW w:w="599"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XXVII,</w:t>
            </w:r>
          </w:p>
        </w:tc>
        <w:tc>
          <w:tcPr>
            <w:tcW w:w="257"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38</w:t>
            </w:r>
          </w:p>
        </w:tc>
        <w:tc>
          <w:tcPr>
            <w:tcW w:w="106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στ</w:t>
            </w:r>
            <w:r w:rsidR="00A74F01">
              <w:rPr>
                <w:lang w:bidi="he-IL"/>
              </w:rPr>
              <w:t>α</w:t>
            </w:r>
            <w:r w:rsidRPr="001E3400">
              <w:rPr>
                <w:lang w:bidi="he-IL"/>
              </w:rPr>
              <w:t>ύρωσον</w:t>
            </w:r>
          </w:p>
        </w:tc>
        <w:tc>
          <w:tcPr>
            <w:tcW w:w="41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XV,</w:t>
            </w:r>
          </w:p>
        </w:tc>
        <w:tc>
          <w:tcPr>
            <w:tcW w:w="257"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13</w:t>
            </w:r>
          </w:p>
        </w:tc>
        <w:tc>
          <w:tcPr>
            <w:tcW w:w="850"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στ</w:t>
            </w:r>
            <w:r w:rsidR="00A74F01">
              <w:rPr>
                <w:lang w:bidi="he-IL"/>
              </w:rPr>
              <w:t>α</w:t>
            </w:r>
            <w:r w:rsidRPr="001E3400">
              <w:rPr>
                <w:lang w:bidi="he-IL"/>
              </w:rPr>
              <w:t>ύρωσον</w:t>
            </w:r>
          </w:p>
        </w:tc>
        <w:tc>
          <w:tcPr>
            <w:tcW w:w="535"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XXIII,</w:t>
            </w:r>
          </w:p>
        </w:tc>
        <w:tc>
          <w:tcPr>
            <w:tcW w:w="257"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21</w:t>
            </w:r>
          </w:p>
        </w:tc>
        <w:tc>
          <w:tcPr>
            <w:tcW w:w="76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στ</w:t>
            </w:r>
            <w:r w:rsidR="00A74F01">
              <w:rPr>
                <w:lang w:bidi="he-IL"/>
              </w:rPr>
              <w:t>α</w:t>
            </w:r>
            <w:r w:rsidRPr="001E3400">
              <w:rPr>
                <w:lang w:bidi="he-IL"/>
              </w:rPr>
              <w:t>ύρου</w:t>
            </w:r>
          </w:p>
        </w:tc>
      </w:tr>
    </w:tbl>
    <w:p w:rsidR="00750D92" w:rsidRDefault="00750D92" w:rsidP="00C2602D">
      <w:pPr>
        <w:rPr>
          <w:rFonts w:eastAsia="Arial Unicode MS"/>
          <w:bCs/>
          <w:lang w:eastAsia="fr-FR" w:bidi="he-IL"/>
        </w:rPr>
      </w:pPr>
    </w:p>
    <w:p w:rsidR="0012077A" w:rsidRDefault="00B704AD" w:rsidP="00C2602D">
      <w:pPr>
        <w:rPr>
          <w:rFonts w:eastAsia="Arial Unicode MS"/>
          <w:bCs/>
          <w:lang w:eastAsia="fr-FR" w:bidi="he-IL"/>
        </w:rPr>
      </w:pPr>
      <w:r w:rsidRPr="00C8701B">
        <w:rPr>
          <w:rFonts w:eastAsia="Arial Unicode MS"/>
          <w:bCs/>
          <w:lang w:eastAsia="fr-FR" w:bidi="he-IL"/>
        </w:rPr>
        <w:t xml:space="preserve">Et vingt autres exemples analogues. </w:t>
      </w:r>
    </w:p>
    <w:p w:rsidR="00C2602D" w:rsidRPr="00C8701B" w:rsidRDefault="00B704AD" w:rsidP="00C2602D">
      <w:pPr>
        <w:rPr>
          <w:rFonts w:eastAsia="Arial Unicode MS"/>
          <w:bCs/>
          <w:lang w:eastAsia="fr-FR" w:bidi="he-IL"/>
        </w:rPr>
      </w:pPr>
      <w:r w:rsidRPr="00C8701B">
        <w:rPr>
          <w:rFonts w:eastAsia="Arial Unicode MS"/>
          <w:bCs/>
          <w:lang w:eastAsia="fr-FR" w:bidi="he-IL"/>
        </w:rPr>
        <w:t>4° Variantes dans l</w:t>
      </w:r>
      <w:r w:rsidR="00557DE0">
        <w:rPr>
          <w:rFonts w:eastAsia="Arial Unicode MS"/>
          <w:bCs/>
          <w:lang w:eastAsia="fr-FR" w:bidi="he-IL"/>
        </w:rPr>
        <w:t>’</w:t>
      </w:r>
      <w:r w:rsidRPr="00C8701B">
        <w:rPr>
          <w:rFonts w:eastAsia="Arial Unicode MS"/>
          <w:bCs/>
          <w:lang w:eastAsia="fr-FR" w:bidi="he-IL"/>
        </w:rPr>
        <w:t>emploi des prépositions</w:t>
      </w:r>
      <w:r w:rsidR="00C2602D" w:rsidRPr="00C8701B">
        <w:rPr>
          <w:rFonts w:eastAsia="Arial Unicode MS"/>
          <w:bCs/>
          <w:lang w:eastAsia="fr-FR" w:bidi="he-IL"/>
        </w:rPr>
        <w:t xml:space="preserve"> </w:t>
      </w:r>
    </w:p>
    <w:p w:rsidR="00750D92" w:rsidRDefault="00750D92" w:rsidP="00C2602D">
      <w:pPr>
        <w:rPr>
          <w:rFonts w:eastAsia="Arial Unicode MS"/>
          <w:bCs/>
          <w:lang w:eastAsia="fr-FR" w:bidi="he-IL"/>
        </w:rPr>
      </w:pPr>
    </w:p>
    <w:tbl>
      <w:tblPr>
        <w:tblW w:w="5000" w:type="pct"/>
        <w:tblCellMar>
          <w:left w:w="70" w:type="dxa"/>
          <w:right w:w="70" w:type="dxa"/>
        </w:tblCellMar>
        <w:tblLook w:val="04A0"/>
      </w:tblPr>
      <w:tblGrid>
        <w:gridCol w:w="1039"/>
        <w:gridCol w:w="490"/>
        <w:gridCol w:w="2116"/>
        <w:gridCol w:w="812"/>
        <w:gridCol w:w="490"/>
        <w:gridCol w:w="2116"/>
        <w:gridCol w:w="917"/>
        <w:gridCol w:w="490"/>
        <w:gridCol w:w="2046"/>
      </w:tblGrid>
      <w:tr w:rsidR="00750D92" w:rsidRPr="001E3400" w:rsidTr="00750D92">
        <w:trPr>
          <w:cantSplit/>
          <w:trHeight w:val="20"/>
        </w:trPr>
        <w:tc>
          <w:tcPr>
            <w:tcW w:w="49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p>
        </w:tc>
        <w:tc>
          <w:tcPr>
            <w:tcW w:w="23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p>
        </w:tc>
        <w:tc>
          <w:tcPr>
            <w:tcW w:w="100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t>Saint Matthieu</w:t>
            </w:r>
          </w:p>
        </w:tc>
        <w:tc>
          <w:tcPr>
            <w:tcW w:w="38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p>
        </w:tc>
        <w:tc>
          <w:tcPr>
            <w:tcW w:w="23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p>
        </w:tc>
        <w:tc>
          <w:tcPr>
            <w:tcW w:w="1006" w:type="pct"/>
            <w:tcBorders>
              <w:top w:val="nil"/>
              <w:left w:val="nil"/>
              <w:bottom w:val="nil"/>
              <w:right w:val="nil"/>
            </w:tcBorders>
            <w:shd w:val="clear" w:color="auto" w:fill="auto"/>
            <w:noWrap/>
            <w:vAlign w:val="bottom"/>
            <w:hideMark/>
          </w:tcPr>
          <w:p w:rsidR="00750D92" w:rsidRPr="001E3400" w:rsidRDefault="00750D92" w:rsidP="00D62373">
            <w:pPr>
              <w:pStyle w:val="nsr"/>
              <w:rPr>
                <w:lang w:bidi="he-IL"/>
              </w:rPr>
            </w:pPr>
            <w:r w:rsidRPr="001E3400">
              <w:t xml:space="preserve">Saint </w:t>
            </w:r>
            <w:r w:rsidR="00D62373">
              <w:t>Marc</w:t>
            </w:r>
          </w:p>
        </w:tc>
        <w:tc>
          <w:tcPr>
            <w:tcW w:w="43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p>
        </w:tc>
        <w:tc>
          <w:tcPr>
            <w:tcW w:w="23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p>
        </w:tc>
        <w:tc>
          <w:tcPr>
            <w:tcW w:w="975" w:type="pct"/>
            <w:tcBorders>
              <w:top w:val="nil"/>
              <w:left w:val="nil"/>
              <w:bottom w:val="nil"/>
              <w:right w:val="nil"/>
            </w:tcBorders>
            <w:shd w:val="clear" w:color="auto" w:fill="auto"/>
            <w:noWrap/>
            <w:vAlign w:val="bottom"/>
            <w:hideMark/>
          </w:tcPr>
          <w:p w:rsidR="00750D92" w:rsidRPr="001E3400" w:rsidRDefault="00750D92" w:rsidP="00D62373">
            <w:pPr>
              <w:pStyle w:val="nsr"/>
              <w:rPr>
                <w:lang w:bidi="he-IL"/>
              </w:rPr>
            </w:pPr>
            <w:r w:rsidRPr="001E3400">
              <w:t xml:space="preserve">Saint </w:t>
            </w:r>
            <w:r w:rsidR="00D62373">
              <w:t>Luc</w:t>
            </w:r>
          </w:p>
        </w:tc>
      </w:tr>
      <w:tr w:rsidR="00750D92" w:rsidRPr="001E3400" w:rsidTr="00750D92">
        <w:trPr>
          <w:cantSplit/>
          <w:trHeight w:val="20"/>
        </w:trPr>
        <w:tc>
          <w:tcPr>
            <w:tcW w:w="49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IX,</w:t>
            </w:r>
          </w:p>
        </w:tc>
        <w:tc>
          <w:tcPr>
            <w:tcW w:w="23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4</w:t>
            </w:r>
          </w:p>
        </w:tc>
        <w:tc>
          <w:tcPr>
            <w:tcW w:w="100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λ</w:t>
            </w:r>
            <w:r w:rsidR="00C771BF">
              <w:rPr>
                <w:lang w:bidi="he-IL"/>
              </w:rPr>
              <w:t>έ</w:t>
            </w:r>
            <w:r w:rsidRPr="001E3400">
              <w:rPr>
                <w:lang w:bidi="he-IL"/>
              </w:rPr>
              <w:t xml:space="preserve">γει </w:t>
            </w:r>
            <w:r w:rsidR="00A74F01">
              <w:rPr>
                <w:lang w:bidi="he-IL"/>
              </w:rPr>
              <w:t>α</w:t>
            </w:r>
            <w:r w:rsidRPr="001E3400">
              <w:rPr>
                <w:lang w:bidi="he-IL"/>
              </w:rPr>
              <w:t>ὐτοῖς</w:t>
            </w:r>
          </w:p>
        </w:tc>
        <w:tc>
          <w:tcPr>
            <w:tcW w:w="38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II,</w:t>
            </w:r>
          </w:p>
        </w:tc>
        <w:tc>
          <w:tcPr>
            <w:tcW w:w="23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8</w:t>
            </w:r>
          </w:p>
        </w:tc>
        <w:tc>
          <w:tcPr>
            <w:tcW w:w="100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λ</w:t>
            </w:r>
            <w:r w:rsidR="00C771BF">
              <w:rPr>
                <w:lang w:bidi="he-IL"/>
              </w:rPr>
              <w:t>έ</w:t>
            </w:r>
            <w:r w:rsidRPr="001E3400">
              <w:rPr>
                <w:lang w:bidi="he-IL"/>
              </w:rPr>
              <w:t xml:space="preserve">γει </w:t>
            </w:r>
            <w:r w:rsidR="00A74F01">
              <w:rPr>
                <w:lang w:bidi="he-IL"/>
              </w:rPr>
              <w:t>α</w:t>
            </w:r>
            <w:r w:rsidRPr="001E3400">
              <w:rPr>
                <w:lang w:bidi="he-IL"/>
              </w:rPr>
              <w:t>ὐτοῖς</w:t>
            </w:r>
          </w:p>
        </w:tc>
        <w:tc>
          <w:tcPr>
            <w:tcW w:w="43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V,</w:t>
            </w:r>
          </w:p>
        </w:tc>
        <w:tc>
          <w:tcPr>
            <w:tcW w:w="23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2</w:t>
            </w:r>
          </w:p>
        </w:tc>
        <w:tc>
          <w:tcPr>
            <w:tcW w:w="975"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 xml:space="preserve">πρὸς </w:t>
            </w:r>
            <w:r w:rsidR="00A74F01">
              <w:rPr>
                <w:lang w:bidi="he-IL"/>
              </w:rPr>
              <w:t>α</w:t>
            </w:r>
            <w:r w:rsidRPr="001E3400">
              <w:rPr>
                <w:lang w:bidi="he-IL"/>
              </w:rPr>
              <w:t>ὐτούς</w:t>
            </w:r>
          </w:p>
        </w:tc>
      </w:tr>
      <w:tr w:rsidR="00750D92" w:rsidRPr="001E3400" w:rsidTr="00750D92">
        <w:trPr>
          <w:cantSplit/>
          <w:trHeight w:val="20"/>
        </w:trPr>
        <w:tc>
          <w:tcPr>
            <w:tcW w:w="49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XIII,</w:t>
            </w:r>
          </w:p>
        </w:tc>
        <w:tc>
          <w:tcPr>
            <w:tcW w:w="23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3</w:t>
            </w:r>
          </w:p>
        </w:tc>
        <w:tc>
          <w:tcPr>
            <w:tcW w:w="100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ἐν π</w:t>
            </w:r>
            <w:r w:rsidR="00A74F01">
              <w:rPr>
                <w:lang w:bidi="he-IL"/>
              </w:rPr>
              <w:t>α</w:t>
            </w:r>
            <w:r w:rsidRPr="001E3400">
              <w:rPr>
                <w:lang w:bidi="he-IL"/>
              </w:rPr>
              <w:t>ρ</w:t>
            </w:r>
            <w:r w:rsidR="00A74F01">
              <w:rPr>
                <w:lang w:bidi="he-IL"/>
              </w:rPr>
              <w:t>α</w:t>
            </w:r>
            <w:r w:rsidRPr="001E3400">
              <w:rPr>
                <w:lang w:bidi="he-IL"/>
              </w:rPr>
              <w:t>βολ</w:t>
            </w:r>
            <w:r w:rsidR="00A74F01">
              <w:rPr>
                <w:lang w:bidi="he-IL"/>
              </w:rPr>
              <w:t>α</w:t>
            </w:r>
            <w:r w:rsidRPr="001E3400">
              <w:rPr>
                <w:lang w:bidi="he-IL"/>
              </w:rPr>
              <w:t>ῖς</w:t>
            </w:r>
          </w:p>
        </w:tc>
        <w:tc>
          <w:tcPr>
            <w:tcW w:w="38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IV,</w:t>
            </w:r>
          </w:p>
        </w:tc>
        <w:tc>
          <w:tcPr>
            <w:tcW w:w="23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2</w:t>
            </w:r>
          </w:p>
        </w:tc>
        <w:tc>
          <w:tcPr>
            <w:tcW w:w="100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ἐν π</w:t>
            </w:r>
            <w:r w:rsidR="00A74F01">
              <w:rPr>
                <w:lang w:bidi="he-IL"/>
              </w:rPr>
              <w:t>α</w:t>
            </w:r>
            <w:r w:rsidRPr="001E3400">
              <w:rPr>
                <w:lang w:bidi="he-IL"/>
              </w:rPr>
              <w:t>ρ</w:t>
            </w:r>
            <w:r w:rsidR="00A74F01">
              <w:rPr>
                <w:lang w:bidi="he-IL"/>
              </w:rPr>
              <w:t>α</w:t>
            </w:r>
            <w:r w:rsidRPr="001E3400">
              <w:rPr>
                <w:lang w:bidi="he-IL"/>
              </w:rPr>
              <w:t>βολ</w:t>
            </w:r>
            <w:r w:rsidR="00A74F01">
              <w:rPr>
                <w:lang w:bidi="he-IL"/>
              </w:rPr>
              <w:t>α</w:t>
            </w:r>
            <w:r w:rsidRPr="001E3400">
              <w:rPr>
                <w:lang w:bidi="he-IL"/>
              </w:rPr>
              <w:t>ῖς</w:t>
            </w:r>
          </w:p>
        </w:tc>
        <w:tc>
          <w:tcPr>
            <w:tcW w:w="43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VIII,</w:t>
            </w:r>
          </w:p>
        </w:tc>
        <w:tc>
          <w:tcPr>
            <w:tcW w:w="23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4</w:t>
            </w:r>
          </w:p>
        </w:tc>
        <w:tc>
          <w:tcPr>
            <w:tcW w:w="975"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δι</w:t>
            </w:r>
            <w:r w:rsidR="00A74F01">
              <w:rPr>
                <w:lang w:bidi="he-IL"/>
              </w:rPr>
              <w:t>α</w:t>
            </w:r>
            <w:r w:rsidRPr="001E3400">
              <w:rPr>
                <w:lang w:bidi="he-IL"/>
              </w:rPr>
              <w:t xml:space="preserve"> π</w:t>
            </w:r>
            <w:r w:rsidR="00A74F01">
              <w:rPr>
                <w:lang w:bidi="he-IL"/>
              </w:rPr>
              <w:t>α</w:t>
            </w:r>
            <w:r w:rsidRPr="001E3400">
              <w:rPr>
                <w:lang w:bidi="he-IL"/>
              </w:rPr>
              <w:t>ρ</w:t>
            </w:r>
            <w:r w:rsidR="00A74F01">
              <w:rPr>
                <w:lang w:bidi="he-IL"/>
              </w:rPr>
              <w:t>α</w:t>
            </w:r>
            <w:r w:rsidRPr="001E3400">
              <w:rPr>
                <w:lang w:bidi="he-IL"/>
              </w:rPr>
              <w:t>βολῆς</w:t>
            </w:r>
          </w:p>
        </w:tc>
      </w:tr>
      <w:tr w:rsidR="00750D92" w:rsidRPr="001E3400" w:rsidTr="00750D92">
        <w:trPr>
          <w:cantSplit/>
          <w:trHeight w:val="20"/>
        </w:trPr>
        <w:tc>
          <w:tcPr>
            <w:tcW w:w="49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V,</w:t>
            </w:r>
          </w:p>
        </w:tc>
        <w:tc>
          <w:tcPr>
            <w:tcW w:w="23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15</w:t>
            </w:r>
          </w:p>
        </w:tc>
        <w:tc>
          <w:tcPr>
            <w:tcW w:w="100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ἐπὶ τὴν λυχν</w:t>
            </w:r>
            <w:r w:rsidR="00DB352C">
              <w:rPr>
                <w:lang w:bidi="he-IL"/>
              </w:rPr>
              <w:t>ί</w:t>
            </w:r>
            <w:r w:rsidR="00A74F01">
              <w:rPr>
                <w:lang w:bidi="he-IL"/>
              </w:rPr>
              <w:t>α</w:t>
            </w:r>
            <w:r w:rsidRPr="001E3400">
              <w:rPr>
                <w:lang w:bidi="he-IL"/>
              </w:rPr>
              <w:t>ν</w:t>
            </w:r>
          </w:p>
        </w:tc>
        <w:tc>
          <w:tcPr>
            <w:tcW w:w="38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23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21</w:t>
            </w:r>
          </w:p>
        </w:tc>
        <w:tc>
          <w:tcPr>
            <w:tcW w:w="100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ἐπὶ τὴν λυχν</w:t>
            </w:r>
            <w:r w:rsidR="00DB352C">
              <w:rPr>
                <w:lang w:bidi="he-IL"/>
              </w:rPr>
              <w:t>ί</w:t>
            </w:r>
            <w:r w:rsidR="00A74F01">
              <w:rPr>
                <w:lang w:bidi="he-IL"/>
              </w:rPr>
              <w:t>α</w:t>
            </w:r>
            <w:r w:rsidRPr="001E3400">
              <w:rPr>
                <w:lang w:bidi="he-IL"/>
              </w:rPr>
              <w:t>ν</w:t>
            </w:r>
          </w:p>
        </w:tc>
        <w:tc>
          <w:tcPr>
            <w:tcW w:w="43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23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16</w:t>
            </w:r>
          </w:p>
        </w:tc>
        <w:tc>
          <w:tcPr>
            <w:tcW w:w="975"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ἐπὶ λυχν</w:t>
            </w:r>
            <w:r w:rsidR="00DB352C">
              <w:rPr>
                <w:lang w:bidi="he-IL"/>
              </w:rPr>
              <w:t>ί</w:t>
            </w:r>
            <w:r w:rsidR="00A74F01">
              <w:rPr>
                <w:lang w:bidi="he-IL"/>
              </w:rPr>
              <w:t>α</w:t>
            </w:r>
            <w:r w:rsidRPr="001E3400">
              <w:rPr>
                <w:lang w:bidi="he-IL"/>
              </w:rPr>
              <w:t>ς</w:t>
            </w:r>
          </w:p>
        </w:tc>
      </w:tr>
      <w:tr w:rsidR="00750D92" w:rsidRPr="001E3400" w:rsidTr="00750D92">
        <w:trPr>
          <w:cantSplit/>
          <w:trHeight w:val="20"/>
        </w:trPr>
        <w:tc>
          <w:tcPr>
            <w:tcW w:w="49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VIII,</w:t>
            </w:r>
          </w:p>
        </w:tc>
        <w:tc>
          <w:tcPr>
            <w:tcW w:w="23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30</w:t>
            </w:r>
          </w:p>
        </w:tc>
        <w:tc>
          <w:tcPr>
            <w:tcW w:w="100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πρὸς τῷ ὄρει</w:t>
            </w:r>
          </w:p>
        </w:tc>
        <w:tc>
          <w:tcPr>
            <w:tcW w:w="38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V,</w:t>
            </w:r>
          </w:p>
        </w:tc>
        <w:tc>
          <w:tcPr>
            <w:tcW w:w="23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11</w:t>
            </w:r>
          </w:p>
        </w:tc>
        <w:tc>
          <w:tcPr>
            <w:tcW w:w="100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πρὸς τῷ ὄρει</w:t>
            </w:r>
          </w:p>
        </w:tc>
        <w:tc>
          <w:tcPr>
            <w:tcW w:w="43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w:t>
            </w:r>
          </w:p>
        </w:tc>
        <w:tc>
          <w:tcPr>
            <w:tcW w:w="23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32</w:t>
            </w:r>
          </w:p>
        </w:tc>
        <w:tc>
          <w:tcPr>
            <w:tcW w:w="975"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ἐν τῷ ὄρει</w:t>
            </w:r>
          </w:p>
        </w:tc>
      </w:tr>
      <w:tr w:rsidR="00750D92" w:rsidRPr="001E3400" w:rsidTr="00750D92">
        <w:trPr>
          <w:cantSplit/>
          <w:trHeight w:val="20"/>
        </w:trPr>
        <w:tc>
          <w:tcPr>
            <w:tcW w:w="49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XXI,</w:t>
            </w:r>
          </w:p>
        </w:tc>
        <w:tc>
          <w:tcPr>
            <w:tcW w:w="23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8</w:t>
            </w:r>
          </w:p>
        </w:tc>
        <w:tc>
          <w:tcPr>
            <w:tcW w:w="100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ἔστρωσ</w:t>
            </w:r>
            <w:r w:rsidR="00A74F01">
              <w:rPr>
                <w:lang w:bidi="he-IL"/>
              </w:rPr>
              <w:t>α</w:t>
            </w:r>
            <w:r w:rsidRPr="001E3400">
              <w:rPr>
                <w:lang w:bidi="he-IL"/>
              </w:rPr>
              <w:t>ν ἐν</w:t>
            </w:r>
          </w:p>
        </w:tc>
        <w:tc>
          <w:tcPr>
            <w:tcW w:w="38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XI,</w:t>
            </w:r>
          </w:p>
        </w:tc>
        <w:tc>
          <w:tcPr>
            <w:tcW w:w="23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8</w:t>
            </w:r>
          </w:p>
        </w:tc>
        <w:tc>
          <w:tcPr>
            <w:tcW w:w="100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ἔστρωσ</w:t>
            </w:r>
            <w:r w:rsidR="00A74F01">
              <w:rPr>
                <w:lang w:bidi="he-IL"/>
              </w:rPr>
              <w:t>α</w:t>
            </w:r>
            <w:r w:rsidRPr="001E3400">
              <w:rPr>
                <w:lang w:bidi="he-IL"/>
              </w:rPr>
              <w:t>ν εἰς</w:t>
            </w:r>
          </w:p>
        </w:tc>
        <w:tc>
          <w:tcPr>
            <w:tcW w:w="43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XIX,</w:t>
            </w:r>
          </w:p>
        </w:tc>
        <w:tc>
          <w:tcPr>
            <w:tcW w:w="23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36</w:t>
            </w:r>
          </w:p>
        </w:tc>
        <w:tc>
          <w:tcPr>
            <w:tcW w:w="975"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ἔστρωσ</w:t>
            </w:r>
            <w:r w:rsidR="00A74F01">
              <w:rPr>
                <w:lang w:bidi="he-IL"/>
              </w:rPr>
              <w:t>α</w:t>
            </w:r>
            <w:r w:rsidRPr="001E3400">
              <w:rPr>
                <w:lang w:bidi="he-IL"/>
              </w:rPr>
              <w:t>ν ἐν</w:t>
            </w:r>
          </w:p>
        </w:tc>
      </w:tr>
      <w:tr w:rsidR="00750D92" w:rsidRPr="001E3400" w:rsidTr="00750D92">
        <w:trPr>
          <w:cantSplit/>
          <w:trHeight w:val="20"/>
        </w:trPr>
        <w:tc>
          <w:tcPr>
            <w:tcW w:w="494"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XXVI,</w:t>
            </w:r>
          </w:p>
        </w:tc>
        <w:tc>
          <w:tcPr>
            <w:tcW w:w="23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20</w:t>
            </w:r>
          </w:p>
        </w:tc>
        <w:tc>
          <w:tcPr>
            <w:tcW w:w="100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μετ</w:t>
            </w:r>
            <w:r w:rsidR="00CD3C57">
              <w:rPr>
                <w:lang w:bidi="he-IL"/>
              </w:rPr>
              <w:t>ά</w:t>
            </w:r>
          </w:p>
        </w:tc>
        <w:tc>
          <w:tcPr>
            <w:tcW w:w="38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XIV,</w:t>
            </w:r>
          </w:p>
        </w:tc>
        <w:tc>
          <w:tcPr>
            <w:tcW w:w="23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17</w:t>
            </w:r>
          </w:p>
        </w:tc>
        <w:tc>
          <w:tcPr>
            <w:tcW w:w="100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μετ</w:t>
            </w:r>
            <w:r w:rsidR="00CD3C57">
              <w:rPr>
                <w:lang w:bidi="he-IL"/>
              </w:rPr>
              <w:t>ά</w:t>
            </w:r>
          </w:p>
        </w:tc>
        <w:tc>
          <w:tcPr>
            <w:tcW w:w="436"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XXII,</w:t>
            </w:r>
          </w:p>
        </w:tc>
        <w:tc>
          <w:tcPr>
            <w:tcW w:w="233"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14</w:t>
            </w:r>
          </w:p>
        </w:tc>
        <w:tc>
          <w:tcPr>
            <w:tcW w:w="975" w:type="pct"/>
            <w:tcBorders>
              <w:top w:val="nil"/>
              <w:left w:val="nil"/>
              <w:bottom w:val="nil"/>
              <w:right w:val="nil"/>
            </w:tcBorders>
            <w:shd w:val="clear" w:color="auto" w:fill="auto"/>
            <w:noWrap/>
            <w:vAlign w:val="bottom"/>
            <w:hideMark/>
          </w:tcPr>
          <w:p w:rsidR="00750D92" w:rsidRPr="001E3400" w:rsidRDefault="00750D92" w:rsidP="0012077A">
            <w:pPr>
              <w:pStyle w:val="nsr"/>
              <w:rPr>
                <w:lang w:bidi="he-IL"/>
              </w:rPr>
            </w:pPr>
            <w:r w:rsidRPr="001E3400">
              <w:rPr>
                <w:lang w:bidi="he-IL"/>
              </w:rPr>
              <w:t>σύν, etc.</w:t>
            </w:r>
            <w:r w:rsidR="00933C60" w:rsidRPr="00C406FF">
              <w:rPr>
                <w:rStyle w:val="Appelnotedebasdep"/>
              </w:rPr>
              <w:footnoteReference w:id="176"/>
            </w:r>
          </w:p>
        </w:tc>
      </w:tr>
    </w:tbl>
    <w:p w:rsidR="00750D92" w:rsidRDefault="00750D92" w:rsidP="00C2602D">
      <w:pPr>
        <w:rPr>
          <w:rFonts w:eastAsia="Arial Unicode MS"/>
          <w:bCs/>
          <w:lang w:eastAsia="fr-FR" w:bidi="he-IL"/>
        </w:rPr>
      </w:pPr>
    </w:p>
    <w:p w:rsidR="00C2602D" w:rsidRPr="00C8701B" w:rsidRDefault="00B704AD" w:rsidP="00C2602D">
      <w:pPr>
        <w:rPr>
          <w:rFonts w:eastAsia="Arial Unicode MS"/>
          <w:bCs/>
          <w:lang w:eastAsia="fr-FR" w:bidi="he-IL"/>
        </w:rPr>
      </w:pPr>
      <w:r w:rsidRPr="00C8701B">
        <w:rPr>
          <w:rFonts w:eastAsia="Arial Unicode MS"/>
          <w:bCs/>
          <w:lang w:eastAsia="fr-FR" w:bidi="he-IL"/>
        </w:rPr>
        <w:t>5° Variantes aussi</w:t>
      </w:r>
      <w:r w:rsidR="00E65435">
        <w:rPr>
          <w:rFonts w:eastAsia="Arial Unicode MS"/>
          <w:bCs/>
          <w:lang w:eastAsia="fr-FR" w:bidi="he-IL"/>
        </w:rPr>
        <w:t xml:space="preserve">, </w:t>
      </w:r>
      <w:r w:rsidRPr="00C8701B">
        <w:rPr>
          <w:rFonts w:eastAsia="Arial Unicode MS"/>
          <w:bCs/>
          <w:lang w:eastAsia="fr-FR" w:bidi="he-IL"/>
        </w:rPr>
        <w:t>par de courtes gloses</w:t>
      </w:r>
      <w:r w:rsidR="00E65435">
        <w:rPr>
          <w:rFonts w:eastAsia="Arial Unicode MS"/>
          <w:bCs/>
          <w:lang w:eastAsia="fr-FR" w:bidi="he-IL"/>
        </w:rPr>
        <w:t xml:space="preserve">, </w:t>
      </w:r>
      <w:r w:rsidRPr="00C8701B">
        <w:rPr>
          <w:rFonts w:eastAsia="Arial Unicode MS"/>
          <w:bCs/>
          <w:lang w:eastAsia="fr-FR" w:bidi="he-IL"/>
        </w:rPr>
        <w:t>que l</w:t>
      </w:r>
      <w:r w:rsidR="00557DE0">
        <w:rPr>
          <w:rFonts w:eastAsia="Arial Unicode MS"/>
          <w:bCs/>
          <w:lang w:eastAsia="fr-FR" w:bidi="he-IL"/>
        </w:rPr>
        <w:t>’</w:t>
      </w:r>
      <w:r w:rsidRPr="00C8701B">
        <w:rPr>
          <w:rFonts w:eastAsia="Arial Unicode MS"/>
          <w:bCs/>
          <w:lang w:eastAsia="fr-FR" w:bidi="he-IL"/>
        </w:rPr>
        <w:t>un ou l</w:t>
      </w:r>
      <w:r w:rsidR="00557DE0">
        <w:rPr>
          <w:rFonts w:eastAsia="Arial Unicode MS"/>
          <w:bCs/>
          <w:lang w:eastAsia="fr-FR" w:bidi="he-IL"/>
        </w:rPr>
        <w:t>’</w:t>
      </w:r>
      <w:r w:rsidRPr="00C8701B">
        <w:rPr>
          <w:rFonts w:eastAsia="Arial Unicode MS"/>
          <w:bCs/>
          <w:lang w:eastAsia="fr-FR" w:bidi="he-IL"/>
        </w:rPr>
        <w:t xml:space="preserve">autre </w:t>
      </w:r>
      <w:r w:rsidR="00750D92">
        <w:rPr>
          <w:rFonts w:eastAsia="Arial Unicode MS"/>
          <w:bCs/>
          <w:lang w:eastAsia="fr-FR" w:bidi="he-IL"/>
        </w:rPr>
        <w:t>des synoptiques ajoute à un même</w:t>
      </w:r>
      <w:r w:rsidRPr="00C8701B">
        <w:rPr>
          <w:rFonts w:eastAsia="Arial Unicode MS"/>
          <w:bCs/>
          <w:lang w:eastAsia="fr-FR" w:bidi="he-IL"/>
        </w:rPr>
        <w:t xml:space="preserve"> nom</w:t>
      </w:r>
      <w:r w:rsidR="00E65435">
        <w:rPr>
          <w:rFonts w:eastAsia="Arial Unicode MS"/>
          <w:bCs/>
          <w:lang w:eastAsia="fr-FR" w:bidi="he-IL"/>
        </w:rPr>
        <w:t xml:space="preserve">, </w:t>
      </w:r>
      <w:r w:rsidRPr="00C8701B">
        <w:rPr>
          <w:rFonts w:eastAsia="Arial Unicode MS"/>
          <w:bCs/>
          <w:lang w:eastAsia="fr-FR" w:bidi="he-IL"/>
        </w:rPr>
        <w:t>à un même détail</w:t>
      </w:r>
      <w:r w:rsidR="00C2602D" w:rsidRPr="00C8701B">
        <w:rPr>
          <w:rFonts w:eastAsia="Arial Unicode MS"/>
          <w:bCs/>
          <w:lang w:eastAsia="fr-FR" w:bidi="he-IL"/>
        </w:rPr>
        <w:t xml:space="preserve"> : </w:t>
      </w:r>
      <w:r w:rsidR="00A067B1" w:rsidRPr="000716BB">
        <w:rPr>
          <w:rFonts w:eastAsia="Arial Unicode MS"/>
          <w:bCs/>
          <w:lang w:eastAsia="fr-FR" w:bidi="he-IL"/>
        </w:rPr>
        <w:t>{</w:t>
      </w:r>
      <w:r w:rsidR="00A067B1">
        <w:rPr>
          <w:rFonts w:eastAsia="Arial Unicode MS"/>
          <w:bCs/>
          <w:lang w:eastAsia="fr-FR" w:bidi="he-IL"/>
        </w:rPr>
        <w:t>37</w:t>
      </w:r>
      <w:bookmarkStart w:id="63" w:name="pag037"/>
      <w:bookmarkEnd w:id="63"/>
      <w:r w:rsidR="00A067B1" w:rsidRPr="000716BB">
        <w:rPr>
          <w:rFonts w:eastAsia="Arial Unicode MS"/>
          <w:bCs/>
          <w:lang w:eastAsia="fr-FR" w:bidi="he-IL"/>
        </w:rPr>
        <w:t>}</w:t>
      </w:r>
    </w:p>
    <w:p w:rsidR="00750D92" w:rsidRDefault="00750D92" w:rsidP="00C2602D">
      <w:pPr>
        <w:rPr>
          <w:rFonts w:eastAsia="Arial Unicode MS"/>
          <w:bCs/>
          <w:lang w:eastAsia="fr-FR" w:bidi="he-IL"/>
        </w:rPr>
      </w:pPr>
    </w:p>
    <w:tbl>
      <w:tblPr>
        <w:tblW w:w="5077" w:type="pct"/>
        <w:tblCellMar>
          <w:left w:w="70" w:type="dxa"/>
          <w:right w:w="70" w:type="dxa"/>
        </w:tblCellMar>
        <w:tblLook w:val="04A0"/>
      </w:tblPr>
      <w:tblGrid>
        <w:gridCol w:w="614"/>
        <w:gridCol w:w="380"/>
        <w:gridCol w:w="2319"/>
        <w:gridCol w:w="454"/>
        <w:gridCol w:w="380"/>
        <w:gridCol w:w="1200"/>
        <w:gridCol w:w="614"/>
        <w:gridCol w:w="380"/>
        <w:gridCol w:w="4526"/>
      </w:tblGrid>
      <w:tr w:rsidR="00D62373" w:rsidRPr="001E3400" w:rsidTr="00D62373">
        <w:trPr>
          <w:cantSplit/>
          <w:trHeight w:val="20"/>
        </w:trPr>
        <w:tc>
          <w:tcPr>
            <w:tcW w:w="354"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p>
        </w:tc>
        <w:tc>
          <w:tcPr>
            <w:tcW w:w="172"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p>
        </w:tc>
        <w:tc>
          <w:tcPr>
            <w:tcW w:w="1051"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t>Saint Matthieu</w:t>
            </w:r>
          </w:p>
        </w:tc>
        <w:tc>
          <w:tcPr>
            <w:tcW w:w="206"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p>
        </w:tc>
        <w:tc>
          <w:tcPr>
            <w:tcW w:w="172"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p>
        </w:tc>
        <w:tc>
          <w:tcPr>
            <w:tcW w:w="544" w:type="pct"/>
            <w:tcBorders>
              <w:top w:val="nil"/>
              <w:left w:val="nil"/>
              <w:bottom w:val="nil"/>
              <w:right w:val="nil"/>
            </w:tcBorders>
            <w:shd w:val="clear" w:color="auto" w:fill="auto"/>
            <w:noWrap/>
            <w:vAlign w:val="bottom"/>
            <w:hideMark/>
          </w:tcPr>
          <w:p w:rsidR="00750D92" w:rsidRPr="001E3400" w:rsidRDefault="00D62373" w:rsidP="00D62373">
            <w:pPr>
              <w:pStyle w:val="sr"/>
              <w:rPr>
                <w:lang w:bidi="he-IL"/>
              </w:rPr>
            </w:pPr>
            <w:r>
              <w:t>SaintMarc</w:t>
            </w:r>
          </w:p>
        </w:tc>
        <w:tc>
          <w:tcPr>
            <w:tcW w:w="278"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p>
        </w:tc>
        <w:tc>
          <w:tcPr>
            <w:tcW w:w="172"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p>
        </w:tc>
        <w:tc>
          <w:tcPr>
            <w:tcW w:w="2051" w:type="pct"/>
            <w:tcBorders>
              <w:top w:val="nil"/>
              <w:left w:val="nil"/>
              <w:bottom w:val="nil"/>
              <w:right w:val="nil"/>
            </w:tcBorders>
            <w:shd w:val="clear" w:color="auto" w:fill="auto"/>
            <w:noWrap/>
            <w:vAlign w:val="bottom"/>
            <w:hideMark/>
          </w:tcPr>
          <w:p w:rsidR="00750D92" w:rsidRPr="001E3400" w:rsidRDefault="00750D92" w:rsidP="00D62373">
            <w:pPr>
              <w:pStyle w:val="sr"/>
              <w:rPr>
                <w:lang w:bidi="he-IL"/>
              </w:rPr>
            </w:pPr>
            <w:r w:rsidRPr="001E3400">
              <w:t xml:space="preserve">Saint </w:t>
            </w:r>
            <w:r w:rsidR="00D62373">
              <w:t>Luc</w:t>
            </w:r>
          </w:p>
        </w:tc>
      </w:tr>
      <w:tr w:rsidR="00D62373" w:rsidRPr="001E3400" w:rsidTr="00D62373">
        <w:trPr>
          <w:cantSplit/>
          <w:trHeight w:val="20"/>
        </w:trPr>
        <w:tc>
          <w:tcPr>
            <w:tcW w:w="354"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VIII,</w:t>
            </w:r>
          </w:p>
        </w:tc>
        <w:tc>
          <w:tcPr>
            <w:tcW w:w="172"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17</w:t>
            </w:r>
          </w:p>
        </w:tc>
        <w:tc>
          <w:tcPr>
            <w:tcW w:w="1051"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il commença à prêcher</w:t>
            </w:r>
          </w:p>
        </w:tc>
        <w:tc>
          <w:tcPr>
            <w:tcW w:w="206"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w:t>
            </w:r>
          </w:p>
        </w:tc>
        <w:tc>
          <w:tcPr>
            <w:tcW w:w="172"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14</w:t>
            </w:r>
          </w:p>
        </w:tc>
        <w:tc>
          <w:tcPr>
            <w:tcW w:w="544"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il prêcha</w:t>
            </w:r>
          </w:p>
        </w:tc>
        <w:tc>
          <w:tcPr>
            <w:tcW w:w="278"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IV,</w:t>
            </w:r>
          </w:p>
        </w:tc>
        <w:tc>
          <w:tcPr>
            <w:tcW w:w="172"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15</w:t>
            </w:r>
          </w:p>
        </w:tc>
        <w:tc>
          <w:tcPr>
            <w:tcW w:w="2051"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il commença à prêcher dans leurs synagogues</w:t>
            </w:r>
          </w:p>
        </w:tc>
      </w:tr>
      <w:tr w:rsidR="00D62373" w:rsidRPr="001E3400" w:rsidTr="00D62373">
        <w:trPr>
          <w:cantSplit/>
          <w:trHeight w:val="20"/>
        </w:trPr>
        <w:tc>
          <w:tcPr>
            <w:tcW w:w="354"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w:t>
            </w:r>
          </w:p>
        </w:tc>
        <w:tc>
          <w:tcPr>
            <w:tcW w:w="172"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14</w:t>
            </w:r>
          </w:p>
        </w:tc>
        <w:tc>
          <w:tcPr>
            <w:tcW w:w="1051"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il vint</w:t>
            </w:r>
          </w:p>
        </w:tc>
        <w:tc>
          <w:tcPr>
            <w:tcW w:w="206"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w:t>
            </w:r>
          </w:p>
        </w:tc>
        <w:tc>
          <w:tcPr>
            <w:tcW w:w="172"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29</w:t>
            </w:r>
          </w:p>
        </w:tc>
        <w:tc>
          <w:tcPr>
            <w:tcW w:w="544"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il vint</w:t>
            </w:r>
          </w:p>
        </w:tc>
        <w:tc>
          <w:tcPr>
            <w:tcW w:w="278"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w:t>
            </w:r>
          </w:p>
        </w:tc>
        <w:tc>
          <w:tcPr>
            <w:tcW w:w="172"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38</w:t>
            </w:r>
          </w:p>
        </w:tc>
        <w:tc>
          <w:tcPr>
            <w:tcW w:w="2051"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il se leva et il vint</w:t>
            </w:r>
          </w:p>
        </w:tc>
      </w:tr>
      <w:tr w:rsidR="00D62373" w:rsidRPr="001E3400" w:rsidTr="00D62373">
        <w:trPr>
          <w:cantSplit/>
          <w:trHeight w:val="20"/>
        </w:trPr>
        <w:tc>
          <w:tcPr>
            <w:tcW w:w="354"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IX.</w:t>
            </w:r>
          </w:p>
        </w:tc>
        <w:tc>
          <w:tcPr>
            <w:tcW w:w="172"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4</w:t>
            </w:r>
          </w:p>
        </w:tc>
        <w:tc>
          <w:tcPr>
            <w:tcW w:w="1051"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il dit</w:t>
            </w:r>
          </w:p>
        </w:tc>
        <w:tc>
          <w:tcPr>
            <w:tcW w:w="206"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II,</w:t>
            </w:r>
          </w:p>
        </w:tc>
        <w:tc>
          <w:tcPr>
            <w:tcW w:w="172"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8</w:t>
            </w:r>
          </w:p>
        </w:tc>
        <w:tc>
          <w:tcPr>
            <w:tcW w:w="544"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il dit</w:t>
            </w:r>
          </w:p>
        </w:tc>
        <w:tc>
          <w:tcPr>
            <w:tcW w:w="278"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V,</w:t>
            </w:r>
          </w:p>
        </w:tc>
        <w:tc>
          <w:tcPr>
            <w:tcW w:w="172"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22</w:t>
            </w:r>
          </w:p>
        </w:tc>
        <w:tc>
          <w:tcPr>
            <w:tcW w:w="2051"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il répondit et dit</w:t>
            </w:r>
          </w:p>
        </w:tc>
      </w:tr>
      <w:tr w:rsidR="00D62373" w:rsidRPr="001E3400" w:rsidTr="00D62373">
        <w:trPr>
          <w:cantSplit/>
          <w:trHeight w:val="20"/>
        </w:trPr>
        <w:tc>
          <w:tcPr>
            <w:tcW w:w="354"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w:t>
            </w:r>
          </w:p>
        </w:tc>
        <w:tc>
          <w:tcPr>
            <w:tcW w:w="172"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14</w:t>
            </w:r>
          </w:p>
        </w:tc>
        <w:tc>
          <w:tcPr>
            <w:tcW w:w="1051"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jeûner</w:t>
            </w:r>
          </w:p>
        </w:tc>
        <w:tc>
          <w:tcPr>
            <w:tcW w:w="206"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w:t>
            </w:r>
          </w:p>
        </w:tc>
        <w:tc>
          <w:tcPr>
            <w:tcW w:w="172"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18</w:t>
            </w:r>
          </w:p>
        </w:tc>
        <w:tc>
          <w:tcPr>
            <w:tcW w:w="544"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jeûner</w:t>
            </w:r>
          </w:p>
        </w:tc>
        <w:tc>
          <w:tcPr>
            <w:tcW w:w="278"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w:t>
            </w:r>
          </w:p>
        </w:tc>
        <w:tc>
          <w:tcPr>
            <w:tcW w:w="172"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33</w:t>
            </w:r>
          </w:p>
        </w:tc>
        <w:tc>
          <w:tcPr>
            <w:tcW w:w="2051"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jeûner souvent</w:t>
            </w:r>
          </w:p>
        </w:tc>
      </w:tr>
      <w:tr w:rsidR="00D62373" w:rsidRPr="001E3400" w:rsidTr="00D62373">
        <w:trPr>
          <w:cantSplit/>
          <w:trHeight w:val="20"/>
        </w:trPr>
        <w:tc>
          <w:tcPr>
            <w:tcW w:w="354"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w:t>
            </w:r>
          </w:p>
        </w:tc>
        <w:tc>
          <w:tcPr>
            <w:tcW w:w="172"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17</w:t>
            </w:r>
          </w:p>
        </w:tc>
        <w:tc>
          <w:tcPr>
            <w:tcW w:w="1051"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du vin</w:t>
            </w:r>
          </w:p>
        </w:tc>
        <w:tc>
          <w:tcPr>
            <w:tcW w:w="206"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w:t>
            </w:r>
          </w:p>
        </w:tc>
        <w:tc>
          <w:tcPr>
            <w:tcW w:w="172"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22</w:t>
            </w:r>
          </w:p>
        </w:tc>
        <w:tc>
          <w:tcPr>
            <w:tcW w:w="544"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du vin</w:t>
            </w:r>
          </w:p>
        </w:tc>
        <w:tc>
          <w:tcPr>
            <w:tcW w:w="278"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w:t>
            </w:r>
          </w:p>
        </w:tc>
        <w:tc>
          <w:tcPr>
            <w:tcW w:w="172"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39</w:t>
            </w:r>
          </w:p>
        </w:tc>
        <w:tc>
          <w:tcPr>
            <w:tcW w:w="2051"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du vin nouveau</w:t>
            </w:r>
          </w:p>
        </w:tc>
      </w:tr>
      <w:tr w:rsidR="00D62373" w:rsidRPr="001E3400" w:rsidTr="00D62373">
        <w:trPr>
          <w:cantSplit/>
          <w:trHeight w:val="20"/>
        </w:trPr>
        <w:tc>
          <w:tcPr>
            <w:tcW w:w="354"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XII,</w:t>
            </w:r>
          </w:p>
        </w:tc>
        <w:tc>
          <w:tcPr>
            <w:tcW w:w="172"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9</w:t>
            </w:r>
          </w:p>
        </w:tc>
        <w:tc>
          <w:tcPr>
            <w:tcW w:w="1051"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une main</w:t>
            </w:r>
          </w:p>
        </w:tc>
        <w:tc>
          <w:tcPr>
            <w:tcW w:w="206"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III,</w:t>
            </w:r>
          </w:p>
        </w:tc>
        <w:tc>
          <w:tcPr>
            <w:tcW w:w="172"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1</w:t>
            </w:r>
          </w:p>
        </w:tc>
        <w:tc>
          <w:tcPr>
            <w:tcW w:w="544"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la main</w:t>
            </w:r>
          </w:p>
        </w:tc>
        <w:tc>
          <w:tcPr>
            <w:tcW w:w="278" w:type="pct"/>
            <w:tcBorders>
              <w:top w:val="nil"/>
              <w:left w:val="nil"/>
              <w:bottom w:val="nil"/>
              <w:right w:val="nil"/>
            </w:tcBorders>
            <w:shd w:val="clear" w:color="auto" w:fill="auto"/>
            <w:noWrap/>
            <w:vAlign w:val="bottom"/>
            <w:hideMark/>
          </w:tcPr>
          <w:p w:rsidR="00750D92" w:rsidRPr="001E3400" w:rsidRDefault="00A319EA" w:rsidP="00750D92">
            <w:pPr>
              <w:pStyle w:val="sr"/>
              <w:rPr>
                <w:lang w:bidi="he-IL"/>
              </w:rPr>
            </w:pPr>
            <w:r>
              <w:rPr>
                <w:lang w:bidi="he-IL"/>
              </w:rPr>
              <w:t>VI</w:t>
            </w:r>
            <w:r w:rsidR="00750D92" w:rsidRPr="001E3400">
              <w:rPr>
                <w:lang w:bidi="he-IL"/>
              </w:rPr>
              <w:t>,</w:t>
            </w:r>
          </w:p>
        </w:tc>
        <w:tc>
          <w:tcPr>
            <w:tcW w:w="172"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6</w:t>
            </w:r>
          </w:p>
        </w:tc>
        <w:tc>
          <w:tcPr>
            <w:tcW w:w="2051"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la main droite</w:t>
            </w:r>
          </w:p>
        </w:tc>
      </w:tr>
      <w:tr w:rsidR="00D62373" w:rsidRPr="001E3400" w:rsidTr="00D62373">
        <w:trPr>
          <w:cantSplit/>
          <w:trHeight w:val="20"/>
        </w:trPr>
        <w:tc>
          <w:tcPr>
            <w:tcW w:w="354"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XIII,</w:t>
            </w:r>
          </w:p>
        </w:tc>
        <w:tc>
          <w:tcPr>
            <w:tcW w:w="172"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4</w:t>
            </w:r>
          </w:p>
        </w:tc>
        <w:tc>
          <w:tcPr>
            <w:tcW w:w="1051"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les oiseaux</w:t>
            </w:r>
          </w:p>
        </w:tc>
        <w:tc>
          <w:tcPr>
            <w:tcW w:w="206"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IV,</w:t>
            </w:r>
          </w:p>
        </w:tc>
        <w:tc>
          <w:tcPr>
            <w:tcW w:w="172"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4</w:t>
            </w:r>
          </w:p>
        </w:tc>
        <w:tc>
          <w:tcPr>
            <w:tcW w:w="544"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les oiseaux</w:t>
            </w:r>
          </w:p>
        </w:tc>
        <w:tc>
          <w:tcPr>
            <w:tcW w:w="278"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VIII,</w:t>
            </w:r>
          </w:p>
        </w:tc>
        <w:tc>
          <w:tcPr>
            <w:tcW w:w="172"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5</w:t>
            </w:r>
          </w:p>
        </w:tc>
        <w:tc>
          <w:tcPr>
            <w:tcW w:w="2051"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Pr>
                <w:lang w:bidi="he-IL"/>
              </w:rPr>
              <w:t xml:space="preserve">les oiseaux du ciel </w:t>
            </w:r>
          </w:p>
        </w:tc>
      </w:tr>
      <w:tr w:rsidR="00D62373" w:rsidRPr="001E3400" w:rsidTr="00D62373">
        <w:trPr>
          <w:cantSplit/>
          <w:trHeight w:val="20"/>
        </w:trPr>
        <w:tc>
          <w:tcPr>
            <w:tcW w:w="354"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w:t>
            </w:r>
          </w:p>
        </w:tc>
        <w:tc>
          <w:tcPr>
            <w:tcW w:w="172"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17</w:t>
            </w:r>
          </w:p>
        </w:tc>
        <w:tc>
          <w:tcPr>
            <w:tcW w:w="1051"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la parole du Seigneur</w:t>
            </w:r>
          </w:p>
        </w:tc>
        <w:tc>
          <w:tcPr>
            <w:tcW w:w="206"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w:t>
            </w:r>
          </w:p>
        </w:tc>
        <w:tc>
          <w:tcPr>
            <w:tcW w:w="172"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14</w:t>
            </w:r>
          </w:p>
        </w:tc>
        <w:tc>
          <w:tcPr>
            <w:tcW w:w="544"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la parole</w:t>
            </w:r>
          </w:p>
        </w:tc>
        <w:tc>
          <w:tcPr>
            <w:tcW w:w="278"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w:t>
            </w:r>
          </w:p>
        </w:tc>
        <w:tc>
          <w:tcPr>
            <w:tcW w:w="172"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sidRPr="001E3400">
              <w:rPr>
                <w:lang w:bidi="he-IL"/>
              </w:rPr>
              <w:t>11</w:t>
            </w:r>
          </w:p>
        </w:tc>
        <w:tc>
          <w:tcPr>
            <w:tcW w:w="2051" w:type="pct"/>
            <w:tcBorders>
              <w:top w:val="nil"/>
              <w:left w:val="nil"/>
              <w:bottom w:val="nil"/>
              <w:right w:val="nil"/>
            </w:tcBorders>
            <w:shd w:val="clear" w:color="auto" w:fill="auto"/>
            <w:noWrap/>
            <w:vAlign w:val="bottom"/>
            <w:hideMark/>
          </w:tcPr>
          <w:p w:rsidR="00750D92" w:rsidRPr="001E3400" w:rsidRDefault="00750D92" w:rsidP="00750D92">
            <w:pPr>
              <w:pStyle w:val="sr"/>
              <w:rPr>
                <w:lang w:bidi="he-IL"/>
              </w:rPr>
            </w:pPr>
            <w:r>
              <w:rPr>
                <w:lang w:bidi="he-IL"/>
              </w:rPr>
              <w:t>l</w:t>
            </w:r>
            <w:r w:rsidRPr="001E3400">
              <w:rPr>
                <w:lang w:bidi="he-IL"/>
              </w:rPr>
              <w:t>a parole de Dieu. Etc.</w:t>
            </w:r>
          </w:p>
        </w:tc>
      </w:tr>
    </w:tbl>
    <w:p w:rsidR="00750D92" w:rsidRDefault="00750D92" w:rsidP="00C2602D">
      <w:pPr>
        <w:rPr>
          <w:rFonts w:eastAsia="Arial Unicode MS"/>
          <w:bCs/>
          <w:lang w:eastAsia="fr-FR" w:bidi="he-IL"/>
        </w:rPr>
      </w:pPr>
    </w:p>
    <w:p w:rsidR="0012077A" w:rsidRDefault="0012077A" w:rsidP="00C2602D">
      <w:pPr>
        <w:rPr>
          <w:rFonts w:eastAsia="Arial Unicode MS"/>
          <w:bCs/>
          <w:lang w:eastAsia="fr-FR" w:bidi="he-IL"/>
        </w:rPr>
      </w:pPr>
    </w:p>
    <w:p w:rsidR="00C2602D" w:rsidRPr="00C8701B" w:rsidRDefault="00B704AD" w:rsidP="00C2602D">
      <w:pPr>
        <w:rPr>
          <w:rFonts w:eastAsia="Arial Unicode MS"/>
          <w:bCs/>
          <w:lang w:eastAsia="fr-FR" w:bidi="he-IL"/>
        </w:rPr>
      </w:pPr>
      <w:r w:rsidRPr="00C8701B">
        <w:rPr>
          <w:rFonts w:eastAsia="Arial Unicode MS"/>
          <w:bCs/>
          <w:lang w:eastAsia="fr-FR" w:bidi="he-IL"/>
        </w:rPr>
        <w:t>Ces divergences ont quelquefois lieu en des circonstances particulières</w:t>
      </w:r>
      <w:r w:rsidR="00E65435">
        <w:rPr>
          <w:rFonts w:eastAsia="Arial Unicode MS"/>
          <w:bCs/>
          <w:lang w:eastAsia="fr-FR" w:bidi="he-IL"/>
        </w:rPr>
        <w:t xml:space="preserve">, </w:t>
      </w:r>
      <w:r w:rsidRPr="00C8701B">
        <w:rPr>
          <w:rFonts w:eastAsia="Arial Unicode MS"/>
          <w:bCs/>
          <w:lang w:eastAsia="fr-FR" w:bidi="he-IL"/>
        </w:rPr>
        <w:t>où l</w:t>
      </w:r>
      <w:r w:rsidR="00557DE0">
        <w:rPr>
          <w:rFonts w:eastAsia="Arial Unicode MS"/>
          <w:bCs/>
          <w:lang w:eastAsia="fr-FR" w:bidi="he-IL"/>
        </w:rPr>
        <w:t>’</w:t>
      </w:r>
      <w:r w:rsidRPr="00C8701B">
        <w:rPr>
          <w:rFonts w:eastAsia="Arial Unicode MS"/>
          <w:bCs/>
          <w:lang w:eastAsia="fr-FR" w:bidi="he-IL"/>
        </w:rPr>
        <w:t>on serait en droit de s</w:t>
      </w:r>
      <w:r w:rsidR="00557DE0">
        <w:rPr>
          <w:rFonts w:eastAsia="Arial Unicode MS"/>
          <w:bCs/>
          <w:lang w:eastAsia="fr-FR" w:bidi="he-IL"/>
        </w:rPr>
        <w:t>’</w:t>
      </w:r>
      <w:r w:rsidRPr="00C8701B">
        <w:rPr>
          <w:rFonts w:eastAsia="Arial Unicode MS"/>
          <w:bCs/>
          <w:lang w:eastAsia="fr-FR" w:bidi="he-IL"/>
        </w:rPr>
        <w:t>attendre à une entière identité des expressions</w:t>
      </w:r>
      <w:r w:rsidR="00C2602D" w:rsidRPr="00C8701B">
        <w:rPr>
          <w:rFonts w:eastAsia="Arial Unicode MS"/>
          <w:bCs/>
          <w:lang w:eastAsia="fr-FR" w:bidi="he-IL"/>
        </w:rPr>
        <w:t> </w:t>
      </w:r>
      <w:r w:rsidR="007F6508">
        <w:rPr>
          <w:rFonts w:eastAsia="Arial Unicode MS"/>
          <w:bCs/>
          <w:lang w:eastAsia="fr-FR" w:bidi="he-IL"/>
        </w:rPr>
        <w:t xml:space="preserve">; </w:t>
      </w:r>
      <w:r w:rsidR="001C6D79">
        <w:rPr>
          <w:rFonts w:eastAsia="Arial Unicode MS"/>
          <w:bCs/>
          <w:lang w:eastAsia="fr-FR" w:bidi="he-IL"/>
        </w:rPr>
        <w:t>nota</w:t>
      </w:r>
      <w:r w:rsidRPr="00C8701B">
        <w:rPr>
          <w:rFonts w:eastAsia="Arial Unicode MS"/>
          <w:bCs/>
          <w:lang w:eastAsia="fr-FR" w:bidi="he-IL"/>
        </w:rPr>
        <w:t>mment</w:t>
      </w:r>
      <w:r w:rsidR="00E65435">
        <w:rPr>
          <w:rFonts w:eastAsia="Arial Unicode MS"/>
          <w:bCs/>
          <w:lang w:eastAsia="fr-FR" w:bidi="he-IL"/>
        </w:rPr>
        <w:t xml:space="preserve">, </w:t>
      </w:r>
      <w:r w:rsidRPr="00C8701B">
        <w:rPr>
          <w:rFonts w:eastAsia="Arial Unicode MS"/>
          <w:bCs/>
          <w:lang w:eastAsia="fr-FR" w:bidi="he-IL"/>
        </w:rPr>
        <w:t xml:space="preserve">pour les paroles par lesquelles Jésus institua la divine Eucharistie (Matth. </w:t>
      </w:r>
      <w:r w:rsidR="0042479B">
        <w:rPr>
          <w:rFonts w:eastAsia="Arial Unicode MS"/>
          <w:bCs/>
          <w:lang w:eastAsia="fr-FR" w:bidi="he-IL"/>
        </w:rPr>
        <w:t>X</w:t>
      </w:r>
      <w:r w:rsidR="00EF1E04">
        <w:rPr>
          <w:rFonts w:eastAsia="Arial Unicode MS"/>
          <w:bCs/>
          <w:lang w:eastAsia="fr-FR" w:bidi="he-IL"/>
        </w:rPr>
        <w:t>XVI</w:t>
      </w:r>
      <w:r w:rsidR="00E65435">
        <w:rPr>
          <w:rFonts w:eastAsia="Arial Unicode MS"/>
          <w:bCs/>
          <w:lang w:eastAsia="fr-FR" w:bidi="he-IL"/>
        </w:rPr>
        <w:t xml:space="preserve">, </w:t>
      </w:r>
      <w:r w:rsidRPr="00C8701B">
        <w:rPr>
          <w:rFonts w:eastAsia="Arial Unicode MS"/>
          <w:bCs/>
          <w:lang w:eastAsia="fr-FR" w:bidi="he-IL"/>
        </w:rPr>
        <w:t>26-29</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Marc</w:t>
      </w:r>
      <w:r w:rsidR="00E65435">
        <w:rPr>
          <w:rFonts w:eastAsia="Arial Unicode MS"/>
          <w:bCs/>
          <w:lang w:eastAsia="fr-FR" w:bidi="he-IL"/>
        </w:rPr>
        <w:t xml:space="preserve">, </w:t>
      </w:r>
      <w:r w:rsidR="00CB43AA">
        <w:rPr>
          <w:rFonts w:eastAsia="Arial Unicode MS"/>
          <w:bCs/>
          <w:lang w:eastAsia="fr-FR" w:bidi="he-IL"/>
        </w:rPr>
        <w:t>XIV</w:t>
      </w:r>
      <w:r w:rsidR="00E65435">
        <w:rPr>
          <w:rFonts w:eastAsia="Arial Unicode MS"/>
          <w:bCs/>
          <w:lang w:eastAsia="fr-FR" w:bidi="he-IL"/>
        </w:rPr>
        <w:t xml:space="preserve">, </w:t>
      </w:r>
      <w:r w:rsidRPr="00C8701B">
        <w:rPr>
          <w:rFonts w:eastAsia="Arial Unicode MS"/>
          <w:bCs/>
          <w:lang w:eastAsia="fr-FR" w:bidi="he-IL"/>
        </w:rPr>
        <w:t>22-25</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Luc. </w:t>
      </w:r>
      <w:r w:rsidR="003A247F">
        <w:rPr>
          <w:rFonts w:eastAsia="Arial Unicode MS"/>
          <w:bCs/>
          <w:lang w:eastAsia="fr-FR" w:bidi="he-IL"/>
        </w:rPr>
        <w:t>XXII</w:t>
      </w:r>
      <w:r w:rsidR="00E65435">
        <w:rPr>
          <w:rFonts w:eastAsia="Arial Unicode MS"/>
          <w:bCs/>
          <w:lang w:eastAsia="fr-FR" w:bidi="he-IL"/>
        </w:rPr>
        <w:t xml:space="preserve">, </w:t>
      </w:r>
      <w:r w:rsidRPr="00C8701B">
        <w:rPr>
          <w:rFonts w:eastAsia="Arial Unicode MS"/>
          <w:bCs/>
          <w:lang w:eastAsia="fr-FR" w:bidi="he-IL"/>
        </w:rPr>
        <w:t>15</w:t>
      </w:r>
      <w:r w:rsidR="00933C60">
        <w:rPr>
          <w:rFonts w:eastAsia="Arial Unicode MS"/>
          <w:bCs/>
          <w:lang w:eastAsia="fr-FR" w:bidi="he-IL"/>
        </w:rPr>
        <w:t>-</w:t>
      </w:r>
      <w:r w:rsidRPr="00C8701B">
        <w:rPr>
          <w:rFonts w:eastAsia="Arial Unicode MS"/>
          <w:bCs/>
          <w:lang w:eastAsia="fr-FR" w:bidi="he-IL"/>
        </w:rPr>
        <w:t>20)</w:t>
      </w:r>
      <w:r w:rsidR="00933C60" w:rsidRPr="00C406FF">
        <w:rPr>
          <w:rStyle w:val="Appelnotedebasdep"/>
        </w:rPr>
        <w:footnoteReference w:id="177"/>
      </w:r>
      <w:r w:rsidR="00E65435">
        <w:rPr>
          <w:rFonts w:eastAsia="Arial Unicode MS"/>
          <w:bCs/>
          <w:lang w:eastAsia="fr-FR" w:bidi="he-IL"/>
        </w:rPr>
        <w:t xml:space="preserve">, </w:t>
      </w:r>
      <w:r w:rsidRPr="00C8701B">
        <w:rPr>
          <w:rFonts w:eastAsia="Arial Unicode MS"/>
          <w:bCs/>
          <w:lang w:eastAsia="fr-FR" w:bidi="he-IL"/>
        </w:rPr>
        <w:t xml:space="preserve">et pour celles qui formaient le titre placé au sommet de la croix (Matth. </w:t>
      </w:r>
      <w:r w:rsidR="0042479B">
        <w:rPr>
          <w:rFonts w:eastAsia="Arial Unicode MS"/>
          <w:bCs/>
          <w:lang w:eastAsia="fr-FR" w:bidi="he-IL"/>
        </w:rPr>
        <w:t>X</w:t>
      </w:r>
      <w:r w:rsidR="00CA083D">
        <w:rPr>
          <w:rFonts w:eastAsia="Arial Unicode MS"/>
          <w:bCs/>
          <w:lang w:eastAsia="fr-FR" w:bidi="he-IL"/>
        </w:rPr>
        <w:t>XVII</w:t>
      </w:r>
      <w:r w:rsidR="00E65435">
        <w:rPr>
          <w:rFonts w:eastAsia="Arial Unicode MS"/>
          <w:bCs/>
          <w:lang w:eastAsia="fr-FR" w:bidi="he-IL"/>
        </w:rPr>
        <w:t xml:space="preserve">, </w:t>
      </w:r>
      <w:r w:rsidRPr="00C8701B">
        <w:rPr>
          <w:rFonts w:eastAsia="Arial Unicode MS"/>
          <w:bCs/>
          <w:lang w:eastAsia="fr-FR" w:bidi="he-IL"/>
        </w:rPr>
        <w:t>37</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Marc</w:t>
      </w:r>
      <w:r w:rsidR="00E65435">
        <w:rPr>
          <w:rFonts w:eastAsia="Arial Unicode MS"/>
          <w:bCs/>
          <w:lang w:eastAsia="fr-FR" w:bidi="he-IL"/>
        </w:rPr>
        <w:t xml:space="preserve">, </w:t>
      </w:r>
      <w:r w:rsidR="00D72CBC">
        <w:rPr>
          <w:rFonts w:eastAsia="Arial Unicode MS"/>
          <w:bCs/>
          <w:lang w:eastAsia="fr-FR" w:bidi="he-IL"/>
        </w:rPr>
        <w:t>XV</w:t>
      </w:r>
      <w:r w:rsidR="00E65435">
        <w:rPr>
          <w:rFonts w:eastAsia="Arial Unicode MS"/>
          <w:bCs/>
          <w:lang w:eastAsia="fr-FR" w:bidi="he-IL"/>
        </w:rPr>
        <w:t xml:space="preserve">, </w:t>
      </w:r>
      <w:r w:rsidRPr="00C8701B">
        <w:rPr>
          <w:rFonts w:eastAsia="Arial Unicode MS"/>
          <w:bCs/>
          <w:lang w:eastAsia="fr-FR" w:bidi="he-IL"/>
        </w:rPr>
        <w:t>26</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Luc. </w:t>
      </w:r>
      <w:r w:rsidR="00C2681A">
        <w:rPr>
          <w:rFonts w:eastAsia="Arial Unicode MS"/>
          <w:bCs/>
          <w:lang w:eastAsia="fr-FR" w:bidi="he-IL"/>
        </w:rPr>
        <w:t>XX</w:t>
      </w:r>
      <w:r w:rsidR="003A247F">
        <w:rPr>
          <w:rFonts w:eastAsia="Arial Unicode MS"/>
          <w:bCs/>
          <w:lang w:eastAsia="fr-FR" w:bidi="he-IL"/>
        </w:rPr>
        <w:t>III</w:t>
      </w:r>
      <w:r w:rsidR="00E65435">
        <w:rPr>
          <w:rFonts w:eastAsia="Arial Unicode MS"/>
          <w:bCs/>
          <w:lang w:eastAsia="fr-FR" w:bidi="he-IL"/>
        </w:rPr>
        <w:t xml:space="preserve">, </w:t>
      </w:r>
      <w:r w:rsidRPr="00C8701B">
        <w:rPr>
          <w:rFonts w:eastAsia="Arial Unicode MS"/>
          <w:bCs/>
          <w:lang w:eastAsia="fr-FR" w:bidi="he-IL"/>
        </w:rPr>
        <w:t>38)</w:t>
      </w:r>
      <w:r w:rsidR="00933C60" w:rsidRPr="00C406FF">
        <w:rPr>
          <w:rStyle w:val="Appelnotedebasdep"/>
        </w:rPr>
        <w:footnoteReference w:id="178"/>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1C6D79">
      <w:pPr>
        <w:rPr>
          <w:rFonts w:eastAsia="Arial Unicode MS"/>
          <w:bCs/>
          <w:lang w:eastAsia="fr-FR" w:bidi="he-IL"/>
        </w:rPr>
      </w:pPr>
      <w:r w:rsidRPr="00C8701B">
        <w:rPr>
          <w:rFonts w:eastAsia="Arial Unicode MS"/>
          <w:bCs/>
          <w:lang w:eastAsia="fr-FR" w:bidi="he-IL"/>
        </w:rPr>
        <w:t>Et qu</w:t>
      </w:r>
      <w:r w:rsidR="00557DE0">
        <w:rPr>
          <w:rFonts w:eastAsia="Arial Unicode MS"/>
          <w:bCs/>
          <w:lang w:eastAsia="fr-FR" w:bidi="he-IL"/>
        </w:rPr>
        <w:t>’</w:t>
      </w:r>
      <w:r w:rsidRPr="00C8701B">
        <w:rPr>
          <w:rFonts w:eastAsia="Arial Unicode MS"/>
          <w:bCs/>
          <w:lang w:eastAsia="fr-FR" w:bidi="he-IL"/>
        </w:rPr>
        <w:t>on nous permette de répéter encore que nos exemples ne représentent pas la centième partie de ceux qui pourraient être allégués. Mais il est aisé à chacun de les multiplier au moyen d</w:t>
      </w:r>
      <w:r w:rsidR="00557DE0">
        <w:rPr>
          <w:rFonts w:eastAsia="Arial Unicode MS"/>
          <w:bCs/>
          <w:lang w:eastAsia="fr-FR" w:bidi="he-IL"/>
        </w:rPr>
        <w:t>’</w:t>
      </w:r>
      <w:r w:rsidRPr="00C8701B">
        <w:rPr>
          <w:rFonts w:eastAsia="Arial Unicode MS"/>
          <w:bCs/>
          <w:lang w:eastAsia="fr-FR" w:bidi="he-IL"/>
        </w:rPr>
        <w:t>une synopse grecque</w:t>
      </w:r>
      <w:r w:rsidR="00933C60" w:rsidRPr="00C406FF">
        <w:rPr>
          <w:rStyle w:val="Appelnotedebasdep"/>
        </w:rPr>
        <w:footnoteReference w:id="179"/>
      </w:r>
      <w:r w:rsidR="00E65435">
        <w:rPr>
          <w:rFonts w:eastAsia="Arial Unicode MS"/>
          <w:bCs/>
          <w:lang w:eastAsia="fr-FR" w:bidi="he-IL"/>
        </w:rPr>
        <w:t xml:space="preserve">, </w:t>
      </w:r>
      <w:r w:rsidRPr="00C8701B">
        <w:rPr>
          <w:rFonts w:eastAsia="Arial Unicode MS"/>
          <w:bCs/>
          <w:lang w:eastAsia="fr-FR" w:bidi="he-IL"/>
        </w:rPr>
        <w:t>ou à l</w:t>
      </w:r>
      <w:r w:rsidR="00557DE0">
        <w:rPr>
          <w:rFonts w:eastAsia="Arial Unicode MS"/>
          <w:bCs/>
          <w:lang w:eastAsia="fr-FR" w:bidi="he-IL"/>
        </w:rPr>
        <w:t>’</w:t>
      </w:r>
      <w:r w:rsidRPr="00C8701B">
        <w:rPr>
          <w:rFonts w:eastAsia="Arial Unicode MS"/>
          <w:bCs/>
          <w:lang w:eastAsia="fr-FR" w:bidi="he-IL"/>
        </w:rPr>
        <w:t>aide des ouvrages spéciaux qui ont été composés sur ce sujet</w:t>
      </w:r>
      <w:r w:rsidR="00933C60" w:rsidRPr="00C406FF">
        <w:rPr>
          <w:rStyle w:val="Appelnotedebasdep"/>
        </w:rPr>
        <w:footnoteReference w:id="180"/>
      </w:r>
      <w:r w:rsidRPr="00C8701B">
        <w:rPr>
          <w:rFonts w:eastAsia="Arial Unicode MS"/>
          <w:bCs/>
          <w:lang w:eastAsia="fr-FR" w:bidi="he-IL"/>
        </w:rPr>
        <w:t>.</w:t>
      </w:r>
      <w:r w:rsidR="00C2602D" w:rsidRPr="00C8701B">
        <w:rPr>
          <w:rFonts w:eastAsia="Arial Unicode MS"/>
          <w:bCs/>
          <w:lang w:eastAsia="fr-FR" w:bidi="he-IL"/>
        </w:rPr>
        <w:t xml:space="preserve"> </w:t>
      </w:r>
    </w:p>
    <w:p w:rsidR="00C2602D" w:rsidRDefault="001C6D79" w:rsidP="00C2602D">
      <w:pPr>
        <w:rPr>
          <w:rFonts w:eastAsia="Arial Unicode MS"/>
          <w:bCs/>
          <w:lang w:eastAsia="fr-FR" w:bidi="he-IL"/>
        </w:rPr>
      </w:pPr>
      <w:r>
        <w:rPr>
          <w:rFonts w:eastAsia="Arial Unicode MS"/>
          <w:bCs/>
          <w:lang w:eastAsia="fr-FR" w:bidi="he-IL"/>
        </w:rPr>
        <w:t>III</w:t>
      </w:r>
      <w:r w:rsidR="00B704AD" w:rsidRPr="00C8701B">
        <w:rPr>
          <w:rFonts w:eastAsia="Arial Unicode MS"/>
          <w:bCs/>
          <w:lang w:val="el-GR" w:eastAsia="fr-FR" w:bidi="he-IL"/>
        </w:rPr>
        <w:t>.</w:t>
      </w:r>
      <w:r w:rsidR="00B704AD" w:rsidRPr="00DC4586">
        <w:rPr>
          <w:rStyle w:val="italicus"/>
        </w:rPr>
        <w:t xml:space="preserve"> Quelques chiffres pour marquer les degrés de ressemblance et de différence entre les synoptiques.</w:t>
      </w:r>
      <w:r w:rsidR="000F7DAA">
        <w:rPr>
          <w:rFonts w:eastAsia="Arial Unicode MS"/>
          <w:bCs/>
          <w:lang w:eastAsia="fr-FR" w:bidi="he-IL"/>
        </w:rPr>
        <w:t xml:space="preserve"> —</w:t>
      </w:r>
      <w:r w:rsidR="008D0642">
        <w:rPr>
          <w:rFonts w:eastAsia="Arial Unicode MS"/>
          <w:bCs/>
          <w:lang w:eastAsia="fr-FR" w:bidi="he-IL"/>
        </w:rPr>
        <w:t xml:space="preserve"> </w:t>
      </w:r>
      <w:r w:rsidR="00B704AD" w:rsidRPr="00C8701B">
        <w:rPr>
          <w:rFonts w:eastAsia="Arial Unicode MS"/>
          <w:bCs/>
          <w:lang w:eastAsia="fr-FR" w:bidi="he-IL"/>
        </w:rPr>
        <w:t>Les critiques qui sont entrés le plus avant dans l</w:t>
      </w:r>
      <w:r w:rsidR="00557DE0">
        <w:rPr>
          <w:rFonts w:eastAsia="Arial Unicode MS"/>
          <w:bCs/>
          <w:lang w:eastAsia="fr-FR" w:bidi="he-IL"/>
        </w:rPr>
        <w:t>’</w:t>
      </w:r>
      <w:r w:rsidR="00B704AD" w:rsidRPr="00C8701B">
        <w:rPr>
          <w:rFonts w:eastAsia="Arial Unicode MS"/>
          <w:bCs/>
          <w:lang w:eastAsia="fr-FR" w:bidi="he-IL"/>
        </w:rPr>
        <w:t>analyse du problème que nous étudions</w:t>
      </w:r>
      <w:r w:rsidR="00E65435">
        <w:rPr>
          <w:rFonts w:eastAsia="Arial Unicode MS"/>
          <w:bCs/>
          <w:lang w:eastAsia="fr-FR" w:bidi="he-IL"/>
        </w:rPr>
        <w:t xml:space="preserve">, </w:t>
      </w:r>
      <w:r w:rsidR="00B704AD" w:rsidRPr="00C8701B">
        <w:rPr>
          <w:rFonts w:eastAsia="Arial Unicode MS"/>
          <w:bCs/>
          <w:lang w:eastAsia="fr-FR" w:bidi="he-IL"/>
        </w:rPr>
        <w:t>ont résumé en des chiffres assez éloquents les résultats de leurs savantes et minutieuses recherches. Les calculs diffèrent tant soit peu</w:t>
      </w:r>
      <w:r w:rsidR="00E65435">
        <w:rPr>
          <w:rFonts w:eastAsia="Arial Unicode MS"/>
          <w:bCs/>
          <w:lang w:eastAsia="fr-FR" w:bidi="he-IL"/>
        </w:rPr>
        <w:t xml:space="preserve">, </w:t>
      </w:r>
      <w:r w:rsidR="00B704AD" w:rsidRPr="00C8701B">
        <w:rPr>
          <w:rFonts w:eastAsia="Arial Unicode MS"/>
          <w:bCs/>
          <w:lang w:eastAsia="fr-FR" w:bidi="he-IL"/>
        </w:rPr>
        <w:t>parce qu</w:t>
      </w:r>
      <w:r w:rsidR="00557DE0">
        <w:rPr>
          <w:rFonts w:eastAsia="Arial Unicode MS"/>
          <w:bCs/>
          <w:lang w:eastAsia="fr-FR" w:bidi="he-IL"/>
        </w:rPr>
        <w:t>’</w:t>
      </w:r>
      <w:r w:rsidR="00B704AD" w:rsidRPr="00C8701B">
        <w:rPr>
          <w:rFonts w:eastAsia="Arial Unicode MS"/>
          <w:bCs/>
          <w:lang w:eastAsia="fr-FR" w:bidi="he-IL"/>
        </w:rPr>
        <w:t>on n</w:t>
      </w:r>
      <w:r w:rsidR="00557DE0">
        <w:rPr>
          <w:rFonts w:eastAsia="Arial Unicode MS"/>
          <w:bCs/>
          <w:lang w:eastAsia="fr-FR" w:bidi="he-IL"/>
        </w:rPr>
        <w:t>’</w:t>
      </w:r>
      <w:r w:rsidR="00B704AD" w:rsidRPr="00C8701B">
        <w:rPr>
          <w:rFonts w:eastAsia="Arial Unicode MS"/>
          <w:bCs/>
          <w:lang w:eastAsia="fr-FR" w:bidi="he-IL"/>
        </w:rPr>
        <w:t>a pas toujours pris exactement les mêmes bases d</w:t>
      </w:r>
      <w:r w:rsidR="00557DE0">
        <w:rPr>
          <w:rFonts w:eastAsia="Arial Unicode MS"/>
          <w:bCs/>
          <w:lang w:eastAsia="fr-FR" w:bidi="he-IL"/>
        </w:rPr>
        <w:t>’</w:t>
      </w:r>
      <w:r w:rsidR="00B704AD" w:rsidRPr="00C8701B">
        <w:rPr>
          <w:rFonts w:eastAsia="Arial Unicode MS"/>
          <w:bCs/>
          <w:lang w:eastAsia="fr-FR" w:bidi="he-IL"/>
        </w:rPr>
        <w:t>opération</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du moins</w:t>
      </w:r>
      <w:r w:rsidR="00E65435">
        <w:rPr>
          <w:rFonts w:eastAsia="Arial Unicode MS"/>
          <w:bCs/>
          <w:lang w:eastAsia="fr-FR" w:bidi="he-IL"/>
        </w:rPr>
        <w:t xml:space="preserve">, </w:t>
      </w:r>
      <w:r w:rsidR="00B704AD" w:rsidRPr="00C8701B">
        <w:rPr>
          <w:rFonts w:eastAsia="Arial Unicode MS"/>
          <w:bCs/>
          <w:lang w:eastAsia="fr-FR" w:bidi="he-IL"/>
        </w:rPr>
        <w:t>ils donnent tous une idée assez nette des faits qu</w:t>
      </w:r>
      <w:r w:rsidR="00557DE0">
        <w:rPr>
          <w:rFonts w:eastAsia="Arial Unicode MS"/>
          <w:bCs/>
          <w:lang w:eastAsia="fr-FR" w:bidi="he-IL"/>
        </w:rPr>
        <w:t>’</w:t>
      </w:r>
      <w:r w:rsidR="00B704AD" w:rsidRPr="00C8701B">
        <w:rPr>
          <w:rFonts w:eastAsia="Arial Unicode MS"/>
          <w:bCs/>
          <w:lang w:eastAsia="fr-FR" w:bidi="he-IL"/>
        </w:rPr>
        <w:t>on s</w:t>
      </w:r>
      <w:r w:rsidR="00557DE0">
        <w:rPr>
          <w:rFonts w:eastAsia="Arial Unicode MS"/>
          <w:bCs/>
          <w:lang w:eastAsia="fr-FR" w:bidi="he-IL"/>
        </w:rPr>
        <w:t>’</w:t>
      </w:r>
      <w:r w:rsidR="00B704AD" w:rsidRPr="00C8701B">
        <w:rPr>
          <w:rFonts w:eastAsia="Arial Unicode MS"/>
          <w:bCs/>
          <w:lang w:eastAsia="fr-FR" w:bidi="he-IL"/>
        </w:rPr>
        <w:t>est proposé de mettre plus vivement en relief par leur intermédiaire.</w:t>
      </w:r>
      <w:r w:rsidR="00C2602D" w:rsidRPr="00C8701B">
        <w:rPr>
          <w:rFonts w:eastAsia="Arial Unicode MS"/>
          <w:bCs/>
          <w:lang w:eastAsia="fr-FR" w:bidi="he-IL"/>
        </w:rPr>
        <w:t xml:space="preserve"> </w:t>
      </w:r>
    </w:p>
    <w:p w:rsidR="001C6D79" w:rsidRDefault="00B704AD" w:rsidP="00C2602D">
      <w:pPr>
        <w:rPr>
          <w:rFonts w:eastAsia="Arial Unicode MS"/>
          <w:bCs/>
          <w:lang w:eastAsia="fr-FR" w:bidi="he-IL"/>
        </w:rPr>
      </w:pPr>
      <w:r w:rsidRPr="00C8701B">
        <w:rPr>
          <w:rFonts w:eastAsia="Arial Unicode MS"/>
          <w:bCs/>
          <w:lang w:eastAsia="fr-FR" w:bidi="he-IL"/>
        </w:rPr>
        <w:t>1° D</w:t>
      </w:r>
      <w:r w:rsidR="00557DE0">
        <w:rPr>
          <w:rFonts w:eastAsia="Arial Unicode MS"/>
          <w:bCs/>
          <w:lang w:eastAsia="fr-FR" w:bidi="he-IL"/>
        </w:rPr>
        <w:t>’</w:t>
      </w:r>
      <w:r w:rsidR="000819BA">
        <w:rPr>
          <w:rFonts w:eastAsia="Arial Unicode MS"/>
          <w:bCs/>
          <w:lang w:eastAsia="fr-FR" w:bidi="he-IL"/>
        </w:rPr>
        <w:t>après M. Stroud </w:t>
      </w:r>
      <w:r w:rsidR="000819BA" w:rsidRPr="00C406FF">
        <w:rPr>
          <w:rStyle w:val="Appelnotedebasdep"/>
        </w:rPr>
        <w:footnoteReference w:id="181"/>
      </w:r>
      <w:r w:rsidR="00E65435">
        <w:rPr>
          <w:rFonts w:eastAsia="Arial Unicode MS"/>
          <w:bCs/>
          <w:lang w:eastAsia="fr-FR" w:bidi="he-IL"/>
        </w:rPr>
        <w:t xml:space="preserve">, </w:t>
      </w:r>
      <w:r w:rsidRPr="00C8701B">
        <w:rPr>
          <w:rFonts w:eastAsia="Arial Unicode MS"/>
          <w:bCs/>
          <w:lang w:eastAsia="fr-FR" w:bidi="he-IL"/>
        </w:rPr>
        <w:t>si l</w:t>
      </w:r>
      <w:r w:rsidR="00557DE0">
        <w:rPr>
          <w:rFonts w:eastAsia="Arial Unicode MS"/>
          <w:bCs/>
          <w:lang w:eastAsia="fr-FR" w:bidi="he-IL"/>
        </w:rPr>
        <w:t>’</w:t>
      </w:r>
      <w:r w:rsidRPr="00C8701B">
        <w:rPr>
          <w:rFonts w:eastAsia="Arial Unicode MS"/>
          <w:bCs/>
          <w:lang w:eastAsia="fr-FR" w:bidi="he-IL"/>
        </w:rPr>
        <w:t>on représente par 100 l</w:t>
      </w:r>
      <w:r w:rsidR="00557DE0">
        <w:rPr>
          <w:rFonts w:eastAsia="Arial Unicode MS"/>
          <w:bCs/>
          <w:lang w:eastAsia="fr-FR" w:bidi="he-IL"/>
        </w:rPr>
        <w:t>’</w:t>
      </w:r>
      <w:r w:rsidRPr="00C8701B">
        <w:rPr>
          <w:rFonts w:eastAsia="Arial Unicode MS"/>
          <w:bCs/>
          <w:lang w:eastAsia="fr-FR" w:bidi="he-IL"/>
        </w:rPr>
        <w:t>ensemble des matériaux évangéliques</w:t>
      </w:r>
      <w:r w:rsidR="00E65435">
        <w:rPr>
          <w:rFonts w:eastAsia="Arial Unicode MS"/>
          <w:bCs/>
          <w:lang w:eastAsia="fr-FR" w:bidi="he-IL"/>
        </w:rPr>
        <w:t xml:space="preserve">, </w:t>
      </w:r>
      <w:r w:rsidRPr="00C8701B">
        <w:rPr>
          <w:rFonts w:eastAsia="Arial Unicode MS"/>
          <w:bCs/>
          <w:lang w:eastAsia="fr-FR" w:bidi="he-IL"/>
        </w:rPr>
        <w:t>on obtient le tableau suivant</w:t>
      </w:r>
      <w:r w:rsidR="00C2602D" w:rsidRPr="00C8701B">
        <w:rPr>
          <w:rFonts w:eastAsia="Arial Unicode MS"/>
          <w:bCs/>
          <w:lang w:eastAsia="fr-FR" w:bidi="he-IL"/>
        </w:rPr>
        <w:t> :</w:t>
      </w:r>
    </w:p>
    <w:p w:rsidR="000819BA" w:rsidRDefault="000819BA" w:rsidP="00C2602D">
      <w:pPr>
        <w:rPr>
          <w:rFonts w:eastAsia="Arial Unicode MS"/>
          <w:bCs/>
          <w:lang w:eastAsia="fr-FR" w:bidi="he-IL"/>
        </w:rPr>
      </w:pPr>
      <w:r>
        <w:rPr>
          <w:rFonts w:eastAsia="Arial Unicode MS"/>
          <w:bCs/>
          <w:lang w:eastAsia="fr-FR" w:bidi="he-IL"/>
        </w:rPr>
        <w:t>-</w:t>
      </w:r>
      <w:r w:rsidR="00657DEA">
        <w:rPr>
          <w:rFonts w:eastAsia="Arial Unicode MS"/>
          <w:bCs/>
          <w:lang w:eastAsia="fr-FR" w:bidi="he-IL"/>
        </w:rPr>
        <w:t>.</w:t>
      </w:r>
      <w:r>
        <w:rPr>
          <w:rFonts w:eastAsia="Arial Unicode MS"/>
          <w:bCs/>
          <w:lang w:eastAsia="fr-FR" w:bidi="he-I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8"/>
        <w:gridCol w:w="2648"/>
        <w:gridCol w:w="2648"/>
        <w:gridCol w:w="2648"/>
      </w:tblGrid>
      <w:tr w:rsidR="001C6D79" w:rsidRPr="00A574D4" w:rsidTr="00A574D4">
        <w:tc>
          <w:tcPr>
            <w:tcW w:w="1250" w:type="pct"/>
          </w:tcPr>
          <w:p w:rsidR="001C6D79" w:rsidRDefault="001C6D79" w:rsidP="001C6D79">
            <w:pPr>
              <w:pStyle w:val="sr"/>
              <w:rPr>
                <w:lang w:eastAsia="fr-FR" w:bidi="he-IL"/>
              </w:rPr>
            </w:pPr>
          </w:p>
        </w:tc>
        <w:tc>
          <w:tcPr>
            <w:tcW w:w="1250" w:type="pct"/>
          </w:tcPr>
          <w:p w:rsidR="001C6D79" w:rsidRDefault="001C6D79" w:rsidP="001C6D79">
            <w:pPr>
              <w:pStyle w:val="sr"/>
              <w:rPr>
                <w:lang w:eastAsia="fr-FR" w:bidi="he-IL"/>
              </w:rPr>
            </w:pPr>
            <w:r w:rsidRPr="001C6D79">
              <w:rPr>
                <w:lang w:eastAsia="fr-FR" w:bidi="he-IL"/>
              </w:rPr>
              <w:t xml:space="preserve">Particularités </w:t>
            </w:r>
          </w:p>
        </w:tc>
        <w:tc>
          <w:tcPr>
            <w:tcW w:w="1250" w:type="pct"/>
          </w:tcPr>
          <w:p w:rsidR="001C6D79" w:rsidRDefault="001C6D79" w:rsidP="001C6D79">
            <w:pPr>
              <w:pStyle w:val="sr"/>
              <w:rPr>
                <w:lang w:eastAsia="fr-FR" w:bidi="he-IL"/>
              </w:rPr>
            </w:pPr>
            <w:r w:rsidRPr="001C6D79">
              <w:rPr>
                <w:lang w:eastAsia="fr-FR" w:bidi="he-IL"/>
              </w:rPr>
              <w:t xml:space="preserve">Ressemblances </w:t>
            </w:r>
          </w:p>
        </w:tc>
        <w:tc>
          <w:tcPr>
            <w:tcW w:w="1250" w:type="pct"/>
          </w:tcPr>
          <w:p w:rsidR="001C6D79" w:rsidRDefault="001C6D79" w:rsidP="001C6D79">
            <w:pPr>
              <w:pStyle w:val="sr"/>
              <w:rPr>
                <w:lang w:eastAsia="fr-FR" w:bidi="he-IL"/>
              </w:rPr>
            </w:pPr>
            <w:r>
              <w:rPr>
                <w:lang w:eastAsia="fr-FR" w:bidi="he-IL"/>
              </w:rPr>
              <w:t>Total</w:t>
            </w:r>
          </w:p>
        </w:tc>
      </w:tr>
      <w:tr w:rsidR="001C6D79" w:rsidRPr="00A574D4" w:rsidTr="00A574D4">
        <w:tc>
          <w:tcPr>
            <w:tcW w:w="1250" w:type="pct"/>
          </w:tcPr>
          <w:p w:rsidR="001C6D79" w:rsidRDefault="001C6D79" w:rsidP="001C6D79">
            <w:pPr>
              <w:pStyle w:val="sr"/>
              <w:rPr>
                <w:lang w:eastAsia="fr-FR" w:bidi="he-IL"/>
              </w:rPr>
            </w:pPr>
            <w:r w:rsidRPr="001C6D79">
              <w:rPr>
                <w:lang w:eastAsia="fr-FR" w:bidi="he-IL"/>
              </w:rPr>
              <w:t xml:space="preserve">S. Matthieu. </w:t>
            </w:r>
          </w:p>
        </w:tc>
        <w:tc>
          <w:tcPr>
            <w:tcW w:w="1250" w:type="pct"/>
          </w:tcPr>
          <w:p w:rsidR="001C6D79" w:rsidRDefault="001C6D79" w:rsidP="001C6D79">
            <w:pPr>
              <w:pStyle w:val="sr"/>
              <w:rPr>
                <w:lang w:eastAsia="fr-FR" w:bidi="he-IL"/>
              </w:rPr>
            </w:pPr>
            <w:r w:rsidRPr="001C6D79">
              <w:rPr>
                <w:lang w:eastAsia="fr-FR" w:bidi="he-IL"/>
              </w:rPr>
              <w:t>42</w:t>
            </w:r>
          </w:p>
        </w:tc>
        <w:tc>
          <w:tcPr>
            <w:tcW w:w="1250" w:type="pct"/>
          </w:tcPr>
          <w:p w:rsidR="001C6D79" w:rsidRDefault="001C6D79" w:rsidP="001C6D79">
            <w:pPr>
              <w:pStyle w:val="sr"/>
              <w:rPr>
                <w:lang w:eastAsia="fr-FR" w:bidi="he-IL"/>
              </w:rPr>
            </w:pPr>
            <w:r w:rsidRPr="001C6D79">
              <w:rPr>
                <w:lang w:eastAsia="fr-FR" w:bidi="he-IL"/>
              </w:rPr>
              <w:t>58</w:t>
            </w:r>
          </w:p>
        </w:tc>
        <w:tc>
          <w:tcPr>
            <w:tcW w:w="1250" w:type="pct"/>
          </w:tcPr>
          <w:p w:rsidR="001C6D79" w:rsidRDefault="001C6D79" w:rsidP="001C6D79">
            <w:pPr>
              <w:pStyle w:val="sr"/>
              <w:rPr>
                <w:lang w:eastAsia="fr-FR" w:bidi="he-IL"/>
              </w:rPr>
            </w:pPr>
            <w:r>
              <w:rPr>
                <w:lang w:eastAsia="fr-FR" w:bidi="he-IL"/>
              </w:rPr>
              <w:t>100</w:t>
            </w:r>
          </w:p>
        </w:tc>
      </w:tr>
      <w:tr w:rsidR="001C6D79" w:rsidRPr="00A574D4" w:rsidTr="00A574D4">
        <w:tc>
          <w:tcPr>
            <w:tcW w:w="1250" w:type="pct"/>
          </w:tcPr>
          <w:p w:rsidR="001C6D79" w:rsidRDefault="001C6D79" w:rsidP="001C6D79">
            <w:pPr>
              <w:pStyle w:val="sr"/>
              <w:rPr>
                <w:lang w:eastAsia="fr-FR" w:bidi="he-IL"/>
              </w:rPr>
            </w:pPr>
            <w:r w:rsidRPr="001C6D79">
              <w:rPr>
                <w:lang w:eastAsia="fr-FR" w:bidi="he-IL"/>
              </w:rPr>
              <w:t>S. Marc.</w:t>
            </w:r>
          </w:p>
        </w:tc>
        <w:tc>
          <w:tcPr>
            <w:tcW w:w="1250" w:type="pct"/>
          </w:tcPr>
          <w:p w:rsidR="001C6D79" w:rsidRDefault="001C6D79" w:rsidP="001C6D79">
            <w:pPr>
              <w:pStyle w:val="sr"/>
              <w:rPr>
                <w:lang w:eastAsia="fr-FR" w:bidi="he-IL"/>
              </w:rPr>
            </w:pPr>
            <w:r w:rsidRPr="001C6D79">
              <w:rPr>
                <w:lang w:eastAsia="fr-FR" w:bidi="he-IL"/>
              </w:rPr>
              <w:t>7·</w:t>
            </w:r>
          </w:p>
        </w:tc>
        <w:tc>
          <w:tcPr>
            <w:tcW w:w="1250" w:type="pct"/>
          </w:tcPr>
          <w:p w:rsidR="001C6D79" w:rsidRDefault="001C6D79" w:rsidP="001C6D79">
            <w:pPr>
              <w:pStyle w:val="sr"/>
              <w:rPr>
                <w:lang w:eastAsia="fr-FR" w:bidi="he-IL"/>
              </w:rPr>
            </w:pPr>
            <w:r w:rsidRPr="001C6D79">
              <w:rPr>
                <w:lang w:eastAsia="fr-FR" w:bidi="he-IL"/>
              </w:rPr>
              <w:t>93</w:t>
            </w:r>
          </w:p>
        </w:tc>
        <w:tc>
          <w:tcPr>
            <w:tcW w:w="1250" w:type="pct"/>
          </w:tcPr>
          <w:p w:rsidR="001C6D79" w:rsidRDefault="001C6D79" w:rsidP="001C6D79">
            <w:pPr>
              <w:pStyle w:val="sr"/>
              <w:rPr>
                <w:lang w:eastAsia="fr-FR" w:bidi="he-IL"/>
              </w:rPr>
            </w:pPr>
            <w:r>
              <w:rPr>
                <w:lang w:eastAsia="fr-FR" w:bidi="he-IL"/>
              </w:rPr>
              <w:t>100</w:t>
            </w:r>
          </w:p>
        </w:tc>
      </w:tr>
      <w:tr w:rsidR="001C6D79" w:rsidRPr="00A574D4" w:rsidTr="00A574D4">
        <w:tc>
          <w:tcPr>
            <w:tcW w:w="1250" w:type="pct"/>
          </w:tcPr>
          <w:p w:rsidR="001C6D79" w:rsidRDefault="001C6D79" w:rsidP="001C6D79">
            <w:pPr>
              <w:pStyle w:val="sr"/>
              <w:rPr>
                <w:lang w:eastAsia="fr-FR" w:bidi="he-IL"/>
              </w:rPr>
            </w:pPr>
            <w:r w:rsidRPr="001C6D79">
              <w:rPr>
                <w:lang w:eastAsia="fr-FR" w:bidi="he-IL"/>
              </w:rPr>
              <w:t xml:space="preserve">S. Luc </w:t>
            </w:r>
          </w:p>
        </w:tc>
        <w:tc>
          <w:tcPr>
            <w:tcW w:w="1250" w:type="pct"/>
          </w:tcPr>
          <w:p w:rsidR="001C6D79" w:rsidRDefault="001C6D79" w:rsidP="001C6D79">
            <w:pPr>
              <w:pStyle w:val="sr"/>
              <w:rPr>
                <w:lang w:eastAsia="fr-FR" w:bidi="he-IL"/>
              </w:rPr>
            </w:pPr>
            <w:r w:rsidRPr="001C6D79">
              <w:rPr>
                <w:lang w:eastAsia="fr-FR" w:bidi="he-IL"/>
              </w:rPr>
              <w:t>59</w:t>
            </w:r>
          </w:p>
        </w:tc>
        <w:tc>
          <w:tcPr>
            <w:tcW w:w="1250" w:type="pct"/>
          </w:tcPr>
          <w:p w:rsidR="001C6D79" w:rsidRDefault="001C6D79" w:rsidP="001C6D79">
            <w:pPr>
              <w:pStyle w:val="sr"/>
              <w:rPr>
                <w:lang w:eastAsia="fr-FR" w:bidi="he-IL"/>
              </w:rPr>
            </w:pPr>
            <w:r w:rsidRPr="001C6D79">
              <w:rPr>
                <w:lang w:eastAsia="fr-FR" w:bidi="he-IL"/>
              </w:rPr>
              <w:t>41</w:t>
            </w:r>
          </w:p>
        </w:tc>
        <w:tc>
          <w:tcPr>
            <w:tcW w:w="1250" w:type="pct"/>
          </w:tcPr>
          <w:p w:rsidR="001C6D79" w:rsidRDefault="001C6D79" w:rsidP="001C6D79">
            <w:pPr>
              <w:pStyle w:val="sr"/>
              <w:rPr>
                <w:lang w:eastAsia="fr-FR" w:bidi="he-IL"/>
              </w:rPr>
            </w:pPr>
            <w:r>
              <w:rPr>
                <w:lang w:eastAsia="fr-FR" w:bidi="he-IL"/>
              </w:rPr>
              <w:t>100</w:t>
            </w:r>
          </w:p>
        </w:tc>
      </w:tr>
    </w:tbl>
    <w:p w:rsidR="001C6D79" w:rsidRDefault="000819BA" w:rsidP="00C2602D">
      <w:pPr>
        <w:rPr>
          <w:rFonts w:eastAsia="Arial Unicode MS"/>
          <w:bCs/>
          <w:lang w:eastAsia="fr-FR" w:bidi="he-IL"/>
        </w:rPr>
      </w:pPr>
      <w:r>
        <w:rPr>
          <w:rFonts w:eastAsia="Arial Unicode MS"/>
          <w:bCs/>
          <w:lang w:eastAsia="fr-FR" w:bidi="he-IL"/>
        </w:rPr>
        <w:t>-</w:t>
      </w:r>
      <w:r w:rsidR="00657DEA">
        <w:rPr>
          <w:rFonts w:eastAsia="Arial Unicode MS"/>
          <w:bCs/>
          <w:lang w:eastAsia="fr-FR" w:bidi="he-IL"/>
        </w:rPr>
        <w:t>.</w:t>
      </w:r>
      <w:r>
        <w:rPr>
          <w:rFonts w:eastAsia="Arial Unicode MS"/>
          <w:bCs/>
          <w:lang w:eastAsia="fr-FR" w:bidi="he-IL"/>
        </w:rPr>
        <w:t>-</w:t>
      </w:r>
    </w:p>
    <w:p w:rsidR="00C2602D" w:rsidRPr="00C8701B" w:rsidRDefault="00B704AD" w:rsidP="001C6D79">
      <w:pPr>
        <w:rPr>
          <w:rFonts w:eastAsia="Arial Unicode MS"/>
          <w:bCs/>
          <w:lang w:eastAsia="fr-FR" w:bidi="he-IL"/>
        </w:rPr>
      </w:pP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est-à-dire que S. Matthieu a 42 passages qui lui appartiennent en propre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S. Marc</w:t>
      </w:r>
      <w:r w:rsidR="00E65435">
        <w:rPr>
          <w:rFonts w:eastAsia="Arial Unicode MS"/>
          <w:bCs/>
          <w:lang w:eastAsia="fr-FR" w:bidi="he-IL"/>
        </w:rPr>
        <w:t xml:space="preserve">, </w:t>
      </w:r>
      <w:r w:rsidRPr="00C8701B">
        <w:rPr>
          <w:rFonts w:eastAsia="Arial Unicode MS"/>
          <w:bCs/>
          <w:lang w:eastAsia="fr-FR" w:bidi="he-IL"/>
        </w:rPr>
        <w:t>seulement 7</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S. Luc 59</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tandis que S.</w:t>
      </w:r>
      <w:r w:rsidR="001C6D79">
        <w:rPr>
          <w:rFonts w:eastAsia="Arial Unicode MS"/>
          <w:bCs/>
          <w:lang w:eastAsia="fr-FR" w:bidi="he-IL"/>
        </w:rPr>
        <w:t xml:space="preserve"> </w:t>
      </w:r>
      <w:r w:rsidRPr="00C8701B">
        <w:rPr>
          <w:rFonts w:eastAsia="Arial Unicode MS"/>
          <w:bCs/>
          <w:lang w:eastAsia="fr-FR" w:bidi="he-IL"/>
        </w:rPr>
        <w:t>Matthieu se rencontre avec les deux autres synoptiques en 58 endroits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S. Marc en 93</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S. Luc en 41. De plus</w:t>
      </w:r>
      <w:r w:rsidR="00E65435">
        <w:rPr>
          <w:rFonts w:eastAsia="Arial Unicode MS"/>
          <w:bCs/>
          <w:lang w:eastAsia="fr-FR" w:bidi="he-IL"/>
        </w:rPr>
        <w:t xml:space="preserve">, </w:t>
      </w:r>
      <w:r w:rsidRPr="00C8701B">
        <w:rPr>
          <w:rFonts w:eastAsia="Arial Unicode MS"/>
          <w:bCs/>
          <w:lang w:eastAsia="fr-FR" w:bidi="he-IL"/>
        </w:rPr>
        <w:t>les passages communs aux trois évangélistes sont au nombre de 53</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les passages communs à S. Matthieu et à S. Marc au nombre de 20</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S. </w:t>
      </w:r>
      <w:r w:rsidR="00A067B1" w:rsidRPr="000716BB">
        <w:rPr>
          <w:rFonts w:eastAsia="Arial Unicode MS"/>
          <w:bCs/>
          <w:lang w:eastAsia="fr-FR" w:bidi="he-IL"/>
        </w:rPr>
        <w:t>{</w:t>
      </w:r>
      <w:r w:rsidR="00A067B1">
        <w:rPr>
          <w:rFonts w:eastAsia="Arial Unicode MS"/>
          <w:bCs/>
          <w:lang w:eastAsia="fr-FR" w:bidi="he-IL"/>
        </w:rPr>
        <w:t>38</w:t>
      </w:r>
      <w:bookmarkStart w:id="64" w:name="pag038"/>
      <w:bookmarkEnd w:id="64"/>
      <w:r w:rsidR="00A067B1" w:rsidRPr="000716BB">
        <w:rPr>
          <w:rFonts w:eastAsia="Arial Unicode MS"/>
          <w:bCs/>
          <w:lang w:eastAsia="fr-FR" w:bidi="he-IL"/>
        </w:rPr>
        <w:t xml:space="preserve">} </w:t>
      </w:r>
      <w:r w:rsidRPr="00C8701B">
        <w:rPr>
          <w:rFonts w:eastAsia="Arial Unicode MS"/>
          <w:bCs/>
          <w:lang w:eastAsia="fr-FR" w:bidi="he-IL"/>
        </w:rPr>
        <w:t>Matthieu et S. Lu</w:t>
      </w:r>
      <w:r w:rsidR="001C6D79">
        <w:rPr>
          <w:rFonts w:eastAsia="Arial Unicode MS"/>
          <w:bCs/>
          <w:lang w:eastAsia="fr-FR" w:bidi="he-IL"/>
        </w:rPr>
        <w:t xml:space="preserve">c ont 21 fragments parallèles ; </w:t>
      </w:r>
      <w:r w:rsidRPr="00C8701B">
        <w:rPr>
          <w:rFonts w:eastAsia="Arial Unicode MS"/>
          <w:bCs/>
          <w:lang w:eastAsia="fr-FR" w:bidi="he-IL"/>
        </w:rPr>
        <w:t>S. Marc et S. Luc</w:t>
      </w:r>
      <w:r w:rsidR="00E65435">
        <w:rPr>
          <w:rFonts w:eastAsia="Arial Unicode MS"/>
          <w:bCs/>
          <w:lang w:eastAsia="fr-FR" w:bidi="he-IL"/>
        </w:rPr>
        <w:t xml:space="preserve">, </w:t>
      </w:r>
      <w:r w:rsidRPr="00C8701B">
        <w:rPr>
          <w:rFonts w:eastAsia="Arial Unicode MS"/>
          <w:bCs/>
          <w:lang w:eastAsia="fr-FR" w:bidi="he-IL"/>
        </w:rPr>
        <w:t>6 seulement.</w:t>
      </w:r>
      <w:r w:rsidR="00C2602D" w:rsidRPr="00C8701B">
        <w:rPr>
          <w:rFonts w:eastAsia="Arial Unicode MS"/>
          <w:bCs/>
          <w:lang w:eastAsia="fr-FR" w:bidi="he-IL"/>
        </w:rPr>
        <w:t xml:space="preserve"> </w:t>
      </w:r>
    </w:p>
    <w:p w:rsidR="00C2602D" w:rsidRDefault="00B704AD" w:rsidP="001C6D79">
      <w:pPr>
        <w:rPr>
          <w:rFonts w:eastAsia="Arial Unicode MS"/>
          <w:bCs/>
          <w:lang w:eastAsia="fr-FR" w:bidi="he-IL"/>
        </w:rPr>
      </w:pPr>
      <w:r w:rsidRPr="00C8701B">
        <w:rPr>
          <w:rFonts w:eastAsia="Arial Unicode MS"/>
          <w:bCs/>
          <w:lang w:eastAsia="fr-FR" w:bidi="he-IL"/>
        </w:rPr>
        <w:t>Autres chiffres</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après une autre base. On partage les évangiles</w:t>
      </w:r>
      <w:r w:rsidR="00E65435">
        <w:rPr>
          <w:rFonts w:eastAsia="Arial Unicode MS"/>
          <w:bCs/>
          <w:lang w:eastAsia="fr-FR" w:bidi="he-IL"/>
        </w:rPr>
        <w:t xml:space="preserve">, </w:t>
      </w:r>
      <w:r w:rsidRPr="00C8701B">
        <w:rPr>
          <w:rFonts w:eastAsia="Arial Unicode MS"/>
          <w:bCs/>
          <w:lang w:eastAsia="fr-FR" w:bidi="he-IL"/>
        </w:rPr>
        <w:t>réunis à la façon des évangéliaires du moyen âge</w:t>
      </w:r>
      <w:r w:rsidR="00E65435">
        <w:rPr>
          <w:rFonts w:eastAsia="Arial Unicode MS"/>
          <w:bCs/>
          <w:lang w:eastAsia="fr-FR" w:bidi="he-IL"/>
        </w:rPr>
        <w:t xml:space="preserve">, </w:t>
      </w:r>
      <w:r w:rsidR="001C6D79">
        <w:rPr>
          <w:rFonts w:eastAsia="Arial Unicode MS"/>
          <w:bCs/>
          <w:lang w:eastAsia="fr-FR" w:bidi="he-IL"/>
        </w:rPr>
        <w:t>en 150 petits paragraphes et l</w:t>
      </w:r>
      <w:r w:rsidR="00557DE0">
        <w:rPr>
          <w:rFonts w:eastAsia="Arial Unicode MS"/>
          <w:bCs/>
          <w:lang w:eastAsia="fr-FR" w:bidi="he-IL"/>
        </w:rPr>
        <w:t>’</w:t>
      </w:r>
      <w:r w:rsidRPr="00C8701B">
        <w:rPr>
          <w:rFonts w:eastAsia="Arial Unicode MS"/>
          <w:bCs/>
          <w:lang w:eastAsia="fr-FR" w:bidi="he-IL"/>
        </w:rPr>
        <w:t>on trouve</w:t>
      </w:r>
      <w:r w:rsidR="00C2602D" w:rsidRPr="00C8701B">
        <w:rPr>
          <w:rFonts w:eastAsia="Arial Unicode MS"/>
          <w:bCs/>
          <w:lang w:eastAsia="fr-FR" w:bidi="he-IL"/>
        </w:rPr>
        <w:t xml:space="preserve"> : </w:t>
      </w:r>
    </w:p>
    <w:p w:rsidR="00EB06A0" w:rsidRPr="00C8701B" w:rsidRDefault="00EB06A0" w:rsidP="001C6D79">
      <w:pPr>
        <w:rPr>
          <w:rFonts w:eastAsia="Arial Unicode MS"/>
          <w:bCs/>
          <w:lang w:eastAsia="fr-FR"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410"/>
        <w:gridCol w:w="1701"/>
      </w:tblGrid>
      <w:tr w:rsidR="00EB06A0" w:rsidRPr="00A574D4" w:rsidTr="00A574D4">
        <w:tc>
          <w:tcPr>
            <w:tcW w:w="675" w:type="dxa"/>
          </w:tcPr>
          <w:p w:rsidR="00EB06A0" w:rsidRPr="00A574D4" w:rsidRDefault="00EB06A0" w:rsidP="00A574D4">
            <w:pPr>
              <w:ind w:firstLine="0"/>
              <w:rPr>
                <w:rFonts w:eastAsia="Arial Unicode MS"/>
                <w:bCs/>
                <w:lang w:eastAsia="fr-FR" w:bidi="he-IL"/>
              </w:rPr>
            </w:pPr>
            <w:r w:rsidRPr="00A574D4">
              <w:rPr>
                <w:rFonts w:eastAsia="Arial Unicode MS"/>
                <w:bCs/>
                <w:lang w:eastAsia="fr-FR" w:bidi="he-IL"/>
              </w:rPr>
              <w:t xml:space="preserve">14 </w:t>
            </w:r>
          </w:p>
        </w:tc>
        <w:tc>
          <w:tcPr>
            <w:tcW w:w="2410" w:type="dxa"/>
          </w:tcPr>
          <w:p w:rsidR="00EB06A0" w:rsidRPr="00A574D4" w:rsidRDefault="00EB06A0" w:rsidP="00A574D4">
            <w:pPr>
              <w:ind w:firstLine="0"/>
              <w:rPr>
                <w:rFonts w:eastAsia="Arial Unicode MS"/>
                <w:bCs/>
                <w:lang w:eastAsia="fr-FR" w:bidi="he-IL"/>
              </w:rPr>
            </w:pPr>
            <w:r w:rsidRPr="00A574D4">
              <w:rPr>
                <w:rFonts w:eastAsia="Arial Unicode MS"/>
                <w:bCs/>
                <w:lang w:eastAsia="fr-FR" w:bidi="he-IL"/>
              </w:rPr>
              <w:t xml:space="preserve">paragraphes propres </w:t>
            </w:r>
          </w:p>
        </w:tc>
        <w:tc>
          <w:tcPr>
            <w:tcW w:w="1701" w:type="dxa"/>
          </w:tcPr>
          <w:p w:rsidR="00EB06A0" w:rsidRPr="00A574D4" w:rsidRDefault="00EB06A0" w:rsidP="00A574D4">
            <w:pPr>
              <w:ind w:firstLine="0"/>
              <w:rPr>
                <w:rFonts w:eastAsia="Arial Unicode MS"/>
                <w:bCs/>
                <w:lang w:eastAsia="fr-FR" w:bidi="he-IL"/>
              </w:rPr>
            </w:pPr>
            <w:r w:rsidRPr="00A574D4">
              <w:rPr>
                <w:rFonts w:eastAsia="Arial Unicode MS"/>
                <w:bCs/>
                <w:lang w:eastAsia="fr-FR" w:bidi="he-IL"/>
              </w:rPr>
              <w:t xml:space="preserve">à S. Matthieu. </w:t>
            </w:r>
          </w:p>
        </w:tc>
      </w:tr>
      <w:tr w:rsidR="00EB06A0" w:rsidRPr="00A574D4" w:rsidTr="00A574D4">
        <w:tc>
          <w:tcPr>
            <w:tcW w:w="675" w:type="dxa"/>
          </w:tcPr>
          <w:p w:rsidR="00EB06A0" w:rsidRPr="00A574D4" w:rsidRDefault="00EB06A0" w:rsidP="00A574D4">
            <w:pPr>
              <w:ind w:firstLine="0"/>
              <w:rPr>
                <w:rFonts w:eastAsia="Arial Unicode MS"/>
                <w:bCs/>
                <w:lang w:eastAsia="fr-FR" w:bidi="he-IL"/>
              </w:rPr>
            </w:pPr>
            <w:r w:rsidRPr="00A574D4">
              <w:rPr>
                <w:rFonts w:eastAsia="Arial Unicode MS"/>
                <w:bCs/>
                <w:lang w:eastAsia="fr-FR" w:bidi="he-IL"/>
              </w:rPr>
              <w:t xml:space="preserve">2 </w:t>
            </w:r>
          </w:p>
        </w:tc>
        <w:tc>
          <w:tcPr>
            <w:tcW w:w="2410" w:type="dxa"/>
          </w:tcPr>
          <w:p w:rsidR="00EB06A0" w:rsidRPr="00EB06A0" w:rsidRDefault="00EB06A0" w:rsidP="00B93B92">
            <w:pPr>
              <w:pStyle w:val="centrum"/>
              <w:rPr>
                <w:lang w:bidi="he-IL"/>
              </w:rPr>
            </w:pPr>
            <w:r w:rsidRPr="00EB06A0">
              <w:rPr>
                <w:lang w:bidi="he-IL"/>
              </w:rPr>
              <w:t xml:space="preserve">— </w:t>
            </w:r>
          </w:p>
        </w:tc>
        <w:tc>
          <w:tcPr>
            <w:tcW w:w="1701" w:type="dxa"/>
          </w:tcPr>
          <w:p w:rsidR="00EB06A0" w:rsidRPr="00A574D4" w:rsidRDefault="00EB06A0" w:rsidP="00A574D4">
            <w:pPr>
              <w:ind w:firstLine="0"/>
              <w:rPr>
                <w:rFonts w:eastAsia="Arial Unicode MS"/>
                <w:bCs/>
                <w:lang w:eastAsia="fr-FR" w:bidi="he-IL"/>
              </w:rPr>
            </w:pPr>
            <w:r w:rsidRPr="00A574D4">
              <w:rPr>
                <w:rFonts w:eastAsia="Arial Unicode MS"/>
                <w:bCs/>
                <w:lang w:eastAsia="fr-FR" w:bidi="he-IL"/>
              </w:rPr>
              <w:t xml:space="preserve">à S. Marc. </w:t>
            </w:r>
          </w:p>
        </w:tc>
      </w:tr>
      <w:tr w:rsidR="00EB06A0" w:rsidRPr="00A574D4" w:rsidTr="00A574D4">
        <w:tc>
          <w:tcPr>
            <w:tcW w:w="675" w:type="dxa"/>
          </w:tcPr>
          <w:p w:rsidR="00EB06A0" w:rsidRPr="00A574D4" w:rsidRDefault="00EB06A0" w:rsidP="00A574D4">
            <w:pPr>
              <w:ind w:firstLine="0"/>
              <w:rPr>
                <w:rFonts w:eastAsia="Arial Unicode MS"/>
                <w:bCs/>
                <w:lang w:eastAsia="fr-FR" w:bidi="he-IL"/>
              </w:rPr>
            </w:pPr>
            <w:r w:rsidRPr="00A574D4">
              <w:rPr>
                <w:rFonts w:eastAsia="Arial Unicode MS"/>
                <w:bCs/>
                <w:lang w:eastAsia="fr-FR" w:bidi="he-IL"/>
              </w:rPr>
              <w:t xml:space="preserve">37 </w:t>
            </w:r>
          </w:p>
        </w:tc>
        <w:tc>
          <w:tcPr>
            <w:tcW w:w="2410" w:type="dxa"/>
          </w:tcPr>
          <w:p w:rsidR="00EB06A0" w:rsidRPr="00EB06A0" w:rsidRDefault="00EB06A0" w:rsidP="00B93B92">
            <w:pPr>
              <w:pStyle w:val="centrum"/>
              <w:rPr>
                <w:lang w:bidi="he-IL"/>
              </w:rPr>
            </w:pPr>
            <w:r w:rsidRPr="00EB06A0">
              <w:rPr>
                <w:lang w:bidi="he-IL"/>
              </w:rPr>
              <w:t xml:space="preserve">— </w:t>
            </w:r>
          </w:p>
        </w:tc>
        <w:tc>
          <w:tcPr>
            <w:tcW w:w="1701" w:type="dxa"/>
          </w:tcPr>
          <w:p w:rsidR="00EB06A0" w:rsidRPr="00A574D4" w:rsidRDefault="00EB06A0" w:rsidP="00A574D4">
            <w:pPr>
              <w:ind w:firstLine="0"/>
              <w:rPr>
                <w:rFonts w:eastAsia="Arial Unicode MS"/>
                <w:bCs/>
                <w:lang w:eastAsia="fr-FR" w:bidi="he-IL"/>
              </w:rPr>
            </w:pPr>
            <w:r w:rsidRPr="00A574D4">
              <w:rPr>
                <w:rFonts w:eastAsia="Arial Unicode MS"/>
                <w:bCs/>
                <w:lang w:eastAsia="fr-FR" w:bidi="he-IL"/>
              </w:rPr>
              <w:t xml:space="preserve">à S. Luc. </w:t>
            </w:r>
          </w:p>
        </w:tc>
      </w:tr>
    </w:tbl>
    <w:p w:rsidR="001C6D79" w:rsidRPr="00C8701B" w:rsidRDefault="001C6D79" w:rsidP="00C2602D">
      <w:pPr>
        <w:rPr>
          <w:rFonts w:eastAsia="Arial Unicode MS"/>
          <w:bCs/>
          <w:lang w:eastAsia="fr-FR"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694"/>
        <w:gridCol w:w="2889"/>
      </w:tblGrid>
      <w:tr w:rsidR="00EB06A0" w:rsidRPr="00A574D4" w:rsidTr="00A574D4">
        <w:tc>
          <w:tcPr>
            <w:tcW w:w="675" w:type="dxa"/>
          </w:tcPr>
          <w:p w:rsidR="00EB06A0" w:rsidRPr="00A574D4" w:rsidRDefault="00EB06A0" w:rsidP="00A574D4">
            <w:pPr>
              <w:ind w:firstLine="0"/>
              <w:rPr>
                <w:rFonts w:eastAsia="Arial Unicode MS"/>
                <w:bCs/>
                <w:lang w:eastAsia="fr-FR" w:bidi="he-IL"/>
              </w:rPr>
            </w:pPr>
            <w:r w:rsidRPr="00A574D4">
              <w:rPr>
                <w:rFonts w:eastAsia="Arial Unicode MS"/>
                <w:bCs/>
                <w:lang w:eastAsia="fr-FR" w:bidi="he-IL"/>
              </w:rPr>
              <w:t xml:space="preserve">65 </w:t>
            </w:r>
          </w:p>
        </w:tc>
        <w:tc>
          <w:tcPr>
            <w:tcW w:w="2694" w:type="dxa"/>
          </w:tcPr>
          <w:p w:rsidR="00EB06A0" w:rsidRPr="00A574D4" w:rsidRDefault="00EB06A0" w:rsidP="00A574D4">
            <w:pPr>
              <w:ind w:firstLine="0"/>
              <w:rPr>
                <w:rFonts w:eastAsia="Arial Unicode MS"/>
                <w:bCs/>
                <w:lang w:eastAsia="fr-FR" w:bidi="he-IL"/>
              </w:rPr>
            </w:pPr>
            <w:r w:rsidRPr="00A574D4">
              <w:rPr>
                <w:rFonts w:eastAsia="Arial Unicode MS"/>
                <w:bCs/>
                <w:lang w:eastAsia="fr-FR" w:bidi="he-IL"/>
              </w:rPr>
              <w:t xml:space="preserve">paragraphes communs </w:t>
            </w:r>
          </w:p>
        </w:tc>
        <w:tc>
          <w:tcPr>
            <w:tcW w:w="0" w:type="auto"/>
          </w:tcPr>
          <w:p w:rsidR="00EB06A0" w:rsidRPr="00A574D4" w:rsidRDefault="00EB06A0" w:rsidP="00A574D4">
            <w:pPr>
              <w:ind w:firstLine="0"/>
              <w:rPr>
                <w:rFonts w:eastAsia="Arial Unicode MS"/>
                <w:bCs/>
                <w:lang w:eastAsia="fr-FR" w:bidi="he-IL"/>
              </w:rPr>
            </w:pPr>
            <w:r w:rsidRPr="00A574D4">
              <w:rPr>
                <w:rFonts w:eastAsia="Arial Unicode MS"/>
                <w:bCs/>
                <w:lang w:eastAsia="fr-FR" w:bidi="he-IL"/>
              </w:rPr>
              <w:t xml:space="preserve">à nos trois évangélistes. </w:t>
            </w:r>
          </w:p>
        </w:tc>
      </w:tr>
      <w:tr w:rsidR="00EB06A0" w:rsidRPr="00A574D4" w:rsidTr="00A574D4">
        <w:tc>
          <w:tcPr>
            <w:tcW w:w="675" w:type="dxa"/>
          </w:tcPr>
          <w:p w:rsidR="00EB06A0" w:rsidRPr="00A574D4" w:rsidRDefault="00EB06A0" w:rsidP="00A574D4">
            <w:pPr>
              <w:ind w:firstLine="0"/>
              <w:rPr>
                <w:rFonts w:eastAsia="Arial Unicode MS"/>
                <w:lang w:eastAsia="fr-FR" w:bidi="he-IL"/>
              </w:rPr>
            </w:pPr>
            <w:r w:rsidRPr="00A574D4">
              <w:rPr>
                <w:rFonts w:eastAsia="Arial Unicode MS"/>
                <w:lang w:eastAsia="fr-FR" w:bidi="he-IL"/>
              </w:rPr>
              <w:t xml:space="preserve">15 </w:t>
            </w:r>
          </w:p>
        </w:tc>
        <w:tc>
          <w:tcPr>
            <w:tcW w:w="2694" w:type="dxa"/>
          </w:tcPr>
          <w:p w:rsidR="00EB06A0" w:rsidRPr="00A574D4" w:rsidRDefault="00EB06A0" w:rsidP="00B93B92">
            <w:pPr>
              <w:pStyle w:val="centrum"/>
              <w:rPr>
                <w:lang w:bidi="he-IL"/>
              </w:rPr>
            </w:pPr>
            <w:r w:rsidRPr="00EB06A0">
              <w:rPr>
                <w:lang w:bidi="he-IL"/>
              </w:rPr>
              <w:t>— —</w:t>
            </w:r>
            <w:r w:rsidRPr="00A574D4">
              <w:rPr>
                <w:bCs/>
                <w:lang w:bidi="he-IL"/>
              </w:rPr>
              <w:t xml:space="preserve"> </w:t>
            </w:r>
          </w:p>
        </w:tc>
        <w:tc>
          <w:tcPr>
            <w:tcW w:w="0" w:type="auto"/>
          </w:tcPr>
          <w:p w:rsidR="00EB06A0" w:rsidRPr="00A574D4" w:rsidRDefault="00EB06A0" w:rsidP="00A574D4">
            <w:pPr>
              <w:ind w:firstLine="0"/>
              <w:rPr>
                <w:rFonts w:eastAsia="Arial Unicode MS"/>
                <w:bCs/>
                <w:lang w:eastAsia="fr-FR" w:bidi="he-IL"/>
              </w:rPr>
            </w:pPr>
            <w:r w:rsidRPr="00A574D4">
              <w:rPr>
                <w:rFonts w:eastAsia="Arial Unicode MS"/>
                <w:bCs/>
                <w:lang w:eastAsia="fr-FR" w:bidi="he-IL"/>
              </w:rPr>
              <w:t xml:space="preserve">à S. Matthieu et à S. Marc. </w:t>
            </w:r>
          </w:p>
        </w:tc>
      </w:tr>
      <w:tr w:rsidR="00EB06A0" w:rsidRPr="00A574D4" w:rsidTr="00A574D4">
        <w:tc>
          <w:tcPr>
            <w:tcW w:w="675" w:type="dxa"/>
          </w:tcPr>
          <w:p w:rsidR="00EB06A0" w:rsidRPr="00A574D4" w:rsidRDefault="00EB06A0" w:rsidP="00A574D4">
            <w:pPr>
              <w:ind w:firstLine="0"/>
              <w:rPr>
                <w:rFonts w:eastAsia="Arial Unicode MS"/>
                <w:bCs/>
                <w:lang w:eastAsia="fr-FR" w:bidi="he-IL"/>
              </w:rPr>
            </w:pPr>
            <w:r w:rsidRPr="00EB06A0">
              <w:t>12</w:t>
            </w:r>
            <w:r w:rsidRPr="00A574D4">
              <w:rPr>
                <w:rFonts w:eastAsia="Arial Unicode MS"/>
                <w:bCs/>
                <w:lang w:eastAsia="fr-FR" w:bidi="he-IL"/>
              </w:rPr>
              <w:t xml:space="preserve"> </w:t>
            </w:r>
          </w:p>
        </w:tc>
        <w:tc>
          <w:tcPr>
            <w:tcW w:w="2694" w:type="dxa"/>
          </w:tcPr>
          <w:p w:rsidR="00EB06A0" w:rsidRPr="00A574D4" w:rsidRDefault="00EB06A0" w:rsidP="00B93B92">
            <w:pPr>
              <w:pStyle w:val="centrum"/>
              <w:rPr>
                <w:lang w:bidi="he-IL"/>
              </w:rPr>
            </w:pPr>
            <w:r w:rsidRPr="00A574D4">
              <w:rPr>
                <w:bCs/>
                <w:lang w:bidi="he-IL"/>
              </w:rPr>
              <w:t>—</w:t>
            </w:r>
            <w:r w:rsidR="005726A8">
              <w:rPr>
                <w:bCs/>
                <w:lang w:bidi="he-IL"/>
              </w:rPr>
              <w:t xml:space="preserve"> </w:t>
            </w:r>
            <w:r w:rsidRPr="00A574D4">
              <w:rPr>
                <w:bCs/>
                <w:lang w:bidi="he-IL"/>
              </w:rPr>
              <w:t xml:space="preserve">— </w:t>
            </w:r>
          </w:p>
        </w:tc>
        <w:tc>
          <w:tcPr>
            <w:tcW w:w="0" w:type="auto"/>
          </w:tcPr>
          <w:p w:rsidR="00EB06A0" w:rsidRPr="00A574D4" w:rsidRDefault="00EB06A0" w:rsidP="00A574D4">
            <w:pPr>
              <w:ind w:firstLine="0"/>
              <w:rPr>
                <w:rFonts w:eastAsia="Arial Unicode MS"/>
                <w:bCs/>
                <w:lang w:eastAsia="fr-FR" w:bidi="he-IL"/>
              </w:rPr>
            </w:pPr>
            <w:r w:rsidRPr="00A574D4">
              <w:rPr>
                <w:rFonts w:eastAsia="Arial Unicode MS"/>
                <w:bCs/>
                <w:lang w:eastAsia="fr-FR" w:bidi="he-IL"/>
              </w:rPr>
              <w:t xml:space="preserve">à S. Matthieu et à S. Luc. </w:t>
            </w:r>
          </w:p>
        </w:tc>
      </w:tr>
      <w:tr w:rsidR="00EB06A0" w:rsidRPr="00A574D4" w:rsidTr="00A574D4">
        <w:tc>
          <w:tcPr>
            <w:tcW w:w="675" w:type="dxa"/>
          </w:tcPr>
          <w:p w:rsidR="00EB06A0" w:rsidRPr="00A574D4" w:rsidRDefault="00EB06A0" w:rsidP="00A574D4">
            <w:pPr>
              <w:ind w:firstLine="0"/>
              <w:rPr>
                <w:rFonts w:eastAsia="Arial Unicode MS"/>
                <w:bCs/>
                <w:lang w:eastAsia="fr-FR" w:bidi="he-IL"/>
              </w:rPr>
            </w:pPr>
            <w:r w:rsidRPr="00A574D4">
              <w:rPr>
                <w:rFonts w:eastAsia="Arial Unicode MS"/>
                <w:bCs/>
                <w:lang w:eastAsia="fr-FR" w:bidi="he-IL"/>
              </w:rPr>
              <w:t xml:space="preserve">5 </w:t>
            </w:r>
          </w:p>
        </w:tc>
        <w:tc>
          <w:tcPr>
            <w:tcW w:w="2694" w:type="dxa"/>
          </w:tcPr>
          <w:p w:rsidR="00EB06A0" w:rsidRPr="00A574D4" w:rsidRDefault="00EB06A0" w:rsidP="00B93B92">
            <w:pPr>
              <w:pStyle w:val="centrum"/>
              <w:rPr>
                <w:lang w:bidi="he-IL"/>
              </w:rPr>
            </w:pPr>
            <w:r w:rsidRPr="00A574D4">
              <w:rPr>
                <w:bCs/>
                <w:lang w:bidi="he-IL"/>
              </w:rPr>
              <w:t>—</w:t>
            </w:r>
            <w:r w:rsidR="005726A8">
              <w:rPr>
                <w:bCs/>
                <w:lang w:bidi="he-IL"/>
              </w:rPr>
              <w:t xml:space="preserve"> </w:t>
            </w:r>
            <w:r w:rsidRPr="00A574D4">
              <w:rPr>
                <w:bCs/>
                <w:lang w:bidi="he-IL"/>
              </w:rPr>
              <w:t xml:space="preserve">— </w:t>
            </w:r>
          </w:p>
        </w:tc>
        <w:tc>
          <w:tcPr>
            <w:tcW w:w="0" w:type="auto"/>
          </w:tcPr>
          <w:p w:rsidR="00EB06A0" w:rsidRPr="00A574D4" w:rsidRDefault="00EB06A0" w:rsidP="00A574D4">
            <w:pPr>
              <w:ind w:firstLine="0"/>
              <w:rPr>
                <w:rFonts w:eastAsia="Arial Unicode MS"/>
                <w:bCs/>
                <w:lang w:eastAsia="fr-FR" w:bidi="he-IL"/>
              </w:rPr>
            </w:pPr>
            <w:r w:rsidRPr="00A574D4">
              <w:rPr>
                <w:rFonts w:eastAsia="Arial Unicode MS"/>
                <w:bCs/>
                <w:lang w:eastAsia="fr-FR" w:bidi="he-IL"/>
              </w:rPr>
              <w:t xml:space="preserve">à S. Marc et à S. Luc. </w:t>
            </w:r>
          </w:p>
        </w:tc>
      </w:tr>
    </w:tbl>
    <w:p w:rsidR="00EB06A0" w:rsidRDefault="00EB06A0" w:rsidP="00C2602D">
      <w:pPr>
        <w:rPr>
          <w:rFonts w:eastAsia="Arial Unicode MS"/>
          <w:bCs/>
          <w:lang w:eastAsia="fr-FR" w:bidi="he-IL"/>
        </w:rPr>
      </w:pPr>
    </w:p>
    <w:p w:rsidR="00C2602D" w:rsidRDefault="00B704AD" w:rsidP="00C2602D">
      <w:pPr>
        <w:rPr>
          <w:rFonts w:eastAsia="Arial Unicode MS"/>
          <w:bCs/>
          <w:lang w:eastAsia="fr-FR" w:bidi="he-IL"/>
        </w:rPr>
      </w:pPr>
      <w:r w:rsidRPr="00C8701B">
        <w:rPr>
          <w:rFonts w:eastAsia="Arial Unicode MS"/>
          <w:bCs/>
          <w:lang w:eastAsia="fr-FR" w:bidi="he-IL"/>
        </w:rPr>
        <w:t>En divisant en 124 sections les récits combinés des synoptiques M. Reuss est arrivé</w:t>
      </w:r>
      <w:r w:rsidR="00E65435">
        <w:rPr>
          <w:rFonts w:eastAsia="Arial Unicode MS"/>
          <w:bCs/>
          <w:lang w:eastAsia="fr-FR" w:bidi="he-IL"/>
        </w:rPr>
        <w:t xml:space="preserve">, </w:t>
      </w:r>
      <w:r w:rsidRPr="00C8701B">
        <w:rPr>
          <w:rFonts w:eastAsia="Arial Unicode MS"/>
          <w:bCs/>
          <w:lang w:eastAsia="fr-FR" w:bidi="he-IL"/>
        </w:rPr>
        <w:t>de son côté</w:t>
      </w:r>
      <w:r w:rsidR="00E65435">
        <w:rPr>
          <w:rFonts w:eastAsia="Arial Unicode MS"/>
          <w:bCs/>
          <w:lang w:eastAsia="fr-FR" w:bidi="he-IL"/>
        </w:rPr>
        <w:t xml:space="preserve">, </w:t>
      </w:r>
      <w:r w:rsidRPr="00C8701B">
        <w:rPr>
          <w:rFonts w:eastAsia="Arial Unicode MS"/>
          <w:bCs/>
          <w:lang w:eastAsia="fr-FR" w:bidi="he-IL"/>
        </w:rPr>
        <w:t>aux résultats suivants</w:t>
      </w:r>
      <w:r w:rsidR="00933C60" w:rsidRPr="00C406FF">
        <w:rPr>
          <w:rStyle w:val="Appelnotedebasdep"/>
        </w:rPr>
        <w:footnoteReference w:id="182"/>
      </w:r>
      <w:r w:rsidR="00C2602D" w:rsidRPr="00C8701B">
        <w:rPr>
          <w:rFonts w:eastAsia="Arial Unicode MS"/>
          <w:bCs/>
          <w:lang w:eastAsia="fr-FR" w:bidi="he-IL"/>
        </w:rPr>
        <w:t xml:space="preserve"> : </w:t>
      </w:r>
    </w:p>
    <w:p w:rsidR="00EB06A0" w:rsidRPr="00C8701B" w:rsidRDefault="00EB06A0" w:rsidP="00C2602D">
      <w:pPr>
        <w:rPr>
          <w:rFonts w:eastAsia="Arial Unicode MS"/>
          <w:bCs/>
          <w:lang w:eastAsia="fr-FR"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889"/>
        <w:gridCol w:w="655"/>
      </w:tblGrid>
      <w:tr w:rsidR="00EB06A0" w:rsidRPr="00A574D4" w:rsidTr="00A574D4">
        <w:tc>
          <w:tcPr>
            <w:tcW w:w="3227" w:type="dxa"/>
          </w:tcPr>
          <w:p w:rsidR="00EB06A0" w:rsidRPr="00A574D4" w:rsidRDefault="00EB06A0" w:rsidP="00A574D4">
            <w:pPr>
              <w:ind w:firstLine="0"/>
              <w:rPr>
                <w:rFonts w:eastAsia="Arial Unicode MS"/>
                <w:bCs/>
                <w:lang w:eastAsia="fr-FR" w:bidi="he-IL"/>
              </w:rPr>
            </w:pPr>
            <w:r w:rsidRPr="00A574D4">
              <w:rPr>
                <w:rFonts w:eastAsia="Arial Unicode MS"/>
                <w:bCs/>
                <w:lang w:eastAsia="fr-FR" w:bidi="he-IL"/>
              </w:rPr>
              <w:t xml:space="preserve">Sections propres </w:t>
            </w:r>
          </w:p>
        </w:tc>
        <w:tc>
          <w:tcPr>
            <w:tcW w:w="0" w:type="auto"/>
          </w:tcPr>
          <w:p w:rsidR="00EB06A0" w:rsidRPr="00A574D4" w:rsidRDefault="00EB06A0" w:rsidP="00A574D4">
            <w:pPr>
              <w:ind w:firstLine="0"/>
              <w:rPr>
                <w:rFonts w:eastAsia="Arial Unicode MS"/>
                <w:bCs/>
                <w:lang w:eastAsia="fr-FR" w:bidi="he-IL"/>
              </w:rPr>
            </w:pPr>
            <w:r w:rsidRPr="00A574D4">
              <w:rPr>
                <w:rFonts w:eastAsia="Arial Unicode MS"/>
                <w:bCs/>
                <w:lang w:eastAsia="fr-FR" w:bidi="he-IL"/>
              </w:rPr>
              <w:t xml:space="preserve">à S. Matthieu </w:t>
            </w:r>
          </w:p>
        </w:tc>
        <w:tc>
          <w:tcPr>
            <w:tcW w:w="655" w:type="dxa"/>
          </w:tcPr>
          <w:p w:rsidR="00EB06A0" w:rsidRPr="00A574D4" w:rsidRDefault="00EB06A0" w:rsidP="00A574D4">
            <w:pPr>
              <w:ind w:firstLine="0"/>
              <w:rPr>
                <w:rFonts w:eastAsia="Arial Unicode MS"/>
                <w:bCs/>
                <w:lang w:eastAsia="fr-FR" w:bidi="he-IL"/>
              </w:rPr>
            </w:pPr>
            <w:r w:rsidRPr="00A574D4">
              <w:rPr>
                <w:rFonts w:eastAsia="Arial Unicode MS"/>
                <w:bCs/>
                <w:lang w:eastAsia="fr-FR" w:bidi="he-IL"/>
              </w:rPr>
              <w:t xml:space="preserve">17 </w:t>
            </w:r>
          </w:p>
        </w:tc>
      </w:tr>
      <w:tr w:rsidR="00EB06A0" w:rsidRPr="00A574D4" w:rsidTr="00A574D4">
        <w:tc>
          <w:tcPr>
            <w:tcW w:w="3227" w:type="dxa"/>
          </w:tcPr>
          <w:p w:rsidR="00EB06A0" w:rsidRPr="00EB06A0" w:rsidRDefault="00EB06A0" w:rsidP="00B93B92">
            <w:pPr>
              <w:pStyle w:val="centrum"/>
              <w:rPr>
                <w:lang w:bidi="he-IL"/>
              </w:rPr>
            </w:pPr>
            <w:r w:rsidRPr="00EB06A0">
              <w:rPr>
                <w:lang w:bidi="he-IL"/>
              </w:rPr>
              <w:t xml:space="preserve"> — </w:t>
            </w:r>
          </w:p>
        </w:tc>
        <w:tc>
          <w:tcPr>
            <w:tcW w:w="0" w:type="auto"/>
          </w:tcPr>
          <w:p w:rsidR="00EB06A0" w:rsidRPr="00A574D4" w:rsidRDefault="00EB06A0" w:rsidP="00A574D4">
            <w:pPr>
              <w:ind w:firstLine="0"/>
              <w:rPr>
                <w:rFonts w:eastAsia="Arial Unicode MS"/>
                <w:bCs/>
                <w:lang w:eastAsia="fr-FR" w:bidi="he-IL"/>
              </w:rPr>
            </w:pPr>
            <w:r w:rsidRPr="00A574D4">
              <w:rPr>
                <w:rFonts w:eastAsia="Arial Unicode MS"/>
                <w:bCs/>
                <w:lang w:eastAsia="fr-FR" w:bidi="he-IL"/>
              </w:rPr>
              <w:t xml:space="preserve">à S. Marc </w:t>
            </w:r>
          </w:p>
        </w:tc>
        <w:tc>
          <w:tcPr>
            <w:tcW w:w="655" w:type="dxa"/>
          </w:tcPr>
          <w:p w:rsidR="00EB06A0" w:rsidRPr="00A574D4" w:rsidRDefault="00EB06A0" w:rsidP="00A574D4">
            <w:pPr>
              <w:ind w:firstLine="0"/>
              <w:rPr>
                <w:rFonts w:eastAsia="Arial Unicode MS"/>
                <w:bCs/>
                <w:lang w:eastAsia="fr-FR" w:bidi="he-IL"/>
              </w:rPr>
            </w:pPr>
            <w:r w:rsidRPr="00A574D4">
              <w:rPr>
                <w:rFonts w:eastAsia="Arial Unicode MS"/>
                <w:bCs/>
                <w:lang w:eastAsia="fr-FR" w:bidi="he-IL"/>
              </w:rPr>
              <w:t xml:space="preserve">2 </w:t>
            </w:r>
          </w:p>
        </w:tc>
      </w:tr>
      <w:tr w:rsidR="00EB06A0" w:rsidRPr="00A574D4" w:rsidTr="00A574D4">
        <w:tc>
          <w:tcPr>
            <w:tcW w:w="3227" w:type="dxa"/>
          </w:tcPr>
          <w:p w:rsidR="00EB06A0" w:rsidRPr="00A574D4" w:rsidRDefault="00EB06A0" w:rsidP="00B93B92">
            <w:pPr>
              <w:pStyle w:val="centrum"/>
              <w:rPr>
                <w:lang w:bidi="he-IL"/>
              </w:rPr>
            </w:pPr>
            <w:r w:rsidRPr="00A574D4">
              <w:rPr>
                <w:bCs/>
                <w:lang w:bidi="he-IL"/>
              </w:rPr>
              <w:t xml:space="preserve"> — </w:t>
            </w:r>
          </w:p>
        </w:tc>
        <w:tc>
          <w:tcPr>
            <w:tcW w:w="0" w:type="auto"/>
          </w:tcPr>
          <w:p w:rsidR="00EB06A0" w:rsidRPr="00A574D4" w:rsidRDefault="00EB06A0" w:rsidP="00A574D4">
            <w:pPr>
              <w:ind w:firstLine="0"/>
              <w:rPr>
                <w:rFonts w:eastAsia="Arial Unicode MS"/>
                <w:bCs/>
                <w:lang w:eastAsia="fr-FR" w:bidi="he-IL"/>
              </w:rPr>
            </w:pPr>
            <w:r w:rsidRPr="00A574D4">
              <w:rPr>
                <w:rFonts w:eastAsia="Arial Unicode MS"/>
                <w:bCs/>
                <w:lang w:eastAsia="fr-FR" w:bidi="he-IL"/>
              </w:rPr>
              <w:t>à S. Luc</w:t>
            </w:r>
          </w:p>
        </w:tc>
        <w:tc>
          <w:tcPr>
            <w:tcW w:w="655" w:type="dxa"/>
          </w:tcPr>
          <w:p w:rsidR="00EB06A0" w:rsidRPr="00A574D4" w:rsidRDefault="00EB06A0" w:rsidP="00A574D4">
            <w:pPr>
              <w:ind w:firstLine="0"/>
              <w:rPr>
                <w:rFonts w:eastAsia="Arial Unicode MS"/>
                <w:bCs/>
                <w:lang w:eastAsia="fr-FR" w:bidi="he-IL"/>
              </w:rPr>
            </w:pPr>
            <w:r w:rsidRPr="00A574D4">
              <w:rPr>
                <w:rFonts w:eastAsia="Arial Unicode MS"/>
                <w:bCs/>
                <w:lang w:eastAsia="fr-FR" w:bidi="he-IL"/>
              </w:rPr>
              <w:t xml:space="preserve">38 </w:t>
            </w:r>
          </w:p>
        </w:tc>
      </w:tr>
      <w:tr w:rsidR="00EB06A0" w:rsidRPr="00A574D4" w:rsidTr="00A574D4">
        <w:tc>
          <w:tcPr>
            <w:tcW w:w="3227" w:type="dxa"/>
          </w:tcPr>
          <w:p w:rsidR="00EB06A0" w:rsidRPr="00A574D4" w:rsidRDefault="00EB06A0" w:rsidP="00A574D4">
            <w:pPr>
              <w:ind w:firstLine="0"/>
              <w:rPr>
                <w:rFonts w:eastAsia="Arial Unicode MS"/>
                <w:bCs/>
                <w:lang w:eastAsia="fr-FR" w:bidi="he-IL"/>
              </w:rPr>
            </w:pPr>
            <w:r w:rsidRPr="00A574D4">
              <w:rPr>
                <w:rFonts w:eastAsia="Arial Unicode MS"/>
                <w:bCs/>
                <w:lang w:eastAsia="fr-FR" w:bidi="he-IL"/>
              </w:rPr>
              <w:t xml:space="preserve">sections communes </w:t>
            </w:r>
          </w:p>
        </w:tc>
        <w:tc>
          <w:tcPr>
            <w:tcW w:w="0" w:type="auto"/>
          </w:tcPr>
          <w:p w:rsidR="00EB06A0" w:rsidRPr="00A574D4" w:rsidRDefault="00EB06A0" w:rsidP="00A574D4">
            <w:pPr>
              <w:ind w:firstLine="0"/>
              <w:rPr>
                <w:rFonts w:eastAsia="Arial Unicode MS"/>
                <w:bCs/>
                <w:lang w:eastAsia="fr-FR" w:bidi="he-IL"/>
              </w:rPr>
            </w:pPr>
            <w:r w:rsidRPr="00A574D4">
              <w:rPr>
                <w:rFonts w:eastAsia="Arial Unicode MS"/>
                <w:bCs/>
                <w:lang w:eastAsia="fr-FR" w:bidi="he-IL"/>
              </w:rPr>
              <w:t xml:space="preserve">aux trois synoptiques </w:t>
            </w:r>
          </w:p>
        </w:tc>
        <w:tc>
          <w:tcPr>
            <w:tcW w:w="655" w:type="dxa"/>
          </w:tcPr>
          <w:p w:rsidR="00EB06A0" w:rsidRPr="00A574D4" w:rsidRDefault="00EB06A0" w:rsidP="00A574D4">
            <w:pPr>
              <w:ind w:firstLine="0"/>
              <w:rPr>
                <w:rFonts w:eastAsia="Arial Unicode MS"/>
                <w:bCs/>
                <w:lang w:eastAsia="fr-FR" w:bidi="he-IL"/>
              </w:rPr>
            </w:pPr>
            <w:r w:rsidRPr="00A574D4">
              <w:rPr>
                <w:rFonts w:eastAsia="Arial Unicode MS"/>
                <w:bCs/>
                <w:lang w:eastAsia="fr-FR" w:bidi="he-IL"/>
              </w:rPr>
              <w:t xml:space="preserve">47 </w:t>
            </w:r>
          </w:p>
        </w:tc>
      </w:tr>
      <w:tr w:rsidR="00EB06A0" w:rsidRPr="00A574D4" w:rsidTr="00A574D4">
        <w:tc>
          <w:tcPr>
            <w:tcW w:w="3227" w:type="dxa"/>
          </w:tcPr>
          <w:p w:rsidR="00EB06A0" w:rsidRPr="00EB06A0" w:rsidRDefault="00EB06A0" w:rsidP="00B93B92">
            <w:pPr>
              <w:pStyle w:val="centrum"/>
              <w:rPr>
                <w:lang w:bidi="he-IL"/>
              </w:rPr>
            </w:pPr>
            <w:r w:rsidRPr="00EB06A0">
              <w:rPr>
                <w:lang w:bidi="he-IL"/>
              </w:rPr>
              <w:t xml:space="preserve"> — </w:t>
            </w:r>
          </w:p>
        </w:tc>
        <w:tc>
          <w:tcPr>
            <w:tcW w:w="0" w:type="auto"/>
          </w:tcPr>
          <w:p w:rsidR="00EB06A0" w:rsidRPr="00A574D4" w:rsidRDefault="00EB06A0" w:rsidP="00A574D4">
            <w:pPr>
              <w:ind w:firstLine="0"/>
              <w:rPr>
                <w:rFonts w:eastAsia="Arial Unicode MS"/>
                <w:bCs/>
                <w:lang w:eastAsia="fr-FR" w:bidi="he-IL"/>
              </w:rPr>
            </w:pPr>
            <w:r w:rsidRPr="00A574D4">
              <w:rPr>
                <w:rFonts w:eastAsia="Arial Unicode MS"/>
                <w:bCs/>
                <w:lang w:eastAsia="fr-FR" w:bidi="he-IL"/>
              </w:rPr>
              <w:t xml:space="preserve">à S. Matthieu et à S. Marc. </w:t>
            </w:r>
          </w:p>
        </w:tc>
        <w:tc>
          <w:tcPr>
            <w:tcW w:w="655" w:type="dxa"/>
          </w:tcPr>
          <w:p w:rsidR="00EB06A0" w:rsidRPr="00A574D4" w:rsidRDefault="00EB06A0" w:rsidP="00A574D4">
            <w:pPr>
              <w:ind w:firstLine="0"/>
              <w:rPr>
                <w:rFonts w:eastAsia="Arial Unicode MS"/>
                <w:bCs/>
                <w:lang w:eastAsia="fr-FR" w:bidi="he-IL"/>
              </w:rPr>
            </w:pPr>
            <w:r w:rsidRPr="00A574D4">
              <w:rPr>
                <w:rFonts w:eastAsia="Arial Unicode MS"/>
                <w:bCs/>
                <w:lang w:eastAsia="fr-FR" w:bidi="he-IL"/>
              </w:rPr>
              <w:t xml:space="preserve">12 </w:t>
            </w:r>
          </w:p>
        </w:tc>
      </w:tr>
      <w:tr w:rsidR="00EB06A0" w:rsidRPr="00A574D4" w:rsidTr="00A574D4">
        <w:tc>
          <w:tcPr>
            <w:tcW w:w="3227" w:type="dxa"/>
          </w:tcPr>
          <w:p w:rsidR="00EB06A0" w:rsidRPr="00EB06A0" w:rsidRDefault="00EB06A0" w:rsidP="00B93B92">
            <w:pPr>
              <w:pStyle w:val="centrum"/>
              <w:rPr>
                <w:lang w:bidi="he-IL"/>
              </w:rPr>
            </w:pPr>
            <w:r w:rsidRPr="00EB06A0">
              <w:rPr>
                <w:lang w:bidi="he-IL"/>
              </w:rPr>
              <w:t xml:space="preserve"> — </w:t>
            </w:r>
          </w:p>
        </w:tc>
        <w:tc>
          <w:tcPr>
            <w:tcW w:w="0" w:type="auto"/>
          </w:tcPr>
          <w:p w:rsidR="00EB06A0" w:rsidRPr="00A574D4" w:rsidRDefault="00EB06A0" w:rsidP="00A574D4">
            <w:pPr>
              <w:ind w:firstLine="0"/>
              <w:rPr>
                <w:rFonts w:eastAsia="Arial Unicode MS"/>
                <w:bCs/>
                <w:lang w:eastAsia="fr-FR" w:bidi="he-IL"/>
              </w:rPr>
            </w:pPr>
            <w:r w:rsidRPr="00A574D4">
              <w:rPr>
                <w:rFonts w:eastAsia="Arial Unicode MS"/>
                <w:bCs/>
                <w:lang w:eastAsia="fr-FR" w:bidi="he-IL"/>
              </w:rPr>
              <w:t xml:space="preserve">à S. Matthieu et à S. Luc. </w:t>
            </w:r>
          </w:p>
        </w:tc>
        <w:tc>
          <w:tcPr>
            <w:tcW w:w="655" w:type="dxa"/>
          </w:tcPr>
          <w:p w:rsidR="00EB06A0" w:rsidRPr="00A574D4" w:rsidRDefault="00EB06A0" w:rsidP="00A574D4">
            <w:pPr>
              <w:ind w:firstLine="0"/>
              <w:rPr>
                <w:rFonts w:eastAsia="Arial Unicode MS"/>
                <w:bCs/>
                <w:lang w:eastAsia="fr-FR" w:bidi="he-IL"/>
              </w:rPr>
            </w:pPr>
            <w:r w:rsidRPr="00A574D4">
              <w:rPr>
                <w:rFonts w:eastAsia="Arial Unicode MS"/>
                <w:bCs/>
                <w:lang w:eastAsia="fr-FR" w:bidi="he-IL"/>
              </w:rPr>
              <w:t xml:space="preserve">2 </w:t>
            </w:r>
          </w:p>
        </w:tc>
      </w:tr>
      <w:tr w:rsidR="00EB06A0" w:rsidRPr="00A574D4" w:rsidTr="00A574D4">
        <w:tc>
          <w:tcPr>
            <w:tcW w:w="3227" w:type="dxa"/>
          </w:tcPr>
          <w:p w:rsidR="00EB06A0" w:rsidRPr="00EB06A0" w:rsidRDefault="00EB06A0" w:rsidP="00B93B92">
            <w:pPr>
              <w:pStyle w:val="centrum"/>
              <w:rPr>
                <w:lang w:bidi="he-IL"/>
              </w:rPr>
            </w:pPr>
            <w:r w:rsidRPr="00EB06A0">
              <w:rPr>
                <w:lang w:bidi="he-IL"/>
              </w:rPr>
              <w:t xml:space="preserve"> — </w:t>
            </w:r>
          </w:p>
        </w:tc>
        <w:tc>
          <w:tcPr>
            <w:tcW w:w="0" w:type="auto"/>
          </w:tcPr>
          <w:p w:rsidR="00EB06A0" w:rsidRPr="00A574D4" w:rsidRDefault="00EB06A0" w:rsidP="00A574D4">
            <w:pPr>
              <w:ind w:firstLine="0"/>
              <w:rPr>
                <w:rFonts w:eastAsia="Arial Unicode MS"/>
                <w:bCs/>
                <w:lang w:eastAsia="fr-FR" w:bidi="he-IL"/>
              </w:rPr>
            </w:pPr>
            <w:r w:rsidRPr="00A574D4">
              <w:rPr>
                <w:rFonts w:eastAsia="Arial Unicode MS"/>
                <w:bCs/>
                <w:lang w:eastAsia="fr-FR" w:bidi="he-IL"/>
              </w:rPr>
              <w:t xml:space="preserve">à S. Marc et à S. Luc </w:t>
            </w:r>
          </w:p>
        </w:tc>
        <w:tc>
          <w:tcPr>
            <w:tcW w:w="655" w:type="dxa"/>
          </w:tcPr>
          <w:p w:rsidR="00EB06A0" w:rsidRPr="00A574D4" w:rsidRDefault="00EB06A0" w:rsidP="00A574D4">
            <w:pPr>
              <w:ind w:firstLine="0"/>
              <w:rPr>
                <w:rFonts w:eastAsia="Arial Unicode MS"/>
                <w:bCs/>
                <w:lang w:eastAsia="fr-FR" w:bidi="he-IL"/>
              </w:rPr>
            </w:pPr>
            <w:r w:rsidRPr="00A574D4">
              <w:rPr>
                <w:rFonts w:eastAsia="Arial Unicode MS"/>
                <w:bCs/>
                <w:lang w:eastAsia="fr-FR" w:bidi="he-IL"/>
              </w:rPr>
              <w:t xml:space="preserve">6 </w:t>
            </w:r>
          </w:p>
        </w:tc>
      </w:tr>
    </w:tbl>
    <w:p w:rsidR="00EB06A0" w:rsidRDefault="00EB06A0" w:rsidP="00C2602D">
      <w:pPr>
        <w:rPr>
          <w:rFonts w:eastAsia="Arial Unicode MS"/>
          <w:bCs/>
          <w:lang w:eastAsia="fr-FR" w:bidi="he-IL"/>
        </w:rPr>
      </w:pPr>
    </w:p>
    <w:p w:rsidR="00C2602D" w:rsidRPr="00C8701B" w:rsidRDefault="00B704AD" w:rsidP="00C2602D">
      <w:pPr>
        <w:rPr>
          <w:rFonts w:eastAsia="Arial Unicode MS"/>
          <w:bCs/>
          <w:lang w:eastAsia="fr-FR" w:bidi="he-IL"/>
        </w:rPr>
      </w:pPr>
      <w:r w:rsidRPr="00C8701B">
        <w:rPr>
          <w:rFonts w:eastAsia="Arial Unicode MS"/>
          <w:bCs/>
          <w:lang w:eastAsia="fr-FR" w:bidi="he-IL"/>
        </w:rPr>
        <w:t xml:space="preserve">Et </w:t>
      </w:r>
      <w:r w:rsidR="00C2602D" w:rsidRPr="00C8701B">
        <w:rPr>
          <w:rFonts w:eastAsia="Arial Unicode MS"/>
          <w:bCs/>
          <w:lang w:eastAsia="fr-FR" w:bidi="he-IL"/>
        </w:rPr>
        <w:t>« </w:t>
      </w:r>
      <w:r w:rsidRPr="00C8701B">
        <w:rPr>
          <w:rFonts w:eastAsia="Arial Unicode MS"/>
          <w:bCs/>
          <w:lang w:eastAsia="fr-FR" w:bidi="he-IL"/>
        </w:rPr>
        <w:t>en somme</w:t>
      </w:r>
      <w:r w:rsidR="00E65435">
        <w:rPr>
          <w:rFonts w:eastAsia="Arial Unicode MS"/>
          <w:bCs/>
          <w:lang w:eastAsia="fr-FR" w:bidi="he-IL"/>
        </w:rPr>
        <w:t xml:space="preserve">, </w:t>
      </w:r>
      <w:r w:rsidRPr="00C8701B">
        <w:rPr>
          <w:rFonts w:eastAsia="Arial Unicode MS"/>
          <w:bCs/>
          <w:lang w:eastAsia="fr-FR" w:bidi="he-IL"/>
        </w:rPr>
        <w:t>sur les 124 sections</w:t>
      </w:r>
      <w:r w:rsidR="00E65435">
        <w:rPr>
          <w:rFonts w:eastAsia="Arial Unicode MS"/>
          <w:bCs/>
          <w:lang w:eastAsia="fr-FR" w:bidi="he-IL"/>
        </w:rPr>
        <w:t xml:space="preserve">, </w:t>
      </w:r>
      <w:r w:rsidRPr="00C8701B">
        <w:rPr>
          <w:rFonts w:eastAsia="Arial Unicode MS"/>
          <w:bCs/>
          <w:lang w:eastAsia="fr-FR" w:bidi="he-IL"/>
        </w:rPr>
        <w:t>S. Matthieu en a 78</w:t>
      </w:r>
      <w:r w:rsidR="00E65435">
        <w:rPr>
          <w:rFonts w:eastAsia="Arial Unicode MS"/>
          <w:bCs/>
          <w:lang w:eastAsia="fr-FR" w:bidi="he-IL"/>
        </w:rPr>
        <w:t xml:space="preserve">, </w:t>
      </w:r>
      <w:r w:rsidRPr="00C8701B">
        <w:rPr>
          <w:rFonts w:eastAsia="Arial Unicode MS"/>
          <w:bCs/>
          <w:lang w:eastAsia="fr-FR" w:bidi="he-IL"/>
        </w:rPr>
        <w:t>S. Marc 67</w:t>
      </w:r>
      <w:r w:rsidR="00E65435">
        <w:rPr>
          <w:rFonts w:eastAsia="Arial Unicode MS"/>
          <w:bCs/>
          <w:lang w:eastAsia="fr-FR" w:bidi="he-IL"/>
        </w:rPr>
        <w:t xml:space="preserve">, </w:t>
      </w:r>
      <w:r w:rsidRPr="00C8701B">
        <w:rPr>
          <w:rFonts w:eastAsia="Arial Unicode MS"/>
          <w:bCs/>
          <w:lang w:eastAsia="fr-FR" w:bidi="he-IL"/>
        </w:rPr>
        <w:t>S. Luc 9</w:t>
      </w:r>
      <w:r w:rsidR="0014311E" w:rsidRPr="00C8701B">
        <w:rPr>
          <w:rFonts w:eastAsia="Arial Unicode MS"/>
          <w:bCs/>
          <w:lang w:eastAsia="fr-FR" w:bidi="he-IL"/>
        </w:rPr>
        <w:t>3</w:t>
      </w:r>
      <w:r w:rsidR="00EB06A0">
        <w:rPr>
          <w:rFonts w:eastAsia="Arial Unicode MS"/>
          <w:bCs/>
          <w:lang w:eastAsia="fr-FR" w:bidi="he-IL"/>
        </w:rPr>
        <w:t> »</w:t>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EB06A0">
      <w:pPr>
        <w:rPr>
          <w:rFonts w:eastAsia="Arial Unicode MS"/>
          <w:bCs/>
          <w:lang w:eastAsia="fr-FR" w:bidi="he-IL"/>
        </w:rPr>
      </w:pPr>
      <w:r w:rsidRPr="00C8701B">
        <w:rPr>
          <w:rFonts w:eastAsia="Arial Unicode MS"/>
          <w:bCs/>
          <w:lang w:eastAsia="fr-FR" w:bidi="he-IL"/>
        </w:rPr>
        <w:t>Le même auteur</w:t>
      </w:r>
      <w:r w:rsidR="00933C60" w:rsidRPr="00C406FF">
        <w:rPr>
          <w:rStyle w:val="Appelnotedebasdep"/>
        </w:rPr>
        <w:footnoteReference w:id="183"/>
      </w:r>
      <w:r w:rsidRPr="00C8701B">
        <w:rPr>
          <w:rFonts w:eastAsia="Arial Unicode MS"/>
          <w:bCs/>
          <w:lang w:eastAsia="fr-FR" w:bidi="he-IL"/>
        </w:rPr>
        <w:t xml:space="preserve"> fait l</w:t>
      </w:r>
      <w:r w:rsidR="00557DE0">
        <w:rPr>
          <w:rFonts w:eastAsia="Arial Unicode MS"/>
          <w:bCs/>
          <w:lang w:eastAsia="fr-FR" w:bidi="he-IL"/>
        </w:rPr>
        <w:t>’</w:t>
      </w:r>
      <w:r w:rsidRPr="00C8701B">
        <w:rPr>
          <w:rFonts w:eastAsia="Arial Unicode MS"/>
          <w:bCs/>
          <w:lang w:eastAsia="fr-FR" w:bidi="he-IL"/>
        </w:rPr>
        <w:t>évaluation d</w:t>
      </w:r>
      <w:r w:rsidR="00557DE0">
        <w:rPr>
          <w:rFonts w:eastAsia="Arial Unicode MS"/>
          <w:bCs/>
          <w:lang w:eastAsia="fr-FR" w:bidi="he-IL"/>
        </w:rPr>
        <w:t>’</w:t>
      </w:r>
      <w:r w:rsidRPr="00C8701B">
        <w:rPr>
          <w:rFonts w:eastAsia="Arial Unicode MS"/>
          <w:bCs/>
          <w:lang w:eastAsia="fr-FR" w:bidi="he-IL"/>
        </w:rPr>
        <w:t>une manière encore plus exacte</w:t>
      </w:r>
      <w:r w:rsidR="00E65435">
        <w:rPr>
          <w:rFonts w:eastAsia="Arial Unicode MS"/>
          <w:bCs/>
          <w:lang w:eastAsia="fr-FR" w:bidi="he-IL"/>
        </w:rPr>
        <w:t xml:space="preserve">, </w:t>
      </w:r>
      <w:r w:rsidRPr="00C8701B">
        <w:rPr>
          <w:rFonts w:eastAsia="Arial Unicode MS"/>
          <w:bCs/>
          <w:lang w:eastAsia="fr-FR" w:bidi="he-IL"/>
        </w:rPr>
        <w:t>en supputant</w:t>
      </w:r>
      <w:r w:rsidR="00E65435">
        <w:rPr>
          <w:rFonts w:eastAsia="Arial Unicode MS"/>
          <w:bCs/>
          <w:lang w:eastAsia="fr-FR" w:bidi="he-IL"/>
        </w:rPr>
        <w:t xml:space="preserve">, </w:t>
      </w:r>
      <w:r w:rsidRPr="00C8701B">
        <w:rPr>
          <w:rFonts w:eastAsia="Arial Unicode MS"/>
          <w:bCs/>
          <w:lang w:eastAsia="fr-FR" w:bidi="he-IL"/>
        </w:rPr>
        <w:t>non plus par sections plus ou moins étendues</w:t>
      </w:r>
      <w:r w:rsidR="00E65435">
        <w:rPr>
          <w:rFonts w:eastAsia="Arial Unicode MS"/>
          <w:bCs/>
          <w:lang w:eastAsia="fr-FR" w:bidi="he-IL"/>
        </w:rPr>
        <w:t xml:space="preserve">, </w:t>
      </w:r>
      <w:r w:rsidRPr="00C8701B">
        <w:rPr>
          <w:rFonts w:eastAsia="Arial Unicode MS"/>
          <w:bCs/>
          <w:lang w:eastAsia="fr-FR" w:bidi="he-IL"/>
        </w:rPr>
        <w:t>mais d</w:t>
      </w:r>
      <w:r w:rsidR="00557DE0">
        <w:rPr>
          <w:rFonts w:eastAsia="Arial Unicode MS"/>
          <w:bCs/>
          <w:lang w:eastAsia="fr-FR" w:bidi="he-IL"/>
        </w:rPr>
        <w:t>’</w:t>
      </w:r>
      <w:r w:rsidR="00EB06A0" w:rsidRPr="00C8701B">
        <w:rPr>
          <w:rFonts w:eastAsia="Arial Unicode MS"/>
          <w:bCs/>
          <w:lang w:eastAsia="fr-FR" w:bidi="he-IL"/>
        </w:rPr>
        <w:t>après</w:t>
      </w:r>
      <w:r w:rsidRPr="00C8701B">
        <w:rPr>
          <w:rFonts w:eastAsia="Arial Unicode MS"/>
          <w:bCs/>
          <w:lang w:eastAsia="fr-FR" w:bidi="he-IL"/>
        </w:rPr>
        <w:t xml:space="preserve"> les versets tels que les contiennent depuis longtemps nos Bibles. Or</w:t>
      </w:r>
      <w:r w:rsidR="00E65435">
        <w:rPr>
          <w:rFonts w:eastAsia="Arial Unicode MS"/>
          <w:bCs/>
          <w:lang w:eastAsia="fr-FR" w:bidi="he-IL"/>
        </w:rPr>
        <w:t xml:space="preserve">, </w:t>
      </w:r>
      <w:r w:rsidRPr="00C8701B">
        <w:rPr>
          <w:rFonts w:eastAsia="Arial Unicode MS"/>
          <w:bCs/>
          <w:lang w:eastAsia="fr-FR" w:bidi="he-IL"/>
        </w:rPr>
        <w:t xml:space="preserve">le texte de S. Matthieu contient 330 versets qui ne se </w:t>
      </w:r>
      <w:r w:rsidR="00EB06A0" w:rsidRPr="00C8701B">
        <w:rPr>
          <w:rFonts w:eastAsia="Arial Unicode MS"/>
          <w:bCs/>
          <w:lang w:eastAsia="fr-FR" w:bidi="he-IL"/>
        </w:rPr>
        <w:t>trouvent</w:t>
      </w:r>
      <w:r w:rsidRPr="00C8701B">
        <w:rPr>
          <w:rFonts w:eastAsia="Arial Unicode MS"/>
          <w:bCs/>
          <w:lang w:eastAsia="fr-FR" w:bidi="he-IL"/>
        </w:rPr>
        <w:t xml:space="preserve"> pas ailleurs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celui de S. Marc</w:t>
      </w:r>
      <w:r w:rsidR="00E65435">
        <w:rPr>
          <w:rFonts w:eastAsia="Arial Unicode MS"/>
          <w:bCs/>
          <w:lang w:eastAsia="fr-FR" w:bidi="he-IL"/>
        </w:rPr>
        <w:t xml:space="preserve">, </w:t>
      </w:r>
      <w:r w:rsidRPr="00C8701B">
        <w:rPr>
          <w:rFonts w:eastAsia="Arial Unicode MS"/>
          <w:bCs/>
          <w:lang w:eastAsia="fr-FR" w:bidi="he-IL"/>
        </w:rPr>
        <w:t>68</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celui de S. Luc</w:t>
      </w:r>
      <w:r w:rsidR="00E65435">
        <w:rPr>
          <w:rFonts w:eastAsia="Arial Unicode MS"/>
          <w:bCs/>
          <w:lang w:eastAsia="fr-FR" w:bidi="he-IL"/>
        </w:rPr>
        <w:t xml:space="preserve">, </w:t>
      </w:r>
      <w:r w:rsidRPr="00C8701B">
        <w:rPr>
          <w:rFonts w:eastAsia="Arial Unicode MS"/>
          <w:bCs/>
          <w:lang w:eastAsia="fr-FR" w:bidi="he-IL"/>
        </w:rPr>
        <w:t>541. Les deux premiers évangélistes ont de 170 à 180 versets qui manquent dans le troisième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S. Matthieu et S. Luc en ont de 230 à 240 qui manquent dans S. Marc</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S. Marc et S. Luc</w:t>
      </w:r>
      <w:r w:rsidR="00E65435">
        <w:rPr>
          <w:rFonts w:eastAsia="Arial Unicode MS"/>
          <w:bCs/>
          <w:lang w:eastAsia="fr-FR" w:bidi="he-IL"/>
        </w:rPr>
        <w:t xml:space="preserve">, </w:t>
      </w:r>
      <w:r w:rsidRPr="00C8701B">
        <w:rPr>
          <w:rFonts w:eastAsia="Arial Unicode MS"/>
          <w:bCs/>
          <w:lang w:eastAsia="fr-FR" w:bidi="he-IL"/>
        </w:rPr>
        <w:t>environ 50 qui manquent dans S. Matthieu. La somme des versets communs aux trois narrateurs n</w:t>
      </w:r>
      <w:r w:rsidR="00557DE0">
        <w:rPr>
          <w:rFonts w:eastAsia="Arial Unicode MS"/>
          <w:bCs/>
          <w:lang w:eastAsia="fr-FR" w:bidi="he-IL"/>
        </w:rPr>
        <w:t>’</w:t>
      </w:r>
      <w:r w:rsidRPr="00C8701B">
        <w:rPr>
          <w:rFonts w:eastAsia="Arial Unicode MS"/>
          <w:bCs/>
          <w:lang w:eastAsia="fr-FR" w:bidi="he-IL"/>
        </w:rPr>
        <w:t xml:space="preserve">est que de 330 à 370. </w:t>
      </w:r>
      <w:r w:rsidR="00C2602D" w:rsidRPr="00C8701B">
        <w:rPr>
          <w:rFonts w:eastAsia="Arial Unicode MS"/>
          <w:bCs/>
          <w:lang w:eastAsia="fr-FR" w:bidi="he-IL"/>
        </w:rPr>
        <w:t>« </w:t>
      </w:r>
      <w:r w:rsidRPr="00C8701B">
        <w:rPr>
          <w:rFonts w:eastAsia="Arial Unicode MS"/>
          <w:bCs/>
          <w:lang w:eastAsia="fr-FR" w:bidi="he-IL"/>
        </w:rPr>
        <w:t>Ces chiffres</w:t>
      </w:r>
      <w:r w:rsidR="00E65435">
        <w:rPr>
          <w:rFonts w:eastAsia="Arial Unicode MS"/>
          <w:bCs/>
          <w:lang w:eastAsia="fr-FR" w:bidi="he-IL"/>
        </w:rPr>
        <w:t xml:space="preserve">, </w:t>
      </w:r>
      <w:r w:rsidRPr="00C8701B">
        <w:rPr>
          <w:rFonts w:eastAsia="Arial Unicode MS"/>
          <w:bCs/>
          <w:lang w:eastAsia="fr-FR" w:bidi="he-IL"/>
        </w:rPr>
        <w:t>ajoute M. Reuss</w:t>
      </w:r>
      <w:r w:rsidR="00E65435">
        <w:rPr>
          <w:rFonts w:eastAsia="Arial Unicode MS"/>
          <w:bCs/>
          <w:lang w:eastAsia="fr-FR" w:bidi="he-IL"/>
        </w:rPr>
        <w:t xml:space="preserve">, </w:t>
      </w:r>
      <w:r w:rsidRPr="00C8701B">
        <w:rPr>
          <w:rFonts w:eastAsia="Arial Unicode MS"/>
          <w:bCs/>
          <w:lang w:eastAsia="fr-FR" w:bidi="he-IL"/>
        </w:rPr>
        <w:t>sont en partie approximatifs</w:t>
      </w:r>
      <w:r w:rsidR="00E65435">
        <w:rPr>
          <w:rFonts w:eastAsia="Arial Unicode MS"/>
          <w:bCs/>
          <w:lang w:eastAsia="fr-FR" w:bidi="he-IL"/>
        </w:rPr>
        <w:t xml:space="preserve">, </w:t>
      </w:r>
      <w:r w:rsidRPr="00C8701B">
        <w:rPr>
          <w:rFonts w:eastAsia="Arial Unicode MS"/>
          <w:bCs/>
          <w:lang w:eastAsia="fr-FR" w:bidi="he-IL"/>
        </w:rPr>
        <w:t>parce que les versets dans le second évangile sont généralement plus courts</w:t>
      </w:r>
      <w:r w:rsidR="00E65435">
        <w:rPr>
          <w:rFonts w:eastAsia="Arial Unicode MS"/>
          <w:bCs/>
          <w:lang w:eastAsia="fr-FR" w:bidi="he-IL"/>
        </w:rPr>
        <w:t xml:space="preserve">, </w:t>
      </w:r>
      <w:r w:rsidRPr="00C8701B">
        <w:rPr>
          <w:rFonts w:eastAsia="Arial Unicode MS"/>
          <w:bCs/>
          <w:lang w:eastAsia="fr-FR" w:bidi="he-IL"/>
        </w:rPr>
        <w:t xml:space="preserve">ce qui </w:t>
      </w:r>
      <w:r w:rsidR="00EB06A0" w:rsidRPr="00C8701B">
        <w:rPr>
          <w:rFonts w:eastAsia="Arial Unicode MS"/>
          <w:bCs/>
          <w:lang w:eastAsia="fr-FR" w:bidi="he-IL"/>
        </w:rPr>
        <w:t>empêche</w:t>
      </w:r>
      <w:r w:rsidRPr="00C8701B">
        <w:rPr>
          <w:rFonts w:eastAsia="Arial Unicode MS"/>
          <w:bCs/>
          <w:lang w:eastAsia="fr-FR" w:bidi="he-IL"/>
        </w:rPr>
        <w:t xml:space="preserve"> une évaluation mathématiquement exacte</w:t>
      </w:r>
      <w:r w:rsidR="00933C60" w:rsidRPr="00C406FF">
        <w:rPr>
          <w:rStyle w:val="Appelnotedebasdep"/>
        </w:rPr>
        <w:footnoteReference w:id="184"/>
      </w:r>
      <w:r w:rsidR="00EB06A0">
        <w:rPr>
          <w:rFonts w:eastAsia="Arial Unicode MS"/>
          <w:bCs/>
          <w:lang w:eastAsia="fr-FR" w:bidi="he-IL"/>
        </w:rPr>
        <w:t> ».</w:t>
      </w:r>
      <w:r w:rsidR="00C2602D" w:rsidRPr="00C8701B">
        <w:rPr>
          <w:rFonts w:eastAsia="Arial Unicode MS"/>
          <w:bCs/>
          <w:lang w:eastAsia="fr-FR" w:bidi="he-IL"/>
        </w:rPr>
        <w:t xml:space="preserve"> </w:t>
      </w:r>
    </w:p>
    <w:p w:rsidR="00C2602D" w:rsidRDefault="00B704AD" w:rsidP="00657DEA">
      <w:pPr>
        <w:rPr>
          <w:rFonts w:eastAsia="Arial Unicode MS"/>
          <w:bCs/>
          <w:lang w:eastAsia="fr-FR" w:bidi="he-IL"/>
        </w:rPr>
      </w:pPr>
      <w:r w:rsidRPr="00C8701B">
        <w:rPr>
          <w:rFonts w:eastAsia="Arial Unicode MS"/>
          <w:bCs/>
          <w:lang w:eastAsia="fr-FR" w:bidi="he-IL"/>
        </w:rPr>
        <w:t>En résumé</w:t>
      </w:r>
      <w:r w:rsidR="00E65435">
        <w:rPr>
          <w:rFonts w:eastAsia="Arial Unicode MS"/>
          <w:bCs/>
          <w:lang w:eastAsia="fr-FR" w:bidi="he-IL"/>
        </w:rPr>
        <w:t xml:space="preserve">, </w:t>
      </w:r>
      <w:r w:rsidRPr="00C8701B">
        <w:rPr>
          <w:rFonts w:eastAsia="Arial Unicode MS"/>
          <w:bCs/>
          <w:lang w:eastAsia="fr-FR" w:bidi="he-IL"/>
        </w:rPr>
        <w:t xml:space="preserve">nous pouvons dire que les deux tiers à peu près des </w:t>
      </w:r>
      <w:r w:rsidR="00EB06A0">
        <w:rPr>
          <w:rFonts w:eastAsia="Arial Unicode MS"/>
          <w:bCs/>
          <w:lang w:eastAsia="fr-FR" w:bidi="he-IL"/>
        </w:rPr>
        <w:t>détails sont communs aux synopti</w:t>
      </w:r>
      <w:r w:rsidRPr="00C8701B">
        <w:rPr>
          <w:rFonts w:eastAsia="Arial Unicode MS"/>
          <w:bCs/>
          <w:lang w:eastAsia="fr-FR" w:bidi="he-IL"/>
        </w:rPr>
        <w:t>ques</w:t>
      </w:r>
      <w:r w:rsidR="00E65435">
        <w:rPr>
          <w:rFonts w:eastAsia="Arial Unicode MS"/>
          <w:bCs/>
          <w:lang w:eastAsia="fr-FR" w:bidi="he-IL"/>
        </w:rPr>
        <w:t xml:space="preserve">, </w:t>
      </w:r>
      <w:r w:rsidRPr="00C8701B">
        <w:rPr>
          <w:rFonts w:eastAsia="Arial Unicode MS"/>
          <w:bCs/>
          <w:lang w:eastAsia="fr-FR" w:bidi="he-IL"/>
        </w:rPr>
        <w:t>tandis que l</w:t>
      </w:r>
      <w:r w:rsidR="00557DE0">
        <w:rPr>
          <w:rFonts w:eastAsia="Arial Unicode MS"/>
          <w:bCs/>
          <w:lang w:eastAsia="fr-FR" w:bidi="he-IL"/>
        </w:rPr>
        <w:t>’</w:t>
      </w:r>
      <w:r w:rsidRPr="00C8701B">
        <w:rPr>
          <w:rFonts w:eastAsia="Arial Unicode MS"/>
          <w:bCs/>
          <w:lang w:eastAsia="fr-FR" w:bidi="he-IL"/>
        </w:rPr>
        <w:t>autre tiers ne se rencontre que dans l</w:t>
      </w:r>
      <w:r w:rsidR="00557DE0">
        <w:rPr>
          <w:rFonts w:eastAsia="Arial Unicode MS"/>
          <w:bCs/>
          <w:lang w:eastAsia="fr-FR" w:bidi="he-IL"/>
        </w:rPr>
        <w:t>’</w:t>
      </w:r>
      <w:r w:rsidRPr="00C8701B">
        <w:rPr>
          <w:rFonts w:eastAsia="Arial Unicode MS"/>
          <w:bCs/>
          <w:lang w:eastAsia="fr-FR" w:bidi="he-IL"/>
        </w:rPr>
        <w:t>une ou l</w:t>
      </w:r>
      <w:r w:rsidR="00557DE0">
        <w:rPr>
          <w:rFonts w:eastAsia="Arial Unicode MS"/>
          <w:bCs/>
          <w:lang w:eastAsia="fr-FR" w:bidi="he-IL"/>
        </w:rPr>
        <w:t>’</w:t>
      </w:r>
      <w:r w:rsidRPr="00C8701B">
        <w:rPr>
          <w:rFonts w:eastAsia="Arial Unicode MS"/>
          <w:bCs/>
          <w:lang w:eastAsia="fr-FR" w:bidi="he-IL"/>
        </w:rPr>
        <w:t>autre des narrations. S. Matthieu possède absolument en propre la sixième partie de son évangile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S. Luc environ le quart du sien.</w:t>
      </w:r>
      <w:r w:rsidR="00C2602D" w:rsidRPr="00C8701B">
        <w:rPr>
          <w:rFonts w:eastAsia="Arial Unicode MS"/>
          <w:bCs/>
          <w:lang w:eastAsia="fr-FR" w:bidi="he-IL"/>
        </w:rPr>
        <w:t xml:space="preserve"> </w:t>
      </w:r>
      <w:r w:rsidR="00657DEA" w:rsidRPr="000716BB">
        <w:rPr>
          <w:rFonts w:eastAsia="Arial Unicode MS"/>
          <w:bCs/>
          <w:lang w:eastAsia="fr-FR" w:bidi="he-IL"/>
        </w:rPr>
        <w:t>{</w:t>
      </w:r>
      <w:r w:rsidR="00657DEA">
        <w:rPr>
          <w:rFonts w:eastAsia="Arial Unicode MS"/>
          <w:bCs/>
          <w:lang w:eastAsia="fr-FR" w:bidi="he-IL"/>
        </w:rPr>
        <w:t>39</w:t>
      </w:r>
      <w:bookmarkStart w:id="65" w:name="pag039"/>
      <w:bookmarkEnd w:id="65"/>
      <w:r w:rsidR="00657DEA" w:rsidRPr="000716BB">
        <w:rPr>
          <w:rFonts w:eastAsia="Arial Unicode MS"/>
          <w:bCs/>
          <w:lang w:eastAsia="fr-FR" w:bidi="he-IL"/>
        </w:rPr>
        <w:t>}</w:t>
      </w:r>
    </w:p>
    <w:p w:rsidR="00C2602D" w:rsidRPr="00C8701B" w:rsidRDefault="00B704AD" w:rsidP="00C2602D">
      <w:pPr>
        <w:rPr>
          <w:rFonts w:eastAsia="Arial Unicode MS"/>
          <w:bCs/>
          <w:lang w:eastAsia="fr-FR" w:bidi="he-IL"/>
        </w:rPr>
      </w:pPr>
      <w:r w:rsidRPr="00C8701B">
        <w:rPr>
          <w:rFonts w:eastAsia="Arial Unicode MS"/>
          <w:bCs/>
          <w:lang w:eastAsia="fr-FR" w:bidi="he-IL"/>
        </w:rPr>
        <w:t>2° Les chiffres qui précèdent s</w:t>
      </w:r>
      <w:r w:rsidR="00557DE0">
        <w:rPr>
          <w:rFonts w:eastAsia="Arial Unicode MS"/>
          <w:bCs/>
          <w:lang w:eastAsia="fr-FR" w:bidi="he-IL"/>
        </w:rPr>
        <w:t>’</w:t>
      </w:r>
      <w:r w:rsidRPr="00C8701B">
        <w:rPr>
          <w:rFonts w:eastAsia="Arial Unicode MS"/>
          <w:bCs/>
          <w:lang w:eastAsia="fr-FR" w:bidi="he-IL"/>
        </w:rPr>
        <w:t>appliquaient surtout au fond</w:t>
      </w:r>
      <w:r w:rsidR="00E65435">
        <w:rPr>
          <w:rFonts w:eastAsia="Arial Unicode MS"/>
          <w:bCs/>
          <w:lang w:eastAsia="fr-FR" w:bidi="he-IL"/>
        </w:rPr>
        <w:t xml:space="preserve">, </w:t>
      </w:r>
      <w:r w:rsidRPr="00C8701B">
        <w:rPr>
          <w:rFonts w:eastAsia="Arial Unicode MS"/>
          <w:bCs/>
          <w:lang w:eastAsia="fr-FR" w:bidi="he-IL"/>
        </w:rPr>
        <w:t>aux matériaux. On en a établi quelques autres encore</w:t>
      </w:r>
      <w:r w:rsidR="00E65435">
        <w:rPr>
          <w:rFonts w:eastAsia="Arial Unicode MS"/>
          <w:bCs/>
          <w:lang w:eastAsia="fr-FR" w:bidi="he-IL"/>
        </w:rPr>
        <w:t xml:space="preserve">, </w:t>
      </w:r>
      <w:r w:rsidR="00EB06A0">
        <w:rPr>
          <w:rFonts w:eastAsia="Arial Unicode MS"/>
          <w:bCs/>
          <w:lang w:eastAsia="fr-FR" w:bidi="he-IL"/>
        </w:rPr>
        <w:t>pour déterminer plus spéc</w:t>
      </w:r>
      <w:r w:rsidRPr="00C8701B">
        <w:rPr>
          <w:rFonts w:eastAsia="Arial Unicode MS"/>
          <w:bCs/>
          <w:lang w:eastAsia="fr-FR" w:bidi="he-IL"/>
        </w:rPr>
        <w:t>ialement la</w:t>
      </w:r>
      <w:r w:rsidR="00E65435">
        <w:rPr>
          <w:rFonts w:eastAsia="Arial Unicode MS"/>
          <w:bCs/>
          <w:lang w:eastAsia="fr-FR" w:bidi="he-IL"/>
        </w:rPr>
        <w:t xml:space="preserve"> </w:t>
      </w:r>
      <w:r w:rsidRPr="00C8701B">
        <w:rPr>
          <w:rFonts w:eastAsia="Arial Unicode MS"/>
          <w:bCs/>
          <w:lang w:eastAsia="fr-FR" w:bidi="he-IL"/>
        </w:rPr>
        <w:t>part des coïncidences verbales.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Reprenons la première des divisions qui précèdent</w:t>
      </w:r>
      <w:r w:rsidR="00E65435">
        <w:rPr>
          <w:rFonts w:eastAsia="Arial Unicode MS"/>
          <w:bCs/>
          <w:lang w:eastAsia="fr-FR" w:bidi="he-IL"/>
        </w:rPr>
        <w:t xml:space="preserve">, </w:t>
      </w:r>
      <w:r w:rsidRPr="00C8701B">
        <w:rPr>
          <w:rFonts w:eastAsia="Arial Unicode MS"/>
          <w:bCs/>
          <w:lang w:eastAsia="fr-FR" w:bidi="he-IL"/>
        </w:rPr>
        <w:t>celle de M. Stroud. Des 58 centièmes que S. Matthieu a de communs avec les deux autres synoptiques</w:t>
      </w:r>
      <w:r w:rsidR="00E65435">
        <w:rPr>
          <w:rFonts w:eastAsia="Arial Unicode MS"/>
          <w:bCs/>
          <w:lang w:eastAsia="fr-FR" w:bidi="he-IL"/>
        </w:rPr>
        <w:t xml:space="preserve">, </w:t>
      </w:r>
      <w:r w:rsidRPr="00C8701B">
        <w:rPr>
          <w:rFonts w:eastAsia="Arial Unicode MS"/>
          <w:bCs/>
          <w:lang w:eastAsia="fr-FR" w:bidi="he-IL"/>
        </w:rPr>
        <w:t>10 seulement présentent des ressemblances de forme aussi bien que de sujet</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les 93 centièmes de S. Marc se réduisent également à 16</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les 41 de S. Luc baissent jusqu</w:t>
      </w:r>
      <w:r w:rsidR="00557DE0">
        <w:rPr>
          <w:rFonts w:eastAsia="Arial Unicode MS"/>
          <w:bCs/>
          <w:lang w:eastAsia="fr-FR" w:bidi="he-IL"/>
        </w:rPr>
        <w:t>’</w:t>
      </w:r>
      <w:r w:rsidRPr="00C8701B">
        <w:rPr>
          <w:rFonts w:eastAsia="Arial Unicode MS"/>
          <w:bCs/>
          <w:lang w:eastAsia="fr-FR" w:bidi="he-IL"/>
        </w:rPr>
        <w:t>à 10.</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Ces coïncidences verbales</w:t>
      </w:r>
      <w:r w:rsidR="00933C60" w:rsidRPr="00C406FF">
        <w:rPr>
          <w:rStyle w:val="Appelnotedebasdep"/>
        </w:rPr>
        <w:footnoteReference w:id="185"/>
      </w:r>
      <w:r w:rsidRPr="00C8701B">
        <w:rPr>
          <w:rFonts w:eastAsia="Arial Unicode MS"/>
          <w:bCs/>
          <w:lang w:eastAsia="fr-FR" w:bidi="he-IL"/>
        </w:rPr>
        <w:t xml:space="preserve"> ont lieu surtout</w:t>
      </w:r>
      <w:r w:rsidR="00E65435">
        <w:rPr>
          <w:rFonts w:eastAsia="Arial Unicode MS"/>
          <w:bCs/>
          <w:lang w:eastAsia="fr-FR" w:bidi="he-IL"/>
        </w:rPr>
        <w:t xml:space="preserve">, </w:t>
      </w:r>
      <w:r w:rsidRPr="00C8701B">
        <w:rPr>
          <w:rFonts w:eastAsia="Arial Unicode MS"/>
          <w:bCs/>
          <w:lang w:eastAsia="fr-FR" w:bidi="he-IL"/>
        </w:rPr>
        <w:t>on le conçoit</w:t>
      </w:r>
      <w:r w:rsidR="00E65435">
        <w:rPr>
          <w:rFonts w:eastAsia="Arial Unicode MS"/>
          <w:bCs/>
          <w:lang w:eastAsia="fr-FR" w:bidi="he-IL"/>
        </w:rPr>
        <w:t xml:space="preserve">, </w:t>
      </w:r>
      <w:r w:rsidRPr="00C8701B">
        <w:rPr>
          <w:rFonts w:eastAsia="Arial Unicode MS"/>
          <w:bCs/>
          <w:lang w:eastAsia="fr-FR" w:bidi="he-IL"/>
        </w:rPr>
        <w:t>quand les écrivains sacrés citent les paroles de Notre-Seigneur</w:t>
      </w:r>
      <w:r w:rsidR="00933C60" w:rsidRPr="00C406FF">
        <w:rPr>
          <w:rStyle w:val="Appelnotedebasdep"/>
        </w:rPr>
        <w:footnoteReference w:id="186"/>
      </w:r>
      <w:r w:rsidR="00E65435">
        <w:rPr>
          <w:rFonts w:eastAsia="Arial Unicode MS"/>
          <w:bCs/>
          <w:lang w:eastAsia="fr-FR" w:bidi="he-IL"/>
        </w:rPr>
        <w:t xml:space="preserve">, </w:t>
      </w:r>
      <w:r w:rsidRPr="00C8701B">
        <w:rPr>
          <w:rFonts w:eastAsia="Arial Unicode MS"/>
          <w:bCs/>
          <w:lang w:eastAsia="fr-FR" w:bidi="he-IL"/>
        </w:rPr>
        <w:t>ou de quelque autre personnage</w:t>
      </w:r>
      <w:r w:rsidR="00E65435">
        <w:rPr>
          <w:rFonts w:eastAsia="Arial Unicode MS"/>
          <w:bCs/>
          <w:lang w:eastAsia="fr-FR" w:bidi="he-IL"/>
        </w:rPr>
        <w:t xml:space="preserve">, </w:t>
      </w:r>
      <w:r w:rsidRPr="00C8701B">
        <w:rPr>
          <w:rFonts w:eastAsia="Arial Unicode MS"/>
          <w:bCs/>
          <w:lang w:eastAsia="fr-FR" w:bidi="he-IL"/>
        </w:rPr>
        <w:t>ou des textes empruntés à l</w:t>
      </w:r>
      <w:r w:rsidR="00557DE0">
        <w:rPr>
          <w:rFonts w:eastAsia="Arial Unicode MS"/>
          <w:bCs/>
          <w:lang w:eastAsia="fr-FR" w:bidi="he-IL"/>
        </w:rPr>
        <w:t>’</w:t>
      </w:r>
      <w:r w:rsidRPr="00C8701B">
        <w:rPr>
          <w:rFonts w:eastAsia="Arial Unicode MS"/>
          <w:bCs/>
          <w:lang w:eastAsia="fr-FR" w:bidi="he-IL"/>
        </w:rPr>
        <w:t>Ancien Testament.</w:t>
      </w:r>
      <w:r w:rsidR="00C2602D" w:rsidRPr="00C8701B">
        <w:rPr>
          <w:rFonts w:eastAsia="Arial Unicode MS"/>
          <w:bCs/>
          <w:lang w:eastAsia="fr-FR" w:bidi="he-IL"/>
        </w:rPr>
        <w:t xml:space="preserve"> </w:t>
      </w:r>
    </w:p>
    <w:p w:rsidR="00C2602D" w:rsidRPr="00C8701B" w:rsidRDefault="00B704AD" w:rsidP="00606FEC">
      <w:pPr>
        <w:rPr>
          <w:rFonts w:eastAsia="Arial Unicode MS"/>
          <w:bCs/>
          <w:lang w:eastAsia="fr-FR" w:bidi="he-IL"/>
        </w:rPr>
      </w:pPr>
      <w:r w:rsidRPr="00C8701B">
        <w:rPr>
          <w:rFonts w:eastAsia="Arial Unicode MS"/>
          <w:bCs/>
          <w:lang w:eastAsia="fr-FR" w:bidi="he-IL"/>
        </w:rPr>
        <w:t>On a calculé qu</w:t>
      </w:r>
      <w:r w:rsidR="00557DE0">
        <w:rPr>
          <w:rFonts w:eastAsia="Arial Unicode MS"/>
          <w:bCs/>
          <w:lang w:eastAsia="fr-FR" w:bidi="he-IL"/>
        </w:rPr>
        <w:t>’</w:t>
      </w:r>
      <w:r w:rsidRPr="00C8701B">
        <w:rPr>
          <w:rFonts w:eastAsia="Arial Unicode MS"/>
          <w:bCs/>
          <w:lang w:eastAsia="fr-FR" w:bidi="he-IL"/>
        </w:rPr>
        <w:t>elles forment un peu moins de la sixième partie du</w:t>
      </w:r>
      <w:r w:rsidR="00C2602D" w:rsidRPr="00C8701B">
        <w:rPr>
          <w:rFonts w:eastAsia="Arial Unicode MS"/>
          <w:bCs/>
          <w:lang w:eastAsia="fr-FR" w:bidi="he-IL"/>
        </w:rPr>
        <w:t xml:space="preserve"> </w:t>
      </w:r>
      <w:r w:rsidRPr="00C8701B">
        <w:rPr>
          <w:rFonts w:eastAsia="Arial Unicode MS"/>
          <w:bCs/>
          <w:lang w:eastAsia="fr-FR" w:bidi="he-IL"/>
        </w:rPr>
        <w:t>premier évangile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sur cette quantité</w:t>
      </w:r>
      <w:r w:rsidR="00E65435">
        <w:rPr>
          <w:rFonts w:eastAsia="Arial Unicode MS"/>
          <w:bCs/>
          <w:lang w:eastAsia="fr-FR" w:bidi="he-IL"/>
        </w:rPr>
        <w:t xml:space="preserve">, </w:t>
      </w:r>
      <w:r w:rsidRPr="00C8701B">
        <w:rPr>
          <w:rFonts w:eastAsia="Arial Unicode MS"/>
          <w:bCs/>
          <w:lang w:eastAsia="fr-FR" w:bidi="he-IL"/>
        </w:rPr>
        <w:t xml:space="preserve">il y a </w:t>
      </w:r>
      <w:r w:rsidR="00EB06A0">
        <w:rPr>
          <w:rFonts w:eastAsia="Arial Unicode MS"/>
          <w:bCs/>
          <w:lang w:eastAsia="fr-FR" w:bidi="he-IL"/>
        </w:rPr>
        <w:t xml:space="preserve">7/8 </w:t>
      </w:r>
      <w:r w:rsidRPr="00C8701B">
        <w:rPr>
          <w:rFonts w:eastAsia="Arial Unicode MS"/>
          <w:bCs/>
          <w:lang w:eastAsia="fr-FR" w:bidi="he-IL"/>
        </w:rPr>
        <w:t>pour les paroles</w:t>
      </w:r>
      <w:r w:rsidR="00E65435">
        <w:rPr>
          <w:rFonts w:eastAsia="Arial Unicode MS"/>
          <w:bCs/>
          <w:lang w:eastAsia="fr-FR" w:bidi="he-IL"/>
        </w:rPr>
        <w:t xml:space="preserve">, </w:t>
      </w:r>
      <w:r w:rsidR="00EB06A0">
        <w:rPr>
          <w:rFonts w:eastAsia="Arial Unicode MS"/>
          <w:bCs/>
          <w:lang w:eastAsia="fr-FR" w:bidi="he-IL"/>
        </w:rPr>
        <w:t xml:space="preserve">1/8 </w:t>
      </w:r>
      <w:r w:rsidRPr="00C8701B">
        <w:rPr>
          <w:rFonts w:eastAsia="Arial Unicode MS"/>
          <w:bCs/>
          <w:lang w:eastAsia="fr-FR" w:bidi="he-IL"/>
        </w:rPr>
        <w:t>pour le récit. Dans S. Marc</w:t>
      </w:r>
      <w:r w:rsidR="00E65435">
        <w:rPr>
          <w:rFonts w:eastAsia="Arial Unicode MS"/>
          <w:bCs/>
          <w:lang w:eastAsia="fr-FR" w:bidi="he-IL"/>
        </w:rPr>
        <w:t xml:space="preserve">, </w:t>
      </w:r>
      <w:r w:rsidRPr="00C8701B">
        <w:rPr>
          <w:rFonts w:eastAsia="Arial Unicode MS"/>
          <w:bCs/>
          <w:lang w:eastAsia="fr-FR" w:bidi="he-IL"/>
        </w:rPr>
        <w:t xml:space="preserve">la somme totale est de </w:t>
      </w:r>
      <w:r w:rsidR="00606FEC">
        <w:rPr>
          <w:rFonts w:eastAsia="Arial Unicode MS"/>
          <w:bCs/>
          <w:lang w:eastAsia="fr-FR" w:bidi="he-IL"/>
        </w:rPr>
        <w:t>1/6</w:t>
      </w:r>
      <w:r w:rsidR="00E65435">
        <w:rPr>
          <w:rFonts w:eastAsia="Arial Unicode MS"/>
          <w:bCs/>
          <w:lang w:eastAsia="fr-FR" w:bidi="he-IL"/>
        </w:rPr>
        <w:t xml:space="preserve">, </w:t>
      </w:r>
      <w:r w:rsidRPr="00C8701B">
        <w:rPr>
          <w:rFonts w:eastAsia="Arial Unicode MS"/>
          <w:bCs/>
          <w:lang w:eastAsia="fr-FR" w:bidi="he-IL"/>
        </w:rPr>
        <w:t>et</w:t>
      </w:r>
      <w:r w:rsidR="00E65435">
        <w:rPr>
          <w:rFonts w:eastAsia="Arial Unicode MS"/>
          <w:bCs/>
          <w:lang w:eastAsia="fr-FR" w:bidi="he-IL"/>
        </w:rPr>
        <w:t xml:space="preserve">, </w:t>
      </w:r>
      <w:r w:rsidRPr="00C8701B">
        <w:rPr>
          <w:rFonts w:eastAsia="Arial Unicode MS"/>
          <w:bCs/>
          <w:lang w:eastAsia="fr-FR" w:bidi="he-IL"/>
        </w:rPr>
        <w:t>sur cela</w:t>
      </w:r>
      <w:r w:rsidR="00E65435">
        <w:rPr>
          <w:rFonts w:eastAsia="Arial Unicode MS"/>
          <w:bCs/>
          <w:lang w:eastAsia="fr-FR" w:bidi="he-IL"/>
        </w:rPr>
        <w:t xml:space="preserve">, </w:t>
      </w:r>
      <w:r w:rsidR="00606FEC">
        <w:rPr>
          <w:rFonts w:eastAsia="Arial Unicode MS"/>
          <w:bCs/>
          <w:lang w:eastAsia="fr-FR" w:bidi="he-IL"/>
        </w:rPr>
        <w:t>1/5</w:t>
      </w:r>
      <w:r w:rsidRPr="00C8701B">
        <w:rPr>
          <w:rFonts w:eastAsia="Arial Unicode MS"/>
          <w:bCs/>
          <w:lang w:eastAsia="fr-FR" w:bidi="he-IL"/>
        </w:rPr>
        <w:t xml:space="preserve"> seulement</w:t>
      </w:r>
      <w:r w:rsidR="00C2602D" w:rsidRPr="00C8701B">
        <w:rPr>
          <w:rFonts w:eastAsia="Arial Unicode MS"/>
          <w:bCs/>
          <w:lang w:eastAsia="fr-FR" w:bidi="he-IL"/>
        </w:rPr>
        <w:t xml:space="preserve"> </w:t>
      </w:r>
      <w:r w:rsidR="00606FEC">
        <w:rPr>
          <w:rFonts w:eastAsia="Arial Unicode MS"/>
          <w:bCs/>
          <w:lang w:eastAsia="fr-FR" w:bidi="he-IL"/>
        </w:rPr>
        <w:t>pour le récit. Dans S. Luc 1/10</w:t>
      </w:r>
      <w:r w:rsidRPr="00C8701B">
        <w:rPr>
          <w:rFonts w:eastAsia="Arial Unicode MS"/>
          <w:bCs/>
          <w:lang w:eastAsia="fr-FR" w:bidi="he-IL"/>
        </w:rPr>
        <w:t xml:space="preserve"> en tout</w:t>
      </w:r>
      <w:r w:rsidR="00E65435">
        <w:rPr>
          <w:rFonts w:eastAsia="Arial Unicode MS"/>
          <w:bCs/>
          <w:lang w:eastAsia="fr-FR" w:bidi="he-IL"/>
        </w:rPr>
        <w:t xml:space="preserve">, </w:t>
      </w:r>
      <w:r w:rsidR="00606FEC">
        <w:rPr>
          <w:rFonts w:eastAsia="Arial Unicode MS"/>
          <w:bCs/>
          <w:lang w:eastAsia="fr-FR" w:bidi="he-IL"/>
        </w:rPr>
        <w:t>moins de 1/20</w:t>
      </w:r>
      <w:r w:rsidRPr="00C8701B">
        <w:rPr>
          <w:rFonts w:eastAsia="Arial Unicode MS"/>
          <w:bCs/>
          <w:lang w:eastAsia="fr-FR" w:bidi="he-IL"/>
        </w:rPr>
        <w:t xml:space="preserve"> pour le récit.</w:t>
      </w:r>
      <w:r w:rsidR="00C2602D" w:rsidRPr="00C8701B">
        <w:rPr>
          <w:rFonts w:eastAsia="Arial Unicode MS"/>
          <w:bCs/>
          <w:lang w:eastAsia="fr-FR" w:bidi="he-IL"/>
        </w:rPr>
        <w:t xml:space="preserve"> </w:t>
      </w:r>
    </w:p>
    <w:p w:rsidR="00C2602D" w:rsidRDefault="00B704AD" w:rsidP="00C2602D">
      <w:pPr>
        <w:rPr>
          <w:rFonts w:eastAsia="Arial Unicode MS"/>
          <w:bCs/>
          <w:lang w:eastAsia="fr-FR" w:bidi="he-IL"/>
        </w:rPr>
      </w:pPr>
      <w:r w:rsidRPr="00C8701B">
        <w:rPr>
          <w:rFonts w:eastAsia="Arial Unicode MS"/>
          <w:bCs/>
          <w:lang w:eastAsia="fr-FR" w:bidi="he-IL"/>
        </w:rPr>
        <w:t>Que ces divers traits suffisent. Au reste</w:t>
      </w:r>
      <w:r w:rsidR="00E65435">
        <w:rPr>
          <w:rFonts w:eastAsia="Arial Unicode MS"/>
          <w:bCs/>
          <w:lang w:eastAsia="fr-FR" w:bidi="he-IL"/>
        </w:rPr>
        <w:t xml:space="preserve">, </w:t>
      </w:r>
      <w:r w:rsidRPr="00C8701B">
        <w:rPr>
          <w:rFonts w:eastAsia="Arial Unicode MS"/>
          <w:bCs/>
          <w:lang w:eastAsia="fr-FR" w:bidi="he-IL"/>
        </w:rPr>
        <w:t>les ouvrages ne manquent pas où les calculateurs pourront puiser des bases de nouveaux calculs</w:t>
      </w:r>
      <w:r w:rsidR="00933C60" w:rsidRPr="00C406FF">
        <w:rPr>
          <w:rStyle w:val="Appelnotedebasdep"/>
        </w:rPr>
        <w:footnoteReference w:id="187"/>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96281A" w:rsidP="00C2602D">
      <w:pPr>
        <w:rPr>
          <w:rFonts w:eastAsia="Arial Unicode MS"/>
          <w:bCs/>
          <w:lang w:eastAsia="fr-FR" w:bidi="he-IL"/>
        </w:rPr>
      </w:pPr>
      <w:r>
        <w:rPr>
          <w:rFonts w:eastAsia="Arial Unicode MS"/>
          <w:bCs/>
          <w:lang w:eastAsia="fr-FR" w:bidi="he-IL"/>
        </w:rPr>
        <w:t>IV</w:t>
      </w:r>
      <w:r w:rsidR="00B704AD" w:rsidRPr="00C8701B">
        <w:rPr>
          <w:rFonts w:eastAsia="Arial Unicode MS"/>
          <w:bCs/>
          <w:lang w:eastAsia="fr-FR" w:bidi="he-IL"/>
        </w:rPr>
        <w:t>.</w:t>
      </w:r>
      <w:bookmarkStart w:id="66" w:name="evin070204"/>
      <w:bookmarkEnd w:id="66"/>
      <w:r w:rsidR="000F7DAA">
        <w:rPr>
          <w:rFonts w:eastAsia="Arial Unicode MS"/>
          <w:bCs/>
          <w:lang w:eastAsia="fr-FR" w:bidi="he-IL"/>
        </w:rPr>
        <w:t xml:space="preserve"> —</w:t>
      </w:r>
      <w:r w:rsidR="008D0642">
        <w:rPr>
          <w:rFonts w:eastAsia="Arial Unicode MS"/>
          <w:bCs/>
          <w:lang w:eastAsia="fr-FR" w:bidi="he-IL"/>
        </w:rPr>
        <w:t xml:space="preserve"> </w:t>
      </w:r>
      <w:r w:rsidR="00B704AD" w:rsidRPr="00DC4586">
        <w:rPr>
          <w:rStyle w:val="italicus"/>
        </w:rPr>
        <w:t>Systèmes auxquels on a eu recours pour expliquer ce double phénomène des ressemblances et des divergences entre les synoptiques.</w:t>
      </w:r>
      <w:r w:rsidR="000F7DAA">
        <w:rPr>
          <w:rFonts w:eastAsia="Arial Unicode MS"/>
          <w:bCs/>
          <w:lang w:eastAsia="fr-FR" w:bidi="he-IL"/>
        </w:rPr>
        <w:t xml:space="preserve"> —</w:t>
      </w:r>
      <w:r w:rsidR="008D0642">
        <w:rPr>
          <w:rFonts w:eastAsia="Arial Unicode MS"/>
          <w:bCs/>
          <w:lang w:eastAsia="fr-FR" w:bidi="he-IL"/>
        </w:rPr>
        <w:t xml:space="preserve"> </w:t>
      </w:r>
      <w:r w:rsidR="00B704AD" w:rsidRPr="00C8701B">
        <w:rPr>
          <w:rFonts w:eastAsia="Arial Unicode MS"/>
          <w:bCs/>
          <w:lang w:eastAsia="fr-FR" w:bidi="he-IL"/>
        </w:rPr>
        <w:t>Tel est donc le problème</w:t>
      </w:r>
      <w:r w:rsidR="00E65435">
        <w:rPr>
          <w:rFonts w:eastAsia="Arial Unicode MS"/>
          <w:bCs/>
          <w:lang w:eastAsia="fr-FR" w:bidi="he-IL"/>
        </w:rPr>
        <w:t xml:space="preserve">, </w:t>
      </w:r>
      <w:r w:rsidR="00B704AD" w:rsidRPr="00C8701B">
        <w:rPr>
          <w:rFonts w:eastAsia="Arial Unicode MS"/>
          <w:bCs/>
          <w:lang w:eastAsia="fr-FR" w:bidi="he-IL"/>
        </w:rPr>
        <w:t>problème entièrement unique dans l</w:t>
      </w:r>
      <w:r w:rsidR="00557DE0">
        <w:rPr>
          <w:rFonts w:eastAsia="Arial Unicode MS"/>
          <w:bCs/>
          <w:lang w:eastAsia="fr-FR" w:bidi="he-IL"/>
        </w:rPr>
        <w:t>’</w:t>
      </w:r>
      <w:r w:rsidR="00B704AD" w:rsidRPr="00C8701B">
        <w:rPr>
          <w:rFonts w:eastAsia="Arial Unicode MS"/>
          <w:bCs/>
          <w:lang w:eastAsia="fr-FR" w:bidi="he-IL"/>
        </w:rPr>
        <w:t>histoire de</w:t>
      </w:r>
      <w:r w:rsidR="00606FEC">
        <w:rPr>
          <w:rFonts w:eastAsia="Arial Unicode MS"/>
          <w:bCs/>
          <w:lang w:eastAsia="fr-FR" w:bidi="he-IL"/>
        </w:rPr>
        <w:t xml:space="preserve"> la</w:t>
      </w:r>
      <w:r w:rsidR="00B704AD" w:rsidRPr="00C8701B">
        <w:rPr>
          <w:rFonts w:eastAsia="Arial Unicode MS"/>
          <w:bCs/>
          <w:lang w:eastAsia="fr-FR" w:bidi="he-IL"/>
        </w:rPr>
        <w:t xml:space="preserve"> littérature</w:t>
      </w:r>
      <w:r w:rsidR="00E65435">
        <w:rPr>
          <w:rFonts w:eastAsia="Arial Unicode MS"/>
          <w:bCs/>
          <w:lang w:eastAsia="fr-FR" w:bidi="he-IL"/>
        </w:rPr>
        <w:t xml:space="preserve">, </w:t>
      </w:r>
      <w:r w:rsidR="00B704AD" w:rsidRPr="00C8701B">
        <w:rPr>
          <w:rFonts w:eastAsia="Arial Unicode MS"/>
          <w:bCs/>
          <w:lang w:eastAsia="fr-FR" w:bidi="he-IL"/>
        </w:rPr>
        <w:t xml:space="preserve">car on ne saurait citer rien de semblable parmi les écrivains </w:t>
      </w:r>
      <w:r w:rsidR="00116664" w:rsidRPr="00C8701B">
        <w:rPr>
          <w:rFonts w:eastAsia="Arial Unicode MS"/>
          <w:bCs/>
          <w:lang w:eastAsia="fr-FR" w:bidi="he-IL"/>
        </w:rPr>
        <w:t>anciens</w:t>
      </w:r>
      <w:r w:rsidR="00B704AD" w:rsidRPr="00C8701B">
        <w:rPr>
          <w:rFonts w:eastAsia="Arial Unicode MS"/>
          <w:bCs/>
          <w:lang w:eastAsia="fr-FR" w:bidi="he-IL"/>
        </w:rPr>
        <w:t xml:space="preserve"> et modernes</w:t>
      </w:r>
      <w:r w:rsidR="00E65435">
        <w:rPr>
          <w:rFonts w:eastAsia="Arial Unicode MS"/>
          <w:bCs/>
          <w:lang w:eastAsia="fr-FR" w:bidi="he-IL"/>
        </w:rPr>
        <w:t xml:space="preserve">, </w:t>
      </w:r>
      <w:r w:rsidR="00B704AD" w:rsidRPr="00C8701B">
        <w:rPr>
          <w:rFonts w:eastAsia="Arial Unicode MS"/>
          <w:bCs/>
          <w:lang w:eastAsia="fr-FR" w:bidi="he-IL"/>
        </w:rPr>
        <w:t>c</w:t>
      </w:r>
      <w:r w:rsidR="00557DE0">
        <w:rPr>
          <w:rFonts w:eastAsia="Arial Unicode MS"/>
          <w:bCs/>
          <w:lang w:eastAsia="fr-FR" w:bidi="he-IL"/>
        </w:rPr>
        <w:t>’</w:t>
      </w:r>
      <w:r w:rsidR="00B704AD" w:rsidRPr="00C8701B">
        <w:rPr>
          <w:rFonts w:eastAsia="Arial Unicode MS"/>
          <w:bCs/>
          <w:lang w:eastAsia="fr-FR" w:bidi="he-IL"/>
        </w:rPr>
        <w:t>est-à-dire</w:t>
      </w:r>
      <w:r w:rsidR="00E65435">
        <w:rPr>
          <w:rFonts w:eastAsia="Arial Unicode MS"/>
          <w:bCs/>
          <w:lang w:eastAsia="fr-FR" w:bidi="he-IL"/>
        </w:rPr>
        <w:t xml:space="preserve">, </w:t>
      </w:r>
      <w:r w:rsidR="00B704AD" w:rsidRPr="00C8701B">
        <w:rPr>
          <w:rFonts w:eastAsia="Arial Unicode MS"/>
          <w:bCs/>
          <w:lang w:eastAsia="fr-FR" w:bidi="he-IL"/>
        </w:rPr>
        <w:t>un mélange si étonnant de variété et d</w:t>
      </w:r>
      <w:r w:rsidR="00557DE0">
        <w:rPr>
          <w:rFonts w:eastAsia="Arial Unicode MS"/>
          <w:bCs/>
          <w:lang w:eastAsia="fr-FR" w:bidi="he-IL"/>
        </w:rPr>
        <w:t>’</w:t>
      </w:r>
      <w:r w:rsidR="00B704AD" w:rsidRPr="00C8701B">
        <w:rPr>
          <w:rFonts w:eastAsia="Arial Unicode MS"/>
          <w:bCs/>
          <w:lang w:eastAsia="fr-FR" w:bidi="he-IL"/>
        </w:rPr>
        <w:t>harmonie</w:t>
      </w:r>
      <w:r w:rsidR="00E65435">
        <w:rPr>
          <w:rFonts w:eastAsia="Arial Unicode MS"/>
          <w:bCs/>
          <w:lang w:eastAsia="fr-FR" w:bidi="he-IL"/>
        </w:rPr>
        <w:t xml:space="preserve">, </w:t>
      </w:r>
      <w:r w:rsidR="00B704AD" w:rsidRPr="00C8701B">
        <w:rPr>
          <w:rFonts w:eastAsia="Arial Unicode MS"/>
          <w:bCs/>
          <w:lang w:eastAsia="fr-FR" w:bidi="he-IL"/>
        </w:rPr>
        <w:t>de différences et de coïncidences.</w:t>
      </w:r>
      <w:r w:rsidR="00C2602D" w:rsidRPr="00C8701B">
        <w:rPr>
          <w:rFonts w:eastAsia="Arial Unicode MS"/>
          <w:bCs/>
          <w:lang w:eastAsia="fr-FR" w:bidi="he-IL"/>
        </w:rPr>
        <w:t xml:space="preserve"> </w:t>
      </w:r>
    </w:p>
    <w:p w:rsidR="00C2602D" w:rsidRPr="00C8701B" w:rsidRDefault="00B704AD" w:rsidP="00606FEC">
      <w:pPr>
        <w:rPr>
          <w:rFonts w:eastAsia="Arial Unicode MS"/>
          <w:bCs/>
          <w:lang w:eastAsia="fr-FR" w:bidi="he-IL"/>
        </w:rPr>
      </w:pPr>
      <w:r w:rsidRPr="00C8701B">
        <w:rPr>
          <w:rFonts w:eastAsia="Arial Unicode MS"/>
          <w:bCs/>
          <w:lang w:eastAsia="fr-FR" w:bidi="he-IL"/>
        </w:rPr>
        <w:t>Il est essentiel d</w:t>
      </w:r>
      <w:r w:rsidR="00557DE0">
        <w:rPr>
          <w:rFonts w:eastAsia="Arial Unicode MS"/>
          <w:bCs/>
          <w:lang w:eastAsia="fr-FR" w:bidi="he-IL"/>
        </w:rPr>
        <w:t>’</w:t>
      </w:r>
      <w:r w:rsidRPr="00C8701B">
        <w:rPr>
          <w:rFonts w:eastAsia="Arial Unicode MS"/>
          <w:bCs/>
          <w:lang w:eastAsia="fr-FR" w:bidi="he-IL"/>
        </w:rPr>
        <w:t>insister sur ces deux éléments qui le composent</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sans quoi</w:t>
      </w:r>
      <w:r w:rsidR="00E65435">
        <w:rPr>
          <w:rFonts w:eastAsia="Arial Unicode MS"/>
          <w:bCs/>
          <w:lang w:eastAsia="fr-FR" w:bidi="he-IL"/>
        </w:rPr>
        <w:t xml:space="preserve">, </w:t>
      </w:r>
      <w:r w:rsidRPr="00C8701B">
        <w:rPr>
          <w:rFonts w:eastAsia="Arial Unicode MS"/>
          <w:bCs/>
          <w:lang w:eastAsia="fr-FR" w:bidi="he-IL"/>
        </w:rPr>
        <w:t>il ne serait qu</w:t>
      </w:r>
      <w:r w:rsidR="00557DE0">
        <w:rPr>
          <w:rFonts w:eastAsia="Arial Unicode MS"/>
          <w:bCs/>
          <w:lang w:eastAsia="fr-FR" w:bidi="he-IL"/>
        </w:rPr>
        <w:t>’</w:t>
      </w:r>
      <w:r w:rsidRPr="00C8701B">
        <w:rPr>
          <w:rFonts w:eastAsia="Arial Unicode MS"/>
          <w:bCs/>
          <w:lang w:eastAsia="fr-FR" w:bidi="he-IL"/>
        </w:rPr>
        <w:t>imparfaitement résolu. Les ressemblances</w:t>
      </w:r>
      <w:r w:rsidR="00E65435">
        <w:rPr>
          <w:rFonts w:eastAsia="Arial Unicode MS"/>
          <w:bCs/>
          <w:lang w:eastAsia="fr-FR" w:bidi="he-IL"/>
        </w:rPr>
        <w:t xml:space="preserve">, </w:t>
      </w:r>
      <w:r w:rsidRPr="00C8701B">
        <w:rPr>
          <w:rFonts w:eastAsia="Arial Unicode MS"/>
          <w:bCs/>
          <w:lang w:eastAsia="fr-FR" w:bidi="he-IL"/>
        </w:rPr>
        <w:t>si elles n</w:t>
      </w:r>
      <w:r w:rsidR="00557DE0">
        <w:rPr>
          <w:rFonts w:eastAsia="Arial Unicode MS"/>
          <w:bCs/>
          <w:lang w:eastAsia="fr-FR" w:bidi="he-IL"/>
        </w:rPr>
        <w:t>’</w:t>
      </w:r>
      <w:r w:rsidRPr="00C8701B">
        <w:rPr>
          <w:rFonts w:eastAsia="Arial Unicode MS"/>
          <w:bCs/>
          <w:lang w:eastAsia="fr-FR" w:bidi="he-IL"/>
        </w:rPr>
        <w:t>étaient pas associées à de si grandes divergences</w:t>
      </w:r>
      <w:r w:rsidR="00E65435">
        <w:rPr>
          <w:rFonts w:eastAsia="Arial Unicode MS"/>
          <w:bCs/>
          <w:lang w:eastAsia="fr-FR" w:bidi="he-IL"/>
        </w:rPr>
        <w:t xml:space="preserve">, </w:t>
      </w:r>
      <w:r w:rsidRPr="00C8701B">
        <w:rPr>
          <w:rFonts w:eastAsia="Arial Unicode MS"/>
          <w:bCs/>
          <w:lang w:eastAsia="fr-FR" w:bidi="he-IL"/>
        </w:rPr>
        <w:t>n</w:t>
      </w:r>
      <w:r w:rsidR="00557DE0">
        <w:rPr>
          <w:rFonts w:eastAsia="Arial Unicode MS"/>
          <w:bCs/>
          <w:lang w:eastAsia="fr-FR" w:bidi="he-IL"/>
        </w:rPr>
        <w:t>’</w:t>
      </w:r>
      <w:r w:rsidRPr="00C8701B">
        <w:rPr>
          <w:rFonts w:eastAsia="Arial Unicode MS"/>
          <w:bCs/>
          <w:lang w:eastAsia="fr-FR" w:bidi="he-IL"/>
        </w:rPr>
        <w:t>offriraient aucune difficulté</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on les expliquerait en disant</w:t>
      </w:r>
      <w:r w:rsidR="00E65435">
        <w:rPr>
          <w:rFonts w:eastAsia="Arial Unicode MS"/>
          <w:bCs/>
          <w:lang w:eastAsia="fr-FR" w:bidi="he-IL"/>
        </w:rPr>
        <w:t xml:space="preserve">, </w:t>
      </w:r>
      <w:r w:rsidRPr="00C8701B">
        <w:rPr>
          <w:rFonts w:eastAsia="Arial Unicode MS"/>
          <w:bCs/>
          <w:lang w:eastAsia="fr-FR" w:bidi="he-IL"/>
        </w:rPr>
        <w:t>comme on l</w:t>
      </w:r>
      <w:r w:rsidR="00557DE0">
        <w:rPr>
          <w:rFonts w:eastAsia="Arial Unicode MS"/>
          <w:bCs/>
          <w:lang w:eastAsia="fr-FR" w:bidi="he-IL"/>
        </w:rPr>
        <w:t>’</w:t>
      </w:r>
      <w:r w:rsidRPr="00C8701B">
        <w:rPr>
          <w:rFonts w:eastAsia="Arial Unicode MS"/>
          <w:bCs/>
          <w:lang w:eastAsia="fr-FR" w:bidi="he-IL"/>
        </w:rPr>
        <w:t>a dit en effet</w:t>
      </w:r>
      <w:r w:rsidR="00E65435">
        <w:rPr>
          <w:rFonts w:eastAsia="Arial Unicode MS"/>
          <w:bCs/>
          <w:lang w:eastAsia="fr-FR" w:bidi="he-IL"/>
        </w:rPr>
        <w:t xml:space="preserve">, </w:t>
      </w:r>
      <w:r w:rsidRPr="00C8701B">
        <w:rPr>
          <w:rFonts w:eastAsia="Arial Unicode MS"/>
          <w:bCs/>
          <w:lang w:eastAsia="fr-FR" w:bidi="he-IL"/>
        </w:rPr>
        <w:t>que les trois premiers évangélistes se sont copiés les uns les autres</w:t>
      </w:r>
      <w:r w:rsidR="00E65435">
        <w:rPr>
          <w:rFonts w:eastAsia="Arial Unicode MS"/>
          <w:bCs/>
          <w:lang w:eastAsia="fr-FR" w:bidi="he-IL"/>
        </w:rPr>
        <w:t xml:space="preserve">, </w:t>
      </w:r>
      <w:r w:rsidRPr="00C8701B">
        <w:rPr>
          <w:rFonts w:eastAsia="Arial Unicode MS"/>
          <w:bCs/>
          <w:lang w:eastAsia="fr-FR" w:bidi="he-IL"/>
        </w:rPr>
        <w:t>ou qu</w:t>
      </w:r>
      <w:r w:rsidR="00557DE0">
        <w:rPr>
          <w:rFonts w:eastAsia="Arial Unicode MS"/>
          <w:bCs/>
          <w:lang w:eastAsia="fr-FR" w:bidi="he-IL"/>
        </w:rPr>
        <w:t>’</w:t>
      </w:r>
      <w:r w:rsidRPr="00C8701B">
        <w:rPr>
          <w:rFonts w:eastAsia="Arial Unicode MS"/>
          <w:bCs/>
          <w:lang w:eastAsia="fr-FR" w:bidi="he-IL"/>
        </w:rPr>
        <w:t>ils ont puisé à une source commune. D</w:t>
      </w:r>
      <w:r w:rsidR="00557DE0">
        <w:rPr>
          <w:rFonts w:eastAsia="Arial Unicode MS"/>
          <w:bCs/>
          <w:lang w:eastAsia="fr-FR" w:bidi="he-IL"/>
        </w:rPr>
        <w:t>’</w:t>
      </w:r>
      <w:r w:rsidRPr="00C8701B">
        <w:rPr>
          <w:rFonts w:eastAsia="Arial Unicode MS"/>
          <w:bCs/>
          <w:lang w:eastAsia="fr-FR" w:bidi="he-IL"/>
        </w:rPr>
        <w:t>un autre côté</w:t>
      </w:r>
      <w:r w:rsidR="00E65435">
        <w:rPr>
          <w:rFonts w:eastAsia="Arial Unicode MS"/>
          <w:bCs/>
          <w:lang w:eastAsia="fr-FR" w:bidi="he-IL"/>
        </w:rPr>
        <w:t xml:space="preserve">, </w:t>
      </w:r>
      <w:r w:rsidRPr="00C8701B">
        <w:rPr>
          <w:rFonts w:eastAsia="Arial Unicode MS"/>
          <w:bCs/>
          <w:lang w:eastAsia="fr-FR" w:bidi="he-IL"/>
        </w:rPr>
        <w:t>sans leur association</w:t>
      </w:r>
      <w:r w:rsidR="00C2602D" w:rsidRPr="00C8701B">
        <w:rPr>
          <w:rFonts w:eastAsia="Arial Unicode MS"/>
          <w:bCs/>
          <w:lang w:eastAsia="fr-FR" w:bidi="he-IL"/>
        </w:rPr>
        <w:t xml:space="preserve"> </w:t>
      </w:r>
      <w:r w:rsidR="00A067B1" w:rsidRPr="000716BB">
        <w:rPr>
          <w:rFonts w:eastAsia="Arial Unicode MS"/>
          <w:bCs/>
          <w:lang w:eastAsia="fr-FR" w:bidi="he-IL"/>
        </w:rPr>
        <w:t>{</w:t>
      </w:r>
      <w:r w:rsidR="00A067B1">
        <w:rPr>
          <w:rFonts w:eastAsia="Arial Unicode MS"/>
          <w:bCs/>
          <w:lang w:eastAsia="fr-FR" w:bidi="he-IL"/>
        </w:rPr>
        <w:t>40</w:t>
      </w:r>
      <w:bookmarkStart w:id="67" w:name="pag040"/>
      <w:bookmarkEnd w:id="67"/>
      <w:r w:rsidR="00A067B1" w:rsidRPr="000716BB">
        <w:rPr>
          <w:rFonts w:eastAsia="Arial Unicode MS"/>
          <w:bCs/>
          <w:lang w:eastAsia="fr-FR" w:bidi="he-IL"/>
        </w:rPr>
        <w:t xml:space="preserve">} </w:t>
      </w:r>
      <w:r w:rsidRPr="00C8701B">
        <w:rPr>
          <w:rFonts w:eastAsia="Arial Unicode MS"/>
          <w:bCs/>
          <w:lang w:eastAsia="fr-FR" w:bidi="he-IL"/>
        </w:rPr>
        <w:t>avec de telles coïncidences de fond et de forme</w:t>
      </w:r>
      <w:r w:rsidR="00E65435">
        <w:rPr>
          <w:rFonts w:eastAsia="Arial Unicode MS"/>
          <w:bCs/>
          <w:lang w:eastAsia="fr-FR" w:bidi="he-IL"/>
        </w:rPr>
        <w:t xml:space="preserve">, </w:t>
      </w:r>
      <w:r w:rsidR="00606FEC">
        <w:rPr>
          <w:rFonts w:eastAsia="Arial Unicode MS"/>
          <w:bCs/>
          <w:lang w:eastAsia="fr-FR" w:bidi="he-IL"/>
        </w:rPr>
        <w:t xml:space="preserve">les </w:t>
      </w:r>
      <w:r w:rsidR="00116664">
        <w:rPr>
          <w:rFonts w:eastAsia="Arial Unicode MS"/>
          <w:bCs/>
          <w:lang w:eastAsia="fr-FR" w:bidi="he-IL"/>
        </w:rPr>
        <w:t>di</w:t>
      </w:r>
      <w:r w:rsidR="00116664" w:rsidRPr="00C8701B">
        <w:rPr>
          <w:rFonts w:eastAsia="Arial Unicode MS"/>
          <w:bCs/>
          <w:lang w:eastAsia="fr-FR" w:bidi="he-IL"/>
        </w:rPr>
        <w:t>vergence</w:t>
      </w:r>
      <w:r w:rsidR="00116664">
        <w:rPr>
          <w:rFonts w:eastAsia="Arial Unicode MS"/>
          <w:bCs/>
          <w:lang w:eastAsia="fr-FR" w:bidi="he-IL"/>
        </w:rPr>
        <w:t>s</w:t>
      </w:r>
      <w:r w:rsidR="00606FEC">
        <w:rPr>
          <w:rFonts w:eastAsia="Arial Unicode MS"/>
          <w:bCs/>
          <w:lang w:eastAsia="fr-FR" w:bidi="he-IL"/>
        </w:rPr>
        <w:t xml:space="preserve"> </w:t>
      </w:r>
      <w:r w:rsidRPr="00C8701B">
        <w:rPr>
          <w:rFonts w:eastAsia="Arial Unicode MS"/>
          <w:bCs/>
          <w:lang w:eastAsia="fr-FR" w:bidi="he-IL"/>
        </w:rPr>
        <w:t>prouveraient que les synoptiques</w:t>
      </w:r>
      <w:r w:rsidR="00E65435">
        <w:rPr>
          <w:rFonts w:eastAsia="Arial Unicode MS"/>
          <w:bCs/>
          <w:lang w:eastAsia="fr-FR" w:bidi="he-IL"/>
        </w:rPr>
        <w:t xml:space="preserve">, </w:t>
      </w:r>
      <w:r w:rsidRPr="00C8701B">
        <w:rPr>
          <w:rFonts w:eastAsia="Arial Unicode MS"/>
          <w:bCs/>
          <w:lang w:eastAsia="fr-FR" w:bidi="he-IL"/>
        </w:rPr>
        <w:t>en racontant substantiellement la même Vie</w:t>
      </w:r>
      <w:r w:rsidR="00E65435">
        <w:rPr>
          <w:rFonts w:eastAsia="Arial Unicode MS"/>
          <w:bCs/>
          <w:lang w:eastAsia="fr-FR" w:bidi="he-IL"/>
        </w:rPr>
        <w:t xml:space="preserve">, </w:t>
      </w:r>
      <w:r w:rsidRPr="00C8701B">
        <w:rPr>
          <w:rFonts w:eastAsia="Arial Unicode MS"/>
          <w:bCs/>
          <w:lang w:eastAsia="fr-FR" w:bidi="he-IL"/>
        </w:rPr>
        <w:t>ont été tout à fait indépendants les uns des autres. Ce sont</w:t>
      </w:r>
      <w:r w:rsidR="00E65435">
        <w:rPr>
          <w:rFonts w:eastAsia="Arial Unicode MS"/>
          <w:bCs/>
          <w:lang w:eastAsia="fr-FR" w:bidi="he-IL"/>
        </w:rPr>
        <w:t xml:space="preserve">, </w:t>
      </w:r>
      <w:r w:rsidRPr="00C8701B">
        <w:rPr>
          <w:rFonts w:eastAsia="Arial Unicode MS"/>
          <w:bCs/>
          <w:lang w:eastAsia="fr-FR" w:bidi="he-IL"/>
        </w:rPr>
        <w:t>ces ressemblances et ces différences combinées entre elles qui constituent le problème dont nous cherchons en ce moment la solution</w:t>
      </w:r>
      <w:r w:rsidR="00933C60" w:rsidRPr="00C406FF">
        <w:rPr>
          <w:rStyle w:val="Appelnotedebasdep"/>
        </w:rPr>
        <w:footnoteReference w:id="188"/>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606FEC">
      <w:pPr>
        <w:rPr>
          <w:rFonts w:eastAsia="Arial Unicode MS"/>
          <w:bCs/>
          <w:lang w:eastAsia="fr-FR" w:bidi="he-IL"/>
        </w:rPr>
      </w:pPr>
      <w:r w:rsidRPr="00C8701B">
        <w:rPr>
          <w:rFonts w:eastAsia="Arial Unicode MS"/>
          <w:bCs/>
          <w:lang w:eastAsia="fr-FR" w:bidi="he-IL"/>
        </w:rPr>
        <w:t>Dans l</w:t>
      </w:r>
      <w:r w:rsidR="00557DE0">
        <w:rPr>
          <w:rFonts w:eastAsia="Arial Unicode MS"/>
          <w:bCs/>
          <w:lang w:eastAsia="fr-FR" w:bidi="he-IL"/>
        </w:rPr>
        <w:t>’</w:t>
      </w:r>
      <w:r w:rsidRPr="00C8701B">
        <w:rPr>
          <w:rFonts w:eastAsia="Arial Unicode MS"/>
          <w:bCs/>
          <w:lang w:eastAsia="fr-FR" w:bidi="he-IL"/>
        </w:rPr>
        <w:t>antiquité</w:t>
      </w:r>
      <w:r w:rsidR="00E65435">
        <w:rPr>
          <w:rFonts w:eastAsia="Arial Unicode MS"/>
          <w:bCs/>
          <w:lang w:eastAsia="fr-FR" w:bidi="he-IL"/>
        </w:rPr>
        <w:t xml:space="preserve">, </w:t>
      </w:r>
      <w:r w:rsidRPr="00C8701B">
        <w:rPr>
          <w:rFonts w:eastAsia="Arial Unicode MS"/>
          <w:bCs/>
          <w:lang w:eastAsia="fr-FR" w:bidi="he-IL"/>
        </w:rPr>
        <w:t>ce problème inquiéta fort peu les Pères et les Docteurs. Ils s</w:t>
      </w:r>
      <w:r w:rsidR="00557DE0">
        <w:rPr>
          <w:rFonts w:eastAsia="Arial Unicode MS"/>
          <w:bCs/>
          <w:lang w:eastAsia="fr-FR" w:bidi="he-IL"/>
        </w:rPr>
        <w:t>’</w:t>
      </w:r>
      <w:r w:rsidRPr="00C8701B">
        <w:rPr>
          <w:rFonts w:eastAsia="Arial Unicode MS"/>
          <w:bCs/>
          <w:lang w:eastAsia="fr-FR" w:bidi="he-IL"/>
        </w:rPr>
        <w:t>efforçaient d</w:t>
      </w:r>
      <w:r w:rsidR="00557DE0">
        <w:rPr>
          <w:rFonts w:eastAsia="Arial Unicode MS"/>
          <w:bCs/>
          <w:lang w:eastAsia="fr-FR" w:bidi="he-IL"/>
        </w:rPr>
        <w:t>’</w:t>
      </w:r>
      <w:r w:rsidRPr="00C8701B">
        <w:rPr>
          <w:rFonts w:eastAsia="Arial Unicode MS"/>
          <w:bCs/>
          <w:lang w:eastAsia="fr-FR" w:bidi="he-IL"/>
        </w:rPr>
        <w:t>établir l</w:t>
      </w:r>
      <w:r w:rsidR="00557DE0">
        <w:rPr>
          <w:rFonts w:eastAsia="Arial Unicode MS"/>
          <w:bCs/>
          <w:lang w:eastAsia="fr-FR" w:bidi="he-IL"/>
        </w:rPr>
        <w:t>’</w:t>
      </w:r>
      <w:r w:rsidRPr="00C8701B">
        <w:rPr>
          <w:rFonts w:eastAsia="Arial Unicode MS"/>
          <w:bCs/>
          <w:lang w:eastAsia="fr-FR" w:bidi="he-IL"/>
        </w:rPr>
        <w:t>accord entre les évangélistes là où ils apercevaient des contradictions apparentes</w:t>
      </w:r>
      <w:r w:rsidR="00E65435">
        <w:rPr>
          <w:rFonts w:eastAsia="Arial Unicode MS"/>
          <w:bCs/>
          <w:lang w:eastAsia="fr-FR" w:bidi="he-IL"/>
        </w:rPr>
        <w:t xml:space="preserve">, </w:t>
      </w:r>
      <w:r w:rsidRPr="00C8701B">
        <w:rPr>
          <w:rFonts w:eastAsia="Arial Unicode MS"/>
          <w:bCs/>
          <w:lang w:eastAsia="fr-FR" w:bidi="he-IL"/>
        </w:rPr>
        <w:t>ainsi qu</w:t>
      </w:r>
      <w:r w:rsidR="00557DE0">
        <w:rPr>
          <w:rFonts w:eastAsia="Arial Unicode MS"/>
          <w:bCs/>
          <w:lang w:eastAsia="fr-FR" w:bidi="he-IL"/>
        </w:rPr>
        <w:t>’</w:t>
      </w:r>
      <w:r w:rsidRPr="00C8701B">
        <w:rPr>
          <w:rFonts w:eastAsia="Arial Unicode MS"/>
          <w:bCs/>
          <w:lang w:eastAsia="fr-FR" w:bidi="he-IL"/>
        </w:rPr>
        <w:t>il a</w:t>
      </w:r>
      <w:r w:rsidR="00606FEC">
        <w:rPr>
          <w:rFonts w:eastAsia="Arial Unicode MS"/>
          <w:bCs/>
          <w:lang w:eastAsia="fr-FR" w:bidi="he-IL"/>
        </w:rPr>
        <w:t xml:space="preserve"> </w:t>
      </w:r>
      <w:r w:rsidRPr="00C8701B">
        <w:rPr>
          <w:rFonts w:eastAsia="Arial Unicode MS"/>
          <w:bCs/>
          <w:lang w:eastAsia="fr-FR" w:bidi="he-IL"/>
        </w:rPr>
        <w:t>été dit plus haut</w:t>
      </w:r>
      <w:r w:rsidR="00933C60" w:rsidRPr="00C406FF">
        <w:rPr>
          <w:rStyle w:val="Appelnotedebasdep"/>
        </w:rPr>
        <w:footnoteReference w:id="189"/>
      </w:r>
      <w:r w:rsidR="00C2602D" w:rsidRPr="00C8701B">
        <w:rPr>
          <w:rFonts w:eastAsia="Arial Unicode MS"/>
          <w:bCs/>
          <w:lang w:eastAsia="fr-FR" w:bidi="he-IL"/>
        </w:rPr>
        <w:t> :</w:t>
      </w:r>
      <w:r w:rsidRPr="00C8701B">
        <w:rPr>
          <w:rFonts w:eastAsia="Arial Unicode MS"/>
          <w:bCs/>
          <w:lang w:eastAsia="fr-FR" w:bidi="he-IL"/>
        </w:rPr>
        <w:t xml:space="preserve"> cela leur suffisait. La genèse même et l</w:t>
      </w:r>
      <w:r w:rsidR="00557DE0">
        <w:rPr>
          <w:rFonts w:eastAsia="Arial Unicode MS"/>
          <w:bCs/>
          <w:lang w:eastAsia="fr-FR" w:bidi="he-IL"/>
        </w:rPr>
        <w:t>’</w:t>
      </w:r>
      <w:r w:rsidRPr="00C8701B">
        <w:rPr>
          <w:rFonts w:eastAsia="Arial Unicode MS"/>
          <w:bCs/>
          <w:lang w:eastAsia="fr-FR" w:bidi="he-IL"/>
        </w:rPr>
        <w:t>origine des évangiles ne présentaient pour eux aucun intérêt spécial. D</w:t>
      </w:r>
      <w:r w:rsidR="00557DE0">
        <w:rPr>
          <w:rFonts w:eastAsia="Arial Unicode MS"/>
          <w:bCs/>
          <w:lang w:eastAsia="fr-FR" w:bidi="he-IL"/>
        </w:rPr>
        <w:t>’</w:t>
      </w:r>
      <w:r w:rsidRPr="00C8701B">
        <w:rPr>
          <w:rFonts w:eastAsia="Arial Unicode MS"/>
          <w:bCs/>
          <w:lang w:eastAsia="fr-FR" w:bidi="he-IL"/>
        </w:rPr>
        <w:t>une part</w:t>
      </w:r>
      <w:r w:rsidR="00E65435">
        <w:rPr>
          <w:rFonts w:eastAsia="Arial Unicode MS"/>
          <w:bCs/>
          <w:lang w:eastAsia="fr-FR" w:bidi="he-IL"/>
        </w:rPr>
        <w:t xml:space="preserve">, </w:t>
      </w:r>
      <w:r w:rsidR="00606FEC">
        <w:rPr>
          <w:rFonts w:eastAsia="Arial Unicode MS"/>
          <w:bCs/>
          <w:lang w:eastAsia="fr-FR" w:bidi="he-IL"/>
        </w:rPr>
        <w:t>ces livres ven</w:t>
      </w:r>
      <w:r w:rsidRPr="00C8701B">
        <w:rPr>
          <w:rFonts w:eastAsia="Arial Unicode MS"/>
          <w:bCs/>
          <w:lang w:eastAsia="fr-FR" w:bidi="he-IL"/>
        </w:rPr>
        <w:t>aient de Dieu</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de l</w:t>
      </w:r>
      <w:r w:rsidR="00557DE0">
        <w:rPr>
          <w:rFonts w:eastAsia="Arial Unicode MS"/>
          <w:bCs/>
          <w:lang w:eastAsia="fr-FR" w:bidi="he-IL"/>
        </w:rPr>
        <w:t>’</w:t>
      </w:r>
      <w:r w:rsidRPr="00C8701B">
        <w:rPr>
          <w:rFonts w:eastAsia="Arial Unicode MS"/>
          <w:bCs/>
          <w:lang w:eastAsia="fr-FR" w:bidi="he-IL"/>
        </w:rPr>
        <w:t>autre</w:t>
      </w:r>
      <w:r w:rsidR="00E65435">
        <w:rPr>
          <w:rFonts w:eastAsia="Arial Unicode MS"/>
          <w:bCs/>
          <w:lang w:eastAsia="fr-FR" w:bidi="he-IL"/>
        </w:rPr>
        <w:t xml:space="preserve">, </w:t>
      </w:r>
      <w:r w:rsidRPr="00C8701B">
        <w:rPr>
          <w:rFonts w:eastAsia="Arial Unicode MS"/>
          <w:bCs/>
          <w:lang w:eastAsia="fr-FR" w:bidi="he-IL"/>
        </w:rPr>
        <w:t>ils avaient été écrits réellement par</w:t>
      </w:r>
      <w:r w:rsidR="00606FEC">
        <w:rPr>
          <w:rFonts w:eastAsia="Arial Unicode MS"/>
          <w:bCs/>
          <w:lang w:eastAsia="fr-FR" w:bidi="he-IL"/>
        </w:rPr>
        <w:t xml:space="preserve"> </w:t>
      </w:r>
      <w:r w:rsidRPr="00C8701B">
        <w:rPr>
          <w:rFonts w:eastAsia="Arial Unicode MS"/>
          <w:bCs/>
          <w:lang w:eastAsia="fr-FR" w:bidi="he-IL"/>
        </w:rPr>
        <w:t>les auteurs auxquels une tradition constante les attribuait</w:t>
      </w:r>
      <w:r w:rsidR="00C2602D" w:rsidRPr="00C8701B">
        <w:rPr>
          <w:rFonts w:eastAsia="Arial Unicode MS"/>
          <w:bCs/>
          <w:lang w:eastAsia="fr-FR" w:bidi="he-IL"/>
        </w:rPr>
        <w:t> :</w:t>
      </w:r>
      <w:r w:rsidRPr="00C8701B">
        <w:rPr>
          <w:rFonts w:eastAsia="Arial Unicode MS"/>
          <w:bCs/>
          <w:lang w:eastAsia="fr-FR" w:bidi="he-IL"/>
        </w:rPr>
        <w:t xml:space="preserve"> que fallait-il de plus à des hommes et à des temps de foi</w:t>
      </w:r>
      <w:r w:rsidR="00C2602D" w:rsidRPr="00C8701B">
        <w:rPr>
          <w:rFonts w:eastAsia="Arial Unicode MS"/>
          <w:bCs/>
          <w:lang w:eastAsia="fr-FR" w:bidi="he-IL"/>
        </w:rPr>
        <w:t xml:space="preserve"> ? </w:t>
      </w:r>
    </w:p>
    <w:p w:rsidR="00C2602D" w:rsidRPr="00C8701B" w:rsidRDefault="00B704AD" w:rsidP="00C2602D">
      <w:pPr>
        <w:rPr>
          <w:rFonts w:eastAsia="Arial Unicode MS"/>
          <w:bCs/>
          <w:lang w:eastAsia="fr-FR" w:bidi="he-IL"/>
        </w:rPr>
      </w:pPr>
      <w:r w:rsidRPr="00C8701B">
        <w:rPr>
          <w:rFonts w:eastAsia="Arial Unicode MS"/>
          <w:bCs/>
          <w:lang w:eastAsia="fr-FR" w:bidi="he-IL"/>
        </w:rPr>
        <w:t>Plus tard</w:t>
      </w:r>
      <w:r w:rsidR="00E65435">
        <w:rPr>
          <w:rFonts w:eastAsia="Arial Unicode MS"/>
          <w:bCs/>
          <w:lang w:eastAsia="fr-FR" w:bidi="he-IL"/>
        </w:rPr>
        <w:t xml:space="preserve">, </w:t>
      </w:r>
      <w:r w:rsidRPr="00C8701B">
        <w:rPr>
          <w:rFonts w:eastAsia="Arial Unicode MS"/>
          <w:bCs/>
          <w:lang w:eastAsia="fr-FR" w:bidi="he-IL"/>
        </w:rPr>
        <w:t>les partisans rigides de l</w:t>
      </w:r>
      <w:r w:rsidR="00557DE0">
        <w:rPr>
          <w:rFonts w:eastAsia="Arial Unicode MS"/>
          <w:bCs/>
          <w:lang w:eastAsia="fr-FR" w:bidi="he-IL"/>
        </w:rPr>
        <w:t>’</w:t>
      </w:r>
      <w:r w:rsidRPr="00C8701B">
        <w:rPr>
          <w:rFonts w:eastAsia="Arial Unicode MS"/>
          <w:bCs/>
          <w:lang w:eastAsia="fr-FR" w:bidi="he-IL"/>
        </w:rPr>
        <w:t xml:space="preserve">inspiration verbale tranchèrent le </w:t>
      </w:r>
      <w:r w:rsidR="00116664" w:rsidRPr="00C8701B">
        <w:rPr>
          <w:rFonts w:eastAsia="Arial Unicode MS"/>
          <w:bCs/>
          <w:lang w:eastAsia="fr-FR" w:bidi="he-IL"/>
        </w:rPr>
        <w:t>nœud</w:t>
      </w:r>
      <w:r w:rsidRPr="00C8701B">
        <w:rPr>
          <w:rFonts w:eastAsia="Arial Unicode MS"/>
          <w:bCs/>
          <w:lang w:eastAsia="fr-FR" w:bidi="he-IL"/>
        </w:rPr>
        <w:t xml:space="preserve"> gordien à la façon d</w:t>
      </w:r>
      <w:r w:rsidR="00557DE0">
        <w:rPr>
          <w:rFonts w:eastAsia="Arial Unicode MS"/>
          <w:bCs/>
          <w:lang w:eastAsia="fr-FR" w:bidi="he-IL"/>
        </w:rPr>
        <w:t>’</w:t>
      </w:r>
      <w:r w:rsidRPr="00C8701B">
        <w:rPr>
          <w:rFonts w:eastAsia="Arial Unicode MS"/>
          <w:bCs/>
          <w:lang w:eastAsia="fr-FR" w:bidi="he-IL"/>
        </w:rPr>
        <w:t>Alexandre</w:t>
      </w:r>
      <w:r w:rsidR="00E65435">
        <w:rPr>
          <w:rFonts w:eastAsia="Arial Unicode MS"/>
          <w:bCs/>
          <w:lang w:eastAsia="fr-FR" w:bidi="he-IL"/>
        </w:rPr>
        <w:t xml:space="preserve">, </w:t>
      </w:r>
      <w:r w:rsidRPr="00C8701B">
        <w:rPr>
          <w:rFonts w:eastAsia="Arial Unicode MS"/>
          <w:bCs/>
          <w:lang w:eastAsia="fr-FR" w:bidi="he-IL"/>
        </w:rPr>
        <w:t>en disant que Dieu lui-mêm</w:t>
      </w:r>
      <w:r w:rsidR="00606FEC">
        <w:rPr>
          <w:rFonts w:eastAsia="Arial Unicode MS"/>
          <w:bCs/>
          <w:lang w:eastAsia="fr-FR" w:bidi="he-IL"/>
        </w:rPr>
        <w:t xml:space="preserve">e avait dicté mot pour mot aux </w:t>
      </w:r>
      <w:r w:rsidR="00116664">
        <w:rPr>
          <w:rFonts w:eastAsia="Arial Unicode MS"/>
          <w:bCs/>
          <w:lang w:eastAsia="fr-FR" w:bidi="he-IL"/>
        </w:rPr>
        <w:t>é</w:t>
      </w:r>
      <w:r w:rsidR="00116664" w:rsidRPr="00C8701B">
        <w:rPr>
          <w:rFonts w:eastAsia="Arial Unicode MS"/>
          <w:bCs/>
          <w:lang w:eastAsia="fr-FR" w:bidi="he-IL"/>
        </w:rPr>
        <w:t>vangélistes</w:t>
      </w:r>
      <w:r w:rsidRPr="00C8701B">
        <w:rPr>
          <w:rFonts w:eastAsia="Arial Unicode MS"/>
          <w:bCs/>
          <w:lang w:eastAsia="fr-FR" w:bidi="he-IL"/>
        </w:rPr>
        <w:t xml:space="preserve"> ce qu</w:t>
      </w:r>
      <w:r w:rsidR="00557DE0">
        <w:rPr>
          <w:rFonts w:eastAsia="Arial Unicode MS"/>
          <w:bCs/>
          <w:lang w:eastAsia="fr-FR" w:bidi="he-IL"/>
        </w:rPr>
        <w:t>’</w:t>
      </w:r>
      <w:r w:rsidRPr="00C8701B">
        <w:rPr>
          <w:rFonts w:eastAsia="Arial Unicode MS"/>
          <w:bCs/>
          <w:lang w:eastAsia="fr-FR" w:bidi="he-IL"/>
        </w:rPr>
        <w:t>ils devaient écrire. Mais on rejette aujourd</w:t>
      </w:r>
      <w:r w:rsidR="00557DE0">
        <w:rPr>
          <w:rFonts w:eastAsia="Arial Unicode MS"/>
          <w:bCs/>
          <w:lang w:eastAsia="fr-FR" w:bidi="he-IL"/>
        </w:rPr>
        <w:t>’</w:t>
      </w:r>
      <w:r w:rsidRPr="00C8701B">
        <w:rPr>
          <w:rFonts w:eastAsia="Arial Unicode MS"/>
          <w:bCs/>
          <w:lang w:eastAsia="fr-FR" w:bidi="he-IL"/>
        </w:rPr>
        <w:t>hui à bon droit cette théorie arbitraire</w:t>
      </w:r>
      <w:r w:rsidR="00E65435">
        <w:rPr>
          <w:rFonts w:eastAsia="Arial Unicode MS"/>
          <w:bCs/>
          <w:lang w:eastAsia="fr-FR" w:bidi="he-IL"/>
        </w:rPr>
        <w:t xml:space="preserve">, </w:t>
      </w:r>
      <w:r w:rsidRPr="00C8701B">
        <w:rPr>
          <w:rFonts w:eastAsia="Arial Unicode MS"/>
          <w:bCs/>
          <w:lang w:eastAsia="fr-FR" w:bidi="he-IL"/>
        </w:rPr>
        <w:t xml:space="preserve">qui est </w:t>
      </w:r>
      <w:r w:rsidR="00116664" w:rsidRPr="00C8701B">
        <w:rPr>
          <w:rFonts w:eastAsia="Arial Unicode MS"/>
          <w:bCs/>
          <w:lang w:eastAsia="fr-FR" w:bidi="he-IL"/>
        </w:rPr>
        <w:t>réfutée</w:t>
      </w:r>
      <w:r w:rsidRPr="00C8701B">
        <w:rPr>
          <w:rFonts w:eastAsia="Arial Unicode MS"/>
          <w:bCs/>
          <w:lang w:eastAsia="fr-FR" w:bidi="he-IL"/>
        </w:rPr>
        <w:t xml:space="preserve"> par les écrivains sacrés eux-mêmes</w:t>
      </w:r>
      <w:r w:rsidR="00933C60" w:rsidRPr="00C406FF">
        <w:rPr>
          <w:rStyle w:val="Appelnotedebasdep"/>
        </w:rPr>
        <w:footnoteReference w:id="190"/>
      </w:r>
      <w:r w:rsidRPr="00C8701B">
        <w:rPr>
          <w:rFonts w:eastAsia="Arial Unicode MS"/>
          <w:bCs/>
          <w:lang w:eastAsia="fr-FR" w:bidi="he-IL"/>
        </w:rPr>
        <w:t>.</w:t>
      </w:r>
      <w:r w:rsidR="00C2602D" w:rsidRPr="00C8701B">
        <w:rPr>
          <w:rFonts w:eastAsia="Arial Unicode MS"/>
          <w:bCs/>
          <w:lang w:eastAsia="fr-FR" w:bidi="he-IL"/>
        </w:rPr>
        <w:t xml:space="preserve"> </w:t>
      </w:r>
    </w:p>
    <w:p w:rsidR="00C2602D" w:rsidRDefault="00B704AD" w:rsidP="00606FEC">
      <w:pPr>
        <w:rPr>
          <w:rFonts w:eastAsia="Arial Unicode MS"/>
          <w:bCs/>
          <w:lang w:eastAsia="fr-FR" w:bidi="he-IL"/>
        </w:rPr>
      </w:pPr>
      <w:r w:rsidRPr="00C8701B">
        <w:rPr>
          <w:rFonts w:eastAsia="Arial Unicode MS"/>
          <w:bCs/>
          <w:lang w:eastAsia="fr-FR" w:bidi="he-IL"/>
        </w:rPr>
        <w:t xml:space="preserve">Les tentatives qui ont eu lieu depuis les dernières années du </w:t>
      </w:r>
      <w:r w:rsidR="00CA083D">
        <w:rPr>
          <w:rFonts w:eastAsia="Arial Unicode MS"/>
          <w:bCs/>
          <w:lang w:eastAsia="fr-FR" w:bidi="he-IL"/>
        </w:rPr>
        <w:t>XVII</w:t>
      </w:r>
      <w:r w:rsidR="00C87A2B">
        <w:rPr>
          <w:rFonts w:eastAsia="Arial Unicode MS"/>
          <w:bCs/>
          <w:lang w:eastAsia="fr-FR" w:bidi="he-IL"/>
        </w:rPr>
        <w:t>I</w:t>
      </w:r>
      <w:r w:rsidR="00606FEC">
        <w:rPr>
          <w:rFonts w:eastAsia="Arial Unicode MS"/>
          <w:bCs/>
          <w:lang w:eastAsia="fr-FR" w:bidi="he-IL"/>
        </w:rPr>
        <w:t>e</w:t>
      </w:r>
      <w:r w:rsidRPr="00C8701B">
        <w:rPr>
          <w:rFonts w:eastAsia="Arial Unicode MS"/>
          <w:bCs/>
          <w:lang w:eastAsia="fr-FR" w:bidi="he-IL"/>
        </w:rPr>
        <w:t xml:space="preserve"> </w:t>
      </w:r>
      <w:r w:rsidR="00116664" w:rsidRPr="00C8701B">
        <w:rPr>
          <w:rFonts w:eastAsia="Arial Unicode MS"/>
          <w:bCs/>
          <w:lang w:eastAsia="fr-FR" w:bidi="he-IL"/>
        </w:rPr>
        <w:t>siècle</w:t>
      </w:r>
      <w:r w:rsidR="00E65435">
        <w:rPr>
          <w:rFonts w:eastAsia="Arial Unicode MS"/>
          <w:bCs/>
          <w:lang w:eastAsia="fr-FR" w:bidi="he-IL"/>
        </w:rPr>
        <w:t xml:space="preserve">, </w:t>
      </w:r>
      <w:r w:rsidRPr="00C8701B">
        <w:rPr>
          <w:rFonts w:eastAsia="Arial Unicode MS"/>
          <w:bCs/>
          <w:lang w:eastAsia="fr-FR" w:bidi="he-IL"/>
        </w:rPr>
        <w:t>et de nos jours surtout</w:t>
      </w:r>
      <w:r w:rsidR="00E65435">
        <w:rPr>
          <w:rFonts w:eastAsia="Arial Unicode MS"/>
          <w:bCs/>
          <w:lang w:eastAsia="fr-FR" w:bidi="he-IL"/>
        </w:rPr>
        <w:t xml:space="preserve">, </w:t>
      </w:r>
      <w:r w:rsidRPr="00C8701B">
        <w:rPr>
          <w:rFonts w:eastAsia="Arial Unicode MS"/>
          <w:bCs/>
          <w:lang w:eastAsia="fr-FR" w:bidi="he-IL"/>
        </w:rPr>
        <w:t>pour expliquer la difficulté proposée</w:t>
      </w:r>
      <w:r w:rsidR="00E65435">
        <w:rPr>
          <w:rFonts w:eastAsia="Arial Unicode MS"/>
          <w:bCs/>
          <w:lang w:eastAsia="fr-FR" w:bidi="he-IL"/>
        </w:rPr>
        <w:t xml:space="preserve">, </w:t>
      </w:r>
      <w:r w:rsidRPr="00C8701B">
        <w:rPr>
          <w:rFonts w:eastAsia="Arial Unicode MS"/>
          <w:bCs/>
          <w:lang w:eastAsia="fr-FR" w:bidi="he-IL"/>
        </w:rPr>
        <w:t>sont tellement nombreuses</w:t>
      </w:r>
      <w:r w:rsidR="00E65435">
        <w:rPr>
          <w:rFonts w:eastAsia="Arial Unicode MS"/>
          <w:bCs/>
          <w:lang w:eastAsia="fr-FR" w:bidi="he-IL"/>
        </w:rPr>
        <w:t xml:space="preserve">, </w:t>
      </w:r>
      <w:r w:rsidRPr="00C8701B">
        <w:rPr>
          <w:rFonts w:eastAsia="Arial Unicode MS"/>
          <w:bCs/>
          <w:lang w:eastAsia="fr-FR" w:bidi="he-IL"/>
        </w:rPr>
        <w:t>qu</w:t>
      </w:r>
      <w:r w:rsidR="00557DE0">
        <w:rPr>
          <w:rFonts w:eastAsia="Arial Unicode MS"/>
          <w:bCs/>
          <w:lang w:eastAsia="fr-FR" w:bidi="he-IL"/>
        </w:rPr>
        <w:t>’</w:t>
      </w:r>
      <w:r w:rsidRPr="00C8701B">
        <w:rPr>
          <w:rFonts w:eastAsia="Arial Unicode MS"/>
          <w:bCs/>
          <w:lang w:eastAsia="fr-FR" w:bidi="he-IL"/>
        </w:rPr>
        <w:t>il est beaucoup p</w:t>
      </w:r>
      <w:r w:rsidR="00606FEC">
        <w:rPr>
          <w:rFonts w:eastAsia="Arial Unicode MS"/>
          <w:bCs/>
          <w:lang w:eastAsia="fr-FR" w:bidi="he-IL"/>
        </w:rPr>
        <w:t>lus facile de les grouper par ca</w:t>
      </w:r>
      <w:r w:rsidRPr="00C8701B">
        <w:rPr>
          <w:rFonts w:eastAsia="Arial Unicode MS"/>
          <w:bCs/>
          <w:lang w:eastAsia="fr-FR" w:bidi="he-IL"/>
        </w:rPr>
        <w:t>tégories que de les énumérer toutes. Il en est</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ailleurs</w:t>
      </w:r>
      <w:r w:rsidR="00E65435">
        <w:rPr>
          <w:rFonts w:eastAsia="Arial Unicode MS"/>
          <w:bCs/>
          <w:lang w:eastAsia="fr-FR" w:bidi="he-IL"/>
        </w:rPr>
        <w:t xml:space="preserve">, </w:t>
      </w:r>
      <w:r w:rsidRPr="00C8701B">
        <w:rPr>
          <w:rFonts w:eastAsia="Arial Unicode MS"/>
          <w:bCs/>
          <w:lang w:eastAsia="fr-FR" w:bidi="he-IL"/>
        </w:rPr>
        <w:t>de si originales</w:t>
      </w:r>
      <w:r w:rsidR="00E65435">
        <w:rPr>
          <w:rFonts w:eastAsia="Arial Unicode MS"/>
          <w:bCs/>
          <w:lang w:eastAsia="fr-FR" w:bidi="he-IL"/>
        </w:rPr>
        <w:t xml:space="preserve">, </w:t>
      </w:r>
      <w:r w:rsidRPr="00C8701B">
        <w:rPr>
          <w:rFonts w:eastAsia="Arial Unicode MS"/>
          <w:bCs/>
          <w:lang w:eastAsia="fr-FR" w:bidi="he-IL"/>
        </w:rPr>
        <w:t>et même de si absurdes</w:t>
      </w:r>
      <w:r w:rsidR="00E65435">
        <w:rPr>
          <w:rFonts w:eastAsia="Arial Unicode MS"/>
          <w:bCs/>
          <w:lang w:eastAsia="fr-FR" w:bidi="he-IL"/>
        </w:rPr>
        <w:t xml:space="preserve">, </w:t>
      </w:r>
      <w:r w:rsidRPr="00C8701B">
        <w:rPr>
          <w:rFonts w:eastAsia="Arial Unicode MS"/>
          <w:bCs/>
          <w:lang w:eastAsia="fr-FR" w:bidi="he-IL"/>
        </w:rPr>
        <w:t xml:space="preserve">que </w:t>
      </w:r>
      <w:r w:rsidR="00C2602D" w:rsidRPr="00C8701B">
        <w:rPr>
          <w:rFonts w:eastAsia="Arial Unicode MS"/>
          <w:bCs/>
          <w:lang w:eastAsia="fr-FR" w:bidi="he-IL"/>
        </w:rPr>
        <w:t>« </w:t>
      </w:r>
      <w:r w:rsidRPr="00C8701B">
        <w:rPr>
          <w:rFonts w:eastAsia="Arial Unicode MS"/>
          <w:bCs/>
          <w:lang w:eastAsia="fr-FR" w:bidi="he-IL"/>
        </w:rPr>
        <w:t>les discuter au long serait peine perdue</w:t>
      </w:r>
      <w:r w:rsidR="00C2602D" w:rsidRPr="00C8701B">
        <w:rPr>
          <w:rFonts w:eastAsia="Arial Unicode MS"/>
          <w:bCs/>
          <w:lang w:eastAsia="fr-FR" w:bidi="he-IL"/>
        </w:rPr>
        <w:t> »</w:t>
      </w:r>
      <w:r w:rsidR="00933C60" w:rsidRPr="00C406FF">
        <w:rPr>
          <w:rStyle w:val="Appelnotedebasdep"/>
        </w:rPr>
        <w:footnoteReference w:id="191"/>
      </w:r>
      <w:r w:rsidRPr="00C8701B">
        <w:rPr>
          <w:rFonts w:eastAsia="Arial Unicode MS"/>
          <w:bCs/>
          <w:lang w:eastAsia="fr-FR" w:bidi="he-IL"/>
        </w:rPr>
        <w:t>. Elles vont</w:t>
      </w:r>
      <w:r w:rsidR="00E65435">
        <w:rPr>
          <w:rFonts w:eastAsia="Arial Unicode MS"/>
          <w:bCs/>
          <w:lang w:eastAsia="fr-FR" w:bidi="he-IL"/>
        </w:rPr>
        <w:t xml:space="preserve">, </w:t>
      </w:r>
      <w:r w:rsidRPr="00C8701B">
        <w:rPr>
          <w:rFonts w:eastAsia="Arial Unicode MS"/>
          <w:bCs/>
          <w:lang w:eastAsia="fr-FR" w:bidi="he-IL"/>
        </w:rPr>
        <w:t>du reste</w:t>
      </w:r>
      <w:r w:rsidR="00E65435">
        <w:rPr>
          <w:rFonts w:eastAsia="Arial Unicode MS"/>
          <w:bCs/>
          <w:lang w:eastAsia="fr-FR" w:bidi="he-IL"/>
        </w:rPr>
        <w:t xml:space="preserve">, </w:t>
      </w:r>
      <w:r w:rsidRPr="00C8701B">
        <w:rPr>
          <w:rFonts w:eastAsia="Arial Unicode MS"/>
          <w:bCs/>
          <w:lang w:eastAsia="fr-FR" w:bidi="he-IL"/>
        </w:rPr>
        <w:t>se multipliant à tout instant</w:t>
      </w:r>
      <w:r w:rsidR="00C2602D" w:rsidRPr="00C8701B">
        <w:rPr>
          <w:rFonts w:eastAsia="Arial Unicode MS"/>
          <w:bCs/>
          <w:lang w:eastAsia="fr-FR" w:bidi="he-IL"/>
        </w:rPr>
        <w:t> :</w:t>
      </w:r>
      <w:r w:rsidRPr="00C8701B">
        <w:rPr>
          <w:rFonts w:eastAsia="Arial Unicode MS"/>
          <w:bCs/>
          <w:lang w:eastAsia="fr-FR" w:bidi="he-IL"/>
        </w:rPr>
        <w:t xml:space="preserve"> on dirait</w:t>
      </w:r>
      <w:r w:rsidR="00E65435">
        <w:rPr>
          <w:rFonts w:eastAsia="Arial Unicode MS"/>
          <w:bCs/>
          <w:lang w:eastAsia="fr-FR" w:bidi="he-IL"/>
        </w:rPr>
        <w:t xml:space="preserve">, </w:t>
      </w:r>
      <w:r w:rsidRPr="00C8701B">
        <w:rPr>
          <w:rFonts w:eastAsia="Arial Unicode MS"/>
          <w:bCs/>
          <w:lang w:eastAsia="fr-FR" w:bidi="he-IL"/>
        </w:rPr>
        <w:t>suivant la très fine observation de M. Kaulen</w:t>
      </w:r>
      <w:r w:rsidR="00933C60" w:rsidRPr="00C406FF">
        <w:rPr>
          <w:rStyle w:val="Appelnotedebasdep"/>
        </w:rPr>
        <w:footnoteReference w:id="192"/>
      </w:r>
      <w:r w:rsidR="00E65435">
        <w:rPr>
          <w:rFonts w:eastAsia="Arial Unicode MS"/>
          <w:bCs/>
          <w:lang w:eastAsia="fr-FR" w:bidi="he-IL"/>
        </w:rPr>
        <w:t xml:space="preserve">, </w:t>
      </w:r>
      <w:r w:rsidRPr="00C8701B">
        <w:rPr>
          <w:rFonts w:eastAsia="Arial Unicode MS"/>
          <w:bCs/>
          <w:lang w:eastAsia="fr-FR" w:bidi="he-IL"/>
        </w:rPr>
        <w:t xml:space="preserve">que chaque nouveau venu sur le domaine de la critique évangélique </w:t>
      </w:r>
      <w:r w:rsidR="00C2602D" w:rsidRPr="00C8701B">
        <w:rPr>
          <w:rFonts w:eastAsia="Arial Unicode MS"/>
          <w:bCs/>
          <w:lang w:eastAsia="fr-FR" w:bidi="he-IL"/>
        </w:rPr>
        <w:t>« </w:t>
      </w:r>
      <w:r w:rsidRPr="00C8701B">
        <w:rPr>
          <w:rFonts w:eastAsia="Arial Unicode MS"/>
          <w:bCs/>
          <w:lang w:eastAsia="fr-FR" w:bidi="he-IL"/>
        </w:rPr>
        <w:t>cherche pour ainsi dire à gagner ses éperons en inventant une nouvelle théorie</w:t>
      </w:r>
      <w:r w:rsidR="00606FEC">
        <w:rPr>
          <w:rFonts w:eastAsia="Arial Unicode MS"/>
          <w:bCs/>
          <w:lang w:eastAsia="fr-FR" w:bidi="he-IL"/>
        </w:rPr>
        <w:t>. »</w:t>
      </w:r>
      <w:r w:rsidRPr="00C8701B">
        <w:rPr>
          <w:rFonts w:eastAsia="Arial Unicode MS"/>
          <w:bCs/>
          <w:lang w:eastAsia="fr-FR" w:bidi="he-IL"/>
        </w:rPr>
        <w:t xml:space="preserve"> Aussi</w:t>
      </w:r>
      <w:r w:rsidR="00E65435">
        <w:rPr>
          <w:rFonts w:eastAsia="Arial Unicode MS"/>
          <w:bCs/>
          <w:lang w:eastAsia="fr-FR" w:bidi="he-IL"/>
        </w:rPr>
        <w:t xml:space="preserve">, </w:t>
      </w:r>
      <w:r w:rsidRPr="00C8701B">
        <w:rPr>
          <w:rFonts w:eastAsia="Arial Unicode MS"/>
          <w:bCs/>
          <w:lang w:eastAsia="fr-FR" w:bidi="he-IL"/>
        </w:rPr>
        <w:t>est-ce souvent le règne de l</w:t>
      </w:r>
      <w:r w:rsidR="00557DE0">
        <w:rPr>
          <w:rFonts w:eastAsia="Arial Unicode MS"/>
          <w:bCs/>
          <w:lang w:eastAsia="fr-FR" w:bidi="he-IL"/>
        </w:rPr>
        <w:t>’</w:t>
      </w:r>
      <w:r w:rsidRPr="00C8701B">
        <w:rPr>
          <w:rFonts w:eastAsia="Arial Unicode MS"/>
          <w:bCs/>
          <w:lang w:eastAsia="fr-FR" w:bidi="he-IL"/>
        </w:rPr>
        <w:t xml:space="preserve">arbitraire et de </w:t>
      </w:r>
      <w:r w:rsidR="00C2602D" w:rsidRPr="00C8701B">
        <w:rPr>
          <w:rFonts w:eastAsia="Arial Unicode MS"/>
          <w:bCs/>
          <w:lang w:eastAsia="fr-FR" w:bidi="he-IL"/>
        </w:rPr>
        <w:t>«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extravagance</w:t>
      </w:r>
      <w:r w:rsidR="00C2602D" w:rsidRPr="00C8701B">
        <w:rPr>
          <w:rFonts w:eastAsia="Arial Unicode MS"/>
          <w:bCs/>
          <w:lang w:eastAsia="fr-FR" w:bidi="he-IL"/>
        </w:rPr>
        <w:t> »</w:t>
      </w:r>
      <w:r w:rsidR="00933C60" w:rsidRPr="00C406FF">
        <w:rPr>
          <w:rStyle w:val="Appelnotedebasdep"/>
        </w:rPr>
        <w:footnoteReference w:id="193"/>
      </w:r>
      <w:r w:rsidRPr="00C8701B">
        <w:rPr>
          <w:rFonts w:eastAsia="Arial Unicode MS"/>
          <w:bCs/>
          <w:lang w:eastAsia="fr-FR" w:bidi="he-IL"/>
        </w:rPr>
        <w:t>. Les</w:t>
      </w:r>
      <w:r w:rsidR="00606FEC">
        <w:rPr>
          <w:rFonts w:eastAsia="Arial Unicode MS"/>
          <w:bCs/>
          <w:lang w:eastAsia="fr-FR" w:bidi="he-IL"/>
        </w:rPr>
        <w:t xml:space="preserve"> </w:t>
      </w:r>
      <w:r w:rsidRPr="00C8701B">
        <w:rPr>
          <w:rFonts w:eastAsia="Arial Unicode MS"/>
          <w:bCs/>
          <w:lang w:eastAsia="fr-FR" w:bidi="he-IL"/>
        </w:rPr>
        <w:t>rationalistes eux-mêmes en rient</w:t>
      </w:r>
      <w:r w:rsidR="00C2602D" w:rsidRPr="00C8701B">
        <w:rPr>
          <w:rFonts w:eastAsia="Arial Unicode MS"/>
          <w:bCs/>
          <w:lang w:eastAsia="fr-FR" w:bidi="he-IL"/>
        </w:rPr>
        <w:t> :</w:t>
      </w:r>
      <w:r w:rsidRPr="00C8701B">
        <w:rPr>
          <w:rFonts w:eastAsia="Arial Unicode MS"/>
          <w:bCs/>
          <w:lang w:eastAsia="fr-FR" w:bidi="he-IL"/>
        </w:rPr>
        <w:t xml:space="preserve"> Strauss</w:t>
      </w:r>
      <w:r w:rsidR="00E65435">
        <w:rPr>
          <w:rFonts w:eastAsia="Arial Unicode MS"/>
          <w:bCs/>
          <w:lang w:eastAsia="fr-FR" w:bidi="he-IL"/>
        </w:rPr>
        <w:t xml:space="preserve">, </w:t>
      </w:r>
      <w:r w:rsidRPr="00C8701B">
        <w:rPr>
          <w:rFonts w:eastAsia="Arial Unicode MS"/>
          <w:bCs/>
          <w:lang w:eastAsia="fr-FR" w:bidi="he-IL"/>
        </w:rPr>
        <w:t>par exemple</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après lequel ces théories ne démontrent qu</w:t>
      </w:r>
      <w:r w:rsidR="00557DE0">
        <w:rPr>
          <w:rFonts w:eastAsia="Arial Unicode MS"/>
          <w:bCs/>
          <w:lang w:eastAsia="fr-FR" w:bidi="he-IL"/>
        </w:rPr>
        <w:t>’</w:t>
      </w:r>
      <w:r w:rsidRPr="00C8701B">
        <w:rPr>
          <w:rFonts w:eastAsia="Arial Unicode MS"/>
          <w:bCs/>
          <w:lang w:eastAsia="fr-FR" w:bidi="he-IL"/>
        </w:rPr>
        <w:t>une chose</w:t>
      </w:r>
      <w:r w:rsidR="00E65435">
        <w:rPr>
          <w:rFonts w:eastAsia="Arial Unicode MS"/>
          <w:bCs/>
          <w:lang w:eastAsia="fr-FR" w:bidi="he-IL"/>
        </w:rPr>
        <w:t xml:space="preserve">, </w:t>
      </w:r>
      <w:r w:rsidR="00C2602D" w:rsidRPr="00C8701B">
        <w:rPr>
          <w:rFonts w:eastAsia="Arial Unicode MS"/>
          <w:bCs/>
          <w:lang w:eastAsia="fr-FR" w:bidi="he-IL"/>
        </w:rPr>
        <w:t>«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incertitude et l</w:t>
      </w:r>
      <w:r w:rsidR="00557DE0">
        <w:rPr>
          <w:rFonts w:eastAsia="Arial Unicode MS"/>
          <w:bCs/>
          <w:lang w:eastAsia="fr-FR" w:bidi="he-IL"/>
        </w:rPr>
        <w:t>’</w:t>
      </w:r>
      <w:r w:rsidRPr="00C8701B">
        <w:rPr>
          <w:rFonts w:eastAsia="Arial Unicode MS"/>
          <w:bCs/>
          <w:lang w:eastAsia="fr-FR" w:bidi="he-IL"/>
        </w:rPr>
        <w:t>extrême faiblesse de la critique</w:t>
      </w:r>
      <w:r w:rsidR="00606FEC">
        <w:rPr>
          <w:rFonts w:eastAsia="Arial Unicode MS"/>
          <w:bCs/>
          <w:lang w:eastAsia="fr-FR" w:bidi="he-IL"/>
        </w:rPr>
        <w:t> »</w:t>
      </w:r>
      <w:r w:rsidR="00933C60" w:rsidRPr="00C406FF">
        <w:rPr>
          <w:rStyle w:val="Appelnotedebasdep"/>
        </w:rPr>
        <w:footnoteReference w:id="194"/>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Keim également</w:t>
      </w:r>
      <w:r w:rsidR="00E65435">
        <w:rPr>
          <w:rFonts w:eastAsia="Arial Unicode MS"/>
          <w:bCs/>
          <w:lang w:eastAsia="fr-FR" w:bidi="he-IL"/>
        </w:rPr>
        <w:t xml:space="preserve">, </w:t>
      </w:r>
      <w:r w:rsidRPr="00C8701B">
        <w:rPr>
          <w:rFonts w:eastAsia="Arial Unicode MS"/>
          <w:bCs/>
          <w:lang w:eastAsia="fr-FR" w:bidi="he-IL"/>
        </w:rPr>
        <w:t xml:space="preserve">qui les appelle des </w:t>
      </w:r>
      <w:r w:rsidR="00C2602D" w:rsidRPr="00C8701B">
        <w:rPr>
          <w:rFonts w:eastAsia="Arial Unicode MS"/>
          <w:bCs/>
          <w:lang w:eastAsia="fr-FR" w:bidi="he-IL"/>
        </w:rPr>
        <w:t>« </w:t>
      </w:r>
      <w:r w:rsidRPr="00C8701B">
        <w:rPr>
          <w:rFonts w:eastAsia="Arial Unicode MS"/>
          <w:bCs/>
          <w:lang w:eastAsia="fr-FR" w:bidi="he-IL"/>
        </w:rPr>
        <w:t>hypothèses stériles</w:t>
      </w:r>
      <w:r w:rsidR="00E65435">
        <w:rPr>
          <w:rFonts w:eastAsia="Arial Unicode MS"/>
          <w:bCs/>
          <w:lang w:eastAsia="fr-FR" w:bidi="he-IL"/>
        </w:rPr>
        <w:t xml:space="preserve">, </w:t>
      </w:r>
      <w:r w:rsidRPr="00C8701B">
        <w:rPr>
          <w:rFonts w:eastAsia="Arial Unicode MS"/>
          <w:bCs/>
          <w:lang w:eastAsia="fr-FR" w:bidi="he-IL"/>
        </w:rPr>
        <w:t>sans fondement solide</w:t>
      </w:r>
      <w:r w:rsidR="00933C60" w:rsidRPr="00C406FF">
        <w:rPr>
          <w:rStyle w:val="Appelnotedebasdep"/>
        </w:rPr>
        <w:footnoteReference w:id="195"/>
      </w:r>
      <w:r w:rsidRPr="00C8701B">
        <w:rPr>
          <w:rFonts w:eastAsia="Arial Unicode MS"/>
          <w:bCs/>
          <w:lang w:eastAsia="fr-FR" w:bidi="he-IL"/>
        </w:rPr>
        <w:t>.</w:t>
      </w:r>
      <w:r w:rsidR="00C2602D" w:rsidRPr="00C8701B">
        <w:rPr>
          <w:rFonts w:eastAsia="Arial Unicode MS"/>
          <w:bCs/>
          <w:lang w:eastAsia="fr-FR" w:bidi="he-IL"/>
        </w:rPr>
        <w:t xml:space="preserve"> » </w:t>
      </w:r>
    </w:p>
    <w:p w:rsidR="00C2602D" w:rsidRDefault="00B704AD" w:rsidP="00606FEC">
      <w:pPr>
        <w:rPr>
          <w:rFonts w:eastAsia="Arial Unicode MS"/>
          <w:bCs/>
          <w:lang w:eastAsia="fr-FR" w:bidi="he-IL"/>
        </w:rPr>
      </w:pPr>
      <w:r w:rsidRPr="00C8701B">
        <w:rPr>
          <w:rFonts w:eastAsia="Arial Unicode MS"/>
          <w:bCs/>
          <w:lang w:eastAsia="fr-FR" w:bidi="he-IL"/>
        </w:rPr>
        <w:t>Et cependant</w:t>
      </w:r>
      <w:r w:rsidR="00E65435">
        <w:rPr>
          <w:rFonts w:eastAsia="Arial Unicode MS"/>
          <w:bCs/>
          <w:lang w:eastAsia="fr-FR" w:bidi="he-IL"/>
        </w:rPr>
        <w:t xml:space="preserve">, </w:t>
      </w:r>
      <w:r w:rsidRPr="00C8701B">
        <w:rPr>
          <w:rFonts w:eastAsia="Arial Unicode MS"/>
          <w:bCs/>
          <w:lang w:eastAsia="fr-FR" w:bidi="he-IL"/>
        </w:rPr>
        <w:t>avec quelle hardiesse</w:t>
      </w:r>
      <w:r w:rsidR="00E65435">
        <w:rPr>
          <w:rFonts w:eastAsia="Arial Unicode MS"/>
          <w:bCs/>
          <w:lang w:eastAsia="fr-FR" w:bidi="he-IL"/>
        </w:rPr>
        <w:t xml:space="preserve">, </w:t>
      </w:r>
      <w:r w:rsidR="00606FEC">
        <w:rPr>
          <w:rFonts w:eastAsia="Arial Unicode MS"/>
          <w:bCs/>
          <w:lang w:eastAsia="fr-FR" w:bidi="he-IL"/>
        </w:rPr>
        <w:t>— n</w:t>
      </w:r>
      <w:r w:rsidRPr="00C8701B">
        <w:rPr>
          <w:rFonts w:eastAsia="Arial Unicode MS"/>
          <w:bCs/>
          <w:lang w:eastAsia="fr-FR" w:bidi="he-IL"/>
        </w:rPr>
        <w:t>ous dirions presque avec quelle arrogance</w:t>
      </w:r>
      <w:r w:rsidR="00E65435">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sont exposées ces combinaisons impossibles</w:t>
      </w:r>
      <w:r w:rsidR="00C2602D" w:rsidRPr="00C8701B">
        <w:rPr>
          <w:rFonts w:eastAsia="Arial Unicode MS"/>
          <w:bCs/>
          <w:lang w:eastAsia="fr-FR" w:bidi="he-IL"/>
        </w:rPr>
        <w:t> !</w:t>
      </w:r>
      <w:r w:rsidRPr="00C8701B">
        <w:rPr>
          <w:rFonts w:eastAsia="Arial Unicode MS"/>
          <w:bCs/>
          <w:lang w:eastAsia="fr-FR" w:bidi="he-IL"/>
        </w:rPr>
        <w:t xml:space="preserve"> </w:t>
      </w:r>
      <w:r w:rsidR="00594D4D" w:rsidRPr="000716BB">
        <w:rPr>
          <w:rFonts w:eastAsia="Arial Unicode MS"/>
          <w:bCs/>
          <w:lang w:eastAsia="fr-FR" w:bidi="he-IL"/>
        </w:rPr>
        <w:t>{</w:t>
      </w:r>
      <w:r w:rsidR="00594D4D">
        <w:rPr>
          <w:rFonts w:eastAsia="Arial Unicode MS"/>
          <w:bCs/>
          <w:lang w:eastAsia="fr-FR" w:bidi="he-IL"/>
        </w:rPr>
        <w:t>41</w:t>
      </w:r>
      <w:bookmarkStart w:id="68" w:name="pag041"/>
      <w:bookmarkEnd w:id="68"/>
      <w:r w:rsidR="00594D4D" w:rsidRPr="000716BB">
        <w:rPr>
          <w:rFonts w:eastAsia="Arial Unicode MS"/>
          <w:bCs/>
          <w:lang w:eastAsia="fr-FR" w:bidi="he-IL"/>
        </w:rPr>
        <w:t xml:space="preserve">} </w:t>
      </w:r>
      <w:r w:rsidR="00C2602D" w:rsidRPr="00C8701B">
        <w:rPr>
          <w:rFonts w:eastAsia="Arial Unicode MS"/>
          <w:bCs/>
          <w:lang w:eastAsia="fr-FR" w:bidi="he-IL"/>
        </w:rPr>
        <w:t>« </w:t>
      </w:r>
      <w:r w:rsidRPr="00C8701B">
        <w:rPr>
          <w:rFonts w:eastAsia="Arial Unicode MS"/>
          <w:bCs/>
          <w:lang w:eastAsia="fr-FR" w:bidi="he-IL"/>
        </w:rPr>
        <w:t>Il semble</w:t>
      </w:r>
      <w:r w:rsidR="00C2602D" w:rsidRPr="00C8701B">
        <w:rPr>
          <w:rFonts w:eastAsia="Arial Unicode MS"/>
          <w:bCs/>
          <w:lang w:eastAsia="fr-FR" w:bidi="he-IL"/>
        </w:rPr>
        <w:t xml:space="preserve"> </w:t>
      </w:r>
      <w:r w:rsidRPr="00C8701B">
        <w:rPr>
          <w:rFonts w:eastAsia="Arial Unicode MS"/>
          <w:bCs/>
          <w:lang w:eastAsia="fr-FR" w:bidi="he-IL"/>
        </w:rPr>
        <w:t>que leurs auteurs répètent pour leur compte le mot du fabuliste</w:t>
      </w:r>
      <w:r w:rsidR="00C2602D" w:rsidRPr="00C8701B">
        <w:rPr>
          <w:rFonts w:eastAsia="Arial Unicode MS"/>
          <w:bCs/>
          <w:lang w:eastAsia="fr-FR" w:bidi="he-IL"/>
        </w:rPr>
        <w:t> :</w:t>
      </w:r>
      <w:r w:rsidRPr="00C8701B">
        <w:rPr>
          <w:rFonts w:eastAsia="Arial Unicode MS"/>
          <w:bCs/>
          <w:lang w:eastAsia="fr-FR" w:bidi="he-IL"/>
        </w:rPr>
        <w:t xml:space="preserve"> J</w:t>
      </w:r>
      <w:r w:rsidR="00557DE0">
        <w:rPr>
          <w:rFonts w:eastAsia="Arial Unicode MS"/>
          <w:bCs/>
          <w:lang w:eastAsia="fr-FR" w:bidi="he-IL"/>
        </w:rPr>
        <w:t>’</w:t>
      </w:r>
      <w:r w:rsidRPr="00C8701B">
        <w:rPr>
          <w:rFonts w:eastAsia="Arial Unicode MS"/>
          <w:bCs/>
          <w:lang w:eastAsia="fr-FR" w:bidi="he-IL"/>
        </w:rPr>
        <w:t>y étais</w:t>
      </w:r>
      <w:r w:rsidR="00E65435">
        <w:rPr>
          <w:rFonts w:eastAsia="Arial Unicode MS"/>
          <w:bCs/>
          <w:lang w:eastAsia="fr-FR" w:bidi="he-IL"/>
        </w:rPr>
        <w:t xml:space="preserve">, </w:t>
      </w:r>
      <w:r w:rsidRPr="00C8701B">
        <w:rPr>
          <w:rFonts w:eastAsia="Arial Unicode MS"/>
          <w:bCs/>
          <w:lang w:eastAsia="fr-FR" w:bidi="he-IL"/>
        </w:rPr>
        <w:t>telle chose m</w:t>
      </w:r>
      <w:r w:rsidR="00557DE0">
        <w:rPr>
          <w:rFonts w:eastAsia="Arial Unicode MS"/>
          <w:bCs/>
          <w:lang w:eastAsia="fr-FR" w:bidi="he-IL"/>
        </w:rPr>
        <w:t>’</w:t>
      </w:r>
      <w:r w:rsidR="00606FEC">
        <w:rPr>
          <w:rFonts w:eastAsia="Arial Unicode MS"/>
          <w:bCs/>
          <w:lang w:eastAsia="fr-FR" w:bidi="he-IL"/>
        </w:rPr>
        <w:t>advint</w:t>
      </w:r>
      <w:r w:rsidR="00933C60" w:rsidRPr="00C406FF">
        <w:rPr>
          <w:rStyle w:val="Appelnotedebasdep"/>
        </w:rPr>
        <w:footnoteReference w:id="196"/>
      </w:r>
      <w:r w:rsidR="00606FEC">
        <w:rPr>
          <w:rFonts w:eastAsia="Arial Unicode MS"/>
          <w:bCs/>
          <w:lang w:eastAsia="fr-FR" w:bidi="he-IL"/>
        </w:rPr>
        <w:t>. »</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De</w:t>
      </w:r>
      <w:bookmarkStart w:id="69" w:name="evin070204dequelque"/>
      <w:bookmarkEnd w:id="69"/>
      <w:r w:rsidRPr="00C8701B">
        <w:rPr>
          <w:rFonts w:eastAsia="Arial Unicode MS"/>
          <w:bCs/>
          <w:lang w:eastAsia="fr-FR" w:bidi="he-IL"/>
        </w:rPr>
        <w:t xml:space="preserve"> quelque façon que l</w:t>
      </w:r>
      <w:r w:rsidR="00557DE0">
        <w:rPr>
          <w:rFonts w:eastAsia="Arial Unicode MS"/>
          <w:bCs/>
          <w:lang w:eastAsia="fr-FR" w:bidi="he-IL"/>
        </w:rPr>
        <w:t>’</w:t>
      </w:r>
      <w:r w:rsidRPr="00C8701B">
        <w:rPr>
          <w:rFonts w:eastAsia="Arial Unicode MS"/>
          <w:bCs/>
          <w:lang w:eastAsia="fr-FR" w:bidi="he-IL"/>
        </w:rPr>
        <w:t>on s</w:t>
      </w:r>
      <w:r w:rsidR="00557DE0">
        <w:rPr>
          <w:rFonts w:eastAsia="Arial Unicode MS"/>
          <w:bCs/>
          <w:lang w:eastAsia="fr-FR" w:bidi="he-IL"/>
        </w:rPr>
        <w:t>’</w:t>
      </w:r>
      <w:r w:rsidRPr="00C8701B">
        <w:rPr>
          <w:rFonts w:eastAsia="Arial Unicode MS"/>
          <w:bCs/>
          <w:lang w:eastAsia="fr-FR" w:bidi="he-IL"/>
        </w:rPr>
        <w:t>y prenne</w:t>
      </w:r>
      <w:r w:rsidR="00E65435">
        <w:rPr>
          <w:rFonts w:eastAsia="Arial Unicode MS"/>
          <w:bCs/>
          <w:lang w:eastAsia="fr-FR" w:bidi="he-IL"/>
        </w:rPr>
        <w:t xml:space="preserve">, </w:t>
      </w:r>
      <w:r w:rsidRPr="00C8701B">
        <w:rPr>
          <w:rFonts w:eastAsia="Arial Unicode MS"/>
          <w:bCs/>
          <w:lang w:eastAsia="fr-FR" w:bidi="he-IL"/>
        </w:rPr>
        <w:t>une solution absolument sûre est impossible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mais</w:t>
      </w:r>
      <w:r w:rsidR="00E65435">
        <w:rPr>
          <w:rFonts w:eastAsia="Arial Unicode MS"/>
          <w:bCs/>
          <w:lang w:eastAsia="fr-FR" w:bidi="he-IL"/>
        </w:rPr>
        <w:t xml:space="preserve">, </w:t>
      </w:r>
      <w:r w:rsidRPr="00C8701B">
        <w:rPr>
          <w:rFonts w:eastAsia="Arial Unicode MS"/>
          <w:bCs/>
          <w:lang w:eastAsia="fr-FR" w:bidi="he-IL"/>
        </w:rPr>
        <w:t>on ne peut se lancer dans l</w:t>
      </w:r>
      <w:r w:rsidR="00557DE0">
        <w:rPr>
          <w:rFonts w:eastAsia="Arial Unicode MS"/>
          <w:bCs/>
          <w:lang w:eastAsia="fr-FR" w:bidi="he-IL"/>
        </w:rPr>
        <w:t>’</w:t>
      </w:r>
      <w:r w:rsidRPr="00C8701B">
        <w:rPr>
          <w:rFonts w:eastAsia="Arial Unicode MS"/>
          <w:bCs/>
          <w:lang w:eastAsia="fr-FR" w:bidi="he-IL"/>
        </w:rPr>
        <w:t>étude de cette question délicate avec quelque espoir de la trancher convenablement</w:t>
      </w:r>
      <w:r w:rsidR="00E65435">
        <w:rPr>
          <w:rFonts w:eastAsia="Arial Unicode MS"/>
          <w:bCs/>
          <w:lang w:eastAsia="fr-FR" w:bidi="he-IL"/>
        </w:rPr>
        <w:t xml:space="preserve">, </w:t>
      </w:r>
      <w:r w:rsidRPr="00C8701B">
        <w:rPr>
          <w:rFonts w:eastAsia="Arial Unicode MS"/>
          <w:bCs/>
          <w:lang w:eastAsia="fr-FR" w:bidi="he-IL"/>
        </w:rPr>
        <w:t>qu</w:t>
      </w:r>
      <w:r w:rsidR="00557DE0">
        <w:rPr>
          <w:rFonts w:eastAsia="Arial Unicode MS"/>
          <w:bCs/>
          <w:lang w:eastAsia="fr-FR" w:bidi="he-IL"/>
        </w:rPr>
        <w:t>’</w:t>
      </w:r>
      <w:r w:rsidRPr="00C8701B">
        <w:rPr>
          <w:rFonts w:eastAsia="Arial Unicode MS"/>
          <w:bCs/>
          <w:lang w:eastAsia="fr-FR" w:bidi="he-IL"/>
        </w:rPr>
        <w:t>à la condition très expresse de ne pas quitter le domaine de l</w:t>
      </w:r>
      <w:r w:rsidR="00557DE0">
        <w:rPr>
          <w:rFonts w:eastAsia="Arial Unicode MS"/>
          <w:bCs/>
          <w:lang w:eastAsia="fr-FR" w:bidi="he-IL"/>
        </w:rPr>
        <w:t>’</w:t>
      </w:r>
      <w:r w:rsidRPr="00C8701B">
        <w:rPr>
          <w:rFonts w:eastAsia="Arial Unicode MS"/>
          <w:bCs/>
          <w:lang w:eastAsia="fr-FR" w:bidi="he-IL"/>
        </w:rPr>
        <w:t>histoire</w:t>
      </w:r>
      <w:r w:rsidR="000819BA">
        <w:rPr>
          <w:rFonts w:eastAsia="Arial Unicode MS"/>
          <w:bCs/>
          <w:lang w:eastAsia="fr-FR" w:bidi="he-IL"/>
        </w:rPr>
        <w:t>.</w:t>
      </w:r>
      <w:r w:rsidR="00E65435">
        <w:rPr>
          <w:rFonts w:eastAsia="Arial Unicode MS"/>
          <w:bCs/>
          <w:lang w:eastAsia="fr-FR" w:bidi="he-IL"/>
        </w:rPr>
        <w:t xml:space="preserve"> </w:t>
      </w:r>
      <w:r w:rsidRPr="00C8701B">
        <w:rPr>
          <w:rFonts w:eastAsia="Arial Unicode MS"/>
          <w:bCs/>
          <w:lang w:eastAsia="fr-FR" w:bidi="he-IL"/>
        </w:rPr>
        <w:t>Sans une base historique</w:t>
      </w:r>
      <w:r w:rsidR="00E65435">
        <w:rPr>
          <w:rFonts w:eastAsia="Arial Unicode MS"/>
          <w:bCs/>
          <w:lang w:eastAsia="fr-FR" w:bidi="he-IL"/>
        </w:rPr>
        <w:t xml:space="preserve">, </w:t>
      </w:r>
      <w:r w:rsidRPr="00C8701B">
        <w:rPr>
          <w:rFonts w:eastAsia="Arial Unicode MS"/>
          <w:bCs/>
          <w:lang w:eastAsia="fr-FR" w:bidi="he-IL"/>
        </w:rPr>
        <w:t>il n</w:t>
      </w:r>
      <w:r w:rsidR="00557DE0">
        <w:rPr>
          <w:rFonts w:eastAsia="Arial Unicode MS"/>
          <w:bCs/>
          <w:lang w:eastAsia="fr-FR" w:bidi="he-IL"/>
        </w:rPr>
        <w:t>’</w:t>
      </w:r>
      <w:r w:rsidRPr="00C8701B">
        <w:rPr>
          <w:rFonts w:eastAsia="Arial Unicode MS"/>
          <w:bCs/>
          <w:lang w:eastAsia="fr-FR" w:bidi="he-IL"/>
        </w:rPr>
        <w:t>y a de place que pour la confusion et l</w:t>
      </w:r>
      <w:r w:rsidR="00557DE0">
        <w:rPr>
          <w:rFonts w:eastAsia="Arial Unicode MS"/>
          <w:bCs/>
          <w:lang w:eastAsia="fr-FR" w:bidi="he-IL"/>
        </w:rPr>
        <w:t>’</w:t>
      </w:r>
      <w:r w:rsidRPr="00C8701B">
        <w:rPr>
          <w:rFonts w:eastAsia="Arial Unicode MS"/>
          <w:bCs/>
          <w:lang w:eastAsia="fr-FR" w:bidi="he-IL"/>
        </w:rPr>
        <w:t>arbitraire</w:t>
      </w:r>
      <w:r w:rsidR="00933C60" w:rsidRPr="00C406FF">
        <w:rPr>
          <w:rStyle w:val="Appelnotedebasdep"/>
        </w:rPr>
        <w:footnoteReference w:id="197"/>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Les systèmes qui nous ont paru mériter une mention se ramènent à deux chefs</w:t>
      </w:r>
      <w:r w:rsidR="00E65435">
        <w:rPr>
          <w:rFonts w:eastAsia="Arial Unicode MS"/>
          <w:bCs/>
          <w:lang w:eastAsia="fr-FR" w:bidi="he-IL"/>
        </w:rPr>
        <w:t xml:space="preserve">, </w:t>
      </w:r>
      <w:r w:rsidRPr="00C8701B">
        <w:rPr>
          <w:rFonts w:eastAsia="Arial Unicode MS"/>
          <w:bCs/>
          <w:lang w:eastAsia="fr-FR" w:bidi="he-IL"/>
        </w:rPr>
        <w:t>selon qu</w:t>
      </w:r>
      <w:r w:rsidR="00557DE0">
        <w:rPr>
          <w:rFonts w:eastAsia="Arial Unicode MS"/>
          <w:bCs/>
          <w:lang w:eastAsia="fr-FR" w:bidi="he-IL"/>
        </w:rPr>
        <w:t>’</w:t>
      </w:r>
      <w:r w:rsidRPr="00C8701B">
        <w:rPr>
          <w:rFonts w:eastAsia="Arial Unicode MS"/>
          <w:bCs/>
          <w:lang w:eastAsia="fr-FR" w:bidi="he-IL"/>
        </w:rPr>
        <w:t>ils supposent que les synoptique</w:t>
      </w:r>
      <w:r w:rsidR="000819BA">
        <w:rPr>
          <w:rFonts w:eastAsia="Arial Unicode MS"/>
          <w:bCs/>
          <w:lang w:eastAsia="fr-FR" w:bidi="he-IL"/>
        </w:rPr>
        <w:t>s se sont copiés les uns les aut</w:t>
      </w:r>
      <w:r w:rsidRPr="00C8701B">
        <w:rPr>
          <w:rFonts w:eastAsia="Arial Unicode MS"/>
          <w:bCs/>
          <w:lang w:eastAsia="fr-FR" w:bidi="he-IL"/>
        </w:rPr>
        <w:t>res</w:t>
      </w:r>
      <w:r w:rsidR="00933C60" w:rsidRPr="00C406FF">
        <w:rPr>
          <w:rStyle w:val="Appelnotedebasdep"/>
        </w:rPr>
        <w:footnoteReference w:id="198"/>
      </w:r>
      <w:r w:rsidR="00E65435">
        <w:rPr>
          <w:rFonts w:eastAsia="Arial Unicode MS"/>
          <w:bCs/>
          <w:lang w:eastAsia="fr-FR" w:bidi="he-IL"/>
        </w:rPr>
        <w:t xml:space="preserve">, </w:t>
      </w:r>
      <w:r w:rsidRPr="00C8701B">
        <w:rPr>
          <w:rFonts w:eastAsia="Arial Unicode MS"/>
          <w:bCs/>
          <w:lang w:eastAsia="fr-FR" w:bidi="he-IL"/>
        </w:rPr>
        <w:t>ou qu</w:t>
      </w:r>
      <w:r w:rsidR="00557DE0">
        <w:rPr>
          <w:rFonts w:eastAsia="Arial Unicode MS"/>
          <w:bCs/>
          <w:lang w:eastAsia="fr-FR" w:bidi="he-IL"/>
        </w:rPr>
        <w:t>’</w:t>
      </w:r>
      <w:r w:rsidRPr="00C8701B">
        <w:rPr>
          <w:rFonts w:eastAsia="Arial Unicode MS"/>
          <w:bCs/>
          <w:lang w:eastAsia="fr-FR" w:bidi="he-IL"/>
        </w:rPr>
        <w:t>ils ont eu recours à une source commune. Cette source pouvant être ou écrite</w:t>
      </w:r>
      <w:r w:rsidR="00933C60" w:rsidRPr="00C406FF">
        <w:rPr>
          <w:rStyle w:val="Appelnotedebasdep"/>
        </w:rPr>
        <w:footnoteReference w:id="199"/>
      </w:r>
      <w:r w:rsidRPr="00C8701B">
        <w:rPr>
          <w:rFonts w:eastAsia="Arial Unicode MS"/>
          <w:bCs/>
          <w:lang w:eastAsia="fr-FR" w:bidi="he-IL"/>
        </w:rPr>
        <w:t xml:space="preserve"> ou orale</w:t>
      </w:r>
      <w:r w:rsidR="00933C60" w:rsidRPr="00C406FF">
        <w:rPr>
          <w:rStyle w:val="Appelnotedebasdep"/>
        </w:rPr>
        <w:footnoteReference w:id="200"/>
      </w:r>
      <w:r w:rsidR="00E65435">
        <w:rPr>
          <w:rFonts w:eastAsia="Arial Unicode MS"/>
          <w:bCs/>
          <w:lang w:eastAsia="fr-FR" w:bidi="he-IL"/>
        </w:rPr>
        <w:t xml:space="preserve">, </w:t>
      </w:r>
      <w:r w:rsidRPr="00C8701B">
        <w:rPr>
          <w:rFonts w:eastAsia="Arial Unicode MS"/>
          <w:bCs/>
          <w:lang w:eastAsia="fr-FR" w:bidi="he-IL"/>
        </w:rPr>
        <w:t>de là résultent trois hypothèses principales. Il s</w:t>
      </w:r>
      <w:r w:rsidR="00557DE0">
        <w:rPr>
          <w:rFonts w:eastAsia="Arial Unicode MS"/>
          <w:bCs/>
          <w:lang w:eastAsia="fr-FR" w:bidi="he-IL"/>
        </w:rPr>
        <w:t>’</w:t>
      </w:r>
      <w:r w:rsidRPr="00C8701B">
        <w:rPr>
          <w:rFonts w:eastAsia="Arial Unicode MS"/>
          <w:bCs/>
          <w:lang w:eastAsia="fr-FR" w:bidi="he-IL"/>
        </w:rPr>
        <w:t>en est formé encore une quatrième</w:t>
      </w:r>
      <w:r w:rsidR="00E65435">
        <w:rPr>
          <w:rFonts w:eastAsia="Arial Unicode MS"/>
          <w:bCs/>
          <w:lang w:eastAsia="fr-FR" w:bidi="he-IL"/>
        </w:rPr>
        <w:t xml:space="preserve">, </w:t>
      </w:r>
      <w:r w:rsidRPr="00C8701B">
        <w:rPr>
          <w:rFonts w:eastAsia="Arial Unicode MS"/>
          <w:bCs/>
          <w:lang w:eastAsia="fr-FR" w:bidi="he-IL"/>
        </w:rPr>
        <w:t>appelée l</w:t>
      </w:r>
      <w:r w:rsidR="00557DE0">
        <w:rPr>
          <w:rFonts w:eastAsia="Arial Unicode MS"/>
          <w:bCs/>
          <w:lang w:eastAsia="fr-FR" w:bidi="he-IL"/>
        </w:rPr>
        <w:t>’</w:t>
      </w:r>
      <w:r w:rsidRPr="00C8701B">
        <w:rPr>
          <w:rFonts w:eastAsia="Arial Unicode MS"/>
          <w:bCs/>
          <w:lang w:eastAsia="fr-FR" w:bidi="he-IL"/>
        </w:rPr>
        <w:t>hypothèse de combinaison</w:t>
      </w:r>
      <w:r w:rsidR="00933C60" w:rsidRPr="00C406FF">
        <w:rPr>
          <w:rStyle w:val="Appelnotedebasdep"/>
        </w:rPr>
        <w:footnoteReference w:id="201"/>
      </w:r>
      <w:r w:rsidR="00E65435">
        <w:rPr>
          <w:rFonts w:eastAsia="Arial Unicode MS"/>
          <w:bCs/>
          <w:lang w:eastAsia="fr-FR" w:bidi="he-IL"/>
        </w:rPr>
        <w:t xml:space="preserve">, </w:t>
      </w:r>
      <w:r w:rsidRPr="00C8701B">
        <w:rPr>
          <w:rFonts w:eastAsia="Arial Unicode MS"/>
          <w:bCs/>
          <w:lang w:eastAsia="fr-FR" w:bidi="he-IL"/>
        </w:rPr>
        <w:t>parce qu</w:t>
      </w:r>
      <w:r w:rsidR="00557DE0">
        <w:rPr>
          <w:rFonts w:eastAsia="Arial Unicode MS"/>
          <w:bCs/>
          <w:lang w:eastAsia="fr-FR" w:bidi="he-IL"/>
        </w:rPr>
        <w:t>’</w:t>
      </w:r>
      <w:r w:rsidRPr="00C8701B">
        <w:rPr>
          <w:rFonts w:eastAsia="Arial Unicode MS"/>
          <w:bCs/>
          <w:lang w:eastAsia="fr-FR" w:bidi="he-IL"/>
        </w:rPr>
        <w:t>elle combine de différentes manières les éléments propres aux trois autres</w:t>
      </w:r>
      <w:r w:rsidR="00933C60" w:rsidRPr="00C406FF">
        <w:rPr>
          <w:rStyle w:val="Appelnotedebasdep"/>
        </w:rPr>
        <w:footnoteReference w:id="202"/>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1.</w:t>
      </w:r>
      <w:bookmarkStart w:id="70" w:name="evin07020401"/>
      <w:bookmarkEnd w:id="70"/>
      <w:r w:rsidRPr="00DC4586">
        <w:rPr>
          <w:rStyle w:val="italicus"/>
        </w:rPr>
        <w:t xml:space="preserve"> Premier système.</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Il consiste</w:t>
      </w:r>
      <w:r w:rsidR="00E65435">
        <w:rPr>
          <w:rFonts w:eastAsia="Arial Unicode MS"/>
          <w:bCs/>
          <w:lang w:eastAsia="fr-FR" w:bidi="he-IL"/>
        </w:rPr>
        <w:t xml:space="preserve">, </w:t>
      </w:r>
      <w:r w:rsidRPr="00C8701B">
        <w:rPr>
          <w:rFonts w:eastAsia="Arial Unicode MS"/>
          <w:bCs/>
          <w:lang w:eastAsia="fr-FR" w:bidi="he-IL"/>
        </w:rPr>
        <w:t>dans son ensemble</w:t>
      </w:r>
      <w:r w:rsidR="00E65435">
        <w:rPr>
          <w:rFonts w:eastAsia="Arial Unicode MS"/>
          <w:bCs/>
          <w:lang w:eastAsia="fr-FR" w:bidi="he-IL"/>
        </w:rPr>
        <w:t xml:space="preserve">, </w:t>
      </w:r>
      <w:r w:rsidRPr="00C8701B">
        <w:rPr>
          <w:rFonts w:eastAsia="Arial Unicode MS"/>
          <w:bCs/>
          <w:lang w:eastAsia="fr-FR" w:bidi="he-IL"/>
        </w:rPr>
        <w:t>à dire que nos trois évangélistes ont fait un usage réciproque de leurs compositions</w:t>
      </w:r>
      <w:r w:rsidR="00E65435">
        <w:rPr>
          <w:rFonts w:eastAsia="Arial Unicode MS"/>
          <w:bCs/>
          <w:lang w:eastAsia="fr-FR" w:bidi="he-IL"/>
        </w:rPr>
        <w:t xml:space="preserve">, </w:t>
      </w:r>
      <w:r w:rsidRPr="00C8701B">
        <w:rPr>
          <w:rFonts w:eastAsia="Arial Unicode MS"/>
          <w:bCs/>
          <w:lang w:eastAsia="fr-FR" w:bidi="he-IL"/>
        </w:rPr>
        <w:t>du moins d</w:t>
      </w:r>
      <w:r w:rsidR="00557DE0">
        <w:rPr>
          <w:rFonts w:eastAsia="Arial Unicode MS"/>
          <w:bCs/>
          <w:lang w:eastAsia="fr-FR" w:bidi="he-IL"/>
        </w:rPr>
        <w:t>’</w:t>
      </w:r>
      <w:r w:rsidRPr="00C8701B">
        <w:rPr>
          <w:rFonts w:eastAsia="Arial Unicode MS"/>
          <w:bCs/>
          <w:lang w:eastAsia="fr-FR" w:bidi="he-IL"/>
        </w:rPr>
        <w:t>après l</w:t>
      </w:r>
      <w:r w:rsidR="00557DE0">
        <w:rPr>
          <w:rFonts w:eastAsia="Arial Unicode MS"/>
          <w:bCs/>
          <w:lang w:eastAsia="fr-FR" w:bidi="he-IL"/>
        </w:rPr>
        <w:t>’</w:t>
      </w:r>
      <w:r w:rsidRPr="00C8701B">
        <w:rPr>
          <w:rFonts w:eastAsia="Arial Unicode MS"/>
          <w:bCs/>
          <w:lang w:eastAsia="fr-FR" w:bidi="he-IL"/>
        </w:rPr>
        <w:t>ordre de leur apparition historique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ils se seraient même littéralement copiés</w:t>
      </w:r>
      <w:r w:rsidR="00E65435">
        <w:rPr>
          <w:rFonts w:eastAsia="Arial Unicode MS"/>
          <w:bCs/>
          <w:lang w:eastAsia="fr-FR" w:bidi="he-IL"/>
        </w:rPr>
        <w:t xml:space="preserve">, </w:t>
      </w:r>
      <w:r w:rsidRPr="00C8701B">
        <w:rPr>
          <w:rFonts w:eastAsia="Arial Unicode MS"/>
          <w:bCs/>
          <w:lang w:eastAsia="fr-FR" w:bidi="he-IL"/>
        </w:rPr>
        <w:t>lorsque la ressemblance est complète entre eux. Le premier des synoptiques aura donc écrit sa narration d</w:t>
      </w:r>
      <w:r w:rsidR="00557DE0">
        <w:rPr>
          <w:rFonts w:eastAsia="Arial Unicode MS"/>
          <w:bCs/>
          <w:lang w:eastAsia="fr-FR" w:bidi="he-IL"/>
        </w:rPr>
        <w:t>’</w:t>
      </w:r>
      <w:r w:rsidRPr="00C8701B">
        <w:rPr>
          <w:rFonts w:eastAsia="Arial Unicode MS"/>
          <w:bCs/>
          <w:lang w:eastAsia="fr-FR" w:bidi="he-IL"/>
        </w:rPr>
        <w:t>une façon indépendante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 second se sera servi de cette narration pour composer la sienne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 troisième aura utilisé les deux autres.</w:t>
      </w:r>
      <w:r w:rsidR="00C2602D" w:rsidRPr="00C8701B">
        <w:rPr>
          <w:rFonts w:eastAsia="Arial Unicode MS"/>
          <w:bCs/>
          <w:lang w:eastAsia="fr-FR" w:bidi="he-IL"/>
        </w:rPr>
        <w:t xml:space="preserve"> </w:t>
      </w:r>
    </w:p>
    <w:p w:rsidR="00C2602D" w:rsidRDefault="00B704AD" w:rsidP="00C2602D">
      <w:pPr>
        <w:rPr>
          <w:rFonts w:eastAsia="Arial Unicode MS"/>
          <w:bCs/>
          <w:lang w:eastAsia="fr-FR" w:bidi="he-IL"/>
        </w:rPr>
      </w:pPr>
      <w:r w:rsidRPr="00C8701B">
        <w:rPr>
          <w:rFonts w:eastAsia="Arial Unicode MS"/>
          <w:bCs/>
          <w:lang w:eastAsia="fr-FR" w:bidi="he-IL"/>
        </w:rPr>
        <w:t>Cette théorie est évidemment la plus simple</w:t>
      </w:r>
      <w:r w:rsidR="00E65435">
        <w:rPr>
          <w:rFonts w:eastAsia="Arial Unicode MS"/>
          <w:bCs/>
          <w:lang w:eastAsia="fr-FR" w:bidi="he-IL"/>
        </w:rPr>
        <w:t xml:space="preserve">, </w:t>
      </w:r>
      <w:r w:rsidRPr="00C8701B">
        <w:rPr>
          <w:rFonts w:eastAsia="Arial Unicode MS"/>
          <w:bCs/>
          <w:lang w:eastAsia="fr-FR" w:bidi="he-IL"/>
        </w:rPr>
        <w:t>et celle qui se présente tout d</w:t>
      </w:r>
      <w:r w:rsidR="00557DE0">
        <w:rPr>
          <w:rFonts w:eastAsia="Arial Unicode MS"/>
          <w:bCs/>
          <w:lang w:eastAsia="fr-FR" w:bidi="he-IL"/>
        </w:rPr>
        <w:t>’</w:t>
      </w:r>
      <w:r w:rsidRPr="00C8701B">
        <w:rPr>
          <w:rFonts w:eastAsia="Arial Unicode MS"/>
          <w:bCs/>
          <w:lang w:eastAsia="fr-FR" w:bidi="he-IL"/>
        </w:rPr>
        <w:t>abord à l</w:t>
      </w:r>
      <w:r w:rsidR="00557DE0">
        <w:rPr>
          <w:rFonts w:eastAsia="Arial Unicode MS"/>
          <w:bCs/>
          <w:lang w:eastAsia="fr-FR" w:bidi="he-IL"/>
        </w:rPr>
        <w:t>’</w:t>
      </w:r>
      <w:r w:rsidRPr="00C8701B">
        <w:rPr>
          <w:rFonts w:eastAsia="Arial Unicode MS"/>
          <w:bCs/>
          <w:lang w:eastAsia="fr-FR" w:bidi="he-IL"/>
        </w:rPr>
        <w:t>esprit quand on étudie le problème proposé. Aussi a-t-elle eu et conserve-t-elle encore de nombreux partisans. Mais</w:t>
      </w:r>
      <w:r w:rsidR="00E65435">
        <w:rPr>
          <w:rFonts w:eastAsia="Arial Unicode MS"/>
          <w:bCs/>
          <w:lang w:eastAsia="fr-FR" w:bidi="he-IL"/>
        </w:rPr>
        <w:t xml:space="preserve">, </w:t>
      </w:r>
      <w:r w:rsidRPr="00C8701B">
        <w:rPr>
          <w:rFonts w:eastAsia="Arial Unicode MS"/>
          <w:bCs/>
          <w:lang w:eastAsia="fr-FR" w:bidi="he-IL"/>
        </w:rPr>
        <w:t>lorsqu</w:t>
      </w:r>
      <w:r w:rsidR="00557DE0">
        <w:rPr>
          <w:rFonts w:eastAsia="Arial Unicode MS"/>
          <w:bCs/>
          <w:lang w:eastAsia="fr-FR" w:bidi="he-IL"/>
        </w:rPr>
        <w:t>’</w:t>
      </w:r>
      <w:r w:rsidRPr="00C8701B">
        <w:rPr>
          <w:rFonts w:eastAsia="Arial Unicode MS"/>
          <w:bCs/>
          <w:lang w:eastAsia="fr-FR" w:bidi="he-IL"/>
        </w:rPr>
        <w:t>il s</w:t>
      </w:r>
      <w:r w:rsidR="00557DE0">
        <w:rPr>
          <w:rFonts w:eastAsia="Arial Unicode MS"/>
          <w:bCs/>
          <w:lang w:eastAsia="fr-FR" w:bidi="he-IL"/>
        </w:rPr>
        <w:t>’</w:t>
      </w:r>
      <w:r w:rsidR="000819BA">
        <w:rPr>
          <w:rFonts w:eastAsia="Arial Unicode MS"/>
          <w:bCs/>
          <w:lang w:eastAsia="fr-FR" w:bidi="he-IL"/>
        </w:rPr>
        <w:t>agit de préciser en</w:t>
      </w:r>
      <w:r w:rsidRPr="00C8701B">
        <w:rPr>
          <w:rFonts w:eastAsia="Arial Unicode MS"/>
          <w:bCs/>
          <w:lang w:eastAsia="fr-FR" w:bidi="he-IL"/>
        </w:rPr>
        <w:t xml:space="preserve"> détail</w:t>
      </w:r>
      <w:r w:rsidR="00E65435">
        <w:rPr>
          <w:rFonts w:eastAsia="Arial Unicode MS"/>
          <w:bCs/>
          <w:lang w:eastAsia="fr-FR" w:bidi="he-IL"/>
        </w:rPr>
        <w:t xml:space="preserve">, </w:t>
      </w:r>
      <w:r w:rsidRPr="00C8701B">
        <w:rPr>
          <w:rFonts w:eastAsia="Arial Unicode MS"/>
          <w:bCs/>
          <w:lang w:eastAsia="fr-FR" w:bidi="he-IL"/>
        </w:rPr>
        <w:t>elle se décompose en six hypothèses distinctes</w:t>
      </w:r>
      <w:r w:rsidR="00933C60" w:rsidRPr="00C406FF">
        <w:rPr>
          <w:rStyle w:val="Appelnotedebasdep"/>
        </w:rPr>
        <w:footnoteReference w:id="203"/>
      </w:r>
      <w:r w:rsidR="00E65435">
        <w:rPr>
          <w:rFonts w:eastAsia="Arial Unicode MS"/>
          <w:bCs/>
          <w:lang w:eastAsia="fr-FR" w:bidi="he-IL"/>
        </w:rPr>
        <w:t xml:space="preserve">, </w:t>
      </w:r>
      <w:r w:rsidR="00A067B1">
        <w:rPr>
          <w:rFonts w:eastAsia="Arial Unicode MS"/>
          <w:bCs/>
          <w:lang w:eastAsia="fr-FR" w:bidi="he-IL"/>
        </w:rPr>
        <w:t>{</w:t>
      </w:r>
      <w:r w:rsidR="00594D4D">
        <w:rPr>
          <w:rFonts w:eastAsia="Arial Unicode MS"/>
          <w:bCs/>
          <w:lang w:eastAsia="fr-FR" w:bidi="he-IL"/>
        </w:rPr>
        <w:t>42</w:t>
      </w:r>
      <w:bookmarkStart w:id="71" w:name="pag042"/>
      <w:bookmarkEnd w:id="71"/>
      <w:r w:rsidR="00D62A98">
        <w:rPr>
          <w:rFonts w:eastAsia="Arial Unicode MS"/>
          <w:bCs/>
          <w:lang w:eastAsia="fr-FR" w:bidi="he-IL"/>
        </w:rPr>
        <w:t xml:space="preserve">} </w:t>
      </w:r>
      <w:r w:rsidRPr="00C8701B">
        <w:rPr>
          <w:rFonts w:eastAsia="Arial Unicode MS"/>
          <w:bCs/>
          <w:lang w:eastAsia="fr-FR" w:bidi="he-IL"/>
        </w:rPr>
        <w:t>chacun des synoptiques ayant été placé tour à tour</w:t>
      </w:r>
      <w:r w:rsidR="00E65435">
        <w:rPr>
          <w:rFonts w:eastAsia="Arial Unicode MS"/>
          <w:bCs/>
          <w:lang w:eastAsia="fr-FR" w:bidi="he-IL"/>
        </w:rPr>
        <w:t xml:space="preserve">, </w:t>
      </w:r>
      <w:r w:rsidRPr="00C8701B">
        <w:rPr>
          <w:rFonts w:eastAsia="Arial Unicode MS"/>
          <w:bCs/>
          <w:lang w:eastAsia="fr-FR" w:bidi="he-IL"/>
        </w:rPr>
        <w:t>sous le rapport chronologique</w:t>
      </w:r>
      <w:r w:rsidR="00E65435">
        <w:rPr>
          <w:rFonts w:eastAsia="Arial Unicode MS"/>
          <w:bCs/>
          <w:lang w:eastAsia="fr-FR" w:bidi="he-IL"/>
        </w:rPr>
        <w:t xml:space="preserve">, </w:t>
      </w:r>
      <w:r w:rsidRPr="00C8701B">
        <w:rPr>
          <w:rFonts w:eastAsia="Arial Unicode MS"/>
          <w:bCs/>
          <w:lang w:eastAsia="fr-FR" w:bidi="he-IL"/>
        </w:rPr>
        <w:t>au premier rang</w:t>
      </w:r>
      <w:r w:rsidR="00E65435">
        <w:rPr>
          <w:rFonts w:eastAsia="Arial Unicode MS"/>
          <w:bCs/>
          <w:lang w:eastAsia="fr-FR" w:bidi="he-IL"/>
        </w:rPr>
        <w:t xml:space="preserve">, </w:t>
      </w:r>
      <w:r w:rsidRPr="00C8701B">
        <w:rPr>
          <w:rFonts w:eastAsia="Arial Unicode MS"/>
          <w:bCs/>
          <w:lang w:eastAsia="fr-FR" w:bidi="he-IL"/>
        </w:rPr>
        <w:t>au deuxième et au troisième.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1°</w:t>
      </w:r>
      <w:r w:rsidR="00116664">
        <w:rPr>
          <w:rFonts w:eastAsia="Arial Unicode MS"/>
          <w:bCs/>
          <w:lang w:eastAsia="fr-FR" w:bidi="he-IL"/>
        </w:rPr>
        <w:t xml:space="preserve"> </w:t>
      </w:r>
      <w:r w:rsidRPr="00C8701B">
        <w:rPr>
          <w:rFonts w:eastAsia="Arial Unicode MS"/>
          <w:bCs/>
          <w:lang w:eastAsia="fr-FR" w:bidi="he-IL"/>
        </w:rPr>
        <w:t>S. Matthieu</w:t>
      </w:r>
      <w:r w:rsidR="00E65435">
        <w:rPr>
          <w:rFonts w:eastAsia="Arial Unicode MS"/>
          <w:bCs/>
          <w:lang w:eastAsia="fr-FR" w:bidi="he-IL"/>
        </w:rPr>
        <w:t xml:space="preserve">, </w:t>
      </w:r>
      <w:r w:rsidRPr="00C8701B">
        <w:rPr>
          <w:rFonts w:eastAsia="Arial Unicode MS"/>
          <w:bCs/>
          <w:lang w:eastAsia="fr-FR" w:bidi="he-IL"/>
        </w:rPr>
        <w:t>paraissant en premier lieu</w:t>
      </w:r>
      <w:r w:rsidR="00E65435">
        <w:rPr>
          <w:rFonts w:eastAsia="Arial Unicode MS"/>
          <w:bCs/>
          <w:lang w:eastAsia="fr-FR" w:bidi="he-IL"/>
        </w:rPr>
        <w:t xml:space="preserve">, </w:t>
      </w:r>
      <w:r w:rsidRPr="00C8701B">
        <w:rPr>
          <w:rFonts w:eastAsia="Arial Unicode MS"/>
          <w:bCs/>
          <w:lang w:eastAsia="fr-FR" w:bidi="he-IL"/>
        </w:rPr>
        <w:t>a servi de modèle à S. Marc</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S. Luc les a eus l</w:t>
      </w:r>
      <w:r w:rsidR="00557DE0">
        <w:rPr>
          <w:rFonts w:eastAsia="Arial Unicode MS"/>
          <w:bCs/>
          <w:lang w:eastAsia="fr-FR" w:bidi="he-IL"/>
        </w:rPr>
        <w:t>’</w:t>
      </w:r>
      <w:r w:rsidRPr="00C8701B">
        <w:rPr>
          <w:rFonts w:eastAsia="Arial Unicode MS"/>
          <w:bCs/>
          <w:lang w:eastAsia="fr-FR" w:bidi="he-IL"/>
        </w:rPr>
        <w:t>un et l</w:t>
      </w:r>
      <w:r w:rsidR="00557DE0">
        <w:rPr>
          <w:rFonts w:eastAsia="Arial Unicode MS"/>
          <w:bCs/>
          <w:lang w:eastAsia="fr-FR" w:bidi="he-IL"/>
        </w:rPr>
        <w:t>’</w:t>
      </w:r>
      <w:r w:rsidRPr="00C8701B">
        <w:rPr>
          <w:rFonts w:eastAsia="Arial Unicode MS"/>
          <w:bCs/>
          <w:lang w:eastAsia="fr-FR" w:bidi="he-IL"/>
        </w:rPr>
        <w:t>autre sous les yeux pour écrire sa rédaction. Telle est l</w:t>
      </w:r>
      <w:r w:rsidR="00557DE0">
        <w:rPr>
          <w:rFonts w:eastAsia="Arial Unicode MS"/>
          <w:bCs/>
          <w:lang w:eastAsia="fr-FR" w:bidi="he-IL"/>
        </w:rPr>
        <w:t>’</w:t>
      </w:r>
      <w:r w:rsidRPr="00C8701B">
        <w:rPr>
          <w:rFonts w:eastAsia="Arial Unicode MS"/>
          <w:bCs/>
          <w:lang w:eastAsia="fr-FR" w:bidi="he-IL"/>
        </w:rPr>
        <w:t>opinion d</w:t>
      </w:r>
      <w:r w:rsidR="00557DE0">
        <w:rPr>
          <w:rFonts w:eastAsia="Arial Unicode MS"/>
          <w:bCs/>
          <w:lang w:eastAsia="fr-FR" w:bidi="he-IL"/>
        </w:rPr>
        <w:t>’</w:t>
      </w:r>
      <w:r w:rsidRPr="00C8701B">
        <w:rPr>
          <w:rFonts w:eastAsia="Arial Unicode MS"/>
          <w:bCs/>
          <w:lang w:eastAsia="fr-FR" w:bidi="he-IL"/>
        </w:rPr>
        <w:t>un assez grand nombre d</w:t>
      </w:r>
      <w:r w:rsidR="00557DE0">
        <w:rPr>
          <w:rFonts w:eastAsia="Arial Unicode MS"/>
          <w:bCs/>
          <w:lang w:eastAsia="fr-FR" w:bidi="he-IL"/>
        </w:rPr>
        <w:t>’</w:t>
      </w:r>
      <w:r w:rsidRPr="00C8701B">
        <w:rPr>
          <w:rFonts w:eastAsia="Arial Unicode MS"/>
          <w:bCs/>
          <w:lang w:eastAsia="fr-FR" w:bidi="he-IL"/>
        </w:rPr>
        <w:t>exégètes catholiques contemporains</w:t>
      </w:r>
      <w:r w:rsidR="00E65435">
        <w:rPr>
          <w:rFonts w:eastAsia="Arial Unicode MS"/>
          <w:bCs/>
          <w:lang w:eastAsia="fr-FR" w:bidi="he-IL"/>
        </w:rPr>
        <w:t xml:space="preserve">, </w:t>
      </w:r>
      <w:r w:rsidRPr="00C8701B">
        <w:rPr>
          <w:rFonts w:eastAsia="Arial Unicode MS"/>
          <w:bCs/>
          <w:lang w:eastAsia="fr-FR" w:bidi="he-IL"/>
        </w:rPr>
        <w:t>notamment des D</w:t>
      </w:r>
      <w:r w:rsidRPr="00C8701B">
        <w:rPr>
          <w:rFonts w:eastAsia="Arial Unicode MS"/>
          <w:bCs/>
          <w:vertAlign w:val="superscript"/>
          <w:lang w:eastAsia="fr-FR" w:bidi="he-IL"/>
        </w:rPr>
        <w:t>r</w:t>
      </w:r>
      <w:r w:rsidR="00D62A98">
        <w:rPr>
          <w:rFonts w:eastAsia="Arial Unicode MS"/>
          <w:bCs/>
          <w:vertAlign w:val="superscript"/>
          <w:lang w:eastAsia="fr-FR" w:bidi="he-IL"/>
        </w:rPr>
        <w:t>s</w:t>
      </w:r>
      <w:r w:rsidRPr="00C8701B">
        <w:rPr>
          <w:rFonts w:eastAsia="Arial Unicode MS"/>
          <w:bCs/>
          <w:lang w:eastAsia="fr-FR" w:bidi="he-IL"/>
        </w:rPr>
        <w:t xml:space="preserve"> Hug</w:t>
      </w:r>
      <w:r w:rsidR="00933C60" w:rsidRPr="00C406FF">
        <w:rPr>
          <w:rStyle w:val="Appelnotedebasdep"/>
        </w:rPr>
        <w:footnoteReference w:id="204"/>
      </w:r>
      <w:r w:rsidR="00E65435">
        <w:rPr>
          <w:rFonts w:eastAsia="Arial Unicode MS"/>
          <w:bCs/>
          <w:lang w:eastAsia="fr-FR" w:bidi="he-IL"/>
        </w:rPr>
        <w:t xml:space="preserve">, </w:t>
      </w:r>
      <w:r w:rsidRPr="00C8701B">
        <w:rPr>
          <w:rFonts w:eastAsia="Arial Unicode MS"/>
          <w:bCs/>
          <w:lang w:eastAsia="fr-FR" w:bidi="he-IL"/>
        </w:rPr>
        <w:t>Danko</w:t>
      </w:r>
      <w:r w:rsidR="00933C60" w:rsidRPr="00C406FF">
        <w:rPr>
          <w:rStyle w:val="Appelnotedebasdep"/>
        </w:rPr>
        <w:footnoteReference w:id="205"/>
      </w:r>
      <w:r w:rsidR="00E65435">
        <w:rPr>
          <w:rFonts w:eastAsia="Arial Unicode MS"/>
          <w:bCs/>
          <w:lang w:eastAsia="fr-FR" w:bidi="he-IL"/>
        </w:rPr>
        <w:t xml:space="preserve">, </w:t>
      </w:r>
      <w:r w:rsidRPr="00C8701B">
        <w:rPr>
          <w:rFonts w:eastAsia="Arial Unicode MS"/>
          <w:bCs/>
          <w:lang w:eastAsia="fr-FR" w:bidi="he-IL"/>
        </w:rPr>
        <w:t>Reithmayr</w:t>
      </w:r>
      <w:r w:rsidR="00933C60" w:rsidRPr="00C406FF">
        <w:rPr>
          <w:rStyle w:val="Appelnotedebasdep"/>
        </w:rPr>
        <w:footnoteReference w:id="206"/>
      </w:r>
      <w:r w:rsidR="00E65435">
        <w:rPr>
          <w:rFonts w:eastAsia="Arial Unicode MS"/>
          <w:bCs/>
          <w:lang w:eastAsia="fr-FR" w:bidi="he-IL"/>
        </w:rPr>
        <w:t xml:space="preserve">, </w:t>
      </w:r>
      <w:r w:rsidRPr="00C8701B">
        <w:rPr>
          <w:rFonts w:eastAsia="Arial Unicode MS"/>
          <w:bCs/>
          <w:lang w:eastAsia="fr-FR" w:bidi="he-IL"/>
        </w:rPr>
        <w:t>Schanz</w:t>
      </w:r>
      <w:r w:rsidR="00933C60" w:rsidRPr="00C406FF">
        <w:rPr>
          <w:rStyle w:val="Appelnotedebasdep"/>
        </w:rPr>
        <w:footnoteReference w:id="207"/>
      </w:r>
      <w:r w:rsidR="00E65435">
        <w:rPr>
          <w:rFonts w:eastAsia="Arial Unicode MS"/>
          <w:bCs/>
          <w:lang w:eastAsia="fr-FR" w:bidi="he-IL"/>
        </w:rPr>
        <w:t xml:space="preserve">, </w:t>
      </w:r>
      <w:r w:rsidRPr="00C8701B">
        <w:rPr>
          <w:rFonts w:eastAsia="Arial Unicode MS"/>
          <w:bCs/>
          <w:lang w:eastAsia="fr-FR" w:bidi="he-IL"/>
        </w:rPr>
        <w:t>des Pères Patrizi</w:t>
      </w:r>
      <w:r w:rsidR="00933C60" w:rsidRPr="00C406FF">
        <w:rPr>
          <w:rStyle w:val="Appelnotedebasdep"/>
        </w:rPr>
        <w:footnoteReference w:id="208"/>
      </w:r>
      <w:r w:rsidRPr="00C8701B">
        <w:rPr>
          <w:rFonts w:eastAsia="Arial Unicode MS"/>
          <w:bCs/>
          <w:lang w:eastAsia="fr-FR" w:bidi="he-IL"/>
        </w:rPr>
        <w:t xml:space="preserve"> et Coleridge</w:t>
      </w:r>
      <w:r w:rsidR="00933C60" w:rsidRPr="00C406FF">
        <w:rPr>
          <w:rStyle w:val="Appelnotedebasdep"/>
        </w:rPr>
        <w:footnoteReference w:id="209"/>
      </w:r>
      <w:r w:rsidR="00E65435">
        <w:rPr>
          <w:rFonts w:eastAsia="Arial Unicode MS"/>
          <w:bCs/>
          <w:lang w:eastAsia="fr-FR" w:bidi="he-IL"/>
        </w:rPr>
        <w:t xml:space="preserve">, </w:t>
      </w:r>
      <w:r w:rsidRPr="00C8701B">
        <w:rPr>
          <w:rFonts w:eastAsia="Arial Unicode MS"/>
          <w:bCs/>
          <w:lang w:eastAsia="fr-FR" w:bidi="he-IL"/>
        </w:rPr>
        <w:t>de</w:t>
      </w:r>
      <w:r w:rsidR="00116664">
        <w:rPr>
          <w:rFonts w:eastAsia="Arial Unicode MS"/>
          <w:bCs/>
          <w:lang w:eastAsia="fr-FR" w:bidi="he-IL"/>
        </w:rPr>
        <w:t xml:space="preserve"> </w:t>
      </w:r>
      <w:r w:rsidRPr="00C8701B">
        <w:rPr>
          <w:rFonts w:eastAsia="Arial Unicode MS"/>
          <w:bCs/>
          <w:lang w:eastAsia="fr-FR" w:bidi="he-IL"/>
        </w:rPr>
        <w:t>MM. de Valroger et Bacuez</w:t>
      </w:r>
      <w:r w:rsidR="00933C60" w:rsidRPr="00C406FF">
        <w:rPr>
          <w:rStyle w:val="Appelnotedebasdep"/>
        </w:rPr>
        <w:footnoteReference w:id="210"/>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comme aussi de divers critiques protestants</w:t>
      </w:r>
      <w:r w:rsidR="00933C60" w:rsidRPr="00C406FF">
        <w:rPr>
          <w:rStyle w:val="Appelnotedebasdep"/>
        </w:rPr>
        <w:footnoteReference w:id="211"/>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2° S. Luc serait venu immédiatement après S. Matthieu</w:t>
      </w:r>
      <w:r w:rsidR="00E65435">
        <w:rPr>
          <w:rFonts w:eastAsia="Arial Unicode MS"/>
          <w:bCs/>
          <w:lang w:eastAsia="fr-FR" w:bidi="he-IL"/>
        </w:rPr>
        <w:t xml:space="preserve">, </w:t>
      </w:r>
      <w:r w:rsidRPr="00C8701B">
        <w:rPr>
          <w:rFonts w:eastAsia="Arial Unicode MS"/>
          <w:bCs/>
          <w:lang w:eastAsia="fr-FR" w:bidi="he-IL"/>
        </w:rPr>
        <w:t>dont il aurait mis à profit la narration</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S. Marc</w:t>
      </w:r>
      <w:r w:rsidR="00E65435">
        <w:rPr>
          <w:rFonts w:eastAsia="Arial Unicode MS"/>
          <w:bCs/>
          <w:lang w:eastAsia="fr-FR" w:bidi="he-IL"/>
        </w:rPr>
        <w:t xml:space="preserve">, </w:t>
      </w:r>
      <w:r w:rsidRPr="00C8701B">
        <w:rPr>
          <w:rFonts w:eastAsia="Arial Unicode MS"/>
          <w:bCs/>
          <w:lang w:eastAsia="fr-FR" w:bidi="he-IL"/>
        </w:rPr>
        <w:t>paraissant le dernier des trois</w:t>
      </w:r>
      <w:r w:rsidR="00E65435">
        <w:rPr>
          <w:rFonts w:eastAsia="Arial Unicode MS"/>
          <w:bCs/>
          <w:lang w:eastAsia="fr-FR" w:bidi="he-IL"/>
        </w:rPr>
        <w:t xml:space="preserve">, </w:t>
      </w:r>
      <w:r w:rsidRPr="00C8701B">
        <w:rPr>
          <w:rFonts w:eastAsia="Arial Unicode MS"/>
          <w:bCs/>
          <w:lang w:eastAsia="fr-FR" w:bidi="he-IL"/>
        </w:rPr>
        <w:t>utilisa les deux premiers récits. C</w:t>
      </w:r>
      <w:r w:rsidR="00557DE0">
        <w:rPr>
          <w:rFonts w:eastAsia="Arial Unicode MS"/>
          <w:bCs/>
          <w:lang w:eastAsia="fr-FR" w:bidi="he-IL"/>
        </w:rPr>
        <w:t>’</w:t>
      </w:r>
      <w:r w:rsidRPr="00C8701B">
        <w:rPr>
          <w:rFonts w:eastAsia="Arial Unicode MS"/>
          <w:bCs/>
          <w:lang w:eastAsia="fr-FR" w:bidi="he-IL"/>
        </w:rPr>
        <w:t>est le sentiment de plusieurs exégètes catholiques d</w:t>
      </w:r>
      <w:r w:rsidR="00557DE0">
        <w:rPr>
          <w:rFonts w:eastAsia="Arial Unicode MS"/>
          <w:bCs/>
          <w:lang w:eastAsia="fr-FR" w:bidi="he-IL"/>
        </w:rPr>
        <w:t>’</w:t>
      </w:r>
      <w:r w:rsidRPr="00C8701B">
        <w:rPr>
          <w:rFonts w:eastAsia="Arial Unicode MS"/>
          <w:bCs/>
          <w:lang w:eastAsia="fr-FR" w:bidi="he-IL"/>
        </w:rPr>
        <w:t>Allemagne</w:t>
      </w:r>
      <w:r w:rsidR="00E65435">
        <w:rPr>
          <w:rFonts w:eastAsia="Arial Unicode MS"/>
          <w:bCs/>
          <w:lang w:eastAsia="fr-FR" w:bidi="he-IL"/>
        </w:rPr>
        <w:t xml:space="preserve">, </w:t>
      </w:r>
      <w:r w:rsidRPr="00C8701B">
        <w:rPr>
          <w:rFonts w:eastAsia="Arial Unicode MS"/>
          <w:bCs/>
          <w:lang w:eastAsia="fr-FR" w:bidi="he-IL"/>
        </w:rPr>
        <w:t>en particulier de MM. A. Maier</w:t>
      </w:r>
      <w:r w:rsidR="00933C60" w:rsidRPr="00C406FF">
        <w:rPr>
          <w:rStyle w:val="Appelnotedebasdep"/>
        </w:rPr>
        <w:footnoteReference w:id="212"/>
      </w:r>
      <w:r w:rsidR="00E65435">
        <w:rPr>
          <w:rFonts w:eastAsia="Arial Unicode MS"/>
          <w:bCs/>
          <w:lang w:eastAsia="fr-FR" w:bidi="he-IL"/>
        </w:rPr>
        <w:t xml:space="preserve">, </w:t>
      </w:r>
      <w:r w:rsidRPr="00C8701B">
        <w:rPr>
          <w:rFonts w:eastAsia="Arial Unicode MS"/>
          <w:bCs/>
          <w:lang w:eastAsia="fr-FR" w:bidi="he-IL"/>
        </w:rPr>
        <w:t>Langen</w:t>
      </w:r>
      <w:r w:rsidR="00933C60" w:rsidRPr="00C406FF">
        <w:rPr>
          <w:rStyle w:val="Appelnotedebasdep"/>
        </w:rPr>
        <w:footnoteReference w:id="213"/>
      </w:r>
      <w:r w:rsidR="00E65435">
        <w:rPr>
          <w:rFonts w:eastAsia="Arial Unicode MS"/>
          <w:bCs/>
          <w:lang w:eastAsia="fr-FR" w:bidi="he-IL"/>
        </w:rPr>
        <w:t xml:space="preserve">, </w:t>
      </w:r>
      <w:r w:rsidR="00D62A98">
        <w:rPr>
          <w:rFonts w:eastAsia="Arial Unicode MS"/>
          <w:bCs/>
          <w:lang w:eastAsia="fr-FR" w:bidi="he-IL"/>
        </w:rPr>
        <w:t>et J. Grimm</w:t>
      </w:r>
      <w:r w:rsidR="00933C60" w:rsidRPr="00C406FF">
        <w:rPr>
          <w:rStyle w:val="Appelnotedebasdep"/>
        </w:rPr>
        <w:footnoteReference w:id="214"/>
      </w:r>
      <w:r w:rsidRPr="00C8701B">
        <w:rPr>
          <w:rFonts w:eastAsia="Arial Unicode MS"/>
          <w:bCs/>
          <w:lang w:eastAsia="fr-FR" w:bidi="he-IL"/>
        </w:rPr>
        <w:t>. Son principal fauteur parmi les protestants fut le célèbre D</w:t>
      </w:r>
      <w:r w:rsidRPr="00C8701B">
        <w:rPr>
          <w:rFonts w:eastAsia="Arial Unicode MS"/>
          <w:bCs/>
          <w:vertAlign w:val="superscript"/>
          <w:lang w:eastAsia="fr-FR" w:bidi="he-IL"/>
        </w:rPr>
        <w:t>r</w:t>
      </w:r>
      <w:r w:rsidR="00D62A98">
        <w:rPr>
          <w:rFonts w:eastAsia="Arial Unicode MS"/>
          <w:bCs/>
          <w:lang w:eastAsia="fr-FR" w:bidi="he-IL"/>
        </w:rPr>
        <w:t xml:space="preserve"> G</w:t>
      </w:r>
      <w:r w:rsidRPr="00C8701B">
        <w:rPr>
          <w:rFonts w:eastAsia="Arial Unicode MS"/>
          <w:bCs/>
          <w:lang w:eastAsia="fr-FR" w:bidi="he-IL"/>
        </w:rPr>
        <w:t>riesbach</w:t>
      </w:r>
      <w:r w:rsidR="00933C60" w:rsidRPr="00C406FF">
        <w:rPr>
          <w:rStyle w:val="Appelnotedebasdep"/>
        </w:rPr>
        <w:footnoteReference w:id="215"/>
      </w:r>
      <w:r w:rsidR="00E65435">
        <w:rPr>
          <w:rFonts w:eastAsia="Arial Unicode MS"/>
          <w:bCs/>
          <w:lang w:eastAsia="fr-FR" w:bidi="he-IL"/>
        </w:rPr>
        <w:t xml:space="preserve">, </w:t>
      </w:r>
      <w:r w:rsidRPr="00C8701B">
        <w:rPr>
          <w:rFonts w:eastAsia="Arial Unicode MS"/>
          <w:bCs/>
          <w:lang w:eastAsia="fr-FR" w:bidi="he-IL"/>
        </w:rPr>
        <w:t>auquel les adhérents n</w:t>
      </w:r>
      <w:r w:rsidR="00557DE0">
        <w:rPr>
          <w:rFonts w:eastAsia="Arial Unicode MS"/>
          <w:bCs/>
          <w:lang w:eastAsia="fr-FR" w:bidi="he-IL"/>
        </w:rPr>
        <w:t>’</w:t>
      </w:r>
      <w:r w:rsidRPr="00C8701B">
        <w:rPr>
          <w:rFonts w:eastAsia="Arial Unicode MS"/>
          <w:bCs/>
          <w:lang w:eastAsia="fr-FR" w:bidi="he-IL"/>
        </w:rPr>
        <w:t>ont pas manqué.</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3° S. Marc est le plus ancien des trois synoptiques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S. Matthieu d</w:t>
      </w:r>
      <w:r w:rsidR="00557DE0">
        <w:rPr>
          <w:rFonts w:eastAsia="Arial Unicode MS"/>
          <w:bCs/>
          <w:lang w:eastAsia="fr-FR" w:bidi="he-IL"/>
        </w:rPr>
        <w:t>’</w:t>
      </w:r>
      <w:r w:rsidRPr="00C8701B">
        <w:rPr>
          <w:rFonts w:eastAsia="Arial Unicode MS"/>
          <w:bCs/>
          <w:lang w:eastAsia="fr-FR" w:bidi="he-IL"/>
        </w:rPr>
        <w:t>abord</w:t>
      </w:r>
      <w:r w:rsidR="00E65435">
        <w:rPr>
          <w:rFonts w:eastAsia="Arial Unicode MS"/>
          <w:bCs/>
          <w:lang w:eastAsia="fr-FR" w:bidi="he-IL"/>
        </w:rPr>
        <w:t xml:space="preserve">, </w:t>
      </w:r>
      <w:r w:rsidRPr="00C8701B">
        <w:rPr>
          <w:rFonts w:eastAsia="Arial Unicode MS"/>
          <w:bCs/>
          <w:lang w:eastAsia="fr-FR" w:bidi="he-IL"/>
        </w:rPr>
        <w:t>puis S. Luc</w:t>
      </w:r>
      <w:r w:rsidR="00C87A2B">
        <w:rPr>
          <w:rFonts w:eastAsia="Arial Unicode MS"/>
          <w:bCs/>
          <w:lang w:eastAsia="fr-FR" w:bidi="he-IL"/>
        </w:rPr>
        <w:t>.,</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ont imité et développé. Cette opinion a été et est encore célèbre parmi les six qui forment le premier groupe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elle a son nom à part</w:t>
      </w:r>
      <w:r w:rsidR="00E65435">
        <w:rPr>
          <w:rFonts w:eastAsia="Arial Unicode MS"/>
          <w:bCs/>
          <w:lang w:eastAsia="fr-FR" w:bidi="he-IL"/>
        </w:rPr>
        <w:t xml:space="preserve">, </w:t>
      </w:r>
      <w:r w:rsidRPr="00DC4586">
        <w:rPr>
          <w:rStyle w:val="italicus"/>
        </w:rPr>
        <w:t>die Markushypothese</w:t>
      </w:r>
      <w:r w:rsidR="00933C60" w:rsidRPr="00C406FF">
        <w:rPr>
          <w:rStyle w:val="Appelnotedebasdep"/>
        </w:rPr>
        <w:footnoteReference w:id="216"/>
      </w:r>
      <w:r w:rsidR="00E65435">
        <w:rPr>
          <w:rFonts w:eastAsia="Arial Unicode MS"/>
          <w:bCs/>
          <w:lang w:eastAsia="fr-FR" w:bidi="he-IL"/>
        </w:rPr>
        <w:t xml:space="preserve">, </w:t>
      </w:r>
      <w:r w:rsidRPr="00C8701B">
        <w:rPr>
          <w:rFonts w:eastAsia="Arial Unicode MS"/>
          <w:bCs/>
          <w:lang w:eastAsia="fr-FR" w:bidi="he-IL"/>
        </w:rPr>
        <w:t>et de nombreux partisans</w:t>
      </w:r>
      <w:r w:rsidR="00933C60" w:rsidRPr="00C406FF">
        <w:rPr>
          <w:rStyle w:val="Appelnotedebasdep"/>
        </w:rPr>
        <w:footnoteReference w:id="217"/>
      </w:r>
      <w:r w:rsidRPr="00C8701B">
        <w:rPr>
          <w:rFonts w:eastAsia="Arial Unicode MS"/>
          <w:bCs/>
          <w:lang w:eastAsia="fr-FR" w:bidi="he-IL"/>
        </w:rPr>
        <w:t>. Néanmoins aucun écrivain catholique</w:t>
      </w:r>
      <w:r w:rsidR="00E65435">
        <w:rPr>
          <w:rFonts w:eastAsia="Arial Unicode MS"/>
          <w:bCs/>
          <w:lang w:eastAsia="fr-FR" w:bidi="he-IL"/>
        </w:rPr>
        <w:t xml:space="preserve">, </w:t>
      </w:r>
      <w:r w:rsidRPr="00C8701B">
        <w:rPr>
          <w:rFonts w:eastAsia="Arial Unicode MS"/>
          <w:bCs/>
          <w:lang w:eastAsia="fr-FR" w:bidi="he-IL"/>
        </w:rPr>
        <w:t>que nous sachions</w:t>
      </w:r>
      <w:r w:rsidR="00E65435">
        <w:rPr>
          <w:rFonts w:eastAsia="Arial Unicode MS"/>
          <w:bCs/>
          <w:lang w:eastAsia="fr-FR" w:bidi="he-IL"/>
        </w:rPr>
        <w:t xml:space="preserve">, </w:t>
      </w:r>
      <w:r w:rsidRPr="00C8701B">
        <w:rPr>
          <w:rFonts w:eastAsia="Arial Unicode MS"/>
          <w:bCs/>
          <w:lang w:eastAsia="fr-FR" w:bidi="he-IL"/>
        </w:rPr>
        <w:t>ne s</w:t>
      </w:r>
      <w:r w:rsidR="00557DE0">
        <w:rPr>
          <w:rFonts w:eastAsia="Arial Unicode MS"/>
          <w:bCs/>
          <w:lang w:eastAsia="fr-FR" w:bidi="he-IL"/>
        </w:rPr>
        <w:t>’</w:t>
      </w:r>
      <w:r w:rsidRPr="00C8701B">
        <w:rPr>
          <w:rFonts w:eastAsia="Arial Unicode MS"/>
          <w:bCs/>
          <w:lang w:eastAsia="fr-FR" w:bidi="he-IL"/>
        </w:rPr>
        <w:t>y est jamais rallié</w:t>
      </w:r>
      <w:r w:rsidR="00E65435">
        <w:rPr>
          <w:rFonts w:eastAsia="Arial Unicode MS"/>
          <w:bCs/>
          <w:lang w:eastAsia="fr-FR" w:bidi="he-IL"/>
        </w:rPr>
        <w:t xml:space="preserve">, </w:t>
      </w:r>
      <w:r w:rsidRPr="00C8701B">
        <w:rPr>
          <w:rFonts w:eastAsia="Arial Unicode MS"/>
          <w:bCs/>
          <w:lang w:eastAsia="fr-FR" w:bidi="he-IL"/>
        </w:rPr>
        <w:t xml:space="preserve">car elle est très opposée </w:t>
      </w:r>
      <w:r w:rsidRPr="00D62A98">
        <w:t>à la tradition ecclésiastique</w:t>
      </w:r>
      <w:r w:rsidR="00E65435" w:rsidRPr="00D62A98">
        <w:t>,</w:t>
      </w:r>
      <w:r w:rsidR="00E65435">
        <w:rPr>
          <w:rFonts w:eastAsia="Arial Unicode MS"/>
          <w:bCs/>
          <w:lang w:eastAsia="fr-FR" w:bidi="he-IL"/>
        </w:rPr>
        <w:t xml:space="preserve"> </w:t>
      </w:r>
      <w:r w:rsidRPr="00C8701B">
        <w:rPr>
          <w:rFonts w:eastAsia="Arial Unicode MS"/>
          <w:bCs/>
          <w:lang w:eastAsia="fr-FR" w:bidi="he-IL"/>
        </w:rPr>
        <w:t>qui affirme nettement que l</w:t>
      </w:r>
      <w:r w:rsidR="00557DE0">
        <w:rPr>
          <w:rFonts w:eastAsia="Arial Unicode MS"/>
          <w:bCs/>
          <w:lang w:eastAsia="fr-FR" w:bidi="he-IL"/>
        </w:rPr>
        <w:t>’</w:t>
      </w:r>
      <w:r w:rsidRPr="00C8701B">
        <w:rPr>
          <w:rFonts w:eastAsia="Arial Unicode MS"/>
          <w:bCs/>
          <w:lang w:eastAsia="fr-FR" w:bidi="he-IL"/>
        </w:rPr>
        <w:t>évangile selon S. Matthieu fut le premier au point de vue du temps.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Le second évangile est le plus court de tous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il omet les discours pour ne s</w:t>
      </w:r>
      <w:r w:rsidR="00557DE0">
        <w:rPr>
          <w:rFonts w:eastAsia="Arial Unicode MS"/>
          <w:bCs/>
          <w:lang w:eastAsia="fr-FR" w:bidi="he-IL"/>
        </w:rPr>
        <w:t>’</w:t>
      </w:r>
      <w:r w:rsidRPr="00C8701B">
        <w:rPr>
          <w:rFonts w:eastAsia="Arial Unicode MS"/>
          <w:bCs/>
          <w:lang w:eastAsia="fr-FR" w:bidi="he-IL"/>
        </w:rPr>
        <w:t>occuper que des faits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quoique très bref et très rapide</w:t>
      </w:r>
      <w:r w:rsidR="00E65435">
        <w:rPr>
          <w:rFonts w:eastAsia="Arial Unicode MS"/>
          <w:bCs/>
          <w:lang w:eastAsia="fr-FR" w:bidi="he-IL"/>
        </w:rPr>
        <w:t xml:space="preserve">, </w:t>
      </w:r>
      <w:r w:rsidRPr="00C8701B">
        <w:rPr>
          <w:rFonts w:eastAsia="Arial Unicode MS"/>
          <w:bCs/>
          <w:lang w:eastAsia="fr-FR" w:bidi="he-IL"/>
        </w:rPr>
        <w:t>il contient néanmoins la plupart des matériaux que nous ont conservés S. Matthieu et S. Luc</w:t>
      </w:r>
      <w:r w:rsidR="00C2602D" w:rsidRPr="00C8701B">
        <w:rPr>
          <w:rFonts w:eastAsia="Arial Unicode MS"/>
          <w:bCs/>
          <w:lang w:eastAsia="fr-FR" w:bidi="he-IL"/>
        </w:rPr>
        <w:t> :</w:t>
      </w:r>
      <w:r w:rsidRPr="00C8701B">
        <w:rPr>
          <w:rFonts w:eastAsia="Arial Unicode MS"/>
          <w:bCs/>
          <w:lang w:eastAsia="fr-FR" w:bidi="he-IL"/>
        </w:rPr>
        <w:t xml:space="preserve"> voilà les principaux motifs qui ont mis en faveur </w:t>
      </w:r>
      <w:r w:rsidR="00C2602D" w:rsidRPr="00C8701B">
        <w:rPr>
          <w:rFonts w:eastAsia="Arial Unicode MS"/>
          <w:bCs/>
          <w:lang w:eastAsia="fr-FR" w:bidi="he-IL"/>
        </w:rPr>
        <w:t>«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hypothèse de Marc</w:t>
      </w:r>
      <w:r w:rsidR="00C2602D" w:rsidRPr="00C8701B">
        <w:rPr>
          <w:rFonts w:eastAsia="Arial Unicode MS"/>
          <w:bCs/>
          <w:lang w:eastAsia="fr-FR" w:bidi="he-IL"/>
        </w:rPr>
        <w:t> »</w:t>
      </w:r>
      <w:r w:rsidRPr="00C8701B">
        <w:rPr>
          <w:rFonts w:eastAsia="Arial Unicode MS"/>
          <w:bCs/>
          <w:lang w:eastAsia="fr-FR" w:bidi="he-IL"/>
        </w:rPr>
        <w:t xml:space="preserve"> dans les cercles protestants et rationalistes.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4° S. Marc</w:t>
      </w:r>
      <w:r w:rsidR="00E65435">
        <w:rPr>
          <w:rFonts w:eastAsia="Arial Unicode MS"/>
          <w:bCs/>
          <w:lang w:eastAsia="fr-FR" w:bidi="he-IL"/>
        </w:rPr>
        <w:t xml:space="preserve">, </w:t>
      </w:r>
      <w:r w:rsidRPr="00C8701B">
        <w:rPr>
          <w:rFonts w:eastAsia="Arial Unicode MS"/>
          <w:bCs/>
          <w:lang w:eastAsia="fr-FR" w:bidi="he-IL"/>
        </w:rPr>
        <w:t>toujours le premier</w:t>
      </w:r>
      <w:r w:rsidR="00E65435">
        <w:rPr>
          <w:rFonts w:eastAsia="Arial Unicode MS"/>
          <w:bCs/>
          <w:lang w:eastAsia="fr-FR" w:bidi="he-IL"/>
        </w:rPr>
        <w:t xml:space="preserve">, </w:t>
      </w:r>
      <w:r w:rsidRPr="00C8701B">
        <w:rPr>
          <w:rFonts w:eastAsia="Arial Unicode MS"/>
          <w:bCs/>
          <w:lang w:eastAsia="fr-FR" w:bidi="he-IL"/>
        </w:rPr>
        <w:t>sert de base à S. Luc</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S. Matthieu appuie son récit sur les leurs</w:t>
      </w:r>
      <w:r w:rsidR="00933C60" w:rsidRPr="00C406FF">
        <w:rPr>
          <w:rStyle w:val="Appelnotedebasdep"/>
        </w:rPr>
        <w:footnoteReference w:id="218"/>
      </w:r>
      <w:r w:rsidRPr="00C8701B">
        <w:rPr>
          <w:rFonts w:eastAsia="Arial Unicode MS"/>
          <w:bCs/>
          <w:lang w:eastAsia="fr-FR" w:bidi="he-IL"/>
        </w:rPr>
        <w:t>.</w:t>
      </w:r>
      <w:r w:rsidR="00C2602D" w:rsidRPr="00C8701B">
        <w:rPr>
          <w:rFonts w:eastAsia="Arial Unicode MS"/>
          <w:bCs/>
          <w:lang w:eastAsia="fr-FR" w:bidi="he-IL"/>
        </w:rPr>
        <w:t xml:space="preserve"> </w:t>
      </w:r>
      <w:r w:rsidR="00A067B1" w:rsidRPr="000716BB">
        <w:rPr>
          <w:rFonts w:eastAsia="Arial Unicode MS"/>
          <w:bCs/>
          <w:lang w:eastAsia="fr-FR" w:bidi="he-IL"/>
        </w:rPr>
        <w:t>{</w:t>
      </w:r>
      <w:r w:rsidR="00594D4D">
        <w:rPr>
          <w:rFonts w:eastAsia="Arial Unicode MS"/>
          <w:bCs/>
          <w:lang w:eastAsia="fr-FR" w:bidi="he-IL"/>
        </w:rPr>
        <w:t>43</w:t>
      </w:r>
      <w:bookmarkStart w:id="72" w:name="pag043"/>
      <w:bookmarkEnd w:id="72"/>
      <w:r w:rsidR="00A067B1" w:rsidRPr="000716BB">
        <w:rPr>
          <w:rFonts w:eastAsia="Arial Unicode MS"/>
          <w:bCs/>
          <w:lang w:eastAsia="fr-FR" w:bidi="he-IL"/>
        </w:rPr>
        <w:t>}</w:t>
      </w:r>
    </w:p>
    <w:p w:rsidR="00C2602D" w:rsidRPr="00C8701B" w:rsidRDefault="00B704AD" w:rsidP="00C2602D">
      <w:pPr>
        <w:rPr>
          <w:rFonts w:eastAsia="Arial Unicode MS"/>
          <w:bCs/>
          <w:lang w:eastAsia="fr-FR" w:bidi="he-IL"/>
        </w:rPr>
      </w:pPr>
      <w:r w:rsidRPr="00C8701B">
        <w:rPr>
          <w:rFonts w:eastAsia="Arial Unicode MS"/>
          <w:bCs/>
          <w:lang w:eastAsia="fr-FR" w:bidi="he-IL"/>
        </w:rPr>
        <w:t>5° S. Luc a la priorité</w:t>
      </w:r>
      <w:r w:rsidR="00E65435">
        <w:rPr>
          <w:rFonts w:eastAsia="Arial Unicode MS"/>
          <w:bCs/>
          <w:lang w:eastAsia="fr-FR" w:bidi="he-IL"/>
        </w:rPr>
        <w:t xml:space="preserve">, </w:t>
      </w:r>
      <w:r w:rsidRPr="00C8701B">
        <w:rPr>
          <w:rFonts w:eastAsia="Arial Unicode MS"/>
          <w:bCs/>
          <w:lang w:eastAsia="fr-FR" w:bidi="he-IL"/>
        </w:rPr>
        <w:t>S. Matthieu l</w:t>
      </w:r>
      <w:r w:rsidR="00557DE0">
        <w:rPr>
          <w:rFonts w:eastAsia="Arial Unicode MS"/>
          <w:bCs/>
          <w:lang w:eastAsia="fr-FR" w:bidi="he-IL"/>
        </w:rPr>
        <w:t>’</w:t>
      </w:r>
      <w:r w:rsidRPr="00C8701B">
        <w:rPr>
          <w:rFonts w:eastAsia="Arial Unicode MS"/>
          <w:bCs/>
          <w:lang w:eastAsia="fr-FR" w:bidi="he-IL"/>
        </w:rPr>
        <w:t>imite</w:t>
      </w:r>
      <w:r w:rsidR="00D62A98">
        <w:rPr>
          <w:rFonts w:eastAsia="Arial Unicode MS"/>
          <w:bCs/>
          <w:lang w:eastAsia="fr-FR" w:bidi="he-IL"/>
        </w:rPr>
        <w:t xml:space="preserve"> et le reproduit en partie S. Ma</w:t>
      </w:r>
      <w:r w:rsidRPr="00C8701B">
        <w:rPr>
          <w:rFonts w:eastAsia="Arial Unicode MS"/>
          <w:bCs/>
          <w:lang w:eastAsia="fr-FR" w:bidi="he-IL"/>
        </w:rPr>
        <w:t>rc les utilise l</w:t>
      </w:r>
      <w:r w:rsidR="00557DE0">
        <w:rPr>
          <w:rFonts w:eastAsia="Arial Unicode MS"/>
          <w:bCs/>
          <w:lang w:eastAsia="fr-FR" w:bidi="he-IL"/>
        </w:rPr>
        <w:t>’</w:t>
      </w:r>
      <w:r w:rsidRPr="00C8701B">
        <w:rPr>
          <w:rFonts w:eastAsia="Arial Unicode MS"/>
          <w:bCs/>
          <w:lang w:eastAsia="fr-FR" w:bidi="he-IL"/>
        </w:rPr>
        <w:t>un et l</w:t>
      </w:r>
      <w:r w:rsidR="00557DE0">
        <w:rPr>
          <w:rFonts w:eastAsia="Arial Unicode MS"/>
          <w:bCs/>
          <w:lang w:eastAsia="fr-FR" w:bidi="he-IL"/>
        </w:rPr>
        <w:t>’</w:t>
      </w:r>
      <w:r w:rsidRPr="00C8701B">
        <w:rPr>
          <w:rFonts w:eastAsia="Arial Unicode MS"/>
          <w:bCs/>
          <w:lang w:eastAsia="fr-FR" w:bidi="he-IL"/>
        </w:rPr>
        <w:t>autre</w:t>
      </w:r>
      <w:r w:rsidR="00933C60" w:rsidRPr="00C406FF">
        <w:rPr>
          <w:rStyle w:val="Appelnotedebasdep"/>
        </w:rPr>
        <w:footnoteReference w:id="219"/>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D62A98" w:rsidP="00C2602D">
      <w:pPr>
        <w:rPr>
          <w:rFonts w:eastAsia="Arial Unicode MS"/>
          <w:bCs/>
          <w:lang w:eastAsia="fr-FR" w:bidi="he-IL"/>
        </w:rPr>
      </w:pPr>
      <w:r>
        <w:rPr>
          <w:rFonts w:eastAsia="Arial Unicode MS"/>
          <w:bCs/>
          <w:lang w:eastAsia="fr-FR" w:bidi="he-IL"/>
        </w:rPr>
        <w:t>6° S. Luc paraît de nouv</w:t>
      </w:r>
      <w:r w:rsidR="00B704AD" w:rsidRPr="00C8701B">
        <w:rPr>
          <w:rFonts w:eastAsia="Arial Unicode MS"/>
          <w:bCs/>
          <w:lang w:eastAsia="fr-FR" w:bidi="he-IL"/>
        </w:rPr>
        <w:t>eau le premier</w:t>
      </w:r>
      <w:r w:rsidR="00E65435">
        <w:rPr>
          <w:rFonts w:eastAsia="Arial Unicode MS"/>
          <w:bCs/>
          <w:lang w:eastAsia="fr-FR" w:bidi="he-IL"/>
        </w:rPr>
        <w:t xml:space="preserve">, </w:t>
      </w:r>
      <w:r w:rsidR="00B704AD" w:rsidRPr="00C8701B">
        <w:rPr>
          <w:rFonts w:eastAsia="Arial Unicode MS"/>
          <w:bCs/>
          <w:lang w:eastAsia="fr-FR" w:bidi="he-IL"/>
        </w:rPr>
        <w:t>il est abrégé par S. Marc</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S. Matthieu</w:t>
      </w:r>
      <w:r w:rsidR="00E65435">
        <w:rPr>
          <w:rFonts w:eastAsia="Arial Unicode MS"/>
          <w:bCs/>
          <w:lang w:eastAsia="fr-FR" w:bidi="he-IL"/>
        </w:rPr>
        <w:t xml:space="preserve">, </w:t>
      </w:r>
      <w:r w:rsidR="00B704AD" w:rsidRPr="00C8701B">
        <w:rPr>
          <w:rFonts w:eastAsia="Arial Unicode MS"/>
          <w:bCs/>
          <w:lang w:eastAsia="fr-FR" w:bidi="he-IL"/>
        </w:rPr>
        <w:t>venu le troisième</w:t>
      </w:r>
      <w:r w:rsidR="00E65435">
        <w:rPr>
          <w:rFonts w:eastAsia="Arial Unicode MS"/>
          <w:bCs/>
          <w:lang w:eastAsia="fr-FR" w:bidi="he-IL"/>
        </w:rPr>
        <w:t xml:space="preserve">, </w:t>
      </w:r>
      <w:r w:rsidR="00B704AD" w:rsidRPr="00C8701B">
        <w:rPr>
          <w:rFonts w:eastAsia="Arial Unicode MS"/>
          <w:bCs/>
          <w:lang w:eastAsia="fr-FR" w:bidi="he-IL"/>
        </w:rPr>
        <w:t>combine leurs deux narrations</w:t>
      </w:r>
      <w:r w:rsidR="00933C60" w:rsidRPr="00C406FF">
        <w:rPr>
          <w:rStyle w:val="Appelnotedebasdep"/>
        </w:rPr>
        <w:footnoteReference w:id="220"/>
      </w:r>
      <w:r w:rsidR="00B704AD" w:rsidRPr="00DC4586">
        <w:rPr>
          <w:rStyle w:val="italicus"/>
        </w:rPr>
        <w:t>.</w:t>
      </w:r>
      <w:r w:rsidR="00C2602D" w:rsidRPr="00C8701B">
        <w:rPr>
          <w:rFonts w:eastAsia="Arial Unicode MS"/>
          <w:bCs/>
          <w:lang w:eastAsia="fr-FR" w:bidi="he-IL"/>
        </w:rPr>
        <w:t xml:space="preserve"> </w:t>
      </w:r>
    </w:p>
    <w:p w:rsidR="00C2602D" w:rsidRPr="00C8701B" w:rsidRDefault="00B704AD" w:rsidP="00D62373">
      <w:pPr>
        <w:rPr>
          <w:rFonts w:eastAsia="Arial Unicode MS"/>
          <w:bCs/>
          <w:lang w:eastAsia="fr-FR" w:bidi="he-IL"/>
        </w:rPr>
      </w:pPr>
      <w:r w:rsidRPr="00C8701B">
        <w:rPr>
          <w:rFonts w:eastAsia="Arial Unicode MS"/>
          <w:bCs/>
          <w:lang w:eastAsia="fr-FR" w:bidi="he-IL"/>
        </w:rPr>
        <w:t>Mais ce n</w:t>
      </w:r>
      <w:r w:rsidR="00557DE0">
        <w:rPr>
          <w:rFonts w:eastAsia="Arial Unicode MS"/>
          <w:bCs/>
          <w:lang w:eastAsia="fr-FR" w:bidi="he-IL"/>
        </w:rPr>
        <w:t>’</w:t>
      </w:r>
      <w:r w:rsidRPr="00C8701B">
        <w:rPr>
          <w:rFonts w:eastAsia="Arial Unicode MS"/>
          <w:bCs/>
          <w:lang w:eastAsia="fr-FR" w:bidi="he-IL"/>
        </w:rPr>
        <w:t>est pas</w:t>
      </w:r>
      <w:r w:rsidR="00D62A98">
        <w:rPr>
          <w:rFonts w:eastAsia="Arial Unicode MS"/>
          <w:bCs/>
          <w:lang w:eastAsia="fr-FR" w:bidi="he-IL"/>
        </w:rPr>
        <w:t xml:space="preserve"> </w:t>
      </w:r>
      <w:r w:rsidRPr="00C8701B">
        <w:rPr>
          <w:rFonts w:eastAsia="Arial Unicode MS"/>
          <w:bCs/>
          <w:lang w:eastAsia="fr-FR" w:bidi="he-IL"/>
        </w:rPr>
        <w:t>tout pour ce premier groupe de théories. On a encore greffé des suppositions accessoires sur ces hypothèses principales. Ainsi</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00D62A98">
        <w:rPr>
          <w:rFonts w:eastAsia="Arial Unicode MS"/>
          <w:bCs/>
          <w:lang w:eastAsia="fr-FR" w:bidi="he-IL"/>
        </w:rPr>
        <w:t>après Dü</w:t>
      </w:r>
      <w:r w:rsidRPr="00C8701B">
        <w:rPr>
          <w:rFonts w:eastAsia="Arial Unicode MS"/>
          <w:bCs/>
          <w:lang w:eastAsia="fr-FR" w:bidi="he-IL"/>
        </w:rPr>
        <w:t>ret</w:t>
      </w:r>
      <w:r w:rsidR="00933C60" w:rsidRPr="00C406FF">
        <w:rPr>
          <w:rStyle w:val="Appelnotedebasdep"/>
        </w:rPr>
        <w:footnoteReference w:id="221"/>
      </w:r>
      <w:r w:rsidR="00E65435">
        <w:rPr>
          <w:rFonts w:eastAsia="Arial Unicode MS"/>
          <w:bCs/>
          <w:lang w:eastAsia="fr-FR" w:bidi="he-IL"/>
        </w:rPr>
        <w:t xml:space="preserve">, </w:t>
      </w:r>
      <w:r w:rsidR="00D62A98">
        <w:rPr>
          <w:rFonts w:eastAsia="Arial Unicode MS"/>
          <w:bCs/>
          <w:lang w:eastAsia="fr-FR" w:bidi="he-IL"/>
        </w:rPr>
        <w:t>S. Marc aurait mis à profit l</w:t>
      </w:r>
      <w:r w:rsidR="00557DE0">
        <w:rPr>
          <w:rFonts w:eastAsia="Arial Unicode MS"/>
          <w:bCs/>
          <w:lang w:eastAsia="fr-FR" w:bidi="he-IL"/>
        </w:rPr>
        <w:t>’</w:t>
      </w:r>
      <w:r w:rsidRPr="00C8701B">
        <w:rPr>
          <w:rFonts w:eastAsia="Arial Unicode MS"/>
          <w:bCs/>
          <w:lang w:eastAsia="fr-FR" w:bidi="he-IL"/>
        </w:rPr>
        <w:t>évangile araméen de S. Matthieu</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 traducteur grec de cet évangile se servit ensuite de l</w:t>
      </w:r>
      <w:r w:rsidR="00557DE0">
        <w:rPr>
          <w:rFonts w:eastAsia="Arial Unicode MS"/>
          <w:bCs/>
          <w:lang w:eastAsia="fr-FR" w:bidi="he-IL"/>
        </w:rPr>
        <w:t>’</w:t>
      </w:r>
      <w:r w:rsidR="00D62A98">
        <w:rPr>
          <w:rFonts w:eastAsia="Arial Unicode MS"/>
          <w:bCs/>
          <w:lang w:eastAsia="fr-FR" w:bidi="he-IL"/>
        </w:rPr>
        <w:t>œ</w:t>
      </w:r>
      <w:r w:rsidRPr="00C8701B">
        <w:rPr>
          <w:rFonts w:eastAsia="Arial Unicode MS"/>
          <w:bCs/>
          <w:lang w:eastAsia="fr-FR" w:bidi="he-IL"/>
        </w:rPr>
        <w:t>uvre de S. Marc</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S. Luc fit une compilation basée sur ses deux devantiers. Ou bien</w:t>
      </w:r>
      <w:r w:rsidR="00E65435">
        <w:rPr>
          <w:rFonts w:eastAsia="Arial Unicode MS"/>
          <w:bCs/>
          <w:lang w:eastAsia="fr-FR" w:bidi="he-IL"/>
        </w:rPr>
        <w:t xml:space="preserve">, </w:t>
      </w:r>
      <w:r w:rsidRPr="00C8701B">
        <w:rPr>
          <w:rFonts w:eastAsia="Arial Unicode MS"/>
          <w:bCs/>
          <w:lang w:eastAsia="fr-FR" w:bidi="he-IL"/>
        </w:rPr>
        <w:t>S. Marc copie plus ou moins</w:t>
      </w:r>
      <w:r w:rsidR="00E65435">
        <w:rPr>
          <w:rFonts w:eastAsia="Arial Unicode MS"/>
          <w:bCs/>
          <w:lang w:eastAsia="fr-FR" w:bidi="he-IL"/>
        </w:rPr>
        <w:t xml:space="preserve">, </w:t>
      </w:r>
      <w:r w:rsidRPr="00C8701B">
        <w:rPr>
          <w:rFonts w:eastAsia="Arial Unicode MS"/>
          <w:bCs/>
          <w:lang w:eastAsia="fr-FR" w:bidi="he-IL"/>
        </w:rPr>
        <w:t>en les abrégeant</w:t>
      </w:r>
      <w:r w:rsidR="00E65435">
        <w:rPr>
          <w:rFonts w:eastAsia="Arial Unicode MS"/>
          <w:bCs/>
          <w:lang w:eastAsia="fr-FR" w:bidi="he-IL"/>
        </w:rPr>
        <w:t xml:space="preserve">, </w:t>
      </w:r>
      <w:r w:rsidRPr="00C8701B">
        <w:rPr>
          <w:rFonts w:eastAsia="Arial Unicode MS"/>
          <w:bCs/>
          <w:lang w:eastAsia="fr-FR" w:bidi="he-IL"/>
        </w:rPr>
        <w:t>les récits de S. Matthieu et de S. Luc</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mais ceux-ci avaient été tout à fait indépendants l</w:t>
      </w:r>
      <w:r w:rsidR="00557DE0">
        <w:rPr>
          <w:rFonts w:eastAsia="Arial Unicode MS"/>
          <w:bCs/>
          <w:lang w:eastAsia="fr-FR" w:bidi="he-IL"/>
        </w:rPr>
        <w:t>’</w:t>
      </w:r>
      <w:r w:rsidRPr="00C8701B">
        <w:rPr>
          <w:rFonts w:eastAsia="Arial Unicode MS"/>
          <w:bCs/>
          <w:lang w:eastAsia="fr-FR" w:bidi="he-IL"/>
        </w:rPr>
        <w:t>un de l</w:t>
      </w:r>
      <w:r w:rsidR="00557DE0">
        <w:rPr>
          <w:rFonts w:eastAsia="Arial Unicode MS"/>
          <w:bCs/>
          <w:lang w:eastAsia="fr-FR" w:bidi="he-IL"/>
        </w:rPr>
        <w:t>’</w:t>
      </w:r>
      <w:r w:rsidRPr="00C8701B">
        <w:rPr>
          <w:rFonts w:eastAsia="Arial Unicode MS"/>
          <w:bCs/>
          <w:lang w:eastAsia="fr-FR" w:bidi="he-IL"/>
        </w:rPr>
        <w:t>autre. Etc. Puis il y a d</w:t>
      </w:r>
      <w:r w:rsidR="00557DE0">
        <w:rPr>
          <w:rFonts w:eastAsia="Arial Unicode MS"/>
          <w:bCs/>
          <w:lang w:eastAsia="fr-FR" w:bidi="he-IL"/>
        </w:rPr>
        <w:t>’</w:t>
      </w:r>
      <w:r w:rsidRPr="00C8701B">
        <w:rPr>
          <w:rFonts w:eastAsia="Arial Unicode MS"/>
          <w:bCs/>
          <w:lang w:eastAsia="fr-FR" w:bidi="he-IL"/>
        </w:rPr>
        <w:t>autres complications</w:t>
      </w:r>
      <w:r w:rsidR="00C2602D" w:rsidRPr="00C8701B">
        <w:rPr>
          <w:rFonts w:eastAsia="Arial Unicode MS"/>
          <w:bCs/>
          <w:lang w:eastAsia="fr-FR" w:bidi="he-IL"/>
        </w:rPr>
        <w:t> :</w:t>
      </w:r>
      <w:r w:rsidRPr="00C8701B">
        <w:rPr>
          <w:rFonts w:eastAsia="Arial Unicode MS"/>
          <w:bCs/>
          <w:lang w:eastAsia="fr-FR" w:bidi="he-IL"/>
        </w:rPr>
        <w:t xml:space="preserve"> un</w:t>
      </w:r>
      <w:r w:rsidRPr="00DC4586">
        <w:rPr>
          <w:rStyle w:val="italicus"/>
        </w:rPr>
        <w:t xml:space="preserve"> Urma</w:t>
      </w:r>
      <w:r w:rsidR="0004306D" w:rsidRPr="00DC4586">
        <w:rPr>
          <w:rStyle w:val="italicus"/>
        </w:rPr>
        <w:t>t</w:t>
      </w:r>
      <w:r w:rsidR="00D62A98">
        <w:rPr>
          <w:rStyle w:val="italicus"/>
        </w:rPr>
        <w:t>t</w:t>
      </w:r>
      <w:r w:rsidR="0004306D" w:rsidRPr="00DC4586">
        <w:rPr>
          <w:rStyle w:val="italicus"/>
        </w:rPr>
        <w:t>h</w:t>
      </w:r>
      <w:r w:rsidR="00D62A98">
        <w:rPr>
          <w:rStyle w:val="italicus"/>
        </w:rPr>
        <w:t>æu</w:t>
      </w:r>
      <w:r w:rsidRPr="00DC4586">
        <w:rPr>
          <w:rStyle w:val="italicus"/>
        </w:rPr>
        <w:t>s</w:t>
      </w:r>
      <w:r w:rsidR="00E65435">
        <w:rPr>
          <w:rStyle w:val="italicus"/>
        </w:rPr>
        <w:t xml:space="preserve">, </w:t>
      </w:r>
      <w:r w:rsidR="00D62A98">
        <w:rPr>
          <w:rFonts w:eastAsia="Arial Unicode MS"/>
          <w:bCs/>
          <w:lang w:eastAsia="fr-FR" w:bidi="he-IL"/>
        </w:rPr>
        <w:t>ou Pro</w:t>
      </w:r>
      <w:r w:rsidRPr="00C8701B">
        <w:rPr>
          <w:rFonts w:eastAsia="Arial Unicode MS"/>
          <w:bCs/>
          <w:lang w:eastAsia="fr-FR" w:bidi="he-IL"/>
        </w:rPr>
        <w:t>to-Matthieu</w:t>
      </w:r>
      <w:r w:rsidR="00E65435">
        <w:rPr>
          <w:rFonts w:eastAsia="Arial Unicode MS"/>
          <w:bCs/>
          <w:lang w:eastAsia="fr-FR" w:bidi="he-IL"/>
        </w:rPr>
        <w:t xml:space="preserve">, </w:t>
      </w:r>
      <w:r w:rsidRPr="00C8701B">
        <w:rPr>
          <w:rFonts w:eastAsia="Arial Unicode MS"/>
          <w:bCs/>
          <w:lang w:eastAsia="fr-FR" w:bidi="he-IL"/>
        </w:rPr>
        <w:t>composé presque uniquement de discours</w:t>
      </w:r>
      <w:r w:rsidR="00E65435">
        <w:rPr>
          <w:rFonts w:eastAsia="Arial Unicode MS"/>
          <w:bCs/>
          <w:lang w:eastAsia="fr-FR" w:bidi="he-IL"/>
        </w:rPr>
        <w:t xml:space="preserve">, </w:t>
      </w:r>
      <w:r w:rsidRPr="00C8701B">
        <w:rPr>
          <w:rFonts w:eastAsia="Arial Unicode MS"/>
          <w:bCs/>
          <w:lang w:eastAsia="fr-FR" w:bidi="he-IL"/>
        </w:rPr>
        <w:t>et servant de base à notre S. Marc actuel</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ces deux sources ont servi à former le premier évangile tel que nous le possédons aujourd</w:t>
      </w:r>
      <w:r w:rsidR="00557DE0">
        <w:rPr>
          <w:rFonts w:eastAsia="Arial Unicode MS"/>
          <w:bCs/>
          <w:lang w:eastAsia="fr-FR" w:bidi="he-IL"/>
        </w:rPr>
        <w:t>’</w:t>
      </w:r>
      <w:r w:rsidRPr="00C8701B">
        <w:rPr>
          <w:rFonts w:eastAsia="Arial Unicode MS"/>
          <w:bCs/>
          <w:lang w:eastAsia="fr-FR" w:bidi="he-IL"/>
        </w:rPr>
        <w:t>hui</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S. Luc</w:t>
      </w:r>
      <w:r w:rsidR="00E65435">
        <w:rPr>
          <w:rFonts w:eastAsia="Arial Unicode MS"/>
          <w:bCs/>
          <w:lang w:eastAsia="fr-FR" w:bidi="he-IL"/>
        </w:rPr>
        <w:t xml:space="preserve">, </w:t>
      </w:r>
      <w:r w:rsidRPr="00C8701B">
        <w:rPr>
          <w:rFonts w:eastAsia="Arial Unicode MS"/>
          <w:bCs/>
          <w:lang w:eastAsia="fr-FR" w:bidi="he-IL"/>
        </w:rPr>
        <w:t>enfin</w:t>
      </w:r>
      <w:r w:rsidR="00E65435">
        <w:rPr>
          <w:rFonts w:eastAsia="Arial Unicode MS"/>
          <w:bCs/>
          <w:lang w:eastAsia="fr-FR" w:bidi="he-IL"/>
        </w:rPr>
        <w:t xml:space="preserve">, </w:t>
      </w:r>
      <w:r w:rsidRPr="00C8701B">
        <w:rPr>
          <w:rFonts w:eastAsia="Arial Unicode MS"/>
          <w:bCs/>
          <w:lang w:eastAsia="fr-FR" w:bidi="he-IL"/>
        </w:rPr>
        <w:t>a remanié</w:t>
      </w:r>
      <w:r w:rsidRPr="00DC4586">
        <w:rPr>
          <w:rStyle w:val="italicus"/>
        </w:rPr>
        <w:t xml:space="preserve"> </w:t>
      </w:r>
      <w:r w:rsidR="00D62A98" w:rsidRPr="00D62A98">
        <w:t>l</w:t>
      </w:r>
      <w:r w:rsidR="00557DE0">
        <w:t>’</w:t>
      </w:r>
      <w:r w:rsidRPr="00DC4586">
        <w:rPr>
          <w:rStyle w:val="italicus"/>
        </w:rPr>
        <w:t>Urmatthœus</w:t>
      </w:r>
      <w:r w:rsidRPr="00C8701B">
        <w:rPr>
          <w:rFonts w:eastAsia="Arial Unicode MS"/>
          <w:bCs/>
          <w:lang w:eastAsia="fr-FR" w:bidi="he-IL"/>
        </w:rPr>
        <w:t xml:space="preserve"> et S. Marc</w:t>
      </w:r>
      <w:r w:rsidR="00933C60" w:rsidRPr="00C406FF">
        <w:rPr>
          <w:rStyle w:val="Appelnotedebasdep"/>
        </w:rPr>
        <w:footnoteReference w:id="222"/>
      </w:r>
      <w:r w:rsidRPr="00C8701B">
        <w:rPr>
          <w:rFonts w:eastAsia="Arial Unicode MS"/>
          <w:bCs/>
          <w:lang w:eastAsia="fr-FR" w:bidi="he-IL"/>
        </w:rPr>
        <w:t>. Ou encore</w:t>
      </w:r>
      <w:r w:rsidR="00E65435">
        <w:rPr>
          <w:rFonts w:eastAsia="Arial Unicode MS"/>
          <w:bCs/>
          <w:lang w:eastAsia="fr-FR" w:bidi="he-IL"/>
        </w:rPr>
        <w:t xml:space="preserve">, </w:t>
      </w:r>
      <w:r w:rsidRPr="00C8701B">
        <w:rPr>
          <w:rFonts w:eastAsia="Arial Unicode MS"/>
          <w:bCs/>
          <w:lang w:eastAsia="fr-FR" w:bidi="he-IL"/>
        </w:rPr>
        <w:t>un</w:t>
      </w:r>
      <w:r w:rsidRPr="00DC4586">
        <w:rPr>
          <w:rStyle w:val="italicus"/>
        </w:rPr>
        <w:t xml:space="preserve"> Urmarkus</w:t>
      </w:r>
      <w:r w:rsidR="00E65435">
        <w:rPr>
          <w:rStyle w:val="italicus"/>
        </w:rPr>
        <w:t xml:space="preserve">, </w:t>
      </w:r>
      <w:r w:rsidRPr="00C8701B">
        <w:rPr>
          <w:rFonts w:eastAsia="Arial Unicode MS"/>
          <w:bCs/>
          <w:lang w:eastAsia="fr-FR" w:bidi="he-IL"/>
        </w:rPr>
        <w:t>c</w:t>
      </w:r>
      <w:r w:rsidR="00557DE0">
        <w:rPr>
          <w:rFonts w:eastAsia="Arial Unicode MS"/>
          <w:bCs/>
          <w:lang w:eastAsia="fr-FR" w:bidi="he-IL"/>
        </w:rPr>
        <w:t>’</w:t>
      </w:r>
      <w:r w:rsidR="00D62A98">
        <w:rPr>
          <w:rFonts w:eastAsia="Arial Unicode MS"/>
          <w:bCs/>
          <w:lang w:eastAsia="fr-FR" w:bidi="he-IL"/>
        </w:rPr>
        <w:t>est-à-dire Pro</w:t>
      </w:r>
      <w:r w:rsidRPr="00C8701B">
        <w:rPr>
          <w:rFonts w:eastAsia="Arial Unicode MS"/>
          <w:bCs/>
          <w:lang w:eastAsia="fr-FR" w:bidi="he-IL"/>
        </w:rPr>
        <w:t>to-Marc</w:t>
      </w:r>
      <w:r w:rsidR="00E65435">
        <w:rPr>
          <w:rFonts w:eastAsia="Arial Unicode MS"/>
          <w:bCs/>
          <w:lang w:eastAsia="fr-FR" w:bidi="he-IL"/>
        </w:rPr>
        <w:t xml:space="preserve">, </w:t>
      </w:r>
      <w:r w:rsidRPr="00C8701B">
        <w:rPr>
          <w:rFonts w:eastAsia="Arial Unicode MS"/>
          <w:bCs/>
          <w:lang w:eastAsia="fr-FR" w:bidi="he-IL"/>
        </w:rPr>
        <w:t>servant lui-même à des combinaisons de divers genres</w:t>
      </w:r>
      <w:r w:rsidR="00933C60" w:rsidRPr="00C406FF">
        <w:rPr>
          <w:rStyle w:val="Appelnotedebasdep"/>
        </w:rPr>
        <w:footnoteReference w:id="223"/>
      </w:r>
      <w:r w:rsidRPr="00C8701B">
        <w:rPr>
          <w:rFonts w:eastAsia="Arial Unicode MS"/>
          <w:bCs/>
          <w:lang w:eastAsia="fr-FR" w:bidi="he-IL"/>
        </w:rPr>
        <w:t>. Etc.</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2.</w:t>
      </w:r>
      <w:bookmarkStart w:id="73" w:name="evin07020402"/>
      <w:bookmarkEnd w:id="73"/>
      <w:r w:rsidRPr="00DC4586">
        <w:rPr>
          <w:rStyle w:val="italicus"/>
        </w:rPr>
        <w:t xml:space="preserve"> Deuxième système.</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 xml:space="preserve">Les synoptiques ont puisé à tour de rôle à un </w:t>
      </w:r>
      <w:r w:rsidR="00D62373">
        <w:rPr>
          <w:rStyle w:val="italicus"/>
        </w:rPr>
        <w:t>Urevangelium</w:t>
      </w:r>
      <w:r w:rsidR="00E65435">
        <w:rPr>
          <w:rStyle w:val="italicus"/>
        </w:rPr>
        <w:t xml:space="preserve">, </w:t>
      </w:r>
      <w:r w:rsidRPr="00C8701B">
        <w:rPr>
          <w:rFonts w:eastAsia="Arial Unicode MS"/>
          <w:bCs/>
          <w:lang w:eastAsia="fr-FR" w:bidi="he-IL"/>
        </w:rPr>
        <w:t xml:space="preserve">ou </w:t>
      </w:r>
      <w:r w:rsidR="00C2602D" w:rsidRPr="00C8701B">
        <w:rPr>
          <w:rFonts w:eastAsia="Arial Unicode MS"/>
          <w:bCs/>
          <w:lang w:eastAsia="fr-FR" w:bidi="he-IL"/>
        </w:rPr>
        <w:t>« </w:t>
      </w:r>
      <w:r w:rsidRPr="00C8701B">
        <w:rPr>
          <w:rFonts w:eastAsia="Arial Unicode MS"/>
          <w:bCs/>
          <w:lang w:eastAsia="fr-FR" w:bidi="he-IL"/>
        </w:rPr>
        <w:t>évangile primitif</w:t>
      </w:r>
      <w:r w:rsidR="00C2602D" w:rsidRPr="00C8701B">
        <w:rPr>
          <w:rFonts w:eastAsia="Arial Unicode MS"/>
          <w:bCs/>
          <w:lang w:eastAsia="fr-FR" w:bidi="he-IL"/>
        </w:rPr>
        <w:t> »</w:t>
      </w:r>
      <w:r w:rsidR="00E65435">
        <w:rPr>
          <w:rFonts w:eastAsia="Arial Unicode MS"/>
          <w:bCs/>
          <w:lang w:eastAsia="fr-FR" w:bidi="he-IL"/>
        </w:rPr>
        <w:t xml:space="preserve">, </w:t>
      </w:r>
      <w:r w:rsidRPr="00C8701B">
        <w:rPr>
          <w:rFonts w:eastAsia="Arial Unicode MS"/>
          <w:bCs/>
          <w:lang w:eastAsia="fr-FR" w:bidi="he-IL"/>
        </w:rPr>
        <w:t>composé par un auteur inconnu</w:t>
      </w:r>
      <w:r w:rsidR="00E65435">
        <w:rPr>
          <w:rFonts w:eastAsia="Arial Unicode MS"/>
          <w:bCs/>
          <w:lang w:eastAsia="fr-FR" w:bidi="he-IL"/>
        </w:rPr>
        <w:t xml:space="preserve">, </w:t>
      </w:r>
      <w:r w:rsidRPr="00C8701B">
        <w:rPr>
          <w:rFonts w:eastAsia="Arial Unicode MS"/>
          <w:bCs/>
          <w:lang w:eastAsia="fr-FR" w:bidi="he-IL"/>
        </w:rPr>
        <w:t>pièce qui circula de très bonne heure dans les rangs des premiers chrétiens</w:t>
      </w:r>
      <w:r w:rsidR="00E65435">
        <w:rPr>
          <w:rFonts w:eastAsia="Arial Unicode MS"/>
          <w:bCs/>
          <w:lang w:eastAsia="fr-FR" w:bidi="he-IL"/>
        </w:rPr>
        <w:t xml:space="preserve">, </w:t>
      </w:r>
      <w:r w:rsidRPr="00C8701B">
        <w:rPr>
          <w:rFonts w:eastAsia="Arial Unicode MS"/>
          <w:bCs/>
          <w:lang w:eastAsia="fr-FR" w:bidi="he-IL"/>
        </w:rPr>
        <w:t>mais qui ne tarda pas à disparaître</w:t>
      </w:r>
      <w:r w:rsidR="00933C60" w:rsidRPr="00C406FF">
        <w:rPr>
          <w:rStyle w:val="Appelnotedebasdep"/>
        </w:rPr>
        <w:footnoteReference w:id="224"/>
      </w:r>
      <w:r w:rsidRPr="00C8701B">
        <w:rPr>
          <w:rFonts w:eastAsia="Arial Unicode MS"/>
          <w:bCs/>
          <w:lang w:eastAsia="fr-FR" w:bidi="he-IL"/>
        </w:rPr>
        <w:t>. On comprend</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après cela</w:t>
      </w:r>
      <w:r w:rsidR="00E65435">
        <w:rPr>
          <w:rFonts w:eastAsia="Arial Unicode MS"/>
          <w:bCs/>
          <w:lang w:eastAsia="fr-FR" w:bidi="he-IL"/>
        </w:rPr>
        <w:t xml:space="preserve">, </w:t>
      </w:r>
      <w:r w:rsidRPr="00C8701B">
        <w:rPr>
          <w:rFonts w:eastAsia="Arial Unicode MS"/>
          <w:bCs/>
          <w:lang w:eastAsia="fr-FR" w:bidi="he-IL"/>
        </w:rPr>
        <w:t>qu</w:t>
      </w:r>
      <w:r w:rsidR="00557DE0">
        <w:rPr>
          <w:rFonts w:eastAsia="Arial Unicode MS"/>
          <w:bCs/>
          <w:lang w:eastAsia="fr-FR" w:bidi="he-IL"/>
        </w:rPr>
        <w:t>’</w:t>
      </w:r>
      <w:r w:rsidRPr="00C8701B">
        <w:rPr>
          <w:rFonts w:eastAsia="Arial Unicode MS"/>
          <w:bCs/>
          <w:lang w:eastAsia="fr-FR" w:bidi="he-IL"/>
        </w:rPr>
        <w:t>il existe des ressemblances très frappantes de fond et de forme entre les trois premiers évangiles</w:t>
      </w:r>
      <w:r w:rsidR="00E65435">
        <w:rPr>
          <w:rFonts w:eastAsia="Arial Unicode MS"/>
          <w:bCs/>
          <w:lang w:eastAsia="fr-FR" w:bidi="he-IL"/>
        </w:rPr>
        <w:t xml:space="preserve">, </w:t>
      </w:r>
      <w:r w:rsidRPr="00C8701B">
        <w:rPr>
          <w:rFonts w:eastAsia="Arial Unicode MS"/>
          <w:bCs/>
          <w:lang w:eastAsia="fr-FR" w:bidi="he-IL"/>
        </w:rPr>
        <w:t>puisqu</w:t>
      </w:r>
      <w:r w:rsidR="00557DE0">
        <w:rPr>
          <w:rFonts w:eastAsia="Arial Unicode MS"/>
          <w:bCs/>
          <w:lang w:eastAsia="fr-FR" w:bidi="he-IL"/>
        </w:rPr>
        <w:t>’</w:t>
      </w:r>
      <w:r w:rsidRPr="00C8701B">
        <w:rPr>
          <w:rFonts w:eastAsia="Arial Unicode MS"/>
          <w:bCs/>
          <w:lang w:eastAsia="fr-FR" w:bidi="he-IL"/>
        </w:rPr>
        <w:t>ils ont puisé plus ou moins à cette source et qu</w:t>
      </w:r>
      <w:r w:rsidR="00557DE0">
        <w:rPr>
          <w:rFonts w:eastAsia="Arial Unicode MS"/>
          <w:bCs/>
          <w:lang w:eastAsia="fr-FR" w:bidi="he-IL"/>
        </w:rPr>
        <w:t>’</w:t>
      </w:r>
      <w:r w:rsidRPr="00C8701B">
        <w:rPr>
          <w:rFonts w:eastAsia="Arial Unicode MS"/>
          <w:bCs/>
          <w:lang w:eastAsia="fr-FR" w:bidi="he-IL"/>
        </w:rPr>
        <w:t>ils l</w:t>
      </w:r>
      <w:r w:rsidR="00557DE0">
        <w:rPr>
          <w:rFonts w:eastAsia="Arial Unicode MS"/>
          <w:bCs/>
          <w:lang w:eastAsia="fr-FR" w:bidi="he-IL"/>
        </w:rPr>
        <w:t>’</w:t>
      </w:r>
      <w:r w:rsidRPr="00C8701B">
        <w:rPr>
          <w:rFonts w:eastAsia="Arial Unicode MS"/>
          <w:bCs/>
          <w:lang w:eastAsia="fr-FR" w:bidi="he-IL"/>
        </w:rPr>
        <w:t>ont même parfois copiée intégralement. On ne s</w:t>
      </w:r>
      <w:r w:rsidR="00557DE0">
        <w:rPr>
          <w:rFonts w:eastAsia="Arial Unicode MS"/>
          <w:bCs/>
          <w:lang w:eastAsia="fr-FR" w:bidi="he-IL"/>
        </w:rPr>
        <w:t>’</w:t>
      </w:r>
      <w:r w:rsidRPr="00C8701B">
        <w:rPr>
          <w:rFonts w:eastAsia="Arial Unicode MS"/>
          <w:bCs/>
          <w:lang w:eastAsia="fr-FR" w:bidi="he-IL"/>
        </w:rPr>
        <w:t>explique pas moins leurs divergences</w:t>
      </w:r>
      <w:r w:rsidR="00C2602D" w:rsidRPr="00C8701B">
        <w:rPr>
          <w:rFonts w:eastAsia="Arial Unicode MS"/>
          <w:bCs/>
          <w:lang w:eastAsia="fr-FR" w:bidi="he-IL"/>
        </w:rPr>
        <w:t> :</w:t>
      </w:r>
      <w:r w:rsidRPr="00C8701B">
        <w:rPr>
          <w:rFonts w:eastAsia="Arial Unicode MS"/>
          <w:bCs/>
          <w:lang w:eastAsia="fr-FR" w:bidi="he-IL"/>
        </w:rPr>
        <w:t xml:space="preserve"> elles ont lieu quand ils abandonnent leur modèle commun</w:t>
      </w:r>
      <w:r w:rsidR="00E65435">
        <w:rPr>
          <w:rFonts w:eastAsia="Arial Unicode MS"/>
          <w:bCs/>
          <w:lang w:eastAsia="fr-FR" w:bidi="he-IL"/>
        </w:rPr>
        <w:t xml:space="preserve">, </w:t>
      </w:r>
      <w:r w:rsidRPr="00C8701B">
        <w:rPr>
          <w:rFonts w:eastAsia="Arial Unicode MS"/>
          <w:bCs/>
          <w:lang w:eastAsia="fr-FR" w:bidi="he-IL"/>
        </w:rPr>
        <w:t>pour puiser à d</w:t>
      </w:r>
      <w:r w:rsidR="00557DE0">
        <w:rPr>
          <w:rFonts w:eastAsia="Arial Unicode MS"/>
          <w:bCs/>
          <w:lang w:eastAsia="fr-FR" w:bidi="he-IL"/>
        </w:rPr>
        <w:t>’</w:t>
      </w:r>
      <w:r w:rsidRPr="00C8701B">
        <w:rPr>
          <w:rFonts w:eastAsia="Arial Unicode MS"/>
          <w:bCs/>
          <w:lang w:eastAsia="fr-FR" w:bidi="he-IL"/>
        </w:rPr>
        <w:t>autres documents</w:t>
      </w:r>
      <w:r w:rsidR="00E65435">
        <w:rPr>
          <w:rFonts w:eastAsia="Arial Unicode MS"/>
          <w:bCs/>
          <w:lang w:eastAsia="fr-FR" w:bidi="he-IL"/>
        </w:rPr>
        <w:t xml:space="preserve">, </w:t>
      </w:r>
      <w:r w:rsidRPr="00C8701B">
        <w:rPr>
          <w:rFonts w:eastAsia="Arial Unicode MS"/>
          <w:bCs/>
          <w:lang w:eastAsia="fr-FR" w:bidi="he-IL"/>
        </w:rPr>
        <w:t>ou quand le modèle a été modifié</w:t>
      </w:r>
      <w:r w:rsidR="00E65435">
        <w:rPr>
          <w:rFonts w:eastAsia="Arial Unicode MS"/>
          <w:bCs/>
          <w:lang w:eastAsia="fr-FR" w:bidi="he-IL"/>
        </w:rPr>
        <w:t xml:space="preserve">, </w:t>
      </w:r>
      <w:r w:rsidRPr="00C8701B">
        <w:rPr>
          <w:rFonts w:eastAsia="Arial Unicode MS"/>
          <w:bCs/>
          <w:lang w:eastAsia="fr-FR" w:bidi="he-IL"/>
        </w:rPr>
        <w:t>altéré.</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Tel est le second système</w:t>
      </w:r>
      <w:r w:rsidR="00E65435">
        <w:rPr>
          <w:rFonts w:eastAsia="Arial Unicode MS"/>
          <w:bCs/>
          <w:lang w:eastAsia="fr-FR" w:bidi="he-IL"/>
        </w:rPr>
        <w:t xml:space="preserve">, </w:t>
      </w:r>
      <w:r w:rsidRPr="00C8701B">
        <w:rPr>
          <w:rFonts w:eastAsia="Arial Unicode MS"/>
          <w:bCs/>
          <w:lang w:eastAsia="fr-FR" w:bidi="he-IL"/>
        </w:rPr>
        <w:t>réduit à sa plus simple expression. Mais il se complique à son tour d</w:t>
      </w:r>
      <w:r w:rsidR="00557DE0">
        <w:rPr>
          <w:rFonts w:eastAsia="Arial Unicode MS"/>
          <w:bCs/>
          <w:lang w:eastAsia="fr-FR" w:bidi="he-IL"/>
        </w:rPr>
        <w:t>’</w:t>
      </w:r>
      <w:r w:rsidRPr="00C8701B">
        <w:rPr>
          <w:rFonts w:eastAsia="Arial Unicode MS"/>
          <w:bCs/>
          <w:lang w:eastAsia="fr-FR" w:bidi="he-IL"/>
        </w:rPr>
        <w:t>une façon prodigieuse</w:t>
      </w:r>
      <w:r w:rsidR="00E65435">
        <w:rPr>
          <w:rFonts w:eastAsia="Arial Unicode MS"/>
          <w:bCs/>
          <w:lang w:eastAsia="fr-FR" w:bidi="he-IL"/>
        </w:rPr>
        <w:t xml:space="preserve">, </w:t>
      </w:r>
      <w:r w:rsidRPr="00C8701B">
        <w:rPr>
          <w:rFonts w:eastAsia="Arial Unicode MS"/>
          <w:bCs/>
          <w:lang w:eastAsia="fr-FR" w:bidi="he-IL"/>
        </w:rPr>
        <w:t>quand on le suit dans les divers développements qu</w:t>
      </w:r>
      <w:r w:rsidR="00557DE0">
        <w:rPr>
          <w:rFonts w:eastAsia="Arial Unicode MS"/>
          <w:bCs/>
          <w:lang w:eastAsia="fr-FR" w:bidi="he-IL"/>
        </w:rPr>
        <w:t>’</w:t>
      </w:r>
      <w:r w:rsidRPr="00C8701B">
        <w:rPr>
          <w:rFonts w:eastAsia="Arial Unicode MS"/>
          <w:bCs/>
          <w:lang w:eastAsia="fr-FR" w:bidi="he-IL"/>
        </w:rPr>
        <w:t>il a reçus. On assiste à des fusions étranges</w:t>
      </w:r>
      <w:r w:rsidR="00E65435">
        <w:rPr>
          <w:rFonts w:eastAsia="Arial Unicode MS"/>
          <w:bCs/>
          <w:lang w:eastAsia="fr-FR" w:bidi="he-IL"/>
        </w:rPr>
        <w:t xml:space="preserve">, </w:t>
      </w:r>
      <w:r w:rsidR="00D62A98">
        <w:rPr>
          <w:rFonts w:eastAsia="Arial Unicode MS"/>
          <w:bCs/>
          <w:lang w:eastAsia="fr-FR" w:bidi="he-IL"/>
        </w:rPr>
        <w:t xml:space="preserve">à </w:t>
      </w:r>
      <w:r w:rsidRPr="00C8701B">
        <w:rPr>
          <w:rFonts w:eastAsia="Arial Unicode MS"/>
          <w:bCs/>
          <w:lang w:eastAsia="fr-FR" w:bidi="he-IL"/>
        </w:rPr>
        <w:t>des remaniements qui n</w:t>
      </w:r>
      <w:r w:rsidR="00557DE0">
        <w:rPr>
          <w:rFonts w:eastAsia="Arial Unicode MS"/>
          <w:bCs/>
          <w:lang w:eastAsia="fr-FR" w:bidi="he-IL"/>
        </w:rPr>
        <w:t>’</w:t>
      </w:r>
      <w:r w:rsidRPr="00C8701B">
        <w:rPr>
          <w:rFonts w:eastAsia="Arial Unicode MS"/>
          <w:bCs/>
          <w:lang w:eastAsia="fr-FR" w:bidi="he-IL"/>
        </w:rPr>
        <w:t>en finissent plus.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1° D</w:t>
      </w:r>
      <w:r w:rsidR="00557DE0">
        <w:rPr>
          <w:rFonts w:eastAsia="Arial Unicode MS"/>
          <w:bCs/>
          <w:lang w:eastAsia="fr-FR" w:bidi="he-IL"/>
        </w:rPr>
        <w:t>’</w:t>
      </w:r>
      <w:r w:rsidRPr="00C8701B">
        <w:rPr>
          <w:rFonts w:eastAsia="Arial Unicode MS"/>
          <w:bCs/>
          <w:lang w:eastAsia="fr-FR" w:bidi="he-IL"/>
        </w:rPr>
        <w:t>après Eichhorn</w:t>
      </w:r>
      <w:r w:rsidR="00933C60" w:rsidRPr="00C406FF">
        <w:rPr>
          <w:rStyle w:val="Appelnotedebasdep"/>
        </w:rPr>
        <w:footnoteReference w:id="225"/>
      </w:r>
      <w:r w:rsidR="00E65435">
        <w:rPr>
          <w:rFonts w:eastAsia="Arial Unicode MS"/>
          <w:bCs/>
          <w:lang w:eastAsia="fr-FR" w:bidi="he-IL"/>
        </w:rPr>
        <w:t xml:space="preserve">, </w:t>
      </w:r>
      <w:r w:rsidR="00D62A98" w:rsidRPr="00D62A98">
        <w:t>l</w:t>
      </w:r>
      <w:r w:rsidR="00557DE0">
        <w:t>’</w:t>
      </w:r>
      <w:r w:rsidR="00D62373">
        <w:rPr>
          <w:rStyle w:val="italicus"/>
        </w:rPr>
        <w:t>Urevangelium</w:t>
      </w:r>
      <w:r w:rsidR="00E65435">
        <w:rPr>
          <w:rStyle w:val="italicus"/>
        </w:rPr>
        <w:t xml:space="preserve">, </w:t>
      </w:r>
      <w:r w:rsidRPr="00C8701B">
        <w:rPr>
          <w:rFonts w:eastAsia="Arial Unicode MS"/>
          <w:bCs/>
          <w:lang w:eastAsia="fr-FR" w:bidi="he-IL"/>
        </w:rPr>
        <w:t>écrit en syro-chaldéen</w:t>
      </w:r>
      <w:r w:rsidR="00E65435">
        <w:rPr>
          <w:rFonts w:eastAsia="Arial Unicode MS"/>
          <w:bCs/>
          <w:lang w:eastAsia="fr-FR" w:bidi="he-IL"/>
        </w:rPr>
        <w:t xml:space="preserve">, </w:t>
      </w:r>
      <w:r w:rsidRPr="00C8701B">
        <w:rPr>
          <w:rFonts w:eastAsia="Arial Unicode MS"/>
          <w:bCs/>
          <w:lang w:eastAsia="fr-FR" w:bidi="he-IL"/>
        </w:rPr>
        <w:t>la langue alors parlée en Palestine</w:t>
      </w:r>
      <w:r w:rsidR="00E65435">
        <w:rPr>
          <w:rFonts w:eastAsia="Arial Unicode MS"/>
          <w:bCs/>
          <w:lang w:eastAsia="fr-FR" w:bidi="he-IL"/>
        </w:rPr>
        <w:t xml:space="preserve">, </w:t>
      </w:r>
      <w:r w:rsidRPr="00C8701B">
        <w:rPr>
          <w:rFonts w:eastAsia="Arial Unicode MS"/>
          <w:bCs/>
          <w:lang w:eastAsia="fr-FR" w:bidi="he-IL"/>
        </w:rPr>
        <w:t>aurait circulé sous quatre formes ou recensions distinctes</w:t>
      </w:r>
      <w:r w:rsidR="00C2602D" w:rsidRPr="00C8701B">
        <w:rPr>
          <w:rFonts w:eastAsia="Arial Unicode MS"/>
          <w:bCs/>
          <w:lang w:eastAsia="fr-FR" w:bidi="he-IL"/>
        </w:rPr>
        <w:t> :</w:t>
      </w:r>
      <w:r w:rsidRPr="00C8701B">
        <w:rPr>
          <w:rFonts w:eastAsia="Arial Unicode MS"/>
          <w:bCs/>
          <w:lang w:eastAsia="fr-FR" w:bidi="he-IL"/>
        </w:rPr>
        <w:t xml:space="preserve"> S. Matthieu mit à profit la première (A)</w:t>
      </w:r>
      <w:r w:rsidR="00E65435">
        <w:rPr>
          <w:rFonts w:eastAsia="Arial Unicode MS"/>
          <w:bCs/>
          <w:lang w:eastAsia="fr-FR" w:bidi="he-IL"/>
        </w:rPr>
        <w:t xml:space="preserve">, </w:t>
      </w:r>
      <w:r w:rsidRPr="00C8701B">
        <w:rPr>
          <w:rFonts w:eastAsia="Arial Unicode MS"/>
          <w:bCs/>
          <w:lang w:eastAsia="fr-FR" w:bidi="he-IL"/>
        </w:rPr>
        <w:t>S. Luc la seconde (B)</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S. Marc utilisa la troisième (C)</w:t>
      </w:r>
      <w:r w:rsidR="00E65435">
        <w:rPr>
          <w:rFonts w:eastAsia="Arial Unicode MS"/>
          <w:bCs/>
          <w:lang w:eastAsia="fr-FR" w:bidi="he-IL"/>
        </w:rPr>
        <w:t xml:space="preserve">, </w:t>
      </w:r>
      <w:r w:rsidRPr="00C8701B">
        <w:rPr>
          <w:rFonts w:eastAsia="Arial Unicode MS"/>
          <w:bCs/>
          <w:lang w:eastAsia="fr-FR" w:bidi="he-IL"/>
        </w:rPr>
        <w:t>qui était une combinaison des deux précédentes (A+B)</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la quatrième (D) servit</w:t>
      </w:r>
      <w:r w:rsidR="00E65435">
        <w:rPr>
          <w:rFonts w:eastAsia="Arial Unicode MS"/>
          <w:bCs/>
          <w:lang w:eastAsia="fr-FR" w:bidi="he-IL"/>
        </w:rPr>
        <w:t xml:space="preserve">, </w:t>
      </w:r>
      <w:r w:rsidRPr="00C8701B">
        <w:rPr>
          <w:rFonts w:eastAsia="Arial Unicode MS"/>
          <w:bCs/>
          <w:lang w:eastAsia="fr-FR" w:bidi="he-IL"/>
        </w:rPr>
        <w:t>avec la première</w:t>
      </w:r>
      <w:r w:rsidR="00E65435">
        <w:rPr>
          <w:rFonts w:eastAsia="Arial Unicode MS"/>
          <w:bCs/>
          <w:lang w:eastAsia="fr-FR" w:bidi="he-IL"/>
        </w:rPr>
        <w:t xml:space="preserve">, </w:t>
      </w:r>
      <w:r w:rsidRPr="00C8701B">
        <w:rPr>
          <w:rFonts w:eastAsia="Arial Unicode MS"/>
          <w:bCs/>
          <w:lang w:eastAsia="fr-FR" w:bidi="he-IL"/>
        </w:rPr>
        <w:t>à S. Matthieu et à S. Luc.</w:t>
      </w:r>
      <w:r w:rsidR="00C2602D" w:rsidRPr="00C8701B">
        <w:rPr>
          <w:rFonts w:eastAsia="Arial Unicode MS"/>
          <w:bCs/>
          <w:lang w:eastAsia="fr-FR" w:bidi="he-IL"/>
        </w:rPr>
        <w:t xml:space="preserve"> </w:t>
      </w:r>
      <w:r w:rsidR="00A067B1" w:rsidRPr="000716BB">
        <w:rPr>
          <w:rFonts w:eastAsia="Arial Unicode MS"/>
          <w:bCs/>
          <w:lang w:eastAsia="fr-FR" w:bidi="he-IL"/>
        </w:rPr>
        <w:t>{</w:t>
      </w:r>
      <w:r w:rsidR="00A067B1">
        <w:rPr>
          <w:rFonts w:eastAsia="Arial Unicode MS"/>
          <w:bCs/>
          <w:lang w:eastAsia="fr-FR" w:bidi="he-IL"/>
        </w:rPr>
        <w:t>44</w:t>
      </w:r>
      <w:bookmarkStart w:id="74" w:name="pag044"/>
      <w:bookmarkEnd w:id="74"/>
      <w:r w:rsidR="00A067B1" w:rsidRPr="000716BB">
        <w:rPr>
          <w:rFonts w:eastAsia="Arial Unicode MS"/>
          <w:bCs/>
          <w:lang w:eastAsia="fr-FR" w:bidi="he-IL"/>
        </w:rPr>
        <w:t>}</w:t>
      </w:r>
    </w:p>
    <w:p w:rsidR="00C2602D" w:rsidRPr="00C8701B" w:rsidRDefault="00B704AD" w:rsidP="00C2602D">
      <w:pPr>
        <w:rPr>
          <w:rFonts w:eastAsia="Arial Unicode MS"/>
          <w:bCs/>
          <w:lang w:eastAsia="fr-FR" w:bidi="he-IL"/>
        </w:rPr>
      </w:pPr>
      <w:r w:rsidRPr="00C8701B">
        <w:rPr>
          <w:rFonts w:eastAsia="Arial Unicode MS"/>
          <w:bCs/>
          <w:lang w:eastAsia="fr-FR" w:bidi="he-IL"/>
        </w:rPr>
        <w:t>2° L</w:t>
      </w:r>
      <w:r w:rsidR="00557DE0">
        <w:rPr>
          <w:rFonts w:eastAsia="Arial Unicode MS"/>
          <w:bCs/>
          <w:lang w:eastAsia="fr-FR" w:bidi="he-IL"/>
        </w:rPr>
        <w:t>’</w:t>
      </w:r>
      <w:r w:rsidRPr="00C8701B">
        <w:rPr>
          <w:rFonts w:eastAsia="Arial Unicode MS"/>
          <w:bCs/>
          <w:lang w:eastAsia="fr-FR" w:bidi="he-IL"/>
        </w:rPr>
        <w:t>évêque anglican</w:t>
      </w:r>
      <w:r w:rsidR="00D62A98">
        <w:rPr>
          <w:rFonts w:eastAsia="Arial Unicode MS"/>
          <w:bCs/>
          <w:lang w:eastAsia="fr-FR" w:bidi="he-IL"/>
        </w:rPr>
        <w:t xml:space="preserve"> Marsh</w:t>
      </w:r>
      <w:r w:rsidR="00933C60" w:rsidRPr="00C406FF">
        <w:rPr>
          <w:rStyle w:val="Appelnotedebasdep"/>
        </w:rPr>
        <w:footnoteReference w:id="226"/>
      </w:r>
      <w:r w:rsidR="00D62A98">
        <w:rPr>
          <w:rFonts w:eastAsia="Arial Unicode MS"/>
          <w:bCs/>
          <w:lang w:eastAsia="fr-FR" w:bidi="he-IL"/>
        </w:rPr>
        <w:t xml:space="preserve"> ne se contente pas de ces cinq docu</w:t>
      </w:r>
      <w:r w:rsidRPr="00C8701B">
        <w:rPr>
          <w:rFonts w:eastAsia="Arial Unicode MS"/>
          <w:bCs/>
          <w:lang w:eastAsia="fr-FR" w:bidi="he-IL"/>
        </w:rPr>
        <w:t>ments primitifs (le texte et ses quatre copies altérées)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il en veut six</w:t>
      </w:r>
      <w:r w:rsidR="00E65435">
        <w:rPr>
          <w:rFonts w:eastAsia="Arial Unicode MS"/>
          <w:bCs/>
          <w:lang w:eastAsia="fr-FR" w:bidi="he-IL"/>
        </w:rPr>
        <w:t xml:space="preserve">, </w:t>
      </w:r>
      <w:r w:rsidRPr="00C8701B">
        <w:rPr>
          <w:rFonts w:eastAsia="Arial Unicode MS"/>
          <w:bCs/>
          <w:lang w:eastAsia="fr-FR" w:bidi="he-IL"/>
        </w:rPr>
        <w:t>savoir</w:t>
      </w:r>
      <w:r w:rsidR="00C2602D" w:rsidRPr="00C8701B">
        <w:rPr>
          <w:rFonts w:eastAsia="Arial Unicode MS"/>
          <w:bCs/>
          <w:lang w:eastAsia="fr-FR" w:bidi="he-IL"/>
        </w:rPr>
        <w:t xml:space="preserve"> : </w:t>
      </w:r>
    </w:p>
    <w:p w:rsidR="00C2602D" w:rsidRPr="00C8701B" w:rsidRDefault="00B704AD" w:rsidP="00C2602D">
      <w:pPr>
        <w:rPr>
          <w:rFonts w:eastAsia="Arial Unicode MS"/>
          <w:bCs/>
          <w:lang w:eastAsia="fr-FR" w:bidi="he-IL"/>
        </w:rPr>
      </w:pPr>
      <w:r w:rsidRPr="00C8701B">
        <w:rPr>
          <w:rFonts w:eastAsia="Arial Unicode MS"/>
          <w:lang w:eastAsia="fr-FR" w:bidi="he-IL"/>
        </w:rPr>
        <w:t>1)</w:t>
      </w:r>
      <w:r w:rsidR="00605074" w:rsidRPr="00C8701B">
        <w:rPr>
          <w:rFonts w:eastAsia="Arial Unicode MS"/>
          <w:lang w:eastAsia="fr-FR" w:bidi="he-IL"/>
        </w:rPr>
        <w:t xml:space="preserve"> </w:t>
      </w:r>
      <w:r w:rsidRPr="00C8701B">
        <w:rPr>
          <w:rFonts w:eastAsia="Arial Unicode MS"/>
          <w:bCs/>
          <w:rtl/>
          <w:lang w:eastAsia="fr-FR" w:bidi="he-IL"/>
        </w:rPr>
        <w:t>א</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original araméen de l</w:t>
      </w:r>
      <w:r w:rsidR="00557DE0">
        <w:rPr>
          <w:rFonts w:eastAsia="Arial Unicode MS"/>
          <w:bCs/>
          <w:lang w:eastAsia="fr-FR" w:bidi="he-IL"/>
        </w:rPr>
        <w:t>’</w:t>
      </w:r>
      <w:r w:rsidRPr="00C8701B">
        <w:rPr>
          <w:rFonts w:eastAsia="Arial Unicode MS"/>
          <w:bCs/>
          <w:lang w:eastAsia="fr-FR" w:bidi="he-IL"/>
        </w:rPr>
        <w:t>évangile source</w:t>
      </w:r>
      <w:r w:rsidR="00C2602D" w:rsidRPr="00C8701B">
        <w:rPr>
          <w:rFonts w:eastAsia="Arial Unicode MS"/>
          <w:bCs/>
          <w:lang w:eastAsia="fr-FR" w:bidi="he-IL"/>
        </w:rPr>
        <w:t> </w:t>
      </w:r>
      <w:r w:rsidR="007F6508">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lang w:eastAsia="fr-FR" w:bidi="he-IL"/>
        </w:rPr>
        <w:t>2)</w:t>
      </w:r>
      <w:r w:rsidR="00605074" w:rsidRPr="00C8701B">
        <w:rPr>
          <w:rFonts w:eastAsia="Arial Unicode MS"/>
          <w:lang w:eastAsia="fr-FR" w:bidi="he-IL"/>
        </w:rPr>
        <w:t xml:space="preserve"> </w:t>
      </w:r>
      <w:r w:rsidRPr="00C8701B">
        <w:rPr>
          <w:rFonts w:eastAsia="Arial Unicode MS"/>
          <w:bCs/>
          <w:rtl/>
          <w:lang w:eastAsia="fr-FR" w:bidi="he-IL"/>
        </w:rPr>
        <w:t>א</w:t>
      </w:r>
      <w:r w:rsidRPr="00DC4586">
        <w:rPr>
          <w:rStyle w:val="italicus"/>
        </w:rPr>
        <w:t xml:space="preserve"> g</w:t>
      </w:r>
      <w:r w:rsidR="00E65435">
        <w:rPr>
          <w:rStyle w:val="italicus"/>
        </w:rPr>
        <w:t xml:space="preserve">, </w:t>
      </w:r>
      <w:r w:rsidRPr="00C8701B">
        <w:rPr>
          <w:rFonts w:eastAsia="Arial Unicode MS"/>
          <w:bCs/>
          <w:lang w:eastAsia="fr-FR" w:bidi="he-IL"/>
        </w:rPr>
        <w:t>sa traduction en grec</w:t>
      </w:r>
      <w:r w:rsidR="00C2602D" w:rsidRPr="00C8701B">
        <w:rPr>
          <w:rFonts w:eastAsia="Arial Unicode MS"/>
          <w:bCs/>
          <w:lang w:eastAsia="fr-FR" w:bidi="he-IL"/>
        </w:rPr>
        <w:t> </w:t>
      </w:r>
      <w:r w:rsidR="007F6508">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lang w:eastAsia="fr-FR" w:bidi="he-IL"/>
        </w:rPr>
        <w:t>3)</w:t>
      </w:r>
      <w:r w:rsidR="00605074" w:rsidRPr="00C8701B">
        <w:rPr>
          <w:rFonts w:eastAsia="Arial Unicode MS"/>
          <w:lang w:eastAsia="fr-FR" w:bidi="he-IL"/>
        </w:rPr>
        <w:t xml:space="preserve"> </w:t>
      </w:r>
      <w:r w:rsidR="00D62A98" w:rsidRPr="00C8701B">
        <w:rPr>
          <w:rFonts w:eastAsia="Arial Unicode MS"/>
          <w:bCs/>
          <w:rtl/>
          <w:lang w:eastAsia="fr-FR" w:bidi="he-IL"/>
        </w:rPr>
        <w:t>א</w:t>
      </w:r>
      <w:r w:rsidR="00D62A98">
        <w:rPr>
          <w:rFonts w:eastAsia="Arial Unicode MS"/>
          <w:bCs/>
          <w:lang w:eastAsia="fr-FR" w:bidi="he-IL"/>
        </w:rPr>
        <w:t xml:space="preserve"> +α+</w:t>
      </w:r>
      <w:r w:rsidRPr="00C8701B">
        <w:rPr>
          <w:rFonts w:eastAsia="Arial Unicode MS"/>
          <w:bCs/>
          <w:lang w:eastAsia="fr-FR" w:bidi="he-IL"/>
        </w:rPr>
        <w:t>A</w:t>
      </w:r>
      <w:r w:rsidR="00E65435">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est-à-dire</w:t>
      </w:r>
      <w:r w:rsidR="00E65435">
        <w:rPr>
          <w:rFonts w:eastAsia="Arial Unicode MS"/>
          <w:bCs/>
          <w:lang w:eastAsia="fr-FR" w:bidi="he-IL"/>
        </w:rPr>
        <w:t xml:space="preserve">, </w:t>
      </w:r>
      <w:r w:rsidRPr="00C8701B">
        <w:rPr>
          <w:rFonts w:eastAsia="Arial Unicode MS"/>
          <w:bCs/>
          <w:lang w:eastAsia="fr-FR" w:bidi="he-IL"/>
        </w:rPr>
        <w:t xml:space="preserve">une copie de </w:t>
      </w:r>
      <w:r w:rsidRPr="00C8701B">
        <w:rPr>
          <w:rFonts w:eastAsia="Arial Unicode MS"/>
          <w:bCs/>
          <w:rtl/>
          <w:lang w:eastAsia="fr-FR" w:bidi="he-IL"/>
        </w:rPr>
        <w:t>א</w:t>
      </w:r>
      <w:r w:rsidR="00E65435">
        <w:rPr>
          <w:rFonts w:eastAsia="Arial Unicode MS"/>
          <w:bCs/>
          <w:lang w:eastAsia="fr-FR" w:bidi="he-IL"/>
        </w:rPr>
        <w:t xml:space="preserve">, </w:t>
      </w:r>
      <w:r w:rsidRPr="00C8701B">
        <w:rPr>
          <w:rFonts w:eastAsia="Arial Unicode MS"/>
          <w:bCs/>
          <w:lang w:eastAsia="fr-FR" w:bidi="he-IL"/>
        </w:rPr>
        <w:t>mais altérée et renfermant de nouveaux passages</w:t>
      </w:r>
      <w:r w:rsidR="00C2602D" w:rsidRPr="00C8701B">
        <w:rPr>
          <w:rFonts w:eastAsia="Arial Unicode MS"/>
          <w:bCs/>
          <w:lang w:eastAsia="fr-FR" w:bidi="he-IL"/>
        </w:rPr>
        <w:t> </w:t>
      </w:r>
      <w:r w:rsidR="007F6508">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lang w:eastAsia="fr-FR" w:bidi="he-IL"/>
        </w:rPr>
        <w:t>4)</w:t>
      </w:r>
      <w:r w:rsidR="00605074" w:rsidRPr="00C8701B">
        <w:rPr>
          <w:rFonts w:eastAsia="Arial Unicode MS"/>
          <w:lang w:eastAsia="fr-FR" w:bidi="he-IL"/>
        </w:rPr>
        <w:t xml:space="preserve"> </w:t>
      </w:r>
      <w:r w:rsidRPr="00C8701B">
        <w:rPr>
          <w:rFonts w:eastAsia="Arial Unicode MS"/>
          <w:bCs/>
          <w:rtl/>
          <w:lang w:eastAsia="fr-FR" w:bidi="he-IL"/>
        </w:rPr>
        <w:t>א</w:t>
      </w:r>
      <w:r w:rsidRPr="00C8701B">
        <w:rPr>
          <w:rFonts w:eastAsia="Arial Unicode MS"/>
          <w:bCs/>
          <w:lang w:eastAsia="fr-FR" w:bidi="he-IL"/>
        </w:rPr>
        <w:t>+</w:t>
      </w:r>
      <w:r w:rsidR="00D62A98">
        <w:rPr>
          <w:rFonts w:eastAsia="Arial Unicode MS"/>
          <w:bCs/>
          <w:lang w:eastAsia="fr-FR" w:bidi="he-IL"/>
        </w:rPr>
        <w:t>β</w:t>
      </w:r>
      <w:r w:rsidRPr="00C8701B">
        <w:rPr>
          <w:rFonts w:eastAsia="Arial Unicode MS"/>
          <w:bCs/>
          <w:lang w:val="el-GR" w:eastAsia="fr-FR" w:bidi="he-IL"/>
        </w:rPr>
        <w:t>+</w:t>
      </w:r>
      <w:r w:rsidR="00D62A98">
        <w:rPr>
          <w:rFonts w:eastAsia="Arial Unicode MS"/>
          <w:bCs/>
          <w:lang w:eastAsia="fr-FR" w:bidi="he-IL"/>
        </w:rPr>
        <w:t>B</w:t>
      </w:r>
      <w:r w:rsidR="00E65435">
        <w:rPr>
          <w:rFonts w:eastAsia="Arial Unicode MS"/>
          <w:bCs/>
          <w:lang w:val="el-GR" w:eastAsia="fr-FR" w:bidi="he-IL"/>
        </w:rPr>
        <w:t xml:space="preserve">, </w:t>
      </w:r>
      <w:r w:rsidRPr="00C8701B">
        <w:rPr>
          <w:rFonts w:eastAsia="Arial Unicode MS"/>
          <w:bCs/>
          <w:lang w:eastAsia="fr-FR" w:bidi="he-IL"/>
        </w:rPr>
        <w:t xml:space="preserve">autre copie de </w:t>
      </w:r>
      <w:r w:rsidRPr="00C8701B">
        <w:rPr>
          <w:rFonts w:eastAsia="Arial Unicode MS"/>
          <w:bCs/>
          <w:rtl/>
          <w:lang w:eastAsia="fr-FR" w:bidi="he-IL"/>
        </w:rPr>
        <w:t>א</w:t>
      </w:r>
      <w:r w:rsidR="00E65435">
        <w:rPr>
          <w:rFonts w:eastAsia="Arial Unicode MS"/>
          <w:bCs/>
          <w:lang w:eastAsia="fr-FR" w:bidi="he-IL"/>
        </w:rPr>
        <w:t xml:space="preserve">, </w:t>
      </w:r>
      <w:r w:rsidRPr="00C8701B">
        <w:rPr>
          <w:rFonts w:eastAsia="Arial Unicode MS"/>
          <w:bCs/>
          <w:lang w:eastAsia="fr-FR" w:bidi="he-IL"/>
        </w:rPr>
        <w:t>avec d</w:t>
      </w:r>
      <w:r w:rsidR="00557DE0">
        <w:rPr>
          <w:rFonts w:eastAsia="Arial Unicode MS"/>
          <w:bCs/>
          <w:lang w:eastAsia="fr-FR" w:bidi="he-IL"/>
        </w:rPr>
        <w:t>’</w:t>
      </w:r>
      <w:r w:rsidRPr="00C8701B">
        <w:rPr>
          <w:rFonts w:eastAsia="Arial Unicode MS"/>
          <w:bCs/>
          <w:lang w:eastAsia="fr-FR" w:bidi="he-IL"/>
        </w:rPr>
        <w:t>autres altérations et d</w:t>
      </w:r>
      <w:r w:rsidR="00557DE0">
        <w:rPr>
          <w:rFonts w:eastAsia="Arial Unicode MS"/>
          <w:bCs/>
          <w:lang w:eastAsia="fr-FR" w:bidi="he-IL"/>
        </w:rPr>
        <w:t>’</w:t>
      </w:r>
      <w:r w:rsidRPr="00C8701B">
        <w:rPr>
          <w:rFonts w:eastAsia="Arial Unicode MS"/>
          <w:bCs/>
          <w:lang w:eastAsia="fr-FR" w:bidi="he-IL"/>
        </w:rPr>
        <w:t>autres additions</w:t>
      </w:r>
      <w:r w:rsidR="00C2602D" w:rsidRPr="00C8701B">
        <w:rPr>
          <w:rFonts w:eastAsia="Arial Unicode MS"/>
          <w:bCs/>
          <w:lang w:eastAsia="fr-FR" w:bidi="he-IL"/>
        </w:rPr>
        <w:t> </w:t>
      </w:r>
      <w:r w:rsidR="007F6508">
        <w:rPr>
          <w:rFonts w:eastAsia="Arial Unicode MS"/>
          <w:bCs/>
          <w:lang w:eastAsia="fr-FR" w:bidi="he-IL"/>
        </w:rPr>
        <w:t xml:space="preserve">; </w:t>
      </w:r>
    </w:p>
    <w:p w:rsidR="00C2602D" w:rsidRDefault="00B704AD" w:rsidP="00C2602D">
      <w:pPr>
        <w:rPr>
          <w:rFonts w:eastAsia="Arial Unicode MS"/>
          <w:bCs/>
          <w:lang w:eastAsia="fr-FR" w:bidi="he-IL"/>
        </w:rPr>
      </w:pPr>
      <w:r w:rsidRPr="00C8701B">
        <w:rPr>
          <w:rFonts w:eastAsia="Arial Unicode MS"/>
          <w:lang w:eastAsia="fr-FR" w:bidi="he-IL"/>
        </w:rPr>
        <w:t>5)</w:t>
      </w:r>
      <w:r w:rsidR="00605074" w:rsidRPr="00C8701B">
        <w:rPr>
          <w:rFonts w:eastAsia="Arial Unicode MS"/>
          <w:lang w:eastAsia="fr-FR" w:bidi="he-IL"/>
        </w:rPr>
        <w:t xml:space="preserve"> </w:t>
      </w:r>
      <w:r w:rsidR="00D62A98" w:rsidRPr="00C8701B">
        <w:rPr>
          <w:rFonts w:eastAsia="Arial Unicode MS"/>
          <w:bCs/>
          <w:rtl/>
          <w:lang w:eastAsia="fr-FR" w:bidi="he-IL"/>
        </w:rPr>
        <w:t>א</w:t>
      </w:r>
      <w:r w:rsidR="00D62A98" w:rsidRPr="00C8701B">
        <w:rPr>
          <w:rFonts w:eastAsia="Arial Unicode MS"/>
          <w:bCs/>
          <w:lang w:val="el-GR" w:eastAsia="fr-FR" w:bidi="he-IL"/>
        </w:rPr>
        <w:t xml:space="preserve"> </w:t>
      </w:r>
      <w:r w:rsidRPr="00C8701B">
        <w:rPr>
          <w:rFonts w:eastAsia="Arial Unicode MS"/>
          <w:bCs/>
          <w:lang w:val="el-GR" w:eastAsia="fr-FR" w:bidi="he-IL"/>
        </w:rPr>
        <w:t>+γ+Γ</w:t>
      </w:r>
      <w:r w:rsidR="00E65435">
        <w:rPr>
          <w:rFonts w:eastAsia="Arial Unicode MS"/>
          <w:bCs/>
          <w:lang w:val="el-GR" w:eastAsia="fr-FR" w:bidi="he-IL"/>
        </w:rPr>
        <w:t xml:space="preserve">, </w:t>
      </w:r>
      <w:r w:rsidRPr="00C8701B">
        <w:rPr>
          <w:rFonts w:eastAsia="Arial Unicode MS"/>
          <w:bCs/>
          <w:lang w:eastAsia="fr-FR" w:bidi="he-IL"/>
        </w:rPr>
        <w:t>troisième copie remaniée de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rtl/>
          <w:lang w:eastAsia="fr-FR" w:bidi="he-IL"/>
        </w:rPr>
        <w:t>א</w:t>
      </w:r>
      <w:r w:rsidR="00C2602D" w:rsidRPr="00C8701B">
        <w:rPr>
          <w:rFonts w:eastAsia="Arial Unicode MS"/>
          <w:bCs/>
          <w:lang w:eastAsia="fr-FR" w:bidi="he-IL"/>
        </w:rPr>
        <w:t xml:space="preserve"> </w:t>
      </w:r>
    </w:p>
    <w:p w:rsidR="00C2602D" w:rsidRPr="00C8701B" w:rsidRDefault="00D62A98" w:rsidP="00C2602D">
      <w:pPr>
        <w:rPr>
          <w:rFonts w:eastAsia="Arial Unicode MS"/>
          <w:bCs/>
          <w:lang w:eastAsia="fr-FR" w:bidi="he-IL"/>
        </w:rPr>
      </w:pPr>
      <w:r>
        <w:rPr>
          <w:rFonts w:eastAsia="Arial Unicode MS"/>
          <w:bCs/>
          <w:lang w:eastAsia="fr-FR" w:bidi="he-IL"/>
        </w:rPr>
        <w:t xml:space="preserve">6) </w:t>
      </w:r>
      <w:r w:rsidR="00B704AD" w:rsidRPr="00C8701B">
        <w:rPr>
          <w:rFonts w:eastAsia="Arial Unicode MS"/>
          <w:bCs/>
          <w:rtl/>
          <w:lang w:eastAsia="fr-FR" w:bidi="he-IL"/>
        </w:rPr>
        <w:t>ב</w:t>
      </w:r>
      <w:r w:rsidR="00E65435">
        <w:rPr>
          <w:rFonts w:eastAsia="Arial Unicode MS"/>
          <w:bCs/>
          <w:lang w:eastAsia="fr-FR" w:bidi="he-IL"/>
        </w:rPr>
        <w:t xml:space="preserve">, </w:t>
      </w:r>
      <w:r w:rsidR="00B704AD" w:rsidRPr="00C8701B">
        <w:rPr>
          <w:rFonts w:eastAsia="Arial Unicode MS"/>
          <w:bCs/>
          <w:lang w:eastAsia="fr-FR" w:bidi="he-IL"/>
        </w:rPr>
        <w:t>une collection de discours</w:t>
      </w:r>
      <w:r w:rsidR="00E65435">
        <w:rPr>
          <w:rFonts w:eastAsia="Arial Unicode MS"/>
          <w:bCs/>
          <w:lang w:eastAsia="fr-FR" w:bidi="he-IL"/>
        </w:rPr>
        <w:t xml:space="preserve">, </w:t>
      </w:r>
      <w:r w:rsidR="00B704AD" w:rsidRPr="00C8701B">
        <w:rPr>
          <w:rFonts w:eastAsia="Arial Unicode MS"/>
          <w:bCs/>
          <w:lang w:eastAsia="fr-FR" w:bidi="he-IL"/>
        </w:rPr>
        <w:t>paraboles et autres paroles de Jésus</w:t>
      </w:r>
      <w:r w:rsidR="00E65435">
        <w:rPr>
          <w:rFonts w:eastAsia="Arial Unicode MS"/>
          <w:bCs/>
          <w:lang w:eastAsia="fr-FR" w:bidi="he-IL"/>
        </w:rPr>
        <w:t xml:space="preserve">, </w:t>
      </w:r>
      <w:r w:rsidR="00B704AD" w:rsidRPr="00C8701B">
        <w:rPr>
          <w:rFonts w:eastAsia="Arial Unicode MS"/>
          <w:bCs/>
          <w:lang w:eastAsia="fr-FR" w:bidi="he-IL"/>
        </w:rPr>
        <w:t>compilée sans ordre chronologique.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Cela posé</w:t>
      </w:r>
      <w:r w:rsidR="00E65435">
        <w:rPr>
          <w:rFonts w:eastAsia="Arial Unicode MS"/>
          <w:bCs/>
          <w:lang w:eastAsia="fr-FR" w:bidi="he-IL"/>
        </w:rPr>
        <w:t xml:space="preserve">, </w:t>
      </w:r>
      <w:r w:rsidRPr="00C8701B">
        <w:rPr>
          <w:rFonts w:eastAsia="Arial Unicode MS"/>
          <w:bCs/>
          <w:lang w:eastAsia="fr-FR" w:bidi="he-IL"/>
        </w:rPr>
        <w:t>il reconstitue comme il suit nos trois synoptiques</w:t>
      </w:r>
      <w:r w:rsidR="00C2602D" w:rsidRPr="00C8701B">
        <w:rPr>
          <w:rFonts w:eastAsia="Arial Unicode MS"/>
          <w:bCs/>
          <w:lang w:eastAsia="fr-FR" w:bidi="he-IL"/>
        </w:rPr>
        <w:t> :</w:t>
      </w:r>
      <w:r w:rsidRPr="00C8701B">
        <w:rPr>
          <w:rFonts w:eastAsia="Arial Unicode MS"/>
          <w:bCs/>
          <w:lang w:eastAsia="fr-FR" w:bidi="he-IL"/>
        </w:rPr>
        <w:t xml:space="preserve"> l</w:t>
      </w:r>
      <w:r w:rsidR="00557DE0">
        <w:rPr>
          <w:rFonts w:eastAsia="Arial Unicode MS"/>
          <w:bCs/>
          <w:lang w:eastAsia="fr-FR" w:bidi="he-IL"/>
        </w:rPr>
        <w:t>’</w:t>
      </w:r>
      <w:r w:rsidRPr="00C8701B">
        <w:rPr>
          <w:rFonts w:eastAsia="Arial Unicode MS"/>
          <w:bCs/>
          <w:lang w:eastAsia="fr-FR" w:bidi="he-IL"/>
        </w:rPr>
        <w:t>évangile hébreu de S. Matthieu est formé d</w:t>
      </w:r>
      <w:r w:rsidR="003E45BE">
        <w:rPr>
          <w:rFonts w:eastAsia="Arial Unicode MS"/>
          <w:bCs/>
          <w:lang w:eastAsia="fr-FR" w:bidi="he-IL"/>
        </w:rPr>
        <w:t xml:space="preserve">e </w:t>
      </w:r>
      <w:r w:rsidR="00D62A98" w:rsidRPr="00C8701B">
        <w:rPr>
          <w:rFonts w:eastAsia="Arial Unicode MS"/>
          <w:bCs/>
          <w:rtl/>
          <w:lang w:eastAsia="fr-FR" w:bidi="he-IL"/>
        </w:rPr>
        <w:t>א</w:t>
      </w:r>
      <w:r w:rsidR="00D62A98">
        <w:rPr>
          <w:rFonts w:eastAsia="Arial Unicode MS"/>
          <w:bCs/>
          <w:lang w:eastAsia="fr-FR" w:bidi="he-IL"/>
        </w:rPr>
        <w:t>+</w:t>
      </w:r>
      <w:r w:rsidR="00D62A98" w:rsidRPr="00C8701B">
        <w:rPr>
          <w:rFonts w:eastAsia="Arial Unicode MS"/>
          <w:bCs/>
          <w:rtl/>
          <w:lang w:eastAsia="fr-FR" w:bidi="he-IL"/>
        </w:rPr>
        <w:t>ב</w:t>
      </w:r>
      <w:r w:rsidR="00D62A98">
        <w:rPr>
          <w:rFonts w:eastAsia="Arial Unicode MS"/>
          <w:bCs/>
          <w:lang w:eastAsia="fr-FR" w:bidi="he-IL"/>
        </w:rPr>
        <w:t>+α</w:t>
      </w:r>
      <w:r w:rsidRPr="00C8701B">
        <w:rPr>
          <w:rFonts w:eastAsia="Arial Unicode MS"/>
          <w:bCs/>
          <w:lang w:eastAsia="fr-FR" w:bidi="he-IL"/>
        </w:rPr>
        <w:t>+</w:t>
      </w:r>
      <w:r w:rsidR="00A74F01">
        <w:rPr>
          <w:rFonts w:eastAsia="Arial Unicode MS"/>
          <w:bCs/>
          <w:lang w:val="el-GR" w:eastAsia="fr-FR" w:bidi="he-IL"/>
        </w:rPr>
        <w:t>Α</w:t>
      </w:r>
      <w:r w:rsidRPr="00C8701B">
        <w:rPr>
          <w:rFonts w:eastAsia="Arial Unicode MS"/>
          <w:bCs/>
          <w:lang w:val="el-GR" w:eastAsia="fr-FR" w:bidi="he-IL"/>
        </w:rPr>
        <w:t>+γ+Γ</w:t>
      </w:r>
      <w:r w:rsidR="00C2602D" w:rsidRPr="00C8701B">
        <w:rPr>
          <w:rFonts w:eastAsia="Arial Unicode MS"/>
          <w:bCs/>
          <w:lang w:val="el-GR" w:eastAsia="fr-FR" w:bidi="he-IL"/>
        </w:rPr>
        <w:t> </w:t>
      </w:r>
      <w:r w:rsidR="007F6508">
        <w:rPr>
          <w:rFonts w:eastAsia="Arial Unicode MS"/>
          <w:bCs/>
          <w:lang w:val="el-GR"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évangile selon S. Marc a pour bases</w:t>
      </w:r>
      <w:r w:rsidR="00D62A98">
        <w:rPr>
          <w:rFonts w:eastAsia="Arial Unicode MS"/>
          <w:bCs/>
          <w:lang w:eastAsia="fr-FR" w:bidi="he-IL"/>
        </w:rPr>
        <w:t xml:space="preserve"> : </w:t>
      </w:r>
      <w:r w:rsidR="003E45BE" w:rsidRPr="00C8701B">
        <w:rPr>
          <w:rFonts w:eastAsia="Arial Unicode MS"/>
          <w:bCs/>
          <w:rtl/>
          <w:lang w:eastAsia="fr-FR" w:bidi="he-IL"/>
        </w:rPr>
        <w:t>א</w:t>
      </w:r>
      <w:r w:rsidR="003E45BE">
        <w:rPr>
          <w:rFonts w:eastAsia="Arial Unicode MS"/>
          <w:bCs/>
          <w:lang w:eastAsia="fr-FR" w:bidi="he-IL"/>
        </w:rPr>
        <w:t>+ α</w:t>
      </w:r>
      <w:r w:rsidR="003E45BE" w:rsidRPr="00C8701B">
        <w:rPr>
          <w:rFonts w:eastAsia="Arial Unicode MS"/>
          <w:bCs/>
          <w:lang w:eastAsia="fr-FR" w:bidi="he-IL"/>
        </w:rPr>
        <w:t>+</w:t>
      </w:r>
      <w:r w:rsidR="003E45BE">
        <w:rPr>
          <w:rFonts w:eastAsia="Arial Unicode MS"/>
          <w:bCs/>
          <w:lang w:val="el-GR" w:eastAsia="fr-FR" w:bidi="he-IL"/>
        </w:rPr>
        <w:t>Α</w:t>
      </w:r>
      <w:r w:rsidR="003E45BE" w:rsidRPr="00C8701B">
        <w:rPr>
          <w:rFonts w:eastAsia="Arial Unicode MS"/>
          <w:bCs/>
          <w:lang w:val="el-GR" w:eastAsia="fr-FR" w:bidi="he-IL"/>
        </w:rPr>
        <w:t>+</w:t>
      </w:r>
      <w:r w:rsidR="003E45BE">
        <w:rPr>
          <w:rFonts w:eastAsia="Arial Unicode MS"/>
          <w:bCs/>
          <w:lang w:eastAsia="fr-FR" w:bidi="he-IL"/>
        </w:rPr>
        <w:t>β</w:t>
      </w:r>
      <w:r w:rsidR="003E45BE">
        <w:rPr>
          <w:rFonts w:eastAsia="Arial Unicode MS"/>
          <w:bCs/>
          <w:lang w:val="el-GR" w:eastAsia="fr-FR" w:bidi="he-IL"/>
        </w:rPr>
        <w:t>+</w:t>
      </w:r>
      <w:r w:rsidR="003E45BE">
        <w:rPr>
          <w:rFonts w:eastAsia="Arial Unicode MS"/>
          <w:bCs/>
          <w:lang w:eastAsia="fr-FR" w:bidi="he-IL"/>
        </w:rPr>
        <w:t>B+</w:t>
      </w:r>
      <w:r w:rsidR="003E45BE" w:rsidRPr="00C8701B">
        <w:rPr>
          <w:rFonts w:eastAsia="Arial Unicode MS"/>
          <w:bCs/>
          <w:rtl/>
          <w:lang w:eastAsia="fr-FR" w:bidi="he-IL"/>
        </w:rPr>
        <w:t>א</w:t>
      </w:r>
      <w:r w:rsidR="003E45BE" w:rsidRPr="00DC4586">
        <w:rPr>
          <w:rStyle w:val="italicus"/>
        </w:rPr>
        <w:t>g</w:t>
      </w:r>
      <w:r w:rsidR="003E45BE">
        <w:rPr>
          <w:rFonts w:eastAsia="Arial Unicode MS"/>
          <w:bCs/>
          <w:lang w:eastAsia="fr-FR" w:bidi="he-IL"/>
        </w:rPr>
        <w:t xml:space="preserve"> ;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évangile selon S. Luc</w:t>
      </w:r>
      <w:r w:rsidR="00C2602D" w:rsidRPr="00C8701B">
        <w:rPr>
          <w:rFonts w:eastAsia="Arial Unicode MS"/>
          <w:bCs/>
          <w:lang w:eastAsia="fr-FR" w:bidi="he-IL"/>
        </w:rPr>
        <w:t> :</w:t>
      </w:r>
      <w:r w:rsidRPr="00C8701B">
        <w:rPr>
          <w:rFonts w:eastAsia="Arial Unicode MS"/>
          <w:bCs/>
          <w:lang w:eastAsia="fr-FR" w:bidi="he-IL"/>
        </w:rPr>
        <w:t xml:space="preserve"> </w:t>
      </w:r>
      <w:r w:rsidR="003E45BE" w:rsidRPr="00C8701B">
        <w:rPr>
          <w:rFonts w:eastAsia="Arial Unicode MS"/>
          <w:bCs/>
          <w:rtl/>
          <w:lang w:eastAsia="fr-FR" w:bidi="he-IL"/>
        </w:rPr>
        <w:t>א</w:t>
      </w:r>
      <w:r w:rsidR="003E45BE">
        <w:rPr>
          <w:rFonts w:eastAsia="Arial Unicode MS"/>
          <w:bCs/>
          <w:lang w:eastAsia="fr-FR" w:bidi="he-IL"/>
        </w:rPr>
        <w:t>+</w:t>
      </w:r>
      <w:r w:rsidR="003E45BE" w:rsidRPr="00C8701B">
        <w:rPr>
          <w:rFonts w:eastAsia="Arial Unicode MS"/>
          <w:bCs/>
          <w:rtl/>
          <w:lang w:eastAsia="fr-FR" w:bidi="he-IL"/>
        </w:rPr>
        <w:t>ב</w:t>
      </w:r>
      <w:r w:rsidR="003E45BE">
        <w:rPr>
          <w:rFonts w:eastAsia="Arial Unicode MS"/>
          <w:bCs/>
          <w:lang w:eastAsia="fr-FR" w:bidi="he-IL"/>
        </w:rPr>
        <w:t>+β</w:t>
      </w:r>
      <w:r w:rsidR="003E45BE" w:rsidRPr="00C8701B">
        <w:rPr>
          <w:rFonts w:eastAsia="Arial Unicode MS"/>
          <w:bCs/>
          <w:lang w:eastAsia="fr-FR" w:bidi="he-IL"/>
        </w:rPr>
        <w:t>+</w:t>
      </w:r>
      <w:r w:rsidR="003E45BE">
        <w:rPr>
          <w:rFonts w:eastAsia="Arial Unicode MS"/>
          <w:bCs/>
          <w:lang w:eastAsia="fr-FR" w:bidi="he-IL"/>
        </w:rPr>
        <w:t>B</w:t>
      </w:r>
      <w:r w:rsidR="003E45BE" w:rsidRPr="00C8701B">
        <w:rPr>
          <w:rFonts w:eastAsia="Arial Unicode MS"/>
          <w:bCs/>
          <w:lang w:val="el-GR" w:eastAsia="fr-FR" w:bidi="he-IL"/>
        </w:rPr>
        <w:t>+γ+Γ</w:t>
      </w:r>
      <w:r w:rsidR="003E45BE">
        <w:rPr>
          <w:rFonts w:eastAsia="Arial Unicode MS"/>
          <w:bCs/>
          <w:lang w:eastAsia="fr-FR" w:bidi="he-IL"/>
        </w:rPr>
        <w:t>+</w:t>
      </w:r>
      <w:r w:rsidR="003E45BE" w:rsidRPr="00C8701B">
        <w:rPr>
          <w:rFonts w:eastAsia="Arial Unicode MS"/>
          <w:bCs/>
          <w:rtl/>
          <w:lang w:eastAsia="fr-FR" w:bidi="he-IL"/>
        </w:rPr>
        <w:t>א</w:t>
      </w:r>
      <w:r w:rsidR="003E45BE" w:rsidRPr="00DC4586">
        <w:rPr>
          <w:rStyle w:val="italicus"/>
        </w:rPr>
        <w:t>g</w:t>
      </w:r>
      <w:r w:rsidR="00C2602D" w:rsidRPr="00C8701B">
        <w:rPr>
          <w:rFonts w:eastAsia="Arial Unicode MS"/>
          <w:bCs/>
          <w:lang w:val="el-GR" w:eastAsia="fr-FR" w:bidi="he-IL"/>
        </w:rPr>
        <w:t> </w:t>
      </w:r>
      <w:r w:rsidR="007F6508">
        <w:rPr>
          <w:rFonts w:eastAsia="Arial Unicode MS"/>
          <w:bCs/>
          <w:lang w:val="el-GR" w:eastAsia="fr-FR" w:bidi="he-IL"/>
        </w:rPr>
        <w:t xml:space="preserve">; </w:t>
      </w:r>
      <w:r w:rsidRPr="00C8701B">
        <w:rPr>
          <w:rFonts w:eastAsia="Arial Unicode MS"/>
          <w:bCs/>
          <w:lang w:eastAsia="fr-FR" w:bidi="he-IL"/>
        </w:rPr>
        <w:t>enfin</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évangile grec de S. Matthieu est une traduction de son évangile hébreu</w:t>
      </w:r>
      <w:r w:rsidR="00E65435">
        <w:rPr>
          <w:rFonts w:eastAsia="Arial Unicode MS"/>
          <w:bCs/>
          <w:lang w:eastAsia="fr-FR" w:bidi="he-IL"/>
        </w:rPr>
        <w:t xml:space="preserve">, </w:t>
      </w:r>
      <w:r w:rsidRPr="00C8701B">
        <w:rPr>
          <w:rFonts w:eastAsia="Arial Unicode MS"/>
          <w:bCs/>
          <w:lang w:eastAsia="fr-FR" w:bidi="he-IL"/>
        </w:rPr>
        <w:t xml:space="preserve">avec des additions empruntées à </w:t>
      </w:r>
      <w:r w:rsidRPr="00C8701B">
        <w:rPr>
          <w:rFonts w:eastAsia="Arial Unicode MS"/>
          <w:bCs/>
          <w:rtl/>
          <w:lang w:eastAsia="fr-FR" w:bidi="he-IL"/>
        </w:rPr>
        <w:t>א</w:t>
      </w:r>
      <w:r w:rsidRPr="00DC4586">
        <w:rPr>
          <w:rStyle w:val="italicus"/>
        </w:rPr>
        <w:t>g</w:t>
      </w:r>
      <w:r w:rsidR="00E65435">
        <w:rPr>
          <w:rStyle w:val="italicus"/>
        </w:rPr>
        <w:t xml:space="preserve">, </w:t>
      </w:r>
      <w:r w:rsidRPr="00C8701B">
        <w:rPr>
          <w:rFonts w:eastAsia="Arial Unicode MS"/>
          <w:bCs/>
          <w:lang w:eastAsia="fr-FR" w:bidi="he-IL"/>
        </w:rPr>
        <w:t>et aux livres de S. Marc et de S. Luc.</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3° Comme si Eichhorn eût été jaloux d</w:t>
      </w:r>
      <w:r w:rsidR="00557DE0">
        <w:rPr>
          <w:rFonts w:eastAsia="Arial Unicode MS"/>
          <w:bCs/>
          <w:lang w:eastAsia="fr-FR" w:bidi="he-IL"/>
        </w:rPr>
        <w:t>’</w:t>
      </w:r>
      <w:r w:rsidRPr="00C8701B">
        <w:rPr>
          <w:rFonts w:eastAsia="Arial Unicode MS"/>
          <w:bCs/>
          <w:lang w:eastAsia="fr-FR" w:bidi="he-IL"/>
        </w:rPr>
        <w:t>une telle richesse</w:t>
      </w:r>
      <w:r w:rsidR="00E65435">
        <w:rPr>
          <w:rFonts w:eastAsia="Arial Unicode MS"/>
          <w:bCs/>
          <w:lang w:eastAsia="fr-FR" w:bidi="he-IL"/>
        </w:rPr>
        <w:t xml:space="preserve">, </w:t>
      </w:r>
      <w:r w:rsidRPr="00C8701B">
        <w:rPr>
          <w:rFonts w:eastAsia="Arial Unicode MS"/>
          <w:bCs/>
          <w:lang w:eastAsia="fr-FR" w:bidi="he-IL"/>
        </w:rPr>
        <w:t>il ne tarda pas à modifier son système</w:t>
      </w:r>
      <w:r w:rsidR="00E65435">
        <w:rPr>
          <w:rFonts w:eastAsia="Arial Unicode MS"/>
          <w:bCs/>
          <w:lang w:eastAsia="fr-FR" w:bidi="he-IL"/>
        </w:rPr>
        <w:t xml:space="preserve">, </w:t>
      </w:r>
      <w:r w:rsidRPr="00C8701B">
        <w:rPr>
          <w:rFonts w:eastAsia="Arial Unicode MS"/>
          <w:bCs/>
          <w:lang w:eastAsia="fr-FR" w:bidi="he-IL"/>
        </w:rPr>
        <w:t xml:space="preserve">en ajoutant aux quatre </w:t>
      </w:r>
      <w:r w:rsidRPr="003E45BE">
        <w:t>copies de</w:t>
      </w:r>
      <w:r w:rsidR="003E45BE" w:rsidRPr="003E45BE">
        <w:t xml:space="preserve"> l</w:t>
      </w:r>
      <w:r w:rsidR="00557DE0">
        <w:t>’</w:t>
      </w:r>
      <w:r w:rsidR="00D62373">
        <w:rPr>
          <w:rStyle w:val="italicus"/>
        </w:rPr>
        <w:t>Urevangelium</w:t>
      </w:r>
      <w:r w:rsidRPr="00C8701B">
        <w:rPr>
          <w:rFonts w:eastAsia="Arial Unicode MS"/>
          <w:bCs/>
          <w:lang w:eastAsia="fr-FR" w:bidi="he-IL"/>
        </w:rPr>
        <w:t xml:space="preserve"> leurs traductions en grec</w:t>
      </w:r>
      <w:r w:rsidR="00E65435">
        <w:rPr>
          <w:rFonts w:eastAsia="Arial Unicode MS"/>
          <w:bCs/>
          <w:lang w:eastAsia="fr-FR" w:bidi="he-IL"/>
        </w:rPr>
        <w:t xml:space="preserve">, </w:t>
      </w:r>
      <w:r w:rsidRPr="00C8701B">
        <w:rPr>
          <w:rFonts w:eastAsia="Arial Unicode MS"/>
          <w:bCs/>
          <w:lang w:eastAsia="fr-FR" w:bidi="he-IL"/>
        </w:rPr>
        <w:t>et plusieurs autres combinaiso</w:t>
      </w:r>
      <w:r w:rsidR="00D62373">
        <w:rPr>
          <w:rFonts w:eastAsia="Arial Unicode MS"/>
          <w:bCs/>
          <w:lang w:eastAsia="fr-FR" w:bidi="he-IL"/>
        </w:rPr>
        <w:t>ns qui portèrent à douze le nom</w:t>
      </w:r>
      <w:r w:rsidRPr="00C8701B">
        <w:rPr>
          <w:rFonts w:eastAsia="Arial Unicode MS"/>
          <w:bCs/>
          <w:lang w:eastAsia="fr-FR" w:bidi="he-IL"/>
        </w:rPr>
        <w:t>bre des documents nécessaires</w:t>
      </w:r>
      <w:r w:rsidR="00933C60" w:rsidRPr="00C406FF">
        <w:rPr>
          <w:rStyle w:val="Appelnotedebasdep"/>
        </w:rPr>
        <w:footnoteReference w:id="227"/>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4° Gratz</w:t>
      </w:r>
      <w:r w:rsidR="00933C60" w:rsidRPr="00C406FF">
        <w:rPr>
          <w:rStyle w:val="Appelnotedebasdep"/>
        </w:rPr>
        <w:footnoteReference w:id="228"/>
      </w:r>
      <w:r w:rsidRPr="00C8701B">
        <w:rPr>
          <w:rFonts w:eastAsia="Arial Unicode MS"/>
          <w:bCs/>
          <w:lang w:eastAsia="fr-FR" w:bidi="he-IL"/>
        </w:rPr>
        <w:t xml:space="preserve"> chercha</w:t>
      </w:r>
      <w:r w:rsidR="00E65435">
        <w:rPr>
          <w:rFonts w:eastAsia="Arial Unicode MS"/>
          <w:bCs/>
          <w:lang w:eastAsia="fr-FR" w:bidi="he-IL"/>
        </w:rPr>
        <w:t xml:space="preserve">, </w:t>
      </w:r>
      <w:r w:rsidRPr="00C8701B">
        <w:rPr>
          <w:rFonts w:eastAsia="Arial Unicode MS"/>
          <w:bCs/>
          <w:lang w:eastAsia="fr-FR" w:bidi="he-IL"/>
        </w:rPr>
        <w:t>un peu plus tard</w:t>
      </w:r>
      <w:r w:rsidR="00E65435">
        <w:rPr>
          <w:rFonts w:eastAsia="Arial Unicode MS"/>
          <w:bCs/>
          <w:lang w:eastAsia="fr-FR" w:bidi="he-IL"/>
        </w:rPr>
        <w:t xml:space="preserve">, </w:t>
      </w:r>
      <w:r w:rsidRPr="00C8701B">
        <w:rPr>
          <w:rFonts w:eastAsia="Arial Unicode MS"/>
          <w:bCs/>
          <w:lang w:eastAsia="fr-FR" w:bidi="he-IL"/>
        </w:rPr>
        <w:t>à simplifier cette genèse par trop compliquée des synoptiques</w:t>
      </w:r>
      <w:r w:rsidR="00E65435">
        <w:rPr>
          <w:rFonts w:eastAsia="Arial Unicode MS"/>
          <w:bCs/>
          <w:lang w:eastAsia="fr-FR" w:bidi="he-IL"/>
        </w:rPr>
        <w:t xml:space="preserve">, </w:t>
      </w:r>
      <w:r w:rsidRPr="00C8701B">
        <w:rPr>
          <w:rFonts w:eastAsia="Arial Unicode MS"/>
          <w:bCs/>
          <w:lang w:eastAsia="fr-FR" w:bidi="he-IL"/>
        </w:rPr>
        <w:t>et il se contenta de trois documents</w:t>
      </w:r>
      <w:r w:rsidR="00C2602D" w:rsidRPr="00C8701B">
        <w:rPr>
          <w:rFonts w:eastAsia="Arial Unicode MS"/>
          <w:bCs/>
          <w:lang w:eastAsia="fr-FR" w:bidi="he-IL"/>
        </w:rPr>
        <w:t> :</w:t>
      </w:r>
      <w:r w:rsidRPr="00C8701B">
        <w:rPr>
          <w:rFonts w:eastAsia="Arial Unicode MS"/>
          <w:bCs/>
          <w:lang w:eastAsia="fr-FR" w:bidi="he-IL"/>
        </w:rPr>
        <w:t xml:space="preserve"> </w:t>
      </w:r>
      <w:r w:rsidR="003E45BE">
        <w:rPr>
          <w:rFonts w:eastAsia="Arial Unicode MS"/>
          <w:bCs/>
          <w:lang w:eastAsia="fr-FR" w:bidi="he-IL"/>
        </w:rPr>
        <w:t>l</w:t>
      </w:r>
      <w:r w:rsidR="00557DE0">
        <w:rPr>
          <w:rFonts w:eastAsia="Arial Unicode MS"/>
          <w:bCs/>
          <w:lang w:eastAsia="fr-FR" w:bidi="he-IL"/>
        </w:rPr>
        <w:t>’</w:t>
      </w:r>
      <w:r w:rsidR="00D62373">
        <w:rPr>
          <w:rStyle w:val="italicus"/>
        </w:rPr>
        <w:t>Urevangelium</w:t>
      </w:r>
      <w:r w:rsidRPr="00C8701B">
        <w:rPr>
          <w:rFonts w:eastAsia="Arial Unicode MS"/>
          <w:bCs/>
          <w:lang w:eastAsia="fr-FR" w:bidi="he-IL"/>
        </w:rPr>
        <w:t xml:space="preserve"> syro-chaldéen</w:t>
      </w:r>
      <w:r w:rsidR="00E65435">
        <w:rPr>
          <w:rFonts w:eastAsia="Arial Unicode MS"/>
          <w:bCs/>
          <w:lang w:eastAsia="fr-FR" w:bidi="he-IL"/>
        </w:rPr>
        <w:t xml:space="preserve">, </w:t>
      </w:r>
      <w:r w:rsidRPr="00C8701B">
        <w:rPr>
          <w:rFonts w:eastAsia="Arial Unicode MS"/>
          <w:bCs/>
          <w:lang w:eastAsia="fr-FR" w:bidi="he-IL"/>
        </w:rPr>
        <w:t>s</w:t>
      </w:r>
      <w:r w:rsidR="003E45BE">
        <w:rPr>
          <w:rFonts w:eastAsia="Arial Unicode MS"/>
          <w:bCs/>
          <w:lang w:eastAsia="fr-FR" w:bidi="he-IL"/>
        </w:rPr>
        <w:t>a t</w:t>
      </w:r>
      <w:r w:rsidRPr="00C8701B">
        <w:rPr>
          <w:rFonts w:eastAsia="Arial Unicode MS"/>
          <w:bCs/>
          <w:lang w:eastAsia="fr-FR" w:bidi="he-IL"/>
        </w:rPr>
        <w:t>raduction grecque</w:t>
      </w:r>
      <w:r w:rsidR="00E65435">
        <w:rPr>
          <w:rFonts w:eastAsia="Arial Unicode MS"/>
          <w:bCs/>
          <w:lang w:eastAsia="fr-FR" w:bidi="he-IL"/>
        </w:rPr>
        <w:t xml:space="preserve">, </w:t>
      </w:r>
      <w:r w:rsidRPr="00C8701B">
        <w:rPr>
          <w:rFonts w:eastAsia="Arial Unicode MS"/>
          <w:bCs/>
          <w:lang w:eastAsia="fr-FR" w:bidi="he-IL"/>
        </w:rPr>
        <w:t>et quelques fragments évangéliques très courts.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5° Au lieu de cet évangile primitif</w:t>
      </w:r>
      <w:r w:rsidR="00E65435">
        <w:rPr>
          <w:rFonts w:eastAsia="Arial Unicode MS"/>
          <w:bCs/>
          <w:lang w:eastAsia="fr-FR" w:bidi="he-IL"/>
        </w:rPr>
        <w:t xml:space="preserve">, </w:t>
      </w:r>
      <w:r w:rsidRPr="00C8701B">
        <w:rPr>
          <w:rFonts w:eastAsia="Arial Unicode MS"/>
          <w:bCs/>
          <w:lang w:eastAsia="fr-FR" w:bidi="he-IL"/>
        </w:rPr>
        <w:t>unique malgré ses remaniements</w:t>
      </w:r>
      <w:r w:rsidR="00E65435">
        <w:rPr>
          <w:rFonts w:eastAsia="Arial Unicode MS"/>
          <w:bCs/>
          <w:lang w:eastAsia="fr-FR" w:bidi="he-IL"/>
        </w:rPr>
        <w:t xml:space="preserve">, </w:t>
      </w:r>
      <w:r w:rsidRPr="00C8701B">
        <w:rPr>
          <w:rFonts w:eastAsia="Arial Unicode MS"/>
          <w:bCs/>
          <w:lang w:eastAsia="fr-FR" w:bidi="he-IL"/>
        </w:rPr>
        <w:t>Ewald</w:t>
      </w:r>
      <w:r w:rsidR="00E65435">
        <w:rPr>
          <w:rFonts w:eastAsia="Arial Unicode MS"/>
          <w:bCs/>
          <w:lang w:eastAsia="fr-FR" w:bidi="he-IL"/>
        </w:rPr>
        <w:t xml:space="preserve">, </w:t>
      </w:r>
      <w:r w:rsidRPr="00C8701B">
        <w:rPr>
          <w:rFonts w:eastAsia="Arial Unicode MS"/>
          <w:bCs/>
          <w:lang w:eastAsia="fr-FR" w:bidi="he-IL"/>
        </w:rPr>
        <w:t>Wittichen</w:t>
      </w:r>
      <w:r w:rsidR="00E65435">
        <w:rPr>
          <w:rFonts w:eastAsia="Arial Unicode MS"/>
          <w:bCs/>
          <w:lang w:eastAsia="fr-FR" w:bidi="he-IL"/>
        </w:rPr>
        <w:t xml:space="preserve">, </w:t>
      </w:r>
      <w:r w:rsidRPr="00C8701B">
        <w:rPr>
          <w:rFonts w:eastAsia="Arial Unicode MS"/>
          <w:bCs/>
          <w:lang w:eastAsia="fr-FR" w:bidi="he-IL"/>
        </w:rPr>
        <w:t>etc.</w:t>
      </w:r>
      <w:r w:rsidR="00E65435">
        <w:rPr>
          <w:rFonts w:eastAsia="Arial Unicode MS"/>
          <w:bCs/>
          <w:lang w:eastAsia="fr-FR" w:bidi="he-IL"/>
        </w:rPr>
        <w:t xml:space="preserve">, </w:t>
      </w:r>
      <w:r w:rsidRPr="00C8701B">
        <w:rPr>
          <w:rFonts w:eastAsia="Arial Unicode MS"/>
          <w:bCs/>
          <w:lang w:eastAsia="fr-FR" w:bidi="he-IL"/>
        </w:rPr>
        <w:t>ont admis plusieurs sources écrites</w:t>
      </w:r>
      <w:r w:rsidR="00E65435">
        <w:rPr>
          <w:rFonts w:eastAsia="Arial Unicode MS"/>
          <w:bCs/>
          <w:lang w:eastAsia="fr-FR" w:bidi="he-IL"/>
        </w:rPr>
        <w:t xml:space="preserve">, </w:t>
      </w:r>
      <w:r w:rsidRPr="00C8701B">
        <w:rPr>
          <w:rFonts w:eastAsia="Arial Unicode MS"/>
          <w:bCs/>
          <w:lang w:eastAsia="fr-FR" w:bidi="he-IL"/>
        </w:rPr>
        <w:t>qui</w:t>
      </w:r>
      <w:r w:rsidR="00E65435">
        <w:rPr>
          <w:rFonts w:eastAsia="Arial Unicode MS"/>
          <w:bCs/>
          <w:lang w:eastAsia="fr-FR" w:bidi="he-IL"/>
        </w:rPr>
        <w:t xml:space="preserve">, </w:t>
      </w:r>
      <w:r w:rsidRPr="00C8701B">
        <w:rPr>
          <w:rFonts w:eastAsia="Arial Unicode MS"/>
          <w:bCs/>
          <w:lang w:eastAsia="fr-FR" w:bidi="he-IL"/>
        </w:rPr>
        <w:t>a-t-on dit finement</w:t>
      </w:r>
      <w:r w:rsidR="00E65435">
        <w:rPr>
          <w:rFonts w:eastAsia="Arial Unicode MS"/>
          <w:bCs/>
          <w:lang w:eastAsia="fr-FR" w:bidi="he-IL"/>
        </w:rPr>
        <w:t xml:space="preserve">, </w:t>
      </w:r>
      <w:r w:rsidRPr="00C8701B">
        <w:rPr>
          <w:rFonts w:eastAsia="Arial Unicode MS"/>
          <w:bCs/>
          <w:lang w:eastAsia="fr-FR" w:bidi="he-IL"/>
        </w:rPr>
        <w:t>se seraient superposées dans nos évangiles comme les couches d</w:t>
      </w:r>
      <w:r w:rsidR="00557DE0">
        <w:rPr>
          <w:rFonts w:eastAsia="Arial Unicode MS"/>
          <w:bCs/>
          <w:lang w:eastAsia="fr-FR" w:bidi="he-IL"/>
        </w:rPr>
        <w:t>’</w:t>
      </w:r>
      <w:r w:rsidRPr="00C8701B">
        <w:rPr>
          <w:rFonts w:eastAsia="Arial Unicode MS"/>
          <w:bCs/>
          <w:lang w:eastAsia="fr-FR" w:bidi="he-IL"/>
        </w:rPr>
        <w:t>un terrain d</w:t>
      </w:r>
      <w:r w:rsidR="00557DE0">
        <w:rPr>
          <w:rFonts w:eastAsia="Arial Unicode MS"/>
          <w:bCs/>
          <w:lang w:eastAsia="fr-FR" w:bidi="he-IL"/>
        </w:rPr>
        <w:t>’</w:t>
      </w:r>
      <w:r w:rsidRPr="00C8701B">
        <w:rPr>
          <w:rFonts w:eastAsia="Arial Unicode MS"/>
          <w:bCs/>
          <w:lang w:eastAsia="fr-FR" w:bidi="he-IL"/>
        </w:rPr>
        <w:t>alluvion.</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après Ewald</w:t>
      </w:r>
      <w:r w:rsidR="00E65435">
        <w:rPr>
          <w:rFonts w:eastAsia="Arial Unicode MS"/>
          <w:bCs/>
          <w:lang w:eastAsia="fr-FR" w:bidi="he-IL"/>
        </w:rPr>
        <w:t xml:space="preserve">, </w:t>
      </w:r>
      <w:r w:rsidRPr="00C8701B">
        <w:rPr>
          <w:rFonts w:eastAsia="Arial Unicode MS"/>
          <w:bCs/>
          <w:lang w:eastAsia="fr-FR" w:bidi="he-IL"/>
        </w:rPr>
        <w:t>il y aurait eu</w:t>
      </w:r>
      <w:r w:rsidR="003E45BE">
        <w:rPr>
          <w:rStyle w:val="italicus"/>
        </w:rPr>
        <w:t xml:space="preserve"> </w:t>
      </w:r>
      <w:r w:rsidRPr="00DC4586">
        <w:rPr>
          <w:rStyle w:val="italicus"/>
        </w:rPr>
        <w:t>a</w:t>
      </w:r>
      <w:r w:rsidRPr="00C8701B">
        <w:rPr>
          <w:rFonts w:eastAsia="Arial Unicode MS"/>
          <w:bCs/>
          <w:iCs/>
          <w:lang w:eastAsia="fr-FR" w:bidi="he-IL"/>
        </w:rPr>
        <w:t>)</w:t>
      </w:r>
      <w:r w:rsidRPr="00C8701B">
        <w:rPr>
          <w:rFonts w:eastAsia="Arial Unicode MS"/>
          <w:bCs/>
          <w:lang w:eastAsia="fr-FR" w:bidi="he-IL"/>
        </w:rPr>
        <w:t xml:space="preserve"> un évangile primitif</w:t>
      </w:r>
      <w:r w:rsidR="00E65435">
        <w:rPr>
          <w:rFonts w:eastAsia="Arial Unicode MS"/>
          <w:bCs/>
          <w:lang w:eastAsia="fr-FR" w:bidi="he-IL"/>
        </w:rPr>
        <w:t xml:space="preserve">, </w:t>
      </w:r>
      <w:r w:rsidRPr="00C8701B">
        <w:rPr>
          <w:rFonts w:eastAsia="Arial Unicode MS"/>
          <w:bCs/>
          <w:lang w:eastAsia="fr-FR" w:bidi="he-IL"/>
        </w:rPr>
        <w:t>écrit en grec et racontant les principaux traits de la vie de Notre-Seigneur</w:t>
      </w:r>
      <w:r w:rsidR="00C2602D" w:rsidRPr="00C8701B">
        <w:rPr>
          <w:rFonts w:eastAsia="Arial Unicode MS"/>
          <w:bCs/>
          <w:lang w:eastAsia="fr-FR" w:bidi="he-IL"/>
        </w:rPr>
        <w:t> </w:t>
      </w:r>
      <w:r w:rsidR="007F6508">
        <w:rPr>
          <w:rFonts w:eastAsia="Arial Unicode MS"/>
          <w:bCs/>
          <w:lang w:eastAsia="fr-FR" w:bidi="he-IL"/>
        </w:rPr>
        <w:t xml:space="preserve">; </w:t>
      </w:r>
      <w:r w:rsidRPr="00DC4586">
        <w:rPr>
          <w:rStyle w:val="italicus"/>
        </w:rPr>
        <w:t>b</w:t>
      </w:r>
      <w:r w:rsidRPr="00C8701B">
        <w:rPr>
          <w:rFonts w:eastAsia="Arial Unicode MS"/>
          <w:bCs/>
          <w:iCs/>
          <w:lang w:eastAsia="fr-FR" w:bidi="he-IL"/>
        </w:rPr>
        <w:t>)</w:t>
      </w:r>
      <w:r w:rsidRPr="00C8701B">
        <w:rPr>
          <w:rFonts w:eastAsia="Arial Unicode MS"/>
          <w:bCs/>
          <w:lang w:eastAsia="fr-FR" w:bidi="he-IL"/>
        </w:rPr>
        <w:t xml:space="preserve"> une collection des discours de Jésus</w:t>
      </w:r>
      <w:r w:rsidR="00933C60" w:rsidRPr="00C406FF">
        <w:rPr>
          <w:rStyle w:val="Appelnotedebasdep"/>
        </w:rPr>
        <w:footnoteReference w:id="229"/>
      </w:r>
      <w:r w:rsidR="00E65435">
        <w:rPr>
          <w:rFonts w:eastAsia="Arial Unicode MS"/>
          <w:bCs/>
          <w:lang w:eastAsia="fr-FR" w:bidi="he-IL"/>
        </w:rPr>
        <w:t xml:space="preserve">, </w:t>
      </w:r>
      <w:r w:rsidRPr="00C8701B">
        <w:rPr>
          <w:rFonts w:eastAsia="Arial Unicode MS"/>
          <w:bCs/>
          <w:lang w:eastAsia="fr-FR" w:bidi="he-IL"/>
        </w:rPr>
        <w:t>composée en hébreu par S. Matthieu</w:t>
      </w:r>
      <w:r w:rsidR="00C2602D" w:rsidRPr="00C8701B">
        <w:rPr>
          <w:rFonts w:eastAsia="Arial Unicode MS"/>
          <w:bCs/>
          <w:lang w:eastAsia="fr-FR" w:bidi="he-IL"/>
        </w:rPr>
        <w:t> </w:t>
      </w:r>
      <w:r w:rsidR="007F6508">
        <w:rPr>
          <w:rFonts w:eastAsia="Arial Unicode MS"/>
          <w:bCs/>
          <w:lang w:eastAsia="fr-FR" w:bidi="he-IL"/>
        </w:rPr>
        <w:t xml:space="preserve">; </w:t>
      </w:r>
      <w:r w:rsidRPr="003E45BE">
        <w:rPr>
          <w:rStyle w:val="italicus"/>
        </w:rPr>
        <w:t>c</w:t>
      </w:r>
      <w:r w:rsidRPr="00C8701B">
        <w:rPr>
          <w:rFonts w:eastAsia="Arial Unicode MS"/>
          <w:bCs/>
          <w:lang w:eastAsia="fr-FR" w:bidi="he-IL"/>
        </w:rPr>
        <w:t>) l</w:t>
      </w:r>
      <w:r w:rsidR="00557DE0">
        <w:rPr>
          <w:rFonts w:eastAsia="Arial Unicode MS"/>
          <w:bCs/>
          <w:lang w:eastAsia="fr-FR" w:bidi="he-IL"/>
        </w:rPr>
        <w:t>’</w:t>
      </w:r>
      <w:r w:rsidRPr="00C8701B">
        <w:rPr>
          <w:rFonts w:eastAsia="Arial Unicode MS"/>
          <w:bCs/>
          <w:lang w:eastAsia="fr-FR" w:bidi="he-IL"/>
        </w:rPr>
        <w:t>évangile actuel de S. Marc</w:t>
      </w:r>
      <w:r w:rsidR="00E65435">
        <w:rPr>
          <w:rFonts w:eastAsia="Arial Unicode MS"/>
          <w:bCs/>
          <w:lang w:eastAsia="fr-FR" w:bidi="he-IL"/>
        </w:rPr>
        <w:t xml:space="preserve">, </w:t>
      </w:r>
      <w:r w:rsidRPr="00C8701B">
        <w:rPr>
          <w:rFonts w:eastAsia="Arial Unicode MS"/>
          <w:bCs/>
          <w:lang w:eastAsia="fr-FR" w:bidi="he-IL"/>
        </w:rPr>
        <w:t>rédigé à l</w:t>
      </w:r>
      <w:r w:rsidR="00557DE0">
        <w:rPr>
          <w:rFonts w:eastAsia="Arial Unicode MS"/>
          <w:bCs/>
          <w:lang w:eastAsia="fr-FR" w:bidi="he-IL"/>
        </w:rPr>
        <w:t>’</w:t>
      </w:r>
      <w:r w:rsidRPr="00C8701B">
        <w:rPr>
          <w:rFonts w:eastAsia="Arial Unicode MS"/>
          <w:bCs/>
          <w:lang w:eastAsia="fr-FR" w:bidi="he-IL"/>
        </w:rPr>
        <w:t>aide soit de cet évangile primitif</w:t>
      </w:r>
      <w:r w:rsidR="00E65435">
        <w:rPr>
          <w:rFonts w:eastAsia="Arial Unicode MS"/>
          <w:bCs/>
          <w:lang w:eastAsia="fr-FR" w:bidi="he-IL"/>
        </w:rPr>
        <w:t xml:space="preserve">, </w:t>
      </w:r>
      <w:r w:rsidRPr="00C8701B">
        <w:rPr>
          <w:rFonts w:eastAsia="Arial Unicode MS"/>
          <w:bCs/>
          <w:lang w:eastAsia="fr-FR" w:bidi="he-IL"/>
        </w:rPr>
        <w:t>soit de cette collection de discours</w:t>
      </w:r>
      <w:r w:rsidR="00C2602D" w:rsidRPr="00C8701B">
        <w:rPr>
          <w:rFonts w:eastAsia="Arial Unicode MS"/>
          <w:bCs/>
          <w:lang w:eastAsia="fr-FR" w:bidi="he-IL"/>
        </w:rPr>
        <w:t> </w:t>
      </w:r>
      <w:r w:rsidR="007F6508">
        <w:rPr>
          <w:rFonts w:eastAsia="Arial Unicode MS"/>
          <w:bCs/>
          <w:lang w:eastAsia="fr-FR" w:bidi="he-IL"/>
        </w:rPr>
        <w:t xml:space="preserve">; </w:t>
      </w:r>
      <w:r w:rsidRPr="00DC4586">
        <w:rPr>
          <w:rStyle w:val="italicus"/>
        </w:rPr>
        <w:t>d</w:t>
      </w:r>
      <w:r w:rsidRPr="00C8701B">
        <w:rPr>
          <w:rFonts w:eastAsia="Arial Unicode MS"/>
          <w:bCs/>
          <w:iCs/>
          <w:lang w:eastAsia="fr-FR" w:bidi="he-IL"/>
        </w:rPr>
        <w:t>)</w:t>
      </w:r>
      <w:r w:rsidRPr="00C8701B">
        <w:rPr>
          <w:rFonts w:eastAsia="Arial Unicode MS"/>
          <w:bCs/>
          <w:lang w:eastAsia="fr-FR" w:bidi="he-IL"/>
        </w:rPr>
        <w:t xml:space="preserve"> un livre contenant les faits les plus relevés de la vie de Jésus-Christ</w:t>
      </w:r>
      <w:r w:rsidR="00933C60" w:rsidRPr="00C406FF">
        <w:rPr>
          <w:rStyle w:val="Appelnotedebasdep"/>
        </w:rPr>
        <w:footnoteReference w:id="230"/>
      </w:r>
      <w:r w:rsidR="00E65435">
        <w:rPr>
          <w:rFonts w:eastAsia="Arial Unicode MS"/>
          <w:bCs/>
          <w:lang w:eastAsia="fr-FR" w:bidi="he-IL"/>
        </w:rPr>
        <w:t xml:space="preserve">, </w:t>
      </w:r>
      <w:r w:rsidRPr="00C8701B">
        <w:rPr>
          <w:rFonts w:eastAsia="Arial Unicode MS"/>
          <w:bCs/>
          <w:lang w:eastAsia="fr-FR" w:bidi="he-IL"/>
        </w:rPr>
        <w:t>tels que la tentation</w:t>
      </w:r>
      <w:r w:rsidR="00E65435">
        <w:rPr>
          <w:rFonts w:eastAsia="Arial Unicode MS"/>
          <w:bCs/>
          <w:lang w:eastAsia="fr-FR" w:bidi="he-IL"/>
        </w:rPr>
        <w:t xml:space="preserve">, </w:t>
      </w:r>
      <w:r w:rsidRPr="00C8701B">
        <w:rPr>
          <w:rFonts w:eastAsia="Arial Unicode MS"/>
          <w:bCs/>
          <w:lang w:eastAsia="fr-FR" w:bidi="he-IL"/>
        </w:rPr>
        <w:t>etc.</w:t>
      </w:r>
      <w:r w:rsidR="00C2602D" w:rsidRPr="00C8701B">
        <w:rPr>
          <w:rFonts w:eastAsia="Arial Unicode MS"/>
          <w:bCs/>
          <w:lang w:eastAsia="fr-FR" w:bidi="he-IL"/>
        </w:rPr>
        <w:t> </w:t>
      </w:r>
      <w:r w:rsidR="007F6508">
        <w:rPr>
          <w:rFonts w:eastAsia="Arial Unicode MS"/>
          <w:bCs/>
          <w:lang w:eastAsia="fr-FR" w:bidi="he-IL"/>
        </w:rPr>
        <w:t xml:space="preserve">; </w:t>
      </w:r>
      <w:r w:rsidR="00A067B1" w:rsidRPr="000716BB">
        <w:rPr>
          <w:rFonts w:eastAsia="Arial Unicode MS"/>
          <w:bCs/>
          <w:lang w:eastAsia="fr-FR" w:bidi="he-IL"/>
        </w:rPr>
        <w:t>{</w:t>
      </w:r>
      <w:r w:rsidR="00A067B1">
        <w:rPr>
          <w:rFonts w:eastAsia="Arial Unicode MS"/>
          <w:bCs/>
          <w:lang w:eastAsia="fr-FR" w:bidi="he-IL"/>
        </w:rPr>
        <w:t>45</w:t>
      </w:r>
      <w:bookmarkStart w:id="75" w:name="pag045"/>
      <w:bookmarkEnd w:id="75"/>
      <w:r w:rsidR="00A067B1" w:rsidRPr="000716BB">
        <w:rPr>
          <w:rFonts w:eastAsia="Arial Unicode MS"/>
          <w:bCs/>
          <w:lang w:eastAsia="fr-FR" w:bidi="he-IL"/>
        </w:rPr>
        <w:t xml:space="preserve">} </w:t>
      </w:r>
      <w:r w:rsidRPr="003E45BE">
        <w:rPr>
          <w:rStyle w:val="italicus"/>
        </w:rPr>
        <w:t>e</w:t>
      </w:r>
      <w:r w:rsidRPr="00C8701B">
        <w:rPr>
          <w:rFonts w:eastAsia="Arial Unicode MS"/>
          <w:bCs/>
          <w:lang w:eastAsia="fr-FR" w:bidi="he-IL"/>
        </w:rPr>
        <w:t>) l</w:t>
      </w:r>
      <w:r w:rsidR="00557DE0">
        <w:rPr>
          <w:rFonts w:eastAsia="Arial Unicode MS"/>
          <w:bCs/>
          <w:lang w:eastAsia="fr-FR" w:bidi="he-IL"/>
        </w:rPr>
        <w:t>’</w:t>
      </w:r>
      <w:r w:rsidRPr="00C8701B">
        <w:rPr>
          <w:rFonts w:eastAsia="Arial Unicode MS"/>
          <w:bCs/>
          <w:lang w:eastAsia="fr-FR" w:bidi="he-IL"/>
        </w:rPr>
        <w:t>Évangile actuel de S. Matthieu</w:t>
      </w:r>
      <w:r w:rsidR="00C2602D" w:rsidRPr="00C8701B">
        <w:rPr>
          <w:rFonts w:eastAsia="Arial Unicode MS"/>
          <w:bCs/>
          <w:lang w:eastAsia="fr-FR" w:bidi="he-IL"/>
        </w:rPr>
        <w:t> </w:t>
      </w:r>
      <w:r w:rsidR="007F6508">
        <w:rPr>
          <w:rFonts w:eastAsia="Arial Unicode MS"/>
          <w:bCs/>
          <w:lang w:eastAsia="fr-FR" w:bidi="he-IL"/>
        </w:rPr>
        <w:t xml:space="preserve">; </w:t>
      </w:r>
      <w:r w:rsidRPr="00DC4586">
        <w:rPr>
          <w:rStyle w:val="italicus"/>
        </w:rPr>
        <w:t>f</w:t>
      </w:r>
      <w:r w:rsidR="00E65435">
        <w:rPr>
          <w:rStyle w:val="italicus"/>
        </w:rPr>
        <w:t xml:space="preserve">, </w:t>
      </w:r>
      <w:r w:rsidRPr="00DC4586">
        <w:rPr>
          <w:rStyle w:val="italicus"/>
        </w:rPr>
        <w:t>g</w:t>
      </w:r>
      <w:r w:rsidR="00E65435">
        <w:rPr>
          <w:rStyle w:val="italicus"/>
        </w:rPr>
        <w:t xml:space="preserve">, </w:t>
      </w:r>
      <w:r w:rsidR="003E45BE">
        <w:rPr>
          <w:rStyle w:val="italicus"/>
        </w:rPr>
        <w:t>h</w:t>
      </w:r>
      <w:r w:rsidRPr="00C8701B">
        <w:rPr>
          <w:rFonts w:eastAsia="Arial Unicode MS"/>
          <w:bCs/>
          <w:iCs/>
          <w:lang w:eastAsia="fr-FR" w:bidi="he-IL"/>
        </w:rPr>
        <w:t>)</w:t>
      </w:r>
      <w:r w:rsidR="00E65435">
        <w:rPr>
          <w:rStyle w:val="italicus"/>
        </w:rPr>
        <w:t xml:space="preserve">, </w:t>
      </w:r>
      <w:r w:rsidRPr="00C8701B">
        <w:rPr>
          <w:rFonts w:eastAsia="Arial Unicode MS"/>
          <w:bCs/>
          <w:lang w:eastAsia="fr-FR" w:bidi="he-IL"/>
        </w:rPr>
        <w:t>trois autres écrits renfermant divers autres récits</w:t>
      </w:r>
      <w:r w:rsidR="00933C60" w:rsidRPr="00C406FF">
        <w:rPr>
          <w:rStyle w:val="Appelnotedebasdep"/>
        </w:rPr>
        <w:footnoteReference w:id="231"/>
      </w:r>
      <w:r w:rsidR="00C2602D" w:rsidRPr="00C8701B">
        <w:rPr>
          <w:rFonts w:eastAsia="Arial Unicode MS"/>
          <w:bCs/>
          <w:lang w:eastAsia="fr-FR" w:bidi="he-IL"/>
        </w:rPr>
        <w:t> </w:t>
      </w:r>
      <w:r w:rsidR="007F6508">
        <w:rPr>
          <w:rFonts w:eastAsia="Arial Unicode MS"/>
          <w:bCs/>
          <w:lang w:eastAsia="fr-FR" w:bidi="he-IL"/>
        </w:rPr>
        <w:t xml:space="preserve">; </w:t>
      </w:r>
      <w:r w:rsidRPr="00DC4586">
        <w:rPr>
          <w:rStyle w:val="italicus"/>
        </w:rPr>
        <w:t>i</w:t>
      </w:r>
      <w:r w:rsidRPr="00C8701B">
        <w:rPr>
          <w:rFonts w:eastAsia="Arial Unicode MS"/>
          <w:bCs/>
          <w:iCs/>
          <w:lang w:eastAsia="fr-FR" w:bidi="he-IL"/>
        </w:rPr>
        <w:t>)</w:t>
      </w:r>
      <w:r w:rsidRPr="00C8701B">
        <w:rPr>
          <w:rFonts w:eastAsia="Arial Unicode MS"/>
          <w:bCs/>
          <w:lang w:eastAsia="fr-FR" w:bidi="he-IL"/>
        </w:rPr>
        <w:t xml:space="preserve"> enfin</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000439E9">
        <w:rPr>
          <w:rFonts w:eastAsia="Arial Unicode MS"/>
          <w:bCs/>
          <w:lang w:eastAsia="fr-FR" w:bidi="he-IL"/>
        </w:rPr>
        <w:t>Évangile</w:t>
      </w:r>
      <w:r w:rsidRPr="00C8701B">
        <w:rPr>
          <w:rFonts w:eastAsia="Arial Unicode MS"/>
          <w:bCs/>
          <w:lang w:eastAsia="fr-FR" w:bidi="he-IL"/>
        </w:rPr>
        <w:t xml:space="preserve"> actuel de S. Luc</w:t>
      </w:r>
      <w:r w:rsidR="00E65435">
        <w:rPr>
          <w:rFonts w:eastAsia="Arial Unicode MS"/>
          <w:bCs/>
          <w:lang w:eastAsia="fr-FR" w:bidi="he-IL"/>
        </w:rPr>
        <w:t xml:space="preserve">, </w:t>
      </w:r>
      <w:r w:rsidRPr="00C8701B">
        <w:rPr>
          <w:rFonts w:eastAsia="Arial Unicode MS"/>
          <w:bCs/>
          <w:lang w:eastAsia="fr-FR" w:bidi="he-IL"/>
        </w:rPr>
        <w:t>qui serait la résultante des huit documents qui précèdent</w:t>
      </w:r>
      <w:r w:rsidR="00E65435">
        <w:rPr>
          <w:rFonts w:eastAsia="Arial Unicode MS"/>
          <w:bCs/>
          <w:lang w:eastAsia="fr-FR" w:bidi="he-IL"/>
        </w:rPr>
        <w:t xml:space="preserve">, </w:t>
      </w:r>
      <w:r w:rsidRPr="00C8701B">
        <w:rPr>
          <w:rFonts w:eastAsia="Arial Unicode MS"/>
          <w:bCs/>
          <w:lang w:eastAsia="fr-FR" w:bidi="he-IL"/>
        </w:rPr>
        <w:t>fondus ensembles</w:t>
      </w:r>
      <w:r w:rsidR="00E65435">
        <w:rPr>
          <w:rFonts w:eastAsia="Arial Unicode MS"/>
          <w:bCs/>
          <w:lang w:eastAsia="fr-FR" w:bidi="he-IL"/>
        </w:rPr>
        <w:t xml:space="preserve">, </w:t>
      </w:r>
      <w:r w:rsidRPr="00C8701B">
        <w:rPr>
          <w:rFonts w:eastAsia="Arial Unicode MS"/>
          <w:bCs/>
          <w:lang w:eastAsia="fr-FR" w:bidi="he-IL"/>
        </w:rPr>
        <w:t>ou la neuvième transformation de l</w:t>
      </w:r>
      <w:r w:rsidR="00557DE0">
        <w:rPr>
          <w:rFonts w:eastAsia="Arial Unicode MS"/>
          <w:bCs/>
          <w:lang w:eastAsia="fr-FR" w:bidi="he-IL"/>
        </w:rPr>
        <w:t>’</w:t>
      </w:r>
      <w:r w:rsidRPr="00C8701B">
        <w:rPr>
          <w:rFonts w:eastAsia="Arial Unicode MS"/>
          <w:bCs/>
          <w:lang w:eastAsia="fr-FR" w:bidi="he-IL"/>
        </w:rPr>
        <w:t>Évangile primitif</w:t>
      </w:r>
      <w:bookmarkStart w:id="76" w:name="_Ref520300547"/>
      <w:r w:rsidR="00933C60" w:rsidRPr="00C406FF">
        <w:rPr>
          <w:rStyle w:val="Appelnotedebasdep"/>
        </w:rPr>
        <w:footnoteReference w:id="232"/>
      </w:r>
      <w:bookmarkEnd w:id="76"/>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Au dire de M. Wittichen</w:t>
      </w:r>
      <w:r w:rsidR="00933C60" w:rsidRPr="00C406FF">
        <w:rPr>
          <w:rStyle w:val="Appelnotedebasdep"/>
        </w:rPr>
        <w:footnoteReference w:id="233"/>
      </w:r>
      <w:r w:rsidR="00E65435">
        <w:rPr>
          <w:rFonts w:eastAsia="Arial Unicode MS"/>
          <w:bCs/>
          <w:lang w:eastAsia="fr-FR" w:bidi="he-IL"/>
        </w:rPr>
        <w:t xml:space="preserve">, </w:t>
      </w:r>
      <w:r w:rsidRPr="00C8701B">
        <w:rPr>
          <w:rFonts w:eastAsia="Arial Unicode MS"/>
          <w:bCs/>
          <w:lang w:eastAsia="fr-FR" w:bidi="he-IL"/>
        </w:rPr>
        <w:t>trois documents principaux</w:t>
      </w:r>
      <w:r w:rsidR="00E65435">
        <w:rPr>
          <w:rFonts w:eastAsia="Arial Unicode MS"/>
          <w:bCs/>
          <w:lang w:eastAsia="fr-FR" w:bidi="he-IL"/>
        </w:rPr>
        <w:t xml:space="preserve">, </w:t>
      </w:r>
      <w:r w:rsidRPr="00C8701B">
        <w:rPr>
          <w:rFonts w:eastAsia="Arial Unicode MS"/>
          <w:bCs/>
          <w:lang w:eastAsia="fr-FR" w:bidi="he-IL"/>
        </w:rPr>
        <w:t>plus ou moins remaniés</w:t>
      </w:r>
      <w:r w:rsidR="00E65435">
        <w:rPr>
          <w:rFonts w:eastAsia="Arial Unicode MS"/>
          <w:bCs/>
          <w:lang w:eastAsia="fr-FR" w:bidi="he-IL"/>
        </w:rPr>
        <w:t xml:space="preserve">, </w:t>
      </w:r>
      <w:r w:rsidRPr="00C8701B">
        <w:rPr>
          <w:rFonts w:eastAsia="Arial Unicode MS"/>
          <w:bCs/>
          <w:lang w:eastAsia="fr-FR" w:bidi="he-IL"/>
        </w:rPr>
        <w:t>suffisent pour tout expliquer</w:t>
      </w:r>
      <w:r w:rsidR="00C2602D" w:rsidRPr="00C8701B">
        <w:rPr>
          <w:rFonts w:eastAsia="Arial Unicode MS"/>
          <w:bCs/>
          <w:lang w:eastAsia="fr-FR" w:bidi="he-IL"/>
        </w:rPr>
        <w:t> :</w:t>
      </w:r>
      <w:r w:rsidRPr="00C8701B">
        <w:rPr>
          <w:rFonts w:eastAsia="Arial Unicode MS"/>
          <w:bCs/>
          <w:lang w:eastAsia="fr-FR" w:bidi="he-IL"/>
        </w:rPr>
        <w:t xml:space="preserve"> A servit de base première à S. Marc</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B</w:t>
      </w:r>
      <w:r w:rsidR="00E65435">
        <w:rPr>
          <w:rFonts w:eastAsia="Arial Unicode MS"/>
          <w:bCs/>
          <w:lang w:eastAsia="fr-FR" w:bidi="he-IL"/>
        </w:rPr>
        <w:t xml:space="preserve">, </w:t>
      </w:r>
      <w:r w:rsidRPr="00C8701B">
        <w:rPr>
          <w:rFonts w:eastAsia="Arial Unicode MS"/>
          <w:bCs/>
          <w:lang w:eastAsia="fr-FR" w:bidi="he-IL"/>
        </w:rPr>
        <w:t>à S. Matthieu et à S. Luc</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C</w:t>
      </w:r>
      <w:r w:rsidR="00E65435">
        <w:rPr>
          <w:rFonts w:eastAsia="Arial Unicode MS"/>
          <w:bCs/>
          <w:lang w:eastAsia="fr-FR" w:bidi="he-IL"/>
        </w:rPr>
        <w:t xml:space="preserve">, </w:t>
      </w:r>
      <w:r w:rsidRPr="00C8701B">
        <w:rPr>
          <w:rFonts w:eastAsia="Arial Unicode MS"/>
          <w:bCs/>
          <w:lang w:eastAsia="fr-FR" w:bidi="he-IL"/>
        </w:rPr>
        <w:t>à S. Jean. Quelque temps avant la ruine de Jérusalem</w:t>
      </w:r>
      <w:r w:rsidR="00E65435">
        <w:rPr>
          <w:rFonts w:eastAsia="Arial Unicode MS"/>
          <w:bCs/>
          <w:lang w:eastAsia="fr-FR" w:bidi="he-IL"/>
        </w:rPr>
        <w:t xml:space="preserve">, </w:t>
      </w:r>
      <w:r w:rsidRPr="00C8701B">
        <w:rPr>
          <w:rFonts w:eastAsia="Arial Unicode MS"/>
          <w:bCs/>
          <w:lang w:eastAsia="fr-FR" w:bidi="he-IL"/>
        </w:rPr>
        <w:t xml:space="preserve">un compilateur palestinien forma un </w:t>
      </w:r>
      <w:r w:rsidRPr="00DC4586">
        <w:rPr>
          <w:rStyle w:val="italicus"/>
        </w:rPr>
        <w:t>Ur</w:t>
      </w:r>
      <w:r w:rsidR="003E45BE">
        <w:rPr>
          <w:rStyle w:val="italicus"/>
        </w:rPr>
        <w:t>matthæu</w:t>
      </w:r>
      <w:r w:rsidRPr="00DC4586">
        <w:rPr>
          <w:rStyle w:val="italicus"/>
        </w:rPr>
        <w:t>s</w:t>
      </w:r>
      <w:r w:rsidRPr="00C8701B">
        <w:rPr>
          <w:rFonts w:eastAsia="Arial Unicode MS"/>
          <w:bCs/>
          <w:lang w:eastAsia="fr-FR" w:bidi="he-IL"/>
        </w:rPr>
        <w:t xml:space="preserve"> ou</w:t>
      </w:r>
      <w:r w:rsidRPr="00DC4586">
        <w:rPr>
          <w:rStyle w:val="italicus"/>
        </w:rPr>
        <w:t xml:space="preserve"> </w:t>
      </w:r>
      <w:r w:rsidR="003E45BE">
        <w:rPr>
          <w:rStyle w:val="italicus"/>
        </w:rPr>
        <w:t>Proto</w:t>
      </w:r>
      <w:r w:rsidRPr="00DC4586">
        <w:rPr>
          <w:rStyle w:val="italicus"/>
        </w:rPr>
        <w:t>-</w:t>
      </w:r>
      <w:r w:rsidR="00C151D4">
        <w:rPr>
          <w:rStyle w:val="italicus"/>
        </w:rPr>
        <w:t>Matth</w:t>
      </w:r>
      <w:r w:rsidRPr="00DC4586">
        <w:rPr>
          <w:rStyle w:val="italicus"/>
        </w:rPr>
        <w:t>ieu</w:t>
      </w:r>
      <w:r w:rsidR="00E65435">
        <w:rPr>
          <w:rStyle w:val="italicus"/>
        </w:rPr>
        <w:t xml:space="preserve">, </w:t>
      </w:r>
      <w:r w:rsidRPr="00C8701B">
        <w:rPr>
          <w:rFonts w:eastAsia="Arial Unicode MS"/>
          <w:bCs/>
          <w:lang w:eastAsia="fr-FR" w:bidi="he-IL"/>
        </w:rPr>
        <w:t>au moyen de la source A remaniée</w:t>
      </w:r>
      <w:r w:rsidR="00E65435">
        <w:rPr>
          <w:rFonts w:eastAsia="Arial Unicode MS"/>
          <w:bCs/>
          <w:lang w:eastAsia="fr-FR" w:bidi="he-IL"/>
        </w:rPr>
        <w:t xml:space="preserve">, </w:t>
      </w:r>
      <w:r w:rsidRPr="00C8701B">
        <w:rPr>
          <w:rFonts w:eastAsia="Arial Unicode MS"/>
          <w:bCs/>
          <w:lang w:eastAsia="fr-FR" w:bidi="he-IL"/>
        </w:rPr>
        <w:t>et de B. Plus tard</w:t>
      </w:r>
      <w:r w:rsidR="00E65435">
        <w:rPr>
          <w:rFonts w:eastAsia="Arial Unicode MS"/>
          <w:bCs/>
          <w:lang w:eastAsia="fr-FR" w:bidi="he-IL"/>
        </w:rPr>
        <w:t xml:space="preserve">, </w:t>
      </w:r>
      <w:r w:rsidRPr="00C8701B">
        <w:rPr>
          <w:rFonts w:eastAsia="Arial Unicode MS"/>
          <w:bCs/>
          <w:lang w:eastAsia="fr-FR" w:bidi="he-IL"/>
        </w:rPr>
        <w:t>après la ruine de Jérusalem</w:t>
      </w:r>
      <w:r w:rsidR="00E65435">
        <w:rPr>
          <w:rFonts w:eastAsia="Arial Unicode MS"/>
          <w:bCs/>
          <w:lang w:eastAsia="fr-FR" w:bidi="he-IL"/>
        </w:rPr>
        <w:t xml:space="preserve">, </w:t>
      </w:r>
      <w:r w:rsidRPr="00C8701B">
        <w:rPr>
          <w:rFonts w:eastAsia="Arial Unicode MS"/>
          <w:bCs/>
          <w:lang w:eastAsia="fr-FR" w:bidi="he-IL"/>
        </w:rPr>
        <w:t xml:space="preserve">et en dehors de la </w:t>
      </w:r>
      <w:r w:rsidR="00D62373" w:rsidRPr="00C8701B">
        <w:rPr>
          <w:rFonts w:eastAsia="Arial Unicode MS"/>
          <w:bCs/>
          <w:lang w:eastAsia="fr-FR" w:bidi="he-IL"/>
        </w:rPr>
        <w:t>Palestine</w:t>
      </w:r>
      <w:r w:rsidR="00E65435">
        <w:rPr>
          <w:rFonts w:eastAsia="Arial Unicode MS"/>
          <w:bCs/>
          <w:lang w:eastAsia="fr-FR" w:bidi="he-IL"/>
        </w:rPr>
        <w:t xml:space="preserve">, </w:t>
      </w:r>
      <w:r w:rsidRPr="00C8701B">
        <w:rPr>
          <w:rFonts w:eastAsia="Arial Unicode MS"/>
          <w:bCs/>
          <w:lang w:eastAsia="fr-FR" w:bidi="he-IL"/>
        </w:rPr>
        <w:t>un autre compilateur retravailla le document A</w:t>
      </w:r>
      <w:r w:rsidR="00E65435">
        <w:rPr>
          <w:rFonts w:eastAsia="Arial Unicode MS"/>
          <w:bCs/>
          <w:lang w:eastAsia="fr-FR" w:bidi="he-IL"/>
        </w:rPr>
        <w:t xml:space="preserve">, </w:t>
      </w:r>
      <w:r w:rsidRPr="00C8701B">
        <w:rPr>
          <w:rFonts w:eastAsia="Arial Unicode MS"/>
          <w:bCs/>
          <w:lang w:eastAsia="fr-FR" w:bidi="he-IL"/>
        </w:rPr>
        <w:t>le combina avec B</w:t>
      </w:r>
      <w:r w:rsidR="00E65435">
        <w:rPr>
          <w:rFonts w:eastAsia="Arial Unicode MS"/>
          <w:bCs/>
          <w:lang w:eastAsia="fr-FR" w:bidi="he-IL"/>
        </w:rPr>
        <w:t xml:space="preserve">, </w:t>
      </w:r>
      <w:r w:rsidRPr="00C8701B">
        <w:rPr>
          <w:rFonts w:eastAsia="Arial Unicode MS"/>
          <w:bCs/>
          <w:lang w:eastAsia="fr-FR" w:bidi="he-IL"/>
        </w:rPr>
        <w:t>et forma</w:t>
      </w:r>
      <w:r w:rsidRPr="00DC4586">
        <w:rPr>
          <w:rStyle w:val="italicus"/>
        </w:rPr>
        <w:t xml:space="preserve"> </w:t>
      </w:r>
      <w:r w:rsidR="003E45BE">
        <w:rPr>
          <w:rStyle w:val="italicus"/>
        </w:rPr>
        <w:t>Proto</w:t>
      </w:r>
      <w:r w:rsidRPr="00DC4586">
        <w:rPr>
          <w:rStyle w:val="italicus"/>
        </w:rPr>
        <w:t>-Luc</w:t>
      </w:r>
      <w:r w:rsidR="00E65435">
        <w:rPr>
          <w:rStyle w:val="italicus"/>
        </w:rPr>
        <w:t xml:space="preserve">, </w:t>
      </w:r>
      <w:r w:rsidRPr="00C8701B">
        <w:rPr>
          <w:rFonts w:eastAsia="Arial Unicode MS"/>
          <w:bCs/>
          <w:lang w:eastAsia="fr-FR" w:bidi="he-IL"/>
        </w:rPr>
        <w:t>après avoir ajouté divers traits empruntés ailleurs. Plus tard encore</w:t>
      </w:r>
      <w:r w:rsidR="00E65435">
        <w:rPr>
          <w:rFonts w:eastAsia="Arial Unicode MS"/>
          <w:bCs/>
          <w:lang w:eastAsia="fr-FR" w:bidi="he-IL"/>
        </w:rPr>
        <w:t xml:space="preserve">, </w:t>
      </w:r>
      <w:r w:rsidRPr="00C8701B">
        <w:rPr>
          <w:rFonts w:eastAsia="Arial Unicode MS"/>
          <w:bCs/>
          <w:lang w:eastAsia="fr-FR" w:bidi="he-IL"/>
        </w:rPr>
        <w:t>en Palestine</w:t>
      </w:r>
      <w:r w:rsidR="00E65435">
        <w:rPr>
          <w:rFonts w:eastAsia="Arial Unicode MS"/>
          <w:bCs/>
          <w:lang w:eastAsia="fr-FR" w:bidi="he-IL"/>
        </w:rPr>
        <w:t xml:space="preserve">, </w:t>
      </w:r>
      <w:r w:rsidRPr="00C8701B">
        <w:rPr>
          <w:rFonts w:eastAsia="Arial Unicode MS"/>
          <w:bCs/>
          <w:lang w:eastAsia="fr-FR" w:bidi="he-IL"/>
        </w:rPr>
        <w:t xml:space="preserve">nouvelle </w:t>
      </w:r>
      <w:r w:rsidR="003E45BE">
        <w:rPr>
          <w:rFonts w:eastAsia="Arial Unicode MS"/>
          <w:bCs/>
          <w:lang w:eastAsia="fr-FR" w:bidi="he-IL"/>
        </w:rPr>
        <w:t>recension</w:t>
      </w:r>
      <w:r w:rsidRPr="00C8701B">
        <w:rPr>
          <w:rFonts w:eastAsia="Arial Unicode MS"/>
          <w:bCs/>
          <w:lang w:eastAsia="fr-FR" w:bidi="he-IL"/>
        </w:rPr>
        <w:t xml:space="preserve"> de</w:t>
      </w:r>
      <w:r w:rsidRPr="00DC4586">
        <w:rPr>
          <w:rStyle w:val="italicus"/>
        </w:rPr>
        <w:t xml:space="preserve"> </w:t>
      </w:r>
      <w:r w:rsidR="003E45BE">
        <w:rPr>
          <w:rStyle w:val="italicus"/>
        </w:rPr>
        <w:t>Proto</w:t>
      </w:r>
      <w:r w:rsidRPr="00DC4586">
        <w:rPr>
          <w:rStyle w:val="italicus"/>
        </w:rPr>
        <w:t>-Matthieu</w:t>
      </w:r>
      <w:r w:rsidR="00C2602D" w:rsidRPr="00DC4586">
        <w:rPr>
          <w:rStyle w:val="italicus"/>
        </w:rPr>
        <w:t> </w:t>
      </w:r>
      <w:r w:rsidR="007F6508">
        <w:rPr>
          <w:rStyle w:val="italicus"/>
        </w:rPr>
        <w:t xml:space="preserve">; </w:t>
      </w:r>
      <w:r w:rsidRPr="00C8701B">
        <w:rPr>
          <w:rFonts w:eastAsia="Arial Unicode MS"/>
          <w:bCs/>
          <w:lang w:eastAsia="fr-FR" w:bidi="he-IL"/>
        </w:rPr>
        <w:t>et à Rome</w:t>
      </w:r>
      <w:r w:rsidR="00E65435">
        <w:rPr>
          <w:rFonts w:eastAsia="Arial Unicode MS"/>
          <w:bCs/>
          <w:lang w:eastAsia="fr-FR" w:bidi="he-IL"/>
        </w:rPr>
        <w:t xml:space="preserve">, </w:t>
      </w:r>
      <w:r w:rsidRPr="00C8701B">
        <w:rPr>
          <w:rFonts w:eastAsia="Arial Unicode MS"/>
          <w:bCs/>
          <w:lang w:eastAsia="fr-FR" w:bidi="he-IL"/>
        </w:rPr>
        <w:t>remaniement analogue</w:t>
      </w:r>
      <w:r w:rsidR="003E45BE">
        <w:rPr>
          <w:rStyle w:val="italicus"/>
        </w:rPr>
        <w:t xml:space="preserve"> </w:t>
      </w:r>
      <w:r w:rsidR="003E45BE" w:rsidRPr="003E45BE">
        <w:t>de</w:t>
      </w:r>
      <w:r w:rsidRPr="003E45BE">
        <w:t xml:space="preserve"> </w:t>
      </w:r>
      <w:r w:rsidR="003E45BE">
        <w:rPr>
          <w:rStyle w:val="italicus"/>
        </w:rPr>
        <w:t>Proto</w:t>
      </w:r>
      <w:r w:rsidRPr="00DC4586">
        <w:rPr>
          <w:rStyle w:val="italicus"/>
        </w:rPr>
        <w:t>-Luc</w:t>
      </w:r>
      <w:r w:rsidR="00E65435">
        <w:rPr>
          <w:rStyle w:val="italicus"/>
        </w:rPr>
        <w:t xml:space="preserve">, </w:t>
      </w:r>
      <w:r w:rsidRPr="00C8701B">
        <w:rPr>
          <w:rFonts w:eastAsia="Arial Unicode MS"/>
          <w:bCs/>
          <w:lang w:eastAsia="fr-FR" w:bidi="he-IL"/>
        </w:rPr>
        <w:t xml:space="preserve">de manière à produire </w:t>
      </w:r>
      <w:r w:rsidRPr="00DC4586">
        <w:rPr>
          <w:rStyle w:val="italicus"/>
        </w:rPr>
        <w:t>Deutéro-Matthieu</w:t>
      </w:r>
      <w:r w:rsidRPr="00C8701B">
        <w:rPr>
          <w:rFonts w:eastAsia="Arial Unicode MS"/>
          <w:bCs/>
          <w:lang w:eastAsia="fr-FR" w:bidi="he-IL"/>
        </w:rPr>
        <w:t xml:space="preserve"> et</w:t>
      </w:r>
      <w:r w:rsidR="003E45BE">
        <w:rPr>
          <w:rStyle w:val="italicus"/>
        </w:rPr>
        <w:t xml:space="preserve"> Deut</w:t>
      </w:r>
      <w:r w:rsidRPr="00DC4586">
        <w:rPr>
          <w:rStyle w:val="italicus"/>
        </w:rPr>
        <w:t>éro-Luc</w:t>
      </w:r>
      <w:r w:rsidR="00E65435">
        <w:rPr>
          <w:rStyle w:val="italicus"/>
        </w:rPr>
        <w:t xml:space="preserve">, </w:t>
      </w:r>
      <w:r w:rsidRPr="00C8701B">
        <w:rPr>
          <w:rFonts w:eastAsia="Arial Unicode MS"/>
          <w:bCs/>
          <w:lang w:eastAsia="fr-FR" w:bidi="he-IL"/>
        </w:rPr>
        <w:t>lesquels</w:t>
      </w:r>
      <w:r w:rsidR="00E65435">
        <w:rPr>
          <w:rFonts w:eastAsia="Arial Unicode MS"/>
          <w:bCs/>
          <w:lang w:eastAsia="fr-FR" w:bidi="he-IL"/>
        </w:rPr>
        <w:t xml:space="preserve">, </w:t>
      </w:r>
      <w:r w:rsidRPr="00C8701B">
        <w:rPr>
          <w:rFonts w:eastAsia="Arial Unicode MS"/>
          <w:bCs/>
          <w:lang w:eastAsia="fr-FR" w:bidi="he-IL"/>
        </w:rPr>
        <w:t>par l</w:t>
      </w:r>
      <w:r w:rsidR="00557DE0">
        <w:rPr>
          <w:rFonts w:eastAsia="Arial Unicode MS"/>
          <w:bCs/>
          <w:lang w:eastAsia="fr-FR" w:bidi="he-IL"/>
        </w:rPr>
        <w:t>’</w:t>
      </w:r>
      <w:r w:rsidRPr="00C8701B">
        <w:rPr>
          <w:rFonts w:eastAsia="Arial Unicode MS"/>
          <w:bCs/>
          <w:lang w:eastAsia="fr-FR" w:bidi="he-IL"/>
        </w:rPr>
        <w:t>insertion des récits relatifs à l</w:t>
      </w:r>
      <w:r w:rsidR="00557DE0">
        <w:rPr>
          <w:rFonts w:eastAsia="Arial Unicode MS"/>
          <w:bCs/>
          <w:lang w:eastAsia="fr-FR" w:bidi="he-IL"/>
        </w:rPr>
        <w:t>’</w:t>
      </w:r>
      <w:r w:rsidRPr="00C8701B">
        <w:rPr>
          <w:rFonts w:eastAsia="Arial Unicode MS"/>
          <w:bCs/>
          <w:lang w:eastAsia="fr-FR" w:bidi="he-IL"/>
        </w:rPr>
        <w:t>enfance de Jésus et de quelques autres épisodes</w:t>
      </w:r>
      <w:r w:rsidR="00E65435">
        <w:rPr>
          <w:rFonts w:eastAsia="Arial Unicode MS"/>
          <w:bCs/>
          <w:lang w:eastAsia="fr-FR" w:bidi="he-IL"/>
        </w:rPr>
        <w:t xml:space="preserve">, </w:t>
      </w:r>
      <w:r w:rsidRPr="00C8701B">
        <w:rPr>
          <w:rFonts w:eastAsia="Arial Unicode MS"/>
          <w:bCs/>
          <w:lang w:eastAsia="fr-FR" w:bidi="he-IL"/>
        </w:rPr>
        <w:t>devinrent peu à peu nos évangiles actuels selon S. Matthieu et selon S. Luc. Enfin</w:t>
      </w:r>
      <w:r w:rsidR="00E65435">
        <w:rPr>
          <w:rFonts w:eastAsia="Arial Unicode MS"/>
          <w:bCs/>
          <w:lang w:eastAsia="fr-FR" w:bidi="he-IL"/>
        </w:rPr>
        <w:t xml:space="preserve">, </w:t>
      </w:r>
      <w:r w:rsidRPr="00C8701B">
        <w:rPr>
          <w:rFonts w:eastAsia="Arial Unicode MS"/>
          <w:bCs/>
          <w:lang w:eastAsia="fr-FR" w:bidi="he-IL"/>
        </w:rPr>
        <w:t>notre S. Marc canonique est un mélange de A et de</w:t>
      </w:r>
      <w:r w:rsidRPr="00DC4586">
        <w:rPr>
          <w:rStyle w:val="italicus"/>
        </w:rPr>
        <w:t xml:space="preserve"> Deutéro-</w:t>
      </w:r>
      <w:r w:rsidR="003E45BE">
        <w:rPr>
          <w:rStyle w:val="italicus"/>
        </w:rPr>
        <w:t>Matth</w:t>
      </w:r>
      <w:r w:rsidRPr="00DC4586">
        <w:rPr>
          <w:rStyle w:val="italicus"/>
        </w:rPr>
        <w:t>ieu.</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M. Renan aussi est d</w:t>
      </w:r>
      <w:r w:rsidR="00557DE0">
        <w:rPr>
          <w:rFonts w:eastAsia="Arial Unicode MS"/>
          <w:bCs/>
          <w:lang w:eastAsia="fr-FR" w:bidi="he-IL"/>
        </w:rPr>
        <w:t>’</w:t>
      </w:r>
      <w:r w:rsidRPr="00C8701B">
        <w:rPr>
          <w:rFonts w:eastAsia="Arial Unicode MS"/>
          <w:bCs/>
          <w:lang w:eastAsia="fr-FR" w:bidi="he-IL"/>
        </w:rPr>
        <w:t>un avis semblable</w:t>
      </w:r>
      <w:r w:rsidR="00E65435">
        <w:rPr>
          <w:rFonts w:eastAsia="Arial Unicode MS"/>
          <w:bCs/>
          <w:lang w:eastAsia="fr-FR" w:bidi="he-IL"/>
        </w:rPr>
        <w:t xml:space="preserve">, </w:t>
      </w:r>
      <w:r w:rsidRPr="00C8701B">
        <w:rPr>
          <w:rFonts w:eastAsia="Arial Unicode MS"/>
          <w:bCs/>
          <w:lang w:eastAsia="fr-FR" w:bidi="he-IL"/>
        </w:rPr>
        <w:t>qu</w:t>
      </w:r>
      <w:r w:rsidR="00557DE0">
        <w:rPr>
          <w:rFonts w:eastAsia="Arial Unicode MS"/>
          <w:bCs/>
          <w:lang w:eastAsia="fr-FR" w:bidi="he-IL"/>
        </w:rPr>
        <w:t>’</w:t>
      </w:r>
      <w:r w:rsidRPr="00C8701B">
        <w:rPr>
          <w:rFonts w:eastAsia="Arial Unicode MS"/>
          <w:bCs/>
          <w:lang w:eastAsia="fr-FR" w:bidi="he-IL"/>
        </w:rPr>
        <w:t>il développe à sa manière pittoresque</w:t>
      </w:r>
      <w:r w:rsidR="00E65435">
        <w:rPr>
          <w:rFonts w:eastAsia="Arial Unicode MS"/>
          <w:bCs/>
          <w:lang w:eastAsia="fr-FR" w:bidi="he-IL"/>
        </w:rPr>
        <w:t xml:space="preserve">, </w:t>
      </w:r>
      <w:r w:rsidRPr="00C8701B">
        <w:rPr>
          <w:rFonts w:eastAsia="Arial Unicode MS"/>
          <w:bCs/>
          <w:lang w:eastAsia="fr-FR" w:bidi="he-IL"/>
        </w:rPr>
        <w:t>moins lourde que le gros genre allemand</w:t>
      </w:r>
      <w:r w:rsidR="00C2602D" w:rsidRPr="00C8701B">
        <w:rPr>
          <w:rFonts w:eastAsia="Arial Unicode MS"/>
          <w:bCs/>
          <w:lang w:eastAsia="fr-FR" w:bidi="he-IL"/>
        </w:rPr>
        <w:t> :</w:t>
      </w:r>
      <w:r w:rsidRPr="00C8701B">
        <w:rPr>
          <w:rFonts w:eastAsia="Arial Unicode MS"/>
          <w:bCs/>
          <w:lang w:eastAsia="fr-FR" w:bidi="he-IL"/>
        </w:rPr>
        <w:t xml:space="preserve"> </w:t>
      </w:r>
      <w:r w:rsidR="00C2602D" w:rsidRPr="00C8701B">
        <w:rPr>
          <w:rFonts w:eastAsia="Arial Unicode MS"/>
          <w:bCs/>
          <w:lang w:eastAsia="fr-FR" w:bidi="he-IL"/>
        </w:rPr>
        <w:t>« </w:t>
      </w:r>
      <w:r w:rsidRPr="00C8701B">
        <w:rPr>
          <w:rFonts w:eastAsia="Arial Unicode MS"/>
          <w:bCs/>
          <w:lang w:eastAsia="fr-FR" w:bidi="he-IL"/>
        </w:rPr>
        <w:t>Il y avait</w:t>
      </w:r>
      <w:r w:rsidR="00E65435">
        <w:rPr>
          <w:rFonts w:eastAsia="Arial Unicode MS"/>
          <w:bCs/>
          <w:lang w:eastAsia="fr-FR" w:bidi="he-IL"/>
        </w:rPr>
        <w:t xml:space="preserve">, </w:t>
      </w:r>
      <w:r w:rsidRPr="00C8701B">
        <w:rPr>
          <w:rFonts w:eastAsia="Arial Unicode MS"/>
          <w:bCs/>
          <w:lang w:eastAsia="fr-FR" w:bidi="he-IL"/>
        </w:rPr>
        <w:t>avant la rédaction du premier évangile</w:t>
      </w:r>
      <w:r w:rsidR="00E65435">
        <w:rPr>
          <w:rFonts w:eastAsia="Arial Unicode MS"/>
          <w:bCs/>
          <w:lang w:eastAsia="fr-FR" w:bidi="he-IL"/>
        </w:rPr>
        <w:t xml:space="preserve">, </w:t>
      </w:r>
      <w:r w:rsidR="003E45BE">
        <w:rPr>
          <w:rFonts w:eastAsia="Arial Unicode MS"/>
          <w:bCs/>
          <w:lang w:eastAsia="fr-FR" w:bidi="he-IL"/>
        </w:rPr>
        <w:t>de</w:t>
      </w:r>
      <w:r w:rsidRPr="00C8701B">
        <w:rPr>
          <w:rFonts w:eastAsia="Arial Unicode MS"/>
          <w:bCs/>
          <w:lang w:eastAsia="fr-FR" w:bidi="he-IL"/>
        </w:rPr>
        <w:t>s paquets de discours et de paraboles</w:t>
      </w:r>
      <w:r w:rsidR="00E65435">
        <w:rPr>
          <w:rFonts w:eastAsia="Arial Unicode MS"/>
          <w:bCs/>
          <w:lang w:eastAsia="fr-FR" w:bidi="he-IL"/>
        </w:rPr>
        <w:t xml:space="preserve">, </w:t>
      </w:r>
      <w:r w:rsidRPr="00C8701B">
        <w:rPr>
          <w:rFonts w:eastAsia="Arial Unicode MS"/>
          <w:bCs/>
          <w:lang w:eastAsia="fr-FR" w:bidi="he-IL"/>
        </w:rPr>
        <w:t>où les paroles de Jésus étaient classées d</w:t>
      </w:r>
      <w:r w:rsidR="00557DE0">
        <w:rPr>
          <w:rFonts w:eastAsia="Arial Unicode MS"/>
          <w:bCs/>
          <w:lang w:eastAsia="fr-FR" w:bidi="he-IL"/>
        </w:rPr>
        <w:t>’</w:t>
      </w:r>
      <w:r w:rsidRPr="00C8701B">
        <w:rPr>
          <w:rFonts w:eastAsia="Arial Unicode MS"/>
          <w:bCs/>
          <w:lang w:eastAsia="fr-FR" w:bidi="he-IL"/>
        </w:rPr>
        <w:t>après des raisons purement extérieures. L</w:t>
      </w:r>
      <w:r w:rsidR="00557DE0">
        <w:rPr>
          <w:rFonts w:eastAsia="Arial Unicode MS"/>
          <w:bCs/>
          <w:lang w:eastAsia="fr-FR" w:bidi="he-IL"/>
        </w:rPr>
        <w:t>’</w:t>
      </w:r>
      <w:r w:rsidRPr="00C8701B">
        <w:rPr>
          <w:rFonts w:eastAsia="Arial Unicode MS"/>
          <w:bCs/>
          <w:lang w:eastAsia="fr-FR" w:bidi="he-IL"/>
        </w:rPr>
        <w:t>auteur du premier évangile trouva ces paquets déjà faits et les inséra dans le texte de Marc</w:t>
      </w:r>
      <w:r w:rsidR="00E65435">
        <w:rPr>
          <w:rFonts w:eastAsia="Arial Unicode MS"/>
          <w:bCs/>
          <w:lang w:eastAsia="fr-FR" w:bidi="he-IL"/>
        </w:rPr>
        <w:t xml:space="preserve">, </w:t>
      </w:r>
      <w:r w:rsidRPr="00C8701B">
        <w:rPr>
          <w:rFonts w:eastAsia="Arial Unicode MS"/>
          <w:bCs/>
          <w:lang w:eastAsia="fr-FR" w:bidi="he-IL"/>
        </w:rPr>
        <w:t xml:space="preserve">qui lui servait de </w:t>
      </w:r>
      <w:r w:rsidR="00D62373" w:rsidRPr="00C8701B">
        <w:rPr>
          <w:rFonts w:eastAsia="Arial Unicode MS"/>
          <w:bCs/>
          <w:lang w:eastAsia="fr-FR" w:bidi="he-IL"/>
        </w:rPr>
        <w:t>can</w:t>
      </w:r>
      <w:r w:rsidR="00D62373">
        <w:rPr>
          <w:rFonts w:eastAsia="Arial Unicode MS"/>
          <w:bCs/>
          <w:lang w:eastAsia="fr-FR" w:bidi="he-IL"/>
        </w:rPr>
        <w:t>e</w:t>
      </w:r>
      <w:r w:rsidR="00D62373" w:rsidRPr="00C8701B">
        <w:rPr>
          <w:rFonts w:eastAsia="Arial Unicode MS"/>
          <w:bCs/>
          <w:lang w:eastAsia="fr-FR" w:bidi="he-IL"/>
        </w:rPr>
        <w:t>vas</w:t>
      </w:r>
      <w:r w:rsidR="00E65435">
        <w:rPr>
          <w:rFonts w:eastAsia="Arial Unicode MS"/>
          <w:bCs/>
          <w:lang w:eastAsia="fr-FR" w:bidi="he-IL"/>
        </w:rPr>
        <w:t xml:space="preserve">, </w:t>
      </w:r>
      <w:r w:rsidRPr="00C8701B">
        <w:rPr>
          <w:rFonts w:eastAsia="Arial Unicode MS"/>
          <w:bCs/>
          <w:lang w:eastAsia="fr-FR" w:bidi="he-IL"/>
        </w:rPr>
        <w:t>tout ficelés</w:t>
      </w:r>
      <w:r w:rsidR="00E65435">
        <w:rPr>
          <w:rFonts w:eastAsia="Arial Unicode MS"/>
          <w:bCs/>
          <w:lang w:eastAsia="fr-FR" w:bidi="he-IL"/>
        </w:rPr>
        <w:t xml:space="preserve">, </w:t>
      </w:r>
      <w:r w:rsidRPr="00C8701B">
        <w:rPr>
          <w:rFonts w:eastAsia="Arial Unicode MS"/>
          <w:bCs/>
          <w:lang w:eastAsia="fr-FR" w:bidi="he-IL"/>
        </w:rPr>
        <w:t>sans briser le léger fil qui les reliait</w:t>
      </w:r>
      <w:r w:rsidR="00933C60" w:rsidRPr="00C406FF">
        <w:rPr>
          <w:rStyle w:val="Appelnotedebasdep"/>
        </w:rPr>
        <w:footnoteReference w:id="234"/>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1A4F8D">
        <w:t>3</w:t>
      </w:r>
      <w:r w:rsidR="007D3F5A" w:rsidRPr="001A4F8D">
        <w:t>.</w:t>
      </w:r>
      <w:bookmarkStart w:id="78" w:name="evin07020403"/>
      <w:bookmarkEnd w:id="78"/>
      <w:r w:rsidR="007D3F5A" w:rsidRPr="001A4F8D">
        <w:t xml:space="preserve"> </w:t>
      </w:r>
      <w:r w:rsidR="007D3F5A" w:rsidRPr="00DC4586">
        <w:rPr>
          <w:rStyle w:val="italicus"/>
        </w:rPr>
        <w:t>T</w:t>
      </w:r>
      <w:r w:rsidRPr="00DC4586">
        <w:rPr>
          <w:rStyle w:val="italicus"/>
        </w:rPr>
        <w:t>roisième système</w:t>
      </w:r>
      <w:r w:rsidR="003E45BE">
        <w:rPr>
          <w:rStyle w:val="italicus"/>
        </w:rPr>
        <w:t>.</w:t>
      </w:r>
      <w:r w:rsidR="003E45BE" w:rsidRPr="003E45BE">
        <w:t xml:space="preserve"> —</w:t>
      </w:r>
      <w:r w:rsidR="008D0642" w:rsidRPr="003E45BE">
        <w:t xml:space="preserve"> </w:t>
      </w:r>
      <w:r w:rsidRPr="003E45BE">
        <w:t xml:space="preserve">On a essayé </w:t>
      </w:r>
      <w:r w:rsidRPr="00C8701B">
        <w:rPr>
          <w:rFonts w:eastAsia="Arial Unicode MS"/>
          <w:bCs/>
          <w:lang w:eastAsia="fr-FR" w:bidi="he-IL"/>
        </w:rPr>
        <w:t>enfin d</w:t>
      </w:r>
      <w:r w:rsidR="00557DE0">
        <w:rPr>
          <w:rFonts w:eastAsia="Arial Unicode MS"/>
          <w:bCs/>
          <w:lang w:eastAsia="fr-FR" w:bidi="he-IL"/>
        </w:rPr>
        <w:t>’</w:t>
      </w:r>
      <w:r w:rsidRPr="00C8701B">
        <w:rPr>
          <w:rFonts w:eastAsia="Arial Unicode MS"/>
          <w:bCs/>
          <w:lang w:eastAsia="fr-FR" w:bidi="he-IL"/>
        </w:rPr>
        <w:t>expliquer les rapports d</w:t>
      </w:r>
      <w:r w:rsidR="00557DE0">
        <w:rPr>
          <w:rFonts w:eastAsia="Arial Unicode MS"/>
          <w:bCs/>
          <w:lang w:eastAsia="fr-FR" w:bidi="he-IL"/>
        </w:rPr>
        <w:t>’</w:t>
      </w:r>
      <w:r w:rsidRPr="00C8701B">
        <w:rPr>
          <w:rFonts w:eastAsia="Arial Unicode MS"/>
          <w:bCs/>
          <w:lang w:eastAsia="fr-FR" w:bidi="he-IL"/>
        </w:rPr>
        <w:t>harmonie et de divergence que nous avons signalés entre les évangiles synoptiques</w:t>
      </w:r>
      <w:r w:rsidR="00E65435">
        <w:rPr>
          <w:rFonts w:eastAsia="Arial Unicode MS"/>
          <w:bCs/>
          <w:lang w:eastAsia="fr-FR" w:bidi="he-IL"/>
        </w:rPr>
        <w:t xml:space="preserve">, </w:t>
      </w:r>
      <w:r w:rsidRPr="00C8701B">
        <w:rPr>
          <w:rFonts w:eastAsia="Arial Unicode MS"/>
          <w:bCs/>
          <w:lang w:eastAsia="fr-FR" w:bidi="he-IL"/>
        </w:rPr>
        <w:t>par l</w:t>
      </w:r>
      <w:r w:rsidR="00557DE0">
        <w:rPr>
          <w:rFonts w:eastAsia="Arial Unicode MS"/>
          <w:bCs/>
          <w:lang w:eastAsia="fr-FR" w:bidi="he-IL"/>
        </w:rPr>
        <w:t>’</w:t>
      </w:r>
      <w:r w:rsidRPr="00C8701B">
        <w:rPr>
          <w:rFonts w:eastAsia="Arial Unicode MS"/>
          <w:bCs/>
          <w:lang w:eastAsia="fr-FR" w:bidi="he-IL"/>
        </w:rPr>
        <w:t>existence d</w:t>
      </w:r>
      <w:r w:rsidR="00557DE0">
        <w:rPr>
          <w:rFonts w:eastAsia="Arial Unicode MS"/>
          <w:bCs/>
          <w:lang w:eastAsia="fr-FR" w:bidi="he-IL"/>
        </w:rPr>
        <w:t>’</w:t>
      </w:r>
      <w:r w:rsidRPr="00C8701B">
        <w:rPr>
          <w:rFonts w:eastAsia="Arial Unicode MS"/>
          <w:bCs/>
          <w:lang w:eastAsia="fr-FR" w:bidi="he-IL"/>
        </w:rPr>
        <w:t>une tradition orale</w:t>
      </w:r>
      <w:r w:rsidR="00E65435">
        <w:rPr>
          <w:rFonts w:eastAsia="Arial Unicode MS"/>
          <w:bCs/>
          <w:lang w:eastAsia="fr-FR" w:bidi="he-IL"/>
        </w:rPr>
        <w:t xml:space="preserve">, </w:t>
      </w:r>
      <w:r w:rsidRPr="00C8701B">
        <w:rPr>
          <w:rFonts w:eastAsia="Arial Unicode MS"/>
          <w:bCs/>
          <w:lang w:eastAsia="fr-FR" w:bidi="he-IL"/>
        </w:rPr>
        <w:t>qui se serait formée de très bonne heure sur l</w:t>
      </w:r>
      <w:r w:rsidR="00557DE0">
        <w:rPr>
          <w:rFonts w:eastAsia="Arial Unicode MS"/>
          <w:bCs/>
          <w:lang w:eastAsia="fr-FR" w:bidi="he-IL"/>
        </w:rPr>
        <w:t>’</w:t>
      </w:r>
      <w:r w:rsidRPr="00C8701B">
        <w:rPr>
          <w:rFonts w:eastAsia="Arial Unicode MS"/>
          <w:bCs/>
          <w:lang w:eastAsia="fr-FR" w:bidi="he-IL"/>
        </w:rPr>
        <w:t>histoire de N.-S. Jésus-Christ</w:t>
      </w:r>
      <w:r w:rsidR="00E65435">
        <w:rPr>
          <w:rFonts w:eastAsia="Arial Unicode MS"/>
          <w:bCs/>
          <w:lang w:eastAsia="fr-FR" w:bidi="he-IL"/>
        </w:rPr>
        <w:t xml:space="preserve">, </w:t>
      </w:r>
      <w:r w:rsidRPr="00C8701B">
        <w:rPr>
          <w:rFonts w:eastAsia="Arial Unicode MS"/>
          <w:bCs/>
          <w:lang w:eastAsia="fr-FR" w:bidi="he-IL"/>
        </w:rPr>
        <w:t>mais qui n</w:t>
      </w:r>
      <w:r w:rsidR="00557DE0">
        <w:rPr>
          <w:rFonts w:eastAsia="Arial Unicode MS"/>
          <w:bCs/>
          <w:lang w:eastAsia="fr-FR" w:bidi="he-IL"/>
        </w:rPr>
        <w:t>’</w:t>
      </w:r>
      <w:r w:rsidRPr="00C8701B">
        <w:rPr>
          <w:rFonts w:eastAsia="Arial Unicode MS"/>
          <w:bCs/>
          <w:lang w:eastAsia="fr-FR" w:bidi="he-IL"/>
        </w:rPr>
        <w:t>eût pas été absolument la même partout</w:t>
      </w:r>
      <w:r w:rsidR="00E65435">
        <w:rPr>
          <w:rFonts w:eastAsia="Arial Unicode MS"/>
          <w:bCs/>
          <w:lang w:eastAsia="fr-FR" w:bidi="he-IL"/>
        </w:rPr>
        <w:t xml:space="preserve">, </w:t>
      </w:r>
      <w:r w:rsidRPr="00C8701B">
        <w:rPr>
          <w:rFonts w:eastAsia="Arial Unicode MS"/>
          <w:bCs/>
          <w:lang w:eastAsia="fr-FR" w:bidi="he-IL"/>
        </w:rPr>
        <w:t xml:space="preserve">présentant </w:t>
      </w:r>
      <w:r w:rsidR="003E45BE">
        <w:rPr>
          <w:rFonts w:eastAsia="Arial Unicode MS"/>
          <w:bCs/>
          <w:lang w:eastAsia="fr-FR" w:bidi="he-IL"/>
        </w:rPr>
        <w:t>au contraire çà et là des varian</w:t>
      </w:r>
      <w:r w:rsidRPr="00C8701B">
        <w:rPr>
          <w:rFonts w:eastAsia="Arial Unicode MS"/>
          <w:bCs/>
          <w:lang w:eastAsia="fr-FR" w:bidi="he-IL"/>
        </w:rPr>
        <w:t>tes plus ou moins accentuées. Nos trois évangélistes mirent à profit cette tradition pour la composition de leurs récits</w:t>
      </w:r>
      <w:r w:rsidR="00C2602D" w:rsidRPr="00C8701B">
        <w:rPr>
          <w:rFonts w:eastAsia="Arial Unicode MS"/>
          <w:bCs/>
          <w:lang w:eastAsia="fr-FR" w:bidi="he-IL"/>
        </w:rPr>
        <w:t> :</w:t>
      </w:r>
      <w:r w:rsidRPr="00C8701B">
        <w:rPr>
          <w:rFonts w:eastAsia="Arial Unicode MS"/>
          <w:bCs/>
          <w:lang w:eastAsia="fr-FR" w:bidi="he-IL"/>
        </w:rPr>
        <w:t xml:space="preserve"> ils se ressemblent toutes les fois que leur source orale était identique en tous lieux</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ils diffèrent les uns des autres quand elle avait subi des modifications</w:t>
      </w:r>
      <w:r w:rsidR="00E65435">
        <w:rPr>
          <w:rFonts w:eastAsia="Arial Unicode MS"/>
          <w:bCs/>
          <w:lang w:eastAsia="fr-FR" w:bidi="he-IL"/>
        </w:rPr>
        <w:t xml:space="preserve">, </w:t>
      </w:r>
      <w:r w:rsidRPr="00C8701B">
        <w:rPr>
          <w:rFonts w:eastAsia="Arial Unicode MS"/>
          <w:bCs/>
          <w:lang w:eastAsia="fr-FR" w:bidi="he-IL"/>
        </w:rPr>
        <w:t>ou lorsqu</w:t>
      </w:r>
      <w:r w:rsidR="00557DE0">
        <w:rPr>
          <w:rFonts w:eastAsia="Arial Unicode MS"/>
          <w:bCs/>
          <w:lang w:eastAsia="fr-FR" w:bidi="he-IL"/>
        </w:rPr>
        <w:t>’</w:t>
      </w:r>
      <w:r w:rsidRPr="00C8701B">
        <w:rPr>
          <w:rFonts w:eastAsia="Arial Unicode MS"/>
          <w:bCs/>
          <w:lang w:eastAsia="fr-FR" w:bidi="he-IL"/>
        </w:rPr>
        <w:t>ils ne s</w:t>
      </w:r>
      <w:r w:rsidR="00557DE0">
        <w:rPr>
          <w:rFonts w:eastAsia="Arial Unicode MS"/>
          <w:bCs/>
          <w:lang w:eastAsia="fr-FR" w:bidi="he-IL"/>
        </w:rPr>
        <w:t>’</w:t>
      </w:r>
      <w:r w:rsidRPr="00C8701B">
        <w:rPr>
          <w:rFonts w:eastAsia="Arial Unicode MS"/>
          <w:bCs/>
          <w:lang w:eastAsia="fr-FR" w:bidi="he-IL"/>
        </w:rPr>
        <w:t>astreignent pas à la suivre servilement.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Tel est l</w:t>
      </w:r>
      <w:r w:rsidR="00557DE0">
        <w:rPr>
          <w:rFonts w:eastAsia="Arial Unicode MS"/>
          <w:bCs/>
          <w:lang w:eastAsia="fr-FR" w:bidi="he-IL"/>
        </w:rPr>
        <w:t>’</w:t>
      </w:r>
      <w:r w:rsidRPr="00C8701B">
        <w:rPr>
          <w:rFonts w:eastAsia="Arial Unicode MS"/>
          <w:bCs/>
          <w:lang w:eastAsia="fr-FR" w:bidi="he-IL"/>
        </w:rPr>
        <w:t>énoncé général de cette troisième hypothèse</w:t>
      </w:r>
      <w:r w:rsidR="00E65435">
        <w:rPr>
          <w:rFonts w:eastAsia="Arial Unicode MS"/>
          <w:bCs/>
          <w:lang w:eastAsia="fr-FR" w:bidi="he-IL"/>
        </w:rPr>
        <w:t xml:space="preserve">, </w:t>
      </w:r>
      <w:r w:rsidRPr="00C8701B">
        <w:rPr>
          <w:rFonts w:eastAsia="Arial Unicode MS"/>
          <w:bCs/>
          <w:lang w:eastAsia="fr-FR" w:bidi="he-IL"/>
        </w:rPr>
        <w:t>qui a toujours été la plus en faveur auprès</w:t>
      </w:r>
      <w:r w:rsidR="00E65435">
        <w:rPr>
          <w:rFonts w:eastAsia="Arial Unicode MS"/>
          <w:bCs/>
          <w:lang w:eastAsia="fr-FR" w:bidi="he-IL"/>
        </w:rPr>
        <w:t xml:space="preserve">, </w:t>
      </w:r>
      <w:r w:rsidRPr="00C8701B">
        <w:rPr>
          <w:rFonts w:eastAsia="Arial Unicode MS"/>
          <w:bCs/>
          <w:lang w:eastAsia="fr-FR" w:bidi="he-IL"/>
        </w:rPr>
        <w:t>des exégètes catholiques</w:t>
      </w:r>
      <w:r w:rsidR="00933C60" w:rsidRPr="00C406FF">
        <w:rPr>
          <w:rStyle w:val="Appelnotedebasdep"/>
        </w:rPr>
        <w:footnoteReference w:id="235"/>
      </w:r>
      <w:r w:rsidR="00E65435">
        <w:rPr>
          <w:rFonts w:eastAsia="Arial Unicode MS"/>
          <w:bCs/>
          <w:lang w:eastAsia="fr-FR" w:bidi="he-IL"/>
        </w:rPr>
        <w:t xml:space="preserve">, </w:t>
      </w:r>
      <w:r w:rsidRPr="00C8701B">
        <w:rPr>
          <w:rFonts w:eastAsia="Arial Unicode MS"/>
          <w:bCs/>
          <w:lang w:eastAsia="fr-FR" w:bidi="he-IL"/>
        </w:rPr>
        <w:t>et qu</w:t>
      </w:r>
      <w:r w:rsidR="00557DE0">
        <w:rPr>
          <w:rFonts w:eastAsia="Arial Unicode MS"/>
          <w:bCs/>
          <w:lang w:eastAsia="fr-FR" w:bidi="he-IL"/>
        </w:rPr>
        <w:t>’</w:t>
      </w:r>
      <w:r w:rsidRPr="00C8701B">
        <w:rPr>
          <w:rFonts w:eastAsia="Arial Unicode MS"/>
          <w:bCs/>
          <w:lang w:eastAsia="fr-FR" w:bidi="he-IL"/>
        </w:rPr>
        <w:t>ont aussi adoptée beaucoup de critiques protestants</w:t>
      </w:r>
      <w:r w:rsidR="00933C60" w:rsidRPr="00C406FF">
        <w:rPr>
          <w:rStyle w:val="Appelnotedebasdep"/>
        </w:rPr>
        <w:footnoteReference w:id="236"/>
      </w:r>
      <w:r w:rsidRPr="00C8701B">
        <w:rPr>
          <w:rFonts w:eastAsia="Arial Unicode MS"/>
          <w:bCs/>
          <w:lang w:eastAsia="fr-FR" w:bidi="he-IL"/>
        </w:rPr>
        <w:t>.</w:t>
      </w:r>
      <w:r w:rsidR="00C2602D" w:rsidRPr="00C8701B">
        <w:rPr>
          <w:rFonts w:eastAsia="Arial Unicode MS"/>
          <w:bCs/>
          <w:lang w:eastAsia="fr-FR" w:bidi="he-IL"/>
        </w:rPr>
        <w:t xml:space="preserve"> </w:t>
      </w:r>
      <w:r w:rsidR="00A067B1" w:rsidRPr="000716BB">
        <w:rPr>
          <w:rFonts w:eastAsia="Arial Unicode MS"/>
          <w:bCs/>
          <w:lang w:eastAsia="fr-FR" w:bidi="he-IL"/>
        </w:rPr>
        <w:t>{</w:t>
      </w:r>
      <w:r w:rsidR="00A067B1">
        <w:rPr>
          <w:rFonts w:eastAsia="Arial Unicode MS"/>
          <w:bCs/>
          <w:lang w:eastAsia="fr-FR" w:bidi="he-IL"/>
        </w:rPr>
        <w:t>46</w:t>
      </w:r>
      <w:bookmarkStart w:id="79" w:name="pag046"/>
      <w:bookmarkEnd w:id="79"/>
      <w:r w:rsidR="00A067B1" w:rsidRPr="000716BB">
        <w:rPr>
          <w:rFonts w:eastAsia="Arial Unicode MS"/>
          <w:bCs/>
          <w:lang w:eastAsia="fr-FR" w:bidi="he-IL"/>
        </w:rPr>
        <w:t>}</w:t>
      </w:r>
    </w:p>
    <w:p w:rsidR="00C2602D" w:rsidRPr="00C8701B" w:rsidRDefault="00B704AD" w:rsidP="00C2602D">
      <w:pPr>
        <w:rPr>
          <w:rFonts w:eastAsia="Arial Unicode MS"/>
          <w:bCs/>
          <w:lang w:eastAsia="fr-FR" w:bidi="he-IL"/>
        </w:rPr>
      </w:pPr>
      <w:r w:rsidRPr="00C8701B">
        <w:rPr>
          <w:rFonts w:eastAsia="Arial Unicode MS"/>
          <w:bCs/>
          <w:lang w:eastAsia="fr-FR" w:bidi="he-IL"/>
        </w:rPr>
        <w:t>Il sera bon d</w:t>
      </w:r>
      <w:r w:rsidR="00557DE0">
        <w:rPr>
          <w:rFonts w:eastAsia="Arial Unicode MS"/>
          <w:bCs/>
          <w:lang w:eastAsia="fr-FR" w:bidi="he-IL"/>
        </w:rPr>
        <w:t>’</w:t>
      </w:r>
      <w:r w:rsidRPr="00C8701B">
        <w:rPr>
          <w:rFonts w:eastAsia="Arial Unicode MS"/>
          <w:bCs/>
          <w:lang w:eastAsia="fr-FR" w:bidi="he-IL"/>
        </w:rPr>
        <w:t>ajouter quelques détails</w:t>
      </w:r>
      <w:r w:rsidR="00E65435">
        <w:rPr>
          <w:rFonts w:eastAsia="Arial Unicode MS"/>
          <w:bCs/>
          <w:lang w:eastAsia="fr-FR" w:bidi="he-IL"/>
        </w:rPr>
        <w:t xml:space="preserve">, </w:t>
      </w:r>
      <w:r w:rsidRPr="00C8701B">
        <w:rPr>
          <w:rFonts w:eastAsia="Arial Unicode MS"/>
          <w:bCs/>
          <w:lang w:eastAsia="fr-FR" w:bidi="he-IL"/>
        </w:rPr>
        <w:t>qui permettront de mieux comprendre notre bref exposé.</w:t>
      </w:r>
      <w:r w:rsidR="00C2602D" w:rsidRPr="00C8701B">
        <w:rPr>
          <w:rFonts w:eastAsia="Arial Unicode MS"/>
          <w:bCs/>
          <w:lang w:eastAsia="fr-FR" w:bidi="he-IL"/>
        </w:rPr>
        <w:t xml:space="preserve"> </w:t>
      </w:r>
    </w:p>
    <w:p w:rsidR="00C2602D" w:rsidRPr="00C8701B" w:rsidRDefault="00C2602D" w:rsidP="00C2602D">
      <w:pPr>
        <w:rPr>
          <w:rFonts w:eastAsia="Arial Unicode MS"/>
          <w:bCs/>
          <w:lang w:eastAsia="fr-FR" w:bidi="he-IL"/>
        </w:rPr>
      </w:pPr>
      <w:r w:rsidRPr="00C8701B">
        <w:rPr>
          <w:rFonts w:eastAsia="Arial Unicode MS"/>
          <w:bCs/>
          <w:lang w:eastAsia="fr-FR" w:bidi="he-IL"/>
        </w:rPr>
        <w:t>« </w:t>
      </w:r>
      <w:r w:rsidR="00B704AD" w:rsidRPr="00C8701B">
        <w:rPr>
          <w:rFonts w:eastAsia="Arial Unicode MS"/>
          <w:bCs/>
          <w:lang w:eastAsia="fr-FR" w:bidi="he-IL"/>
        </w:rPr>
        <w:t>Les apôtres du Christ</w:t>
      </w:r>
      <w:r w:rsidR="00E65435">
        <w:rPr>
          <w:rFonts w:eastAsia="Arial Unicode MS"/>
          <w:bCs/>
          <w:lang w:eastAsia="fr-FR" w:bidi="he-IL"/>
        </w:rPr>
        <w:t xml:space="preserve">, </w:t>
      </w:r>
      <w:r w:rsidR="00B704AD" w:rsidRPr="00C8701B">
        <w:rPr>
          <w:rFonts w:eastAsia="Arial Unicode MS"/>
          <w:bCs/>
          <w:lang w:eastAsia="fr-FR" w:bidi="he-IL"/>
        </w:rPr>
        <w:t>dit l</w:t>
      </w:r>
      <w:r w:rsidR="00557DE0">
        <w:rPr>
          <w:rFonts w:eastAsia="Arial Unicode MS"/>
          <w:bCs/>
          <w:lang w:eastAsia="fr-FR" w:bidi="he-IL"/>
        </w:rPr>
        <w:t>’</w:t>
      </w:r>
      <w:r w:rsidR="00B704AD" w:rsidRPr="00C8701B">
        <w:rPr>
          <w:rFonts w:eastAsia="Arial Unicode MS"/>
          <w:bCs/>
          <w:lang w:eastAsia="fr-FR" w:bidi="he-IL"/>
        </w:rPr>
        <w:t>historien Eusèbe</w:t>
      </w:r>
      <w:r w:rsidR="00933C60" w:rsidRPr="00C406FF">
        <w:rPr>
          <w:rStyle w:val="Appelnotedebasdep"/>
        </w:rPr>
        <w:footnoteReference w:id="237"/>
      </w:r>
      <w:r w:rsidR="00E65435">
        <w:rPr>
          <w:rFonts w:eastAsia="Arial Unicode MS"/>
          <w:bCs/>
          <w:lang w:eastAsia="fr-FR" w:bidi="he-IL"/>
        </w:rPr>
        <w:t xml:space="preserve">, </w:t>
      </w:r>
      <w:r w:rsidR="00B704AD" w:rsidRPr="00C8701B">
        <w:rPr>
          <w:rFonts w:eastAsia="Arial Unicode MS"/>
          <w:bCs/>
          <w:lang w:eastAsia="fr-FR" w:bidi="he-IL"/>
        </w:rPr>
        <w:t>purifiés dans leur vie et ornés de toutes les vertus dans leur âme</w:t>
      </w:r>
      <w:r w:rsidR="00E65435">
        <w:rPr>
          <w:rFonts w:eastAsia="Arial Unicode MS"/>
          <w:bCs/>
          <w:lang w:eastAsia="fr-FR" w:bidi="he-IL"/>
        </w:rPr>
        <w:t xml:space="preserve">, </w:t>
      </w:r>
      <w:r w:rsidR="00B704AD" w:rsidRPr="00C8701B">
        <w:rPr>
          <w:rFonts w:eastAsia="Arial Unicode MS"/>
          <w:bCs/>
          <w:lang w:eastAsia="fr-FR" w:bidi="he-IL"/>
        </w:rPr>
        <w:t>mais rudes et incultes dans leur langage</w:t>
      </w:r>
      <w:r w:rsidR="00E65435">
        <w:rPr>
          <w:rFonts w:eastAsia="Arial Unicode MS"/>
          <w:bCs/>
          <w:lang w:eastAsia="fr-FR" w:bidi="he-IL"/>
        </w:rPr>
        <w:t xml:space="preserve">, </w:t>
      </w:r>
      <w:r w:rsidR="00B704AD" w:rsidRPr="00C8701B">
        <w:rPr>
          <w:rFonts w:eastAsia="Arial Unicode MS"/>
          <w:bCs/>
          <w:lang w:eastAsia="fr-FR" w:bidi="he-IL"/>
        </w:rPr>
        <w:t>ont annoncé le règne de Dieu au monde entier</w:t>
      </w:r>
      <w:r w:rsidR="00E65435">
        <w:rPr>
          <w:rFonts w:eastAsia="Arial Unicode MS"/>
          <w:bCs/>
          <w:lang w:eastAsia="fr-FR" w:bidi="he-IL"/>
        </w:rPr>
        <w:t xml:space="preserve">, </w:t>
      </w:r>
      <w:r w:rsidR="00B704AD" w:rsidRPr="00C8701B">
        <w:rPr>
          <w:rFonts w:eastAsia="Arial Unicode MS"/>
          <w:bCs/>
          <w:lang w:eastAsia="fr-FR" w:bidi="he-IL"/>
        </w:rPr>
        <w:t>avec le seul secours</w:t>
      </w:r>
      <w:r w:rsidR="00A52BCA">
        <w:rPr>
          <w:rFonts w:eastAsia="Arial Unicode MS"/>
          <w:bCs/>
          <w:lang w:eastAsia="fr-FR" w:bidi="he-IL"/>
        </w:rPr>
        <w:t xml:space="preserve"> de </w:t>
      </w:r>
      <w:r w:rsidR="00B704AD" w:rsidRPr="00C8701B">
        <w:rPr>
          <w:rFonts w:eastAsia="Arial Unicode MS"/>
          <w:bCs/>
          <w:lang w:eastAsia="fr-FR" w:bidi="he-IL"/>
        </w:rPr>
        <w:t>la puissance de Jésus-Christ</w:t>
      </w:r>
      <w:r w:rsidR="00E65435">
        <w:rPr>
          <w:rFonts w:eastAsia="Arial Unicode MS"/>
          <w:bCs/>
          <w:lang w:eastAsia="fr-FR" w:bidi="he-IL"/>
        </w:rPr>
        <w:t xml:space="preserve">, </w:t>
      </w:r>
      <w:r w:rsidR="00B704AD" w:rsidRPr="00C8701B">
        <w:rPr>
          <w:rFonts w:eastAsia="Arial Unicode MS"/>
          <w:bCs/>
          <w:lang w:eastAsia="fr-FR" w:bidi="he-IL"/>
        </w:rPr>
        <w:t>par laquelle ils ont opéré tant de miracles. Ils n</w:t>
      </w:r>
      <w:r w:rsidR="00557DE0">
        <w:rPr>
          <w:rFonts w:eastAsia="Arial Unicode MS"/>
          <w:bCs/>
          <w:lang w:eastAsia="fr-FR" w:bidi="he-IL"/>
        </w:rPr>
        <w:t>’</w:t>
      </w:r>
      <w:r w:rsidR="00B704AD" w:rsidRPr="00C8701B">
        <w:rPr>
          <w:rFonts w:eastAsia="Arial Unicode MS"/>
          <w:bCs/>
          <w:lang w:eastAsia="fr-FR" w:bidi="he-IL"/>
        </w:rPr>
        <w:t>étaient pas préoccupés d</w:t>
      </w:r>
      <w:r w:rsidR="00557DE0">
        <w:rPr>
          <w:rFonts w:eastAsia="Arial Unicode MS"/>
          <w:bCs/>
          <w:lang w:eastAsia="fr-FR" w:bidi="he-IL"/>
        </w:rPr>
        <w:t>’</w:t>
      </w:r>
      <w:r w:rsidR="00B704AD" w:rsidRPr="00C8701B">
        <w:rPr>
          <w:rFonts w:eastAsia="Arial Unicode MS"/>
          <w:bCs/>
          <w:lang w:eastAsia="fr-FR" w:bidi="he-IL"/>
        </w:rPr>
        <w:t>écrire des livres</w:t>
      </w:r>
      <w:r w:rsidR="00E65435">
        <w:rPr>
          <w:rFonts w:eastAsia="Arial Unicode MS"/>
          <w:bCs/>
          <w:lang w:eastAsia="fr-FR" w:bidi="he-IL"/>
        </w:rPr>
        <w:t xml:space="preserve">, </w:t>
      </w:r>
      <w:r w:rsidR="00B704AD" w:rsidRPr="00C8701B">
        <w:rPr>
          <w:rFonts w:eastAsia="Arial Unicode MS"/>
          <w:bCs/>
          <w:lang w:eastAsia="fr-FR" w:bidi="he-IL"/>
        </w:rPr>
        <w:t>étant revêtus d</w:t>
      </w:r>
      <w:r w:rsidR="00557DE0">
        <w:rPr>
          <w:rFonts w:eastAsia="Arial Unicode MS"/>
          <w:bCs/>
          <w:lang w:eastAsia="fr-FR" w:bidi="he-IL"/>
        </w:rPr>
        <w:t>’</w:t>
      </w:r>
      <w:r w:rsidR="00B704AD" w:rsidRPr="00C8701B">
        <w:rPr>
          <w:rFonts w:eastAsia="Arial Unicode MS"/>
          <w:bCs/>
          <w:lang w:eastAsia="fr-FR" w:bidi="he-IL"/>
        </w:rPr>
        <w:t>un ministère bien autrement grand et surhumain</w:t>
      </w:r>
      <w:r w:rsidRPr="00C8701B">
        <w:rPr>
          <w:rFonts w:eastAsia="Arial Unicode MS"/>
          <w:bCs/>
          <w:lang w:eastAsia="fr-FR" w:bidi="he-IL"/>
        </w:rPr>
        <w:t> »</w:t>
      </w:r>
      <w:r w:rsidR="00B704AD" w:rsidRPr="00C8701B">
        <w:rPr>
          <w:rFonts w:eastAsia="Arial Unicode MS"/>
          <w:bCs/>
          <w:lang w:eastAsia="fr-FR" w:bidi="he-IL"/>
        </w:rPr>
        <w:t>.</w:t>
      </w:r>
      <w:r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Cette prédication</w:t>
      </w:r>
      <w:r w:rsidR="00E65435">
        <w:rPr>
          <w:rFonts w:eastAsia="Arial Unicode MS"/>
          <w:bCs/>
          <w:lang w:eastAsia="fr-FR" w:bidi="he-IL"/>
        </w:rPr>
        <w:t xml:space="preserve">, </w:t>
      </w:r>
      <w:r w:rsidRPr="00C8701B">
        <w:rPr>
          <w:rFonts w:eastAsia="Arial Unicode MS"/>
          <w:bCs/>
          <w:lang w:eastAsia="fr-FR" w:bidi="he-IL"/>
        </w:rPr>
        <w:t xml:space="preserve">ou </w:t>
      </w:r>
      <w:r w:rsidR="003E45BE" w:rsidRPr="003E45BE">
        <w:t>κ</w:t>
      </w:r>
      <w:r w:rsidR="00D62373">
        <w:t>ή</w:t>
      </w:r>
      <w:r w:rsidRPr="003E45BE">
        <w:t>ρ</w:t>
      </w:r>
      <w:r w:rsidR="00D62373">
        <w:t>υ</w:t>
      </w:r>
      <w:r w:rsidRPr="003E45BE">
        <w:t>γμ</w:t>
      </w:r>
      <w:r w:rsidR="00A74F01" w:rsidRPr="003E45BE">
        <w:t>α</w:t>
      </w:r>
      <w:r w:rsidR="00E65435" w:rsidRPr="003E45BE">
        <w:t xml:space="preserve">, </w:t>
      </w:r>
      <w:r w:rsidRPr="003E45BE">
        <w:t xml:space="preserve">comme la </w:t>
      </w:r>
      <w:r w:rsidRPr="00C8701B">
        <w:rPr>
          <w:rFonts w:eastAsia="Arial Unicode MS"/>
          <w:bCs/>
          <w:lang w:eastAsia="fr-FR" w:bidi="he-IL"/>
        </w:rPr>
        <w:t>nomme S. Paul</w:t>
      </w:r>
      <w:r w:rsidR="00933C60" w:rsidRPr="00C406FF">
        <w:rPr>
          <w:rStyle w:val="Appelnotedebasdep"/>
        </w:rPr>
        <w:footnoteReference w:id="238"/>
      </w:r>
      <w:r w:rsidR="00E65435">
        <w:rPr>
          <w:rFonts w:eastAsia="Arial Unicode MS"/>
          <w:bCs/>
          <w:lang w:eastAsia="fr-FR" w:bidi="he-IL"/>
        </w:rPr>
        <w:t xml:space="preserve">, </w:t>
      </w:r>
      <w:r w:rsidRPr="00C8701B">
        <w:rPr>
          <w:rFonts w:eastAsia="Arial Unicode MS"/>
          <w:bCs/>
          <w:lang w:eastAsia="fr-FR" w:bidi="he-IL"/>
        </w:rPr>
        <w:t>s</w:t>
      </w:r>
      <w:r w:rsidR="00557DE0">
        <w:rPr>
          <w:rFonts w:eastAsia="Arial Unicode MS"/>
          <w:bCs/>
          <w:lang w:eastAsia="fr-FR" w:bidi="he-IL"/>
        </w:rPr>
        <w:t>’</w:t>
      </w:r>
      <w:r w:rsidRPr="00C8701B">
        <w:rPr>
          <w:rFonts w:eastAsia="Arial Unicode MS"/>
          <w:bCs/>
          <w:lang w:eastAsia="fr-FR" w:bidi="he-IL"/>
        </w:rPr>
        <w:t>exerça aussitôt après la Pentecôte</w:t>
      </w:r>
      <w:r w:rsidR="00E65435">
        <w:rPr>
          <w:rFonts w:eastAsia="Arial Unicode MS"/>
          <w:bCs/>
          <w:lang w:eastAsia="fr-FR" w:bidi="he-IL"/>
        </w:rPr>
        <w:t xml:space="preserve">, </w:t>
      </w:r>
      <w:r w:rsidRPr="00C8701B">
        <w:rPr>
          <w:rFonts w:eastAsia="Arial Unicode MS"/>
          <w:bCs/>
          <w:lang w:eastAsia="fr-FR" w:bidi="he-IL"/>
        </w:rPr>
        <w:t>selon l</w:t>
      </w:r>
      <w:r w:rsidR="00557DE0">
        <w:rPr>
          <w:rFonts w:eastAsia="Arial Unicode MS"/>
          <w:bCs/>
          <w:lang w:eastAsia="fr-FR" w:bidi="he-IL"/>
        </w:rPr>
        <w:t>’</w:t>
      </w:r>
      <w:r w:rsidRPr="00C8701B">
        <w:rPr>
          <w:rFonts w:eastAsia="Arial Unicode MS"/>
          <w:bCs/>
          <w:lang w:eastAsia="fr-FR" w:bidi="he-IL"/>
        </w:rPr>
        <w:t>ordre du Sauveur lui-même</w:t>
      </w:r>
      <w:r w:rsidR="00933C60" w:rsidRPr="00C406FF">
        <w:rPr>
          <w:rStyle w:val="Appelnotedebasdep"/>
        </w:rPr>
        <w:footnoteReference w:id="239"/>
      </w:r>
      <w:r w:rsidR="00E65435">
        <w:rPr>
          <w:rFonts w:eastAsia="Arial Unicode MS"/>
          <w:bCs/>
          <w:lang w:eastAsia="fr-FR" w:bidi="he-IL"/>
        </w:rPr>
        <w:t xml:space="preserve">, </w:t>
      </w:r>
      <w:r w:rsidRPr="00C8701B">
        <w:rPr>
          <w:rFonts w:eastAsia="Arial Unicode MS"/>
          <w:bCs/>
          <w:lang w:eastAsia="fr-FR" w:bidi="he-IL"/>
        </w:rPr>
        <w:t>et elle répandit peu à peu l</w:t>
      </w:r>
      <w:r w:rsidR="00557DE0">
        <w:rPr>
          <w:rFonts w:eastAsia="Arial Unicode MS"/>
          <w:bCs/>
          <w:lang w:eastAsia="fr-FR" w:bidi="he-IL"/>
        </w:rPr>
        <w:t>’</w:t>
      </w:r>
      <w:r w:rsidRPr="00C8701B">
        <w:rPr>
          <w:rFonts w:eastAsia="Arial Unicode MS"/>
          <w:bCs/>
          <w:lang w:eastAsia="fr-FR" w:bidi="he-IL"/>
        </w:rPr>
        <w:t>évangile dans tout le monde romain.</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Elle était avant tout historique. Nous l</w:t>
      </w:r>
      <w:r w:rsidR="00557DE0">
        <w:rPr>
          <w:rFonts w:eastAsia="Arial Unicode MS"/>
          <w:bCs/>
          <w:lang w:eastAsia="fr-FR" w:bidi="he-IL"/>
        </w:rPr>
        <w:t>’</w:t>
      </w:r>
      <w:r w:rsidRPr="00C8701B">
        <w:rPr>
          <w:rFonts w:eastAsia="Arial Unicode MS"/>
          <w:bCs/>
          <w:lang w:eastAsia="fr-FR" w:bidi="he-IL"/>
        </w:rPr>
        <w:t>avons dit plus haut</w:t>
      </w:r>
      <w:r w:rsidR="00933C60" w:rsidRPr="00C406FF">
        <w:rPr>
          <w:rStyle w:val="Appelnotedebasdep"/>
        </w:rPr>
        <w:footnoteReference w:id="240"/>
      </w:r>
      <w:r w:rsidR="00E65435">
        <w:rPr>
          <w:rFonts w:eastAsia="Arial Unicode MS"/>
          <w:bCs/>
          <w:lang w:eastAsia="fr-FR" w:bidi="he-IL"/>
        </w:rPr>
        <w:t xml:space="preserve">, </w:t>
      </w:r>
      <w:r w:rsidRPr="00C8701B">
        <w:rPr>
          <w:rFonts w:eastAsia="Arial Unicode MS"/>
          <w:bCs/>
          <w:lang w:eastAsia="fr-FR" w:bidi="he-IL"/>
        </w:rPr>
        <w:t>ses principaux éléments consistaient dans les actions</w:t>
      </w:r>
      <w:r w:rsidR="00E65435">
        <w:rPr>
          <w:rFonts w:eastAsia="Arial Unicode MS"/>
          <w:bCs/>
          <w:lang w:eastAsia="fr-FR" w:bidi="he-IL"/>
        </w:rPr>
        <w:t xml:space="preserve">, </w:t>
      </w:r>
      <w:r w:rsidRPr="00C8701B">
        <w:rPr>
          <w:rFonts w:eastAsia="Arial Unicode MS"/>
          <w:bCs/>
          <w:lang w:eastAsia="fr-FR" w:bidi="he-IL"/>
        </w:rPr>
        <w:t>les paroles</w:t>
      </w:r>
      <w:r w:rsidR="00E65435">
        <w:rPr>
          <w:rFonts w:eastAsia="Arial Unicode MS"/>
          <w:bCs/>
          <w:lang w:eastAsia="fr-FR" w:bidi="he-IL"/>
        </w:rPr>
        <w:t xml:space="preserve">, </w:t>
      </w:r>
      <w:r w:rsidRPr="00C8701B">
        <w:rPr>
          <w:rFonts w:eastAsia="Arial Unicode MS"/>
          <w:bCs/>
          <w:lang w:eastAsia="fr-FR" w:bidi="he-IL"/>
        </w:rPr>
        <w:t>les souffrances</w:t>
      </w:r>
      <w:r w:rsidR="00E65435">
        <w:rPr>
          <w:rFonts w:eastAsia="Arial Unicode MS"/>
          <w:bCs/>
          <w:lang w:eastAsia="fr-FR" w:bidi="he-IL"/>
        </w:rPr>
        <w:t xml:space="preserve">, </w:t>
      </w:r>
      <w:r w:rsidRPr="00C8701B">
        <w:rPr>
          <w:rFonts w:eastAsia="Arial Unicode MS"/>
          <w:bCs/>
          <w:lang w:eastAsia="fr-FR" w:bidi="he-IL"/>
        </w:rPr>
        <w:t>la mort et la résurrection de N.-S. Jésus-Christ. Assidue et fréquente</w:t>
      </w:r>
      <w:r w:rsidR="00E65435">
        <w:rPr>
          <w:rFonts w:eastAsia="Arial Unicode MS"/>
          <w:bCs/>
          <w:lang w:eastAsia="fr-FR" w:bidi="he-IL"/>
        </w:rPr>
        <w:t xml:space="preserve">, </w:t>
      </w:r>
      <w:r w:rsidRPr="00C8701B">
        <w:rPr>
          <w:rFonts w:eastAsia="Arial Unicode MS"/>
          <w:bCs/>
          <w:lang w:eastAsia="fr-FR" w:bidi="he-IL"/>
        </w:rPr>
        <w:t>elle dut bientôt prendre une forme arrêtée</w:t>
      </w:r>
      <w:r w:rsidR="00E65435">
        <w:rPr>
          <w:rFonts w:eastAsia="Arial Unicode MS"/>
          <w:bCs/>
          <w:lang w:eastAsia="fr-FR" w:bidi="he-IL"/>
        </w:rPr>
        <w:t xml:space="preserve">, </w:t>
      </w:r>
      <w:r w:rsidRPr="00C8701B">
        <w:rPr>
          <w:rFonts w:eastAsia="Arial Unicode MS"/>
          <w:bCs/>
          <w:lang w:eastAsia="fr-FR" w:bidi="he-IL"/>
        </w:rPr>
        <w:t>et pour l</w:t>
      </w:r>
      <w:r w:rsidR="00557DE0">
        <w:rPr>
          <w:rFonts w:eastAsia="Arial Unicode MS"/>
          <w:bCs/>
          <w:lang w:eastAsia="fr-FR" w:bidi="he-IL"/>
        </w:rPr>
        <w:t>’</w:t>
      </w:r>
      <w:r w:rsidRPr="00C8701B">
        <w:rPr>
          <w:rFonts w:eastAsia="Arial Unicode MS"/>
          <w:bCs/>
          <w:lang w:eastAsia="fr-FR" w:bidi="he-IL"/>
        </w:rPr>
        <w:t>ensemble des faits à exposer</w:t>
      </w:r>
      <w:r w:rsidR="00E65435">
        <w:rPr>
          <w:rFonts w:eastAsia="Arial Unicode MS"/>
          <w:bCs/>
          <w:lang w:eastAsia="fr-FR" w:bidi="he-IL"/>
        </w:rPr>
        <w:t xml:space="preserve">, </w:t>
      </w:r>
      <w:r w:rsidRPr="00C8701B">
        <w:rPr>
          <w:rFonts w:eastAsia="Arial Unicode MS"/>
          <w:bCs/>
          <w:lang w:eastAsia="fr-FR" w:bidi="he-IL"/>
        </w:rPr>
        <w:t>et pour les détails secondaires</w:t>
      </w:r>
      <w:r w:rsidR="00E65435">
        <w:rPr>
          <w:rFonts w:eastAsia="Arial Unicode MS"/>
          <w:bCs/>
          <w:lang w:eastAsia="fr-FR" w:bidi="he-IL"/>
        </w:rPr>
        <w:t xml:space="preserve">, </w:t>
      </w:r>
      <w:r w:rsidRPr="00C8701B">
        <w:rPr>
          <w:rFonts w:eastAsia="Arial Unicode MS"/>
          <w:bCs/>
          <w:lang w:eastAsia="fr-FR" w:bidi="he-IL"/>
        </w:rPr>
        <w:t>et même jusqu</w:t>
      </w:r>
      <w:r w:rsidR="00557DE0">
        <w:rPr>
          <w:rFonts w:eastAsia="Arial Unicode MS"/>
          <w:bCs/>
          <w:lang w:eastAsia="fr-FR" w:bidi="he-IL"/>
        </w:rPr>
        <w:t>’</w:t>
      </w:r>
      <w:r w:rsidRPr="00C8701B">
        <w:rPr>
          <w:rFonts w:eastAsia="Arial Unicode MS"/>
          <w:bCs/>
          <w:lang w:eastAsia="fr-FR" w:bidi="he-IL"/>
        </w:rPr>
        <w:t>à un certain point pour les e</w:t>
      </w:r>
      <w:r w:rsidR="003E45BE">
        <w:rPr>
          <w:rFonts w:eastAsia="Arial Unicode MS"/>
          <w:bCs/>
          <w:lang w:eastAsia="fr-FR" w:bidi="he-IL"/>
        </w:rPr>
        <w:t>xpressions et la diction. En eff</w:t>
      </w:r>
      <w:r w:rsidRPr="00C8701B">
        <w:rPr>
          <w:rFonts w:eastAsia="Arial Unicode MS"/>
          <w:bCs/>
          <w:lang w:eastAsia="fr-FR" w:bidi="he-IL"/>
        </w:rPr>
        <w:t>et</w:t>
      </w:r>
      <w:r w:rsidR="00E65435">
        <w:rPr>
          <w:rFonts w:eastAsia="Arial Unicode MS"/>
          <w:bCs/>
          <w:lang w:eastAsia="fr-FR" w:bidi="he-IL"/>
        </w:rPr>
        <w:t xml:space="preserve">, </w:t>
      </w:r>
      <w:r w:rsidRPr="00C8701B">
        <w:rPr>
          <w:rFonts w:eastAsia="Arial Unicode MS"/>
          <w:bCs/>
          <w:lang w:eastAsia="fr-FR" w:bidi="he-IL"/>
        </w:rPr>
        <w:t>quand un même homme</w:t>
      </w:r>
      <w:r w:rsidR="00E65435">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prédicateur</w:t>
      </w:r>
      <w:r w:rsidR="00E65435">
        <w:rPr>
          <w:rFonts w:eastAsia="Arial Unicode MS"/>
          <w:bCs/>
          <w:lang w:eastAsia="fr-FR" w:bidi="he-IL"/>
        </w:rPr>
        <w:t xml:space="preserve">, </w:t>
      </w:r>
      <w:r w:rsidRPr="00C8701B">
        <w:rPr>
          <w:rFonts w:eastAsia="Arial Unicode MS"/>
          <w:bCs/>
          <w:lang w:eastAsia="fr-FR" w:bidi="he-IL"/>
        </w:rPr>
        <w:t>orateur civil</w:t>
      </w:r>
      <w:r w:rsidR="00E65435">
        <w:rPr>
          <w:rFonts w:eastAsia="Arial Unicode MS"/>
          <w:bCs/>
          <w:lang w:eastAsia="fr-FR" w:bidi="he-IL"/>
        </w:rPr>
        <w:t xml:space="preserve">, </w:t>
      </w:r>
      <w:r w:rsidRPr="00C8701B">
        <w:rPr>
          <w:rFonts w:eastAsia="Arial Unicode MS"/>
          <w:bCs/>
          <w:lang w:eastAsia="fr-FR" w:bidi="he-IL"/>
        </w:rPr>
        <w:t>professeur</w:t>
      </w:r>
      <w:r w:rsidR="00E65435">
        <w:rPr>
          <w:rFonts w:eastAsia="Arial Unicode MS"/>
          <w:bCs/>
          <w:lang w:eastAsia="fr-FR" w:bidi="he-IL"/>
        </w:rPr>
        <w:t xml:space="preserve">, </w:t>
      </w:r>
      <w:r w:rsidRPr="00C8701B">
        <w:rPr>
          <w:rFonts w:eastAsia="Arial Unicode MS"/>
          <w:bCs/>
          <w:lang w:eastAsia="fr-FR" w:bidi="he-IL"/>
        </w:rPr>
        <w:t>cicérone</w:t>
      </w:r>
      <w:r w:rsidR="00E65435">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a souvent à parler des mêmes choses</w:t>
      </w:r>
      <w:r w:rsidR="00E65435">
        <w:rPr>
          <w:rFonts w:eastAsia="Arial Unicode MS"/>
          <w:bCs/>
          <w:lang w:eastAsia="fr-FR" w:bidi="he-IL"/>
        </w:rPr>
        <w:t xml:space="preserve">, </w:t>
      </w:r>
      <w:r w:rsidRPr="00C8701B">
        <w:rPr>
          <w:rFonts w:eastAsia="Arial Unicode MS"/>
          <w:bCs/>
          <w:lang w:eastAsia="fr-FR" w:bidi="he-IL"/>
        </w:rPr>
        <w:t>il ne tarde pas à le faire d</w:t>
      </w:r>
      <w:r w:rsidR="00557DE0">
        <w:rPr>
          <w:rFonts w:eastAsia="Arial Unicode MS"/>
          <w:bCs/>
          <w:lang w:eastAsia="fr-FR" w:bidi="he-IL"/>
        </w:rPr>
        <w:t>’</w:t>
      </w:r>
      <w:r w:rsidRPr="00C8701B">
        <w:rPr>
          <w:rFonts w:eastAsia="Arial Unicode MS"/>
          <w:bCs/>
          <w:lang w:eastAsia="fr-FR" w:bidi="he-IL"/>
        </w:rPr>
        <w:t>après une marche uniforme</w:t>
      </w:r>
      <w:r w:rsidR="00E65435">
        <w:rPr>
          <w:rFonts w:eastAsia="Arial Unicode MS"/>
          <w:bCs/>
          <w:lang w:eastAsia="fr-FR" w:bidi="he-IL"/>
        </w:rPr>
        <w:t xml:space="preserve">, </w:t>
      </w:r>
      <w:r w:rsidRPr="00C8701B">
        <w:rPr>
          <w:rFonts w:eastAsia="Arial Unicode MS"/>
          <w:bCs/>
          <w:lang w:eastAsia="fr-FR" w:bidi="he-IL"/>
        </w:rPr>
        <w:t>et en reproduisant ses premiers récits. Qui n</w:t>
      </w:r>
      <w:r w:rsidR="00557DE0">
        <w:rPr>
          <w:rFonts w:eastAsia="Arial Unicode MS"/>
          <w:bCs/>
          <w:lang w:eastAsia="fr-FR" w:bidi="he-IL"/>
        </w:rPr>
        <w:t>’</w:t>
      </w:r>
      <w:r w:rsidRPr="00C8701B">
        <w:rPr>
          <w:rFonts w:eastAsia="Arial Unicode MS"/>
          <w:bCs/>
          <w:lang w:eastAsia="fr-FR" w:bidi="he-IL"/>
        </w:rPr>
        <w:t>a été témoin vingt fois de ce phénomène</w:t>
      </w:r>
      <w:r w:rsidR="00C2602D" w:rsidRPr="00C8701B">
        <w:rPr>
          <w:rFonts w:eastAsia="Arial Unicode MS"/>
          <w:bCs/>
          <w:lang w:eastAsia="fr-FR" w:bidi="he-IL"/>
        </w:rPr>
        <w:t xml:space="preserve"> ? </w:t>
      </w:r>
    </w:p>
    <w:p w:rsidR="00C2602D" w:rsidRPr="00C8701B" w:rsidRDefault="00B704AD" w:rsidP="00C2602D">
      <w:pPr>
        <w:rPr>
          <w:rFonts w:eastAsia="Arial Unicode MS"/>
          <w:bCs/>
          <w:lang w:eastAsia="fr-FR" w:bidi="he-IL"/>
        </w:rPr>
      </w:pPr>
      <w:r w:rsidRPr="00C8701B">
        <w:rPr>
          <w:rFonts w:eastAsia="Arial Unicode MS"/>
          <w:bCs/>
          <w:lang w:eastAsia="fr-FR" w:bidi="he-IL"/>
        </w:rPr>
        <w:t>Les apôtres avaient</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ailleurs</w:t>
      </w:r>
      <w:r w:rsidR="00E65435">
        <w:rPr>
          <w:rFonts w:eastAsia="Arial Unicode MS"/>
          <w:bCs/>
          <w:lang w:eastAsia="fr-FR" w:bidi="he-IL"/>
        </w:rPr>
        <w:t xml:space="preserve">, </w:t>
      </w:r>
      <w:r w:rsidRPr="00C8701B">
        <w:rPr>
          <w:rFonts w:eastAsia="Arial Unicode MS"/>
          <w:bCs/>
          <w:lang w:eastAsia="fr-FR" w:bidi="he-IL"/>
        </w:rPr>
        <w:t>un grand intérêt à fixer au moins en gros la matière et la forme de la prédication évangélique</w:t>
      </w:r>
      <w:r w:rsidR="00E65435">
        <w:rPr>
          <w:rFonts w:eastAsia="Arial Unicode MS"/>
          <w:bCs/>
          <w:lang w:eastAsia="fr-FR" w:bidi="he-IL"/>
        </w:rPr>
        <w:t xml:space="preserve">, </w:t>
      </w:r>
      <w:r w:rsidRPr="00C8701B">
        <w:rPr>
          <w:rFonts w:eastAsia="Arial Unicode MS"/>
          <w:bCs/>
          <w:lang w:eastAsia="fr-FR" w:bidi="he-IL"/>
        </w:rPr>
        <w:t>pour la mieux inculquer aux missionnaires secondaires qu</w:t>
      </w:r>
      <w:r w:rsidR="00557DE0">
        <w:rPr>
          <w:rFonts w:eastAsia="Arial Unicode MS"/>
          <w:bCs/>
          <w:lang w:eastAsia="fr-FR" w:bidi="he-IL"/>
        </w:rPr>
        <w:t>’</w:t>
      </w:r>
      <w:r w:rsidRPr="00C8701B">
        <w:rPr>
          <w:rFonts w:eastAsia="Arial Unicode MS"/>
          <w:bCs/>
          <w:lang w:eastAsia="fr-FR" w:bidi="he-IL"/>
        </w:rPr>
        <w:t>ils envoyaient dans toutes les directions. Nous disons</w:t>
      </w:r>
      <w:r w:rsidR="00C2602D" w:rsidRPr="00C8701B">
        <w:rPr>
          <w:rFonts w:eastAsia="Arial Unicode MS"/>
          <w:bCs/>
          <w:lang w:eastAsia="fr-FR" w:bidi="he-IL"/>
        </w:rPr>
        <w:t> :</w:t>
      </w:r>
      <w:r w:rsidR="00CE11E9">
        <w:rPr>
          <w:rFonts w:eastAsia="Arial Unicode MS"/>
          <w:bCs/>
          <w:lang w:eastAsia="fr-FR" w:bidi="he-IL"/>
        </w:rPr>
        <w:t xml:space="preserve"> </w:t>
      </w:r>
      <w:r w:rsidR="00F12048" w:rsidRPr="00C8701B">
        <w:rPr>
          <w:rFonts w:eastAsia="Arial Unicode MS"/>
          <w:bCs/>
          <w:lang w:eastAsia="fr-FR" w:bidi="he-IL"/>
        </w:rPr>
        <w:t>« </w:t>
      </w:r>
      <w:r w:rsidRPr="00C8701B">
        <w:rPr>
          <w:rFonts w:eastAsia="Arial Unicode MS"/>
          <w:bCs/>
          <w:lang w:eastAsia="fr-FR" w:bidi="he-IL"/>
        </w:rPr>
        <w:t>au moins en gro</w:t>
      </w:r>
      <w:r w:rsidR="003E45BE">
        <w:rPr>
          <w:rFonts w:eastAsia="Arial Unicode MS"/>
          <w:bCs/>
          <w:lang w:eastAsia="fr-FR" w:bidi="he-IL"/>
        </w:rPr>
        <w:t>s », c</w:t>
      </w:r>
      <w:r w:rsidRPr="00C8701B">
        <w:rPr>
          <w:rFonts w:eastAsia="Arial Unicode MS"/>
          <w:bCs/>
          <w:lang w:eastAsia="fr-FR" w:bidi="he-IL"/>
        </w:rPr>
        <w:t>ar le D</w:t>
      </w:r>
      <w:r w:rsidRPr="00C8701B">
        <w:rPr>
          <w:rFonts w:eastAsia="Arial Unicode MS"/>
          <w:bCs/>
          <w:vertAlign w:val="superscript"/>
          <w:lang w:eastAsia="fr-FR" w:bidi="he-IL"/>
        </w:rPr>
        <w:t>r</w:t>
      </w:r>
      <w:r w:rsidRPr="00C8701B">
        <w:rPr>
          <w:rFonts w:eastAsia="Arial Unicode MS"/>
          <w:bCs/>
          <w:lang w:eastAsia="fr-FR" w:bidi="he-IL"/>
        </w:rPr>
        <w:t xml:space="preserve"> Gieseler</w:t>
      </w:r>
      <w:r w:rsidR="00E65435">
        <w:rPr>
          <w:rFonts w:eastAsia="Arial Unicode MS"/>
          <w:bCs/>
          <w:lang w:eastAsia="fr-FR" w:bidi="he-IL"/>
        </w:rPr>
        <w:t xml:space="preserve">, </w:t>
      </w:r>
      <w:r w:rsidRPr="00C8701B">
        <w:rPr>
          <w:rFonts w:eastAsia="Arial Unicode MS"/>
          <w:bCs/>
          <w:lang w:eastAsia="fr-FR" w:bidi="he-IL"/>
        </w:rPr>
        <w:t>et d</w:t>
      </w:r>
      <w:r w:rsidR="00557DE0">
        <w:rPr>
          <w:rFonts w:eastAsia="Arial Unicode MS"/>
          <w:bCs/>
          <w:lang w:eastAsia="fr-FR" w:bidi="he-IL"/>
        </w:rPr>
        <w:t>’</w:t>
      </w:r>
      <w:r w:rsidR="003E45BE">
        <w:rPr>
          <w:rFonts w:eastAsia="Arial Unicode MS"/>
          <w:bCs/>
          <w:lang w:eastAsia="fr-FR" w:bidi="he-IL"/>
        </w:rPr>
        <w:t>autre</w:t>
      </w:r>
      <w:r w:rsidRPr="00C8701B">
        <w:rPr>
          <w:rFonts w:eastAsia="Arial Unicode MS"/>
          <w:bCs/>
          <w:lang w:eastAsia="fr-FR" w:bidi="he-IL"/>
        </w:rPr>
        <w:t>s à sa suite</w:t>
      </w:r>
      <w:r w:rsidR="00E65435">
        <w:rPr>
          <w:rFonts w:eastAsia="Arial Unicode MS"/>
          <w:bCs/>
          <w:lang w:eastAsia="fr-FR" w:bidi="he-IL"/>
        </w:rPr>
        <w:t xml:space="preserve">, </w:t>
      </w:r>
      <w:r w:rsidRPr="00C8701B">
        <w:rPr>
          <w:rFonts w:eastAsia="Arial Unicode MS"/>
          <w:bCs/>
          <w:lang w:eastAsia="fr-FR" w:bidi="he-IL"/>
        </w:rPr>
        <w:t>ont beaucoup exagéré</w:t>
      </w:r>
      <w:r w:rsidR="00E65435">
        <w:rPr>
          <w:rFonts w:eastAsia="Arial Unicode MS"/>
          <w:bCs/>
          <w:lang w:eastAsia="fr-FR" w:bidi="he-IL"/>
        </w:rPr>
        <w:t xml:space="preserve">, </w:t>
      </w:r>
      <w:r w:rsidRPr="00C8701B">
        <w:rPr>
          <w:rFonts w:eastAsia="Arial Unicode MS"/>
          <w:bCs/>
          <w:lang w:eastAsia="fr-FR" w:bidi="he-IL"/>
        </w:rPr>
        <w:t>en prétendant qu</w:t>
      </w:r>
      <w:r w:rsidR="003E45BE">
        <w:rPr>
          <w:rFonts w:eastAsia="Arial Unicode MS"/>
          <w:bCs/>
          <w:lang w:eastAsia="fr-FR" w:bidi="he-IL"/>
        </w:rPr>
        <w:t>e « l</w:t>
      </w:r>
      <w:r w:rsidRPr="00C8701B">
        <w:rPr>
          <w:rFonts w:eastAsia="Arial Unicode MS"/>
          <w:bCs/>
          <w:lang w:eastAsia="fr-FR" w:bidi="he-IL"/>
        </w:rPr>
        <w:t>a tradition primitive avait été fixée d</w:t>
      </w:r>
      <w:r w:rsidR="00557DE0">
        <w:rPr>
          <w:rFonts w:eastAsia="Arial Unicode MS"/>
          <w:bCs/>
          <w:lang w:eastAsia="fr-FR" w:bidi="he-IL"/>
        </w:rPr>
        <w:t>’</w:t>
      </w:r>
      <w:r w:rsidRPr="00C8701B">
        <w:rPr>
          <w:rFonts w:eastAsia="Arial Unicode MS"/>
          <w:bCs/>
          <w:lang w:eastAsia="fr-FR" w:bidi="he-IL"/>
        </w:rPr>
        <w:t>autorité</w:t>
      </w:r>
      <w:r w:rsidR="00E65435">
        <w:rPr>
          <w:rFonts w:eastAsia="Arial Unicode MS"/>
          <w:bCs/>
          <w:lang w:eastAsia="fr-FR" w:bidi="he-IL"/>
        </w:rPr>
        <w:t xml:space="preserve">, </w:t>
      </w:r>
      <w:r w:rsidRPr="00C8701B">
        <w:rPr>
          <w:rFonts w:eastAsia="Arial Unicode MS"/>
          <w:bCs/>
          <w:lang w:eastAsia="fr-FR" w:bidi="he-IL"/>
        </w:rPr>
        <w:t>et qu</w:t>
      </w:r>
      <w:r w:rsidR="00557DE0">
        <w:rPr>
          <w:rFonts w:eastAsia="Arial Unicode MS"/>
          <w:bCs/>
          <w:lang w:eastAsia="fr-FR" w:bidi="he-IL"/>
        </w:rPr>
        <w:t>’</w:t>
      </w:r>
      <w:r w:rsidRPr="00C8701B">
        <w:rPr>
          <w:rFonts w:eastAsia="Arial Unicode MS"/>
          <w:bCs/>
          <w:lang w:eastAsia="fr-FR" w:bidi="he-IL"/>
        </w:rPr>
        <w:t>elle était devenue le catéchisme obligatoire des missionnaires du texte apostolique</w:t>
      </w:r>
      <w:r w:rsidR="00C2602D" w:rsidRPr="00C8701B">
        <w:rPr>
          <w:rFonts w:eastAsia="Arial Unicode MS"/>
          <w:bCs/>
          <w:lang w:eastAsia="fr-FR" w:bidi="he-IL"/>
        </w:rPr>
        <w:t> »</w:t>
      </w:r>
      <w:r w:rsidR="00933C60" w:rsidRPr="00C406FF">
        <w:rPr>
          <w:rStyle w:val="Appelnotedebasdep"/>
        </w:rPr>
        <w:footnoteReference w:id="241"/>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D62373">
      <w:pPr>
        <w:rPr>
          <w:rFonts w:eastAsia="Arial Unicode MS"/>
          <w:bCs/>
          <w:lang w:eastAsia="fr-FR" w:bidi="he-IL"/>
        </w:rPr>
      </w:pPr>
      <w:r w:rsidRPr="00C8701B">
        <w:rPr>
          <w:rFonts w:eastAsia="Arial Unicode MS"/>
          <w:bCs/>
          <w:lang w:eastAsia="fr-FR" w:bidi="he-IL"/>
        </w:rPr>
        <w:t>Ainsi se forma</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abord en syro-chaldéen pour les juifs de Palestine</w:t>
      </w:r>
      <w:r w:rsidR="00E65435">
        <w:rPr>
          <w:rFonts w:eastAsia="Arial Unicode MS"/>
          <w:bCs/>
          <w:lang w:eastAsia="fr-FR" w:bidi="he-IL"/>
        </w:rPr>
        <w:t xml:space="preserve">, </w:t>
      </w:r>
      <w:r w:rsidRPr="00C8701B">
        <w:rPr>
          <w:rFonts w:eastAsia="Arial Unicode MS"/>
          <w:bCs/>
          <w:lang w:eastAsia="fr-FR" w:bidi="he-IL"/>
        </w:rPr>
        <w:t>puis en grec pour les juifs dits hellénistiques</w:t>
      </w:r>
      <w:r w:rsidR="00E65435">
        <w:rPr>
          <w:rFonts w:eastAsia="Arial Unicode MS"/>
          <w:bCs/>
          <w:lang w:eastAsia="fr-FR" w:bidi="he-IL"/>
        </w:rPr>
        <w:t xml:space="preserve">, </w:t>
      </w:r>
      <w:r w:rsidRPr="00C8701B">
        <w:rPr>
          <w:rFonts w:eastAsia="Arial Unicode MS"/>
          <w:bCs/>
          <w:lang w:eastAsia="fr-FR" w:bidi="he-IL"/>
        </w:rPr>
        <w:t>puis encore en grec</w:t>
      </w:r>
      <w:r w:rsidR="00E65435">
        <w:rPr>
          <w:rFonts w:eastAsia="Arial Unicode MS"/>
          <w:bCs/>
          <w:lang w:eastAsia="fr-FR" w:bidi="he-IL"/>
        </w:rPr>
        <w:t xml:space="preserve">, </w:t>
      </w:r>
      <w:r w:rsidRPr="00C8701B">
        <w:rPr>
          <w:rFonts w:eastAsia="Arial Unicode MS"/>
          <w:bCs/>
          <w:lang w:eastAsia="fr-FR" w:bidi="he-IL"/>
        </w:rPr>
        <w:t xml:space="preserve">mais avec des remaniements pour les </w:t>
      </w:r>
      <w:r w:rsidRPr="00795B48">
        <w:t>païens</w:t>
      </w:r>
      <w:r w:rsidR="00E65435" w:rsidRPr="00795B48">
        <w:t xml:space="preserve">, </w:t>
      </w:r>
      <w:r w:rsidRPr="00795B48">
        <w:t>une π</w:t>
      </w:r>
      <w:r w:rsidR="00A74F01" w:rsidRPr="00795B48">
        <w:t>α</w:t>
      </w:r>
      <w:r w:rsidRPr="00795B48">
        <w:t>ρ</w:t>
      </w:r>
      <w:r w:rsidR="00CD3C57">
        <w:t>ά</w:t>
      </w:r>
      <w:r w:rsidR="00795B48" w:rsidRPr="00795B48">
        <w:t>δ</w:t>
      </w:r>
      <w:r w:rsidRPr="00795B48">
        <w:t xml:space="preserve">οσις (tradition orale) assez fixe. Les </w:t>
      </w:r>
      <w:r w:rsidR="00795B48" w:rsidRPr="00795B48">
        <w:t>π</w:t>
      </w:r>
      <w:r w:rsidR="00D62373">
        <w:t>ολλοί</w:t>
      </w:r>
      <w:r w:rsidRPr="00795B48">
        <w:t xml:space="preserve"> dont parle S. Luc dans son </w:t>
      </w:r>
      <w:r w:rsidRPr="00C8701B">
        <w:rPr>
          <w:rFonts w:eastAsia="Arial Unicode MS"/>
          <w:bCs/>
          <w:lang w:eastAsia="fr-FR" w:bidi="he-IL"/>
        </w:rPr>
        <w:t>prologue</w:t>
      </w:r>
      <w:r w:rsidR="00933C60" w:rsidRPr="00C406FF">
        <w:rPr>
          <w:rStyle w:val="Appelnotedebasdep"/>
        </w:rPr>
        <w:footnoteReference w:id="242"/>
      </w:r>
      <w:r w:rsidRPr="00C8701B">
        <w:rPr>
          <w:rFonts w:eastAsia="Arial Unicode MS"/>
          <w:bCs/>
          <w:lang w:eastAsia="fr-FR" w:bidi="he-IL"/>
        </w:rPr>
        <w:t xml:space="preserve"> la fixèrent davantage encore</w:t>
      </w:r>
      <w:r w:rsidR="00E65435">
        <w:rPr>
          <w:rFonts w:eastAsia="Arial Unicode MS"/>
          <w:bCs/>
          <w:lang w:eastAsia="fr-FR" w:bidi="he-IL"/>
        </w:rPr>
        <w:t xml:space="preserve">, </w:t>
      </w:r>
      <w:r w:rsidRPr="00C8701B">
        <w:rPr>
          <w:rFonts w:eastAsia="Arial Unicode MS"/>
          <w:bCs/>
          <w:lang w:eastAsia="fr-FR" w:bidi="he-IL"/>
        </w:rPr>
        <w:t>lorsqu</w:t>
      </w:r>
      <w:r w:rsidR="00557DE0">
        <w:rPr>
          <w:rFonts w:eastAsia="Arial Unicode MS"/>
          <w:bCs/>
          <w:lang w:eastAsia="fr-FR" w:bidi="he-IL"/>
        </w:rPr>
        <w:t>’</w:t>
      </w:r>
      <w:r w:rsidRPr="00C8701B">
        <w:rPr>
          <w:rFonts w:eastAsia="Arial Unicode MS"/>
          <w:bCs/>
          <w:lang w:eastAsia="fr-FR" w:bidi="he-IL"/>
        </w:rPr>
        <w:t>ils en consignèrent différentes portions par écrit</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les évangélistes canoniques firent le reste.</w:t>
      </w:r>
      <w:r w:rsidR="00C2602D" w:rsidRPr="00C8701B">
        <w:rPr>
          <w:rFonts w:eastAsia="Arial Unicode MS"/>
          <w:bCs/>
          <w:lang w:eastAsia="fr-FR" w:bidi="he-IL"/>
        </w:rPr>
        <w:t xml:space="preserve"> </w:t>
      </w:r>
    </w:p>
    <w:p w:rsidR="00C2602D" w:rsidRPr="00C8701B" w:rsidRDefault="00835131" w:rsidP="00C2602D">
      <w:pPr>
        <w:rPr>
          <w:rFonts w:eastAsia="Arial Unicode MS"/>
          <w:bCs/>
          <w:lang w:eastAsia="fr-FR" w:bidi="he-IL"/>
        </w:rPr>
      </w:pPr>
      <w:r>
        <w:rPr>
          <w:rFonts w:eastAsia="Arial Unicode MS"/>
          <w:bCs/>
          <w:lang w:eastAsia="fr-FR" w:bidi="he-IL"/>
        </w:rPr>
        <w:t>V</w:t>
      </w:r>
      <w:r w:rsidR="00B704AD" w:rsidRPr="00C8701B">
        <w:rPr>
          <w:rFonts w:eastAsia="Arial Unicode MS"/>
          <w:bCs/>
          <w:lang w:eastAsia="fr-FR" w:bidi="he-IL"/>
        </w:rPr>
        <w:t>.</w:t>
      </w:r>
      <w:bookmarkStart w:id="80" w:name="evin070205"/>
      <w:bookmarkEnd w:id="80"/>
      <w:r w:rsidR="000F7DAA">
        <w:rPr>
          <w:rFonts w:eastAsia="Arial Unicode MS"/>
          <w:bCs/>
          <w:lang w:eastAsia="fr-FR" w:bidi="he-IL"/>
        </w:rPr>
        <w:t xml:space="preserve"> —</w:t>
      </w:r>
      <w:r w:rsidR="008D0642">
        <w:rPr>
          <w:rFonts w:eastAsia="Arial Unicode MS"/>
          <w:bCs/>
          <w:lang w:eastAsia="fr-FR" w:bidi="he-IL"/>
        </w:rPr>
        <w:t xml:space="preserve"> </w:t>
      </w:r>
      <w:r w:rsidR="00B704AD" w:rsidRPr="00DC4586">
        <w:rPr>
          <w:rStyle w:val="italicus"/>
        </w:rPr>
        <w:t>Examen des systèmes.</w:t>
      </w:r>
      <w:r w:rsidR="000F7DAA">
        <w:rPr>
          <w:rFonts w:eastAsia="Arial Unicode MS"/>
          <w:bCs/>
          <w:lang w:eastAsia="fr-FR" w:bidi="he-IL"/>
        </w:rPr>
        <w:t xml:space="preserve"> —</w:t>
      </w:r>
      <w:r w:rsidR="008D0642">
        <w:rPr>
          <w:rFonts w:eastAsia="Arial Unicode MS"/>
          <w:bCs/>
          <w:lang w:eastAsia="fr-FR" w:bidi="he-IL"/>
        </w:rPr>
        <w:t xml:space="preserve"> </w:t>
      </w:r>
      <w:r w:rsidR="00B704AD" w:rsidRPr="00C8701B">
        <w:rPr>
          <w:rFonts w:eastAsia="Arial Unicode MS"/>
          <w:bCs/>
          <w:lang w:eastAsia="fr-FR" w:bidi="he-IL"/>
        </w:rPr>
        <w:t>Rappelons d</w:t>
      </w:r>
      <w:r w:rsidR="00557DE0">
        <w:rPr>
          <w:rFonts w:eastAsia="Arial Unicode MS"/>
          <w:bCs/>
          <w:lang w:eastAsia="fr-FR" w:bidi="he-IL"/>
        </w:rPr>
        <w:t>’</w:t>
      </w:r>
      <w:r w:rsidR="00B704AD" w:rsidRPr="00C8701B">
        <w:rPr>
          <w:rFonts w:eastAsia="Arial Unicode MS"/>
          <w:bCs/>
          <w:lang w:eastAsia="fr-FR" w:bidi="he-IL"/>
        </w:rPr>
        <w:t>abord le principe cité plus haut</w:t>
      </w:r>
      <w:r w:rsidR="00933C60" w:rsidRPr="00C406FF">
        <w:rPr>
          <w:rStyle w:val="Appelnotedebasdep"/>
        </w:rPr>
        <w:footnoteReference w:id="243"/>
      </w:r>
      <w:r w:rsidR="00C2602D" w:rsidRPr="00C8701B">
        <w:rPr>
          <w:rFonts w:eastAsia="Arial Unicode MS"/>
          <w:bCs/>
          <w:lang w:eastAsia="fr-FR" w:bidi="he-IL"/>
        </w:rPr>
        <w:t> :</w:t>
      </w:r>
      <w:r w:rsidR="00B704AD" w:rsidRPr="00C8701B">
        <w:rPr>
          <w:rFonts w:eastAsia="Arial Unicode MS"/>
          <w:bCs/>
          <w:lang w:eastAsia="fr-FR" w:bidi="he-IL"/>
        </w:rPr>
        <w:t xml:space="preserve"> on ne peut se lancer dans l</w:t>
      </w:r>
      <w:r w:rsidR="00557DE0">
        <w:rPr>
          <w:rFonts w:eastAsia="Arial Unicode MS"/>
          <w:bCs/>
          <w:lang w:eastAsia="fr-FR" w:bidi="he-IL"/>
        </w:rPr>
        <w:t>’</w:t>
      </w:r>
      <w:r w:rsidR="00B704AD" w:rsidRPr="00C8701B">
        <w:rPr>
          <w:rFonts w:eastAsia="Arial Unicode MS"/>
          <w:bCs/>
          <w:lang w:eastAsia="fr-FR" w:bidi="he-IL"/>
        </w:rPr>
        <w:t>étude de cette question délicate avec quelque espoir de la trancher convenablement</w:t>
      </w:r>
      <w:r w:rsidR="00E65435">
        <w:rPr>
          <w:rFonts w:eastAsia="Arial Unicode MS"/>
          <w:bCs/>
          <w:lang w:eastAsia="fr-FR" w:bidi="he-IL"/>
        </w:rPr>
        <w:t xml:space="preserve">, </w:t>
      </w:r>
      <w:r w:rsidR="00B704AD" w:rsidRPr="00C8701B">
        <w:rPr>
          <w:rFonts w:eastAsia="Arial Unicode MS"/>
          <w:bCs/>
          <w:lang w:eastAsia="fr-FR" w:bidi="he-IL"/>
        </w:rPr>
        <w:t>qu</w:t>
      </w:r>
      <w:r w:rsidR="00557DE0">
        <w:rPr>
          <w:rFonts w:eastAsia="Arial Unicode MS"/>
          <w:bCs/>
          <w:lang w:eastAsia="fr-FR" w:bidi="he-IL"/>
        </w:rPr>
        <w:t>’</w:t>
      </w:r>
      <w:r w:rsidR="00B704AD" w:rsidRPr="00C8701B">
        <w:rPr>
          <w:rFonts w:eastAsia="Arial Unicode MS"/>
          <w:bCs/>
          <w:lang w:eastAsia="fr-FR" w:bidi="he-IL"/>
        </w:rPr>
        <w:t>à la condition expresse de ne pas quitter le domaine de l</w:t>
      </w:r>
      <w:r w:rsidR="00557DE0">
        <w:rPr>
          <w:rFonts w:eastAsia="Arial Unicode MS"/>
          <w:bCs/>
          <w:lang w:eastAsia="fr-FR" w:bidi="he-IL"/>
        </w:rPr>
        <w:t>’</w:t>
      </w:r>
      <w:r w:rsidR="00B704AD" w:rsidRPr="00C8701B">
        <w:rPr>
          <w:rFonts w:eastAsia="Arial Unicode MS"/>
          <w:bCs/>
          <w:lang w:eastAsia="fr-FR" w:bidi="he-IL"/>
        </w:rPr>
        <w:t>histoire.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1. Le</w:t>
      </w:r>
      <w:r w:rsidRPr="00DC4586">
        <w:rPr>
          <w:rStyle w:val="italicus"/>
        </w:rPr>
        <w:t xml:space="preserve"> premier système</w:t>
      </w:r>
      <w:r w:rsidRPr="00C8701B">
        <w:rPr>
          <w:rFonts w:eastAsia="Arial Unicode MS"/>
          <w:bCs/>
          <w:lang w:eastAsia="fr-FR" w:bidi="he-IL"/>
        </w:rPr>
        <w:t xml:space="preserve"> a précisément contre lui</w:t>
      </w:r>
      <w:r w:rsidR="00C2602D" w:rsidRPr="00C8701B">
        <w:rPr>
          <w:rFonts w:eastAsia="Arial Unicode MS"/>
          <w:bCs/>
          <w:lang w:eastAsia="fr-FR" w:bidi="he-IL"/>
        </w:rPr>
        <w:t> :</w:t>
      </w:r>
      <w:r w:rsidRPr="00C8701B">
        <w:rPr>
          <w:rFonts w:eastAsia="Arial Unicode MS"/>
          <w:bCs/>
          <w:lang w:eastAsia="fr-FR" w:bidi="he-IL"/>
        </w:rPr>
        <w:t xml:space="preserve"> 1° le manque d</w:t>
      </w:r>
      <w:r w:rsidR="00557DE0">
        <w:rPr>
          <w:rFonts w:eastAsia="Arial Unicode MS"/>
          <w:bCs/>
          <w:lang w:eastAsia="fr-FR" w:bidi="he-IL"/>
        </w:rPr>
        <w:t>’</w:t>
      </w:r>
      <w:r w:rsidRPr="00C8701B">
        <w:rPr>
          <w:rFonts w:eastAsia="Arial Unicode MS"/>
          <w:bCs/>
          <w:lang w:eastAsia="fr-FR" w:bidi="he-IL"/>
        </w:rPr>
        <w:t xml:space="preserve">une base historique sérieuse. </w:t>
      </w:r>
      <w:r w:rsidR="00A067B1" w:rsidRPr="000716BB">
        <w:rPr>
          <w:rFonts w:eastAsia="Arial Unicode MS"/>
          <w:bCs/>
          <w:lang w:eastAsia="fr-FR" w:bidi="he-IL"/>
        </w:rPr>
        <w:t>{</w:t>
      </w:r>
      <w:r w:rsidR="00A067B1">
        <w:rPr>
          <w:rFonts w:eastAsia="Arial Unicode MS"/>
          <w:bCs/>
          <w:lang w:eastAsia="fr-FR" w:bidi="he-IL"/>
        </w:rPr>
        <w:t>47</w:t>
      </w:r>
      <w:bookmarkStart w:id="81" w:name="pag047"/>
      <w:bookmarkEnd w:id="81"/>
      <w:r w:rsidR="00A067B1" w:rsidRPr="000716BB">
        <w:rPr>
          <w:rFonts w:eastAsia="Arial Unicode MS"/>
          <w:bCs/>
          <w:lang w:eastAsia="fr-FR" w:bidi="he-IL"/>
        </w:rPr>
        <w:t xml:space="preserve">} </w:t>
      </w:r>
      <w:r w:rsidRPr="00C8701B">
        <w:rPr>
          <w:rFonts w:eastAsia="Arial Unicode MS"/>
          <w:bCs/>
          <w:lang w:eastAsia="fr-FR" w:bidi="he-IL"/>
        </w:rPr>
        <w:t>On a pourtant essayé</w:t>
      </w:r>
      <w:r w:rsidR="00E65435">
        <w:rPr>
          <w:rFonts w:eastAsia="Arial Unicode MS"/>
          <w:bCs/>
          <w:lang w:eastAsia="fr-FR" w:bidi="he-IL"/>
        </w:rPr>
        <w:t xml:space="preserve">, </w:t>
      </w:r>
      <w:r w:rsidR="00D62373">
        <w:t>avec</w:t>
      </w:r>
      <w:r w:rsidRPr="00795B48">
        <w:t xml:space="preserve"> un grand déploiement d</w:t>
      </w:r>
      <w:r w:rsidR="00557DE0">
        <w:t>’</w:t>
      </w:r>
      <w:r w:rsidRPr="00795B48">
        <w:t>érudition</w:t>
      </w:r>
      <w:r w:rsidR="00E65435" w:rsidRPr="00795B48">
        <w:t xml:space="preserve">, </w:t>
      </w:r>
      <w:r w:rsidRPr="00795B48">
        <w:t xml:space="preserve">de </w:t>
      </w:r>
      <w:r w:rsidRPr="00C8701B">
        <w:rPr>
          <w:rFonts w:eastAsia="Arial Unicode MS"/>
          <w:bCs/>
          <w:lang w:eastAsia="fr-FR" w:bidi="he-IL"/>
        </w:rPr>
        <w:t>lui trouver des partisans chez les Pères et au moyen-âge</w:t>
      </w:r>
      <w:r w:rsidR="00E65435">
        <w:rPr>
          <w:rFonts w:eastAsia="Arial Unicode MS"/>
          <w:bCs/>
          <w:lang w:eastAsia="fr-FR" w:bidi="he-IL"/>
        </w:rPr>
        <w:t xml:space="preserve">, </w:t>
      </w:r>
      <w:r w:rsidRPr="00C8701B">
        <w:rPr>
          <w:rFonts w:eastAsia="Arial Unicode MS"/>
          <w:bCs/>
          <w:lang w:eastAsia="fr-FR" w:bidi="he-IL"/>
        </w:rPr>
        <w:t>longtemps avant qu</w:t>
      </w:r>
      <w:r w:rsidR="00557DE0">
        <w:rPr>
          <w:rFonts w:eastAsia="Arial Unicode MS"/>
          <w:bCs/>
          <w:lang w:eastAsia="fr-FR" w:bidi="he-IL"/>
        </w:rPr>
        <w:t>’</w:t>
      </w:r>
      <w:r w:rsidR="00795B48">
        <w:rPr>
          <w:rFonts w:eastAsia="Arial Unicode MS"/>
          <w:bCs/>
          <w:lang w:eastAsia="fr-FR" w:bidi="he-IL"/>
        </w:rPr>
        <w:t>il fût</w:t>
      </w:r>
      <w:r w:rsidRPr="00C8701B">
        <w:rPr>
          <w:rFonts w:eastAsia="Arial Unicode MS"/>
          <w:bCs/>
          <w:lang w:eastAsia="fr-FR" w:bidi="he-IL"/>
        </w:rPr>
        <w:t xml:space="preserve"> de mode de s</w:t>
      </w:r>
      <w:r w:rsidR="00557DE0">
        <w:rPr>
          <w:rFonts w:eastAsia="Arial Unicode MS"/>
          <w:bCs/>
          <w:lang w:eastAsia="fr-FR" w:bidi="he-IL"/>
        </w:rPr>
        <w:t>’</w:t>
      </w:r>
      <w:r w:rsidRPr="00C8701B">
        <w:rPr>
          <w:rFonts w:eastAsia="Arial Unicode MS"/>
          <w:bCs/>
          <w:lang w:eastAsia="fr-FR" w:bidi="he-IL"/>
        </w:rPr>
        <w:t>occuper</w:t>
      </w:r>
      <w:r w:rsidRPr="00DC4586">
        <w:rPr>
          <w:rStyle w:val="italicus"/>
        </w:rPr>
        <w:t xml:space="preserve"> ex professo </w:t>
      </w:r>
      <w:r w:rsidRPr="00C8701B">
        <w:rPr>
          <w:rFonts w:eastAsia="Arial Unicode MS"/>
          <w:bCs/>
          <w:lang w:eastAsia="fr-FR" w:bidi="he-IL"/>
        </w:rPr>
        <w:t>des rapports mutuels des synoptiques</w:t>
      </w:r>
      <w:r w:rsidR="00933C60" w:rsidRPr="00C406FF">
        <w:rPr>
          <w:rStyle w:val="Appelnotedebasdep"/>
        </w:rPr>
        <w:footnoteReference w:id="244"/>
      </w:r>
      <w:r w:rsidRPr="00C8701B">
        <w:rPr>
          <w:rFonts w:eastAsia="Arial Unicode MS"/>
          <w:bCs/>
          <w:lang w:eastAsia="fr-FR" w:bidi="he-IL"/>
        </w:rPr>
        <w:t>. C</w:t>
      </w:r>
      <w:r w:rsidR="00557DE0">
        <w:rPr>
          <w:rFonts w:eastAsia="Arial Unicode MS"/>
          <w:bCs/>
          <w:lang w:eastAsia="fr-FR" w:bidi="he-IL"/>
        </w:rPr>
        <w:t>’</w:t>
      </w:r>
      <w:r w:rsidRPr="00C8701B">
        <w:rPr>
          <w:rFonts w:eastAsia="Arial Unicode MS"/>
          <w:bCs/>
          <w:lang w:eastAsia="fr-FR" w:bidi="he-IL"/>
        </w:rPr>
        <w:t>est ainsi qu</w:t>
      </w:r>
      <w:r w:rsidR="00557DE0">
        <w:rPr>
          <w:rFonts w:eastAsia="Arial Unicode MS"/>
          <w:bCs/>
          <w:lang w:eastAsia="fr-FR" w:bidi="he-IL"/>
        </w:rPr>
        <w:t>’</w:t>
      </w:r>
      <w:r w:rsidRPr="00C8701B">
        <w:rPr>
          <w:rFonts w:eastAsia="Arial Unicode MS"/>
          <w:bCs/>
          <w:lang w:eastAsia="fr-FR" w:bidi="he-IL"/>
        </w:rPr>
        <w:t>ont été allégués divers passages de Victor d</w:t>
      </w:r>
      <w:r w:rsidR="00557DE0">
        <w:rPr>
          <w:rFonts w:eastAsia="Arial Unicode MS"/>
          <w:bCs/>
          <w:lang w:eastAsia="fr-FR" w:bidi="he-IL"/>
        </w:rPr>
        <w:t>’</w:t>
      </w:r>
      <w:r w:rsidRPr="00C8701B">
        <w:rPr>
          <w:rFonts w:eastAsia="Arial Unicode MS"/>
          <w:bCs/>
          <w:lang w:eastAsia="fr-FR" w:bidi="he-IL"/>
        </w:rPr>
        <w:t>Antioche</w:t>
      </w:r>
      <w:r w:rsidR="00933C60" w:rsidRPr="00C406FF">
        <w:rPr>
          <w:rStyle w:val="Appelnotedebasdep"/>
        </w:rPr>
        <w:footnoteReference w:id="245"/>
      </w:r>
      <w:r w:rsidR="00E65435">
        <w:rPr>
          <w:rFonts w:eastAsia="Arial Unicode MS"/>
          <w:bCs/>
          <w:lang w:eastAsia="fr-FR" w:bidi="he-IL"/>
        </w:rPr>
        <w:t xml:space="preserve">, </w:t>
      </w:r>
      <w:r w:rsidRPr="00C8701B">
        <w:rPr>
          <w:rFonts w:eastAsia="Arial Unicode MS"/>
          <w:bCs/>
          <w:lang w:eastAsia="fr-FR" w:bidi="he-IL"/>
        </w:rPr>
        <w:t xml:space="preserve">de S. </w:t>
      </w:r>
      <w:r w:rsidR="00D62373" w:rsidRPr="00C8701B">
        <w:rPr>
          <w:rFonts w:eastAsia="Arial Unicode MS"/>
          <w:bCs/>
          <w:lang w:eastAsia="fr-FR" w:bidi="he-IL"/>
        </w:rPr>
        <w:t>Épiphane</w:t>
      </w:r>
      <w:r w:rsidR="00933C60" w:rsidRPr="00C406FF">
        <w:rPr>
          <w:rStyle w:val="Appelnotedebasdep"/>
        </w:rPr>
        <w:footnoteReference w:id="246"/>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Origène</w:t>
      </w:r>
      <w:r w:rsidR="00933C60" w:rsidRPr="00C406FF">
        <w:rPr>
          <w:rStyle w:val="Appelnotedebasdep"/>
        </w:rPr>
        <w:footnoteReference w:id="247"/>
      </w:r>
      <w:r w:rsidR="00E65435">
        <w:rPr>
          <w:rFonts w:eastAsia="Arial Unicode MS"/>
          <w:bCs/>
          <w:lang w:eastAsia="fr-FR" w:bidi="he-IL"/>
        </w:rPr>
        <w:t xml:space="preserve">, </w:t>
      </w:r>
      <w:r w:rsidR="00795B48">
        <w:rPr>
          <w:rFonts w:eastAsia="Arial Unicode MS"/>
          <w:bCs/>
          <w:lang w:eastAsia="fr-FR" w:bidi="he-IL"/>
        </w:rPr>
        <w:t xml:space="preserve">et plus particulièrement </w:t>
      </w:r>
      <w:r w:rsidRPr="00C8701B">
        <w:rPr>
          <w:rFonts w:eastAsia="Arial Unicode MS"/>
          <w:bCs/>
          <w:lang w:eastAsia="fr-FR" w:bidi="he-IL"/>
        </w:rPr>
        <w:t>les lignes suivantes de S. Augustin</w:t>
      </w:r>
      <w:r w:rsidR="00C2602D" w:rsidRPr="00C8701B">
        <w:rPr>
          <w:rFonts w:eastAsia="Arial Unicode MS"/>
          <w:bCs/>
          <w:lang w:eastAsia="fr-FR" w:bidi="he-IL"/>
        </w:rPr>
        <w:t> :</w:t>
      </w:r>
      <w:r w:rsidR="00E37C84">
        <w:rPr>
          <w:rFonts w:eastAsia="Arial Unicode MS"/>
          <w:bCs/>
          <w:lang w:eastAsia="fr-FR" w:bidi="he-IL"/>
        </w:rPr>
        <w:t xml:space="preserve"> « </w:t>
      </w:r>
      <w:r w:rsidRPr="00C8701B">
        <w:rPr>
          <w:rFonts w:eastAsia="Arial Unicode MS"/>
          <w:bCs/>
          <w:lang w:eastAsia="fr-FR" w:bidi="he-IL"/>
        </w:rPr>
        <w:t>Marcus cum (</w:t>
      </w:r>
      <w:r w:rsidR="00795B48" w:rsidRPr="00C8701B">
        <w:rPr>
          <w:rFonts w:eastAsia="Arial Unicode MS"/>
          <w:bCs/>
          <w:lang w:eastAsia="fr-FR" w:bidi="he-IL"/>
        </w:rPr>
        <w:t>Matt</w:t>
      </w:r>
      <w:r w:rsidR="00795B48">
        <w:rPr>
          <w:rFonts w:eastAsia="Arial Unicode MS"/>
          <w:bCs/>
          <w:lang w:eastAsia="fr-FR" w:bidi="he-IL"/>
        </w:rPr>
        <w:t>hǽ</w:t>
      </w:r>
      <w:r w:rsidR="00795B48" w:rsidRPr="00C8701B">
        <w:rPr>
          <w:rFonts w:eastAsia="Arial Unicode MS"/>
          <w:bCs/>
          <w:lang w:eastAsia="fr-FR" w:bidi="he-IL"/>
        </w:rPr>
        <w:t>um</w:t>
      </w:r>
      <w:r w:rsidR="00795B48">
        <w:rPr>
          <w:rFonts w:eastAsia="Arial Unicode MS"/>
          <w:bCs/>
          <w:lang w:eastAsia="fr-FR" w:bidi="he-IL"/>
        </w:rPr>
        <w:t>) subsecú</w:t>
      </w:r>
      <w:r w:rsidRPr="00C8701B">
        <w:rPr>
          <w:rFonts w:eastAsia="Arial Unicode MS"/>
          <w:bCs/>
          <w:lang w:eastAsia="fr-FR" w:bidi="he-IL"/>
        </w:rPr>
        <w:t>tus</w:t>
      </w:r>
      <w:r w:rsidR="00E65435">
        <w:rPr>
          <w:rFonts w:eastAsia="Arial Unicode MS"/>
          <w:bCs/>
          <w:lang w:eastAsia="fr-FR" w:bidi="he-IL"/>
        </w:rPr>
        <w:t xml:space="preserve">, </w:t>
      </w:r>
      <w:r w:rsidRPr="00C8701B">
        <w:rPr>
          <w:rFonts w:eastAsia="Arial Unicode MS"/>
          <w:bCs/>
          <w:lang w:eastAsia="fr-FR" w:bidi="he-IL"/>
        </w:rPr>
        <w:t xml:space="preserve">tanquam </w:t>
      </w:r>
      <w:r w:rsidR="00795B48">
        <w:rPr>
          <w:rFonts w:eastAsia="Arial Unicode MS"/>
          <w:bCs/>
          <w:lang w:eastAsia="fr-FR" w:bidi="he-IL"/>
        </w:rPr>
        <w:t>pedí</w:t>
      </w:r>
      <w:r w:rsidR="00795B48" w:rsidRPr="00C8701B">
        <w:rPr>
          <w:rFonts w:eastAsia="Arial Unicode MS"/>
          <w:bCs/>
          <w:lang w:eastAsia="fr-FR" w:bidi="he-IL"/>
        </w:rPr>
        <w:t>sequus</w:t>
      </w:r>
      <w:r w:rsidRPr="00C8701B">
        <w:rPr>
          <w:rFonts w:eastAsia="Arial Unicode MS"/>
          <w:bCs/>
          <w:lang w:eastAsia="fr-FR" w:bidi="he-IL"/>
        </w:rPr>
        <w:t xml:space="preserve"> et br</w:t>
      </w:r>
      <w:r w:rsidR="00C21120" w:rsidRPr="00C8701B">
        <w:rPr>
          <w:rFonts w:eastAsia="Arial Unicode MS"/>
          <w:bCs/>
          <w:lang w:eastAsia="fr-FR" w:bidi="he-IL"/>
        </w:rPr>
        <w:t>evi</w:t>
      </w:r>
      <w:r w:rsidR="00C21120">
        <w:rPr>
          <w:rFonts w:eastAsia="Arial Unicode MS"/>
          <w:bCs/>
          <w:lang w:eastAsia="fr-FR" w:bidi="he-IL"/>
        </w:rPr>
        <w:t>á</w:t>
      </w:r>
      <w:r w:rsidR="00C21120" w:rsidRPr="00C8701B">
        <w:rPr>
          <w:rFonts w:eastAsia="Arial Unicode MS"/>
          <w:bCs/>
          <w:lang w:eastAsia="fr-FR" w:bidi="he-IL"/>
        </w:rPr>
        <w:t>tor</w:t>
      </w:r>
      <w:r w:rsidRPr="00C8701B">
        <w:rPr>
          <w:rFonts w:eastAsia="Arial Unicode MS"/>
          <w:bCs/>
          <w:lang w:eastAsia="fr-FR" w:bidi="he-IL"/>
        </w:rPr>
        <w:t xml:space="preserve"> ejus </w:t>
      </w:r>
      <w:r w:rsidR="00795B48" w:rsidRPr="00C8701B">
        <w:rPr>
          <w:rFonts w:eastAsia="Arial Unicode MS"/>
          <w:bCs/>
          <w:lang w:eastAsia="fr-FR" w:bidi="he-IL"/>
        </w:rPr>
        <w:t>vidétur</w:t>
      </w:r>
      <w:r w:rsidRPr="00C8701B">
        <w:rPr>
          <w:rFonts w:eastAsia="Arial Unicode MS"/>
          <w:bCs/>
          <w:lang w:eastAsia="fr-FR" w:bidi="he-IL"/>
        </w:rPr>
        <w:t xml:space="preserve">. Cum solo quippe </w:t>
      </w:r>
      <w:r w:rsidR="00B771C3">
        <w:rPr>
          <w:rFonts w:eastAsia="Arial Unicode MS"/>
          <w:bCs/>
          <w:lang w:eastAsia="fr-FR" w:bidi="he-IL"/>
        </w:rPr>
        <w:t>Joánne</w:t>
      </w:r>
      <w:r w:rsidRPr="00C8701B">
        <w:rPr>
          <w:rFonts w:eastAsia="Arial Unicode MS"/>
          <w:bCs/>
          <w:lang w:eastAsia="fr-FR" w:bidi="he-IL"/>
        </w:rPr>
        <w:t xml:space="preserve"> nihil dixit</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solus ipse </w:t>
      </w:r>
      <w:r w:rsidR="00795B48" w:rsidRPr="00C8701B">
        <w:rPr>
          <w:rFonts w:eastAsia="Arial Unicode MS"/>
          <w:bCs/>
          <w:lang w:eastAsia="fr-FR" w:bidi="he-IL"/>
        </w:rPr>
        <w:t>perpáuca</w:t>
      </w:r>
      <w:r w:rsidR="00E65435">
        <w:rPr>
          <w:rFonts w:eastAsia="Arial Unicode MS"/>
          <w:bCs/>
          <w:lang w:eastAsia="fr-FR" w:bidi="he-IL"/>
        </w:rPr>
        <w:t xml:space="preserve">, </w:t>
      </w:r>
      <w:r w:rsidRPr="00C8701B">
        <w:rPr>
          <w:rFonts w:eastAsia="Arial Unicode MS"/>
          <w:bCs/>
          <w:lang w:eastAsia="fr-FR" w:bidi="he-IL"/>
        </w:rPr>
        <w:t xml:space="preserve">cum solo Luca </w:t>
      </w:r>
      <w:r w:rsidR="00795B48" w:rsidRPr="00C8701B">
        <w:rPr>
          <w:rFonts w:eastAsia="Arial Unicode MS"/>
          <w:bCs/>
          <w:lang w:eastAsia="fr-FR" w:bidi="he-IL"/>
        </w:rPr>
        <w:t>paucióra</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cum </w:t>
      </w:r>
      <w:r w:rsidR="00795B48" w:rsidRPr="00C8701B">
        <w:rPr>
          <w:rFonts w:eastAsia="Arial Unicode MS"/>
          <w:bCs/>
          <w:lang w:eastAsia="fr-FR" w:bidi="he-IL"/>
        </w:rPr>
        <w:t>Matth</w:t>
      </w:r>
      <w:r w:rsidR="00795B48">
        <w:rPr>
          <w:rFonts w:eastAsia="Arial Unicode MS"/>
          <w:bCs/>
          <w:lang w:eastAsia="fr-FR" w:bidi="he-IL"/>
        </w:rPr>
        <w:t>ǽo</w:t>
      </w:r>
      <w:r w:rsidRPr="00C8701B">
        <w:rPr>
          <w:rFonts w:eastAsia="Arial Unicode MS"/>
          <w:bCs/>
          <w:lang w:eastAsia="fr-FR" w:bidi="he-IL"/>
        </w:rPr>
        <w:t xml:space="preserve"> vero </w:t>
      </w:r>
      <w:r w:rsidR="00795B48" w:rsidRPr="00C8701B">
        <w:rPr>
          <w:rFonts w:eastAsia="Arial Unicode MS"/>
          <w:bCs/>
          <w:lang w:eastAsia="fr-FR" w:bidi="he-IL"/>
        </w:rPr>
        <w:t>plúrima</w:t>
      </w:r>
      <w:r w:rsidR="00E65435">
        <w:rPr>
          <w:rFonts w:eastAsia="Arial Unicode MS"/>
          <w:bCs/>
          <w:lang w:eastAsia="fr-FR" w:bidi="he-IL"/>
        </w:rPr>
        <w:t xml:space="preserve">, </w:t>
      </w:r>
      <w:r w:rsidRPr="00C8701B">
        <w:rPr>
          <w:rFonts w:eastAsia="Arial Unicode MS"/>
          <w:bCs/>
          <w:lang w:eastAsia="fr-FR" w:bidi="he-IL"/>
        </w:rPr>
        <w:t xml:space="preserve">et multa pene </w:t>
      </w:r>
      <w:r w:rsidR="00795B48" w:rsidRPr="00C8701B">
        <w:rPr>
          <w:rFonts w:eastAsia="Arial Unicode MS"/>
          <w:bCs/>
          <w:lang w:eastAsia="fr-FR" w:bidi="he-IL"/>
        </w:rPr>
        <w:t>tótidem</w:t>
      </w:r>
      <w:r w:rsidRPr="00C8701B">
        <w:rPr>
          <w:rFonts w:eastAsia="Arial Unicode MS"/>
          <w:bCs/>
          <w:lang w:eastAsia="fr-FR" w:bidi="he-IL"/>
        </w:rPr>
        <w:t xml:space="preserve"> atque ipsis verbis</w:t>
      </w:r>
      <w:r w:rsidR="00E65435">
        <w:rPr>
          <w:rFonts w:eastAsia="Arial Unicode MS"/>
          <w:bCs/>
          <w:lang w:eastAsia="fr-FR" w:bidi="he-IL"/>
        </w:rPr>
        <w:t xml:space="preserve">, </w:t>
      </w:r>
      <w:r w:rsidRPr="00C8701B">
        <w:rPr>
          <w:rFonts w:eastAsia="Arial Unicode MS"/>
          <w:bCs/>
          <w:lang w:eastAsia="fr-FR" w:bidi="he-IL"/>
        </w:rPr>
        <w:t>sive cum solo</w:t>
      </w:r>
      <w:r w:rsidR="00E65435">
        <w:rPr>
          <w:rFonts w:eastAsia="Arial Unicode MS"/>
          <w:bCs/>
          <w:lang w:eastAsia="fr-FR" w:bidi="he-IL"/>
        </w:rPr>
        <w:t xml:space="preserve">, </w:t>
      </w:r>
      <w:r w:rsidRPr="00C8701B">
        <w:rPr>
          <w:rFonts w:eastAsia="Arial Unicode MS"/>
          <w:bCs/>
          <w:lang w:eastAsia="fr-FR" w:bidi="he-IL"/>
        </w:rPr>
        <w:t xml:space="preserve">sive cum </w:t>
      </w:r>
      <w:r w:rsidR="00795B48" w:rsidRPr="00C8701B">
        <w:rPr>
          <w:rFonts w:eastAsia="Arial Unicode MS"/>
          <w:bCs/>
          <w:lang w:eastAsia="fr-FR" w:bidi="he-IL"/>
        </w:rPr>
        <w:t>céteris</w:t>
      </w:r>
      <w:r w:rsidRPr="00C8701B">
        <w:rPr>
          <w:rFonts w:eastAsia="Arial Unicode MS"/>
          <w:bCs/>
          <w:lang w:eastAsia="fr-FR" w:bidi="he-IL"/>
        </w:rPr>
        <w:t xml:space="preserve"> consonante... Et quamvis </w:t>
      </w:r>
      <w:r w:rsidR="00795B48" w:rsidRPr="00C8701B">
        <w:rPr>
          <w:rFonts w:eastAsia="Arial Unicode MS"/>
          <w:bCs/>
          <w:lang w:eastAsia="fr-FR" w:bidi="he-IL"/>
        </w:rPr>
        <w:t>sínguli</w:t>
      </w:r>
      <w:r w:rsidRPr="00C8701B">
        <w:rPr>
          <w:rFonts w:eastAsia="Arial Unicode MS"/>
          <w:bCs/>
          <w:lang w:eastAsia="fr-FR" w:bidi="he-IL"/>
        </w:rPr>
        <w:t xml:space="preserve"> suum quemdam n</w:t>
      </w:r>
      <w:r w:rsidR="00473B23" w:rsidRPr="00C8701B">
        <w:rPr>
          <w:rFonts w:eastAsia="Arial Unicode MS"/>
          <w:bCs/>
          <w:lang w:eastAsia="fr-FR" w:bidi="he-IL"/>
        </w:rPr>
        <w:t>arr</w:t>
      </w:r>
      <w:r w:rsidR="00473B23">
        <w:rPr>
          <w:rFonts w:eastAsia="Arial Unicode MS"/>
          <w:bCs/>
          <w:lang w:eastAsia="fr-FR" w:bidi="he-IL"/>
        </w:rPr>
        <w:t>á</w:t>
      </w:r>
      <w:r w:rsidR="00473B23" w:rsidRPr="00C8701B">
        <w:rPr>
          <w:rFonts w:eastAsia="Arial Unicode MS"/>
          <w:bCs/>
          <w:lang w:eastAsia="fr-FR" w:bidi="he-IL"/>
        </w:rPr>
        <w:t>ndi</w:t>
      </w:r>
      <w:r w:rsidRPr="00C8701B">
        <w:rPr>
          <w:rFonts w:eastAsia="Arial Unicode MS"/>
          <w:bCs/>
          <w:lang w:eastAsia="fr-FR" w:bidi="he-IL"/>
        </w:rPr>
        <w:t xml:space="preserve"> </w:t>
      </w:r>
      <w:r w:rsidR="00795B48" w:rsidRPr="00C8701B">
        <w:rPr>
          <w:rFonts w:eastAsia="Arial Unicode MS"/>
          <w:bCs/>
          <w:lang w:eastAsia="fr-FR" w:bidi="he-IL"/>
        </w:rPr>
        <w:t>órdinem</w:t>
      </w:r>
      <w:r w:rsidRPr="00C8701B">
        <w:rPr>
          <w:rFonts w:eastAsia="Arial Unicode MS"/>
          <w:bCs/>
          <w:lang w:eastAsia="fr-FR" w:bidi="he-IL"/>
        </w:rPr>
        <w:t xml:space="preserve"> </w:t>
      </w:r>
      <w:r w:rsidR="00795B48" w:rsidRPr="00C8701B">
        <w:rPr>
          <w:rFonts w:eastAsia="Arial Unicode MS"/>
          <w:bCs/>
          <w:lang w:eastAsia="fr-FR" w:bidi="he-IL"/>
        </w:rPr>
        <w:t>tenuísse</w:t>
      </w:r>
      <w:r w:rsidRPr="00C8701B">
        <w:rPr>
          <w:rFonts w:eastAsia="Arial Unicode MS"/>
          <w:bCs/>
          <w:lang w:eastAsia="fr-FR" w:bidi="he-IL"/>
        </w:rPr>
        <w:t xml:space="preserve"> </w:t>
      </w:r>
      <w:r w:rsidR="00795B48" w:rsidRPr="00C8701B">
        <w:rPr>
          <w:rFonts w:eastAsia="Arial Unicode MS"/>
          <w:bCs/>
          <w:lang w:eastAsia="fr-FR" w:bidi="he-IL"/>
        </w:rPr>
        <w:t>Videántur</w:t>
      </w:r>
      <w:r w:rsidR="00E65435">
        <w:rPr>
          <w:rFonts w:eastAsia="Arial Unicode MS"/>
          <w:bCs/>
          <w:lang w:eastAsia="fr-FR" w:bidi="he-IL"/>
        </w:rPr>
        <w:t xml:space="preserve">, </w:t>
      </w:r>
      <w:r w:rsidRPr="00C8701B">
        <w:rPr>
          <w:rFonts w:eastAsia="Arial Unicode MS"/>
          <w:bCs/>
          <w:lang w:eastAsia="fr-FR" w:bidi="he-IL"/>
        </w:rPr>
        <w:t xml:space="preserve">non tamen </w:t>
      </w:r>
      <w:r w:rsidR="00795B48" w:rsidRPr="00C8701B">
        <w:rPr>
          <w:rFonts w:eastAsia="Arial Unicode MS"/>
          <w:bCs/>
          <w:lang w:eastAsia="fr-FR" w:bidi="he-IL"/>
        </w:rPr>
        <w:t>unusquísque</w:t>
      </w:r>
      <w:r w:rsidRPr="00C8701B">
        <w:rPr>
          <w:rFonts w:eastAsia="Arial Unicode MS"/>
          <w:bCs/>
          <w:lang w:eastAsia="fr-FR" w:bidi="he-IL"/>
        </w:rPr>
        <w:t xml:space="preserve"> </w:t>
      </w:r>
      <w:r w:rsidR="00473B23">
        <w:rPr>
          <w:rFonts w:eastAsia="Arial Unicode MS"/>
          <w:bCs/>
          <w:lang w:eastAsia="fr-FR" w:bidi="he-IL"/>
        </w:rPr>
        <w:t>eórum</w:t>
      </w:r>
      <w:r w:rsidRPr="00C8701B">
        <w:rPr>
          <w:rFonts w:eastAsia="Arial Unicode MS"/>
          <w:bCs/>
          <w:lang w:eastAsia="fr-FR" w:bidi="he-IL"/>
        </w:rPr>
        <w:t xml:space="preserve"> velut </w:t>
      </w:r>
      <w:r w:rsidR="00795B48" w:rsidRPr="00C8701B">
        <w:rPr>
          <w:rFonts w:eastAsia="Arial Unicode MS"/>
          <w:bCs/>
          <w:lang w:eastAsia="fr-FR" w:bidi="he-IL"/>
        </w:rPr>
        <w:t>altérius</w:t>
      </w:r>
      <w:r w:rsidRPr="00C8701B">
        <w:rPr>
          <w:rFonts w:eastAsia="Arial Unicode MS"/>
          <w:bCs/>
          <w:lang w:eastAsia="fr-FR" w:bidi="he-IL"/>
        </w:rPr>
        <w:t xml:space="preserve"> </w:t>
      </w:r>
      <w:r w:rsidR="00E37C84">
        <w:rPr>
          <w:rFonts w:eastAsia="Arial Unicode MS"/>
          <w:bCs/>
          <w:lang w:eastAsia="fr-FR" w:bidi="he-IL"/>
        </w:rPr>
        <w:t>præ</w:t>
      </w:r>
      <w:r w:rsidR="00E939E7" w:rsidRPr="00C8701B">
        <w:rPr>
          <w:rFonts w:eastAsia="Arial Unicode MS"/>
          <w:bCs/>
          <w:lang w:eastAsia="fr-FR" w:bidi="he-IL"/>
        </w:rPr>
        <w:t>ced</w:t>
      </w:r>
      <w:r w:rsidR="00E939E7">
        <w:rPr>
          <w:rFonts w:eastAsia="Arial Unicode MS"/>
          <w:bCs/>
          <w:lang w:eastAsia="fr-FR" w:bidi="he-IL"/>
        </w:rPr>
        <w:t>é</w:t>
      </w:r>
      <w:r w:rsidR="00E939E7" w:rsidRPr="00C8701B">
        <w:rPr>
          <w:rFonts w:eastAsia="Arial Unicode MS"/>
          <w:bCs/>
          <w:lang w:eastAsia="fr-FR" w:bidi="he-IL"/>
        </w:rPr>
        <w:t>ntis</w:t>
      </w:r>
      <w:r w:rsidRPr="00C8701B">
        <w:rPr>
          <w:rFonts w:eastAsia="Arial Unicode MS"/>
          <w:bCs/>
          <w:lang w:eastAsia="fr-FR" w:bidi="he-IL"/>
        </w:rPr>
        <w:t xml:space="preserve"> </w:t>
      </w:r>
      <w:r w:rsidR="00795B48" w:rsidRPr="00C8701B">
        <w:rPr>
          <w:rFonts w:eastAsia="Arial Unicode MS"/>
          <w:bCs/>
          <w:lang w:eastAsia="fr-FR" w:bidi="he-IL"/>
        </w:rPr>
        <w:t>ignárus</w:t>
      </w:r>
      <w:r w:rsidRPr="00C8701B">
        <w:rPr>
          <w:rFonts w:eastAsia="Arial Unicode MS"/>
          <w:bCs/>
          <w:lang w:eastAsia="fr-FR" w:bidi="he-IL"/>
        </w:rPr>
        <w:t xml:space="preserve"> </w:t>
      </w:r>
      <w:r w:rsidR="00795B48" w:rsidRPr="00C8701B">
        <w:rPr>
          <w:rFonts w:eastAsia="Arial Unicode MS"/>
          <w:bCs/>
          <w:lang w:eastAsia="fr-FR" w:bidi="he-IL"/>
        </w:rPr>
        <w:t>voluísse</w:t>
      </w:r>
      <w:r w:rsidRPr="00C8701B">
        <w:rPr>
          <w:rFonts w:eastAsia="Arial Unicode MS"/>
          <w:bCs/>
          <w:lang w:eastAsia="fr-FR" w:bidi="he-IL"/>
        </w:rPr>
        <w:t xml:space="preserve"> </w:t>
      </w:r>
      <w:r w:rsidR="00795B48" w:rsidRPr="00C8701B">
        <w:rPr>
          <w:rFonts w:eastAsia="Arial Unicode MS"/>
          <w:bCs/>
          <w:lang w:eastAsia="fr-FR" w:bidi="he-IL"/>
        </w:rPr>
        <w:t>scríbere</w:t>
      </w:r>
      <w:r w:rsidRPr="00C8701B">
        <w:rPr>
          <w:rFonts w:eastAsia="Arial Unicode MS"/>
          <w:bCs/>
          <w:lang w:eastAsia="fr-FR" w:bidi="he-IL"/>
        </w:rPr>
        <w:t xml:space="preserve"> </w:t>
      </w:r>
      <w:r w:rsidR="00795B48" w:rsidRPr="00C8701B">
        <w:rPr>
          <w:rFonts w:eastAsia="Arial Unicode MS"/>
          <w:bCs/>
          <w:lang w:eastAsia="fr-FR" w:bidi="he-IL"/>
        </w:rPr>
        <w:t>reperítur</w:t>
      </w:r>
      <w:r w:rsidR="00E65435">
        <w:rPr>
          <w:rFonts w:eastAsia="Arial Unicode MS"/>
          <w:bCs/>
          <w:lang w:eastAsia="fr-FR" w:bidi="he-IL"/>
        </w:rPr>
        <w:t xml:space="preserve">, </w:t>
      </w:r>
      <w:r w:rsidRPr="00C8701B">
        <w:rPr>
          <w:rFonts w:eastAsia="Arial Unicode MS"/>
          <w:bCs/>
          <w:lang w:eastAsia="fr-FR" w:bidi="he-IL"/>
        </w:rPr>
        <w:t xml:space="preserve">vel </w:t>
      </w:r>
      <w:r w:rsidR="00795B48" w:rsidRPr="00C8701B">
        <w:rPr>
          <w:rFonts w:eastAsia="Arial Unicode MS"/>
          <w:bCs/>
          <w:lang w:eastAsia="fr-FR" w:bidi="he-IL"/>
        </w:rPr>
        <w:t>ignoráta</w:t>
      </w:r>
      <w:r w:rsidRPr="00C8701B">
        <w:rPr>
          <w:rFonts w:eastAsia="Arial Unicode MS"/>
          <w:bCs/>
          <w:lang w:eastAsia="fr-FR" w:bidi="he-IL"/>
        </w:rPr>
        <w:t xml:space="preserve"> </w:t>
      </w:r>
      <w:r w:rsidR="00E37C84">
        <w:rPr>
          <w:rFonts w:eastAsia="Arial Unicode MS"/>
          <w:bCs/>
          <w:lang w:eastAsia="fr-FR" w:bidi="he-IL"/>
        </w:rPr>
        <w:t>præ</w:t>
      </w:r>
      <w:r w:rsidR="00795B48">
        <w:rPr>
          <w:rFonts w:eastAsia="Arial Unicode MS"/>
          <w:bCs/>
          <w:lang w:eastAsia="fr-FR" w:bidi="he-IL"/>
        </w:rPr>
        <w:t>termisí</w:t>
      </w:r>
      <w:r w:rsidRPr="00C8701B">
        <w:rPr>
          <w:rFonts w:eastAsia="Arial Unicode MS"/>
          <w:bCs/>
          <w:lang w:eastAsia="fr-FR" w:bidi="he-IL"/>
        </w:rPr>
        <w:t xml:space="preserve">sse </w:t>
      </w:r>
      <w:r w:rsidR="008911B0">
        <w:rPr>
          <w:rFonts w:eastAsia="Arial Unicode MS"/>
          <w:bCs/>
          <w:lang w:eastAsia="fr-FR" w:bidi="he-IL"/>
        </w:rPr>
        <w:t>quæ</w:t>
      </w:r>
      <w:r w:rsidR="00795B48">
        <w:rPr>
          <w:rFonts w:eastAsia="Arial Unicode MS"/>
          <w:bCs/>
          <w:lang w:eastAsia="fr-FR" w:bidi="he-IL"/>
        </w:rPr>
        <w:t xml:space="preserve"> scripsí</w:t>
      </w:r>
      <w:r w:rsidRPr="00C8701B">
        <w:rPr>
          <w:rFonts w:eastAsia="Arial Unicode MS"/>
          <w:bCs/>
          <w:lang w:eastAsia="fr-FR" w:bidi="he-IL"/>
        </w:rPr>
        <w:t xml:space="preserve">sse </w:t>
      </w:r>
      <w:r w:rsidR="00795B48" w:rsidRPr="00C8701B">
        <w:rPr>
          <w:rFonts w:eastAsia="Arial Unicode MS"/>
          <w:bCs/>
          <w:lang w:eastAsia="fr-FR" w:bidi="he-IL"/>
        </w:rPr>
        <w:t>álius</w:t>
      </w:r>
      <w:r w:rsidRPr="00C8701B">
        <w:rPr>
          <w:rFonts w:eastAsia="Arial Unicode MS"/>
          <w:bCs/>
          <w:lang w:eastAsia="fr-FR" w:bidi="he-IL"/>
        </w:rPr>
        <w:t xml:space="preserve"> </w:t>
      </w:r>
      <w:r w:rsidR="00795B48" w:rsidRPr="00C8701B">
        <w:rPr>
          <w:rFonts w:eastAsia="Arial Unicode MS"/>
          <w:bCs/>
          <w:lang w:eastAsia="fr-FR" w:bidi="he-IL"/>
        </w:rPr>
        <w:t>invenítur</w:t>
      </w:r>
      <w:r w:rsidR="00E65435">
        <w:rPr>
          <w:rFonts w:eastAsia="Arial Unicode MS"/>
          <w:bCs/>
          <w:lang w:eastAsia="fr-FR" w:bidi="he-IL"/>
        </w:rPr>
        <w:t xml:space="preserve">, </w:t>
      </w:r>
      <w:r w:rsidRPr="00C8701B">
        <w:rPr>
          <w:rFonts w:eastAsia="Arial Unicode MS"/>
          <w:bCs/>
          <w:lang w:eastAsia="fr-FR" w:bidi="he-IL"/>
        </w:rPr>
        <w:t xml:space="preserve">sed sicut </w:t>
      </w:r>
      <w:r w:rsidR="00795B48" w:rsidRPr="00C8701B">
        <w:rPr>
          <w:rFonts w:eastAsia="Arial Unicode MS"/>
          <w:bCs/>
          <w:lang w:eastAsia="fr-FR" w:bidi="he-IL"/>
        </w:rPr>
        <w:t>unicuíque</w:t>
      </w:r>
      <w:r w:rsidRPr="00C8701B">
        <w:rPr>
          <w:rFonts w:eastAsia="Arial Unicode MS"/>
          <w:bCs/>
          <w:lang w:eastAsia="fr-FR" w:bidi="he-IL"/>
        </w:rPr>
        <w:t xml:space="preserve"> ins</w:t>
      </w:r>
      <w:r w:rsidR="00776C8C" w:rsidRPr="00C8701B">
        <w:rPr>
          <w:rFonts w:eastAsia="Arial Unicode MS"/>
          <w:bCs/>
          <w:lang w:eastAsia="fr-FR" w:bidi="he-IL"/>
        </w:rPr>
        <w:t>pir</w:t>
      </w:r>
      <w:r w:rsidR="00776C8C">
        <w:rPr>
          <w:rFonts w:eastAsia="Arial Unicode MS"/>
          <w:bCs/>
          <w:lang w:eastAsia="fr-FR" w:bidi="he-IL"/>
        </w:rPr>
        <w:t>á</w:t>
      </w:r>
      <w:r w:rsidR="00776C8C" w:rsidRPr="00C8701B">
        <w:rPr>
          <w:rFonts w:eastAsia="Arial Unicode MS"/>
          <w:bCs/>
          <w:lang w:eastAsia="fr-FR" w:bidi="he-IL"/>
        </w:rPr>
        <w:t>tum</w:t>
      </w:r>
      <w:r w:rsidRPr="00C8701B">
        <w:rPr>
          <w:rFonts w:eastAsia="Arial Unicode MS"/>
          <w:bCs/>
          <w:lang w:eastAsia="fr-FR" w:bidi="he-IL"/>
        </w:rPr>
        <w:t xml:space="preserve"> est</w:t>
      </w:r>
      <w:r w:rsidR="00E65435">
        <w:rPr>
          <w:rFonts w:eastAsia="Arial Unicode MS"/>
          <w:bCs/>
          <w:lang w:eastAsia="fr-FR" w:bidi="he-IL"/>
        </w:rPr>
        <w:t xml:space="preserve">, </w:t>
      </w:r>
      <w:r w:rsidRPr="00C8701B">
        <w:rPr>
          <w:rFonts w:eastAsia="Arial Unicode MS"/>
          <w:bCs/>
          <w:lang w:eastAsia="fr-FR" w:bidi="he-IL"/>
        </w:rPr>
        <w:t xml:space="preserve">non </w:t>
      </w:r>
      <w:r w:rsidR="00795B48" w:rsidRPr="00C8701B">
        <w:rPr>
          <w:rFonts w:eastAsia="Arial Unicode MS"/>
          <w:bCs/>
          <w:lang w:eastAsia="fr-FR" w:bidi="he-IL"/>
        </w:rPr>
        <w:t>supérfluam</w:t>
      </w:r>
      <w:r w:rsidRPr="00C8701B">
        <w:rPr>
          <w:rFonts w:eastAsia="Arial Unicode MS"/>
          <w:bCs/>
          <w:lang w:eastAsia="fr-FR" w:bidi="he-IL"/>
        </w:rPr>
        <w:t xml:space="preserve"> cooperat</w:t>
      </w:r>
      <w:r w:rsidR="000B732C">
        <w:rPr>
          <w:rFonts w:eastAsia="Arial Unicode MS"/>
          <w:bCs/>
          <w:lang w:eastAsia="fr-FR" w:bidi="he-IL"/>
        </w:rPr>
        <w:t>iónem</w:t>
      </w:r>
      <w:r w:rsidRPr="00C8701B">
        <w:rPr>
          <w:rFonts w:eastAsia="Arial Unicode MS"/>
          <w:bCs/>
          <w:lang w:eastAsia="fr-FR" w:bidi="he-IL"/>
        </w:rPr>
        <w:t xml:space="preserve"> sui </w:t>
      </w:r>
      <w:r w:rsidR="00795B48" w:rsidRPr="00C8701B">
        <w:rPr>
          <w:rFonts w:eastAsia="Arial Unicode MS"/>
          <w:bCs/>
          <w:lang w:eastAsia="fr-FR" w:bidi="he-IL"/>
        </w:rPr>
        <w:t>labóris</w:t>
      </w:r>
      <w:r w:rsidRPr="00C8701B">
        <w:rPr>
          <w:rFonts w:eastAsia="Arial Unicode MS"/>
          <w:bCs/>
          <w:lang w:eastAsia="fr-FR" w:bidi="he-IL"/>
        </w:rPr>
        <w:t xml:space="preserve"> </w:t>
      </w:r>
      <w:r w:rsidR="00795B48" w:rsidRPr="00C8701B">
        <w:rPr>
          <w:rFonts w:eastAsia="Arial Unicode MS"/>
          <w:bCs/>
          <w:lang w:eastAsia="fr-FR" w:bidi="he-IL"/>
        </w:rPr>
        <w:t>adjúnxi</w:t>
      </w:r>
      <w:r w:rsidR="00795B48">
        <w:rPr>
          <w:rFonts w:eastAsia="Arial Unicode MS"/>
          <w:bCs/>
          <w:lang w:eastAsia="fr-FR" w:bidi="he-IL"/>
        </w:rPr>
        <w:t>t »</w:t>
      </w:r>
      <w:r w:rsidR="00933C60" w:rsidRPr="00C406FF">
        <w:rPr>
          <w:rStyle w:val="Appelnotedebasdep"/>
        </w:rPr>
        <w:footnoteReference w:id="248"/>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Mais n</w:t>
      </w:r>
      <w:r w:rsidR="00557DE0">
        <w:rPr>
          <w:rFonts w:eastAsia="Arial Unicode MS"/>
          <w:bCs/>
          <w:lang w:eastAsia="fr-FR" w:bidi="he-IL"/>
        </w:rPr>
        <w:t>’</w:t>
      </w:r>
      <w:r w:rsidRPr="00C8701B">
        <w:rPr>
          <w:rFonts w:eastAsia="Arial Unicode MS"/>
          <w:bCs/>
          <w:lang w:eastAsia="fr-FR" w:bidi="he-IL"/>
        </w:rPr>
        <w:t>a-t-on pas pressé</w:t>
      </w:r>
      <w:r w:rsidR="00E65435">
        <w:rPr>
          <w:rFonts w:eastAsia="Arial Unicode MS"/>
          <w:bCs/>
          <w:lang w:eastAsia="fr-FR" w:bidi="he-IL"/>
        </w:rPr>
        <w:t xml:space="preserve">, </w:t>
      </w:r>
      <w:r w:rsidRPr="00C8701B">
        <w:rPr>
          <w:rFonts w:eastAsia="Arial Unicode MS"/>
          <w:bCs/>
          <w:lang w:eastAsia="fr-FR" w:bidi="he-IL"/>
        </w:rPr>
        <w:t>plus qu</w:t>
      </w:r>
      <w:r w:rsidR="00557DE0">
        <w:rPr>
          <w:rFonts w:eastAsia="Arial Unicode MS"/>
          <w:bCs/>
          <w:lang w:eastAsia="fr-FR" w:bidi="he-IL"/>
        </w:rPr>
        <w:t>’</w:t>
      </w:r>
      <w:r w:rsidRPr="00C8701B">
        <w:rPr>
          <w:rFonts w:eastAsia="Arial Unicode MS"/>
          <w:bCs/>
          <w:lang w:eastAsia="fr-FR" w:bidi="he-IL"/>
        </w:rPr>
        <w:t>il ne convenait</w:t>
      </w:r>
      <w:r w:rsidR="00E65435">
        <w:rPr>
          <w:rFonts w:eastAsia="Arial Unicode MS"/>
          <w:bCs/>
          <w:lang w:eastAsia="fr-FR" w:bidi="he-IL"/>
        </w:rPr>
        <w:t xml:space="preserve">, </w:t>
      </w:r>
      <w:r w:rsidRPr="00C8701B">
        <w:rPr>
          <w:rFonts w:eastAsia="Arial Unicode MS"/>
          <w:bCs/>
          <w:lang w:eastAsia="fr-FR" w:bidi="he-IL"/>
        </w:rPr>
        <w:t>le sens de tous ces textes</w:t>
      </w:r>
      <w:r w:rsidR="00C2602D" w:rsidRPr="00C8701B">
        <w:rPr>
          <w:rFonts w:eastAsia="Arial Unicode MS"/>
          <w:bCs/>
          <w:lang w:eastAsia="fr-FR" w:bidi="he-IL"/>
        </w:rPr>
        <w:t> ?</w:t>
      </w:r>
      <w:r w:rsidRPr="00C8701B">
        <w:rPr>
          <w:rFonts w:eastAsia="Arial Unicode MS"/>
          <w:bCs/>
          <w:lang w:eastAsia="fr-FR" w:bidi="he-IL"/>
        </w:rPr>
        <w:t xml:space="preserve"> C</w:t>
      </w:r>
      <w:r w:rsidR="00557DE0">
        <w:rPr>
          <w:rFonts w:eastAsia="Arial Unicode MS"/>
          <w:bCs/>
          <w:lang w:eastAsia="fr-FR" w:bidi="he-IL"/>
        </w:rPr>
        <w:t>’</w:t>
      </w:r>
      <w:r w:rsidRPr="00C8701B">
        <w:rPr>
          <w:rFonts w:eastAsia="Arial Unicode MS"/>
          <w:bCs/>
          <w:lang w:eastAsia="fr-FR" w:bidi="he-IL"/>
        </w:rPr>
        <w:t>est ce que nous croyons avec le P. Cornely</w:t>
      </w:r>
      <w:r w:rsidR="00933C60" w:rsidRPr="00C406FF">
        <w:rPr>
          <w:rStyle w:val="Appelnotedebasdep"/>
        </w:rPr>
        <w:footnoteReference w:id="249"/>
      </w:r>
      <w:r w:rsidR="00E65435">
        <w:rPr>
          <w:rFonts w:eastAsia="Arial Unicode MS"/>
          <w:bCs/>
          <w:lang w:eastAsia="fr-FR" w:bidi="he-IL"/>
        </w:rPr>
        <w:t xml:space="preserve">, </w:t>
      </w:r>
      <w:r w:rsidR="00795B48">
        <w:rPr>
          <w:rFonts w:eastAsia="Arial Unicode MS"/>
          <w:bCs/>
          <w:lang w:eastAsia="fr-FR" w:bidi="he-IL"/>
        </w:rPr>
        <w:t>dont no</w:t>
      </w:r>
      <w:r w:rsidRPr="00C8701B">
        <w:rPr>
          <w:rFonts w:eastAsia="Arial Unicode MS"/>
          <w:bCs/>
          <w:lang w:eastAsia="fr-FR" w:bidi="he-IL"/>
        </w:rPr>
        <w:t>us citerons intégralement la brève</w:t>
      </w:r>
      <w:r w:rsidR="00E65435">
        <w:rPr>
          <w:rFonts w:eastAsia="Arial Unicode MS"/>
          <w:bCs/>
          <w:lang w:eastAsia="fr-FR" w:bidi="he-IL"/>
        </w:rPr>
        <w:t xml:space="preserve">, </w:t>
      </w:r>
      <w:r w:rsidRPr="00C8701B">
        <w:rPr>
          <w:rFonts w:eastAsia="Arial Unicode MS"/>
          <w:bCs/>
          <w:lang w:eastAsia="fr-FR" w:bidi="he-IL"/>
        </w:rPr>
        <w:t>mais énergique protestation</w:t>
      </w:r>
      <w:r w:rsidR="00C2602D" w:rsidRPr="00C8701B">
        <w:rPr>
          <w:rFonts w:eastAsia="Arial Unicode MS"/>
          <w:bCs/>
          <w:lang w:eastAsia="fr-FR" w:bidi="he-IL"/>
        </w:rPr>
        <w:t> :</w:t>
      </w:r>
      <w:r w:rsidRPr="00C8701B">
        <w:rPr>
          <w:rFonts w:eastAsia="Arial Unicode MS"/>
          <w:bCs/>
          <w:lang w:eastAsia="fr-FR" w:bidi="he-IL"/>
        </w:rPr>
        <w:t xml:space="preserve"> </w:t>
      </w:r>
      <w:r w:rsidR="00C2602D" w:rsidRPr="00C8701B">
        <w:rPr>
          <w:rFonts w:eastAsia="Arial Unicode MS"/>
          <w:bCs/>
          <w:lang w:eastAsia="fr-FR" w:bidi="he-IL"/>
        </w:rPr>
        <w:t>« </w:t>
      </w:r>
      <w:r w:rsidR="00795B48">
        <w:rPr>
          <w:rFonts w:eastAsia="Arial Unicode MS"/>
          <w:bCs/>
          <w:lang w:eastAsia="fr-FR" w:bidi="he-IL"/>
        </w:rPr>
        <w:t>(Hi) textus patrí</w:t>
      </w:r>
      <w:r w:rsidRPr="00C8701B">
        <w:rPr>
          <w:rFonts w:eastAsia="Arial Unicode MS"/>
          <w:bCs/>
          <w:lang w:eastAsia="fr-FR" w:bidi="he-IL"/>
        </w:rPr>
        <w:t>stici</w:t>
      </w:r>
      <w:r w:rsidRPr="00DC4586">
        <w:rPr>
          <w:rStyle w:val="italicus"/>
        </w:rPr>
        <w:t xml:space="preserve"> </w:t>
      </w:r>
      <w:r w:rsidR="00795B48" w:rsidRPr="00DC4586">
        <w:rPr>
          <w:rStyle w:val="italicus"/>
        </w:rPr>
        <w:t>pleríque</w:t>
      </w:r>
      <w:r w:rsidRPr="00C8701B">
        <w:rPr>
          <w:rFonts w:eastAsia="Arial Unicode MS"/>
          <w:bCs/>
          <w:lang w:eastAsia="fr-FR" w:bidi="he-IL"/>
        </w:rPr>
        <w:t xml:space="preserve"> nihil </w:t>
      </w:r>
      <w:r w:rsidR="00795B48">
        <w:rPr>
          <w:rFonts w:eastAsia="Arial Unicode MS"/>
          <w:bCs/>
          <w:lang w:eastAsia="fr-FR" w:bidi="he-IL"/>
        </w:rPr>
        <w:t>áliud</w:t>
      </w:r>
      <w:r w:rsidRPr="00C8701B">
        <w:rPr>
          <w:rFonts w:eastAsia="Arial Unicode MS"/>
          <w:bCs/>
          <w:lang w:eastAsia="fr-FR" w:bidi="he-IL"/>
        </w:rPr>
        <w:t xml:space="preserve"> dicunt</w:t>
      </w:r>
      <w:r w:rsidR="00E65435">
        <w:rPr>
          <w:rFonts w:eastAsia="Arial Unicode MS"/>
          <w:bCs/>
          <w:lang w:eastAsia="fr-FR" w:bidi="he-IL"/>
        </w:rPr>
        <w:t xml:space="preserve">, </w:t>
      </w:r>
      <w:r w:rsidRPr="00C8701B">
        <w:rPr>
          <w:rFonts w:eastAsia="Arial Unicode MS"/>
          <w:bCs/>
          <w:lang w:eastAsia="fr-FR" w:bidi="he-IL"/>
        </w:rPr>
        <w:t xml:space="preserve">nisi </w:t>
      </w:r>
      <w:r w:rsidR="00795B48" w:rsidRPr="00C8701B">
        <w:rPr>
          <w:rFonts w:eastAsia="Arial Unicode MS"/>
          <w:bCs/>
          <w:lang w:eastAsia="fr-FR" w:bidi="he-IL"/>
        </w:rPr>
        <w:t>álterum</w:t>
      </w:r>
      <w:r w:rsidRPr="00C8701B">
        <w:rPr>
          <w:rFonts w:eastAsia="Arial Unicode MS"/>
          <w:bCs/>
          <w:lang w:eastAsia="fr-FR" w:bidi="he-IL"/>
        </w:rPr>
        <w:t xml:space="preserve"> </w:t>
      </w:r>
      <w:r w:rsidR="00795B48" w:rsidRPr="00C8701B">
        <w:rPr>
          <w:rFonts w:eastAsia="Arial Unicode MS"/>
          <w:bCs/>
          <w:lang w:eastAsia="fr-FR" w:bidi="he-IL"/>
        </w:rPr>
        <w:t>evangelístam</w:t>
      </w:r>
      <w:r w:rsidRPr="00C8701B">
        <w:rPr>
          <w:rFonts w:eastAsia="Arial Unicode MS"/>
          <w:bCs/>
          <w:lang w:eastAsia="fr-FR" w:bidi="he-IL"/>
        </w:rPr>
        <w:t xml:space="preserve"> </w:t>
      </w:r>
      <w:r w:rsidR="00795B48" w:rsidRPr="00C8701B">
        <w:rPr>
          <w:rFonts w:eastAsia="Arial Unicode MS"/>
          <w:bCs/>
          <w:lang w:eastAsia="fr-FR" w:bidi="he-IL"/>
        </w:rPr>
        <w:t>áltero</w:t>
      </w:r>
      <w:r w:rsidRPr="00C8701B">
        <w:rPr>
          <w:rFonts w:eastAsia="Arial Unicode MS"/>
          <w:bCs/>
          <w:lang w:eastAsia="fr-FR" w:bidi="he-IL"/>
        </w:rPr>
        <w:t xml:space="preserve"> </w:t>
      </w:r>
      <w:r w:rsidR="00795B48">
        <w:rPr>
          <w:rFonts w:eastAsia="Arial Unicode MS"/>
          <w:bCs/>
          <w:lang w:eastAsia="fr-FR" w:bidi="he-IL"/>
        </w:rPr>
        <w:t>bré</w:t>
      </w:r>
      <w:r w:rsidRPr="00C8701B">
        <w:rPr>
          <w:rFonts w:eastAsia="Arial Unicode MS"/>
          <w:bCs/>
          <w:lang w:eastAsia="fr-FR" w:bidi="he-IL"/>
        </w:rPr>
        <w:t xml:space="preserve">vius vel </w:t>
      </w:r>
      <w:r w:rsidR="00795B48" w:rsidRPr="00C8701B">
        <w:rPr>
          <w:rFonts w:eastAsia="Arial Unicode MS"/>
          <w:bCs/>
          <w:lang w:eastAsia="fr-FR" w:bidi="he-IL"/>
        </w:rPr>
        <w:t>fúsius</w:t>
      </w:r>
      <w:r w:rsidRPr="00C8701B">
        <w:rPr>
          <w:rFonts w:eastAsia="Arial Unicode MS"/>
          <w:bCs/>
          <w:lang w:eastAsia="fr-FR" w:bidi="he-IL"/>
        </w:rPr>
        <w:t xml:space="preserve"> </w:t>
      </w:r>
      <w:r w:rsidR="00795B48" w:rsidRPr="00C8701B">
        <w:rPr>
          <w:rFonts w:eastAsia="Arial Unicode MS"/>
          <w:bCs/>
          <w:lang w:eastAsia="fr-FR" w:bidi="he-IL"/>
        </w:rPr>
        <w:t>scripsísse</w:t>
      </w:r>
      <w:r w:rsidR="00E65435">
        <w:rPr>
          <w:rFonts w:eastAsia="Arial Unicode MS"/>
          <w:bCs/>
          <w:lang w:eastAsia="fr-FR" w:bidi="he-IL"/>
        </w:rPr>
        <w:t xml:space="preserve">, </w:t>
      </w:r>
      <w:r w:rsidRPr="00DC4586">
        <w:rPr>
          <w:rStyle w:val="italicus"/>
        </w:rPr>
        <w:t>pauci</w:t>
      </w:r>
      <w:r w:rsidRPr="00C8701B">
        <w:rPr>
          <w:rFonts w:eastAsia="Arial Unicode MS"/>
          <w:bCs/>
          <w:lang w:eastAsia="fr-FR" w:bidi="he-IL"/>
        </w:rPr>
        <w:t xml:space="preserve"> </w:t>
      </w:r>
      <w:r w:rsidR="00776C8C">
        <w:rPr>
          <w:rFonts w:eastAsia="Arial Unicode MS"/>
          <w:bCs/>
          <w:lang w:eastAsia="fr-FR" w:bidi="he-IL"/>
        </w:rPr>
        <w:t>étiam</w:t>
      </w:r>
      <w:r w:rsidRPr="00C8701B">
        <w:rPr>
          <w:rFonts w:eastAsia="Arial Unicode MS"/>
          <w:bCs/>
          <w:lang w:eastAsia="fr-FR" w:bidi="he-IL"/>
        </w:rPr>
        <w:t xml:space="preserve"> probant ex</w:t>
      </w:r>
      <w:r w:rsidR="00795B48">
        <w:rPr>
          <w:rStyle w:val="italicus"/>
        </w:rPr>
        <w:t xml:space="preserve"> ju</w:t>
      </w:r>
      <w:r w:rsidRPr="00DC4586">
        <w:rPr>
          <w:rStyle w:val="italicus"/>
        </w:rPr>
        <w:t>ni</w:t>
      </w:r>
      <w:r w:rsidR="003A07A7">
        <w:rPr>
          <w:rStyle w:val="italicus"/>
        </w:rPr>
        <w:t>órum</w:t>
      </w:r>
      <w:r w:rsidRPr="00DC4586">
        <w:rPr>
          <w:rStyle w:val="italicus"/>
        </w:rPr>
        <w:t xml:space="preserve"> </w:t>
      </w:r>
      <w:r w:rsidR="00795B48" w:rsidRPr="00C8701B">
        <w:rPr>
          <w:rFonts w:eastAsia="Arial Unicode MS"/>
          <w:bCs/>
          <w:lang w:eastAsia="fr-FR" w:bidi="he-IL"/>
        </w:rPr>
        <w:t>quorúmdam</w:t>
      </w:r>
      <w:r w:rsidRPr="00C8701B">
        <w:rPr>
          <w:rFonts w:eastAsia="Arial Unicode MS"/>
          <w:bCs/>
          <w:lang w:eastAsia="fr-FR" w:bidi="he-IL"/>
        </w:rPr>
        <w:t xml:space="preserve"> Patrum sent</w:t>
      </w:r>
      <w:r w:rsidR="00652B4F">
        <w:rPr>
          <w:rFonts w:eastAsia="Arial Unicode MS"/>
          <w:bCs/>
          <w:lang w:eastAsia="fr-FR" w:bidi="he-IL"/>
        </w:rPr>
        <w:t>é</w:t>
      </w:r>
      <w:r w:rsidR="00652B4F" w:rsidRPr="00C8701B">
        <w:rPr>
          <w:rFonts w:eastAsia="Arial Unicode MS"/>
          <w:bCs/>
          <w:lang w:eastAsia="fr-FR" w:bidi="he-IL"/>
        </w:rPr>
        <w:t>ntia</w:t>
      </w:r>
      <w:r w:rsidRPr="00C8701B">
        <w:rPr>
          <w:rFonts w:eastAsia="Arial Unicode MS"/>
          <w:bCs/>
          <w:lang w:eastAsia="fr-FR" w:bidi="he-IL"/>
        </w:rPr>
        <w:t xml:space="preserve"> </w:t>
      </w:r>
      <w:r w:rsidR="00795B48" w:rsidRPr="00C8701B">
        <w:rPr>
          <w:rFonts w:eastAsia="Arial Unicode MS"/>
          <w:bCs/>
          <w:lang w:eastAsia="fr-FR" w:bidi="he-IL"/>
        </w:rPr>
        <w:t>posterióres</w:t>
      </w:r>
      <w:r w:rsidRPr="00C8701B">
        <w:rPr>
          <w:rFonts w:eastAsia="Arial Unicode MS"/>
          <w:bCs/>
          <w:lang w:eastAsia="fr-FR" w:bidi="he-IL"/>
        </w:rPr>
        <w:t xml:space="preserve"> </w:t>
      </w:r>
      <w:r w:rsidR="00795B48" w:rsidRPr="00C8701B">
        <w:rPr>
          <w:rFonts w:eastAsia="Arial Unicode MS"/>
          <w:bCs/>
          <w:lang w:eastAsia="fr-FR" w:bidi="he-IL"/>
        </w:rPr>
        <w:t>evangelístas</w:t>
      </w:r>
      <w:r w:rsidRPr="00C8701B">
        <w:rPr>
          <w:rFonts w:eastAsia="Arial Unicode MS"/>
          <w:bCs/>
          <w:lang w:eastAsia="fr-FR" w:bidi="he-IL"/>
        </w:rPr>
        <w:t xml:space="preserve"> pri</w:t>
      </w:r>
      <w:r w:rsidR="003A07A7">
        <w:rPr>
          <w:rFonts w:eastAsia="Arial Unicode MS"/>
          <w:bCs/>
          <w:lang w:eastAsia="fr-FR" w:bidi="he-IL"/>
        </w:rPr>
        <w:t>órum</w:t>
      </w:r>
      <w:r w:rsidRPr="00C8701B">
        <w:rPr>
          <w:rFonts w:eastAsia="Arial Unicode MS"/>
          <w:bCs/>
          <w:lang w:eastAsia="fr-FR" w:bidi="he-IL"/>
        </w:rPr>
        <w:t xml:space="preserve"> opéra </w:t>
      </w:r>
      <w:r w:rsidR="00795B48" w:rsidRPr="00C8701B">
        <w:rPr>
          <w:rFonts w:eastAsia="Arial Unicode MS"/>
          <w:bCs/>
          <w:lang w:eastAsia="fr-FR" w:bidi="he-IL"/>
        </w:rPr>
        <w:t>cognovísse</w:t>
      </w:r>
      <w:r w:rsidR="00795B48">
        <w:rPr>
          <w:rFonts w:eastAsia="Arial Unicode MS"/>
          <w:bCs/>
          <w:lang w:eastAsia="fr-FR" w:bidi="he-IL"/>
        </w:rPr>
        <w:t>. At animadvé</w:t>
      </w:r>
      <w:r w:rsidRPr="00C8701B">
        <w:rPr>
          <w:rFonts w:eastAsia="Arial Unicode MS"/>
          <w:bCs/>
          <w:lang w:eastAsia="fr-FR" w:bidi="he-IL"/>
        </w:rPr>
        <w:t>rtas velim a.) Patres illos juniores hanc sent</w:t>
      </w:r>
      <w:r w:rsidR="000B732C">
        <w:rPr>
          <w:rFonts w:eastAsia="Arial Unicode MS"/>
          <w:bCs/>
          <w:lang w:eastAsia="fr-FR" w:bidi="he-IL"/>
        </w:rPr>
        <w:t>éntiam</w:t>
      </w:r>
      <w:r w:rsidRPr="00C8701B">
        <w:rPr>
          <w:rFonts w:eastAsia="Arial Unicode MS"/>
          <w:bCs/>
          <w:lang w:eastAsia="fr-FR" w:bidi="he-IL"/>
        </w:rPr>
        <w:t xml:space="preserve"> non velut </w:t>
      </w:r>
      <w:r w:rsidR="00795B48" w:rsidRPr="00C8701B">
        <w:rPr>
          <w:rFonts w:eastAsia="Arial Unicode MS"/>
          <w:bCs/>
          <w:lang w:eastAsia="fr-FR" w:bidi="he-IL"/>
        </w:rPr>
        <w:t>tráditam</w:t>
      </w:r>
      <w:r w:rsidRPr="00C8701B">
        <w:rPr>
          <w:rFonts w:eastAsia="Arial Unicode MS"/>
          <w:bCs/>
          <w:lang w:eastAsia="fr-FR" w:bidi="he-IL"/>
        </w:rPr>
        <w:t xml:space="preserve"> </w:t>
      </w:r>
      <w:r w:rsidR="00795B48" w:rsidRPr="00C8701B">
        <w:rPr>
          <w:rFonts w:eastAsia="Arial Unicode MS"/>
          <w:bCs/>
          <w:lang w:eastAsia="fr-FR" w:bidi="he-IL"/>
        </w:rPr>
        <w:t>reférre</w:t>
      </w:r>
      <w:r w:rsidR="00E65435">
        <w:rPr>
          <w:rFonts w:eastAsia="Arial Unicode MS"/>
          <w:bCs/>
          <w:lang w:eastAsia="fr-FR" w:bidi="he-IL"/>
        </w:rPr>
        <w:t xml:space="preserve">, </w:t>
      </w:r>
      <w:r w:rsidRPr="00C8701B">
        <w:rPr>
          <w:rFonts w:eastAsia="Arial Unicode MS"/>
          <w:bCs/>
          <w:lang w:eastAsia="fr-FR" w:bidi="he-IL"/>
        </w:rPr>
        <w:t>sed ex Evangeli</w:t>
      </w:r>
      <w:r w:rsidR="003A07A7">
        <w:rPr>
          <w:rFonts w:eastAsia="Arial Unicode MS"/>
          <w:bCs/>
          <w:lang w:eastAsia="fr-FR" w:bidi="he-IL"/>
        </w:rPr>
        <w:t>órum</w:t>
      </w:r>
      <w:r w:rsidRPr="00C8701B">
        <w:rPr>
          <w:rFonts w:eastAsia="Arial Unicode MS"/>
          <w:bCs/>
          <w:lang w:eastAsia="fr-FR" w:bidi="he-IL"/>
        </w:rPr>
        <w:t xml:space="preserve"> indole </w:t>
      </w:r>
      <w:r w:rsidR="00795B48" w:rsidRPr="00C8701B">
        <w:rPr>
          <w:rFonts w:eastAsia="Arial Unicode MS"/>
          <w:bCs/>
          <w:lang w:eastAsia="fr-FR" w:bidi="he-IL"/>
        </w:rPr>
        <w:t>quodámmodo</w:t>
      </w:r>
      <w:r w:rsidRPr="00C8701B">
        <w:rPr>
          <w:rFonts w:eastAsia="Arial Unicode MS"/>
          <w:bCs/>
          <w:lang w:eastAsia="fr-FR" w:bidi="he-IL"/>
        </w:rPr>
        <w:t xml:space="preserve"> </w:t>
      </w:r>
      <w:r w:rsidR="00795B48" w:rsidRPr="00C8701B">
        <w:rPr>
          <w:rFonts w:eastAsia="Arial Unicode MS"/>
          <w:bCs/>
          <w:lang w:eastAsia="fr-FR" w:bidi="he-IL"/>
        </w:rPr>
        <w:t>deriváre</w:t>
      </w:r>
      <w:r w:rsidR="00C2602D" w:rsidRPr="00C8701B">
        <w:rPr>
          <w:rFonts w:eastAsia="Arial Unicode MS"/>
          <w:bCs/>
          <w:lang w:eastAsia="fr-FR" w:bidi="he-IL"/>
        </w:rPr>
        <w:t> </w:t>
      </w:r>
      <w:r w:rsidR="007F6508">
        <w:rPr>
          <w:rFonts w:eastAsia="Arial Unicode MS"/>
          <w:bCs/>
          <w:lang w:eastAsia="fr-FR" w:bidi="he-IL"/>
        </w:rPr>
        <w:t xml:space="preserve">; </w:t>
      </w:r>
      <w:r w:rsidR="00795B48">
        <w:rPr>
          <w:rFonts w:eastAsia="Arial Unicode MS"/>
          <w:bCs/>
          <w:lang w:eastAsia="fr-FR" w:bidi="he-IL"/>
        </w:rPr>
        <w:t>b.) systé</w:t>
      </w:r>
      <w:r w:rsidRPr="00C8701B">
        <w:rPr>
          <w:rFonts w:eastAsia="Arial Unicode MS"/>
          <w:bCs/>
          <w:lang w:eastAsia="fr-FR" w:bidi="he-IL"/>
        </w:rPr>
        <w:t>matis</w:t>
      </w:r>
      <w:r w:rsidR="00E65435">
        <w:rPr>
          <w:rFonts w:eastAsia="Arial Unicode MS"/>
          <w:bCs/>
          <w:lang w:eastAsia="fr-FR" w:bidi="he-IL"/>
        </w:rPr>
        <w:t xml:space="preserve">, </w:t>
      </w:r>
      <w:r w:rsidRPr="00C8701B">
        <w:rPr>
          <w:rFonts w:eastAsia="Arial Unicode MS"/>
          <w:bCs/>
          <w:lang w:eastAsia="fr-FR" w:bidi="he-IL"/>
        </w:rPr>
        <w:t>quod impugn</w:t>
      </w:r>
      <w:r w:rsidR="00795B48">
        <w:rPr>
          <w:rFonts w:eastAsia="Arial Unicode MS"/>
          <w:bCs/>
          <w:lang w:eastAsia="fr-FR" w:bidi="he-IL"/>
        </w:rPr>
        <w:t>ámus</w:t>
      </w:r>
      <w:r w:rsidR="00E65435">
        <w:rPr>
          <w:rFonts w:eastAsia="Arial Unicode MS"/>
          <w:bCs/>
          <w:lang w:eastAsia="fr-FR" w:bidi="he-IL"/>
        </w:rPr>
        <w:t xml:space="preserve">, </w:t>
      </w:r>
      <w:r w:rsidR="00795B48" w:rsidRPr="00C8701B">
        <w:rPr>
          <w:rFonts w:eastAsia="Arial Unicode MS"/>
          <w:bCs/>
          <w:lang w:eastAsia="fr-FR" w:bidi="he-IL"/>
        </w:rPr>
        <w:t>patrónos</w:t>
      </w:r>
      <w:r w:rsidRPr="00C8701B">
        <w:rPr>
          <w:rFonts w:eastAsia="Arial Unicode MS"/>
          <w:bCs/>
          <w:lang w:eastAsia="fr-FR" w:bidi="he-IL"/>
        </w:rPr>
        <w:t xml:space="preserve"> </w:t>
      </w:r>
      <w:r w:rsidR="00795B48" w:rsidRPr="00C8701B">
        <w:rPr>
          <w:rFonts w:eastAsia="Arial Unicode MS"/>
          <w:bCs/>
          <w:lang w:eastAsia="fr-FR" w:bidi="he-IL"/>
        </w:rPr>
        <w:t>áliquid</w:t>
      </w:r>
      <w:r w:rsidRPr="00C8701B">
        <w:rPr>
          <w:rFonts w:eastAsia="Arial Unicode MS"/>
          <w:bCs/>
          <w:lang w:eastAsia="fr-FR" w:bidi="he-IL"/>
        </w:rPr>
        <w:t xml:space="preserve"> </w:t>
      </w:r>
      <w:r w:rsidR="00795B48" w:rsidRPr="00C8701B">
        <w:rPr>
          <w:rFonts w:eastAsia="Arial Unicode MS"/>
          <w:bCs/>
          <w:lang w:eastAsia="fr-FR" w:bidi="he-IL"/>
        </w:rPr>
        <w:t>omníno</w:t>
      </w:r>
      <w:r w:rsidRPr="00C8701B">
        <w:rPr>
          <w:rFonts w:eastAsia="Arial Unicode MS"/>
          <w:bCs/>
          <w:lang w:eastAsia="fr-FR" w:bidi="he-IL"/>
        </w:rPr>
        <w:t xml:space="preserve"> </w:t>
      </w:r>
      <w:r w:rsidR="00795B48" w:rsidRPr="00C8701B">
        <w:rPr>
          <w:rFonts w:eastAsia="Arial Unicode MS"/>
          <w:bCs/>
          <w:lang w:eastAsia="fr-FR" w:bidi="he-IL"/>
        </w:rPr>
        <w:t>divérsi</w:t>
      </w:r>
      <w:r w:rsidRPr="00C8701B">
        <w:rPr>
          <w:rFonts w:eastAsia="Arial Unicode MS"/>
          <w:bCs/>
          <w:lang w:eastAsia="fr-FR" w:bidi="he-IL"/>
        </w:rPr>
        <w:t xml:space="preserve"> </w:t>
      </w:r>
      <w:r w:rsidR="00795B48" w:rsidRPr="00C8701B">
        <w:rPr>
          <w:rFonts w:eastAsia="Arial Unicode MS"/>
          <w:bCs/>
          <w:lang w:eastAsia="fr-FR" w:bidi="he-IL"/>
        </w:rPr>
        <w:t>statúere</w:t>
      </w:r>
      <w:r w:rsidR="00E65435">
        <w:rPr>
          <w:rFonts w:eastAsia="Arial Unicode MS"/>
          <w:bCs/>
          <w:lang w:eastAsia="fr-FR" w:bidi="he-IL"/>
        </w:rPr>
        <w:t xml:space="preserve">, </w:t>
      </w:r>
      <w:r w:rsidR="007D27C7">
        <w:rPr>
          <w:rFonts w:eastAsia="Arial Unicode MS"/>
          <w:bCs/>
          <w:lang w:eastAsia="fr-FR" w:bidi="he-IL"/>
        </w:rPr>
        <w:t>cum</w:t>
      </w:r>
      <w:r w:rsidRPr="00C8701B">
        <w:rPr>
          <w:rFonts w:eastAsia="Arial Unicode MS"/>
          <w:bCs/>
          <w:lang w:eastAsia="fr-FR" w:bidi="he-IL"/>
        </w:rPr>
        <w:t xml:space="preserve"> pri</w:t>
      </w:r>
      <w:r w:rsidR="003A07A7">
        <w:rPr>
          <w:rFonts w:eastAsia="Arial Unicode MS"/>
          <w:bCs/>
          <w:lang w:eastAsia="fr-FR" w:bidi="he-IL"/>
        </w:rPr>
        <w:t>órum</w:t>
      </w:r>
      <w:r w:rsidRPr="00C8701B">
        <w:rPr>
          <w:rFonts w:eastAsia="Arial Unicode MS"/>
          <w:bCs/>
          <w:lang w:eastAsia="fr-FR" w:bidi="he-IL"/>
        </w:rPr>
        <w:t xml:space="preserve"> evangeli</w:t>
      </w:r>
      <w:r w:rsidR="00C21120" w:rsidRPr="00C8701B">
        <w:rPr>
          <w:rFonts w:eastAsia="Arial Unicode MS"/>
          <w:bCs/>
          <w:lang w:eastAsia="fr-FR" w:bidi="he-IL"/>
        </w:rPr>
        <w:t>st</w:t>
      </w:r>
      <w:r w:rsidR="00C21120">
        <w:rPr>
          <w:rFonts w:eastAsia="Arial Unicode MS"/>
          <w:bCs/>
          <w:lang w:eastAsia="fr-FR" w:bidi="he-IL"/>
        </w:rPr>
        <w:t>árum</w:t>
      </w:r>
      <w:r w:rsidRPr="00C8701B">
        <w:rPr>
          <w:rFonts w:eastAsia="Arial Unicode MS"/>
          <w:bCs/>
          <w:lang w:eastAsia="fr-FR" w:bidi="he-IL"/>
        </w:rPr>
        <w:t xml:space="preserve"> opéra posteri</w:t>
      </w:r>
      <w:r w:rsidR="00356A5E">
        <w:rPr>
          <w:rFonts w:eastAsia="Arial Unicode MS"/>
          <w:bCs/>
          <w:lang w:eastAsia="fr-FR" w:bidi="he-IL"/>
        </w:rPr>
        <w:t>ó</w:t>
      </w:r>
      <w:r w:rsidR="00356A5E" w:rsidRPr="00C8701B">
        <w:rPr>
          <w:rFonts w:eastAsia="Arial Unicode MS"/>
          <w:bCs/>
          <w:lang w:eastAsia="fr-FR" w:bidi="he-IL"/>
        </w:rPr>
        <w:t>ribus</w:t>
      </w:r>
      <w:r w:rsidRPr="00C8701B">
        <w:rPr>
          <w:rFonts w:eastAsia="Arial Unicode MS"/>
          <w:bCs/>
          <w:lang w:eastAsia="fr-FR" w:bidi="he-IL"/>
        </w:rPr>
        <w:t xml:space="preserve"> </w:t>
      </w:r>
      <w:r w:rsidRPr="00DC4586">
        <w:rPr>
          <w:rStyle w:val="italicus"/>
        </w:rPr>
        <w:t>fontes</w:t>
      </w:r>
      <w:r w:rsidR="00795B48">
        <w:rPr>
          <w:rFonts w:eastAsia="Arial Unicode MS"/>
          <w:bCs/>
          <w:lang w:eastAsia="fr-FR" w:bidi="he-IL"/>
        </w:rPr>
        <w:t xml:space="preserve"> fuísse</w:t>
      </w:r>
      <w:r w:rsidRPr="00C8701B">
        <w:rPr>
          <w:rFonts w:eastAsia="Arial Unicode MS"/>
          <w:bCs/>
          <w:lang w:eastAsia="fr-FR" w:bidi="he-IL"/>
        </w:rPr>
        <w:t xml:space="preserve"> dicant</w:t>
      </w:r>
      <w:r w:rsidR="00E65435">
        <w:rPr>
          <w:rFonts w:eastAsia="Arial Unicode MS"/>
          <w:bCs/>
          <w:lang w:eastAsia="fr-FR" w:bidi="he-IL"/>
        </w:rPr>
        <w:t xml:space="preserve">, </w:t>
      </w:r>
      <w:r w:rsidRPr="00C8701B">
        <w:rPr>
          <w:rFonts w:eastAsia="Arial Unicode MS"/>
          <w:bCs/>
          <w:lang w:eastAsia="fr-FR" w:bidi="he-IL"/>
        </w:rPr>
        <w:t>quod nullus ex P</w:t>
      </w:r>
      <w:r w:rsidR="00356A5E">
        <w:rPr>
          <w:rFonts w:eastAsia="Arial Unicode MS"/>
          <w:bCs/>
          <w:lang w:eastAsia="fr-FR" w:bidi="he-IL"/>
        </w:rPr>
        <w:t>á</w:t>
      </w:r>
      <w:r w:rsidR="00356A5E" w:rsidRPr="00C8701B">
        <w:rPr>
          <w:rFonts w:eastAsia="Arial Unicode MS"/>
          <w:bCs/>
          <w:lang w:eastAsia="fr-FR" w:bidi="he-IL"/>
        </w:rPr>
        <w:t>tribus</w:t>
      </w:r>
      <w:r w:rsidRPr="00C8701B">
        <w:rPr>
          <w:rFonts w:eastAsia="Arial Unicode MS"/>
          <w:bCs/>
          <w:lang w:eastAsia="fr-FR" w:bidi="he-IL"/>
        </w:rPr>
        <w:t xml:space="preserve"> ins</w:t>
      </w:r>
      <w:r w:rsidR="00473B23" w:rsidRPr="00C8701B">
        <w:rPr>
          <w:rFonts w:eastAsia="Arial Unicode MS"/>
          <w:bCs/>
          <w:lang w:eastAsia="fr-FR" w:bidi="he-IL"/>
        </w:rPr>
        <w:t>inu</w:t>
      </w:r>
      <w:r w:rsidR="00473B23">
        <w:rPr>
          <w:rFonts w:eastAsia="Arial Unicode MS"/>
          <w:bCs/>
          <w:lang w:eastAsia="fr-FR" w:bidi="he-IL"/>
        </w:rPr>
        <w:t>á</w:t>
      </w:r>
      <w:r w:rsidR="00473B23" w:rsidRPr="00C8701B">
        <w:rPr>
          <w:rFonts w:eastAsia="Arial Unicode MS"/>
          <w:bCs/>
          <w:lang w:eastAsia="fr-FR" w:bidi="he-IL"/>
        </w:rPr>
        <w:t>vit</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c.) </w:t>
      </w:r>
      <w:r w:rsidR="00795B48" w:rsidRPr="00C8701B">
        <w:rPr>
          <w:rFonts w:eastAsia="Arial Unicode MS"/>
          <w:bCs/>
          <w:lang w:eastAsia="fr-FR" w:bidi="he-IL"/>
        </w:rPr>
        <w:t>antiquióres</w:t>
      </w:r>
      <w:r w:rsidRPr="00C8701B">
        <w:rPr>
          <w:rFonts w:eastAsia="Arial Unicode MS"/>
          <w:bCs/>
          <w:lang w:eastAsia="fr-FR" w:bidi="he-IL"/>
        </w:rPr>
        <w:t xml:space="preserve"> demum Patres non tantum</w:t>
      </w:r>
      <w:r w:rsidRPr="00DC4586">
        <w:rPr>
          <w:rStyle w:val="italicus"/>
        </w:rPr>
        <w:t xml:space="preserve"> </w:t>
      </w:r>
      <w:r w:rsidR="00795B48" w:rsidRPr="00DC4586">
        <w:rPr>
          <w:rStyle w:val="italicus"/>
        </w:rPr>
        <w:t>mútuum</w:t>
      </w:r>
      <w:r w:rsidRPr="00DC4586">
        <w:rPr>
          <w:rStyle w:val="italicus"/>
        </w:rPr>
        <w:t xml:space="preserve"> usum</w:t>
      </w:r>
      <w:r w:rsidR="00E65435">
        <w:rPr>
          <w:rStyle w:val="italicus"/>
        </w:rPr>
        <w:t xml:space="preserve">, </w:t>
      </w:r>
      <w:r w:rsidRPr="00C8701B">
        <w:rPr>
          <w:rFonts w:eastAsia="Arial Unicode MS"/>
          <w:bCs/>
          <w:lang w:eastAsia="fr-FR" w:bidi="he-IL"/>
        </w:rPr>
        <w:t xml:space="preserve">sed </w:t>
      </w:r>
      <w:r w:rsidR="00776C8C">
        <w:rPr>
          <w:rFonts w:eastAsia="Arial Unicode MS"/>
          <w:bCs/>
          <w:lang w:eastAsia="fr-FR" w:bidi="he-IL"/>
        </w:rPr>
        <w:t>étiam</w:t>
      </w:r>
      <w:r w:rsidRPr="00DC4586">
        <w:rPr>
          <w:rStyle w:val="italicus"/>
        </w:rPr>
        <w:t xml:space="preserve"> </w:t>
      </w:r>
      <w:r w:rsidR="00795B48" w:rsidRPr="00DC4586">
        <w:rPr>
          <w:rStyle w:val="italicus"/>
        </w:rPr>
        <w:t>cognit</w:t>
      </w:r>
      <w:r w:rsidR="00795B48">
        <w:rPr>
          <w:rStyle w:val="italicus"/>
        </w:rPr>
        <w:t>iónem</w:t>
      </w:r>
      <w:r w:rsidRPr="00C8701B">
        <w:rPr>
          <w:rFonts w:eastAsia="Arial Unicode MS"/>
          <w:bCs/>
          <w:lang w:eastAsia="fr-FR" w:bidi="he-IL"/>
        </w:rPr>
        <w:t xml:space="preserve"> </w:t>
      </w:r>
      <w:r w:rsidR="0098142C">
        <w:rPr>
          <w:rFonts w:eastAsia="Arial Unicode MS"/>
          <w:bCs/>
          <w:lang w:eastAsia="fr-FR" w:bidi="he-IL"/>
        </w:rPr>
        <w:t>præ</w:t>
      </w:r>
      <w:r w:rsidRPr="00C8701B">
        <w:rPr>
          <w:rFonts w:eastAsia="Arial Unicode MS"/>
          <w:bCs/>
          <w:lang w:eastAsia="fr-FR" w:bidi="he-IL"/>
        </w:rPr>
        <w:t>ced</w:t>
      </w:r>
      <w:r w:rsidR="00652B4F">
        <w:rPr>
          <w:rFonts w:eastAsia="Arial Unicode MS"/>
          <w:bCs/>
          <w:lang w:eastAsia="fr-FR" w:bidi="he-IL"/>
        </w:rPr>
        <w:t>é</w:t>
      </w:r>
      <w:r w:rsidR="00652B4F" w:rsidRPr="00C8701B">
        <w:rPr>
          <w:rFonts w:eastAsia="Arial Unicode MS"/>
          <w:bCs/>
          <w:lang w:eastAsia="fr-FR" w:bidi="he-IL"/>
        </w:rPr>
        <w:t>ntium</w:t>
      </w:r>
      <w:r w:rsidRPr="00C8701B">
        <w:rPr>
          <w:rFonts w:eastAsia="Arial Unicode MS"/>
          <w:bCs/>
          <w:lang w:eastAsia="fr-FR" w:bidi="he-IL"/>
        </w:rPr>
        <w:t xml:space="preserve"> evangeli</w:t>
      </w:r>
      <w:r w:rsidR="003A07A7">
        <w:rPr>
          <w:rFonts w:eastAsia="Arial Unicode MS"/>
          <w:bCs/>
          <w:lang w:eastAsia="fr-FR" w:bidi="he-IL"/>
        </w:rPr>
        <w:t>órum</w:t>
      </w:r>
      <w:r w:rsidRPr="00C8701B">
        <w:rPr>
          <w:rFonts w:eastAsia="Arial Unicode MS"/>
          <w:bCs/>
          <w:lang w:eastAsia="fr-FR" w:bidi="he-IL"/>
        </w:rPr>
        <w:t xml:space="preserve"> </w:t>
      </w:r>
      <w:r w:rsidR="00795B48" w:rsidRPr="00C8701B">
        <w:rPr>
          <w:rFonts w:eastAsia="Arial Unicode MS"/>
          <w:bCs/>
          <w:lang w:eastAsia="fr-FR" w:bidi="he-IL"/>
        </w:rPr>
        <w:t>negáre</w:t>
      </w:r>
      <w:r w:rsidR="00795B48">
        <w:rPr>
          <w:rFonts w:eastAsia="Arial Unicode MS"/>
          <w:bCs/>
          <w:lang w:eastAsia="fr-FR" w:bidi="he-IL"/>
        </w:rPr>
        <w:t>. Quam longe autem juniores abfú</w:t>
      </w:r>
      <w:r w:rsidRPr="00C8701B">
        <w:rPr>
          <w:rFonts w:eastAsia="Arial Unicode MS"/>
          <w:bCs/>
          <w:lang w:eastAsia="fr-FR" w:bidi="he-IL"/>
        </w:rPr>
        <w:t>erint</w:t>
      </w:r>
      <w:r w:rsidR="00E65435">
        <w:rPr>
          <w:rFonts w:eastAsia="Arial Unicode MS"/>
          <w:bCs/>
          <w:lang w:eastAsia="fr-FR" w:bidi="he-IL"/>
        </w:rPr>
        <w:t xml:space="preserve">, </w:t>
      </w:r>
      <w:r w:rsidRPr="00C8701B">
        <w:rPr>
          <w:rFonts w:eastAsia="Arial Unicode MS"/>
          <w:bCs/>
          <w:lang w:eastAsia="fr-FR" w:bidi="he-IL"/>
        </w:rPr>
        <w:t xml:space="preserve">ut </w:t>
      </w:r>
      <w:r w:rsidR="00795B48" w:rsidRPr="00C8701B">
        <w:rPr>
          <w:rFonts w:eastAsia="Arial Unicode MS"/>
          <w:bCs/>
          <w:lang w:eastAsia="fr-FR" w:bidi="he-IL"/>
        </w:rPr>
        <w:t>evangelístas</w:t>
      </w:r>
      <w:r w:rsidRPr="00C8701B">
        <w:rPr>
          <w:rFonts w:eastAsia="Arial Unicode MS"/>
          <w:bCs/>
          <w:lang w:eastAsia="fr-FR" w:bidi="he-IL"/>
        </w:rPr>
        <w:t xml:space="preserve"> </w:t>
      </w:r>
      <w:r w:rsidR="00E37C84">
        <w:rPr>
          <w:rFonts w:eastAsia="Arial Unicode MS"/>
          <w:bCs/>
          <w:lang w:eastAsia="fr-FR" w:bidi="he-IL"/>
        </w:rPr>
        <w:t>præ</w:t>
      </w:r>
      <w:r w:rsidRPr="00C8701B">
        <w:rPr>
          <w:rFonts w:eastAsia="Arial Unicode MS"/>
          <w:bCs/>
          <w:lang w:eastAsia="fr-FR" w:bidi="he-IL"/>
        </w:rPr>
        <w:t>decess</w:t>
      </w:r>
      <w:r w:rsidR="003A07A7">
        <w:rPr>
          <w:rFonts w:eastAsia="Arial Unicode MS"/>
          <w:bCs/>
          <w:lang w:eastAsia="fr-FR" w:bidi="he-IL"/>
        </w:rPr>
        <w:t>órum</w:t>
      </w:r>
      <w:r w:rsidRPr="00C8701B">
        <w:rPr>
          <w:rFonts w:eastAsia="Arial Unicode MS"/>
          <w:bCs/>
          <w:lang w:eastAsia="fr-FR" w:bidi="he-IL"/>
        </w:rPr>
        <w:t xml:space="preserve"> opéra velut fontes adhib</w:t>
      </w:r>
      <w:r w:rsidR="00795B48">
        <w:rPr>
          <w:rFonts w:eastAsia="Arial Unicode MS"/>
          <w:bCs/>
          <w:lang w:eastAsia="fr-FR" w:bidi="he-IL"/>
        </w:rPr>
        <w:t>uísse</w:t>
      </w:r>
      <w:r w:rsidRPr="00C8701B">
        <w:rPr>
          <w:rFonts w:eastAsia="Arial Unicode MS"/>
          <w:bCs/>
          <w:lang w:eastAsia="fr-FR" w:bidi="he-IL"/>
        </w:rPr>
        <w:t xml:space="preserve"> </w:t>
      </w:r>
      <w:r w:rsidR="00795B48" w:rsidRPr="00C8701B">
        <w:rPr>
          <w:rFonts w:eastAsia="Arial Unicode MS"/>
          <w:bCs/>
          <w:lang w:eastAsia="fr-FR" w:bidi="he-IL"/>
        </w:rPr>
        <w:t>dícerent</w:t>
      </w:r>
      <w:r w:rsidR="00E65435">
        <w:rPr>
          <w:rFonts w:eastAsia="Arial Unicode MS"/>
          <w:bCs/>
          <w:lang w:eastAsia="fr-FR" w:bidi="he-IL"/>
        </w:rPr>
        <w:t xml:space="preserve">, </w:t>
      </w:r>
      <w:r w:rsidRPr="00C8701B">
        <w:rPr>
          <w:rFonts w:eastAsia="Arial Unicode MS"/>
          <w:bCs/>
          <w:lang w:eastAsia="fr-FR" w:bidi="he-IL"/>
        </w:rPr>
        <w:t xml:space="preserve">inter </w:t>
      </w:r>
      <w:r w:rsidR="00475503">
        <w:rPr>
          <w:rFonts w:eastAsia="Arial Unicode MS"/>
          <w:bCs/>
          <w:lang w:eastAsia="fr-FR" w:bidi="he-IL"/>
        </w:rPr>
        <w:t>álios</w:t>
      </w:r>
      <w:r w:rsidRPr="00C8701B">
        <w:rPr>
          <w:rFonts w:eastAsia="Arial Unicode MS"/>
          <w:bCs/>
          <w:lang w:eastAsia="fr-FR" w:bidi="he-IL"/>
        </w:rPr>
        <w:t xml:space="preserve"> </w:t>
      </w:r>
      <w:r w:rsidR="00795B48">
        <w:rPr>
          <w:rFonts w:eastAsia="Arial Unicode MS"/>
          <w:bCs/>
          <w:lang w:eastAsia="fr-FR" w:bidi="he-IL"/>
        </w:rPr>
        <w:t>præ</w:t>
      </w:r>
      <w:r w:rsidR="00795B48" w:rsidRPr="00C8701B">
        <w:rPr>
          <w:rFonts w:eastAsia="Arial Unicode MS"/>
          <w:bCs/>
          <w:lang w:eastAsia="fr-FR" w:bidi="he-IL"/>
        </w:rPr>
        <w:t>cláre</w:t>
      </w:r>
      <w:r w:rsidRPr="00C8701B">
        <w:rPr>
          <w:rFonts w:eastAsia="Arial Unicode MS"/>
          <w:bCs/>
          <w:lang w:eastAsia="fr-FR" w:bidi="he-IL"/>
        </w:rPr>
        <w:t xml:space="preserve"> docet S. </w:t>
      </w:r>
      <w:r w:rsidR="00795B48" w:rsidRPr="00C8701B">
        <w:rPr>
          <w:rFonts w:eastAsia="Arial Unicode MS"/>
          <w:bCs/>
          <w:lang w:eastAsia="fr-FR" w:bidi="he-IL"/>
        </w:rPr>
        <w:t>Chrysóstomus</w:t>
      </w:r>
      <w:r w:rsidR="00E65435">
        <w:rPr>
          <w:rFonts w:eastAsia="Arial Unicode MS"/>
          <w:bCs/>
          <w:lang w:eastAsia="fr-FR" w:bidi="he-IL"/>
        </w:rPr>
        <w:t xml:space="preserve">, </w:t>
      </w:r>
      <w:r w:rsidRPr="00C8701B">
        <w:rPr>
          <w:rFonts w:eastAsia="Arial Unicode MS"/>
          <w:bCs/>
          <w:lang w:eastAsia="fr-FR" w:bidi="he-IL"/>
        </w:rPr>
        <w:t>qui...</w:t>
      </w:r>
      <w:r w:rsidRPr="00DC4586">
        <w:rPr>
          <w:rStyle w:val="italicus"/>
        </w:rPr>
        <w:t xml:space="preserve"> fre</w:t>
      </w:r>
      <w:r w:rsidR="00E37C84">
        <w:rPr>
          <w:rStyle w:val="italicus"/>
        </w:rPr>
        <w:t>qu</w:t>
      </w:r>
      <w:r w:rsidR="00795B48">
        <w:rPr>
          <w:rStyle w:val="italicus"/>
        </w:rPr>
        <w:t>é</w:t>
      </w:r>
      <w:r w:rsidRPr="00DC4586">
        <w:rPr>
          <w:rStyle w:val="italicus"/>
        </w:rPr>
        <w:t>nter</w:t>
      </w:r>
      <w:r w:rsidR="00795B48">
        <w:rPr>
          <w:rFonts w:eastAsia="Arial Unicode MS"/>
          <w:bCs/>
          <w:lang w:eastAsia="fr-FR" w:bidi="he-IL"/>
        </w:rPr>
        <w:t xml:space="preserve"> incú</w:t>
      </w:r>
      <w:r w:rsidRPr="00C8701B">
        <w:rPr>
          <w:rFonts w:eastAsia="Arial Unicode MS"/>
          <w:bCs/>
          <w:lang w:eastAsia="fr-FR" w:bidi="he-IL"/>
        </w:rPr>
        <w:t>lcat apparentes inter E</w:t>
      </w:r>
      <w:r w:rsidR="00736374">
        <w:rPr>
          <w:rFonts w:eastAsia="Arial Unicode MS"/>
          <w:bCs/>
          <w:lang w:eastAsia="fr-FR" w:bidi="he-IL"/>
        </w:rPr>
        <w:t>vangélia</w:t>
      </w:r>
      <w:r w:rsidRPr="00C8701B">
        <w:rPr>
          <w:rFonts w:eastAsia="Arial Unicode MS"/>
          <w:bCs/>
          <w:lang w:eastAsia="fr-FR" w:bidi="he-IL"/>
        </w:rPr>
        <w:t xml:space="preserve"> contradict</w:t>
      </w:r>
      <w:r w:rsidR="00356A5E" w:rsidRPr="00C8701B">
        <w:rPr>
          <w:rFonts w:eastAsia="Arial Unicode MS"/>
          <w:bCs/>
          <w:lang w:eastAsia="fr-FR" w:bidi="he-IL"/>
        </w:rPr>
        <w:t>i</w:t>
      </w:r>
      <w:r w:rsidR="00356A5E">
        <w:rPr>
          <w:rFonts w:eastAsia="Arial Unicode MS"/>
          <w:bCs/>
          <w:lang w:eastAsia="fr-FR" w:bidi="he-IL"/>
        </w:rPr>
        <w:t>ó</w:t>
      </w:r>
      <w:r w:rsidR="00356A5E" w:rsidRPr="00C8701B">
        <w:rPr>
          <w:rFonts w:eastAsia="Arial Unicode MS"/>
          <w:bCs/>
          <w:lang w:eastAsia="fr-FR" w:bidi="he-IL"/>
        </w:rPr>
        <w:t>nes</w:t>
      </w:r>
      <w:r w:rsidRPr="00C8701B">
        <w:rPr>
          <w:rFonts w:eastAsia="Arial Unicode MS"/>
          <w:bCs/>
          <w:lang w:eastAsia="fr-FR" w:bidi="he-IL"/>
        </w:rPr>
        <w:t xml:space="preserve"> </w:t>
      </w:r>
      <w:r w:rsidR="00795B48" w:rsidRPr="00C8701B">
        <w:rPr>
          <w:rFonts w:eastAsia="Arial Unicode MS"/>
          <w:bCs/>
          <w:lang w:eastAsia="fr-FR" w:bidi="he-IL"/>
        </w:rPr>
        <w:t>ídeo</w:t>
      </w:r>
      <w:r w:rsidR="00795B48">
        <w:rPr>
          <w:rFonts w:eastAsia="Arial Unicode MS"/>
          <w:bCs/>
          <w:lang w:eastAsia="fr-FR" w:bidi="he-IL"/>
        </w:rPr>
        <w:t xml:space="preserve"> esse permí</w:t>
      </w:r>
      <w:r w:rsidRPr="00C8701B">
        <w:rPr>
          <w:rFonts w:eastAsia="Arial Unicode MS"/>
          <w:bCs/>
          <w:lang w:eastAsia="fr-FR" w:bidi="he-IL"/>
        </w:rPr>
        <w:t>ssas</w:t>
      </w:r>
      <w:r w:rsidR="00E65435">
        <w:rPr>
          <w:rFonts w:eastAsia="Arial Unicode MS"/>
          <w:bCs/>
          <w:lang w:eastAsia="fr-FR" w:bidi="he-IL"/>
        </w:rPr>
        <w:t xml:space="preserve">, </w:t>
      </w:r>
      <w:r w:rsidRPr="00C8701B">
        <w:rPr>
          <w:rFonts w:eastAsia="Arial Unicode MS"/>
          <w:bCs/>
          <w:lang w:eastAsia="fr-FR" w:bidi="he-IL"/>
        </w:rPr>
        <w:t xml:space="preserve">ne quis </w:t>
      </w:r>
      <w:r w:rsidR="00795B48">
        <w:rPr>
          <w:rStyle w:val="italicus"/>
        </w:rPr>
        <w:t>ex mútuo et h</w:t>
      </w:r>
      <w:r w:rsidRPr="00DC4586">
        <w:rPr>
          <w:rStyle w:val="italicus"/>
        </w:rPr>
        <w:t xml:space="preserve">umano </w:t>
      </w:r>
      <w:r w:rsidR="00795B48" w:rsidRPr="00DC4586">
        <w:rPr>
          <w:rStyle w:val="italicus"/>
        </w:rPr>
        <w:t>consénsu</w:t>
      </w:r>
      <w:r w:rsidRPr="00C8701B">
        <w:rPr>
          <w:rFonts w:eastAsia="Arial Unicode MS"/>
          <w:bCs/>
          <w:lang w:eastAsia="fr-FR" w:bidi="he-IL"/>
        </w:rPr>
        <w:t xml:space="preserve"> ea esse </w:t>
      </w:r>
      <w:r w:rsidR="00795B48" w:rsidRPr="00C8701B">
        <w:rPr>
          <w:rFonts w:eastAsia="Arial Unicode MS"/>
          <w:bCs/>
          <w:lang w:eastAsia="fr-FR" w:bidi="he-IL"/>
        </w:rPr>
        <w:t>conscrípta</w:t>
      </w:r>
      <w:r w:rsidRPr="00C8701B">
        <w:rPr>
          <w:rFonts w:eastAsia="Arial Unicode MS"/>
          <w:bCs/>
          <w:lang w:eastAsia="fr-FR" w:bidi="he-IL"/>
        </w:rPr>
        <w:t xml:space="preserve"> </w:t>
      </w:r>
      <w:r w:rsidR="00795B48" w:rsidRPr="00C8701B">
        <w:rPr>
          <w:rFonts w:eastAsia="Arial Unicode MS"/>
          <w:bCs/>
          <w:lang w:eastAsia="fr-FR" w:bidi="he-IL"/>
        </w:rPr>
        <w:t>putáret</w:t>
      </w:r>
      <w:r w:rsidR="00E65435">
        <w:rPr>
          <w:rFonts w:eastAsia="Arial Unicode MS"/>
          <w:bCs/>
          <w:lang w:eastAsia="fr-FR" w:bidi="he-IL"/>
        </w:rPr>
        <w:t xml:space="preserve">, </w:t>
      </w:r>
      <w:r w:rsidRPr="00C8701B">
        <w:rPr>
          <w:rFonts w:eastAsia="Arial Unicode MS"/>
          <w:bCs/>
          <w:lang w:eastAsia="fr-FR" w:bidi="he-IL"/>
        </w:rPr>
        <w:t>utque omnes conson</w:t>
      </w:r>
      <w:r w:rsidR="00E907ED">
        <w:rPr>
          <w:rFonts w:eastAsia="Arial Unicode MS"/>
          <w:bCs/>
          <w:lang w:eastAsia="fr-FR" w:bidi="he-IL"/>
        </w:rPr>
        <w:t>á</w:t>
      </w:r>
      <w:r w:rsidR="00E907ED" w:rsidRPr="00C8701B">
        <w:rPr>
          <w:rFonts w:eastAsia="Arial Unicode MS"/>
          <w:bCs/>
          <w:lang w:eastAsia="fr-FR" w:bidi="he-IL"/>
        </w:rPr>
        <w:t>ntiam</w:t>
      </w:r>
      <w:r w:rsidRPr="00C8701B">
        <w:rPr>
          <w:rFonts w:eastAsia="Arial Unicode MS"/>
          <w:bCs/>
          <w:lang w:eastAsia="fr-FR" w:bidi="he-IL"/>
        </w:rPr>
        <w:t xml:space="preserve"> </w:t>
      </w:r>
      <w:r w:rsidR="00473B23">
        <w:rPr>
          <w:rFonts w:eastAsia="Arial Unicode MS"/>
          <w:bCs/>
          <w:lang w:eastAsia="fr-FR" w:bidi="he-IL"/>
        </w:rPr>
        <w:t>eórum</w:t>
      </w:r>
      <w:r w:rsidRPr="00C8701B">
        <w:rPr>
          <w:rFonts w:eastAsia="Arial Unicode MS"/>
          <w:bCs/>
          <w:lang w:eastAsia="fr-FR" w:bidi="he-IL"/>
        </w:rPr>
        <w:t xml:space="preserve"> a </w:t>
      </w:r>
      <w:r w:rsidR="00795B48" w:rsidRPr="00C8701B">
        <w:rPr>
          <w:rFonts w:eastAsia="Arial Unicode MS"/>
          <w:bCs/>
          <w:lang w:eastAsia="fr-FR" w:bidi="he-IL"/>
        </w:rPr>
        <w:t>Spíritu</w:t>
      </w:r>
      <w:r w:rsidRPr="00C8701B">
        <w:rPr>
          <w:rFonts w:eastAsia="Arial Unicode MS"/>
          <w:bCs/>
          <w:lang w:eastAsia="fr-FR" w:bidi="he-IL"/>
        </w:rPr>
        <w:t xml:space="preserve"> Sancto </w:t>
      </w:r>
      <w:r w:rsidR="00795B48" w:rsidRPr="00C8701B">
        <w:rPr>
          <w:rFonts w:eastAsia="Arial Unicode MS"/>
          <w:bCs/>
          <w:lang w:eastAsia="fr-FR" w:bidi="he-IL"/>
        </w:rPr>
        <w:t>dúcere</w:t>
      </w:r>
      <w:r w:rsidRPr="00C8701B">
        <w:rPr>
          <w:rFonts w:eastAsia="Arial Unicode MS"/>
          <w:bCs/>
          <w:lang w:eastAsia="fr-FR" w:bidi="he-IL"/>
        </w:rPr>
        <w:t xml:space="preserve"> </w:t>
      </w:r>
      <w:r w:rsidR="00795B48" w:rsidRPr="00C8701B">
        <w:rPr>
          <w:rFonts w:eastAsia="Arial Unicode MS"/>
          <w:bCs/>
          <w:lang w:eastAsia="fr-FR" w:bidi="he-IL"/>
        </w:rPr>
        <w:t>oríginem</w:t>
      </w:r>
      <w:r w:rsidR="00795B48">
        <w:rPr>
          <w:rFonts w:eastAsia="Arial Unicode MS"/>
          <w:bCs/>
          <w:lang w:eastAsia="fr-FR" w:bidi="he-IL"/>
        </w:rPr>
        <w:t xml:space="preserve"> vidérent</w:t>
      </w:r>
      <w:r w:rsidRPr="00C8701B">
        <w:rPr>
          <w:rFonts w:eastAsia="Arial Unicode MS"/>
          <w:bCs/>
          <w:lang w:eastAsia="fr-FR" w:bidi="he-IL"/>
        </w:rPr>
        <w:t>.</w:t>
      </w:r>
      <w:r w:rsidR="00795B48">
        <w:rPr>
          <w:rFonts w:eastAsia="Arial Unicode MS"/>
          <w:bCs/>
          <w:lang w:eastAsia="fr-FR" w:bidi="he-IL"/>
        </w:rPr>
        <w:t> »</w:t>
      </w:r>
      <w:r w:rsidR="00C2602D" w:rsidRPr="00C8701B">
        <w:rPr>
          <w:rFonts w:eastAsia="Arial Unicode MS"/>
          <w:bCs/>
          <w:lang w:eastAsia="fr-FR" w:bidi="he-IL"/>
        </w:rPr>
        <w:t xml:space="preserve"> </w:t>
      </w:r>
    </w:p>
    <w:p w:rsidR="002F5F03" w:rsidRPr="00C8701B" w:rsidRDefault="00B704AD" w:rsidP="002F5F03">
      <w:pPr>
        <w:rPr>
          <w:bCs/>
          <w:lang w:eastAsia="fr-FR"/>
        </w:rPr>
      </w:pPr>
      <w:r w:rsidRPr="00C8701B">
        <w:rPr>
          <w:rFonts w:eastAsia="Arial Unicode MS"/>
          <w:bCs/>
          <w:lang w:eastAsia="fr-FR" w:bidi="he-IL"/>
        </w:rPr>
        <w:t xml:space="preserve">2° Non seulement ce système </w:t>
      </w:r>
      <w:r w:rsidR="00795B48">
        <w:rPr>
          <w:rFonts w:eastAsia="Arial Unicode MS"/>
          <w:bCs/>
          <w:lang w:eastAsia="fr-FR" w:bidi="he-IL"/>
        </w:rPr>
        <w:t>ne</w:t>
      </w:r>
      <w:r w:rsidRPr="00C8701B">
        <w:rPr>
          <w:rFonts w:eastAsia="Arial Unicode MS"/>
          <w:bCs/>
          <w:lang w:eastAsia="fr-FR" w:bidi="he-IL"/>
        </w:rPr>
        <w:t xml:space="preserve"> s</w:t>
      </w:r>
      <w:r w:rsidR="00557DE0">
        <w:rPr>
          <w:rFonts w:eastAsia="Arial Unicode MS"/>
          <w:bCs/>
          <w:lang w:eastAsia="fr-FR" w:bidi="he-IL"/>
        </w:rPr>
        <w:t>’</w:t>
      </w:r>
      <w:r w:rsidRPr="00C8701B">
        <w:rPr>
          <w:rFonts w:eastAsia="Arial Unicode MS"/>
          <w:bCs/>
          <w:lang w:eastAsia="fr-FR" w:bidi="he-IL"/>
        </w:rPr>
        <w:t>appuie pas sur la tradition historique</w:t>
      </w:r>
      <w:r w:rsidR="00E65435">
        <w:rPr>
          <w:rFonts w:eastAsia="Arial Unicode MS"/>
          <w:bCs/>
          <w:lang w:eastAsia="fr-FR" w:bidi="he-IL"/>
        </w:rPr>
        <w:t xml:space="preserve">, </w:t>
      </w:r>
      <w:r w:rsidRPr="00C8701B">
        <w:rPr>
          <w:rFonts w:eastAsia="Arial Unicode MS"/>
          <w:bCs/>
          <w:lang w:eastAsia="fr-FR" w:bidi="he-IL"/>
        </w:rPr>
        <w:t>mais plusieurs des théories subsidiaires qui le composent dans son ensemble</w:t>
      </w:r>
      <w:r w:rsidR="00933C60" w:rsidRPr="00C406FF">
        <w:rPr>
          <w:rStyle w:val="Appelnotedebasdep"/>
        </w:rPr>
        <w:footnoteReference w:id="250"/>
      </w:r>
      <w:r w:rsidRPr="00C8701B">
        <w:rPr>
          <w:rFonts w:eastAsia="Arial Unicode MS"/>
          <w:bCs/>
          <w:lang w:eastAsia="fr-FR" w:bidi="he-IL"/>
        </w:rPr>
        <w:t xml:space="preserve"> sont directement et ouvertement en lutte avec cette tradition</w:t>
      </w:r>
      <w:r w:rsidR="00E65435">
        <w:rPr>
          <w:rFonts w:eastAsia="Arial Unicode MS"/>
          <w:bCs/>
          <w:lang w:eastAsia="fr-FR" w:bidi="he-IL"/>
        </w:rPr>
        <w:t xml:space="preserve">, </w:t>
      </w:r>
      <w:r w:rsidR="00A067B1" w:rsidRPr="000716BB">
        <w:rPr>
          <w:rFonts w:eastAsia="Arial Unicode MS"/>
          <w:bCs/>
          <w:lang w:eastAsia="fr-FR" w:bidi="he-IL"/>
        </w:rPr>
        <w:t>{</w:t>
      </w:r>
      <w:r w:rsidR="00A067B1">
        <w:rPr>
          <w:rFonts w:eastAsia="Arial Unicode MS"/>
          <w:bCs/>
          <w:lang w:eastAsia="fr-FR" w:bidi="he-IL"/>
        </w:rPr>
        <w:t>48</w:t>
      </w:r>
      <w:bookmarkStart w:id="82" w:name="pag048"/>
      <w:bookmarkEnd w:id="82"/>
      <w:r w:rsidR="00A067B1" w:rsidRPr="000716BB">
        <w:rPr>
          <w:rFonts w:eastAsia="Arial Unicode MS"/>
          <w:bCs/>
          <w:lang w:eastAsia="fr-FR" w:bidi="he-IL"/>
        </w:rPr>
        <w:t xml:space="preserve">} </w:t>
      </w:r>
      <w:r w:rsidR="002F5F03" w:rsidRPr="00C8701B">
        <w:rPr>
          <w:bCs/>
          <w:lang w:eastAsia="fr-FR"/>
        </w:rPr>
        <w:t>puisqu</w:t>
      </w:r>
      <w:r w:rsidR="00557DE0">
        <w:rPr>
          <w:bCs/>
          <w:lang w:eastAsia="fr-FR"/>
        </w:rPr>
        <w:t>’</w:t>
      </w:r>
      <w:r w:rsidR="002F5F03" w:rsidRPr="00C8701B">
        <w:rPr>
          <w:bCs/>
          <w:lang w:eastAsia="fr-FR"/>
        </w:rPr>
        <w:t>elles font apparaître les trois synoptiques dans un ordre chronologique contredit par elle</w:t>
      </w:r>
      <w:r w:rsidR="00933C60" w:rsidRPr="00C406FF">
        <w:rPr>
          <w:rStyle w:val="Appelnotedebasdep"/>
        </w:rPr>
        <w:footnoteReference w:id="251"/>
      </w:r>
      <w:r w:rsidR="002F5F03" w:rsidRPr="00C8701B">
        <w:rPr>
          <w:bCs/>
          <w:lang w:eastAsia="fr-FR"/>
        </w:rPr>
        <w:t xml:space="preserve">. </w:t>
      </w:r>
    </w:p>
    <w:p w:rsidR="002F5F03" w:rsidRPr="00C8701B" w:rsidRDefault="002F5F03" w:rsidP="002F5F03">
      <w:pPr>
        <w:rPr>
          <w:bCs/>
          <w:lang w:eastAsia="fr-FR"/>
        </w:rPr>
      </w:pPr>
      <w:r w:rsidRPr="00C8701B">
        <w:rPr>
          <w:bCs/>
          <w:lang w:eastAsia="fr-FR"/>
        </w:rPr>
        <w:t>3° Rien de plus subjectif</w:t>
      </w:r>
      <w:r>
        <w:rPr>
          <w:bCs/>
          <w:lang w:eastAsia="fr-FR"/>
        </w:rPr>
        <w:t xml:space="preserve">, </w:t>
      </w:r>
      <w:r w:rsidRPr="00C8701B">
        <w:rPr>
          <w:bCs/>
          <w:lang w:eastAsia="fr-FR"/>
        </w:rPr>
        <w:t>partant de plus arbitraire</w:t>
      </w:r>
      <w:r>
        <w:rPr>
          <w:bCs/>
          <w:lang w:eastAsia="fr-FR"/>
        </w:rPr>
        <w:t xml:space="preserve">, </w:t>
      </w:r>
      <w:r w:rsidRPr="00C8701B">
        <w:rPr>
          <w:bCs/>
          <w:lang w:eastAsia="fr-FR"/>
        </w:rPr>
        <w:t>que les détails de ce système. Comment n</w:t>
      </w:r>
      <w:r w:rsidR="00557DE0">
        <w:rPr>
          <w:bCs/>
          <w:lang w:eastAsia="fr-FR"/>
        </w:rPr>
        <w:t>’</w:t>
      </w:r>
      <w:r w:rsidRPr="00C8701B">
        <w:rPr>
          <w:bCs/>
          <w:lang w:eastAsia="fr-FR"/>
        </w:rPr>
        <w:t>en serait-il pas ainsi</w:t>
      </w:r>
      <w:r>
        <w:rPr>
          <w:bCs/>
          <w:lang w:eastAsia="fr-FR"/>
        </w:rPr>
        <w:t xml:space="preserve">, </w:t>
      </w:r>
      <w:r w:rsidRPr="00C8701B">
        <w:rPr>
          <w:bCs/>
          <w:lang w:eastAsia="fr-FR"/>
        </w:rPr>
        <w:t>quand on se fait fort</w:t>
      </w:r>
      <w:r>
        <w:rPr>
          <w:bCs/>
          <w:lang w:eastAsia="fr-FR"/>
        </w:rPr>
        <w:t xml:space="preserve">, </w:t>
      </w:r>
      <w:r w:rsidRPr="00C8701B">
        <w:rPr>
          <w:bCs/>
          <w:lang w:eastAsia="fr-FR"/>
        </w:rPr>
        <w:t>par exemple</w:t>
      </w:r>
      <w:r>
        <w:rPr>
          <w:bCs/>
          <w:lang w:eastAsia="fr-FR"/>
        </w:rPr>
        <w:t xml:space="preserve">, </w:t>
      </w:r>
      <w:r w:rsidRPr="00C8701B">
        <w:rPr>
          <w:bCs/>
          <w:lang w:eastAsia="fr-FR"/>
        </w:rPr>
        <w:t>de démontrer par le menu des propositions du genre de celle-ci. « Une foule de phénomènes tentent à démontrer que le premier évangéliste a transcrit le</w:t>
      </w:r>
      <w:r>
        <w:rPr>
          <w:rStyle w:val="italicus"/>
        </w:rPr>
        <w:t xml:space="preserve"> Prot</w:t>
      </w:r>
      <w:r w:rsidRPr="00DC4586">
        <w:rPr>
          <w:rStyle w:val="italicus"/>
        </w:rPr>
        <w:t>o-Marc</w:t>
      </w:r>
      <w:r w:rsidRPr="00C8701B">
        <w:rPr>
          <w:bCs/>
          <w:lang w:eastAsia="fr-FR"/>
        </w:rPr>
        <w:t xml:space="preserve"> de mémoire</w:t>
      </w:r>
      <w:r>
        <w:rPr>
          <w:bCs/>
          <w:lang w:eastAsia="fr-FR"/>
        </w:rPr>
        <w:t xml:space="preserve">, </w:t>
      </w:r>
      <w:r w:rsidRPr="00C8701B">
        <w:rPr>
          <w:bCs/>
          <w:lang w:eastAsia="fr-FR"/>
        </w:rPr>
        <w:t>tandis que le second l</w:t>
      </w:r>
      <w:r w:rsidR="00557DE0">
        <w:rPr>
          <w:bCs/>
          <w:lang w:eastAsia="fr-FR"/>
        </w:rPr>
        <w:t>’</w:t>
      </w:r>
      <w:r w:rsidRPr="00C8701B">
        <w:rPr>
          <w:bCs/>
          <w:lang w:eastAsia="fr-FR"/>
        </w:rPr>
        <w:t>aurait plutôt copié »</w:t>
      </w:r>
      <w:r w:rsidR="00933C60" w:rsidRPr="00C406FF">
        <w:rPr>
          <w:rStyle w:val="Appelnotedebasdep"/>
        </w:rPr>
        <w:footnoteReference w:id="252"/>
      </w:r>
      <w:r w:rsidRPr="00C8701B">
        <w:rPr>
          <w:bCs/>
          <w:lang w:eastAsia="fr-FR"/>
        </w:rPr>
        <w:t xml:space="preserve"> ? </w:t>
      </w:r>
    </w:p>
    <w:p w:rsidR="002F5F03" w:rsidRPr="00C8701B" w:rsidRDefault="002F5F03" w:rsidP="002F5F03">
      <w:pPr>
        <w:rPr>
          <w:bCs/>
          <w:lang w:eastAsia="fr-FR"/>
        </w:rPr>
      </w:pPr>
      <w:r>
        <w:rPr>
          <w:bCs/>
          <w:lang w:eastAsia="fr-FR"/>
        </w:rPr>
        <w:t>4°</w:t>
      </w:r>
      <w:r w:rsidRPr="00C8701B">
        <w:rPr>
          <w:bCs/>
          <w:lang w:eastAsia="fr-FR"/>
        </w:rPr>
        <w:t xml:space="preserve"> Aussi</w:t>
      </w:r>
      <w:r>
        <w:rPr>
          <w:bCs/>
          <w:lang w:eastAsia="fr-FR"/>
        </w:rPr>
        <w:t xml:space="preserve">, </w:t>
      </w:r>
      <w:r w:rsidRPr="00C8701B">
        <w:rPr>
          <w:bCs/>
          <w:lang w:eastAsia="fr-FR"/>
        </w:rPr>
        <w:t>nous l</w:t>
      </w:r>
      <w:r w:rsidR="00557DE0">
        <w:rPr>
          <w:bCs/>
          <w:lang w:eastAsia="fr-FR"/>
        </w:rPr>
        <w:t>’</w:t>
      </w:r>
      <w:r w:rsidRPr="00C8701B">
        <w:rPr>
          <w:bCs/>
          <w:lang w:eastAsia="fr-FR"/>
        </w:rPr>
        <w:t>avons vu</w:t>
      </w:r>
      <w:r>
        <w:rPr>
          <w:bCs/>
          <w:lang w:eastAsia="fr-FR"/>
        </w:rPr>
        <w:t xml:space="preserve">, </w:t>
      </w:r>
      <w:r w:rsidRPr="00C8701B">
        <w:rPr>
          <w:bCs/>
          <w:lang w:eastAsia="fr-FR"/>
        </w:rPr>
        <w:t>les partisans de ce système ne peuvent-ils s</w:t>
      </w:r>
      <w:r w:rsidR="00557DE0">
        <w:rPr>
          <w:bCs/>
          <w:lang w:eastAsia="fr-FR"/>
        </w:rPr>
        <w:t>’</w:t>
      </w:r>
      <w:r w:rsidRPr="00C8701B">
        <w:rPr>
          <w:bCs/>
          <w:lang w:eastAsia="fr-FR"/>
        </w:rPr>
        <w:t>accorder entre eux </w:t>
      </w:r>
      <w:r>
        <w:rPr>
          <w:bCs/>
          <w:lang w:eastAsia="fr-FR"/>
        </w:rPr>
        <w:t xml:space="preserve">; </w:t>
      </w:r>
      <w:r w:rsidRPr="00C8701B">
        <w:rPr>
          <w:bCs/>
          <w:lang w:eastAsia="fr-FR"/>
        </w:rPr>
        <w:t>ils se réfutent par là-même réciproquement. « Keim voit clairement que le but de S. M</w:t>
      </w:r>
      <w:r>
        <w:rPr>
          <w:bCs/>
          <w:lang w:eastAsia="fr-FR"/>
        </w:rPr>
        <w:t>arc à été de réunir les deux aut</w:t>
      </w:r>
      <w:r w:rsidRPr="00C8701B">
        <w:rPr>
          <w:bCs/>
          <w:lang w:eastAsia="fr-FR"/>
        </w:rPr>
        <w:t>res évangiles dans le sien</w:t>
      </w:r>
      <w:r>
        <w:rPr>
          <w:bCs/>
          <w:lang w:eastAsia="fr-FR"/>
        </w:rPr>
        <w:t xml:space="preserve">, </w:t>
      </w:r>
      <w:r w:rsidRPr="00C8701B">
        <w:rPr>
          <w:bCs/>
          <w:lang w:eastAsia="fr-FR"/>
        </w:rPr>
        <w:t>en se mettant</w:t>
      </w:r>
      <w:r>
        <w:rPr>
          <w:bCs/>
          <w:lang w:eastAsia="fr-FR"/>
        </w:rPr>
        <w:t>, dans la première partie de so</w:t>
      </w:r>
      <w:r w:rsidRPr="00C8701B">
        <w:rPr>
          <w:bCs/>
          <w:lang w:eastAsia="fr-FR"/>
        </w:rPr>
        <w:t>n récit</w:t>
      </w:r>
      <w:r>
        <w:rPr>
          <w:bCs/>
          <w:lang w:eastAsia="fr-FR"/>
        </w:rPr>
        <w:t xml:space="preserve">, </w:t>
      </w:r>
      <w:r w:rsidRPr="00C8701B">
        <w:rPr>
          <w:bCs/>
          <w:lang w:eastAsia="fr-FR"/>
        </w:rPr>
        <w:t>sous la conduite de S. Luc </w:t>
      </w:r>
      <w:r>
        <w:rPr>
          <w:bCs/>
          <w:lang w:eastAsia="fr-FR"/>
        </w:rPr>
        <w:t xml:space="preserve">; </w:t>
      </w:r>
      <w:r w:rsidRPr="00C8701B">
        <w:rPr>
          <w:bCs/>
          <w:lang w:eastAsia="fr-FR"/>
        </w:rPr>
        <w:t>dans la seconde</w:t>
      </w:r>
      <w:r>
        <w:rPr>
          <w:bCs/>
          <w:lang w:eastAsia="fr-FR"/>
        </w:rPr>
        <w:t xml:space="preserve">, </w:t>
      </w:r>
      <w:r w:rsidRPr="00C8701B">
        <w:rPr>
          <w:bCs/>
          <w:lang w:eastAsia="fr-FR"/>
        </w:rPr>
        <w:t>sous celle de S. Matthieu. MM. Reuss et Réville ne voient pas avec moins de clarté</w:t>
      </w:r>
      <w:r>
        <w:rPr>
          <w:bCs/>
          <w:lang w:eastAsia="fr-FR"/>
        </w:rPr>
        <w:t xml:space="preserve"> que S. Marc est vraiment l</w:t>
      </w:r>
      <w:r w:rsidRPr="00C8701B">
        <w:rPr>
          <w:bCs/>
          <w:lang w:eastAsia="fr-FR"/>
        </w:rPr>
        <w:t>e plus original des trois synoptiques. Néanmoins</w:t>
      </w:r>
      <w:r>
        <w:rPr>
          <w:bCs/>
          <w:lang w:eastAsia="fr-FR"/>
        </w:rPr>
        <w:t xml:space="preserve">, </w:t>
      </w:r>
      <w:r w:rsidRPr="00C8701B">
        <w:rPr>
          <w:bCs/>
          <w:lang w:eastAsia="fr-FR"/>
        </w:rPr>
        <w:t>d</w:t>
      </w:r>
      <w:r w:rsidR="00557DE0">
        <w:rPr>
          <w:bCs/>
          <w:lang w:eastAsia="fr-FR"/>
        </w:rPr>
        <w:t>’</w:t>
      </w:r>
      <w:r w:rsidRPr="00C8701B">
        <w:rPr>
          <w:bCs/>
          <w:lang w:eastAsia="fr-FR"/>
        </w:rPr>
        <w:t>après Hilgenfeld</w:t>
      </w:r>
      <w:r>
        <w:rPr>
          <w:bCs/>
          <w:lang w:eastAsia="fr-FR"/>
        </w:rPr>
        <w:t xml:space="preserve">, </w:t>
      </w:r>
      <w:r w:rsidRPr="00C8701B">
        <w:rPr>
          <w:bCs/>
          <w:lang w:eastAsia="fr-FR"/>
        </w:rPr>
        <w:t>le second évangile ne dépend que du premier et est tout à fait indépendant du second</w:t>
      </w:r>
      <w:r w:rsidR="00933C60" w:rsidRPr="00C406FF">
        <w:rPr>
          <w:rStyle w:val="Appelnotedebasdep"/>
        </w:rPr>
        <w:footnoteReference w:id="253"/>
      </w:r>
      <w:r w:rsidRPr="00C8701B">
        <w:rPr>
          <w:bCs/>
          <w:lang w:eastAsia="fr-FR"/>
        </w:rPr>
        <w:t>.</w:t>
      </w:r>
      <w:r>
        <w:rPr>
          <w:bCs/>
          <w:lang w:eastAsia="fr-FR"/>
        </w:rPr>
        <w:t> »</w:t>
      </w:r>
      <w:r w:rsidRPr="00C8701B">
        <w:rPr>
          <w:bCs/>
          <w:lang w:eastAsia="fr-FR"/>
        </w:rPr>
        <w:t xml:space="preserve"> Quelle conclusion tirer de ce « chaos d</w:t>
      </w:r>
      <w:r w:rsidR="00557DE0">
        <w:rPr>
          <w:bCs/>
          <w:lang w:eastAsia="fr-FR"/>
        </w:rPr>
        <w:t>’</w:t>
      </w:r>
      <w:r w:rsidRPr="00C8701B">
        <w:rPr>
          <w:bCs/>
          <w:lang w:eastAsia="fr-FR"/>
        </w:rPr>
        <w:t>opinions</w:t>
      </w:r>
      <w:r w:rsidR="00933C60" w:rsidRPr="00C406FF">
        <w:rPr>
          <w:rStyle w:val="Appelnotedebasdep"/>
        </w:rPr>
        <w:footnoteReference w:id="254"/>
      </w:r>
      <w:r w:rsidRPr="00C8701B">
        <w:rPr>
          <w:bCs/>
          <w:lang w:eastAsia="fr-FR"/>
        </w:rPr>
        <w:t> »</w:t>
      </w:r>
      <w:r>
        <w:rPr>
          <w:bCs/>
          <w:lang w:eastAsia="fr-FR"/>
        </w:rPr>
        <w:t xml:space="preserve">, </w:t>
      </w:r>
      <w:r w:rsidRPr="00C8701B">
        <w:rPr>
          <w:bCs/>
          <w:lang w:eastAsia="fr-FR"/>
        </w:rPr>
        <w:t>sinon que c</w:t>
      </w:r>
      <w:r w:rsidR="00557DE0">
        <w:rPr>
          <w:bCs/>
          <w:lang w:eastAsia="fr-FR"/>
        </w:rPr>
        <w:t>’</w:t>
      </w:r>
      <w:r w:rsidRPr="00C8701B">
        <w:rPr>
          <w:bCs/>
          <w:lang w:eastAsia="fr-FR"/>
        </w:rPr>
        <w:t>est la méthode même qui est en faute ? « Les critiques les plus éminents</w:t>
      </w:r>
      <w:r>
        <w:rPr>
          <w:bCs/>
          <w:lang w:eastAsia="fr-FR"/>
        </w:rPr>
        <w:t>, une fois abandonné</w:t>
      </w:r>
      <w:r w:rsidRPr="00C8701B">
        <w:rPr>
          <w:bCs/>
          <w:lang w:eastAsia="fr-FR"/>
        </w:rPr>
        <w:t>s à une appréciation tout individuelle</w:t>
      </w:r>
      <w:r>
        <w:rPr>
          <w:bCs/>
          <w:lang w:eastAsia="fr-FR"/>
        </w:rPr>
        <w:t xml:space="preserve">, </w:t>
      </w:r>
      <w:r w:rsidRPr="00C8701B">
        <w:rPr>
          <w:bCs/>
          <w:lang w:eastAsia="fr-FR"/>
        </w:rPr>
        <w:t>sans</w:t>
      </w:r>
      <w:r>
        <w:rPr>
          <w:bCs/>
          <w:lang w:eastAsia="fr-FR"/>
        </w:rPr>
        <w:t xml:space="preserve"> être guidés par aucune traditio</w:t>
      </w:r>
      <w:r w:rsidRPr="00C8701B">
        <w:rPr>
          <w:bCs/>
          <w:lang w:eastAsia="fr-FR"/>
        </w:rPr>
        <w:t>n</w:t>
      </w:r>
      <w:r>
        <w:rPr>
          <w:bCs/>
          <w:lang w:eastAsia="fr-FR"/>
        </w:rPr>
        <w:t xml:space="preserve">, </w:t>
      </w:r>
      <w:r w:rsidRPr="00C8701B">
        <w:rPr>
          <w:bCs/>
          <w:lang w:eastAsia="fr-FR"/>
        </w:rPr>
        <w:t>portent les jugements les plus d</w:t>
      </w:r>
      <w:r>
        <w:rPr>
          <w:bCs/>
          <w:lang w:eastAsia="fr-FR"/>
        </w:rPr>
        <w:t>ivers sur les mêmes textes... Il</w:t>
      </w:r>
      <w:r w:rsidRPr="00C8701B">
        <w:rPr>
          <w:bCs/>
          <w:lang w:eastAsia="fr-FR"/>
        </w:rPr>
        <w:t xml:space="preserve"> en résulte que la science ne possède aucun critère certain pour opérer des distinctions si délicates </w:t>
      </w:r>
      <w:r>
        <w:rPr>
          <w:bCs/>
          <w:lang w:eastAsia="fr-FR"/>
        </w:rPr>
        <w:t xml:space="preserve">; </w:t>
      </w:r>
      <w:r w:rsidRPr="00C8701B">
        <w:rPr>
          <w:bCs/>
          <w:lang w:eastAsia="fr-FR"/>
        </w:rPr>
        <w:t>nous sommes même persuadé qu</w:t>
      </w:r>
      <w:r w:rsidR="00557DE0">
        <w:rPr>
          <w:bCs/>
          <w:lang w:eastAsia="fr-FR"/>
        </w:rPr>
        <w:t>’</w:t>
      </w:r>
      <w:r w:rsidRPr="00C8701B">
        <w:rPr>
          <w:bCs/>
          <w:lang w:eastAsia="fr-FR"/>
        </w:rPr>
        <w:t>elle ne le possédera jamais</w:t>
      </w:r>
      <w:r>
        <w:rPr>
          <w:bCs/>
          <w:lang w:eastAsia="fr-FR"/>
        </w:rPr>
        <w:t xml:space="preserve">, </w:t>
      </w:r>
      <w:r w:rsidRPr="00C8701B">
        <w:rPr>
          <w:bCs/>
          <w:lang w:eastAsia="fr-FR"/>
        </w:rPr>
        <w:t>et que</w:t>
      </w:r>
      <w:r>
        <w:rPr>
          <w:bCs/>
          <w:lang w:eastAsia="fr-FR"/>
        </w:rPr>
        <w:t xml:space="preserve">, </w:t>
      </w:r>
      <w:r w:rsidRPr="00C8701B">
        <w:rPr>
          <w:bCs/>
          <w:lang w:eastAsia="fr-FR"/>
        </w:rPr>
        <w:t>dans cette voie</w:t>
      </w:r>
      <w:r>
        <w:rPr>
          <w:bCs/>
          <w:lang w:eastAsia="fr-FR"/>
        </w:rPr>
        <w:t xml:space="preserve">, </w:t>
      </w:r>
      <w:r w:rsidRPr="00C8701B">
        <w:rPr>
          <w:bCs/>
          <w:lang w:eastAsia="fr-FR"/>
        </w:rPr>
        <w:t>il n</w:t>
      </w:r>
      <w:r w:rsidR="00557DE0">
        <w:rPr>
          <w:bCs/>
          <w:lang w:eastAsia="fr-FR"/>
        </w:rPr>
        <w:t>’</w:t>
      </w:r>
      <w:r w:rsidRPr="00C8701B">
        <w:rPr>
          <w:bCs/>
          <w:lang w:eastAsia="fr-FR"/>
        </w:rPr>
        <w:t>y a pas de limite à l</w:t>
      </w:r>
      <w:r w:rsidR="00557DE0">
        <w:rPr>
          <w:bCs/>
          <w:lang w:eastAsia="fr-FR"/>
        </w:rPr>
        <w:t>’</w:t>
      </w:r>
      <w:r w:rsidRPr="00C8701B">
        <w:rPr>
          <w:bCs/>
          <w:lang w:eastAsia="fr-FR"/>
        </w:rPr>
        <w:t>arbitraire de la critique »</w:t>
      </w:r>
      <w:r w:rsidR="00933C60" w:rsidRPr="00C406FF">
        <w:rPr>
          <w:rStyle w:val="Appelnotedebasdep"/>
        </w:rPr>
        <w:footnoteReference w:id="255"/>
      </w:r>
      <w:r w:rsidRPr="00C8701B">
        <w:rPr>
          <w:bCs/>
          <w:lang w:eastAsia="fr-FR"/>
        </w:rPr>
        <w:t xml:space="preserve">. </w:t>
      </w:r>
    </w:p>
    <w:p w:rsidR="00C2602D" w:rsidRPr="00C8701B" w:rsidRDefault="002F5F03" w:rsidP="002F5F03">
      <w:pPr>
        <w:rPr>
          <w:bCs/>
          <w:lang w:eastAsia="fr-FR"/>
        </w:rPr>
      </w:pPr>
      <w:r w:rsidRPr="00C8701B">
        <w:rPr>
          <w:bCs/>
          <w:lang w:eastAsia="fr-FR"/>
        </w:rPr>
        <w:t>5</w:t>
      </w:r>
      <w:r>
        <w:rPr>
          <w:bCs/>
          <w:lang w:eastAsia="fr-FR"/>
        </w:rPr>
        <w:t>°</w:t>
      </w:r>
      <w:r w:rsidRPr="00C8701B">
        <w:rPr>
          <w:bCs/>
          <w:lang w:eastAsia="fr-FR"/>
        </w:rPr>
        <w:t xml:space="preserve"> Ce système peut</w:t>
      </w:r>
      <w:r>
        <w:rPr>
          <w:bCs/>
          <w:lang w:eastAsia="fr-FR"/>
        </w:rPr>
        <w:t xml:space="preserve">, </w:t>
      </w:r>
      <w:r w:rsidRPr="00C8701B">
        <w:rPr>
          <w:bCs/>
          <w:lang w:eastAsia="fr-FR"/>
        </w:rPr>
        <w:t>jusqu</w:t>
      </w:r>
      <w:r w:rsidR="00557DE0">
        <w:rPr>
          <w:bCs/>
          <w:lang w:eastAsia="fr-FR"/>
        </w:rPr>
        <w:t>’</w:t>
      </w:r>
      <w:r w:rsidRPr="00C8701B">
        <w:rPr>
          <w:bCs/>
          <w:lang w:eastAsia="fr-FR"/>
        </w:rPr>
        <w:t>à un certain point</w:t>
      </w:r>
      <w:r>
        <w:rPr>
          <w:bCs/>
          <w:lang w:eastAsia="fr-FR"/>
        </w:rPr>
        <w:t xml:space="preserve">, </w:t>
      </w:r>
      <w:r w:rsidRPr="00C8701B">
        <w:rPr>
          <w:bCs/>
          <w:lang w:eastAsia="fr-FR"/>
        </w:rPr>
        <w:t>expliquer l</w:t>
      </w:r>
      <w:r w:rsidR="00557DE0">
        <w:rPr>
          <w:bCs/>
          <w:lang w:eastAsia="fr-FR"/>
        </w:rPr>
        <w:t>’</w:t>
      </w:r>
      <w:r w:rsidRPr="00C8701B">
        <w:rPr>
          <w:bCs/>
          <w:lang w:eastAsia="fr-FR"/>
        </w:rPr>
        <w:t>harmonie souvent très remarquable des synoptiques </w:t>
      </w:r>
      <w:r>
        <w:rPr>
          <w:bCs/>
          <w:lang w:eastAsia="fr-FR"/>
        </w:rPr>
        <w:t xml:space="preserve">; </w:t>
      </w:r>
      <w:r w:rsidRPr="00C8701B">
        <w:rPr>
          <w:bCs/>
          <w:lang w:eastAsia="fr-FR"/>
        </w:rPr>
        <w:t>mais il a le tort de ne pas rendre compte de leurs divergences</w:t>
      </w:r>
      <w:r>
        <w:rPr>
          <w:bCs/>
          <w:lang w:eastAsia="fr-FR"/>
        </w:rPr>
        <w:t xml:space="preserve">, </w:t>
      </w:r>
      <w:r w:rsidRPr="00C8701B">
        <w:rPr>
          <w:bCs/>
          <w:lang w:eastAsia="fr-FR"/>
        </w:rPr>
        <w:t>et aussi de la méthode propre à chacun. « D</w:t>
      </w:r>
      <w:r w:rsidR="00557DE0">
        <w:rPr>
          <w:bCs/>
          <w:lang w:eastAsia="fr-FR"/>
        </w:rPr>
        <w:t>’</w:t>
      </w:r>
      <w:r w:rsidRPr="00C8701B">
        <w:rPr>
          <w:bCs/>
          <w:lang w:eastAsia="fr-FR"/>
        </w:rPr>
        <w:t>où vient que la ressemblance est intermittente</w:t>
      </w:r>
      <w:r>
        <w:rPr>
          <w:bCs/>
          <w:lang w:eastAsia="fr-FR"/>
        </w:rPr>
        <w:t xml:space="preserve">, </w:t>
      </w:r>
      <w:r w:rsidRPr="00C8701B">
        <w:rPr>
          <w:bCs/>
          <w:lang w:eastAsia="fr-FR"/>
        </w:rPr>
        <w:t>et cela non seulement dans le même récit</w:t>
      </w:r>
      <w:r>
        <w:rPr>
          <w:bCs/>
          <w:lang w:eastAsia="fr-FR"/>
        </w:rPr>
        <w:t xml:space="preserve">, </w:t>
      </w:r>
      <w:r w:rsidRPr="00C8701B">
        <w:rPr>
          <w:bCs/>
          <w:lang w:eastAsia="fr-FR"/>
        </w:rPr>
        <w:t>mais dans le même paragraphe</w:t>
      </w:r>
      <w:r>
        <w:rPr>
          <w:bCs/>
          <w:lang w:eastAsia="fr-FR"/>
        </w:rPr>
        <w:t xml:space="preserve">, </w:t>
      </w:r>
      <w:r w:rsidRPr="00C8701B">
        <w:rPr>
          <w:bCs/>
          <w:lang w:eastAsia="fr-FR"/>
        </w:rPr>
        <w:t>dans la même phrase ? S. Luc copierait servilement S. Matthieu pendant un quart de ligne </w:t>
      </w:r>
      <w:r>
        <w:rPr>
          <w:bCs/>
          <w:lang w:eastAsia="fr-FR"/>
        </w:rPr>
        <w:t xml:space="preserve">; </w:t>
      </w:r>
      <w:r w:rsidRPr="00C8701B">
        <w:rPr>
          <w:bCs/>
          <w:lang w:eastAsia="fr-FR"/>
        </w:rPr>
        <w:t>puis il s</w:t>
      </w:r>
      <w:r w:rsidR="00557DE0">
        <w:rPr>
          <w:bCs/>
          <w:lang w:eastAsia="fr-FR"/>
        </w:rPr>
        <w:t>’</w:t>
      </w:r>
      <w:r w:rsidRPr="00C8701B">
        <w:rPr>
          <w:bCs/>
          <w:lang w:eastAsia="fr-FR"/>
        </w:rPr>
        <w:t>affranchirait de lui dans le quart suivant ? Mais</w:t>
      </w:r>
      <w:r>
        <w:rPr>
          <w:bCs/>
          <w:lang w:eastAsia="fr-FR"/>
        </w:rPr>
        <w:t xml:space="preserve">, </w:t>
      </w:r>
      <w:r w:rsidRPr="00C8701B">
        <w:rPr>
          <w:bCs/>
          <w:lang w:eastAsia="fr-FR"/>
        </w:rPr>
        <w:t>c</w:t>
      </w:r>
      <w:r w:rsidR="00557DE0">
        <w:rPr>
          <w:bCs/>
          <w:lang w:eastAsia="fr-FR"/>
        </w:rPr>
        <w:t>’</w:t>
      </w:r>
      <w:r w:rsidRPr="00C8701B">
        <w:rPr>
          <w:bCs/>
          <w:lang w:eastAsia="fr-FR"/>
        </w:rPr>
        <w:t>est un jeu</w:t>
      </w:r>
      <w:r>
        <w:rPr>
          <w:bCs/>
          <w:lang w:eastAsia="fr-FR"/>
        </w:rPr>
        <w:t xml:space="preserve">, </w:t>
      </w:r>
      <w:r w:rsidRPr="00C8701B">
        <w:rPr>
          <w:bCs/>
          <w:lang w:eastAsia="fr-FR"/>
        </w:rPr>
        <w:t>si le sens est le même </w:t>
      </w:r>
      <w:r>
        <w:rPr>
          <w:bCs/>
          <w:lang w:eastAsia="fr-FR"/>
        </w:rPr>
        <w:t xml:space="preserve">; </w:t>
      </w:r>
      <w:r w:rsidRPr="00C8701B">
        <w:rPr>
          <w:bCs/>
          <w:lang w:eastAsia="fr-FR"/>
        </w:rPr>
        <w:t>c</w:t>
      </w:r>
      <w:r w:rsidR="00557DE0">
        <w:rPr>
          <w:bCs/>
          <w:lang w:eastAsia="fr-FR"/>
        </w:rPr>
        <w:t>’</w:t>
      </w:r>
      <w:r w:rsidRPr="00C8701B">
        <w:rPr>
          <w:bCs/>
          <w:lang w:eastAsia="fr-FR"/>
        </w:rPr>
        <w:t>est pis encore</w:t>
      </w:r>
      <w:r>
        <w:rPr>
          <w:bCs/>
          <w:lang w:eastAsia="fr-FR"/>
        </w:rPr>
        <w:t xml:space="preserve">, </w:t>
      </w:r>
      <w:r w:rsidRPr="00C8701B">
        <w:rPr>
          <w:bCs/>
          <w:lang w:eastAsia="fr-FR"/>
        </w:rPr>
        <w:t>si le changement modifie le sens... Voilà donc notre auteur empruntant trois mots à un document</w:t>
      </w:r>
      <w:r>
        <w:rPr>
          <w:bCs/>
          <w:lang w:eastAsia="fr-FR"/>
        </w:rPr>
        <w:t xml:space="preserve">, </w:t>
      </w:r>
      <w:r w:rsidRPr="00C8701B">
        <w:rPr>
          <w:bCs/>
          <w:lang w:eastAsia="fr-FR"/>
        </w:rPr>
        <w:t>deux à un autre...</w:t>
      </w:r>
      <w:r>
        <w:rPr>
          <w:bCs/>
          <w:lang w:eastAsia="fr-FR"/>
        </w:rPr>
        <w:t xml:space="preserve">, </w:t>
      </w:r>
      <w:r w:rsidRPr="00C8701B">
        <w:rPr>
          <w:bCs/>
          <w:lang w:eastAsia="fr-FR"/>
        </w:rPr>
        <w:t>et cela dans chaque phrase d</w:t>
      </w:r>
      <w:r w:rsidR="00557DE0">
        <w:rPr>
          <w:bCs/>
          <w:lang w:eastAsia="fr-FR"/>
        </w:rPr>
        <w:t>’</w:t>
      </w:r>
      <w:r w:rsidRPr="00C8701B">
        <w:rPr>
          <w:bCs/>
          <w:lang w:eastAsia="fr-FR"/>
        </w:rPr>
        <w:t>un bout à l</w:t>
      </w:r>
      <w:r w:rsidR="00557DE0">
        <w:rPr>
          <w:bCs/>
          <w:lang w:eastAsia="fr-FR"/>
        </w:rPr>
        <w:t>’</w:t>
      </w:r>
      <w:r w:rsidRPr="00C8701B">
        <w:rPr>
          <w:bCs/>
          <w:lang w:eastAsia="fr-FR"/>
        </w:rPr>
        <w:t>autre de son écrit ! Qui peut admettre l</w:t>
      </w:r>
      <w:r w:rsidR="00557DE0">
        <w:rPr>
          <w:bCs/>
          <w:lang w:eastAsia="fr-FR"/>
        </w:rPr>
        <w:t>’</w:t>
      </w:r>
      <w:r w:rsidRPr="00C8701B">
        <w:rPr>
          <w:bCs/>
          <w:lang w:eastAsia="fr-FR"/>
        </w:rPr>
        <w:t>idée d</w:t>
      </w:r>
      <w:r w:rsidR="00557DE0">
        <w:rPr>
          <w:bCs/>
          <w:lang w:eastAsia="fr-FR"/>
        </w:rPr>
        <w:t>’</w:t>
      </w:r>
      <w:r w:rsidRPr="00C8701B">
        <w:rPr>
          <w:bCs/>
          <w:lang w:eastAsia="fr-FR"/>
        </w:rPr>
        <w:t>un pareil placage ?... Non</w:t>
      </w:r>
      <w:r>
        <w:rPr>
          <w:bCs/>
          <w:lang w:eastAsia="fr-FR"/>
        </w:rPr>
        <w:t xml:space="preserve">, </w:t>
      </w:r>
      <w:r w:rsidRPr="00C8701B">
        <w:rPr>
          <w:bCs/>
          <w:lang w:eastAsia="fr-FR"/>
        </w:rPr>
        <w:t>une pareille œuv</w:t>
      </w:r>
      <w:r>
        <w:rPr>
          <w:bCs/>
          <w:lang w:eastAsia="fr-FR"/>
        </w:rPr>
        <w:t xml:space="preserve">re de </w:t>
      </w:r>
      <w:r w:rsidRPr="00C8701B">
        <w:rPr>
          <w:bCs/>
          <w:lang w:eastAsia="fr-FR"/>
        </w:rPr>
        <w:t>marqueterie ne fût jamais devenue cette narration constante</w:t>
      </w:r>
      <w:r>
        <w:rPr>
          <w:bCs/>
          <w:lang w:eastAsia="fr-FR"/>
        </w:rPr>
        <w:t xml:space="preserve">, </w:t>
      </w:r>
      <w:r w:rsidRPr="00C8701B">
        <w:rPr>
          <w:bCs/>
          <w:lang w:eastAsia="fr-FR"/>
        </w:rPr>
        <w:t>simple aux évangiles</w:t>
      </w:r>
      <w:r>
        <w:rPr>
          <w:bCs/>
          <w:lang w:eastAsia="fr-FR"/>
        </w:rPr>
        <w:t xml:space="preserve"> </w:t>
      </w:r>
      <w:r w:rsidR="00B704AD" w:rsidRPr="00C8701B">
        <w:rPr>
          <w:bCs/>
          <w:lang w:eastAsia="fr-FR"/>
        </w:rPr>
        <w:t>et limpide que</w:t>
      </w:r>
      <w:r w:rsidR="00E65435">
        <w:rPr>
          <w:bCs/>
          <w:lang w:eastAsia="fr-FR"/>
        </w:rPr>
        <w:t xml:space="preserve">, </w:t>
      </w:r>
      <w:r w:rsidR="00B704AD" w:rsidRPr="00C8701B">
        <w:rPr>
          <w:bCs/>
          <w:lang w:eastAsia="fr-FR"/>
        </w:rPr>
        <w:t>nous admirons dans notre évangile</w:t>
      </w:r>
      <w:r w:rsidR="00933C60" w:rsidRPr="00C406FF">
        <w:rPr>
          <w:rStyle w:val="Appelnotedebasdep"/>
        </w:rPr>
        <w:footnoteReference w:id="256"/>
      </w:r>
      <w:r>
        <w:rPr>
          <w:bCs/>
          <w:lang w:eastAsia="fr-FR"/>
        </w:rPr>
        <w:t xml:space="preserve">. » </w:t>
      </w:r>
      <w:r w:rsidR="00A067B1" w:rsidRPr="000716BB">
        <w:rPr>
          <w:rFonts w:eastAsia="Arial Unicode MS"/>
          <w:bCs/>
          <w:lang w:eastAsia="fr-FR" w:bidi="he-IL"/>
        </w:rPr>
        <w:t>{</w:t>
      </w:r>
      <w:r w:rsidR="00A067B1">
        <w:rPr>
          <w:rFonts w:eastAsia="Arial Unicode MS"/>
          <w:bCs/>
          <w:lang w:eastAsia="fr-FR" w:bidi="he-IL"/>
        </w:rPr>
        <w:t>49</w:t>
      </w:r>
      <w:bookmarkStart w:id="83" w:name="pag049"/>
      <w:bookmarkEnd w:id="83"/>
      <w:r w:rsidR="00A067B1" w:rsidRPr="000716BB">
        <w:rPr>
          <w:rFonts w:eastAsia="Arial Unicode MS"/>
          <w:bCs/>
          <w:lang w:eastAsia="fr-FR" w:bidi="he-IL"/>
        </w:rPr>
        <w:t xml:space="preserve">} </w:t>
      </w:r>
      <w:r>
        <w:rPr>
          <w:bCs/>
          <w:lang w:eastAsia="fr-FR"/>
        </w:rPr>
        <w:t>C</w:t>
      </w:r>
      <w:r w:rsidR="00557DE0">
        <w:rPr>
          <w:bCs/>
          <w:lang w:eastAsia="fr-FR" w:bidi="he-IL"/>
        </w:rPr>
        <w:t>’</w:t>
      </w:r>
      <w:r w:rsidR="00B704AD" w:rsidRPr="00C8701B">
        <w:rPr>
          <w:bCs/>
          <w:lang w:eastAsia="fr-FR" w:bidi="he-IL"/>
        </w:rPr>
        <w:t>est là</w:t>
      </w:r>
      <w:r w:rsidR="00E65435">
        <w:rPr>
          <w:bCs/>
          <w:lang w:eastAsia="fr-FR" w:bidi="he-IL"/>
        </w:rPr>
        <w:t xml:space="preserve">, </w:t>
      </w:r>
      <w:r w:rsidR="00B704AD" w:rsidRPr="00C8701B">
        <w:rPr>
          <w:bCs/>
          <w:lang w:eastAsia="fr-FR" w:bidi="he-IL"/>
        </w:rPr>
        <w:t>certainement</w:t>
      </w:r>
      <w:r w:rsidR="00E65435">
        <w:rPr>
          <w:bCs/>
          <w:lang w:eastAsia="fr-FR" w:bidi="he-IL"/>
        </w:rPr>
        <w:t xml:space="preserve">, </w:t>
      </w:r>
      <w:r w:rsidR="00B704AD" w:rsidRPr="00C8701B">
        <w:rPr>
          <w:bCs/>
          <w:lang w:eastAsia="fr-FR" w:bidi="he-IL"/>
        </w:rPr>
        <w:t>une difficulté insurmontable.</w:t>
      </w:r>
      <w:r w:rsidR="00C2602D" w:rsidRPr="00C8701B">
        <w:rPr>
          <w:bCs/>
          <w:lang w:eastAsia="fr-FR" w:bidi="he-IL"/>
        </w:rPr>
        <w:t xml:space="preserve"> </w:t>
      </w:r>
    </w:p>
    <w:p w:rsidR="00C2602D" w:rsidRPr="00C8701B" w:rsidRDefault="00B704AD" w:rsidP="00C2602D">
      <w:pPr>
        <w:rPr>
          <w:bCs/>
          <w:lang w:eastAsia="fr-FR" w:bidi="he-IL"/>
        </w:rPr>
      </w:pPr>
      <w:r w:rsidRPr="00C8701B">
        <w:rPr>
          <w:bCs/>
          <w:lang w:eastAsia="fr-FR" w:bidi="he-IL"/>
        </w:rPr>
        <w:t>6° De plus</w:t>
      </w:r>
      <w:r w:rsidR="00E65435">
        <w:rPr>
          <w:bCs/>
          <w:lang w:eastAsia="fr-FR" w:bidi="he-IL"/>
        </w:rPr>
        <w:t xml:space="preserve">, </w:t>
      </w:r>
      <w:r w:rsidRPr="00C8701B">
        <w:rPr>
          <w:bCs/>
          <w:lang w:eastAsia="fr-FR" w:bidi="he-IL"/>
        </w:rPr>
        <w:t>ce système est contraire au genre de composition qui existait au temps apostolique</w:t>
      </w:r>
      <w:r w:rsidR="00E65435">
        <w:rPr>
          <w:bCs/>
          <w:lang w:eastAsia="fr-FR" w:bidi="he-IL"/>
        </w:rPr>
        <w:t xml:space="preserve">, </w:t>
      </w:r>
      <w:r w:rsidRPr="00C8701B">
        <w:rPr>
          <w:bCs/>
          <w:lang w:eastAsia="fr-FR" w:bidi="he-IL"/>
        </w:rPr>
        <w:t>spécialement parmi les Juifs</w:t>
      </w:r>
      <w:r w:rsidR="00C2602D" w:rsidRPr="00C8701B">
        <w:rPr>
          <w:bCs/>
          <w:lang w:eastAsia="fr-FR" w:bidi="he-IL"/>
        </w:rPr>
        <w:t> </w:t>
      </w:r>
      <w:r w:rsidR="007F6508">
        <w:rPr>
          <w:bCs/>
          <w:lang w:eastAsia="fr-FR" w:bidi="he-IL"/>
        </w:rPr>
        <w:t xml:space="preserve">; </w:t>
      </w:r>
      <w:r w:rsidRPr="00C8701B">
        <w:rPr>
          <w:bCs/>
          <w:lang w:eastAsia="fr-FR" w:bidi="he-IL"/>
        </w:rPr>
        <w:t>il suppose des habitudes littéraires beaucoup plus semblables aux nôtres qu</w:t>
      </w:r>
      <w:r w:rsidR="00557DE0">
        <w:rPr>
          <w:bCs/>
          <w:lang w:eastAsia="fr-FR" w:bidi="he-IL"/>
        </w:rPr>
        <w:t>’</w:t>
      </w:r>
      <w:r w:rsidRPr="00C8701B">
        <w:rPr>
          <w:bCs/>
          <w:lang w:eastAsia="fr-FR" w:bidi="he-IL"/>
        </w:rPr>
        <w:t>à celles de cette lointaine époque. Aujourd</w:t>
      </w:r>
      <w:r w:rsidR="00557DE0">
        <w:rPr>
          <w:bCs/>
          <w:lang w:eastAsia="fr-FR" w:bidi="he-IL"/>
        </w:rPr>
        <w:t>’</w:t>
      </w:r>
      <w:r w:rsidRPr="00C8701B">
        <w:rPr>
          <w:bCs/>
          <w:lang w:eastAsia="fr-FR" w:bidi="he-IL"/>
        </w:rPr>
        <w:t>hui</w:t>
      </w:r>
      <w:r w:rsidR="00E65435">
        <w:rPr>
          <w:bCs/>
          <w:lang w:eastAsia="fr-FR" w:bidi="he-IL"/>
        </w:rPr>
        <w:t xml:space="preserve">, </w:t>
      </w:r>
      <w:r w:rsidRPr="00C8701B">
        <w:rPr>
          <w:bCs/>
          <w:lang w:eastAsia="fr-FR" w:bidi="he-IL"/>
        </w:rPr>
        <w:t>on cite volontiers</w:t>
      </w:r>
      <w:r w:rsidR="00E65435">
        <w:rPr>
          <w:bCs/>
          <w:lang w:eastAsia="fr-FR" w:bidi="he-IL"/>
        </w:rPr>
        <w:t xml:space="preserve">, </w:t>
      </w:r>
      <w:r w:rsidRPr="00C8701B">
        <w:rPr>
          <w:bCs/>
          <w:lang w:eastAsia="fr-FR" w:bidi="he-IL"/>
        </w:rPr>
        <w:t>on fait des assemblages de textes plus anciens</w:t>
      </w:r>
      <w:r w:rsidR="00E65435">
        <w:rPr>
          <w:bCs/>
          <w:lang w:eastAsia="fr-FR" w:bidi="he-IL"/>
        </w:rPr>
        <w:t xml:space="preserve">, </w:t>
      </w:r>
      <w:r w:rsidRPr="00C8701B">
        <w:rPr>
          <w:bCs/>
          <w:lang w:eastAsia="fr-FR" w:bidi="he-IL"/>
        </w:rPr>
        <w:t>etc.</w:t>
      </w:r>
      <w:r w:rsidR="00C2602D" w:rsidRPr="00C8701B">
        <w:rPr>
          <w:bCs/>
          <w:lang w:eastAsia="fr-FR" w:bidi="he-IL"/>
        </w:rPr>
        <w:t> :</w:t>
      </w:r>
      <w:r w:rsidRPr="00C8701B">
        <w:rPr>
          <w:bCs/>
          <w:lang w:eastAsia="fr-FR" w:bidi="he-IL"/>
        </w:rPr>
        <w:t xml:space="preserve"> pratiques alors inconnues.</w:t>
      </w:r>
      <w:r w:rsidR="00C2602D" w:rsidRPr="00C8701B">
        <w:rPr>
          <w:bCs/>
          <w:lang w:eastAsia="fr-FR" w:bidi="he-IL"/>
        </w:rPr>
        <w:t xml:space="preserve"> </w:t>
      </w:r>
    </w:p>
    <w:p w:rsidR="00C2602D" w:rsidRPr="00C8701B" w:rsidRDefault="00B704AD" w:rsidP="00C2602D">
      <w:pPr>
        <w:rPr>
          <w:bCs/>
          <w:lang w:eastAsia="fr-FR" w:bidi="he-IL"/>
        </w:rPr>
      </w:pPr>
      <w:r w:rsidRPr="00C8701B">
        <w:rPr>
          <w:bCs/>
          <w:lang w:eastAsia="fr-FR" w:bidi="he-IL"/>
        </w:rPr>
        <w:t>7° Enfin</w:t>
      </w:r>
      <w:r w:rsidR="00E65435">
        <w:rPr>
          <w:bCs/>
          <w:lang w:eastAsia="fr-FR" w:bidi="he-IL"/>
        </w:rPr>
        <w:t xml:space="preserve">, </w:t>
      </w:r>
      <w:r w:rsidRPr="00C8701B">
        <w:rPr>
          <w:bCs/>
          <w:lang w:eastAsia="fr-FR" w:bidi="he-IL"/>
        </w:rPr>
        <w:t>la méthode ainsi prêtée aux écrivains sacrés est-elle bien digne d</w:t>
      </w:r>
      <w:r w:rsidR="00557DE0">
        <w:rPr>
          <w:bCs/>
          <w:lang w:eastAsia="fr-FR" w:bidi="he-IL"/>
        </w:rPr>
        <w:t>’</w:t>
      </w:r>
      <w:r w:rsidRPr="00C8701B">
        <w:rPr>
          <w:bCs/>
          <w:lang w:eastAsia="fr-FR" w:bidi="he-IL"/>
        </w:rPr>
        <w:t>eux</w:t>
      </w:r>
      <w:r w:rsidR="00C2602D" w:rsidRPr="00C8701B">
        <w:rPr>
          <w:bCs/>
          <w:lang w:eastAsia="fr-FR" w:bidi="he-IL"/>
        </w:rPr>
        <w:t> ?</w:t>
      </w:r>
      <w:r w:rsidRPr="00C8701B">
        <w:rPr>
          <w:bCs/>
          <w:lang w:eastAsia="fr-FR" w:bidi="he-IL"/>
        </w:rPr>
        <w:t xml:space="preserve"> Sans doute</w:t>
      </w:r>
      <w:r w:rsidR="00E65435">
        <w:rPr>
          <w:bCs/>
          <w:lang w:eastAsia="fr-FR" w:bidi="he-IL"/>
        </w:rPr>
        <w:t xml:space="preserve">, </w:t>
      </w:r>
      <w:r w:rsidRPr="00C8701B">
        <w:rPr>
          <w:bCs/>
          <w:lang w:eastAsia="fr-FR" w:bidi="he-IL"/>
        </w:rPr>
        <w:t>elle n</w:t>
      </w:r>
      <w:r w:rsidR="00557DE0">
        <w:rPr>
          <w:bCs/>
          <w:lang w:eastAsia="fr-FR" w:bidi="he-IL"/>
        </w:rPr>
        <w:t>’</w:t>
      </w:r>
      <w:r w:rsidRPr="00C8701B">
        <w:rPr>
          <w:bCs/>
          <w:lang w:eastAsia="fr-FR" w:bidi="he-IL"/>
        </w:rPr>
        <w:t>a rien d</w:t>
      </w:r>
      <w:r w:rsidR="00557DE0">
        <w:rPr>
          <w:bCs/>
          <w:lang w:eastAsia="fr-FR" w:bidi="he-IL"/>
        </w:rPr>
        <w:t>’</w:t>
      </w:r>
      <w:r w:rsidRPr="00C8701B">
        <w:rPr>
          <w:bCs/>
          <w:lang w:eastAsia="fr-FR" w:bidi="he-IL"/>
        </w:rPr>
        <w:t>absolument contraire au dogme de l</w:t>
      </w:r>
      <w:r w:rsidR="00557DE0">
        <w:rPr>
          <w:bCs/>
          <w:lang w:eastAsia="fr-FR" w:bidi="he-IL"/>
        </w:rPr>
        <w:t>’</w:t>
      </w:r>
      <w:r w:rsidRPr="00C8701B">
        <w:rPr>
          <w:bCs/>
          <w:lang w:eastAsia="fr-FR" w:bidi="he-IL"/>
        </w:rPr>
        <w:t>inspiration</w:t>
      </w:r>
      <w:r w:rsidR="00C2602D" w:rsidRPr="00C8701B">
        <w:rPr>
          <w:bCs/>
          <w:lang w:eastAsia="fr-FR" w:bidi="he-IL"/>
        </w:rPr>
        <w:t> </w:t>
      </w:r>
      <w:r w:rsidR="007F6508">
        <w:rPr>
          <w:bCs/>
          <w:lang w:eastAsia="fr-FR" w:bidi="he-IL"/>
        </w:rPr>
        <w:t xml:space="preserve">; </w:t>
      </w:r>
      <w:r w:rsidRPr="00C8701B">
        <w:rPr>
          <w:bCs/>
          <w:lang w:eastAsia="fr-FR" w:bidi="he-IL"/>
        </w:rPr>
        <w:t>néanmoins</w:t>
      </w:r>
      <w:r w:rsidR="00E65435">
        <w:rPr>
          <w:bCs/>
          <w:lang w:eastAsia="fr-FR" w:bidi="he-IL"/>
        </w:rPr>
        <w:t xml:space="preserve">, </w:t>
      </w:r>
      <w:r w:rsidRPr="00C8701B">
        <w:rPr>
          <w:bCs/>
          <w:lang w:eastAsia="fr-FR" w:bidi="he-IL"/>
        </w:rPr>
        <w:t>un pareil amalgame</w:t>
      </w:r>
      <w:r w:rsidR="00E65435">
        <w:rPr>
          <w:bCs/>
          <w:lang w:eastAsia="fr-FR" w:bidi="he-IL"/>
        </w:rPr>
        <w:t xml:space="preserve">, </w:t>
      </w:r>
      <w:r w:rsidRPr="00C8701B">
        <w:rPr>
          <w:bCs/>
          <w:lang w:eastAsia="fr-FR" w:bidi="he-IL"/>
        </w:rPr>
        <w:t>une telle liberté prise avec les paroles et les actions du Sauveur seraient choquants et irrespectueux</w:t>
      </w:r>
      <w:r w:rsidR="00C2602D" w:rsidRPr="00C8701B">
        <w:rPr>
          <w:bCs/>
          <w:lang w:eastAsia="fr-FR" w:bidi="he-IL"/>
        </w:rPr>
        <w:t> :</w:t>
      </w:r>
      <w:r w:rsidRPr="00C8701B">
        <w:rPr>
          <w:bCs/>
          <w:lang w:eastAsia="fr-FR" w:bidi="he-IL"/>
        </w:rPr>
        <w:t xml:space="preserve"> cela </w:t>
      </w:r>
      <w:r w:rsidR="00C2602D" w:rsidRPr="00C8701B">
        <w:rPr>
          <w:bCs/>
          <w:lang w:eastAsia="fr-FR" w:bidi="he-IL"/>
        </w:rPr>
        <w:t>« </w:t>
      </w:r>
      <w:r w:rsidRPr="00C8701B">
        <w:rPr>
          <w:bCs/>
          <w:lang w:eastAsia="fr-FR" w:bidi="he-IL"/>
        </w:rPr>
        <w:t>laisserait croire que les évangélistes n</w:t>
      </w:r>
      <w:r w:rsidR="00557DE0">
        <w:rPr>
          <w:bCs/>
          <w:lang w:eastAsia="fr-FR" w:bidi="he-IL"/>
        </w:rPr>
        <w:t>’</w:t>
      </w:r>
      <w:r w:rsidRPr="00C8701B">
        <w:rPr>
          <w:bCs/>
          <w:lang w:eastAsia="fr-FR" w:bidi="he-IL"/>
        </w:rPr>
        <w:t>ont pas eu l</w:t>
      </w:r>
      <w:r w:rsidR="00557DE0">
        <w:rPr>
          <w:bCs/>
          <w:lang w:eastAsia="fr-FR" w:bidi="he-IL"/>
        </w:rPr>
        <w:t>’</w:t>
      </w:r>
      <w:r w:rsidRPr="00C8701B">
        <w:rPr>
          <w:bCs/>
          <w:lang w:eastAsia="fr-FR" w:bidi="he-IL"/>
        </w:rPr>
        <w:t xml:space="preserve">un </w:t>
      </w:r>
      <w:r w:rsidR="00DD4900" w:rsidRPr="00C8701B">
        <w:rPr>
          <w:bCs/>
          <w:lang w:eastAsia="fr-FR" w:bidi="he-IL"/>
        </w:rPr>
        <w:t>vis-à-vis</w:t>
      </w:r>
      <w:r w:rsidRPr="00C8701B">
        <w:rPr>
          <w:bCs/>
          <w:lang w:eastAsia="fr-FR" w:bidi="he-IL"/>
        </w:rPr>
        <w:t xml:space="preserve"> de l</w:t>
      </w:r>
      <w:r w:rsidR="00557DE0">
        <w:rPr>
          <w:bCs/>
          <w:lang w:eastAsia="fr-FR" w:bidi="he-IL"/>
        </w:rPr>
        <w:t>’</w:t>
      </w:r>
      <w:r w:rsidRPr="00C8701B">
        <w:rPr>
          <w:bCs/>
          <w:lang w:eastAsia="fr-FR" w:bidi="he-IL"/>
        </w:rPr>
        <w:t>autre la haute idée d</w:t>
      </w:r>
      <w:r w:rsidR="00557DE0">
        <w:rPr>
          <w:bCs/>
          <w:lang w:eastAsia="fr-FR" w:bidi="he-IL"/>
        </w:rPr>
        <w:t>’</w:t>
      </w:r>
      <w:r w:rsidRPr="00C8701B">
        <w:rPr>
          <w:bCs/>
          <w:lang w:eastAsia="fr-FR" w:bidi="he-IL"/>
        </w:rPr>
        <w:t>exactitude et de véracité que nous leur supposons</w:t>
      </w:r>
      <w:r w:rsidR="00C2602D" w:rsidRPr="00C8701B">
        <w:rPr>
          <w:bCs/>
          <w:lang w:eastAsia="fr-FR" w:bidi="he-IL"/>
        </w:rPr>
        <w:t> »</w:t>
      </w:r>
      <w:r w:rsidR="00933C60" w:rsidRPr="00C406FF">
        <w:rPr>
          <w:rStyle w:val="Appelnotedebasdep"/>
        </w:rPr>
        <w:footnoteReference w:id="257"/>
      </w:r>
      <w:r w:rsidRPr="00C8701B">
        <w:rPr>
          <w:bCs/>
          <w:lang w:eastAsia="fr-FR" w:bidi="he-IL"/>
        </w:rPr>
        <w:t>. Ils sembleraient</w:t>
      </w:r>
      <w:r w:rsidR="00E65435">
        <w:rPr>
          <w:bCs/>
          <w:lang w:eastAsia="fr-FR" w:bidi="he-IL"/>
        </w:rPr>
        <w:t xml:space="preserve">, </w:t>
      </w:r>
      <w:r w:rsidRPr="00C8701B">
        <w:rPr>
          <w:bCs/>
          <w:lang w:eastAsia="fr-FR" w:bidi="he-IL"/>
        </w:rPr>
        <w:t>en effet</w:t>
      </w:r>
      <w:r w:rsidR="00E65435">
        <w:rPr>
          <w:bCs/>
          <w:lang w:eastAsia="fr-FR" w:bidi="he-IL"/>
        </w:rPr>
        <w:t xml:space="preserve">, </w:t>
      </w:r>
      <w:r w:rsidRPr="00C8701B">
        <w:rPr>
          <w:bCs/>
          <w:lang w:eastAsia="fr-FR" w:bidi="he-IL"/>
        </w:rPr>
        <w:t>se contredire mutuellement.</w:t>
      </w:r>
      <w:r w:rsidR="00C2602D" w:rsidRPr="00C8701B">
        <w:rPr>
          <w:bCs/>
          <w:lang w:eastAsia="fr-FR" w:bidi="he-IL"/>
        </w:rPr>
        <w:t xml:space="preserve"> </w:t>
      </w:r>
    </w:p>
    <w:p w:rsidR="00C2602D" w:rsidRPr="00C8701B" w:rsidRDefault="00B704AD" w:rsidP="00C2602D">
      <w:pPr>
        <w:rPr>
          <w:bCs/>
          <w:lang w:eastAsia="fr-FR" w:bidi="he-IL"/>
        </w:rPr>
      </w:pPr>
      <w:r w:rsidRPr="00C8701B">
        <w:rPr>
          <w:bCs/>
          <w:lang w:eastAsia="fr-FR" w:bidi="he-IL"/>
        </w:rPr>
        <w:t>En somme</w:t>
      </w:r>
      <w:r w:rsidR="00E65435">
        <w:rPr>
          <w:bCs/>
          <w:lang w:eastAsia="fr-FR" w:bidi="he-IL"/>
        </w:rPr>
        <w:t xml:space="preserve">, </w:t>
      </w:r>
      <w:r w:rsidRPr="00C8701B">
        <w:rPr>
          <w:bCs/>
          <w:lang w:eastAsia="fr-FR" w:bidi="he-IL"/>
        </w:rPr>
        <w:t>le premier système est</w:t>
      </w:r>
      <w:r w:rsidR="00E37C84">
        <w:rPr>
          <w:bCs/>
          <w:lang w:eastAsia="fr-FR" w:bidi="he-IL"/>
        </w:rPr>
        <w:t xml:space="preserve"> « </w:t>
      </w:r>
      <w:r w:rsidRPr="00C8701B">
        <w:rPr>
          <w:bCs/>
          <w:lang w:eastAsia="fr-FR" w:bidi="he-IL"/>
        </w:rPr>
        <w:t xml:space="preserve">tout à </w:t>
      </w:r>
      <w:r w:rsidR="00DD4900" w:rsidRPr="00C8701B">
        <w:rPr>
          <w:bCs/>
          <w:lang w:eastAsia="fr-FR" w:bidi="he-IL"/>
        </w:rPr>
        <w:t>fait</w:t>
      </w:r>
      <w:r w:rsidRPr="00C8701B">
        <w:rPr>
          <w:bCs/>
          <w:lang w:eastAsia="fr-FR" w:bidi="he-IL"/>
        </w:rPr>
        <w:t xml:space="preserve"> invraisemblable</w:t>
      </w:r>
      <w:r w:rsidR="00E65435">
        <w:rPr>
          <w:bCs/>
          <w:lang w:eastAsia="fr-FR" w:bidi="he-IL"/>
        </w:rPr>
        <w:t xml:space="preserve">, </w:t>
      </w:r>
      <w:r w:rsidRPr="00C8701B">
        <w:rPr>
          <w:bCs/>
          <w:lang w:eastAsia="fr-FR" w:bidi="he-IL"/>
        </w:rPr>
        <w:t>et il est surprenant qu</w:t>
      </w:r>
      <w:r w:rsidR="00557DE0">
        <w:rPr>
          <w:bCs/>
          <w:lang w:eastAsia="fr-FR" w:bidi="he-IL"/>
        </w:rPr>
        <w:t>’</w:t>
      </w:r>
      <w:r w:rsidRPr="00C8701B">
        <w:rPr>
          <w:bCs/>
          <w:lang w:eastAsia="fr-FR" w:bidi="he-IL"/>
        </w:rPr>
        <w:t>on ait fait pour lui une telle dépense de temps et de science</w:t>
      </w:r>
      <w:r w:rsidR="00C2602D" w:rsidRPr="00C8701B">
        <w:rPr>
          <w:bCs/>
          <w:lang w:eastAsia="fr-FR" w:bidi="he-IL"/>
        </w:rPr>
        <w:t> »</w:t>
      </w:r>
      <w:r w:rsidR="00933C60" w:rsidRPr="00C406FF">
        <w:rPr>
          <w:rStyle w:val="Appelnotedebasdep"/>
        </w:rPr>
        <w:footnoteReference w:id="258"/>
      </w:r>
      <w:r w:rsidRPr="00C8701B">
        <w:rPr>
          <w:bCs/>
          <w:lang w:eastAsia="fr-FR" w:bidi="he-IL"/>
        </w:rPr>
        <w:t>. Et qui ne se chargerait</w:t>
      </w:r>
      <w:r w:rsidR="00E65435">
        <w:rPr>
          <w:bCs/>
          <w:lang w:eastAsia="fr-FR" w:bidi="he-IL"/>
        </w:rPr>
        <w:t xml:space="preserve">, </w:t>
      </w:r>
      <w:r w:rsidRPr="00C8701B">
        <w:rPr>
          <w:bCs/>
          <w:lang w:eastAsia="fr-FR" w:bidi="he-IL"/>
        </w:rPr>
        <w:t>en vingt-quatre heures</w:t>
      </w:r>
      <w:r w:rsidR="00E65435">
        <w:rPr>
          <w:bCs/>
          <w:lang w:eastAsia="fr-FR" w:bidi="he-IL"/>
        </w:rPr>
        <w:t xml:space="preserve">, </w:t>
      </w:r>
      <w:r w:rsidRPr="00C8701B">
        <w:rPr>
          <w:bCs/>
          <w:lang w:eastAsia="fr-FR" w:bidi="he-IL"/>
        </w:rPr>
        <w:t>de faire paraître un nouvel évangile d</w:t>
      </w:r>
      <w:r w:rsidR="00557DE0">
        <w:rPr>
          <w:bCs/>
          <w:lang w:eastAsia="fr-FR" w:bidi="he-IL"/>
        </w:rPr>
        <w:t>’</w:t>
      </w:r>
      <w:r w:rsidRPr="00C8701B">
        <w:rPr>
          <w:bCs/>
          <w:lang w:eastAsia="fr-FR" w:bidi="he-IL"/>
        </w:rPr>
        <w:t>après ce procédé</w:t>
      </w:r>
      <w:r w:rsidR="00C2602D" w:rsidRPr="00C8701B">
        <w:rPr>
          <w:bCs/>
          <w:lang w:eastAsia="fr-FR" w:bidi="he-IL"/>
        </w:rPr>
        <w:t xml:space="preserve"> ? </w:t>
      </w:r>
    </w:p>
    <w:p w:rsidR="00C2602D" w:rsidRPr="00C8701B" w:rsidRDefault="00B704AD" w:rsidP="00C2602D">
      <w:pPr>
        <w:rPr>
          <w:bCs/>
          <w:lang w:eastAsia="fr-FR" w:bidi="he-IL"/>
        </w:rPr>
      </w:pPr>
      <w:r w:rsidRPr="00C8701B">
        <w:rPr>
          <w:bCs/>
          <w:lang w:eastAsia="fr-FR" w:bidi="he-IL"/>
        </w:rPr>
        <w:t>2. Nous rejetterons le</w:t>
      </w:r>
      <w:r w:rsidRPr="00DC4586">
        <w:rPr>
          <w:rStyle w:val="italicus"/>
        </w:rPr>
        <w:t xml:space="preserve"> second système</w:t>
      </w:r>
      <w:r w:rsidR="00E65435">
        <w:rPr>
          <w:rStyle w:val="italicus"/>
        </w:rPr>
        <w:t xml:space="preserve">, </w:t>
      </w:r>
      <w:r w:rsidRPr="00C8701B">
        <w:rPr>
          <w:bCs/>
          <w:lang w:eastAsia="fr-FR" w:bidi="he-IL"/>
        </w:rPr>
        <w:t>pour des motifs tout à fait semblables à ceux qui nous ont forcé d</w:t>
      </w:r>
      <w:r w:rsidR="00557DE0">
        <w:rPr>
          <w:bCs/>
          <w:lang w:eastAsia="fr-FR" w:bidi="he-IL"/>
        </w:rPr>
        <w:t>’</w:t>
      </w:r>
      <w:r w:rsidRPr="00C8701B">
        <w:rPr>
          <w:bCs/>
          <w:lang w:eastAsia="fr-FR" w:bidi="he-IL"/>
        </w:rPr>
        <w:t>attaquer le premier.</w:t>
      </w:r>
      <w:r w:rsidR="00C2602D" w:rsidRPr="00C8701B">
        <w:rPr>
          <w:bCs/>
          <w:lang w:eastAsia="fr-FR" w:bidi="he-IL"/>
        </w:rPr>
        <w:t xml:space="preserve"> </w:t>
      </w:r>
    </w:p>
    <w:p w:rsidR="00C2602D" w:rsidRPr="00C8701B" w:rsidRDefault="00B704AD" w:rsidP="00C2602D">
      <w:pPr>
        <w:rPr>
          <w:bCs/>
          <w:lang w:eastAsia="fr-FR" w:bidi="he-IL"/>
        </w:rPr>
      </w:pPr>
      <w:r w:rsidRPr="00C8701B">
        <w:rPr>
          <w:bCs/>
          <w:lang w:eastAsia="fr-FR" w:bidi="he-IL"/>
        </w:rPr>
        <w:t>1° Lui aussi</w:t>
      </w:r>
      <w:r w:rsidR="00E65435">
        <w:rPr>
          <w:bCs/>
          <w:lang w:eastAsia="fr-FR" w:bidi="he-IL"/>
        </w:rPr>
        <w:t xml:space="preserve">, </w:t>
      </w:r>
      <w:r w:rsidR="002F5F03">
        <w:rPr>
          <w:bCs/>
          <w:lang w:eastAsia="fr-FR" w:bidi="he-IL"/>
        </w:rPr>
        <w:t xml:space="preserve">il est </w:t>
      </w:r>
      <w:r w:rsidRPr="00C8701B">
        <w:rPr>
          <w:bCs/>
          <w:lang w:eastAsia="fr-FR" w:bidi="he-IL"/>
        </w:rPr>
        <w:t>dépourvu de toute base historique. Et pourtant</w:t>
      </w:r>
      <w:r w:rsidR="00E65435">
        <w:rPr>
          <w:bCs/>
          <w:lang w:eastAsia="fr-FR" w:bidi="he-IL"/>
        </w:rPr>
        <w:t xml:space="preserve">, </w:t>
      </w:r>
      <w:r w:rsidRPr="00C8701B">
        <w:rPr>
          <w:bCs/>
          <w:lang w:eastAsia="fr-FR" w:bidi="he-IL"/>
        </w:rPr>
        <w:t>s</w:t>
      </w:r>
      <w:r w:rsidR="00557DE0">
        <w:rPr>
          <w:bCs/>
          <w:lang w:eastAsia="fr-FR" w:bidi="he-IL"/>
        </w:rPr>
        <w:t>’</w:t>
      </w:r>
      <w:r w:rsidRPr="00C8701B">
        <w:rPr>
          <w:bCs/>
          <w:lang w:eastAsia="fr-FR" w:bidi="he-IL"/>
        </w:rPr>
        <w:t>il eût existé autrefois</w:t>
      </w:r>
      <w:r w:rsidR="00DD4900">
        <w:rPr>
          <w:bCs/>
          <w:lang w:eastAsia="fr-FR" w:bidi="he-IL"/>
        </w:rPr>
        <w:t xml:space="preserve"> </w:t>
      </w:r>
      <w:r w:rsidRPr="00C8701B">
        <w:rPr>
          <w:bCs/>
          <w:lang w:eastAsia="fr-FR" w:bidi="he-IL"/>
        </w:rPr>
        <w:t>un</w:t>
      </w:r>
      <w:r w:rsidR="002F5F03">
        <w:rPr>
          <w:rStyle w:val="italicus"/>
        </w:rPr>
        <w:t xml:space="preserve"> </w:t>
      </w:r>
      <w:r w:rsidR="00DD4900">
        <w:rPr>
          <w:rStyle w:val="italicus"/>
        </w:rPr>
        <w:t>Urevange</w:t>
      </w:r>
      <w:r w:rsidR="00DD4900" w:rsidRPr="00DC4586">
        <w:rPr>
          <w:rStyle w:val="italicus"/>
        </w:rPr>
        <w:t>lium</w:t>
      </w:r>
      <w:r w:rsidRPr="00DC4586">
        <w:rPr>
          <w:rStyle w:val="italicus"/>
        </w:rPr>
        <w:t xml:space="preserve"> </w:t>
      </w:r>
      <w:r w:rsidRPr="002F5F03">
        <w:t>écrit</w:t>
      </w:r>
      <w:r w:rsidR="00E65435" w:rsidRPr="002F5F03">
        <w:t xml:space="preserve">, </w:t>
      </w:r>
      <w:r w:rsidRPr="002F5F03">
        <w:t xml:space="preserve">son </w:t>
      </w:r>
      <w:r w:rsidRPr="00C8701B">
        <w:rPr>
          <w:bCs/>
          <w:lang w:eastAsia="fr-FR" w:bidi="he-IL"/>
        </w:rPr>
        <w:t>importance l</w:t>
      </w:r>
      <w:r w:rsidR="00557DE0">
        <w:rPr>
          <w:bCs/>
          <w:lang w:eastAsia="fr-FR" w:bidi="he-IL"/>
        </w:rPr>
        <w:t>’</w:t>
      </w:r>
      <w:r w:rsidRPr="00C8701B">
        <w:rPr>
          <w:bCs/>
          <w:lang w:eastAsia="fr-FR" w:bidi="he-IL"/>
        </w:rPr>
        <w:t>aurait certainement empêché de disparaître</w:t>
      </w:r>
      <w:r w:rsidR="00C2602D" w:rsidRPr="00C8701B">
        <w:rPr>
          <w:bCs/>
          <w:lang w:eastAsia="fr-FR" w:bidi="he-IL"/>
        </w:rPr>
        <w:t> </w:t>
      </w:r>
      <w:r w:rsidR="007F6508">
        <w:rPr>
          <w:bCs/>
          <w:lang w:eastAsia="fr-FR" w:bidi="he-IL"/>
        </w:rPr>
        <w:t xml:space="preserve">; </w:t>
      </w:r>
      <w:r w:rsidRPr="00C8701B">
        <w:rPr>
          <w:bCs/>
          <w:lang w:eastAsia="fr-FR" w:bidi="he-IL"/>
        </w:rPr>
        <w:t xml:space="preserve">il se serait conservé à côté des </w:t>
      </w:r>
      <w:r w:rsidR="00DD4900" w:rsidRPr="00C8701B">
        <w:rPr>
          <w:bCs/>
          <w:lang w:eastAsia="fr-FR" w:bidi="he-IL"/>
        </w:rPr>
        <w:t>évangiles</w:t>
      </w:r>
      <w:r w:rsidRPr="00C8701B">
        <w:rPr>
          <w:bCs/>
          <w:lang w:eastAsia="fr-FR" w:bidi="he-IL"/>
        </w:rPr>
        <w:t xml:space="preserve"> secondaires auxquels on prétend qu</w:t>
      </w:r>
      <w:r w:rsidR="00557DE0">
        <w:rPr>
          <w:bCs/>
          <w:lang w:eastAsia="fr-FR" w:bidi="he-IL"/>
        </w:rPr>
        <w:t>’</w:t>
      </w:r>
      <w:r w:rsidRPr="00C8701B">
        <w:rPr>
          <w:bCs/>
          <w:lang w:eastAsia="fr-FR" w:bidi="he-IL"/>
        </w:rPr>
        <w:t>il a servi de source</w:t>
      </w:r>
      <w:r w:rsidR="00933C60" w:rsidRPr="00C406FF">
        <w:rPr>
          <w:rStyle w:val="Appelnotedebasdep"/>
        </w:rPr>
        <w:footnoteReference w:id="259"/>
      </w:r>
      <w:r w:rsidRPr="00C8701B">
        <w:rPr>
          <w:bCs/>
          <w:lang w:eastAsia="fr-FR" w:bidi="he-IL"/>
        </w:rPr>
        <w:t>. Les évangiles apocryphes nous sont bien parvenus</w:t>
      </w:r>
      <w:r w:rsidR="00C2602D" w:rsidRPr="00C8701B">
        <w:rPr>
          <w:bCs/>
          <w:lang w:eastAsia="fr-FR" w:bidi="he-IL"/>
        </w:rPr>
        <w:t> !</w:t>
      </w:r>
      <w:r w:rsidRPr="00C8701B">
        <w:rPr>
          <w:bCs/>
          <w:lang w:eastAsia="fr-FR" w:bidi="he-IL"/>
        </w:rPr>
        <w:t xml:space="preserve"> On ne conçoit pas la perte d</w:t>
      </w:r>
      <w:r w:rsidR="00557DE0">
        <w:rPr>
          <w:bCs/>
          <w:lang w:eastAsia="fr-FR" w:bidi="he-IL"/>
        </w:rPr>
        <w:t>’</w:t>
      </w:r>
      <w:r w:rsidRPr="00C8701B">
        <w:rPr>
          <w:bCs/>
          <w:lang w:eastAsia="fr-FR" w:bidi="he-IL"/>
        </w:rPr>
        <w:t>un tel document</w:t>
      </w:r>
      <w:r w:rsidR="00E65435">
        <w:rPr>
          <w:bCs/>
          <w:lang w:eastAsia="fr-FR" w:bidi="he-IL"/>
        </w:rPr>
        <w:t xml:space="preserve">, </w:t>
      </w:r>
      <w:r w:rsidRPr="00C8701B">
        <w:rPr>
          <w:bCs/>
          <w:lang w:eastAsia="fr-FR" w:bidi="he-IL"/>
        </w:rPr>
        <w:t>qui</w:t>
      </w:r>
      <w:r w:rsidR="00E65435">
        <w:rPr>
          <w:bCs/>
          <w:lang w:eastAsia="fr-FR" w:bidi="he-IL"/>
        </w:rPr>
        <w:t xml:space="preserve">, </w:t>
      </w:r>
      <w:r w:rsidRPr="00C8701B">
        <w:rPr>
          <w:bCs/>
          <w:lang w:eastAsia="fr-FR" w:bidi="he-IL"/>
        </w:rPr>
        <w:t>nous dit-on</w:t>
      </w:r>
      <w:r w:rsidR="00E65435">
        <w:rPr>
          <w:bCs/>
          <w:lang w:eastAsia="fr-FR" w:bidi="he-IL"/>
        </w:rPr>
        <w:t xml:space="preserve">, </w:t>
      </w:r>
      <w:r w:rsidRPr="00C8701B">
        <w:rPr>
          <w:bCs/>
          <w:lang w:eastAsia="fr-FR" w:bidi="he-IL"/>
        </w:rPr>
        <w:t>circulait de main en main parmi les premiers chrétiens</w:t>
      </w:r>
      <w:r w:rsidR="00C2602D" w:rsidRPr="00C8701B">
        <w:rPr>
          <w:bCs/>
          <w:lang w:eastAsia="fr-FR" w:bidi="he-IL"/>
        </w:rPr>
        <w:t> </w:t>
      </w:r>
      <w:r w:rsidR="007F6508">
        <w:rPr>
          <w:bCs/>
          <w:lang w:eastAsia="fr-FR" w:bidi="he-IL"/>
        </w:rPr>
        <w:t xml:space="preserve">; </w:t>
      </w:r>
      <w:r w:rsidRPr="00C8701B">
        <w:rPr>
          <w:bCs/>
          <w:lang w:eastAsia="fr-FR" w:bidi="he-IL"/>
        </w:rPr>
        <w:t>or</w:t>
      </w:r>
      <w:r w:rsidR="00E65435">
        <w:rPr>
          <w:bCs/>
          <w:lang w:eastAsia="fr-FR" w:bidi="he-IL"/>
        </w:rPr>
        <w:t xml:space="preserve">, </w:t>
      </w:r>
      <w:r w:rsidRPr="00C8701B">
        <w:rPr>
          <w:bCs/>
          <w:lang w:eastAsia="fr-FR" w:bidi="he-IL"/>
        </w:rPr>
        <w:t>non seulement l</w:t>
      </w:r>
      <w:r w:rsidR="00557DE0">
        <w:rPr>
          <w:bCs/>
          <w:lang w:eastAsia="fr-FR" w:bidi="he-IL"/>
        </w:rPr>
        <w:t>’</w:t>
      </w:r>
      <w:r w:rsidRPr="00C8701B">
        <w:rPr>
          <w:bCs/>
          <w:lang w:eastAsia="fr-FR" w:bidi="he-IL"/>
        </w:rPr>
        <w:t>original araméen a péri</w:t>
      </w:r>
      <w:r w:rsidR="00E65435">
        <w:rPr>
          <w:bCs/>
          <w:lang w:eastAsia="fr-FR" w:bidi="he-IL"/>
        </w:rPr>
        <w:t xml:space="preserve">, </w:t>
      </w:r>
      <w:r w:rsidRPr="00C8701B">
        <w:rPr>
          <w:bCs/>
          <w:lang w:eastAsia="fr-FR" w:bidi="he-IL"/>
        </w:rPr>
        <w:t>mais toutes les traductions grecques qu</w:t>
      </w:r>
      <w:r w:rsidR="00557DE0">
        <w:rPr>
          <w:bCs/>
          <w:lang w:eastAsia="fr-FR" w:bidi="he-IL"/>
        </w:rPr>
        <w:t>’</w:t>
      </w:r>
      <w:r w:rsidRPr="00C8701B">
        <w:rPr>
          <w:bCs/>
          <w:lang w:eastAsia="fr-FR" w:bidi="he-IL"/>
        </w:rPr>
        <w:t>on prétend en avoir été faites sont elles-mêmes perdues. Cet évangile-source</w:t>
      </w:r>
      <w:r w:rsidR="002F5F03">
        <w:rPr>
          <w:bCs/>
          <w:lang w:eastAsia="fr-FR" w:bidi="he-IL"/>
        </w:rPr>
        <w:t xml:space="preserve"> </w:t>
      </w:r>
      <w:r w:rsidRPr="00C8701B">
        <w:rPr>
          <w:bCs/>
          <w:lang w:eastAsia="fr-FR" w:bidi="he-IL"/>
        </w:rPr>
        <w:t>et toutes les autres pièces analogues supposées par Ewald</w:t>
      </w:r>
      <w:r w:rsidR="00E65435">
        <w:rPr>
          <w:bCs/>
          <w:lang w:eastAsia="fr-FR" w:bidi="he-IL"/>
        </w:rPr>
        <w:t xml:space="preserve">, </w:t>
      </w:r>
      <w:r w:rsidRPr="00C8701B">
        <w:rPr>
          <w:bCs/>
          <w:lang w:eastAsia="fr-FR" w:bidi="he-IL"/>
        </w:rPr>
        <w:t>etc.</w:t>
      </w:r>
      <w:r w:rsidR="00E65435">
        <w:rPr>
          <w:bCs/>
          <w:lang w:eastAsia="fr-FR" w:bidi="he-IL"/>
        </w:rPr>
        <w:t xml:space="preserve">, </w:t>
      </w:r>
      <w:r w:rsidRPr="00C8701B">
        <w:rPr>
          <w:bCs/>
          <w:lang w:eastAsia="fr-FR" w:bidi="he-IL"/>
        </w:rPr>
        <w:t>sont donc des chimères.</w:t>
      </w:r>
      <w:r w:rsidR="00C2602D" w:rsidRPr="00C8701B">
        <w:rPr>
          <w:bCs/>
          <w:lang w:eastAsia="fr-FR" w:bidi="he-IL"/>
        </w:rPr>
        <w:t xml:space="preserve"> </w:t>
      </w:r>
    </w:p>
    <w:p w:rsidR="00C2602D" w:rsidRPr="00C8701B" w:rsidRDefault="00B704AD" w:rsidP="00C2602D">
      <w:pPr>
        <w:rPr>
          <w:rFonts w:eastAsia="Arial Unicode MS"/>
          <w:bCs/>
          <w:lang w:eastAsia="fr-FR" w:bidi="he-IL"/>
        </w:rPr>
      </w:pPr>
      <w:r w:rsidRPr="00C8701B">
        <w:rPr>
          <w:bCs/>
          <w:lang w:eastAsia="fr-FR" w:bidi="he-IL"/>
        </w:rPr>
        <w:t>On a essayé</w:t>
      </w:r>
      <w:r w:rsidR="00E65435">
        <w:rPr>
          <w:bCs/>
          <w:lang w:eastAsia="fr-FR" w:bidi="he-IL"/>
        </w:rPr>
        <w:t xml:space="preserve">, </w:t>
      </w:r>
      <w:r w:rsidRPr="00C8701B">
        <w:rPr>
          <w:bCs/>
          <w:lang w:eastAsia="fr-FR" w:bidi="he-IL"/>
        </w:rPr>
        <w:t>il est vrai</w:t>
      </w:r>
      <w:r w:rsidR="00E65435">
        <w:rPr>
          <w:bCs/>
          <w:lang w:eastAsia="fr-FR" w:bidi="he-IL"/>
        </w:rPr>
        <w:t xml:space="preserve">, </w:t>
      </w:r>
      <w:r w:rsidRPr="00C8701B">
        <w:rPr>
          <w:bCs/>
          <w:lang w:eastAsia="fr-FR" w:bidi="he-IL"/>
        </w:rPr>
        <w:t>de découvrir dans l</w:t>
      </w:r>
      <w:r w:rsidR="00557DE0">
        <w:rPr>
          <w:bCs/>
          <w:lang w:eastAsia="fr-FR" w:bidi="he-IL"/>
        </w:rPr>
        <w:t>’</w:t>
      </w:r>
      <w:r w:rsidRPr="00C8701B">
        <w:rPr>
          <w:bCs/>
          <w:lang w:eastAsia="fr-FR" w:bidi="he-IL"/>
        </w:rPr>
        <w:t>antiquité des traces de</w:t>
      </w:r>
      <w:r w:rsidR="002F5F03">
        <w:rPr>
          <w:bCs/>
          <w:lang w:eastAsia="fr-FR" w:bidi="he-IL"/>
        </w:rPr>
        <w:t xml:space="preserve"> l</w:t>
      </w:r>
      <w:r w:rsidR="00557DE0">
        <w:rPr>
          <w:bCs/>
          <w:lang w:eastAsia="fr-FR" w:bidi="he-IL"/>
        </w:rPr>
        <w:t>’</w:t>
      </w:r>
      <w:r w:rsidR="00DD4900" w:rsidRPr="00DC4586">
        <w:rPr>
          <w:rStyle w:val="italicus"/>
        </w:rPr>
        <w:t>Ure</w:t>
      </w:r>
      <w:r w:rsidR="00DD4900">
        <w:rPr>
          <w:rStyle w:val="italicus"/>
        </w:rPr>
        <w:t>vangelium</w:t>
      </w:r>
      <w:r w:rsidR="00E65435">
        <w:rPr>
          <w:rStyle w:val="italicus"/>
        </w:rPr>
        <w:t xml:space="preserve">, </w:t>
      </w:r>
      <w:r w:rsidRPr="00C8701B">
        <w:rPr>
          <w:bCs/>
          <w:lang w:eastAsia="fr-FR" w:bidi="he-IL"/>
        </w:rPr>
        <w:t>et l</w:t>
      </w:r>
      <w:r w:rsidR="00557DE0">
        <w:rPr>
          <w:bCs/>
          <w:lang w:eastAsia="fr-FR" w:bidi="he-IL"/>
        </w:rPr>
        <w:t>’</w:t>
      </w:r>
      <w:r w:rsidRPr="00C8701B">
        <w:rPr>
          <w:bCs/>
          <w:lang w:eastAsia="fr-FR" w:bidi="he-IL"/>
        </w:rPr>
        <w:t>on a allégué en faveur de son existence plusieurs passages qui remontent aux premiers siècles de l</w:t>
      </w:r>
      <w:r w:rsidR="00557DE0">
        <w:rPr>
          <w:bCs/>
          <w:lang w:eastAsia="fr-FR" w:bidi="he-IL"/>
        </w:rPr>
        <w:t>’</w:t>
      </w:r>
      <w:r w:rsidRPr="00C8701B">
        <w:rPr>
          <w:bCs/>
          <w:lang w:eastAsia="fr-FR" w:bidi="he-IL"/>
        </w:rPr>
        <w:t>ère chrétienne. Par exemple</w:t>
      </w:r>
      <w:r w:rsidR="00E65435">
        <w:rPr>
          <w:bCs/>
          <w:lang w:eastAsia="fr-FR" w:bidi="he-IL"/>
        </w:rPr>
        <w:t xml:space="preserve">, </w:t>
      </w:r>
      <w:r w:rsidRPr="00C8701B">
        <w:rPr>
          <w:bCs/>
          <w:lang w:eastAsia="fr-FR" w:bidi="he-IL"/>
        </w:rPr>
        <w:t>cette ligne de Celse</w:t>
      </w:r>
      <w:r w:rsidR="00E65435">
        <w:rPr>
          <w:bCs/>
          <w:lang w:eastAsia="fr-FR" w:bidi="he-IL"/>
        </w:rPr>
        <w:t xml:space="preserve">, </w:t>
      </w:r>
      <w:r w:rsidRPr="00C8701B">
        <w:rPr>
          <w:bCs/>
          <w:lang w:eastAsia="fr-FR" w:bidi="he-IL"/>
        </w:rPr>
        <w:t>citée par Origène</w:t>
      </w:r>
      <w:r w:rsidR="00933C60" w:rsidRPr="00C406FF">
        <w:rPr>
          <w:rStyle w:val="Appelnotedebasdep"/>
        </w:rPr>
        <w:footnoteReference w:id="260"/>
      </w:r>
      <w:r w:rsidR="00C2602D" w:rsidRPr="00C8701B">
        <w:rPr>
          <w:bCs/>
          <w:lang w:eastAsia="fr-FR" w:bidi="he-IL"/>
        </w:rPr>
        <w:t> :</w:t>
      </w:r>
      <w:r w:rsidR="00CE11E9">
        <w:rPr>
          <w:bCs/>
          <w:lang w:eastAsia="fr-FR" w:bidi="he-IL"/>
        </w:rPr>
        <w:t xml:space="preserve"> </w:t>
      </w:r>
      <w:r w:rsidR="00F12048" w:rsidRPr="00C8701B">
        <w:rPr>
          <w:bCs/>
          <w:lang w:eastAsia="fr-FR" w:bidi="he-IL"/>
        </w:rPr>
        <w:t>« </w:t>
      </w:r>
      <w:r w:rsidRPr="00C8701B">
        <w:rPr>
          <w:bCs/>
          <w:lang w:eastAsia="fr-FR" w:bidi="he-IL"/>
        </w:rPr>
        <w:t xml:space="preserve">Les chrétiens </w:t>
      </w:r>
      <w:r w:rsidRPr="00D62373">
        <w:t>μετ</w:t>
      </w:r>
      <w:r w:rsidR="00A74F01" w:rsidRPr="00D62373">
        <w:t>α</w:t>
      </w:r>
      <w:r w:rsidRPr="00D62373">
        <w:t>χ</w:t>
      </w:r>
      <w:r w:rsidR="00A74F01" w:rsidRPr="00D62373">
        <w:t>α</w:t>
      </w:r>
      <w:r w:rsidRPr="00D62373">
        <w:t>ρ</w:t>
      </w:r>
      <w:r w:rsidR="00CD3C57" w:rsidRPr="00D62373">
        <w:t>ά</w:t>
      </w:r>
      <w:r w:rsidR="002F5F03" w:rsidRPr="00D62373">
        <w:t>τ</w:t>
      </w:r>
      <w:r w:rsidRPr="00D62373">
        <w:t>του</w:t>
      </w:r>
      <w:r w:rsidR="002F5F03" w:rsidRPr="00D62373">
        <w:t>σι τ</w:t>
      </w:r>
      <w:r w:rsidR="00CE226F" w:rsidRPr="00D62373">
        <w:t>ὸ</w:t>
      </w:r>
      <w:r w:rsidR="00401D7F" w:rsidRPr="00D62373">
        <w:t xml:space="preserve"> εὐ</w:t>
      </w:r>
      <w:r w:rsidR="00A74F01" w:rsidRPr="00D62373">
        <w:t>α</w:t>
      </w:r>
      <w:r w:rsidR="00401D7F" w:rsidRPr="00D62373">
        <w:t>γ</w:t>
      </w:r>
      <w:r w:rsidRPr="00D62373">
        <w:t>γ</w:t>
      </w:r>
      <w:r w:rsidR="00C771BF" w:rsidRPr="00D62373">
        <w:t>έ</w:t>
      </w:r>
      <w:r w:rsidRPr="00D62373">
        <w:t xml:space="preserve">λιον </w:t>
      </w:r>
      <w:r w:rsidR="002F5F03" w:rsidRPr="00D62373">
        <w:t>ἐκ</w:t>
      </w:r>
      <w:r w:rsidRPr="00D62373">
        <w:t xml:space="preserve"> τ</w:t>
      </w:r>
      <w:r w:rsidR="002F5F03" w:rsidRPr="00D62373">
        <w:t>ῆ</w:t>
      </w:r>
      <w:r w:rsidRPr="00D62373">
        <w:t>ς πρ</w:t>
      </w:r>
      <w:r w:rsidR="00736374" w:rsidRPr="00D62373">
        <w:t>ώ</w:t>
      </w:r>
      <w:r w:rsidRPr="00D62373">
        <w:t>της γρ</w:t>
      </w:r>
      <w:r w:rsidR="00A74F01" w:rsidRPr="00D62373">
        <w:t>α</w:t>
      </w:r>
      <w:r w:rsidRPr="00D62373">
        <w:t>φ</w:t>
      </w:r>
      <w:r w:rsidR="002F5F03" w:rsidRPr="00D62373">
        <w:t>ῆ</w:t>
      </w:r>
      <w:r w:rsidRPr="00D62373">
        <w:t>ς</w:t>
      </w:r>
      <w:r w:rsidR="00C2602D" w:rsidRPr="002F5F03">
        <w:t> »</w:t>
      </w:r>
      <w:r w:rsidRPr="002F5F03">
        <w:t xml:space="preserve">. Ou ces mots de S. </w:t>
      </w:r>
      <w:r w:rsidR="00D62373" w:rsidRPr="002F5F03">
        <w:t>Épiphane</w:t>
      </w:r>
      <w:r w:rsidR="00933C60" w:rsidRPr="00C406FF">
        <w:rPr>
          <w:rStyle w:val="Appelnotedebasdep"/>
        </w:rPr>
        <w:footnoteReference w:id="261"/>
      </w:r>
      <w:r w:rsidR="00C2602D" w:rsidRPr="002F5F03">
        <w:t> :</w:t>
      </w:r>
      <w:r w:rsidRPr="002F5F03">
        <w:t xml:space="preserve"> </w:t>
      </w:r>
      <w:r w:rsidR="00C2602D" w:rsidRPr="002F5F03">
        <w:t>« </w:t>
      </w:r>
      <w:r w:rsidRPr="002F5F03">
        <w:t>Les trois premiers éva</w:t>
      </w:r>
      <w:r w:rsidRPr="00C8701B">
        <w:rPr>
          <w:bCs/>
          <w:lang w:eastAsia="fr-FR" w:bidi="he-IL"/>
        </w:rPr>
        <w:t>ngiles ont puisé</w:t>
      </w:r>
      <w:r w:rsidR="002F5F03" w:rsidRPr="002F5F03">
        <w:t xml:space="preserve"> </w:t>
      </w:r>
      <w:r w:rsidR="002F5F03" w:rsidRPr="002F5F03">
        <w:rPr>
          <w:bCs/>
          <w:lang w:eastAsia="fr-FR" w:bidi="he-IL"/>
        </w:rPr>
        <w:t xml:space="preserve">ἐξ </w:t>
      </w:r>
      <w:r w:rsidR="00D62373" w:rsidRPr="002F5F03">
        <w:rPr>
          <w:bCs/>
          <w:lang w:eastAsia="fr-FR" w:bidi="he-IL"/>
        </w:rPr>
        <w:t>αὐτῆς</w:t>
      </w:r>
      <w:r w:rsidR="002F5F03" w:rsidRPr="002F5F03">
        <w:rPr>
          <w:bCs/>
          <w:lang w:eastAsia="fr-FR" w:bidi="he-IL"/>
        </w:rPr>
        <w:t xml:space="preserve"> τῆς </w:t>
      </w:r>
      <w:r w:rsidR="00D62373" w:rsidRPr="002F5F03">
        <w:rPr>
          <w:bCs/>
          <w:lang w:eastAsia="fr-FR" w:bidi="he-IL"/>
        </w:rPr>
        <w:t>πηγῆς</w:t>
      </w:r>
      <w:r w:rsidR="00E65435">
        <w:rPr>
          <w:bCs/>
          <w:lang w:val="el-GR" w:eastAsia="fr-FR" w:bidi="he-IL"/>
        </w:rPr>
        <w:t xml:space="preserve">, </w:t>
      </w:r>
      <w:r w:rsidRPr="00C8701B">
        <w:rPr>
          <w:bCs/>
          <w:lang w:eastAsia="fr-FR" w:bidi="he-IL"/>
        </w:rPr>
        <w:t>à la</w:t>
      </w:r>
      <w:r w:rsidR="00C2602D" w:rsidRPr="00C8701B">
        <w:rPr>
          <w:bCs/>
          <w:lang w:eastAsia="fr-FR" w:bidi="he-IL"/>
        </w:rPr>
        <w:t xml:space="preserve"> </w:t>
      </w:r>
      <w:r w:rsidRPr="00C8701B">
        <w:rPr>
          <w:rFonts w:eastAsia="Arial Unicode MS"/>
          <w:bCs/>
          <w:lang w:eastAsia="fr-FR" w:bidi="he-IL"/>
        </w:rPr>
        <w:t>même source</w:t>
      </w:r>
      <w:r w:rsidR="00C2602D" w:rsidRPr="00C8701B">
        <w:rPr>
          <w:rFonts w:eastAsia="Arial Unicode MS"/>
          <w:bCs/>
          <w:lang w:eastAsia="fr-FR" w:bidi="he-IL"/>
        </w:rPr>
        <w:t> »</w:t>
      </w:r>
      <w:r w:rsidRPr="00C8701B">
        <w:rPr>
          <w:rFonts w:eastAsia="Arial Unicode MS"/>
          <w:bCs/>
          <w:lang w:eastAsia="fr-FR" w:bidi="he-IL"/>
        </w:rPr>
        <w:t xml:space="preserve">. </w:t>
      </w:r>
      <w:r w:rsidR="00A067B1" w:rsidRPr="000716BB">
        <w:rPr>
          <w:rFonts w:eastAsia="Arial Unicode MS"/>
          <w:bCs/>
          <w:lang w:eastAsia="fr-FR" w:bidi="he-IL"/>
        </w:rPr>
        <w:t>{</w:t>
      </w:r>
      <w:r w:rsidR="00A067B1">
        <w:rPr>
          <w:rFonts w:eastAsia="Arial Unicode MS"/>
          <w:bCs/>
          <w:lang w:eastAsia="fr-FR" w:bidi="he-IL"/>
        </w:rPr>
        <w:t>50</w:t>
      </w:r>
      <w:bookmarkStart w:id="84" w:name="pag050"/>
      <w:bookmarkEnd w:id="84"/>
      <w:r w:rsidR="00A067B1" w:rsidRPr="000716BB">
        <w:rPr>
          <w:rFonts w:eastAsia="Arial Unicode MS"/>
          <w:bCs/>
          <w:lang w:eastAsia="fr-FR" w:bidi="he-IL"/>
        </w:rPr>
        <w:t xml:space="preserve">} </w:t>
      </w:r>
      <w:r w:rsidRPr="00C8701B">
        <w:rPr>
          <w:rFonts w:eastAsia="Arial Unicode MS"/>
          <w:bCs/>
          <w:lang w:eastAsia="fr-FR" w:bidi="he-IL"/>
        </w:rPr>
        <w:t>Surtout</w:t>
      </w:r>
      <w:r w:rsidR="00E65435">
        <w:rPr>
          <w:rFonts w:eastAsia="Arial Unicode MS"/>
          <w:bCs/>
          <w:lang w:eastAsia="fr-FR" w:bidi="he-IL"/>
        </w:rPr>
        <w:t xml:space="preserve">, </w:t>
      </w:r>
      <w:r w:rsidRPr="00C8701B">
        <w:rPr>
          <w:rFonts w:eastAsia="Arial Unicode MS"/>
          <w:bCs/>
          <w:lang w:eastAsia="fr-FR" w:bidi="he-IL"/>
        </w:rPr>
        <w:t>la phrase célèbre de Papias</w:t>
      </w:r>
      <w:r w:rsidR="00933C60" w:rsidRPr="00C406FF">
        <w:rPr>
          <w:rStyle w:val="Appelnotedebasdep"/>
        </w:rPr>
        <w:footnoteReference w:id="262"/>
      </w:r>
      <w:r w:rsidR="00C2602D" w:rsidRPr="00C8701B">
        <w:rPr>
          <w:rFonts w:eastAsia="Arial Unicode MS"/>
          <w:bCs/>
          <w:lang w:eastAsia="fr-FR" w:bidi="he-IL"/>
        </w:rPr>
        <w:t> </w:t>
      </w:r>
      <w:r w:rsidR="007F6508">
        <w:rPr>
          <w:rFonts w:eastAsia="Arial Unicode MS"/>
          <w:bCs/>
          <w:lang w:eastAsia="fr-FR" w:bidi="he-IL"/>
        </w:rPr>
        <w:t xml:space="preserve">; </w:t>
      </w:r>
      <w:r w:rsidR="00C2602D" w:rsidRPr="00C8701B">
        <w:rPr>
          <w:rFonts w:eastAsia="Arial Unicode MS"/>
          <w:bCs/>
          <w:lang w:eastAsia="fr-FR" w:bidi="he-IL"/>
        </w:rPr>
        <w:t>« </w:t>
      </w:r>
      <w:r w:rsidR="0046287C">
        <w:rPr>
          <w:rFonts w:eastAsia="Arial Unicode MS"/>
          <w:bCs/>
          <w:lang w:eastAsia="fr-FR" w:bidi="he-IL"/>
        </w:rPr>
        <w:t xml:space="preserve">S. Matthieu a écrit </w:t>
      </w:r>
      <w:r w:rsidRPr="00C8701B">
        <w:rPr>
          <w:rFonts w:eastAsia="Arial Unicode MS"/>
          <w:bCs/>
          <w:lang w:eastAsia="fr-FR" w:bidi="he-IL"/>
        </w:rPr>
        <w:t xml:space="preserve">en hébreu les </w:t>
      </w:r>
      <w:r w:rsidRPr="00C8701B">
        <w:rPr>
          <w:rFonts w:eastAsia="Arial Unicode MS"/>
          <w:bCs/>
          <w:lang w:val="el-GR" w:eastAsia="fr-FR" w:bidi="he-IL"/>
        </w:rPr>
        <w:t>λ</w:t>
      </w:r>
      <w:r w:rsidR="00736374">
        <w:rPr>
          <w:rFonts w:eastAsia="Arial Unicode MS"/>
          <w:bCs/>
          <w:lang w:val="el-GR" w:eastAsia="fr-FR" w:bidi="he-IL"/>
        </w:rPr>
        <w:t>ό</w:t>
      </w:r>
      <w:r w:rsidRPr="00C8701B">
        <w:rPr>
          <w:rFonts w:eastAsia="Arial Unicode MS"/>
          <w:bCs/>
          <w:lang w:val="el-GR" w:eastAsia="fr-FR" w:bidi="he-IL"/>
        </w:rPr>
        <w:t>γι</w:t>
      </w:r>
      <w:r w:rsidR="00A74F01">
        <w:rPr>
          <w:rFonts w:eastAsia="Arial Unicode MS"/>
          <w:bCs/>
          <w:lang w:val="el-GR" w:eastAsia="fr-FR" w:bidi="he-IL"/>
        </w:rPr>
        <w:t>α</w:t>
      </w:r>
      <w:r w:rsidRPr="00C8701B">
        <w:rPr>
          <w:rFonts w:eastAsia="Arial Unicode MS"/>
          <w:bCs/>
          <w:lang w:val="el-GR" w:eastAsia="fr-FR" w:bidi="he-IL"/>
        </w:rPr>
        <w:t xml:space="preserve"> </w:t>
      </w:r>
      <w:r w:rsidRPr="00C8701B">
        <w:rPr>
          <w:rFonts w:eastAsia="Arial Unicode MS"/>
          <w:bCs/>
          <w:lang w:eastAsia="fr-FR" w:bidi="he-IL"/>
        </w:rPr>
        <w:t>du Seigneur</w:t>
      </w:r>
      <w:r w:rsidR="00E65435">
        <w:rPr>
          <w:rFonts w:eastAsia="Arial Unicode MS"/>
          <w:bCs/>
          <w:lang w:eastAsia="fr-FR" w:bidi="he-IL"/>
        </w:rPr>
        <w:t xml:space="preserve">, </w:t>
      </w:r>
      <w:r w:rsidRPr="00C8701B">
        <w:rPr>
          <w:rFonts w:eastAsia="Arial Unicode MS"/>
          <w:bCs/>
          <w:lang w:eastAsia="fr-FR" w:bidi="he-IL"/>
        </w:rPr>
        <w:t>et chacun les a interprétés selon qu</w:t>
      </w:r>
      <w:r w:rsidR="00557DE0">
        <w:rPr>
          <w:rFonts w:eastAsia="Arial Unicode MS"/>
          <w:bCs/>
          <w:lang w:eastAsia="fr-FR" w:bidi="he-IL"/>
        </w:rPr>
        <w:t>’</w:t>
      </w:r>
      <w:r w:rsidRPr="00C8701B">
        <w:rPr>
          <w:rFonts w:eastAsia="Arial Unicode MS"/>
          <w:bCs/>
          <w:lang w:eastAsia="fr-FR" w:bidi="he-IL"/>
        </w:rPr>
        <w:t>il en était capable</w:t>
      </w:r>
      <w:r w:rsidR="00933C60" w:rsidRPr="00C406FF">
        <w:rPr>
          <w:rStyle w:val="Appelnotedebasdep"/>
        </w:rPr>
        <w:footnoteReference w:id="263"/>
      </w:r>
      <w:r w:rsidR="00C2602D" w:rsidRPr="00C8701B">
        <w:rPr>
          <w:rFonts w:eastAsia="Arial Unicode MS"/>
          <w:bCs/>
          <w:lang w:eastAsia="fr-FR" w:bidi="he-IL"/>
        </w:rPr>
        <w:t> »</w:t>
      </w:r>
      <w:r w:rsidRPr="00C8701B">
        <w:rPr>
          <w:rFonts w:eastAsia="Arial Unicode MS"/>
          <w:bCs/>
          <w:lang w:eastAsia="fr-FR" w:bidi="he-IL"/>
        </w:rPr>
        <w:t xml:space="preserve">. </w:t>
      </w:r>
      <w:r w:rsidRPr="00DD4900">
        <w:t>Mais la πρ</w:t>
      </w:r>
      <w:r w:rsidR="00736374" w:rsidRPr="00DD4900">
        <w:t>ώ</w:t>
      </w:r>
      <w:r w:rsidRPr="00DD4900">
        <w:t>τη γρ</w:t>
      </w:r>
      <w:r w:rsidR="00A74F01" w:rsidRPr="00DD4900">
        <w:t>α</w:t>
      </w:r>
      <w:r w:rsidRPr="00DD4900">
        <w:t>φ</w:t>
      </w:r>
      <w:r w:rsidR="00C151D4" w:rsidRPr="00DD4900">
        <w:t>ή</w:t>
      </w:r>
      <w:r w:rsidRPr="00DD4900">
        <w:t xml:space="preserve"> de Celse</w:t>
      </w:r>
      <w:r w:rsidR="00E65435" w:rsidRPr="00DD4900">
        <w:t xml:space="preserve">, </w:t>
      </w:r>
      <w:r w:rsidRPr="00DD4900">
        <w:t>la π</w:t>
      </w:r>
      <w:r w:rsidR="0046287C" w:rsidRPr="00DD4900">
        <w:t>ηγή</w:t>
      </w:r>
      <w:r w:rsidRPr="00DD4900">
        <w:t xml:space="preserve"> de </w:t>
      </w:r>
      <w:r w:rsidRPr="00C8701B">
        <w:rPr>
          <w:rFonts w:eastAsia="Arial Unicode MS"/>
          <w:bCs/>
          <w:lang w:eastAsia="fr-FR" w:bidi="he-IL"/>
        </w:rPr>
        <w:t xml:space="preserve">S. </w:t>
      </w:r>
      <w:r w:rsidR="00D62373" w:rsidRPr="00C8701B">
        <w:rPr>
          <w:rFonts w:eastAsia="Arial Unicode MS"/>
          <w:bCs/>
          <w:lang w:eastAsia="fr-FR" w:bidi="he-IL"/>
        </w:rPr>
        <w:t>Épiphane</w:t>
      </w:r>
      <w:r w:rsidR="00E65435">
        <w:rPr>
          <w:rFonts w:eastAsia="Arial Unicode MS"/>
          <w:bCs/>
          <w:lang w:eastAsia="fr-FR" w:bidi="he-IL"/>
        </w:rPr>
        <w:t xml:space="preserve">, </w:t>
      </w:r>
      <w:r w:rsidRPr="00C8701B">
        <w:rPr>
          <w:rFonts w:eastAsia="Arial Unicode MS"/>
          <w:bCs/>
          <w:lang w:eastAsia="fr-FR" w:bidi="he-IL"/>
        </w:rPr>
        <w:t xml:space="preserve">les </w:t>
      </w:r>
      <w:r w:rsidRPr="00C8701B">
        <w:rPr>
          <w:rFonts w:eastAsia="Arial Unicode MS"/>
          <w:bCs/>
          <w:lang w:val="el-GR" w:eastAsia="fr-FR" w:bidi="he-IL"/>
        </w:rPr>
        <w:t>λ</w:t>
      </w:r>
      <w:r w:rsidR="00736374">
        <w:rPr>
          <w:rFonts w:eastAsia="Arial Unicode MS"/>
          <w:bCs/>
          <w:lang w:val="el-GR" w:eastAsia="fr-FR" w:bidi="he-IL"/>
        </w:rPr>
        <w:t>ό</w:t>
      </w:r>
      <w:r w:rsidRPr="00C8701B">
        <w:rPr>
          <w:rFonts w:eastAsia="Arial Unicode MS"/>
          <w:bCs/>
          <w:lang w:val="el-GR" w:eastAsia="fr-FR" w:bidi="he-IL"/>
        </w:rPr>
        <w:t>γι</w:t>
      </w:r>
      <w:r w:rsidR="00A74F01">
        <w:rPr>
          <w:rFonts w:eastAsia="Arial Unicode MS"/>
          <w:bCs/>
          <w:lang w:val="el-GR" w:eastAsia="fr-FR" w:bidi="he-IL"/>
        </w:rPr>
        <w:t>α</w:t>
      </w:r>
      <w:r w:rsidRPr="00C8701B">
        <w:rPr>
          <w:rFonts w:eastAsia="Arial Unicode MS"/>
          <w:bCs/>
          <w:lang w:val="el-GR" w:eastAsia="fr-FR" w:bidi="he-IL"/>
        </w:rPr>
        <w:t xml:space="preserve"> </w:t>
      </w:r>
      <w:r w:rsidRPr="00C8701B">
        <w:rPr>
          <w:rFonts w:eastAsia="Arial Unicode MS"/>
          <w:bCs/>
          <w:lang w:eastAsia="fr-FR" w:bidi="he-IL"/>
        </w:rPr>
        <w:t>de Papias n</w:t>
      </w:r>
      <w:r w:rsidR="00557DE0">
        <w:rPr>
          <w:rFonts w:eastAsia="Arial Unicode MS"/>
          <w:bCs/>
          <w:lang w:eastAsia="fr-FR" w:bidi="he-IL"/>
        </w:rPr>
        <w:t>’</w:t>
      </w:r>
      <w:r w:rsidRPr="00C8701B">
        <w:rPr>
          <w:rFonts w:eastAsia="Arial Unicode MS"/>
          <w:bCs/>
          <w:lang w:eastAsia="fr-FR" w:bidi="he-IL"/>
        </w:rPr>
        <w:t>ont rien de commun avec</w:t>
      </w:r>
      <w:r w:rsidR="0046287C">
        <w:rPr>
          <w:rFonts w:eastAsia="Arial Unicode MS"/>
          <w:bCs/>
          <w:lang w:eastAsia="fr-FR" w:bidi="he-IL"/>
        </w:rPr>
        <w:t xml:space="preserve"> l</w:t>
      </w:r>
      <w:r w:rsidR="00557DE0">
        <w:rPr>
          <w:rFonts w:eastAsia="Arial Unicode MS"/>
          <w:bCs/>
          <w:lang w:eastAsia="fr-FR" w:bidi="he-IL"/>
        </w:rPr>
        <w:t>’</w:t>
      </w:r>
      <w:r w:rsidR="00DD4900" w:rsidRPr="00DC4586">
        <w:rPr>
          <w:rStyle w:val="italicus"/>
        </w:rPr>
        <w:t>Ure</w:t>
      </w:r>
      <w:r w:rsidR="00DD4900">
        <w:rPr>
          <w:rStyle w:val="italicus"/>
        </w:rPr>
        <w:t>vangelium</w:t>
      </w:r>
      <w:r w:rsidRPr="00DC4586">
        <w:rPr>
          <w:rStyle w:val="italicus"/>
        </w:rPr>
        <w:t xml:space="preserve"> </w:t>
      </w:r>
      <w:r w:rsidR="0046287C">
        <w:rPr>
          <w:rFonts w:eastAsia="Arial Unicode MS"/>
          <w:bCs/>
          <w:lang w:eastAsia="fr-FR" w:bidi="he-IL"/>
        </w:rPr>
        <w:t>écrit</w:t>
      </w:r>
      <w:r w:rsidR="00C2602D" w:rsidRPr="00C8701B">
        <w:rPr>
          <w:rFonts w:eastAsia="Arial Unicode MS"/>
          <w:bCs/>
          <w:lang w:eastAsia="fr-FR" w:bidi="he-IL"/>
        </w:rPr>
        <w:t> :</w:t>
      </w:r>
      <w:r w:rsidRPr="00C8701B">
        <w:rPr>
          <w:rFonts w:eastAsia="Arial Unicode MS"/>
          <w:bCs/>
          <w:lang w:eastAsia="fr-FR" w:bidi="he-IL"/>
        </w:rPr>
        <w:t xml:space="preserve"> Celse désigne simplement nos évangiles canoniques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S. </w:t>
      </w:r>
      <w:r w:rsidR="00DD4900" w:rsidRPr="00C8701B">
        <w:rPr>
          <w:rFonts w:eastAsia="Arial Unicode MS"/>
          <w:bCs/>
          <w:lang w:eastAsia="fr-FR" w:bidi="he-IL"/>
        </w:rPr>
        <w:t>Épiphane</w:t>
      </w:r>
      <w:r w:rsidRPr="00C8701B">
        <w:rPr>
          <w:rFonts w:eastAsia="Arial Unicode MS"/>
          <w:bCs/>
          <w:lang w:eastAsia="fr-FR" w:bidi="he-IL"/>
        </w:rPr>
        <w:t xml:space="preserve"> veut dire que les évangélistes ont été inspirés par le même Esprit de Dieu</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les </w:t>
      </w:r>
      <w:r w:rsidRPr="00C8701B">
        <w:rPr>
          <w:rFonts w:eastAsia="Arial Unicode MS"/>
          <w:bCs/>
          <w:lang w:val="el-GR" w:eastAsia="fr-FR" w:bidi="he-IL"/>
        </w:rPr>
        <w:t>λ</w:t>
      </w:r>
      <w:r w:rsidR="00736374">
        <w:rPr>
          <w:rFonts w:eastAsia="Arial Unicode MS"/>
          <w:bCs/>
          <w:lang w:val="el-GR" w:eastAsia="fr-FR" w:bidi="he-IL"/>
        </w:rPr>
        <w:t>ό</w:t>
      </w:r>
      <w:r w:rsidRPr="00C8701B">
        <w:rPr>
          <w:rFonts w:eastAsia="Arial Unicode MS"/>
          <w:bCs/>
          <w:lang w:val="el-GR" w:eastAsia="fr-FR" w:bidi="he-IL"/>
        </w:rPr>
        <w:t>γι</w:t>
      </w:r>
      <w:r w:rsidR="00A74F01">
        <w:rPr>
          <w:rFonts w:eastAsia="Arial Unicode MS"/>
          <w:bCs/>
          <w:lang w:val="el-GR" w:eastAsia="fr-FR" w:bidi="he-IL"/>
        </w:rPr>
        <w:t>α</w:t>
      </w:r>
      <w:r w:rsidRPr="00C8701B">
        <w:rPr>
          <w:rFonts w:eastAsia="Arial Unicode MS"/>
          <w:bCs/>
          <w:lang w:val="el-GR" w:eastAsia="fr-FR" w:bidi="he-IL"/>
        </w:rPr>
        <w:t xml:space="preserve"> </w:t>
      </w:r>
      <w:r w:rsidRPr="00C8701B">
        <w:rPr>
          <w:rFonts w:eastAsia="Arial Unicode MS"/>
          <w:bCs/>
          <w:lang w:eastAsia="fr-FR" w:bidi="he-IL"/>
        </w:rPr>
        <w:t>de Papias ne différent pas de l</w:t>
      </w:r>
      <w:r w:rsidR="00557DE0">
        <w:rPr>
          <w:rFonts w:eastAsia="Arial Unicode MS"/>
          <w:bCs/>
          <w:lang w:eastAsia="fr-FR" w:bidi="he-IL"/>
        </w:rPr>
        <w:t>’</w:t>
      </w:r>
      <w:r w:rsidRPr="00C8701B">
        <w:rPr>
          <w:rFonts w:eastAsia="Arial Unicode MS"/>
          <w:bCs/>
          <w:lang w:eastAsia="fr-FR" w:bidi="he-IL"/>
        </w:rPr>
        <w:t>évangile selon S. Matthieu tel que nous le lisons aujourd</w:t>
      </w:r>
      <w:r w:rsidR="00557DE0">
        <w:rPr>
          <w:rFonts w:eastAsia="Arial Unicode MS"/>
          <w:bCs/>
          <w:lang w:eastAsia="fr-FR" w:bidi="he-IL"/>
        </w:rPr>
        <w:t>’</w:t>
      </w:r>
      <w:r w:rsidRPr="00C8701B">
        <w:rPr>
          <w:rFonts w:eastAsia="Arial Unicode MS"/>
          <w:bCs/>
          <w:lang w:eastAsia="fr-FR" w:bidi="he-IL"/>
        </w:rPr>
        <w:t>hui. Par conséquent</w:t>
      </w:r>
      <w:r w:rsidR="00E65435">
        <w:rPr>
          <w:rFonts w:eastAsia="Arial Unicode MS"/>
          <w:bCs/>
          <w:lang w:eastAsia="fr-FR" w:bidi="he-IL"/>
        </w:rPr>
        <w:t xml:space="preserve">, </w:t>
      </w:r>
      <w:r w:rsidR="0046287C">
        <w:rPr>
          <w:rStyle w:val="italicus"/>
        </w:rPr>
        <w:t>falsum suppósit</w:t>
      </w:r>
      <w:r w:rsidRPr="00DC4586">
        <w:rPr>
          <w:rStyle w:val="italicus"/>
        </w:rPr>
        <w:t>um.</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2° Si le premier système était arbitraire</w:t>
      </w:r>
      <w:r w:rsidR="00E65435">
        <w:rPr>
          <w:rFonts w:eastAsia="Arial Unicode MS"/>
          <w:bCs/>
          <w:lang w:eastAsia="fr-FR" w:bidi="he-IL"/>
        </w:rPr>
        <w:t xml:space="preserve">, </w:t>
      </w:r>
      <w:r w:rsidRPr="00C8701B">
        <w:rPr>
          <w:rFonts w:eastAsia="Arial Unicode MS"/>
          <w:bCs/>
          <w:lang w:eastAsia="fr-FR" w:bidi="he-IL"/>
        </w:rPr>
        <w:t>que dire de celui-ci</w:t>
      </w:r>
      <w:r w:rsidR="00C2602D" w:rsidRPr="00C8701B">
        <w:rPr>
          <w:rFonts w:eastAsia="Arial Unicode MS"/>
          <w:bCs/>
          <w:lang w:eastAsia="fr-FR" w:bidi="he-IL"/>
        </w:rPr>
        <w:t> ?</w:t>
      </w:r>
      <w:r w:rsidRPr="00C8701B">
        <w:rPr>
          <w:rFonts w:eastAsia="Arial Unicode MS"/>
          <w:bCs/>
          <w:lang w:eastAsia="fr-FR" w:bidi="he-IL"/>
        </w:rPr>
        <w:t xml:space="preserve"> On l</w:t>
      </w:r>
      <w:r w:rsidR="00557DE0">
        <w:rPr>
          <w:rFonts w:eastAsia="Arial Unicode MS"/>
          <w:bCs/>
          <w:lang w:eastAsia="fr-FR" w:bidi="he-IL"/>
        </w:rPr>
        <w:t>’</w:t>
      </w:r>
      <w:r w:rsidRPr="00C8701B">
        <w:rPr>
          <w:rFonts w:eastAsia="Arial Unicode MS"/>
          <w:bCs/>
          <w:lang w:eastAsia="fr-FR" w:bidi="he-IL"/>
        </w:rPr>
        <w:t>a vu par son seul énoncé</w:t>
      </w:r>
      <w:r w:rsidR="00E65435">
        <w:rPr>
          <w:rFonts w:eastAsia="Arial Unicode MS"/>
          <w:bCs/>
          <w:lang w:eastAsia="fr-FR" w:bidi="he-IL"/>
        </w:rPr>
        <w:t xml:space="preserve">, </w:t>
      </w:r>
      <w:r w:rsidRPr="00C8701B">
        <w:rPr>
          <w:rFonts w:eastAsia="Arial Unicode MS"/>
          <w:bCs/>
          <w:lang w:eastAsia="fr-FR" w:bidi="he-IL"/>
        </w:rPr>
        <w:t>il est</w:t>
      </w:r>
      <w:r w:rsidR="00E65435">
        <w:rPr>
          <w:rFonts w:eastAsia="Arial Unicode MS"/>
          <w:bCs/>
          <w:lang w:eastAsia="fr-FR" w:bidi="he-IL"/>
        </w:rPr>
        <w:t xml:space="preserve">, </w:t>
      </w:r>
      <w:r w:rsidRPr="00C8701B">
        <w:rPr>
          <w:rFonts w:eastAsia="Arial Unicode MS"/>
          <w:bCs/>
          <w:lang w:eastAsia="fr-FR" w:bidi="he-IL"/>
        </w:rPr>
        <w:t>dans son ensemble et dans ses détails</w:t>
      </w:r>
      <w:r w:rsidR="00E65435">
        <w:rPr>
          <w:rFonts w:eastAsia="Arial Unicode MS"/>
          <w:bCs/>
          <w:lang w:eastAsia="fr-FR" w:bidi="he-IL"/>
        </w:rPr>
        <w:t xml:space="preserve">, </w:t>
      </w:r>
      <w:r w:rsidRPr="00C8701B">
        <w:rPr>
          <w:rFonts w:eastAsia="Arial Unicode MS"/>
          <w:bCs/>
          <w:lang w:eastAsia="fr-FR" w:bidi="he-IL"/>
        </w:rPr>
        <w:t>un</w:t>
      </w:r>
      <w:r w:rsidR="0046287C">
        <w:rPr>
          <w:rFonts w:eastAsia="Arial Unicode MS"/>
          <w:bCs/>
          <w:lang w:eastAsia="fr-FR" w:bidi="he-IL"/>
        </w:rPr>
        <w:t>e œ</w:t>
      </w:r>
      <w:r w:rsidRPr="00C8701B">
        <w:rPr>
          <w:rFonts w:eastAsia="Arial Unicode MS"/>
          <w:bCs/>
          <w:lang w:eastAsia="fr-FR" w:bidi="he-IL"/>
        </w:rPr>
        <w:t>uvre de pure imagination. Il multiplie les suppositions de la façon la plus gratuite</w:t>
      </w:r>
      <w:r w:rsidR="00E65435">
        <w:rPr>
          <w:rFonts w:eastAsia="Arial Unicode MS"/>
          <w:bCs/>
          <w:lang w:eastAsia="fr-FR" w:bidi="he-IL"/>
        </w:rPr>
        <w:t xml:space="preserve">, </w:t>
      </w:r>
      <w:r w:rsidRPr="00C8701B">
        <w:rPr>
          <w:rFonts w:eastAsia="Arial Unicode MS"/>
          <w:bCs/>
          <w:lang w:eastAsia="fr-FR" w:bidi="he-IL"/>
        </w:rPr>
        <w:t>cr</w:t>
      </w:r>
      <w:r w:rsidR="0046287C">
        <w:rPr>
          <w:rFonts w:eastAsia="Arial Unicode MS"/>
          <w:bCs/>
          <w:lang w:eastAsia="fr-FR" w:bidi="he-IL"/>
        </w:rPr>
        <w:t>éant tout exprès de nouveaux doc</w:t>
      </w:r>
      <w:r w:rsidRPr="00C8701B">
        <w:rPr>
          <w:rFonts w:eastAsia="Arial Unicode MS"/>
          <w:bCs/>
          <w:lang w:eastAsia="fr-FR" w:bidi="he-IL"/>
        </w:rPr>
        <w:t>uments selon les besoins de la cause</w:t>
      </w:r>
      <w:r w:rsidR="00E65435">
        <w:rPr>
          <w:rFonts w:eastAsia="Arial Unicode MS"/>
          <w:bCs/>
          <w:lang w:eastAsia="fr-FR" w:bidi="he-IL"/>
        </w:rPr>
        <w:t xml:space="preserve">, </w:t>
      </w:r>
      <w:r w:rsidRPr="00C8701B">
        <w:rPr>
          <w:rFonts w:eastAsia="Arial Unicode MS"/>
          <w:bCs/>
          <w:lang w:eastAsia="fr-FR" w:bidi="he-IL"/>
        </w:rPr>
        <w:t>et sans autres motifs que ces besoins mêmes. M. Wallon</w:t>
      </w:r>
      <w:r w:rsidR="00933C60" w:rsidRPr="00C406FF">
        <w:rPr>
          <w:rStyle w:val="Appelnotedebasdep"/>
        </w:rPr>
        <w:footnoteReference w:id="264"/>
      </w:r>
      <w:r w:rsidRPr="00C8701B">
        <w:rPr>
          <w:rFonts w:eastAsia="Arial Unicode MS"/>
          <w:bCs/>
          <w:lang w:eastAsia="fr-FR" w:bidi="he-IL"/>
        </w:rPr>
        <w:t xml:space="preserve"> flagelle ce procédé comme il le mérite</w:t>
      </w:r>
      <w:r w:rsidR="00C2602D" w:rsidRPr="00C8701B">
        <w:rPr>
          <w:rFonts w:eastAsia="Arial Unicode MS"/>
          <w:bCs/>
          <w:lang w:eastAsia="fr-FR" w:bidi="he-IL"/>
        </w:rPr>
        <w:t> :</w:t>
      </w:r>
      <w:r w:rsidR="00E37C84">
        <w:rPr>
          <w:rFonts w:eastAsia="Arial Unicode MS"/>
          <w:bCs/>
          <w:lang w:eastAsia="fr-FR" w:bidi="he-IL"/>
        </w:rPr>
        <w:t xml:space="preserve"> « </w:t>
      </w:r>
      <w:r w:rsidR="0046287C">
        <w:rPr>
          <w:rFonts w:eastAsia="Arial Unicode MS"/>
          <w:bCs/>
          <w:lang w:eastAsia="fr-FR" w:bidi="he-IL"/>
        </w:rPr>
        <w:t>À</w:t>
      </w:r>
      <w:r w:rsidRPr="00C8701B">
        <w:rPr>
          <w:rFonts w:eastAsia="Arial Unicode MS"/>
          <w:bCs/>
          <w:lang w:eastAsia="fr-FR" w:bidi="he-IL"/>
        </w:rPr>
        <w:t xml:space="preserve"> l</w:t>
      </w:r>
      <w:r w:rsidR="00557DE0">
        <w:rPr>
          <w:rFonts w:eastAsia="Arial Unicode MS"/>
          <w:bCs/>
          <w:lang w:eastAsia="fr-FR" w:bidi="he-IL"/>
        </w:rPr>
        <w:t>’</w:t>
      </w:r>
      <w:r w:rsidRPr="00C8701B">
        <w:rPr>
          <w:rFonts w:eastAsia="Arial Unicode MS"/>
          <w:bCs/>
          <w:lang w:eastAsia="fr-FR" w:bidi="he-IL"/>
        </w:rPr>
        <w:t>aide de ces machines</w:t>
      </w:r>
      <w:r w:rsidR="00E65435">
        <w:rPr>
          <w:rFonts w:eastAsia="Arial Unicode MS"/>
          <w:bCs/>
          <w:lang w:eastAsia="fr-FR" w:bidi="he-IL"/>
        </w:rPr>
        <w:t xml:space="preserve">, </w:t>
      </w:r>
      <w:r w:rsidRPr="00C8701B">
        <w:rPr>
          <w:rFonts w:eastAsia="Arial Unicode MS"/>
          <w:bCs/>
          <w:lang w:eastAsia="fr-FR" w:bidi="he-IL"/>
        </w:rPr>
        <w:t>on parvient à faire fonctionner assez convenablement l</w:t>
      </w:r>
      <w:r w:rsidR="00557DE0">
        <w:rPr>
          <w:rFonts w:eastAsia="Arial Unicode MS"/>
          <w:bCs/>
          <w:lang w:eastAsia="fr-FR" w:bidi="he-IL"/>
        </w:rPr>
        <w:t>’</w:t>
      </w:r>
      <w:r w:rsidR="000439E9">
        <w:rPr>
          <w:rFonts w:eastAsia="Arial Unicode MS"/>
          <w:bCs/>
          <w:lang w:eastAsia="fr-FR" w:bidi="he-IL"/>
        </w:rPr>
        <w:t>Évangile</w:t>
      </w:r>
      <w:r w:rsidRPr="00C8701B">
        <w:rPr>
          <w:rFonts w:eastAsia="Arial Unicode MS"/>
          <w:bCs/>
          <w:lang w:eastAsia="fr-FR" w:bidi="he-IL"/>
        </w:rPr>
        <w:t xml:space="preserve"> primitif. Mais que devient le sens commun</w:t>
      </w:r>
      <w:r w:rsidR="00C2602D" w:rsidRPr="00C8701B">
        <w:rPr>
          <w:rFonts w:eastAsia="Arial Unicode MS"/>
          <w:bCs/>
          <w:lang w:eastAsia="fr-FR" w:bidi="he-IL"/>
        </w:rPr>
        <w:t> ?</w:t>
      </w:r>
      <w:r w:rsidRPr="00C8701B">
        <w:rPr>
          <w:rFonts w:eastAsia="Arial Unicode MS"/>
          <w:bCs/>
          <w:lang w:eastAsia="fr-FR" w:bidi="he-IL"/>
        </w:rPr>
        <w:t xml:space="preserve"> Cela nous rappelle le temps où les astronomes faisaient tourner le ciel autour de la terre. Le soleil</w:t>
      </w:r>
      <w:r w:rsidR="00E65435">
        <w:rPr>
          <w:rFonts w:eastAsia="Arial Unicode MS"/>
          <w:bCs/>
          <w:lang w:eastAsia="fr-FR" w:bidi="he-IL"/>
        </w:rPr>
        <w:t xml:space="preserve">, </w:t>
      </w:r>
      <w:r w:rsidRPr="00C8701B">
        <w:rPr>
          <w:rFonts w:eastAsia="Arial Unicode MS"/>
          <w:bCs/>
          <w:lang w:eastAsia="fr-FR" w:bidi="he-IL"/>
        </w:rPr>
        <w:t>les étoiles</w:t>
      </w:r>
      <w:r w:rsidR="00E65435">
        <w:rPr>
          <w:rFonts w:eastAsia="Arial Unicode MS"/>
          <w:bCs/>
          <w:lang w:eastAsia="fr-FR" w:bidi="he-IL"/>
        </w:rPr>
        <w:t xml:space="preserve">, </w:t>
      </w:r>
      <w:r w:rsidRPr="00C8701B">
        <w:rPr>
          <w:rFonts w:eastAsia="Arial Unicode MS"/>
          <w:bCs/>
          <w:lang w:eastAsia="fr-FR" w:bidi="he-IL"/>
        </w:rPr>
        <w:t>enchâssés dans leur sphère respective</w:t>
      </w:r>
      <w:r w:rsidR="00E65435">
        <w:rPr>
          <w:rFonts w:eastAsia="Arial Unicode MS"/>
          <w:bCs/>
          <w:lang w:eastAsia="fr-FR" w:bidi="he-IL"/>
        </w:rPr>
        <w:t xml:space="preserve">, </w:t>
      </w:r>
      <w:r w:rsidRPr="00C8701B">
        <w:rPr>
          <w:rFonts w:eastAsia="Arial Unicode MS"/>
          <w:bCs/>
          <w:lang w:eastAsia="fr-FR" w:bidi="he-IL"/>
        </w:rPr>
        <w:t>tournaient</w:t>
      </w:r>
      <w:r w:rsidR="0046287C">
        <w:rPr>
          <w:rFonts w:eastAsia="Arial Unicode MS"/>
          <w:bCs/>
          <w:lang w:eastAsia="fr-FR" w:bidi="he-IL"/>
        </w:rPr>
        <w:t xml:space="preserve"> sans donner aux savants trop d</w:t>
      </w:r>
      <w:r w:rsidR="00557DE0">
        <w:rPr>
          <w:rFonts w:eastAsia="Arial Unicode MS"/>
          <w:bCs/>
          <w:lang w:eastAsia="fr-FR" w:bidi="he-IL"/>
        </w:rPr>
        <w:t>’</w:t>
      </w:r>
      <w:r w:rsidRPr="00C8701B">
        <w:rPr>
          <w:rFonts w:eastAsia="Arial Unicode MS"/>
          <w:bCs/>
          <w:lang w:eastAsia="fr-FR" w:bidi="he-IL"/>
        </w:rPr>
        <w:t>embarras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mais les planètes</w:t>
      </w:r>
      <w:r w:rsidR="00E65435">
        <w:rPr>
          <w:rFonts w:eastAsia="Arial Unicode MS"/>
          <w:bCs/>
          <w:lang w:eastAsia="fr-FR" w:bidi="he-IL"/>
        </w:rPr>
        <w:t xml:space="preserve">, </w:t>
      </w:r>
      <w:r w:rsidRPr="00C8701B">
        <w:rPr>
          <w:rFonts w:eastAsia="Arial Unicode MS"/>
          <w:bCs/>
          <w:lang w:eastAsia="fr-FR" w:bidi="he-IL"/>
        </w:rPr>
        <w:t>celles qui renferment la terre dans leur o</w:t>
      </w:r>
      <w:r w:rsidR="0046287C">
        <w:rPr>
          <w:rFonts w:eastAsia="Arial Unicode MS"/>
          <w:bCs/>
          <w:lang w:eastAsia="fr-FR" w:bidi="he-IL"/>
        </w:rPr>
        <w:t>rb</w:t>
      </w:r>
      <w:r w:rsidRPr="00C8701B">
        <w:rPr>
          <w:rFonts w:eastAsia="Arial Unicode MS"/>
          <w:bCs/>
          <w:lang w:eastAsia="fr-FR" w:bidi="he-IL"/>
        </w:rPr>
        <w:t>ite et celles qui</w:t>
      </w:r>
      <w:r w:rsidR="00E65435">
        <w:rPr>
          <w:rFonts w:eastAsia="Arial Unicode MS"/>
          <w:bCs/>
          <w:lang w:eastAsia="fr-FR" w:bidi="he-IL"/>
        </w:rPr>
        <w:t xml:space="preserve">, </w:t>
      </w:r>
      <w:r w:rsidRPr="00C8701B">
        <w:rPr>
          <w:rFonts w:eastAsia="Arial Unicode MS"/>
          <w:bCs/>
          <w:lang w:eastAsia="fr-FR" w:bidi="he-IL"/>
        </w:rPr>
        <w:t>enfermées dans l</w:t>
      </w:r>
      <w:r w:rsidR="00557DE0">
        <w:rPr>
          <w:rFonts w:eastAsia="Arial Unicode MS"/>
          <w:bCs/>
          <w:lang w:eastAsia="fr-FR" w:bidi="he-IL"/>
        </w:rPr>
        <w:t>’</w:t>
      </w:r>
      <w:r w:rsidRPr="00C8701B">
        <w:rPr>
          <w:rFonts w:eastAsia="Arial Unicode MS"/>
          <w:bCs/>
          <w:lang w:eastAsia="fr-FR" w:bidi="he-IL"/>
        </w:rPr>
        <w:t>orbite de la terre</w:t>
      </w:r>
      <w:r w:rsidR="00E65435">
        <w:rPr>
          <w:rFonts w:eastAsia="Arial Unicode MS"/>
          <w:bCs/>
          <w:lang w:eastAsia="fr-FR" w:bidi="he-IL"/>
        </w:rPr>
        <w:t xml:space="preserve">, </w:t>
      </w:r>
      <w:r w:rsidRPr="00C8701B">
        <w:rPr>
          <w:rFonts w:eastAsia="Arial Unicode MS"/>
          <w:bCs/>
          <w:lang w:eastAsia="fr-FR" w:bidi="he-IL"/>
        </w:rPr>
        <w:t>demandent</w:t>
      </w:r>
      <w:r w:rsidR="00E65435">
        <w:rPr>
          <w:rFonts w:eastAsia="Arial Unicode MS"/>
          <w:bCs/>
          <w:lang w:eastAsia="fr-FR" w:bidi="he-IL"/>
        </w:rPr>
        <w:t xml:space="preserve">, </w:t>
      </w:r>
      <w:r w:rsidR="0046287C">
        <w:rPr>
          <w:rFonts w:eastAsia="Arial Unicode MS"/>
          <w:bCs/>
          <w:lang w:eastAsia="fr-FR" w:bidi="he-IL"/>
        </w:rPr>
        <w:t xml:space="preserve">pour </w:t>
      </w:r>
      <w:r w:rsidRPr="00C8701B">
        <w:rPr>
          <w:rFonts w:eastAsia="Arial Unicode MS"/>
          <w:bCs/>
          <w:lang w:eastAsia="fr-FR" w:bidi="he-IL"/>
        </w:rPr>
        <w:t>présenter les mêmes apparences</w:t>
      </w:r>
      <w:r w:rsidR="00E65435">
        <w:rPr>
          <w:rFonts w:eastAsia="Arial Unicode MS"/>
          <w:bCs/>
          <w:lang w:eastAsia="fr-FR" w:bidi="he-IL"/>
        </w:rPr>
        <w:t xml:space="preserve">, </w:t>
      </w:r>
      <w:r w:rsidRPr="00C8701B">
        <w:rPr>
          <w:rFonts w:eastAsia="Arial Unicode MS"/>
          <w:bCs/>
          <w:lang w:eastAsia="fr-FR" w:bidi="he-IL"/>
        </w:rPr>
        <w:t>une combinaison de mouvements bien plus compliqués</w:t>
      </w:r>
      <w:r w:rsidR="00C2602D" w:rsidRPr="00C8701B">
        <w:rPr>
          <w:rFonts w:eastAsia="Arial Unicode MS"/>
          <w:bCs/>
          <w:lang w:eastAsia="fr-FR" w:bidi="he-IL"/>
        </w:rPr>
        <w:t> !</w:t>
      </w:r>
      <w:r w:rsidRPr="00C8701B">
        <w:rPr>
          <w:rFonts w:eastAsia="Arial Unicode MS"/>
          <w:bCs/>
          <w:lang w:eastAsia="fr-FR" w:bidi="he-IL"/>
        </w:rPr>
        <w:t xml:space="preserve"> Les savants ne s</w:t>
      </w:r>
      <w:r w:rsidR="00557DE0">
        <w:rPr>
          <w:rFonts w:eastAsia="Arial Unicode MS"/>
          <w:bCs/>
          <w:lang w:eastAsia="fr-FR" w:bidi="he-IL"/>
        </w:rPr>
        <w:t>’</w:t>
      </w:r>
      <w:r w:rsidRPr="00C8701B">
        <w:rPr>
          <w:rFonts w:eastAsia="Arial Unicode MS"/>
          <w:bCs/>
          <w:lang w:eastAsia="fr-FR" w:bidi="he-IL"/>
        </w:rPr>
        <w:t>étaient pas découragés pourtant</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et à force de chercher</w:t>
      </w:r>
      <w:r w:rsidR="00E65435">
        <w:rPr>
          <w:rFonts w:eastAsia="Arial Unicode MS"/>
          <w:bCs/>
          <w:lang w:eastAsia="fr-FR" w:bidi="he-IL"/>
        </w:rPr>
        <w:t xml:space="preserve">, </w:t>
      </w:r>
      <w:r w:rsidRPr="00C8701B">
        <w:rPr>
          <w:rFonts w:eastAsia="Arial Unicode MS"/>
          <w:bCs/>
          <w:lang w:eastAsia="fr-FR" w:bidi="he-IL"/>
        </w:rPr>
        <w:t>on avait trouvé un système de rouage si habilement disposé</w:t>
      </w:r>
      <w:r w:rsidR="00E65435">
        <w:rPr>
          <w:rFonts w:eastAsia="Arial Unicode MS"/>
          <w:bCs/>
          <w:lang w:eastAsia="fr-FR" w:bidi="he-IL"/>
        </w:rPr>
        <w:t xml:space="preserve">, </w:t>
      </w:r>
      <w:r w:rsidRPr="00C8701B">
        <w:rPr>
          <w:rFonts w:eastAsia="Arial Unicode MS"/>
          <w:bCs/>
          <w:lang w:eastAsia="fr-FR" w:bidi="he-IL"/>
        </w:rPr>
        <w:t>qu</w:t>
      </w:r>
      <w:r w:rsidR="00557DE0">
        <w:rPr>
          <w:rFonts w:eastAsia="Arial Unicode MS"/>
          <w:bCs/>
          <w:lang w:eastAsia="fr-FR" w:bidi="he-IL"/>
        </w:rPr>
        <w:t>’</w:t>
      </w:r>
      <w:r w:rsidRPr="00C8701B">
        <w:rPr>
          <w:rFonts w:eastAsia="Arial Unicode MS"/>
          <w:bCs/>
          <w:lang w:eastAsia="fr-FR" w:bidi="he-IL"/>
        </w:rPr>
        <w:t>on rendait raison de tout. Mais cela</w:t>
      </w:r>
      <w:r w:rsidR="00E65435">
        <w:rPr>
          <w:rFonts w:eastAsia="Arial Unicode MS"/>
          <w:bCs/>
          <w:lang w:eastAsia="fr-FR" w:bidi="he-IL"/>
        </w:rPr>
        <w:t xml:space="preserve">, </w:t>
      </w:r>
      <w:r w:rsidRPr="00C8701B">
        <w:rPr>
          <w:rFonts w:eastAsia="Arial Unicode MS"/>
          <w:bCs/>
          <w:lang w:eastAsia="fr-FR" w:bidi="he-IL"/>
        </w:rPr>
        <w:t>au fond</w:t>
      </w:r>
      <w:r w:rsidR="00E65435">
        <w:rPr>
          <w:rFonts w:eastAsia="Arial Unicode MS"/>
          <w:bCs/>
          <w:lang w:eastAsia="fr-FR" w:bidi="he-IL"/>
        </w:rPr>
        <w:t xml:space="preserve">, </w:t>
      </w:r>
      <w:r w:rsidRPr="00C8701B">
        <w:rPr>
          <w:rFonts w:eastAsia="Arial Unicode MS"/>
          <w:bCs/>
          <w:lang w:eastAsia="fr-FR" w:bidi="he-IL"/>
        </w:rPr>
        <w:t>était absurde</w:t>
      </w:r>
      <w:r w:rsidR="00C2602D" w:rsidRPr="00C8701B">
        <w:rPr>
          <w:rFonts w:eastAsia="Arial Unicode MS"/>
          <w:bCs/>
          <w:lang w:eastAsia="fr-FR" w:bidi="he-IL"/>
        </w:rPr>
        <w:t> »</w:t>
      </w:r>
      <w:r w:rsidRPr="00C8701B">
        <w:rPr>
          <w:rFonts w:eastAsia="Arial Unicode MS"/>
          <w:bCs/>
          <w:lang w:eastAsia="fr-FR" w:bidi="he-IL"/>
        </w:rPr>
        <w:t>.</w:t>
      </w:r>
      <w:r w:rsidR="00C2602D" w:rsidRPr="00C8701B">
        <w:rPr>
          <w:rFonts w:eastAsia="Arial Unicode MS"/>
          <w:bCs/>
          <w:lang w:eastAsia="fr-FR" w:bidi="he-IL"/>
        </w:rPr>
        <w:t xml:space="preserve"> </w:t>
      </w:r>
    </w:p>
    <w:p w:rsidR="00C2602D" w:rsidRDefault="00B704AD" w:rsidP="00C2602D">
      <w:pPr>
        <w:rPr>
          <w:rFonts w:eastAsia="Arial Unicode MS"/>
          <w:bCs/>
          <w:lang w:eastAsia="fr-FR" w:bidi="he-IL"/>
        </w:rPr>
      </w:pPr>
      <w:r w:rsidRPr="00C8701B">
        <w:rPr>
          <w:rFonts w:eastAsia="Arial Unicode MS"/>
          <w:bCs/>
          <w:lang w:eastAsia="fr-FR" w:bidi="he-IL"/>
        </w:rPr>
        <w:t>3° Rien de plus incompatible encore avec la simplicité des écrivains de ces</w:t>
      </w:r>
      <w:r w:rsidR="0046287C">
        <w:rPr>
          <w:rFonts w:eastAsia="Arial Unicode MS"/>
          <w:bCs/>
          <w:lang w:eastAsia="fr-FR" w:bidi="he-IL"/>
        </w:rPr>
        <w:t xml:space="preserve"> </w:t>
      </w:r>
      <w:r w:rsidRPr="00C8701B">
        <w:rPr>
          <w:rFonts w:eastAsia="Arial Unicode MS"/>
          <w:bCs/>
          <w:lang w:eastAsia="fr-FR" w:bidi="he-IL"/>
        </w:rPr>
        <w:t>temps</w:t>
      </w:r>
      <w:r w:rsidR="00E65435">
        <w:rPr>
          <w:rFonts w:eastAsia="Arial Unicode MS"/>
          <w:bCs/>
          <w:lang w:eastAsia="fr-FR" w:bidi="he-IL"/>
        </w:rPr>
        <w:t xml:space="preserve">, </w:t>
      </w:r>
      <w:r w:rsidRPr="00C8701B">
        <w:rPr>
          <w:rFonts w:eastAsia="Arial Unicode MS"/>
          <w:bCs/>
          <w:lang w:eastAsia="fr-FR" w:bidi="he-IL"/>
        </w:rPr>
        <w:t>et surtout avec l</w:t>
      </w:r>
      <w:r w:rsidR="00557DE0">
        <w:rPr>
          <w:rFonts w:eastAsia="Arial Unicode MS"/>
          <w:bCs/>
          <w:lang w:eastAsia="fr-FR" w:bidi="he-IL"/>
        </w:rPr>
        <w:t>’</w:t>
      </w:r>
      <w:r w:rsidRPr="00C8701B">
        <w:rPr>
          <w:rFonts w:eastAsia="Arial Unicode MS"/>
          <w:bCs/>
          <w:lang w:eastAsia="fr-FR" w:bidi="he-IL"/>
        </w:rPr>
        <w:t>originalité de chacun de nos évangélistes sous le double rapport des idées et du style. Et puis</w:t>
      </w:r>
      <w:r w:rsidR="00E65435">
        <w:rPr>
          <w:rFonts w:eastAsia="Arial Unicode MS"/>
          <w:bCs/>
          <w:lang w:eastAsia="fr-FR" w:bidi="he-IL"/>
        </w:rPr>
        <w:t xml:space="preserve">, </w:t>
      </w:r>
      <w:r w:rsidRPr="00C8701B">
        <w:rPr>
          <w:rFonts w:eastAsia="Arial Unicode MS"/>
          <w:bCs/>
          <w:lang w:eastAsia="fr-FR" w:bidi="he-IL"/>
        </w:rPr>
        <w:t>phénomène étrange</w:t>
      </w:r>
      <w:r w:rsidR="00E65435">
        <w:rPr>
          <w:rFonts w:eastAsia="Arial Unicode MS"/>
          <w:bCs/>
          <w:lang w:eastAsia="fr-FR" w:bidi="he-IL"/>
        </w:rPr>
        <w:t xml:space="preserve">, </w:t>
      </w:r>
      <w:r w:rsidR="00C2602D" w:rsidRPr="00C8701B">
        <w:rPr>
          <w:rFonts w:eastAsia="Arial Unicode MS"/>
          <w:bCs/>
          <w:lang w:eastAsia="fr-FR" w:bidi="he-IL"/>
        </w:rPr>
        <w:t>« </w:t>
      </w:r>
      <w:r w:rsidRPr="00C8701B">
        <w:rPr>
          <w:rFonts w:eastAsia="Arial Unicode MS"/>
          <w:bCs/>
          <w:lang w:eastAsia="fr-FR" w:bidi="he-IL"/>
        </w:rPr>
        <w:t>à une même source</w:t>
      </w:r>
      <w:r w:rsidR="00E65435">
        <w:rPr>
          <w:rFonts w:eastAsia="Arial Unicode MS"/>
          <w:bCs/>
          <w:lang w:eastAsia="fr-FR" w:bidi="he-IL"/>
        </w:rPr>
        <w:t xml:space="preserve">, </w:t>
      </w:r>
      <w:r w:rsidRPr="00C8701B">
        <w:rPr>
          <w:rFonts w:eastAsia="Arial Unicode MS"/>
          <w:bCs/>
          <w:lang w:eastAsia="fr-FR" w:bidi="he-IL"/>
        </w:rPr>
        <w:t>un littérateur grec</w:t>
      </w:r>
      <w:r w:rsidR="00E65435">
        <w:rPr>
          <w:rFonts w:eastAsia="Arial Unicode MS"/>
          <w:bCs/>
          <w:lang w:eastAsia="fr-FR" w:bidi="he-IL"/>
        </w:rPr>
        <w:t xml:space="preserve">, </w:t>
      </w:r>
      <w:r w:rsidRPr="00C8701B">
        <w:rPr>
          <w:rFonts w:eastAsia="Arial Unicode MS"/>
          <w:bCs/>
          <w:lang w:eastAsia="fr-FR" w:bidi="he-IL"/>
        </w:rPr>
        <w:t>tel que S. Luc</w:t>
      </w:r>
      <w:r w:rsidR="00E65435">
        <w:rPr>
          <w:rFonts w:eastAsia="Arial Unicode MS"/>
          <w:bCs/>
          <w:lang w:eastAsia="fr-FR" w:bidi="he-IL"/>
        </w:rPr>
        <w:t xml:space="preserve">, </w:t>
      </w:r>
      <w:r w:rsidRPr="00C8701B">
        <w:rPr>
          <w:rFonts w:eastAsia="Arial Unicode MS"/>
          <w:bCs/>
          <w:lang w:eastAsia="fr-FR" w:bidi="he-IL"/>
        </w:rPr>
        <w:t xml:space="preserve">puise </w:t>
      </w:r>
      <w:r w:rsidR="0046287C">
        <w:rPr>
          <w:rFonts w:eastAsia="Arial Unicode MS"/>
          <w:bCs/>
          <w:lang w:eastAsia="fr-FR" w:bidi="he-IL"/>
        </w:rPr>
        <w:t>ses</w:t>
      </w:r>
      <w:r w:rsidRPr="00C8701B">
        <w:rPr>
          <w:rFonts w:eastAsia="Arial Unicode MS"/>
          <w:bCs/>
          <w:lang w:eastAsia="fr-FR" w:bidi="he-IL"/>
        </w:rPr>
        <w:t xml:space="preserve"> </w:t>
      </w:r>
      <w:r w:rsidR="00DD4900" w:rsidRPr="00C8701B">
        <w:rPr>
          <w:rFonts w:eastAsia="Arial Unicode MS"/>
          <w:bCs/>
          <w:lang w:eastAsia="fr-FR" w:bidi="he-IL"/>
        </w:rPr>
        <w:t>aramaïsmes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un juif</w:t>
      </w:r>
      <w:r w:rsidR="00E65435">
        <w:rPr>
          <w:rFonts w:eastAsia="Arial Unicode MS"/>
          <w:bCs/>
          <w:lang w:eastAsia="fr-FR" w:bidi="he-IL"/>
        </w:rPr>
        <w:t xml:space="preserve">, </w:t>
      </w:r>
      <w:r w:rsidRPr="00C8701B">
        <w:rPr>
          <w:rFonts w:eastAsia="Arial Unicode MS"/>
          <w:bCs/>
          <w:lang w:eastAsia="fr-FR" w:bidi="he-IL"/>
        </w:rPr>
        <w:t>comme S. Matthieu</w:t>
      </w:r>
      <w:r w:rsidR="00E65435">
        <w:rPr>
          <w:rFonts w:eastAsia="Arial Unicode MS"/>
          <w:bCs/>
          <w:lang w:eastAsia="fr-FR" w:bidi="he-IL"/>
        </w:rPr>
        <w:t xml:space="preserve">, </w:t>
      </w:r>
      <w:r w:rsidRPr="00C8701B">
        <w:rPr>
          <w:rFonts w:eastAsia="Arial Unicode MS"/>
          <w:bCs/>
          <w:lang w:eastAsia="fr-FR" w:bidi="he-IL"/>
        </w:rPr>
        <w:t>emprunte son grec souvent très pur</w:t>
      </w:r>
      <w:r w:rsidR="00E65435">
        <w:rPr>
          <w:rFonts w:eastAsia="Arial Unicode MS"/>
          <w:bCs/>
          <w:lang w:eastAsia="fr-FR" w:bidi="he-IL"/>
        </w:rPr>
        <w:t xml:space="preserve">, </w:t>
      </w:r>
      <w:r w:rsidRPr="00C8701B">
        <w:rPr>
          <w:rFonts w:eastAsia="Arial Unicode MS"/>
          <w:bCs/>
          <w:lang w:eastAsia="fr-FR" w:bidi="he-IL"/>
        </w:rPr>
        <w:t>et S. Marc</w:t>
      </w:r>
      <w:r w:rsidR="00E65435">
        <w:rPr>
          <w:rFonts w:eastAsia="Arial Unicode MS"/>
          <w:bCs/>
          <w:lang w:eastAsia="fr-FR" w:bidi="he-IL"/>
        </w:rPr>
        <w:t xml:space="preserve">, </w:t>
      </w:r>
      <w:r w:rsidRPr="00C8701B">
        <w:rPr>
          <w:rFonts w:eastAsia="Arial Unicode MS"/>
          <w:bCs/>
          <w:lang w:eastAsia="fr-FR" w:bidi="he-IL"/>
        </w:rPr>
        <w:t>ses expressions latines grécisée</w:t>
      </w:r>
      <w:r w:rsidR="0046287C">
        <w:rPr>
          <w:rFonts w:eastAsia="Arial Unicode MS"/>
          <w:bCs/>
          <w:lang w:eastAsia="fr-FR" w:bidi="he-IL"/>
        </w:rPr>
        <w:t>s »</w:t>
      </w:r>
      <w:r w:rsidR="00933C60" w:rsidRPr="00C406FF">
        <w:rPr>
          <w:rStyle w:val="Appelnotedebasdep"/>
        </w:rPr>
        <w:footnoteReference w:id="265"/>
      </w:r>
      <w:r w:rsidR="0046287C">
        <w:rPr>
          <w:rFonts w:eastAsia="Arial Unicode MS"/>
          <w:bCs/>
          <w:lang w:eastAsia="fr-FR" w:bidi="he-IL"/>
        </w:rPr>
        <w:t>.</w:t>
      </w:r>
    </w:p>
    <w:p w:rsidR="00C2602D" w:rsidRPr="00C8701B" w:rsidRDefault="00B704AD" w:rsidP="00C2602D">
      <w:pPr>
        <w:rPr>
          <w:rFonts w:eastAsia="Arial Unicode MS"/>
          <w:bCs/>
          <w:lang w:eastAsia="fr-FR" w:bidi="he-IL"/>
        </w:rPr>
      </w:pPr>
      <w:r w:rsidRPr="00C8701B">
        <w:rPr>
          <w:rFonts w:eastAsia="Arial Unicode MS"/>
          <w:bCs/>
          <w:lang w:eastAsia="fr-FR" w:bidi="he-IL"/>
        </w:rPr>
        <w:t>4° Et</w:t>
      </w:r>
      <w:r w:rsidR="00E65435">
        <w:rPr>
          <w:rFonts w:eastAsia="Arial Unicode MS"/>
          <w:bCs/>
          <w:lang w:eastAsia="fr-FR" w:bidi="he-IL"/>
        </w:rPr>
        <w:t xml:space="preserve">, </w:t>
      </w:r>
      <w:r w:rsidRPr="00C8701B">
        <w:rPr>
          <w:rFonts w:eastAsia="Arial Unicode MS"/>
          <w:bCs/>
          <w:lang w:eastAsia="fr-FR" w:bidi="he-IL"/>
        </w:rPr>
        <w:t>de nouveau</w:t>
      </w:r>
      <w:r w:rsidR="00E65435">
        <w:rPr>
          <w:rFonts w:eastAsia="Arial Unicode MS"/>
          <w:bCs/>
          <w:lang w:eastAsia="fr-FR" w:bidi="he-IL"/>
        </w:rPr>
        <w:t xml:space="preserve">, </w:t>
      </w:r>
      <w:r w:rsidRPr="00C8701B">
        <w:rPr>
          <w:rFonts w:eastAsia="Arial Unicode MS"/>
          <w:bCs/>
          <w:lang w:eastAsia="fr-FR" w:bidi="he-IL"/>
        </w:rPr>
        <w:t xml:space="preserve">le côté théologique de la question. </w:t>
      </w:r>
      <w:r w:rsidR="00C2602D" w:rsidRPr="00C8701B">
        <w:rPr>
          <w:rFonts w:eastAsia="Arial Unicode MS"/>
          <w:bCs/>
          <w:lang w:eastAsia="fr-FR" w:bidi="he-IL"/>
        </w:rPr>
        <w:t>« </w:t>
      </w:r>
      <w:r w:rsidRPr="00C8701B">
        <w:rPr>
          <w:rFonts w:eastAsia="Arial Unicode MS"/>
          <w:bCs/>
          <w:lang w:eastAsia="fr-FR" w:bidi="he-IL"/>
        </w:rPr>
        <w:t>Que l</w:t>
      </w:r>
      <w:r w:rsidR="00557DE0">
        <w:rPr>
          <w:rFonts w:eastAsia="Arial Unicode MS"/>
          <w:bCs/>
          <w:lang w:eastAsia="fr-FR" w:bidi="he-IL"/>
        </w:rPr>
        <w:t>’</w:t>
      </w:r>
      <w:r w:rsidRPr="00C8701B">
        <w:rPr>
          <w:rFonts w:eastAsia="Arial Unicode MS"/>
          <w:bCs/>
          <w:lang w:eastAsia="fr-FR" w:bidi="he-IL"/>
        </w:rPr>
        <w:t>on prenne</w:t>
      </w:r>
      <w:r w:rsidR="00E65435">
        <w:rPr>
          <w:rFonts w:eastAsia="Arial Unicode MS"/>
          <w:bCs/>
          <w:lang w:eastAsia="fr-FR" w:bidi="he-IL"/>
        </w:rPr>
        <w:t xml:space="preserve">, </w:t>
      </w:r>
      <w:r w:rsidRPr="00C8701B">
        <w:rPr>
          <w:rFonts w:eastAsia="Arial Unicode MS"/>
          <w:bCs/>
          <w:lang w:eastAsia="fr-FR" w:bidi="he-IL"/>
        </w:rPr>
        <w:t>par exemple</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oraison dominicale (dans les récits de S. Matthieu et de S. Luc). Il n</w:t>
      </w:r>
      <w:r w:rsidR="00557DE0">
        <w:rPr>
          <w:rFonts w:eastAsia="Arial Unicode MS"/>
          <w:bCs/>
          <w:lang w:eastAsia="fr-FR" w:bidi="he-IL"/>
        </w:rPr>
        <w:t>’</w:t>
      </w:r>
      <w:r w:rsidRPr="00C8701B">
        <w:rPr>
          <w:rFonts w:eastAsia="Arial Unicode MS"/>
          <w:bCs/>
          <w:lang w:eastAsia="fr-FR" w:bidi="he-IL"/>
        </w:rPr>
        <w:t>est pas moins impossible d</w:t>
      </w:r>
      <w:r w:rsidR="00557DE0">
        <w:rPr>
          <w:rFonts w:eastAsia="Arial Unicode MS"/>
          <w:bCs/>
          <w:lang w:eastAsia="fr-FR" w:bidi="he-IL"/>
        </w:rPr>
        <w:t>’</w:t>
      </w:r>
      <w:r w:rsidRPr="00C8701B">
        <w:rPr>
          <w:rFonts w:eastAsia="Arial Unicode MS"/>
          <w:bCs/>
          <w:lang w:eastAsia="fr-FR" w:bidi="he-IL"/>
        </w:rPr>
        <w:t>imaginer un texte commun</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où les deux évangélistes auraient tiré la teneur de ce formulaire que chacun nous a transmise</w:t>
      </w:r>
      <w:r w:rsidR="00E65435">
        <w:rPr>
          <w:rFonts w:eastAsia="Arial Unicode MS"/>
          <w:bCs/>
          <w:lang w:eastAsia="fr-FR" w:bidi="he-IL"/>
        </w:rPr>
        <w:t xml:space="preserve">, </w:t>
      </w:r>
      <w:r w:rsidRPr="00C8701B">
        <w:rPr>
          <w:rFonts w:eastAsia="Arial Unicode MS"/>
          <w:bCs/>
          <w:lang w:eastAsia="fr-FR" w:bidi="he-IL"/>
        </w:rPr>
        <w:t>que de faire dériver une de ces recensions de l</w:t>
      </w:r>
      <w:r w:rsidR="00557DE0">
        <w:rPr>
          <w:rFonts w:eastAsia="Arial Unicode MS"/>
          <w:bCs/>
          <w:lang w:eastAsia="fr-FR" w:bidi="he-IL"/>
        </w:rPr>
        <w:t>’</w:t>
      </w:r>
      <w:r w:rsidRPr="00C8701B">
        <w:rPr>
          <w:rFonts w:eastAsia="Arial Unicode MS"/>
          <w:bCs/>
          <w:lang w:eastAsia="fr-FR" w:bidi="he-IL"/>
        </w:rPr>
        <w:t>autre</w:t>
      </w:r>
      <w:r w:rsidR="00E65435">
        <w:rPr>
          <w:rFonts w:eastAsia="Arial Unicode MS"/>
          <w:bCs/>
          <w:lang w:eastAsia="fr-FR" w:bidi="he-IL"/>
        </w:rPr>
        <w:t xml:space="preserve">, </w:t>
      </w:r>
      <w:r w:rsidRPr="00C8701B">
        <w:rPr>
          <w:rFonts w:eastAsia="Arial Unicode MS"/>
          <w:bCs/>
          <w:lang w:eastAsia="fr-FR" w:bidi="he-IL"/>
        </w:rPr>
        <w:t>à moins d</w:t>
      </w:r>
      <w:r w:rsidR="00557DE0">
        <w:rPr>
          <w:rFonts w:eastAsia="Arial Unicode MS"/>
          <w:bCs/>
          <w:lang w:eastAsia="fr-FR" w:bidi="he-IL"/>
        </w:rPr>
        <w:t>’</w:t>
      </w:r>
      <w:r w:rsidRPr="00C8701B">
        <w:rPr>
          <w:rFonts w:eastAsia="Arial Unicode MS"/>
          <w:bCs/>
          <w:lang w:eastAsia="fr-FR" w:bidi="he-IL"/>
        </w:rPr>
        <w:t>attribuer à l</w:t>
      </w:r>
      <w:r w:rsidR="00557DE0">
        <w:rPr>
          <w:rFonts w:eastAsia="Arial Unicode MS"/>
          <w:bCs/>
          <w:lang w:eastAsia="fr-FR" w:bidi="he-IL"/>
        </w:rPr>
        <w:t>’</w:t>
      </w:r>
      <w:r w:rsidRPr="00C8701B">
        <w:rPr>
          <w:rFonts w:eastAsia="Arial Unicode MS"/>
          <w:bCs/>
          <w:lang w:eastAsia="fr-FR" w:bidi="he-IL"/>
        </w:rPr>
        <w:t>un ou à l</w:t>
      </w:r>
      <w:r w:rsidR="00557DE0">
        <w:rPr>
          <w:rFonts w:eastAsia="Arial Unicode MS"/>
          <w:bCs/>
          <w:lang w:eastAsia="fr-FR" w:bidi="he-IL"/>
        </w:rPr>
        <w:t>’</w:t>
      </w:r>
      <w:r w:rsidRPr="00C8701B">
        <w:rPr>
          <w:rFonts w:eastAsia="Arial Unicode MS"/>
          <w:bCs/>
          <w:lang w:eastAsia="fr-FR" w:bidi="he-IL"/>
        </w:rPr>
        <w:t>autre</w:t>
      </w:r>
      <w:r w:rsidR="00E65435">
        <w:rPr>
          <w:rFonts w:eastAsia="Arial Unicode MS"/>
          <w:bCs/>
          <w:lang w:eastAsia="fr-FR" w:bidi="he-IL"/>
        </w:rPr>
        <w:t xml:space="preserve">, </w:t>
      </w:r>
      <w:r w:rsidRPr="00C8701B">
        <w:rPr>
          <w:rFonts w:eastAsia="Arial Unicode MS"/>
          <w:bCs/>
          <w:lang w:eastAsia="fr-FR" w:bidi="he-IL"/>
        </w:rPr>
        <w:t>à l</w:t>
      </w:r>
      <w:r w:rsidR="00557DE0">
        <w:rPr>
          <w:rFonts w:eastAsia="Arial Unicode MS"/>
          <w:bCs/>
          <w:lang w:eastAsia="fr-FR" w:bidi="he-IL"/>
        </w:rPr>
        <w:t>’</w:t>
      </w:r>
      <w:r w:rsidRPr="00C8701B">
        <w:rPr>
          <w:rFonts w:eastAsia="Arial Unicode MS"/>
          <w:bCs/>
          <w:lang w:eastAsia="fr-FR" w:bidi="he-IL"/>
        </w:rPr>
        <w:t>égard d</w:t>
      </w:r>
      <w:r w:rsidR="00557DE0">
        <w:rPr>
          <w:rFonts w:eastAsia="Arial Unicode MS"/>
          <w:bCs/>
          <w:lang w:eastAsia="fr-FR" w:bidi="he-IL"/>
        </w:rPr>
        <w:t>’</w:t>
      </w:r>
      <w:r w:rsidRPr="00C8701B">
        <w:rPr>
          <w:rFonts w:eastAsia="Arial Unicode MS"/>
          <w:bCs/>
          <w:lang w:eastAsia="fr-FR" w:bidi="he-IL"/>
        </w:rPr>
        <w:t>une très solennelle parole du Maître</w:t>
      </w:r>
      <w:r w:rsidR="00E65435">
        <w:rPr>
          <w:rFonts w:eastAsia="Arial Unicode MS"/>
          <w:bCs/>
          <w:lang w:eastAsia="fr-FR" w:bidi="he-IL"/>
        </w:rPr>
        <w:t xml:space="preserve">, </w:t>
      </w:r>
      <w:r w:rsidR="0046287C">
        <w:rPr>
          <w:rFonts w:eastAsia="Arial Unicode MS"/>
          <w:bCs/>
          <w:lang w:eastAsia="fr-FR" w:bidi="he-IL"/>
        </w:rPr>
        <w:t>une inconcevable liberté »</w:t>
      </w:r>
      <w:r w:rsidR="00933C60" w:rsidRPr="00C406FF">
        <w:rPr>
          <w:rStyle w:val="Appelnotedebasdep"/>
        </w:rPr>
        <w:footnoteReference w:id="266"/>
      </w:r>
      <w:r w:rsidRPr="00C8701B">
        <w:rPr>
          <w:rFonts w:eastAsia="Arial Unicode MS"/>
          <w:bCs/>
          <w:lang w:eastAsia="fr-FR" w:bidi="he-IL"/>
        </w:rPr>
        <w:t>. Quelle confiance mériteraient nos synoptiques</w:t>
      </w:r>
      <w:r w:rsidR="00E65435">
        <w:rPr>
          <w:rFonts w:eastAsia="Arial Unicode MS"/>
          <w:bCs/>
          <w:lang w:eastAsia="fr-FR" w:bidi="he-IL"/>
        </w:rPr>
        <w:t xml:space="preserve">, </w:t>
      </w:r>
      <w:r w:rsidRPr="00C8701B">
        <w:rPr>
          <w:rFonts w:eastAsia="Arial Unicode MS"/>
          <w:bCs/>
          <w:lang w:eastAsia="fr-FR" w:bidi="he-IL"/>
        </w:rPr>
        <w:t>s</w:t>
      </w:r>
      <w:r w:rsidR="00557DE0">
        <w:rPr>
          <w:rFonts w:eastAsia="Arial Unicode MS"/>
          <w:bCs/>
          <w:lang w:eastAsia="fr-FR" w:bidi="he-IL"/>
        </w:rPr>
        <w:t>’</w:t>
      </w:r>
      <w:r w:rsidRPr="00C8701B">
        <w:rPr>
          <w:rFonts w:eastAsia="Arial Unicode MS"/>
          <w:bCs/>
          <w:lang w:eastAsia="fr-FR" w:bidi="he-IL"/>
        </w:rPr>
        <w:t>ils s</w:t>
      </w:r>
      <w:r w:rsidR="00557DE0">
        <w:rPr>
          <w:rFonts w:eastAsia="Arial Unicode MS"/>
          <w:bCs/>
          <w:lang w:eastAsia="fr-FR" w:bidi="he-IL"/>
        </w:rPr>
        <w:t>’</w:t>
      </w:r>
      <w:r w:rsidRPr="00C8701B">
        <w:rPr>
          <w:rFonts w:eastAsia="Arial Unicode MS"/>
          <w:bCs/>
          <w:lang w:eastAsia="fr-FR" w:bidi="he-IL"/>
        </w:rPr>
        <w:t>étaient bornés à faire d</w:t>
      </w:r>
      <w:r w:rsidR="00557DE0">
        <w:rPr>
          <w:rFonts w:eastAsia="Arial Unicode MS"/>
          <w:bCs/>
          <w:lang w:eastAsia="fr-FR" w:bidi="he-IL"/>
        </w:rPr>
        <w:t>’</w:t>
      </w:r>
      <w:r w:rsidRPr="00C8701B">
        <w:rPr>
          <w:rFonts w:eastAsia="Arial Unicode MS"/>
          <w:bCs/>
          <w:lang w:eastAsia="fr-FR" w:bidi="he-IL"/>
        </w:rPr>
        <w:t>un bout à l</w:t>
      </w:r>
      <w:r w:rsidR="00557DE0">
        <w:rPr>
          <w:rFonts w:eastAsia="Arial Unicode MS"/>
          <w:bCs/>
          <w:lang w:eastAsia="fr-FR" w:bidi="he-IL"/>
        </w:rPr>
        <w:t>’</w:t>
      </w:r>
      <w:r w:rsidRPr="00C8701B">
        <w:rPr>
          <w:rFonts w:eastAsia="Arial Unicode MS"/>
          <w:bCs/>
          <w:lang w:eastAsia="fr-FR" w:bidi="he-IL"/>
        </w:rPr>
        <w:t>autre de leurs écrits un amalgame de ce genre</w:t>
      </w:r>
      <w:r w:rsidR="00C2602D" w:rsidRPr="00C8701B">
        <w:rPr>
          <w:rFonts w:eastAsia="Arial Unicode MS"/>
          <w:bCs/>
          <w:lang w:eastAsia="fr-FR" w:bidi="he-IL"/>
        </w:rPr>
        <w:t xml:space="preserve"> ? </w:t>
      </w:r>
      <w:r w:rsidR="00A067B1" w:rsidRPr="000716BB">
        <w:rPr>
          <w:rFonts w:eastAsia="Arial Unicode MS"/>
          <w:bCs/>
          <w:lang w:eastAsia="fr-FR" w:bidi="he-IL"/>
        </w:rPr>
        <w:t>{</w:t>
      </w:r>
      <w:r w:rsidR="00A067B1">
        <w:rPr>
          <w:rFonts w:eastAsia="Arial Unicode MS"/>
          <w:bCs/>
          <w:lang w:eastAsia="fr-FR" w:bidi="he-IL"/>
        </w:rPr>
        <w:t>51</w:t>
      </w:r>
      <w:bookmarkStart w:id="85" w:name="pag051"/>
      <w:bookmarkEnd w:id="85"/>
      <w:r w:rsidR="00A067B1" w:rsidRPr="000716BB">
        <w:rPr>
          <w:rFonts w:eastAsia="Arial Unicode MS"/>
          <w:bCs/>
          <w:lang w:eastAsia="fr-FR" w:bidi="he-IL"/>
        </w:rPr>
        <w:t>}</w:t>
      </w:r>
    </w:p>
    <w:p w:rsidR="00C2602D" w:rsidRPr="00C8701B" w:rsidRDefault="00B704AD" w:rsidP="00C2602D">
      <w:pPr>
        <w:rPr>
          <w:rFonts w:eastAsia="Arial Unicode MS"/>
          <w:bCs/>
          <w:lang w:eastAsia="fr-FR" w:bidi="he-IL"/>
        </w:rPr>
      </w:pP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o</w:t>
      </w:r>
      <w:r w:rsidR="0046287C">
        <w:rPr>
          <w:rFonts w:eastAsia="Arial Unicode MS"/>
          <w:bCs/>
          <w:lang w:eastAsia="fr-FR" w:bidi="he-IL"/>
        </w:rPr>
        <w:t>ù il suit que la seconde théorie</w:t>
      </w:r>
      <w:r w:rsidR="00CE11E9">
        <w:rPr>
          <w:rFonts w:eastAsia="Arial Unicode MS"/>
          <w:bCs/>
          <w:lang w:eastAsia="fr-FR" w:bidi="he-IL"/>
        </w:rPr>
        <w:t xml:space="preserve"> </w:t>
      </w:r>
      <w:r w:rsidR="00F12048" w:rsidRPr="00C8701B">
        <w:rPr>
          <w:rFonts w:eastAsia="Arial Unicode MS"/>
          <w:bCs/>
          <w:lang w:eastAsia="fr-FR" w:bidi="he-IL"/>
        </w:rPr>
        <w:t>« </w:t>
      </w:r>
      <w:r w:rsidRPr="00C8701B">
        <w:rPr>
          <w:rFonts w:eastAsia="Arial Unicode MS"/>
          <w:bCs/>
          <w:lang w:eastAsia="fr-FR" w:bidi="he-IL"/>
        </w:rPr>
        <w:t>possèd</w:t>
      </w:r>
      <w:r w:rsidR="0046287C">
        <w:rPr>
          <w:rFonts w:eastAsia="Arial Unicode MS"/>
          <w:bCs/>
          <w:lang w:eastAsia="fr-FR" w:bidi="he-IL"/>
        </w:rPr>
        <w:t>e presque tous les défauts que l</w:t>
      </w:r>
      <w:r w:rsidR="00557DE0">
        <w:rPr>
          <w:rFonts w:eastAsia="Arial Unicode MS"/>
          <w:bCs/>
          <w:lang w:eastAsia="fr-FR" w:bidi="he-IL"/>
        </w:rPr>
        <w:t>’</w:t>
      </w:r>
      <w:r w:rsidR="0046287C">
        <w:rPr>
          <w:rFonts w:eastAsia="Arial Unicode MS"/>
          <w:bCs/>
          <w:lang w:eastAsia="fr-FR" w:bidi="he-IL"/>
        </w:rPr>
        <w:t>on peut reprocher à</w:t>
      </w:r>
      <w:r w:rsidRPr="00C8701B">
        <w:rPr>
          <w:rFonts w:eastAsia="Arial Unicode MS"/>
          <w:bCs/>
          <w:lang w:eastAsia="fr-FR" w:bidi="he-IL"/>
        </w:rPr>
        <w:t xml:space="preserve"> une hypothèse de ce genre</w:t>
      </w:r>
      <w:r w:rsidR="00933C60" w:rsidRPr="00C406FF">
        <w:rPr>
          <w:rStyle w:val="Appelnotedebasdep"/>
        </w:rPr>
        <w:footnoteReference w:id="267"/>
      </w:r>
      <w:r w:rsidR="00C2602D" w:rsidRPr="00C8701B">
        <w:rPr>
          <w:rFonts w:eastAsia="Arial Unicode MS"/>
          <w:bCs/>
          <w:lang w:eastAsia="fr-FR" w:bidi="he-IL"/>
        </w:rPr>
        <w:t> »</w:t>
      </w:r>
      <w:r w:rsidR="00E65435">
        <w:rPr>
          <w:rFonts w:eastAsia="Arial Unicode MS"/>
          <w:bCs/>
          <w:lang w:eastAsia="fr-FR" w:bidi="he-IL"/>
        </w:rPr>
        <w:t xml:space="preserve">, </w:t>
      </w:r>
      <w:r w:rsidRPr="00C8701B">
        <w:rPr>
          <w:rFonts w:eastAsia="Arial Unicode MS"/>
          <w:bCs/>
          <w:lang w:eastAsia="fr-FR" w:bidi="he-IL"/>
        </w:rPr>
        <w:t>et qu</w:t>
      </w:r>
      <w:r w:rsidR="00557DE0">
        <w:rPr>
          <w:rFonts w:eastAsia="Arial Unicode MS"/>
          <w:bCs/>
          <w:lang w:eastAsia="fr-FR" w:bidi="he-IL"/>
        </w:rPr>
        <w:t>’</w:t>
      </w:r>
      <w:r w:rsidR="00F12048" w:rsidRPr="00C8701B">
        <w:rPr>
          <w:rFonts w:eastAsia="Arial Unicode MS"/>
          <w:bCs/>
          <w:lang w:eastAsia="fr-FR" w:bidi="he-IL"/>
        </w:rPr>
        <w:t>« </w:t>
      </w:r>
      <w:r w:rsidRPr="00C8701B">
        <w:rPr>
          <w:rFonts w:eastAsia="Arial Unicode MS"/>
          <w:bCs/>
          <w:lang w:eastAsia="fr-FR" w:bidi="he-IL"/>
        </w:rPr>
        <w:t>elle ne se légitime ni en fait ni en droit</w:t>
      </w:r>
      <w:r w:rsidR="00C2602D" w:rsidRPr="00C8701B">
        <w:rPr>
          <w:rFonts w:eastAsia="Arial Unicode MS"/>
          <w:bCs/>
          <w:lang w:eastAsia="fr-FR" w:bidi="he-IL"/>
        </w:rPr>
        <w:t> »</w:t>
      </w:r>
      <w:r w:rsidRPr="00C8701B">
        <w:rPr>
          <w:rFonts w:eastAsia="Arial Unicode MS"/>
          <w:bCs/>
          <w:lang w:eastAsia="fr-FR" w:bidi="he-IL"/>
        </w:rPr>
        <w:t>. M. Davidson</w:t>
      </w:r>
      <w:r w:rsidR="00933C60" w:rsidRPr="00C406FF">
        <w:rPr>
          <w:rStyle w:val="Appelnotedebasdep"/>
        </w:rPr>
        <w:footnoteReference w:id="268"/>
      </w:r>
      <w:r w:rsidRPr="00C8701B">
        <w:rPr>
          <w:rFonts w:eastAsia="Arial Unicode MS"/>
          <w:bCs/>
          <w:lang w:eastAsia="fr-FR" w:bidi="he-IL"/>
        </w:rPr>
        <w:t xml:space="preserve"> la juge brièvement</w:t>
      </w:r>
      <w:r w:rsidR="00E65435">
        <w:rPr>
          <w:rFonts w:eastAsia="Arial Unicode MS"/>
          <w:bCs/>
          <w:lang w:eastAsia="fr-FR" w:bidi="he-IL"/>
        </w:rPr>
        <w:t xml:space="preserve">, </w:t>
      </w:r>
      <w:r w:rsidRPr="00C8701B">
        <w:rPr>
          <w:rFonts w:eastAsia="Arial Unicode MS"/>
          <w:bCs/>
          <w:lang w:eastAsia="fr-FR" w:bidi="he-IL"/>
        </w:rPr>
        <w:t>mais énergiquement</w:t>
      </w:r>
      <w:r w:rsidR="00E65435">
        <w:rPr>
          <w:rFonts w:eastAsia="Arial Unicode MS"/>
          <w:bCs/>
          <w:lang w:eastAsia="fr-FR" w:bidi="he-IL"/>
        </w:rPr>
        <w:t xml:space="preserve">, </w:t>
      </w:r>
      <w:r w:rsidRPr="00C8701B">
        <w:rPr>
          <w:rFonts w:eastAsia="Arial Unicode MS"/>
          <w:bCs/>
          <w:lang w:eastAsia="fr-FR" w:bidi="he-IL"/>
        </w:rPr>
        <w:t>lorsqu</w:t>
      </w:r>
      <w:r w:rsidR="00557DE0">
        <w:rPr>
          <w:rFonts w:eastAsia="Arial Unicode MS"/>
          <w:bCs/>
          <w:lang w:eastAsia="fr-FR" w:bidi="he-IL"/>
        </w:rPr>
        <w:t>’</w:t>
      </w:r>
      <w:r w:rsidRPr="00C8701B">
        <w:rPr>
          <w:rFonts w:eastAsia="Arial Unicode MS"/>
          <w:bCs/>
          <w:lang w:eastAsia="fr-FR" w:bidi="he-IL"/>
        </w:rPr>
        <w:t>il l</w:t>
      </w:r>
      <w:r w:rsidR="00557DE0">
        <w:rPr>
          <w:rFonts w:eastAsia="Arial Unicode MS"/>
          <w:bCs/>
          <w:lang w:eastAsia="fr-FR" w:bidi="he-IL"/>
        </w:rPr>
        <w:t>’</w:t>
      </w:r>
      <w:r w:rsidRPr="00C8701B">
        <w:rPr>
          <w:rFonts w:eastAsia="Arial Unicode MS"/>
          <w:bCs/>
          <w:lang w:eastAsia="fr-FR" w:bidi="he-IL"/>
        </w:rPr>
        <w:t>accuse d</w:t>
      </w:r>
      <w:r w:rsidR="00557DE0">
        <w:rPr>
          <w:rFonts w:eastAsia="Arial Unicode MS"/>
          <w:bCs/>
          <w:lang w:eastAsia="fr-FR" w:bidi="he-IL"/>
        </w:rPr>
        <w:t>’</w:t>
      </w:r>
      <w:r w:rsidRPr="00C8701B">
        <w:rPr>
          <w:rFonts w:eastAsia="Arial Unicode MS"/>
          <w:bCs/>
          <w:lang w:eastAsia="fr-FR" w:bidi="he-IL"/>
        </w:rPr>
        <w:t>être</w:t>
      </w:r>
      <w:r w:rsidRPr="00DC4586">
        <w:rPr>
          <w:rStyle w:val="italicus"/>
        </w:rPr>
        <w:t xml:space="preserve"> clumsy</w:t>
      </w:r>
      <w:r w:rsidR="00E65435">
        <w:rPr>
          <w:rStyle w:val="italicus"/>
        </w:rPr>
        <w:t xml:space="preserve">, </w:t>
      </w:r>
      <w:r w:rsidRPr="00DC4586">
        <w:rPr>
          <w:rStyle w:val="italicus"/>
        </w:rPr>
        <w:t>laboured</w:t>
      </w:r>
      <w:r w:rsidR="00E65435">
        <w:rPr>
          <w:rStyle w:val="italicus"/>
        </w:rPr>
        <w:t xml:space="preserve">, </w:t>
      </w:r>
      <w:r w:rsidRPr="00DC4586">
        <w:rPr>
          <w:rStyle w:val="italicus"/>
        </w:rPr>
        <w:t>inadequate</w:t>
      </w:r>
      <w:r w:rsidR="00E65435">
        <w:rPr>
          <w:rStyle w:val="italicus"/>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est-à-dire</w:t>
      </w:r>
      <w:r w:rsidR="00E65435">
        <w:rPr>
          <w:rFonts w:eastAsia="Arial Unicode MS"/>
          <w:bCs/>
          <w:lang w:eastAsia="fr-FR" w:bidi="he-IL"/>
        </w:rPr>
        <w:t xml:space="preserve">, </w:t>
      </w:r>
      <w:r w:rsidR="00C2602D" w:rsidRPr="00C8701B">
        <w:rPr>
          <w:rFonts w:eastAsia="Arial Unicode MS"/>
          <w:bCs/>
          <w:lang w:eastAsia="fr-FR" w:bidi="he-IL"/>
        </w:rPr>
        <w:t>« </w:t>
      </w:r>
      <w:r w:rsidRPr="00C8701B">
        <w:rPr>
          <w:rFonts w:eastAsia="Arial Unicode MS"/>
          <w:bCs/>
          <w:lang w:eastAsia="fr-FR" w:bidi="he-IL"/>
        </w:rPr>
        <w:t>gauche</w:t>
      </w:r>
      <w:r w:rsidR="00E65435">
        <w:rPr>
          <w:rFonts w:eastAsia="Arial Unicode MS"/>
          <w:bCs/>
          <w:lang w:eastAsia="fr-FR" w:bidi="he-IL"/>
        </w:rPr>
        <w:t xml:space="preserve">, </w:t>
      </w:r>
      <w:r w:rsidRPr="00C8701B">
        <w:rPr>
          <w:rFonts w:eastAsia="Arial Unicode MS"/>
          <w:bCs/>
          <w:lang w:eastAsia="fr-FR" w:bidi="he-IL"/>
        </w:rPr>
        <w:t>pénible</w:t>
      </w:r>
      <w:r w:rsidR="00E65435">
        <w:rPr>
          <w:rFonts w:eastAsia="Arial Unicode MS"/>
          <w:bCs/>
          <w:lang w:eastAsia="fr-FR" w:bidi="he-IL"/>
        </w:rPr>
        <w:t xml:space="preserve">, </w:t>
      </w:r>
      <w:r w:rsidRPr="00C8701B">
        <w:rPr>
          <w:rFonts w:eastAsia="Arial Unicode MS"/>
          <w:bCs/>
          <w:lang w:eastAsia="fr-FR" w:bidi="he-IL"/>
        </w:rPr>
        <w:t>insuffisante</w:t>
      </w:r>
      <w:r w:rsidR="00C2602D" w:rsidRPr="00C8701B">
        <w:rPr>
          <w:rFonts w:eastAsia="Arial Unicode MS"/>
          <w:bCs/>
          <w:lang w:eastAsia="fr-FR" w:bidi="he-IL"/>
        </w:rPr>
        <w:t> »</w:t>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3.</w:t>
      </w:r>
      <w:r w:rsidRPr="00DC4586">
        <w:rPr>
          <w:rStyle w:val="italicus"/>
        </w:rPr>
        <w:t xml:space="preserve"> Critique du troisième système.</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Autant il nous paraît difficile d</w:t>
      </w:r>
      <w:r w:rsidR="00557DE0">
        <w:rPr>
          <w:rFonts w:eastAsia="Arial Unicode MS"/>
          <w:bCs/>
          <w:lang w:eastAsia="fr-FR" w:bidi="he-IL"/>
        </w:rPr>
        <w:t>’</w:t>
      </w:r>
      <w:r w:rsidRPr="00C8701B">
        <w:rPr>
          <w:rFonts w:eastAsia="Arial Unicode MS"/>
          <w:bCs/>
          <w:lang w:eastAsia="fr-FR" w:bidi="he-IL"/>
        </w:rPr>
        <w:t>expliquer par les deux hypothèses qui précèdent le problème exégétique dont nous cherchons la solution</w:t>
      </w:r>
      <w:r w:rsidR="00E65435">
        <w:rPr>
          <w:rFonts w:eastAsia="Arial Unicode MS"/>
          <w:bCs/>
          <w:lang w:eastAsia="fr-FR" w:bidi="he-IL"/>
        </w:rPr>
        <w:t xml:space="preserve">, </w:t>
      </w:r>
      <w:r w:rsidRPr="00C8701B">
        <w:rPr>
          <w:rFonts w:eastAsia="Arial Unicode MS"/>
          <w:bCs/>
          <w:lang w:eastAsia="fr-FR" w:bidi="he-IL"/>
        </w:rPr>
        <w:t>autant la tradition orale nous semble trancher la difficulté dans tous les sens. Cette théorie</w:t>
      </w:r>
      <w:r w:rsidR="00E65435">
        <w:rPr>
          <w:rFonts w:eastAsia="Arial Unicode MS"/>
          <w:bCs/>
          <w:lang w:eastAsia="fr-FR" w:bidi="he-IL"/>
        </w:rPr>
        <w:t xml:space="preserve">, </w:t>
      </w:r>
      <w:r w:rsidRPr="00C8701B">
        <w:rPr>
          <w:rFonts w:eastAsia="Arial Unicode MS"/>
          <w:bCs/>
          <w:lang w:eastAsia="fr-FR" w:bidi="he-IL"/>
        </w:rPr>
        <w:t>en effet</w:t>
      </w:r>
      <w:r w:rsidR="00E65435">
        <w:rPr>
          <w:rFonts w:eastAsia="Arial Unicode MS"/>
          <w:bCs/>
          <w:lang w:eastAsia="fr-FR" w:bidi="he-IL"/>
        </w:rPr>
        <w:t xml:space="preserve">, </w:t>
      </w:r>
      <w:r w:rsidRPr="00C8701B">
        <w:rPr>
          <w:rFonts w:eastAsia="Arial Unicode MS"/>
          <w:bCs/>
          <w:lang w:eastAsia="fr-FR" w:bidi="he-IL"/>
        </w:rPr>
        <w:t>réunit de très précieux avantages</w:t>
      </w:r>
      <w:r w:rsidR="00E65435">
        <w:rPr>
          <w:rFonts w:eastAsia="Arial Unicode MS"/>
          <w:bCs/>
          <w:lang w:eastAsia="fr-FR" w:bidi="he-IL"/>
        </w:rPr>
        <w:t xml:space="preserve">, </w:t>
      </w:r>
      <w:r w:rsidRPr="00C8701B">
        <w:rPr>
          <w:rFonts w:eastAsia="Arial Unicode MS"/>
          <w:bCs/>
          <w:lang w:eastAsia="fr-FR" w:bidi="he-IL"/>
        </w:rPr>
        <w:t>et elle évite</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autre part</w:t>
      </w:r>
      <w:r w:rsidR="00E65435">
        <w:rPr>
          <w:rFonts w:eastAsia="Arial Unicode MS"/>
          <w:bCs/>
          <w:lang w:eastAsia="fr-FR" w:bidi="he-IL"/>
        </w:rPr>
        <w:t xml:space="preserve">, </w:t>
      </w:r>
      <w:r w:rsidR="0046287C">
        <w:rPr>
          <w:rFonts w:eastAsia="Arial Unicode MS"/>
          <w:bCs/>
          <w:lang w:eastAsia="fr-FR" w:bidi="he-IL"/>
        </w:rPr>
        <w:t xml:space="preserve">les inconvénients signalés. </w:t>
      </w:r>
    </w:p>
    <w:p w:rsidR="00C2602D" w:rsidRPr="00C8701B" w:rsidRDefault="00B704AD" w:rsidP="00C2602D">
      <w:pPr>
        <w:rPr>
          <w:rFonts w:eastAsia="Arial Unicode MS"/>
          <w:bCs/>
          <w:lang w:eastAsia="fr-FR" w:bidi="he-IL"/>
        </w:rPr>
      </w:pPr>
      <w:r w:rsidRPr="00C8701B">
        <w:rPr>
          <w:rFonts w:eastAsia="Arial Unicode MS"/>
          <w:bCs/>
          <w:lang w:eastAsia="fr-FR" w:bidi="he-IL"/>
        </w:rPr>
        <w:t>1° Elle est très conforme</w:t>
      </w:r>
      <w:r w:rsidR="00E65435">
        <w:rPr>
          <w:rFonts w:eastAsia="Arial Unicode MS"/>
          <w:bCs/>
          <w:lang w:eastAsia="fr-FR" w:bidi="he-IL"/>
        </w:rPr>
        <w:t xml:space="preserve">, </w:t>
      </w:r>
      <w:r w:rsidRPr="00C8701B">
        <w:rPr>
          <w:rFonts w:eastAsia="Arial Unicode MS"/>
          <w:bCs/>
          <w:lang w:eastAsia="fr-FR" w:bidi="he-IL"/>
        </w:rPr>
        <w:t>on l</w:t>
      </w:r>
      <w:r w:rsidR="00557DE0">
        <w:rPr>
          <w:rFonts w:eastAsia="Arial Unicode MS"/>
          <w:bCs/>
          <w:lang w:eastAsia="fr-FR" w:bidi="he-IL"/>
        </w:rPr>
        <w:t>’</w:t>
      </w:r>
      <w:r w:rsidRPr="00C8701B">
        <w:rPr>
          <w:rFonts w:eastAsia="Arial Unicode MS"/>
          <w:bCs/>
          <w:lang w:eastAsia="fr-FR" w:bidi="he-IL"/>
        </w:rPr>
        <w:t>a vu par son seul exposé</w:t>
      </w:r>
      <w:r w:rsidR="00933C60" w:rsidRPr="00C406FF">
        <w:rPr>
          <w:rStyle w:val="Appelnotedebasdep"/>
        </w:rPr>
        <w:footnoteReference w:id="269"/>
      </w:r>
      <w:r w:rsidR="00E65435">
        <w:rPr>
          <w:rFonts w:eastAsia="Arial Unicode MS"/>
          <w:bCs/>
          <w:lang w:eastAsia="fr-FR" w:bidi="he-IL"/>
        </w:rPr>
        <w:t xml:space="preserve">, </w:t>
      </w:r>
      <w:r w:rsidRPr="00C8701B">
        <w:rPr>
          <w:rFonts w:eastAsia="Arial Unicode MS"/>
          <w:bCs/>
          <w:lang w:eastAsia="fr-FR" w:bidi="he-IL"/>
        </w:rPr>
        <w:t>à l</w:t>
      </w:r>
      <w:r w:rsidR="00557DE0">
        <w:rPr>
          <w:rFonts w:eastAsia="Arial Unicode MS"/>
          <w:bCs/>
          <w:lang w:eastAsia="fr-FR" w:bidi="he-IL"/>
        </w:rPr>
        <w:t>’</w:t>
      </w:r>
      <w:r w:rsidRPr="00C8701B">
        <w:rPr>
          <w:rFonts w:eastAsia="Arial Unicode MS"/>
          <w:bCs/>
          <w:lang w:eastAsia="fr-FR" w:bidi="he-IL"/>
        </w:rPr>
        <w:t>histoire de la fondation du christianisme</w:t>
      </w:r>
      <w:r w:rsidR="00E65435">
        <w:rPr>
          <w:rFonts w:eastAsia="Arial Unicode MS"/>
          <w:bCs/>
          <w:lang w:eastAsia="fr-FR" w:bidi="he-IL"/>
        </w:rPr>
        <w:t xml:space="preserve">, </w:t>
      </w:r>
      <w:r w:rsidRPr="00C8701B">
        <w:rPr>
          <w:rFonts w:eastAsia="Arial Unicode MS"/>
          <w:bCs/>
          <w:lang w:eastAsia="fr-FR" w:bidi="he-IL"/>
        </w:rPr>
        <w:t xml:space="preserve">telle que nous la représentent le livre des Actes et les </w:t>
      </w:r>
      <w:r w:rsidR="001B15A5" w:rsidRPr="00C8701B">
        <w:rPr>
          <w:rFonts w:eastAsia="Arial Unicode MS"/>
          <w:bCs/>
          <w:lang w:eastAsia="fr-FR" w:bidi="he-IL"/>
        </w:rPr>
        <w:t>épitre</w:t>
      </w:r>
      <w:r w:rsidRPr="00C8701B">
        <w:rPr>
          <w:rFonts w:eastAsia="Arial Unicode MS"/>
          <w:bCs/>
          <w:lang w:eastAsia="fr-FR" w:bidi="he-IL"/>
        </w:rPr>
        <w:t>s apostoliques.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Lisez</w:t>
      </w:r>
      <w:r w:rsidR="00E65435">
        <w:rPr>
          <w:rFonts w:eastAsia="Arial Unicode MS"/>
          <w:bCs/>
          <w:lang w:eastAsia="fr-FR" w:bidi="he-IL"/>
        </w:rPr>
        <w:t xml:space="preserve">, </w:t>
      </w:r>
      <w:r w:rsidRPr="00C8701B">
        <w:rPr>
          <w:rFonts w:eastAsia="Arial Unicode MS"/>
          <w:bCs/>
          <w:lang w:eastAsia="fr-FR" w:bidi="he-IL"/>
        </w:rPr>
        <w:t>en les comparant l</w:t>
      </w:r>
      <w:r w:rsidR="00557DE0">
        <w:rPr>
          <w:rFonts w:eastAsia="Arial Unicode MS"/>
          <w:bCs/>
          <w:lang w:eastAsia="fr-FR" w:bidi="he-IL"/>
        </w:rPr>
        <w:t>’</w:t>
      </w:r>
      <w:r w:rsidRPr="00C8701B">
        <w:rPr>
          <w:rFonts w:eastAsia="Arial Unicode MS"/>
          <w:bCs/>
          <w:lang w:eastAsia="fr-FR" w:bidi="he-IL"/>
        </w:rPr>
        <w:t>un à l</w:t>
      </w:r>
      <w:r w:rsidR="00557DE0">
        <w:rPr>
          <w:rFonts w:eastAsia="Arial Unicode MS"/>
          <w:bCs/>
          <w:lang w:eastAsia="fr-FR" w:bidi="he-IL"/>
        </w:rPr>
        <w:t>’</w:t>
      </w:r>
      <w:r w:rsidRPr="00C8701B">
        <w:rPr>
          <w:rFonts w:eastAsia="Arial Unicode MS"/>
          <w:bCs/>
          <w:lang w:eastAsia="fr-FR" w:bidi="he-IL"/>
        </w:rPr>
        <w:t>autre</w:t>
      </w:r>
      <w:r w:rsidR="00E65435">
        <w:rPr>
          <w:rFonts w:eastAsia="Arial Unicode MS"/>
          <w:bCs/>
          <w:lang w:eastAsia="fr-FR" w:bidi="he-IL"/>
        </w:rPr>
        <w:t xml:space="preserve">, </w:t>
      </w:r>
      <w:r w:rsidRPr="00C8701B">
        <w:rPr>
          <w:rFonts w:eastAsia="Arial Unicode MS"/>
          <w:bCs/>
          <w:lang w:eastAsia="fr-FR" w:bidi="he-IL"/>
        </w:rPr>
        <w:t>le discours de S. Pierre à Césarée</w:t>
      </w:r>
      <w:r w:rsidR="00933C60" w:rsidRPr="00C406FF">
        <w:rPr>
          <w:rStyle w:val="Appelnotedebasdep"/>
        </w:rPr>
        <w:footnoteReference w:id="270"/>
      </w:r>
      <w:r w:rsidRPr="00C8701B">
        <w:rPr>
          <w:rFonts w:eastAsia="Arial Unicode MS"/>
          <w:bCs/>
          <w:lang w:eastAsia="fr-FR" w:bidi="he-IL"/>
        </w:rPr>
        <w:t xml:space="preserve"> et le discours de S. Paul à Antioche</w:t>
      </w:r>
      <w:r w:rsidR="00933C60" w:rsidRPr="00C406FF">
        <w:rPr>
          <w:rStyle w:val="Appelnotedebasdep"/>
        </w:rPr>
        <w:footnoteReference w:id="271"/>
      </w:r>
      <w:r w:rsidR="00C2602D" w:rsidRPr="00C8701B">
        <w:rPr>
          <w:rFonts w:eastAsia="Arial Unicode MS"/>
          <w:bCs/>
          <w:lang w:eastAsia="fr-FR" w:bidi="he-IL"/>
        </w:rPr>
        <w:t> :</w:t>
      </w:r>
      <w:r w:rsidRPr="00C8701B">
        <w:rPr>
          <w:rFonts w:eastAsia="Arial Unicode MS"/>
          <w:bCs/>
          <w:lang w:eastAsia="fr-FR" w:bidi="he-IL"/>
        </w:rPr>
        <w:t xml:space="preserve"> c</w:t>
      </w:r>
      <w:r w:rsidR="00557DE0">
        <w:rPr>
          <w:rFonts w:eastAsia="Arial Unicode MS"/>
          <w:bCs/>
          <w:lang w:eastAsia="fr-FR" w:bidi="he-IL"/>
        </w:rPr>
        <w:t>’</w:t>
      </w:r>
      <w:r w:rsidRPr="00C8701B">
        <w:rPr>
          <w:rFonts w:eastAsia="Arial Unicode MS"/>
          <w:bCs/>
          <w:lang w:eastAsia="fr-FR" w:bidi="he-IL"/>
        </w:rPr>
        <w:t>est</w:t>
      </w:r>
      <w:r w:rsidR="00E65435">
        <w:rPr>
          <w:rFonts w:eastAsia="Arial Unicode MS"/>
          <w:bCs/>
          <w:lang w:eastAsia="fr-FR" w:bidi="he-IL"/>
        </w:rPr>
        <w:t xml:space="preserve">, </w:t>
      </w:r>
      <w:r w:rsidRPr="00C8701B">
        <w:rPr>
          <w:rFonts w:eastAsia="Arial Unicode MS"/>
          <w:bCs/>
          <w:lang w:eastAsia="fr-FR" w:bidi="he-IL"/>
        </w:rPr>
        <w:t>de part et d</w:t>
      </w:r>
      <w:r w:rsidR="00557DE0">
        <w:rPr>
          <w:rFonts w:eastAsia="Arial Unicode MS"/>
          <w:bCs/>
          <w:lang w:eastAsia="fr-FR" w:bidi="he-IL"/>
        </w:rPr>
        <w:t>’</w:t>
      </w:r>
      <w:r w:rsidRPr="00C8701B">
        <w:rPr>
          <w:rFonts w:eastAsia="Arial Unicode MS"/>
          <w:bCs/>
          <w:lang w:eastAsia="fr-FR" w:bidi="he-IL"/>
        </w:rPr>
        <w:t>autre</w:t>
      </w:r>
      <w:r w:rsidR="00E65435">
        <w:rPr>
          <w:rFonts w:eastAsia="Arial Unicode MS"/>
          <w:bCs/>
          <w:lang w:eastAsia="fr-FR" w:bidi="he-IL"/>
        </w:rPr>
        <w:t xml:space="preserve">, </w:t>
      </w:r>
      <w:r w:rsidRPr="00C8701B">
        <w:rPr>
          <w:rFonts w:eastAsia="Arial Unicode MS"/>
          <w:bCs/>
          <w:lang w:eastAsia="fr-FR" w:bidi="he-IL"/>
        </w:rPr>
        <w:t>la même méthode</w:t>
      </w:r>
      <w:r w:rsidR="00E65435">
        <w:rPr>
          <w:rFonts w:eastAsia="Arial Unicode MS"/>
          <w:bCs/>
          <w:lang w:eastAsia="fr-FR" w:bidi="he-IL"/>
        </w:rPr>
        <w:t xml:space="preserve">, </w:t>
      </w:r>
      <w:r w:rsidRPr="00C8701B">
        <w:rPr>
          <w:rFonts w:eastAsia="Arial Unicode MS"/>
          <w:bCs/>
          <w:lang w:eastAsia="fr-FR" w:bidi="he-IL"/>
        </w:rPr>
        <w:t>un abrégé de la vie de N.-S. Jésus-Christ pour démontrer qu</w:t>
      </w:r>
      <w:r w:rsidR="00557DE0">
        <w:rPr>
          <w:rFonts w:eastAsia="Arial Unicode MS"/>
          <w:bCs/>
          <w:lang w:eastAsia="fr-FR" w:bidi="he-IL"/>
        </w:rPr>
        <w:t>’</w:t>
      </w:r>
      <w:r w:rsidRPr="00C8701B">
        <w:rPr>
          <w:rFonts w:eastAsia="Arial Unicode MS"/>
          <w:bCs/>
          <w:lang w:eastAsia="fr-FR" w:bidi="he-IL"/>
        </w:rPr>
        <w:t>il est le Christ</w:t>
      </w:r>
      <w:r w:rsidR="00E65435">
        <w:rPr>
          <w:rFonts w:eastAsia="Arial Unicode MS"/>
          <w:bCs/>
          <w:lang w:eastAsia="fr-FR" w:bidi="he-IL"/>
        </w:rPr>
        <w:t xml:space="preserve">, </w:t>
      </w:r>
      <w:r w:rsidRPr="00C8701B">
        <w:rPr>
          <w:rFonts w:eastAsia="Arial Unicode MS"/>
          <w:bCs/>
          <w:lang w:eastAsia="fr-FR" w:bidi="he-IL"/>
        </w:rPr>
        <w:t>Fils de Dieu</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et cette méthode est celle que nous retrouvons</w:t>
      </w:r>
      <w:r w:rsidR="00E65435">
        <w:rPr>
          <w:rFonts w:eastAsia="Arial Unicode MS"/>
          <w:bCs/>
          <w:lang w:eastAsia="fr-FR" w:bidi="he-IL"/>
        </w:rPr>
        <w:t xml:space="preserve">, </w:t>
      </w:r>
      <w:r w:rsidRPr="00C8701B">
        <w:rPr>
          <w:rFonts w:eastAsia="Arial Unicode MS"/>
          <w:bCs/>
          <w:lang w:eastAsia="fr-FR" w:bidi="he-IL"/>
        </w:rPr>
        <w:t>agrandie et développée</w:t>
      </w:r>
      <w:r w:rsidR="00E65435">
        <w:rPr>
          <w:rFonts w:eastAsia="Arial Unicode MS"/>
          <w:bCs/>
          <w:lang w:eastAsia="fr-FR" w:bidi="he-IL"/>
        </w:rPr>
        <w:t xml:space="preserve">, </w:t>
      </w:r>
      <w:r w:rsidRPr="00C8701B">
        <w:rPr>
          <w:rFonts w:eastAsia="Arial Unicode MS"/>
          <w:bCs/>
          <w:lang w:eastAsia="fr-FR" w:bidi="he-IL"/>
        </w:rPr>
        <w:t>dans les récits évangéliques</w:t>
      </w:r>
      <w:r w:rsidR="00933C60" w:rsidRPr="00C406FF">
        <w:rPr>
          <w:rStyle w:val="Appelnotedebasdep"/>
        </w:rPr>
        <w:footnoteReference w:id="272"/>
      </w:r>
      <w:r w:rsidRPr="00C8701B">
        <w:rPr>
          <w:rFonts w:eastAsia="Arial Unicode MS"/>
          <w:bCs/>
          <w:lang w:eastAsia="fr-FR" w:bidi="he-IL"/>
        </w:rPr>
        <w:t>. S. Luc ne dit-il pas en propres termes</w:t>
      </w:r>
      <w:r w:rsidR="00E65435">
        <w:rPr>
          <w:rFonts w:eastAsia="Arial Unicode MS"/>
          <w:bCs/>
          <w:lang w:eastAsia="fr-FR" w:bidi="he-IL"/>
        </w:rPr>
        <w:t xml:space="preserve">, </w:t>
      </w:r>
      <w:r w:rsidRPr="00C8701B">
        <w:rPr>
          <w:rFonts w:eastAsia="Arial Unicode MS"/>
          <w:bCs/>
          <w:lang w:eastAsia="fr-FR" w:bidi="he-IL"/>
        </w:rPr>
        <w:t>dès les premières lignes de sa narration</w:t>
      </w:r>
      <w:r w:rsidR="00933C60" w:rsidRPr="00C406FF">
        <w:rPr>
          <w:rStyle w:val="Appelnotedebasdep"/>
        </w:rPr>
        <w:footnoteReference w:id="273"/>
      </w:r>
      <w:r w:rsidR="00E65435">
        <w:rPr>
          <w:rFonts w:eastAsia="Arial Unicode MS"/>
          <w:bCs/>
          <w:lang w:eastAsia="fr-FR" w:bidi="he-IL"/>
        </w:rPr>
        <w:t xml:space="preserve">, </w:t>
      </w:r>
      <w:r w:rsidRPr="00C8701B">
        <w:rPr>
          <w:rFonts w:eastAsia="Arial Unicode MS"/>
          <w:bCs/>
          <w:lang w:eastAsia="fr-FR" w:bidi="he-IL"/>
        </w:rPr>
        <w:t>qu</w:t>
      </w:r>
      <w:r w:rsidR="00557DE0">
        <w:rPr>
          <w:rFonts w:eastAsia="Arial Unicode MS"/>
          <w:bCs/>
          <w:lang w:eastAsia="fr-FR" w:bidi="he-IL"/>
        </w:rPr>
        <w:t>’</w:t>
      </w:r>
      <w:r w:rsidRPr="00C8701B">
        <w:rPr>
          <w:rFonts w:eastAsia="Arial Unicode MS"/>
          <w:bCs/>
          <w:lang w:eastAsia="fr-FR" w:bidi="he-IL"/>
        </w:rPr>
        <w:t>il s</w:t>
      </w:r>
      <w:r w:rsidR="00557DE0">
        <w:rPr>
          <w:rFonts w:eastAsia="Arial Unicode MS"/>
          <w:bCs/>
          <w:lang w:eastAsia="fr-FR" w:bidi="he-IL"/>
        </w:rPr>
        <w:t>’</w:t>
      </w:r>
      <w:r w:rsidRPr="00C8701B">
        <w:rPr>
          <w:rFonts w:eastAsia="Arial Unicode MS"/>
          <w:bCs/>
          <w:lang w:eastAsia="fr-FR" w:bidi="he-IL"/>
        </w:rPr>
        <w:t>est appu</w:t>
      </w:r>
      <w:r w:rsidR="0046287C">
        <w:rPr>
          <w:rFonts w:eastAsia="Arial Unicode MS"/>
          <w:bCs/>
          <w:lang w:eastAsia="fr-FR" w:bidi="he-IL"/>
        </w:rPr>
        <w:t>yé tout spécialement sur la trad</w:t>
      </w:r>
      <w:r w:rsidRPr="00C8701B">
        <w:rPr>
          <w:rFonts w:eastAsia="Arial Unicode MS"/>
          <w:bCs/>
          <w:lang w:eastAsia="fr-FR" w:bidi="he-IL"/>
        </w:rPr>
        <w:t>ition orale</w:t>
      </w:r>
      <w:r w:rsidR="00C2602D" w:rsidRPr="00C8701B">
        <w:rPr>
          <w:rFonts w:eastAsia="Arial Unicode MS"/>
          <w:bCs/>
          <w:lang w:eastAsia="fr-FR" w:bidi="he-IL"/>
        </w:rPr>
        <w:t> ?</w:t>
      </w:r>
      <w:r w:rsidRPr="00C8701B">
        <w:rPr>
          <w:rFonts w:eastAsia="Arial Unicode MS"/>
          <w:bCs/>
          <w:lang w:eastAsia="fr-FR" w:bidi="he-IL"/>
        </w:rPr>
        <w:t xml:space="preserve"> Notez en particulier les mots </w:t>
      </w:r>
      <w:r w:rsidR="0046287C">
        <w:t>καθὼς παρέδοσαν ἡμῖν οἱ ἀπ</w:t>
      </w:r>
      <w:r w:rsidR="00557DE0">
        <w:t>’</w:t>
      </w:r>
      <w:r w:rsidR="0046287C">
        <w:t xml:space="preserve"> ἀρχῆς αὐτόπται καὶ ὑπηρέται γενόμενοι τοῦ λόγου </w:t>
      </w:r>
      <w:r w:rsidRPr="00C8701B">
        <w:rPr>
          <w:rFonts w:eastAsia="Arial Unicode MS"/>
          <w:bCs/>
          <w:lang w:eastAsia="fr-FR" w:bidi="he-IL"/>
        </w:rPr>
        <w:t xml:space="preserve">et </w:t>
      </w:r>
      <w:r w:rsidR="0046287C">
        <w:t>περὶ ὧν κατηχήθης λόγων</w:t>
      </w:r>
      <w:r w:rsidR="00E65435">
        <w:rPr>
          <w:rFonts w:eastAsia="Arial Unicode MS"/>
          <w:bCs/>
          <w:lang w:val="el-GR" w:eastAsia="fr-FR" w:bidi="he-IL"/>
        </w:rPr>
        <w:t xml:space="preserve">, </w:t>
      </w:r>
      <w:r w:rsidRPr="00C8701B">
        <w:rPr>
          <w:rFonts w:eastAsia="Arial Unicode MS"/>
          <w:bCs/>
          <w:lang w:eastAsia="fr-FR" w:bidi="he-IL"/>
        </w:rPr>
        <w:t>si expressifs dans le texte grec</w:t>
      </w:r>
      <w:r w:rsidR="00E65435">
        <w:rPr>
          <w:rFonts w:eastAsia="Arial Unicode MS"/>
          <w:bCs/>
          <w:lang w:eastAsia="fr-FR" w:bidi="he-IL"/>
        </w:rPr>
        <w:t xml:space="preserve">, </w:t>
      </w:r>
      <w:r w:rsidRPr="00C8701B">
        <w:rPr>
          <w:rFonts w:eastAsia="Arial Unicode MS"/>
          <w:bCs/>
          <w:lang w:eastAsia="fr-FR" w:bidi="he-IL"/>
        </w:rPr>
        <w:t>puisqu</w:t>
      </w:r>
      <w:r w:rsidR="00557DE0">
        <w:rPr>
          <w:rFonts w:eastAsia="Arial Unicode MS"/>
          <w:bCs/>
          <w:lang w:eastAsia="fr-FR" w:bidi="he-IL"/>
        </w:rPr>
        <w:t>’</w:t>
      </w:r>
      <w:r w:rsidRPr="00C8701B">
        <w:rPr>
          <w:rFonts w:eastAsia="Arial Unicode MS"/>
          <w:bCs/>
          <w:lang w:eastAsia="fr-FR" w:bidi="he-IL"/>
        </w:rPr>
        <w:t>ils mentionnent directement ce qu</w:t>
      </w:r>
      <w:r w:rsidR="00557DE0">
        <w:rPr>
          <w:rFonts w:eastAsia="Arial Unicode MS"/>
          <w:bCs/>
          <w:lang w:eastAsia="fr-FR" w:bidi="he-IL"/>
        </w:rPr>
        <w:t>’</w:t>
      </w:r>
      <w:r w:rsidRPr="00C8701B">
        <w:rPr>
          <w:rFonts w:eastAsia="Arial Unicode MS"/>
          <w:bCs/>
          <w:lang w:eastAsia="fr-FR" w:bidi="he-IL"/>
        </w:rPr>
        <w:t xml:space="preserve">on appelait la </w:t>
      </w:r>
      <w:r w:rsidR="00C2602D" w:rsidRPr="00C8701B">
        <w:rPr>
          <w:rFonts w:eastAsia="Arial Unicode MS"/>
          <w:bCs/>
          <w:lang w:eastAsia="fr-FR" w:bidi="he-IL"/>
        </w:rPr>
        <w:t>« </w:t>
      </w:r>
      <w:r w:rsidRPr="00C8701B">
        <w:rPr>
          <w:rFonts w:eastAsia="Arial Unicode MS"/>
          <w:bCs/>
          <w:lang w:eastAsia="fr-FR" w:bidi="he-IL"/>
        </w:rPr>
        <w:t>paradose</w:t>
      </w:r>
      <w:r w:rsidR="00C2602D" w:rsidRPr="00C8701B">
        <w:rPr>
          <w:rFonts w:eastAsia="Arial Unicode MS"/>
          <w:bCs/>
          <w:lang w:eastAsia="fr-FR" w:bidi="he-IL"/>
        </w:rPr>
        <w:t> »</w:t>
      </w:r>
      <w:r w:rsidR="00E65435">
        <w:rPr>
          <w:rFonts w:eastAsia="Arial Unicode MS"/>
          <w:bCs/>
          <w:lang w:eastAsia="fr-FR" w:bidi="he-IL"/>
        </w:rPr>
        <w:t xml:space="preserve">, </w:t>
      </w:r>
      <w:r w:rsidRPr="00C8701B">
        <w:rPr>
          <w:rFonts w:eastAsia="Arial Unicode MS"/>
          <w:bCs/>
          <w:lang w:eastAsia="fr-FR" w:bidi="he-IL"/>
        </w:rPr>
        <w:t xml:space="preserve">la </w:t>
      </w:r>
      <w:r w:rsidR="0046287C">
        <w:rPr>
          <w:rFonts w:eastAsia="Arial Unicode MS"/>
          <w:bCs/>
          <w:lang w:eastAsia="fr-FR" w:bidi="he-IL"/>
        </w:rPr>
        <w:t>« c</w:t>
      </w:r>
      <w:r w:rsidRPr="00C8701B">
        <w:rPr>
          <w:rFonts w:eastAsia="Arial Unicode MS"/>
          <w:bCs/>
          <w:lang w:eastAsia="fr-FR" w:bidi="he-IL"/>
        </w:rPr>
        <w:t>atéchèse</w:t>
      </w:r>
      <w:r w:rsidR="00C2602D" w:rsidRPr="00C8701B">
        <w:rPr>
          <w:rFonts w:eastAsia="Arial Unicode MS"/>
          <w:bCs/>
          <w:lang w:eastAsia="fr-FR" w:bidi="he-IL"/>
        </w:rPr>
        <w:t> »</w:t>
      </w:r>
      <w:r w:rsidR="00E65435">
        <w:rPr>
          <w:rFonts w:eastAsia="Arial Unicode MS"/>
          <w:bCs/>
          <w:lang w:eastAsia="fr-FR" w:bidi="he-IL"/>
        </w:rPr>
        <w:t xml:space="preserve">, </w:t>
      </w:r>
      <w:r w:rsidRPr="00C8701B">
        <w:rPr>
          <w:rFonts w:eastAsia="Arial Unicode MS"/>
          <w:bCs/>
          <w:lang w:eastAsia="fr-FR" w:bidi="he-IL"/>
        </w:rPr>
        <w:t>ou la tradition orale remontant jusqu</w:t>
      </w:r>
      <w:r w:rsidR="00557DE0">
        <w:rPr>
          <w:rFonts w:eastAsia="Arial Unicode MS"/>
          <w:bCs/>
          <w:lang w:eastAsia="fr-FR" w:bidi="he-IL"/>
        </w:rPr>
        <w:t>’</w:t>
      </w:r>
      <w:r w:rsidRPr="00C8701B">
        <w:rPr>
          <w:rFonts w:eastAsia="Arial Unicode MS"/>
          <w:bCs/>
          <w:lang w:eastAsia="fr-FR" w:bidi="he-IL"/>
        </w:rPr>
        <w:t>aux témoins oculaires</w:t>
      </w:r>
      <w:r w:rsidR="00E65435">
        <w:rPr>
          <w:rFonts w:eastAsia="Arial Unicode MS"/>
          <w:bCs/>
          <w:lang w:eastAsia="fr-FR" w:bidi="he-IL"/>
        </w:rPr>
        <w:t xml:space="preserve">, </w:t>
      </w:r>
      <w:r w:rsidRPr="00C8701B">
        <w:rPr>
          <w:rFonts w:eastAsia="Arial Unicode MS"/>
          <w:bCs/>
          <w:lang w:eastAsia="fr-FR" w:bidi="he-IL"/>
        </w:rPr>
        <w:t>les apôtres.</w:t>
      </w:r>
      <w:r w:rsidR="00C2602D" w:rsidRPr="00C8701B">
        <w:rPr>
          <w:rFonts w:eastAsia="Arial Unicode MS"/>
          <w:bCs/>
          <w:lang w:eastAsia="fr-FR" w:bidi="he-IL"/>
        </w:rPr>
        <w:t xml:space="preserve"> </w:t>
      </w:r>
    </w:p>
    <w:p w:rsidR="00C2602D" w:rsidRPr="00C8701B" w:rsidRDefault="0046287C" w:rsidP="00C2602D">
      <w:pPr>
        <w:rPr>
          <w:rFonts w:eastAsia="Arial Unicode MS"/>
          <w:bCs/>
          <w:lang w:eastAsia="fr-FR" w:bidi="he-IL"/>
        </w:rPr>
      </w:pPr>
      <w:r>
        <w:rPr>
          <w:rFonts w:eastAsia="Arial Unicode MS"/>
          <w:bCs/>
          <w:lang w:eastAsia="fr-FR" w:bidi="he-IL"/>
        </w:rPr>
        <w:t>2° Les prem</w:t>
      </w:r>
      <w:r w:rsidR="00B704AD" w:rsidRPr="00C8701B">
        <w:rPr>
          <w:rFonts w:eastAsia="Arial Unicode MS"/>
          <w:bCs/>
          <w:lang w:eastAsia="fr-FR" w:bidi="he-IL"/>
        </w:rPr>
        <w:t>iers écrivains ecclésiastiques</w:t>
      </w:r>
      <w:r w:rsidR="00E65435">
        <w:rPr>
          <w:rFonts w:eastAsia="Arial Unicode MS"/>
          <w:bCs/>
          <w:lang w:eastAsia="fr-FR" w:bidi="he-IL"/>
        </w:rPr>
        <w:t xml:space="preserve">, </w:t>
      </w:r>
      <w:r w:rsidR="00B704AD" w:rsidRPr="00C8701B">
        <w:rPr>
          <w:rFonts w:eastAsia="Arial Unicode MS"/>
          <w:bCs/>
          <w:lang w:eastAsia="fr-FR" w:bidi="he-IL"/>
        </w:rPr>
        <w:t>lorsqu</w:t>
      </w:r>
      <w:r w:rsidR="00557DE0">
        <w:rPr>
          <w:rFonts w:eastAsia="Arial Unicode MS"/>
          <w:bCs/>
          <w:lang w:eastAsia="fr-FR" w:bidi="he-IL"/>
        </w:rPr>
        <w:t>’</w:t>
      </w:r>
      <w:r w:rsidR="00B704AD" w:rsidRPr="00C8701B">
        <w:rPr>
          <w:rFonts w:eastAsia="Arial Unicode MS"/>
          <w:bCs/>
          <w:lang w:eastAsia="fr-FR" w:bidi="he-IL"/>
        </w:rPr>
        <w:t>ils signalent les sources immédiates auxquelles puisèrent les évangélistes</w:t>
      </w:r>
      <w:r w:rsidR="00E65435">
        <w:rPr>
          <w:rFonts w:eastAsia="Arial Unicode MS"/>
          <w:bCs/>
          <w:lang w:eastAsia="fr-FR" w:bidi="he-IL"/>
        </w:rPr>
        <w:t xml:space="preserve">, </w:t>
      </w:r>
      <w:r w:rsidR="00B704AD" w:rsidRPr="00C8701B">
        <w:rPr>
          <w:rFonts w:eastAsia="Arial Unicode MS"/>
          <w:bCs/>
          <w:lang w:eastAsia="fr-FR" w:bidi="he-IL"/>
        </w:rPr>
        <w:t>ne manquent pas de nous renvoyer</w:t>
      </w:r>
      <w:r w:rsidR="00E65435">
        <w:rPr>
          <w:rFonts w:eastAsia="Arial Unicode MS"/>
          <w:bCs/>
          <w:lang w:eastAsia="fr-FR" w:bidi="he-IL"/>
        </w:rPr>
        <w:t xml:space="preserve">, </w:t>
      </w:r>
      <w:r w:rsidR="00B704AD" w:rsidRPr="00C8701B">
        <w:rPr>
          <w:rFonts w:eastAsia="Arial Unicode MS"/>
          <w:bCs/>
          <w:lang w:eastAsia="fr-FR" w:bidi="he-IL"/>
        </w:rPr>
        <w:t>à leur tour</w:t>
      </w:r>
      <w:r w:rsidR="00E65435">
        <w:rPr>
          <w:rFonts w:eastAsia="Arial Unicode MS"/>
          <w:bCs/>
          <w:lang w:eastAsia="fr-FR" w:bidi="he-IL"/>
        </w:rPr>
        <w:t xml:space="preserve">, </w:t>
      </w:r>
      <w:r w:rsidR="00B704AD" w:rsidRPr="00C8701B">
        <w:rPr>
          <w:rFonts w:eastAsia="Arial Unicode MS"/>
          <w:bCs/>
          <w:lang w:eastAsia="fr-FR" w:bidi="he-IL"/>
        </w:rPr>
        <w:t>à la tradition apostolique. Ils affirment d</w:t>
      </w:r>
      <w:r w:rsidR="00557DE0">
        <w:rPr>
          <w:rFonts w:eastAsia="Arial Unicode MS"/>
          <w:bCs/>
          <w:lang w:eastAsia="fr-FR" w:bidi="he-IL"/>
        </w:rPr>
        <w:t>’</w:t>
      </w:r>
      <w:r w:rsidR="00B704AD" w:rsidRPr="00C8701B">
        <w:rPr>
          <w:rFonts w:eastAsia="Arial Unicode MS"/>
          <w:bCs/>
          <w:lang w:eastAsia="fr-FR" w:bidi="he-IL"/>
        </w:rPr>
        <w:t xml:space="preserve">une voix unanime que la catéchèse de S. Pierre servit de base à saint Marc pour la composition de son évangile. </w:t>
      </w:r>
      <w:r w:rsidR="00C2602D" w:rsidRPr="00C8701B">
        <w:rPr>
          <w:rFonts w:eastAsia="Arial Unicode MS"/>
          <w:bCs/>
          <w:lang w:eastAsia="fr-FR" w:bidi="he-IL"/>
        </w:rPr>
        <w:t>« </w:t>
      </w:r>
      <w:r w:rsidR="00B704AD" w:rsidRPr="00C8701B">
        <w:rPr>
          <w:rFonts w:eastAsia="Arial Unicode MS"/>
          <w:bCs/>
          <w:lang w:eastAsia="fr-FR" w:bidi="he-IL"/>
        </w:rPr>
        <w:t>Ne rien omettre de ce qu</w:t>
      </w:r>
      <w:r w:rsidR="00557DE0">
        <w:rPr>
          <w:rFonts w:eastAsia="Arial Unicode MS"/>
          <w:bCs/>
          <w:lang w:eastAsia="fr-FR" w:bidi="he-IL"/>
        </w:rPr>
        <w:t>’</w:t>
      </w:r>
      <w:r w:rsidR="00B704AD" w:rsidRPr="00C8701B">
        <w:rPr>
          <w:rFonts w:eastAsia="Arial Unicode MS"/>
          <w:bCs/>
          <w:lang w:eastAsia="fr-FR" w:bidi="he-IL"/>
        </w:rPr>
        <w:t>il avait entendu</w:t>
      </w:r>
      <w:r w:rsidR="00E65435">
        <w:rPr>
          <w:rFonts w:eastAsia="Arial Unicode MS"/>
          <w:bCs/>
          <w:lang w:eastAsia="fr-FR" w:bidi="he-IL"/>
        </w:rPr>
        <w:t xml:space="preserve">, </w:t>
      </w:r>
      <w:r w:rsidR="00B704AD" w:rsidRPr="00C8701B">
        <w:rPr>
          <w:rFonts w:eastAsia="Arial Unicode MS"/>
          <w:bCs/>
          <w:lang w:eastAsia="fr-FR" w:bidi="he-IL"/>
        </w:rPr>
        <w:t>ne rien admettre qu</w:t>
      </w:r>
      <w:r w:rsidR="00557DE0">
        <w:rPr>
          <w:rFonts w:eastAsia="Arial Unicode MS"/>
          <w:bCs/>
          <w:lang w:eastAsia="fr-FR" w:bidi="he-IL"/>
        </w:rPr>
        <w:t>’</w:t>
      </w:r>
      <w:r w:rsidR="00B704AD" w:rsidRPr="00C8701B">
        <w:rPr>
          <w:rFonts w:eastAsia="Arial Unicode MS"/>
          <w:bCs/>
          <w:lang w:eastAsia="fr-FR" w:bidi="he-IL"/>
        </w:rPr>
        <w:t>il ne l</w:t>
      </w:r>
      <w:r w:rsidR="00557DE0">
        <w:rPr>
          <w:rFonts w:eastAsia="Arial Unicode MS"/>
          <w:bCs/>
          <w:lang w:eastAsia="fr-FR" w:bidi="he-IL"/>
        </w:rPr>
        <w:t>’</w:t>
      </w:r>
      <w:r w:rsidR="00B704AD" w:rsidRPr="00C8701B">
        <w:rPr>
          <w:rFonts w:eastAsia="Arial Unicode MS"/>
          <w:bCs/>
          <w:lang w:eastAsia="fr-FR" w:bidi="he-IL"/>
        </w:rPr>
        <w:t>eût appris de la bouche de Pierre</w:t>
      </w:r>
      <w:r w:rsidR="00C2602D" w:rsidRPr="00C8701B">
        <w:rPr>
          <w:rFonts w:eastAsia="Arial Unicode MS"/>
          <w:bCs/>
          <w:lang w:eastAsia="fr-FR" w:bidi="he-IL"/>
        </w:rPr>
        <w:t> »</w:t>
      </w:r>
      <w:r w:rsidR="00E65435">
        <w:rPr>
          <w:rFonts w:eastAsia="Arial Unicode MS"/>
          <w:bCs/>
          <w:lang w:eastAsia="fr-FR" w:bidi="he-IL"/>
        </w:rPr>
        <w:t xml:space="preserve">, </w:t>
      </w:r>
      <w:r w:rsidR="00B704AD" w:rsidRPr="00C8701B">
        <w:rPr>
          <w:rFonts w:eastAsia="Arial Unicode MS"/>
          <w:bCs/>
          <w:lang w:eastAsia="fr-FR" w:bidi="he-IL"/>
        </w:rPr>
        <w:t>voilà sa règle</w:t>
      </w:r>
      <w:r w:rsidR="00E65435">
        <w:rPr>
          <w:rFonts w:eastAsia="Arial Unicode MS"/>
          <w:bCs/>
          <w:lang w:eastAsia="fr-FR" w:bidi="he-IL"/>
        </w:rPr>
        <w:t xml:space="preserve">, </w:t>
      </w:r>
      <w:r w:rsidR="00B704AD" w:rsidRPr="00C8701B">
        <w:rPr>
          <w:rFonts w:eastAsia="Arial Unicode MS"/>
          <w:bCs/>
          <w:lang w:eastAsia="fr-FR" w:bidi="he-IL"/>
        </w:rPr>
        <w:t>d</w:t>
      </w:r>
      <w:r w:rsidR="00557DE0">
        <w:rPr>
          <w:rFonts w:eastAsia="Arial Unicode MS"/>
          <w:bCs/>
          <w:lang w:eastAsia="fr-FR" w:bidi="he-IL"/>
        </w:rPr>
        <w:t>’</w:t>
      </w:r>
      <w:r w:rsidR="00B704AD" w:rsidRPr="00C8701B">
        <w:rPr>
          <w:rFonts w:eastAsia="Arial Unicode MS"/>
          <w:bCs/>
          <w:lang w:eastAsia="fr-FR" w:bidi="he-IL"/>
        </w:rPr>
        <w:t>après Papias</w:t>
      </w:r>
      <w:r w:rsidR="00933C60" w:rsidRPr="00C406FF">
        <w:rPr>
          <w:rStyle w:val="Appelnotedebasdep"/>
        </w:rPr>
        <w:footnoteReference w:id="274"/>
      </w:r>
      <w:r w:rsidR="00B704AD" w:rsidRPr="0046287C">
        <w:t>. De</w:t>
      </w:r>
      <w:r w:rsidR="00D62373">
        <w:t xml:space="preserve"> la</w:t>
      </w:r>
      <w:r w:rsidR="00B704AD" w:rsidRPr="0046287C">
        <w:t xml:space="preserve"> le titre </w:t>
      </w:r>
      <w:r w:rsidRPr="0046287C">
        <w:t>d</w:t>
      </w:r>
      <w:r w:rsidR="00557DE0">
        <w:t>’</w:t>
      </w:r>
      <w:r w:rsidRPr="0046287C">
        <w:t>ἐ</w:t>
      </w:r>
      <w:r w:rsidR="00B704AD" w:rsidRPr="0046287C">
        <w:t>ρμηνευτ</w:t>
      </w:r>
      <w:r w:rsidRPr="0046287C">
        <w:t>ὴ</w:t>
      </w:r>
      <w:r w:rsidR="00B704AD" w:rsidRPr="0046287C">
        <w:t>ς Π</w:t>
      </w:r>
      <w:r w:rsidR="00C771BF" w:rsidRPr="0046287C">
        <w:t>έ</w:t>
      </w:r>
      <w:r w:rsidR="00B704AD" w:rsidRPr="0046287C">
        <w:t>τρου</w:t>
      </w:r>
      <w:r w:rsidR="00E65435" w:rsidRPr="0046287C">
        <w:t xml:space="preserve">, </w:t>
      </w:r>
      <w:r>
        <w:rPr>
          <w:rStyle w:val="italicus"/>
        </w:rPr>
        <w:t>inté</w:t>
      </w:r>
      <w:r w:rsidR="00B704AD" w:rsidRPr="00DC4586">
        <w:rPr>
          <w:rStyle w:val="italicus"/>
        </w:rPr>
        <w:t xml:space="preserve">rpres </w:t>
      </w:r>
      <w:r w:rsidR="00E45D7F">
        <w:rPr>
          <w:rStyle w:val="italicus"/>
        </w:rPr>
        <w:t>Petri</w:t>
      </w:r>
      <w:r w:rsidR="00E65435">
        <w:rPr>
          <w:rStyle w:val="italicus"/>
        </w:rPr>
        <w:t xml:space="preserve">, </w:t>
      </w:r>
      <w:r w:rsidR="00B704AD" w:rsidRPr="00C8701B">
        <w:rPr>
          <w:rFonts w:eastAsia="Arial Unicode MS"/>
          <w:bCs/>
          <w:lang w:eastAsia="fr-FR" w:bidi="he-IL"/>
        </w:rPr>
        <w:t>que S. Marc porta de très bonne heure</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de là le nom de</w:t>
      </w:r>
      <w:r w:rsidR="00CE11E9">
        <w:rPr>
          <w:rFonts w:eastAsia="Arial Unicode MS"/>
          <w:bCs/>
          <w:lang w:eastAsia="fr-FR" w:bidi="he-IL"/>
        </w:rPr>
        <w:t xml:space="preserve"> </w:t>
      </w:r>
      <w:r w:rsidR="00F12048" w:rsidRPr="00C8701B">
        <w:rPr>
          <w:rFonts w:eastAsia="Arial Unicode MS"/>
          <w:bCs/>
          <w:lang w:eastAsia="fr-FR" w:bidi="he-IL"/>
        </w:rPr>
        <w:t>« </w:t>
      </w:r>
      <w:r w:rsidR="00B704AD" w:rsidRPr="00C8701B">
        <w:rPr>
          <w:rFonts w:eastAsia="Arial Unicode MS"/>
          <w:bCs/>
          <w:lang w:eastAsia="fr-FR" w:bidi="he-IL"/>
        </w:rPr>
        <w:t>Mémoires de Pierre</w:t>
      </w:r>
      <w:r w:rsidR="00C2602D" w:rsidRPr="00C8701B">
        <w:rPr>
          <w:rFonts w:eastAsia="Arial Unicode MS"/>
          <w:bCs/>
          <w:lang w:eastAsia="fr-FR" w:bidi="he-IL"/>
        </w:rPr>
        <w:t> »</w:t>
      </w:r>
      <w:r w:rsidR="00E65435">
        <w:rPr>
          <w:rFonts w:eastAsia="Arial Unicode MS"/>
          <w:bCs/>
          <w:lang w:eastAsia="fr-FR" w:bidi="he-IL"/>
        </w:rPr>
        <w:t xml:space="preserve">, </w:t>
      </w:r>
      <w:r w:rsidR="00B704AD" w:rsidRPr="00C8701B">
        <w:rPr>
          <w:rFonts w:eastAsia="Arial Unicode MS"/>
          <w:bCs/>
          <w:lang w:eastAsia="fr-FR" w:bidi="he-IL"/>
        </w:rPr>
        <w:t>appliqué par S. Justin à sa composition</w:t>
      </w:r>
      <w:r w:rsidR="00933C60" w:rsidRPr="00C406FF">
        <w:rPr>
          <w:rStyle w:val="Appelnotedebasdep"/>
        </w:rPr>
        <w:footnoteReference w:id="275"/>
      </w:r>
      <w:r w:rsidR="00B704AD" w:rsidRPr="00C8701B">
        <w:rPr>
          <w:rFonts w:eastAsia="Arial Unicode MS"/>
          <w:bCs/>
          <w:lang w:eastAsia="fr-FR" w:bidi="he-IL"/>
        </w:rPr>
        <w:t>. De même pour S. Luc</w:t>
      </w:r>
      <w:r w:rsidR="00E65435">
        <w:rPr>
          <w:rFonts w:eastAsia="Arial Unicode MS"/>
          <w:bCs/>
          <w:lang w:eastAsia="fr-FR" w:bidi="he-IL"/>
        </w:rPr>
        <w:t xml:space="preserve">, </w:t>
      </w:r>
      <w:r w:rsidR="00B704AD" w:rsidRPr="00C8701B">
        <w:rPr>
          <w:rFonts w:eastAsia="Arial Unicode MS"/>
          <w:bCs/>
          <w:lang w:eastAsia="fr-FR" w:bidi="he-IL"/>
        </w:rPr>
        <w:t>dont S. Paul fut l</w:t>
      </w:r>
      <w:r w:rsidR="00557DE0">
        <w:rPr>
          <w:rFonts w:eastAsia="Arial Unicode MS"/>
          <w:bCs/>
          <w:lang w:eastAsia="fr-FR" w:bidi="he-IL"/>
        </w:rPr>
        <w:t>’</w:t>
      </w:r>
      <w:r>
        <w:rPr>
          <w:rStyle w:val="italicus"/>
        </w:rPr>
        <w:t>illu</w:t>
      </w:r>
      <w:r w:rsidR="00C21120" w:rsidRPr="00DC4586">
        <w:rPr>
          <w:rStyle w:val="italicus"/>
        </w:rPr>
        <w:t>min</w:t>
      </w:r>
      <w:r w:rsidR="00C21120">
        <w:rPr>
          <w:rStyle w:val="italicus"/>
        </w:rPr>
        <w:t>á</w:t>
      </w:r>
      <w:r w:rsidR="00C21120" w:rsidRPr="00DC4586">
        <w:rPr>
          <w:rStyle w:val="italicus"/>
        </w:rPr>
        <w:t>tor</w:t>
      </w:r>
      <w:r w:rsidR="00933C60" w:rsidRPr="00C406FF">
        <w:rPr>
          <w:rStyle w:val="Appelnotedebasdep"/>
        </w:rPr>
        <w:footnoteReference w:id="276"/>
      </w:r>
      <w:r w:rsidR="00E65435">
        <w:rPr>
          <w:rFonts w:eastAsia="Arial Unicode MS"/>
          <w:bCs/>
          <w:lang w:eastAsia="fr-FR" w:bidi="he-IL"/>
        </w:rPr>
        <w:t xml:space="preserve">, </w:t>
      </w:r>
      <w:r w:rsidR="00A067B1" w:rsidRPr="000716BB">
        <w:rPr>
          <w:rFonts w:eastAsia="Arial Unicode MS"/>
          <w:bCs/>
          <w:lang w:eastAsia="fr-FR" w:bidi="he-IL"/>
        </w:rPr>
        <w:t>{</w:t>
      </w:r>
      <w:r w:rsidR="00A067B1">
        <w:rPr>
          <w:rFonts w:eastAsia="Arial Unicode MS"/>
          <w:bCs/>
          <w:lang w:eastAsia="fr-FR" w:bidi="he-IL"/>
        </w:rPr>
        <w:t>52</w:t>
      </w:r>
      <w:bookmarkStart w:id="86" w:name="pag052"/>
      <w:bookmarkEnd w:id="86"/>
      <w:r w:rsidR="00A067B1" w:rsidRPr="000716BB">
        <w:rPr>
          <w:rFonts w:eastAsia="Arial Unicode MS"/>
          <w:bCs/>
          <w:lang w:eastAsia="fr-FR" w:bidi="he-IL"/>
        </w:rPr>
        <w:t xml:space="preserve">} </w:t>
      </w:r>
      <w:r w:rsidR="00B704AD" w:rsidRPr="00C8701B">
        <w:rPr>
          <w:rFonts w:eastAsia="Arial Unicode MS"/>
          <w:bCs/>
          <w:lang w:eastAsia="fr-FR" w:bidi="he-IL"/>
        </w:rPr>
        <w:t>et dont l</w:t>
      </w:r>
      <w:r w:rsidR="00557DE0">
        <w:rPr>
          <w:rFonts w:eastAsia="Arial Unicode MS"/>
          <w:bCs/>
          <w:lang w:eastAsia="fr-FR" w:bidi="he-IL"/>
        </w:rPr>
        <w:t>’</w:t>
      </w:r>
      <w:r w:rsidR="00B704AD" w:rsidRPr="00C8701B">
        <w:rPr>
          <w:rFonts w:eastAsia="Arial Unicode MS"/>
          <w:bCs/>
          <w:lang w:eastAsia="fr-FR" w:bidi="he-IL"/>
        </w:rPr>
        <w:t>évangile n</w:t>
      </w:r>
      <w:r w:rsidR="00557DE0">
        <w:rPr>
          <w:rFonts w:eastAsia="Arial Unicode MS"/>
          <w:bCs/>
          <w:lang w:eastAsia="fr-FR" w:bidi="he-IL"/>
        </w:rPr>
        <w:t>’</w:t>
      </w:r>
      <w:r w:rsidR="00B704AD" w:rsidRPr="00C8701B">
        <w:rPr>
          <w:rFonts w:eastAsia="Arial Unicode MS"/>
          <w:bCs/>
          <w:lang w:eastAsia="fr-FR" w:bidi="he-IL"/>
        </w:rPr>
        <w:t>est autre que celui de l</w:t>
      </w:r>
      <w:r w:rsidR="00557DE0">
        <w:rPr>
          <w:rFonts w:eastAsia="Arial Unicode MS"/>
          <w:bCs/>
          <w:lang w:eastAsia="fr-FR" w:bidi="he-IL"/>
        </w:rPr>
        <w:t>’</w:t>
      </w:r>
      <w:r w:rsidR="00B704AD" w:rsidRPr="00C8701B">
        <w:rPr>
          <w:rFonts w:eastAsia="Arial Unicode MS"/>
          <w:bCs/>
          <w:lang w:eastAsia="fr-FR" w:bidi="he-IL"/>
        </w:rPr>
        <w:t>apôtre des nations</w:t>
      </w:r>
      <w:r w:rsidR="00933C60" w:rsidRPr="00C406FF">
        <w:rPr>
          <w:rStyle w:val="Appelnotedebasdep"/>
        </w:rPr>
        <w:footnoteReference w:id="277"/>
      </w:r>
      <w:r w:rsidR="00B704AD" w:rsidRPr="00C8701B">
        <w:rPr>
          <w:rFonts w:eastAsia="Arial Unicode MS"/>
          <w:bCs/>
          <w:lang w:eastAsia="fr-FR" w:bidi="he-IL"/>
        </w:rPr>
        <w:t>. N</w:t>
      </w:r>
      <w:r w:rsidR="00557DE0">
        <w:rPr>
          <w:rFonts w:eastAsia="Arial Unicode MS"/>
          <w:bCs/>
          <w:lang w:eastAsia="fr-FR" w:bidi="he-IL"/>
        </w:rPr>
        <w:t>’</w:t>
      </w:r>
      <w:r w:rsidR="00B704AD" w:rsidRPr="00C8701B">
        <w:rPr>
          <w:rFonts w:eastAsia="Arial Unicode MS"/>
          <w:bCs/>
          <w:lang w:eastAsia="fr-FR" w:bidi="he-IL"/>
        </w:rPr>
        <w:t>est-ce pas là</w:t>
      </w:r>
      <w:r w:rsidR="00E65435">
        <w:rPr>
          <w:rFonts w:eastAsia="Arial Unicode MS"/>
          <w:bCs/>
          <w:lang w:eastAsia="fr-FR" w:bidi="he-IL"/>
        </w:rPr>
        <w:t xml:space="preserve">, </w:t>
      </w:r>
      <w:r w:rsidR="00B704AD" w:rsidRPr="00C8701B">
        <w:rPr>
          <w:rFonts w:eastAsia="Arial Unicode MS"/>
          <w:bCs/>
          <w:lang w:eastAsia="fr-FR" w:bidi="he-IL"/>
        </w:rPr>
        <w:t>en vérité</w:t>
      </w:r>
      <w:r w:rsidR="00E65435">
        <w:rPr>
          <w:rFonts w:eastAsia="Arial Unicode MS"/>
          <w:bCs/>
          <w:lang w:eastAsia="fr-FR" w:bidi="he-IL"/>
        </w:rPr>
        <w:t xml:space="preserve">, </w:t>
      </w:r>
      <w:r w:rsidR="00B704AD" w:rsidRPr="00C8701B">
        <w:rPr>
          <w:rFonts w:eastAsia="Arial Unicode MS"/>
          <w:bCs/>
          <w:lang w:eastAsia="fr-FR" w:bidi="he-IL"/>
        </w:rPr>
        <w:t>une grande force pour le système de l</w:t>
      </w:r>
      <w:r w:rsidR="00557DE0">
        <w:rPr>
          <w:rFonts w:eastAsia="Arial Unicode MS"/>
          <w:bCs/>
          <w:lang w:eastAsia="fr-FR" w:bidi="he-IL"/>
        </w:rPr>
        <w:t>’</w:t>
      </w:r>
      <w:r w:rsidR="00B704AD" w:rsidRPr="00C8701B">
        <w:rPr>
          <w:rFonts w:eastAsia="Arial Unicode MS"/>
          <w:bCs/>
          <w:lang w:eastAsia="fr-FR" w:bidi="he-IL"/>
        </w:rPr>
        <w:t>évangile oral</w:t>
      </w:r>
      <w:r w:rsidR="00E65435">
        <w:rPr>
          <w:rFonts w:eastAsia="Arial Unicode MS"/>
          <w:bCs/>
          <w:lang w:eastAsia="fr-FR" w:bidi="he-IL"/>
        </w:rPr>
        <w:t xml:space="preserve">, </w:t>
      </w:r>
      <w:r w:rsidR="00B704AD" w:rsidRPr="00C8701B">
        <w:rPr>
          <w:rFonts w:eastAsia="Arial Unicode MS"/>
          <w:bCs/>
          <w:lang w:eastAsia="fr-FR" w:bidi="he-IL"/>
        </w:rPr>
        <w:t>servant de source aux premiers évangiles écrits</w:t>
      </w:r>
      <w:r w:rsidR="00C2602D" w:rsidRPr="00C8701B">
        <w:rPr>
          <w:rFonts w:eastAsia="Arial Unicode MS"/>
          <w:bCs/>
          <w:lang w:eastAsia="fr-FR" w:bidi="he-IL"/>
        </w:rPr>
        <w:t> ?</w:t>
      </w:r>
      <w:r w:rsidR="00B704AD" w:rsidRPr="00C8701B">
        <w:rPr>
          <w:rFonts w:eastAsia="Arial Unicode MS"/>
          <w:bCs/>
          <w:lang w:eastAsia="fr-FR" w:bidi="he-IL"/>
        </w:rPr>
        <w:t xml:space="preserve"> Nous n</w:t>
      </w:r>
      <w:r w:rsidR="00557DE0">
        <w:rPr>
          <w:rFonts w:eastAsia="Arial Unicode MS"/>
          <w:bCs/>
          <w:lang w:eastAsia="fr-FR" w:bidi="he-IL"/>
        </w:rPr>
        <w:t>’</w:t>
      </w:r>
      <w:r w:rsidR="00B704AD" w:rsidRPr="00C8701B">
        <w:rPr>
          <w:rFonts w:eastAsia="Arial Unicode MS"/>
          <w:bCs/>
          <w:lang w:eastAsia="fr-FR" w:bidi="he-IL"/>
        </w:rPr>
        <w:t>argumentons pas</w:t>
      </w:r>
      <w:r w:rsidR="00E65435">
        <w:rPr>
          <w:rFonts w:eastAsia="Arial Unicode MS"/>
          <w:bCs/>
          <w:lang w:eastAsia="fr-FR" w:bidi="he-IL"/>
        </w:rPr>
        <w:t xml:space="preserve">, </w:t>
      </w:r>
      <w:r w:rsidR="00B704AD" w:rsidRPr="00C8701B">
        <w:rPr>
          <w:rFonts w:eastAsia="Arial Unicode MS"/>
          <w:bCs/>
          <w:lang w:eastAsia="fr-FR" w:bidi="he-IL"/>
        </w:rPr>
        <w:t>nous</w:t>
      </w:r>
      <w:r w:rsidR="00E65435">
        <w:rPr>
          <w:rFonts w:eastAsia="Arial Unicode MS"/>
          <w:bCs/>
          <w:lang w:eastAsia="fr-FR" w:bidi="he-IL"/>
        </w:rPr>
        <w:t xml:space="preserve">, </w:t>
      </w:r>
      <w:r w:rsidR="00B704AD" w:rsidRPr="00C8701B">
        <w:rPr>
          <w:rFonts w:eastAsia="Arial Unicode MS"/>
          <w:bCs/>
          <w:lang w:eastAsia="fr-FR" w:bidi="he-IL"/>
        </w:rPr>
        <w:t>d</w:t>
      </w:r>
      <w:r w:rsidR="00557DE0">
        <w:rPr>
          <w:rFonts w:eastAsia="Arial Unicode MS"/>
          <w:bCs/>
          <w:lang w:eastAsia="fr-FR" w:bidi="he-IL"/>
        </w:rPr>
        <w:t>’</w:t>
      </w:r>
      <w:r w:rsidR="00B704AD" w:rsidRPr="00C8701B">
        <w:rPr>
          <w:rFonts w:eastAsia="Arial Unicode MS"/>
          <w:bCs/>
          <w:lang w:eastAsia="fr-FR" w:bidi="he-IL"/>
        </w:rPr>
        <w:t>après un raisonnement</w:t>
      </w:r>
      <w:r w:rsidR="00B704AD" w:rsidRPr="00DC4586">
        <w:rPr>
          <w:rStyle w:val="italicus"/>
        </w:rPr>
        <w:t xml:space="preserve"> a priori</w:t>
      </w:r>
      <w:r w:rsidR="00E65435">
        <w:rPr>
          <w:rFonts w:eastAsia="Arial Unicode MS"/>
          <w:bCs/>
          <w:lang w:eastAsia="fr-FR" w:bidi="he-IL"/>
        </w:rPr>
        <w:t xml:space="preserve">, </w:t>
      </w:r>
      <w:r w:rsidR="00B704AD" w:rsidRPr="00C8701B">
        <w:rPr>
          <w:rFonts w:eastAsia="Arial Unicode MS"/>
          <w:bCs/>
          <w:lang w:eastAsia="fr-FR" w:bidi="he-IL"/>
        </w:rPr>
        <w:t xml:space="preserve">mais </w:t>
      </w:r>
      <w:r w:rsidR="00C2602D" w:rsidRPr="00C8701B">
        <w:rPr>
          <w:rFonts w:eastAsia="Arial Unicode MS"/>
          <w:bCs/>
          <w:lang w:eastAsia="fr-FR" w:bidi="he-IL"/>
        </w:rPr>
        <w:t>« </w:t>
      </w:r>
      <w:r w:rsidR="00B704AD" w:rsidRPr="00C8701B">
        <w:rPr>
          <w:rFonts w:eastAsia="Arial Unicode MS"/>
          <w:bCs/>
          <w:lang w:eastAsia="fr-FR" w:bidi="he-IL"/>
        </w:rPr>
        <w:t>nous sommes en présence d</w:t>
      </w:r>
      <w:r w:rsidR="00557DE0">
        <w:rPr>
          <w:rFonts w:eastAsia="Arial Unicode MS"/>
          <w:bCs/>
          <w:lang w:eastAsia="fr-FR" w:bidi="he-IL"/>
        </w:rPr>
        <w:t>’</w:t>
      </w:r>
      <w:r w:rsidR="009476D6">
        <w:rPr>
          <w:rFonts w:eastAsia="Arial Unicode MS"/>
          <w:bCs/>
          <w:lang w:eastAsia="fr-FR" w:bidi="he-IL"/>
        </w:rPr>
        <w:t>un f</w:t>
      </w:r>
      <w:r w:rsidR="00B704AD" w:rsidRPr="00C8701B">
        <w:rPr>
          <w:rFonts w:eastAsia="Arial Unicode MS"/>
          <w:bCs/>
          <w:lang w:eastAsia="fr-FR" w:bidi="he-IL"/>
        </w:rPr>
        <w:t>ait positif</w:t>
      </w:r>
      <w:r w:rsidR="00C2602D" w:rsidRPr="00C8701B">
        <w:rPr>
          <w:rFonts w:eastAsia="Arial Unicode MS"/>
          <w:bCs/>
          <w:lang w:eastAsia="fr-FR" w:bidi="he-IL"/>
        </w:rPr>
        <w:t> »</w:t>
      </w:r>
      <w:r w:rsidR="00E65435">
        <w:rPr>
          <w:rFonts w:eastAsia="Arial Unicode MS"/>
          <w:bCs/>
          <w:lang w:eastAsia="fr-FR" w:bidi="he-IL"/>
        </w:rPr>
        <w:t xml:space="preserve">, </w:t>
      </w:r>
      <w:r w:rsidR="00B704AD" w:rsidRPr="00C8701B">
        <w:rPr>
          <w:rFonts w:eastAsia="Arial Unicode MS"/>
          <w:bCs/>
          <w:lang w:eastAsia="fr-FR" w:bidi="he-IL"/>
        </w:rPr>
        <w:t>ainsi qu</w:t>
      </w:r>
      <w:r w:rsidR="00557DE0">
        <w:rPr>
          <w:rFonts w:eastAsia="Arial Unicode MS"/>
          <w:bCs/>
          <w:lang w:eastAsia="fr-FR" w:bidi="he-IL"/>
        </w:rPr>
        <w:t>’</w:t>
      </w:r>
      <w:r w:rsidR="00B704AD" w:rsidRPr="00C8701B">
        <w:rPr>
          <w:rFonts w:eastAsia="Arial Unicode MS"/>
          <w:bCs/>
          <w:lang w:eastAsia="fr-FR" w:bidi="he-IL"/>
        </w:rPr>
        <w:t>on l</w:t>
      </w:r>
      <w:r w:rsidR="00557DE0">
        <w:rPr>
          <w:rFonts w:eastAsia="Arial Unicode MS"/>
          <w:bCs/>
          <w:lang w:eastAsia="fr-FR" w:bidi="he-IL"/>
        </w:rPr>
        <w:t>’</w:t>
      </w:r>
      <w:r w:rsidR="00B704AD" w:rsidRPr="00C8701B">
        <w:rPr>
          <w:rFonts w:eastAsia="Arial Unicode MS"/>
          <w:bCs/>
          <w:lang w:eastAsia="fr-FR" w:bidi="he-IL"/>
        </w:rPr>
        <w:t>a dit très justement.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3° De plus</w:t>
      </w:r>
      <w:r w:rsidR="00E65435">
        <w:rPr>
          <w:rFonts w:eastAsia="Arial Unicode MS"/>
          <w:bCs/>
          <w:lang w:eastAsia="fr-FR" w:bidi="he-IL"/>
        </w:rPr>
        <w:t xml:space="preserve">, </w:t>
      </w:r>
      <w:r w:rsidRPr="00C8701B">
        <w:rPr>
          <w:rFonts w:eastAsia="Arial Unicode MS"/>
          <w:bCs/>
          <w:lang w:eastAsia="fr-FR" w:bidi="he-IL"/>
        </w:rPr>
        <w:t>ce système est parfaitement d</w:t>
      </w:r>
      <w:r w:rsidR="00557DE0">
        <w:rPr>
          <w:rFonts w:eastAsia="Arial Unicode MS"/>
          <w:bCs/>
          <w:lang w:eastAsia="fr-FR" w:bidi="he-IL"/>
        </w:rPr>
        <w:t>’</w:t>
      </w:r>
      <w:r w:rsidRPr="00C8701B">
        <w:rPr>
          <w:rFonts w:eastAsia="Arial Unicode MS"/>
          <w:bCs/>
          <w:lang w:eastAsia="fr-FR" w:bidi="he-IL"/>
        </w:rPr>
        <w:t>accord avec les habitudes littéraires des anciens en général</w:t>
      </w:r>
      <w:r w:rsidR="00E65435">
        <w:rPr>
          <w:rFonts w:eastAsia="Arial Unicode MS"/>
          <w:bCs/>
          <w:lang w:eastAsia="fr-FR" w:bidi="he-IL"/>
        </w:rPr>
        <w:t xml:space="preserve">, </w:t>
      </w:r>
      <w:r w:rsidRPr="00C8701B">
        <w:rPr>
          <w:rFonts w:eastAsia="Arial Unicode MS"/>
          <w:bCs/>
          <w:lang w:eastAsia="fr-FR" w:bidi="he-IL"/>
        </w:rPr>
        <w:t>et particulièrement des Juifs.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Qui ne connaît ce trait</w:t>
      </w:r>
      <w:r w:rsidR="00E65435">
        <w:rPr>
          <w:rFonts w:eastAsia="Arial Unicode MS"/>
          <w:bCs/>
          <w:lang w:eastAsia="fr-FR" w:bidi="he-IL"/>
        </w:rPr>
        <w:t xml:space="preserve">, </w:t>
      </w:r>
      <w:r w:rsidRPr="00C8701B">
        <w:rPr>
          <w:rFonts w:eastAsia="Arial Unicode MS"/>
          <w:bCs/>
          <w:lang w:eastAsia="fr-FR" w:bidi="he-IL"/>
        </w:rPr>
        <w:t>raconté par Denys d</w:t>
      </w:r>
      <w:r w:rsidR="00557DE0">
        <w:rPr>
          <w:rFonts w:eastAsia="Arial Unicode MS"/>
          <w:bCs/>
          <w:lang w:eastAsia="fr-FR" w:bidi="he-IL"/>
        </w:rPr>
        <w:t>’</w:t>
      </w:r>
      <w:r w:rsidRPr="00C8701B">
        <w:rPr>
          <w:rFonts w:eastAsia="Arial Unicode MS"/>
          <w:bCs/>
          <w:lang w:eastAsia="fr-FR" w:bidi="he-IL"/>
        </w:rPr>
        <w:t>Halicarnasse</w:t>
      </w:r>
      <w:r w:rsidR="00E65435">
        <w:rPr>
          <w:rFonts w:eastAsia="Arial Unicode MS"/>
          <w:bCs/>
          <w:lang w:eastAsia="fr-FR" w:bidi="he-IL"/>
        </w:rPr>
        <w:t xml:space="preserve">, </w:t>
      </w:r>
      <w:r w:rsidRPr="00C8701B">
        <w:rPr>
          <w:rFonts w:eastAsia="Arial Unicode MS"/>
          <w:bCs/>
          <w:lang w:eastAsia="fr-FR" w:bidi="he-IL"/>
        </w:rPr>
        <w:t>à propos des chantres qui portaient en tous lieux les poésies d</w:t>
      </w:r>
      <w:r w:rsidR="00557DE0">
        <w:rPr>
          <w:rFonts w:eastAsia="Arial Unicode MS"/>
          <w:bCs/>
          <w:lang w:eastAsia="fr-FR" w:bidi="he-IL"/>
        </w:rPr>
        <w:t>’</w:t>
      </w:r>
      <w:r w:rsidRPr="00C8701B">
        <w:rPr>
          <w:rFonts w:eastAsia="Arial Unicode MS"/>
          <w:bCs/>
          <w:lang w:eastAsia="fr-FR" w:bidi="he-IL"/>
        </w:rPr>
        <w:t>Homère</w:t>
      </w:r>
      <w:r w:rsidR="00E65435">
        <w:rPr>
          <w:rFonts w:eastAsia="Arial Unicode MS"/>
          <w:bCs/>
          <w:lang w:eastAsia="fr-FR" w:bidi="he-IL"/>
        </w:rPr>
        <w:t xml:space="preserve">, </w:t>
      </w:r>
      <w:r w:rsidRPr="00C8701B">
        <w:rPr>
          <w:rFonts w:eastAsia="Arial Unicode MS"/>
          <w:bCs/>
          <w:lang w:eastAsia="fr-FR" w:bidi="he-IL"/>
        </w:rPr>
        <w:t>longtemps avant qu</w:t>
      </w:r>
      <w:r w:rsidR="00557DE0">
        <w:rPr>
          <w:rFonts w:eastAsia="Arial Unicode MS"/>
          <w:bCs/>
          <w:lang w:eastAsia="fr-FR" w:bidi="he-IL"/>
        </w:rPr>
        <w:t>’</w:t>
      </w:r>
      <w:r w:rsidRPr="00C8701B">
        <w:rPr>
          <w:rFonts w:eastAsia="Arial Unicode MS"/>
          <w:bCs/>
          <w:lang w:eastAsia="fr-FR" w:bidi="he-IL"/>
        </w:rPr>
        <w:t>elles ne fussent écrites</w:t>
      </w:r>
      <w:r w:rsidR="00C2602D" w:rsidRPr="00C8701B">
        <w:rPr>
          <w:rFonts w:eastAsia="Arial Unicode MS"/>
          <w:bCs/>
          <w:lang w:eastAsia="fr-FR" w:bidi="he-IL"/>
        </w:rPr>
        <w:t> ?</w:t>
      </w:r>
      <w:r w:rsidRPr="00C8701B">
        <w:rPr>
          <w:rFonts w:eastAsia="Arial Unicode MS"/>
          <w:bCs/>
          <w:lang w:eastAsia="fr-FR" w:bidi="he-IL"/>
        </w:rPr>
        <w:t xml:space="preserve"> </w:t>
      </w:r>
      <w:r w:rsidR="00C2602D" w:rsidRPr="00C8701B">
        <w:rPr>
          <w:rFonts w:eastAsia="Arial Unicode MS"/>
          <w:bCs/>
          <w:lang w:eastAsia="fr-FR" w:bidi="he-IL"/>
        </w:rPr>
        <w:t>« </w:t>
      </w:r>
      <w:r w:rsidRPr="00C8701B">
        <w:rPr>
          <w:rFonts w:eastAsia="Arial Unicode MS"/>
          <w:bCs/>
          <w:lang w:eastAsia="fr-FR" w:bidi="he-IL"/>
        </w:rPr>
        <w:t>Ils distribuaient</w:t>
      </w:r>
      <w:r w:rsidR="00E65435">
        <w:rPr>
          <w:rFonts w:eastAsia="Arial Unicode MS"/>
          <w:bCs/>
          <w:lang w:eastAsia="fr-FR" w:bidi="he-IL"/>
        </w:rPr>
        <w:t xml:space="preserve">, </w:t>
      </w:r>
      <w:r w:rsidRPr="00C8701B">
        <w:rPr>
          <w:rFonts w:eastAsia="Arial Unicode MS"/>
          <w:bCs/>
          <w:lang w:eastAsia="fr-FR" w:bidi="he-IL"/>
        </w:rPr>
        <w:t>dit-il</w:t>
      </w:r>
      <w:r w:rsidR="00933C60" w:rsidRPr="00C406FF">
        <w:rPr>
          <w:rStyle w:val="Appelnotedebasdep"/>
        </w:rPr>
        <w:footnoteReference w:id="278"/>
      </w:r>
      <w:r w:rsidR="00E65435">
        <w:rPr>
          <w:rFonts w:eastAsia="Arial Unicode MS"/>
          <w:bCs/>
          <w:lang w:eastAsia="fr-FR" w:bidi="he-IL"/>
        </w:rPr>
        <w:t xml:space="preserve">, </w:t>
      </w:r>
      <w:r w:rsidRPr="00C8701B">
        <w:rPr>
          <w:rFonts w:eastAsia="Arial Unicode MS"/>
          <w:bCs/>
          <w:lang w:eastAsia="fr-FR" w:bidi="he-IL"/>
        </w:rPr>
        <w:t>leurs récits par nations et par villes</w:t>
      </w:r>
      <w:r w:rsidR="00E65435">
        <w:rPr>
          <w:rFonts w:eastAsia="Arial Unicode MS"/>
          <w:bCs/>
          <w:lang w:eastAsia="fr-FR" w:bidi="he-IL"/>
        </w:rPr>
        <w:t xml:space="preserve">, </w:t>
      </w:r>
      <w:r w:rsidRPr="00C8701B">
        <w:rPr>
          <w:rFonts w:eastAsia="Arial Unicode MS"/>
          <w:bCs/>
          <w:lang w:eastAsia="fr-FR" w:bidi="he-IL"/>
        </w:rPr>
        <w:t>ne les reproduisant pas toujours dans le même ordre</w:t>
      </w:r>
      <w:r w:rsidR="00E65435">
        <w:rPr>
          <w:rFonts w:eastAsia="Arial Unicode MS"/>
          <w:bCs/>
          <w:lang w:eastAsia="fr-FR" w:bidi="he-IL"/>
        </w:rPr>
        <w:t xml:space="preserve">, </w:t>
      </w:r>
      <w:r w:rsidRPr="00C8701B">
        <w:rPr>
          <w:rFonts w:eastAsia="Arial Unicode MS"/>
          <w:bCs/>
          <w:lang w:eastAsia="fr-FR" w:bidi="he-IL"/>
        </w:rPr>
        <w:t>mais ayant toujours en vue le but unique et commun de faire connaître tous ces souvenirs autant qu</w:t>
      </w:r>
      <w:r w:rsidR="00557DE0">
        <w:rPr>
          <w:rFonts w:eastAsia="Arial Unicode MS"/>
          <w:bCs/>
          <w:lang w:eastAsia="fr-FR" w:bidi="he-IL"/>
        </w:rPr>
        <w:t>’</w:t>
      </w:r>
      <w:r w:rsidRPr="00C8701B">
        <w:rPr>
          <w:rFonts w:eastAsia="Arial Unicode MS"/>
          <w:bCs/>
          <w:lang w:eastAsia="fr-FR" w:bidi="he-IL"/>
        </w:rPr>
        <w:t>ils s</w:t>
      </w:r>
      <w:r w:rsidR="00557DE0">
        <w:rPr>
          <w:rFonts w:eastAsia="Arial Unicode MS"/>
          <w:bCs/>
          <w:lang w:eastAsia="fr-FR" w:bidi="he-IL"/>
        </w:rPr>
        <w:t>’</w:t>
      </w:r>
      <w:r w:rsidRPr="00C8701B">
        <w:rPr>
          <w:rFonts w:eastAsia="Arial Unicode MS"/>
          <w:bCs/>
          <w:lang w:eastAsia="fr-FR" w:bidi="he-IL"/>
        </w:rPr>
        <w:t>étaient conservés</w:t>
      </w:r>
      <w:r w:rsidR="00E65435">
        <w:rPr>
          <w:rFonts w:eastAsia="Arial Unicode MS"/>
          <w:bCs/>
          <w:lang w:eastAsia="fr-FR" w:bidi="he-IL"/>
        </w:rPr>
        <w:t xml:space="preserve">, </w:t>
      </w:r>
      <w:r w:rsidRPr="00C8701B">
        <w:rPr>
          <w:rFonts w:eastAsia="Arial Unicode MS"/>
          <w:bCs/>
          <w:lang w:eastAsia="fr-FR" w:bidi="he-IL"/>
        </w:rPr>
        <w:t>sans y rien ajouter comme sans en rien perdre.</w:t>
      </w:r>
      <w:r w:rsidR="00C2602D" w:rsidRPr="00C8701B">
        <w:rPr>
          <w:rFonts w:eastAsia="Arial Unicode MS"/>
          <w:bCs/>
          <w:lang w:eastAsia="fr-FR" w:bidi="he-IL"/>
        </w:rPr>
        <w:t> »</w:t>
      </w:r>
      <w:r w:rsidRPr="00C8701B">
        <w:rPr>
          <w:rFonts w:eastAsia="Arial Unicode MS"/>
          <w:bCs/>
          <w:lang w:eastAsia="fr-FR" w:bidi="he-IL"/>
        </w:rPr>
        <w:t xml:space="preserve"> Quant aux Juifs</w:t>
      </w:r>
      <w:r w:rsidR="00E65435">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était chez eux un principe rigoureux</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après lequel le Talmud entier fut composé</w:t>
      </w:r>
      <w:r w:rsidR="00E65435">
        <w:rPr>
          <w:rFonts w:eastAsia="Arial Unicode MS"/>
          <w:bCs/>
          <w:lang w:eastAsia="fr-FR" w:bidi="he-IL"/>
        </w:rPr>
        <w:t xml:space="preserve">, </w:t>
      </w:r>
      <w:r w:rsidRPr="00C8701B">
        <w:rPr>
          <w:rFonts w:eastAsia="Arial Unicode MS"/>
          <w:bCs/>
          <w:lang w:eastAsia="fr-FR" w:bidi="he-IL"/>
        </w:rPr>
        <w:t>que lorsqu</w:t>
      </w:r>
      <w:r w:rsidR="00557DE0">
        <w:rPr>
          <w:rFonts w:eastAsia="Arial Unicode MS"/>
          <w:bCs/>
          <w:lang w:eastAsia="fr-FR" w:bidi="he-IL"/>
        </w:rPr>
        <w:t>’</w:t>
      </w:r>
      <w:r w:rsidRPr="00C8701B">
        <w:rPr>
          <w:rFonts w:eastAsia="Arial Unicode MS"/>
          <w:bCs/>
          <w:lang w:eastAsia="fr-FR" w:bidi="he-IL"/>
        </w:rPr>
        <w:t>on cite les paroles d</w:t>
      </w:r>
      <w:r w:rsidR="00557DE0">
        <w:rPr>
          <w:rFonts w:eastAsia="Arial Unicode MS"/>
          <w:bCs/>
          <w:lang w:eastAsia="fr-FR" w:bidi="he-IL"/>
        </w:rPr>
        <w:t>’</w:t>
      </w:r>
      <w:r w:rsidRPr="00C8701B">
        <w:rPr>
          <w:rFonts w:eastAsia="Arial Unicode MS"/>
          <w:bCs/>
          <w:lang w:eastAsia="fr-FR" w:bidi="he-IL"/>
        </w:rPr>
        <w:t>un maître</w:t>
      </w:r>
      <w:r w:rsidR="00E65435">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00DD4900">
        <w:rPr>
          <w:rFonts w:eastAsia="Arial Unicode MS"/>
          <w:bCs/>
          <w:lang w:eastAsia="fr-FR" w:bidi="he-IL"/>
        </w:rPr>
        <w:t>et ce genr</w:t>
      </w:r>
      <w:r w:rsidRPr="00C8701B">
        <w:rPr>
          <w:rFonts w:eastAsia="Arial Unicode MS"/>
          <w:bCs/>
          <w:lang w:eastAsia="fr-FR" w:bidi="he-IL"/>
        </w:rPr>
        <w:t>e de paroles forme le fond des évangiles</w:t>
      </w:r>
      <w:r w:rsidR="00E65435">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il faut toujours les citer littéralement</w:t>
      </w:r>
      <w:r w:rsidR="00C2602D" w:rsidRPr="00C8701B">
        <w:rPr>
          <w:rFonts w:eastAsia="Arial Unicode MS"/>
          <w:bCs/>
          <w:lang w:eastAsia="fr-FR" w:bidi="he-IL"/>
        </w:rPr>
        <w:t> :</w:t>
      </w:r>
      <w:r w:rsidRPr="00DC4586">
        <w:rPr>
          <w:rStyle w:val="italicus"/>
        </w:rPr>
        <w:t xml:space="preserve"> Verba </w:t>
      </w:r>
      <w:r w:rsidR="00DD4900">
        <w:rPr>
          <w:rStyle w:val="italicus"/>
        </w:rPr>
        <w:t>præceptóri</w:t>
      </w:r>
      <w:r w:rsidR="00DD4900" w:rsidRPr="00DC4586">
        <w:rPr>
          <w:rStyle w:val="italicus"/>
        </w:rPr>
        <w:t>s</w:t>
      </w:r>
      <w:r w:rsidRPr="00DC4586">
        <w:rPr>
          <w:rStyle w:val="italicus"/>
        </w:rPr>
        <w:t xml:space="preserve"> sine ulla imm</w:t>
      </w:r>
      <w:r w:rsidR="00DD4900">
        <w:rPr>
          <w:rStyle w:val="italicus"/>
        </w:rPr>
        <w:t>ut</w:t>
      </w:r>
      <w:r w:rsidR="000B732C">
        <w:rPr>
          <w:rStyle w:val="italicus"/>
        </w:rPr>
        <w:t>atióne</w:t>
      </w:r>
      <w:r w:rsidR="00E65435">
        <w:rPr>
          <w:rStyle w:val="italicus"/>
        </w:rPr>
        <w:t xml:space="preserve">, </w:t>
      </w:r>
      <w:r w:rsidRPr="00DC4586">
        <w:rPr>
          <w:rStyle w:val="italicus"/>
        </w:rPr>
        <w:t xml:space="preserve">ut </w:t>
      </w:r>
      <w:r w:rsidR="00DD4900" w:rsidRPr="00DC4586">
        <w:rPr>
          <w:rStyle w:val="italicus"/>
        </w:rPr>
        <w:t>proláta</w:t>
      </w:r>
      <w:r w:rsidRPr="00DC4586">
        <w:rPr>
          <w:rStyle w:val="italicus"/>
        </w:rPr>
        <w:t xml:space="preserve"> ab illo </w:t>
      </w:r>
      <w:r w:rsidR="00DD4900" w:rsidRPr="00DC4586">
        <w:rPr>
          <w:rStyle w:val="italicus"/>
        </w:rPr>
        <w:t>fúerant</w:t>
      </w:r>
      <w:r w:rsidR="00E65435">
        <w:rPr>
          <w:rStyle w:val="italicus"/>
        </w:rPr>
        <w:t xml:space="preserve">, </w:t>
      </w:r>
      <w:r w:rsidR="00DD4900">
        <w:rPr>
          <w:rStyle w:val="italicus"/>
        </w:rPr>
        <w:t>erant r</w:t>
      </w:r>
      <w:r w:rsidR="00DD4900" w:rsidRPr="00DC4586">
        <w:rPr>
          <w:rStyle w:val="italicus"/>
        </w:rPr>
        <w:t>ecitánda</w:t>
      </w:r>
      <w:r w:rsidR="00E65435">
        <w:rPr>
          <w:rStyle w:val="italicus"/>
        </w:rPr>
        <w:t xml:space="preserve">, </w:t>
      </w:r>
      <w:r w:rsidR="00DD4900">
        <w:rPr>
          <w:rStyle w:val="italicus"/>
        </w:rPr>
        <w:t>ne divérsa illi affingerétur sentént</w:t>
      </w:r>
      <w:r w:rsidR="00DD4900" w:rsidRPr="00DC4586">
        <w:rPr>
          <w:rStyle w:val="italicus"/>
        </w:rPr>
        <w:t>ia</w:t>
      </w:r>
      <w:r w:rsidR="00933C60" w:rsidRPr="00C406FF">
        <w:rPr>
          <w:rStyle w:val="Appelnotedebasdep"/>
        </w:rPr>
        <w:footnoteReference w:id="279"/>
      </w:r>
      <w:r w:rsidRPr="00C8701B">
        <w:rPr>
          <w:rFonts w:eastAsia="Arial Unicode MS"/>
          <w:bCs/>
          <w:lang w:eastAsia="fr-FR" w:bidi="he-IL"/>
        </w:rPr>
        <w:t>. Aujourd</w:t>
      </w:r>
      <w:r w:rsidR="00557DE0">
        <w:rPr>
          <w:rFonts w:eastAsia="Arial Unicode MS"/>
          <w:bCs/>
          <w:lang w:eastAsia="fr-FR" w:bidi="he-IL"/>
        </w:rPr>
        <w:t>’</w:t>
      </w:r>
      <w:r w:rsidRPr="00C8701B">
        <w:rPr>
          <w:rFonts w:eastAsia="Arial Unicode MS"/>
          <w:bCs/>
          <w:lang w:eastAsia="fr-FR" w:bidi="he-IL"/>
        </w:rPr>
        <w:t>hui</w:t>
      </w:r>
      <w:r w:rsidR="00E65435">
        <w:rPr>
          <w:rFonts w:eastAsia="Arial Unicode MS"/>
          <w:bCs/>
          <w:lang w:eastAsia="fr-FR" w:bidi="he-IL"/>
        </w:rPr>
        <w:t xml:space="preserve">, </w:t>
      </w:r>
      <w:r w:rsidRPr="00C8701B">
        <w:rPr>
          <w:rFonts w:eastAsia="Arial Unicode MS"/>
          <w:bCs/>
          <w:lang w:eastAsia="fr-FR" w:bidi="he-IL"/>
        </w:rPr>
        <w:t>on ne voudrait plus s</w:t>
      </w:r>
      <w:r w:rsidR="00557DE0">
        <w:rPr>
          <w:rFonts w:eastAsia="Arial Unicode MS"/>
          <w:bCs/>
          <w:lang w:eastAsia="fr-FR" w:bidi="he-IL"/>
        </w:rPr>
        <w:t>’</w:t>
      </w:r>
      <w:r w:rsidRPr="00C8701B">
        <w:rPr>
          <w:rFonts w:eastAsia="Arial Unicode MS"/>
          <w:bCs/>
          <w:lang w:eastAsia="fr-FR" w:bidi="he-IL"/>
        </w:rPr>
        <w:t>astreindre absolument à cette méthode</w:t>
      </w:r>
      <w:r w:rsidR="00E65435">
        <w:rPr>
          <w:rFonts w:eastAsia="Arial Unicode MS"/>
          <w:bCs/>
          <w:lang w:eastAsia="fr-FR" w:bidi="he-IL"/>
        </w:rPr>
        <w:t xml:space="preserve">, </w:t>
      </w:r>
      <w:r w:rsidRPr="00C8701B">
        <w:rPr>
          <w:rFonts w:eastAsia="Arial Unicode MS"/>
          <w:bCs/>
          <w:lang w:eastAsia="fr-FR" w:bidi="he-IL"/>
        </w:rPr>
        <w:t>parce qu</w:t>
      </w:r>
      <w:r w:rsidR="00557DE0">
        <w:rPr>
          <w:rFonts w:eastAsia="Arial Unicode MS"/>
          <w:bCs/>
          <w:lang w:eastAsia="fr-FR" w:bidi="he-IL"/>
        </w:rPr>
        <w:t>’</w:t>
      </w:r>
      <w:r w:rsidRPr="00C8701B">
        <w:rPr>
          <w:rFonts w:eastAsia="Arial Unicode MS"/>
          <w:bCs/>
          <w:lang w:eastAsia="fr-FR" w:bidi="he-IL"/>
        </w:rPr>
        <w:t>on désire la variété et l</w:t>
      </w:r>
      <w:r w:rsidR="00557DE0">
        <w:rPr>
          <w:rFonts w:eastAsia="Arial Unicode MS"/>
          <w:bCs/>
          <w:lang w:eastAsia="fr-FR" w:bidi="he-IL"/>
        </w:rPr>
        <w:t>’</w:t>
      </w:r>
      <w:r w:rsidRPr="00C8701B">
        <w:rPr>
          <w:rFonts w:eastAsia="Arial Unicode MS"/>
          <w:bCs/>
          <w:lang w:eastAsia="fr-FR" w:bidi="he-IL"/>
        </w:rPr>
        <w:t>originalité</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mais</w:t>
      </w:r>
      <w:r w:rsidR="00E65435">
        <w:rPr>
          <w:rFonts w:eastAsia="Arial Unicode MS"/>
          <w:bCs/>
          <w:lang w:eastAsia="fr-FR" w:bidi="he-IL"/>
        </w:rPr>
        <w:t xml:space="preserve">, </w:t>
      </w:r>
      <w:r w:rsidRPr="00C8701B">
        <w:rPr>
          <w:rFonts w:eastAsia="Arial Unicode MS"/>
          <w:bCs/>
          <w:lang w:eastAsia="fr-FR" w:bidi="he-IL"/>
        </w:rPr>
        <w:t>alors</w:t>
      </w:r>
      <w:r w:rsidR="00E65435">
        <w:rPr>
          <w:rFonts w:eastAsia="Arial Unicode MS"/>
          <w:bCs/>
          <w:lang w:eastAsia="fr-FR" w:bidi="he-IL"/>
        </w:rPr>
        <w:t xml:space="preserve">, </w:t>
      </w:r>
      <w:r w:rsidRPr="00C8701B">
        <w:rPr>
          <w:rFonts w:eastAsia="Arial Unicode MS"/>
          <w:bCs/>
          <w:lang w:eastAsia="fr-FR" w:bidi="he-IL"/>
        </w:rPr>
        <w:t>sa monotonie même plaisait aux auditeurs</w:t>
      </w:r>
      <w:r w:rsidR="00E65435">
        <w:rPr>
          <w:rFonts w:eastAsia="Arial Unicode MS"/>
          <w:bCs/>
          <w:lang w:eastAsia="fr-FR" w:bidi="he-IL"/>
        </w:rPr>
        <w:t xml:space="preserve">, </w:t>
      </w:r>
      <w:r w:rsidRPr="00C8701B">
        <w:rPr>
          <w:rFonts w:eastAsia="Arial Unicode MS"/>
          <w:bCs/>
          <w:lang w:eastAsia="fr-FR" w:bidi="he-IL"/>
        </w:rPr>
        <w:t>sans compter qu</w:t>
      </w:r>
      <w:r w:rsidR="00557DE0">
        <w:rPr>
          <w:rFonts w:eastAsia="Arial Unicode MS"/>
          <w:bCs/>
          <w:lang w:eastAsia="fr-FR" w:bidi="he-IL"/>
        </w:rPr>
        <w:t>’</w:t>
      </w:r>
      <w:r w:rsidRPr="00C8701B">
        <w:rPr>
          <w:rFonts w:eastAsia="Arial Unicode MS"/>
          <w:bCs/>
          <w:lang w:eastAsia="fr-FR" w:bidi="he-IL"/>
        </w:rPr>
        <w:t>elle facilitait singulièrement la tâche des prédicateurs</w:t>
      </w:r>
      <w:r w:rsidR="00933C60" w:rsidRPr="00C406FF">
        <w:rPr>
          <w:rStyle w:val="Appelnotedebasdep"/>
        </w:rPr>
        <w:footnoteReference w:id="280"/>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466ED0" w:rsidRDefault="00B704AD" w:rsidP="00C2602D">
      <w:r w:rsidRPr="00C8701B">
        <w:rPr>
          <w:rFonts w:eastAsia="Arial Unicode MS"/>
          <w:bCs/>
          <w:lang w:eastAsia="fr-FR" w:bidi="he-IL"/>
        </w:rPr>
        <w:t xml:space="preserve">4° Les </w:t>
      </w:r>
      <w:r w:rsidR="00466ED0">
        <w:rPr>
          <w:rFonts w:eastAsia="Arial Unicode MS"/>
          <w:bCs/>
          <w:lang w:eastAsia="fr-FR" w:bidi="he-IL"/>
        </w:rPr>
        <w:t>actes et les discours qui formai</w:t>
      </w:r>
      <w:r w:rsidRPr="00C8701B">
        <w:rPr>
          <w:rFonts w:eastAsia="Arial Unicode MS"/>
          <w:bCs/>
          <w:lang w:eastAsia="fr-FR" w:bidi="he-IL"/>
        </w:rPr>
        <w:t>ent le</w:t>
      </w:r>
      <w:r w:rsidR="00DD4900">
        <w:rPr>
          <w:rFonts w:eastAsia="Arial Unicode MS"/>
          <w:bCs/>
          <w:lang w:eastAsia="fr-FR" w:bidi="he-IL"/>
        </w:rPr>
        <w:t>s</w:t>
      </w:r>
      <w:r w:rsidRPr="00C8701B">
        <w:rPr>
          <w:rFonts w:eastAsia="Arial Unicode MS"/>
          <w:bCs/>
          <w:lang w:eastAsia="fr-FR" w:bidi="he-IL"/>
        </w:rPr>
        <w:t xml:space="preserve"> fond de cette tradition orale</w:t>
      </w:r>
      <w:r w:rsidR="00E65435">
        <w:rPr>
          <w:rFonts w:eastAsia="Arial Unicode MS"/>
          <w:bCs/>
          <w:lang w:eastAsia="fr-FR" w:bidi="he-IL"/>
        </w:rPr>
        <w:t xml:space="preserve">, </w:t>
      </w:r>
      <w:r w:rsidRPr="00C8701B">
        <w:rPr>
          <w:rFonts w:eastAsia="Arial Unicode MS"/>
          <w:bCs/>
          <w:lang w:eastAsia="fr-FR" w:bidi="he-IL"/>
        </w:rPr>
        <w:t>et qui forment encore le fond de nos évangiles</w:t>
      </w:r>
      <w:r w:rsidR="00E65435">
        <w:rPr>
          <w:rFonts w:eastAsia="Arial Unicode MS"/>
          <w:bCs/>
          <w:lang w:eastAsia="fr-FR" w:bidi="he-IL"/>
        </w:rPr>
        <w:t xml:space="preserve">, </w:t>
      </w:r>
      <w:r w:rsidRPr="00C8701B">
        <w:rPr>
          <w:rFonts w:eastAsia="Arial Unicode MS"/>
          <w:bCs/>
          <w:lang w:eastAsia="fr-FR" w:bidi="he-IL"/>
        </w:rPr>
        <w:t>sont simples</w:t>
      </w:r>
      <w:r w:rsidR="00E65435">
        <w:rPr>
          <w:rFonts w:eastAsia="Arial Unicode MS"/>
          <w:bCs/>
          <w:lang w:eastAsia="fr-FR" w:bidi="he-IL"/>
        </w:rPr>
        <w:t xml:space="preserve">, </w:t>
      </w:r>
      <w:r w:rsidRPr="00C8701B">
        <w:rPr>
          <w:rFonts w:eastAsia="Arial Unicode MS"/>
          <w:bCs/>
          <w:lang w:eastAsia="fr-FR" w:bidi="he-IL"/>
        </w:rPr>
        <w:t>saillants</w:t>
      </w:r>
      <w:r w:rsidR="00E65435">
        <w:rPr>
          <w:rFonts w:eastAsia="Arial Unicode MS"/>
          <w:bCs/>
          <w:lang w:eastAsia="fr-FR" w:bidi="he-IL"/>
        </w:rPr>
        <w:t xml:space="preserve">, </w:t>
      </w:r>
      <w:r w:rsidRPr="00C8701B">
        <w:rPr>
          <w:rFonts w:eastAsia="Arial Unicode MS"/>
          <w:bCs/>
          <w:lang w:eastAsia="fr-FR" w:bidi="he-IL"/>
        </w:rPr>
        <w:t>relativement peu nombreux</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par suite</w:t>
      </w:r>
      <w:r w:rsidR="00E65435">
        <w:rPr>
          <w:rFonts w:eastAsia="Arial Unicode MS"/>
          <w:bCs/>
          <w:lang w:eastAsia="fr-FR" w:bidi="he-IL"/>
        </w:rPr>
        <w:t xml:space="preserve">, </w:t>
      </w:r>
      <w:r w:rsidRPr="00C8701B">
        <w:rPr>
          <w:rFonts w:eastAsia="Arial Unicode MS"/>
          <w:bCs/>
          <w:lang w:eastAsia="fr-FR" w:bidi="he-IL"/>
        </w:rPr>
        <w:t>faciles à retenir. S. Irénée raconte</w:t>
      </w:r>
      <w:r w:rsidR="00933C60" w:rsidRPr="00C406FF">
        <w:rPr>
          <w:rStyle w:val="Appelnotedebasdep"/>
        </w:rPr>
        <w:footnoteReference w:id="281"/>
      </w:r>
      <w:r w:rsidRPr="00C8701B">
        <w:rPr>
          <w:rFonts w:eastAsia="Arial Unicode MS"/>
          <w:bCs/>
          <w:lang w:eastAsia="fr-FR" w:bidi="he-IL"/>
        </w:rPr>
        <w:t xml:space="preserve"> que S. Polycarpe avait gardé le</w:t>
      </w:r>
      <w:r w:rsidR="00DD4900">
        <w:rPr>
          <w:rFonts w:eastAsia="Arial Unicode MS"/>
          <w:bCs/>
          <w:lang w:eastAsia="fr-FR" w:bidi="he-IL"/>
        </w:rPr>
        <w:t xml:space="preserve"> souvenir détaillé de tout ce q</w:t>
      </w:r>
      <w:r w:rsidRPr="00C8701B">
        <w:rPr>
          <w:rFonts w:eastAsia="Arial Unicode MS"/>
          <w:bCs/>
          <w:lang w:eastAsia="fr-FR" w:bidi="he-IL"/>
        </w:rPr>
        <w:t>ue les apôtres lui avaient appris</w:t>
      </w:r>
      <w:r w:rsidR="00C2602D" w:rsidRPr="00C8701B">
        <w:rPr>
          <w:rFonts w:eastAsia="Arial Unicode MS"/>
          <w:bCs/>
          <w:lang w:eastAsia="fr-FR" w:bidi="he-IL"/>
        </w:rPr>
        <w:t> :</w:t>
      </w:r>
      <w:r w:rsidRPr="00C8701B">
        <w:rPr>
          <w:rFonts w:eastAsia="Arial Unicode MS"/>
          <w:bCs/>
          <w:lang w:eastAsia="fr-FR" w:bidi="he-IL"/>
        </w:rPr>
        <w:t xml:space="preserve"> </w:t>
      </w:r>
      <w:r w:rsidR="00C2602D" w:rsidRPr="00C8701B">
        <w:rPr>
          <w:rFonts w:eastAsia="Arial Unicode MS"/>
          <w:bCs/>
          <w:lang w:eastAsia="fr-FR" w:bidi="he-IL"/>
        </w:rPr>
        <w:t>« </w:t>
      </w:r>
      <w:r w:rsidR="00466ED0">
        <w:rPr>
          <w:rFonts w:eastAsia="Arial Unicode MS"/>
          <w:bCs/>
          <w:lang w:eastAsia="fr-FR" w:bidi="he-IL"/>
        </w:rPr>
        <w:t>Ill</w:t>
      </w:r>
      <w:r w:rsidRPr="00C8701B">
        <w:rPr>
          <w:rFonts w:eastAsia="Arial Unicode MS"/>
          <w:bCs/>
          <w:lang w:eastAsia="fr-FR" w:bidi="he-IL"/>
        </w:rPr>
        <w:t>a qu</w:t>
      </w:r>
      <w:r w:rsidR="00E37C84">
        <w:rPr>
          <w:rFonts w:eastAsia="Arial Unicode MS"/>
          <w:bCs/>
          <w:lang w:eastAsia="fr-FR" w:bidi="he-IL"/>
        </w:rPr>
        <w:t>æ</w:t>
      </w:r>
      <w:r w:rsidRPr="00C8701B">
        <w:rPr>
          <w:rFonts w:eastAsia="Arial Unicode MS"/>
          <w:bCs/>
          <w:lang w:eastAsia="fr-FR" w:bidi="he-IL"/>
        </w:rPr>
        <w:t xml:space="preserve"> ab eis de </w:t>
      </w:r>
      <w:r w:rsidR="00216C2A">
        <w:rPr>
          <w:rFonts w:eastAsia="Arial Unicode MS"/>
          <w:bCs/>
          <w:lang w:eastAsia="fr-FR" w:bidi="he-IL"/>
        </w:rPr>
        <w:t>Dómino</w:t>
      </w:r>
      <w:r w:rsidRPr="00C8701B">
        <w:rPr>
          <w:rFonts w:eastAsia="Arial Unicode MS"/>
          <w:bCs/>
          <w:lang w:eastAsia="fr-FR" w:bidi="he-IL"/>
        </w:rPr>
        <w:t xml:space="preserve"> </w:t>
      </w:r>
      <w:r w:rsidR="00466ED0" w:rsidRPr="00C8701B">
        <w:rPr>
          <w:rFonts w:eastAsia="Arial Unicode MS"/>
          <w:bCs/>
          <w:lang w:eastAsia="fr-FR" w:bidi="he-IL"/>
        </w:rPr>
        <w:t>audíerat</w:t>
      </w:r>
      <w:r w:rsidRPr="00DC4586">
        <w:rPr>
          <w:rStyle w:val="italicus"/>
        </w:rPr>
        <w:t xml:space="preserve"> dequ</w:t>
      </w:r>
      <w:r w:rsidR="00466ED0">
        <w:rPr>
          <w:rStyle w:val="italicus"/>
        </w:rPr>
        <w:t xml:space="preserve">e miráculis et </w:t>
      </w:r>
      <w:r w:rsidR="00E26FC6">
        <w:rPr>
          <w:rStyle w:val="italicus"/>
        </w:rPr>
        <w:t>doctrína</w:t>
      </w:r>
      <w:r w:rsidR="00466ED0">
        <w:rPr>
          <w:rStyle w:val="italicus"/>
        </w:rPr>
        <w:t xml:space="preserve"> ejus óm</w:t>
      </w:r>
      <w:r w:rsidR="00466ED0" w:rsidRPr="00DC4586">
        <w:rPr>
          <w:rStyle w:val="italicus"/>
        </w:rPr>
        <w:t>nia</w:t>
      </w:r>
      <w:r w:rsidR="00E65435">
        <w:rPr>
          <w:rStyle w:val="italicus"/>
        </w:rPr>
        <w:t xml:space="preserve">, </w:t>
      </w:r>
      <w:r w:rsidR="00A05DB8">
        <w:rPr>
          <w:rFonts w:eastAsia="Arial Unicode MS"/>
          <w:bCs/>
          <w:lang w:eastAsia="fr-FR" w:bidi="he-IL"/>
        </w:rPr>
        <w:t>quómodo</w:t>
      </w:r>
      <w:r w:rsidRPr="00C8701B">
        <w:rPr>
          <w:rFonts w:eastAsia="Arial Unicode MS"/>
          <w:bCs/>
          <w:lang w:eastAsia="fr-FR" w:bidi="he-IL"/>
        </w:rPr>
        <w:t xml:space="preserve"> ab</w:t>
      </w:r>
      <w:r w:rsidR="00466ED0">
        <w:rPr>
          <w:rFonts w:eastAsia="Arial Unicode MS"/>
          <w:bCs/>
          <w:lang w:eastAsia="fr-FR" w:bidi="he-IL"/>
        </w:rPr>
        <w:t xml:space="preserve"> iis qui Verbi vitam ipsi conspé</w:t>
      </w:r>
      <w:r w:rsidRPr="00C8701B">
        <w:rPr>
          <w:rFonts w:eastAsia="Arial Unicode MS"/>
          <w:bCs/>
          <w:lang w:eastAsia="fr-FR" w:bidi="he-IL"/>
        </w:rPr>
        <w:t>xerant</w:t>
      </w:r>
      <w:r w:rsidR="00E65435">
        <w:rPr>
          <w:rFonts w:eastAsia="Arial Unicode MS"/>
          <w:bCs/>
          <w:lang w:eastAsia="fr-FR" w:bidi="he-IL"/>
        </w:rPr>
        <w:t xml:space="preserve">, </w:t>
      </w:r>
      <w:r w:rsidR="00466ED0" w:rsidRPr="00C8701B">
        <w:rPr>
          <w:rFonts w:eastAsia="Arial Unicode MS"/>
          <w:bCs/>
          <w:lang w:eastAsia="fr-FR" w:bidi="he-IL"/>
        </w:rPr>
        <w:t>accéperat</w:t>
      </w:r>
      <w:r w:rsidR="00E65435">
        <w:rPr>
          <w:rFonts w:eastAsia="Arial Unicode MS"/>
          <w:bCs/>
          <w:lang w:eastAsia="fr-FR" w:bidi="he-IL"/>
        </w:rPr>
        <w:t xml:space="preserve">, </w:t>
      </w:r>
      <w:r w:rsidR="00466ED0" w:rsidRPr="00DC4586">
        <w:rPr>
          <w:rStyle w:val="italicus"/>
        </w:rPr>
        <w:t>fidéliter</w:t>
      </w:r>
      <w:r w:rsidR="00466ED0">
        <w:rPr>
          <w:rStyle w:val="italicus"/>
        </w:rPr>
        <w:t xml:space="preserve"> retulí</w:t>
      </w:r>
      <w:r w:rsidRPr="00DC4586">
        <w:rPr>
          <w:rStyle w:val="italicus"/>
        </w:rPr>
        <w:t xml:space="preserve">sse </w:t>
      </w:r>
      <w:r w:rsidR="00466ED0" w:rsidRPr="00DC4586">
        <w:rPr>
          <w:rStyle w:val="italicus"/>
        </w:rPr>
        <w:t>Scriptúris</w:t>
      </w:r>
      <w:r w:rsidRPr="00DC4586">
        <w:rPr>
          <w:rStyle w:val="italicus"/>
        </w:rPr>
        <w:t xml:space="preserve"> consona.</w:t>
      </w:r>
      <w:r w:rsidR="00C2602D" w:rsidRPr="00DC4586">
        <w:rPr>
          <w:rStyle w:val="italicus"/>
        </w:rPr>
        <w:t> »</w:t>
      </w:r>
      <w:r w:rsidRPr="00C8701B">
        <w:rPr>
          <w:rFonts w:eastAsia="Arial Unicode MS"/>
          <w:bCs/>
          <w:lang w:eastAsia="fr-FR" w:bidi="he-IL"/>
        </w:rPr>
        <w:t xml:space="preserve"> Nous trouvons un trait semblable dans les</w:t>
      </w:r>
      <w:r w:rsidRPr="00DC4586">
        <w:rPr>
          <w:rStyle w:val="italicus"/>
        </w:rPr>
        <w:t xml:space="preserve"> Recognit</w:t>
      </w:r>
      <w:r w:rsidR="00356A5E" w:rsidRPr="00DC4586">
        <w:rPr>
          <w:rStyle w:val="italicus"/>
        </w:rPr>
        <w:t>i</w:t>
      </w:r>
      <w:r w:rsidR="00356A5E">
        <w:rPr>
          <w:rStyle w:val="italicus"/>
        </w:rPr>
        <w:t>ó</w:t>
      </w:r>
      <w:r w:rsidR="00356A5E" w:rsidRPr="00DC4586">
        <w:rPr>
          <w:rStyle w:val="italicus"/>
        </w:rPr>
        <w:t>nes</w:t>
      </w:r>
      <w:r w:rsidRPr="00DC4586">
        <w:rPr>
          <w:rStyle w:val="italicus"/>
        </w:rPr>
        <w:t xml:space="preserve"> </w:t>
      </w:r>
      <w:r w:rsidR="00466ED0" w:rsidRPr="00DC4586">
        <w:rPr>
          <w:rStyle w:val="italicus"/>
        </w:rPr>
        <w:t>apostólic</w:t>
      </w:r>
      <w:r w:rsidR="00466ED0">
        <w:rPr>
          <w:rStyle w:val="italicus"/>
        </w:rPr>
        <w:t>æ</w:t>
      </w:r>
      <w:r w:rsidR="00933C60" w:rsidRPr="00C406FF">
        <w:rPr>
          <w:rStyle w:val="Appelnotedebasdep"/>
        </w:rPr>
        <w:footnoteReference w:id="282"/>
      </w:r>
      <w:r w:rsidR="00E65435">
        <w:rPr>
          <w:rFonts w:eastAsia="Arial Unicode MS"/>
          <w:bCs/>
          <w:lang w:eastAsia="fr-FR" w:bidi="he-IL"/>
        </w:rPr>
        <w:t xml:space="preserve">, </w:t>
      </w:r>
      <w:r w:rsidRPr="00C8701B">
        <w:rPr>
          <w:rFonts w:eastAsia="Arial Unicode MS"/>
          <w:bCs/>
          <w:lang w:eastAsia="fr-FR" w:bidi="he-IL"/>
        </w:rPr>
        <w:t>où l</w:t>
      </w:r>
      <w:r w:rsidR="00557DE0">
        <w:rPr>
          <w:rFonts w:eastAsia="Arial Unicode MS"/>
          <w:bCs/>
          <w:lang w:eastAsia="fr-FR" w:bidi="he-IL"/>
        </w:rPr>
        <w:t>’</w:t>
      </w:r>
      <w:r w:rsidR="00596154">
        <w:rPr>
          <w:rFonts w:eastAsia="Arial Unicode MS"/>
          <w:bCs/>
          <w:lang w:eastAsia="fr-FR" w:bidi="he-IL"/>
        </w:rPr>
        <w:t>on prêt</w:t>
      </w:r>
      <w:r w:rsidRPr="00C8701B">
        <w:rPr>
          <w:rFonts w:eastAsia="Arial Unicode MS"/>
          <w:bCs/>
          <w:lang w:eastAsia="fr-FR" w:bidi="he-IL"/>
        </w:rPr>
        <w:t>e ce langage au prince des apôtres</w:t>
      </w:r>
      <w:r w:rsidR="00C2602D" w:rsidRPr="00C8701B">
        <w:rPr>
          <w:rFonts w:eastAsia="Arial Unicode MS"/>
          <w:bCs/>
          <w:lang w:eastAsia="fr-FR" w:bidi="he-IL"/>
        </w:rPr>
        <w:t> :</w:t>
      </w:r>
      <w:r w:rsidRPr="00C8701B">
        <w:rPr>
          <w:rFonts w:eastAsia="Arial Unicode MS"/>
          <w:bCs/>
          <w:lang w:eastAsia="fr-FR" w:bidi="he-IL"/>
        </w:rPr>
        <w:t xml:space="preserve"> </w:t>
      </w:r>
      <w:r w:rsidR="00C2602D" w:rsidRPr="00C8701B">
        <w:rPr>
          <w:rFonts w:eastAsia="Arial Unicode MS"/>
          <w:bCs/>
          <w:lang w:eastAsia="fr-FR" w:bidi="he-IL"/>
        </w:rPr>
        <w:t>« </w:t>
      </w:r>
      <w:r w:rsidRPr="00C8701B">
        <w:rPr>
          <w:rFonts w:eastAsia="Arial Unicode MS"/>
          <w:bCs/>
          <w:lang w:eastAsia="fr-FR" w:bidi="he-IL"/>
        </w:rPr>
        <w:t xml:space="preserve">In </w:t>
      </w:r>
      <w:r w:rsidR="00466ED0" w:rsidRPr="00C8701B">
        <w:rPr>
          <w:rFonts w:eastAsia="Arial Unicode MS"/>
          <w:bCs/>
          <w:lang w:eastAsia="fr-FR" w:bidi="he-IL"/>
        </w:rPr>
        <w:t>consuetúdine</w:t>
      </w:r>
      <w:r w:rsidRPr="00C8701B">
        <w:rPr>
          <w:rFonts w:eastAsia="Arial Unicode MS"/>
          <w:bCs/>
          <w:lang w:eastAsia="fr-FR" w:bidi="he-IL"/>
        </w:rPr>
        <w:t xml:space="preserve"> </w:t>
      </w:r>
      <w:r w:rsidR="00466ED0" w:rsidRPr="00C8701B">
        <w:rPr>
          <w:rFonts w:eastAsia="Arial Unicode MS"/>
          <w:bCs/>
          <w:lang w:eastAsia="fr-FR" w:bidi="he-IL"/>
        </w:rPr>
        <w:t>hábui</w:t>
      </w:r>
      <w:r w:rsidRPr="00C8701B">
        <w:rPr>
          <w:rFonts w:eastAsia="Arial Unicode MS"/>
          <w:bCs/>
          <w:lang w:eastAsia="fr-FR" w:bidi="he-IL"/>
        </w:rPr>
        <w:t xml:space="preserve"> verba D</w:t>
      </w:r>
      <w:r w:rsidR="004D031F">
        <w:rPr>
          <w:rFonts w:eastAsia="Arial Unicode MS"/>
          <w:bCs/>
          <w:lang w:eastAsia="fr-FR" w:bidi="he-IL"/>
        </w:rPr>
        <w:t>ómini</w:t>
      </w:r>
      <w:r w:rsidRPr="00C8701B">
        <w:rPr>
          <w:rFonts w:eastAsia="Arial Unicode MS"/>
          <w:bCs/>
          <w:lang w:eastAsia="fr-FR" w:bidi="he-IL"/>
        </w:rPr>
        <w:t xml:space="preserve"> mei (Jesu Christi)</w:t>
      </w:r>
      <w:r w:rsidR="00E65435">
        <w:rPr>
          <w:rFonts w:eastAsia="Arial Unicode MS"/>
          <w:bCs/>
          <w:lang w:eastAsia="fr-FR" w:bidi="he-IL"/>
        </w:rPr>
        <w:t xml:space="preserve">, </w:t>
      </w:r>
      <w:r w:rsidR="000819BA">
        <w:rPr>
          <w:rFonts w:eastAsia="Arial Unicode MS"/>
          <w:bCs/>
          <w:lang w:eastAsia="fr-FR" w:bidi="he-IL"/>
        </w:rPr>
        <w:t>quæ</w:t>
      </w:r>
      <w:r w:rsidR="00466ED0">
        <w:rPr>
          <w:rFonts w:eastAsia="Arial Unicode MS"/>
          <w:bCs/>
          <w:lang w:eastAsia="fr-FR" w:bidi="he-IL"/>
        </w:rPr>
        <w:t xml:space="preserve"> </w:t>
      </w:r>
      <w:r w:rsidRPr="00C8701B">
        <w:rPr>
          <w:rFonts w:eastAsia="Arial Unicode MS"/>
          <w:bCs/>
          <w:lang w:eastAsia="fr-FR" w:bidi="he-IL"/>
        </w:rPr>
        <w:t xml:space="preserve">ab ipso </w:t>
      </w:r>
      <w:r w:rsidR="00466ED0" w:rsidRPr="00C8701B">
        <w:rPr>
          <w:rFonts w:eastAsia="Arial Unicode MS"/>
          <w:bCs/>
          <w:lang w:eastAsia="fr-FR" w:bidi="he-IL"/>
        </w:rPr>
        <w:t>audíeram</w:t>
      </w:r>
      <w:r w:rsidR="00E65435">
        <w:rPr>
          <w:rFonts w:eastAsia="Arial Unicode MS"/>
          <w:bCs/>
          <w:lang w:eastAsia="fr-FR" w:bidi="he-IL"/>
        </w:rPr>
        <w:t xml:space="preserve">, </w:t>
      </w:r>
      <w:r w:rsidR="00466ED0" w:rsidRPr="00C8701B">
        <w:rPr>
          <w:rFonts w:eastAsia="Arial Unicode MS"/>
          <w:bCs/>
          <w:lang w:eastAsia="fr-FR" w:bidi="he-IL"/>
        </w:rPr>
        <w:t>revocáre</w:t>
      </w:r>
      <w:r w:rsidR="00596154">
        <w:rPr>
          <w:rFonts w:eastAsia="Arial Unicode MS"/>
          <w:bCs/>
          <w:lang w:eastAsia="fr-FR" w:bidi="he-IL"/>
        </w:rPr>
        <w:t xml:space="preserve"> ad memó</w:t>
      </w:r>
      <w:r w:rsidRPr="00C8701B">
        <w:rPr>
          <w:rFonts w:eastAsia="Arial Unicode MS"/>
          <w:bCs/>
          <w:lang w:eastAsia="fr-FR" w:bidi="he-IL"/>
        </w:rPr>
        <w:t>riam</w:t>
      </w:r>
      <w:r w:rsidR="00E65435">
        <w:rPr>
          <w:rFonts w:eastAsia="Arial Unicode MS"/>
          <w:bCs/>
          <w:lang w:eastAsia="fr-FR" w:bidi="he-IL"/>
        </w:rPr>
        <w:t xml:space="preserve">, </w:t>
      </w:r>
      <w:r w:rsidRPr="00C8701B">
        <w:rPr>
          <w:rFonts w:eastAsia="Arial Unicode MS"/>
          <w:bCs/>
          <w:lang w:eastAsia="fr-FR" w:bidi="he-IL"/>
        </w:rPr>
        <w:t>et pro ips</w:t>
      </w:r>
      <w:r w:rsidR="003A07A7">
        <w:rPr>
          <w:rFonts w:eastAsia="Arial Unicode MS"/>
          <w:bCs/>
          <w:lang w:eastAsia="fr-FR" w:bidi="he-IL"/>
        </w:rPr>
        <w:t>órum</w:t>
      </w:r>
      <w:r w:rsidRPr="00C8701B">
        <w:rPr>
          <w:rFonts w:eastAsia="Arial Unicode MS"/>
          <w:bCs/>
          <w:lang w:eastAsia="fr-FR" w:bidi="he-IL"/>
        </w:rPr>
        <w:t xml:space="preserve"> </w:t>
      </w:r>
      <w:r w:rsidR="00466ED0" w:rsidRPr="00C8701B">
        <w:rPr>
          <w:rFonts w:eastAsia="Arial Unicode MS"/>
          <w:bCs/>
          <w:lang w:eastAsia="fr-FR" w:bidi="he-IL"/>
        </w:rPr>
        <w:t>desidério</w:t>
      </w:r>
      <w:r w:rsidRPr="00C8701B">
        <w:rPr>
          <w:rFonts w:eastAsia="Arial Unicode MS"/>
          <w:bCs/>
          <w:lang w:eastAsia="fr-FR" w:bidi="he-IL"/>
        </w:rPr>
        <w:t xml:space="preserve"> </w:t>
      </w:r>
      <w:r w:rsidR="00466ED0" w:rsidRPr="00C8701B">
        <w:rPr>
          <w:rFonts w:eastAsia="Arial Unicode MS"/>
          <w:bCs/>
          <w:lang w:eastAsia="fr-FR" w:bidi="he-IL"/>
        </w:rPr>
        <w:t>suscitári</w:t>
      </w:r>
      <w:r w:rsidRPr="00C8701B">
        <w:rPr>
          <w:rFonts w:eastAsia="Arial Unicode MS"/>
          <w:bCs/>
          <w:lang w:eastAsia="fr-FR" w:bidi="he-IL"/>
        </w:rPr>
        <w:t xml:space="preserve"> </w:t>
      </w:r>
      <w:r w:rsidR="00466ED0" w:rsidRPr="00C8701B">
        <w:rPr>
          <w:rFonts w:eastAsia="Arial Unicode MS"/>
          <w:bCs/>
          <w:lang w:eastAsia="fr-FR" w:bidi="he-IL"/>
        </w:rPr>
        <w:t>ánimis</w:t>
      </w:r>
      <w:r w:rsidRPr="00C8701B">
        <w:rPr>
          <w:rFonts w:eastAsia="Arial Unicode MS"/>
          <w:bCs/>
          <w:lang w:eastAsia="fr-FR" w:bidi="he-IL"/>
        </w:rPr>
        <w:t xml:space="preserve"> meis et cogitati</w:t>
      </w:r>
      <w:r w:rsidR="00356A5E">
        <w:rPr>
          <w:rFonts w:eastAsia="Arial Unicode MS"/>
          <w:bCs/>
          <w:lang w:eastAsia="fr-FR" w:bidi="he-IL"/>
        </w:rPr>
        <w:t>ó</w:t>
      </w:r>
      <w:r w:rsidR="00356A5E" w:rsidRPr="00C8701B">
        <w:rPr>
          <w:rFonts w:eastAsia="Arial Unicode MS"/>
          <w:bCs/>
          <w:lang w:eastAsia="fr-FR" w:bidi="he-IL"/>
        </w:rPr>
        <w:t>nibus</w:t>
      </w:r>
      <w:r w:rsidRPr="00C8701B">
        <w:rPr>
          <w:rFonts w:eastAsia="Arial Unicode MS"/>
          <w:bCs/>
          <w:lang w:eastAsia="fr-FR" w:bidi="he-IL"/>
        </w:rPr>
        <w:t xml:space="preserve"> im</w:t>
      </w:r>
      <w:r w:rsidR="00473B23" w:rsidRPr="00C8701B">
        <w:rPr>
          <w:rFonts w:eastAsia="Arial Unicode MS"/>
          <w:bCs/>
          <w:lang w:eastAsia="fr-FR" w:bidi="he-IL"/>
        </w:rPr>
        <w:t>per</w:t>
      </w:r>
      <w:r w:rsidR="00473B23">
        <w:rPr>
          <w:rFonts w:eastAsia="Arial Unicode MS"/>
          <w:bCs/>
          <w:lang w:eastAsia="fr-FR" w:bidi="he-IL"/>
        </w:rPr>
        <w:t>á</w:t>
      </w:r>
      <w:r w:rsidR="00473B23" w:rsidRPr="00C8701B">
        <w:rPr>
          <w:rFonts w:eastAsia="Arial Unicode MS"/>
          <w:bCs/>
          <w:lang w:eastAsia="fr-FR" w:bidi="he-IL"/>
        </w:rPr>
        <w:t>vi</w:t>
      </w:r>
      <w:r w:rsidR="00E65435">
        <w:rPr>
          <w:rFonts w:eastAsia="Arial Unicode MS"/>
          <w:bCs/>
          <w:lang w:eastAsia="fr-FR" w:bidi="he-IL"/>
        </w:rPr>
        <w:t xml:space="preserve">, </w:t>
      </w:r>
      <w:r w:rsidRPr="00C8701B">
        <w:rPr>
          <w:rFonts w:eastAsia="Arial Unicode MS"/>
          <w:bCs/>
          <w:lang w:eastAsia="fr-FR" w:bidi="he-IL"/>
        </w:rPr>
        <w:t xml:space="preserve">ut </w:t>
      </w:r>
      <w:r w:rsidR="00466ED0" w:rsidRPr="00C8701B">
        <w:rPr>
          <w:rFonts w:eastAsia="Arial Unicode MS"/>
          <w:bCs/>
          <w:lang w:eastAsia="fr-FR" w:bidi="he-IL"/>
        </w:rPr>
        <w:t>evígilans</w:t>
      </w:r>
      <w:r w:rsidRPr="00C8701B">
        <w:rPr>
          <w:rFonts w:eastAsia="Arial Unicode MS"/>
          <w:bCs/>
          <w:lang w:eastAsia="fr-FR" w:bidi="he-IL"/>
        </w:rPr>
        <w:t xml:space="preserve"> ad ea</w:t>
      </w:r>
      <w:r w:rsidRPr="00DC4586">
        <w:rPr>
          <w:rStyle w:val="italicus"/>
        </w:rPr>
        <w:t xml:space="preserve"> </w:t>
      </w:r>
      <w:r w:rsidR="00466ED0" w:rsidRPr="00DC4586">
        <w:rPr>
          <w:rStyle w:val="italicus"/>
        </w:rPr>
        <w:t>et síngula</w:t>
      </w:r>
      <w:r w:rsidRPr="00DC4586">
        <w:rPr>
          <w:rStyle w:val="italicus"/>
        </w:rPr>
        <w:t xml:space="preserve"> </w:t>
      </w:r>
      <w:r w:rsidR="00466ED0">
        <w:rPr>
          <w:rStyle w:val="italicus"/>
        </w:rPr>
        <w:t>quæ</w:t>
      </w:r>
      <w:r w:rsidRPr="00DC4586">
        <w:rPr>
          <w:rStyle w:val="italicus"/>
        </w:rPr>
        <w:t xml:space="preserve">que </w:t>
      </w:r>
      <w:r w:rsidR="00466ED0" w:rsidRPr="00DC4586">
        <w:rPr>
          <w:rStyle w:val="italicus"/>
        </w:rPr>
        <w:t>récolens</w:t>
      </w:r>
      <w:r w:rsidR="00466ED0">
        <w:rPr>
          <w:rStyle w:val="italicus"/>
        </w:rPr>
        <w:t xml:space="preserve"> et reté</w:t>
      </w:r>
      <w:r w:rsidRPr="00DC4586">
        <w:rPr>
          <w:rStyle w:val="italicus"/>
        </w:rPr>
        <w:t>xens</w:t>
      </w:r>
      <w:r w:rsidR="00466ED0">
        <w:rPr>
          <w:rStyle w:val="italicus"/>
        </w:rPr>
        <w:t xml:space="preserve"> </w:t>
      </w:r>
      <w:r w:rsidRPr="00DC4586">
        <w:rPr>
          <w:rStyle w:val="italicus"/>
        </w:rPr>
        <w:t xml:space="preserve">possim </w:t>
      </w:r>
      <w:r w:rsidR="00466ED0">
        <w:rPr>
          <w:rStyle w:val="italicus"/>
        </w:rPr>
        <w:t>m</w:t>
      </w:r>
      <w:r w:rsidR="00466ED0" w:rsidRPr="00DC4586">
        <w:rPr>
          <w:rStyle w:val="italicus"/>
        </w:rPr>
        <w:t>emóriter</w:t>
      </w:r>
      <w:r w:rsidRPr="00DC4586">
        <w:rPr>
          <w:rStyle w:val="italicus"/>
        </w:rPr>
        <w:t xml:space="preserve"> </w:t>
      </w:r>
      <w:r w:rsidR="00466ED0" w:rsidRPr="00DC4586">
        <w:rPr>
          <w:rStyle w:val="italicus"/>
        </w:rPr>
        <w:t>retinére</w:t>
      </w:r>
      <w:r w:rsidR="00C2602D" w:rsidRPr="00466ED0">
        <w:t> »</w:t>
      </w:r>
      <w:r w:rsidRPr="00466ED0">
        <w:t>.</w:t>
      </w:r>
      <w:r w:rsidR="00C2602D" w:rsidRPr="00466ED0">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5° Enfin</w:t>
      </w:r>
      <w:r w:rsidR="00E65435">
        <w:rPr>
          <w:rFonts w:eastAsia="Arial Unicode MS"/>
          <w:bCs/>
          <w:lang w:eastAsia="fr-FR" w:bidi="he-IL"/>
        </w:rPr>
        <w:t xml:space="preserve">, </w:t>
      </w:r>
      <w:r w:rsidRPr="00C8701B">
        <w:rPr>
          <w:rFonts w:eastAsia="Arial Unicode MS"/>
          <w:bCs/>
          <w:lang w:eastAsia="fr-FR" w:bidi="he-IL"/>
        </w:rPr>
        <w:t>cette théorie est celle qui explique le mieux</w:t>
      </w:r>
      <w:r w:rsidR="00E65435">
        <w:rPr>
          <w:rFonts w:eastAsia="Arial Unicode MS"/>
          <w:bCs/>
          <w:lang w:eastAsia="fr-FR" w:bidi="he-IL"/>
        </w:rPr>
        <w:t xml:space="preserve">, </w:t>
      </w:r>
      <w:r w:rsidRPr="00C8701B">
        <w:rPr>
          <w:rFonts w:eastAsia="Arial Unicode MS"/>
          <w:bCs/>
          <w:lang w:eastAsia="fr-FR" w:bidi="he-IL"/>
        </w:rPr>
        <w:t>sans violence d</w:t>
      </w:r>
      <w:r w:rsidR="00557DE0">
        <w:rPr>
          <w:rFonts w:eastAsia="Arial Unicode MS"/>
          <w:bCs/>
          <w:lang w:eastAsia="fr-FR" w:bidi="he-IL"/>
        </w:rPr>
        <w:t>’</w:t>
      </w:r>
      <w:r w:rsidRPr="00C8701B">
        <w:rPr>
          <w:rFonts w:eastAsia="Arial Unicode MS"/>
          <w:bCs/>
          <w:lang w:eastAsia="fr-FR" w:bidi="he-IL"/>
        </w:rPr>
        <w:t>aucune sorte</w:t>
      </w:r>
      <w:r w:rsidR="00E65435">
        <w:rPr>
          <w:rFonts w:eastAsia="Arial Unicode MS"/>
          <w:bCs/>
          <w:lang w:eastAsia="fr-FR" w:bidi="he-IL"/>
        </w:rPr>
        <w:t xml:space="preserve">, </w:t>
      </w:r>
      <w:r w:rsidRPr="00C8701B">
        <w:rPr>
          <w:rFonts w:eastAsia="Arial Unicode MS"/>
          <w:bCs/>
          <w:lang w:eastAsia="fr-FR" w:bidi="he-IL"/>
        </w:rPr>
        <w:t>les deux parties du problème</w:t>
      </w:r>
      <w:r w:rsidR="00E65435">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est-à-dire</w:t>
      </w:r>
      <w:r w:rsidR="00E65435">
        <w:rPr>
          <w:rFonts w:eastAsia="Arial Unicode MS"/>
          <w:bCs/>
          <w:lang w:eastAsia="fr-FR" w:bidi="he-IL"/>
        </w:rPr>
        <w:t xml:space="preserve">, </w:t>
      </w:r>
      <w:r w:rsidRPr="00C8701B">
        <w:rPr>
          <w:rFonts w:eastAsia="Arial Unicode MS"/>
          <w:bCs/>
          <w:lang w:eastAsia="fr-FR" w:bidi="he-IL"/>
        </w:rPr>
        <w:t>tout ensemble</w:t>
      </w:r>
      <w:r w:rsidR="00E65435">
        <w:rPr>
          <w:rFonts w:eastAsia="Arial Unicode MS"/>
          <w:bCs/>
          <w:lang w:eastAsia="fr-FR" w:bidi="he-IL"/>
        </w:rPr>
        <w:t xml:space="preserve">, </w:t>
      </w:r>
      <w:r w:rsidRPr="00C8701B">
        <w:rPr>
          <w:rFonts w:eastAsia="Arial Unicode MS"/>
          <w:bCs/>
          <w:lang w:eastAsia="fr-FR" w:bidi="he-IL"/>
        </w:rPr>
        <w:t xml:space="preserve">les ressemblances et les divergences </w:t>
      </w:r>
      <w:r w:rsidRPr="00596154">
        <w:t>qui existent entre les trois premiers é</w:t>
      </w:r>
      <w:r w:rsidR="00596154" w:rsidRPr="00596154">
        <w:t>v</w:t>
      </w:r>
      <w:r w:rsidRPr="00596154">
        <w:t xml:space="preserve">angélistes. </w:t>
      </w:r>
      <w:r w:rsidR="00C2602D" w:rsidRPr="00596154">
        <w:t>« </w:t>
      </w:r>
      <w:r w:rsidRPr="00596154">
        <w:t>Puisant tous à une même source</w:t>
      </w:r>
      <w:r w:rsidR="00E65435" w:rsidRPr="00596154">
        <w:t xml:space="preserve">, </w:t>
      </w:r>
      <w:r w:rsidRPr="00C8701B">
        <w:rPr>
          <w:rFonts w:eastAsia="Arial Unicode MS"/>
          <w:bCs/>
          <w:lang w:eastAsia="fr-FR" w:bidi="he-IL"/>
        </w:rPr>
        <w:t>ils se ressemblent</w:t>
      </w:r>
      <w:r w:rsidR="00C2602D" w:rsidRPr="00C8701B">
        <w:rPr>
          <w:rFonts w:eastAsia="Arial Unicode MS"/>
          <w:bCs/>
          <w:lang w:eastAsia="fr-FR" w:bidi="he-IL"/>
        </w:rPr>
        <w:t> </w:t>
      </w:r>
      <w:r w:rsidR="007F6508">
        <w:rPr>
          <w:rFonts w:eastAsia="Arial Unicode MS"/>
          <w:bCs/>
          <w:lang w:eastAsia="fr-FR" w:bidi="he-IL"/>
        </w:rPr>
        <w:t xml:space="preserve">; </w:t>
      </w:r>
      <w:r w:rsidR="00A067B1" w:rsidRPr="000716BB">
        <w:rPr>
          <w:rFonts w:eastAsia="Arial Unicode MS"/>
          <w:bCs/>
          <w:lang w:eastAsia="fr-FR" w:bidi="he-IL"/>
        </w:rPr>
        <w:t>{</w:t>
      </w:r>
      <w:r w:rsidR="00A067B1">
        <w:rPr>
          <w:rFonts w:eastAsia="Arial Unicode MS"/>
          <w:bCs/>
          <w:lang w:eastAsia="fr-FR" w:bidi="he-IL"/>
        </w:rPr>
        <w:t>53</w:t>
      </w:r>
      <w:bookmarkStart w:id="87" w:name="pag053"/>
      <w:bookmarkEnd w:id="87"/>
      <w:r w:rsidR="00A067B1" w:rsidRPr="000716BB">
        <w:rPr>
          <w:rFonts w:eastAsia="Arial Unicode MS"/>
          <w:bCs/>
          <w:lang w:eastAsia="fr-FR" w:bidi="he-IL"/>
        </w:rPr>
        <w:t xml:space="preserve">} </w:t>
      </w:r>
      <w:r w:rsidR="00D62373">
        <w:rPr>
          <w:rFonts w:eastAsia="Arial Unicode MS"/>
          <w:bCs/>
          <w:lang w:eastAsia="fr-FR" w:bidi="he-IL"/>
        </w:rPr>
        <w:t>mais la source étant oral</w:t>
      </w:r>
      <w:r w:rsidRPr="00C8701B">
        <w:rPr>
          <w:rFonts w:eastAsia="Arial Unicode MS"/>
          <w:bCs/>
          <w:lang w:eastAsia="fr-FR" w:bidi="he-IL"/>
        </w:rPr>
        <w:t>e</w:t>
      </w:r>
      <w:r w:rsidR="00E65435">
        <w:rPr>
          <w:rFonts w:eastAsia="Arial Unicode MS"/>
          <w:bCs/>
          <w:lang w:eastAsia="fr-FR" w:bidi="he-IL"/>
        </w:rPr>
        <w:t xml:space="preserve">, </w:t>
      </w:r>
      <w:r w:rsidR="00596154">
        <w:rPr>
          <w:rFonts w:eastAsia="Arial Unicode MS"/>
          <w:bCs/>
          <w:lang w:eastAsia="fr-FR" w:bidi="he-IL"/>
        </w:rPr>
        <w:t>moin</w:t>
      </w:r>
      <w:r w:rsidRPr="00C8701B">
        <w:rPr>
          <w:rFonts w:eastAsia="Arial Unicode MS"/>
          <w:bCs/>
          <w:lang w:eastAsia="fr-FR" w:bidi="he-IL"/>
        </w:rPr>
        <w:t>s précise qu</w:t>
      </w:r>
      <w:r w:rsidR="00557DE0">
        <w:rPr>
          <w:rFonts w:eastAsia="Arial Unicode MS"/>
          <w:bCs/>
          <w:lang w:eastAsia="fr-FR" w:bidi="he-IL"/>
        </w:rPr>
        <w:t>’</w:t>
      </w:r>
      <w:r w:rsidRPr="00C8701B">
        <w:rPr>
          <w:rFonts w:eastAsia="Arial Unicode MS"/>
          <w:bCs/>
          <w:lang w:eastAsia="fr-FR" w:bidi="he-IL"/>
        </w:rPr>
        <w:t>un écrit</w:t>
      </w:r>
      <w:r w:rsidR="00E65435">
        <w:rPr>
          <w:rFonts w:eastAsia="Arial Unicode MS"/>
          <w:bCs/>
          <w:lang w:eastAsia="fr-FR" w:bidi="he-IL"/>
        </w:rPr>
        <w:t xml:space="preserve">, </w:t>
      </w:r>
      <w:r w:rsidRPr="00C8701B">
        <w:rPr>
          <w:rFonts w:eastAsia="Arial Unicode MS"/>
          <w:bCs/>
          <w:lang w:eastAsia="fr-FR" w:bidi="he-IL"/>
        </w:rPr>
        <w:t>plus d</w:t>
      </w:r>
      <w:r w:rsidR="00557DE0">
        <w:rPr>
          <w:rFonts w:eastAsia="Arial Unicode MS"/>
          <w:bCs/>
          <w:lang w:eastAsia="fr-FR" w:bidi="he-IL"/>
        </w:rPr>
        <w:t>’</w:t>
      </w:r>
      <w:r w:rsidRPr="00C8701B">
        <w:rPr>
          <w:rFonts w:eastAsia="Arial Unicode MS"/>
          <w:bCs/>
          <w:lang w:eastAsia="fr-FR" w:bidi="he-IL"/>
        </w:rPr>
        <w:t>une fois ils peuvent varier</w:t>
      </w:r>
      <w:r w:rsidR="00C2602D" w:rsidRPr="00C8701B">
        <w:rPr>
          <w:rFonts w:eastAsia="Arial Unicode MS"/>
          <w:bCs/>
          <w:lang w:eastAsia="fr-FR" w:bidi="he-IL"/>
        </w:rPr>
        <w:t> »</w:t>
      </w:r>
      <w:r w:rsidR="00933C60" w:rsidRPr="00C406FF">
        <w:rPr>
          <w:rStyle w:val="Appelnotedebasdep"/>
        </w:rPr>
        <w:footnoteReference w:id="283"/>
      </w:r>
      <w:r w:rsidRPr="00C8701B">
        <w:rPr>
          <w:rFonts w:eastAsia="Arial Unicode MS"/>
          <w:bCs/>
          <w:lang w:eastAsia="fr-FR" w:bidi="he-IL"/>
        </w:rPr>
        <w:t>. Harmonie dans le choix des matériaux</w:t>
      </w:r>
      <w:r w:rsidR="00E65435">
        <w:rPr>
          <w:rFonts w:eastAsia="Arial Unicode MS"/>
          <w:bCs/>
          <w:lang w:eastAsia="fr-FR" w:bidi="he-IL"/>
        </w:rPr>
        <w:t xml:space="preserve">, </w:t>
      </w:r>
      <w:r w:rsidRPr="00C8701B">
        <w:rPr>
          <w:rFonts w:eastAsia="Arial Unicode MS"/>
          <w:bCs/>
          <w:lang w:eastAsia="fr-FR" w:bidi="he-IL"/>
        </w:rPr>
        <w:t>dans leur arrangement général et particulier</w:t>
      </w:r>
      <w:r w:rsidR="00E65435">
        <w:rPr>
          <w:rFonts w:eastAsia="Arial Unicode MS"/>
          <w:bCs/>
          <w:lang w:eastAsia="fr-FR" w:bidi="he-IL"/>
        </w:rPr>
        <w:t xml:space="preserve">, </w:t>
      </w:r>
      <w:r w:rsidRPr="00C8701B">
        <w:rPr>
          <w:rFonts w:eastAsia="Arial Unicode MS"/>
          <w:bCs/>
          <w:lang w:eastAsia="fr-FR" w:bidi="he-IL"/>
        </w:rPr>
        <w:t>coïncidences verbales</w:t>
      </w:r>
      <w:r w:rsidR="00E65435">
        <w:rPr>
          <w:rFonts w:eastAsia="Arial Unicode MS"/>
          <w:bCs/>
          <w:lang w:eastAsia="fr-FR" w:bidi="he-IL"/>
        </w:rPr>
        <w:t xml:space="preserve">, </w:t>
      </w:r>
      <w:r w:rsidR="00596154">
        <w:rPr>
          <w:rFonts w:eastAsia="Arial Unicode MS"/>
          <w:bCs/>
          <w:lang w:eastAsia="fr-FR" w:bidi="he-IL"/>
        </w:rPr>
        <w:t>tou</w:t>
      </w:r>
      <w:r w:rsidRPr="00C8701B">
        <w:rPr>
          <w:rFonts w:eastAsia="Arial Unicode MS"/>
          <w:bCs/>
          <w:lang w:eastAsia="fr-FR" w:bidi="he-IL"/>
        </w:rPr>
        <w:t>t cela se conçoit très naturellement</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mais on comprend aussi les différences</w:t>
      </w:r>
      <w:r w:rsidR="00E65435">
        <w:rPr>
          <w:rFonts w:eastAsia="Arial Unicode MS"/>
          <w:bCs/>
          <w:lang w:eastAsia="fr-FR" w:bidi="he-IL"/>
        </w:rPr>
        <w:t xml:space="preserve">, </w:t>
      </w:r>
      <w:r w:rsidRPr="00C8701B">
        <w:rPr>
          <w:rFonts w:eastAsia="Arial Unicode MS"/>
          <w:bCs/>
          <w:lang w:eastAsia="fr-FR" w:bidi="he-IL"/>
        </w:rPr>
        <w:t>la catéchèse n</w:t>
      </w:r>
      <w:r w:rsidR="00557DE0">
        <w:rPr>
          <w:rFonts w:eastAsia="Arial Unicode MS"/>
          <w:bCs/>
          <w:lang w:eastAsia="fr-FR" w:bidi="he-IL"/>
        </w:rPr>
        <w:t>’</w:t>
      </w:r>
      <w:r w:rsidRPr="00C8701B">
        <w:rPr>
          <w:rFonts w:eastAsia="Arial Unicode MS"/>
          <w:bCs/>
          <w:lang w:eastAsia="fr-FR" w:bidi="he-IL"/>
        </w:rPr>
        <w:t>étant point partout absolument la même</w:t>
      </w:r>
      <w:r w:rsidR="00E65435">
        <w:rPr>
          <w:rFonts w:eastAsia="Arial Unicode MS"/>
          <w:bCs/>
          <w:lang w:eastAsia="fr-FR" w:bidi="he-IL"/>
        </w:rPr>
        <w:t xml:space="preserve">, </w:t>
      </w:r>
      <w:r w:rsidRPr="00C8701B">
        <w:rPr>
          <w:rFonts w:eastAsia="Arial Unicode MS"/>
          <w:bCs/>
          <w:lang w:eastAsia="fr-FR" w:bidi="he-IL"/>
        </w:rPr>
        <w:t>sans parler de l</w:t>
      </w:r>
      <w:r w:rsidR="00557DE0">
        <w:rPr>
          <w:rFonts w:eastAsia="Arial Unicode MS"/>
          <w:bCs/>
          <w:lang w:eastAsia="fr-FR" w:bidi="he-IL"/>
        </w:rPr>
        <w:t>’</w:t>
      </w:r>
      <w:r w:rsidRPr="00C8701B">
        <w:rPr>
          <w:rFonts w:eastAsia="Arial Unicode MS"/>
          <w:bCs/>
          <w:lang w:eastAsia="fr-FR" w:bidi="he-IL"/>
        </w:rPr>
        <w:t>individualité</w:t>
      </w:r>
      <w:r w:rsidR="00E65435">
        <w:rPr>
          <w:rFonts w:eastAsia="Arial Unicode MS"/>
          <w:bCs/>
          <w:lang w:eastAsia="fr-FR" w:bidi="he-IL"/>
        </w:rPr>
        <w:t xml:space="preserve">, </w:t>
      </w:r>
      <w:r w:rsidRPr="00C8701B">
        <w:rPr>
          <w:rFonts w:eastAsia="Arial Unicode MS"/>
          <w:bCs/>
          <w:lang w:eastAsia="fr-FR" w:bidi="he-IL"/>
        </w:rPr>
        <w:t>des écrivains.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La tradition orale</w:t>
      </w:r>
      <w:r w:rsidR="00E65435">
        <w:rPr>
          <w:rFonts w:eastAsia="Arial Unicode MS"/>
          <w:bCs/>
          <w:lang w:eastAsia="fr-FR" w:bidi="he-IL"/>
        </w:rPr>
        <w:t xml:space="preserve">, </w:t>
      </w:r>
      <w:r w:rsidRPr="00C8701B">
        <w:rPr>
          <w:rFonts w:eastAsia="Arial Unicode MS"/>
          <w:bCs/>
          <w:lang w:eastAsia="fr-FR" w:bidi="he-IL"/>
        </w:rPr>
        <w:t>tel fut donc</w:t>
      </w:r>
      <w:r w:rsidR="00E65435">
        <w:rPr>
          <w:rFonts w:eastAsia="Arial Unicode MS"/>
          <w:bCs/>
          <w:lang w:eastAsia="fr-FR" w:bidi="he-IL"/>
        </w:rPr>
        <w:t xml:space="preserve">, </w:t>
      </w:r>
      <w:r w:rsidRPr="00C8701B">
        <w:rPr>
          <w:rFonts w:eastAsia="Arial Unicode MS"/>
          <w:bCs/>
          <w:lang w:eastAsia="fr-FR" w:bidi="he-IL"/>
        </w:rPr>
        <w:t>selon toute vraisemblance</w:t>
      </w:r>
      <w:r w:rsidR="00E65435">
        <w:rPr>
          <w:rFonts w:eastAsia="Arial Unicode MS"/>
          <w:bCs/>
          <w:lang w:eastAsia="fr-FR" w:bidi="he-IL"/>
        </w:rPr>
        <w:t xml:space="preserve">, </w:t>
      </w:r>
      <w:r w:rsidRPr="00C8701B">
        <w:rPr>
          <w:rFonts w:eastAsia="Arial Unicode MS"/>
          <w:bCs/>
          <w:lang w:eastAsia="fr-FR" w:bidi="he-IL"/>
        </w:rPr>
        <w:t>le noyau pr</w:t>
      </w:r>
      <w:r w:rsidR="00596154">
        <w:rPr>
          <w:rFonts w:eastAsia="Arial Unicode MS"/>
          <w:bCs/>
          <w:lang w:eastAsia="fr-FR" w:bidi="he-IL"/>
        </w:rPr>
        <w:t>im</w:t>
      </w:r>
      <w:r w:rsidRPr="00C8701B">
        <w:rPr>
          <w:rFonts w:eastAsia="Arial Unicode MS"/>
          <w:bCs/>
          <w:lang w:eastAsia="fr-FR" w:bidi="he-IL"/>
        </w:rPr>
        <w:t>itif des évangiles synoptiques. Toutefois</w:t>
      </w:r>
      <w:r w:rsidR="00E65435">
        <w:rPr>
          <w:rFonts w:eastAsia="Arial Unicode MS"/>
          <w:bCs/>
          <w:lang w:eastAsia="fr-FR" w:bidi="he-IL"/>
        </w:rPr>
        <w:t xml:space="preserve">, </w:t>
      </w:r>
      <w:r w:rsidRPr="00C8701B">
        <w:rPr>
          <w:rFonts w:eastAsia="Arial Unicode MS"/>
          <w:bCs/>
          <w:lang w:eastAsia="fr-FR" w:bidi="he-IL"/>
        </w:rPr>
        <w:t>nous n</w:t>
      </w:r>
      <w:r w:rsidR="00557DE0">
        <w:rPr>
          <w:rFonts w:eastAsia="Arial Unicode MS"/>
          <w:bCs/>
          <w:lang w:eastAsia="fr-FR" w:bidi="he-IL"/>
        </w:rPr>
        <w:t>’</w:t>
      </w:r>
      <w:r w:rsidRPr="00C8701B">
        <w:rPr>
          <w:rFonts w:eastAsia="Arial Unicode MS"/>
          <w:bCs/>
          <w:lang w:eastAsia="fr-FR" w:bidi="he-IL"/>
        </w:rPr>
        <w:t>embrassons pas ce système d</w:t>
      </w:r>
      <w:r w:rsidR="00557DE0">
        <w:rPr>
          <w:rFonts w:eastAsia="Arial Unicode MS"/>
          <w:bCs/>
          <w:lang w:eastAsia="fr-FR" w:bidi="he-IL"/>
        </w:rPr>
        <w:t>’</w:t>
      </w:r>
      <w:r w:rsidRPr="00C8701B">
        <w:rPr>
          <w:rFonts w:eastAsia="Arial Unicode MS"/>
          <w:bCs/>
          <w:lang w:eastAsia="fr-FR" w:bidi="he-IL"/>
        </w:rPr>
        <w:t>une manière exclusive. En lui donnant la part principale</w:t>
      </w:r>
      <w:r w:rsidR="00E65435">
        <w:rPr>
          <w:rFonts w:eastAsia="Arial Unicode MS"/>
          <w:bCs/>
          <w:lang w:eastAsia="fr-FR" w:bidi="he-IL"/>
        </w:rPr>
        <w:t xml:space="preserve">, </w:t>
      </w:r>
      <w:r w:rsidRPr="00C8701B">
        <w:rPr>
          <w:rFonts w:eastAsia="Arial Unicode MS"/>
          <w:bCs/>
          <w:lang w:eastAsia="fr-FR" w:bidi="he-IL"/>
        </w:rPr>
        <w:t>nous ne saurions exclure</w:t>
      </w:r>
      <w:r w:rsidR="00E65435">
        <w:rPr>
          <w:rFonts w:eastAsia="Arial Unicode MS"/>
          <w:bCs/>
          <w:lang w:eastAsia="fr-FR" w:bidi="he-IL"/>
        </w:rPr>
        <w:t xml:space="preserve">, </w:t>
      </w:r>
      <w:r w:rsidRPr="00C8701B">
        <w:rPr>
          <w:rFonts w:eastAsia="Arial Unicode MS"/>
          <w:bCs/>
          <w:lang w:eastAsia="fr-FR" w:bidi="he-IL"/>
        </w:rPr>
        <w:t>dans une certaine mesure</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emploi des documents écrits. S. Luc semble affirmer qu</w:t>
      </w:r>
      <w:r w:rsidR="00557DE0">
        <w:rPr>
          <w:rFonts w:eastAsia="Arial Unicode MS"/>
          <w:bCs/>
          <w:lang w:eastAsia="fr-FR" w:bidi="he-IL"/>
        </w:rPr>
        <w:t>’</w:t>
      </w:r>
      <w:r w:rsidR="00596154">
        <w:rPr>
          <w:rFonts w:eastAsia="Arial Unicode MS"/>
          <w:bCs/>
          <w:lang w:eastAsia="fr-FR" w:bidi="he-IL"/>
        </w:rPr>
        <w:t xml:space="preserve">il a eu recours à des sources </w:t>
      </w:r>
      <w:r w:rsidRPr="00C8701B">
        <w:rPr>
          <w:rFonts w:eastAsia="Arial Unicode MS"/>
          <w:bCs/>
          <w:lang w:eastAsia="fr-FR" w:bidi="he-IL"/>
        </w:rPr>
        <w:t>de ce genre pour composer sa narration</w:t>
      </w:r>
      <w:r w:rsidR="00C2602D" w:rsidRPr="00C8701B">
        <w:rPr>
          <w:rFonts w:eastAsia="Arial Unicode MS"/>
          <w:bCs/>
          <w:lang w:eastAsia="fr-FR" w:bidi="he-IL"/>
        </w:rPr>
        <w:t> :</w:t>
      </w:r>
      <w:r w:rsidRPr="00DC4586">
        <w:rPr>
          <w:rStyle w:val="italicus"/>
        </w:rPr>
        <w:t xml:space="preserve"> </w:t>
      </w:r>
      <w:r w:rsidR="00596154" w:rsidRPr="00DC4586">
        <w:rPr>
          <w:rStyle w:val="italicus"/>
        </w:rPr>
        <w:t>Quóniam</w:t>
      </w:r>
      <w:r w:rsidR="00596154">
        <w:rPr>
          <w:rStyle w:val="italicus"/>
        </w:rPr>
        <w:t xml:space="preserve"> quidem m</w:t>
      </w:r>
      <w:r w:rsidRPr="00DC4586">
        <w:rPr>
          <w:rStyle w:val="italicus"/>
        </w:rPr>
        <w:t xml:space="preserve">ulti </w:t>
      </w:r>
      <w:r w:rsidR="00596154" w:rsidRPr="00DC4586">
        <w:rPr>
          <w:rStyle w:val="italicus"/>
        </w:rPr>
        <w:t>conáti</w:t>
      </w:r>
      <w:r w:rsidRPr="00DC4586">
        <w:rPr>
          <w:rStyle w:val="italicus"/>
        </w:rPr>
        <w:t xml:space="preserve"> sunt </w:t>
      </w:r>
      <w:r w:rsidR="00596154" w:rsidRPr="00DC4586">
        <w:rPr>
          <w:rStyle w:val="italicus"/>
        </w:rPr>
        <w:t>ordináre</w:t>
      </w:r>
      <w:r w:rsidRPr="00DC4586">
        <w:rPr>
          <w:rStyle w:val="italicus"/>
        </w:rPr>
        <w:t xml:space="preserve"> narrat</w:t>
      </w:r>
      <w:r w:rsidR="000B732C">
        <w:rPr>
          <w:rStyle w:val="italicus"/>
        </w:rPr>
        <w:t>iónem</w:t>
      </w:r>
      <w:r w:rsidR="00E65435">
        <w:rPr>
          <w:rStyle w:val="italicus"/>
        </w:rPr>
        <w:t xml:space="preserve">, </w:t>
      </w:r>
      <w:r w:rsidRPr="00DC4586">
        <w:rPr>
          <w:rStyle w:val="italicus"/>
        </w:rPr>
        <w:t>qu</w:t>
      </w:r>
      <w:r w:rsidR="0037178C">
        <w:rPr>
          <w:rStyle w:val="italicus"/>
        </w:rPr>
        <w:t>æ</w:t>
      </w:r>
      <w:r w:rsidR="00596154">
        <w:rPr>
          <w:rStyle w:val="italicus"/>
        </w:rPr>
        <w:t xml:space="preserve"> in nobis complétæ</w:t>
      </w:r>
      <w:r w:rsidRPr="00DC4586">
        <w:rPr>
          <w:rStyle w:val="italicus"/>
        </w:rPr>
        <w:t xml:space="preserve"> sunt rerum</w:t>
      </w:r>
      <w:r w:rsidR="00933C60" w:rsidRPr="00C406FF">
        <w:rPr>
          <w:rStyle w:val="Appelnotedebasdep"/>
        </w:rPr>
        <w:footnoteReference w:id="284"/>
      </w:r>
      <w:r w:rsidRPr="00C8701B">
        <w:rPr>
          <w:rFonts w:eastAsia="Arial Unicode MS"/>
          <w:bCs/>
          <w:lang w:eastAsia="fr-FR" w:bidi="he-IL"/>
        </w:rPr>
        <w:t>. Du reste</w:t>
      </w:r>
      <w:r w:rsidR="00E65435">
        <w:rPr>
          <w:rFonts w:eastAsia="Arial Unicode MS"/>
          <w:bCs/>
          <w:lang w:eastAsia="fr-FR" w:bidi="he-IL"/>
        </w:rPr>
        <w:t xml:space="preserve">, </w:t>
      </w:r>
      <w:r w:rsidRPr="00C8701B">
        <w:rPr>
          <w:rFonts w:eastAsia="Arial Unicode MS"/>
          <w:bCs/>
          <w:lang w:eastAsia="fr-FR" w:bidi="he-IL"/>
        </w:rPr>
        <w:t>il était difficile d</w:t>
      </w:r>
      <w:r w:rsidR="00557DE0">
        <w:rPr>
          <w:rFonts w:eastAsia="Arial Unicode MS"/>
          <w:bCs/>
          <w:lang w:eastAsia="fr-FR" w:bidi="he-IL"/>
        </w:rPr>
        <w:t>’</w:t>
      </w:r>
      <w:r w:rsidRPr="00C8701B">
        <w:rPr>
          <w:rFonts w:eastAsia="Arial Unicode MS"/>
          <w:bCs/>
          <w:lang w:eastAsia="fr-FR" w:bidi="he-IL"/>
        </w:rPr>
        <w:t>exposer certains détails</w:t>
      </w:r>
      <w:r w:rsidR="00E65435">
        <w:rPr>
          <w:rFonts w:eastAsia="Arial Unicode MS"/>
          <w:bCs/>
          <w:lang w:eastAsia="fr-FR" w:bidi="he-IL"/>
        </w:rPr>
        <w:t xml:space="preserve">, </w:t>
      </w:r>
      <w:r w:rsidRPr="00C8701B">
        <w:rPr>
          <w:rFonts w:eastAsia="Arial Unicode MS"/>
          <w:bCs/>
          <w:lang w:eastAsia="fr-FR" w:bidi="he-IL"/>
        </w:rPr>
        <w:t>comme les généalogies</w:t>
      </w:r>
      <w:r w:rsidR="00933C60" w:rsidRPr="00C406FF">
        <w:rPr>
          <w:rStyle w:val="Appelnotedebasdep"/>
        </w:rPr>
        <w:footnoteReference w:id="285"/>
      </w:r>
      <w:r w:rsidR="00E65435">
        <w:rPr>
          <w:rFonts w:eastAsia="Arial Unicode MS"/>
          <w:bCs/>
          <w:lang w:eastAsia="fr-FR" w:bidi="he-IL"/>
        </w:rPr>
        <w:t xml:space="preserve">, </w:t>
      </w:r>
      <w:r w:rsidRPr="00C8701B">
        <w:rPr>
          <w:rFonts w:eastAsia="Arial Unicode MS"/>
          <w:bCs/>
          <w:lang w:eastAsia="fr-FR" w:bidi="he-IL"/>
        </w:rPr>
        <w:t>sans avoir sous les yeux des documents en quelque sorte officiels. Peut-être aussi S. Luc</w:t>
      </w:r>
      <w:r w:rsidR="00E65435">
        <w:rPr>
          <w:rFonts w:eastAsia="Arial Unicode MS"/>
          <w:bCs/>
          <w:lang w:eastAsia="fr-FR" w:bidi="he-IL"/>
        </w:rPr>
        <w:t xml:space="preserve">, </w:t>
      </w:r>
      <w:r w:rsidRPr="00C8701B">
        <w:rPr>
          <w:rFonts w:eastAsia="Arial Unicode MS"/>
          <w:bCs/>
          <w:lang w:eastAsia="fr-FR" w:bidi="he-IL"/>
        </w:rPr>
        <w:t>venu en dernier lieu</w:t>
      </w:r>
      <w:r w:rsidR="00E65435">
        <w:rPr>
          <w:rFonts w:eastAsia="Arial Unicode MS"/>
          <w:bCs/>
          <w:lang w:eastAsia="fr-FR" w:bidi="he-IL"/>
        </w:rPr>
        <w:t xml:space="preserve">, </w:t>
      </w:r>
      <w:r w:rsidRPr="00C8701B">
        <w:rPr>
          <w:rFonts w:eastAsia="Arial Unicode MS"/>
          <w:bCs/>
          <w:lang w:eastAsia="fr-FR" w:bidi="he-IL"/>
        </w:rPr>
        <w:t>aura-t-il fait un usage</w:t>
      </w:r>
      <w:r w:rsidR="00E65435">
        <w:rPr>
          <w:rFonts w:eastAsia="Arial Unicode MS"/>
          <w:bCs/>
          <w:lang w:eastAsia="fr-FR" w:bidi="he-IL"/>
        </w:rPr>
        <w:t xml:space="preserve">, </w:t>
      </w:r>
      <w:r w:rsidRPr="00C8701B">
        <w:rPr>
          <w:rFonts w:eastAsia="Arial Unicode MS"/>
          <w:bCs/>
          <w:lang w:eastAsia="fr-FR" w:bidi="he-IL"/>
        </w:rPr>
        <w:t>mais très modéré</w:t>
      </w:r>
      <w:r w:rsidR="00E65435">
        <w:rPr>
          <w:rFonts w:eastAsia="Arial Unicode MS"/>
          <w:bCs/>
          <w:lang w:eastAsia="fr-FR" w:bidi="he-IL"/>
        </w:rPr>
        <w:t xml:space="preserve">, </w:t>
      </w:r>
      <w:r w:rsidRPr="00C8701B">
        <w:rPr>
          <w:rFonts w:eastAsia="Arial Unicode MS"/>
          <w:bCs/>
          <w:lang w:eastAsia="fr-FR" w:bidi="he-IL"/>
        </w:rPr>
        <w:t>des œuvres de ses devanciers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de même que S. Marc a pu avoir entre ses mains l</w:t>
      </w:r>
      <w:r w:rsidR="00557DE0">
        <w:rPr>
          <w:rFonts w:eastAsia="Arial Unicode MS"/>
          <w:bCs/>
          <w:lang w:eastAsia="fr-FR" w:bidi="he-IL"/>
        </w:rPr>
        <w:t>’</w:t>
      </w:r>
      <w:r w:rsidRPr="00C8701B">
        <w:rPr>
          <w:rFonts w:eastAsia="Arial Unicode MS"/>
          <w:bCs/>
          <w:lang w:eastAsia="fr-FR" w:bidi="he-IL"/>
        </w:rPr>
        <w:t>évangile selon S. Matthieu.</w:t>
      </w:r>
      <w:r w:rsidR="00C2602D" w:rsidRPr="00C8701B">
        <w:rPr>
          <w:rFonts w:eastAsia="Arial Unicode MS"/>
          <w:bCs/>
          <w:lang w:eastAsia="fr-FR" w:bidi="he-IL"/>
        </w:rPr>
        <w:t xml:space="preserve"> </w:t>
      </w:r>
    </w:p>
    <w:p w:rsidR="00C2602D" w:rsidRPr="00C8701B" w:rsidRDefault="00B704AD" w:rsidP="00596154">
      <w:pPr>
        <w:pStyle w:val="Titre5"/>
        <w:rPr>
          <w:lang w:bidi="he-IL"/>
        </w:rPr>
      </w:pPr>
      <w:r w:rsidRPr="00C8701B">
        <w:rPr>
          <w:lang w:bidi="he-IL"/>
        </w:rPr>
        <w:t>III.</w:t>
      </w:r>
      <w:r w:rsidR="000F7DAA">
        <w:rPr>
          <w:lang w:bidi="he-IL"/>
        </w:rPr>
        <w:t xml:space="preserve"> —</w:t>
      </w:r>
      <w:r w:rsidR="008D0642">
        <w:rPr>
          <w:lang w:bidi="he-IL"/>
        </w:rPr>
        <w:t xml:space="preserve"> </w:t>
      </w:r>
      <w:r w:rsidR="001A4F8D">
        <w:rPr>
          <w:lang w:bidi="he-IL"/>
        </w:rPr>
        <w:t>Les rapports du</w:t>
      </w:r>
      <w:r w:rsidR="001A4F8D" w:rsidRPr="00C8701B">
        <w:rPr>
          <w:lang w:bidi="he-IL"/>
        </w:rPr>
        <w:t xml:space="preserve"> quatrième Évangile avec les trois premiers.</w:t>
      </w:r>
      <w:bookmarkStart w:id="88" w:name="evin0703"/>
      <w:bookmarkEnd w:id="88"/>
      <w:r w:rsidR="001A4F8D" w:rsidRPr="00C8701B">
        <w:rPr>
          <w:lang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Ici</w:t>
      </w:r>
      <w:r w:rsidR="00E65435">
        <w:rPr>
          <w:rFonts w:eastAsia="Arial Unicode MS"/>
          <w:bCs/>
          <w:lang w:eastAsia="fr-FR" w:bidi="he-IL"/>
        </w:rPr>
        <w:t xml:space="preserve">, </w:t>
      </w:r>
      <w:r w:rsidRPr="00C8701B">
        <w:rPr>
          <w:rFonts w:eastAsia="Arial Unicode MS"/>
          <w:bCs/>
          <w:lang w:eastAsia="fr-FR" w:bidi="he-IL"/>
        </w:rPr>
        <w:t>l</w:t>
      </w:r>
      <w:r w:rsidR="00596154">
        <w:rPr>
          <w:rFonts w:eastAsia="Arial Unicode MS"/>
          <w:bCs/>
          <w:lang w:eastAsia="fr-FR" w:bidi="he-IL"/>
        </w:rPr>
        <w:t>e p</w:t>
      </w:r>
      <w:r w:rsidRPr="00C8701B">
        <w:rPr>
          <w:rFonts w:eastAsia="Arial Unicode MS"/>
          <w:bCs/>
          <w:lang w:eastAsia="fr-FR" w:bidi="he-IL"/>
        </w:rPr>
        <w:t>roblème change de forme</w:t>
      </w:r>
      <w:r w:rsidR="00E65435">
        <w:rPr>
          <w:rFonts w:eastAsia="Arial Unicode MS"/>
          <w:bCs/>
          <w:lang w:eastAsia="fr-FR" w:bidi="he-IL"/>
        </w:rPr>
        <w:t xml:space="preserve">, </w:t>
      </w:r>
      <w:r w:rsidRPr="00C8701B">
        <w:rPr>
          <w:rFonts w:eastAsia="Arial Unicode MS"/>
          <w:bCs/>
          <w:lang w:eastAsia="fr-FR" w:bidi="he-IL"/>
        </w:rPr>
        <w:t>et la question est beaucoup moins compliquée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car</w:t>
      </w:r>
      <w:r w:rsidR="00E65435">
        <w:rPr>
          <w:rFonts w:eastAsia="Arial Unicode MS"/>
          <w:bCs/>
          <w:lang w:eastAsia="fr-FR" w:bidi="he-IL"/>
        </w:rPr>
        <w:t xml:space="preserve">, </w:t>
      </w:r>
      <w:r w:rsidRPr="00C8701B">
        <w:rPr>
          <w:rFonts w:eastAsia="Arial Unicode MS"/>
          <w:bCs/>
          <w:lang w:eastAsia="fr-FR" w:bidi="he-IL"/>
        </w:rPr>
        <w:t>à vrai dire</w:t>
      </w:r>
      <w:r w:rsidR="00E65435">
        <w:rPr>
          <w:rFonts w:eastAsia="Arial Unicode MS"/>
          <w:bCs/>
          <w:lang w:eastAsia="fr-FR" w:bidi="he-IL"/>
        </w:rPr>
        <w:t xml:space="preserve">, </w:t>
      </w:r>
      <w:r w:rsidRPr="00C8701B">
        <w:rPr>
          <w:rFonts w:eastAsia="Arial Unicode MS"/>
          <w:bCs/>
          <w:lang w:eastAsia="fr-FR" w:bidi="he-IL"/>
        </w:rPr>
        <w:t>le quatrième évangile est seul de son espèce</w:t>
      </w:r>
      <w:r w:rsidR="00E65435">
        <w:rPr>
          <w:rFonts w:eastAsia="Arial Unicode MS"/>
          <w:bCs/>
          <w:lang w:eastAsia="fr-FR" w:bidi="he-IL"/>
        </w:rPr>
        <w:t xml:space="preserve">, </w:t>
      </w:r>
      <w:r w:rsidRPr="00C8701B">
        <w:rPr>
          <w:rFonts w:eastAsia="Arial Unicode MS"/>
          <w:bCs/>
          <w:lang w:eastAsia="fr-FR" w:bidi="he-IL"/>
        </w:rPr>
        <w:t>et ne ressemble à aucun des trois premiers.</w:t>
      </w:r>
      <w:r w:rsidR="00C2602D" w:rsidRPr="00C8701B">
        <w:rPr>
          <w:rFonts w:eastAsia="Arial Unicode MS"/>
          <w:bCs/>
          <w:lang w:eastAsia="fr-FR" w:bidi="he-IL"/>
        </w:rPr>
        <w:t xml:space="preserve"> </w:t>
      </w:r>
    </w:p>
    <w:p w:rsidR="00C2602D" w:rsidRPr="00C8701B" w:rsidRDefault="00C2602D" w:rsidP="00C2602D">
      <w:pPr>
        <w:rPr>
          <w:rFonts w:eastAsia="Arial Unicode MS"/>
          <w:bCs/>
          <w:lang w:eastAsia="fr-FR" w:bidi="he-IL"/>
        </w:rPr>
      </w:pPr>
      <w:r w:rsidRPr="00C8701B">
        <w:rPr>
          <w:rFonts w:eastAsia="Arial Unicode MS"/>
          <w:bCs/>
          <w:lang w:eastAsia="fr-FR" w:bidi="he-IL"/>
        </w:rPr>
        <w:t>« </w:t>
      </w:r>
      <w:r w:rsidR="00B704AD" w:rsidRPr="00C8701B">
        <w:rPr>
          <w:rFonts w:eastAsia="Arial Unicode MS"/>
          <w:bCs/>
          <w:lang w:eastAsia="fr-FR" w:bidi="he-IL"/>
        </w:rPr>
        <w:t>Il est impossible</w:t>
      </w:r>
      <w:r w:rsidR="00E65435">
        <w:rPr>
          <w:rFonts w:eastAsia="Arial Unicode MS"/>
          <w:bCs/>
          <w:lang w:eastAsia="fr-FR" w:bidi="he-IL"/>
        </w:rPr>
        <w:t xml:space="preserve">, </w:t>
      </w:r>
      <w:r w:rsidR="00B704AD" w:rsidRPr="00C8701B">
        <w:rPr>
          <w:rFonts w:eastAsia="Arial Unicode MS"/>
          <w:bCs/>
          <w:lang w:eastAsia="fr-FR" w:bidi="he-IL"/>
        </w:rPr>
        <w:t>dit M. Westcott</w:t>
      </w:r>
      <w:r w:rsidR="00933C60" w:rsidRPr="00C406FF">
        <w:rPr>
          <w:rStyle w:val="Appelnotedebasdep"/>
        </w:rPr>
        <w:footnoteReference w:id="286"/>
      </w:r>
      <w:r w:rsidR="00E65435">
        <w:rPr>
          <w:rFonts w:eastAsia="Arial Unicode MS"/>
          <w:bCs/>
          <w:lang w:eastAsia="fr-FR" w:bidi="he-IL"/>
        </w:rPr>
        <w:t xml:space="preserve">, </w:t>
      </w:r>
      <w:r w:rsidR="00B704AD" w:rsidRPr="00C8701B">
        <w:rPr>
          <w:rFonts w:eastAsia="Arial Unicode MS"/>
          <w:bCs/>
          <w:lang w:eastAsia="fr-FR" w:bidi="he-IL"/>
        </w:rPr>
        <w:t>de passer des évangiles synoptiques à celui de S. Jean</w:t>
      </w:r>
      <w:r w:rsidR="00E65435">
        <w:rPr>
          <w:rFonts w:eastAsia="Arial Unicode MS"/>
          <w:bCs/>
          <w:lang w:eastAsia="fr-FR" w:bidi="he-IL"/>
        </w:rPr>
        <w:t xml:space="preserve">, </w:t>
      </w:r>
      <w:r w:rsidR="00B704AD" w:rsidRPr="00C8701B">
        <w:rPr>
          <w:rFonts w:eastAsia="Arial Unicode MS"/>
          <w:bCs/>
          <w:lang w:eastAsia="fr-FR" w:bidi="he-IL"/>
        </w:rPr>
        <w:t>sans s</w:t>
      </w:r>
      <w:r w:rsidR="00557DE0">
        <w:rPr>
          <w:rFonts w:eastAsia="Arial Unicode MS"/>
          <w:bCs/>
          <w:lang w:eastAsia="fr-FR" w:bidi="he-IL"/>
        </w:rPr>
        <w:t>’</w:t>
      </w:r>
      <w:r w:rsidR="00B704AD" w:rsidRPr="00C8701B">
        <w:rPr>
          <w:rFonts w:eastAsia="Arial Unicode MS"/>
          <w:bCs/>
          <w:lang w:eastAsia="fr-FR" w:bidi="he-IL"/>
        </w:rPr>
        <w:t xml:space="preserve">apercevoir que cette transition </w:t>
      </w:r>
      <w:r w:rsidR="00CD3C57">
        <w:rPr>
          <w:rFonts w:eastAsia="Arial Unicode MS"/>
          <w:bCs/>
          <w:lang w:eastAsia="fr-FR" w:bidi="he-IL"/>
        </w:rPr>
        <w:t>implique le</w:t>
      </w:r>
      <w:r w:rsidR="00B704AD" w:rsidRPr="00C8701B">
        <w:rPr>
          <w:rFonts w:eastAsia="Arial Unicode MS"/>
          <w:bCs/>
          <w:lang w:eastAsia="fr-FR" w:bidi="he-IL"/>
        </w:rPr>
        <w:t xml:space="preserve"> passage d</w:t>
      </w:r>
      <w:r w:rsidR="00557DE0">
        <w:rPr>
          <w:rFonts w:eastAsia="Arial Unicode MS"/>
          <w:bCs/>
          <w:lang w:eastAsia="fr-FR" w:bidi="he-IL"/>
        </w:rPr>
        <w:t>’</w:t>
      </w:r>
      <w:r w:rsidR="00B704AD" w:rsidRPr="00C8701B">
        <w:rPr>
          <w:rFonts w:eastAsia="Arial Unicode MS"/>
          <w:bCs/>
          <w:lang w:eastAsia="fr-FR" w:bidi="he-IL"/>
        </w:rPr>
        <w:t>un monde de la pensée à un autre monde. Pour faire</w:t>
      </w:r>
      <w:r w:rsidR="00CD3C57">
        <w:rPr>
          <w:rFonts w:eastAsia="Arial Unicode MS"/>
          <w:bCs/>
          <w:lang w:eastAsia="fr-FR" w:bidi="he-IL"/>
        </w:rPr>
        <w:t xml:space="preserve"> </w:t>
      </w:r>
      <w:r w:rsidR="00B704AD" w:rsidRPr="00C8701B">
        <w:rPr>
          <w:rFonts w:eastAsia="Arial Unicode MS"/>
          <w:bCs/>
          <w:lang w:eastAsia="fr-FR" w:bidi="he-IL"/>
        </w:rPr>
        <w:t>disparaître le contraste qui existe</w:t>
      </w:r>
      <w:r w:rsidR="00E65435">
        <w:rPr>
          <w:rFonts w:eastAsia="Arial Unicode MS"/>
          <w:bCs/>
          <w:lang w:eastAsia="fr-FR" w:bidi="he-IL"/>
        </w:rPr>
        <w:t xml:space="preserve">, </w:t>
      </w:r>
      <w:r w:rsidR="00B704AD" w:rsidRPr="00C8701B">
        <w:rPr>
          <w:rFonts w:eastAsia="Arial Unicode MS"/>
          <w:bCs/>
          <w:lang w:eastAsia="fr-FR" w:bidi="he-IL"/>
        </w:rPr>
        <w:t>soit pour la forme</w:t>
      </w:r>
      <w:r w:rsidR="00E65435">
        <w:rPr>
          <w:rFonts w:eastAsia="Arial Unicode MS"/>
          <w:bCs/>
          <w:lang w:eastAsia="fr-FR" w:bidi="he-IL"/>
        </w:rPr>
        <w:t xml:space="preserve">, </w:t>
      </w:r>
      <w:r w:rsidR="00B704AD" w:rsidRPr="00C8701B">
        <w:rPr>
          <w:rFonts w:eastAsia="Arial Unicode MS"/>
          <w:bCs/>
          <w:lang w:eastAsia="fr-FR" w:bidi="he-IL"/>
        </w:rPr>
        <w:t>soit pour l</w:t>
      </w:r>
      <w:r w:rsidR="00557DE0">
        <w:rPr>
          <w:rFonts w:eastAsia="Arial Unicode MS"/>
          <w:bCs/>
          <w:lang w:eastAsia="fr-FR" w:bidi="he-IL"/>
        </w:rPr>
        <w:t>’</w:t>
      </w:r>
      <w:r w:rsidR="00B704AD" w:rsidRPr="00C8701B">
        <w:rPr>
          <w:rFonts w:eastAsia="Arial Unicode MS"/>
          <w:bCs/>
          <w:lang w:eastAsia="fr-FR" w:bidi="he-IL"/>
        </w:rPr>
        <w:t>esprit</w:t>
      </w:r>
      <w:r w:rsidR="00E65435">
        <w:rPr>
          <w:rFonts w:eastAsia="Arial Unicode MS"/>
          <w:bCs/>
          <w:lang w:eastAsia="fr-FR" w:bidi="he-IL"/>
        </w:rPr>
        <w:t xml:space="preserve">, </w:t>
      </w:r>
      <w:r w:rsidR="00B704AD" w:rsidRPr="00C8701B">
        <w:rPr>
          <w:rFonts w:eastAsia="Arial Unicode MS"/>
          <w:bCs/>
          <w:lang w:eastAsia="fr-FR" w:bidi="he-IL"/>
        </w:rPr>
        <w:t>entre les premières narrations et la dernière</w:t>
      </w:r>
      <w:r w:rsidR="00E65435">
        <w:rPr>
          <w:rFonts w:eastAsia="Arial Unicode MS"/>
          <w:bCs/>
          <w:lang w:eastAsia="fr-FR" w:bidi="he-IL"/>
        </w:rPr>
        <w:t xml:space="preserve">, </w:t>
      </w:r>
      <w:r w:rsidR="00B704AD" w:rsidRPr="00C8701B">
        <w:rPr>
          <w:rFonts w:eastAsia="Arial Unicode MS"/>
          <w:bCs/>
          <w:lang w:eastAsia="fr-FR" w:bidi="he-IL"/>
        </w:rPr>
        <w:t>il ne suffit ni d</w:t>
      </w:r>
      <w:r w:rsidR="00557DE0">
        <w:rPr>
          <w:rFonts w:eastAsia="Arial Unicode MS"/>
          <w:bCs/>
          <w:lang w:eastAsia="fr-FR" w:bidi="he-IL"/>
        </w:rPr>
        <w:t>’</w:t>
      </w:r>
      <w:r w:rsidR="00B704AD" w:rsidRPr="00C8701B">
        <w:rPr>
          <w:rFonts w:eastAsia="Arial Unicode MS"/>
          <w:bCs/>
          <w:lang w:eastAsia="fr-FR" w:bidi="he-IL"/>
        </w:rPr>
        <w:t>être familiarisé avec l</w:t>
      </w:r>
      <w:r w:rsidR="00557DE0">
        <w:rPr>
          <w:rFonts w:eastAsia="Arial Unicode MS"/>
          <w:bCs/>
          <w:lang w:eastAsia="fr-FR" w:bidi="he-IL"/>
        </w:rPr>
        <w:t>’</w:t>
      </w:r>
      <w:r w:rsidR="00B704AD" w:rsidRPr="00C8701B">
        <w:rPr>
          <w:rFonts w:eastAsia="Arial Unicode MS"/>
          <w:bCs/>
          <w:lang w:eastAsia="fr-FR" w:bidi="he-IL"/>
        </w:rPr>
        <w:t>enseignement général des évangiles</w:t>
      </w:r>
      <w:r w:rsidR="00E65435">
        <w:rPr>
          <w:rFonts w:eastAsia="Arial Unicode MS"/>
          <w:bCs/>
          <w:lang w:eastAsia="fr-FR" w:bidi="he-IL"/>
        </w:rPr>
        <w:t xml:space="preserve">, </w:t>
      </w:r>
      <w:r w:rsidR="00B704AD" w:rsidRPr="00C8701B">
        <w:rPr>
          <w:rFonts w:eastAsia="Arial Unicode MS"/>
          <w:bCs/>
          <w:lang w:eastAsia="fr-FR" w:bidi="he-IL"/>
        </w:rPr>
        <w:t>ni de posséder une large conception du caractère du Sauveur. La reconnaissance pleine et entière</w:t>
      </w:r>
      <w:r w:rsidR="00A52BCA">
        <w:rPr>
          <w:rFonts w:eastAsia="Arial Unicode MS"/>
          <w:bCs/>
          <w:lang w:eastAsia="fr-FR" w:bidi="he-IL"/>
        </w:rPr>
        <w:t xml:space="preserve"> de </w:t>
      </w:r>
      <w:r w:rsidR="00B704AD" w:rsidRPr="00C8701B">
        <w:rPr>
          <w:rFonts w:eastAsia="Arial Unicode MS"/>
          <w:bCs/>
          <w:lang w:eastAsia="fr-FR" w:bidi="he-IL"/>
        </w:rPr>
        <w:t>ce contraste est la première condition requise pour comprendre l</w:t>
      </w:r>
      <w:r w:rsidR="00557DE0">
        <w:rPr>
          <w:rFonts w:eastAsia="Arial Unicode MS"/>
          <w:bCs/>
          <w:lang w:eastAsia="fr-FR" w:bidi="he-IL"/>
        </w:rPr>
        <w:t>’</w:t>
      </w:r>
      <w:r w:rsidR="00B704AD" w:rsidRPr="00C8701B">
        <w:rPr>
          <w:rFonts w:eastAsia="Arial Unicode MS"/>
          <w:bCs/>
          <w:lang w:eastAsia="fr-FR" w:bidi="he-IL"/>
        </w:rPr>
        <w:t>harmonie essentielle des récits</w:t>
      </w:r>
      <w:r w:rsidRPr="00C8701B">
        <w:rPr>
          <w:rFonts w:eastAsia="Arial Unicode MS"/>
          <w:bCs/>
          <w:lang w:eastAsia="fr-FR" w:bidi="he-IL"/>
        </w:rPr>
        <w:t> »</w:t>
      </w:r>
      <w:r w:rsidR="00B704AD" w:rsidRPr="00C8701B">
        <w:rPr>
          <w:rFonts w:eastAsia="Arial Unicode MS"/>
          <w:bCs/>
          <w:lang w:eastAsia="fr-FR" w:bidi="he-IL"/>
        </w:rPr>
        <w:t>.</w:t>
      </w:r>
      <w:r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Déjà</w:t>
      </w:r>
      <w:r w:rsidR="00E65435">
        <w:rPr>
          <w:rFonts w:eastAsia="Arial Unicode MS"/>
          <w:bCs/>
          <w:lang w:eastAsia="fr-FR" w:bidi="he-IL"/>
        </w:rPr>
        <w:t xml:space="preserve">, </w:t>
      </w:r>
      <w:r w:rsidRPr="00C8701B">
        <w:rPr>
          <w:rFonts w:eastAsia="Arial Unicode MS"/>
          <w:bCs/>
          <w:lang w:eastAsia="fr-FR" w:bidi="he-IL"/>
        </w:rPr>
        <w:t>et à plusieurs reprises</w:t>
      </w:r>
      <w:r w:rsidR="00933C60" w:rsidRPr="00C406FF">
        <w:rPr>
          <w:rStyle w:val="Appelnotedebasdep"/>
        </w:rPr>
        <w:footnoteReference w:id="287"/>
      </w:r>
      <w:r w:rsidR="00E65435">
        <w:rPr>
          <w:rFonts w:eastAsia="Arial Unicode MS"/>
          <w:bCs/>
          <w:lang w:eastAsia="fr-FR" w:bidi="he-IL"/>
        </w:rPr>
        <w:t xml:space="preserve">, </w:t>
      </w:r>
      <w:r w:rsidRPr="00C8701B">
        <w:rPr>
          <w:rFonts w:eastAsia="Arial Unicode MS"/>
          <w:bCs/>
          <w:lang w:eastAsia="fr-FR" w:bidi="he-IL"/>
        </w:rPr>
        <w:t>nous avons nous-même reconnu sans ambages ce fait indéniable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il ne nous reste qu</w:t>
      </w:r>
      <w:r w:rsidR="00557DE0">
        <w:rPr>
          <w:rFonts w:eastAsia="Arial Unicode MS"/>
          <w:bCs/>
          <w:lang w:eastAsia="fr-FR" w:bidi="he-IL"/>
        </w:rPr>
        <w:t>’</w:t>
      </w:r>
      <w:r w:rsidRPr="00C8701B">
        <w:rPr>
          <w:rFonts w:eastAsia="Arial Unicode MS"/>
          <w:bCs/>
          <w:lang w:eastAsia="fr-FR" w:bidi="he-IL"/>
        </w:rPr>
        <w:t xml:space="preserve">à mettre davantage encore les divergences en relief par </w:t>
      </w:r>
      <w:r w:rsidR="00CD3C57">
        <w:rPr>
          <w:rFonts w:eastAsia="Arial Unicode MS"/>
          <w:bCs/>
          <w:lang w:eastAsia="fr-FR" w:bidi="he-IL"/>
        </w:rPr>
        <w:t>q</w:t>
      </w:r>
      <w:r w:rsidRPr="00C8701B">
        <w:rPr>
          <w:rFonts w:eastAsia="Arial Unicode MS"/>
          <w:bCs/>
          <w:lang w:eastAsia="fr-FR" w:bidi="he-IL"/>
        </w:rPr>
        <w:t>uelques citations détaillées</w:t>
      </w:r>
      <w:r w:rsidR="00933C60" w:rsidRPr="00C406FF">
        <w:rPr>
          <w:rStyle w:val="Appelnotedebasdep"/>
        </w:rPr>
        <w:footnoteReference w:id="288"/>
      </w:r>
      <w:r w:rsidRPr="00C8701B">
        <w:rPr>
          <w:rFonts w:eastAsia="Arial Unicode MS"/>
          <w:bCs/>
          <w:lang w:eastAsia="fr-FR" w:bidi="he-IL"/>
        </w:rPr>
        <w:t>.</w:t>
      </w:r>
      <w:r w:rsidR="00C2602D" w:rsidRPr="00C8701B">
        <w:rPr>
          <w:rFonts w:eastAsia="Arial Unicode MS"/>
          <w:bCs/>
          <w:lang w:eastAsia="fr-FR" w:bidi="he-IL"/>
        </w:rPr>
        <w:t xml:space="preserve"> </w:t>
      </w:r>
      <w:r w:rsidR="00A067B1" w:rsidRPr="000716BB">
        <w:rPr>
          <w:rFonts w:eastAsia="Arial Unicode MS"/>
          <w:bCs/>
          <w:lang w:eastAsia="fr-FR" w:bidi="he-IL"/>
        </w:rPr>
        <w:t>{</w:t>
      </w:r>
      <w:r w:rsidR="00A067B1">
        <w:rPr>
          <w:rFonts w:eastAsia="Arial Unicode MS"/>
          <w:bCs/>
          <w:lang w:eastAsia="fr-FR" w:bidi="he-IL"/>
        </w:rPr>
        <w:t>54</w:t>
      </w:r>
      <w:bookmarkStart w:id="89" w:name="pag054"/>
      <w:bookmarkEnd w:id="89"/>
      <w:r w:rsidR="00A067B1" w:rsidRPr="000716BB">
        <w:rPr>
          <w:rFonts w:eastAsia="Arial Unicode MS"/>
          <w:bCs/>
          <w:lang w:eastAsia="fr-FR" w:bidi="he-IL"/>
        </w:rPr>
        <w:t>}</w:t>
      </w:r>
    </w:p>
    <w:p w:rsidR="00CD3C57" w:rsidRPr="00CD3C57" w:rsidRDefault="00B704AD" w:rsidP="00CD3C57">
      <w:r w:rsidRPr="00CD3C57">
        <w:t xml:space="preserve">I. </w:t>
      </w:r>
      <w:r w:rsidRPr="00DC4586">
        <w:rPr>
          <w:rStyle w:val="italicus"/>
        </w:rPr>
        <w:t xml:space="preserve">Les différences </w:t>
      </w:r>
      <w:r w:rsidR="00CD3C57">
        <w:rPr>
          <w:rStyle w:val="italicus"/>
        </w:rPr>
        <w:t>entre le quatrième évangile et l</w:t>
      </w:r>
      <w:r w:rsidRPr="00DC4586">
        <w:rPr>
          <w:rStyle w:val="italicus"/>
        </w:rPr>
        <w:t>es trois premiers.</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Ouvrez un</w:t>
      </w:r>
      <w:r w:rsidRPr="00DC4586">
        <w:rPr>
          <w:rStyle w:val="italicus"/>
        </w:rPr>
        <w:t xml:space="preserve"> Synopsis</w:t>
      </w:r>
      <w:r w:rsidR="00E65435">
        <w:rPr>
          <w:rStyle w:val="italicus"/>
        </w:rPr>
        <w:t xml:space="preserve">, </w:t>
      </w:r>
      <w:r w:rsidRPr="00C8701B">
        <w:rPr>
          <w:rFonts w:eastAsia="Arial Unicode MS"/>
          <w:bCs/>
          <w:lang w:eastAsia="fr-FR" w:bidi="he-IL"/>
        </w:rPr>
        <w:t>et vous verrez promptement</w:t>
      </w:r>
      <w:r w:rsidR="00E65435">
        <w:rPr>
          <w:rFonts w:eastAsia="Arial Unicode MS"/>
          <w:bCs/>
          <w:lang w:eastAsia="fr-FR" w:bidi="he-IL"/>
        </w:rPr>
        <w:t xml:space="preserve">, </w:t>
      </w:r>
      <w:r w:rsidR="00CD3C57">
        <w:rPr>
          <w:rFonts w:eastAsia="Arial Unicode MS"/>
          <w:bCs/>
          <w:lang w:eastAsia="fr-FR" w:bidi="he-IL"/>
        </w:rPr>
        <w:t>d</w:t>
      </w:r>
      <w:r w:rsidR="00557DE0">
        <w:rPr>
          <w:rFonts w:eastAsia="Arial Unicode MS"/>
          <w:bCs/>
          <w:lang w:eastAsia="fr-FR" w:bidi="he-IL"/>
        </w:rPr>
        <w:t>’</w:t>
      </w:r>
      <w:r w:rsidR="00CD3C57">
        <w:rPr>
          <w:rFonts w:eastAsia="Arial Unicode MS"/>
          <w:bCs/>
          <w:lang w:eastAsia="fr-FR" w:bidi="he-IL"/>
        </w:rPr>
        <w:t xml:space="preserve">un </w:t>
      </w:r>
      <w:r w:rsidRPr="00C8701B">
        <w:rPr>
          <w:rFonts w:eastAsia="Arial Unicode MS"/>
          <w:bCs/>
          <w:lang w:eastAsia="fr-FR" w:bidi="he-IL"/>
        </w:rPr>
        <w:t>seul coup d</w:t>
      </w:r>
      <w:r w:rsidR="00557DE0">
        <w:rPr>
          <w:rFonts w:eastAsia="Arial Unicode MS"/>
          <w:bCs/>
          <w:lang w:eastAsia="fr-FR" w:bidi="he-IL"/>
        </w:rPr>
        <w:t>’</w:t>
      </w:r>
      <w:r w:rsidRPr="00C8701B">
        <w:rPr>
          <w:rFonts w:eastAsia="Arial Unicode MS"/>
          <w:bCs/>
          <w:lang w:eastAsia="fr-FR" w:bidi="he-IL"/>
        </w:rPr>
        <w:t>œil</w:t>
      </w:r>
      <w:r w:rsidR="00E65435">
        <w:rPr>
          <w:rFonts w:eastAsia="Arial Unicode MS"/>
          <w:bCs/>
          <w:lang w:eastAsia="fr-FR" w:bidi="he-IL"/>
        </w:rPr>
        <w:t xml:space="preserve">, </w:t>
      </w:r>
      <w:r w:rsidRPr="00C8701B">
        <w:rPr>
          <w:rFonts w:eastAsia="Arial Unicode MS"/>
          <w:bCs/>
          <w:lang w:eastAsia="fr-FR" w:bidi="he-IL"/>
        </w:rPr>
        <w:t>combien sont rares les passages où S. Jean se rencontre avec les trois autres évangélistes. On a calculé que les points communs aux quatre narrations n</w:t>
      </w:r>
      <w:r w:rsidR="00557DE0">
        <w:rPr>
          <w:rFonts w:eastAsia="Arial Unicode MS"/>
          <w:bCs/>
          <w:lang w:eastAsia="fr-FR" w:bidi="he-IL"/>
        </w:rPr>
        <w:t>’</w:t>
      </w:r>
      <w:r w:rsidRPr="00C8701B">
        <w:rPr>
          <w:rFonts w:eastAsia="Arial Unicode MS"/>
          <w:bCs/>
          <w:lang w:eastAsia="fr-FR" w:bidi="he-IL"/>
        </w:rPr>
        <w:t>équivalent pas à la douzième partie du récit de l</w:t>
      </w:r>
      <w:r w:rsidR="00557DE0">
        <w:rPr>
          <w:rFonts w:eastAsia="Arial Unicode MS"/>
          <w:bCs/>
          <w:lang w:eastAsia="fr-FR" w:bidi="he-IL"/>
        </w:rPr>
        <w:t>’</w:t>
      </w:r>
      <w:r w:rsidRPr="00C8701B">
        <w:rPr>
          <w:rFonts w:eastAsia="Arial Unicode MS"/>
          <w:bCs/>
          <w:lang w:eastAsia="fr-FR" w:bidi="he-IL"/>
        </w:rPr>
        <w:t>apôtre bien-aimé</w:t>
      </w:r>
      <w:r w:rsidR="00933C60" w:rsidRPr="00C406FF">
        <w:rPr>
          <w:rStyle w:val="Appelnotedebasdep"/>
        </w:rPr>
        <w:footnoteReference w:id="289"/>
      </w:r>
      <w:r w:rsidRPr="00C8701B">
        <w:rPr>
          <w:rFonts w:eastAsia="Arial Unicode MS"/>
          <w:bCs/>
          <w:lang w:eastAsia="fr-FR" w:bidi="he-IL"/>
        </w:rPr>
        <w:t xml:space="preserve">. </w:t>
      </w:r>
      <w:r w:rsidR="00CD3C57">
        <w:rPr>
          <w:rFonts w:eastAsia="Arial Unicode MS"/>
          <w:bCs/>
          <w:lang w:eastAsia="fr-FR" w:bidi="he-IL"/>
        </w:rPr>
        <w:t>« </w:t>
      </w:r>
      <w:r w:rsidRPr="00C8701B">
        <w:rPr>
          <w:rFonts w:eastAsia="Arial Unicode MS"/>
          <w:bCs/>
          <w:lang w:eastAsia="fr-FR" w:bidi="he-IL"/>
        </w:rPr>
        <w:t xml:space="preserve">On ne peut comparer le </w:t>
      </w:r>
      <w:r w:rsidR="00CD3C57">
        <w:rPr>
          <w:rFonts w:eastAsia="Arial Unicode MS"/>
          <w:bCs/>
          <w:lang w:eastAsia="fr-FR" w:bidi="he-IL"/>
        </w:rPr>
        <w:t>q</w:t>
      </w:r>
      <w:r w:rsidRPr="00C8701B">
        <w:rPr>
          <w:rFonts w:eastAsia="Arial Unicode MS"/>
          <w:bCs/>
          <w:lang w:eastAsia="fr-FR" w:bidi="he-IL"/>
        </w:rPr>
        <w:t>uatrième évangile avec les premiers</w:t>
      </w:r>
      <w:r w:rsidR="00E65435">
        <w:rPr>
          <w:rFonts w:eastAsia="Arial Unicode MS"/>
          <w:bCs/>
          <w:lang w:eastAsia="fr-FR" w:bidi="he-IL"/>
        </w:rPr>
        <w:t xml:space="preserve">, </w:t>
      </w:r>
      <w:r w:rsidRPr="00C8701B">
        <w:rPr>
          <w:rFonts w:eastAsia="Arial Unicode MS"/>
          <w:bCs/>
          <w:lang w:eastAsia="fr-FR" w:bidi="he-IL"/>
        </w:rPr>
        <w:t>car il occ</w:t>
      </w:r>
      <w:r w:rsidRPr="00CD3C57">
        <w:t>upe un terrain différent</w:t>
      </w:r>
      <w:r w:rsidR="00933C60" w:rsidRPr="00C406FF">
        <w:rPr>
          <w:rStyle w:val="Appelnotedebasdep"/>
        </w:rPr>
        <w:footnoteReference w:id="290"/>
      </w:r>
      <w:r w:rsidR="00CD3C57" w:rsidRPr="00CD3C57">
        <w:t>. »</w:t>
      </w:r>
    </w:p>
    <w:p w:rsidR="00C2602D" w:rsidRPr="00C8701B" w:rsidRDefault="00CD3C57" w:rsidP="00CD3C57">
      <w:pPr>
        <w:rPr>
          <w:rFonts w:eastAsia="Arial Unicode MS"/>
          <w:bCs/>
          <w:lang w:eastAsia="fr-FR" w:bidi="he-IL"/>
        </w:rPr>
      </w:pPr>
      <w:r w:rsidRPr="00CD3C57">
        <w:t>P</w:t>
      </w:r>
      <w:r w:rsidR="00B704AD" w:rsidRPr="00CD3C57">
        <w:t>resque tout</w:t>
      </w:r>
      <w:r w:rsidR="00E65435" w:rsidRPr="00CD3C57">
        <w:t xml:space="preserve">, </w:t>
      </w:r>
      <w:r w:rsidR="00B704AD" w:rsidRPr="00CD3C57">
        <w:t>en effet</w:t>
      </w:r>
      <w:r w:rsidR="00E65435" w:rsidRPr="00CD3C57">
        <w:t xml:space="preserve">, </w:t>
      </w:r>
      <w:r w:rsidR="00B704AD" w:rsidRPr="00CD3C57">
        <w:t>est nouveau</w:t>
      </w:r>
      <w:r w:rsidR="00C2602D" w:rsidRPr="00CD3C57">
        <w:t> :</w:t>
      </w:r>
      <w:r w:rsidR="00B704AD" w:rsidRPr="00CD3C57">
        <w:t xml:space="preserve"> des vo</w:t>
      </w:r>
      <w:r w:rsidR="00B704AD" w:rsidRPr="00C8701B">
        <w:rPr>
          <w:rFonts w:eastAsia="Arial Unicode MS"/>
          <w:bCs/>
          <w:lang w:eastAsia="fr-FR" w:bidi="he-IL"/>
        </w:rPr>
        <w:t>yages spéciaux en Judée et à Jérusalem</w:t>
      </w:r>
      <w:r w:rsidR="00E65435">
        <w:rPr>
          <w:rFonts w:eastAsia="Arial Unicode MS"/>
          <w:bCs/>
          <w:lang w:eastAsia="fr-FR" w:bidi="he-IL"/>
        </w:rPr>
        <w:t xml:space="preserve">, </w:t>
      </w:r>
      <w:r w:rsidR="00B704AD" w:rsidRPr="00C8701B">
        <w:rPr>
          <w:rFonts w:eastAsia="Arial Unicode MS"/>
          <w:bCs/>
          <w:lang w:eastAsia="fr-FR" w:bidi="he-IL"/>
        </w:rPr>
        <w:t>à l</w:t>
      </w:r>
      <w:r w:rsidR="00557DE0">
        <w:rPr>
          <w:rFonts w:eastAsia="Arial Unicode MS"/>
          <w:bCs/>
          <w:lang w:eastAsia="fr-FR" w:bidi="he-IL"/>
        </w:rPr>
        <w:t>’</w:t>
      </w:r>
      <w:r w:rsidR="00B704AD" w:rsidRPr="00C8701B">
        <w:rPr>
          <w:rFonts w:eastAsia="Arial Unicode MS"/>
          <w:bCs/>
          <w:lang w:eastAsia="fr-FR" w:bidi="he-IL"/>
        </w:rPr>
        <w:t>occasion de plusieurs fêtes</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très peu de faits</w:t>
      </w:r>
      <w:r w:rsidR="00E65435">
        <w:rPr>
          <w:rFonts w:eastAsia="Arial Unicode MS"/>
          <w:bCs/>
          <w:lang w:eastAsia="fr-FR" w:bidi="he-IL"/>
        </w:rPr>
        <w:t xml:space="preserve">, </w:t>
      </w:r>
      <w:r w:rsidR="00B704AD" w:rsidRPr="00C8701B">
        <w:rPr>
          <w:rFonts w:eastAsia="Arial Unicode MS"/>
          <w:bCs/>
          <w:lang w:eastAsia="fr-FR" w:bidi="he-IL"/>
        </w:rPr>
        <w:t>mais</w:t>
      </w:r>
      <w:r w:rsidR="00E65435">
        <w:rPr>
          <w:rFonts w:eastAsia="Arial Unicode MS"/>
          <w:bCs/>
          <w:lang w:eastAsia="fr-FR" w:bidi="he-IL"/>
        </w:rPr>
        <w:t xml:space="preserve">, </w:t>
      </w:r>
      <w:r w:rsidR="00B704AD" w:rsidRPr="00C8701B">
        <w:rPr>
          <w:rFonts w:eastAsia="Arial Unicode MS"/>
          <w:bCs/>
          <w:lang w:eastAsia="fr-FR" w:bidi="he-IL"/>
        </w:rPr>
        <w:t>en grande partie</w:t>
      </w:r>
      <w:r w:rsidR="00E65435">
        <w:rPr>
          <w:rFonts w:eastAsia="Arial Unicode MS"/>
          <w:bCs/>
          <w:lang w:eastAsia="fr-FR" w:bidi="he-IL"/>
        </w:rPr>
        <w:t xml:space="preserve">, </w:t>
      </w:r>
      <w:r w:rsidR="00B704AD" w:rsidRPr="00C8701B">
        <w:rPr>
          <w:rFonts w:eastAsia="Arial Unicode MS"/>
          <w:bCs/>
          <w:lang w:eastAsia="fr-FR" w:bidi="he-IL"/>
        </w:rPr>
        <w:t>des discours qu</w:t>
      </w:r>
      <w:r w:rsidR="00557DE0">
        <w:rPr>
          <w:rFonts w:eastAsia="Arial Unicode MS"/>
          <w:bCs/>
          <w:lang w:eastAsia="fr-FR" w:bidi="he-IL"/>
        </w:rPr>
        <w:t>’</w:t>
      </w:r>
      <w:r w:rsidR="00B704AD" w:rsidRPr="00C8701B">
        <w:rPr>
          <w:rFonts w:eastAsia="Arial Unicode MS"/>
          <w:bCs/>
          <w:lang w:eastAsia="fr-FR" w:bidi="he-IL"/>
        </w:rPr>
        <w:t>on ne retrouve pas ailleurs</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ces faits</w:t>
      </w:r>
      <w:r w:rsidR="00E65435">
        <w:rPr>
          <w:rFonts w:eastAsia="Arial Unicode MS"/>
          <w:bCs/>
          <w:lang w:eastAsia="fr-FR" w:bidi="he-IL"/>
        </w:rPr>
        <w:t xml:space="preserve">, </w:t>
      </w:r>
      <w:r w:rsidR="00B704AD" w:rsidRPr="00C8701B">
        <w:rPr>
          <w:rFonts w:eastAsia="Arial Unicode MS"/>
          <w:bCs/>
          <w:lang w:eastAsia="fr-FR" w:bidi="he-IL"/>
        </w:rPr>
        <w:t>nouveaux eux-mêmes</w:t>
      </w:r>
      <w:r w:rsidR="00E65435">
        <w:rPr>
          <w:rFonts w:eastAsia="Arial Unicode MS"/>
          <w:bCs/>
          <w:lang w:eastAsia="fr-FR" w:bidi="he-IL"/>
        </w:rPr>
        <w:t xml:space="preserve">, </w:t>
      </w:r>
      <w:r w:rsidR="00B704AD" w:rsidRPr="00C8701B">
        <w:rPr>
          <w:rFonts w:eastAsia="Arial Unicode MS"/>
          <w:bCs/>
          <w:lang w:eastAsia="fr-FR" w:bidi="he-IL"/>
        </w:rPr>
        <w:t>tandis que des épisodes du plus grand intérêt</w:t>
      </w:r>
      <w:r w:rsidR="00E65435">
        <w:rPr>
          <w:rFonts w:eastAsia="Arial Unicode MS"/>
          <w:bCs/>
          <w:lang w:eastAsia="fr-FR" w:bidi="he-IL"/>
        </w:rPr>
        <w:t xml:space="preserve">, </w:t>
      </w:r>
      <w:r w:rsidR="00B704AD" w:rsidRPr="00C8701B">
        <w:rPr>
          <w:rFonts w:eastAsia="Arial Unicode MS"/>
          <w:bCs/>
          <w:lang w:eastAsia="fr-FR" w:bidi="he-IL"/>
        </w:rPr>
        <w:t>et</w:t>
      </w:r>
      <w:r w:rsidR="00E65435">
        <w:rPr>
          <w:rFonts w:eastAsia="Arial Unicode MS"/>
          <w:bCs/>
          <w:lang w:eastAsia="fr-FR" w:bidi="he-IL"/>
        </w:rPr>
        <w:t xml:space="preserve">, </w:t>
      </w:r>
      <w:r w:rsidR="00B704AD" w:rsidRPr="00C8701B">
        <w:rPr>
          <w:rFonts w:eastAsia="Arial Unicode MS"/>
          <w:bCs/>
          <w:lang w:eastAsia="fr-FR" w:bidi="he-IL"/>
        </w:rPr>
        <w:t>ce semble</w:t>
      </w:r>
      <w:r w:rsidR="00E65435">
        <w:rPr>
          <w:rFonts w:eastAsia="Arial Unicode MS"/>
          <w:bCs/>
          <w:lang w:eastAsia="fr-FR" w:bidi="he-IL"/>
        </w:rPr>
        <w:t xml:space="preserve">, </w:t>
      </w:r>
      <w:r w:rsidR="00B704AD" w:rsidRPr="00C8701B">
        <w:rPr>
          <w:rFonts w:eastAsia="Arial Unicode MS"/>
          <w:bCs/>
          <w:lang w:eastAsia="fr-FR" w:bidi="he-IL"/>
        </w:rPr>
        <w:t>de la dernière importance</w:t>
      </w:r>
      <w:r w:rsidR="00E65435">
        <w:rPr>
          <w:rFonts w:eastAsia="Arial Unicode MS"/>
          <w:bCs/>
          <w:lang w:eastAsia="fr-FR" w:bidi="he-IL"/>
        </w:rPr>
        <w:t xml:space="preserve">, </w:t>
      </w:r>
      <w:r w:rsidR="00B704AD" w:rsidRPr="00C8701B">
        <w:rPr>
          <w:rFonts w:eastAsia="Arial Unicode MS"/>
          <w:bCs/>
          <w:lang w:eastAsia="fr-FR" w:bidi="he-IL"/>
        </w:rPr>
        <w:t>sont passés sous silence</w:t>
      </w:r>
      <w:r w:rsidR="00C2602D" w:rsidRPr="00C8701B">
        <w:rPr>
          <w:rFonts w:eastAsia="Arial Unicode MS"/>
          <w:bCs/>
          <w:lang w:eastAsia="fr-FR" w:bidi="he-IL"/>
        </w:rPr>
        <w:t> :</w:t>
      </w:r>
      <w:r w:rsidR="00B704AD" w:rsidRPr="00C8701B">
        <w:rPr>
          <w:rFonts w:eastAsia="Arial Unicode MS"/>
          <w:bCs/>
          <w:lang w:eastAsia="fr-FR" w:bidi="he-IL"/>
        </w:rPr>
        <w:t xml:space="preserve"> par exemple</w:t>
      </w:r>
      <w:r w:rsidR="00E65435">
        <w:rPr>
          <w:rFonts w:eastAsia="Arial Unicode MS"/>
          <w:bCs/>
          <w:lang w:eastAsia="fr-FR" w:bidi="he-IL"/>
        </w:rPr>
        <w:t xml:space="preserve">, </w:t>
      </w:r>
      <w:r w:rsidR="00B704AD" w:rsidRPr="00C8701B">
        <w:rPr>
          <w:rFonts w:eastAsia="Arial Unicode MS"/>
          <w:bCs/>
          <w:lang w:eastAsia="fr-FR" w:bidi="he-IL"/>
        </w:rPr>
        <w:t>la tentation de Notre-Seigneur</w:t>
      </w:r>
      <w:r w:rsidR="00E65435">
        <w:rPr>
          <w:rFonts w:eastAsia="Arial Unicode MS"/>
          <w:bCs/>
          <w:lang w:eastAsia="fr-FR" w:bidi="he-IL"/>
        </w:rPr>
        <w:t xml:space="preserve">, </w:t>
      </w:r>
      <w:r w:rsidR="00B704AD" w:rsidRPr="00C8701B">
        <w:rPr>
          <w:rFonts w:eastAsia="Arial Unicode MS"/>
          <w:bCs/>
          <w:lang w:eastAsia="fr-FR" w:bidi="he-IL"/>
        </w:rPr>
        <w:t>son baptême</w:t>
      </w:r>
      <w:r w:rsidR="00E65435">
        <w:rPr>
          <w:rFonts w:eastAsia="Arial Unicode MS"/>
          <w:bCs/>
          <w:lang w:eastAsia="fr-FR" w:bidi="he-IL"/>
        </w:rPr>
        <w:t xml:space="preserve">, </w:t>
      </w:r>
      <w:r w:rsidR="00B704AD" w:rsidRPr="00C8701B">
        <w:rPr>
          <w:rFonts w:eastAsia="Arial Unicode MS"/>
          <w:bCs/>
          <w:lang w:eastAsia="fr-FR" w:bidi="he-IL"/>
        </w:rPr>
        <w:t>sa transfiguration</w:t>
      </w:r>
      <w:r w:rsidR="00E65435">
        <w:rPr>
          <w:rFonts w:eastAsia="Arial Unicode MS"/>
          <w:bCs/>
          <w:lang w:eastAsia="fr-FR" w:bidi="he-IL"/>
        </w:rPr>
        <w:t xml:space="preserve">, </w:t>
      </w:r>
      <w:r w:rsidR="00B704AD" w:rsidRPr="00C8701B">
        <w:rPr>
          <w:rFonts w:eastAsia="Arial Unicode MS"/>
          <w:bCs/>
          <w:lang w:eastAsia="fr-FR" w:bidi="he-IL"/>
        </w:rPr>
        <w:t>l</w:t>
      </w:r>
      <w:r w:rsidR="00557DE0">
        <w:rPr>
          <w:rFonts w:eastAsia="Arial Unicode MS"/>
          <w:bCs/>
          <w:lang w:eastAsia="fr-FR" w:bidi="he-IL"/>
        </w:rPr>
        <w:t>’</w:t>
      </w:r>
      <w:r w:rsidR="00B704AD" w:rsidRPr="00C8701B">
        <w:rPr>
          <w:rFonts w:eastAsia="Arial Unicode MS"/>
          <w:bCs/>
          <w:lang w:eastAsia="fr-FR" w:bidi="he-IL"/>
        </w:rPr>
        <w:t>institution de l</w:t>
      </w:r>
      <w:r w:rsidR="00557DE0">
        <w:rPr>
          <w:rFonts w:eastAsia="Arial Unicode MS"/>
          <w:bCs/>
          <w:lang w:eastAsia="fr-FR" w:bidi="he-IL"/>
        </w:rPr>
        <w:t>’</w:t>
      </w:r>
      <w:r w:rsidR="00B704AD" w:rsidRPr="00C8701B">
        <w:rPr>
          <w:rFonts w:eastAsia="Arial Unicode MS"/>
          <w:bCs/>
          <w:lang w:eastAsia="fr-FR" w:bidi="he-IL"/>
        </w:rPr>
        <w:t>Eucharistie</w:t>
      </w:r>
      <w:r w:rsidR="00E65435">
        <w:rPr>
          <w:rFonts w:eastAsia="Arial Unicode MS"/>
          <w:bCs/>
          <w:lang w:eastAsia="fr-FR" w:bidi="he-IL"/>
        </w:rPr>
        <w:t xml:space="preserve">, </w:t>
      </w:r>
      <w:r w:rsidR="00B704AD" w:rsidRPr="00C8701B">
        <w:rPr>
          <w:rFonts w:eastAsia="Arial Unicode MS"/>
          <w:bCs/>
          <w:lang w:eastAsia="fr-FR" w:bidi="he-IL"/>
        </w:rPr>
        <w:t>etc. Aspect très différent des</w:t>
      </w:r>
      <w:r>
        <w:rPr>
          <w:rFonts w:eastAsia="Arial Unicode MS"/>
          <w:bCs/>
          <w:lang w:eastAsia="fr-FR" w:bidi="he-IL"/>
        </w:rPr>
        <w:t xml:space="preserve"> </w:t>
      </w:r>
      <w:r w:rsidR="00B704AD" w:rsidRPr="00C8701B">
        <w:rPr>
          <w:rFonts w:eastAsia="Arial Unicode MS"/>
          <w:bCs/>
          <w:lang w:eastAsia="fr-FR" w:bidi="he-IL"/>
        </w:rPr>
        <w:t>actes et de l</w:t>
      </w:r>
      <w:r w:rsidR="00557DE0">
        <w:rPr>
          <w:rFonts w:eastAsia="Arial Unicode MS"/>
          <w:bCs/>
          <w:lang w:eastAsia="fr-FR" w:bidi="he-IL"/>
        </w:rPr>
        <w:t>’</w:t>
      </w:r>
      <w:r w:rsidR="00B704AD" w:rsidRPr="00C8701B">
        <w:rPr>
          <w:rFonts w:eastAsia="Arial Unicode MS"/>
          <w:bCs/>
          <w:lang w:eastAsia="fr-FR" w:bidi="he-IL"/>
        </w:rPr>
        <w:t>enseignement de Jésus</w:t>
      </w:r>
      <w:r w:rsidR="00C2602D" w:rsidRPr="00C8701B">
        <w:rPr>
          <w:rFonts w:eastAsia="Arial Unicode MS"/>
          <w:bCs/>
          <w:lang w:eastAsia="fr-FR" w:bidi="he-IL"/>
        </w:rPr>
        <w:t> :</w:t>
      </w:r>
      <w:r w:rsidR="00B704AD" w:rsidRPr="00C8701B">
        <w:rPr>
          <w:rFonts w:eastAsia="Arial Unicode MS"/>
          <w:bCs/>
          <w:lang w:eastAsia="fr-FR" w:bidi="he-IL"/>
        </w:rPr>
        <w:t xml:space="preserve"> au lieu d</w:t>
      </w:r>
      <w:r>
        <w:rPr>
          <w:rFonts w:eastAsia="Arial Unicode MS"/>
          <w:bCs/>
          <w:lang w:eastAsia="fr-FR" w:bidi="he-IL"/>
        </w:rPr>
        <w:t>e converser familièrement avec l</w:t>
      </w:r>
      <w:r w:rsidR="00B704AD" w:rsidRPr="00C8701B">
        <w:rPr>
          <w:rFonts w:eastAsia="Arial Unicode MS"/>
          <w:bCs/>
          <w:lang w:eastAsia="fr-FR" w:bidi="he-IL"/>
        </w:rPr>
        <w:t>es siens ou avec le bon peuple de Galilée</w:t>
      </w:r>
      <w:r w:rsidR="00E65435">
        <w:rPr>
          <w:rFonts w:eastAsia="Arial Unicode MS"/>
          <w:bCs/>
          <w:lang w:eastAsia="fr-FR" w:bidi="he-IL"/>
        </w:rPr>
        <w:t xml:space="preserve">, </w:t>
      </w:r>
      <w:r w:rsidR="00B704AD" w:rsidRPr="00C8701B">
        <w:rPr>
          <w:rFonts w:eastAsia="Arial Unicode MS"/>
          <w:bCs/>
          <w:lang w:eastAsia="fr-FR" w:bidi="he-IL"/>
        </w:rPr>
        <w:t>il discute avec les hiérarques dans la capitale juive</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et</w:t>
      </w:r>
      <w:r w:rsidR="00E65435">
        <w:rPr>
          <w:rFonts w:eastAsia="Arial Unicode MS"/>
          <w:bCs/>
          <w:lang w:eastAsia="fr-FR" w:bidi="he-IL"/>
        </w:rPr>
        <w:t xml:space="preserve">, </w:t>
      </w:r>
      <w:r w:rsidR="00B704AD" w:rsidRPr="00C8701B">
        <w:rPr>
          <w:rFonts w:eastAsia="Arial Unicode MS"/>
          <w:bCs/>
          <w:lang w:eastAsia="fr-FR" w:bidi="he-IL"/>
        </w:rPr>
        <w:t>même quand il adresse la parole à ses disciples</w:t>
      </w:r>
      <w:r w:rsidR="00E65435">
        <w:rPr>
          <w:rFonts w:eastAsia="Arial Unicode MS"/>
          <w:bCs/>
          <w:lang w:eastAsia="fr-FR" w:bidi="he-IL"/>
        </w:rPr>
        <w:t xml:space="preserve">, </w:t>
      </w:r>
      <w:r w:rsidR="00B704AD" w:rsidRPr="00C8701B">
        <w:rPr>
          <w:rFonts w:eastAsia="Arial Unicode MS"/>
          <w:bCs/>
          <w:lang w:eastAsia="fr-FR" w:bidi="he-IL"/>
        </w:rPr>
        <w:t>sa prédication revêt un caractère plus relevé</w:t>
      </w:r>
      <w:r w:rsidR="00E65435">
        <w:rPr>
          <w:rFonts w:eastAsia="Arial Unicode MS"/>
          <w:bCs/>
          <w:lang w:eastAsia="fr-FR" w:bidi="he-IL"/>
        </w:rPr>
        <w:t xml:space="preserve">, </w:t>
      </w:r>
      <w:r w:rsidR="00B704AD" w:rsidRPr="00C8701B">
        <w:rPr>
          <w:rFonts w:eastAsia="Arial Unicode MS"/>
          <w:bCs/>
          <w:lang w:eastAsia="fr-FR" w:bidi="he-IL"/>
        </w:rPr>
        <w:t>plus abstrait</w:t>
      </w:r>
      <w:r w:rsidR="00933C60" w:rsidRPr="00C406FF">
        <w:rPr>
          <w:rStyle w:val="Appelnotedebasdep"/>
        </w:rPr>
        <w:footnoteReference w:id="291"/>
      </w:r>
      <w:r w:rsidR="00B704AD" w:rsidRPr="00C8701B">
        <w:rPr>
          <w:rFonts w:eastAsia="Arial Unicode MS"/>
          <w:bCs/>
          <w:lang w:eastAsia="fr-FR" w:bidi="he-IL"/>
        </w:rPr>
        <w:t xml:space="preserve">. La </w:t>
      </w:r>
      <w:r w:rsidR="00C2602D" w:rsidRPr="00C8701B">
        <w:rPr>
          <w:rFonts w:eastAsia="Arial Unicode MS"/>
          <w:bCs/>
          <w:lang w:eastAsia="fr-FR" w:bidi="he-IL"/>
        </w:rPr>
        <w:t>« </w:t>
      </w:r>
      <w:r w:rsidR="00B704AD" w:rsidRPr="00C8701B">
        <w:rPr>
          <w:rFonts w:eastAsia="Arial Unicode MS"/>
          <w:bCs/>
          <w:lang w:eastAsia="fr-FR" w:bidi="he-IL"/>
        </w:rPr>
        <w:t>manière</w:t>
      </w:r>
      <w:r w:rsidR="00C2602D" w:rsidRPr="00C8701B">
        <w:rPr>
          <w:rFonts w:eastAsia="Arial Unicode MS"/>
          <w:bCs/>
          <w:lang w:eastAsia="fr-FR" w:bidi="he-IL"/>
        </w:rPr>
        <w:t> »</w:t>
      </w:r>
      <w:r w:rsidR="00E65435">
        <w:rPr>
          <w:rFonts w:eastAsia="Arial Unicode MS"/>
          <w:bCs/>
          <w:lang w:eastAsia="fr-FR" w:bidi="he-IL"/>
        </w:rPr>
        <w:t xml:space="preserve">, </w:t>
      </w:r>
      <w:r w:rsidR="00B704AD" w:rsidRPr="00C8701B">
        <w:rPr>
          <w:rFonts w:eastAsia="Arial Unicode MS"/>
          <w:bCs/>
          <w:lang w:eastAsia="fr-FR" w:bidi="he-IL"/>
        </w:rPr>
        <w:t>en somme</w:t>
      </w:r>
      <w:r w:rsidR="00E65435">
        <w:rPr>
          <w:rFonts w:eastAsia="Arial Unicode MS"/>
          <w:bCs/>
          <w:lang w:eastAsia="fr-FR" w:bidi="he-IL"/>
        </w:rPr>
        <w:t xml:space="preserve">, </w:t>
      </w:r>
      <w:r w:rsidR="00B704AD" w:rsidRPr="00C8701B">
        <w:rPr>
          <w:rFonts w:eastAsia="Arial Unicode MS"/>
          <w:bCs/>
          <w:lang w:eastAsia="fr-FR" w:bidi="he-IL"/>
        </w:rPr>
        <w:t>n</w:t>
      </w:r>
      <w:r w:rsidR="00557DE0">
        <w:rPr>
          <w:rFonts w:eastAsia="Arial Unicode MS"/>
          <w:bCs/>
          <w:lang w:eastAsia="fr-FR" w:bidi="he-IL"/>
        </w:rPr>
        <w:t>’</w:t>
      </w:r>
      <w:r w:rsidR="00B704AD" w:rsidRPr="00C8701B">
        <w:rPr>
          <w:rFonts w:eastAsia="Arial Unicode MS"/>
          <w:bCs/>
          <w:lang w:eastAsia="fr-FR" w:bidi="he-IL"/>
        </w:rPr>
        <w:t>est plus la même</w:t>
      </w:r>
      <w:r w:rsidR="00E65435">
        <w:rPr>
          <w:rFonts w:eastAsia="Arial Unicode MS"/>
          <w:bCs/>
          <w:lang w:eastAsia="fr-FR" w:bidi="he-IL"/>
        </w:rPr>
        <w:t xml:space="preserve">, </w:t>
      </w:r>
      <w:r w:rsidR="00B704AD" w:rsidRPr="00C8701B">
        <w:rPr>
          <w:rFonts w:eastAsia="Arial Unicode MS"/>
          <w:bCs/>
          <w:lang w:eastAsia="fr-FR" w:bidi="he-IL"/>
        </w:rPr>
        <w:t>de sorte que la divergence semblerait porter jusque sur la personne du divin Jésus des évangiles.</w:t>
      </w:r>
      <w:r w:rsidR="00C2602D" w:rsidRPr="00C8701B">
        <w:rPr>
          <w:rFonts w:eastAsia="Arial Unicode MS"/>
          <w:bCs/>
          <w:lang w:eastAsia="fr-FR" w:bidi="he-IL"/>
        </w:rPr>
        <w:t xml:space="preserve"> </w:t>
      </w:r>
    </w:p>
    <w:p w:rsidR="00C2602D" w:rsidRPr="00CD3C57" w:rsidRDefault="00B704AD" w:rsidP="00C2602D">
      <w:r w:rsidRPr="00C8701B">
        <w:rPr>
          <w:rFonts w:eastAsia="Arial Unicode MS"/>
          <w:bCs/>
          <w:lang w:eastAsia="fr-FR" w:bidi="he-IL"/>
        </w:rPr>
        <w:t>Ce fait</w:t>
      </w:r>
      <w:r w:rsidR="00E65435">
        <w:rPr>
          <w:rFonts w:eastAsia="Arial Unicode MS"/>
          <w:bCs/>
          <w:lang w:eastAsia="fr-FR" w:bidi="he-IL"/>
        </w:rPr>
        <w:t xml:space="preserve">, </w:t>
      </w:r>
      <w:r w:rsidRPr="00C8701B">
        <w:rPr>
          <w:rFonts w:eastAsia="Arial Unicode MS"/>
          <w:bCs/>
          <w:lang w:eastAsia="fr-FR" w:bidi="he-IL"/>
        </w:rPr>
        <w:t>du reste</w:t>
      </w:r>
      <w:r w:rsidR="00E65435">
        <w:rPr>
          <w:rFonts w:eastAsia="Arial Unicode MS"/>
          <w:bCs/>
          <w:lang w:eastAsia="fr-FR" w:bidi="he-IL"/>
        </w:rPr>
        <w:t xml:space="preserve">, </w:t>
      </w:r>
      <w:r w:rsidRPr="00C8701B">
        <w:rPr>
          <w:rFonts w:eastAsia="Arial Unicode MS"/>
          <w:bCs/>
          <w:lang w:eastAsia="fr-FR" w:bidi="he-IL"/>
        </w:rPr>
        <w:t xml:space="preserve">a été constaté de longue </w:t>
      </w:r>
      <w:r w:rsidR="00CD3C57">
        <w:rPr>
          <w:rFonts w:eastAsia="Arial Unicode MS"/>
          <w:bCs/>
          <w:lang w:eastAsia="fr-FR" w:bidi="he-IL"/>
        </w:rPr>
        <w:t>d</w:t>
      </w:r>
      <w:r w:rsidRPr="00C8701B">
        <w:rPr>
          <w:rFonts w:eastAsia="Arial Unicode MS"/>
          <w:bCs/>
          <w:lang w:eastAsia="fr-FR" w:bidi="he-IL"/>
        </w:rPr>
        <w:t>ate</w:t>
      </w:r>
      <w:r w:rsidR="00E65435">
        <w:rPr>
          <w:rFonts w:eastAsia="Arial Unicode MS"/>
          <w:bCs/>
          <w:lang w:eastAsia="fr-FR" w:bidi="he-IL"/>
        </w:rPr>
        <w:t xml:space="preserve">, </w:t>
      </w:r>
      <w:r w:rsidRPr="00C8701B">
        <w:rPr>
          <w:rFonts w:eastAsia="Arial Unicode MS"/>
          <w:bCs/>
          <w:lang w:eastAsia="fr-FR" w:bidi="he-IL"/>
        </w:rPr>
        <w:t>et les saints Pères lui ont fort bien assigné sa vraie cause.</w:t>
      </w:r>
      <w:r w:rsidR="00CE11E9">
        <w:rPr>
          <w:rFonts w:eastAsia="Arial Unicode MS"/>
          <w:bCs/>
          <w:lang w:eastAsia="fr-FR" w:bidi="he-IL"/>
        </w:rPr>
        <w:t xml:space="preserve"> </w:t>
      </w:r>
      <w:r w:rsidR="00F12048" w:rsidRPr="00C8701B">
        <w:rPr>
          <w:rFonts w:eastAsia="Arial Unicode MS"/>
          <w:bCs/>
          <w:lang w:eastAsia="fr-FR" w:bidi="he-IL"/>
        </w:rPr>
        <w:t>« </w:t>
      </w:r>
      <w:r w:rsidR="007D27C7">
        <w:rPr>
          <w:rFonts w:eastAsia="Arial Unicode MS"/>
          <w:bCs/>
          <w:lang w:eastAsia="fr-FR" w:bidi="he-IL"/>
        </w:rPr>
        <w:t>Cum</w:t>
      </w:r>
      <w:r w:rsidR="00CD3C57">
        <w:rPr>
          <w:rFonts w:eastAsia="Arial Unicode MS"/>
          <w:bCs/>
          <w:lang w:eastAsia="fr-FR" w:bidi="he-IL"/>
        </w:rPr>
        <w:t xml:space="preserve"> duæ</w:t>
      </w:r>
      <w:r w:rsidRPr="00C8701B">
        <w:rPr>
          <w:rFonts w:eastAsia="Arial Unicode MS"/>
          <w:bCs/>
          <w:lang w:eastAsia="fr-FR" w:bidi="he-IL"/>
        </w:rPr>
        <w:t xml:space="preserve"> </w:t>
      </w:r>
      <w:r w:rsidR="00CD3C57" w:rsidRPr="00C8701B">
        <w:rPr>
          <w:rFonts w:eastAsia="Arial Unicode MS"/>
          <w:bCs/>
          <w:lang w:eastAsia="fr-FR" w:bidi="he-IL"/>
        </w:rPr>
        <w:t>virtútes</w:t>
      </w:r>
      <w:r w:rsidR="00E65435">
        <w:rPr>
          <w:rFonts w:eastAsia="Arial Unicode MS"/>
          <w:bCs/>
          <w:lang w:eastAsia="fr-FR" w:bidi="he-IL"/>
        </w:rPr>
        <w:t xml:space="preserve">, </w:t>
      </w:r>
      <w:r w:rsidRPr="00C8701B">
        <w:rPr>
          <w:rFonts w:eastAsia="Arial Unicode MS"/>
          <w:bCs/>
          <w:lang w:eastAsia="fr-FR" w:bidi="he-IL"/>
        </w:rPr>
        <w:t>dit S. Augustin</w:t>
      </w:r>
      <w:r w:rsidR="00933C60" w:rsidRPr="00C406FF">
        <w:rPr>
          <w:rStyle w:val="Appelnotedebasdep"/>
        </w:rPr>
        <w:footnoteReference w:id="292"/>
      </w:r>
      <w:r w:rsidR="00E65435">
        <w:rPr>
          <w:rFonts w:eastAsia="Arial Unicode MS"/>
          <w:bCs/>
          <w:lang w:eastAsia="fr-FR" w:bidi="he-IL"/>
        </w:rPr>
        <w:t xml:space="preserve">, </w:t>
      </w:r>
      <w:r w:rsidR="00CD3C57" w:rsidRPr="00C8701B">
        <w:rPr>
          <w:rFonts w:eastAsia="Arial Unicode MS"/>
          <w:bCs/>
          <w:lang w:eastAsia="fr-FR" w:bidi="he-IL"/>
        </w:rPr>
        <w:t>propósit</w:t>
      </w:r>
      <w:r w:rsidR="00CD3C57">
        <w:rPr>
          <w:rFonts w:eastAsia="Arial Unicode MS"/>
          <w:bCs/>
          <w:lang w:eastAsia="fr-FR" w:bidi="he-IL"/>
        </w:rPr>
        <w:t>æ sint ánimæ humánæ</w:t>
      </w:r>
      <w:r w:rsidR="00E65435">
        <w:rPr>
          <w:rFonts w:eastAsia="Arial Unicode MS"/>
          <w:bCs/>
          <w:lang w:eastAsia="fr-FR" w:bidi="he-IL"/>
        </w:rPr>
        <w:t xml:space="preserve">, </w:t>
      </w:r>
      <w:r w:rsidRPr="00C8701B">
        <w:rPr>
          <w:rFonts w:eastAsia="Arial Unicode MS"/>
          <w:bCs/>
          <w:lang w:eastAsia="fr-FR" w:bidi="he-IL"/>
        </w:rPr>
        <w:t>una activa</w:t>
      </w:r>
      <w:r w:rsidR="00E65435">
        <w:rPr>
          <w:rFonts w:eastAsia="Arial Unicode MS"/>
          <w:bCs/>
          <w:lang w:eastAsia="fr-FR" w:bidi="he-IL"/>
        </w:rPr>
        <w:t xml:space="preserve">, </w:t>
      </w:r>
      <w:r w:rsidR="00CD3C57">
        <w:rPr>
          <w:rFonts w:eastAsia="Arial Unicode MS"/>
          <w:bCs/>
          <w:lang w:eastAsia="fr-FR" w:bidi="he-IL"/>
        </w:rPr>
        <w:t>álte</w:t>
      </w:r>
      <w:r w:rsidR="00CD3C57" w:rsidRPr="00C8701B">
        <w:rPr>
          <w:rFonts w:eastAsia="Arial Unicode MS"/>
          <w:bCs/>
          <w:lang w:eastAsia="fr-FR" w:bidi="he-IL"/>
        </w:rPr>
        <w:t>ra</w:t>
      </w:r>
      <w:r w:rsidR="00CD3C57">
        <w:rPr>
          <w:rFonts w:eastAsia="Arial Unicode MS"/>
          <w:bCs/>
          <w:lang w:eastAsia="fr-FR" w:bidi="he-IL"/>
        </w:rPr>
        <w:t xml:space="preserve"> contemplatí</w:t>
      </w:r>
      <w:r w:rsidRPr="00C8701B">
        <w:rPr>
          <w:rFonts w:eastAsia="Arial Unicode MS"/>
          <w:bCs/>
          <w:lang w:eastAsia="fr-FR" w:bidi="he-IL"/>
        </w:rPr>
        <w:t>va</w:t>
      </w:r>
      <w:r w:rsidR="00E65435">
        <w:rPr>
          <w:rFonts w:eastAsia="Arial Unicode MS"/>
          <w:bCs/>
          <w:lang w:eastAsia="fr-FR" w:bidi="he-IL"/>
        </w:rPr>
        <w:t xml:space="preserve">, </w:t>
      </w:r>
      <w:r w:rsidRPr="00C8701B">
        <w:rPr>
          <w:rFonts w:eastAsia="Arial Unicode MS"/>
          <w:bCs/>
          <w:lang w:eastAsia="fr-FR" w:bidi="he-IL"/>
        </w:rPr>
        <w:t>illa qua itur</w:t>
      </w:r>
      <w:r w:rsidR="00E65435">
        <w:rPr>
          <w:rFonts w:eastAsia="Arial Unicode MS"/>
          <w:bCs/>
          <w:lang w:eastAsia="fr-FR" w:bidi="he-IL"/>
        </w:rPr>
        <w:t xml:space="preserve">, </w:t>
      </w:r>
      <w:r w:rsidR="00CD3C57">
        <w:rPr>
          <w:rFonts w:eastAsia="Arial Unicode MS"/>
          <w:bCs/>
          <w:lang w:eastAsia="fr-FR" w:bidi="he-IL"/>
        </w:rPr>
        <w:t>ista qua perven</w:t>
      </w:r>
      <w:r w:rsidR="00CD3C57" w:rsidRPr="00C8701B">
        <w:rPr>
          <w:rFonts w:eastAsia="Arial Unicode MS"/>
          <w:bCs/>
          <w:lang w:eastAsia="fr-FR" w:bidi="he-IL"/>
        </w:rPr>
        <w:t>ítur</w:t>
      </w:r>
      <w:r w:rsidR="00E65435">
        <w:rPr>
          <w:rFonts w:eastAsia="Arial Unicode MS"/>
          <w:bCs/>
          <w:lang w:eastAsia="fr-FR" w:bidi="he-IL"/>
        </w:rPr>
        <w:t xml:space="preserve">, </w:t>
      </w:r>
      <w:r w:rsidR="00CD3C57">
        <w:rPr>
          <w:rFonts w:eastAsia="Arial Unicode MS"/>
          <w:bCs/>
          <w:lang w:eastAsia="fr-FR" w:bidi="he-IL"/>
        </w:rPr>
        <w:t>illa qua laborá</w:t>
      </w:r>
      <w:r w:rsidRPr="00C8701B">
        <w:rPr>
          <w:rFonts w:eastAsia="Arial Unicode MS"/>
          <w:bCs/>
          <w:lang w:eastAsia="fr-FR" w:bidi="he-IL"/>
        </w:rPr>
        <w:t>tur</w:t>
      </w:r>
      <w:r w:rsidR="00E65435">
        <w:rPr>
          <w:rFonts w:eastAsia="Arial Unicode MS"/>
          <w:bCs/>
          <w:lang w:eastAsia="fr-FR" w:bidi="he-IL"/>
        </w:rPr>
        <w:t xml:space="preserve">, </w:t>
      </w:r>
      <w:r w:rsidRPr="00C8701B">
        <w:rPr>
          <w:rFonts w:eastAsia="Arial Unicode MS"/>
          <w:bCs/>
          <w:lang w:eastAsia="fr-FR" w:bidi="he-IL"/>
        </w:rPr>
        <w:t xml:space="preserve">ut cor </w:t>
      </w:r>
      <w:r w:rsidR="00CD3C57" w:rsidRPr="00C8701B">
        <w:rPr>
          <w:rFonts w:eastAsia="Arial Unicode MS"/>
          <w:bCs/>
          <w:lang w:eastAsia="fr-FR" w:bidi="he-IL"/>
        </w:rPr>
        <w:t>mundétur</w:t>
      </w:r>
      <w:r w:rsidR="00CD3C57">
        <w:rPr>
          <w:rFonts w:eastAsia="Arial Unicode MS"/>
          <w:bCs/>
          <w:lang w:eastAsia="fr-FR" w:bidi="he-IL"/>
        </w:rPr>
        <w:t xml:space="preserve"> </w:t>
      </w:r>
      <w:r w:rsidRPr="00C8701B">
        <w:rPr>
          <w:rFonts w:eastAsia="Arial Unicode MS"/>
          <w:bCs/>
          <w:lang w:eastAsia="fr-FR" w:bidi="he-IL"/>
        </w:rPr>
        <w:t xml:space="preserve">ad </w:t>
      </w:r>
      <w:r w:rsidR="00E939E7" w:rsidRPr="00C8701B">
        <w:rPr>
          <w:rFonts w:eastAsia="Arial Unicode MS"/>
          <w:bCs/>
          <w:lang w:eastAsia="fr-FR" w:bidi="he-IL"/>
        </w:rPr>
        <w:t>vid</w:t>
      </w:r>
      <w:r w:rsidR="00E939E7">
        <w:rPr>
          <w:rFonts w:eastAsia="Arial Unicode MS"/>
          <w:bCs/>
          <w:lang w:eastAsia="fr-FR" w:bidi="he-IL"/>
        </w:rPr>
        <w:t>é</w:t>
      </w:r>
      <w:r w:rsidR="00E939E7" w:rsidRPr="00C8701B">
        <w:rPr>
          <w:rFonts w:eastAsia="Arial Unicode MS"/>
          <w:bCs/>
          <w:lang w:eastAsia="fr-FR" w:bidi="he-IL"/>
        </w:rPr>
        <w:t>ndum</w:t>
      </w:r>
      <w:r w:rsidRPr="00C8701B">
        <w:rPr>
          <w:rFonts w:eastAsia="Arial Unicode MS"/>
          <w:bCs/>
          <w:lang w:eastAsia="fr-FR" w:bidi="he-IL"/>
        </w:rPr>
        <w:t xml:space="preserve"> Deum</w:t>
      </w:r>
      <w:r w:rsidR="00E65435">
        <w:rPr>
          <w:rFonts w:eastAsia="Arial Unicode MS"/>
          <w:bCs/>
          <w:lang w:eastAsia="fr-FR" w:bidi="he-IL"/>
        </w:rPr>
        <w:t xml:space="preserve">, </w:t>
      </w:r>
      <w:r w:rsidRPr="00C8701B">
        <w:rPr>
          <w:rFonts w:eastAsia="Arial Unicode MS"/>
          <w:bCs/>
          <w:lang w:eastAsia="fr-FR" w:bidi="he-IL"/>
        </w:rPr>
        <w:t xml:space="preserve">ista qua </w:t>
      </w:r>
      <w:r w:rsidR="0096412E" w:rsidRPr="00C8701B">
        <w:rPr>
          <w:rFonts w:eastAsia="Arial Unicode MS"/>
          <w:bCs/>
          <w:lang w:eastAsia="fr-FR" w:bidi="he-IL"/>
        </w:rPr>
        <w:t>vac</w:t>
      </w:r>
      <w:r w:rsidR="0096412E">
        <w:rPr>
          <w:rFonts w:eastAsia="Arial Unicode MS"/>
          <w:bCs/>
          <w:lang w:eastAsia="fr-FR" w:bidi="he-IL"/>
        </w:rPr>
        <w:t>á</w:t>
      </w:r>
      <w:r w:rsidR="0096412E" w:rsidRPr="00C8701B">
        <w:rPr>
          <w:rFonts w:eastAsia="Arial Unicode MS"/>
          <w:bCs/>
          <w:lang w:eastAsia="fr-FR" w:bidi="he-IL"/>
        </w:rPr>
        <w:t>tur</w:t>
      </w:r>
      <w:r w:rsidRPr="00C8701B">
        <w:rPr>
          <w:rFonts w:eastAsia="Arial Unicode MS"/>
          <w:bCs/>
          <w:lang w:eastAsia="fr-FR" w:bidi="he-IL"/>
        </w:rPr>
        <w:t xml:space="preserve"> et </w:t>
      </w:r>
      <w:r w:rsidR="00CD3C57" w:rsidRPr="00C8701B">
        <w:rPr>
          <w:rFonts w:eastAsia="Arial Unicode MS"/>
          <w:bCs/>
          <w:lang w:eastAsia="fr-FR" w:bidi="he-IL"/>
        </w:rPr>
        <w:t>vidétur</w:t>
      </w:r>
      <w:r w:rsidRPr="00C8701B">
        <w:rPr>
          <w:rFonts w:eastAsia="Arial Unicode MS"/>
          <w:bCs/>
          <w:lang w:eastAsia="fr-FR" w:bidi="he-IL"/>
        </w:rPr>
        <w:t xml:space="preserve"> Deus</w:t>
      </w:r>
      <w:r w:rsidR="00C2602D" w:rsidRPr="00C8701B">
        <w:rPr>
          <w:rFonts w:eastAsia="Arial Unicode MS"/>
          <w:bCs/>
          <w:lang w:eastAsia="fr-FR" w:bidi="he-IL"/>
        </w:rPr>
        <w:t> :</w:t>
      </w:r>
      <w:r w:rsidRPr="00C8701B">
        <w:rPr>
          <w:rFonts w:eastAsia="Arial Unicode MS"/>
          <w:bCs/>
          <w:lang w:eastAsia="fr-FR" w:bidi="he-IL"/>
        </w:rPr>
        <w:t xml:space="preserve"> illa est in </w:t>
      </w:r>
      <w:r w:rsidR="00CD3C57">
        <w:rPr>
          <w:rFonts w:eastAsia="Arial Unicode MS"/>
          <w:bCs/>
          <w:lang w:eastAsia="fr-FR" w:bidi="he-IL"/>
        </w:rPr>
        <w:t>præ</w:t>
      </w:r>
      <w:r w:rsidR="00CD3C57" w:rsidRPr="00C8701B">
        <w:rPr>
          <w:rFonts w:eastAsia="Arial Unicode MS"/>
          <w:bCs/>
          <w:lang w:eastAsia="fr-FR" w:bidi="he-IL"/>
        </w:rPr>
        <w:t>céptis</w:t>
      </w:r>
      <w:r w:rsidRPr="00C8701B">
        <w:rPr>
          <w:rFonts w:eastAsia="Arial Unicode MS"/>
          <w:bCs/>
          <w:lang w:eastAsia="fr-FR" w:bidi="he-IL"/>
        </w:rPr>
        <w:t xml:space="preserve"> </w:t>
      </w:r>
      <w:r w:rsidR="00CD3C57" w:rsidRPr="00C8701B">
        <w:rPr>
          <w:rFonts w:eastAsia="Arial Unicode MS"/>
          <w:bCs/>
          <w:lang w:eastAsia="fr-FR" w:bidi="he-IL"/>
        </w:rPr>
        <w:t>exercén</w:t>
      </w:r>
      <w:r w:rsidR="00CD3C57">
        <w:rPr>
          <w:rFonts w:eastAsia="Arial Unicode MS"/>
          <w:bCs/>
          <w:lang w:eastAsia="fr-FR" w:bidi="he-IL"/>
        </w:rPr>
        <w:t>dæ</w:t>
      </w:r>
      <w:r w:rsidRPr="00C8701B">
        <w:rPr>
          <w:rFonts w:eastAsia="Arial Unicode MS"/>
          <w:bCs/>
          <w:lang w:eastAsia="fr-FR" w:bidi="he-IL"/>
        </w:rPr>
        <w:t xml:space="preserve"> vit</w:t>
      </w:r>
      <w:r w:rsidR="00E37C84">
        <w:rPr>
          <w:rFonts w:eastAsia="Arial Unicode MS"/>
          <w:bCs/>
          <w:lang w:eastAsia="fr-FR" w:bidi="he-IL"/>
        </w:rPr>
        <w:t>æ</w:t>
      </w:r>
      <w:r w:rsidR="00CD3C57">
        <w:rPr>
          <w:rFonts w:eastAsia="Arial Unicode MS"/>
          <w:bCs/>
          <w:lang w:eastAsia="fr-FR" w:bidi="he-IL"/>
        </w:rPr>
        <w:t xml:space="preserve"> hujus tem</w:t>
      </w:r>
      <w:r w:rsidR="00CD3C57" w:rsidRPr="00C8701B">
        <w:rPr>
          <w:rFonts w:eastAsia="Arial Unicode MS"/>
          <w:bCs/>
          <w:lang w:eastAsia="fr-FR" w:bidi="he-IL"/>
        </w:rPr>
        <w:t>porális</w:t>
      </w:r>
      <w:r w:rsidR="00E65435">
        <w:rPr>
          <w:rFonts w:eastAsia="Arial Unicode MS"/>
          <w:bCs/>
          <w:lang w:eastAsia="fr-FR" w:bidi="he-IL"/>
        </w:rPr>
        <w:t xml:space="preserve">, </w:t>
      </w:r>
      <w:r w:rsidRPr="00C8701B">
        <w:rPr>
          <w:rFonts w:eastAsia="Arial Unicode MS"/>
          <w:bCs/>
          <w:lang w:eastAsia="fr-FR" w:bidi="he-IL"/>
        </w:rPr>
        <w:t xml:space="preserve">ista in </w:t>
      </w:r>
      <w:r w:rsidR="00E26FC6">
        <w:rPr>
          <w:rFonts w:eastAsia="Arial Unicode MS"/>
          <w:bCs/>
          <w:lang w:eastAsia="fr-FR" w:bidi="he-IL"/>
        </w:rPr>
        <w:t>doctrína</w:t>
      </w:r>
      <w:r w:rsidRPr="00C8701B">
        <w:rPr>
          <w:rFonts w:eastAsia="Arial Unicode MS"/>
          <w:bCs/>
          <w:lang w:eastAsia="fr-FR" w:bidi="he-IL"/>
        </w:rPr>
        <w:t xml:space="preserve"> vit</w:t>
      </w:r>
      <w:r w:rsidR="00E37C84">
        <w:rPr>
          <w:rFonts w:eastAsia="Arial Unicode MS"/>
          <w:bCs/>
          <w:lang w:eastAsia="fr-FR" w:bidi="he-IL"/>
        </w:rPr>
        <w:t>æ</w:t>
      </w:r>
      <w:r w:rsidRPr="00C8701B">
        <w:rPr>
          <w:rFonts w:eastAsia="Arial Unicode MS"/>
          <w:bCs/>
          <w:lang w:eastAsia="fr-FR" w:bidi="he-IL"/>
        </w:rPr>
        <w:t xml:space="preserve"> </w:t>
      </w:r>
      <w:r w:rsidR="00CD3C57" w:rsidRPr="00C8701B">
        <w:rPr>
          <w:rFonts w:eastAsia="Arial Unicode MS"/>
          <w:bCs/>
          <w:lang w:eastAsia="fr-FR" w:bidi="he-IL"/>
        </w:rPr>
        <w:t>illíus</w:t>
      </w:r>
      <w:r w:rsidRPr="00C8701B">
        <w:rPr>
          <w:rFonts w:eastAsia="Arial Unicode MS"/>
          <w:bCs/>
          <w:lang w:eastAsia="fr-FR" w:bidi="he-IL"/>
        </w:rPr>
        <w:t xml:space="preserve"> </w:t>
      </w:r>
      <w:r w:rsidR="00CD3C57" w:rsidRPr="00C8701B">
        <w:rPr>
          <w:rFonts w:eastAsia="Arial Unicode MS"/>
          <w:bCs/>
          <w:lang w:eastAsia="fr-FR" w:bidi="he-IL"/>
        </w:rPr>
        <w:t>sempitérn</w:t>
      </w:r>
      <w:r w:rsidR="00CD3C57">
        <w:rPr>
          <w:rFonts w:eastAsia="Arial Unicode MS"/>
          <w:bCs/>
          <w:lang w:eastAsia="fr-FR" w:bidi="he-IL"/>
        </w:rPr>
        <w:t>æ</w:t>
      </w:r>
      <w:r w:rsidR="00E65435">
        <w:rPr>
          <w:rFonts w:eastAsia="Arial Unicode MS"/>
          <w:bCs/>
          <w:lang w:eastAsia="fr-FR" w:bidi="he-IL"/>
        </w:rPr>
        <w:t xml:space="preserve">, </w:t>
      </w:r>
      <w:r w:rsidRPr="00C8701B">
        <w:rPr>
          <w:rFonts w:eastAsia="Arial Unicode MS"/>
          <w:bCs/>
          <w:lang w:eastAsia="fr-FR" w:bidi="he-IL"/>
        </w:rPr>
        <w:t>ac per hoc illa o</w:t>
      </w:r>
      <w:r w:rsidR="0096412E" w:rsidRPr="00C8701B">
        <w:rPr>
          <w:rFonts w:eastAsia="Arial Unicode MS"/>
          <w:bCs/>
          <w:lang w:eastAsia="fr-FR" w:bidi="he-IL"/>
        </w:rPr>
        <w:t>per</w:t>
      </w:r>
      <w:r w:rsidR="0096412E">
        <w:rPr>
          <w:rFonts w:eastAsia="Arial Unicode MS"/>
          <w:bCs/>
          <w:lang w:eastAsia="fr-FR" w:bidi="he-IL"/>
        </w:rPr>
        <w:t>á</w:t>
      </w:r>
      <w:r w:rsidR="0096412E" w:rsidRPr="00C8701B">
        <w:rPr>
          <w:rFonts w:eastAsia="Arial Unicode MS"/>
          <w:bCs/>
          <w:lang w:eastAsia="fr-FR" w:bidi="he-IL"/>
        </w:rPr>
        <w:t>tur</w:t>
      </w:r>
      <w:r w:rsidR="00E65435">
        <w:rPr>
          <w:rFonts w:eastAsia="Arial Unicode MS"/>
          <w:bCs/>
          <w:lang w:eastAsia="fr-FR" w:bidi="he-IL"/>
        </w:rPr>
        <w:t xml:space="preserve">, </w:t>
      </w:r>
      <w:r w:rsidRPr="00C8701B">
        <w:rPr>
          <w:rFonts w:eastAsia="Arial Unicode MS"/>
          <w:bCs/>
          <w:lang w:eastAsia="fr-FR" w:bidi="he-IL"/>
        </w:rPr>
        <w:t xml:space="preserve">ista </w:t>
      </w:r>
      <w:r w:rsidR="00CD3C57" w:rsidRPr="00C8701B">
        <w:rPr>
          <w:rFonts w:eastAsia="Arial Unicode MS"/>
          <w:bCs/>
          <w:lang w:eastAsia="fr-FR" w:bidi="he-IL"/>
        </w:rPr>
        <w:t>requiéscit</w:t>
      </w:r>
      <w:r w:rsidR="00E65435">
        <w:rPr>
          <w:rFonts w:eastAsia="Arial Unicode MS"/>
          <w:bCs/>
          <w:lang w:eastAsia="fr-FR" w:bidi="he-IL"/>
        </w:rPr>
        <w:t xml:space="preserve">, </w:t>
      </w:r>
      <w:r w:rsidRPr="00C8701B">
        <w:rPr>
          <w:rFonts w:eastAsia="Arial Unicode MS"/>
          <w:bCs/>
          <w:lang w:eastAsia="fr-FR" w:bidi="he-IL"/>
        </w:rPr>
        <w:t>quia illa est in purg</w:t>
      </w:r>
      <w:r w:rsidR="000B732C">
        <w:rPr>
          <w:rFonts w:eastAsia="Arial Unicode MS"/>
          <w:bCs/>
          <w:lang w:eastAsia="fr-FR" w:bidi="he-IL"/>
        </w:rPr>
        <w:t>atióne</w:t>
      </w:r>
      <w:r w:rsidR="00CD3C57">
        <w:rPr>
          <w:rFonts w:eastAsia="Arial Unicode MS"/>
          <w:bCs/>
          <w:lang w:eastAsia="fr-FR" w:bidi="he-IL"/>
        </w:rPr>
        <w:t xml:space="preserve"> </w:t>
      </w:r>
      <w:r w:rsidRPr="00C8701B">
        <w:rPr>
          <w:rFonts w:eastAsia="Arial Unicode MS"/>
          <w:bCs/>
          <w:lang w:eastAsia="fr-FR" w:bidi="he-IL"/>
        </w:rPr>
        <w:t>peccat</w:t>
      </w:r>
      <w:r w:rsidR="003A07A7">
        <w:rPr>
          <w:rFonts w:eastAsia="Arial Unicode MS"/>
          <w:bCs/>
          <w:lang w:eastAsia="fr-FR" w:bidi="he-IL"/>
        </w:rPr>
        <w:t>órum</w:t>
      </w:r>
      <w:r w:rsidR="00E65435">
        <w:rPr>
          <w:rFonts w:eastAsia="Arial Unicode MS"/>
          <w:bCs/>
          <w:lang w:eastAsia="fr-FR" w:bidi="he-IL"/>
        </w:rPr>
        <w:t xml:space="preserve">, </w:t>
      </w:r>
      <w:r w:rsidRPr="00C8701B">
        <w:rPr>
          <w:rFonts w:eastAsia="Arial Unicode MS"/>
          <w:bCs/>
          <w:lang w:eastAsia="fr-FR" w:bidi="he-IL"/>
        </w:rPr>
        <w:t>ista in lumine purgat</w:t>
      </w:r>
      <w:r w:rsidR="003A07A7">
        <w:rPr>
          <w:rFonts w:eastAsia="Arial Unicode MS"/>
          <w:bCs/>
          <w:lang w:eastAsia="fr-FR" w:bidi="he-IL"/>
        </w:rPr>
        <w:t>órum</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ac per hoc in hac </w:t>
      </w:r>
      <w:r w:rsidR="00CD3C57">
        <w:rPr>
          <w:rFonts w:eastAsia="Arial Unicode MS"/>
          <w:bCs/>
          <w:lang w:eastAsia="fr-FR" w:bidi="he-IL"/>
        </w:rPr>
        <w:t>vi</w:t>
      </w:r>
      <w:r w:rsidRPr="00C8701B">
        <w:rPr>
          <w:rFonts w:eastAsia="Arial Unicode MS"/>
          <w:bCs/>
          <w:lang w:eastAsia="fr-FR" w:bidi="he-IL"/>
        </w:rPr>
        <w:t xml:space="preserve">ta </w:t>
      </w:r>
      <w:r w:rsidR="00CD3C57" w:rsidRPr="00C8701B">
        <w:rPr>
          <w:rFonts w:eastAsia="Arial Unicode MS"/>
          <w:bCs/>
          <w:lang w:eastAsia="fr-FR" w:bidi="he-IL"/>
        </w:rPr>
        <w:t>mortáli</w:t>
      </w:r>
      <w:r w:rsidR="00E65435">
        <w:rPr>
          <w:rFonts w:eastAsia="Arial Unicode MS"/>
          <w:bCs/>
          <w:lang w:eastAsia="fr-FR" w:bidi="he-IL"/>
        </w:rPr>
        <w:t xml:space="preserve">, </w:t>
      </w:r>
      <w:r w:rsidRPr="00C8701B">
        <w:rPr>
          <w:rFonts w:eastAsia="Arial Unicode MS"/>
          <w:bCs/>
          <w:lang w:eastAsia="fr-FR" w:bidi="he-IL"/>
        </w:rPr>
        <w:t xml:space="preserve">illa est in </w:t>
      </w:r>
      <w:r w:rsidR="00CD3C57" w:rsidRPr="00C8701B">
        <w:rPr>
          <w:rFonts w:eastAsia="Arial Unicode MS"/>
          <w:bCs/>
          <w:lang w:eastAsia="fr-FR" w:bidi="he-IL"/>
        </w:rPr>
        <w:t>ópere</w:t>
      </w:r>
      <w:r w:rsidR="00CD3C57">
        <w:rPr>
          <w:rFonts w:eastAsia="Arial Unicode MS"/>
          <w:bCs/>
          <w:lang w:eastAsia="fr-FR" w:bidi="he-IL"/>
        </w:rPr>
        <w:t xml:space="preserve"> </w:t>
      </w:r>
      <w:r w:rsidRPr="00C8701B">
        <w:rPr>
          <w:rFonts w:eastAsia="Arial Unicode MS"/>
          <w:bCs/>
          <w:lang w:eastAsia="fr-FR" w:bidi="he-IL"/>
        </w:rPr>
        <w:t>bon</w:t>
      </w:r>
      <w:r w:rsidR="00E37C84">
        <w:rPr>
          <w:rFonts w:eastAsia="Arial Unicode MS"/>
          <w:bCs/>
          <w:lang w:eastAsia="fr-FR" w:bidi="he-IL"/>
        </w:rPr>
        <w:t>æ</w:t>
      </w:r>
      <w:r w:rsidRPr="00C8701B">
        <w:rPr>
          <w:rFonts w:eastAsia="Arial Unicode MS"/>
          <w:bCs/>
          <w:lang w:eastAsia="fr-FR" w:bidi="he-IL"/>
        </w:rPr>
        <w:t xml:space="preserve"> conversat</w:t>
      </w:r>
      <w:r w:rsidR="000B732C">
        <w:rPr>
          <w:rFonts w:eastAsia="Arial Unicode MS"/>
          <w:bCs/>
          <w:lang w:eastAsia="fr-FR" w:bidi="he-IL"/>
        </w:rPr>
        <w:t>iónis</w:t>
      </w:r>
      <w:r w:rsidR="00E65435">
        <w:rPr>
          <w:rFonts w:eastAsia="Arial Unicode MS"/>
          <w:bCs/>
          <w:lang w:eastAsia="fr-FR" w:bidi="he-IL"/>
        </w:rPr>
        <w:t xml:space="preserve">, </w:t>
      </w:r>
      <w:r w:rsidRPr="00C8701B">
        <w:rPr>
          <w:rFonts w:eastAsia="Arial Unicode MS"/>
          <w:bCs/>
          <w:lang w:eastAsia="fr-FR" w:bidi="he-IL"/>
        </w:rPr>
        <w:t xml:space="preserve">ista vero magis hi fide et apud </w:t>
      </w:r>
      <w:r w:rsidR="00CD3C57">
        <w:rPr>
          <w:rFonts w:eastAsia="Arial Unicode MS"/>
          <w:bCs/>
          <w:lang w:eastAsia="fr-FR" w:bidi="he-IL"/>
        </w:rPr>
        <w:t>perpá</w:t>
      </w:r>
      <w:r w:rsidRPr="00C8701B">
        <w:rPr>
          <w:rFonts w:eastAsia="Arial Unicode MS"/>
          <w:bCs/>
          <w:lang w:eastAsia="fr-FR" w:bidi="he-IL"/>
        </w:rPr>
        <w:t xml:space="preserve">ucos per spéculum in </w:t>
      </w:r>
      <w:r w:rsidR="00CD3C57" w:rsidRPr="00C8701B">
        <w:rPr>
          <w:rFonts w:eastAsia="Arial Unicode MS"/>
          <w:bCs/>
          <w:lang w:eastAsia="fr-FR" w:bidi="he-IL"/>
        </w:rPr>
        <w:t>ænígmate</w:t>
      </w:r>
      <w:r w:rsidRPr="00C8701B">
        <w:rPr>
          <w:rFonts w:eastAsia="Arial Unicode MS"/>
          <w:bCs/>
          <w:lang w:eastAsia="fr-FR" w:bidi="he-IL"/>
        </w:rPr>
        <w:t xml:space="preserve"> et ex parte in </w:t>
      </w:r>
      <w:r w:rsidR="00CD3C57" w:rsidRPr="00C8701B">
        <w:rPr>
          <w:rFonts w:eastAsia="Arial Unicode MS"/>
          <w:bCs/>
          <w:lang w:eastAsia="fr-FR" w:bidi="he-IL"/>
        </w:rPr>
        <w:t>áliqua</w:t>
      </w:r>
      <w:r w:rsidRPr="00C8701B">
        <w:rPr>
          <w:rFonts w:eastAsia="Arial Unicode MS"/>
          <w:bCs/>
          <w:lang w:eastAsia="fr-FR" w:bidi="he-IL"/>
        </w:rPr>
        <w:t xml:space="preserve"> vis</w:t>
      </w:r>
      <w:r w:rsidR="00356A5E" w:rsidRPr="00C8701B">
        <w:rPr>
          <w:rFonts w:eastAsia="Arial Unicode MS"/>
          <w:bCs/>
          <w:lang w:eastAsia="fr-FR" w:bidi="he-IL"/>
        </w:rPr>
        <w:t>i</w:t>
      </w:r>
      <w:r w:rsidR="00356A5E">
        <w:rPr>
          <w:rFonts w:eastAsia="Arial Unicode MS"/>
          <w:bCs/>
          <w:lang w:eastAsia="fr-FR" w:bidi="he-IL"/>
        </w:rPr>
        <w:t>ó</w:t>
      </w:r>
      <w:r w:rsidR="00356A5E" w:rsidRPr="00C8701B">
        <w:rPr>
          <w:rFonts w:eastAsia="Arial Unicode MS"/>
          <w:bCs/>
          <w:lang w:eastAsia="fr-FR" w:bidi="he-IL"/>
        </w:rPr>
        <w:t>ne</w:t>
      </w:r>
      <w:r w:rsidRPr="00C8701B">
        <w:rPr>
          <w:rFonts w:eastAsia="Arial Unicode MS"/>
          <w:bCs/>
          <w:lang w:eastAsia="fr-FR" w:bidi="he-IL"/>
        </w:rPr>
        <w:t xml:space="preserve"> </w:t>
      </w:r>
      <w:r w:rsidR="00CD3C57" w:rsidRPr="00C8701B">
        <w:rPr>
          <w:rFonts w:eastAsia="Arial Unicode MS"/>
          <w:bCs/>
          <w:lang w:eastAsia="fr-FR" w:bidi="he-IL"/>
        </w:rPr>
        <w:t>incommutábilis</w:t>
      </w:r>
      <w:r w:rsidRPr="00C8701B">
        <w:rPr>
          <w:rFonts w:eastAsia="Arial Unicode MS"/>
          <w:bCs/>
          <w:lang w:eastAsia="fr-FR" w:bidi="he-IL"/>
        </w:rPr>
        <w:t xml:space="preserve"> </w:t>
      </w:r>
      <w:r w:rsidR="00CD3C57" w:rsidRPr="00C8701B">
        <w:rPr>
          <w:rFonts w:eastAsia="Arial Unicode MS"/>
          <w:bCs/>
          <w:lang w:eastAsia="fr-FR" w:bidi="he-IL"/>
        </w:rPr>
        <w:t>veritátis</w:t>
      </w:r>
      <w:r w:rsidRPr="00C8701B">
        <w:rPr>
          <w:rFonts w:eastAsia="Arial Unicode MS"/>
          <w:bCs/>
          <w:lang w:eastAsia="fr-FR" w:bidi="he-IL"/>
        </w:rPr>
        <w:t xml:space="preserve">... Ex quo </w:t>
      </w:r>
      <w:r w:rsidR="00CD3C57" w:rsidRPr="00C8701B">
        <w:rPr>
          <w:rFonts w:eastAsia="Arial Unicode MS"/>
          <w:bCs/>
          <w:lang w:eastAsia="fr-FR" w:bidi="he-IL"/>
        </w:rPr>
        <w:t>intélligi</w:t>
      </w:r>
      <w:r w:rsidRPr="00C8701B">
        <w:rPr>
          <w:rFonts w:eastAsia="Arial Unicode MS"/>
          <w:bCs/>
          <w:lang w:eastAsia="fr-FR" w:bidi="he-IL"/>
        </w:rPr>
        <w:t xml:space="preserve"> datur</w:t>
      </w:r>
      <w:r w:rsidR="00E65435">
        <w:rPr>
          <w:rFonts w:eastAsia="Arial Unicode MS"/>
          <w:bCs/>
          <w:lang w:eastAsia="fr-FR" w:bidi="he-IL"/>
        </w:rPr>
        <w:t xml:space="preserve">, </w:t>
      </w:r>
      <w:r w:rsidRPr="00C8701B">
        <w:rPr>
          <w:rFonts w:eastAsia="Arial Unicode MS"/>
          <w:bCs/>
          <w:lang w:eastAsia="fr-FR" w:bidi="he-IL"/>
        </w:rPr>
        <w:t xml:space="preserve">si diligenter </w:t>
      </w:r>
      <w:r w:rsidR="00CD3C57" w:rsidRPr="00C8701B">
        <w:rPr>
          <w:rFonts w:eastAsia="Arial Unicode MS"/>
          <w:bCs/>
          <w:lang w:eastAsia="fr-FR" w:bidi="he-IL"/>
        </w:rPr>
        <w:t>advértas</w:t>
      </w:r>
      <w:r w:rsidR="00E65435">
        <w:rPr>
          <w:rFonts w:eastAsia="Arial Unicode MS"/>
          <w:bCs/>
          <w:lang w:eastAsia="fr-FR" w:bidi="he-IL"/>
        </w:rPr>
        <w:t xml:space="preserve">, </w:t>
      </w:r>
      <w:r w:rsidR="00CD3C57">
        <w:rPr>
          <w:rFonts w:eastAsia="Arial Unicode MS"/>
          <w:bCs/>
          <w:lang w:eastAsia="fr-FR" w:bidi="he-IL"/>
        </w:rPr>
        <w:t>tre</w:t>
      </w:r>
      <w:r w:rsidRPr="00C8701B">
        <w:rPr>
          <w:rFonts w:eastAsia="Arial Unicode MS"/>
          <w:bCs/>
          <w:lang w:eastAsia="fr-FR" w:bidi="he-IL"/>
        </w:rPr>
        <w:t xml:space="preserve">s </w:t>
      </w:r>
      <w:r w:rsidR="00CD3C57" w:rsidRPr="00C8701B">
        <w:rPr>
          <w:rFonts w:eastAsia="Arial Unicode MS"/>
          <w:bCs/>
          <w:lang w:eastAsia="fr-FR" w:bidi="he-IL"/>
        </w:rPr>
        <w:t>Evangelístas</w:t>
      </w:r>
      <w:r w:rsidRPr="00C8701B">
        <w:rPr>
          <w:rFonts w:eastAsia="Arial Unicode MS"/>
          <w:bCs/>
          <w:lang w:eastAsia="fr-FR" w:bidi="he-IL"/>
        </w:rPr>
        <w:t xml:space="preserve"> </w:t>
      </w:r>
      <w:r w:rsidR="00CD3C57" w:rsidRPr="00C8701B">
        <w:rPr>
          <w:rFonts w:eastAsia="Arial Unicode MS"/>
          <w:bCs/>
          <w:lang w:eastAsia="fr-FR" w:bidi="he-IL"/>
        </w:rPr>
        <w:t>temporália</w:t>
      </w:r>
      <w:r w:rsidRPr="00C8701B">
        <w:rPr>
          <w:rFonts w:eastAsia="Arial Unicode MS"/>
          <w:bCs/>
          <w:lang w:eastAsia="fr-FR" w:bidi="he-IL"/>
        </w:rPr>
        <w:t xml:space="preserve"> facta D</w:t>
      </w:r>
      <w:r w:rsidR="004D031F">
        <w:rPr>
          <w:rFonts w:eastAsia="Arial Unicode MS"/>
          <w:bCs/>
          <w:lang w:eastAsia="fr-FR" w:bidi="he-IL"/>
        </w:rPr>
        <w:t>ómini</w:t>
      </w:r>
      <w:r w:rsidRPr="00C8701B">
        <w:rPr>
          <w:rFonts w:eastAsia="Arial Unicode MS"/>
          <w:bCs/>
          <w:lang w:eastAsia="fr-FR" w:bidi="he-IL"/>
        </w:rPr>
        <w:t xml:space="preserve"> et dicta</w:t>
      </w:r>
      <w:r w:rsidR="00E65435">
        <w:rPr>
          <w:rFonts w:eastAsia="Arial Unicode MS"/>
          <w:bCs/>
          <w:lang w:eastAsia="fr-FR" w:bidi="he-IL"/>
        </w:rPr>
        <w:t xml:space="preserve">, </w:t>
      </w:r>
      <w:r w:rsidRPr="00C8701B">
        <w:rPr>
          <w:rFonts w:eastAsia="Arial Unicode MS"/>
          <w:bCs/>
          <w:lang w:eastAsia="fr-FR" w:bidi="he-IL"/>
        </w:rPr>
        <w:t>qu</w:t>
      </w:r>
      <w:r w:rsidR="00E37C84">
        <w:rPr>
          <w:rFonts w:eastAsia="Arial Unicode MS"/>
          <w:bCs/>
          <w:lang w:eastAsia="fr-FR" w:bidi="he-IL"/>
        </w:rPr>
        <w:t>æ</w:t>
      </w:r>
      <w:r w:rsidRPr="00C8701B">
        <w:rPr>
          <w:rFonts w:eastAsia="Arial Unicode MS"/>
          <w:bCs/>
          <w:lang w:eastAsia="fr-FR" w:bidi="he-IL"/>
        </w:rPr>
        <w:t xml:space="preserve"> ad inf</w:t>
      </w:r>
      <w:r w:rsidR="00E939E7" w:rsidRPr="00C8701B">
        <w:rPr>
          <w:rFonts w:eastAsia="Arial Unicode MS"/>
          <w:bCs/>
          <w:lang w:eastAsia="fr-FR" w:bidi="he-IL"/>
        </w:rPr>
        <w:t>orm</w:t>
      </w:r>
      <w:r w:rsidR="00E939E7">
        <w:rPr>
          <w:rFonts w:eastAsia="Arial Unicode MS"/>
          <w:bCs/>
          <w:lang w:eastAsia="fr-FR" w:bidi="he-IL"/>
        </w:rPr>
        <w:t>á</w:t>
      </w:r>
      <w:r w:rsidR="00E939E7" w:rsidRPr="00C8701B">
        <w:rPr>
          <w:rFonts w:eastAsia="Arial Unicode MS"/>
          <w:bCs/>
          <w:lang w:eastAsia="fr-FR" w:bidi="he-IL"/>
        </w:rPr>
        <w:t>ndos</w:t>
      </w:r>
      <w:r w:rsidRPr="00C8701B">
        <w:rPr>
          <w:rFonts w:eastAsia="Arial Unicode MS"/>
          <w:bCs/>
          <w:lang w:eastAsia="fr-FR" w:bidi="he-IL"/>
        </w:rPr>
        <w:t xml:space="preserve"> mores vit</w:t>
      </w:r>
      <w:r w:rsidR="00E37C84">
        <w:rPr>
          <w:rFonts w:eastAsia="Arial Unicode MS"/>
          <w:bCs/>
          <w:lang w:eastAsia="fr-FR" w:bidi="he-IL"/>
        </w:rPr>
        <w:t>æ</w:t>
      </w:r>
      <w:r w:rsidRPr="00C8701B">
        <w:rPr>
          <w:rFonts w:eastAsia="Arial Unicode MS"/>
          <w:bCs/>
          <w:lang w:eastAsia="fr-FR" w:bidi="he-IL"/>
        </w:rPr>
        <w:t xml:space="preserve"> </w:t>
      </w:r>
      <w:r w:rsidR="00E37C84">
        <w:rPr>
          <w:rFonts w:eastAsia="Arial Unicode MS"/>
          <w:bCs/>
          <w:lang w:eastAsia="fr-FR" w:bidi="he-IL"/>
        </w:rPr>
        <w:t>p</w:t>
      </w:r>
      <w:r w:rsidR="00E939E7">
        <w:rPr>
          <w:rFonts w:eastAsia="Arial Unicode MS"/>
          <w:bCs/>
          <w:lang w:eastAsia="fr-FR" w:bidi="he-IL"/>
        </w:rPr>
        <w:t>ræ</w:t>
      </w:r>
      <w:r w:rsidR="00E939E7" w:rsidRPr="00C8701B">
        <w:rPr>
          <w:rFonts w:eastAsia="Arial Unicode MS"/>
          <w:bCs/>
          <w:lang w:eastAsia="fr-FR" w:bidi="he-IL"/>
        </w:rPr>
        <w:t>s</w:t>
      </w:r>
      <w:r w:rsidR="00E939E7">
        <w:rPr>
          <w:rFonts w:eastAsia="Arial Unicode MS"/>
          <w:bCs/>
          <w:lang w:eastAsia="fr-FR" w:bidi="he-IL"/>
        </w:rPr>
        <w:t>é</w:t>
      </w:r>
      <w:r w:rsidR="00E939E7" w:rsidRPr="00C8701B">
        <w:rPr>
          <w:rFonts w:eastAsia="Arial Unicode MS"/>
          <w:bCs/>
          <w:lang w:eastAsia="fr-FR" w:bidi="he-IL"/>
        </w:rPr>
        <w:t>ntis</w:t>
      </w:r>
      <w:r w:rsidRPr="00C8701B">
        <w:rPr>
          <w:rFonts w:eastAsia="Arial Unicode MS"/>
          <w:bCs/>
          <w:lang w:eastAsia="fr-FR" w:bidi="he-IL"/>
        </w:rPr>
        <w:t xml:space="preserve"> maxime </w:t>
      </w:r>
      <w:r w:rsidR="00CD3C57" w:rsidRPr="00C8701B">
        <w:rPr>
          <w:rFonts w:eastAsia="Arial Unicode MS"/>
          <w:bCs/>
          <w:lang w:eastAsia="fr-FR" w:bidi="he-IL"/>
        </w:rPr>
        <w:t>valérent</w:t>
      </w:r>
      <w:r w:rsidR="00E65435">
        <w:rPr>
          <w:rFonts w:eastAsia="Arial Unicode MS"/>
          <w:bCs/>
          <w:lang w:eastAsia="fr-FR" w:bidi="he-IL"/>
        </w:rPr>
        <w:t xml:space="preserve">, </w:t>
      </w:r>
      <w:r w:rsidR="00CD3C57" w:rsidRPr="00C8701B">
        <w:rPr>
          <w:rFonts w:eastAsia="Arial Unicode MS"/>
          <w:bCs/>
          <w:lang w:eastAsia="fr-FR" w:bidi="he-IL"/>
        </w:rPr>
        <w:t>copiósius</w:t>
      </w:r>
      <w:r w:rsidR="00CD3C57">
        <w:rPr>
          <w:rFonts w:eastAsia="Arial Unicode MS"/>
          <w:bCs/>
          <w:lang w:eastAsia="fr-FR" w:bidi="he-IL"/>
        </w:rPr>
        <w:t xml:space="preserve"> persecú</w:t>
      </w:r>
      <w:r w:rsidRPr="00C8701B">
        <w:rPr>
          <w:rFonts w:eastAsia="Arial Unicode MS"/>
          <w:bCs/>
          <w:lang w:eastAsia="fr-FR" w:bidi="he-IL"/>
        </w:rPr>
        <w:t>tos</w:t>
      </w:r>
      <w:r w:rsidR="00E65435">
        <w:rPr>
          <w:rFonts w:eastAsia="Arial Unicode MS"/>
          <w:bCs/>
          <w:lang w:eastAsia="fr-FR" w:bidi="he-IL"/>
        </w:rPr>
        <w:t xml:space="preserve">, </w:t>
      </w:r>
      <w:r w:rsidR="00CD3C57">
        <w:rPr>
          <w:rFonts w:eastAsia="Arial Unicode MS"/>
          <w:bCs/>
          <w:lang w:eastAsia="fr-FR" w:bidi="he-IL"/>
        </w:rPr>
        <w:t>circa illam actí</w:t>
      </w:r>
      <w:r w:rsidRPr="00C8701B">
        <w:rPr>
          <w:rFonts w:eastAsia="Arial Unicode MS"/>
          <w:bCs/>
          <w:lang w:eastAsia="fr-FR" w:bidi="he-IL"/>
        </w:rPr>
        <w:t xml:space="preserve">vam </w:t>
      </w:r>
      <w:r w:rsidR="00CD3C57" w:rsidRPr="00C8701B">
        <w:rPr>
          <w:rFonts w:eastAsia="Arial Unicode MS"/>
          <w:bCs/>
          <w:lang w:eastAsia="fr-FR" w:bidi="he-IL"/>
        </w:rPr>
        <w:t>virtútem</w:t>
      </w:r>
      <w:r w:rsidRPr="00C8701B">
        <w:rPr>
          <w:rFonts w:eastAsia="Arial Unicode MS"/>
          <w:bCs/>
          <w:lang w:eastAsia="fr-FR" w:bidi="he-IL"/>
        </w:rPr>
        <w:t xml:space="preserve"> </w:t>
      </w:r>
      <w:r w:rsidR="006B7EA1">
        <w:rPr>
          <w:rFonts w:eastAsia="Arial Unicode MS"/>
          <w:bCs/>
          <w:lang w:eastAsia="fr-FR" w:bidi="he-IL"/>
        </w:rPr>
        <w:t>fuísse</w:t>
      </w:r>
      <w:r w:rsidR="00CD3C57">
        <w:rPr>
          <w:rFonts w:eastAsia="Arial Unicode MS"/>
          <w:bCs/>
          <w:lang w:eastAsia="fr-FR" w:bidi="he-IL"/>
        </w:rPr>
        <w:t xml:space="preserve"> versá</w:t>
      </w:r>
      <w:r w:rsidRPr="00C8701B">
        <w:rPr>
          <w:rFonts w:eastAsia="Arial Unicode MS"/>
          <w:bCs/>
          <w:lang w:eastAsia="fr-FR" w:bidi="he-IL"/>
        </w:rPr>
        <w:t>tos</w:t>
      </w:r>
      <w:r w:rsidR="00E65435">
        <w:rPr>
          <w:rFonts w:eastAsia="Arial Unicode MS"/>
          <w:bCs/>
          <w:lang w:eastAsia="fr-FR" w:bidi="he-IL"/>
        </w:rPr>
        <w:t xml:space="preserve">, </w:t>
      </w:r>
      <w:r w:rsidR="00CD3C57" w:rsidRPr="00C8701B">
        <w:rPr>
          <w:rFonts w:eastAsia="Arial Unicode MS"/>
          <w:bCs/>
          <w:lang w:eastAsia="fr-FR" w:bidi="he-IL"/>
        </w:rPr>
        <w:t>Joánnem</w:t>
      </w:r>
      <w:r w:rsidRPr="00C8701B">
        <w:rPr>
          <w:rFonts w:eastAsia="Arial Unicode MS"/>
          <w:bCs/>
          <w:lang w:eastAsia="fr-FR" w:bidi="he-IL"/>
        </w:rPr>
        <w:t xml:space="preserve"> vero facta D</w:t>
      </w:r>
      <w:r w:rsidR="004D031F">
        <w:rPr>
          <w:rFonts w:eastAsia="Arial Unicode MS"/>
          <w:bCs/>
          <w:lang w:eastAsia="fr-FR" w:bidi="he-IL"/>
        </w:rPr>
        <w:t>ómini</w:t>
      </w:r>
      <w:r w:rsidRPr="00C8701B">
        <w:rPr>
          <w:rFonts w:eastAsia="Arial Unicode MS"/>
          <w:bCs/>
          <w:lang w:eastAsia="fr-FR" w:bidi="he-IL"/>
        </w:rPr>
        <w:t xml:space="preserve"> multo </w:t>
      </w:r>
      <w:r w:rsidR="00CD3C57" w:rsidRPr="00C8701B">
        <w:rPr>
          <w:rFonts w:eastAsia="Arial Unicode MS"/>
          <w:bCs/>
          <w:lang w:eastAsia="fr-FR" w:bidi="he-IL"/>
        </w:rPr>
        <w:t>paucióra</w:t>
      </w:r>
      <w:r w:rsidRPr="00C8701B">
        <w:rPr>
          <w:rFonts w:eastAsia="Arial Unicode MS"/>
          <w:bCs/>
          <w:lang w:eastAsia="fr-FR" w:bidi="he-IL"/>
        </w:rPr>
        <w:t xml:space="preserve"> </w:t>
      </w:r>
      <w:r w:rsidR="00CD3C57" w:rsidRPr="00C8701B">
        <w:rPr>
          <w:rFonts w:eastAsia="Arial Unicode MS"/>
          <w:bCs/>
          <w:lang w:eastAsia="fr-FR" w:bidi="he-IL"/>
        </w:rPr>
        <w:t>narrántem</w:t>
      </w:r>
      <w:r w:rsidR="00E65435">
        <w:rPr>
          <w:rFonts w:eastAsia="Arial Unicode MS"/>
          <w:bCs/>
          <w:lang w:eastAsia="fr-FR" w:bidi="he-IL"/>
        </w:rPr>
        <w:t xml:space="preserve">, </w:t>
      </w:r>
      <w:r w:rsidRPr="00C8701B">
        <w:rPr>
          <w:rFonts w:eastAsia="Arial Unicode MS"/>
          <w:bCs/>
          <w:lang w:eastAsia="fr-FR" w:bidi="he-IL"/>
        </w:rPr>
        <w:t>dicta vero ejus</w:t>
      </w:r>
      <w:r w:rsidR="00E65435">
        <w:rPr>
          <w:rFonts w:eastAsia="Arial Unicode MS"/>
          <w:bCs/>
          <w:lang w:eastAsia="fr-FR" w:bidi="he-IL"/>
        </w:rPr>
        <w:t xml:space="preserve">, </w:t>
      </w:r>
      <w:r w:rsidRPr="00C8701B">
        <w:rPr>
          <w:rFonts w:eastAsia="Arial Unicode MS"/>
          <w:bCs/>
          <w:lang w:eastAsia="fr-FR" w:bidi="he-IL"/>
        </w:rPr>
        <w:t xml:space="preserve">ea </w:t>
      </w:r>
      <w:r w:rsidR="00CD3C57">
        <w:rPr>
          <w:rFonts w:eastAsia="Arial Unicode MS"/>
          <w:bCs/>
          <w:lang w:eastAsia="fr-FR" w:bidi="he-IL"/>
        </w:rPr>
        <w:t>præ</w:t>
      </w:r>
      <w:r w:rsidR="00CD3C57" w:rsidRPr="00C8701B">
        <w:rPr>
          <w:rFonts w:eastAsia="Arial Unicode MS"/>
          <w:bCs/>
          <w:lang w:eastAsia="fr-FR" w:bidi="he-IL"/>
        </w:rPr>
        <w:t>sértim</w:t>
      </w:r>
      <w:r w:rsidRPr="00C8701B">
        <w:rPr>
          <w:rFonts w:eastAsia="Arial Unicode MS"/>
          <w:bCs/>
          <w:lang w:eastAsia="fr-FR" w:bidi="he-IL"/>
        </w:rPr>
        <w:t xml:space="preserve"> qu</w:t>
      </w:r>
      <w:r w:rsidR="00E37C84">
        <w:rPr>
          <w:rFonts w:eastAsia="Arial Unicode MS"/>
          <w:bCs/>
          <w:lang w:eastAsia="fr-FR" w:bidi="he-IL"/>
        </w:rPr>
        <w:t>æ</w:t>
      </w:r>
      <w:r w:rsidRPr="00C8701B">
        <w:rPr>
          <w:rFonts w:eastAsia="Arial Unicode MS"/>
          <w:bCs/>
          <w:lang w:eastAsia="fr-FR" w:bidi="he-IL"/>
        </w:rPr>
        <w:t xml:space="preserve"> </w:t>
      </w:r>
      <w:r w:rsidR="00CD3C57" w:rsidRPr="00C8701B">
        <w:rPr>
          <w:rFonts w:eastAsia="Arial Unicode MS"/>
          <w:bCs/>
          <w:lang w:eastAsia="fr-FR" w:bidi="he-IL"/>
        </w:rPr>
        <w:t>Trinitátis</w:t>
      </w:r>
      <w:r w:rsidRPr="00C8701B">
        <w:rPr>
          <w:rFonts w:eastAsia="Arial Unicode MS"/>
          <w:bCs/>
          <w:lang w:eastAsia="fr-FR" w:bidi="he-IL"/>
        </w:rPr>
        <w:t xml:space="preserve"> un</w:t>
      </w:r>
      <w:r w:rsidR="00C21120">
        <w:rPr>
          <w:rFonts w:eastAsia="Arial Unicode MS"/>
          <w:bCs/>
          <w:lang w:eastAsia="fr-FR" w:bidi="he-IL"/>
        </w:rPr>
        <w:t>itátem</w:t>
      </w:r>
      <w:r w:rsidRPr="00C8701B">
        <w:rPr>
          <w:rFonts w:eastAsia="Arial Unicode MS"/>
          <w:bCs/>
          <w:lang w:eastAsia="fr-FR" w:bidi="he-IL"/>
        </w:rPr>
        <w:t xml:space="preserve"> et vit</w:t>
      </w:r>
      <w:r w:rsidR="00E37C84">
        <w:rPr>
          <w:rFonts w:eastAsia="Arial Unicode MS"/>
          <w:bCs/>
          <w:lang w:eastAsia="fr-FR" w:bidi="he-IL"/>
        </w:rPr>
        <w:t>æ</w:t>
      </w:r>
      <w:r w:rsidRPr="00C8701B">
        <w:rPr>
          <w:rFonts w:eastAsia="Arial Unicode MS"/>
          <w:bCs/>
          <w:lang w:eastAsia="fr-FR" w:bidi="he-IL"/>
        </w:rPr>
        <w:t xml:space="preserve"> </w:t>
      </w:r>
      <w:r w:rsidR="00CD3C57">
        <w:rPr>
          <w:rFonts w:eastAsia="Arial Unicode MS"/>
          <w:bCs/>
          <w:lang w:eastAsia="fr-FR" w:bidi="he-IL"/>
        </w:rPr>
        <w:t>ætérnæ</w:t>
      </w:r>
      <w:r w:rsidRPr="00C8701B">
        <w:rPr>
          <w:rFonts w:eastAsia="Arial Unicode MS"/>
          <w:bCs/>
          <w:lang w:eastAsia="fr-FR" w:bidi="he-IL"/>
        </w:rPr>
        <w:t xml:space="preserve"> felic</w:t>
      </w:r>
      <w:r w:rsidR="00C21120">
        <w:rPr>
          <w:rFonts w:eastAsia="Arial Unicode MS"/>
          <w:bCs/>
          <w:lang w:eastAsia="fr-FR" w:bidi="he-IL"/>
        </w:rPr>
        <w:t>itátem</w:t>
      </w:r>
      <w:r w:rsidR="00CD3C57">
        <w:rPr>
          <w:rFonts w:eastAsia="Arial Unicode MS"/>
          <w:bCs/>
          <w:lang w:eastAsia="fr-FR" w:bidi="he-IL"/>
        </w:rPr>
        <w:t xml:space="preserve"> insinuá</w:t>
      </w:r>
      <w:r w:rsidRPr="00C8701B">
        <w:rPr>
          <w:rFonts w:eastAsia="Arial Unicode MS"/>
          <w:bCs/>
          <w:lang w:eastAsia="fr-FR" w:bidi="he-IL"/>
        </w:rPr>
        <w:t>rent</w:t>
      </w:r>
      <w:r w:rsidR="00E65435">
        <w:rPr>
          <w:rFonts w:eastAsia="Arial Unicode MS"/>
          <w:bCs/>
          <w:lang w:eastAsia="fr-FR" w:bidi="he-IL"/>
        </w:rPr>
        <w:t xml:space="preserve">, </w:t>
      </w:r>
      <w:r w:rsidRPr="00C8701B">
        <w:rPr>
          <w:rFonts w:eastAsia="Arial Unicode MS"/>
          <w:bCs/>
          <w:lang w:eastAsia="fr-FR" w:bidi="he-IL"/>
        </w:rPr>
        <w:t>dilig</w:t>
      </w:r>
      <w:r w:rsidR="00652B4F">
        <w:rPr>
          <w:rFonts w:eastAsia="Arial Unicode MS"/>
          <w:bCs/>
          <w:lang w:eastAsia="fr-FR" w:bidi="he-IL"/>
        </w:rPr>
        <w:t>é</w:t>
      </w:r>
      <w:r w:rsidR="00652B4F" w:rsidRPr="00C8701B">
        <w:rPr>
          <w:rFonts w:eastAsia="Arial Unicode MS"/>
          <w:bCs/>
          <w:lang w:eastAsia="fr-FR" w:bidi="he-IL"/>
        </w:rPr>
        <w:t>ntius</w:t>
      </w:r>
      <w:r w:rsidRPr="00C8701B">
        <w:rPr>
          <w:rFonts w:eastAsia="Arial Unicode MS"/>
          <w:bCs/>
          <w:lang w:eastAsia="fr-FR" w:bidi="he-IL"/>
        </w:rPr>
        <w:t xml:space="preserve"> et </w:t>
      </w:r>
      <w:r w:rsidR="00CD3C57" w:rsidRPr="00C8701B">
        <w:rPr>
          <w:rFonts w:eastAsia="Arial Unicode MS"/>
          <w:bCs/>
          <w:lang w:eastAsia="fr-FR" w:bidi="he-IL"/>
        </w:rPr>
        <w:t>ubérius</w:t>
      </w:r>
      <w:r w:rsidR="00CD3C57">
        <w:rPr>
          <w:rFonts w:eastAsia="Arial Unicode MS"/>
          <w:bCs/>
          <w:lang w:eastAsia="fr-FR" w:bidi="he-IL"/>
        </w:rPr>
        <w:t xml:space="preserve"> conscribé</w:t>
      </w:r>
      <w:r w:rsidRPr="00C8701B">
        <w:rPr>
          <w:rFonts w:eastAsia="Arial Unicode MS"/>
          <w:bCs/>
          <w:lang w:eastAsia="fr-FR" w:bidi="he-IL"/>
        </w:rPr>
        <w:t>ntem</w:t>
      </w:r>
      <w:r w:rsidR="00E65435">
        <w:rPr>
          <w:rFonts w:eastAsia="Arial Unicode MS"/>
          <w:bCs/>
          <w:lang w:eastAsia="fr-FR" w:bidi="he-IL"/>
        </w:rPr>
        <w:t xml:space="preserve">, </w:t>
      </w:r>
      <w:r w:rsidRPr="00C8701B">
        <w:rPr>
          <w:rFonts w:eastAsia="Arial Unicode MS"/>
          <w:bCs/>
          <w:lang w:eastAsia="fr-FR" w:bidi="he-IL"/>
        </w:rPr>
        <w:t xml:space="preserve">in </w:t>
      </w:r>
      <w:r w:rsidR="00CD3C57" w:rsidRPr="00C8701B">
        <w:rPr>
          <w:rFonts w:eastAsia="Arial Unicode MS"/>
          <w:bCs/>
          <w:lang w:eastAsia="fr-FR" w:bidi="he-IL"/>
        </w:rPr>
        <w:t>virtúte</w:t>
      </w:r>
      <w:r w:rsidRPr="00C8701B">
        <w:rPr>
          <w:rFonts w:eastAsia="Arial Unicode MS"/>
          <w:bCs/>
          <w:lang w:eastAsia="fr-FR" w:bidi="he-IL"/>
        </w:rPr>
        <w:t xml:space="preserve"> </w:t>
      </w:r>
      <w:r w:rsidR="00CD3C57" w:rsidRPr="00C8701B">
        <w:rPr>
          <w:rFonts w:eastAsia="Arial Unicode MS"/>
          <w:bCs/>
          <w:lang w:eastAsia="fr-FR" w:bidi="he-IL"/>
        </w:rPr>
        <w:t>contemplatíva</w:t>
      </w:r>
      <w:r w:rsidR="00CD3C57">
        <w:rPr>
          <w:rFonts w:eastAsia="Arial Unicode MS"/>
          <w:bCs/>
          <w:lang w:eastAsia="fr-FR" w:bidi="he-IL"/>
        </w:rPr>
        <w:t xml:space="preserve"> commendá</w:t>
      </w:r>
      <w:r w:rsidRPr="00C8701B">
        <w:rPr>
          <w:rFonts w:eastAsia="Arial Unicode MS"/>
          <w:bCs/>
          <w:lang w:eastAsia="fr-FR" w:bidi="he-IL"/>
        </w:rPr>
        <w:t>nda suam intent</w:t>
      </w:r>
      <w:r w:rsidR="000B732C">
        <w:rPr>
          <w:rFonts w:eastAsia="Arial Unicode MS"/>
          <w:bCs/>
          <w:lang w:eastAsia="fr-FR" w:bidi="he-IL"/>
        </w:rPr>
        <w:t>iónem</w:t>
      </w:r>
      <w:r w:rsidRPr="00C8701B">
        <w:rPr>
          <w:rFonts w:eastAsia="Arial Unicode MS"/>
          <w:bCs/>
          <w:lang w:eastAsia="fr-FR" w:bidi="he-IL"/>
        </w:rPr>
        <w:t xml:space="preserve"> </w:t>
      </w:r>
      <w:r w:rsidR="00E37C84">
        <w:rPr>
          <w:rFonts w:eastAsia="Arial Unicode MS"/>
          <w:bCs/>
          <w:lang w:eastAsia="fr-FR" w:bidi="he-IL"/>
        </w:rPr>
        <w:t>præ</w:t>
      </w:r>
      <w:r w:rsidRPr="00C8701B">
        <w:rPr>
          <w:rFonts w:eastAsia="Arial Unicode MS"/>
          <w:bCs/>
          <w:lang w:eastAsia="fr-FR" w:bidi="he-IL"/>
        </w:rPr>
        <w:t>dicat</w:t>
      </w:r>
      <w:r w:rsidR="00776C8C" w:rsidRPr="00C8701B">
        <w:rPr>
          <w:rFonts w:eastAsia="Arial Unicode MS"/>
          <w:bCs/>
          <w:lang w:eastAsia="fr-FR" w:bidi="he-IL"/>
        </w:rPr>
        <w:t>ion</w:t>
      </w:r>
      <w:r w:rsidR="00776C8C">
        <w:rPr>
          <w:rFonts w:eastAsia="Arial Unicode MS"/>
          <w:bCs/>
          <w:lang w:eastAsia="fr-FR" w:bidi="he-IL"/>
        </w:rPr>
        <w:t>é</w:t>
      </w:r>
      <w:r w:rsidR="00776C8C" w:rsidRPr="00C8701B">
        <w:rPr>
          <w:rFonts w:eastAsia="Arial Unicode MS"/>
          <w:bCs/>
          <w:lang w:eastAsia="fr-FR" w:bidi="he-IL"/>
        </w:rPr>
        <w:t>mque</w:t>
      </w:r>
      <w:r w:rsidRPr="00C8701B">
        <w:rPr>
          <w:rFonts w:eastAsia="Arial Unicode MS"/>
          <w:bCs/>
          <w:lang w:eastAsia="fr-FR" w:bidi="he-IL"/>
        </w:rPr>
        <w:t xml:space="preserve"> ten</w:t>
      </w:r>
      <w:r w:rsidR="00795B48">
        <w:rPr>
          <w:rFonts w:eastAsia="Arial Unicode MS"/>
          <w:bCs/>
          <w:lang w:eastAsia="fr-FR" w:bidi="he-IL"/>
        </w:rPr>
        <w:t>uíss</w:t>
      </w:r>
      <w:r w:rsidR="00CD3C57">
        <w:rPr>
          <w:rFonts w:eastAsia="Arial Unicode MS"/>
          <w:bCs/>
          <w:lang w:eastAsia="fr-FR" w:bidi="he-IL"/>
        </w:rPr>
        <w:t xml:space="preserve">e. » </w:t>
      </w:r>
      <w:r w:rsidR="008877B9">
        <w:rPr>
          <w:rFonts w:eastAsia="Arial Unicode MS"/>
          <w:bCs/>
          <w:lang w:eastAsia="fr-FR" w:bidi="he-IL"/>
        </w:rPr>
        <w:t xml:space="preserve">[trad. </w:t>
      </w:r>
      <w:r w:rsidR="008877B9" w:rsidRPr="007400FC">
        <w:rPr>
          <w:szCs w:val="24"/>
        </w:rPr>
        <w:t>Poujoulat</w:t>
      </w:r>
      <w:r w:rsidR="008877B9">
        <w:rPr>
          <w:szCs w:val="24"/>
        </w:rPr>
        <w:t>-</w:t>
      </w:r>
      <w:r w:rsidR="008877B9" w:rsidRPr="007400FC">
        <w:rPr>
          <w:szCs w:val="24"/>
        </w:rPr>
        <w:t>Raulx</w:t>
      </w:r>
      <w:r w:rsidR="008877B9">
        <w:rPr>
          <w:szCs w:val="24"/>
        </w:rPr>
        <w:t xml:space="preserve"> : </w:t>
      </w:r>
      <w:r w:rsidR="008877B9" w:rsidRPr="004247D2">
        <w:rPr>
          <w:szCs w:val="24"/>
        </w:rPr>
        <w:t>Il y a deux vertus proposées à l</w:t>
      </w:r>
      <w:r w:rsidR="00557DE0">
        <w:rPr>
          <w:szCs w:val="24"/>
        </w:rPr>
        <w:t>’</w:t>
      </w:r>
      <w:r w:rsidR="008877B9" w:rsidRPr="004247D2">
        <w:rPr>
          <w:szCs w:val="24"/>
        </w:rPr>
        <w:t>âme humaine</w:t>
      </w:r>
      <w:r w:rsidR="008877B9">
        <w:rPr>
          <w:szCs w:val="24"/>
        </w:rPr>
        <w:t> :</w:t>
      </w:r>
      <w:r w:rsidR="008877B9" w:rsidRPr="004247D2">
        <w:rPr>
          <w:szCs w:val="24"/>
        </w:rPr>
        <w:t xml:space="preserve"> la vertu active et la vertu contemplative. Avec l</w:t>
      </w:r>
      <w:r w:rsidR="00557DE0">
        <w:rPr>
          <w:szCs w:val="24"/>
        </w:rPr>
        <w:t>’</w:t>
      </w:r>
      <w:r w:rsidR="008877B9" w:rsidRPr="004247D2">
        <w:rPr>
          <w:szCs w:val="24"/>
        </w:rPr>
        <w:t>une on marche, avec l</w:t>
      </w:r>
      <w:r w:rsidR="00557DE0">
        <w:rPr>
          <w:szCs w:val="24"/>
        </w:rPr>
        <w:t>’</w:t>
      </w:r>
      <w:r w:rsidR="008877B9" w:rsidRPr="004247D2">
        <w:rPr>
          <w:szCs w:val="24"/>
        </w:rPr>
        <w:t>autre on atteint le but</w:t>
      </w:r>
      <w:r w:rsidR="008877B9">
        <w:rPr>
          <w:szCs w:val="24"/>
        </w:rPr>
        <w:t> :</w:t>
      </w:r>
      <w:r w:rsidR="008877B9" w:rsidRPr="004247D2">
        <w:rPr>
          <w:szCs w:val="24"/>
        </w:rPr>
        <w:t xml:space="preserve"> avec l</w:t>
      </w:r>
      <w:r w:rsidR="00557DE0">
        <w:rPr>
          <w:szCs w:val="24"/>
        </w:rPr>
        <w:t>’</w:t>
      </w:r>
      <w:r w:rsidR="008877B9" w:rsidRPr="004247D2">
        <w:rPr>
          <w:szCs w:val="24"/>
        </w:rPr>
        <w:t>une on travaille à purifier le c</w:t>
      </w:r>
      <w:r w:rsidR="008877B9">
        <w:rPr>
          <w:szCs w:val="24"/>
        </w:rPr>
        <w:t>œ</w:t>
      </w:r>
      <w:r w:rsidR="008877B9" w:rsidRPr="004247D2">
        <w:rPr>
          <w:szCs w:val="24"/>
        </w:rPr>
        <w:t>ur et à se rendre capable de voir Dieu, avec l</w:t>
      </w:r>
      <w:r w:rsidR="00557DE0">
        <w:rPr>
          <w:szCs w:val="24"/>
        </w:rPr>
        <w:t>’</w:t>
      </w:r>
      <w:r w:rsidR="008877B9" w:rsidRPr="004247D2">
        <w:rPr>
          <w:szCs w:val="24"/>
        </w:rPr>
        <w:t xml:space="preserve">autre on </w:t>
      </w:r>
      <w:r w:rsidR="008877B9">
        <w:rPr>
          <w:szCs w:val="24"/>
        </w:rPr>
        <w:t>gout</w:t>
      </w:r>
      <w:r w:rsidR="008877B9" w:rsidRPr="004247D2">
        <w:rPr>
          <w:szCs w:val="24"/>
        </w:rPr>
        <w:t>e en liberté la vue de Dieu. L</w:t>
      </w:r>
      <w:r w:rsidR="00557DE0">
        <w:rPr>
          <w:szCs w:val="24"/>
        </w:rPr>
        <w:t>’</w:t>
      </w:r>
      <w:r w:rsidR="008877B9" w:rsidRPr="004247D2">
        <w:rPr>
          <w:szCs w:val="24"/>
        </w:rPr>
        <w:t>une a pour objet les préceptes qui règlent la conduite de cette vie passagère, et l</w:t>
      </w:r>
      <w:r w:rsidR="00557DE0">
        <w:rPr>
          <w:szCs w:val="24"/>
        </w:rPr>
        <w:t>’</w:t>
      </w:r>
      <w:r w:rsidR="008877B9" w:rsidRPr="004247D2">
        <w:rPr>
          <w:szCs w:val="24"/>
        </w:rPr>
        <w:t>autre la science de la vie éternelle. Ainsi l</w:t>
      </w:r>
      <w:r w:rsidR="00557DE0">
        <w:rPr>
          <w:szCs w:val="24"/>
        </w:rPr>
        <w:t>’</w:t>
      </w:r>
      <w:r w:rsidR="008877B9" w:rsidRPr="004247D2">
        <w:rPr>
          <w:szCs w:val="24"/>
        </w:rPr>
        <w:t>une opère, l</w:t>
      </w:r>
      <w:r w:rsidR="00557DE0">
        <w:rPr>
          <w:szCs w:val="24"/>
        </w:rPr>
        <w:t>’</w:t>
      </w:r>
      <w:r w:rsidR="008877B9" w:rsidRPr="004247D2">
        <w:rPr>
          <w:szCs w:val="24"/>
        </w:rPr>
        <w:t>autre se repose</w:t>
      </w:r>
      <w:r w:rsidR="008877B9">
        <w:rPr>
          <w:szCs w:val="24"/>
        </w:rPr>
        <w:t> ;</w:t>
      </w:r>
      <w:r w:rsidR="008877B9" w:rsidRPr="004247D2">
        <w:rPr>
          <w:szCs w:val="24"/>
        </w:rPr>
        <w:t xml:space="preserve"> car l</w:t>
      </w:r>
      <w:r w:rsidR="00557DE0">
        <w:rPr>
          <w:szCs w:val="24"/>
        </w:rPr>
        <w:t>’</w:t>
      </w:r>
      <w:r w:rsidR="008877B9" w:rsidRPr="004247D2">
        <w:rPr>
          <w:szCs w:val="24"/>
        </w:rPr>
        <w:t>expiation des péchés est le propre de la vertu active, et la lumière d</w:t>
      </w:r>
      <w:r w:rsidR="00557DE0">
        <w:rPr>
          <w:szCs w:val="24"/>
        </w:rPr>
        <w:t>’</w:t>
      </w:r>
      <w:r w:rsidR="008877B9" w:rsidRPr="004247D2">
        <w:rPr>
          <w:szCs w:val="24"/>
        </w:rPr>
        <w:t xml:space="preserve">une conscience pure celui de la vertu contemplative. Ainsi durant les jours de notre mortalité celle-là consiste dans les </w:t>
      </w:r>
      <w:r w:rsidR="008877B9">
        <w:rPr>
          <w:szCs w:val="24"/>
        </w:rPr>
        <w:t>œ</w:t>
      </w:r>
      <w:r w:rsidR="008877B9" w:rsidRPr="004247D2">
        <w:rPr>
          <w:szCs w:val="24"/>
        </w:rPr>
        <w:t>uvres d</w:t>
      </w:r>
      <w:r w:rsidR="00557DE0">
        <w:rPr>
          <w:szCs w:val="24"/>
        </w:rPr>
        <w:t>’</w:t>
      </w:r>
      <w:r w:rsidR="008877B9" w:rsidRPr="004247D2">
        <w:rPr>
          <w:szCs w:val="24"/>
        </w:rPr>
        <w:t>une bonne vie, celle-ci plus particulièrement dans la foi</w:t>
      </w:r>
      <w:r w:rsidR="008877B9">
        <w:rPr>
          <w:szCs w:val="24"/>
        </w:rPr>
        <w:t> ;</w:t>
      </w:r>
      <w:r w:rsidR="008877B9" w:rsidRPr="004247D2">
        <w:rPr>
          <w:szCs w:val="24"/>
        </w:rPr>
        <w:t xml:space="preserve"> et à l</w:t>
      </w:r>
      <w:r w:rsidR="00557DE0">
        <w:rPr>
          <w:szCs w:val="24"/>
        </w:rPr>
        <w:t>’</w:t>
      </w:r>
      <w:r w:rsidR="008877B9" w:rsidRPr="004247D2">
        <w:rPr>
          <w:szCs w:val="24"/>
        </w:rPr>
        <w:t>égard d</w:t>
      </w:r>
      <w:r w:rsidR="00557DE0">
        <w:rPr>
          <w:szCs w:val="24"/>
        </w:rPr>
        <w:t>’</w:t>
      </w:r>
      <w:r w:rsidR="008877B9" w:rsidRPr="004247D2">
        <w:rPr>
          <w:szCs w:val="24"/>
        </w:rPr>
        <w:t>un bien petit nombre c</w:t>
      </w:r>
      <w:r w:rsidR="00557DE0">
        <w:rPr>
          <w:szCs w:val="24"/>
        </w:rPr>
        <w:t>’</w:t>
      </w:r>
      <w:r w:rsidR="008877B9" w:rsidRPr="004247D2">
        <w:rPr>
          <w:szCs w:val="24"/>
        </w:rPr>
        <w:t>est la vue en</w:t>
      </w:r>
      <w:r w:rsidR="008877B9">
        <w:rPr>
          <w:szCs w:val="24"/>
        </w:rPr>
        <w:t xml:space="preserve"> énigme et comme en un miroir, c</w:t>
      </w:r>
      <w:r w:rsidR="00557DE0">
        <w:rPr>
          <w:szCs w:val="24"/>
        </w:rPr>
        <w:t>’</w:t>
      </w:r>
      <w:r w:rsidR="008877B9" w:rsidRPr="004247D2">
        <w:rPr>
          <w:szCs w:val="24"/>
        </w:rPr>
        <w:t>est la vision en partie de l</w:t>
      </w:r>
      <w:r w:rsidR="00557DE0">
        <w:rPr>
          <w:szCs w:val="24"/>
        </w:rPr>
        <w:t>’</w:t>
      </w:r>
      <w:r w:rsidR="008877B9">
        <w:rPr>
          <w:szCs w:val="24"/>
        </w:rPr>
        <w:t xml:space="preserve">immuable et éternelle vérité… </w:t>
      </w:r>
      <w:r w:rsidR="008877B9" w:rsidRPr="004247D2">
        <w:rPr>
          <w:szCs w:val="24"/>
        </w:rPr>
        <w:t xml:space="preserve">De là on peut comprendre avec un examen attentif, que les trois premiers </w:t>
      </w:r>
      <w:r w:rsidR="008877B9">
        <w:rPr>
          <w:szCs w:val="24"/>
        </w:rPr>
        <w:t>Évangéliste</w:t>
      </w:r>
      <w:r w:rsidR="008877B9" w:rsidRPr="004247D2">
        <w:rPr>
          <w:szCs w:val="24"/>
        </w:rPr>
        <w:t>s, en s</w:t>
      </w:r>
      <w:r w:rsidR="00557DE0">
        <w:rPr>
          <w:szCs w:val="24"/>
        </w:rPr>
        <w:t>’</w:t>
      </w:r>
      <w:r w:rsidR="008877B9" w:rsidRPr="004247D2">
        <w:rPr>
          <w:szCs w:val="24"/>
        </w:rPr>
        <w:t>attachant à retracer les faits temporels de la vie de Notre-Seigneur et de celles de ses paroles dont le but spécial est de former les m</w:t>
      </w:r>
      <w:r w:rsidR="008877B9">
        <w:rPr>
          <w:szCs w:val="24"/>
        </w:rPr>
        <w:t>œ</w:t>
      </w:r>
      <w:r w:rsidR="008877B9" w:rsidRPr="004247D2">
        <w:rPr>
          <w:szCs w:val="24"/>
        </w:rPr>
        <w:t>urs et de régler la conduite dans le siècle présent, ont surtout relevé par leurs discours la vertu active</w:t>
      </w:r>
      <w:r w:rsidR="008877B9">
        <w:rPr>
          <w:szCs w:val="24"/>
        </w:rPr>
        <w:t> ;</w:t>
      </w:r>
      <w:r w:rsidR="008877B9" w:rsidRPr="004247D2">
        <w:rPr>
          <w:szCs w:val="24"/>
        </w:rPr>
        <w:t xml:space="preserve"> tandis que saint Jean, qui ne raconte pas, à beaucoup près, en si grand nombre les faits accomplis par Jésus-Christ, et, quant aux paroles du divin maître, s</w:t>
      </w:r>
      <w:r w:rsidR="00557DE0">
        <w:rPr>
          <w:szCs w:val="24"/>
        </w:rPr>
        <w:t>’</w:t>
      </w:r>
      <w:r w:rsidR="008877B9" w:rsidRPr="004247D2">
        <w:rPr>
          <w:szCs w:val="24"/>
        </w:rPr>
        <w:t>étend davantage et avec plus de soin sur celles où il s</w:t>
      </w:r>
      <w:r w:rsidR="00557DE0">
        <w:rPr>
          <w:szCs w:val="24"/>
        </w:rPr>
        <w:t>’</w:t>
      </w:r>
      <w:r w:rsidR="008877B9" w:rsidRPr="004247D2">
        <w:rPr>
          <w:szCs w:val="24"/>
        </w:rPr>
        <w:t>agit d</w:t>
      </w:r>
      <w:r w:rsidR="00557DE0">
        <w:rPr>
          <w:szCs w:val="24"/>
        </w:rPr>
        <w:t>’</w:t>
      </w:r>
      <w:r w:rsidR="008877B9" w:rsidRPr="004247D2">
        <w:rPr>
          <w:szCs w:val="24"/>
        </w:rPr>
        <w:t>insinuer le mystère d</w:t>
      </w:r>
      <w:r w:rsidR="00557DE0">
        <w:rPr>
          <w:szCs w:val="24"/>
        </w:rPr>
        <w:t>’</w:t>
      </w:r>
      <w:r w:rsidR="008877B9" w:rsidRPr="004247D2">
        <w:rPr>
          <w:szCs w:val="24"/>
        </w:rPr>
        <w:t>un seul Dieu en trois personnes, le bonheur de la vie éternelle, a eu l</w:t>
      </w:r>
      <w:r w:rsidR="00557DE0">
        <w:rPr>
          <w:szCs w:val="24"/>
        </w:rPr>
        <w:t>’</w:t>
      </w:r>
      <w:r w:rsidR="008877B9" w:rsidRPr="004247D2">
        <w:rPr>
          <w:szCs w:val="24"/>
        </w:rPr>
        <w:t>intention de faire valoir dans son récit la vertu contemplative.</w:t>
      </w:r>
      <w:r w:rsidR="008877B9">
        <w:rPr>
          <w:rFonts w:eastAsia="Arial Unicode MS"/>
          <w:bCs/>
          <w:lang w:eastAsia="fr-FR" w:bidi="he-IL"/>
        </w:rPr>
        <w:t xml:space="preserve">] </w:t>
      </w:r>
      <w:r w:rsidR="00CD3C57">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 ce que Clément d</w:t>
      </w:r>
      <w:r w:rsidR="00557DE0">
        <w:rPr>
          <w:rFonts w:eastAsia="Arial Unicode MS"/>
          <w:bCs/>
          <w:lang w:eastAsia="fr-FR" w:bidi="he-IL"/>
        </w:rPr>
        <w:t>’</w:t>
      </w:r>
      <w:r w:rsidRPr="00C8701B">
        <w:rPr>
          <w:rFonts w:eastAsia="Arial Unicode MS"/>
          <w:bCs/>
          <w:lang w:eastAsia="fr-FR" w:bidi="he-IL"/>
        </w:rPr>
        <w:t>Alexandrie a exprimé plus brièvement et plus énergiquement par deux épithètes célèbres</w:t>
      </w:r>
      <w:r w:rsidR="00E65435">
        <w:rPr>
          <w:rFonts w:eastAsia="Arial Unicode MS"/>
          <w:bCs/>
          <w:lang w:eastAsia="fr-FR" w:bidi="he-IL"/>
        </w:rPr>
        <w:t xml:space="preserve">, </w:t>
      </w:r>
      <w:r w:rsidRPr="00C8701B">
        <w:rPr>
          <w:rFonts w:eastAsia="Arial Unicode MS"/>
          <w:bCs/>
          <w:lang w:eastAsia="fr-FR" w:bidi="he-IL"/>
        </w:rPr>
        <w:t>en donn</w:t>
      </w:r>
      <w:r w:rsidR="00CD3C57">
        <w:rPr>
          <w:rFonts w:eastAsia="Arial Unicode MS"/>
          <w:bCs/>
          <w:lang w:eastAsia="fr-FR" w:bidi="he-IL"/>
        </w:rPr>
        <w:t>ant aux trois premiers évangiles</w:t>
      </w:r>
      <w:r w:rsidRPr="00C8701B">
        <w:rPr>
          <w:rFonts w:eastAsia="Arial Unicode MS"/>
          <w:bCs/>
          <w:lang w:eastAsia="fr-FR" w:bidi="he-IL"/>
        </w:rPr>
        <w:t xml:space="preserve"> le surnom de </w:t>
      </w:r>
      <w:r w:rsidRPr="00CD3C57">
        <w:t>σωμ</w:t>
      </w:r>
      <w:r w:rsidR="00A74F01" w:rsidRPr="00CD3C57">
        <w:t>α</w:t>
      </w:r>
      <w:r w:rsidRPr="00CD3C57">
        <w:t>τικ</w:t>
      </w:r>
      <w:r w:rsidR="00CD3C57">
        <w:t>ά</w:t>
      </w:r>
      <w:r w:rsidR="00E65435" w:rsidRPr="00CD3C57">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est-à-dire</w:t>
      </w:r>
      <w:r w:rsidR="00E65435">
        <w:rPr>
          <w:rFonts w:eastAsia="Arial Unicode MS"/>
          <w:bCs/>
          <w:lang w:eastAsia="fr-FR" w:bidi="he-IL"/>
        </w:rPr>
        <w:t xml:space="preserve">, </w:t>
      </w:r>
      <w:r w:rsidRPr="00C8701B">
        <w:rPr>
          <w:rFonts w:eastAsia="Arial Unicode MS"/>
          <w:bCs/>
          <w:lang w:eastAsia="fr-FR" w:bidi="he-IL"/>
        </w:rPr>
        <w:t>de corporels</w:t>
      </w:r>
      <w:r w:rsidR="00E65435">
        <w:rPr>
          <w:rFonts w:eastAsia="Arial Unicode MS"/>
          <w:bCs/>
          <w:lang w:eastAsia="fr-FR" w:bidi="he-IL"/>
        </w:rPr>
        <w:t xml:space="preserve">, </w:t>
      </w:r>
      <w:r w:rsidRPr="00C8701B">
        <w:rPr>
          <w:rFonts w:eastAsia="Arial Unicode MS"/>
          <w:bCs/>
          <w:lang w:eastAsia="fr-FR" w:bidi="he-IL"/>
        </w:rPr>
        <w:t>de matériels d</w:t>
      </w:r>
      <w:r w:rsidR="00557DE0">
        <w:rPr>
          <w:rFonts w:eastAsia="Arial Unicode MS"/>
          <w:bCs/>
          <w:lang w:eastAsia="fr-FR" w:bidi="he-IL"/>
        </w:rPr>
        <w:t>’</w:t>
      </w:r>
      <w:r w:rsidRPr="00C8701B">
        <w:rPr>
          <w:rFonts w:eastAsia="Arial Unicode MS"/>
          <w:bCs/>
          <w:lang w:eastAsia="fr-FR" w:bidi="he-IL"/>
        </w:rPr>
        <w:t>une certaine manière</w:t>
      </w:r>
      <w:r w:rsidR="00E65435">
        <w:rPr>
          <w:rFonts w:eastAsia="Arial Unicode MS"/>
          <w:bCs/>
          <w:lang w:eastAsia="fr-FR" w:bidi="he-IL"/>
        </w:rPr>
        <w:t xml:space="preserve">, </w:t>
      </w:r>
      <w:r w:rsidR="00CD3C57">
        <w:rPr>
          <w:rFonts w:eastAsia="Arial Unicode MS"/>
          <w:bCs/>
          <w:lang w:eastAsia="fr-FR" w:bidi="he-IL"/>
        </w:rPr>
        <w:t>par</w:t>
      </w:r>
      <w:r w:rsidRPr="00C8701B">
        <w:rPr>
          <w:rFonts w:eastAsia="Arial Unicode MS"/>
          <w:bCs/>
          <w:lang w:eastAsia="fr-FR" w:bidi="he-IL"/>
        </w:rPr>
        <w:t xml:space="preserve"> </w:t>
      </w:r>
      <w:r w:rsidRPr="00CD3C57">
        <w:t>comparaison avec le quatrième</w:t>
      </w:r>
      <w:r w:rsidR="00E65435" w:rsidRPr="00CD3C57">
        <w:t xml:space="preserve">, </w:t>
      </w:r>
      <w:r w:rsidRPr="00CD3C57">
        <w:t>qui est tout spirituel</w:t>
      </w:r>
      <w:r w:rsidR="00E65435" w:rsidRPr="00CD3C57">
        <w:t xml:space="preserve">, </w:t>
      </w:r>
      <w:r w:rsidRPr="00CD3C57">
        <w:t>πνευμ</w:t>
      </w:r>
      <w:r w:rsidR="00A74F01" w:rsidRPr="00CD3C57">
        <w:t>α</w:t>
      </w:r>
      <w:r w:rsidRPr="00CD3C57">
        <w:t>τικ</w:t>
      </w:r>
      <w:r w:rsidR="00736374" w:rsidRPr="00CD3C57">
        <w:t>ό</w:t>
      </w:r>
      <w:r w:rsidRPr="00CD3C57">
        <w:t>ν</w:t>
      </w:r>
      <w:r w:rsidR="00933C60" w:rsidRPr="00C406FF">
        <w:rPr>
          <w:rStyle w:val="Appelnotedebasdep"/>
        </w:rPr>
        <w:footnoteReference w:id="293"/>
      </w:r>
      <w:r w:rsidRPr="00CD3C57">
        <w:t>.</w:t>
      </w:r>
      <w:r w:rsidR="00C2602D" w:rsidRPr="00CD3C57">
        <w:t xml:space="preserve"> </w:t>
      </w:r>
      <w:r w:rsidR="00A067B1" w:rsidRPr="000716BB">
        <w:rPr>
          <w:rFonts w:eastAsia="Arial Unicode MS"/>
          <w:bCs/>
          <w:lang w:eastAsia="fr-FR" w:bidi="he-IL"/>
        </w:rPr>
        <w:t>{</w:t>
      </w:r>
      <w:r w:rsidR="00A067B1">
        <w:rPr>
          <w:rFonts w:eastAsia="Arial Unicode MS"/>
          <w:bCs/>
          <w:lang w:eastAsia="fr-FR" w:bidi="he-IL"/>
        </w:rPr>
        <w:t>55</w:t>
      </w:r>
      <w:bookmarkStart w:id="90" w:name="pag055"/>
      <w:bookmarkEnd w:id="90"/>
      <w:r w:rsidR="00A067B1" w:rsidRPr="000716BB">
        <w:rPr>
          <w:rFonts w:eastAsia="Arial Unicode MS"/>
          <w:bCs/>
          <w:lang w:eastAsia="fr-FR" w:bidi="he-IL"/>
        </w:rPr>
        <w:t>}</w:t>
      </w:r>
    </w:p>
    <w:p w:rsidR="00C2602D" w:rsidRPr="00C8701B" w:rsidRDefault="00B704AD" w:rsidP="00C2602D">
      <w:pPr>
        <w:rPr>
          <w:rFonts w:eastAsia="Arial Unicode MS"/>
          <w:bCs/>
          <w:lang w:eastAsia="fr-FR" w:bidi="he-IL"/>
        </w:rPr>
      </w:pPr>
      <w:r w:rsidRPr="00C8701B">
        <w:rPr>
          <w:rFonts w:eastAsia="Arial Unicode MS"/>
          <w:bCs/>
          <w:lang w:eastAsia="fr-FR" w:bidi="he-IL"/>
        </w:rPr>
        <w:t>Mais</w:t>
      </w:r>
      <w:r w:rsidR="00E65435">
        <w:rPr>
          <w:rFonts w:eastAsia="Arial Unicode MS"/>
          <w:bCs/>
          <w:lang w:eastAsia="fr-FR" w:bidi="he-IL"/>
        </w:rPr>
        <w:t xml:space="preserve">, </w:t>
      </w:r>
      <w:r w:rsidRPr="00C8701B">
        <w:rPr>
          <w:rFonts w:eastAsia="Arial Unicode MS"/>
          <w:bCs/>
          <w:lang w:eastAsia="fr-FR" w:bidi="he-IL"/>
        </w:rPr>
        <w:t>hâtons-nous d</w:t>
      </w:r>
      <w:r w:rsidR="00557DE0">
        <w:rPr>
          <w:rFonts w:eastAsia="Arial Unicode MS"/>
          <w:bCs/>
          <w:lang w:eastAsia="fr-FR" w:bidi="he-IL"/>
        </w:rPr>
        <w:t>’</w:t>
      </w:r>
      <w:r w:rsidRPr="00C8701B">
        <w:rPr>
          <w:rFonts w:eastAsia="Arial Unicode MS"/>
          <w:bCs/>
          <w:lang w:eastAsia="fr-FR" w:bidi="he-IL"/>
        </w:rPr>
        <w:t>ajouter qu</w:t>
      </w:r>
      <w:r w:rsidR="00557DE0">
        <w:rPr>
          <w:rFonts w:eastAsia="Arial Unicode MS"/>
          <w:bCs/>
          <w:lang w:eastAsia="fr-FR" w:bidi="he-IL"/>
        </w:rPr>
        <w:t>’</w:t>
      </w:r>
      <w:r w:rsidRPr="00C8701B">
        <w:rPr>
          <w:rFonts w:eastAsia="Arial Unicode MS"/>
          <w:bCs/>
          <w:lang w:eastAsia="fr-FR" w:bidi="he-IL"/>
        </w:rPr>
        <w:t>il y a bien loin de cette divergence</w:t>
      </w:r>
      <w:r w:rsidR="00E65435">
        <w:rPr>
          <w:rFonts w:eastAsia="Arial Unicode MS"/>
          <w:bCs/>
          <w:lang w:eastAsia="fr-FR" w:bidi="he-IL"/>
        </w:rPr>
        <w:t xml:space="preserve">, </w:t>
      </w:r>
      <w:r w:rsidRPr="00C8701B">
        <w:rPr>
          <w:rFonts w:eastAsia="Arial Unicode MS"/>
          <w:bCs/>
          <w:lang w:eastAsia="fr-FR" w:bidi="he-IL"/>
        </w:rPr>
        <w:t>quelque grande qu</w:t>
      </w:r>
      <w:r w:rsidR="00557DE0">
        <w:rPr>
          <w:rFonts w:eastAsia="Arial Unicode MS"/>
          <w:bCs/>
          <w:lang w:eastAsia="fr-FR" w:bidi="he-IL"/>
        </w:rPr>
        <w:t>’</w:t>
      </w:r>
      <w:r w:rsidRPr="00C8701B">
        <w:rPr>
          <w:rFonts w:eastAsia="Arial Unicode MS"/>
          <w:bCs/>
          <w:lang w:eastAsia="fr-FR" w:bidi="he-IL"/>
        </w:rPr>
        <w:t>elle soit</w:t>
      </w:r>
      <w:r w:rsidR="00E65435">
        <w:rPr>
          <w:rFonts w:eastAsia="Arial Unicode MS"/>
          <w:bCs/>
          <w:lang w:eastAsia="fr-FR" w:bidi="he-IL"/>
        </w:rPr>
        <w:t xml:space="preserve">, </w:t>
      </w:r>
      <w:r w:rsidRPr="00C8701B">
        <w:rPr>
          <w:rFonts w:eastAsia="Arial Unicode MS"/>
          <w:bCs/>
          <w:lang w:eastAsia="fr-FR" w:bidi="he-IL"/>
        </w:rPr>
        <w:t>à la contradiction perpétuelle</w:t>
      </w:r>
      <w:r w:rsidR="00E65435">
        <w:rPr>
          <w:rFonts w:eastAsia="Arial Unicode MS"/>
          <w:bCs/>
          <w:lang w:eastAsia="fr-FR" w:bidi="he-IL"/>
        </w:rPr>
        <w:t xml:space="preserve">, </w:t>
      </w:r>
      <w:r w:rsidRPr="00C8701B">
        <w:rPr>
          <w:rFonts w:eastAsia="Arial Unicode MS"/>
          <w:bCs/>
          <w:lang w:eastAsia="fr-FR" w:bidi="he-IL"/>
        </w:rPr>
        <w:t>de sujet et de genre</w:t>
      </w:r>
      <w:r w:rsidR="00E65435">
        <w:rPr>
          <w:rFonts w:eastAsia="Arial Unicode MS"/>
          <w:bCs/>
          <w:lang w:eastAsia="fr-FR" w:bidi="he-IL"/>
        </w:rPr>
        <w:t xml:space="preserve">, </w:t>
      </w:r>
      <w:r w:rsidRPr="00C8701B">
        <w:rPr>
          <w:rFonts w:eastAsia="Arial Unicode MS"/>
          <w:bCs/>
          <w:lang w:eastAsia="fr-FR" w:bidi="he-IL"/>
        </w:rPr>
        <w:t>que les rationalistes contemporains prétendent découvrir entre S. Jean et les synoptiques</w:t>
      </w:r>
      <w:r w:rsidR="008877B9">
        <w:rPr>
          <w:rFonts w:eastAsia="Arial Unicode MS"/>
          <w:bCs/>
          <w:lang w:eastAsia="fr-FR" w:bidi="he-IL"/>
        </w:rPr>
        <w:t>.</w:t>
      </w:r>
    </w:p>
    <w:p w:rsidR="00C2602D" w:rsidRPr="00C8701B" w:rsidRDefault="00B704AD" w:rsidP="00C2602D">
      <w:pPr>
        <w:rPr>
          <w:rFonts w:eastAsia="Arial Unicode MS"/>
          <w:bCs/>
          <w:lang w:eastAsia="fr-FR" w:bidi="he-IL"/>
        </w:rPr>
      </w:pP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œuvre est</w:t>
      </w:r>
      <w:r w:rsidR="00CE11E9">
        <w:rPr>
          <w:rFonts w:eastAsia="Arial Unicode MS"/>
          <w:bCs/>
          <w:lang w:eastAsia="fr-FR" w:bidi="he-IL"/>
        </w:rPr>
        <w:t xml:space="preserve"> </w:t>
      </w:r>
      <w:r w:rsidR="00F12048" w:rsidRPr="00C8701B">
        <w:rPr>
          <w:rFonts w:eastAsia="Arial Unicode MS"/>
          <w:bCs/>
          <w:lang w:eastAsia="fr-FR" w:bidi="he-IL"/>
        </w:rPr>
        <w:t>« </w:t>
      </w:r>
      <w:r w:rsidRPr="00C8701B">
        <w:rPr>
          <w:rFonts w:eastAsia="Arial Unicode MS"/>
          <w:bCs/>
          <w:lang w:eastAsia="fr-FR" w:bidi="he-IL"/>
        </w:rPr>
        <w:t>foncièrement différente</w:t>
      </w:r>
      <w:r w:rsidR="00C2602D" w:rsidRPr="00C8701B">
        <w:rPr>
          <w:rFonts w:eastAsia="Arial Unicode MS"/>
          <w:bCs/>
          <w:lang w:eastAsia="fr-FR" w:bidi="he-IL"/>
        </w:rPr>
        <w:t> »</w:t>
      </w:r>
      <w:r w:rsidR="00E65435">
        <w:rPr>
          <w:rFonts w:eastAsia="Arial Unicode MS"/>
          <w:bCs/>
          <w:lang w:eastAsia="fr-FR" w:bidi="he-IL"/>
        </w:rPr>
        <w:t xml:space="preserve">, </w:t>
      </w:r>
      <w:r w:rsidRPr="00C8701B">
        <w:rPr>
          <w:rFonts w:eastAsia="Arial Unicode MS"/>
          <w:bCs/>
          <w:lang w:eastAsia="fr-FR" w:bidi="he-IL"/>
        </w:rPr>
        <w:t>écrit M. Reuss</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un des auteurs qui se sont occupés le plus récemment de cette question</w:t>
      </w:r>
      <w:r w:rsidR="00933C60" w:rsidRPr="00C406FF">
        <w:rPr>
          <w:rStyle w:val="Appelnotedebasdep"/>
        </w:rPr>
        <w:footnoteReference w:id="294"/>
      </w:r>
      <w:r w:rsidRPr="00C8701B">
        <w:rPr>
          <w:rFonts w:eastAsia="Arial Unicode MS"/>
          <w:bCs/>
          <w:lang w:eastAsia="fr-FR" w:bidi="he-IL"/>
        </w:rPr>
        <w:t>.</w:t>
      </w:r>
      <w:r w:rsidR="00CE11E9">
        <w:rPr>
          <w:rFonts w:eastAsia="Arial Unicode MS"/>
          <w:bCs/>
          <w:lang w:eastAsia="fr-FR" w:bidi="he-IL"/>
        </w:rPr>
        <w:t xml:space="preserve"> </w:t>
      </w:r>
      <w:r w:rsidR="00F12048" w:rsidRPr="00C8701B">
        <w:rPr>
          <w:rFonts w:eastAsia="Arial Unicode MS"/>
          <w:bCs/>
          <w:lang w:eastAsia="fr-FR" w:bidi="he-IL"/>
        </w:rPr>
        <w:t>« </w:t>
      </w:r>
      <w:r w:rsidRPr="00C8701B">
        <w:rPr>
          <w:rFonts w:eastAsia="Arial Unicode MS"/>
          <w:bCs/>
          <w:lang w:eastAsia="fr-FR" w:bidi="he-IL"/>
        </w:rPr>
        <w:t>Aussi</w:t>
      </w:r>
      <w:r w:rsidR="00E65435">
        <w:rPr>
          <w:rFonts w:eastAsia="Arial Unicode MS"/>
          <w:bCs/>
          <w:lang w:eastAsia="fr-FR" w:bidi="he-IL"/>
        </w:rPr>
        <w:t xml:space="preserve">, </w:t>
      </w:r>
      <w:r w:rsidRPr="00C8701B">
        <w:rPr>
          <w:rFonts w:eastAsia="Arial Unicode MS"/>
          <w:bCs/>
          <w:lang w:eastAsia="fr-FR" w:bidi="he-IL"/>
        </w:rPr>
        <w:t>continue-t-il en son langage passionné</w:t>
      </w:r>
      <w:r w:rsidR="00E65435">
        <w:rPr>
          <w:rFonts w:eastAsia="Arial Unicode MS"/>
          <w:bCs/>
          <w:lang w:eastAsia="fr-FR" w:bidi="he-IL"/>
        </w:rPr>
        <w:t xml:space="preserve">, </w:t>
      </w:r>
      <w:r w:rsidRPr="00C8701B">
        <w:rPr>
          <w:rFonts w:eastAsia="Arial Unicode MS"/>
          <w:bCs/>
          <w:lang w:eastAsia="fr-FR" w:bidi="he-IL"/>
        </w:rPr>
        <w:t>rien n</w:t>
      </w:r>
      <w:r w:rsidR="00557DE0">
        <w:rPr>
          <w:rFonts w:eastAsia="Arial Unicode MS"/>
          <w:bCs/>
          <w:lang w:eastAsia="fr-FR" w:bidi="he-IL"/>
        </w:rPr>
        <w:t>’</w:t>
      </w:r>
      <w:r w:rsidRPr="00C8701B">
        <w:rPr>
          <w:rFonts w:eastAsia="Arial Unicode MS"/>
          <w:bCs/>
          <w:lang w:eastAsia="fr-FR" w:bidi="he-IL"/>
        </w:rPr>
        <w:t>est obscur comme l</w:t>
      </w:r>
      <w:r w:rsidR="00557DE0">
        <w:rPr>
          <w:rFonts w:eastAsia="Arial Unicode MS"/>
          <w:bCs/>
          <w:lang w:eastAsia="fr-FR" w:bidi="he-IL"/>
        </w:rPr>
        <w:t>’</w:t>
      </w:r>
      <w:r w:rsidRPr="00C8701B">
        <w:rPr>
          <w:rFonts w:eastAsia="Arial Unicode MS"/>
          <w:bCs/>
          <w:lang w:eastAsia="fr-FR" w:bidi="he-IL"/>
        </w:rPr>
        <w:t>amalgame du texte de ce dernier (S. Jean) avec le leur (celui des synoptiques)</w:t>
      </w:r>
      <w:r w:rsidR="008877B9">
        <w:rPr>
          <w:rFonts w:eastAsia="Arial Unicode MS"/>
          <w:bCs/>
          <w:lang w:eastAsia="fr-FR" w:bidi="he-IL"/>
        </w:rPr>
        <w:t>, t</w:t>
      </w:r>
      <w:r w:rsidRPr="00C8701B">
        <w:rPr>
          <w:rFonts w:eastAsia="Arial Unicode MS"/>
          <w:bCs/>
          <w:lang w:eastAsia="fr-FR" w:bidi="he-IL"/>
        </w:rPr>
        <w:t>el qu</w:t>
      </w:r>
      <w:r w:rsidR="00557DE0">
        <w:rPr>
          <w:rFonts w:eastAsia="Arial Unicode MS"/>
          <w:bCs/>
          <w:lang w:eastAsia="fr-FR" w:bidi="he-IL"/>
        </w:rPr>
        <w:t>’</w:t>
      </w:r>
      <w:r w:rsidRPr="00C8701B">
        <w:rPr>
          <w:rFonts w:eastAsia="Arial Unicode MS"/>
          <w:bCs/>
          <w:lang w:eastAsia="fr-FR" w:bidi="he-IL"/>
        </w:rPr>
        <w:t>on le voit dans certaines éditions modernes de la Synops</w:t>
      </w:r>
      <w:r w:rsidR="008877B9">
        <w:rPr>
          <w:rFonts w:eastAsia="Arial Unicode MS"/>
          <w:bCs/>
          <w:lang w:eastAsia="fr-FR" w:bidi="he-IL"/>
        </w:rPr>
        <w:t>e. P</w:t>
      </w:r>
      <w:r w:rsidRPr="00C8701B">
        <w:rPr>
          <w:rFonts w:eastAsia="Arial Unicode MS"/>
          <w:bCs/>
          <w:lang w:eastAsia="fr-FR" w:bidi="he-IL"/>
        </w:rPr>
        <w:t>ar cette sotte méthode</w:t>
      </w:r>
      <w:r w:rsidR="00E65435">
        <w:rPr>
          <w:rFonts w:eastAsia="Arial Unicode MS"/>
          <w:bCs/>
          <w:lang w:eastAsia="fr-FR" w:bidi="he-IL"/>
        </w:rPr>
        <w:t xml:space="preserve">, </w:t>
      </w:r>
      <w:r w:rsidRPr="00C8701B">
        <w:rPr>
          <w:rFonts w:eastAsia="Arial Unicode MS"/>
          <w:bCs/>
          <w:lang w:eastAsia="fr-FR" w:bidi="he-IL"/>
        </w:rPr>
        <w:t>le texte johannique</w:t>
      </w:r>
      <w:r w:rsidR="00E65435">
        <w:rPr>
          <w:rFonts w:eastAsia="Arial Unicode MS"/>
          <w:bCs/>
          <w:lang w:eastAsia="fr-FR" w:bidi="he-IL"/>
        </w:rPr>
        <w:t xml:space="preserve">, </w:t>
      </w:r>
      <w:r w:rsidRPr="00C8701B">
        <w:rPr>
          <w:rFonts w:eastAsia="Arial Unicode MS"/>
          <w:bCs/>
          <w:lang w:eastAsia="fr-FR" w:bidi="he-IL"/>
        </w:rPr>
        <w:t>dont tous les éléments se tiennent...</w:t>
      </w:r>
      <w:r w:rsidR="00E65435">
        <w:rPr>
          <w:rFonts w:eastAsia="Arial Unicode MS"/>
          <w:bCs/>
          <w:lang w:eastAsia="fr-FR" w:bidi="he-IL"/>
        </w:rPr>
        <w:t xml:space="preserve">, </w:t>
      </w:r>
      <w:r w:rsidRPr="00C8701B">
        <w:rPr>
          <w:rFonts w:eastAsia="Arial Unicode MS"/>
          <w:bCs/>
          <w:lang w:eastAsia="fr-FR" w:bidi="he-IL"/>
        </w:rPr>
        <w:t>est affreusement disloqué</w:t>
      </w:r>
      <w:r w:rsidR="00E65435">
        <w:rPr>
          <w:rFonts w:eastAsia="Arial Unicode MS"/>
          <w:bCs/>
          <w:lang w:eastAsia="fr-FR" w:bidi="he-IL"/>
        </w:rPr>
        <w:t xml:space="preserve">, </w:t>
      </w:r>
      <w:r w:rsidRPr="00C8701B">
        <w:rPr>
          <w:rFonts w:eastAsia="Arial Unicode MS"/>
          <w:bCs/>
          <w:lang w:eastAsia="fr-FR" w:bidi="he-IL"/>
        </w:rPr>
        <w:t>déchiré</w:t>
      </w:r>
      <w:r w:rsidR="00E65435">
        <w:rPr>
          <w:rFonts w:eastAsia="Arial Unicode MS"/>
          <w:bCs/>
          <w:lang w:eastAsia="fr-FR" w:bidi="he-IL"/>
        </w:rPr>
        <w:t xml:space="preserve">, </w:t>
      </w:r>
      <w:r w:rsidRPr="00C8701B">
        <w:rPr>
          <w:rFonts w:eastAsia="Arial Unicode MS"/>
          <w:bCs/>
          <w:lang w:eastAsia="fr-FR" w:bidi="he-IL"/>
        </w:rPr>
        <w:t>écartelé</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 plan du livre est voilé</w:t>
      </w:r>
      <w:r w:rsidR="00E65435">
        <w:rPr>
          <w:rFonts w:eastAsia="Arial Unicode MS"/>
          <w:bCs/>
          <w:lang w:eastAsia="fr-FR" w:bidi="he-IL"/>
        </w:rPr>
        <w:t xml:space="preserve">, </w:t>
      </w:r>
      <w:r w:rsidRPr="00C8701B">
        <w:rPr>
          <w:rFonts w:eastAsia="Arial Unicode MS"/>
          <w:bCs/>
          <w:lang w:eastAsia="fr-FR" w:bidi="he-IL"/>
        </w:rPr>
        <w:t>et ce qu</w:t>
      </w:r>
      <w:r w:rsidR="00557DE0">
        <w:rPr>
          <w:rFonts w:eastAsia="Arial Unicode MS"/>
          <w:bCs/>
          <w:lang w:eastAsia="fr-FR" w:bidi="he-IL"/>
        </w:rPr>
        <w:t>’</w:t>
      </w:r>
      <w:r w:rsidRPr="00C8701B">
        <w:rPr>
          <w:rFonts w:eastAsia="Arial Unicode MS"/>
          <w:bCs/>
          <w:lang w:eastAsia="fr-FR" w:bidi="he-IL"/>
        </w:rPr>
        <w:t>il a de plus caractéristique</w:t>
      </w:r>
      <w:r w:rsidR="00E65435">
        <w:rPr>
          <w:rFonts w:eastAsia="Arial Unicode MS"/>
          <w:bCs/>
          <w:lang w:eastAsia="fr-FR" w:bidi="he-IL"/>
        </w:rPr>
        <w:t xml:space="preserve">, </w:t>
      </w:r>
      <w:r w:rsidRPr="00C8701B">
        <w:rPr>
          <w:rFonts w:eastAsia="Arial Unicode MS"/>
          <w:bCs/>
          <w:lang w:eastAsia="fr-FR" w:bidi="he-IL"/>
        </w:rPr>
        <w:t>de plus individuel</w:t>
      </w:r>
      <w:r w:rsidR="00E65435">
        <w:rPr>
          <w:rFonts w:eastAsia="Arial Unicode MS"/>
          <w:bCs/>
          <w:lang w:eastAsia="fr-FR" w:bidi="he-IL"/>
        </w:rPr>
        <w:t xml:space="preserve">, </w:t>
      </w:r>
      <w:r w:rsidRPr="00C8701B">
        <w:rPr>
          <w:rFonts w:eastAsia="Arial Unicode MS"/>
          <w:bCs/>
          <w:lang w:eastAsia="fr-FR" w:bidi="he-IL"/>
        </w:rPr>
        <w:t>est décoloré</w:t>
      </w:r>
      <w:r w:rsidR="00E65435">
        <w:rPr>
          <w:rFonts w:eastAsia="Arial Unicode MS"/>
          <w:bCs/>
          <w:lang w:eastAsia="fr-FR" w:bidi="he-IL"/>
        </w:rPr>
        <w:t xml:space="preserve">, </w:t>
      </w:r>
      <w:r w:rsidRPr="00C8701B">
        <w:rPr>
          <w:rFonts w:eastAsia="Arial Unicode MS"/>
          <w:bCs/>
          <w:lang w:eastAsia="fr-FR" w:bidi="he-IL"/>
        </w:rPr>
        <w:t>rendu méconnaissable</w:t>
      </w:r>
      <w:r w:rsidR="00E65435">
        <w:rPr>
          <w:rFonts w:eastAsia="Arial Unicode MS"/>
          <w:bCs/>
          <w:lang w:eastAsia="fr-FR" w:bidi="he-IL"/>
        </w:rPr>
        <w:t xml:space="preserve">, </w:t>
      </w:r>
      <w:r w:rsidRPr="00C8701B">
        <w:rPr>
          <w:rFonts w:eastAsia="Arial Unicode MS"/>
          <w:bCs/>
          <w:lang w:eastAsia="fr-FR" w:bidi="he-IL"/>
        </w:rPr>
        <w:t>et se perd</w:t>
      </w:r>
      <w:r w:rsidR="00E65435">
        <w:rPr>
          <w:rFonts w:eastAsia="Arial Unicode MS"/>
          <w:bCs/>
          <w:lang w:eastAsia="fr-FR" w:bidi="he-IL"/>
        </w:rPr>
        <w:t xml:space="preserve">, </w:t>
      </w:r>
      <w:r w:rsidRPr="00C8701B">
        <w:rPr>
          <w:rFonts w:eastAsia="Arial Unicode MS"/>
          <w:bCs/>
          <w:lang w:eastAsia="fr-FR" w:bidi="he-IL"/>
        </w:rPr>
        <w:t>sans que l</w:t>
      </w:r>
      <w:r w:rsidR="00557DE0">
        <w:rPr>
          <w:rFonts w:eastAsia="Arial Unicode MS"/>
          <w:bCs/>
          <w:lang w:eastAsia="fr-FR" w:bidi="he-IL"/>
        </w:rPr>
        <w:t>’</w:t>
      </w:r>
      <w:r w:rsidRPr="00C8701B">
        <w:rPr>
          <w:rFonts w:eastAsia="Arial Unicode MS"/>
          <w:bCs/>
          <w:lang w:eastAsia="fr-FR" w:bidi="he-IL"/>
        </w:rPr>
        <w:t>intelligence y gagne le moins du monde. Et tout cela par suite de cette ridicule lubie</w:t>
      </w:r>
      <w:r w:rsidR="00E65435">
        <w:rPr>
          <w:rFonts w:eastAsia="Arial Unicode MS"/>
          <w:bCs/>
          <w:lang w:eastAsia="fr-FR" w:bidi="he-IL"/>
        </w:rPr>
        <w:t xml:space="preserve">, </w:t>
      </w:r>
      <w:r w:rsidRPr="00C8701B">
        <w:rPr>
          <w:rFonts w:eastAsia="Arial Unicode MS"/>
          <w:bCs/>
          <w:lang w:eastAsia="fr-FR" w:bidi="he-IL"/>
        </w:rPr>
        <w:t>qui prétend reconstruire</w:t>
      </w:r>
      <w:r w:rsidR="00E65435">
        <w:rPr>
          <w:rFonts w:eastAsia="Arial Unicode MS"/>
          <w:bCs/>
          <w:lang w:eastAsia="fr-FR" w:bidi="he-IL"/>
        </w:rPr>
        <w:t xml:space="preserve">, </w:t>
      </w:r>
      <w:r w:rsidRPr="00C8701B">
        <w:rPr>
          <w:rFonts w:eastAsia="Arial Unicode MS"/>
          <w:bCs/>
          <w:lang w:eastAsia="fr-FR" w:bidi="he-IL"/>
        </w:rPr>
        <w:t>ou plutôt découvrir</w:t>
      </w:r>
      <w:r w:rsidR="00E65435">
        <w:rPr>
          <w:rFonts w:eastAsia="Arial Unicode MS"/>
          <w:bCs/>
          <w:lang w:eastAsia="fr-FR" w:bidi="he-IL"/>
        </w:rPr>
        <w:t xml:space="preserve">, </w:t>
      </w:r>
      <w:r w:rsidRPr="00C8701B">
        <w:rPr>
          <w:rFonts w:eastAsia="Arial Unicode MS"/>
          <w:bCs/>
          <w:lang w:eastAsia="fr-FR" w:bidi="he-IL"/>
        </w:rPr>
        <w:t>la chronologie des événements</w:t>
      </w:r>
      <w:r w:rsidR="00E65435">
        <w:rPr>
          <w:rFonts w:eastAsia="Arial Unicode MS"/>
          <w:bCs/>
          <w:lang w:eastAsia="fr-FR" w:bidi="he-IL"/>
        </w:rPr>
        <w:t xml:space="preserve">, </w:t>
      </w:r>
      <w:r w:rsidRPr="00C8701B">
        <w:rPr>
          <w:rFonts w:eastAsia="Arial Unicode MS"/>
          <w:bCs/>
          <w:lang w:eastAsia="fr-FR" w:bidi="he-IL"/>
        </w:rPr>
        <w:t>dont les évangélistes ne savaient plus rien eux-mêmes</w:t>
      </w:r>
      <w:r w:rsidR="00C2602D" w:rsidRPr="00C8701B">
        <w:rPr>
          <w:rFonts w:eastAsia="Arial Unicode MS"/>
          <w:bCs/>
          <w:lang w:eastAsia="fr-FR" w:bidi="he-IL"/>
        </w:rPr>
        <w:t> »</w:t>
      </w:r>
      <w:r w:rsidR="00933C60" w:rsidRPr="00C406FF">
        <w:rPr>
          <w:rStyle w:val="Appelnotedebasdep"/>
        </w:rPr>
        <w:footnoteReference w:id="295"/>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La tendance polémique a égaré tristement M. Reuss</w:t>
      </w:r>
      <w:r w:rsidR="00E65435">
        <w:rPr>
          <w:rFonts w:eastAsia="Arial Unicode MS"/>
          <w:bCs/>
          <w:lang w:eastAsia="fr-FR" w:bidi="he-IL"/>
        </w:rPr>
        <w:t xml:space="preserve">, </w:t>
      </w:r>
      <w:r w:rsidRPr="00C8701B">
        <w:rPr>
          <w:rFonts w:eastAsia="Arial Unicode MS"/>
          <w:bCs/>
          <w:lang w:eastAsia="fr-FR" w:bidi="he-IL"/>
        </w:rPr>
        <w:t>qui</w:t>
      </w:r>
      <w:r w:rsidR="00E65435">
        <w:rPr>
          <w:rFonts w:eastAsia="Arial Unicode MS"/>
          <w:bCs/>
          <w:lang w:eastAsia="fr-FR" w:bidi="he-IL"/>
        </w:rPr>
        <w:t xml:space="preserve">, </w:t>
      </w:r>
      <w:r w:rsidRPr="00C8701B">
        <w:rPr>
          <w:rFonts w:eastAsia="Arial Unicode MS"/>
          <w:bCs/>
          <w:lang w:eastAsia="fr-FR" w:bidi="he-IL"/>
        </w:rPr>
        <w:t>souvent</w:t>
      </w:r>
      <w:r w:rsidR="00E65435">
        <w:rPr>
          <w:rFonts w:eastAsia="Arial Unicode MS"/>
          <w:bCs/>
          <w:lang w:eastAsia="fr-FR" w:bidi="he-IL"/>
        </w:rPr>
        <w:t xml:space="preserve">, </w:t>
      </w:r>
      <w:r w:rsidRPr="00C8701B">
        <w:rPr>
          <w:rFonts w:eastAsia="Arial Unicode MS"/>
          <w:bCs/>
          <w:lang w:eastAsia="fr-FR" w:bidi="he-IL"/>
        </w:rPr>
        <w:t>fait preuve d</w:t>
      </w:r>
      <w:r w:rsidR="00557DE0">
        <w:rPr>
          <w:rFonts w:eastAsia="Arial Unicode MS"/>
          <w:bCs/>
          <w:lang w:eastAsia="fr-FR" w:bidi="he-IL"/>
        </w:rPr>
        <w:t>’</w:t>
      </w:r>
      <w:r w:rsidRPr="00C8701B">
        <w:rPr>
          <w:rFonts w:eastAsia="Arial Unicode MS"/>
          <w:bCs/>
          <w:lang w:eastAsia="fr-FR" w:bidi="he-IL"/>
        </w:rPr>
        <w:t>un jugement plus sûr. Elle a égaré plus d</w:t>
      </w:r>
      <w:r w:rsidR="00557DE0">
        <w:rPr>
          <w:rFonts w:eastAsia="Arial Unicode MS"/>
          <w:bCs/>
          <w:lang w:eastAsia="fr-FR" w:bidi="he-IL"/>
        </w:rPr>
        <w:t>’</w:t>
      </w:r>
      <w:r w:rsidRPr="00C8701B">
        <w:rPr>
          <w:rFonts w:eastAsia="Arial Unicode MS"/>
          <w:bCs/>
          <w:lang w:eastAsia="fr-FR" w:bidi="he-IL"/>
        </w:rPr>
        <w:t>un autre partisan de la critique dite négative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par exemple</w:t>
      </w:r>
      <w:r w:rsidR="00E65435">
        <w:rPr>
          <w:rFonts w:eastAsia="Arial Unicode MS"/>
          <w:bCs/>
          <w:lang w:eastAsia="fr-FR" w:bidi="he-IL"/>
        </w:rPr>
        <w:t xml:space="preserve">, </w:t>
      </w:r>
      <w:r w:rsidRPr="00C8701B">
        <w:rPr>
          <w:rFonts w:eastAsia="Arial Unicode MS"/>
          <w:bCs/>
          <w:lang w:eastAsia="fr-FR" w:bidi="he-IL"/>
        </w:rPr>
        <w:t>ceux qui prétendent que le Jésus des synoptiques est un simple moraliste</w:t>
      </w:r>
      <w:r w:rsidR="00E65435">
        <w:rPr>
          <w:rFonts w:eastAsia="Arial Unicode MS"/>
          <w:bCs/>
          <w:lang w:eastAsia="fr-FR" w:bidi="he-IL"/>
        </w:rPr>
        <w:t xml:space="preserve">, </w:t>
      </w:r>
      <w:r w:rsidRPr="00C8701B">
        <w:rPr>
          <w:rFonts w:eastAsia="Arial Unicode MS"/>
          <w:bCs/>
          <w:lang w:eastAsia="fr-FR" w:bidi="he-IL"/>
        </w:rPr>
        <w:t>tandis que celui du quatrième évangéliste serait</w:t>
      </w:r>
      <w:r w:rsidR="00CE11E9">
        <w:rPr>
          <w:rFonts w:eastAsia="Arial Unicode MS"/>
          <w:bCs/>
          <w:lang w:eastAsia="fr-FR" w:bidi="he-IL"/>
        </w:rPr>
        <w:t xml:space="preserve"> </w:t>
      </w:r>
      <w:r w:rsidR="00F12048" w:rsidRPr="00C8701B">
        <w:rPr>
          <w:rFonts w:eastAsia="Arial Unicode MS"/>
          <w:bCs/>
          <w:lang w:eastAsia="fr-FR" w:bidi="he-IL"/>
        </w:rPr>
        <w:t>« </w:t>
      </w:r>
      <w:r w:rsidRPr="00C8701B">
        <w:rPr>
          <w:rFonts w:eastAsia="Arial Unicode MS"/>
          <w:bCs/>
          <w:lang w:eastAsia="fr-FR" w:bidi="he-IL"/>
        </w:rPr>
        <w:t>un mystique spéculatif</w:t>
      </w:r>
      <w:r w:rsidR="00C2602D" w:rsidRPr="00C8701B">
        <w:rPr>
          <w:rFonts w:eastAsia="Arial Unicode MS"/>
          <w:bCs/>
          <w:lang w:eastAsia="fr-FR" w:bidi="he-IL"/>
        </w:rPr>
        <w:t> »</w:t>
      </w:r>
      <w:r w:rsidRPr="00C8701B">
        <w:rPr>
          <w:rFonts w:eastAsia="Arial Unicode MS"/>
          <w:bCs/>
          <w:lang w:eastAsia="fr-FR" w:bidi="he-IL"/>
        </w:rPr>
        <w:t>. Mais</w:t>
      </w:r>
      <w:r w:rsidR="00E65435">
        <w:rPr>
          <w:rFonts w:eastAsia="Arial Unicode MS"/>
          <w:bCs/>
          <w:lang w:eastAsia="fr-FR" w:bidi="he-IL"/>
        </w:rPr>
        <w:t xml:space="preserve">, </w:t>
      </w:r>
      <w:r w:rsidRPr="00C8701B">
        <w:rPr>
          <w:rFonts w:eastAsia="Arial Unicode MS"/>
          <w:bCs/>
          <w:lang w:eastAsia="fr-FR" w:bidi="he-IL"/>
        </w:rPr>
        <w:t xml:space="preserve">pour </w:t>
      </w:r>
      <w:r w:rsidR="008877B9" w:rsidRPr="00C8701B">
        <w:rPr>
          <w:rFonts w:eastAsia="Arial Unicode MS"/>
          <w:bCs/>
          <w:lang w:eastAsia="fr-FR" w:bidi="he-IL"/>
        </w:rPr>
        <w:t xml:space="preserve">pouvoir </w:t>
      </w:r>
      <w:r w:rsidRPr="00C8701B">
        <w:rPr>
          <w:rFonts w:eastAsia="Arial Unicode MS"/>
          <w:bCs/>
          <w:lang w:eastAsia="fr-FR" w:bidi="he-IL"/>
        </w:rPr>
        <w:t>rejeter l</w:t>
      </w:r>
      <w:r w:rsidR="00557DE0">
        <w:rPr>
          <w:rFonts w:eastAsia="Arial Unicode MS"/>
          <w:bCs/>
          <w:lang w:eastAsia="fr-FR" w:bidi="he-IL"/>
        </w:rPr>
        <w:t>’</w:t>
      </w:r>
      <w:r w:rsidRPr="00C8701B">
        <w:rPr>
          <w:rFonts w:eastAsia="Arial Unicode MS"/>
          <w:bCs/>
          <w:lang w:eastAsia="fr-FR" w:bidi="he-IL"/>
        </w:rPr>
        <w:t>œuvre de S. Jean comme apocryphe</w:t>
      </w:r>
      <w:r w:rsidR="00E65435">
        <w:rPr>
          <w:rFonts w:eastAsia="Arial Unicode MS"/>
          <w:bCs/>
          <w:lang w:eastAsia="fr-FR" w:bidi="he-IL"/>
        </w:rPr>
        <w:t xml:space="preserve">, </w:t>
      </w:r>
      <w:r w:rsidRPr="00C8701B">
        <w:rPr>
          <w:rFonts w:eastAsia="Arial Unicode MS"/>
          <w:bCs/>
          <w:lang w:eastAsia="fr-FR" w:bidi="he-IL"/>
        </w:rPr>
        <w:t>il fallait bien recourir à des moyens semblables</w:t>
      </w:r>
      <w:r w:rsidR="00E65435">
        <w:rPr>
          <w:rFonts w:eastAsia="Arial Unicode MS"/>
          <w:bCs/>
          <w:lang w:eastAsia="fr-FR" w:bidi="he-IL"/>
        </w:rPr>
        <w:t xml:space="preserve">, </w:t>
      </w:r>
      <w:r w:rsidRPr="00C8701B">
        <w:rPr>
          <w:rFonts w:eastAsia="Arial Unicode MS"/>
          <w:bCs/>
          <w:lang w:eastAsia="fr-FR" w:bidi="he-IL"/>
        </w:rPr>
        <w:t xml:space="preserve">et la montrer comme la </w:t>
      </w:r>
      <w:r w:rsidR="00D62373" w:rsidRPr="00C8701B">
        <w:rPr>
          <w:rFonts w:eastAsia="Arial Unicode MS"/>
          <w:bCs/>
          <w:lang w:eastAsia="fr-FR" w:bidi="he-IL"/>
        </w:rPr>
        <w:t>contrepartie</w:t>
      </w:r>
      <w:r w:rsidRPr="00C8701B">
        <w:rPr>
          <w:rFonts w:eastAsia="Arial Unicode MS"/>
          <w:bCs/>
          <w:lang w:eastAsia="fr-FR" w:bidi="he-IL"/>
        </w:rPr>
        <w:t xml:space="preserve"> de celle des premiers évangiles. Tout ce que prouvent ces soi-disant critiques</w:t>
      </w:r>
      <w:r w:rsidR="00E65435">
        <w:rPr>
          <w:rFonts w:eastAsia="Arial Unicode MS"/>
          <w:bCs/>
          <w:lang w:eastAsia="fr-FR" w:bidi="he-IL"/>
        </w:rPr>
        <w:t xml:space="preserve">, </w:t>
      </w:r>
      <w:r w:rsidRPr="00C8701B">
        <w:rPr>
          <w:rFonts w:eastAsia="Arial Unicode MS"/>
          <w:bCs/>
          <w:lang w:eastAsia="fr-FR" w:bidi="he-IL"/>
        </w:rPr>
        <w:t>en parlant de la sorte</w:t>
      </w:r>
      <w:r w:rsidR="00E65435">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w:t>
      </w:r>
      <w:r w:rsidR="00E65435">
        <w:rPr>
          <w:rFonts w:eastAsia="Arial Unicode MS"/>
          <w:bCs/>
          <w:lang w:eastAsia="fr-FR" w:bidi="he-IL"/>
        </w:rPr>
        <w:t xml:space="preserve">, </w:t>
      </w:r>
      <w:r w:rsidRPr="00C8701B">
        <w:rPr>
          <w:rFonts w:eastAsia="Arial Unicode MS"/>
          <w:bCs/>
          <w:lang w:eastAsia="fr-FR" w:bidi="he-IL"/>
        </w:rPr>
        <w:t>dit fort bien M. Kaulen</w:t>
      </w:r>
      <w:r w:rsidR="00933C60" w:rsidRPr="00C406FF">
        <w:rPr>
          <w:rStyle w:val="Appelnotedebasdep"/>
        </w:rPr>
        <w:footnoteReference w:id="296"/>
      </w:r>
      <w:r w:rsidR="00E65435">
        <w:rPr>
          <w:rFonts w:eastAsia="Arial Unicode MS"/>
          <w:bCs/>
          <w:lang w:eastAsia="fr-FR" w:bidi="he-IL"/>
        </w:rPr>
        <w:t xml:space="preserve">, </w:t>
      </w:r>
      <w:r w:rsidRPr="00C8701B">
        <w:rPr>
          <w:rFonts w:eastAsia="Arial Unicode MS"/>
          <w:bCs/>
          <w:lang w:eastAsia="fr-FR" w:bidi="he-IL"/>
        </w:rPr>
        <w:t>qu</w:t>
      </w:r>
      <w:r w:rsidR="00557DE0">
        <w:rPr>
          <w:rFonts w:eastAsia="Arial Unicode MS"/>
          <w:bCs/>
          <w:lang w:eastAsia="fr-FR" w:bidi="he-IL"/>
        </w:rPr>
        <w:t>’</w:t>
      </w:r>
      <w:r w:rsidRPr="00C8701B">
        <w:rPr>
          <w:rFonts w:eastAsia="Arial Unicode MS"/>
          <w:bCs/>
          <w:lang w:eastAsia="fr-FR" w:bidi="he-IL"/>
        </w:rPr>
        <w:t>ils ont un esprit très superficiel. Ce fait ressortira</w:t>
      </w:r>
      <w:r w:rsidR="00E65435">
        <w:rPr>
          <w:rFonts w:eastAsia="Arial Unicode MS"/>
          <w:bCs/>
          <w:lang w:eastAsia="fr-FR" w:bidi="he-IL"/>
        </w:rPr>
        <w:t xml:space="preserve">, </w:t>
      </w:r>
      <w:r w:rsidRPr="00C8701B">
        <w:rPr>
          <w:rFonts w:eastAsia="Arial Unicode MS"/>
          <w:bCs/>
          <w:lang w:eastAsia="fr-FR" w:bidi="he-IL"/>
        </w:rPr>
        <w:t>nou</w:t>
      </w:r>
      <w:r w:rsidR="008877B9">
        <w:rPr>
          <w:rFonts w:eastAsia="Arial Unicode MS"/>
          <w:bCs/>
          <w:lang w:eastAsia="fr-FR" w:bidi="he-IL"/>
        </w:rPr>
        <w:t>s l</w:t>
      </w:r>
      <w:r w:rsidR="00557DE0">
        <w:rPr>
          <w:rFonts w:eastAsia="Arial Unicode MS"/>
          <w:bCs/>
          <w:lang w:eastAsia="fr-FR" w:bidi="he-IL"/>
        </w:rPr>
        <w:t>’</w:t>
      </w:r>
      <w:r w:rsidR="00D62373" w:rsidRPr="00C8701B">
        <w:rPr>
          <w:rFonts w:eastAsia="Arial Unicode MS"/>
          <w:bCs/>
          <w:lang w:eastAsia="fr-FR" w:bidi="he-IL"/>
        </w:rPr>
        <w:t>espérons</w:t>
      </w:r>
      <w:r w:rsidR="00E65435">
        <w:rPr>
          <w:rFonts w:eastAsia="Arial Unicode MS"/>
          <w:bCs/>
          <w:lang w:eastAsia="fr-FR" w:bidi="he-IL"/>
        </w:rPr>
        <w:t xml:space="preserve">, </w:t>
      </w:r>
      <w:r w:rsidRPr="00C8701B">
        <w:rPr>
          <w:rFonts w:eastAsia="Arial Unicode MS"/>
          <w:bCs/>
          <w:lang w:eastAsia="fr-FR" w:bidi="he-IL"/>
        </w:rPr>
        <w:t>des considé</w:t>
      </w:r>
      <w:r w:rsidR="00D62373">
        <w:rPr>
          <w:rFonts w:eastAsia="Arial Unicode MS"/>
          <w:bCs/>
          <w:lang w:eastAsia="fr-FR" w:bidi="he-IL"/>
        </w:rPr>
        <w:t>ra</w:t>
      </w:r>
      <w:r w:rsidRPr="00C8701B">
        <w:rPr>
          <w:rFonts w:eastAsia="Arial Unicode MS"/>
          <w:bCs/>
          <w:lang w:eastAsia="fr-FR" w:bidi="he-IL"/>
        </w:rPr>
        <w:t>tions que nous avons encore à faire sur les rapports du quatrième évangile avec les trois autres.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II.</w:t>
      </w:r>
      <w:bookmarkStart w:id="91" w:name="evin07020302"/>
      <w:bookmarkEnd w:id="91"/>
      <w:r w:rsidRPr="00DC4586">
        <w:rPr>
          <w:rStyle w:val="italicus"/>
        </w:rPr>
        <w:t xml:space="preserve"> Rapports de ressemblance.</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Nous indiquerons successivement</w:t>
      </w:r>
      <w:r w:rsidR="00C2602D" w:rsidRPr="00C8701B">
        <w:rPr>
          <w:rFonts w:eastAsia="Arial Unicode MS"/>
          <w:bCs/>
          <w:lang w:eastAsia="fr-FR" w:bidi="he-IL"/>
        </w:rPr>
        <w:t> :</w:t>
      </w:r>
      <w:r w:rsidRPr="00C8701B">
        <w:rPr>
          <w:rFonts w:eastAsia="Arial Unicode MS"/>
          <w:bCs/>
          <w:lang w:eastAsia="fr-FR" w:bidi="he-IL"/>
        </w:rPr>
        <w:t xml:space="preserve"> les coïncidences évidentes des faits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les ressemblances de paroles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les passages ou S. Jean suppose dans ses lecteurs la connaissance des synoptiques</w:t>
      </w:r>
      <w:r w:rsidR="00E65435">
        <w:rPr>
          <w:rFonts w:eastAsia="Arial Unicode MS"/>
          <w:bCs/>
          <w:lang w:eastAsia="fr-FR" w:bidi="he-IL"/>
        </w:rPr>
        <w:t xml:space="preserve">, </w:t>
      </w:r>
      <w:r w:rsidR="008877B9">
        <w:rPr>
          <w:rFonts w:eastAsia="Arial Unicode MS"/>
          <w:bCs/>
          <w:lang w:eastAsia="fr-FR" w:bidi="he-IL"/>
        </w:rPr>
        <w:t>ce qui est encore une c</w:t>
      </w:r>
      <w:r w:rsidRPr="00C8701B">
        <w:rPr>
          <w:rFonts w:eastAsia="Arial Unicode MS"/>
          <w:bCs/>
          <w:lang w:eastAsia="fr-FR" w:bidi="he-IL"/>
        </w:rPr>
        <w:t>atégorie de ressemblances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enfin</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identité du portrait représenté de part et d</w:t>
      </w:r>
      <w:r w:rsidR="00557DE0">
        <w:rPr>
          <w:rFonts w:eastAsia="Arial Unicode MS"/>
          <w:bCs/>
          <w:lang w:eastAsia="fr-FR" w:bidi="he-IL"/>
        </w:rPr>
        <w:t>’</w:t>
      </w:r>
      <w:r w:rsidR="008877B9">
        <w:rPr>
          <w:rFonts w:eastAsia="Arial Unicode MS"/>
          <w:bCs/>
          <w:lang w:eastAsia="fr-FR" w:bidi="he-IL"/>
        </w:rPr>
        <w:t xml:space="preserve">autre. </w:t>
      </w:r>
    </w:p>
    <w:p w:rsidR="00C2602D" w:rsidRPr="00C8701B" w:rsidRDefault="00B704AD" w:rsidP="00C2602D">
      <w:pPr>
        <w:rPr>
          <w:rFonts w:eastAsia="Arial Unicode MS"/>
          <w:bCs/>
          <w:lang w:eastAsia="fr-FR" w:bidi="he-IL"/>
        </w:rPr>
      </w:pPr>
      <w:r w:rsidRPr="00C8701B">
        <w:rPr>
          <w:rFonts w:eastAsia="Arial Unicode MS"/>
          <w:bCs/>
          <w:lang w:eastAsia="fr-FR" w:bidi="he-IL"/>
        </w:rPr>
        <w:t>1° Quoique en réalité peu nombreuses</w:t>
      </w:r>
      <w:r w:rsidR="00E65435">
        <w:rPr>
          <w:rFonts w:eastAsia="Arial Unicode MS"/>
          <w:bCs/>
          <w:lang w:eastAsia="fr-FR" w:bidi="he-IL"/>
        </w:rPr>
        <w:t xml:space="preserve">, </w:t>
      </w:r>
      <w:r w:rsidRPr="00C8701B">
        <w:rPr>
          <w:rFonts w:eastAsia="Arial Unicode MS"/>
          <w:bCs/>
          <w:lang w:eastAsia="fr-FR" w:bidi="he-IL"/>
        </w:rPr>
        <w:t>les coïncidences évidentes des faits sont significatives</w:t>
      </w:r>
      <w:r w:rsidR="00E65435">
        <w:rPr>
          <w:rFonts w:eastAsia="Arial Unicode MS"/>
          <w:bCs/>
          <w:lang w:eastAsia="fr-FR" w:bidi="he-IL"/>
        </w:rPr>
        <w:t xml:space="preserve">, </w:t>
      </w:r>
      <w:r w:rsidRPr="00C8701B">
        <w:rPr>
          <w:rFonts w:eastAsia="Arial Unicode MS"/>
          <w:bCs/>
          <w:lang w:eastAsia="fr-FR" w:bidi="he-IL"/>
        </w:rPr>
        <w:t>car elles manifestent l</w:t>
      </w:r>
      <w:r w:rsidR="00557DE0">
        <w:rPr>
          <w:rFonts w:eastAsia="Arial Unicode MS"/>
          <w:bCs/>
          <w:lang w:eastAsia="fr-FR" w:bidi="he-IL"/>
        </w:rPr>
        <w:t>’</w:t>
      </w:r>
      <w:r w:rsidRPr="00C8701B">
        <w:rPr>
          <w:rFonts w:eastAsia="Arial Unicode MS"/>
          <w:bCs/>
          <w:lang w:eastAsia="fr-FR" w:bidi="he-IL"/>
        </w:rPr>
        <w:t>unité générale des vues et du but dans les quatre évangélistes.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Rien pour la vie cachée. Pour la vie publique</w:t>
      </w:r>
      <w:r w:rsidR="00E65435">
        <w:rPr>
          <w:rFonts w:eastAsia="Arial Unicode MS"/>
          <w:bCs/>
          <w:lang w:eastAsia="fr-FR" w:bidi="he-IL"/>
        </w:rPr>
        <w:t xml:space="preserve">, </w:t>
      </w:r>
      <w:r w:rsidRPr="00C8701B">
        <w:rPr>
          <w:rFonts w:eastAsia="Arial Unicode MS"/>
          <w:bCs/>
          <w:lang w:eastAsia="fr-FR" w:bidi="he-IL"/>
        </w:rPr>
        <w:t>trois faits seulement</w:t>
      </w:r>
      <w:r w:rsidR="00C2602D" w:rsidRPr="00C8701B">
        <w:rPr>
          <w:rFonts w:eastAsia="Arial Unicode MS"/>
          <w:bCs/>
          <w:lang w:eastAsia="fr-FR" w:bidi="he-IL"/>
        </w:rPr>
        <w:t> :</w:t>
      </w:r>
      <w:r w:rsidRPr="00C8701B">
        <w:rPr>
          <w:rFonts w:eastAsia="Arial Unicode MS"/>
          <w:bCs/>
          <w:lang w:eastAsia="fr-FR" w:bidi="he-IL"/>
        </w:rPr>
        <w:t xml:space="preserve"> le miracle de la multiplication des pains </w:t>
      </w:r>
      <w:r w:rsidR="00A067B1" w:rsidRPr="000716BB">
        <w:rPr>
          <w:rFonts w:eastAsia="Arial Unicode MS"/>
          <w:bCs/>
          <w:lang w:eastAsia="fr-FR" w:bidi="he-IL"/>
        </w:rPr>
        <w:t>{</w:t>
      </w:r>
      <w:r w:rsidR="00A067B1">
        <w:rPr>
          <w:rFonts w:eastAsia="Arial Unicode MS"/>
          <w:bCs/>
          <w:lang w:eastAsia="fr-FR" w:bidi="he-IL"/>
        </w:rPr>
        <w:t>56</w:t>
      </w:r>
      <w:bookmarkStart w:id="92" w:name="pag056"/>
      <w:bookmarkEnd w:id="92"/>
      <w:r w:rsidR="00A067B1" w:rsidRPr="000716BB">
        <w:rPr>
          <w:rFonts w:eastAsia="Arial Unicode MS"/>
          <w:bCs/>
          <w:lang w:eastAsia="fr-FR" w:bidi="he-IL"/>
        </w:rPr>
        <w:t xml:space="preserve">} </w:t>
      </w:r>
      <w:r w:rsidRPr="00C8701B">
        <w:rPr>
          <w:rFonts w:eastAsia="Arial Unicode MS"/>
          <w:bCs/>
          <w:lang w:eastAsia="fr-FR" w:bidi="he-IL"/>
        </w:rPr>
        <w:t>(Joan</w:t>
      </w:r>
      <w:r w:rsidR="00DD17CA" w:rsidRPr="00C8701B">
        <w:rPr>
          <w:rFonts w:eastAsia="Arial Unicode MS"/>
          <w:bCs/>
          <w:lang w:eastAsia="fr-FR" w:bidi="he-IL"/>
        </w:rPr>
        <w:t xml:space="preserve">. </w:t>
      </w:r>
      <w:r w:rsidR="00A319EA">
        <w:rPr>
          <w:rFonts w:eastAsia="Arial Unicode MS"/>
          <w:bCs/>
          <w:lang w:eastAsia="fr-FR" w:bidi="he-IL"/>
        </w:rPr>
        <w:t>VI</w:t>
      </w:r>
      <w:r w:rsidR="00E65435">
        <w:rPr>
          <w:rFonts w:eastAsia="Arial Unicode MS"/>
          <w:bCs/>
          <w:lang w:eastAsia="fr-FR" w:bidi="he-IL"/>
        </w:rPr>
        <w:t xml:space="preserve">, </w:t>
      </w:r>
      <w:r w:rsidRPr="00C8701B">
        <w:rPr>
          <w:rFonts w:eastAsia="Arial Unicode MS"/>
          <w:bCs/>
          <w:lang w:eastAsia="fr-FR" w:bidi="he-IL"/>
        </w:rPr>
        <w:t>1-15</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cf. Matth. </w:t>
      </w:r>
      <w:r w:rsidR="00CB43AA">
        <w:rPr>
          <w:rFonts w:eastAsia="Arial Unicode MS"/>
          <w:bCs/>
          <w:lang w:eastAsia="fr-FR" w:bidi="he-IL"/>
        </w:rPr>
        <w:t>XIV</w:t>
      </w:r>
      <w:r w:rsidR="00E65435">
        <w:rPr>
          <w:rFonts w:eastAsia="Arial Unicode MS"/>
          <w:bCs/>
          <w:lang w:eastAsia="fr-FR" w:bidi="he-IL"/>
        </w:rPr>
        <w:t xml:space="preserve">, </w:t>
      </w:r>
      <w:r w:rsidRPr="00C8701B">
        <w:rPr>
          <w:rFonts w:eastAsia="Arial Unicode MS"/>
          <w:bCs/>
          <w:lang w:eastAsia="fr-FR" w:bidi="he-IL"/>
        </w:rPr>
        <w:t>13-21</w:t>
      </w:r>
      <w:r w:rsidR="00E65435">
        <w:rPr>
          <w:rFonts w:eastAsia="Arial Unicode MS"/>
          <w:bCs/>
          <w:lang w:eastAsia="fr-FR" w:bidi="he-IL"/>
        </w:rPr>
        <w:t xml:space="preserve">, </w:t>
      </w:r>
      <w:r w:rsidRPr="00C8701B">
        <w:rPr>
          <w:rFonts w:eastAsia="Arial Unicode MS"/>
          <w:bCs/>
          <w:lang w:eastAsia="fr-FR" w:bidi="he-IL"/>
        </w:rPr>
        <w:t>et les passages parallèles de S. Marc et de S. Luc)</w:t>
      </w:r>
      <w:r w:rsidR="00933C60" w:rsidRPr="00C406FF">
        <w:rPr>
          <w:rStyle w:val="Appelnotedebasdep"/>
        </w:rPr>
        <w:footnoteReference w:id="297"/>
      </w:r>
      <w:r w:rsidR="00E65435">
        <w:rPr>
          <w:rFonts w:eastAsia="Arial Unicode MS"/>
          <w:bCs/>
          <w:lang w:eastAsia="fr-FR" w:bidi="he-IL"/>
        </w:rPr>
        <w:t xml:space="preserve">, </w:t>
      </w:r>
      <w:r w:rsidRPr="00C8701B">
        <w:rPr>
          <w:rFonts w:eastAsia="Arial Unicode MS"/>
          <w:bCs/>
          <w:lang w:eastAsia="fr-FR" w:bidi="he-IL"/>
        </w:rPr>
        <w:t xml:space="preserve">la marche de Jésus sur les eaux (Joan. </w:t>
      </w:r>
      <w:r w:rsidR="00A319EA">
        <w:rPr>
          <w:rFonts w:eastAsia="Arial Unicode MS"/>
          <w:bCs/>
          <w:lang w:eastAsia="fr-FR" w:bidi="he-IL"/>
        </w:rPr>
        <w:t>VI</w:t>
      </w:r>
      <w:r w:rsidR="008877B9">
        <w:rPr>
          <w:rFonts w:eastAsia="Arial Unicode MS"/>
          <w:bCs/>
          <w:lang w:eastAsia="fr-FR" w:bidi="he-IL"/>
        </w:rPr>
        <w:t>,</w:t>
      </w:r>
      <w:r w:rsidRPr="00C8701B">
        <w:rPr>
          <w:rFonts w:eastAsia="Arial Unicode MS"/>
          <w:bCs/>
          <w:lang w:eastAsia="fr-FR" w:bidi="he-IL"/>
        </w:rPr>
        <w:t xml:space="preserve"> 16-21</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cf. Matth. </w:t>
      </w:r>
      <w:r w:rsidR="00CB43AA">
        <w:rPr>
          <w:rFonts w:eastAsia="Arial Unicode MS"/>
          <w:bCs/>
          <w:lang w:eastAsia="fr-FR" w:bidi="he-IL"/>
        </w:rPr>
        <w:t>XIV</w:t>
      </w:r>
      <w:r w:rsidR="00E65435">
        <w:rPr>
          <w:rFonts w:eastAsia="Arial Unicode MS"/>
          <w:bCs/>
          <w:lang w:eastAsia="fr-FR" w:bidi="he-IL"/>
        </w:rPr>
        <w:t xml:space="preserve">, </w:t>
      </w:r>
      <w:r w:rsidRPr="00C8701B">
        <w:rPr>
          <w:rFonts w:eastAsia="Arial Unicode MS"/>
          <w:bCs/>
          <w:lang w:eastAsia="fr-FR" w:bidi="he-IL"/>
        </w:rPr>
        <w:t>22-36 et parall.)</w:t>
      </w:r>
      <w:r w:rsidR="00933C60" w:rsidRPr="00C406FF">
        <w:rPr>
          <w:rStyle w:val="Appelnotedebasdep"/>
        </w:rPr>
        <w:footnoteReference w:id="298"/>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 xml:space="preserve">onction de Marie (Joan. </w:t>
      </w:r>
      <w:r w:rsidR="00D72CBC">
        <w:rPr>
          <w:rFonts w:eastAsia="Arial Unicode MS"/>
          <w:bCs/>
          <w:lang w:eastAsia="fr-FR" w:bidi="he-IL"/>
        </w:rPr>
        <w:t>XII</w:t>
      </w:r>
      <w:r w:rsidR="00E65435">
        <w:rPr>
          <w:rFonts w:eastAsia="Arial Unicode MS"/>
          <w:bCs/>
          <w:lang w:eastAsia="fr-FR" w:bidi="he-IL"/>
        </w:rPr>
        <w:t xml:space="preserve">, </w:t>
      </w:r>
      <w:r w:rsidRPr="00C8701B">
        <w:rPr>
          <w:rFonts w:eastAsia="Arial Unicode MS"/>
          <w:bCs/>
          <w:lang w:eastAsia="fr-FR" w:bidi="he-IL"/>
        </w:rPr>
        <w:t>1-8</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cf. Matth. </w:t>
      </w:r>
      <w:r w:rsidR="0042479B">
        <w:rPr>
          <w:rFonts w:eastAsia="Arial Unicode MS"/>
          <w:bCs/>
          <w:lang w:eastAsia="fr-FR" w:bidi="he-IL"/>
        </w:rPr>
        <w:t>X</w:t>
      </w:r>
      <w:r w:rsidR="00EF1E04">
        <w:rPr>
          <w:rFonts w:eastAsia="Arial Unicode MS"/>
          <w:bCs/>
          <w:lang w:eastAsia="fr-FR" w:bidi="he-IL"/>
        </w:rPr>
        <w:t>XVI</w:t>
      </w:r>
      <w:r w:rsidR="00E65435">
        <w:rPr>
          <w:rFonts w:eastAsia="Arial Unicode MS"/>
          <w:bCs/>
          <w:lang w:eastAsia="fr-FR" w:bidi="he-IL"/>
        </w:rPr>
        <w:t xml:space="preserve">, </w:t>
      </w:r>
      <w:r w:rsidRPr="00C8701B">
        <w:rPr>
          <w:rFonts w:eastAsia="Arial Unicode MS"/>
          <w:bCs/>
          <w:lang w:eastAsia="fr-FR" w:bidi="he-IL"/>
        </w:rPr>
        <w:t>6-13 et parall.)</w:t>
      </w:r>
      <w:r w:rsidR="00933C60" w:rsidRPr="00C406FF">
        <w:rPr>
          <w:rStyle w:val="Appelnotedebasdep"/>
        </w:rPr>
        <w:footnoteReference w:id="299"/>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Pour la vie souffrante</w:t>
      </w:r>
      <w:r w:rsidR="00E65435">
        <w:rPr>
          <w:rFonts w:eastAsia="Arial Unicode MS"/>
          <w:bCs/>
          <w:lang w:eastAsia="fr-FR" w:bidi="he-IL"/>
        </w:rPr>
        <w:t xml:space="preserve">, </w:t>
      </w:r>
      <w:r w:rsidRPr="00C8701B">
        <w:rPr>
          <w:rFonts w:eastAsia="Arial Unicode MS"/>
          <w:bCs/>
          <w:lang w:eastAsia="fr-FR" w:bidi="he-IL"/>
        </w:rPr>
        <w:t xml:space="preserve">les </w:t>
      </w:r>
      <w:r w:rsidR="00D62373" w:rsidRPr="00D62373">
        <w:t>coïnc</w:t>
      </w:r>
      <w:r w:rsidR="00D62373">
        <w:t>i</w:t>
      </w:r>
      <w:r w:rsidR="00D62373" w:rsidRPr="00D62373">
        <w:t>dences</w:t>
      </w:r>
      <w:r w:rsidRPr="00C8701B">
        <w:rPr>
          <w:rFonts w:eastAsia="Arial Unicode MS"/>
          <w:bCs/>
          <w:lang w:eastAsia="fr-FR" w:bidi="he-IL"/>
        </w:rPr>
        <w:t xml:space="preserve"> sont plus nombreuses</w:t>
      </w:r>
      <w:r w:rsidR="00C2602D" w:rsidRPr="00C8701B">
        <w:rPr>
          <w:rFonts w:eastAsia="Arial Unicode MS"/>
          <w:bCs/>
          <w:lang w:eastAsia="fr-FR" w:bidi="he-IL"/>
        </w:rPr>
        <w:t> :</w:t>
      </w:r>
      <w:r w:rsidRPr="00C8701B">
        <w:rPr>
          <w:rFonts w:eastAsia="Arial Unicode MS"/>
          <w:bCs/>
          <w:lang w:eastAsia="fr-FR" w:bidi="he-IL"/>
        </w:rPr>
        <w:t xml:space="preserve"> l</w:t>
      </w:r>
      <w:r w:rsidR="00557DE0">
        <w:rPr>
          <w:rFonts w:eastAsia="Arial Unicode MS"/>
          <w:bCs/>
          <w:lang w:eastAsia="fr-FR" w:bidi="he-IL"/>
        </w:rPr>
        <w:t>’</w:t>
      </w:r>
      <w:r w:rsidRPr="00C8701B">
        <w:rPr>
          <w:rFonts w:eastAsia="Arial Unicode MS"/>
          <w:bCs/>
          <w:lang w:eastAsia="fr-FR" w:bidi="he-IL"/>
        </w:rPr>
        <w:t>entrée triomphale à Jérusalem</w:t>
      </w:r>
      <w:r w:rsidR="008877B9">
        <w:rPr>
          <w:rFonts w:eastAsia="Arial Unicode MS"/>
          <w:bCs/>
          <w:lang w:eastAsia="fr-FR" w:bidi="he-IL"/>
        </w:rPr>
        <w:t xml:space="preserve"> </w:t>
      </w:r>
      <w:r w:rsidRPr="00C8701B">
        <w:rPr>
          <w:rFonts w:eastAsia="Arial Unicode MS"/>
          <w:bCs/>
          <w:lang w:eastAsia="fr-FR" w:bidi="he-IL"/>
        </w:rPr>
        <w:t xml:space="preserve">(Joan. </w:t>
      </w:r>
      <w:r w:rsidR="00D72CBC">
        <w:rPr>
          <w:rFonts w:eastAsia="Arial Unicode MS"/>
          <w:bCs/>
          <w:lang w:eastAsia="fr-FR" w:bidi="he-IL"/>
        </w:rPr>
        <w:t>XII</w:t>
      </w:r>
      <w:r w:rsidRPr="00C8701B">
        <w:rPr>
          <w:rFonts w:eastAsia="Arial Unicode MS"/>
          <w:bCs/>
          <w:lang w:eastAsia="fr-FR" w:bidi="he-IL"/>
        </w:rPr>
        <w:t>. 9-19</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cf. Matth.</w:t>
      </w:r>
      <w:r w:rsidR="0017332F" w:rsidRPr="00C8701B">
        <w:rPr>
          <w:rFonts w:eastAsia="Arial Unicode MS"/>
          <w:bCs/>
          <w:lang w:eastAsia="fr-FR" w:bidi="he-IL"/>
        </w:rPr>
        <w:t xml:space="preserve"> XXI</w:t>
      </w:r>
      <w:r w:rsidR="00E65435">
        <w:rPr>
          <w:rFonts w:eastAsia="Arial Unicode MS"/>
          <w:bCs/>
          <w:lang w:eastAsia="fr-FR" w:bidi="he-IL"/>
        </w:rPr>
        <w:t xml:space="preserve">, </w:t>
      </w:r>
      <w:r w:rsidRPr="00C8701B">
        <w:rPr>
          <w:rFonts w:eastAsia="Arial Unicode MS"/>
          <w:bCs/>
          <w:lang w:eastAsia="fr-FR" w:bidi="he-IL"/>
        </w:rPr>
        <w:t>1-11 et parall.)</w:t>
      </w:r>
      <w:r w:rsidR="00933C60" w:rsidRPr="00C406FF">
        <w:rPr>
          <w:rStyle w:val="Appelnotedebasdep"/>
        </w:rPr>
        <w:footnoteReference w:id="300"/>
      </w:r>
      <w:r w:rsidR="00E65435">
        <w:rPr>
          <w:rFonts w:eastAsia="Arial Unicode MS"/>
          <w:bCs/>
          <w:lang w:eastAsia="fr-FR" w:bidi="he-IL"/>
        </w:rPr>
        <w:t xml:space="preserve">, </w:t>
      </w:r>
      <w:r w:rsidRPr="00C8701B">
        <w:rPr>
          <w:rFonts w:eastAsia="Arial Unicode MS"/>
          <w:bCs/>
          <w:lang w:eastAsia="fr-FR" w:bidi="he-IL"/>
        </w:rPr>
        <w:t xml:space="preserve">la désignation du traître (Joan. </w:t>
      </w:r>
      <w:r w:rsidR="003A247F">
        <w:rPr>
          <w:rFonts w:eastAsia="Arial Unicode MS"/>
          <w:bCs/>
          <w:lang w:eastAsia="fr-FR" w:bidi="he-IL"/>
        </w:rPr>
        <w:t>XIII</w:t>
      </w:r>
      <w:r w:rsidR="00E65435">
        <w:rPr>
          <w:rFonts w:eastAsia="Arial Unicode MS"/>
          <w:bCs/>
          <w:lang w:eastAsia="fr-FR" w:bidi="he-IL"/>
        </w:rPr>
        <w:t xml:space="preserve">, </w:t>
      </w:r>
      <w:r w:rsidRPr="00C8701B">
        <w:rPr>
          <w:rFonts w:eastAsia="Arial Unicode MS"/>
          <w:bCs/>
          <w:lang w:eastAsia="fr-FR" w:bidi="he-IL"/>
        </w:rPr>
        <w:t>21-26</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cf. Matth. </w:t>
      </w:r>
      <w:r w:rsidR="0042479B">
        <w:rPr>
          <w:rFonts w:eastAsia="Arial Unicode MS"/>
          <w:bCs/>
          <w:lang w:eastAsia="fr-FR" w:bidi="he-IL"/>
        </w:rPr>
        <w:t>X</w:t>
      </w:r>
      <w:r w:rsidR="00EF1E04">
        <w:rPr>
          <w:rFonts w:eastAsia="Arial Unicode MS"/>
          <w:bCs/>
          <w:lang w:eastAsia="fr-FR" w:bidi="he-IL"/>
        </w:rPr>
        <w:t>XVI</w:t>
      </w:r>
      <w:r w:rsidR="00E65435">
        <w:rPr>
          <w:rFonts w:eastAsia="Arial Unicode MS"/>
          <w:bCs/>
          <w:lang w:eastAsia="fr-FR" w:bidi="he-IL"/>
        </w:rPr>
        <w:t xml:space="preserve">, </w:t>
      </w:r>
      <w:r w:rsidRPr="00C8701B">
        <w:rPr>
          <w:rFonts w:eastAsia="Arial Unicode MS"/>
          <w:bCs/>
          <w:lang w:eastAsia="fr-FR" w:bidi="he-IL"/>
        </w:rPr>
        <w:t>21-25 et parall.)</w:t>
      </w:r>
      <w:r w:rsidR="00933C60" w:rsidRPr="00C406FF">
        <w:rPr>
          <w:rStyle w:val="Appelnotedebasdep"/>
        </w:rPr>
        <w:footnoteReference w:id="301"/>
      </w:r>
      <w:r w:rsidR="00E65435">
        <w:rPr>
          <w:rFonts w:eastAsia="Arial Unicode MS"/>
          <w:bCs/>
          <w:lang w:eastAsia="fr-FR" w:bidi="he-IL"/>
        </w:rPr>
        <w:t xml:space="preserve">, </w:t>
      </w:r>
      <w:r w:rsidRPr="00C8701B">
        <w:rPr>
          <w:rFonts w:eastAsia="Arial Unicode MS"/>
          <w:bCs/>
          <w:lang w:eastAsia="fr-FR" w:bidi="he-IL"/>
        </w:rPr>
        <w:t xml:space="preserve">la prédiction du reniement de S. Pierre (Joan. </w:t>
      </w:r>
      <w:r w:rsidR="003A247F">
        <w:rPr>
          <w:rFonts w:eastAsia="Arial Unicode MS"/>
          <w:bCs/>
          <w:lang w:eastAsia="fr-FR" w:bidi="he-IL"/>
        </w:rPr>
        <w:t>XIII</w:t>
      </w:r>
      <w:r w:rsidR="00E65435">
        <w:rPr>
          <w:rFonts w:eastAsia="Arial Unicode MS"/>
          <w:bCs/>
          <w:lang w:eastAsia="fr-FR" w:bidi="he-IL"/>
        </w:rPr>
        <w:t xml:space="preserve">, </w:t>
      </w:r>
      <w:r w:rsidRPr="00C8701B">
        <w:rPr>
          <w:rFonts w:eastAsia="Arial Unicode MS"/>
          <w:bCs/>
          <w:lang w:eastAsia="fr-FR" w:bidi="he-IL"/>
        </w:rPr>
        <w:t>36-38</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cf. Matth. </w:t>
      </w:r>
      <w:r w:rsidR="0042479B">
        <w:rPr>
          <w:rFonts w:eastAsia="Arial Unicode MS"/>
          <w:bCs/>
          <w:lang w:eastAsia="fr-FR" w:bidi="he-IL"/>
        </w:rPr>
        <w:t>X</w:t>
      </w:r>
      <w:r w:rsidR="00EF1E04">
        <w:rPr>
          <w:rFonts w:eastAsia="Arial Unicode MS"/>
          <w:bCs/>
          <w:lang w:eastAsia="fr-FR" w:bidi="he-IL"/>
        </w:rPr>
        <w:t>XVI</w:t>
      </w:r>
      <w:r w:rsidR="00E65435">
        <w:rPr>
          <w:rFonts w:eastAsia="Arial Unicode MS"/>
          <w:bCs/>
          <w:lang w:eastAsia="fr-FR" w:bidi="he-IL"/>
        </w:rPr>
        <w:t xml:space="preserve">, </w:t>
      </w:r>
      <w:r w:rsidRPr="00C8701B">
        <w:rPr>
          <w:rFonts w:eastAsia="Arial Unicode MS"/>
          <w:bCs/>
          <w:lang w:eastAsia="fr-FR" w:bidi="he-IL"/>
        </w:rPr>
        <w:t>33-35 et parall.)</w:t>
      </w:r>
      <w:r w:rsidR="00933C60" w:rsidRPr="00C406FF">
        <w:rPr>
          <w:rStyle w:val="Appelnotedebasdep"/>
        </w:rPr>
        <w:footnoteReference w:id="302"/>
      </w:r>
      <w:r w:rsidR="00E65435">
        <w:rPr>
          <w:rFonts w:eastAsia="Arial Unicode MS"/>
          <w:bCs/>
          <w:lang w:eastAsia="fr-FR" w:bidi="he-IL"/>
        </w:rPr>
        <w:t xml:space="preserve">, </w:t>
      </w:r>
      <w:r w:rsidRPr="00C8701B">
        <w:rPr>
          <w:rFonts w:eastAsia="Arial Unicode MS"/>
          <w:bCs/>
          <w:lang w:eastAsia="fr-FR" w:bidi="he-IL"/>
        </w:rPr>
        <w:t>et la plupart des scènes de la passion proprement dite</w:t>
      </w:r>
      <w:r w:rsidR="00933C60" w:rsidRPr="00C406FF">
        <w:rPr>
          <w:rStyle w:val="Appelnotedebasdep"/>
        </w:rPr>
        <w:footnoteReference w:id="303"/>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Il règne aussi une assez grande ressemblance pour divers épisodes de la résurrection</w:t>
      </w:r>
      <w:r w:rsidR="00933C60" w:rsidRPr="00C406FF">
        <w:rPr>
          <w:rStyle w:val="Appelnotedebasdep"/>
        </w:rPr>
        <w:footnoteReference w:id="304"/>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Par conséquent</w:t>
      </w:r>
      <w:r w:rsidR="00E65435">
        <w:rPr>
          <w:rFonts w:eastAsia="Arial Unicode MS"/>
          <w:bCs/>
          <w:lang w:eastAsia="fr-FR" w:bidi="he-IL"/>
        </w:rPr>
        <w:t xml:space="preserve">, </w:t>
      </w:r>
      <w:r w:rsidRPr="00C8701B">
        <w:rPr>
          <w:rFonts w:eastAsia="Arial Unicode MS"/>
          <w:bCs/>
          <w:lang w:eastAsia="fr-FR" w:bidi="he-IL"/>
        </w:rPr>
        <w:t>malgré les détails propres à S. Jean qui se retrouvent dans tous ces passages communs</w:t>
      </w:r>
      <w:r w:rsidR="00E65435">
        <w:rPr>
          <w:rFonts w:eastAsia="Arial Unicode MS"/>
          <w:bCs/>
          <w:lang w:eastAsia="fr-FR" w:bidi="he-IL"/>
        </w:rPr>
        <w:t xml:space="preserve">, </w:t>
      </w:r>
      <w:r w:rsidRPr="00C8701B">
        <w:rPr>
          <w:rFonts w:eastAsia="Arial Unicode MS"/>
          <w:bCs/>
          <w:lang w:eastAsia="fr-FR" w:bidi="he-IL"/>
        </w:rPr>
        <w:t>nous pouvons affirmer que</w:t>
      </w:r>
      <w:r w:rsidR="00CE11E9">
        <w:rPr>
          <w:rFonts w:eastAsia="Arial Unicode MS"/>
          <w:bCs/>
          <w:lang w:eastAsia="fr-FR" w:bidi="he-IL"/>
        </w:rPr>
        <w:t xml:space="preserve"> </w:t>
      </w:r>
      <w:r w:rsidR="00F12048" w:rsidRPr="00C8701B">
        <w:rPr>
          <w:rFonts w:eastAsia="Arial Unicode MS"/>
          <w:bCs/>
          <w:lang w:eastAsia="fr-FR" w:bidi="he-IL"/>
        </w:rPr>
        <w:t>« </w:t>
      </w:r>
      <w:r w:rsidRPr="00C8701B">
        <w:rPr>
          <w:rFonts w:eastAsia="Arial Unicode MS"/>
          <w:bCs/>
          <w:lang w:eastAsia="fr-FR" w:bidi="he-IL"/>
        </w:rPr>
        <w:t>les points cardinaux</w:t>
      </w:r>
      <w:r w:rsidR="00C2602D" w:rsidRPr="00C8701B">
        <w:rPr>
          <w:rFonts w:eastAsia="Arial Unicode MS"/>
          <w:bCs/>
          <w:lang w:eastAsia="fr-FR" w:bidi="he-IL"/>
        </w:rPr>
        <w:t> »</w:t>
      </w:r>
      <w:r w:rsidRPr="00C8701B">
        <w:rPr>
          <w:rFonts w:eastAsia="Arial Unicode MS"/>
          <w:bCs/>
          <w:lang w:eastAsia="fr-FR" w:bidi="he-IL"/>
        </w:rPr>
        <w:t xml:space="preserve"> de la vie de N.-S. Jésus-Christ</w:t>
      </w:r>
      <w:r w:rsidR="00E65435">
        <w:rPr>
          <w:rFonts w:eastAsia="Arial Unicode MS"/>
          <w:bCs/>
          <w:lang w:eastAsia="fr-FR" w:bidi="he-IL"/>
        </w:rPr>
        <w:t xml:space="preserve">, </w:t>
      </w:r>
      <w:r w:rsidRPr="00C8701B">
        <w:rPr>
          <w:rFonts w:eastAsia="Arial Unicode MS"/>
          <w:bCs/>
          <w:lang w:eastAsia="fr-FR" w:bidi="he-IL"/>
        </w:rPr>
        <w:t>comme on les a fort bien nommés</w:t>
      </w:r>
      <w:r w:rsidR="00E65435">
        <w:rPr>
          <w:rFonts w:eastAsia="Arial Unicode MS"/>
          <w:bCs/>
          <w:lang w:eastAsia="fr-FR" w:bidi="he-IL"/>
        </w:rPr>
        <w:t xml:space="preserve">, </w:t>
      </w:r>
      <w:r w:rsidRPr="00C8701B">
        <w:rPr>
          <w:rFonts w:eastAsia="Arial Unicode MS"/>
          <w:bCs/>
          <w:lang w:eastAsia="fr-FR" w:bidi="he-IL"/>
        </w:rPr>
        <w:t>sont les mêmes de part et d</w:t>
      </w:r>
      <w:r w:rsidR="00557DE0">
        <w:rPr>
          <w:rFonts w:eastAsia="Arial Unicode MS"/>
          <w:bCs/>
          <w:lang w:eastAsia="fr-FR" w:bidi="he-IL"/>
        </w:rPr>
        <w:t>’</w:t>
      </w:r>
      <w:r w:rsidRPr="00C8701B">
        <w:rPr>
          <w:rFonts w:eastAsia="Arial Unicode MS"/>
          <w:bCs/>
          <w:lang w:eastAsia="fr-FR" w:bidi="he-IL"/>
        </w:rPr>
        <w:t>autre.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2° Les coïncidences entre les paroles proférées par Jésus d</w:t>
      </w:r>
      <w:r w:rsidR="00557DE0">
        <w:rPr>
          <w:rFonts w:eastAsia="Arial Unicode MS"/>
          <w:bCs/>
          <w:lang w:eastAsia="fr-FR" w:bidi="he-IL"/>
        </w:rPr>
        <w:t>’</w:t>
      </w:r>
      <w:r w:rsidRPr="00C8701B">
        <w:rPr>
          <w:rFonts w:eastAsia="Arial Unicode MS"/>
          <w:bCs/>
          <w:lang w:eastAsia="fr-FR" w:bidi="he-IL"/>
        </w:rPr>
        <w:t>après la double rédaction sont plus fréquentes. Elles concernent les images</w:t>
      </w:r>
      <w:r w:rsidR="00E65435">
        <w:rPr>
          <w:rFonts w:eastAsia="Arial Unicode MS"/>
          <w:bCs/>
          <w:lang w:eastAsia="fr-FR" w:bidi="he-IL"/>
        </w:rPr>
        <w:t xml:space="preserve">, </w:t>
      </w:r>
      <w:r w:rsidRPr="00C8701B">
        <w:rPr>
          <w:rFonts w:eastAsia="Arial Unicode MS"/>
          <w:bCs/>
          <w:lang w:eastAsia="fr-FR" w:bidi="he-IL"/>
        </w:rPr>
        <w:t>les pensées exprimées</w:t>
      </w:r>
      <w:r w:rsidR="00E65435">
        <w:rPr>
          <w:rFonts w:eastAsia="Arial Unicode MS"/>
          <w:bCs/>
          <w:lang w:eastAsia="fr-FR" w:bidi="he-IL"/>
        </w:rPr>
        <w:t xml:space="preserve">, </w:t>
      </w:r>
      <w:r w:rsidRPr="00C8701B">
        <w:rPr>
          <w:rFonts w:eastAsia="Arial Unicode MS"/>
          <w:bCs/>
          <w:lang w:eastAsia="fr-FR" w:bidi="he-IL"/>
        </w:rPr>
        <w:t>les expressions mêmes</w:t>
      </w:r>
      <w:r w:rsidR="00933C60" w:rsidRPr="00C406FF">
        <w:rPr>
          <w:rStyle w:val="Appelnotedebasdep"/>
        </w:rPr>
        <w:footnoteReference w:id="305"/>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1407D9">
        <w:t>a</w:t>
      </w:r>
      <w:r w:rsidR="00736374" w:rsidRPr="001407D9">
        <w:t>)</w:t>
      </w:r>
      <w:r w:rsidR="001407D9" w:rsidRPr="001407D9">
        <w:t xml:space="preserve"> </w:t>
      </w:r>
      <w:r w:rsidRPr="00C8701B">
        <w:rPr>
          <w:rFonts w:eastAsia="Arial Unicode MS"/>
          <w:bCs/>
          <w:lang w:eastAsia="fr-FR" w:bidi="he-IL"/>
        </w:rPr>
        <w:t>Coïncidences des images et comparaisons</w:t>
      </w:r>
      <w:r w:rsidR="00C2602D" w:rsidRPr="00C8701B">
        <w:rPr>
          <w:rFonts w:eastAsia="Arial Unicode MS"/>
          <w:bCs/>
          <w:lang w:eastAsia="fr-FR" w:bidi="he-IL"/>
        </w:rPr>
        <w:t xml:space="preserve"> : </w:t>
      </w:r>
    </w:p>
    <w:p w:rsidR="001407D9" w:rsidRDefault="00B704AD" w:rsidP="001407D9">
      <w:pPr>
        <w:pStyle w:val="locus"/>
        <w:rPr>
          <w:lang w:eastAsia="fr-FR" w:bidi="he-IL"/>
        </w:rPr>
      </w:pPr>
      <w:r w:rsidRPr="00C8701B">
        <w:rPr>
          <w:lang w:eastAsia="fr-FR" w:bidi="he-IL"/>
        </w:rPr>
        <w:t>Le fiancé</w:t>
      </w:r>
      <w:r w:rsidR="00C2602D" w:rsidRPr="00C8701B">
        <w:rPr>
          <w:lang w:eastAsia="fr-FR" w:bidi="he-IL"/>
        </w:rPr>
        <w:t> :</w:t>
      </w:r>
      <w:r w:rsidRPr="00C8701B">
        <w:rPr>
          <w:lang w:eastAsia="fr-FR" w:bidi="he-IL"/>
        </w:rPr>
        <w:t xml:space="preserve"> Joan.</w:t>
      </w:r>
      <w:r w:rsidR="0017332F" w:rsidRPr="00C8701B">
        <w:rPr>
          <w:lang w:eastAsia="fr-FR" w:bidi="he-IL"/>
        </w:rPr>
        <w:t xml:space="preserve"> III</w:t>
      </w:r>
      <w:r w:rsidR="00E65435">
        <w:rPr>
          <w:lang w:eastAsia="fr-FR" w:bidi="he-IL"/>
        </w:rPr>
        <w:t xml:space="preserve">, </w:t>
      </w:r>
      <w:r w:rsidRPr="00C8701B">
        <w:rPr>
          <w:lang w:eastAsia="fr-FR" w:bidi="he-IL"/>
        </w:rPr>
        <w:t>29</w:t>
      </w:r>
      <w:r w:rsidR="00C2602D" w:rsidRPr="00C8701B">
        <w:rPr>
          <w:lang w:eastAsia="fr-FR" w:bidi="he-IL"/>
        </w:rPr>
        <w:t> </w:t>
      </w:r>
      <w:r w:rsidR="007F6508">
        <w:rPr>
          <w:lang w:eastAsia="fr-FR" w:bidi="he-IL"/>
        </w:rPr>
        <w:t xml:space="preserve">; </w:t>
      </w:r>
      <w:r w:rsidRPr="00C8701B">
        <w:rPr>
          <w:lang w:eastAsia="fr-FR" w:bidi="he-IL"/>
        </w:rPr>
        <w:t xml:space="preserve">Matth. </w:t>
      </w:r>
      <w:r w:rsidR="00E1197B">
        <w:rPr>
          <w:lang w:eastAsia="fr-FR" w:bidi="he-IL"/>
        </w:rPr>
        <w:t>IX</w:t>
      </w:r>
      <w:r w:rsidR="00E65435">
        <w:rPr>
          <w:lang w:eastAsia="fr-FR" w:bidi="he-IL"/>
        </w:rPr>
        <w:t xml:space="preserve">, </w:t>
      </w:r>
      <w:r w:rsidRPr="00C8701B">
        <w:rPr>
          <w:lang w:eastAsia="fr-FR" w:bidi="he-IL"/>
        </w:rPr>
        <w:t xml:space="preserve">15 et parall. </w:t>
      </w:r>
    </w:p>
    <w:p w:rsidR="001407D9" w:rsidRDefault="00B704AD" w:rsidP="001407D9">
      <w:pPr>
        <w:pStyle w:val="locus"/>
        <w:rPr>
          <w:lang w:eastAsia="fr-FR" w:bidi="he-IL"/>
        </w:rPr>
      </w:pPr>
      <w:r w:rsidRPr="00C8701B">
        <w:rPr>
          <w:lang w:eastAsia="fr-FR" w:bidi="he-IL"/>
        </w:rPr>
        <w:t>La moisson</w:t>
      </w:r>
      <w:r w:rsidR="00C2602D" w:rsidRPr="00C8701B">
        <w:rPr>
          <w:lang w:eastAsia="fr-FR" w:bidi="he-IL"/>
        </w:rPr>
        <w:t> :</w:t>
      </w:r>
      <w:r w:rsidRPr="00C8701B">
        <w:rPr>
          <w:lang w:eastAsia="fr-FR" w:bidi="he-IL"/>
        </w:rPr>
        <w:t xml:space="preserve"> Joan</w:t>
      </w:r>
      <w:r w:rsidR="001157C4">
        <w:rPr>
          <w:lang w:eastAsia="fr-FR" w:bidi="he-IL"/>
        </w:rPr>
        <w:t xml:space="preserve">. </w:t>
      </w:r>
      <w:r w:rsidR="0096281A">
        <w:rPr>
          <w:lang w:eastAsia="fr-FR" w:bidi="he-IL"/>
        </w:rPr>
        <w:t>IV</w:t>
      </w:r>
      <w:r w:rsidR="001157C4">
        <w:rPr>
          <w:lang w:eastAsia="fr-FR" w:bidi="he-IL"/>
        </w:rPr>
        <w:t>,</w:t>
      </w:r>
      <w:r w:rsidR="00E65435">
        <w:rPr>
          <w:lang w:eastAsia="fr-FR" w:bidi="he-IL"/>
        </w:rPr>
        <w:t xml:space="preserve"> </w:t>
      </w:r>
      <w:r w:rsidRPr="00C8701B">
        <w:rPr>
          <w:lang w:eastAsia="fr-FR" w:bidi="he-IL"/>
        </w:rPr>
        <w:t>35 et ss.</w:t>
      </w:r>
      <w:r w:rsidR="00C2602D" w:rsidRPr="00C8701B">
        <w:rPr>
          <w:lang w:eastAsia="fr-FR" w:bidi="he-IL"/>
        </w:rPr>
        <w:t> </w:t>
      </w:r>
      <w:r w:rsidR="007F6508">
        <w:rPr>
          <w:lang w:eastAsia="fr-FR" w:bidi="he-IL"/>
        </w:rPr>
        <w:t xml:space="preserve">; </w:t>
      </w:r>
      <w:r w:rsidRPr="00C8701B">
        <w:rPr>
          <w:lang w:eastAsia="fr-FR" w:bidi="he-IL"/>
        </w:rPr>
        <w:t xml:space="preserve">Matth. </w:t>
      </w:r>
      <w:r w:rsidR="00E1197B">
        <w:rPr>
          <w:lang w:eastAsia="fr-FR" w:bidi="he-IL"/>
        </w:rPr>
        <w:t>IX</w:t>
      </w:r>
      <w:r w:rsidR="00E65435">
        <w:rPr>
          <w:lang w:eastAsia="fr-FR" w:bidi="he-IL"/>
        </w:rPr>
        <w:t xml:space="preserve">, </w:t>
      </w:r>
      <w:r w:rsidRPr="00C8701B">
        <w:rPr>
          <w:lang w:eastAsia="fr-FR" w:bidi="he-IL"/>
        </w:rPr>
        <w:t xml:space="preserve">37 et s. </w:t>
      </w:r>
    </w:p>
    <w:p w:rsidR="00C2602D" w:rsidRPr="00C8701B" w:rsidRDefault="00B704AD" w:rsidP="001407D9">
      <w:pPr>
        <w:pStyle w:val="locus"/>
        <w:rPr>
          <w:lang w:eastAsia="fr-FR" w:bidi="he-IL"/>
        </w:rPr>
      </w:pPr>
      <w:r w:rsidRPr="00C8701B">
        <w:rPr>
          <w:lang w:eastAsia="fr-FR" w:bidi="he-IL"/>
        </w:rPr>
        <w:t>Le bon pasteur</w:t>
      </w:r>
      <w:r w:rsidR="00C2602D" w:rsidRPr="00C8701B">
        <w:rPr>
          <w:lang w:eastAsia="fr-FR" w:bidi="he-IL"/>
        </w:rPr>
        <w:t> :</w:t>
      </w:r>
      <w:r w:rsidRPr="00C8701B">
        <w:rPr>
          <w:lang w:eastAsia="fr-FR" w:bidi="he-IL"/>
        </w:rPr>
        <w:t xml:space="preserve"> Joan. </w:t>
      </w:r>
      <w:r w:rsidR="001157C4">
        <w:rPr>
          <w:lang w:eastAsia="fr-FR" w:bidi="he-IL"/>
        </w:rPr>
        <w:t>X</w:t>
      </w:r>
      <w:r w:rsidR="00E65435">
        <w:rPr>
          <w:lang w:eastAsia="fr-FR" w:bidi="he-IL"/>
        </w:rPr>
        <w:t xml:space="preserve">, </w:t>
      </w:r>
      <w:r w:rsidRPr="00C8701B">
        <w:rPr>
          <w:lang w:eastAsia="fr-FR" w:bidi="he-IL"/>
        </w:rPr>
        <w:t>7</w:t>
      </w:r>
      <w:r w:rsidR="00C2602D" w:rsidRPr="00C8701B">
        <w:rPr>
          <w:lang w:eastAsia="fr-FR" w:bidi="he-IL"/>
        </w:rPr>
        <w:t> </w:t>
      </w:r>
      <w:r w:rsidR="007F6508">
        <w:rPr>
          <w:lang w:eastAsia="fr-FR" w:bidi="he-IL"/>
        </w:rPr>
        <w:t xml:space="preserve">; </w:t>
      </w:r>
      <w:r w:rsidRPr="00C8701B">
        <w:rPr>
          <w:lang w:eastAsia="fr-FR" w:bidi="he-IL"/>
        </w:rPr>
        <w:t xml:space="preserve">Matth. </w:t>
      </w:r>
      <w:r w:rsidR="00CA083D">
        <w:rPr>
          <w:lang w:eastAsia="fr-FR" w:bidi="he-IL"/>
        </w:rPr>
        <w:t>XVII</w:t>
      </w:r>
      <w:r w:rsidR="00C87A2B">
        <w:rPr>
          <w:lang w:eastAsia="fr-FR" w:bidi="he-IL"/>
        </w:rPr>
        <w:t>I</w:t>
      </w:r>
      <w:r w:rsidR="00E65435">
        <w:rPr>
          <w:lang w:eastAsia="fr-FR" w:bidi="he-IL"/>
        </w:rPr>
        <w:t xml:space="preserve">, </w:t>
      </w:r>
      <w:r w:rsidRPr="00C8701B">
        <w:rPr>
          <w:lang w:eastAsia="fr-FR" w:bidi="he-IL"/>
        </w:rPr>
        <w:t>12.</w:t>
      </w:r>
      <w:r w:rsidR="00C2602D" w:rsidRPr="00C8701B">
        <w:rPr>
          <w:lang w:eastAsia="fr-FR" w:bidi="he-IL"/>
        </w:rPr>
        <w:t xml:space="preserve"> </w:t>
      </w:r>
    </w:p>
    <w:p w:rsidR="00C2602D" w:rsidRPr="00C8701B" w:rsidRDefault="001407D9" w:rsidP="001407D9">
      <w:pPr>
        <w:pStyle w:val="locus"/>
        <w:rPr>
          <w:lang w:eastAsia="fr-FR" w:bidi="he-IL"/>
        </w:rPr>
      </w:pPr>
      <w:r>
        <w:rPr>
          <w:lang w:eastAsia="fr-FR" w:bidi="he-IL"/>
        </w:rPr>
        <w:t>Le</w:t>
      </w:r>
      <w:r w:rsidR="00B704AD" w:rsidRPr="00C8701B">
        <w:rPr>
          <w:lang w:eastAsia="fr-FR" w:bidi="he-IL"/>
        </w:rPr>
        <w:t xml:space="preserve"> maître remplissant le rôle de serviteur</w:t>
      </w:r>
      <w:r w:rsidR="00C2602D" w:rsidRPr="00C8701B">
        <w:rPr>
          <w:lang w:eastAsia="fr-FR" w:bidi="he-IL"/>
        </w:rPr>
        <w:t> :</w:t>
      </w:r>
      <w:r w:rsidR="00B704AD" w:rsidRPr="00C8701B">
        <w:rPr>
          <w:lang w:eastAsia="fr-FR" w:bidi="he-IL"/>
        </w:rPr>
        <w:t xml:space="preserve"> Joan. </w:t>
      </w:r>
      <w:r w:rsidR="003A247F">
        <w:rPr>
          <w:lang w:eastAsia="fr-FR" w:bidi="he-IL"/>
        </w:rPr>
        <w:t>XIII</w:t>
      </w:r>
      <w:r w:rsidR="00E65435">
        <w:rPr>
          <w:lang w:eastAsia="fr-FR" w:bidi="he-IL"/>
        </w:rPr>
        <w:t xml:space="preserve">, </w:t>
      </w:r>
      <w:r w:rsidR="00B704AD" w:rsidRPr="00C8701B">
        <w:rPr>
          <w:lang w:eastAsia="fr-FR" w:bidi="he-IL"/>
        </w:rPr>
        <w:t>4 et ss.</w:t>
      </w:r>
      <w:r w:rsidR="00C2602D" w:rsidRPr="00C8701B">
        <w:rPr>
          <w:lang w:eastAsia="fr-FR" w:bidi="he-IL"/>
        </w:rPr>
        <w:t> </w:t>
      </w:r>
      <w:r w:rsidR="007F6508">
        <w:rPr>
          <w:lang w:eastAsia="fr-FR" w:bidi="he-IL"/>
        </w:rPr>
        <w:t xml:space="preserve">; </w:t>
      </w:r>
      <w:r w:rsidR="00B704AD" w:rsidRPr="00C8701B">
        <w:rPr>
          <w:lang w:eastAsia="fr-FR" w:bidi="he-IL"/>
        </w:rPr>
        <w:t xml:space="preserve">Luc. </w:t>
      </w:r>
      <w:r w:rsidR="00D72CBC">
        <w:rPr>
          <w:lang w:eastAsia="fr-FR" w:bidi="he-IL"/>
        </w:rPr>
        <w:t>XII</w:t>
      </w:r>
      <w:r w:rsidR="00E65435">
        <w:rPr>
          <w:lang w:eastAsia="fr-FR" w:bidi="he-IL"/>
        </w:rPr>
        <w:t xml:space="preserve">, </w:t>
      </w:r>
      <w:r w:rsidR="00B704AD" w:rsidRPr="00C8701B">
        <w:rPr>
          <w:lang w:eastAsia="fr-FR" w:bidi="he-IL"/>
        </w:rPr>
        <w:t>37</w:t>
      </w:r>
      <w:r w:rsidR="00C2602D" w:rsidRPr="00C8701B">
        <w:rPr>
          <w:lang w:eastAsia="fr-FR" w:bidi="he-IL"/>
        </w:rPr>
        <w:t> </w:t>
      </w:r>
      <w:r w:rsidR="007F6508">
        <w:rPr>
          <w:lang w:eastAsia="fr-FR" w:bidi="he-IL"/>
        </w:rPr>
        <w:t xml:space="preserve">; </w:t>
      </w:r>
      <w:r w:rsidR="005069E2">
        <w:rPr>
          <w:lang w:eastAsia="fr-FR" w:bidi="he-IL"/>
        </w:rPr>
        <w:t>XX</w:t>
      </w:r>
      <w:r>
        <w:rPr>
          <w:lang w:eastAsia="fr-FR" w:bidi="he-IL"/>
        </w:rPr>
        <w:t>II,</w:t>
      </w:r>
      <w:r w:rsidR="00B704AD" w:rsidRPr="00C8701B">
        <w:rPr>
          <w:lang w:eastAsia="fr-FR" w:bidi="he-IL"/>
        </w:rPr>
        <w:t xml:space="preserve"> 17.</w:t>
      </w:r>
      <w:r w:rsidR="00C2602D" w:rsidRPr="00C8701B">
        <w:rPr>
          <w:lang w:eastAsia="fr-FR" w:bidi="he-IL"/>
        </w:rPr>
        <w:t xml:space="preserve"> </w:t>
      </w:r>
    </w:p>
    <w:p w:rsidR="001407D9" w:rsidRDefault="00B704AD" w:rsidP="001407D9">
      <w:pPr>
        <w:pStyle w:val="locus"/>
        <w:rPr>
          <w:lang w:eastAsia="fr-FR" w:bidi="he-IL"/>
        </w:rPr>
      </w:pPr>
      <w:r w:rsidRPr="00C8701B">
        <w:rPr>
          <w:lang w:eastAsia="fr-FR" w:bidi="he-IL"/>
        </w:rPr>
        <w:t>Le maître par rapport au disciple</w:t>
      </w:r>
      <w:r w:rsidR="00C2602D" w:rsidRPr="00C8701B">
        <w:rPr>
          <w:lang w:eastAsia="fr-FR" w:bidi="he-IL"/>
        </w:rPr>
        <w:t> :</w:t>
      </w:r>
      <w:r w:rsidR="001407D9">
        <w:rPr>
          <w:lang w:eastAsia="fr-FR" w:bidi="he-IL"/>
        </w:rPr>
        <w:t xml:space="preserve"> </w:t>
      </w:r>
      <w:r w:rsidRPr="00C8701B">
        <w:rPr>
          <w:lang w:eastAsia="fr-FR" w:bidi="he-IL"/>
        </w:rPr>
        <w:t xml:space="preserve">Joan. </w:t>
      </w:r>
      <w:r w:rsidR="003A247F">
        <w:rPr>
          <w:lang w:eastAsia="fr-FR" w:bidi="he-IL"/>
        </w:rPr>
        <w:t>XIII</w:t>
      </w:r>
      <w:r w:rsidR="00E65435">
        <w:rPr>
          <w:lang w:eastAsia="fr-FR" w:bidi="he-IL"/>
        </w:rPr>
        <w:t xml:space="preserve">, </w:t>
      </w:r>
      <w:r w:rsidRPr="00C8701B">
        <w:rPr>
          <w:lang w:eastAsia="fr-FR" w:bidi="he-IL"/>
        </w:rPr>
        <w:t>16</w:t>
      </w:r>
      <w:r w:rsidR="00C2602D" w:rsidRPr="00C8701B">
        <w:rPr>
          <w:lang w:eastAsia="fr-FR" w:bidi="he-IL"/>
        </w:rPr>
        <w:t> </w:t>
      </w:r>
      <w:r w:rsidR="007F6508">
        <w:rPr>
          <w:lang w:eastAsia="fr-FR" w:bidi="he-IL"/>
        </w:rPr>
        <w:t xml:space="preserve">; </w:t>
      </w:r>
      <w:r w:rsidRPr="00C8701B">
        <w:rPr>
          <w:lang w:eastAsia="fr-FR" w:bidi="he-IL"/>
        </w:rPr>
        <w:t xml:space="preserve">Matth. </w:t>
      </w:r>
      <w:r w:rsidR="001157C4">
        <w:rPr>
          <w:lang w:eastAsia="fr-FR" w:bidi="he-IL"/>
        </w:rPr>
        <w:t>X</w:t>
      </w:r>
      <w:r w:rsidR="00E65435">
        <w:rPr>
          <w:lang w:eastAsia="fr-FR" w:bidi="he-IL"/>
        </w:rPr>
        <w:t xml:space="preserve">, </w:t>
      </w:r>
      <w:r w:rsidRPr="00C8701B">
        <w:rPr>
          <w:lang w:eastAsia="fr-FR" w:bidi="he-IL"/>
        </w:rPr>
        <w:t xml:space="preserve">24-25. </w:t>
      </w:r>
    </w:p>
    <w:p w:rsidR="001407D9" w:rsidRDefault="00B704AD" w:rsidP="001407D9">
      <w:pPr>
        <w:pStyle w:val="locus"/>
        <w:rPr>
          <w:lang w:eastAsia="fr-FR" w:bidi="he-IL"/>
        </w:rPr>
      </w:pPr>
      <w:r w:rsidRPr="00C8701B">
        <w:rPr>
          <w:lang w:eastAsia="fr-FR" w:bidi="he-IL"/>
        </w:rPr>
        <w:t>La vigne</w:t>
      </w:r>
      <w:r w:rsidR="00C2602D" w:rsidRPr="00C8701B">
        <w:rPr>
          <w:lang w:eastAsia="fr-FR" w:bidi="he-IL"/>
        </w:rPr>
        <w:t> :</w:t>
      </w:r>
      <w:r w:rsidRPr="00C8701B">
        <w:rPr>
          <w:lang w:eastAsia="fr-FR" w:bidi="he-IL"/>
        </w:rPr>
        <w:t xml:space="preserve"> Joan. </w:t>
      </w:r>
      <w:r w:rsidR="00D72CBC">
        <w:rPr>
          <w:lang w:eastAsia="fr-FR" w:bidi="he-IL"/>
        </w:rPr>
        <w:t>XV</w:t>
      </w:r>
      <w:r w:rsidR="00E65435">
        <w:rPr>
          <w:lang w:eastAsia="fr-FR" w:bidi="he-IL"/>
        </w:rPr>
        <w:t xml:space="preserve">, </w:t>
      </w:r>
      <w:r w:rsidRPr="00C8701B">
        <w:rPr>
          <w:lang w:eastAsia="fr-FR" w:bidi="he-IL"/>
        </w:rPr>
        <w:t>1 et ss.</w:t>
      </w:r>
      <w:r w:rsidR="00C2602D" w:rsidRPr="00C8701B">
        <w:rPr>
          <w:lang w:eastAsia="fr-FR" w:bidi="he-IL"/>
        </w:rPr>
        <w:t> </w:t>
      </w:r>
      <w:r w:rsidR="007F6508">
        <w:rPr>
          <w:lang w:eastAsia="fr-FR" w:bidi="he-IL"/>
        </w:rPr>
        <w:t xml:space="preserve">; </w:t>
      </w:r>
      <w:r w:rsidRPr="00C8701B">
        <w:rPr>
          <w:lang w:eastAsia="fr-FR" w:bidi="he-IL"/>
        </w:rPr>
        <w:t>Matth.</w:t>
      </w:r>
      <w:r w:rsidR="0017332F" w:rsidRPr="00C8701B">
        <w:rPr>
          <w:lang w:eastAsia="fr-FR" w:bidi="he-IL"/>
        </w:rPr>
        <w:t xml:space="preserve"> XXI</w:t>
      </w:r>
      <w:r w:rsidR="00E65435">
        <w:rPr>
          <w:lang w:eastAsia="fr-FR" w:bidi="he-IL"/>
        </w:rPr>
        <w:t xml:space="preserve">, </w:t>
      </w:r>
      <w:r w:rsidRPr="00C8701B">
        <w:rPr>
          <w:lang w:eastAsia="fr-FR" w:bidi="he-IL"/>
        </w:rPr>
        <w:t xml:space="preserve">33. </w:t>
      </w:r>
    </w:p>
    <w:p w:rsidR="00C2602D" w:rsidRPr="00C8701B" w:rsidRDefault="00B704AD" w:rsidP="001407D9">
      <w:pPr>
        <w:pStyle w:val="locus"/>
        <w:rPr>
          <w:lang w:eastAsia="fr-FR" w:bidi="he-IL"/>
        </w:rPr>
      </w:pPr>
      <w:r w:rsidRPr="00C8701B">
        <w:rPr>
          <w:lang w:eastAsia="fr-FR" w:bidi="he-IL"/>
        </w:rPr>
        <w:t>L</w:t>
      </w:r>
      <w:r w:rsidR="00557DE0">
        <w:rPr>
          <w:lang w:eastAsia="fr-FR" w:bidi="he-IL"/>
        </w:rPr>
        <w:t>’</w:t>
      </w:r>
      <w:r w:rsidRPr="00C8701B">
        <w:rPr>
          <w:lang w:eastAsia="fr-FR" w:bidi="he-IL"/>
        </w:rPr>
        <w:t>arbre stérile</w:t>
      </w:r>
      <w:r w:rsidR="00C2602D" w:rsidRPr="00C8701B">
        <w:rPr>
          <w:lang w:eastAsia="fr-FR" w:bidi="he-IL"/>
        </w:rPr>
        <w:t> :</w:t>
      </w:r>
      <w:r w:rsidRPr="00C8701B">
        <w:rPr>
          <w:lang w:eastAsia="fr-FR" w:bidi="he-IL"/>
        </w:rPr>
        <w:t xml:space="preserve"> Joan. </w:t>
      </w:r>
      <w:r w:rsidR="00D72CBC">
        <w:rPr>
          <w:lang w:eastAsia="fr-FR" w:bidi="he-IL"/>
        </w:rPr>
        <w:t>XV</w:t>
      </w:r>
      <w:r w:rsidR="00E65435">
        <w:rPr>
          <w:lang w:eastAsia="fr-FR" w:bidi="he-IL"/>
        </w:rPr>
        <w:t xml:space="preserve">, </w:t>
      </w:r>
      <w:r w:rsidRPr="00C8701B">
        <w:rPr>
          <w:lang w:eastAsia="fr-FR" w:bidi="he-IL"/>
        </w:rPr>
        <w:t>2</w:t>
      </w:r>
      <w:r w:rsidR="00C2602D" w:rsidRPr="00C8701B">
        <w:rPr>
          <w:lang w:eastAsia="fr-FR" w:bidi="he-IL"/>
        </w:rPr>
        <w:t> </w:t>
      </w:r>
      <w:r w:rsidR="007F6508">
        <w:rPr>
          <w:lang w:eastAsia="fr-FR" w:bidi="he-IL"/>
        </w:rPr>
        <w:t xml:space="preserve">; </w:t>
      </w:r>
      <w:r w:rsidRPr="00C8701B">
        <w:rPr>
          <w:lang w:eastAsia="fr-FR" w:bidi="he-IL"/>
        </w:rPr>
        <w:t>Matth</w:t>
      </w:r>
      <w:r w:rsidR="001157C4">
        <w:rPr>
          <w:lang w:eastAsia="fr-FR" w:bidi="he-IL"/>
        </w:rPr>
        <w:t>. VII,</w:t>
      </w:r>
      <w:r w:rsidR="00E65435">
        <w:rPr>
          <w:lang w:eastAsia="fr-FR" w:bidi="he-IL"/>
        </w:rPr>
        <w:t xml:space="preserve"> </w:t>
      </w:r>
      <w:r w:rsidRPr="00C8701B">
        <w:rPr>
          <w:lang w:eastAsia="fr-FR" w:bidi="he-IL"/>
        </w:rPr>
        <w:t>19.</w:t>
      </w:r>
      <w:r w:rsidR="00C2602D" w:rsidRPr="00C8701B">
        <w:rPr>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lang w:eastAsia="fr-FR" w:bidi="he-IL"/>
        </w:rPr>
        <w:t>b</w:t>
      </w:r>
      <w:r w:rsidR="00736374">
        <w:rPr>
          <w:rFonts w:eastAsia="Arial Unicode MS"/>
          <w:lang w:eastAsia="fr-FR" w:bidi="he-IL"/>
        </w:rPr>
        <w:t>)</w:t>
      </w:r>
      <w:r w:rsidR="001407D9">
        <w:rPr>
          <w:rFonts w:eastAsia="Arial Unicode MS"/>
          <w:lang w:eastAsia="fr-FR" w:bidi="he-IL"/>
        </w:rPr>
        <w:t xml:space="preserve"> </w:t>
      </w:r>
      <w:r w:rsidRPr="00C8701B">
        <w:rPr>
          <w:rFonts w:eastAsia="Arial Unicode MS"/>
          <w:bCs/>
          <w:lang w:eastAsia="fr-FR" w:bidi="he-IL"/>
        </w:rPr>
        <w:t>Coïncidences de pensées.</w:t>
      </w:r>
      <w:r w:rsidR="00C2602D" w:rsidRPr="00C8701B">
        <w:rPr>
          <w:rFonts w:eastAsia="Arial Unicode MS"/>
          <w:bCs/>
          <w:lang w:eastAsia="fr-FR" w:bidi="he-IL"/>
        </w:rPr>
        <w:t xml:space="preserve"> </w:t>
      </w:r>
    </w:p>
    <w:p w:rsidR="001407D9" w:rsidRDefault="00B704AD" w:rsidP="001407D9">
      <w:pPr>
        <w:pStyle w:val="locus"/>
        <w:rPr>
          <w:lang w:eastAsia="fr-FR" w:bidi="he-IL"/>
        </w:rPr>
      </w:pPr>
      <w:r w:rsidRPr="00C8701B">
        <w:rPr>
          <w:lang w:eastAsia="fr-FR" w:bidi="he-IL"/>
        </w:rPr>
        <w:t>Le Fils de l</w:t>
      </w:r>
      <w:r w:rsidR="00557DE0">
        <w:rPr>
          <w:lang w:eastAsia="fr-FR" w:bidi="he-IL"/>
        </w:rPr>
        <w:t>’</w:t>
      </w:r>
      <w:r w:rsidRPr="00C8701B">
        <w:rPr>
          <w:lang w:eastAsia="fr-FR" w:bidi="he-IL"/>
        </w:rPr>
        <w:t>homme venu pour sauver</w:t>
      </w:r>
      <w:r w:rsidR="00C2602D" w:rsidRPr="00C8701B">
        <w:rPr>
          <w:lang w:eastAsia="fr-FR" w:bidi="he-IL"/>
        </w:rPr>
        <w:t> :</w:t>
      </w:r>
      <w:r w:rsidRPr="00C8701B">
        <w:rPr>
          <w:lang w:eastAsia="fr-FR" w:bidi="he-IL"/>
        </w:rPr>
        <w:t xml:space="preserve"> Joan.</w:t>
      </w:r>
      <w:r w:rsidR="0017332F" w:rsidRPr="00C8701B">
        <w:rPr>
          <w:lang w:eastAsia="fr-FR" w:bidi="he-IL"/>
        </w:rPr>
        <w:t xml:space="preserve"> III</w:t>
      </w:r>
      <w:r w:rsidR="00E65435">
        <w:rPr>
          <w:lang w:eastAsia="fr-FR" w:bidi="he-IL"/>
        </w:rPr>
        <w:t xml:space="preserve">, </w:t>
      </w:r>
      <w:r w:rsidRPr="00C8701B">
        <w:rPr>
          <w:lang w:eastAsia="fr-FR" w:bidi="he-IL"/>
        </w:rPr>
        <w:t>17</w:t>
      </w:r>
      <w:r w:rsidR="00C2602D" w:rsidRPr="00C8701B">
        <w:rPr>
          <w:lang w:eastAsia="fr-FR" w:bidi="he-IL"/>
        </w:rPr>
        <w:t> </w:t>
      </w:r>
      <w:r w:rsidR="007F6508">
        <w:rPr>
          <w:lang w:eastAsia="fr-FR" w:bidi="he-IL"/>
        </w:rPr>
        <w:t xml:space="preserve">; </w:t>
      </w:r>
      <w:r w:rsidRPr="00C8701B">
        <w:rPr>
          <w:lang w:eastAsia="fr-FR" w:bidi="he-IL"/>
        </w:rPr>
        <w:t xml:space="preserve">Luc. </w:t>
      </w:r>
      <w:r w:rsidR="00E1197B">
        <w:rPr>
          <w:lang w:eastAsia="fr-FR" w:bidi="he-IL"/>
        </w:rPr>
        <w:t>IX</w:t>
      </w:r>
      <w:r w:rsidR="00E65435">
        <w:rPr>
          <w:lang w:eastAsia="fr-FR" w:bidi="he-IL"/>
        </w:rPr>
        <w:t xml:space="preserve">, </w:t>
      </w:r>
      <w:r w:rsidRPr="00C8701B">
        <w:rPr>
          <w:lang w:eastAsia="fr-FR" w:bidi="he-IL"/>
        </w:rPr>
        <w:t xml:space="preserve">56. </w:t>
      </w:r>
    </w:p>
    <w:p w:rsidR="001407D9" w:rsidRDefault="00B704AD" w:rsidP="001407D9">
      <w:pPr>
        <w:pStyle w:val="locus"/>
        <w:rPr>
          <w:lang w:eastAsia="fr-FR" w:bidi="he-IL"/>
        </w:rPr>
      </w:pPr>
      <w:r w:rsidRPr="00C8701B">
        <w:rPr>
          <w:lang w:eastAsia="fr-FR" w:bidi="he-IL"/>
        </w:rPr>
        <w:t>Le prophète sans honneur dans son pays</w:t>
      </w:r>
      <w:r w:rsidR="00C2602D" w:rsidRPr="00C8701B">
        <w:rPr>
          <w:lang w:eastAsia="fr-FR" w:bidi="he-IL"/>
        </w:rPr>
        <w:t> :</w:t>
      </w:r>
      <w:r w:rsidRPr="00C8701B">
        <w:rPr>
          <w:lang w:eastAsia="fr-FR" w:bidi="he-IL"/>
        </w:rPr>
        <w:t xml:space="preserve"> Joan</w:t>
      </w:r>
      <w:r w:rsidR="001157C4">
        <w:rPr>
          <w:lang w:eastAsia="fr-FR" w:bidi="he-IL"/>
        </w:rPr>
        <w:t xml:space="preserve">. </w:t>
      </w:r>
      <w:r w:rsidR="0096281A" w:rsidRPr="00F3476E">
        <w:rPr>
          <w:lang w:val="en-GB" w:eastAsia="fr-FR" w:bidi="he-IL"/>
        </w:rPr>
        <w:t>IV</w:t>
      </w:r>
      <w:r w:rsidR="001157C4" w:rsidRPr="00F3476E">
        <w:rPr>
          <w:lang w:val="en-GB" w:eastAsia="fr-FR" w:bidi="he-IL"/>
        </w:rPr>
        <w:t>,</w:t>
      </w:r>
      <w:r w:rsidR="00E65435" w:rsidRPr="00F3476E">
        <w:rPr>
          <w:lang w:val="en-GB" w:eastAsia="fr-FR" w:bidi="he-IL"/>
        </w:rPr>
        <w:t xml:space="preserve"> </w:t>
      </w:r>
      <w:r w:rsidRPr="00F3476E">
        <w:rPr>
          <w:lang w:val="en-GB" w:eastAsia="fr-FR" w:bidi="he-IL"/>
        </w:rPr>
        <w:t>4</w:t>
      </w:r>
      <w:r w:rsidR="001407D9" w:rsidRPr="00F3476E">
        <w:rPr>
          <w:lang w:val="en-GB" w:eastAsia="fr-FR" w:bidi="he-IL"/>
        </w:rPr>
        <w:t>4 ;</w:t>
      </w:r>
      <w:r w:rsidR="007F6508" w:rsidRPr="00F3476E">
        <w:rPr>
          <w:lang w:val="en-GB" w:eastAsia="fr-FR" w:bidi="he-IL"/>
        </w:rPr>
        <w:t xml:space="preserve"> </w:t>
      </w:r>
      <w:r w:rsidRPr="00F3476E">
        <w:rPr>
          <w:lang w:val="en-GB" w:eastAsia="fr-FR" w:bidi="he-IL"/>
        </w:rPr>
        <w:t xml:space="preserve">Matth. </w:t>
      </w:r>
      <w:r w:rsidR="001407D9" w:rsidRPr="00F3476E">
        <w:rPr>
          <w:lang w:val="en-GB" w:eastAsia="fr-FR" w:bidi="he-IL"/>
        </w:rPr>
        <w:t>XI</w:t>
      </w:r>
      <w:r w:rsidR="00C87A2B" w:rsidRPr="00F3476E">
        <w:rPr>
          <w:lang w:val="en-GB" w:eastAsia="fr-FR" w:bidi="he-IL"/>
        </w:rPr>
        <w:t>II</w:t>
      </w:r>
      <w:r w:rsidR="00E65435" w:rsidRPr="00F3476E">
        <w:rPr>
          <w:lang w:val="en-GB" w:eastAsia="fr-FR" w:bidi="he-IL"/>
        </w:rPr>
        <w:t xml:space="preserve">, </w:t>
      </w:r>
      <w:r w:rsidRPr="00F3476E">
        <w:rPr>
          <w:lang w:val="en-GB" w:eastAsia="fr-FR" w:bidi="he-IL"/>
        </w:rPr>
        <w:t>57</w:t>
      </w:r>
      <w:r w:rsidR="00C2602D" w:rsidRPr="00F3476E">
        <w:rPr>
          <w:lang w:val="en-GB" w:eastAsia="fr-FR" w:bidi="he-IL"/>
        </w:rPr>
        <w:t> </w:t>
      </w:r>
      <w:r w:rsidR="007F6508" w:rsidRPr="00F3476E">
        <w:rPr>
          <w:lang w:val="en-GB" w:eastAsia="fr-FR" w:bidi="he-IL"/>
        </w:rPr>
        <w:t xml:space="preserve">; </w:t>
      </w:r>
      <w:r w:rsidRPr="00F3476E">
        <w:rPr>
          <w:lang w:val="en-GB" w:eastAsia="fr-FR" w:bidi="he-IL"/>
        </w:rPr>
        <w:t>Marc</w:t>
      </w:r>
      <w:r w:rsidR="00DD17CA" w:rsidRPr="00F3476E">
        <w:rPr>
          <w:lang w:val="en-GB" w:eastAsia="fr-FR" w:bidi="he-IL"/>
        </w:rPr>
        <w:t xml:space="preserve">. </w:t>
      </w:r>
      <w:r w:rsidR="00A319EA" w:rsidRPr="00F3476E">
        <w:rPr>
          <w:lang w:val="en-GB" w:eastAsia="fr-FR" w:bidi="he-IL"/>
        </w:rPr>
        <w:t>VI</w:t>
      </w:r>
      <w:r w:rsidR="00E65435" w:rsidRPr="00F3476E">
        <w:rPr>
          <w:lang w:val="en-GB" w:eastAsia="fr-FR" w:bidi="he-IL"/>
        </w:rPr>
        <w:t xml:space="preserve">, </w:t>
      </w:r>
      <w:r w:rsidRPr="00F3476E">
        <w:rPr>
          <w:lang w:val="en-GB" w:eastAsia="fr-FR" w:bidi="he-IL"/>
        </w:rPr>
        <w:t>4</w:t>
      </w:r>
      <w:r w:rsidR="00C2602D" w:rsidRPr="00F3476E">
        <w:rPr>
          <w:lang w:val="en-GB" w:eastAsia="fr-FR" w:bidi="he-IL"/>
        </w:rPr>
        <w:t> </w:t>
      </w:r>
      <w:r w:rsidR="007F6508" w:rsidRPr="00F3476E">
        <w:rPr>
          <w:lang w:val="en-GB" w:eastAsia="fr-FR" w:bidi="he-IL"/>
        </w:rPr>
        <w:t xml:space="preserve">; </w:t>
      </w:r>
      <w:r w:rsidRPr="00F3476E">
        <w:rPr>
          <w:lang w:val="en-GB" w:eastAsia="fr-FR" w:bidi="he-IL"/>
        </w:rPr>
        <w:t>Luc</w:t>
      </w:r>
      <w:r w:rsidR="001157C4" w:rsidRPr="00F3476E">
        <w:rPr>
          <w:lang w:val="en-GB" w:eastAsia="fr-FR" w:bidi="he-IL"/>
        </w:rPr>
        <w:t xml:space="preserve">. </w:t>
      </w:r>
      <w:r w:rsidR="0096281A">
        <w:rPr>
          <w:lang w:eastAsia="fr-FR" w:bidi="he-IL"/>
        </w:rPr>
        <w:t>IV</w:t>
      </w:r>
      <w:r w:rsidR="001157C4">
        <w:rPr>
          <w:lang w:eastAsia="fr-FR" w:bidi="he-IL"/>
        </w:rPr>
        <w:t>,</w:t>
      </w:r>
      <w:r w:rsidR="00E65435">
        <w:rPr>
          <w:lang w:eastAsia="fr-FR" w:bidi="he-IL"/>
        </w:rPr>
        <w:t xml:space="preserve"> </w:t>
      </w:r>
      <w:r w:rsidRPr="00C8701B">
        <w:rPr>
          <w:lang w:eastAsia="fr-FR" w:bidi="he-IL"/>
        </w:rPr>
        <w:t xml:space="preserve">24. </w:t>
      </w:r>
    </w:p>
    <w:p w:rsidR="001407D9" w:rsidRDefault="00B704AD" w:rsidP="001407D9">
      <w:pPr>
        <w:pStyle w:val="locus"/>
        <w:rPr>
          <w:lang w:eastAsia="fr-FR" w:bidi="he-IL"/>
        </w:rPr>
      </w:pPr>
      <w:r w:rsidRPr="00C8701B">
        <w:rPr>
          <w:lang w:eastAsia="fr-FR" w:bidi="he-IL"/>
        </w:rPr>
        <w:t>La volonté de Dieu</w:t>
      </w:r>
      <w:r w:rsidR="00C2602D" w:rsidRPr="00C8701B">
        <w:rPr>
          <w:lang w:eastAsia="fr-FR" w:bidi="he-IL"/>
        </w:rPr>
        <w:t> :</w:t>
      </w:r>
      <w:r w:rsidRPr="00C8701B">
        <w:rPr>
          <w:lang w:eastAsia="fr-FR" w:bidi="he-IL"/>
        </w:rPr>
        <w:t xml:space="preserve"> Joan. </w:t>
      </w:r>
      <w:r w:rsidR="00835131">
        <w:rPr>
          <w:lang w:eastAsia="fr-FR" w:bidi="he-IL"/>
        </w:rPr>
        <w:t>V</w:t>
      </w:r>
      <w:r w:rsidR="00E65435">
        <w:rPr>
          <w:lang w:eastAsia="fr-FR" w:bidi="he-IL"/>
        </w:rPr>
        <w:t xml:space="preserve">, </w:t>
      </w:r>
      <w:r w:rsidRPr="00C8701B">
        <w:rPr>
          <w:lang w:eastAsia="fr-FR" w:bidi="he-IL"/>
        </w:rPr>
        <w:t>30</w:t>
      </w:r>
      <w:r w:rsidR="00C2602D" w:rsidRPr="00C8701B">
        <w:rPr>
          <w:lang w:eastAsia="fr-FR" w:bidi="he-IL"/>
        </w:rPr>
        <w:t> </w:t>
      </w:r>
      <w:r w:rsidR="007F6508">
        <w:rPr>
          <w:lang w:eastAsia="fr-FR" w:bidi="he-IL"/>
        </w:rPr>
        <w:t xml:space="preserve">; </w:t>
      </w:r>
      <w:r w:rsidRPr="00C8701B">
        <w:rPr>
          <w:lang w:eastAsia="fr-FR" w:bidi="he-IL"/>
        </w:rPr>
        <w:t xml:space="preserve">Matth. </w:t>
      </w:r>
      <w:r w:rsidR="0042479B">
        <w:rPr>
          <w:lang w:eastAsia="fr-FR" w:bidi="he-IL"/>
        </w:rPr>
        <w:t>X</w:t>
      </w:r>
      <w:r w:rsidR="00EF1E04">
        <w:rPr>
          <w:lang w:eastAsia="fr-FR" w:bidi="he-IL"/>
        </w:rPr>
        <w:t>XVI</w:t>
      </w:r>
      <w:r w:rsidR="00E65435">
        <w:rPr>
          <w:lang w:eastAsia="fr-FR" w:bidi="he-IL"/>
        </w:rPr>
        <w:t xml:space="preserve">, </w:t>
      </w:r>
      <w:r w:rsidRPr="00C8701B">
        <w:rPr>
          <w:lang w:eastAsia="fr-FR" w:bidi="he-IL"/>
        </w:rPr>
        <w:t xml:space="preserve">39 et parall. </w:t>
      </w:r>
    </w:p>
    <w:p w:rsidR="001407D9" w:rsidRDefault="00B704AD" w:rsidP="001407D9">
      <w:pPr>
        <w:pStyle w:val="locus"/>
        <w:rPr>
          <w:lang w:eastAsia="fr-FR" w:bidi="he-IL"/>
        </w:rPr>
      </w:pPr>
      <w:r w:rsidRPr="00C8701B">
        <w:rPr>
          <w:lang w:eastAsia="fr-FR" w:bidi="he-IL"/>
        </w:rPr>
        <w:t>Le Père</w:t>
      </w:r>
      <w:r w:rsidR="00E65435">
        <w:rPr>
          <w:lang w:eastAsia="fr-FR" w:bidi="he-IL"/>
        </w:rPr>
        <w:t xml:space="preserve">, </w:t>
      </w:r>
      <w:r w:rsidRPr="00C8701B">
        <w:rPr>
          <w:lang w:eastAsia="fr-FR" w:bidi="he-IL"/>
        </w:rPr>
        <w:t>connu du Christ</w:t>
      </w:r>
      <w:r w:rsidR="00C2602D" w:rsidRPr="00C8701B">
        <w:rPr>
          <w:lang w:eastAsia="fr-FR" w:bidi="he-IL"/>
        </w:rPr>
        <w:t> :</w:t>
      </w:r>
      <w:r w:rsidRPr="00C8701B">
        <w:rPr>
          <w:lang w:eastAsia="fr-FR" w:bidi="he-IL"/>
        </w:rPr>
        <w:t xml:space="preserve"> Joan</w:t>
      </w:r>
      <w:r w:rsidR="001157C4">
        <w:rPr>
          <w:lang w:eastAsia="fr-FR" w:bidi="he-IL"/>
        </w:rPr>
        <w:t>. VII,</w:t>
      </w:r>
      <w:r w:rsidR="00E65435">
        <w:rPr>
          <w:lang w:eastAsia="fr-FR" w:bidi="he-IL"/>
        </w:rPr>
        <w:t xml:space="preserve"> </w:t>
      </w:r>
      <w:r w:rsidRPr="00C8701B">
        <w:rPr>
          <w:lang w:eastAsia="fr-FR" w:bidi="he-IL"/>
        </w:rPr>
        <w:t>29</w:t>
      </w:r>
      <w:r w:rsidR="00C2602D" w:rsidRPr="00C8701B">
        <w:rPr>
          <w:lang w:eastAsia="fr-FR" w:bidi="he-IL"/>
        </w:rPr>
        <w:t> </w:t>
      </w:r>
      <w:r w:rsidR="007F6508">
        <w:rPr>
          <w:lang w:eastAsia="fr-FR" w:bidi="he-IL"/>
        </w:rPr>
        <w:t xml:space="preserve">; </w:t>
      </w:r>
      <w:r w:rsidRPr="00C8701B">
        <w:rPr>
          <w:lang w:eastAsia="fr-FR" w:bidi="he-IL"/>
        </w:rPr>
        <w:t xml:space="preserve">Matth. </w:t>
      </w:r>
      <w:r w:rsidR="007A3654">
        <w:rPr>
          <w:lang w:val="el-GR" w:eastAsia="fr-FR" w:bidi="he-IL"/>
        </w:rPr>
        <w:t>XI</w:t>
      </w:r>
      <w:r w:rsidR="00E65435">
        <w:rPr>
          <w:lang w:val="el-GR" w:eastAsia="fr-FR" w:bidi="he-IL"/>
        </w:rPr>
        <w:t xml:space="preserve">, </w:t>
      </w:r>
      <w:r w:rsidRPr="00C8701B">
        <w:rPr>
          <w:lang w:val="el-GR" w:eastAsia="fr-FR" w:bidi="he-IL"/>
        </w:rPr>
        <w:t xml:space="preserve">27. </w:t>
      </w:r>
    </w:p>
    <w:p w:rsidR="00C2602D" w:rsidRPr="00C8701B" w:rsidRDefault="00B704AD" w:rsidP="001407D9">
      <w:pPr>
        <w:pStyle w:val="locus"/>
        <w:rPr>
          <w:lang w:eastAsia="fr-FR" w:bidi="he-IL"/>
        </w:rPr>
      </w:pPr>
      <w:r w:rsidRPr="00C8701B">
        <w:rPr>
          <w:lang w:eastAsia="fr-FR" w:bidi="he-IL"/>
        </w:rPr>
        <w:t>La cécité morale</w:t>
      </w:r>
      <w:r w:rsidR="00C2602D" w:rsidRPr="00C8701B">
        <w:rPr>
          <w:lang w:eastAsia="fr-FR" w:bidi="he-IL"/>
        </w:rPr>
        <w:t> :</w:t>
      </w:r>
      <w:r w:rsidRPr="00C8701B">
        <w:rPr>
          <w:lang w:eastAsia="fr-FR" w:bidi="he-IL"/>
        </w:rPr>
        <w:t xml:space="preserve"> Joan. </w:t>
      </w:r>
      <w:r w:rsidR="00906914">
        <w:rPr>
          <w:lang w:eastAsia="fr-FR" w:bidi="he-IL"/>
        </w:rPr>
        <w:t>IX</w:t>
      </w:r>
      <w:r w:rsidR="00E65435">
        <w:rPr>
          <w:lang w:eastAsia="fr-FR" w:bidi="he-IL"/>
        </w:rPr>
        <w:t xml:space="preserve">, </w:t>
      </w:r>
      <w:r w:rsidRPr="00C8701B">
        <w:rPr>
          <w:lang w:eastAsia="fr-FR" w:bidi="he-IL"/>
        </w:rPr>
        <w:t>39</w:t>
      </w:r>
      <w:r w:rsidR="00C2602D" w:rsidRPr="00C8701B">
        <w:rPr>
          <w:lang w:eastAsia="fr-FR" w:bidi="he-IL"/>
        </w:rPr>
        <w:t> </w:t>
      </w:r>
      <w:r w:rsidR="007F6508">
        <w:rPr>
          <w:lang w:eastAsia="fr-FR" w:bidi="he-IL"/>
        </w:rPr>
        <w:t xml:space="preserve">; </w:t>
      </w:r>
      <w:r w:rsidRPr="00C8701B">
        <w:rPr>
          <w:lang w:eastAsia="fr-FR" w:bidi="he-IL"/>
        </w:rPr>
        <w:t xml:space="preserve">Matth. </w:t>
      </w:r>
      <w:r w:rsidR="003A247F">
        <w:rPr>
          <w:lang w:eastAsia="fr-FR" w:bidi="he-IL"/>
        </w:rPr>
        <w:t>XIII</w:t>
      </w:r>
      <w:r w:rsidR="00E65435">
        <w:rPr>
          <w:lang w:eastAsia="fr-FR" w:bidi="he-IL"/>
        </w:rPr>
        <w:t xml:space="preserve">, </w:t>
      </w:r>
      <w:r w:rsidRPr="00C8701B">
        <w:rPr>
          <w:lang w:eastAsia="fr-FR" w:bidi="he-IL"/>
        </w:rPr>
        <w:t>18.</w:t>
      </w:r>
      <w:r w:rsidR="00C2602D" w:rsidRPr="00C8701B">
        <w:rPr>
          <w:lang w:eastAsia="fr-FR" w:bidi="he-IL"/>
        </w:rPr>
        <w:t xml:space="preserve"> </w:t>
      </w:r>
    </w:p>
    <w:p w:rsidR="001407D9" w:rsidRDefault="00B704AD" w:rsidP="001407D9">
      <w:pPr>
        <w:pStyle w:val="locus"/>
        <w:rPr>
          <w:lang w:val="en-US" w:eastAsia="fr-FR" w:bidi="he-IL"/>
        </w:rPr>
      </w:pPr>
      <w:r w:rsidRPr="00C8701B">
        <w:rPr>
          <w:lang w:eastAsia="fr-FR" w:bidi="he-IL"/>
        </w:rPr>
        <w:t>Perdre son âme et la sauver</w:t>
      </w:r>
      <w:r w:rsidR="00C2602D" w:rsidRPr="00C8701B">
        <w:rPr>
          <w:lang w:eastAsia="fr-FR" w:bidi="he-IL"/>
        </w:rPr>
        <w:t> :</w:t>
      </w:r>
      <w:r w:rsidRPr="00C8701B">
        <w:rPr>
          <w:lang w:eastAsia="fr-FR" w:bidi="he-IL"/>
        </w:rPr>
        <w:t xml:space="preserve"> Joan. </w:t>
      </w:r>
      <w:r w:rsidR="00D72CBC" w:rsidRPr="00A74F01">
        <w:rPr>
          <w:lang w:val="en-US" w:eastAsia="fr-FR" w:bidi="he-IL"/>
        </w:rPr>
        <w:t>XII</w:t>
      </w:r>
      <w:r w:rsidR="00E65435" w:rsidRPr="00A74F01">
        <w:rPr>
          <w:lang w:val="en-US" w:eastAsia="fr-FR" w:bidi="he-IL"/>
        </w:rPr>
        <w:t xml:space="preserve">, </w:t>
      </w:r>
      <w:r w:rsidRPr="00A74F01">
        <w:rPr>
          <w:lang w:val="en-US" w:eastAsia="fr-FR" w:bidi="he-IL"/>
        </w:rPr>
        <w:t>25</w:t>
      </w:r>
      <w:r w:rsidR="00C2602D" w:rsidRPr="00A74F01">
        <w:rPr>
          <w:lang w:val="en-US" w:eastAsia="fr-FR" w:bidi="he-IL"/>
        </w:rPr>
        <w:t> </w:t>
      </w:r>
      <w:r w:rsidR="007F6508" w:rsidRPr="00A74F01">
        <w:rPr>
          <w:lang w:val="en-US" w:eastAsia="fr-FR" w:bidi="he-IL"/>
        </w:rPr>
        <w:t xml:space="preserve">; </w:t>
      </w:r>
      <w:r w:rsidRPr="00A74F01">
        <w:rPr>
          <w:lang w:val="en-US" w:eastAsia="fr-FR" w:bidi="he-IL"/>
        </w:rPr>
        <w:t xml:space="preserve">Matth. </w:t>
      </w:r>
      <w:r w:rsidR="001157C4" w:rsidRPr="00A74F01">
        <w:rPr>
          <w:lang w:val="en-US" w:eastAsia="fr-FR" w:bidi="he-IL"/>
        </w:rPr>
        <w:t>X</w:t>
      </w:r>
      <w:r w:rsidR="00E65435" w:rsidRPr="00A74F01">
        <w:rPr>
          <w:lang w:val="en-US" w:eastAsia="fr-FR" w:bidi="he-IL"/>
        </w:rPr>
        <w:t xml:space="preserve">, </w:t>
      </w:r>
      <w:r w:rsidRPr="00A74F01">
        <w:rPr>
          <w:lang w:val="en-US" w:eastAsia="fr-FR" w:bidi="he-IL"/>
        </w:rPr>
        <w:t>39</w:t>
      </w:r>
      <w:r w:rsidR="00C2602D" w:rsidRPr="00A74F01">
        <w:rPr>
          <w:lang w:val="en-US" w:eastAsia="fr-FR" w:bidi="he-IL"/>
        </w:rPr>
        <w:t> </w:t>
      </w:r>
      <w:r w:rsidR="007F6508" w:rsidRPr="00A74F01">
        <w:rPr>
          <w:lang w:val="en-US" w:eastAsia="fr-FR" w:bidi="he-IL"/>
        </w:rPr>
        <w:t xml:space="preserve">; </w:t>
      </w:r>
      <w:r w:rsidRPr="00A74F01">
        <w:rPr>
          <w:lang w:val="en-US" w:eastAsia="fr-FR" w:bidi="he-IL"/>
        </w:rPr>
        <w:t xml:space="preserve">Luc. </w:t>
      </w:r>
      <w:r w:rsidR="00CA083D" w:rsidRPr="00A74F01">
        <w:rPr>
          <w:lang w:val="en-US" w:eastAsia="fr-FR" w:bidi="he-IL"/>
        </w:rPr>
        <w:t>XVII</w:t>
      </w:r>
      <w:r w:rsidR="00E65435" w:rsidRPr="00A74F01">
        <w:rPr>
          <w:lang w:val="en-US" w:eastAsia="fr-FR" w:bidi="he-IL"/>
        </w:rPr>
        <w:t xml:space="preserve">, </w:t>
      </w:r>
      <w:r w:rsidRPr="00A74F01">
        <w:rPr>
          <w:lang w:val="en-US" w:eastAsia="fr-FR" w:bidi="he-IL"/>
        </w:rPr>
        <w:t xml:space="preserve">33. </w:t>
      </w:r>
    </w:p>
    <w:p w:rsidR="001407D9" w:rsidRDefault="00B704AD" w:rsidP="001407D9">
      <w:pPr>
        <w:pStyle w:val="locus"/>
        <w:rPr>
          <w:lang w:eastAsia="fr-FR" w:bidi="he-IL"/>
        </w:rPr>
      </w:pPr>
      <w:r w:rsidRPr="00C8701B">
        <w:rPr>
          <w:lang w:eastAsia="fr-FR" w:bidi="he-IL"/>
        </w:rPr>
        <w:t>Recevoir un apôtre c</w:t>
      </w:r>
      <w:r w:rsidR="00557DE0">
        <w:rPr>
          <w:lang w:eastAsia="fr-FR" w:bidi="he-IL"/>
        </w:rPr>
        <w:t>’</w:t>
      </w:r>
      <w:r w:rsidRPr="00C8701B">
        <w:rPr>
          <w:lang w:eastAsia="fr-FR" w:bidi="he-IL"/>
        </w:rPr>
        <w:t>est recevoir Dieu</w:t>
      </w:r>
      <w:r w:rsidR="00C2602D" w:rsidRPr="00C8701B">
        <w:rPr>
          <w:lang w:eastAsia="fr-FR" w:bidi="he-IL"/>
        </w:rPr>
        <w:t> :</w:t>
      </w:r>
      <w:r w:rsidRPr="00C8701B">
        <w:rPr>
          <w:lang w:eastAsia="fr-FR" w:bidi="he-IL"/>
        </w:rPr>
        <w:t xml:space="preserve"> Joan. </w:t>
      </w:r>
      <w:r w:rsidR="003A247F">
        <w:rPr>
          <w:lang w:eastAsia="fr-FR" w:bidi="he-IL"/>
        </w:rPr>
        <w:t>XIII</w:t>
      </w:r>
      <w:r w:rsidR="00E65435">
        <w:rPr>
          <w:lang w:eastAsia="fr-FR" w:bidi="he-IL"/>
        </w:rPr>
        <w:t xml:space="preserve">, </w:t>
      </w:r>
      <w:r w:rsidRPr="00C8701B">
        <w:rPr>
          <w:lang w:eastAsia="fr-FR" w:bidi="he-IL"/>
        </w:rPr>
        <w:t>20</w:t>
      </w:r>
      <w:r w:rsidR="00C2602D" w:rsidRPr="00C8701B">
        <w:rPr>
          <w:lang w:eastAsia="fr-FR" w:bidi="he-IL"/>
        </w:rPr>
        <w:t> </w:t>
      </w:r>
      <w:r w:rsidR="007F6508">
        <w:rPr>
          <w:lang w:eastAsia="fr-FR" w:bidi="he-IL"/>
        </w:rPr>
        <w:t xml:space="preserve">; </w:t>
      </w:r>
      <w:r w:rsidRPr="00C8701B">
        <w:rPr>
          <w:lang w:eastAsia="fr-FR" w:bidi="he-IL"/>
        </w:rPr>
        <w:t xml:space="preserve">Matth. </w:t>
      </w:r>
      <w:r w:rsidR="001157C4">
        <w:rPr>
          <w:lang w:eastAsia="fr-FR" w:bidi="he-IL"/>
        </w:rPr>
        <w:t>X</w:t>
      </w:r>
      <w:r w:rsidR="00E65435">
        <w:rPr>
          <w:lang w:eastAsia="fr-FR" w:bidi="he-IL"/>
        </w:rPr>
        <w:t xml:space="preserve">, </w:t>
      </w:r>
      <w:r w:rsidRPr="00C8701B">
        <w:rPr>
          <w:lang w:eastAsia="fr-FR" w:bidi="he-IL"/>
        </w:rPr>
        <w:t xml:space="preserve">40. </w:t>
      </w:r>
    </w:p>
    <w:p w:rsidR="00C2602D" w:rsidRPr="00F3476E" w:rsidRDefault="00B704AD" w:rsidP="001407D9">
      <w:pPr>
        <w:pStyle w:val="locus"/>
        <w:rPr>
          <w:lang w:val="en-GB" w:eastAsia="fr-FR" w:bidi="he-IL"/>
        </w:rPr>
      </w:pPr>
      <w:r w:rsidRPr="00C8701B">
        <w:rPr>
          <w:lang w:eastAsia="fr-FR" w:bidi="he-IL"/>
        </w:rPr>
        <w:t>Les chrétiens persécutés</w:t>
      </w:r>
      <w:r w:rsidR="00C2602D" w:rsidRPr="00C8701B">
        <w:rPr>
          <w:lang w:eastAsia="fr-FR" w:bidi="he-IL"/>
        </w:rPr>
        <w:t> :</w:t>
      </w:r>
      <w:r w:rsidRPr="00C8701B">
        <w:rPr>
          <w:lang w:eastAsia="fr-FR" w:bidi="he-IL"/>
        </w:rPr>
        <w:t xml:space="preserve"> Joan. </w:t>
      </w:r>
      <w:r w:rsidR="00EF1E04" w:rsidRPr="00F3476E">
        <w:rPr>
          <w:lang w:val="en-GB" w:eastAsia="fr-FR" w:bidi="he-IL"/>
        </w:rPr>
        <w:t>XVI</w:t>
      </w:r>
      <w:r w:rsidR="00E65435" w:rsidRPr="00F3476E">
        <w:rPr>
          <w:lang w:val="en-GB" w:eastAsia="fr-FR" w:bidi="he-IL"/>
        </w:rPr>
        <w:t xml:space="preserve">, </w:t>
      </w:r>
      <w:r w:rsidRPr="00F3476E">
        <w:rPr>
          <w:lang w:val="en-GB" w:eastAsia="fr-FR" w:bidi="he-IL"/>
        </w:rPr>
        <w:t>2</w:t>
      </w:r>
      <w:r w:rsidR="00C2602D" w:rsidRPr="00F3476E">
        <w:rPr>
          <w:lang w:val="en-GB" w:eastAsia="fr-FR" w:bidi="he-IL"/>
        </w:rPr>
        <w:t> </w:t>
      </w:r>
      <w:r w:rsidR="007F6508" w:rsidRPr="00F3476E">
        <w:rPr>
          <w:lang w:val="en-GB" w:eastAsia="fr-FR" w:bidi="he-IL"/>
        </w:rPr>
        <w:t xml:space="preserve">; </w:t>
      </w:r>
      <w:r w:rsidRPr="00F3476E">
        <w:rPr>
          <w:lang w:val="en-GB" w:eastAsia="fr-FR" w:bidi="he-IL"/>
        </w:rPr>
        <w:t xml:space="preserve">Matth. </w:t>
      </w:r>
      <w:r w:rsidR="00C2681A" w:rsidRPr="00F3476E">
        <w:rPr>
          <w:lang w:val="en-GB" w:eastAsia="fr-FR" w:bidi="he-IL"/>
        </w:rPr>
        <w:t>XX</w:t>
      </w:r>
      <w:r w:rsidR="00CB43AA" w:rsidRPr="00F3476E">
        <w:rPr>
          <w:lang w:val="en-GB" w:eastAsia="fr-FR" w:bidi="he-IL"/>
        </w:rPr>
        <w:t>IV</w:t>
      </w:r>
      <w:r w:rsidR="00E65435" w:rsidRPr="00F3476E">
        <w:rPr>
          <w:lang w:val="en-GB" w:eastAsia="fr-FR" w:bidi="he-IL"/>
        </w:rPr>
        <w:t xml:space="preserve">, </w:t>
      </w:r>
      <w:r w:rsidRPr="00F3476E">
        <w:rPr>
          <w:lang w:val="en-GB" w:eastAsia="fr-FR" w:bidi="he-IL"/>
        </w:rPr>
        <w:t>9.</w:t>
      </w:r>
      <w:r w:rsidR="00C2602D" w:rsidRPr="00F3476E">
        <w:rPr>
          <w:lang w:val="en-GB" w:eastAsia="fr-FR" w:bidi="he-IL"/>
        </w:rPr>
        <w:t xml:space="preserve"> </w:t>
      </w:r>
    </w:p>
    <w:p w:rsidR="00C2602D" w:rsidRPr="00D62373" w:rsidRDefault="00B704AD" w:rsidP="00C2602D">
      <w:r w:rsidRPr="00D62373">
        <w:t>c</w:t>
      </w:r>
      <w:r w:rsidR="00736374" w:rsidRPr="00D62373">
        <w:t>)</w:t>
      </w:r>
      <w:r w:rsidR="001407D9" w:rsidRPr="00D62373">
        <w:t xml:space="preserve"> </w:t>
      </w:r>
      <w:r w:rsidRPr="00D62373">
        <w:t>Coïncidences verbales</w:t>
      </w:r>
      <w:r w:rsidR="00C2602D" w:rsidRPr="00D62373">
        <w:t xml:space="preserve"> : </w:t>
      </w:r>
    </w:p>
    <w:p w:rsidR="001407D9" w:rsidRDefault="00B704AD" w:rsidP="001407D9">
      <w:pPr>
        <w:pStyle w:val="locus"/>
        <w:rPr>
          <w:lang w:val="en-US" w:eastAsia="fr-FR" w:bidi="he-IL"/>
        </w:rPr>
      </w:pPr>
      <w:r w:rsidRPr="00F3476E">
        <w:rPr>
          <w:rStyle w:val="italicus"/>
          <w:lang w:val="en-GB"/>
        </w:rPr>
        <w:t>Ego</w:t>
      </w:r>
      <w:r w:rsidR="001407D9" w:rsidRPr="00F3476E">
        <w:rPr>
          <w:rStyle w:val="italicus"/>
          <w:lang w:val="en-GB"/>
        </w:rPr>
        <w:t xml:space="preserve"> </w:t>
      </w:r>
      <w:r w:rsidRPr="00F3476E">
        <w:rPr>
          <w:rStyle w:val="italicus"/>
          <w:lang w:val="en-GB"/>
        </w:rPr>
        <w:t>vox c</w:t>
      </w:r>
      <w:r w:rsidR="00E939E7" w:rsidRPr="00F3476E">
        <w:rPr>
          <w:rStyle w:val="italicus"/>
          <w:lang w:val="en-GB"/>
        </w:rPr>
        <w:t>lamántis</w:t>
      </w:r>
      <w:r w:rsidRPr="00F3476E">
        <w:rPr>
          <w:rStyle w:val="italicus"/>
          <w:lang w:val="en-GB"/>
        </w:rPr>
        <w:t>...</w:t>
      </w:r>
      <w:r w:rsidR="00E65435" w:rsidRPr="00F3476E">
        <w:rPr>
          <w:rStyle w:val="italicus"/>
          <w:lang w:val="en-GB"/>
        </w:rPr>
        <w:t xml:space="preserve">, </w:t>
      </w:r>
      <w:r w:rsidRPr="00F3476E">
        <w:rPr>
          <w:lang w:val="en-GB" w:eastAsia="fr-FR" w:bidi="he-IL"/>
        </w:rPr>
        <w:t>Joan.</w:t>
      </w:r>
      <w:r w:rsidR="00C21120" w:rsidRPr="00F3476E">
        <w:rPr>
          <w:lang w:val="en-GB" w:eastAsia="fr-FR" w:bidi="he-IL"/>
        </w:rPr>
        <w:t xml:space="preserve"> </w:t>
      </w:r>
      <w:r w:rsidR="00C21120" w:rsidRPr="00A74F01">
        <w:rPr>
          <w:lang w:val="en-US" w:eastAsia="fr-FR" w:bidi="he-IL"/>
        </w:rPr>
        <w:t>I, 2</w:t>
      </w:r>
      <w:r w:rsidRPr="00A74F01">
        <w:rPr>
          <w:lang w:val="en-US" w:eastAsia="fr-FR" w:bidi="he-IL"/>
        </w:rPr>
        <w:t>3</w:t>
      </w:r>
      <w:r w:rsidR="00C2602D" w:rsidRPr="00A74F01">
        <w:rPr>
          <w:lang w:val="en-US" w:eastAsia="fr-FR" w:bidi="he-IL"/>
        </w:rPr>
        <w:t> </w:t>
      </w:r>
      <w:r w:rsidR="007F6508" w:rsidRPr="00A74F01">
        <w:rPr>
          <w:lang w:val="en-US" w:eastAsia="fr-FR" w:bidi="he-IL"/>
        </w:rPr>
        <w:t xml:space="preserve">; </w:t>
      </w:r>
      <w:r w:rsidRPr="00A74F01">
        <w:rPr>
          <w:lang w:val="en-US" w:eastAsia="fr-FR" w:bidi="he-IL"/>
        </w:rPr>
        <w:t>Matth.</w:t>
      </w:r>
      <w:r w:rsidR="0017332F" w:rsidRPr="00A74F01">
        <w:rPr>
          <w:lang w:val="en-US" w:eastAsia="fr-FR" w:bidi="he-IL"/>
        </w:rPr>
        <w:t xml:space="preserve"> III</w:t>
      </w:r>
      <w:r w:rsidR="00E65435" w:rsidRPr="00A74F01">
        <w:rPr>
          <w:lang w:val="en-US" w:eastAsia="fr-FR" w:bidi="he-IL"/>
        </w:rPr>
        <w:t xml:space="preserve">, </w:t>
      </w:r>
      <w:r w:rsidRPr="00A74F01">
        <w:rPr>
          <w:lang w:val="en-US" w:eastAsia="fr-FR" w:bidi="he-IL"/>
        </w:rPr>
        <w:t xml:space="preserve">3 et parall. </w:t>
      </w:r>
    </w:p>
    <w:p w:rsidR="00C2602D" w:rsidRPr="00F3476E" w:rsidRDefault="001407D9" w:rsidP="001407D9">
      <w:pPr>
        <w:pStyle w:val="locus"/>
        <w:rPr>
          <w:lang w:eastAsia="fr-FR" w:bidi="he-IL"/>
        </w:rPr>
      </w:pPr>
      <w:r>
        <w:rPr>
          <w:rStyle w:val="italicus"/>
          <w:lang w:val="en-US"/>
        </w:rPr>
        <w:t>Ego bapt</w:t>
      </w:r>
      <w:r w:rsidRPr="00A74F01">
        <w:rPr>
          <w:rStyle w:val="italicus"/>
          <w:lang w:val="en-US"/>
        </w:rPr>
        <w:t>ízo</w:t>
      </w:r>
      <w:r w:rsidR="00B704AD" w:rsidRPr="00A74F01">
        <w:rPr>
          <w:rStyle w:val="italicus"/>
          <w:lang w:val="en-US"/>
        </w:rPr>
        <w:t xml:space="preserve"> in aqua...</w:t>
      </w:r>
      <w:r w:rsidR="00E65435" w:rsidRPr="00A74F01">
        <w:rPr>
          <w:rStyle w:val="italicus"/>
          <w:lang w:val="en-US"/>
        </w:rPr>
        <w:t xml:space="preserve">, </w:t>
      </w:r>
      <w:r w:rsidR="00B704AD" w:rsidRPr="00C8701B">
        <w:rPr>
          <w:lang w:val="en-US" w:eastAsia="fr-FR" w:bidi="he-IL"/>
        </w:rPr>
        <w:t>Joan.</w:t>
      </w:r>
      <w:r w:rsidR="00C21120">
        <w:rPr>
          <w:lang w:val="en-US" w:eastAsia="fr-FR" w:bidi="he-IL"/>
        </w:rPr>
        <w:t xml:space="preserve"> </w:t>
      </w:r>
      <w:r w:rsidR="00C21120" w:rsidRPr="00F3476E">
        <w:rPr>
          <w:lang w:eastAsia="fr-FR" w:bidi="he-IL"/>
        </w:rPr>
        <w:t>I, 2</w:t>
      </w:r>
      <w:r w:rsidR="00B704AD" w:rsidRPr="00F3476E">
        <w:rPr>
          <w:lang w:eastAsia="fr-FR" w:bidi="he-IL"/>
        </w:rPr>
        <w:t>6-27</w:t>
      </w:r>
      <w:r w:rsidR="00C2602D" w:rsidRPr="00F3476E">
        <w:rPr>
          <w:lang w:eastAsia="fr-FR" w:bidi="he-IL"/>
        </w:rPr>
        <w:t> </w:t>
      </w:r>
      <w:r w:rsidR="007F6508" w:rsidRPr="00F3476E">
        <w:rPr>
          <w:lang w:eastAsia="fr-FR" w:bidi="he-IL"/>
        </w:rPr>
        <w:t xml:space="preserve">; </w:t>
      </w:r>
      <w:r w:rsidR="00B704AD" w:rsidRPr="00F3476E">
        <w:rPr>
          <w:lang w:eastAsia="fr-FR" w:bidi="he-IL"/>
        </w:rPr>
        <w:t>Matth.</w:t>
      </w:r>
      <w:r w:rsidR="0017332F" w:rsidRPr="00F3476E">
        <w:rPr>
          <w:lang w:eastAsia="fr-FR" w:bidi="he-IL"/>
        </w:rPr>
        <w:t xml:space="preserve"> III</w:t>
      </w:r>
      <w:r w:rsidR="00E65435" w:rsidRPr="00F3476E">
        <w:rPr>
          <w:lang w:eastAsia="fr-FR" w:bidi="he-IL"/>
        </w:rPr>
        <w:t xml:space="preserve">, </w:t>
      </w:r>
      <w:r w:rsidR="00B704AD" w:rsidRPr="00F3476E">
        <w:rPr>
          <w:lang w:eastAsia="fr-FR" w:bidi="he-IL"/>
        </w:rPr>
        <w:t>21 et parall.</w:t>
      </w:r>
      <w:r w:rsidR="00C2602D" w:rsidRPr="00F3476E">
        <w:rPr>
          <w:lang w:eastAsia="fr-FR" w:bidi="he-IL"/>
        </w:rPr>
        <w:t xml:space="preserve"> </w:t>
      </w:r>
      <w:r w:rsidR="00A067B1" w:rsidRPr="000716BB">
        <w:rPr>
          <w:rFonts w:eastAsia="Arial Unicode MS"/>
          <w:bCs/>
          <w:lang w:eastAsia="fr-FR" w:bidi="he-IL"/>
        </w:rPr>
        <w:t>{</w:t>
      </w:r>
      <w:r w:rsidR="00A067B1">
        <w:rPr>
          <w:rFonts w:eastAsia="Arial Unicode MS"/>
          <w:bCs/>
          <w:lang w:eastAsia="fr-FR" w:bidi="he-IL"/>
        </w:rPr>
        <w:t>57</w:t>
      </w:r>
      <w:bookmarkStart w:id="93" w:name="pag057"/>
      <w:bookmarkEnd w:id="93"/>
      <w:r w:rsidR="00A067B1" w:rsidRPr="000716BB">
        <w:rPr>
          <w:rFonts w:eastAsia="Arial Unicode MS"/>
          <w:bCs/>
          <w:lang w:eastAsia="fr-FR" w:bidi="he-IL"/>
        </w:rPr>
        <w:t>}</w:t>
      </w:r>
    </w:p>
    <w:p w:rsidR="00C2602D" w:rsidRPr="00A74F01" w:rsidRDefault="001407D9" w:rsidP="001407D9">
      <w:pPr>
        <w:pStyle w:val="locus"/>
        <w:rPr>
          <w:rStyle w:val="italicus"/>
          <w:lang w:val="en-US"/>
        </w:rPr>
      </w:pPr>
      <w:r w:rsidRPr="00F3476E">
        <w:rPr>
          <w:rStyle w:val="italicus"/>
        </w:rPr>
        <w:t>Descendéntem</w:t>
      </w:r>
      <w:r w:rsidR="00B704AD" w:rsidRPr="00F3476E">
        <w:rPr>
          <w:rStyle w:val="italicus"/>
        </w:rPr>
        <w:t xml:space="preserve"> quasi </w:t>
      </w:r>
      <w:r w:rsidRPr="00F3476E">
        <w:rPr>
          <w:rStyle w:val="italicus"/>
        </w:rPr>
        <w:t>colúmbam</w:t>
      </w:r>
      <w:r w:rsidR="00E65435" w:rsidRPr="00F3476E">
        <w:rPr>
          <w:rStyle w:val="italicus"/>
        </w:rPr>
        <w:t xml:space="preserve">, </w:t>
      </w:r>
      <w:r w:rsidR="00B704AD" w:rsidRPr="00F3476E">
        <w:rPr>
          <w:lang w:eastAsia="fr-FR" w:bidi="he-IL"/>
        </w:rPr>
        <w:t>Joan.</w:t>
      </w:r>
      <w:r w:rsidR="00C21120" w:rsidRPr="00F3476E">
        <w:rPr>
          <w:lang w:eastAsia="fr-FR" w:bidi="he-IL"/>
        </w:rPr>
        <w:t xml:space="preserve"> </w:t>
      </w:r>
      <w:r w:rsidR="00C21120" w:rsidRPr="00A74F01">
        <w:rPr>
          <w:lang w:val="en-US" w:eastAsia="fr-FR" w:bidi="he-IL"/>
        </w:rPr>
        <w:t>I, 3</w:t>
      </w:r>
      <w:r w:rsidR="00B704AD" w:rsidRPr="00A74F01">
        <w:rPr>
          <w:lang w:val="en-US" w:eastAsia="fr-FR" w:bidi="he-IL"/>
        </w:rPr>
        <w:t>2</w:t>
      </w:r>
      <w:r w:rsidR="00C2602D" w:rsidRPr="00A74F01">
        <w:rPr>
          <w:lang w:val="en-US" w:eastAsia="fr-FR" w:bidi="he-IL"/>
        </w:rPr>
        <w:t> </w:t>
      </w:r>
      <w:r w:rsidR="007F6508" w:rsidRPr="00A74F01">
        <w:rPr>
          <w:lang w:val="en-US" w:eastAsia="fr-FR" w:bidi="he-IL"/>
        </w:rPr>
        <w:t xml:space="preserve">; </w:t>
      </w:r>
      <w:r>
        <w:rPr>
          <w:lang w:val="en-US" w:eastAsia="fr-FR" w:bidi="he-IL"/>
        </w:rPr>
        <w:t>Luc</w:t>
      </w:r>
      <w:r w:rsidR="00B704AD" w:rsidRPr="00A74F01">
        <w:rPr>
          <w:lang w:val="en-US" w:eastAsia="fr-FR" w:bidi="he-IL"/>
        </w:rPr>
        <w:t>.</w:t>
      </w:r>
      <w:r w:rsidR="0017332F" w:rsidRPr="00A74F01">
        <w:rPr>
          <w:lang w:val="en-US" w:eastAsia="fr-FR" w:bidi="he-IL"/>
        </w:rPr>
        <w:t xml:space="preserve"> III</w:t>
      </w:r>
      <w:r w:rsidR="00E65435" w:rsidRPr="00A74F01">
        <w:rPr>
          <w:lang w:val="en-US" w:eastAsia="fr-FR" w:bidi="he-IL"/>
        </w:rPr>
        <w:t xml:space="preserve">, </w:t>
      </w:r>
      <w:r w:rsidR="00B704AD" w:rsidRPr="00A74F01">
        <w:rPr>
          <w:lang w:val="en-US" w:eastAsia="fr-FR" w:bidi="he-IL"/>
        </w:rPr>
        <w:t>22.</w:t>
      </w:r>
      <w:r w:rsidR="00C2602D" w:rsidRPr="00A74F01">
        <w:rPr>
          <w:rStyle w:val="italicus"/>
          <w:lang w:val="en-US"/>
        </w:rPr>
        <w:t xml:space="preserve"> </w:t>
      </w:r>
    </w:p>
    <w:p w:rsidR="00C2602D" w:rsidRPr="00F3476E" w:rsidRDefault="001407D9" w:rsidP="001407D9">
      <w:pPr>
        <w:pStyle w:val="locus"/>
        <w:rPr>
          <w:lang w:val="de-AT" w:eastAsia="fr-FR" w:bidi="he-IL"/>
        </w:rPr>
      </w:pPr>
      <w:r w:rsidRPr="00A74F01">
        <w:rPr>
          <w:rStyle w:val="italicus"/>
          <w:lang w:val="en-US"/>
        </w:rPr>
        <w:t>Séquere</w:t>
      </w:r>
      <w:r w:rsidR="00B704AD" w:rsidRPr="00A74F01">
        <w:rPr>
          <w:rStyle w:val="italicus"/>
          <w:lang w:val="en-US"/>
        </w:rPr>
        <w:t xml:space="preserve"> me</w:t>
      </w:r>
      <w:r w:rsidR="00E65435" w:rsidRPr="00A74F01">
        <w:rPr>
          <w:rStyle w:val="italicus"/>
          <w:lang w:val="en-US"/>
        </w:rPr>
        <w:t xml:space="preserve">, </w:t>
      </w:r>
      <w:r w:rsidR="00B704AD" w:rsidRPr="00A74F01">
        <w:rPr>
          <w:lang w:val="en-US" w:eastAsia="fr-FR" w:bidi="he-IL"/>
        </w:rPr>
        <w:t>Joan</w:t>
      </w:r>
      <w:r w:rsidR="00E65435" w:rsidRPr="00A74F01">
        <w:rPr>
          <w:lang w:val="en-US" w:eastAsia="fr-FR" w:bidi="he-IL"/>
        </w:rPr>
        <w:t>,</w:t>
      </w:r>
      <w:r w:rsidR="00C21120" w:rsidRPr="00A74F01">
        <w:rPr>
          <w:lang w:val="en-US" w:eastAsia="fr-FR" w:bidi="he-IL"/>
        </w:rPr>
        <w:t xml:space="preserve"> I, 4</w:t>
      </w:r>
      <w:r w:rsidR="00B704AD" w:rsidRPr="00A74F01">
        <w:rPr>
          <w:lang w:val="en-US" w:eastAsia="fr-FR" w:bidi="he-IL"/>
        </w:rPr>
        <w:t>3</w:t>
      </w:r>
      <w:r w:rsidR="00C2602D" w:rsidRPr="00A74F01">
        <w:rPr>
          <w:lang w:val="en-US" w:eastAsia="fr-FR" w:bidi="he-IL"/>
        </w:rPr>
        <w:t> </w:t>
      </w:r>
      <w:r w:rsidR="007F6508" w:rsidRPr="00A74F01">
        <w:rPr>
          <w:lang w:val="en-US" w:eastAsia="fr-FR" w:bidi="he-IL"/>
        </w:rPr>
        <w:t xml:space="preserve">; </w:t>
      </w:r>
      <w:r w:rsidR="00B704AD" w:rsidRPr="00A74F01">
        <w:rPr>
          <w:lang w:val="en-US" w:eastAsia="fr-FR" w:bidi="he-IL"/>
        </w:rPr>
        <w:t xml:space="preserve">Matth. </w:t>
      </w:r>
      <w:r w:rsidR="0033515E" w:rsidRPr="00F3476E">
        <w:rPr>
          <w:lang w:val="de-AT" w:eastAsia="fr-FR" w:bidi="he-IL"/>
        </w:rPr>
        <w:t>VIII</w:t>
      </w:r>
      <w:r w:rsidR="00E65435" w:rsidRPr="00F3476E">
        <w:rPr>
          <w:lang w:val="de-AT" w:eastAsia="fr-FR" w:bidi="he-IL"/>
        </w:rPr>
        <w:t xml:space="preserve">, </w:t>
      </w:r>
      <w:r w:rsidR="00B704AD" w:rsidRPr="00F3476E">
        <w:rPr>
          <w:lang w:val="de-AT" w:eastAsia="fr-FR" w:bidi="he-IL"/>
        </w:rPr>
        <w:t>22</w:t>
      </w:r>
      <w:r w:rsidR="00E65435" w:rsidRPr="00F3476E">
        <w:rPr>
          <w:lang w:val="de-AT" w:eastAsia="fr-FR" w:bidi="he-IL"/>
        </w:rPr>
        <w:t xml:space="preserve">, </w:t>
      </w:r>
      <w:r w:rsidR="00B704AD" w:rsidRPr="00F3476E">
        <w:rPr>
          <w:lang w:val="de-AT" w:eastAsia="fr-FR" w:bidi="he-IL"/>
        </w:rPr>
        <w:t>etc.</w:t>
      </w:r>
      <w:r w:rsidR="00C2602D" w:rsidRPr="00F3476E">
        <w:rPr>
          <w:lang w:val="de-AT" w:eastAsia="fr-FR" w:bidi="he-IL"/>
        </w:rPr>
        <w:t xml:space="preserve"> </w:t>
      </w:r>
    </w:p>
    <w:p w:rsidR="00C2602D" w:rsidRPr="00C8701B" w:rsidRDefault="001407D9" w:rsidP="001407D9">
      <w:pPr>
        <w:pStyle w:val="locus"/>
        <w:rPr>
          <w:lang w:eastAsia="fr-FR" w:bidi="he-IL"/>
        </w:rPr>
      </w:pPr>
      <w:r w:rsidRPr="00F3476E">
        <w:rPr>
          <w:rStyle w:val="italicus"/>
          <w:lang w:val="de-AT"/>
        </w:rPr>
        <w:t>Introíre</w:t>
      </w:r>
      <w:r w:rsidR="00B704AD" w:rsidRPr="00F3476E">
        <w:rPr>
          <w:rStyle w:val="italicus"/>
          <w:lang w:val="de-AT"/>
        </w:rPr>
        <w:t xml:space="preserve"> in regnum Dei</w:t>
      </w:r>
      <w:r w:rsidR="00E65435" w:rsidRPr="00F3476E">
        <w:rPr>
          <w:rStyle w:val="italicus"/>
          <w:lang w:val="de-AT"/>
        </w:rPr>
        <w:t xml:space="preserve">, </w:t>
      </w:r>
      <w:r w:rsidR="00B704AD" w:rsidRPr="00F3476E">
        <w:rPr>
          <w:lang w:val="de-AT" w:eastAsia="fr-FR" w:bidi="he-IL"/>
        </w:rPr>
        <w:t>Joan.</w:t>
      </w:r>
      <w:r w:rsidR="0017332F" w:rsidRPr="00F3476E">
        <w:rPr>
          <w:lang w:val="de-AT" w:eastAsia="fr-FR" w:bidi="he-IL"/>
        </w:rPr>
        <w:t xml:space="preserve"> </w:t>
      </w:r>
      <w:r w:rsidR="0017332F" w:rsidRPr="00C8701B">
        <w:rPr>
          <w:lang w:eastAsia="fr-FR" w:bidi="he-IL"/>
        </w:rPr>
        <w:t>III</w:t>
      </w:r>
      <w:r w:rsidR="00E65435">
        <w:rPr>
          <w:lang w:eastAsia="fr-FR" w:bidi="he-IL"/>
        </w:rPr>
        <w:t xml:space="preserve">, </w:t>
      </w:r>
      <w:r w:rsidR="00B704AD" w:rsidRPr="00C8701B">
        <w:rPr>
          <w:lang w:eastAsia="fr-FR" w:bidi="he-IL"/>
        </w:rPr>
        <w:t>5</w:t>
      </w:r>
      <w:r w:rsidR="00C2602D" w:rsidRPr="00C8701B">
        <w:rPr>
          <w:lang w:eastAsia="fr-FR" w:bidi="he-IL"/>
        </w:rPr>
        <w:t> </w:t>
      </w:r>
      <w:r w:rsidR="007F6508">
        <w:rPr>
          <w:lang w:eastAsia="fr-FR" w:bidi="he-IL"/>
        </w:rPr>
        <w:t xml:space="preserve">; </w:t>
      </w:r>
      <w:r w:rsidR="00B704AD" w:rsidRPr="00C8701B">
        <w:rPr>
          <w:lang w:eastAsia="fr-FR" w:bidi="he-IL"/>
        </w:rPr>
        <w:t>Marc</w:t>
      </w:r>
      <w:r w:rsidR="00E65435">
        <w:rPr>
          <w:lang w:eastAsia="fr-FR" w:bidi="he-IL"/>
        </w:rPr>
        <w:t xml:space="preserve">, </w:t>
      </w:r>
      <w:r w:rsidR="00906914">
        <w:rPr>
          <w:lang w:eastAsia="fr-FR" w:bidi="he-IL"/>
        </w:rPr>
        <w:t>IX</w:t>
      </w:r>
      <w:r w:rsidR="00E65435">
        <w:rPr>
          <w:lang w:eastAsia="fr-FR" w:bidi="he-IL"/>
        </w:rPr>
        <w:t xml:space="preserve">, </w:t>
      </w:r>
      <w:r w:rsidR="00B704AD" w:rsidRPr="00C8701B">
        <w:rPr>
          <w:lang w:eastAsia="fr-FR" w:bidi="he-IL"/>
        </w:rPr>
        <w:t>46</w:t>
      </w:r>
      <w:r w:rsidR="00C2602D" w:rsidRPr="00C8701B">
        <w:rPr>
          <w:lang w:eastAsia="fr-FR" w:bidi="he-IL"/>
        </w:rPr>
        <w:t> </w:t>
      </w:r>
      <w:r w:rsidR="007F6508">
        <w:rPr>
          <w:lang w:eastAsia="fr-FR" w:bidi="he-IL"/>
        </w:rPr>
        <w:t xml:space="preserve">; </w:t>
      </w:r>
      <w:r w:rsidR="00B704AD" w:rsidRPr="00C8701B">
        <w:rPr>
          <w:lang w:eastAsia="fr-FR" w:bidi="he-IL"/>
        </w:rPr>
        <w:t>Luc.</w:t>
      </w:r>
      <w:r w:rsidR="00623A37">
        <w:rPr>
          <w:lang w:eastAsia="fr-FR" w:bidi="he-IL"/>
        </w:rPr>
        <w:t xml:space="preserve"> XI,</w:t>
      </w:r>
      <w:r w:rsidR="00E65435">
        <w:rPr>
          <w:lang w:eastAsia="fr-FR" w:bidi="he-IL"/>
        </w:rPr>
        <w:t xml:space="preserve"> </w:t>
      </w:r>
      <w:r w:rsidR="00B704AD" w:rsidRPr="00C8701B">
        <w:rPr>
          <w:lang w:eastAsia="fr-FR" w:bidi="he-IL"/>
        </w:rPr>
        <w:t>52.</w:t>
      </w:r>
      <w:r w:rsidR="00C2602D" w:rsidRPr="00C8701B">
        <w:rPr>
          <w:lang w:eastAsia="fr-FR" w:bidi="he-IL"/>
        </w:rPr>
        <w:t xml:space="preserve"> </w:t>
      </w:r>
    </w:p>
    <w:p w:rsidR="00C2602D" w:rsidRPr="000819BA" w:rsidRDefault="00B704AD" w:rsidP="001407D9">
      <w:pPr>
        <w:pStyle w:val="locus"/>
        <w:rPr>
          <w:lang w:val="en-GB" w:eastAsia="fr-FR" w:bidi="he-IL"/>
        </w:rPr>
      </w:pPr>
      <w:r w:rsidRPr="00DC4586">
        <w:rPr>
          <w:rStyle w:val="italicus"/>
        </w:rPr>
        <w:t>Surge</w:t>
      </w:r>
      <w:r w:rsidR="00E65435">
        <w:rPr>
          <w:rStyle w:val="italicus"/>
        </w:rPr>
        <w:t xml:space="preserve">, </w:t>
      </w:r>
      <w:r w:rsidR="001407D9">
        <w:rPr>
          <w:rStyle w:val="italicus"/>
        </w:rPr>
        <w:t>tol</w:t>
      </w:r>
      <w:r w:rsidRPr="00DC4586">
        <w:rPr>
          <w:rStyle w:val="italicus"/>
        </w:rPr>
        <w:t>le g</w:t>
      </w:r>
      <w:r w:rsidR="00776C8C" w:rsidRPr="00DC4586">
        <w:rPr>
          <w:rStyle w:val="italicus"/>
        </w:rPr>
        <w:t>rab</w:t>
      </w:r>
      <w:r w:rsidR="00776C8C">
        <w:rPr>
          <w:rStyle w:val="italicus"/>
        </w:rPr>
        <w:t>á</w:t>
      </w:r>
      <w:r w:rsidR="00776C8C" w:rsidRPr="00DC4586">
        <w:rPr>
          <w:rStyle w:val="italicus"/>
        </w:rPr>
        <w:t>tum</w:t>
      </w:r>
      <w:r w:rsidRPr="00DC4586">
        <w:rPr>
          <w:rStyle w:val="italicus"/>
        </w:rPr>
        <w:t>...</w:t>
      </w:r>
      <w:r w:rsidRPr="00C8701B">
        <w:rPr>
          <w:lang w:eastAsia="fr-FR" w:bidi="he-IL"/>
        </w:rPr>
        <w:t xml:space="preserve"> </w:t>
      </w:r>
      <w:r w:rsidRPr="00A74F01">
        <w:rPr>
          <w:lang w:eastAsia="fr-FR" w:bidi="he-IL"/>
        </w:rPr>
        <w:t xml:space="preserve">Joan. </w:t>
      </w:r>
      <w:r w:rsidR="00835131" w:rsidRPr="00F3476E">
        <w:rPr>
          <w:lang w:eastAsia="fr-FR" w:bidi="he-IL"/>
        </w:rPr>
        <w:t>V</w:t>
      </w:r>
      <w:r w:rsidR="00E65435" w:rsidRPr="00F3476E">
        <w:rPr>
          <w:lang w:eastAsia="fr-FR" w:bidi="he-IL"/>
        </w:rPr>
        <w:t xml:space="preserve">, </w:t>
      </w:r>
      <w:r w:rsidRPr="00F3476E">
        <w:rPr>
          <w:lang w:eastAsia="fr-FR" w:bidi="he-IL"/>
        </w:rPr>
        <w:t>8</w:t>
      </w:r>
      <w:r w:rsidR="00C2602D" w:rsidRPr="00F3476E">
        <w:rPr>
          <w:lang w:eastAsia="fr-FR" w:bidi="he-IL"/>
        </w:rPr>
        <w:t> </w:t>
      </w:r>
      <w:r w:rsidR="007F6508" w:rsidRPr="00F3476E">
        <w:rPr>
          <w:lang w:eastAsia="fr-FR" w:bidi="he-IL"/>
        </w:rPr>
        <w:t xml:space="preserve">; </w:t>
      </w:r>
      <w:r w:rsidR="001407D9" w:rsidRPr="00F3476E">
        <w:rPr>
          <w:lang w:eastAsia="fr-FR" w:bidi="he-IL"/>
        </w:rPr>
        <w:t xml:space="preserve">Marc. </w:t>
      </w:r>
      <w:r w:rsidR="001407D9">
        <w:rPr>
          <w:lang w:val="en-GB" w:eastAsia="fr-FR" w:bidi="he-IL"/>
        </w:rPr>
        <w:t>II,</w:t>
      </w:r>
      <w:r w:rsidR="00E65435" w:rsidRPr="000819BA">
        <w:rPr>
          <w:lang w:val="en-GB" w:eastAsia="fr-FR" w:bidi="he-IL"/>
        </w:rPr>
        <w:t xml:space="preserve"> </w:t>
      </w:r>
      <w:r w:rsidRPr="000819BA">
        <w:rPr>
          <w:lang w:val="en-GB" w:eastAsia="fr-FR" w:bidi="he-IL"/>
        </w:rPr>
        <w:t>9.</w:t>
      </w:r>
      <w:r w:rsidR="00C2602D" w:rsidRPr="000819BA">
        <w:rPr>
          <w:lang w:val="en-GB" w:eastAsia="fr-FR" w:bidi="he-IL"/>
        </w:rPr>
        <w:t xml:space="preserve"> </w:t>
      </w:r>
    </w:p>
    <w:p w:rsidR="00C2602D" w:rsidRPr="00C8701B" w:rsidRDefault="00B704AD" w:rsidP="001407D9">
      <w:pPr>
        <w:pStyle w:val="locus"/>
        <w:rPr>
          <w:lang w:val="en-US" w:eastAsia="fr-FR" w:bidi="he-IL"/>
        </w:rPr>
      </w:pPr>
      <w:r w:rsidRPr="00A74F01">
        <w:rPr>
          <w:rStyle w:val="italicus"/>
          <w:lang w:val="en-US"/>
        </w:rPr>
        <w:t>Ego sum</w:t>
      </w:r>
      <w:r w:rsidR="00E65435" w:rsidRPr="00A74F01">
        <w:rPr>
          <w:rStyle w:val="italicus"/>
          <w:lang w:val="en-US"/>
        </w:rPr>
        <w:t xml:space="preserve">, </w:t>
      </w:r>
      <w:r w:rsidR="001407D9" w:rsidRPr="00A74F01">
        <w:rPr>
          <w:rStyle w:val="italicus"/>
          <w:lang w:val="en-US"/>
        </w:rPr>
        <w:t>nolíte</w:t>
      </w:r>
      <w:r w:rsidRPr="00A74F01">
        <w:rPr>
          <w:rStyle w:val="italicus"/>
          <w:lang w:val="en-US"/>
        </w:rPr>
        <w:t xml:space="preserve"> </w:t>
      </w:r>
      <w:r w:rsidR="001407D9" w:rsidRPr="00A74F01">
        <w:rPr>
          <w:rStyle w:val="italicus"/>
          <w:lang w:val="en-US"/>
        </w:rPr>
        <w:t>timére</w:t>
      </w:r>
      <w:r w:rsidRPr="00A74F01">
        <w:rPr>
          <w:rStyle w:val="italicus"/>
          <w:lang w:val="en-US"/>
        </w:rPr>
        <w:t>...</w:t>
      </w:r>
      <w:r w:rsidRPr="00C8701B">
        <w:rPr>
          <w:lang w:val="en-US" w:eastAsia="fr-FR" w:bidi="he-IL"/>
        </w:rPr>
        <w:t xml:space="preserve"> Joan</w:t>
      </w:r>
      <w:r w:rsidR="00DD17CA" w:rsidRPr="00C8701B">
        <w:rPr>
          <w:lang w:val="en-US" w:eastAsia="fr-FR" w:bidi="he-IL"/>
        </w:rPr>
        <w:t xml:space="preserve">. </w:t>
      </w:r>
      <w:r w:rsidR="00A319EA">
        <w:rPr>
          <w:lang w:val="en-US" w:eastAsia="fr-FR" w:bidi="he-IL"/>
        </w:rPr>
        <w:t>VI</w:t>
      </w:r>
      <w:r w:rsidR="00E65435">
        <w:rPr>
          <w:lang w:val="en-US" w:eastAsia="fr-FR" w:bidi="he-IL"/>
        </w:rPr>
        <w:t xml:space="preserve">, </w:t>
      </w:r>
      <w:r w:rsidRPr="00C8701B">
        <w:rPr>
          <w:lang w:val="en-US" w:eastAsia="fr-FR" w:bidi="he-IL"/>
        </w:rPr>
        <w:t>20</w:t>
      </w:r>
      <w:r w:rsidR="00C2602D" w:rsidRPr="00C8701B">
        <w:rPr>
          <w:lang w:val="en-US" w:eastAsia="fr-FR" w:bidi="he-IL"/>
        </w:rPr>
        <w:t> </w:t>
      </w:r>
      <w:r w:rsidR="007F6508">
        <w:rPr>
          <w:lang w:val="en-US" w:eastAsia="fr-FR" w:bidi="he-IL"/>
        </w:rPr>
        <w:t xml:space="preserve">; </w:t>
      </w:r>
      <w:r w:rsidRPr="00C8701B">
        <w:rPr>
          <w:lang w:val="en-US" w:eastAsia="fr-FR" w:bidi="he-IL"/>
        </w:rPr>
        <w:t xml:space="preserve">Matth. </w:t>
      </w:r>
      <w:r w:rsidR="00CB43AA">
        <w:rPr>
          <w:lang w:val="en-US" w:eastAsia="fr-FR" w:bidi="he-IL"/>
        </w:rPr>
        <w:t>XIV</w:t>
      </w:r>
      <w:r w:rsidR="00E65435">
        <w:rPr>
          <w:lang w:val="en-US" w:eastAsia="fr-FR" w:bidi="he-IL"/>
        </w:rPr>
        <w:t xml:space="preserve">, </w:t>
      </w:r>
      <w:r w:rsidRPr="00C8701B">
        <w:rPr>
          <w:lang w:val="en-US" w:eastAsia="fr-FR" w:bidi="he-IL"/>
        </w:rPr>
        <w:t>27.</w:t>
      </w:r>
      <w:r w:rsidR="00C2602D" w:rsidRPr="00C8701B">
        <w:rPr>
          <w:lang w:val="en-US" w:eastAsia="fr-FR" w:bidi="he-IL"/>
        </w:rPr>
        <w:t xml:space="preserve"> </w:t>
      </w:r>
    </w:p>
    <w:p w:rsidR="00C2602D" w:rsidRPr="00F3476E" w:rsidRDefault="00B704AD" w:rsidP="001407D9">
      <w:pPr>
        <w:pStyle w:val="locus"/>
        <w:rPr>
          <w:lang w:eastAsia="fr-FR" w:bidi="he-IL"/>
        </w:rPr>
      </w:pPr>
      <w:r w:rsidRPr="00A74F01">
        <w:rPr>
          <w:rStyle w:val="italicus"/>
          <w:lang w:val="en-US"/>
        </w:rPr>
        <w:t>G</w:t>
      </w:r>
      <w:r w:rsidR="00206793" w:rsidRPr="00A74F01">
        <w:rPr>
          <w:rStyle w:val="italicus"/>
          <w:lang w:val="en-US"/>
        </w:rPr>
        <w:t>ustábit</w:t>
      </w:r>
      <w:r w:rsidRPr="00A74F01">
        <w:rPr>
          <w:rStyle w:val="italicus"/>
          <w:lang w:val="en-US"/>
        </w:rPr>
        <w:t xml:space="preserve"> mortem...</w:t>
      </w:r>
      <w:r w:rsidRPr="00C8701B">
        <w:rPr>
          <w:lang w:val="en-US" w:eastAsia="fr-FR" w:bidi="he-IL"/>
        </w:rPr>
        <w:t xml:space="preserve"> </w:t>
      </w:r>
      <w:r w:rsidRPr="00F3476E">
        <w:rPr>
          <w:lang w:eastAsia="fr-FR" w:bidi="he-IL"/>
        </w:rPr>
        <w:t xml:space="preserve">Joan. </w:t>
      </w:r>
      <w:r w:rsidR="001407D9" w:rsidRPr="00F3476E">
        <w:rPr>
          <w:lang w:eastAsia="fr-FR" w:bidi="he-IL"/>
        </w:rPr>
        <w:t>VIII</w:t>
      </w:r>
      <w:r w:rsidR="00E65435" w:rsidRPr="00F3476E">
        <w:rPr>
          <w:lang w:eastAsia="fr-FR" w:bidi="he-IL"/>
        </w:rPr>
        <w:t xml:space="preserve">, </w:t>
      </w:r>
      <w:r w:rsidRPr="00F3476E">
        <w:rPr>
          <w:lang w:eastAsia="fr-FR" w:bidi="he-IL"/>
        </w:rPr>
        <w:t>52</w:t>
      </w:r>
      <w:r w:rsidR="00C2602D" w:rsidRPr="00F3476E">
        <w:rPr>
          <w:lang w:eastAsia="fr-FR" w:bidi="he-IL"/>
        </w:rPr>
        <w:t> </w:t>
      </w:r>
      <w:r w:rsidR="007F6508" w:rsidRPr="00F3476E">
        <w:rPr>
          <w:lang w:eastAsia="fr-FR" w:bidi="he-IL"/>
        </w:rPr>
        <w:t xml:space="preserve">; </w:t>
      </w:r>
      <w:r w:rsidRPr="00F3476E">
        <w:rPr>
          <w:lang w:eastAsia="fr-FR" w:bidi="he-IL"/>
        </w:rPr>
        <w:t>Marc</w:t>
      </w:r>
      <w:r w:rsidR="00E65435" w:rsidRPr="00F3476E">
        <w:rPr>
          <w:lang w:eastAsia="fr-FR" w:bidi="he-IL"/>
        </w:rPr>
        <w:t xml:space="preserve">, </w:t>
      </w:r>
      <w:r w:rsidR="00906914" w:rsidRPr="00F3476E">
        <w:rPr>
          <w:lang w:eastAsia="fr-FR" w:bidi="he-IL"/>
        </w:rPr>
        <w:t>IX</w:t>
      </w:r>
      <w:r w:rsidR="00E65435" w:rsidRPr="00F3476E">
        <w:rPr>
          <w:lang w:eastAsia="fr-FR" w:bidi="he-IL"/>
        </w:rPr>
        <w:t xml:space="preserve">, </w:t>
      </w:r>
      <w:r w:rsidRPr="00F3476E">
        <w:rPr>
          <w:lang w:eastAsia="fr-FR" w:bidi="he-IL"/>
        </w:rPr>
        <w:t>1.</w:t>
      </w:r>
      <w:r w:rsidR="00C2602D" w:rsidRPr="00F3476E">
        <w:rPr>
          <w:lang w:eastAsia="fr-FR" w:bidi="he-IL"/>
        </w:rPr>
        <w:t xml:space="preserve"> </w:t>
      </w:r>
    </w:p>
    <w:p w:rsidR="00C2602D" w:rsidRPr="001407D9" w:rsidRDefault="00B704AD" w:rsidP="001407D9">
      <w:pPr>
        <w:pStyle w:val="locus"/>
        <w:rPr>
          <w:lang w:eastAsia="fr-FR" w:bidi="he-IL"/>
        </w:rPr>
      </w:pPr>
      <w:r w:rsidRPr="00F3476E">
        <w:rPr>
          <w:rStyle w:val="italicus"/>
        </w:rPr>
        <w:t>Quare hoc u</w:t>
      </w:r>
      <w:r w:rsidR="00E939E7" w:rsidRPr="00F3476E">
        <w:rPr>
          <w:rStyle w:val="italicus"/>
        </w:rPr>
        <w:t>nguéntum</w:t>
      </w:r>
      <w:r w:rsidRPr="00F3476E">
        <w:rPr>
          <w:rStyle w:val="italicus"/>
        </w:rPr>
        <w:t>...</w:t>
      </w:r>
      <w:r w:rsidRPr="00F3476E">
        <w:rPr>
          <w:lang w:eastAsia="fr-FR" w:bidi="he-IL"/>
        </w:rPr>
        <w:t xml:space="preserve"> Joan. </w:t>
      </w:r>
      <w:r w:rsidR="00CB43AA" w:rsidRPr="001407D9">
        <w:rPr>
          <w:lang w:eastAsia="fr-FR" w:bidi="he-IL"/>
        </w:rPr>
        <w:t>XII</w:t>
      </w:r>
      <w:r w:rsidR="00E65435" w:rsidRPr="001407D9">
        <w:rPr>
          <w:lang w:eastAsia="fr-FR" w:bidi="he-IL"/>
        </w:rPr>
        <w:t xml:space="preserve">, </w:t>
      </w:r>
      <w:r w:rsidR="001407D9" w:rsidRPr="001407D9">
        <w:rPr>
          <w:lang w:eastAsia="fr-FR" w:bidi="he-IL"/>
        </w:rPr>
        <w:t>5</w:t>
      </w:r>
      <w:r w:rsidR="00C2602D" w:rsidRPr="001407D9">
        <w:rPr>
          <w:lang w:eastAsia="fr-FR" w:bidi="he-IL"/>
        </w:rPr>
        <w:t> </w:t>
      </w:r>
      <w:r w:rsidR="007F6508" w:rsidRPr="001407D9">
        <w:rPr>
          <w:lang w:eastAsia="fr-FR" w:bidi="he-IL"/>
        </w:rPr>
        <w:t xml:space="preserve">; </w:t>
      </w:r>
      <w:r w:rsidRPr="001407D9">
        <w:rPr>
          <w:lang w:eastAsia="fr-FR" w:bidi="he-IL"/>
        </w:rPr>
        <w:t>Marc</w:t>
      </w:r>
      <w:r w:rsidR="00E65435" w:rsidRPr="001407D9">
        <w:rPr>
          <w:lang w:eastAsia="fr-FR" w:bidi="he-IL"/>
        </w:rPr>
        <w:t xml:space="preserve">, </w:t>
      </w:r>
      <w:r w:rsidR="00CB43AA" w:rsidRPr="001407D9">
        <w:rPr>
          <w:lang w:eastAsia="fr-FR" w:bidi="he-IL"/>
        </w:rPr>
        <w:t>XIV</w:t>
      </w:r>
      <w:r w:rsidR="00E65435" w:rsidRPr="001407D9">
        <w:rPr>
          <w:lang w:eastAsia="fr-FR" w:bidi="he-IL"/>
        </w:rPr>
        <w:t xml:space="preserve">, </w:t>
      </w:r>
      <w:r w:rsidRPr="001407D9">
        <w:rPr>
          <w:lang w:eastAsia="fr-FR" w:bidi="he-IL"/>
        </w:rPr>
        <w:t>5.</w:t>
      </w:r>
      <w:r w:rsidR="00E65435" w:rsidRPr="001407D9">
        <w:rPr>
          <w:lang w:eastAsia="fr-FR" w:bidi="he-IL"/>
        </w:rPr>
        <w:t xml:space="preserve"> </w:t>
      </w:r>
    </w:p>
    <w:p w:rsidR="00C2602D" w:rsidRPr="00C8701B" w:rsidRDefault="00B704AD" w:rsidP="001407D9">
      <w:pPr>
        <w:pStyle w:val="locus"/>
        <w:rPr>
          <w:lang w:eastAsia="fr-FR" w:bidi="he-IL"/>
        </w:rPr>
      </w:pPr>
      <w:r w:rsidRPr="00DC4586">
        <w:rPr>
          <w:rStyle w:val="italicus"/>
        </w:rPr>
        <w:t>Unus ex vobis tradet me</w:t>
      </w:r>
      <w:r w:rsidR="00E65435">
        <w:rPr>
          <w:rStyle w:val="italicus"/>
        </w:rPr>
        <w:t xml:space="preserve">, </w:t>
      </w:r>
      <w:r w:rsidRPr="00C8701B">
        <w:rPr>
          <w:lang w:eastAsia="fr-FR" w:bidi="he-IL"/>
        </w:rPr>
        <w:t xml:space="preserve">Joan. </w:t>
      </w:r>
      <w:r w:rsidR="003A247F">
        <w:rPr>
          <w:lang w:eastAsia="fr-FR" w:bidi="he-IL"/>
        </w:rPr>
        <w:t>XIII</w:t>
      </w:r>
      <w:r w:rsidR="00E65435">
        <w:rPr>
          <w:lang w:eastAsia="fr-FR" w:bidi="he-IL"/>
        </w:rPr>
        <w:t xml:space="preserve">, </w:t>
      </w:r>
      <w:r w:rsidRPr="00C8701B">
        <w:rPr>
          <w:lang w:eastAsia="fr-FR" w:bidi="he-IL"/>
        </w:rPr>
        <w:t>21</w:t>
      </w:r>
      <w:r w:rsidR="00C2602D" w:rsidRPr="00C8701B">
        <w:rPr>
          <w:lang w:eastAsia="fr-FR" w:bidi="he-IL"/>
        </w:rPr>
        <w:t> </w:t>
      </w:r>
      <w:r w:rsidR="007F6508">
        <w:rPr>
          <w:lang w:eastAsia="fr-FR" w:bidi="he-IL"/>
        </w:rPr>
        <w:t xml:space="preserve">; </w:t>
      </w:r>
      <w:r w:rsidRPr="00C8701B">
        <w:rPr>
          <w:lang w:eastAsia="fr-FR" w:bidi="he-IL"/>
        </w:rPr>
        <w:t>Marc</w:t>
      </w:r>
      <w:r w:rsidR="00E65435">
        <w:rPr>
          <w:lang w:eastAsia="fr-FR" w:bidi="he-IL"/>
        </w:rPr>
        <w:t xml:space="preserve">, </w:t>
      </w:r>
      <w:r w:rsidR="00CB43AA">
        <w:rPr>
          <w:lang w:eastAsia="fr-FR" w:bidi="he-IL"/>
        </w:rPr>
        <w:t>XIV</w:t>
      </w:r>
      <w:r w:rsidR="00E65435">
        <w:rPr>
          <w:lang w:eastAsia="fr-FR" w:bidi="he-IL"/>
        </w:rPr>
        <w:t xml:space="preserve">, </w:t>
      </w:r>
      <w:r w:rsidRPr="00C8701B">
        <w:rPr>
          <w:lang w:eastAsia="fr-FR" w:bidi="he-IL"/>
        </w:rPr>
        <w:t>18.</w:t>
      </w:r>
      <w:r w:rsidR="00C2602D" w:rsidRPr="00C8701B">
        <w:rPr>
          <w:lang w:eastAsia="fr-FR" w:bidi="he-IL"/>
        </w:rPr>
        <w:t xml:space="preserve"> </w:t>
      </w:r>
    </w:p>
    <w:p w:rsidR="00C2602D" w:rsidRPr="00C8701B" w:rsidRDefault="00B704AD" w:rsidP="001407D9">
      <w:pPr>
        <w:pStyle w:val="locus"/>
        <w:rPr>
          <w:lang w:eastAsia="fr-FR" w:bidi="he-IL"/>
        </w:rPr>
      </w:pPr>
      <w:r w:rsidRPr="00DC4586">
        <w:rPr>
          <w:rStyle w:val="italicus"/>
        </w:rPr>
        <w:t>Pax</w:t>
      </w:r>
      <w:r w:rsidR="001407D9">
        <w:rPr>
          <w:rStyle w:val="italicus"/>
        </w:rPr>
        <w:t xml:space="preserve"> </w:t>
      </w:r>
      <w:r w:rsidRPr="00DC4586">
        <w:rPr>
          <w:rStyle w:val="italicus"/>
        </w:rPr>
        <w:t>vobis</w:t>
      </w:r>
      <w:r w:rsidR="00E65435">
        <w:rPr>
          <w:rStyle w:val="italicus"/>
        </w:rPr>
        <w:t xml:space="preserve">, </w:t>
      </w:r>
      <w:r w:rsidRPr="00C8701B">
        <w:rPr>
          <w:lang w:eastAsia="fr-FR" w:bidi="he-IL"/>
        </w:rPr>
        <w:t xml:space="preserve">Joan. </w:t>
      </w:r>
      <w:r w:rsidR="005069E2">
        <w:rPr>
          <w:lang w:eastAsia="fr-FR" w:bidi="he-IL"/>
        </w:rPr>
        <w:t>XX</w:t>
      </w:r>
      <w:r w:rsidR="00E65435">
        <w:rPr>
          <w:lang w:eastAsia="fr-FR" w:bidi="he-IL"/>
        </w:rPr>
        <w:t xml:space="preserve">, </w:t>
      </w:r>
      <w:r w:rsidRPr="00C8701B">
        <w:rPr>
          <w:lang w:eastAsia="fr-FR" w:bidi="he-IL"/>
        </w:rPr>
        <w:t>19</w:t>
      </w:r>
      <w:r w:rsidR="00C2602D" w:rsidRPr="00C8701B">
        <w:rPr>
          <w:lang w:eastAsia="fr-FR" w:bidi="he-IL"/>
        </w:rPr>
        <w:t> </w:t>
      </w:r>
      <w:r w:rsidR="007F6508">
        <w:rPr>
          <w:lang w:eastAsia="fr-FR" w:bidi="he-IL"/>
        </w:rPr>
        <w:t xml:space="preserve">; </w:t>
      </w:r>
      <w:r w:rsidRPr="00C8701B">
        <w:rPr>
          <w:lang w:eastAsia="fr-FR" w:bidi="he-IL"/>
        </w:rPr>
        <w:t xml:space="preserve">Luc. </w:t>
      </w:r>
      <w:r w:rsidR="00C2681A">
        <w:rPr>
          <w:lang w:eastAsia="fr-FR" w:bidi="he-IL"/>
        </w:rPr>
        <w:t>XX</w:t>
      </w:r>
      <w:r w:rsidR="00CB43AA">
        <w:rPr>
          <w:lang w:eastAsia="fr-FR" w:bidi="he-IL"/>
        </w:rPr>
        <w:t>IV</w:t>
      </w:r>
      <w:r w:rsidR="00E65435">
        <w:rPr>
          <w:lang w:eastAsia="fr-FR" w:bidi="he-IL"/>
        </w:rPr>
        <w:t xml:space="preserve">, </w:t>
      </w:r>
      <w:r w:rsidRPr="00C8701B">
        <w:rPr>
          <w:lang w:eastAsia="fr-FR" w:bidi="he-IL"/>
        </w:rPr>
        <w:t>36</w:t>
      </w:r>
      <w:r w:rsidR="00E65435">
        <w:rPr>
          <w:lang w:eastAsia="fr-FR" w:bidi="he-IL"/>
        </w:rPr>
        <w:t xml:space="preserve">, </w:t>
      </w:r>
      <w:r w:rsidRPr="00C8701B">
        <w:rPr>
          <w:lang w:eastAsia="fr-FR" w:bidi="he-IL"/>
        </w:rPr>
        <w:t>etc..</w:t>
      </w:r>
      <w:r w:rsidR="00C2602D" w:rsidRPr="00C8701B">
        <w:rPr>
          <w:lang w:eastAsia="fr-FR" w:bidi="he-IL"/>
        </w:rPr>
        <w:t xml:space="preserve"> </w:t>
      </w:r>
    </w:p>
    <w:p w:rsidR="001407D9" w:rsidRDefault="001407D9" w:rsidP="00C2602D">
      <w:pPr>
        <w:rPr>
          <w:rFonts w:eastAsia="Arial Unicode MS"/>
          <w:bCs/>
          <w:lang w:eastAsia="fr-FR" w:bidi="he-IL"/>
        </w:rPr>
      </w:pPr>
    </w:p>
    <w:p w:rsidR="001407D9" w:rsidRPr="00C8701B" w:rsidRDefault="001407D9" w:rsidP="001407D9">
      <w:pPr>
        <w:rPr>
          <w:rFonts w:eastAsia="Arial Unicode MS"/>
          <w:bCs/>
          <w:lang w:eastAsia="fr-FR" w:bidi="he-IL"/>
        </w:rPr>
      </w:pPr>
      <w:r>
        <w:rPr>
          <w:rFonts w:eastAsia="Arial Unicode MS"/>
          <w:bCs/>
          <w:lang w:eastAsia="fr-FR" w:bidi="he-IL"/>
        </w:rPr>
        <w:t>(1) Voic</w:t>
      </w:r>
      <w:r w:rsidRPr="00C8701B">
        <w:rPr>
          <w:rFonts w:eastAsia="Arial Unicode MS"/>
          <w:bCs/>
          <w:lang w:eastAsia="fr-FR" w:bidi="he-IL"/>
        </w:rPr>
        <w:t>i encore d</w:t>
      </w:r>
      <w:r w:rsidR="00557DE0">
        <w:rPr>
          <w:rFonts w:eastAsia="Arial Unicode MS"/>
          <w:bCs/>
          <w:lang w:eastAsia="fr-FR" w:bidi="he-IL"/>
        </w:rPr>
        <w:t>’</w:t>
      </w:r>
      <w:r w:rsidRPr="00C8701B">
        <w:rPr>
          <w:rFonts w:eastAsia="Arial Unicode MS"/>
          <w:bCs/>
          <w:lang w:eastAsia="fr-FR" w:bidi="he-IL"/>
        </w:rPr>
        <w:t>autres coïncidences plus ou moins frappantes :</w:t>
      </w:r>
    </w:p>
    <w:tbl>
      <w:tblPr>
        <w:tblW w:w="0" w:type="auto"/>
        <w:tblCellMar>
          <w:left w:w="28" w:type="dxa"/>
          <w:right w:w="28" w:type="dxa"/>
        </w:tblCellMar>
        <w:tblLook w:val="0000"/>
      </w:tblPr>
      <w:tblGrid>
        <w:gridCol w:w="577"/>
        <w:gridCol w:w="1397"/>
        <w:gridCol w:w="716"/>
        <w:gridCol w:w="2077"/>
      </w:tblGrid>
      <w:tr w:rsidR="001407D9" w:rsidRPr="00C8701B" w:rsidTr="001407D9">
        <w:trPr>
          <w:trHeight w:val="187"/>
        </w:trPr>
        <w:tc>
          <w:tcPr>
            <w:tcW w:w="0" w:type="auto"/>
            <w:tcBorders>
              <w:top w:val="nil"/>
              <w:left w:val="nil"/>
              <w:bottom w:val="nil"/>
              <w:right w:val="nil"/>
            </w:tcBorders>
            <w:shd w:val="clear" w:color="auto" w:fill="FFFFFF"/>
          </w:tcPr>
          <w:p w:rsidR="001407D9" w:rsidRPr="00C8701B" w:rsidRDefault="001407D9" w:rsidP="001407D9">
            <w:pPr>
              <w:pStyle w:val="nsr"/>
              <w:jc w:val="right"/>
              <w:rPr>
                <w:lang w:bidi="he-IL"/>
              </w:rPr>
            </w:pPr>
            <w:r w:rsidRPr="00C8701B">
              <w:rPr>
                <w:lang w:bidi="he-IL"/>
              </w:rPr>
              <w:t>Joan.</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I, </w:t>
            </w:r>
            <w:r w:rsidRPr="00C8701B">
              <w:rPr>
                <w:lang w:bidi="he-IL"/>
              </w:rPr>
              <w:t>18.</w:t>
            </w:r>
          </w:p>
        </w:tc>
        <w:tc>
          <w:tcPr>
            <w:tcW w:w="0" w:type="auto"/>
            <w:gridSpan w:val="2"/>
            <w:tcBorders>
              <w:top w:val="nil"/>
              <w:left w:val="nil"/>
              <w:bottom w:val="nil"/>
              <w:right w:val="nil"/>
            </w:tcBorders>
            <w:shd w:val="clear" w:color="auto" w:fill="FFFFFF"/>
          </w:tcPr>
          <w:p w:rsidR="001407D9" w:rsidRPr="00C8701B" w:rsidRDefault="001407D9" w:rsidP="001407D9">
            <w:pPr>
              <w:pStyle w:val="nsr"/>
              <w:rPr>
                <w:lang w:bidi="he-IL"/>
              </w:rPr>
            </w:pPr>
            <w:r w:rsidRPr="00C8701B">
              <w:rPr>
                <w:lang w:bidi="he-IL"/>
              </w:rPr>
              <w:t xml:space="preserve">Matth. </w:t>
            </w:r>
            <w:r>
              <w:rPr>
                <w:lang w:val="el-GR" w:bidi="he-IL"/>
              </w:rPr>
              <w:t xml:space="preserve">XI, </w:t>
            </w:r>
            <w:r w:rsidRPr="00C8701B">
              <w:rPr>
                <w:lang w:bidi="he-IL"/>
              </w:rPr>
              <w:t>27.</w:t>
            </w:r>
          </w:p>
        </w:tc>
      </w:tr>
      <w:tr w:rsidR="001407D9" w:rsidRPr="00C8701B" w:rsidTr="001407D9">
        <w:trPr>
          <w:trHeight w:val="168"/>
        </w:trPr>
        <w:tc>
          <w:tcPr>
            <w:tcW w:w="0" w:type="auto"/>
            <w:tcBorders>
              <w:top w:val="nil"/>
              <w:left w:val="nil"/>
              <w:bottom w:val="nil"/>
              <w:right w:val="nil"/>
            </w:tcBorders>
            <w:shd w:val="clear" w:color="auto" w:fill="FFFFFF"/>
          </w:tcPr>
          <w:p w:rsidR="001407D9" w:rsidRDefault="001407D9" w:rsidP="001407D9">
            <w:pPr>
              <w:pStyle w:val="nsr"/>
              <w:rPr>
                <w:lang w:bidi="he-IL"/>
              </w:rPr>
            </w:pP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 — </w:t>
            </w:r>
            <w:r w:rsidRPr="00C8701B">
              <w:rPr>
                <w:lang w:bidi="he-IL"/>
              </w:rPr>
              <w:t>33.</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 — </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III, </w:t>
            </w:r>
            <w:r w:rsidRPr="00C8701B">
              <w:rPr>
                <w:lang w:bidi="he-IL"/>
              </w:rPr>
              <w:t>11.</w:t>
            </w:r>
          </w:p>
        </w:tc>
      </w:tr>
      <w:tr w:rsidR="001407D9" w:rsidRPr="00C8701B" w:rsidTr="001407D9">
        <w:trPr>
          <w:trHeight w:val="187"/>
        </w:trPr>
        <w:tc>
          <w:tcPr>
            <w:tcW w:w="0" w:type="auto"/>
            <w:tcBorders>
              <w:top w:val="nil"/>
              <w:left w:val="nil"/>
              <w:bottom w:val="nil"/>
              <w:right w:val="nil"/>
            </w:tcBorders>
            <w:shd w:val="clear" w:color="auto" w:fill="FFFFFF"/>
          </w:tcPr>
          <w:p w:rsidR="001407D9" w:rsidRDefault="001407D9" w:rsidP="001407D9">
            <w:pPr>
              <w:pStyle w:val="nsr"/>
              <w:rPr>
                <w:lang w:bidi="he-IL"/>
              </w:rPr>
            </w:pP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III, </w:t>
            </w:r>
            <w:r w:rsidRPr="00C8701B">
              <w:rPr>
                <w:lang w:bidi="he-IL"/>
              </w:rPr>
              <w:t>18.</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sidRPr="00C8701B">
              <w:rPr>
                <w:lang w:bidi="he-IL"/>
              </w:rPr>
              <w:t>Marc.</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XVI, </w:t>
            </w:r>
            <w:r w:rsidRPr="00C8701B">
              <w:rPr>
                <w:lang w:bidi="he-IL"/>
              </w:rPr>
              <w:t>16.</w:t>
            </w:r>
          </w:p>
        </w:tc>
      </w:tr>
      <w:tr w:rsidR="001407D9" w:rsidRPr="00C8701B" w:rsidTr="001407D9">
        <w:trPr>
          <w:trHeight w:val="158"/>
        </w:trPr>
        <w:tc>
          <w:tcPr>
            <w:tcW w:w="0" w:type="auto"/>
            <w:tcBorders>
              <w:top w:val="nil"/>
              <w:left w:val="nil"/>
              <w:bottom w:val="nil"/>
              <w:right w:val="nil"/>
            </w:tcBorders>
            <w:shd w:val="clear" w:color="auto" w:fill="FFFFFF"/>
          </w:tcPr>
          <w:p w:rsidR="001407D9" w:rsidRDefault="001407D9" w:rsidP="001407D9">
            <w:pPr>
              <w:pStyle w:val="nsr"/>
              <w:rPr>
                <w:lang w:bidi="he-IL"/>
              </w:rPr>
            </w:pP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IV, </w:t>
            </w:r>
            <w:r w:rsidRPr="00C8701B">
              <w:rPr>
                <w:lang w:bidi="he-IL"/>
              </w:rPr>
              <w:t>44.</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 — </w:t>
            </w:r>
          </w:p>
        </w:tc>
        <w:tc>
          <w:tcPr>
            <w:tcW w:w="0" w:type="auto"/>
            <w:tcBorders>
              <w:top w:val="nil"/>
              <w:left w:val="nil"/>
              <w:bottom w:val="nil"/>
              <w:right w:val="nil"/>
            </w:tcBorders>
            <w:shd w:val="clear" w:color="auto" w:fill="FFFFFF"/>
          </w:tcPr>
          <w:p w:rsidR="001407D9" w:rsidRPr="00C8701B" w:rsidRDefault="00A319EA" w:rsidP="001407D9">
            <w:pPr>
              <w:pStyle w:val="nsr"/>
              <w:rPr>
                <w:lang w:bidi="he-IL"/>
              </w:rPr>
            </w:pPr>
            <w:r>
              <w:rPr>
                <w:lang w:bidi="he-IL"/>
              </w:rPr>
              <w:t>VI</w:t>
            </w:r>
            <w:r w:rsidR="001407D9">
              <w:rPr>
                <w:lang w:bidi="he-IL"/>
              </w:rPr>
              <w:t xml:space="preserve">, </w:t>
            </w:r>
            <w:r w:rsidR="001407D9" w:rsidRPr="00C8701B">
              <w:rPr>
                <w:lang w:bidi="he-IL"/>
              </w:rPr>
              <w:t>4.</w:t>
            </w:r>
          </w:p>
        </w:tc>
      </w:tr>
      <w:tr w:rsidR="001407D9" w:rsidRPr="00D62373" w:rsidTr="001407D9">
        <w:trPr>
          <w:trHeight w:val="168"/>
        </w:trPr>
        <w:tc>
          <w:tcPr>
            <w:tcW w:w="0" w:type="auto"/>
            <w:tcBorders>
              <w:top w:val="nil"/>
              <w:left w:val="nil"/>
              <w:bottom w:val="nil"/>
              <w:right w:val="nil"/>
            </w:tcBorders>
            <w:shd w:val="clear" w:color="auto" w:fill="FFFFFF"/>
          </w:tcPr>
          <w:p w:rsidR="001407D9" w:rsidRDefault="001407D9" w:rsidP="001407D9">
            <w:pPr>
              <w:pStyle w:val="nsr"/>
              <w:rPr>
                <w:lang w:bidi="he-IL"/>
              </w:rPr>
            </w:pP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V, </w:t>
            </w:r>
            <w:r w:rsidRPr="00C8701B">
              <w:rPr>
                <w:lang w:bidi="he-IL"/>
              </w:rPr>
              <w:t>22.</w:t>
            </w:r>
          </w:p>
        </w:tc>
        <w:tc>
          <w:tcPr>
            <w:tcW w:w="0" w:type="auto"/>
            <w:tcBorders>
              <w:top w:val="nil"/>
              <w:left w:val="nil"/>
              <w:bottom w:val="nil"/>
              <w:right w:val="nil"/>
            </w:tcBorders>
            <w:shd w:val="clear" w:color="auto" w:fill="FFFFFF"/>
          </w:tcPr>
          <w:p w:rsidR="001407D9" w:rsidRPr="00D62373" w:rsidRDefault="001407D9" w:rsidP="00D62373">
            <w:pPr>
              <w:pStyle w:val="nsr"/>
              <w:rPr>
                <w:lang w:val="en-GB" w:bidi="he-IL"/>
              </w:rPr>
            </w:pPr>
            <w:r w:rsidRPr="00D62373">
              <w:rPr>
                <w:lang w:val="en-GB" w:bidi="he-IL"/>
              </w:rPr>
              <w:t>Matth</w:t>
            </w:r>
            <w:r w:rsidR="00D62373" w:rsidRPr="00D62373">
              <w:rPr>
                <w:lang w:val="en-GB" w:bidi="he-IL"/>
              </w:rPr>
              <w:t>.</w:t>
            </w:r>
            <w:r w:rsidRPr="00D62373">
              <w:rPr>
                <w:lang w:val="en-GB" w:bidi="he-IL"/>
              </w:rPr>
              <w:t xml:space="preserve"> </w:t>
            </w:r>
          </w:p>
        </w:tc>
        <w:tc>
          <w:tcPr>
            <w:tcW w:w="0" w:type="auto"/>
            <w:tcBorders>
              <w:top w:val="nil"/>
              <w:left w:val="nil"/>
              <w:bottom w:val="nil"/>
              <w:right w:val="nil"/>
            </w:tcBorders>
            <w:shd w:val="clear" w:color="auto" w:fill="FFFFFF"/>
          </w:tcPr>
          <w:p w:rsidR="001407D9" w:rsidRPr="00D62373" w:rsidRDefault="001407D9" w:rsidP="001407D9">
            <w:pPr>
              <w:pStyle w:val="nsr"/>
              <w:rPr>
                <w:lang w:val="en-GB" w:bidi="he-IL"/>
              </w:rPr>
            </w:pPr>
            <w:r w:rsidRPr="00D62373">
              <w:rPr>
                <w:lang w:val="en-GB" w:bidi="he-IL"/>
              </w:rPr>
              <w:t>VII, 22-23.</w:t>
            </w:r>
          </w:p>
        </w:tc>
      </w:tr>
      <w:tr w:rsidR="001407D9" w:rsidRPr="00D62373" w:rsidTr="001407D9">
        <w:trPr>
          <w:trHeight w:val="168"/>
        </w:trPr>
        <w:tc>
          <w:tcPr>
            <w:tcW w:w="0" w:type="auto"/>
            <w:tcBorders>
              <w:top w:val="nil"/>
              <w:left w:val="nil"/>
              <w:bottom w:val="nil"/>
              <w:right w:val="nil"/>
            </w:tcBorders>
            <w:shd w:val="clear" w:color="auto" w:fill="FFFFFF"/>
          </w:tcPr>
          <w:p w:rsidR="001407D9" w:rsidRPr="00D62373" w:rsidRDefault="001407D9" w:rsidP="001407D9">
            <w:pPr>
              <w:pStyle w:val="nsr"/>
              <w:rPr>
                <w:lang w:val="en-GB" w:bidi="he-IL"/>
              </w:rPr>
            </w:pPr>
          </w:p>
        </w:tc>
        <w:tc>
          <w:tcPr>
            <w:tcW w:w="0" w:type="auto"/>
            <w:tcBorders>
              <w:top w:val="nil"/>
              <w:left w:val="nil"/>
              <w:bottom w:val="nil"/>
              <w:right w:val="nil"/>
            </w:tcBorders>
            <w:shd w:val="clear" w:color="auto" w:fill="FFFFFF"/>
          </w:tcPr>
          <w:p w:rsidR="001407D9" w:rsidRPr="00D62373" w:rsidRDefault="00A319EA" w:rsidP="001407D9">
            <w:pPr>
              <w:pStyle w:val="nsr"/>
              <w:rPr>
                <w:lang w:val="en-GB" w:bidi="he-IL"/>
              </w:rPr>
            </w:pPr>
            <w:r w:rsidRPr="00D62373">
              <w:rPr>
                <w:lang w:val="en-GB" w:bidi="he-IL"/>
              </w:rPr>
              <w:t>VI</w:t>
            </w:r>
            <w:r w:rsidR="001407D9" w:rsidRPr="00D62373">
              <w:rPr>
                <w:lang w:val="en-GB" w:bidi="he-IL"/>
              </w:rPr>
              <w:t>, 7, 10.</w:t>
            </w:r>
          </w:p>
        </w:tc>
        <w:tc>
          <w:tcPr>
            <w:tcW w:w="0" w:type="auto"/>
            <w:tcBorders>
              <w:top w:val="nil"/>
              <w:left w:val="nil"/>
              <w:bottom w:val="nil"/>
              <w:right w:val="nil"/>
            </w:tcBorders>
            <w:shd w:val="clear" w:color="auto" w:fill="FFFFFF"/>
          </w:tcPr>
          <w:p w:rsidR="001407D9" w:rsidRPr="00D62373" w:rsidRDefault="001407D9" w:rsidP="001407D9">
            <w:pPr>
              <w:pStyle w:val="nsr"/>
              <w:rPr>
                <w:lang w:val="en-GB" w:bidi="he-IL"/>
              </w:rPr>
            </w:pPr>
            <w:r w:rsidRPr="00D62373">
              <w:rPr>
                <w:lang w:val="en-GB" w:bidi="he-IL"/>
              </w:rPr>
              <w:t>Marc.</w:t>
            </w:r>
          </w:p>
        </w:tc>
        <w:tc>
          <w:tcPr>
            <w:tcW w:w="0" w:type="auto"/>
            <w:tcBorders>
              <w:top w:val="nil"/>
              <w:left w:val="nil"/>
              <w:bottom w:val="nil"/>
              <w:right w:val="nil"/>
            </w:tcBorders>
            <w:shd w:val="clear" w:color="auto" w:fill="FFFFFF"/>
          </w:tcPr>
          <w:p w:rsidR="001407D9" w:rsidRPr="00D62373" w:rsidRDefault="00A319EA" w:rsidP="001407D9">
            <w:pPr>
              <w:pStyle w:val="nsr"/>
              <w:rPr>
                <w:lang w:val="en-GB" w:bidi="he-IL"/>
              </w:rPr>
            </w:pPr>
            <w:r w:rsidRPr="00D62373">
              <w:rPr>
                <w:lang w:val="en-GB" w:bidi="he-IL"/>
              </w:rPr>
              <w:t>VI</w:t>
            </w:r>
            <w:r w:rsidR="001407D9" w:rsidRPr="00D62373">
              <w:rPr>
                <w:lang w:val="en-GB" w:bidi="he-IL"/>
              </w:rPr>
              <w:t>, 37-39.</w:t>
            </w:r>
          </w:p>
        </w:tc>
      </w:tr>
      <w:tr w:rsidR="001407D9" w:rsidRPr="00D62373" w:rsidTr="001407D9">
        <w:trPr>
          <w:trHeight w:val="173"/>
        </w:trPr>
        <w:tc>
          <w:tcPr>
            <w:tcW w:w="0" w:type="auto"/>
            <w:tcBorders>
              <w:top w:val="nil"/>
              <w:left w:val="nil"/>
              <w:bottom w:val="nil"/>
              <w:right w:val="nil"/>
            </w:tcBorders>
            <w:shd w:val="clear" w:color="auto" w:fill="FFFFFF"/>
          </w:tcPr>
          <w:p w:rsidR="001407D9" w:rsidRPr="00D62373" w:rsidRDefault="001407D9" w:rsidP="001407D9">
            <w:pPr>
              <w:pStyle w:val="nsr"/>
              <w:rPr>
                <w:lang w:val="en-GB" w:bidi="he-IL"/>
              </w:rPr>
            </w:pPr>
          </w:p>
        </w:tc>
        <w:tc>
          <w:tcPr>
            <w:tcW w:w="0" w:type="auto"/>
            <w:tcBorders>
              <w:top w:val="nil"/>
              <w:left w:val="nil"/>
              <w:bottom w:val="nil"/>
              <w:right w:val="nil"/>
            </w:tcBorders>
            <w:shd w:val="clear" w:color="auto" w:fill="FFFFFF"/>
          </w:tcPr>
          <w:p w:rsidR="001407D9" w:rsidRPr="00D62373" w:rsidRDefault="001407D9" w:rsidP="001407D9">
            <w:pPr>
              <w:pStyle w:val="nsr"/>
              <w:rPr>
                <w:lang w:val="en-GB" w:bidi="he-IL"/>
              </w:rPr>
            </w:pPr>
            <w:r w:rsidRPr="00D62373">
              <w:rPr>
                <w:lang w:val="en-GB" w:bidi="he-IL"/>
              </w:rPr>
              <w:t xml:space="preserve"> — 35.</w:t>
            </w:r>
          </w:p>
        </w:tc>
        <w:tc>
          <w:tcPr>
            <w:tcW w:w="0" w:type="auto"/>
            <w:tcBorders>
              <w:top w:val="nil"/>
              <w:left w:val="nil"/>
              <w:bottom w:val="nil"/>
              <w:right w:val="nil"/>
            </w:tcBorders>
            <w:shd w:val="clear" w:color="auto" w:fill="FFFFFF"/>
          </w:tcPr>
          <w:p w:rsidR="001407D9" w:rsidRPr="00D62373" w:rsidRDefault="001407D9" w:rsidP="001407D9">
            <w:pPr>
              <w:pStyle w:val="nsr"/>
              <w:rPr>
                <w:lang w:val="en-GB" w:bidi="he-IL"/>
              </w:rPr>
            </w:pPr>
            <w:r w:rsidRPr="00D62373">
              <w:rPr>
                <w:lang w:val="en-GB" w:bidi="he-IL"/>
              </w:rPr>
              <w:t>Matth.</w:t>
            </w:r>
          </w:p>
        </w:tc>
        <w:tc>
          <w:tcPr>
            <w:tcW w:w="0" w:type="auto"/>
            <w:tcBorders>
              <w:top w:val="nil"/>
              <w:left w:val="nil"/>
              <w:bottom w:val="nil"/>
              <w:right w:val="nil"/>
            </w:tcBorders>
            <w:shd w:val="clear" w:color="auto" w:fill="FFFFFF"/>
          </w:tcPr>
          <w:p w:rsidR="001407D9" w:rsidRPr="00D62373" w:rsidRDefault="001407D9" w:rsidP="001407D9">
            <w:pPr>
              <w:pStyle w:val="nsr"/>
              <w:rPr>
                <w:lang w:val="en-GB" w:bidi="he-IL"/>
              </w:rPr>
            </w:pPr>
            <w:r w:rsidRPr="00D62373">
              <w:rPr>
                <w:lang w:val="en-GB" w:bidi="he-IL"/>
              </w:rPr>
              <w:t>V, 6.</w:t>
            </w:r>
          </w:p>
        </w:tc>
      </w:tr>
      <w:tr w:rsidR="001407D9" w:rsidRPr="00D62373" w:rsidTr="001407D9">
        <w:trPr>
          <w:trHeight w:val="173"/>
        </w:trPr>
        <w:tc>
          <w:tcPr>
            <w:tcW w:w="0" w:type="auto"/>
            <w:tcBorders>
              <w:top w:val="nil"/>
              <w:left w:val="nil"/>
              <w:bottom w:val="nil"/>
              <w:right w:val="nil"/>
            </w:tcBorders>
            <w:shd w:val="clear" w:color="auto" w:fill="FFFFFF"/>
          </w:tcPr>
          <w:p w:rsidR="001407D9" w:rsidRPr="00D62373" w:rsidRDefault="001407D9" w:rsidP="001407D9">
            <w:pPr>
              <w:pStyle w:val="nsr"/>
              <w:rPr>
                <w:lang w:val="en-GB" w:bidi="he-IL"/>
              </w:rPr>
            </w:pPr>
          </w:p>
        </w:tc>
        <w:tc>
          <w:tcPr>
            <w:tcW w:w="0" w:type="auto"/>
            <w:tcBorders>
              <w:top w:val="nil"/>
              <w:left w:val="nil"/>
              <w:bottom w:val="nil"/>
              <w:right w:val="nil"/>
            </w:tcBorders>
            <w:shd w:val="clear" w:color="auto" w:fill="FFFFFF"/>
          </w:tcPr>
          <w:p w:rsidR="001407D9" w:rsidRPr="00D62373" w:rsidRDefault="001407D9" w:rsidP="001407D9">
            <w:pPr>
              <w:pStyle w:val="nsr"/>
              <w:rPr>
                <w:lang w:val="en-GB" w:bidi="he-IL"/>
              </w:rPr>
            </w:pPr>
            <w:r w:rsidRPr="00D62373">
              <w:rPr>
                <w:lang w:val="en-GB" w:bidi="he-IL"/>
              </w:rPr>
              <w:t xml:space="preserve"> — 37.</w:t>
            </w:r>
          </w:p>
        </w:tc>
        <w:tc>
          <w:tcPr>
            <w:tcW w:w="0" w:type="auto"/>
            <w:tcBorders>
              <w:top w:val="nil"/>
              <w:left w:val="nil"/>
              <w:bottom w:val="nil"/>
              <w:right w:val="nil"/>
            </w:tcBorders>
            <w:shd w:val="clear" w:color="auto" w:fill="FFFFFF"/>
          </w:tcPr>
          <w:p w:rsidR="001407D9" w:rsidRPr="00D62373" w:rsidRDefault="001407D9" w:rsidP="001407D9">
            <w:pPr>
              <w:pStyle w:val="nsr"/>
              <w:rPr>
                <w:lang w:val="en-GB" w:bidi="he-IL"/>
              </w:rPr>
            </w:pPr>
            <w:r w:rsidRPr="00D62373">
              <w:rPr>
                <w:lang w:val="en-GB" w:bidi="he-IL"/>
              </w:rPr>
              <w:t xml:space="preserve"> — </w:t>
            </w:r>
          </w:p>
        </w:tc>
        <w:tc>
          <w:tcPr>
            <w:tcW w:w="0" w:type="auto"/>
            <w:tcBorders>
              <w:top w:val="nil"/>
              <w:left w:val="nil"/>
              <w:bottom w:val="nil"/>
              <w:right w:val="nil"/>
            </w:tcBorders>
            <w:shd w:val="clear" w:color="auto" w:fill="FFFFFF"/>
          </w:tcPr>
          <w:p w:rsidR="001407D9" w:rsidRPr="00D62373" w:rsidRDefault="001407D9" w:rsidP="001407D9">
            <w:pPr>
              <w:pStyle w:val="nsr"/>
              <w:rPr>
                <w:lang w:val="en-GB" w:bidi="he-IL"/>
              </w:rPr>
            </w:pPr>
            <w:r w:rsidRPr="00D62373">
              <w:rPr>
                <w:lang w:val="en-GB" w:bidi="he-IL"/>
              </w:rPr>
              <w:t>XI, 28.</w:t>
            </w:r>
          </w:p>
        </w:tc>
      </w:tr>
      <w:tr w:rsidR="001407D9" w:rsidRPr="00D62373" w:rsidTr="001407D9">
        <w:trPr>
          <w:trHeight w:val="173"/>
        </w:trPr>
        <w:tc>
          <w:tcPr>
            <w:tcW w:w="0" w:type="auto"/>
            <w:tcBorders>
              <w:top w:val="nil"/>
              <w:left w:val="nil"/>
              <w:bottom w:val="nil"/>
              <w:right w:val="nil"/>
            </w:tcBorders>
            <w:shd w:val="clear" w:color="auto" w:fill="FFFFFF"/>
          </w:tcPr>
          <w:p w:rsidR="001407D9" w:rsidRPr="00D62373" w:rsidRDefault="001407D9" w:rsidP="001407D9">
            <w:pPr>
              <w:pStyle w:val="nsr"/>
              <w:rPr>
                <w:lang w:val="en-GB" w:bidi="he-IL"/>
              </w:rPr>
            </w:pPr>
          </w:p>
        </w:tc>
        <w:tc>
          <w:tcPr>
            <w:tcW w:w="0" w:type="auto"/>
            <w:tcBorders>
              <w:top w:val="nil"/>
              <w:left w:val="nil"/>
              <w:bottom w:val="nil"/>
              <w:right w:val="nil"/>
            </w:tcBorders>
            <w:shd w:val="clear" w:color="auto" w:fill="FFFFFF"/>
          </w:tcPr>
          <w:p w:rsidR="001407D9" w:rsidRPr="00D62373" w:rsidRDefault="001407D9" w:rsidP="001407D9">
            <w:pPr>
              <w:pStyle w:val="nsr"/>
              <w:rPr>
                <w:lang w:val="en-GB" w:bidi="he-IL"/>
              </w:rPr>
            </w:pPr>
            <w:r w:rsidRPr="00D62373">
              <w:rPr>
                <w:lang w:val="en-GB" w:bidi="he-IL"/>
              </w:rPr>
              <w:t xml:space="preserve"> — 39.</w:t>
            </w:r>
          </w:p>
        </w:tc>
        <w:tc>
          <w:tcPr>
            <w:tcW w:w="0" w:type="auto"/>
            <w:tcBorders>
              <w:top w:val="nil"/>
              <w:left w:val="nil"/>
              <w:bottom w:val="nil"/>
              <w:right w:val="nil"/>
            </w:tcBorders>
            <w:shd w:val="clear" w:color="auto" w:fill="FFFFFF"/>
          </w:tcPr>
          <w:p w:rsidR="001407D9" w:rsidRPr="00D62373" w:rsidRDefault="001407D9" w:rsidP="001407D9">
            <w:pPr>
              <w:pStyle w:val="nsr"/>
              <w:rPr>
                <w:lang w:val="en-GB" w:bidi="he-IL"/>
              </w:rPr>
            </w:pPr>
            <w:r w:rsidRPr="00D62373">
              <w:rPr>
                <w:lang w:val="en-GB" w:bidi="he-IL"/>
              </w:rPr>
              <w:t xml:space="preserve"> — </w:t>
            </w:r>
          </w:p>
        </w:tc>
        <w:tc>
          <w:tcPr>
            <w:tcW w:w="0" w:type="auto"/>
            <w:tcBorders>
              <w:top w:val="nil"/>
              <w:left w:val="nil"/>
              <w:bottom w:val="nil"/>
              <w:right w:val="nil"/>
            </w:tcBorders>
            <w:shd w:val="clear" w:color="auto" w:fill="FFFFFF"/>
          </w:tcPr>
          <w:p w:rsidR="001407D9" w:rsidRPr="00D62373" w:rsidRDefault="001407D9" w:rsidP="001407D9">
            <w:pPr>
              <w:pStyle w:val="nsr"/>
              <w:rPr>
                <w:lang w:val="en-GB" w:bidi="he-IL"/>
              </w:rPr>
            </w:pPr>
            <w:r w:rsidRPr="00D62373">
              <w:rPr>
                <w:lang w:val="en-GB" w:bidi="he-IL"/>
              </w:rPr>
              <w:t>XVIII, 14.</w:t>
            </w:r>
          </w:p>
        </w:tc>
      </w:tr>
      <w:tr w:rsidR="001407D9" w:rsidRPr="00C8701B" w:rsidTr="001407D9">
        <w:trPr>
          <w:trHeight w:val="163"/>
        </w:trPr>
        <w:tc>
          <w:tcPr>
            <w:tcW w:w="0" w:type="auto"/>
            <w:tcBorders>
              <w:top w:val="nil"/>
              <w:left w:val="nil"/>
              <w:bottom w:val="nil"/>
              <w:right w:val="nil"/>
            </w:tcBorders>
            <w:shd w:val="clear" w:color="auto" w:fill="FFFFFF"/>
          </w:tcPr>
          <w:p w:rsidR="001407D9" w:rsidRPr="00D62373" w:rsidRDefault="001407D9" w:rsidP="001407D9">
            <w:pPr>
              <w:pStyle w:val="nsr"/>
              <w:rPr>
                <w:lang w:val="en-GB" w:bidi="he-IL"/>
              </w:rPr>
            </w:pPr>
          </w:p>
        </w:tc>
        <w:tc>
          <w:tcPr>
            <w:tcW w:w="0" w:type="auto"/>
            <w:tcBorders>
              <w:top w:val="nil"/>
              <w:left w:val="nil"/>
              <w:bottom w:val="nil"/>
              <w:right w:val="nil"/>
            </w:tcBorders>
            <w:shd w:val="clear" w:color="auto" w:fill="FFFFFF"/>
          </w:tcPr>
          <w:p w:rsidR="001407D9" w:rsidRPr="00D62373" w:rsidRDefault="001407D9" w:rsidP="001407D9">
            <w:pPr>
              <w:pStyle w:val="nsr"/>
              <w:rPr>
                <w:lang w:val="en-GB" w:bidi="he-IL"/>
              </w:rPr>
            </w:pPr>
            <w:r w:rsidRPr="00D62373">
              <w:rPr>
                <w:lang w:val="en-GB" w:bidi="he-IL"/>
              </w:rPr>
              <w:t xml:space="preserve"> — 46.</w:t>
            </w:r>
          </w:p>
        </w:tc>
        <w:tc>
          <w:tcPr>
            <w:tcW w:w="0" w:type="auto"/>
            <w:tcBorders>
              <w:top w:val="nil"/>
              <w:left w:val="nil"/>
              <w:bottom w:val="nil"/>
              <w:right w:val="nil"/>
            </w:tcBorders>
            <w:shd w:val="clear" w:color="auto" w:fill="FFFFFF"/>
          </w:tcPr>
          <w:p w:rsidR="001407D9" w:rsidRPr="00D62373" w:rsidRDefault="001407D9" w:rsidP="001407D9">
            <w:pPr>
              <w:pStyle w:val="nsr"/>
              <w:rPr>
                <w:lang w:val="en-GB" w:bidi="he-IL"/>
              </w:rPr>
            </w:pPr>
            <w:r w:rsidRPr="00D62373">
              <w:rPr>
                <w:lang w:val="en-GB" w:bidi="he-IL"/>
              </w:rPr>
              <w:t xml:space="preserve"> — </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sidRPr="00D62373">
              <w:rPr>
                <w:lang w:val="en-GB" w:bidi="he-IL"/>
              </w:rPr>
              <w:t>XI, 2</w:t>
            </w:r>
            <w:r w:rsidRPr="00C8701B">
              <w:rPr>
                <w:lang w:bidi="he-IL"/>
              </w:rPr>
              <w:t>7.</w:t>
            </w:r>
          </w:p>
        </w:tc>
      </w:tr>
      <w:tr w:rsidR="001407D9" w:rsidRPr="00C8701B" w:rsidTr="001407D9">
        <w:trPr>
          <w:trHeight w:val="173"/>
        </w:trPr>
        <w:tc>
          <w:tcPr>
            <w:tcW w:w="0" w:type="auto"/>
            <w:tcBorders>
              <w:top w:val="nil"/>
              <w:left w:val="nil"/>
              <w:bottom w:val="nil"/>
              <w:right w:val="nil"/>
            </w:tcBorders>
            <w:shd w:val="clear" w:color="auto" w:fill="FFFFFF"/>
          </w:tcPr>
          <w:p w:rsidR="001407D9" w:rsidRDefault="001407D9" w:rsidP="001407D9">
            <w:pPr>
              <w:pStyle w:val="nsr"/>
              <w:rPr>
                <w:lang w:bidi="he-IL"/>
              </w:rPr>
            </w:pP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 — </w:t>
            </w:r>
            <w:r w:rsidRPr="00C8701B">
              <w:rPr>
                <w:lang w:bidi="he-IL"/>
              </w:rPr>
              <w:t>70.</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sidRPr="00C8701B">
              <w:rPr>
                <w:lang w:bidi="he-IL"/>
              </w:rPr>
              <w:t>Luc.</w:t>
            </w:r>
          </w:p>
        </w:tc>
        <w:tc>
          <w:tcPr>
            <w:tcW w:w="0" w:type="auto"/>
            <w:tcBorders>
              <w:top w:val="nil"/>
              <w:left w:val="nil"/>
              <w:bottom w:val="nil"/>
              <w:right w:val="nil"/>
            </w:tcBorders>
            <w:shd w:val="clear" w:color="auto" w:fill="FFFFFF"/>
          </w:tcPr>
          <w:p w:rsidR="001407D9" w:rsidRPr="00C8701B" w:rsidRDefault="00A319EA" w:rsidP="001407D9">
            <w:pPr>
              <w:pStyle w:val="nsr"/>
              <w:rPr>
                <w:lang w:bidi="he-IL"/>
              </w:rPr>
            </w:pPr>
            <w:r>
              <w:rPr>
                <w:lang w:bidi="he-IL"/>
              </w:rPr>
              <w:t>VI</w:t>
            </w:r>
            <w:r w:rsidR="001407D9">
              <w:rPr>
                <w:lang w:bidi="he-IL"/>
              </w:rPr>
              <w:t xml:space="preserve">, </w:t>
            </w:r>
            <w:r w:rsidR="001407D9" w:rsidRPr="00C8701B">
              <w:rPr>
                <w:lang w:bidi="he-IL"/>
              </w:rPr>
              <w:t>13.</w:t>
            </w:r>
          </w:p>
        </w:tc>
      </w:tr>
      <w:tr w:rsidR="001407D9" w:rsidRPr="00C8701B" w:rsidTr="001407D9">
        <w:trPr>
          <w:trHeight w:val="173"/>
        </w:trPr>
        <w:tc>
          <w:tcPr>
            <w:tcW w:w="0" w:type="auto"/>
            <w:tcBorders>
              <w:top w:val="nil"/>
              <w:left w:val="nil"/>
              <w:bottom w:val="nil"/>
              <w:right w:val="nil"/>
            </w:tcBorders>
            <w:shd w:val="clear" w:color="auto" w:fill="FFFFFF"/>
          </w:tcPr>
          <w:p w:rsidR="001407D9" w:rsidRDefault="001407D9" w:rsidP="001407D9">
            <w:pPr>
              <w:pStyle w:val="nsr"/>
              <w:rPr>
                <w:lang w:bidi="he-IL"/>
              </w:rPr>
            </w:pP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VII, </w:t>
            </w:r>
            <w:r w:rsidRPr="00C8701B">
              <w:rPr>
                <w:lang w:bidi="he-IL"/>
              </w:rPr>
              <w:t>45-46.</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sidRPr="00C8701B">
              <w:rPr>
                <w:lang w:bidi="he-IL"/>
              </w:rPr>
              <w:t>Matth.</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VII, </w:t>
            </w:r>
            <w:r w:rsidRPr="00C8701B">
              <w:rPr>
                <w:lang w:bidi="he-IL"/>
              </w:rPr>
              <w:t>28.</w:t>
            </w:r>
          </w:p>
        </w:tc>
      </w:tr>
      <w:tr w:rsidR="001407D9" w:rsidRPr="00C8701B" w:rsidTr="001407D9">
        <w:trPr>
          <w:trHeight w:val="168"/>
        </w:trPr>
        <w:tc>
          <w:tcPr>
            <w:tcW w:w="0" w:type="auto"/>
            <w:tcBorders>
              <w:top w:val="nil"/>
              <w:left w:val="nil"/>
              <w:bottom w:val="nil"/>
              <w:right w:val="nil"/>
            </w:tcBorders>
            <w:shd w:val="clear" w:color="auto" w:fill="FFFFFF"/>
          </w:tcPr>
          <w:p w:rsidR="001407D9" w:rsidRDefault="001407D9" w:rsidP="001407D9">
            <w:pPr>
              <w:pStyle w:val="nsr"/>
              <w:rPr>
                <w:lang w:bidi="he-IL"/>
              </w:rPr>
            </w:pP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IX, </w:t>
            </w:r>
            <w:r w:rsidRPr="00C8701B">
              <w:rPr>
                <w:lang w:bidi="he-IL"/>
              </w:rPr>
              <w:t>16.</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 — </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XII, </w:t>
            </w:r>
            <w:r w:rsidRPr="00C8701B">
              <w:rPr>
                <w:lang w:bidi="he-IL"/>
              </w:rPr>
              <w:t>2.</w:t>
            </w:r>
          </w:p>
        </w:tc>
      </w:tr>
      <w:tr w:rsidR="001407D9" w:rsidRPr="00C8701B" w:rsidTr="001407D9">
        <w:trPr>
          <w:trHeight w:val="168"/>
        </w:trPr>
        <w:tc>
          <w:tcPr>
            <w:tcW w:w="0" w:type="auto"/>
            <w:tcBorders>
              <w:top w:val="nil"/>
              <w:left w:val="nil"/>
              <w:bottom w:val="nil"/>
              <w:right w:val="nil"/>
            </w:tcBorders>
            <w:shd w:val="clear" w:color="auto" w:fill="FFFFFF"/>
          </w:tcPr>
          <w:p w:rsidR="001407D9" w:rsidRDefault="001407D9" w:rsidP="001407D9">
            <w:pPr>
              <w:pStyle w:val="nsr"/>
              <w:rPr>
                <w:lang w:bidi="he-IL"/>
              </w:rPr>
            </w:pP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X, </w:t>
            </w:r>
            <w:r w:rsidRPr="00C8701B">
              <w:rPr>
                <w:lang w:bidi="he-IL"/>
              </w:rPr>
              <w:t>15.</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 — </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XI, </w:t>
            </w:r>
            <w:r w:rsidRPr="00C8701B">
              <w:rPr>
                <w:lang w:bidi="he-IL"/>
              </w:rPr>
              <w:t>27.</w:t>
            </w:r>
          </w:p>
        </w:tc>
      </w:tr>
      <w:tr w:rsidR="001407D9" w:rsidRPr="00C8701B" w:rsidTr="001407D9">
        <w:trPr>
          <w:trHeight w:val="178"/>
        </w:trPr>
        <w:tc>
          <w:tcPr>
            <w:tcW w:w="0" w:type="auto"/>
            <w:tcBorders>
              <w:top w:val="nil"/>
              <w:left w:val="nil"/>
              <w:bottom w:val="nil"/>
              <w:right w:val="nil"/>
            </w:tcBorders>
            <w:shd w:val="clear" w:color="auto" w:fill="FFFFFF"/>
          </w:tcPr>
          <w:p w:rsidR="001407D9" w:rsidRDefault="001407D9" w:rsidP="001407D9">
            <w:pPr>
              <w:pStyle w:val="nsr"/>
              <w:rPr>
                <w:lang w:bidi="he-IL"/>
              </w:rPr>
            </w:pP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XI, </w:t>
            </w:r>
            <w:r w:rsidRPr="00C8701B">
              <w:rPr>
                <w:lang w:bidi="he-IL"/>
              </w:rPr>
              <w:t>25.</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 — </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X, </w:t>
            </w:r>
            <w:r w:rsidRPr="00C8701B">
              <w:rPr>
                <w:lang w:bidi="he-IL"/>
              </w:rPr>
              <w:t>39.</w:t>
            </w:r>
          </w:p>
        </w:tc>
      </w:tr>
      <w:tr w:rsidR="001407D9" w:rsidRPr="00C8701B" w:rsidTr="001407D9">
        <w:trPr>
          <w:trHeight w:val="163"/>
        </w:trPr>
        <w:tc>
          <w:tcPr>
            <w:tcW w:w="0" w:type="auto"/>
            <w:tcBorders>
              <w:top w:val="nil"/>
              <w:left w:val="nil"/>
              <w:bottom w:val="nil"/>
              <w:right w:val="nil"/>
            </w:tcBorders>
            <w:shd w:val="clear" w:color="auto" w:fill="FFFFFF"/>
          </w:tcPr>
          <w:p w:rsidR="001407D9" w:rsidRDefault="001407D9" w:rsidP="001407D9">
            <w:pPr>
              <w:pStyle w:val="nsr"/>
              <w:rPr>
                <w:lang w:bidi="he-IL"/>
              </w:rPr>
            </w:pP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XII, </w:t>
            </w:r>
            <w:r w:rsidRPr="00C8701B">
              <w:rPr>
                <w:lang w:bidi="he-IL"/>
              </w:rPr>
              <w:t>8.</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 — </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XXVI, </w:t>
            </w:r>
            <w:r w:rsidRPr="00C8701B">
              <w:rPr>
                <w:lang w:bidi="he-IL"/>
              </w:rPr>
              <w:t>11.</w:t>
            </w:r>
          </w:p>
        </w:tc>
      </w:tr>
      <w:tr w:rsidR="001407D9" w:rsidRPr="00C8701B" w:rsidTr="001407D9">
        <w:trPr>
          <w:trHeight w:val="168"/>
        </w:trPr>
        <w:tc>
          <w:tcPr>
            <w:tcW w:w="0" w:type="auto"/>
            <w:tcBorders>
              <w:top w:val="nil"/>
              <w:left w:val="nil"/>
              <w:bottom w:val="nil"/>
              <w:right w:val="nil"/>
            </w:tcBorders>
            <w:shd w:val="clear" w:color="auto" w:fill="FFFFFF"/>
          </w:tcPr>
          <w:p w:rsidR="001407D9" w:rsidRPr="00C8701B" w:rsidRDefault="001407D9" w:rsidP="001407D9">
            <w:pPr>
              <w:pStyle w:val="nsr"/>
              <w:rPr>
                <w:lang w:bidi="he-IL"/>
              </w:rPr>
            </w:pP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 — </w:t>
            </w:r>
            <w:r w:rsidRPr="00C8701B">
              <w:rPr>
                <w:lang w:bidi="he-IL"/>
              </w:rPr>
              <w:t>3.</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sidRPr="00C8701B">
              <w:rPr>
                <w:lang w:bidi="he-IL"/>
              </w:rPr>
              <w:t>Marc.</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XI, </w:t>
            </w:r>
            <w:r w:rsidRPr="00C8701B">
              <w:rPr>
                <w:lang w:bidi="he-IL"/>
              </w:rPr>
              <w:t>9.</w:t>
            </w:r>
          </w:p>
        </w:tc>
      </w:tr>
      <w:tr w:rsidR="001407D9" w:rsidRPr="00C8701B" w:rsidTr="001407D9">
        <w:trPr>
          <w:trHeight w:val="178"/>
        </w:trPr>
        <w:tc>
          <w:tcPr>
            <w:tcW w:w="0" w:type="auto"/>
            <w:tcBorders>
              <w:top w:val="nil"/>
              <w:left w:val="nil"/>
              <w:bottom w:val="nil"/>
              <w:right w:val="nil"/>
            </w:tcBorders>
            <w:shd w:val="clear" w:color="auto" w:fill="FFFFFF"/>
          </w:tcPr>
          <w:p w:rsidR="001407D9" w:rsidRDefault="001407D9" w:rsidP="001407D9">
            <w:pPr>
              <w:pStyle w:val="nsr"/>
              <w:rPr>
                <w:lang w:bidi="he-IL"/>
              </w:rPr>
            </w:pP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 — </w:t>
            </w:r>
            <w:r w:rsidRPr="00C8701B">
              <w:rPr>
                <w:lang w:bidi="he-IL"/>
              </w:rPr>
              <w:t>44.</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sidRPr="00C8701B">
              <w:rPr>
                <w:lang w:bidi="he-IL"/>
              </w:rPr>
              <w:t>Luc.</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IX, </w:t>
            </w:r>
            <w:r w:rsidRPr="00C8701B">
              <w:rPr>
                <w:lang w:bidi="he-IL"/>
              </w:rPr>
              <w:t>48.</w:t>
            </w:r>
          </w:p>
        </w:tc>
      </w:tr>
      <w:tr w:rsidR="001407D9" w:rsidRPr="00C8701B" w:rsidTr="001407D9">
        <w:trPr>
          <w:trHeight w:val="168"/>
        </w:trPr>
        <w:tc>
          <w:tcPr>
            <w:tcW w:w="0" w:type="auto"/>
            <w:tcBorders>
              <w:top w:val="nil"/>
              <w:left w:val="nil"/>
              <w:bottom w:val="nil"/>
              <w:right w:val="nil"/>
            </w:tcBorders>
            <w:shd w:val="clear" w:color="auto" w:fill="FFFFFF"/>
          </w:tcPr>
          <w:p w:rsidR="001407D9" w:rsidRDefault="001407D9" w:rsidP="001407D9">
            <w:pPr>
              <w:pStyle w:val="nsr"/>
              <w:rPr>
                <w:lang w:bidi="he-IL"/>
              </w:rPr>
            </w:pP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XIII, </w:t>
            </w:r>
            <w:r w:rsidRPr="00C8701B">
              <w:rPr>
                <w:lang w:bidi="he-IL"/>
              </w:rPr>
              <w:t>1.</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sidRPr="00C8701B">
              <w:rPr>
                <w:lang w:bidi="he-IL"/>
              </w:rPr>
              <w:t>Marc.</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XIV, </w:t>
            </w:r>
            <w:r w:rsidRPr="00C8701B">
              <w:rPr>
                <w:lang w:bidi="he-IL"/>
              </w:rPr>
              <w:t>41.</w:t>
            </w:r>
          </w:p>
        </w:tc>
      </w:tr>
      <w:tr w:rsidR="001407D9" w:rsidRPr="00C8701B" w:rsidTr="001407D9">
        <w:trPr>
          <w:trHeight w:val="168"/>
        </w:trPr>
        <w:tc>
          <w:tcPr>
            <w:tcW w:w="0" w:type="auto"/>
            <w:tcBorders>
              <w:top w:val="nil"/>
              <w:left w:val="nil"/>
              <w:bottom w:val="nil"/>
              <w:right w:val="nil"/>
            </w:tcBorders>
            <w:shd w:val="clear" w:color="auto" w:fill="FFFFFF"/>
          </w:tcPr>
          <w:p w:rsidR="001407D9" w:rsidRPr="00C8701B" w:rsidRDefault="001407D9" w:rsidP="001407D9">
            <w:pPr>
              <w:pStyle w:val="nsr"/>
              <w:rPr>
                <w:rtl/>
                <w:lang w:bidi="he-IL"/>
              </w:rPr>
            </w:pPr>
          </w:p>
        </w:tc>
        <w:tc>
          <w:tcPr>
            <w:tcW w:w="0" w:type="auto"/>
            <w:tcBorders>
              <w:top w:val="nil"/>
              <w:left w:val="nil"/>
              <w:bottom w:val="nil"/>
              <w:right w:val="nil"/>
            </w:tcBorders>
            <w:shd w:val="clear" w:color="auto" w:fill="FFFFFF"/>
          </w:tcPr>
          <w:p w:rsidR="001407D9" w:rsidRPr="001407D9" w:rsidRDefault="001407D9" w:rsidP="001407D9">
            <w:pPr>
              <w:pStyle w:val="nsr"/>
            </w:pPr>
            <w:r>
              <w:t xml:space="preserve"> </w:t>
            </w:r>
            <w:r w:rsidRPr="001407D9">
              <w:t>—</w:t>
            </w:r>
            <w:r>
              <w:t xml:space="preserve"> </w:t>
            </w:r>
            <w:r w:rsidRPr="001407D9">
              <w:t xml:space="preserve">3 </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sidRPr="00C8701B">
              <w:rPr>
                <w:lang w:bidi="he-IL"/>
              </w:rPr>
              <w:t>Matth.</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XI, </w:t>
            </w:r>
            <w:r w:rsidRPr="00C8701B">
              <w:rPr>
                <w:lang w:bidi="he-IL"/>
              </w:rPr>
              <w:t>27.</w:t>
            </w:r>
          </w:p>
        </w:tc>
      </w:tr>
      <w:tr w:rsidR="001407D9" w:rsidRPr="00C8701B" w:rsidTr="001407D9">
        <w:trPr>
          <w:trHeight w:val="178"/>
        </w:trPr>
        <w:tc>
          <w:tcPr>
            <w:tcW w:w="0" w:type="auto"/>
            <w:tcBorders>
              <w:top w:val="nil"/>
              <w:left w:val="nil"/>
              <w:bottom w:val="nil"/>
              <w:right w:val="nil"/>
            </w:tcBorders>
            <w:shd w:val="clear" w:color="auto" w:fill="FFFFFF"/>
          </w:tcPr>
          <w:p w:rsidR="001407D9" w:rsidRDefault="001407D9" w:rsidP="001407D9">
            <w:pPr>
              <w:pStyle w:val="nsr"/>
              <w:rPr>
                <w:lang w:bidi="he-IL"/>
              </w:rPr>
            </w:pP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 — </w:t>
            </w:r>
            <w:r w:rsidRPr="00C8701B">
              <w:rPr>
                <w:lang w:bidi="he-IL"/>
              </w:rPr>
              <w:t>16.</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 — </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X, 2</w:t>
            </w:r>
            <w:r w:rsidRPr="00C8701B">
              <w:rPr>
                <w:lang w:bidi="he-IL"/>
              </w:rPr>
              <w:t>4.</w:t>
            </w:r>
          </w:p>
        </w:tc>
      </w:tr>
      <w:tr w:rsidR="001407D9" w:rsidRPr="00C8701B" w:rsidTr="001407D9">
        <w:trPr>
          <w:trHeight w:val="163"/>
        </w:trPr>
        <w:tc>
          <w:tcPr>
            <w:tcW w:w="0" w:type="auto"/>
            <w:tcBorders>
              <w:top w:val="nil"/>
              <w:left w:val="nil"/>
              <w:bottom w:val="nil"/>
              <w:right w:val="nil"/>
            </w:tcBorders>
            <w:shd w:val="clear" w:color="auto" w:fill="FFFFFF"/>
          </w:tcPr>
          <w:p w:rsidR="001407D9" w:rsidRDefault="001407D9" w:rsidP="001407D9">
            <w:pPr>
              <w:pStyle w:val="nsr"/>
              <w:rPr>
                <w:lang w:bidi="he-IL"/>
              </w:rPr>
            </w:pP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 — </w:t>
            </w:r>
            <w:r w:rsidRPr="00C8701B">
              <w:rPr>
                <w:lang w:bidi="he-IL"/>
              </w:rPr>
              <w:t>20.</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 — </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X, </w:t>
            </w:r>
            <w:r w:rsidRPr="00C8701B">
              <w:rPr>
                <w:lang w:bidi="he-IL"/>
              </w:rPr>
              <w:t>40.</w:t>
            </w:r>
          </w:p>
        </w:tc>
      </w:tr>
      <w:tr w:rsidR="001407D9" w:rsidRPr="00C8701B" w:rsidTr="001407D9">
        <w:trPr>
          <w:trHeight w:val="168"/>
        </w:trPr>
        <w:tc>
          <w:tcPr>
            <w:tcW w:w="0" w:type="auto"/>
            <w:tcBorders>
              <w:top w:val="nil"/>
              <w:left w:val="nil"/>
              <w:bottom w:val="nil"/>
              <w:right w:val="nil"/>
            </w:tcBorders>
            <w:shd w:val="clear" w:color="auto" w:fill="FFFFFF"/>
          </w:tcPr>
          <w:p w:rsidR="001407D9" w:rsidRPr="00C8701B" w:rsidRDefault="001407D9" w:rsidP="001407D9">
            <w:pPr>
              <w:pStyle w:val="nsr"/>
              <w:rPr>
                <w:lang w:bidi="he-IL"/>
              </w:rPr>
            </w:pP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 </w:t>
            </w:r>
            <w:r w:rsidRPr="00C8701B">
              <w:rPr>
                <w:lang w:bidi="he-IL"/>
              </w:rPr>
              <w:t>21.</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sidRPr="00C8701B">
              <w:rPr>
                <w:lang w:bidi="he-IL"/>
              </w:rPr>
              <w:t>Marc.</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XIV, </w:t>
            </w:r>
            <w:r w:rsidRPr="00C8701B">
              <w:rPr>
                <w:lang w:bidi="he-IL"/>
              </w:rPr>
              <w:t>18-27.</w:t>
            </w:r>
          </w:p>
        </w:tc>
      </w:tr>
      <w:tr w:rsidR="001407D9" w:rsidRPr="00C8701B" w:rsidTr="001407D9">
        <w:trPr>
          <w:trHeight w:val="173"/>
        </w:trPr>
        <w:tc>
          <w:tcPr>
            <w:tcW w:w="0" w:type="auto"/>
            <w:tcBorders>
              <w:top w:val="nil"/>
              <w:left w:val="nil"/>
              <w:bottom w:val="nil"/>
              <w:right w:val="nil"/>
            </w:tcBorders>
            <w:shd w:val="clear" w:color="auto" w:fill="FFFFFF"/>
          </w:tcPr>
          <w:p w:rsidR="001407D9" w:rsidRDefault="001407D9" w:rsidP="001407D9">
            <w:pPr>
              <w:pStyle w:val="nsr"/>
              <w:rPr>
                <w:lang w:bidi="he-IL"/>
              </w:rPr>
            </w:pP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XIV, </w:t>
            </w:r>
            <w:r w:rsidRPr="00C8701B">
              <w:rPr>
                <w:lang w:bidi="he-IL"/>
              </w:rPr>
              <w:t>18.</w:t>
            </w:r>
          </w:p>
        </w:tc>
        <w:tc>
          <w:tcPr>
            <w:tcW w:w="0" w:type="auto"/>
            <w:gridSpan w:val="2"/>
            <w:tcBorders>
              <w:top w:val="nil"/>
              <w:left w:val="nil"/>
              <w:bottom w:val="nil"/>
              <w:right w:val="nil"/>
            </w:tcBorders>
            <w:shd w:val="clear" w:color="auto" w:fill="FFFFFF"/>
          </w:tcPr>
          <w:p w:rsidR="001407D9" w:rsidRPr="00C8701B" w:rsidRDefault="001407D9" w:rsidP="001407D9">
            <w:pPr>
              <w:pStyle w:val="nsr"/>
              <w:rPr>
                <w:lang w:bidi="he-IL"/>
              </w:rPr>
            </w:pPr>
            <w:r w:rsidRPr="00C8701B">
              <w:rPr>
                <w:lang w:bidi="he-IL"/>
              </w:rPr>
              <w:t xml:space="preserve">Matth. </w:t>
            </w:r>
            <w:r>
              <w:rPr>
                <w:lang w:bidi="he-IL"/>
              </w:rPr>
              <w:t xml:space="preserve">XXVIII, </w:t>
            </w:r>
            <w:r w:rsidRPr="00C8701B">
              <w:rPr>
                <w:lang w:bidi="he-IL"/>
              </w:rPr>
              <w:t>20.</w:t>
            </w:r>
          </w:p>
        </w:tc>
      </w:tr>
      <w:tr w:rsidR="001407D9" w:rsidRPr="00C8701B" w:rsidTr="001407D9">
        <w:trPr>
          <w:trHeight w:val="168"/>
        </w:trPr>
        <w:tc>
          <w:tcPr>
            <w:tcW w:w="0" w:type="auto"/>
            <w:tcBorders>
              <w:top w:val="nil"/>
              <w:left w:val="nil"/>
              <w:bottom w:val="nil"/>
              <w:right w:val="nil"/>
            </w:tcBorders>
            <w:shd w:val="clear" w:color="auto" w:fill="FFFFFF"/>
          </w:tcPr>
          <w:p w:rsidR="001407D9" w:rsidRDefault="001407D9" w:rsidP="001407D9">
            <w:pPr>
              <w:pStyle w:val="nsr"/>
              <w:rPr>
                <w:lang w:bidi="he-IL"/>
              </w:rPr>
            </w:pP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 — </w:t>
            </w:r>
            <w:r w:rsidRPr="00C8701B">
              <w:rPr>
                <w:lang w:bidi="he-IL"/>
              </w:rPr>
              <w:t>28.</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sidRPr="00C8701B">
              <w:rPr>
                <w:lang w:bidi="he-IL"/>
              </w:rPr>
              <w:t>Marc.</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XIII, </w:t>
            </w:r>
            <w:r w:rsidRPr="00C8701B">
              <w:rPr>
                <w:lang w:bidi="he-IL"/>
              </w:rPr>
              <w:t>32.</w:t>
            </w:r>
          </w:p>
        </w:tc>
      </w:tr>
      <w:tr w:rsidR="001407D9" w:rsidRPr="00C8701B" w:rsidTr="001407D9">
        <w:trPr>
          <w:trHeight w:val="168"/>
        </w:trPr>
        <w:tc>
          <w:tcPr>
            <w:tcW w:w="0" w:type="auto"/>
            <w:tcBorders>
              <w:top w:val="nil"/>
              <w:left w:val="nil"/>
              <w:bottom w:val="nil"/>
              <w:right w:val="nil"/>
            </w:tcBorders>
            <w:shd w:val="clear" w:color="auto" w:fill="FFFFFF"/>
          </w:tcPr>
          <w:p w:rsidR="001407D9" w:rsidRDefault="001407D9" w:rsidP="001407D9">
            <w:pPr>
              <w:pStyle w:val="nsr"/>
              <w:rPr>
                <w:lang w:bidi="he-IL"/>
              </w:rPr>
            </w:pP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XV,</w:t>
            </w:r>
            <w:r w:rsidRPr="00C8701B">
              <w:rPr>
                <w:lang w:bidi="he-IL"/>
              </w:rPr>
              <w:t xml:space="preserve"> 8.</w:t>
            </w:r>
          </w:p>
        </w:tc>
        <w:tc>
          <w:tcPr>
            <w:tcW w:w="0" w:type="auto"/>
            <w:gridSpan w:val="2"/>
            <w:tcBorders>
              <w:top w:val="nil"/>
              <w:left w:val="nil"/>
              <w:bottom w:val="nil"/>
              <w:right w:val="nil"/>
            </w:tcBorders>
            <w:shd w:val="clear" w:color="auto" w:fill="FFFFFF"/>
          </w:tcPr>
          <w:p w:rsidR="001407D9" w:rsidRPr="00C8701B" w:rsidRDefault="001407D9" w:rsidP="001407D9">
            <w:pPr>
              <w:pStyle w:val="nsr"/>
              <w:rPr>
                <w:lang w:bidi="he-IL"/>
              </w:rPr>
            </w:pPr>
            <w:r w:rsidRPr="00C8701B">
              <w:rPr>
                <w:lang w:bidi="he-IL"/>
              </w:rPr>
              <w:t xml:space="preserve">Matth. </w:t>
            </w:r>
            <w:r>
              <w:rPr>
                <w:lang w:bidi="he-IL"/>
              </w:rPr>
              <w:t xml:space="preserve">V, </w:t>
            </w:r>
            <w:r w:rsidRPr="00C8701B">
              <w:rPr>
                <w:lang w:bidi="he-IL"/>
              </w:rPr>
              <w:t>16.</w:t>
            </w:r>
          </w:p>
        </w:tc>
      </w:tr>
      <w:tr w:rsidR="001407D9" w:rsidRPr="00C8701B" w:rsidTr="001407D9">
        <w:trPr>
          <w:trHeight w:val="168"/>
        </w:trPr>
        <w:tc>
          <w:tcPr>
            <w:tcW w:w="0" w:type="auto"/>
            <w:tcBorders>
              <w:top w:val="nil"/>
              <w:left w:val="nil"/>
              <w:bottom w:val="nil"/>
              <w:right w:val="nil"/>
            </w:tcBorders>
            <w:shd w:val="clear" w:color="auto" w:fill="FFFFFF"/>
          </w:tcPr>
          <w:p w:rsidR="001407D9" w:rsidRDefault="001407D9" w:rsidP="001407D9">
            <w:pPr>
              <w:pStyle w:val="nsr"/>
              <w:rPr>
                <w:lang w:bidi="he-IL"/>
              </w:rPr>
            </w:pP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 — </w:t>
            </w:r>
            <w:r w:rsidRPr="00C8701B">
              <w:rPr>
                <w:lang w:bidi="he-IL"/>
              </w:rPr>
              <w:t>14.</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 — </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XII, </w:t>
            </w:r>
            <w:r w:rsidRPr="00C8701B">
              <w:rPr>
                <w:lang w:bidi="he-IL"/>
              </w:rPr>
              <w:t>49-50.</w:t>
            </w:r>
          </w:p>
        </w:tc>
      </w:tr>
      <w:tr w:rsidR="001407D9" w:rsidRPr="00C8701B" w:rsidTr="001407D9">
        <w:trPr>
          <w:trHeight w:val="173"/>
        </w:trPr>
        <w:tc>
          <w:tcPr>
            <w:tcW w:w="0" w:type="auto"/>
            <w:tcBorders>
              <w:top w:val="nil"/>
              <w:left w:val="nil"/>
              <w:bottom w:val="nil"/>
              <w:right w:val="nil"/>
            </w:tcBorders>
            <w:shd w:val="clear" w:color="auto" w:fill="FFFFFF"/>
          </w:tcPr>
          <w:p w:rsidR="001407D9" w:rsidRDefault="001407D9" w:rsidP="001407D9">
            <w:pPr>
              <w:pStyle w:val="nsr"/>
              <w:rPr>
                <w:lang w:bidi="he-IL"/>
              </w:rPr>
            </w:pP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 — </w:t>
            </w:r>
            <w:r w:rsidRPr="00C8701B">
              <w:rPr>
                <w:lang w:bidi="he-IL"/>
              </w:rPr>
              <w:t>20.</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 — </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X, </w:t>
            </w:r>
            <w:r w:rsidRPr="00C8701B">
              <w:rPr>
                <w:lang w:bidi="he-IL"/>
              </w:rPr>
              <w:t>25.</w:t>
            </w:r>
          </w:p>
        </w:tc>
      </w:tr>
      <w:tr w:rsidR="001407D9" w:rsidRPr="00C8701B" w:rsidTr="001407D9">
        <w:trPr>
          <w:trHeight w:val="168"/>
        </w:trPr>
        <w:tc>
          <w:tcPr>
            <w:tcW w:w="0" w:type="auto"/>
            <w:tcBorders>
              <w:top w:val="nil"/>
              <w:left w:val="nil"/>
              <w:bottom w:val="nil"/>
              <w:right w:val="nil"/>
            </w:tcBorders>
            <w:shd w:val="clear" w:color="auto" w:fill="FFFFFF"/>
          </w:tcPr>
          <w:p w:rsidR="001407D9" w:rsidRDefault="001407D9" w:rsidP="001407D9">
            <w:pPr>
              <w:pStyle w:val="nsr"/>
              <w:rPr>
                <w:lang w:bidi="he-IL"/>
              </w:rPr>
            </w:pP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 — </w:t>
            </w:r>
            <w:r w:rsidRPr="00C8701B">
              <w:rPr>
                <w:lang w:bidi="he-IL"/>
              </w:rPr>
              <w:t>21.</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 — </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X, </w:t>
            </w:r>
            <w:r w:rsidRPr="00C8701B">
              <w:rPr>
                <w:lang w:bidi="he-IL"/>
              </w:rPr>
              <w:t>22.</w:t>
            </w:r>
          </w:p>
        </w:tc>
      </w:tr>
      <w:tr w:rsidR="001407D9" w:rsidRPr="00C8701B" w:rsidTr="001407D9">
        <w:trPr>
          <w:trHeight w:val="178"/>
        </w:trPr>
        <w:tc>
          <w:tcPr>
            <w:tcW w:w="0" w:type="auto"/>
            <w:tcBorders>
              <w:top w:val="nil"/>
              <w:left w:val="nil"/>
              <w:bottom w:val="nil"/>
              <w:right w:val="nil"/>
            </w:tcBorders>
            <w:shd w:val="clear" w:color="auto" w:fill="FFFFFF"/>
          </w:tcPr>
          <w:p w:rsidR="001407D9" w:rsidRDefault="001407D9" w:rsidP="001407D9">
            <w:pPr>
              <w:pStyle w:val="nsr"/>
              <w:rPr>
                <w:lang w:bidi="he-IL"/>
              </w:rPr>
            </w:pP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XVI, </w:t>
            </w:r>
            <w:r w:rsidRPr="00C8701B">
              <w:rPr>
                <w:lang w:bidi="he-IL"/>
              </w:rPr>
              <w:t>1-2.</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 — </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X, </w:t>
            </w:r>
            <w:r w:rsidRPr="00C8701B">
              <w:rPr>
                <w:lang w:bidi="he-IL"/>
              </w:rPr>
              <w:t>17 et s. </w:t>
            </w:r>
            <w:r>
              <w:rPr>
                <w:lang w:bidi="he-IL"/>
              </w:rPr>
              <w:t xml:space="preserve">; XIII, </w:t>
            </w:r>
            <w:r w:rsidRPr="00C8701B">
              <w:rPr>
                <w:lang w:bidi="he-IL"/>
              </w:rPr>
              <w:t>21</w:t>
            </w:r>
          </w:p>
        </w:tc>
      </w:tr>
      <w:tr w:rsidR="001407D9" w:rsidRPr="00C8701B" w:rsidTr="001407D9">
        <w:trPr>
          <w:trHeight w:val="168"/>
        </w:trPr>
        <w:tc>
          <w:tcPr>
            <w:tcW w:w="0" w:type="auto"/>
            <w:tcBorders>
              <w:top w:val="nil"/>
              <w:left w:val="nil"/>
              <w:bottom w:val="nil"/>
              <w:right w:val="nil"/>
            </w:tcBorders>
            <w:shd w:val="clear" w:color="auto" w:fill="FFFFFF"/>
          </w:tcPr>
          <w:p w:rsidR="001407D9" w:rsidRDefault="001407D9" w:rsidP="001407D9">
            <w:pPr>
              <w:pStyle w:val="nsr"/>
              <w:rPr>
                <w:lang w:bidi="he-IL"/>
              </w:rPr>
            </w:pP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XVII, </w:t>
            </w:r>
            <w:r w:rsidRPr="00C8701B">
              <w:rPr>
                <w:lang w:bidi="he-IL"/>
              </w:rPr>
              <w:t>2.</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 — </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XXVIII, </w:t>
            </w:r>
            <w:r w:rsidRPr="00C8701B">
              <w:rPr>
                <w:lang w:bidi="he-IL"/>
              </w:rPr>
              <w:t>18.</w:t>
            </w:r>
          </w:p>
        </w:tc>
      </w:tr>
      <w:tr w:rsidR="001407D9" w:rsidRPr="00C8701B" w:rsidTr="001407D9">
        <w:trPr>
          <w:trHeight w:val="197"/>
        </w:trPr>
        <w:tc>
          <w:tcPr>
            <w:tcW w:w="0" w:type="auto"/>
            <w:tcBorders>
              <w:top w:val="nil"/>
              <w:left w:val="nil"/>
              <w:bottom w:val="nil"/>
              <w:right w:val="nil"/>
            </w:tcBorders>
            <w:shd w:val="clear" w:color="auto" w:fill="FFFFFF"/>
          </w:tcPr>
          <w:p w:rsidR="001407D9" w:rsidRDefault="001407D9" w:rsidP="001407D9">
            <w:pPr>
              <w:pStyle w:val="nsr"/>
              <w:rPr>
                <w:lang w:bidi="he-IL"/>
              </w:rPr>
            </w:pP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XVIII, </w:t>
            </w:r>
            <w:r w:rsidRPr="00C8701B">
              <w:rPr>
                <w:lang w:bidi="he-IL"/>
              </w:rPr>
              <w:t>11.</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 — </w:t>
            </w:r>
          </w:p>
        </w:tc>
        <w:tc>
          <w:tcPr>
            <w:tcW w:w="0" w:type="auto"/>
            <w:tcBorders>
              <w:top w:val="nil"/>
              <w:left w:val="nil"/>
              <w:bottom w:val="nil"/>
              <w:right w:val="nil"/>
            </w:tcBorders>
            <w:shd w:val="clear" w:color="auto" w:fill="FFFFFF"/>
          </w:tcPr>
          <w:p w:rsidR="001407D9" w:rsidRPr="00C8701B" w:rsidRDefault="001407D9" w:rsidP="001407D9">
            <w:pPr>
              <w:pStyle w:val="nsr"/>
              <w:rPr>
                <w:lang w:bidi="he-IL"/>
              </w:rPr>
            </w:pPr>
            <w:r>
              <w:rPr>
                <w:lang w:bidi="he-IL"/>
              </w:rPr>
              <w:t xml:space="preserve">XXVI, </w:t>
            </w:r>
            <w:r w:rsidRPr="00C8701B">
              <w:rPr>
                <w:lang w:bidi="he-IL"/>
              </w:rPr>
              <w:t>42</w:t>
            </w:r>
            <w:r>
              <w:rPr>
                <w:lang w:bidi="he-IL"/>
              </w:rPr>
              <w:t xml:space="preserve">, </w:t>
            </w:r>
            <w:r w:rsidRPr="00C8701B">
              <w:rPr>
                <w:lang w:bidi="he-IL"/>
              </w:rPr>
              <w:t>52.</w:t>
            </w:r>
          </w:p>
        </w:tc>
      </w:tr>
      <w:tr w:rsidR="001407D9" w:rsidRPr="00C8701B" w:rsidTr="001407D9">
        <w:trPr>
          <w:trHeight w:val="197"/>
        </w:trPr>
        <w:tc>
          <w:tcPr>
            <w:tcW w:w="0" w:type="auto"/>
            <w:tcBorders>
              <w:top w:val="nil"/>
              <w:left w:val="nil"/>
              <w:bottom w:val="nil"/>
              <w:right w:val="nil"/>
            </w:tcBorders>
            <w:shd w:val="clear" w:color="auto" w:fill="FFFFFF"/>
          </w:tcPr>
          <w:p w:rsidR="001407D9" w:rsidRDefault="001407D9" w:rsidP="001407D9">
            <w:pPr>
              <w:pStyle w:val="nsr"/>
              <w:rPr>
                <w:lang w:bidi="he-IL"/>
              </w:rPr>
            </w:pPr>
          </w:p>
        </w:tc>
        <w:tc>
          <w:tcPr>
            <w:tcW w:w="0" w:type="auto"/>
            <w:tcBorders>
              <w:top w:val="nil"/>
              <w:left w:val="nil"/>
              <w:bottom w:val="nil"/>
              <w:right w:val="nil"/>
            </w:tcBorders>
            <w:shd w:val="clear" w:color="auto" w:fill="FFFFFF"/>
          </w:tcPr>
          <w:p w:rsidR="001407D9" w:rsidRPr="001407D9" w:rsidRDefault="001407D9" w:rsidP="001407D9">
            <w:pPr>
              <w:ind w:firstLine="0"/>
              <w:rPr>
                <w:rFonts w:eastAsia="Arial Unicode MS"/>
                <w:bCs/>
                <w:lang w:val="en-GB" w:eastAsia="fr-FR" w:bidi="he-IL"/>
              </w:rPr>
            </w:pPr>
            <w:r w:rsidRPr="001407D9">
              <w:rPr>
                <w:rFonts w:eastAsia="Arial Unicode MS"/>
                <w:lang w:val="en-GB" w:eastAsia="fr-FR" w:bidi="he-IL"/>
              </w:rPr>
              <w:t xml:space="preserve"> — </w:t>
            </w:r>
            <w:r w:rsidRPr="001407D9">
              <w:rPr>
                <w:rFonts w:eastAsia="Arial Unicode MS"/>
                <w:bCs/>
                <w:lang w:val="en-GB" w:eastAsia="fr-FR" w:bidi="he-IL"/>
              </w:rPr>
              <w:t>18, 22.</w:t>
            </w:r>
          </w:p>
        </w:tc>
        <w:tc>
          <w:tcPr>
            <w:tcW w:w="0" w:type="auto"/>
            <w:tcBorders>
              <w:top w:val="nil"/>
              <w:left w:val="nil"/>
              <w:bottom w:val="nil"/>
              <w:right w:val="nil"/>
            </w:tcBorders>
            <w:shd w:val="clear" w:color="auto" w:fill="FFFFFF"/>
          </w:tcPr>
          <w:p w:rsidR="001407D9" w:rsidRPr="001407D9" w:rsidRDefault="001407D9" w:rsidP="001407D9">
            <w:pPr>
              <w:ind w:firstLine="0"/>
              <w:rPr>
                <w:rFonts w:eastAsia="Arial Unicode MS"/>
                <w:bCs/>
                <w:lang w:val="en-GB" w:eastAsia="fr-FR" w:bidi="he-IL"/>
              </w:rPr>
            </w:pPr>
            <w:r w:rsidRPr="001407D9">
              <w:rPr>
                <w:rFonts w:eastAsia="Arial Unicode MS"/>
                <w:bCs/>
                <w:lang w:val="en-GB" w:eastAsia="fr-FR" w:bidi="he-IL"/>
              </w:rPr>
              <w:t xml:space="preserve">Marc. </w:t>
            </w:r>
          </w:p>
        </w:tc>
        <w:tc>
          <w:tcPr>
            <w:tcW w:w="0" w:type="auto"/>
            <w:tcBorders>
              <w:top w:val="nil"/>
              <w:left w:val="nil"/>
              <w:bottom w:val="nil"/>
              <w:right w:val="nil"/>
            </w:tcBorders>
            <w:shd w:val="clear" w:color="auto" w:fill="FFFFFF"/>
          </w:tcPr>
          <w:p w:rsidR="001407D9" w:rsidRPr="001407D9" w:rsidRDefault="001407D9" w:rsidP="001407D9">
            <w:pPr>
              <w:ind w:firstLine="0"/>
              <w:rPr>
                <w:rFonts w:eastAsia="Arial Unicode MS"/>
                <w:bCs/>
                <w:lang w:val="en-GB" w:eastAsia="fr-FR" w:bidi="he-IL"/>
              </w:rPr>
            </w:pPr>
            <w:r w:rsidRPr="001407D9">
              <w:rPr>
                <w:rFonts w:eastAsia="Arial Unicode MS"/>
                <w:bCs/>
                <w:lang w:val="en-GB" w:eastAsia="fr-FR" w:bidi="he-IL"/>
              </w:rPr>
              <w:t xml:space="preserve">XIV, 64-65. </w:t>
            </w:r>
          </w:p>
        </w:tc>
      </w:tr>
      <w:tr w:rsidR="001407D9" w:rsidRPr="00C8701B" w:rsidTr="001407D9">
        <w:trPr>
          <w:trHeight w:val="197"/>
        </w:trPr>
        <w:tc>
          <w:tcPr>
            <w:tcW w:w="0" w:type="auto"/>
            <w:tcBorders>
              <w:top w:val="nil"/>
              <w:left w:val="nil"/>
              <w:bottom w:val="nil"/>
              <w:right w:val="nil"/>
            </w:tcBorders>
            <w:shd w:val="clear" w:color="auto" w:fill="FFFFFF"/>
          </w:tcPr>
          <w:p w:rsidR="001407D9" w:rsidRDefault="001407D9" w:rsidP="001407D9">
            <w:pPr>
              <w:pStyle w:val="nsr"/>
              <w:rPr>
                <w:lang w:bidi="he-IL"/>
              </w:rPr>
            </w:pPr>
          </w:p>
        </w:tc>
        <w:tc>
          <w:tcPr>
            <w:tcW w:w="0" w:type="auto"/>
            <w:tcBorders>
              <w:top w:val="nil"/>
              <w:left w:val="nil"/>
              <w:bottom w:val="nil"/>
              <w:right w:val="nil"/>
            </w:tcBorders>
            <w:shd w:val="clear" w:color="auto" w:fill="FFFFFF"/>
          </w:tcPr>
          <w:p w:rsidR="001407D9" w:rsidRPr="001407D9" w:rsidRDefault="001407D9" w:rsidP="001407D9">
            <w:pPr>
              <w:ind w:firstLine="0"/>
              <w:rPr>
                <w:rFonts w:eastAsia="Arial Unicode MS"/>
                <w:bCs/>
                <w:lang w:val="en-GB" w:eastAsia="fr-FR" w:bidi="he-IL"/>
              </w:rPr>
            </w:pPr>
            <w:r w:rsidRPr="001407D9">
              <w:rPr>
                <w:rFonts w:eastAsia="Arial Unicode MS"/>
                <w:lang w:val="en-GB" w:eastAsia="fr-FR" w:bidi="he-IL"/>
              </w:rPr>
              <w:t xml:space="preserve"> — </w:t>
            </w:r>
            <w:r w:rsidRPr="001407D9">
              <w:rPr>
                <w:rFonts w:eastAsia="Arial Unicode MS"/>
                <w:bCs/>
                <w:lang w:val="en-GB" w:eastAsia="fr-FR" w:bidi="he-IL"/>
              </w:rPr>
              <w:t>20.</w:t>
            </w:r>
          </w:p>
        </w:tc>
        <w:tc>
          <w:tcPr>
            <w:tcW w:w="0" w:type="auto"/>
            <w:tcBorders>
              <w:top w:val="nil"/>
              <w:left w:val="nil"/>
              <w:bottom w:val="nil"/>
              <w:right w:val="nil"/>
            </w:tcBorders>
            <w:shd w:val="clear" w:color="auto" w:fill="FFFFFF"/>
          </w:tcPr>
          <w:p w:rsidR="001407D9" w:rsidRPr="001407D9" w:rsidRDefault="001407D9" w:rsidP="001407D9">
            <w:pPr>
              <w:ind w:firstLine="0"/>
              <w:rPr>
                <w:rFonts w:eastAsia="Arial Unicode MS"/>
                <w:bCs/>
                <w:lang w:val="en-GB" w:eastAsia="fr-FR" w:bidi="he-IL"/>
              </w:rPr>
            </w:pPr>
            <w:r w:rsidRPr="001407D9">
              <w:rPr>
                <w:rFonts w:eastAsia="Arial Unicode MS"/>
                <w:bCs/>
                <w:lang w:val="en-GB" w:eastAsia="fr-FR" w:bidi="he-IL"/>
              </w:rPr>
              <w:t xml:space="preserve">Matth. </w:t>
            </w:r>
          </w:p>
        </w:tc>
        <w:tc>
          <w:tcPr>
            <w:tcW w:w="0" w:type="auto"/>
            <w:tcBorders>
              <w:top w:val="nil"/>
              <w:left w:val="nil"/>
              <w:bottom w:val="nil"/>
              <w:right w:val="nil"/>
            </w:tcBorders>
            <w:shd w:val="clear" w:color="auto" w:fill="FFFFFF"/>
          </w:tcPr>
          <w:p w:rsidR="001407D9" w:rsidRPr="001407D9" w:rsidRDefault="001407D9" w:rsidP="001407D9">
            <w:pPr>
              <w:ind w:firstLine="0"/>
              <w:rPr>
                <w:rFonts w:eastAsia="Arial Unicode MS"/>
                <w:bCs/>
                <w:lang w:eastAsia="fr-FR" w:bidi="he-IL"/>
              </w:rPr>
            </w:pPr>
            <w:r w:rsidRPr="001407D9">
              <w:rPr>
                <w:rFonts w:eastAsia="Arial Unicode MS"/>
                <w:bCs/>
                <w:lang w:eastAsia="fr-FR" w:bidi="he-IL"/>
              </w:rPr>
              <w:t xml:space="preserve">XXVI, 55. </w:t>
            </w:r>
          </w:p>
        </w:tc>
      </w:tr>
      <w:tr w:rsidR="001407D9" w:rsidRPr="00C8701B" w:rsidTr="001407D9">
        <w:trPr>
          <w:trHeight w:val="197"/>
        </w:trPr>
        <w:tc>
          <w:tcPr>
            <w:tcW w:w="0" w:type="auto"/>
            <w:tcBorders>
              <w:top w:val="nil"/>
              <w:left w:val="nil"/>
              <w:bottom w:val="nil"/>
              <w:right w:val="nil"/>
            </w:tcBorders>
            <w:shd w:val="clear" w:color="auto" w:fill="FFFFFF"/>
          </w:tcPr>
          <w:p w:rsidR="001407D9" w:rsidRDefault="001407D9" w:rsidP="001407D9">
            <w:pPr>
              <w:pStyle w:val="nsr"/>
              <w:rPr>
                <w:lang w:bidi="he-IL"/>
              </w:rPr>
            </w:pPr>
          </w:p>
        </w:tc>
        <w:tc>
          <w:tcPr>
            <w:tcW w:w="0" w:type="auto"/>
            <w:tcBorders>
              <w:top w:val="nil"/>
              <w:left w:val="nil"/>
              <w:bottom w:val="nil"/>
              <w:right w:val="nil"/>
            </w:tcBorders>
            <w:shd w:val="clear" w:color="auto" w:fill="FFFFFF"/>
          </w:tcPr>
          <w:p w:rsidR="001407D9" w:rsidRPr="001407D9" w:rsidRDefault="001407D9" w:rsidP="001407D9">
            <w:pPr>
              <w:ind w:firstLine="0"/>
              <w:rPr>
                <w:rFonts w:eastAsia="Arial Unicode MS"/>
                <w:bCs/>
                <w:lang w:eastAsia="fr-FR" w:bidi="he-IL"/>
              </w:rPr>
            </w:pPr>
            <w:r w:rsidRPr="001407D9">
              <w:rPr>
                <w:rFonts w:eastAsia="Arial Unicode MS"/>
                <w:lang w:eastAsia="fr-FR" w:bidi="he-IL"/>
              </w:rPr>
              <w:t xml:space="preserve"> — </w:t>
            </w:r>
            <w:r w:rsidRPr="001407D9">
              <w:rPr>
                <w:rFonts w:eastAsia="Arial Unicode MS"/>
                <w:bCs/>
                <w:lang w:eastAsia="fr-FR" w:bidi="he-IL"/>
              </w:rPr>
              <w:t>39.</w:t>
            </w:r>
          </w:p>
        </w:tc>
        <w:tc>
          <w:tcPr>
            <w:tcW w:w="0" w:type="auto"/>
            <w:tcBorders>
              <w:top w:val="nil"/>
              <w:left w:val="nil"/>
              <w:bottom w:val="nil"/>
              <w:right w:val="nil"/>
            </w:tcBorders>
            <w:shd w:val="clear" w:color="auto" w:fill="FFFFFF"/>
          </w:tcPr>
          <w:p w:rsidR="001407D9" w:rsidRPr="001407D9" w:rsidRDefault="001407D9" w:rsidP="001407D9">
            <w:pPr>
              <w:ind w:firstLine="0"/>
              <w:rPr>
                <w:rFonts w:eastAsia="Arial Unicode MS"/>
                <w:bCs/>
                <w:lang w:eastAsia="fr-FR" w:bidi="he-IL"/>
              </w:rPr>
            </w:pPr>
            <w:r w:rsidRPr="001407D9">
              <w:rPr>
                <w:rFonts w:eastAsia="Arial Unicode MS"/>
                <w:bCs/>
                <w:lang w:eastAsia="fr-FR" w:bidi="he-IL"/>
              </w:rPr>
              <w:t xml:space="preserve">Marc, </w:t>
            </w:r>
          </w:p>
        </w:tc>
        <w:tc>
          <w:tcPr>
            <w:tcW w:w="0" w:type="auto"/>
            <w:tcBorders>
              <w:top w:val="nil"/>
              <w:left w:val="nil"/>
              <w:bottom w:val="nil"/>
              <w:right w:val="nil"/>
            </w:tcBorders>
            <w:shd w:val="clear" w:color="auto" w:fill="FFFFFF"/>
          </w:tcPr>
          <w:p w:rsidR="001407D9" w:rsidRPr="001407D9" w:rsidRDefault="001407D9" w:rsidP="001407D9">
            <w:pPr>
              <w:ind w:firstLine="0"/>
              <w:rPr>
                <w:rFonts w:eastAsia="Arial Unicode MS"/>
                <w:bCs/>
                <w:lang w:eastAsia="fr-FR" w:bidi="he-IL"/>
              </w:rPr>
            </w:pPr>
            <w:r w:rsidRPr="001407D9">
              <w:rPr>
                <w:rFonts w:eastAsia="Arial Unicode MS"/>
                <w:bCs/>
                <w:lang w:eastAsia="fr-FR" w:bidi="he-IL"/>
              </w:rPr>
              <w:t xml:space="preserve">XV, 6. </w:t>
            </w:r>
          </w:p>
        </w:tc>
      </w:tr>
      <w:tr w:rsidR="001407D9" w:rsidRPr="00C8701B" w:rsidTr="001407D9">
        <w:trPr>
          <w:trHeight w:val="197"/>
        </w:trPr>
        <w:tc>
          <w:tcPr>
            <w:tcW w:w="0" w:type="auto"/>
            <w:tcBorders>
              <w:top w:val="nil"/>
              <w:left w:val="nil"/>
              <w:bottom w:val="nil"/>
              <w:right w:val="nil"/>
            </w:tcBorders>
            <w:shd w:val="clear" w:color="auto" w:fill="FFFFFF"/>
          </w:tcPr>
          <w:p w:rsidR="001407D9" w:rsidRDefault="001407D9" w:rsidP="001407D9">
            <w:pPr>
              <w:pStyle w:val="nsr"/>
              <w:rPr>
                <w:lang w:bidi="he-IL"/>
              </w:rPr>
            </w:pPr>
          </w:p>
        </w:tc>
        <w:tc>
          <w:tcPr>
            <w:tcW w:w="0" w:type="auto"/>
            <w:tcBorders>
              <w:top w:val="nil"/>
              <w:left w:val="nil"/>
              <w:bottom w:val="nil"/>
              <w:right w:val="nil"/>
            </w:tcBorders>
            <w:shd w:val="clear" w:color="auto" w:fill="FFFFFF"/>
          </w:tcPr>
          <w:p w:rsidR="001407D9" w:rsidRPr="001407D9" w:rsidRDefault="001407D9" w:rsidP="001407D9">
            <w:pPr>
              <w:ind w:firstLine="0"/>
              <w:rPr>
                <w:rFonts w:eastAsia="Arial Unicode MS"/>
                <w:bCs/>
                <w:lang w:eastAsia="fr-FR" w:bidi="he-IL"/>
              </w:rPr>
            </w:pPr>
            <w:r w:rsidRPr="001407D9">
              <w:rPr>
                <w:rFonts w:eastAsia="Arial Unicode MS"/>
                <w:lang w:eastAsia="fr-FR" w:bidi="he-IL"/>
              </w:rPr>
              <w:t xml:space="preserve">XIX, </w:t>
            </w:r>
            <w:r w:rsidRPr="001407D9">
              <w:rPr>
                <w:rFonts w:eastAsia="Arial Unicode MS"/>
                <w:bCs/>
                <w:lang w:eastAsia="fr-FR" w:bidi="he-IL"/>
              </w:rPr>
              <w:t xml:space="preserve">1-3, 17. </w:t>
            </w:r>
          </w:p>
        </w:tc>
        <w:tc>
          <w:tcPr>
            <w:tcW w:w="0" w:type="auto"/>
            <w:tcBorders>
              <w:top w:val="nil"/>
              <w:left w:val="nil"/>
              <w:bottom w:val="nil"/>
              <w:right w:val="nil"/>
            </w:tcBorders>
            <w:shd w:val="clear" w:color="auto" w:fill="FFFFFF"/>
          </w:tcPr>
          <w:p w:rsidR="001407D9" w:rsidRPr="001407D9" w:rsidRDefault="001407D9" w:rsidP="001407D9">
            <w:pPr>
              <w:ind w:firstLine="0"/>
              <w:rPr>
                <w:rFonts w:eastAsia="Arial Unicode MS"/>
                <w:bCs/>
                <w:lang w:eastAsia="fr-FR" w:bidi="he-IL"/>
              </w:rPr>
            </w:pPr>
            <w:r w:rsidRPr="001407D9">
              <w:rPr>
                <w:rFonts w:eastAsia="Arial Unicode MS"/>
                <w:bCs/>
                <w:lang w:eastAsia="fr-FR" w:bidi="he-IL"/>
              </w:rPr>
              <w:t xml:space="preserve">— </w:t>
            </w:r>
          </w:p>
        </w:tc>
        <w:tc>
          <w:tcPr>
            <w:tcW w:w="0" w:type="auto"/>
            <w:tcBorders>
              <w:top w:val="nil"/>
              <w:left w:val="nil"/>
              <w:bottom w:val="nil"/>
              <w:right w:val="nil"/>
            </w:tcBorders>
            <w:shd w:val="clear" w:color="auto" w:fill="FFFFFF"/>
          </w:tcPr>
          <w:p w:rsidR="001407D9" w:rsidRPr="001407D9" w:rsidRDefault="001407D9" w:rsidP="001407D9">
            <w:pPr>
              <w:ind w:firstLine="0"/>
              <w:rPr>
                <w:rFonts w:eastAsia="Arial Unicode MS"/>
                <w:bCs/>
                <w:lang w:eastAsia="fr-FR" w:bidi="he-IL"/>
              </w:rPr>
            </w:pPr>
            <w:r w:rsidRPr="001407D9">
              <w:rPr>
                <w:rFonts w:eastAsia="Arial Unicode MS"/>
                <w:bCs/>
                <w:lang w:eastAsia="fr-FR" w:bidi="he-IL"/>
              </w:rPr>
              <w:t xml:space="preserve">XV, 16, 19, 22. </w:t>
            </w:r>
          </w:p>
        </w:tc>
      </w:tr>
      <w:tr w:rsidR="001407D9" w:rsidRPr="00C8701B" w:rsidTr="001407D9">
        <w:trPr>
          <w:trHeight w:val="197"/>
        </w:trPr>
        <w:tc>
          <w:tcPr>
            <w:tcW w:w="0" w:type="auto"/>
            <w:tcBorders>
              <w:top w:val="nil"/>
              <w:left w:val="nil"/>
              <w:bottom w:val="nil"/>
              <w:right w:val="nil"/>
            </w:tcBorders>
            <w:shd w:val="clear" w:color="auto" w:fill="FFFFFF"/>
          </w:tcPr>
          <w:p w:rsidR="001407D9" w:rsidRDefault="001407D9" w:rsidP="001407D9">
            <w:pPr>
              <w:pStyle w:val="nsr"/>
              <w:rPr>
                <w:lang w:bidi="he-IL"/>
              </w:rPr>
            </w:pPr>
          </w:p>
        </w:tc>
        <w:tc>
          <w:tcPr>
            <w:tcW w:w="0" w:type="auto"/>
            <w:tcBorders>
              <w:top w:val="nil"/>
              <w:left w:val="nil"/>
              <w:bottom w:val="nil"/>
              <w:right w:val="nil"/>
            </w:tcBorders>
            <w:shd w:val="clear" w:color="auto" w:fill="FFFFFF"/>
          </w:tcPr>
          <w:p w:rsidR="001407D9" w:rsidRPr="001407D9" w:rsidRDefault="001407D9" w:rsidP="001407D9">
            <w:pPr>
              <w:ind w:firstLine="0"/>
              <w:rPr>
                <w:rFonts w:eastAsia="Arial Unicode MS"/>
                <w:bCs/>
                <w:lang w:eastAsia="fr-FR" w:bidi="he-IL"/>
              </w:rPr>
            </w:pPr>
            <w:r w:rsidRPr="001407D9">
              <w:rPr>
                <w:rFonts w:eastAsia="Arial Unicode MS"/>
                <w:lang w:eastAsia="fr-FR" w:bidi="he-IL"/>
              </w:rPr>
              <w:t xml:space="preserve"> — </w:t>
            </w:r>
            <w:r w:rsidRPr="001407D9">
              <w:rPr>
                <w:rFonts w:eastAsia="Arial Unicode MS"/>
                <w:bCs/>
                <w:lang w:eastAsia="fr-FR" w:bidi="he-IL"/>
              </w:rPr>
              <w:t>6.</w:t>
            </w:r>
          </w:p>
        </w:tc>
        <w:tc>
          <w:tcPr>
            <w:tcW w:w="0" w:type="auto"/>
            <w:tcBorders>
              <w:top w:val="nil"/>
              <w:left w:val="nil"/>
              <w:bottom w:val="nil"/>
              <w:right w:val="nil"/>
            </w:tcBorders>
            <w:shd w:val="clear" w:color="auto" w:fill="FFFFFF"/>
          </w:tcPr>
          <w:p w:rsidR="001407D9" w:rsidRPr="001407D9" w:rsidRDefault="001407D9" w:rsidP="001407D9">
            <w:pPr>
              <w:ind w:firstLine="0"/>
              <w:rPr>
                <w:rFonts w:eastAsia="Arial Unicode MS"/>
                <w:bCs/>
                <w:lang w:eastAsia="fr-FR" w:bidi="he-IL"/>
              </w:rPr>
            </w:pPr>
            <w:r w:rsidRPr="001407D9">
              <w:rPr>
                <w:rFonts w:eastAsia="Arial Unicode MS"/>
                <w:bCs/>
                <w:lang w:eastAsia="fr-FR" w:bidi="he-IL"/>
              </w:rPr>
              <w:t xml:space="preserve">Luc. </w:t>
            </w:r>
          </w:p>
        </w:tc>
        <w:tc>
          <w:tcPr>
            <w:tcW w:w="0" w:type="auto"/>
            <w:tcBorders>
              <w:top w:val="nil"/>
              <w:left w:val="nil"/>
              <w:bottom w:val="nil"/>
              <w:right w:val="nil"/>
            </w:tcBorders>
            <w:shd w:val="clear" w:color="auto" w:fill="FFFFFF"/>
          </w:tcPr>
          <w:p w:rsidR="001407D9" w:rsidRPr="001407D9" w:rsidRDefault="001407D9" w:rsidP="001407D9">
            <w:pPr>
              <w:ind w:firstLine="0"/>
              <w:rPr>
                <w:rFonts w:eastAsia="Arial Unicode MS"/>
                <w:bCs/>
                <w:lang w:eastAsia="fr-FR" w:bidi="he-IL"/>
              </w:rPr>
            </w:pPr>
            <w:r w:rsidRPr="001407D9">
              <w:rPr>
                <w:rFonts w:eastAsia="Arial Unicode MS"/>
                <w:bCs/>
                <w:lang w:eastAsia="fr-FR" w:bidi="he-IL"/>
              </w:rPr>
              <w:t xml:space="preserve">XXIII, 21. </w:t>
            </w:r>
          </w:p>
        </w:tc>
      </w:tr>
      <w:tr w:rsidR="001407D9" w:rsidRPr="00C8701B" w:rsidTr="001407D9">
        <w:trPr>
          <w:trHeight w:val="197"/>
        </w:trPr>
        <w:tc>
          <w:tcPr>
            <w:tcW w:w="0" w:type="auto"/>
            <w:tcBorders>
              <w:top w:val="nil"/>
              <w:left w:val="nil"/>
              <w:bottom w:val="nil"/>
              <w:right w:val="nil"/>
            </w:tcBorders>
            <w:shd w:val="clear" w:color="auto" w:fill="FFFFFF"/>
          </w:tcPr>
          <w:p w:rsidR="001407D9" w:rsidRDefault="001407D9" w:rsidP="001407D9">
            <w:pPr>
              <w:pStyle w:val="nsr"/>
              <w:rPr>
                <w:lang w:bidi="he-IL"/>
              </w:rPr>
            </w:pPr>
          </w:p>
        </w:tc>
        <w:tc>
          <w:tcPr>
            <w:tcW w:w="0" w:type="auto"/>
            <w:tcBorders>
              <w:top w:val="nil"/>
              <w:left w:val="nil"/>
              <w:bottom w:val="nil"/>
              <w:right w:val="nil"/>
            </w:tcBorders>
            <w:shd w:val="clear" w:color="auto" w:fill="FFFFFF"/>
          </w:tcPr>
          <w:p w:rsidR="001407D9" w:rsidRPr="001407D9" w:rsidRDefault="001407D9" w:rsidP="001407D9">
            <w:pPr>
              <w:ind w:firstLine="0"/>
              <w:rPr>
                <w:rFonts w:eastAsia="Arial Unicode MS"/>
                <w:bCs/>
                <w:lang w:eastAsia="fr-FR" w:bidi="he-IL"/>
              </w:rPr>
            </w:pPr>
            <w:r w:rsidRPr="001407D9">
              <w:rPr>
                <w:rFonts w:eastAsia="Arial Unicode MS"/>
                <w:lang w:eastAsia="fr-FR" w:bidi="he-IL"/>
              </w:rPr>
              <w:t xml:space="preserve"> — </w:t>
            </w:r>
            <w:r w:rsidRPr="001407D9">
              <w:rPr>
                <w:rFonts w:eastAsia="Arial Unicode MS"/>
                <w:bCs/>
                <w:lang w:eastAsia="fr-FR" w:bidi="he-IL"/>
              </w:rPr>
              <w:t>19.</w:t>
            </w:r>
          </w:p>
        </w:tc>
        <w:tc>
          <w:tcPr>
            <w:tcW w:w="0" w:type="auto"/>
            <w:tcBorders>
              <w:top w:val="nil"/>
              <w:left w:val="nil"/>
              <w:bottom w:val="nil"/>
              <w:right w:val="nil"/>
            </w:tcBorders>
            <w:shd w:val="clear" w:color="auto" w:fill="FFFFFF"/>
          </w:tcPr>
          <w:p w:rsidR="001407D9" w:rsidRPr="001407D9" w:rsidRDefault="001407D9" w:rsidP="001407D9">
            <w:pPr>
              <w:ind w:firstLine="0"/>
              <w:rPr>
                <w:rFonts w:eastAsia="Arial Unicode MS"/>
                <w:bCs/>
                <w:lang w:eastAsia="fr-FR" w:bidi="he-IL"/>
              </w:rPr>
            </w:pPr>
            <w:r w:rsidRPr="001407D9">
              <w:rPr>
                <w:rFonts w:eastAsia="Arial Unicode MS"/>
                <w:bCs/>
                <w:lang w:eastAsia="fr-FR" w:bidi="he-IL"/>
              </w:rPr>
              <w:t xml:space="preserve"> — </w:t>
            </w:r>
          </w:p>
        </w:tc>
        <w:tc>
          <w:tcPr>
            <w:tcW w:w="0" w:type="auto"/>
            <w:tcBorders>
              <w:top w:val="nil"/>
              <w:left w:val="nil"/>
              <w:bottom w:val="nil"/>
              <w:right w:val="nil"/>
            </w:tcBorders>
            <w:shd w:val="clear" w:color="auto" w:fill="FFFFFF"/>
          </w:tcPr>
          <w:p w:rsidR="001407D9" w:rsidRPr="001407D9" w:rsidRDefault="001407D9" w:rsidP="001407D9">
            <w:pPr>
              <w:ind w:firstLine="0"/>
              <w:rPr>
                <w:rFonts w:eastAsia="Arial Unicode MS"/>
                <w:bCs/>
                <w:lang w:eastAsia="fr-FR" w:bidi="he-IL"/>
              </w:rPr>
            </w:pPr>
            <w:r w:rsidRPr="001407D9">
              <w:rPr>
                <w:rFonts w:eastAsia="Arial Unicode MS"/>
                <w:bCs/>
                <w:lang w:eastAsia="fr-FR" w:bidi="he-IL"/>
              </w:rPr>
              <w:t>XX</w:t>
            </w:r>
            <w:r>
              <w:rPr>
                <w:rFonts w:eastAsia="Arial Unicode MS"/>
                <w:bCs/>
                <w:lang w:eastAsia="fr-FR" w:bidi="he-IL"/>
              </w:rPr>
              <w:t>III</w:t>
            </w:r>
            <w:r w:rsidRPr="001407D9">
              <w:rPr>
                <w:rFonts w:eastAsia="Arial Unicode MS"/>
                <w:bCs/>
                <w:lang w:eastAsia="fr-FR" w:bidi="he-IL"/>
              </w:rPr>
              <w:t xml:space="preserve">, 38. </w:t>
            </w:r>
          </w:p>
        </w:tc>
      </w:tr>
      <w:tr w:rsidR="001407D9" w:rsidRPr="00C8701B" w:rsidTr="001407D9">
        <w:trPr>
          <w:trHeight w:val="197"/>
        </w:trPr>
        <w:tc>
          <w:tcPr>
            <w:tcW w:w="0" w:type="auto"/>
            <w:tcBorders>
              <w:top w:val="nil"/>
              <w:left w:val="nil"/>
              <w:bottom w:val="nil"/>
              <w:right w:val="nil"/>
            </w:tcBorders>
            <w:shd w:val="clear" w:color="auto" w:fill="FFFFFF"/>
          </w:tcPr>
          <w:p w:rsidR="001407D9" w:rsidRDefault="001407D9" w:rsidP="001407D9">
            <w:pPr>
              <w:pStyle w:val="nsr"/>
              <w:rPr>
                <w:lang w:bidi="he-IL"/>
              </w:rPr>
            </w:pPr>
          </w:p>
        </w:tc>
        <w:tc>
          <w:tcPr>
            <w:tcW w:w="0" w:type="auto"/>
            <w:tcBorders>
              <w:top w:val="nil"/>
              <w:left w:val="nil"/>
              <w:bottom w:val="nil"/>
              <w:right w:val="nil"/>
            </w:tcBorders>
            <w:shd w:val="clear" w:color="auto" w:fill="FFFFFF"/>
          </w:tcPr>
          <w:p w:rsidR="001407D9" w:rsidRPr="001407D9" w:rsidRDefault="001407D9" w:rsidP="001407D9">
            <w:pPr>
              <w:ind w:firstLine="0"/>
              <w:rPr>
                <w:rFonts w:eastAsia="Arial Unicode MS"/>
                <w:bCs/>
                <w:lang w:eastAsia="fr-FR" w:bidi="he-IL"/>
              </w:rPr>
            </w:pPr>
            <w:r w:rsidRPr="001407D9">
              <w:rPr>
                <w:rFonts w:eastAsia="Arial Unicode MS"/>
                <w:lang w:eastAsia="fr-FR" w:bidi="he-IL"/>
              </w:rPr>
              <w:t xml:space="preserve">XX, </w:t>
            </w:r>
            <w:r w:rsidRPr="001407D9">
              <w:rPr>
                <w:rFonts w:eastAsia="Arial Unicode MS"/>
                <w:bCs/>
                <w:lang w:eastAsia="fr-FR" w:bidi="he-IL"/>
              </w:rPr>
              <w:t>14.</w:t>
            </w:r>
          </w:p>
        </w:tc>
        <w:tc>
          <w:tcPr>
            <w:tcW w:w="0" w:type="auto"/>
            <w:tcBorders>
              <w:top w:val="nil"/>
              <w:left w:val="nil"/>
              <w:bottom w:val="nil"/>
              <w:right w:val="nil"/>
            </w:tcBorders>
            <w:shd w:val="clear" w:color="auto" w:fill="FFFFFF"/>
          </w:tcPr>
          <w:p w:rsidR="001407D9" w:rsidRPr="001407D9" w:rsidRDefault="001407D9" w:rsidP="001407D9">
            <w:pPr>
              <w:ind w:firstLine="0"/>
              <w:rPr>
                <w:rFonts w:eastAsia="Arial Unicode MS"/>
                <w:bCs/>
                <w:lang w:eastAsia="fr-FR" w:bidi="he-IL"/>
              </w:rPr>
            </w:pPr>
            <w:r w:rsidRPr="001407D9">
              <w:rPr>
                <w:rFonts w:eastAsia="Arial Unicode MS"/>
                <w:bCs/>
                <w:lang w:eastAsia="fr-FR" w:bidi="he-IL"/>
              </w:rPr>
              <w:t xml:space="preserve">Marc, </w:t>
            </w:r>
          </w:p>
        </w:tc>
        <w:tc>
          <w:tcPr>
            <w:tcW w:w="0" w:type="auto"/>
            <w:tcBorders>
              <w:top w:val="nil"/>
              <w:left w:val="nil"/>
              <w:bottom w:val="nil"/>
              <w:right w:val="nil"/>
            </w:tcBorders>
            <w:shd w:val="clear" w:color="auto" w:fill="FFFFFF"/>
          </w:tcPr>
          <w:p w:rsidR="001407D9" w:rsidRPr="001407D9" w:rsidRDefault="001407D9" w:rsidP="001407D9">
            <w:pPr>
              <w:ind w:firstLine="0"/>
              <w:rPr>
                <w:rFonts w:eastAsia="Arial Unicode MS"/>
                <w:bCs/>
                <w:lang w:eastAsia="fr-FR" w:bidi="he-IL"/>
              </w:rPr>
            </w:pPr>
            <w:r w:rsidRPr="001407D9">
              <w:rPr>
                <w:rFonts w:eastAsia="Arial Unicode MS"/>
                <w:bCs/>
                <w:lang w:eastAsia="fr-FR" w:bidi="he-IL"/>
              </w:rPr>
              <w:t xml:space="preserve">XVI, 9. </w:t>
            </w:r>
          </w:p>
        </w:tc>
      </w:tr>
      <w:tr w:rsidR="001407D9" w:rsidRPr="00C8701B" w:rsidTr="001407D9">
        <w:trPr>
          <w:trHeight w:val="197"/>
        </w:trPr>
        <w:tc>
          <w:tcPr>
            <w:tcW w:w="0" w:type="auto"/>
            <w:tcBorders>
              <w:top w:val="nil"/>
              <w:left w:val="nil"/>
              <w:bottom w:val="nil"/>
              <w:right w:val="nil"/>
            </w:tcBorders>
            <w:shd w:val="clear" w:color="auto" w:fill="FFFFFF"/>
          </w:tcPr>
          <w:p w:rsidR="001407D9" w:rsidRDefault="001407D9" w:rsidP="001407D9">
            <w:pPr>
              <w:pStyle w:val="nsr"/>
              <w:rPr>
                <w:lang w:bidi="he-IL"/>
              </w:rPr>
            </w:pPr>
          </w:p>
        </w:tc>
        <w:tc>
          <w:tcPr>
            <w:tcW w:w="0" w:type="auto"/>
            <w:tcBorders>
              <w:top w:val="nil"/>
              <w:left w:val="nil"/>
              <w:bottom w:val="nil"/>
              <w:right w:val="nil"/>
            </w:tcBorders>
            <w:shd w:val="clear" w:color="auto" w:fill="FFFFFF"/>
          </w:tcPr>
          <w:p w:rsidR="001407D9" w:rsidRPr="001407D9" w:rsidRDefault="001407D9" w:rsidP="001407D9">
            <w:pPr>
              <w:ind w:firstLine="0"/>
              <w:rPr>
                <w:rFonts w:eastAsia="Arial Unicode MS"/>
                <w:bCs/>
                <w:lang w:eastAsia="fr-FR" w:bidi="he-IL"/>
              </w:rPr>
            </w:pPr>
            <w:r w:rsidRPr="001407D9">
              <w:rPr>
                <w:rFonts w:eastAsia="Arial Unicode MS"/>
                <w:lang w:eastAsia="fr-FR" w:bidi="he-IL"/>
              </w:rPr>
              <w:t xml:space="preserve"> — </w:t>
            </w:r>
            <w:r w:rsidRPr="001407D9">
              <w:rPr>
                <w:rFonts w:eastAsia="Arial Unicode MS"/>
                <w:bCs/>
                <w:lang w:eastAsia="fr-FR" w:bidi="he-IL"/>
              </w:rPr>
              <w:t>23.</w:t>
            </w:r>
          </w:p>
        </w:tc>
        <w:tc>
          <w:tcPr>
            <w:tcW w:w="0" w:type="auto"/>
            <w:tcBorders>
              <w:top w:val="nil"/>
              <w:left w:val="nil"/>
              <w:bottom w:val="nil"/>
              <w:right w:val="nil"/>
            </w:tcBorders>
            <w:shd w:val="clear" w:color="auto" w:fill="FFFFFF"/>
          </w:tcPr>
          <w:p w:rsidR="001407D9" w:rsidRPr="001407D9" w:rsidRDefault="001407D9" w:rsidP="001407D9">
            <w:pPr>
              <w:ind w:firstLine="0"/>
              <w:rPr>
                <w:rFonts w:eastAsia="Arial Unicode MS"/>
                <w:bCs/>
                <w:lang w:eastAsia="fr-FR" w:bidi="he-IL"/>
              </w:rPr>
            </w:pPr>
            <w:r w:rsidRPr="001407D9">
              <w:rPr>
                <w:rFonts w:eastAsia="Arial Unicode MS"/>
                <w:bCs/>
                <w:lang w:eastAsia="fr-FR" w:bidi="he-IL"/>
              </w:rPr>
              <w:t xml:space="preserve">Matth. </w:t>
            </w:r>
          </w:p>
        </w:tc>
        <w:tc>
          <w:tcPr>
            <w:tcW w:w="0" w:type="auto"/>
            <w:tcBorders>
              <w:top w:val="nil"/>
              <w:left w:val="nil"/>
              <w:bottom w:val="nil"/>
              <w:right w:val="nil"/>
            </w:tcBorders>
            <w:shd w:val="clear" w:color="auto" w:fill="FFFFFF"/>
          </w:tcPr>
          <w:p w:rsidR="001407D9" w:rsidRPr="001407D9" w:rsidRDefault="001407D9" w:rsidP="001407D9">
            <w:pPr>
              <w:ind w:firstLine="0"/>
              <w:rPr>
                <w:rFonts w:eastAsia="Arial Unicode MS"/>
                <w:bCs/>
                <w:lang w:eastAsia="fr-FR" w:bidi="he-IL"/>
              </w:rPr>
            </w:pPr>
            <w:r w:rsidRPr="001407D9">
              <w:rPr>
                <w:rFonts w:eastAsia="Arial Unicode MS"/>
                <w:bCs/>
                <w:lang w:eastAsia="fr-FR" w:bidi="he-IL"/>
              </w:rPr>
              <w:t xml:space="preserve">XVI, 19. </w:t>
            </w:r>
          </w:p>
        </w:tc>
      </w:tr>
    </w:tbl>
    <w:p w:rsidR="001407D9" w:rsidRDefault="001407D9" w:rsidP="001407D9">
      <w:pPr>
        <w:rPr>
          <w:rFonts w:eastAsia="Arial Unicode MS"/>
          <w:bCs/>
          <w:lang w:eastAsia="fr-FR" w:bidi="he-IL"/>
        </w:rPr>
      </w:pPr>
      <w:r>
        <w:rPr>
          <w:rFonts w:eastAsia="Arial Unicode MS"/>
          <w:bCs/>
          <w:lang w:eastAsia="fr-FR" w:bidi="he-IL"/>
        </w:rPr>
        <w:t>-.-</w:t>
      </w:r>
    </w:p>
    <w:p w:rsidR="001407D9" w:rsidRDefault="00A067B1" w:rsidP="00C2602D">
      <w:pPr>
        <w:rPr>
          <w:rFonts w:eastAsia="Arial Unicode MS"/>
          <w:bCs/>
          <w:lang w:eastAsia="fr-FR" w:bidi="he-IL"/>
        </w:rPr>
      </w:pPr>
      <w:r w:rsidRPr="000716BB">
        <w:rPr>
          <w:rFonts w:eastAsia="Arial Unicode MS"/>
          <w:bCs/>
          <w:lang w:eastAsia="fr-FR" w:bidi="he-IL"/>
        </w:rPr>
        <w:t>{</w:t>
      </w:r>
      <w:r>
        <w:rPr>
          <w:rFonts w:eastAsia="Arial Unicode MS"/>
          <w:bCs/>
          <w:lang w:eastAsia="fr-FR" w:bidi="he-IL"/>
        </w:rPr>
        <w:t>58</w:t>
      </w:r>
      <w:bookmarkStart w:id="94" w:name="pag058"/>
      <w:bookmarkEnd w:id="94"/>
      <w:r w:rsidRPr="000716BB">
        <w:rPr>
          <w:rFonts w:eastAsia="Arial Unicode MS"/>
          <w:bCs/>
          <w:lang w:eastAsia="fr-FR" w:bidi="he-IL"/>
        </w:rPr>
        <w:t>}</w:t>
      </w:r>
    </w:p>
    <w:p w:rsidR="00C2602D" w:rsidRPr="00C8701B" w:rsidRDefault="00B704AD" w:rsidP="00C2602D">
      <w:pPr>
        <w:rPr>
          <w:rFonts w:eastAsia="Arial Unicode MS"/>
          <w:bCs/>
          <w:lang w:eastAsia="fr-FR" w:bidi="he-IL"/>
        </w:rPr>
      </w:pPr>
      <w:r w:rsidRPr="00C8701B">
        <w:rPr>
          <w:rFonts w:eastAsia="Arial Unicode MS"/>
          <w:bCs/>
          <w:lang w:eastAsia="fr-FR" w:bidi="he-IL"/>
        </w:rPr>
        <w:t>Dans les passages qu</w:t>
      </w:r>
      <w:r w:rsidR="00557DE0">
        <w:rPr>
          <w:rFonts w:eastAsia="Arial Unicode MS"/>
          <w:bCs/>
          <w:lang w:eastAsia="fr-FR" w:bidi="he-IL"/>
        </w:rPr>
        <w:t>’</w:t>
      </w:r>
      <w:r w:rsidRPr="00C8701B">
        <w:rPr>
          <w:rFonts w:eastAsia="Arial Unicode MS"/>
          <w:bCs/>
          <w:lang w:eastAsia="fr-FR" w:bidi="he-IL"/>
        </w:rPr>
        <w:t>il possède de concert avec les synoptiques</w:t>
      </w:r>
      <w:r w:rsidR="00E65435">
        <w:rPr>
          <w:rFonts w:eastAsia="Arial Unicode MS"/>
          <w:bCs/>
          <w:lang w:eastAsia="fr-FR" w:bidi="he-IL"/>
        </w:rPr>
        <w:t xml:space="preserve">, </w:t>
      </w:r>
      <w:r w:rsidRPr="00C8701B">
        <w:rPr>
          <w:rFonts w:eastAsia="Arial Unicode MS"/>
          <w:bCs/>
          <w:lang w:eastAsia="fr-FR" w:bidi="he-IL"/>
        </w:rPr>
        <w:t>S. Jean semble s</w:t>
      </w:r>
      <w:r w:rsidR="00557DE0">
        <w:rPr>
          <w:rFonts w:eastAsia="Arial Unicode MS"/>
          <w:bCs/>
          <w:lang w:eastAsia="fr-FR" w:bidi="he-IL"/>
        </w:rPr>
        <w:t>’</w:t>
      </w:r>
      <w:r w:rsidRPr="00C8701B">
        <w:rPr>
          <w:rFonts w:eastAsia="Arial Unicode MS"/>
          <w:bCs/>
          <w:lang w:eastAsia="fr-FR" w:bidi="he-IL"/>
        </w:rPr>
        <w:t>attacher généralement à S. Matthieu plutôt qu</w:t>
      </w:r>
      <w:r w:rsidR="00557DE0">
        <w:rPr>
          <w:rFonts w:eastAsia="Arial Unicode MS"/>
          <w:bCs/>
          <w:lang w:eastAsia="fr-FR" w:bidi="he-IL"/>
        </w:rPr>
        <w:t>’</w:t>
      </w:r>
      <w:r w:rsidRPr="00C8701B">
        <w:rPr>
          <w:rFonts w:eastAsia="Arial Unicode MS"/>
          <w:bCs/>
          <w:lang w:eastAsia="fr-FR" w:bidi="he-IL"/>
        </w:rPr>
        <w:t>aux deux autres évangélistes. Néanmoins</w:t>
      </w:r>
      <w:r w:rsidR="00E65435">
        <w:rPr>
          <w:rFonts w:eastAsia="Arial Unicode MS"/>
          <w:bCs/>
          <w:lang w:eastAsia="fr-FR" w:bidi="he-IL"/>
        </w:rPr>
        <w:t xml:space="preserve">, </w:t>
      </w:r>
      <w:r w:rsidRPr="00C8701B">
        <w:rPr>
          <w:rFonts w:eastAsia="Arial Unicode MS"/>
          <w:bCs/>
          <w:lang w:eastAsia="fr-FR" w:bidi="he-IL"/>
        </w:rPr>
        <w:t>on a remarqué qu</w:t>
      </w:r>
      <w:r w:rsidR="00557DE0">
        <w:rPr>
          <w:rFonts w:eastAsia="Arial Unicode MS"/>
          <w:bCs/>
          <w:lang w:eastAsia="fr-FR" w:bidi="he-IL"/>
        </w:rPr>
        <w:t>’</w:t>
      </w:r>
      <w:r w:rsidRPr="00C8701B">
        <w:rPr>
          <w:rFonts w:eastAsia="Arial Unicode MS"/>
          <w:bCs/>
          <w:lang w:eastAsia="fr-FR" w:bidi="he-IL"/>
        </w:rPr>
        <w:t>il emploie</w:t>
      </w:r>
      <w:r w:rsidR="001407D9">
        <w:rPr>
          <w:rFonts w:eastAsia="Arial Unicode MS"/>
          <w:bCs/>
          <w:lang w:eastAsia="fr-FR" w:bidi="he-IL"/>
        </w:rPr>
        <w:t>, ç</w:t>
      </w:r>
      <w:r w:rsidRPr="00C8701B">
        <w:rPr>
          <w:rFonts w:eastAsia="Arial Unicode MS"/>
          <w:bCs/>
          <w:lang w:eastAsia="fr-FR" w:bidi="he-IL"/>
        </w:rPr>
        <w:t>à et là</w:t>
      </w:r>
      <w:r w:rsidR="00E65435">
        <w:rPr>
          <w:rFonts w:eastAsia="Arial Unicode MS"/>
          <w:bCs/>
          <w:lang w:eastAsia="fr-FR" w:bidi="he-IL"/>
        </w:rPr>
        <w:t xml:space="preserve">, </w:t>
      </w:r>
      <w:r w:rsidRPr="00C8701B">
        <w:rPr>
          <w:rFonts w:eastAsia="Arial Unicode MS"/>
          <w:bCs/>
          <w:lang w:eastAsia="fr-FR" w:bidi="he-IL"/>
        </w:rPr>
        <w:t>des expressions propres tantôt à S. Marc</w:t>
      </w:r>
      <w:r w:rsidR="00E65435">
        <w:rPr>
          <w:rFonts w:eastAsia="Arial Unicode MS"/>
          <w:bCs/>
          <w:lang w:eastAsia="fr-FR" w:bidi="he-IL"/>
        </w:rPr>
        <w:t xml:space="preserve">, </w:t>
      </w:r>
      <w:r w:rsidRPr="00C8701B">
        <w:rPr>
          <w:rFonts w:eastAsia="Arial Unicode MS"/>
          <w:bCs/>
          <w:lang w:eastAsia="fr-FR" w:bidi="he-IL"/>
        </w:rPr>
        <w:t>tantôt à S. Luc.</w:t>
      </w:r>
      <w:r w:rsidR="00C2602D" w:rsidRPr="00C8701B">
        <w:rPr>
          <w:rFonts w:eastAsia="Arial Unicode MS"/>
          <w:bCs/>
          <w:lang w:eastAsia="fr-FR" w:bidi="he-IL"/>
        </w:rPr>
        <w:t xml:space="preserve"> </w:t>
      </w:r>
    </w:p>
    <w:p w:rsidR="00C2602D" w:rsidRPr="00432301" w:rsidRDefault="00B704AD" w:rsidP="00C2602D">
      <w:r w:rsidRPr="00C8701B">
        <w:rPr>
          <w:rFonts w:eastAsia="Arial Unicode MS"/>
          <w:bCs/>
          <w:lang w:eastAsia="fr-FR" w:bidi="he-IL"/>
        </w:rPr>
        <w:t>Par exemple</w:t>
      </w:r>
      <w:r w:rsidR="00C2602D" w:rsidRPr="00C8701B">
        <w:rPr>
          <w:rFonts w:eastAsia="Arial Unicode MS"/>
          <w:bCs/>
          <w:lang w:eastAsia="fr-FR" w:bidi="he-IL"/>
        </w:rPr>
        <w:t> :</w:t>
      </w:r>
      <w:r w:rsidRPr="00C8701B">
        <w:rPr>
          <w:rFonts w:eastAsia="Arial Unicode MS"/>
          <w:bCs/>
          <w:lang w:eastAsia="fr-FR" w:bidi="he-IL"/>
        </w:rPr>
        <w:t xml:space="preserve"> Joan. </w:t>
      </w:r>
      <w:r w:rsidR="00835131">
        <w:rPr>
          <w:rFonts w:eastAsia="Arial Unicode MS"/>
          <w:bCs/>
          <w:lang w:eastAsia="fr-FR" w:bidi="he-IL"/>
        </w:rPr>
        <w:t>V</w:t>
      </w:r>
      <w:r w:rsidR="00E65435">
        <w:rPr>
          <w:rFonts w:eastAsia="Arial Unicode MS"/>
          <w:bCs/>
          <w:lang w:eastAsia="fr-FR" w:bidi="he-IL"/>
        </w:rPr>
        <w:t xml:space="preserve">, </w:t>
      </w:r>
      <w:r w:rsidRPr="00C8701B">
        <w:rPr>
          <w:rFonts w:eastAsia="Arial Unicode MS"/>
          <w:bCs/>
          <w:lang w:eastAsia="fr-FR" w:bidi="he-IL"/>
        </w:rPr>
        <w:t>8-9</w:t>
      </w:r>
      <w:r w:rsidR="00E65435">
        <w:rPr>
          <w:rFonts w:eastAsia="Arial Unicode MS"/>
          <w:bCs/>
          <w:lang w:eastAsia="fr-FR" w:bidi="he-IL"/>
        </w:rPr>
        <w:t xml:space="preserve">, </w:t>
      </w:r>
      <w:r w:rsidRPr="00C8701B">
        <w:rPr>
          <w:rFonts w:eastAsia="Arial Unicode MS"/>
          <w:bCs/>
          <w:lang w:eastAsia="fr-FR" w:bidi="he-IL"/>
        </w:rPr>
        <w:t>et Marc</w:t>
      </w:r>
      <w:r w:rsidR="00E65435">
        <w:rPr>
          <w:rFonts w:eastAsia="Arial Unicode MS"/>
          <w:bCs/>
          <w:lang w:eastAsia="fr-FR" w:bidi="he-IL"/>
        </w:rPr>
        <w:t xml:space="preserve">, </w:t>
      </w:r>
      <w:r w:rsidR="00EF50FE">
        <w:rPr>
          <w:rFonts w:eastAsia="Arial Unicode MS"/>
          <w:bCs/>
          <w:lang w:eastAsia="fr-FR" w:bidi="he-IL"/>
        </w:rPr>
        <w:t>II</w:t>
      </w:r>
      <w:r w:rsidR="00E65435">
        <w:rPr>
          <w:rFonts w:eastAsia="Arial Unicode MS"/>
          <w:bCs/>
          <w:lang w:eastAsia="fr-FR" w:bidi="he-IL"/>
        </w:rPr>
        <w:t xml:space="preserve">, </w:t>
      </w:r>
      <w:r w:rsidRPr="00C8701B">
        <w:rPr>
          <w:rFonts w:eastAsia="Arial Unicode MS"/>
          <w:bCs/>
          <w:lang w:eastAsia="fr-FR" w:bidi="he-IL"/>
        </w:rPr>
        <w:t>9</w:t>
      </w:r>
      <w:r w:rsidR="00E65435">
        <w:rPr>
          <w:rFonts w:eastAsia="Arial Unicode MS"/>
          <w:bCs/>
          <w:lang w:eastAsia="fr-FR" w:bidi="he-IL"/>
        </w:rPr>
        <w:t xml:space="preserve">, </w:t>
      </w:r>
      <w:r w:rsidRPr="00C8701B">
        <w:rPr>
          <w:rFonts w:eastAsia="Arial Unicode MS"/>
          <w:bCs/>
          <w:lang w:eastAsia="fr-FR" w:bidi="he-IL"/>
        </w:rPr>
        <w:t>11-12</w:t>
      </w:r>
      <w:r w:rsidR="00E65435">
        <w:rPr>
          <w:rFonts w:eastAsia="Arial Unicode MS"/>
          <w:bCs/>
          <w:lang w:eastAsia="fr-FR" w:bidi="he-IL"/>
        </w:rPr>
        <w:t>,</w:t>
      </w:r>
      <w:r w:rsidR="00E65435" w:rsidRPr="00432301">
        <w:t xml:space="preserve"> </w:t>
      </w:r>
      <w:r w:rsidRPr="00432301">
        <w:t xml:space="preserve">nous lisons le mot latinisé </w:t>
      </w:r>
      <w:r w:rsidR="00432301" w:rsidRPr="00432301">
        <w:t>κράβαττος</w:t>
      </w:r>
      <w:r w:rsidR="00E65435" w:rsidRPr="00432301">
        <w:t xml:space="preserve">, </w:t>
      </w:r>
      <w:r w:rsidRPr="00432301">
        <w:t>alors que S. Matthieu a κλ</w:t>
      </w:r>
      <w:r w:rsidR="00DB352C" w:rsidRPr="00432301">
        <w:t>ί</w:t>
      </w:r>
      <w:r w:rsidRPr="00432301">
        <w:t>νη</w:t>
      </w:r>
      <w:r w:rsidR="00E65435" w:rsidRPr="00432301">
        <w:t xml:space="preserve">, </w:t>
      </w:r>
      <w:r w:rsidRPr="00432301">
        <w:t xml:space="preserve">S. Luc </w:t>
      </w:r>
      <w:r w:rsidR="00432301" w:rsidRPr="00432301">
        <w:t>κλ</w:t>
      </w:r>
      <w:r w:rsidR="00432301">
        <w:t>ι</w:t>
      </w:r>
      <w:r w:rsidR="00432301" w:rsidRPr="00432301">
        <w:t>νίδ</w:t>
      </w:r>
      <w:r w:rsidR="00432301">
        <w:t>ι</w:t>
      </w:r>
      <w:r w:rsidR="00432301" w:rsidRPr="00432301">
        <w:t>όν</w:t>
      </w:r>
      <w:r w:rsidRPr="00432301">
        <w:t>.</w:t>
      </w:r>
      <w:r w:rsidR="00C2602D" w:rsidRPr="00432301">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S. Marc</w:t>
      </w:r>
      <w:r w:rsidR="00E65435">
        <w:rPr>
          <w:rFonts w:eastAsia="Arial Unicode MS"/>
          <w:bCs/>
          <w:lang w:eastAsia="fr-FR" w:bidi="he-IL"/>
        </w:rPr>
        <w:t xml:space="preserve">, </w:t>
      </w:r>
      <w:r w:rsidR="00A319EA">
        <w:rPr>
          <w:rFonts w:eastAsia="Arial Unicode MS"/>
          <w:bCs/>
          <w:lang w:eastAsia="fr-FR" w:bidi="he-IL"/>
        </w:rPr>
        <w:t>VI</w:t>
      </w:r>
      <w:r w:rsidR="00E65435">
        <w:rPr>
          <w:rFonts w:eastAsia="Arial Unicode MS"/>
          <w:bCs/>
          <w:lang w:eastAsia="fr-FR" w:bidi="he-IL"/>
        </w:rPr>
        <w:t xml:space="preserve">, </w:t>
      </w:r>
      <w:r w:rsidRPr="00C8701B">
        <w:rPr>
          <w:rFonts w:eastAsia="Arial Unicode MS"/>
          <w:bCs/>
          <w:lang w:eastAsia="fr-FR" w:bidi="he-IL"/>
        </w:rPr>
        <w:t>37</w:t>
      </w:r>
      <w:r w:rsidR="00E65435">
        <w:rPr>
          <w:rFonts w:eastAsia="Arial Unicode MS"/>
          <w:bCs/>
          <w:lang w:eastAsia="fr-FR" w:bidi="he-IL"/>
        </w:rPr>
        <w:t xml:space="preserve">, </w:t>
      </w:r>
      <w:r w:rsidRPr="00C8701B">
        <w:rPr>
          <w:rFonts w:eastAsia="Arial Unicode MS"/>
          <w:bCs/>
          <w:lang w:eastAsia="fr-FR" w:bidi="he-IL"/>
        </w:rPr>
        <w:t>et S. Jean</w:t>
      </w:r>
      <w:r w:rsidR="00E65435">
        <w:rPr>
          <w:rFonts w:eastAsia="Arial Unicode MS"/>
          <w:bCs/>
          <w:lang w:eastAsia="fr-FR" w:bidi="he-IL"/>
        </w:rPr>
        <w:t xml:space="preserve">, </w:t>
      </w:r>
      <w:r w:rsidR="00A319EA">
        <w:rPr>
          <w:rFonts w:eastAsia="Arial Unicode MS"/>
          <w:bCs/>
          <w:lang w:eastAsia="fr-FR" w:bidi="he-IL"/>
        </w:rPr>
        <w:t>VI</w:t>
      </w:r>
      <w:r w:rsidR="00E65435">
        <w:rPr>
          <w:rFonts w:eastAsia="Arial Unicode MS"/>
          <w:bCs/>
          <w:lang w:eastAsia="fr-FR" w:bidi="he-IL"/>
        </w:rPr>
        <w:t xml:space="preserve">, </w:t>
      </w:r>
      <w:r w:rsidRPr="00C8701B">
        <w:rPr>
          <w:rFonts w:eastAsia="Arial Unicode MS"/>
          <w:bCs/>
          <w:lang w:eastAsia="fr-FR" w:bidi="he-IL"/>
        </w:rPr>
        <w:t>7</w:t>
      </w:r>
      <w:r w:rsidR="00E65435">
        <w:rPr>
          <w:rFonts w:eastAsia="Arial Unicode MS"/>
          <w:bCs/>
          <w:lang w:eastAsia="fr-FR" w:bidi="he-IL"/>
        </w:rPr>
        <w:t xml:space="preserve">, </w:t>
      </w:r>
      <w:r w:rsidRPr="00C8701B">
        <w:rPr>
          <w:rFonts w:eastAsia="Arial Unicode MS"/>
          <w:bCs/>
          <w:lang w:eastAsia="fr-FR" w:bidi="he-IL"/>
        </w:rPr>
        <w:t>sont seuls à évaluer à 200 deniers le pain nécessaire pour nourrir la foule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seuls aussi (Marc</w:t>
      </w:r>
      <w:r w:rsidR="00E65435">
        <w:rPr>
          <w:rFonts w:eastAsia="Arial Unicode MS"/>
          <w:bCs/>
          <w:lang w:eastAsia="fr-FR" w:bidi="he-IL"/>
        </w:rPr>
        <w:t xml:space="preserve">, </w:t>
      </w:r>
      <w:r w:rsidR="00CB43AA">
        <w:rPr>
          <w:rFonts w:eastAsia="Arial Unicode MS"/>
          <w:bCs/>
          <w:lang w:eastAsia="fr-FR" w:bidi="he-IL"/>
        </w:rPr>
        <w:t>XIV</w:t>
      </w:r>
      <w:r w:rsidR="00E65435">
        <w:rPr>
          <w:rFonts w:eastAsia="Arial Unicode MS"/>
          <w:bCs/>
          <w:lang w:eastAsia="fr-FR" w:bidi="he-IL"/>
        </w:rPr>
        <w:t xml:space="preserve">, </w:t>
      </w:r>
      <w:r w:rsidRPr="00C8701B">
        <w:rPr>
          <w:rFonts w:eastAsia="Arial Unicode MS"/>
          <w:bCs/>
          <w:lang w:eastAsia="fr-FR" w:bidi="he-IL"/>
        </w:rPr>
        <w:t>3</w:t>
      </w:r>
      <w:r w:rsidR="00C2602D" w:rsidRPr="00C8701B">
        <w:rPr>
          <w:rFonts w:eastAsia="Arial Unicode MS"/>
          <w:bCs/>
          <w:lang w:eastAsia="fr-FR" w:bidi="he-IL"/>
        </w:rPr>
        <w:t> </w:t>
      </w:r>
      <w:r w:rsidR="007F6508">
        <w:rPr>
          <w:rFonts w:eastAsia="Arial Unicode MS"/>
          <w:bCs/>
          <w:lang w:eastAsia="fr-FR" w:bidi="he-IL"/>
        </w:rPr>
        <w:t xml:space="preserve">; </w:t>
      </w:r>
      <w:r w:rsidRPr="00432301">
        <w:t xml:space="preserve">Joan. </w:t>
      </w:r>
      <w:r w:rsidR="00432301" w:rsidRPr="00432301">
        <w:t>XII</w:t>
      </w:r>
      <w:r w:rsidR="00E65435" w:rsidRPr="00432301">
        <w:t xml:space="preserve">, </w:t>
      </w:r>
      <w:r w:rsidRPr="00432301">
        <w:t>3)</w:t>
      </w:r>
      <w:r w:rsidR="00E65435" w:rsidRPr="00432301">
        <w:t xml:space="preserve">, </w:t>
      </w:r>
      <w:r w:rsidRPr="00432301">
        <w:t>ils nomment ν</w:t>
      </w:r>
      <w:r w:rsidR="00CD3C57" w:rsidRPr="00432301">
        <w:t>ά</w:t>
      </w:r>
      <w:r w:rsidR="00432301" w:rsidRPr="00432301">
        <w:t>ρ</w:t>
      </w:r>
      <w:r w:rsidRPr="00432301">
        <w:t xml:space="preserve">δος </w:t>
      </w:r>
      <w:r w:rsidR="00432301">
        <w:t>πιστική</w:t>
      </w:r>
      <w:r w:rsidR="00432301" w:rsidRPr="00432301">
        <w:t xml:space="preserve"> </w:t>
      </w:r>
      <w:r w:rsidRPr="00432301">
        <w:t xml:space="preserve">le </w:t>
      </w:r>
      <w:r w:rsidR="00432301">
        <w:rPr>
          <w:rFonts w:eastAsia="Arial Unicode MS"/>
          <w:bCs/>
          <w:lang w:eastAsia="fr-FR" w:bidi="he-IL"/>
        </w:rPr>
        <w:t>parfum versé par Ma</w:t>
      </w:r>
      <w:r w:rsidRPr="00C8701B">
        <w:rPr>
          <w:rFonts w:eastAsia="Arial Unicode MS"/>
          <w:bCs/>
          <w:lang w:eastAsia="fr-FR" w:bidi="he-IL"/>
        </w:rPr>
        <w:t>rie sur la</w:t>
      </w:r>
      <w:r w:rsidR="00432301">
        <w:rPr>
          <w:rFonts w:eastAsia="Arial Unicode MS"/>
          <w:bCs/>
          <w:lang w:eastAsia="fr-FR" w:bidi="he-IL"/>
        </w:rPr>
        <w:t xml:space="preserve"> tête de Jésus. Comparez aussi l</w:t>
      </w:r>
      <w:r w:rsidRPr="00C8701B">
        <w:rPr>
          <w:rFonts w:eastAsia="Arial Unicode MS"/>
          <w:bCs/>
          <w:lang w:eastAsia="fr-FR" w:bidi="he-IL"/>
        </w:rPr>
        <w:t>es passages Marc</w:t>
      </w:r>
      <w:r w:rsidR="00E65435">
        <w:rPr>
          <w:rFonts w:eastAsia="Arial Unicode MS"/>
          <w:bCs/>
          <w:lang w:eastAsia="fr-FR" w:bidi="he-IL"/>
        </w:rPr>
        <w:t xml:space="preserve">, </w:t>
      </w:r>
      <w:r w:rsidR="00D72CBC">
        <w:rPr>
          <w:rFonts w:eastAsia="Arial Unicode MS"/>
          <w:bCs/>
          <w:lang w:eastAsia="fr-FR" w:bidi="he-IL"/>
        </w:rPr>
        <w:t>XV</w:t>
      </w:r>
      <w:r w:rsidR="00E65435">
        <w:rPr>
          <w:rFonts w:eastAsia="Arial Unicode MS"/>
          <w:bCs/>
          <w:lang w:eastAsia="fr-FR" w:bidi="he-IL"/>
        </w:rPr>
        <w:t xml:space="preserve">, </w:t>
      </w:r>
      <w:r w:rsidRPr="00C8701B">
        <w:rPr>
          <w:rFonts w:eastAsia="Arial Unicode MS"/>
          <w:bCs/>
          <w:lang w:eastAsia="fr-FR" w:bidi="he-IL"/>
        </w:rPr>
        <w:t>9</w:t>
      </w:r>
      <w:r w:rsidR="00E65435">
        <w:rPr>
          <w:rFonts w:eastAsia="Arial Unicode MS"/>
          <w:bCs/>
          <w:lang w:eastAsia="fr-FR" w:bidi="he-IL"/>
        </w:rPr>
        <w:t xml:space="preserve">, </w:t>
      </w:r>
      <w:r w:rsidRPr="00C8701B">
        <w:rPr>
          <w:rFonts w:eastAsia="Arial Unicode MS"/>
          <w:bCs/>
          <w:lang w:eastAsia="fr-FR" w:bidi="he-IL"/>
        </w:rPr>
        <w:t xml:space="preserve">et Joan. </w:t>
      </w:r>
      <w:r w:rsidR="00CA083D">
        <w:rPr>
          <w:rFonts w:eastAsia="Arial Unicode MS"/>
          <w:bCs/>
          <w:lang w:eastAsia="fr-FR" w:bidi="he-IL"/>
        </w:rPr>
        <w:t>XVII</w:t>
      </w:r>
      <w:r w:rsidR="00C87A2B">
        <w:rPr>
          <w:rFonts w:eastAsia="Arial Unicode MS"/>
          <w:bCs/>
          <w:lang w:eastAsia="fr-FR" w:bidi="he-IL"/>
        </w:rPr>
        <w:t>I</w:t>
      </w:r>
      <w:r w:rsidR="00E65435">
        <w:rPr>
          <w:rFonts w:eastAsia="Arial Unicode MS"/>
          <w:bCs/>
          <w:lang w:eastAsia="fr-FR" w:bidi="he-IL"/>
        </w:rPr>
        <w:t xml:space="preserve">, </w:t>
      </w:r>
      <w:r w:rsidRPr="00C8701B">
        <w:rPr>
          <w:rFonts w:eastAsia="Arial Unicode MS"/>
          <w:bCs/>
          <w:lang w:eastAsia="fr-FR" w:bidi="he-IL"/>
        </w:rPr>
        <w:t>39</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Marc</w:t>
      </w:r>
      <w:r w:rsidR="00E65435">
        <w:rPr>
          <w:rFonts w:eastAsia="Arial Unicode MS"/>
          <w:bCs/>
          <w:lang w:eastAsia="fr-FR" w:bidi="he-IL"/>
        </w:rPr>
        <w:t xml:space="preserve">, </w:t>
      </w:r>
      <w:r w:rsidR="00EF1E04">
        <w:rPr>
          <w:rFonts w:eastAsia="Arial Unicode MS"/>
          <w:bCs/>
          <w:lang w:eastAsia="fr-FR" w:bidi="he-IL"/>
        </w:rPr>
        <w:t>XVI</w:t>
      </w:r>
      <w:r w:rsidR="00E65435">
        <w:rPr>
          <w:rFonts w:eastAsia="Arial Unicode MS"/>
          <w:bCs/>
          <w:lang w:eastAsia="fr-FR" w:bidi="he-IL"/>
        </w:rPr>
        <w:t xml:space="preserve">, </w:t>
      </w:r>
      <w:r w:rsidRPr="00C8701B">
        <w:rPr>
          <w:rFonts w:eastAsia="Arial Unicode MS"/>
          <w:bCs/>
          <w:lang w:eastAsia="fr-FR" w:bidi="he-IL"/>
        </w:rPr>
        <w:t>9</w:t>
      </w:r>
      <w:r w:rsidR="00E65435">
        <w:rPr>
          <w:rFonts w:eastAsia="Arial Unicode MS"/>
          <w:bCs/>
          <w:lang w:eastAsia="fr-FR" w:bidi="he-IL"/>
        </w:rPr>
        <w:t xml:space="preserve">, </w:t>
      </w:r>
      <w:r w:rsidRPr="00C8701B">
        <w:rPr>
          <w:rFonts w:eastAsia="Arial Unicode MS"/>
          <w:bCs/>
          <w:lang w:eastAsia="fr-FR" w:bidi="he-IL"/>
        </w:rPr>
        <w:t xml:space="preserve">et Joan. </w:t>
      </w:r>
      <w:r w:rsidR="005069E2">
        <w:rPr>
          <w:rFonts w:eastAsia="Arial Unicode MS"/>
          <w:bCs/>
          <w:lang w:eastAsia="fr-FR" w:bidi="he-IL"/>
        </w:rPr>
        <w:t>XX</w:t>
      </w:r>
      <w:r w:rsidR="00E65435">
        <w:rPr>
          <w:rFonts w:eastAsia="Arial Unicode MS"/>
          <w:bCs/>
          <w:lang w:eastAsia="fr-FR" w:bidi="he-IL"/>
        </w:rPr>
        <w:t xml:space="preserve">, </w:t>
      </w:r>
      <w:r w:rsidRPr="00C8701B">
        <w:rPr>
          <w:rFonts w:eastAsia="Arial Unicode MS"/>
          <w:bCs/>
          <w:lang w:eastAsia="fr-FR" w:bidi="he-IL"/>
        </w:rPr>
        <w:t>14</w:t>
      </w:r>
      <w:r w:rsidR="00E65435">
        <w:rPr>
          <w:rFonts w:eastAsia="Arial Unicode MS"/>
          <w:bCs/>
          <w:lang w:eastAsia="fr-FR" w:bidi="he-IL"/>
        </w:rPr>
        <w:t xml:space="preserve">, </w:t>
      </w:r>
      <w:r w:rsidRPr="00C8701B">
        <w:rPr>
          <w:rFonts w:eastAsia="Arial Unicode MS"/>
          <w:bCs/>
          <w:lang w:eastAsia="fr-FR" w:bidi="he-IL"/>
        </w:rPr>
        <w:t>etc.</w:t>
      </w:r>
      <w:r w:rsidR="00933C60" w:rsidRPr="00C406FF">
        <w:rPr>
          <w:rStyle w:val="Appelnotedebasdep"/>
        </w:rPr>
        <w:footnoteReference w:id="306"/>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autre part</w:t>
      </w:r>
      <w:r w:rsidR="00E65435">
        <w:rPr>
          <w:rFonts w:eastAsia="Arial Unicode MS"/>
          <w:bCs/>
          <w:lang w:eastAsia="fr-FR" w:bidi="he-IL"/>
        </w:rPr>
        <w:t xml:space="preserve">, </w:t>
      </w:r>
      <w:r w:rsidRPr="00C8701B">
        <w:rPr>
          <w:rFonts w:eastAsia="Arial Unicode MS"/>
          <w:bCs/>
          <w:lang w:eastAsia="fr-FR" w:bidi="he-IL"/>
        </w:rPr>
        <w:t>voici une liste de coïncidences intéressantes entre divers passages de S. Jean et de S. Luc.</w:t>
      </w:r>
      <w:r w:rsidR="00C2602D" w:rsidRPr="00C8701B">
        <w:rPr>
          <w:rFonts w:eastAsia="Arial Unicode MS"/>
          <w:bCs/>
          <w:lang w:eastAsia="fr-FR" w:bidi="he-IL"/>
        </w:rPr>
        <w:t xml:space="preserve"> </w:t>
      </w:r>
    </w:p>
    <w:tbl>
      <w:tblPr>
        <w:tblW w:w="0" w:type="auto"/>
        <w:tblLook w:val="04A0"/>
      </w:tblPr>
      <w:tblGrid>
        <w:gridCol w:w="1903"/>
        <w:gridCol w:w="1943"/>
      </w:tblGrid>
      <w:tr w:rsidR="00432301" w:rsidRPr="00432301" w:rsidTr="00AE4963">
        <w:tc>
          <w:tcPr>
            <w:tcW w:w="0" w:type="auto"/>
          </w:tcPr>
          <w:p w:rsidR="00432301" w:rsidRPr="00432301" w:rsidRDefault="00432301" w:rsidP="00AE4963">
            <w:pPr>
              <w:pStyle w:val="sv"/>
            </w:pPr>
            <w:r w:rsidRPr="00432301">
              <w:t>S. Jean.</w:t>
            </w:r>
          </w:p>
        </w:tc>
        <w:tc>
          <w:tcPr>
            <w:tcW w:w="0" w:type="auto"/>
          </w:tcPr>
          <w:p w:rsidR="00432301" w:rsidRPr="00432301" w:rsidRDefault="00432301" w:rsidP="00AE4963">
            <w:pPr>
              <w:pStyle w:val="sv"/>
            </w:pPr>
            <w:r w:rsidRPr="00432301">
              <w:t xml:space="preserve">S. Luc. </w:t>
            </w:r>
          </w:p>
        </w:tc>
      </w:tr>
      <w:tr w:rsidR="00432301" w:rsidRPr="00432301" w:rsidTr="00AE4963">
        <w:tc>
          <w:tcPr>
            <w:tcW w:w="0" w:type="auto"/>
          </w:tcPr>
          <w:p w:rsidR="00432301" w:rsidRPr="00432301" w:rsidRDefault="00432301" w:rsidP="00AE4963">
            <w:pPr>
              <w:pStyle w:val="sv"/>
            </w:pPr>
            <w:r w:rsidRPr="00432301">
              <w:t>1, 19 et ss.</w:t>
            </w:r>
          </w:p>
        </w:tc>
        <w:tc>
          <w:tcPr>
            <w:tcW w:w="0" w:type="auto"/>
          </w:tcPr>
          <w:p w:rsidR="00432301" w:rsidRPr="00432301" w:rsidRDefault="00432301" w:rsidP="00AE4963">
            <w:pPr>
              <w:pStyle w:val="sv"/>
            </w:pPr>
            <w:r w:rsidRPr="00432301">
              <w:t xml:space="preserve">III, 15-16. </w:t>
            </w:r>
          </w:p>
        </w:tc>
      </w:tr>
      <w:tr w:rsidR="00432301" w:rsidRPr="00432301" w:rsidTr="00AE4963">
        <w:tc>
          <w:tcPr>
            <w:tcW w:w="0" w:type="auto"/>
          </w:tcPr>
          <w:p w:rsidR="00432301" w:rsidRPr="00432301" w:rsidRDefault="00A319EA" w:rsidP="00AE4963">
            <w:pPr>
              <w:pStyle w:val="sv"/>
            </w:pPr>
            <w:r>
              <w:t>VI</w:t>
            </w:r>
            <w:r w:rsidR="00432301" w:rsidRPr="00432301">
              <w:t>, 42.</w:t>
            </w:r>
          </w:p>
        </w:tc>
        <w:tc>
          <w:tcPr>
            <w:tcW w:w="0" w:type="auto"/>
          </w:tcPr>
          <w:p w:rsidR="00432301" w:rsidRPr="00432301" w:rsidRDefault="00432301" w:rsidP="00AE4963">
            <w:pPr>
              <w:pStyle w:val="sv"/>
            </w:pPr>
            <w:r w:rsidRPr="00432301">
              <w:t xml:space="preserve">IV, 22. </w:t>
            </w:r>
          </w:p>
        </w:tc>
      </w:tr>
      <w:tr w:rsidR="00432301" w:rsidRPr="00432301" w:rsidTr="00AE4963">
        <w:tc>
          <w:tcPr>
            <w:tcW w:w="0" w:type="auto"/>
          </w:tcPr>
          <w:p w:rsidR="00432301" w:rsidRPr="00432301" w:rsidRDefault="00432301" w:rsidP="00AE4963">
            <w:pPr>
              <w:pStyle w:val="sv"/>
            </w:pPr>
            <w:r w:rsidRPr="00432301">
              <w:t>X, 27 et ss.</w:t>
            </w:r>
          </w:p>
        </w:tc>
        <w:tc>
          <w:tcPr>
            <w:tcW w:w="0" w:type="auto"/>
          </w:tcPr>
          <w:p w:rsidR="00432301" w:rsidRPr="00432301" w:rsidRDefault="00432301" w:rsidP="00AE4963">
            <w:pPr>
              <w:pStyle w:val="sv"/>
            </w:pPr>
            <w:r w:rsidRPr="00432301">
              <w:t xml:space="preserve">XII, 32. </w:t>
            </w:r>
          </w:p>
        </w:tc>
      </w:tr>
      <w:tr w:rsidR="00432301" w:rsidRPr="00432301" w:rsidTr="00AE4963">
        <w:tc>
          <w:tcPr>
            <w:tcW w:w="0" w:type="auto"/>
          </w:tcPr>
          <w:p w:rsidR="00432301" w:rsidRPr="00432301" w:rsidRDefault="00432301" w:rsidP="00AE4963">
            <w:pPr>
              <w:pStyle w:val="sv"/>
            </w:pPr>
            <w:r w:rsidRPr="00432301">
              <w:t xml:space="preserve">XIII, 1 ; XIV, 30. </w:t>
            </w:r>
          </w:p>
        </w:tc>
        <w:tc>
          <w:tcPr>
            <w:tcW w:w="0" w:type="auto"/>
          </w:tcPr>
          <w:p w:rsidR="00432301" w:rsidRPr="00432301" w:rsidRDefault="00432301" w:rsidP="00AE4963">
            <w:pPr>
              <w:pStyle w:val="sv"/>
            </w:pPr>
            <w:r w:rsidRPr="00432301">
              <w:t xml:space="preserve">IX, 51 ; XXII, 53. </w:t>
            </w:r>
          </w:p>
        </w:tc>
      </w:tr>
      <w:tr w:rsidR="00432301" w:rsidRPr="00432301" w:rsidTr="00AE4963">
        <w:tc>
          <w:tcPr>
            <w:tcW w:w="0" w:type="auto"/>
          </w:tcPr>
          <w:p w:rsidR="00432301" w:rsidRPr="00432301" w:rsidRDefault="00432301" w:rsidP="00AE4963">
            <w:pPr>
              <w:pStyle w:val="sv"/>
            </w:pPr>
            <w:r w:rsidRPr="00432301">
              <w:t>XIV, 4 et ss.</w:t>
            </w:r>
          </w:p>
        </w:tc>
        <w:tc>
          <w:tcPr>
            <w:tcW w:w="0" w:type="auto"/>
          </w:tcPr>
          <w:p w:rsidR="00432301" w:rsidRPr="00432301" w:rsidRDefault="00432301" w:rsidP="00AE4963">
            <w:pPr>
              <w:pStyle w:val="sv"/>
            </w:pPr>
            <w:r w:rsidRPr="00432301">
              <w:t xml:space="preserve">XXII, 27. </w:t>
            </w:r>
          </w:p>
        </w:tc>
      </w:tr>
      <w:tr w:rsidR="00432301" w:rsidRPr="00432301" w:rsidTr="00AE4963">
        <w:tc>
          <w:tcPr>
            <w:tcW w:w="0" w:type="auto"/>
          </w:tcPr>
          <w:p w:rsidR="00432301" w:rsidRPr="00432301" w:rsidRDefault="00432301" w:rsidP="00AE4963">
            <w:pPr>
              <w:pStyle w:val="sv"/>
            </w:pPr>
            <w:r w:rsidRPr="00432301">
              <w:t xml:space="preserve"> — 17.</w:t>
            </w:r>
          </w:p>
        </w:tc>
        <w:tc>
          <w:tcPr>
            <w:tcW w:w="0" w:type="auto"/>
          </w:tcPr>
          <w:p w:rsidR="00432301" w:rsidRPr="00432301" w:rsidRDefault="00432301" w:rsidP="00AE4963">
            <w:pPr>
              <w:pStyle w:val="sv"/>
            </w:pPr>
            <w:r w:rsidRPr="00432301">
              <w:t xml:space="preserve">XI, 28. </w:t>
            </w:r>
          </w:p>
        </w:tc>
      </w:tr>
      <w:tr w:rsidR="00432301" w:rsidRPr="00432301" w:rsidTr="00AE4963">
        <w:tc>
          <w:tcPr>
            <w:tcW w:w="0" w:type="auto"/>
          </w:tcPr>
          <w:p w:rsidR="00432301" w:rsidRPr="00432301" w:rsidRDefault="00432301" w:rsidP="00AE4963">
            <w:pPr>
              <w:pStyle w:val="sv"/>
            </w:pPr>
            <w:r w:rsidRPr="00432301">
              <w:t xml:space="preserve"> — 22.</w:t>
            </w:r>
          </w:p>
        </w:tc>
        <w:tc>
          <w:tcPr>
            <w:tcW w:w="0" w:type="auto"/>
          </w:tcPr>
          <w:p w:rsidR="00432301" w:rsidRPr="00432301" w:rsidRDefault="00432301" w:rsidP="00AE4963">
            <w:pPr>
              <w:pStyle w:val="sv"/>
            </w:pPr>
            <w:r w:rsidRPr="00432301">
              <w:t xml:space="preserve">XXII, 23. </w:t>
            </w:r>
          </w:p>
        </w:tc>
      </w:tr>
      <w:tr w:rsidR="00432301" w:rsidRPr="00432301" w:rsidTr="00AE4963">
        <w:tc>
          <w:tcPr>
            <w:tcW w:w="0" w:type="auto"/>
          </w:tcPr>
          <w:p w:rsidR="00432301" w:rsidRPr="00432301" w:rsidRDefault="00432301" w:rsidP="00AE4963">
            <w:pPr>
              <w:pStyle w:val="sv"/>
            </w:pPr>
            <w:r w:rsidRPr="00432301">
              <w:t xml:space="preserve"> — 27.</w:t>
            </w:r>
          </w:p>
        </w:tc>
        <w:tc>
          <w:tcPr>
            <w:tcW w:w="0" w:type="auto"/>
          </w:tcPr>
          <w:p w:rsidR="00432301" w:rsidRPr="00432301" w:rsidRDefault="00432301" w:rsidP="00AE4963">
            <w:pPr>
              <w:pStyle w:val="sv"/>
            </w:pPr>
            <w:r w:rsidRPr="00432301">
              <w:t xml:space="preserve"> — 3. </w:t>
            </w:r>
          </w:p>
        </w:tc>
      </w:tr>
      <w:tr w:rsidR="00432301" w:rsidRPr="00432301" w:rsidTr="00AE4963">
        <w:tc>
          <w:tcPr>
            <w:tcW w:w="0" w:type="auto"/>
          </w:tcPr>
          <w:p w:rsidR="00432301" w:rsidRPr="00432301" w:rsidRDefault="00432301" w:rsidP="00AE4963">
            <w:pPr>
              <w:pStyle w:val="sv"/>
            </w:pPr>
            <w:r w:rsidRPr="00432301">
              <w:t xml:space="preserve"> — 37.</w:t>
            </w:r>
          </w:p>
        </w:tc>
        <w:tc>
          <w:tcPr>
            <w:tcW w:w="0" w:type="auto"/>
          </w:tcPr>
          <w:p w:rsidR="00432301" w:rsidRPr="00432301" w:rsidRDefault="00432301" w:rsidP="00AE4963">
            <w:pPr>
              <w:pStyle w:val="sv"/>
            </w:pPr>
            <w:r w:rsidRPr="00432301">
              <w:t xml:space="preserve"> — 33. </w:t>
            </w:r>
          </w:p>
        </w:tc>
      </w:tr>
      <w:tr w:rsidR="00432301" w:rsidRPr="00432301" w:rsidTr="00AE4963">
        <w:tc>
          <w:tcPr>
            <w:tcW w:w="0" w:type="auto"/>
          </w:tcPr>
          <w:p w:rsidR="00432301" w:rsidRPr="00432301" w:rsidRDefault="00432301" w:rsidP="00AE4963">
            <w:pPr>
              <w:pStyle w:val="sv"/>
            </w:pPr>
            <w:r w:rsidRPr="00432301">
              <w:t>XIV, 30.</w:t>
            </w:r>
          </w:p>
        </w:tc>
        <w:tc>
          <w:tcPr>
            <w:tcW w:w="0" w:type="auto"/>
          </w:tcPr>
          <w:p w:rsidR="00432301" w:rsidRPr="00432301" w:rsidRDefault="00432301" w:rsidP="00AE4963">
            <w:pPr>
              <w:pStyle w:val="sv"/>
            </w:pPr>
            <w:r w:rsidRPr="00432301">
              <w:t xml:space="preserve">IV, 13. </w:t>
            </w:r>
          </w:p>
        </w:tc>
      </w:tr>
      <w:tr w:rsidR="00432301" w:rsidRPr="00432301" w:rsidTr="00AE4963">
        <w:tc>
          <w:tcPr>
            <w:tcW w:w="0" w:type="auto"/>
          </w:tcPr>
          <w:p w:rsidR="00432301" w:rsidRPr="00432301" w:rsidRDefault="00432301" w:rsidP="00AE4963">
            <w:pPr>
              <w:pStyle w:val="sv"/>
            </w:pPr>
            <w:r w:rsidRPr="00432301">
              <w:t>XVI, 7.</w:t>
            </w:r>
          </w:p>
        </w:tc>
        <w:tc>
          <w:tcPr>
            <w:tcW w:w="0" w:type="auto"/>
          </w:tcPr>
          <w:p w:rsidR="00432301" w:rsidRPr="00432301" w:rsidRDefault="00432301" w:rsidP="00AE4963">
            <w:pPr>
              <w:pStyle w:val="sv"/>
            </w:pPr>
            <w:r w:rsidRPr="00432301">
              <w:t xml:space="preserve">XXIV, 49. </w:t>
            </w:r>
          </w:p>
        </w:tc>
      </w:tr>
      <w:tr w:rsidR="00432301" w:rsidRPr="00432301" w:rsidTr="00AE4963">
        <w:tc>
          <w:tcPr>
            <w:tcW w:w="0" w:type="auto"/>
          </w:tcPr>
          <w:p w:rsidR="00432301" w:rsidRPr="00432301" w:rsidRDefault="00432301" w:rsidP="00AE4963">
            <w:pPr>
              <w:pStyle w:val="sv"/>
            </w:pPr>
            <w:r w:rsidRPr="00432301">
              <w:t>XVIII, 36-37.</w:t>
            </w:r>
          </w:p>
        </w:tc>
        <w:tc>
          <w:tcPr>
            <w:tcW w:w="0" w:type="auto"/>
          </w:tcPr>
          <w:p w:rsidR="00432301" w:rsidRPr="00432301" w:rsidRDefault="00432301" w:rsidP="00AE4963">
            <w:pPr>
              <w:pStyle w:val="sv"/>
            </w:pPr>
            <w:r w:rsidRPr="00432301">
              <w:t xml:space="preserve">XVII, 20-21. </w:t>
            </w:r>
          </w:p>
        </w:tc>
      </w:tr>
      <w:tr w:rsidR="00432301" w:rsidRPr="00432301" w:rsidTr="00AE4963">
        <w:tc>
          <w:tcPr>
            <w:tcW w:w="0" w:type="auto"/>
          </w:tcPr>
          <w:p w:rsidR="00432301" w:rsidRPr="00432301" w:rsidRDefault="00432301" w:rsidP="00AE4963">
            <w:pPr>
              <w:pStyle w:val="sv"/>
            </w:pPr>
            <w:r w:rsidRPr="00432301">
              <w:t xml:space="preserve"> — 38.</w:t>
            </w:r>
          </w:p>
        </w:tc>
        <w:tc>
          <w:tcPr>
            <w:tcW w:w="0" w:type="auto"/>
          </w:tcPr>
          <w:p w:rsidR="00432301" w:rsidRPr="00432301" w:rsidRDefault="00432301" w:rsidP="00AE4963">
            <w:pPr>
              <w:pStyle w:val="sv"/>
            </w:pPr>
            <w:r w:rsidRPr="00432301">
              <w:t xml:space="preserve">XXIII, 4. </w:t>
            </w:r>
          </w:p>
        </w:tc>
      </w:tr>
      <w:tr w:rsidR="00432301" w:rsidRPr="00432301" w:rsidTr="00AE4963">
        <w:tc>
          <w:tcPr>
            <w:tcW w:w="0" w:type="auto"/>
          </w:tcPr>
          <w:p w:rsidR="00432301" w:rsidRPr="00432301" w:rsidRDefault="00432301" w:rsidP="00AE4963">
            <w:pPr>
              <w:pStyle w:val="sv"/>
            </w:pPr>
            <w:r w:rsidRPr="00432301">
              <w:t>XX, 3, 6.</w:t>
            </w:r>
          </w:p>
        </w:tc>
        <w:tc>
          <w:tcPr>
            <w:tcW w:w="0" w:type="auto"/>
          </w:tcPr>
          <w:p w:rsidR="00432301" w:rsidRPr="00432301" w:rsidRDefault="00432301" w:rsidP="00AE4963">
            <w:pPr>
              <w:pStyle w:val="sv"/>
            </w:pPr>
            <w:r w:rsidRPr="00432301">
              <w:t xml:space="preserve">XXIV, 12. </w:t>
            </w:r>
          </w:p>
        </w:tc>
      </w:tr>
      <w:tr w:rsidR="00432301" w:rsidRPr="00432301" w:rsidTr="00AE4963">
        <w:tc>
          <w:tcPr>
            <w:tcW w:w="0" w:type="auto"/>
          </w:tcPr>
          <w:p w:rsidR="00432301" w:rsidRPr="00432301" w:rsidRDefault="00432301" w:rsidP="00AE4963">
            <w:pPr>
              <w:pStyle w:val="sv"/>
            </w:pPr>
            <w:r w:rsidRPr="00432301">
              <w:t xml:space="preserve"> — 19 et ss.</w:t>
            </w:r>
          </w:p>
        </w:tc>
        <w:tc>
          <w:tcPr>
            <w:tcW w:w="0" w:type="auto"/>
          </w:tcPr>
          <w:p w:rsidR="00432301" w:rsidRPr="00432301" w:rsidRDefault="00432301" w:rsidP="00AE4963">
            <w:pPr>
              <w:pStyle w:val="sv"/>
            </w:pPr>
            <w:r w:rsidRPr="00432301">
              <w:t xml:space="preserve"> — 36 et ss. </w:t>
            </w:r>
          </w:p>
        </w:tc>
      </w:tr>
    </w:tbl>
    <w:p w:rsidR="00432301" w:rsidRPr="00C8701B" w:rsidRDefault="00432301" w:rsidP="00C2602D">
      <w:pPr>
        <w:rPr>
          <w:rFonts w:eastAsia="Arial Unicode MS"/>
          <w:bCs/>
          <w:lang w:eastAsia="fr-FR" w:bidi="he-IL"/>
        </w:rPr>
      </w:pPr>
      <w:r>
        <w:rPr>
          <w:rFonts w:eastAsia="Arial Unicode MS"/>
          <w:bCs/>
          <w:lang w:eastAsia="fr-FR" w:bidi="he-IL"/>
        </w:rPr>
        <w:t>-.-</w:t>
      </w:r>
    </w:p>
    <w:p w:rsidR="00C2602D" w:rsidRPr="00C8701B" w:rsidRDefault="00B704AD" w:rsidP="00C2602D">
      <w:pPr>
        <w:rPr>
          <w:rFonts w:eastAsia="Arial Unicode MS"/>
          <w:bCs/>
          <w:lang w:eastAsia="fr-FR" w:bidi="he-IL"/>
        </w:rPr>
      </w:pPr>
      <w:r w:rsidRPr="00C8701B">
        <w:rPr>
          <w:rFonts w:eastAsia="Arial Unicode MS"/>
          <w:bCs/>
          <w:lang w:eastAsia="fr-FR" w:bidi="he-IL"/>
        </w:rPr>
        <w:t>3°</w:t>
      </w:r>
      <w:bookmarkStart w:id="95" w:name="evin07020303"/>
      <w:bookmarkEnd w:id="95"/>
      <w:r w:rsidRPr="00C8701B">
        <w:rPr>
          <w:rFonts w:eastAsia="Arial Unicode MS"/>
          <w:bCs/>
          <w:lang w:eastAsia="fr-FR" w:bidi="he-IL"/>
        </w:rPr>
        <w:t xml:space="preserve"> Passages dans lesquels S. Jean suppose chez ses lecteurs la connaissance des synoptiques</w:t>
      </w:r>
      <w:r w:rsidR="00E65435">
        <w:rPr>
          <w:rFonts w:eastAsia="Arial Unicode MS"/>
          <w:bCs/>
          <w:lang w:eastAsia="fr-FR" w:bidi="he-IL"/>
        </w:rPr>
        <w:t xml:space="preserve">, </w:t>
      </w:r>
      <w:r w:rsidRPr="00C8701B">
        <w:rPr>
          <w:rFonts w:eastAsia="Arial Unicode MS"/>
          <w:bCs/>
          <w:lang w:eastAsia="fr-FR" w:bidi="he-IL"/>
        </w:rPr>
        <w:t>auxquels il renvoie par là-même d</w:t>
      </w:r>
      <w:r w:rsidR="00557DE0">
        <w:rPr>
          <w:rFonts w:eastAsia="Arial Unicode MS"/>
          <w:bCs/>
          <w:lang w:eastAsia="fr-FR" w:bidi="he-IL"/>
        </w:rPr>
        <w:t>’</w:t>
      </w:r>
      <w:r w:rsidRPr="00C8701B">
        <w:rPr>
          <w:rFonts w:eastAsia="Arial Unicode MS"/>
          <w:bCs/>
          <w:lang w:eastAsia="fr-FR" w:bidi="he-IL"/>
        </w:rPr>
        <w:t>une manière tacite.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 xml:space="preserve">Ces passages sont multiples et évidents. </w:t>
      </w:r>
      <w:r w:rsidR="00C2602D" w:rsidRPr="00C8701B">
        <w:rPr>
          <w:rFonts w:eastAsia="Arial Unicode MS"/>
          <w:bCs/>
          <w:lang w:eastAsia="fr-FR" w:bidi="he-IL"/>
        </w:rPr>
        <w:t>« </w:t>
      </w:r>
      <w:r w:rsidR="00432301">
        <w:rPr>
          <w:rFonts w:eastAsia="Arial Unicode MS"/>
          <w:bCs/>
          <w:lang w:eastAsia="fr-FR" w:bidi="he-IL"/>
        </w:rPr>
        <w:t>Nous posons en fait que l</w:t>
      </w:r>
      <w:r w:rsidR="00557DE0">
        <w:rPr>
          <w:rFonts w:eastAsia="Arial Unicode MS"/>
          <w:bCs/>
          <w:lang w:eastAsia="fr-FR" w:bidi="he-IL"/>
        </w:rPr>
        <w:t>’</w:t>
      </w:r>
      <w:r w:rsidRPr="00C8701B">
        <w:rPr>
          <w:rFonts w:eastAsia="Arial Unicode MS"/>
          <w:bCs/>
          <w:lang w:eastAsia="fr-FR" w:bidi="he-IL"/>
        </w:rPr>
        <w:t>auteur du quatrième évangile s</w:t>
      </w:r>
      <w:r w:rsidR="00557DE0">
        <w:rPr>
          <w:rFonts w:eastAsia="Arial Unicode MS"/>
          <w:bCs/>
          <w:lang w:eastAsia="fr-FR" w:bidi="he-IL"/>
        </w:rPr>
        <w:t>’</w:t>
      </w:r>
      <w:r w:rsidRPr="00C8701B">
        <w:rPr>
          <w:rFonts w:eastAsia="Arial Unicode MS"/>
          <w:bCs/>
          <w:lang w:eastAsia="fr-FR" w:bidi="he-IL"/>
        </w:rPr>
        <w:t>adresse à des lecteurs qui étaient censés connaître l</w:t>
      </w:r>
      <w:r w:rsidR="00557DE0">
        <w:rPr>
          <w:rFonts w:eastAsia="Arial Unicode MS"/>
          <w:bCs/>
          <w:lang w:eastAsia="fr-FR" w:bidi="he-IL"/>
        </w:rPr>
        <w:t>’</w:t>
      </w:r>
      <w:r w:rsidRPr="00C8701B">
        <w:rPr>
          <w:rFonts w:eastAsia="Arial Unicode MS"/>
          <w:bCs/>
          <w:lang w:eastAsia="fr-FR" w:bidi="he-IL"/>
        </w:rPr>
        <w:t>histoire de Jésus dans ses traits généraux et essentiels</w:t>
      </w:r>
      <w:r w:rsidR="00E65435">
        <w:rPr>
          <w:rFonts w:eastAsia="Arial Unicode MS"/>
          <w:bCs/>
          <w:lang w:eastAsia="fr-FR" w:bidi="he-IL"/>
        </w:rPr>
        <w:t xml:space="preserve">, </w:t>
      </w:r>
      <w:r w:rsidRPr="00C8701B">
        <w:rPr>
          <w:rFonts w:eastAsia="Arial Unicode MS"/>
          <w:bCs/>
          <w:lang w:eastAsia="fr-FR" w:bidi="he-IL"/>
        </w:rPr>
        <w:t>de sorte qu</w:t>
      </w:r>
      <w:r w:rsidR="00557DE0">
        <w:rPr>
          <w:rFonts w:eastAsia="Arial Unicode MS"/>
          <w:bCs/>
          <w:lang w:eastAsia="fr-FR" w:bidi="he-IL"/>
        </w:rPr>
        <w:t>’</w:t>
      </w:r>
      <w:r w:rsidRPr="00C8701B">
        <w:rPr>
          <w:rFonts w:eastAsia="Arial Unicode MS"/>
          <w:bCs/>
          <w:lang w:eastAsia="fr-FR" w:bidi="he-IL"/>
        </w:rPr>
        <w:t>il n</w:t>
      </w:r>
      <w:r w:rsidR="00557DE0">
        <w:rPr>
          <w:rFonts w:eastAsia="Arial Unicode MS"/>
          <w:bCs/>
          <w:lang w:eastAsia="fr-FR" w:bidi="he-IL"/>
        </w:rPr>
        <w:t>’</w:t>
      </w:r>
      <w:r w:rsidRPr="00C8701B">
        <w:rPr>
          <w:rFonts w:eastAsia="Arial Unicode MS"/>
          <w:bCs/>
          <w:lang w:eastAsia="fr-FR" w:bidi="he-IL"/>
        </w:rPr>
        <w:t xml:space="preserve">avait pas besoin de la raconter de </w:t>
      </w:r>
      <w:r w:rsidR="00432301">
        <w:rPr>
          <w:rFonts w:eastAsia="Arial Unicode MS"/>
          <w:bCs/>
          <w:lang w:eastAsia="fr-FR" w:bidi="he-IL"/>
        </w:rPr>
        <w:t>nouveau avec tous ses détails »</w:t>
      </w:r>
      <w:r w:rsidRPr="00C8701B">
        <w:rPr>
          <w:rFonts w:eastAsia="Arial Unicode MS"/>
          <w:bCs/>
          <w:lang w:eastAsia="fr-FR" w:bidi="he-IL"/>
        </w:rPr>
        <w:t>. C</w:t>
      </w:r>
      <w:r w:rsidR="00557DE0">
        <w:rPr>
          <w:rFonts w:eastAsia="Arial Unicode MS"/>
          <w:bCs/>
          <w:lang w:eastAsia="fr-FR" w:bidi="he-IL"/>
        </w:rPr>
        <w:t>’</w:t>
      </w:r>
      <w:r w:rsidRPr="00C8701B">
        <w:rPr>
          <w:rFonts w:eastAsia="Arial Unicode MS"/>
          <w:bCs/>
          <w:lang w:eastAsia="fr-FR" w:bidi="he-IL"/>
        </w:rPr>
        <w:t>est M. Reuss</w:t>
      </w:r>
      <w:r w:rsidR="00933C60" w:rsidRPr="00C406FF">
        <w:rPr>
          <w:rStyle w:val="Appelnotedebasdep"/>
        </w:rPr>
        <w:footnoteReference w:id="307"/>
      </w:r>
      <w:r w:rsidR="00E65435">
        <w:rPr>
          <w:rFonts w:eastAsia="Arial Unicode MS"/>
          <w:bCs/>
          <w:lang w:eastAsia="fr-FR" w:bidi="he-IL"/>
        </w:rPr>
        <w:t xml:space="preserve">, </w:t>
      </w:r>
      <w:r w:rsidRPr="00C8701B">
        <w:rPr>
          <w:rFonts w:eastAsia="Arial Unicode MS"/>
          <w:bCs/>
          <w:lang w:eastAsia="fr-FR" w:bidi="he-IL"/>
        </w:rPr>
        <w:t>qui fait cette concession</w:t>
      </w:r>
      <w:r w:rsidR="00E65435">
        <w:rPr>
          <w:rFonts w:eastAsia="Arial Unicode MS"/>
          <w:bCs/>
          <w:lang w:eastAsia="fr-FR" w:bidi="he-IL"/>
        </w:rPr>
        <w:t xml:space="preserve">, </w:t>
      </w:r>
      <w:r w:rsidRPr="00C8701B">
        <w:rPr>
          <w:rFonts w:eastAsia="Arial Unicode MS"/>
          <w:bCs/>
          <w:lang w:eastAsia="fr-FR" w:bidi="he-IL"/>
        </w:rPr>
        <w:t>et il serait bien difficile</w:t>
      </w:r>
      <w:r w:rsidR="00E65435">
        <w:rPr>
          <w:rFonts w:eastAsia="Arial Unicode MS"/>
          <w:bCs/>
          <w:lang w:eastAsia="fr-FR" w:bidi="he-IL"/>
        </w:rPr>
        <w:t xml:space="preserve">, </w:t>
      </w:r>
      <w:r w:rsidRPr="00C8701B">
        <w:rPr>
          <w:rFonts w:eastAsia="Arial Unicode MS"/>
          <w:bCs/>
          <w:lang w:eastAsia="fr-FR" w:bidi="he-IL"/>
        </w:rPr>
        <w:t>même aux adversaires les plus acharnés de l</w:t>
      </w:r>
      <w:r w:rsidR="00557DE0">
        <w:rPr>
          <w:rFonts w:eastAsia="Arial Unicode MS"/>
          <w:bCs/>
          <w:lang w:eastAsia="fr-FR" w:bidi="he-IL"/>
        </w:rPr>
        <w:t>’</w:t>
      </w:r>
      <w:r w:rsidRPr="00C8701B">
        <w:rPr>
          <w:rFonts w:eastAsia="Arial Unicode MS"/>
          <w:bCs/>
          <w:lang w:eastAsia="fr-FR" w:bidi="he-IL"/>
        </w:rPr>
        <w:t>authenticité du quatrième évangile</w:t>
      </w:r>
      <w:r w:rsidR="00E65435">
        <w:rPr>
          <w:rFonts w:eastAsia="Arial Unicode MS"/>
          <w:bCs/>
          <w:lang w:eastAsia="fr-FR" w:bidi="he-IL"/>
        </w:rPr>
        <w:t xml:space="preserve">, </w:t>
      </w:r>
      <w:r w:rsidR="00432301">
        <w:rPr>
          <w:rFonts w:eastAsia="Arial Unicode MS"/>
          <w:bCs/>
          <w:lang w:eastAsia="fr-FR" w:bidi="he-IL"/>
        </w:rPr>
        <w:t>de ne point la fa</w:t>
      </w:r>
      <w:r w:rsidRPr="00C8701B">
        <w:rPr>
          <w:rFonts w:eastAsia="Arial Unicode MS"/>
          <w:bCs/>
          <w:lang w:eastAsia="fr-FR" w:bidi="he-IL"/>
        </w:rPr>
        <w:t>ire.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 xml:space="preserve">Parmi </w:t>
      </w:r>
      <w:r w:rsidR="008B47E5">
        <w:rPr>
          <w:rFonts w:eastAsia="Arial Unicode MS"/>
          <w:bCs/>
          <w:lang w:eastAsia="fr-FR" w:bidi="he-IL"/>
        </w:rPr>
        <w:t>les</w:t>
      </w:r>
      <w:r w:rsidRPr="00C8701B">
        <w:rPr>
          <w:rFonts w:eastAsia="Arial Unicode MS"/>
          <w:bCs/>
          <w:lang w:eastAsia="fr-FR" w:bidi="he-IL"/>
        </w:rPr>
        <w:t xml:space="preserve"> coïncidences de ce genre</w:t>
      </w:r>
      <w:r w:rsidR="00E65435">
        <w:rPr>
          <w:rFonts w:eastAsia="Arial Unicode MS"/>
          <w:bCs/>
          <w:lang w:eastAsia="fr-FR" w:bidi="he-IL"/>
        </w:rPr>
        <w:t xml:space="preserve">, </w:t>
      </w:r>
      <w:r w:rsidRPr="00C8701B">
        <w:rPr>
          <w:rFonts w:eastAsia="Arial Unicode MS"/>
          <w:bCs/>
          <w:lang w:eastAsia="fr-FR" w:bidi="he-IL"/>
        </w:rPr>
        <w:t>nous ne mentionnerons encore que les plus remarquables</w:t>
      </w:r>
      <w:r w:rsidR="00933C60" w:rsidRPr="00C406FF">
        <w:rPr>
          <w:rStyle w:val="Appelnotedebasdep"/>
        </w:rPr>
        <w:footnoteReference w:id="308"/>
      </w:r>
      <w:r w:rsidR="00432301">
        <w:rPr>
          <w:rFonts w:eastAsia="Arial Unicode MS"/>
          <w:bCs/>
          <w:lang w:eastAsia="fr-FR" w:bidi="he-IL"/>
        </w:rPr>
        <w:t>. Ell</w:t>
      </w:r>
      <w:r w:rsidRPr="00C8701B">
        <w:rPr>
          <w:rFonts w:eastAsia="Arial Unicode MS"/>
          <w:bCs/>
          <w:lang w:eastAsia="fr-FR" w:bidi="he-IL"/>
        </w:rPr>
        <w:t>es consistent</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ordinaire</w:t>
      </w:r>
      <w:r w:rsidR="00E65435">
        <w:rPr>
          <w:rFonts w:eastAsia="Arial Unicode MS"/>
          <w:bCs/>
          <w:lang w:eastAsia="fr-FR" w:bidi="he-IL"/>
        </w:rPr>
        <w:t xml:space="preserve">, </w:t>
      </w:r>
      <w:r w:rsidRPr="00C8701B">
        <w:rPr>
          <w:rFonts w:eastAsia="Arial Unicode MS"/>
          <w:bCs/>
          <w:lang w:eastAsia="fr-FR" w:bidi="he-IL"/>
        </w:rPr>
        <w:t>en de simples notes très concises</w:t>
      </w:r>
      <w:r w:rsidR="00E65435">
        <w:rPr>
          <w:rFonts w:eastAsia="Arial Unicode MS"/>
          <w:bCs/>
          <w:lang w:eastAsia="fr-FR" w:bidi="he-IL"/>
        </w:rPr>
        <w:t xml:space="preserve">, </w:t>
      </w:r>
      <w:r w:rsidRPr="00C8701B">
        <w:rPr>
          <w:rFonts w:eastAsia="Arial Unicode MS"/>
          <w:bCs/>
          <w:lang w:eastAsia="fr-FR" w:bidi="he-IL"/>
        </w:rPr>
        <w:t>mais qui</w:t>
      </w:r>
      <w:r w:rsidR="00E65435">
        <w:rPr>
          <w:rFonts w:eastAsia="Arial Unicode MS"/>
          <w:bCs/>
          <w:lang w:eastAsia="fr-FR" w:bidi="he-IL"/>
        </w:rPr>
        <w:t xml:space="preserve">, </w:t>
      </w:r>
      <w:r w:rsidRPr="00C8701B">
        <w:rPr>
          <w:rFonts w:eastAsia="Arial Unicode MS"/>
          <w:bCs/>
          <w:lang w:eastAsia="fr-FR" w:bidi="he-IL"/>
        </w:rPr>
        <w:t>pour quiconque connaît tant soit peu les évangiles</w:t>
      </w:r>
      <w:r w:rsidR="00E65435">
        <w:rPr>
          <w:rFonts w:eastAsia="Arial Unicode MS"/>
          <w:bCs/>
          <w:lang w:eastAsia="fr-FR" w:bidi="he-IL"/>
        </w:rPr>
        <w:t xml:space="preserve">, </w:t>
      </w:r>
      <w:r w:rsidRPr="00C8701B">
        <w:rPr>
          <w:rFonts w:eastAsia="Arial Unicode MS"/>
          <w:bCs/>
          <w:lang w:eastAsia="fr-FR" w:bidi="he-IL"/>
        </w:rPr>
        <w:t>trouvent aussitôt leur développement</w:t>
      </w:r>
      <w:r w:rsidR="00C87A2B">
        <w:rPr>
          <w:rFonts w:eastAsia="Arial Unicode MS"/>
          <w:bCs/>
          <w:lang w:eastAsia="fr-FR" w:bidi="he-IL"/>
        </w:rPr>
        <w:t>,</w:t>
      </w:r>
      <w:r w:rsidR="00E65435">
        <w:rPr>
          <w:rFonts w:eastAsia="Arial Unicode MS"/>
          <w:bCs/>
          <w:lang w:eastAsia="fr-FR" w:bidi="he-IL"/>
        </w:rPr>
        <w:t xml:space="preserve"> </w:t>
      </w:r>
      <w:r w:rsidRPr="00C8701B">
        <w:rPr>
          <w:rFonts w:eastAsia="Arial Unicode MS"/>
          <w:bCs/>
          <w:lang w:eastAsia="fr-FR" w:bidi="he-IL"/>
        </w:rPr>
        <w:t>leur commentaire</w:t>
      </w:r>
      <w:r w:rsidR="00E65435">
        <w:rPr>
          <w:rFonts w:eastAsia="Arial Unicode MS"/>
          <w:bCs/>
          <w:lang w:eastAsia="fr-FR" w:bidi="he-IL"/>
        </w:rPr>
        <w:t xml:space="preserve">, </w:t>
      </w:r>
      <w:r w:rsidRPr="00C8701B">
        <w:rPr>
          <w:rFonts w:eastAsia="Arial Unicode MS"/>
          <w:bCs/>
          <w:lang w:eastAsia="fr-FR" w:bidi="he-IL"/>
        </w:rPr>
        <w:t>dans tel ou tel récit des synoptiques.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Les détails donnés par S. Matthieu</w:t>
      </w:r>
      <w:r w:rsidR="00E65435">
        <w:rPr>
          <w:rFonts w:eastAsia="Arial Unicode MS"/>
          <w:bCs/>
          <w:lang w:eastAsia="fr-FR" w:bidi="he-IL"/>
        </w:rPr>
        <w:t>,</w:t>
      </w:r>
      <w:r w:rsidR="00C21120">
        <w:rPr>
          <w:rFonts w:eastAsia="Arial Unicode MS"/>
          <w:bCs/>
          <w:lang w:eastAsia="fr-FR" w:bidi="he-IL"/>
        </w:rPr>
        <w:t xml:space="preserve"> I, </w:t>
      </w:r>
      <w:r w:rsidR="00C21120" w:rsidRPr="00C8701B">
        <w:rPr>
          <w:rFonts w:eastAsia="Arial Unicode MS"/>
          <w:bCs/>
          <w:lang w:eastAsia="fr-FR" w:bidi="he-IL"/>
        </w:rPr>
        <w:t>1</w:t>
      </w:r>
      <w:r w:rsidRPr="00C8701B">
        <w:rPr>
          <w:rFonts w:eastAsia="Arial Unicode MS"/>
          <w:bCs/>
          <w:lang w:eastAsia="fr-FR" w:bidi="he-IL"/>
        </w:rPr>
        <w:t>8-25</w:t>
      </w:r>
      <w:r w:rsidR="00E65435">
        <w:rPr>
          <w:rFonts w:eastAsia="Arial Unicode MS"/>
          <w:bCs/>
          <w:lang w:eastAsia="fr-FR" w:bidi="he-IL"/>
        </w:rPr>
        <w:t xml:space="preserve">, </w:t>
      </w:r>
      <w:r w:rsidRPr="00C8701B">
        <w:rPr>
          <w:rFonts w:eastAsia="Arial Unicode MS"/>
          <w:bCs/>
          <w:lang w:eastAsia="fr-FR" w:bidi="he-IL"/>
        </w:rPr>
        <w:t>et par S. Luc</w:t>
      </w:r>
      <w:r w:rsidR="00E65435">
        <w:rPr>
          <w:rFonts w:eastAsia="Arial Unicode MS"/>
          <w:bCs/>
          <w:lang w:eastAsia="fr-FR" w:bidi="he-IL"/>
        </w:rPr>
        <w:t>,</w:t>
      </w:r>
      <w:r w:rsidR="00C21120">
        <w:rPr>
          <w:rFonts w:eastAsia="Arial Unicode MS"/>
          <w:bCs/>
          <w:lang w:eastAsia="fr-FR" w:bidi="he-IL"/>
        </w:rPr>
        <w:t xml:space="preserve"> I, </w:t>
      </w:r>
      <w:r w:rsidR="00C21120" w:rsidRPr="00C8701B">
        <w:rPr>
          <w:rFonts w:eastAsia="Arial Unicode MS"/>
          <w:bCs/>
          <w:lang w:eastAsia="fr-FR" w:bidi="he-IL"/>
        </w:rPr>
        <w:t>2</w:t>
      </w:r>
      <w:r w:rsidRPr="00C8701B">
        <w:rPr>
          <w:rFonts w:eastAsia="Arial Unicode MS"/>
          <w:bCs/>
          <w:lang w:eastAsia="fr-FR" w:bidi="he-IL"/>
        </w:rPr>
        <w:t>637</w:t>
      </w:r>
      <w:r w:rsidR="00E65435">
        <w:rPr>
          <w:rFonts w:eastAsia="Arial Unicode MS"/>
          <w:bCs/>
          <w:lang w:eastAsia="fr-FR" w:bidi="he-IL"/>
        </w:rPr>
        <w:t xml:space="preserve">, </w:t>
      </w:r>
      <w:r w:rsidR="00432301">
        <w:rPr>
          <w:rFonts w:eastAsia="Arial Unicode MS"/>
          <w:bCs/>
          <w:lang w:eastAsia="fr-FR" w:bidi="he-IL"/>
        </w:rPr>
        <w:t>sur</w:t>
      </w:r>
      <w:r w:rsidRPr="00C8701B">
        <w:rPr>
          <w:rFonts w:eastAsia="Arial Unicode MS"/>
          <w:bCs/>
          <w:lang w:eastAsia="fr-FR" w:bidi="he-IL"/>
        </w:rPr>
        <w:t xml:space="preserve"> la conception virginale de Jésus ne sont-ils pas résumés dans cette profonde parole de S. Jean</w:t>
      </w:r>
      <w:r w:rsidR="00E65435">
        <w:rPr>
          <w:rFonts w:eastAsia="Arial Unicode MS"/>
          <w:bCs/>
          <w:lang w:eastAsia="fr-FR" w:bidi="he-IL"/>
        </w:rPr>
        <w:t>,</w:t>
      </w:r>
      <w:r w:rsidR="00C21120">
        <w:rPr>
          <w:rFonts w:eastAsia="Arial Unicode MS"/>
          <w:bCs/>
          <w:lang w:eastAsia="fr-FR" w:bidi="he-IL"/>
        </w:rPr>
        <w:t xml:space="preserve"> I, </w:t>
      </w:r>
      <w:r w:rsidR="00C21120" w:rsidRPr="00C8701B">
        <w:rPr>
          <w:rFonts w:eastAsia="Arial Unicode MS"/>
          <w:bCs/>
          <w:lang w:eastAsia="fr-FR" w:bidi="he-IL"/>
        </w:rPr>
        <w:t>1</w:t>
      </w:r>
      <w:r w:rsidRPr="00C8701B">
        <w:rPr>
          <w:rFonts w:eastAsia="Arial Unicode MS"/>
          <w:bCs/>
          <w:lang w:eastAsia="fr-FR" w:bidi="he-IL"/>
        </w:rPr>
        <w:t>4</w:t>
      </w:r>
      <w:r w:rsidR="00C2602D" w:rsidRPr="00C8701B">
        <w:rPr>
          <w:rFonts w:eastAsia="Arial Unicode MS"/>
          <w:bCs/>
          <w:lang w:eastAsia="fr-FR" w:bidi="he-IL"/>
        </w:rPr>
        <w:t> :</w:t>
      </w:r>
      <w:r w:rsidRPr="00DC4586">
        <w:rPr>
          <w:rStyle w:val="italicus"/>
        </w:rPr>
        <w:t xml:space="preserve"> Et Verbum caro factum est</w:t>
      </w:r>
      <w:r w:rsidR="00C2602D" w:rsidRPr="00DC4586">
        <w:rPr>
          <w:rStyle w:val="italicus"/>
        </w:rPr>
        <w:t> ?</w:t>
      </w:r>
      <w:r w:rsidR="00432301">
        <w:rPr>
          <w:rFonts w:eastAsia="Arial Unicode MS"/>
          <w:bCs/>
          <w:lang w:eastAsia="fr-FR" w:bidi="he-IL"/>
        </w:rPr>
        <w:t xml:space="preserve"> La</w:t>
      </w:r>
      <w:r w:rsidRPr="00C8701B">
        <w:rPr>
          <w:rFonts w:eastAsia="Arial Unicode MS"/>
          <w:bCs/>
          <w:lang w:eastAsia="fr-FR" w:bidi="he-IL"/>
        </w:rPr>
        <w:t xml:space="preserve"> mère du Verbe incarné n</w:t>
      </w:r>
      <w:r w:rsidR="00557DE0">
        <w:rPr>
          <w:rFonts w:eastAsia="Arial Unicode MS"/>
          <w:bCs/>
          <w:lang w:eastAsia="fr-FR" w:bidi="he-IL"/>
        </w:rPr>
        <w:t>’</w:t>
      </w:r>
      <w:r w:rsidRPr="00C8701B">
        <w:rPr>
          <w:rFonts w:eastAsia="Arial Unicode MS"/>
          <w:bCs/>
          <w:lang w:eastAsia="fr-FR" w:bidi="he-IL"/>
        </w:rPr>
        <w:t>apparaît que deux fois dans le quatrième évangile</w:t>
      </w:r>
      <w:r w:rsidR="00E65435">
        <w:rPr>
          <w:rFonts w:eastAsia="Arial Unicode MS"/>
          <w:bCs/>
          <w:lang w:eastAsia="fr-FR" w:bidi="he-IL"/>
        </w:rPr>
        <w:t xml:space="preserve">, </w:t>
      </w:r>
      <w:r w:rsidR="00EF50FE">
        <w:rPr>
          <w:rFonts w:eastAsia="Arial Unicode MS"/>
          <w:bCs/>
          <w:lang w:eastAsia="fr-FR" w:bidi="he-IL"/>
        </w:rPr>
        <w:t>II</w:t>
      </w:r>
      <w:r w:rsidR="00E65435">
        <w:rPr>
          <w:rFonts w:eastAsia="Arial Unicode MS"/>
          <w:bCs/>
          <w:lang w:eastAsia="fr-FR" w:bidi="he-IL"/>
        </w:rPr>
        <w:t xml:space="preserve">, </w:t>
      </w:r>
      <w:r w:rsidRPr="00C8701B">
        <w:rPr>
          <w:rFonts w:eastAsia="Arial Unicode MS"/>
          <w:bCs/>
          <w:lang w:eastAsia="fr-FR" w:bidi="he-IL"/>
        </w:rPr>
        <w:t>3-5</w:t>
      </w:r>
      <w:r w:rsidR="00C2602D" w:rsidRPr="00C8701B">
        <w:rPr>
          <w:rFonts w:eastAsia="Arial Unicode MS"/>
          <w:bCs/>
          <w:lang w:eastAsia="fr-FR" w:bidi="he-IL"/>
        </w:rPr>
        <w:t> </w:t>
      </w:r>
      <w:r w:rsidR="007F6508">
        <w:rPr>
          <w:rFonts w:eastAsia="Arial Unicode MS"/>
          <w:bCs/>
          <w:lang w:eastAsia="fr-FR" w:bidi="he-IL"/>
        </w:rPr>
        <w:t xml:space="preserve">; </w:t>
      </w:r>
      <w:r w:rsidR="00FC445E">
        <w:rPr>
          <w:rFonts w:eastAsia="Arial Unicode MS"/>
          <w:bCs/>
          <w:lang w:eastAsia="fr-FR" w:bidi="he-IL"/>
        </w:rPr>
        <w:t>XIX</w:t>
      </w:r>
      <w:r w:rsidR="00E65435">
        <w:rPr>
          <w:rFonts w:eastAsia="Arial Unicode MS"/>
          <w:bCs/>
          <w:lang w:eastAsia="fr-FR" w:bidi="he-IL"/>
        </w:rPr>
        <w:t xml:space="preserve">, </w:t>
      </w:r>
      <w:r w:rsidRPr="00C8701B">
        <w:rPr>
          <w:rFonts w:eastAsia="Arial Unicode MS"/>
          <w:bCs/>
          <w:lang w:eastAsia="fr-FR" w:bidi="he-IL"/>
        </w:rPr>
        <w:t>25-27</w:t>
      </w:r>
      <w:r w:rsidR="00E65435">
        <w:rPr>
          <w:rFonts w:eastAsia="Arial Unicode MS"/>
          <w:bCs/>
          <w:lang w:eastAsia="fr-FR" w:bidi="he-IL"/>
        </w:rPr>
        <w:t xml:space="preserve">, </w:t>
      </w:r>
      <w:r w:rsidRPr="00C8701B">
        <w:rPr>
          <w:rFonts w:eastAsia="Arial Unicode MS"/>
          <w:bCs/>
          <w:lang w:eastAsia="fr-FR" w:bidi="he-IL"/>
        </w:rPr>
        <w:t>et d</w:t>
      </w:r>
      <w:r w:rsidR="00557DE0">
        <w:rPr>
          <w:rFonts w:eastAsia="Arial Unicode MS"/>
          <w:bCs/>
          <w:lang w:eastAsia="fr-FR" w:bidi="he-IL"/>
        </w:rPr>
        <w:t>’</w:t>
      </w:r>
      <w:r w:rsidRPr="00C8701B">
        <w:rPr>
          <w:rFonts w:eastAsia="Arial Unicode MS"/>
          <w:bCs/>
          <w:lang w:eastAsia="fr-FR" w:bidi="he-IL"/>
        </w:rPr>
        <w:t>une manière très rapide</w:t>
      </w:r>
      <w:r w:rsidR="00C2602D" w:rsidRPr="00C8701B">
        <w:rPr>
          <w:rFonts w:eastAsia="Arial Unicode MS"/>
          <w:bCs/>
          <w:lang w:eastAsia="fr-FR" w:bidi="he-IL"/>
        </w:rPr>
        <w:t> </w:t>
      </w:r>
      <w:r w:rsidR="007F6508">
        <w:rPr>
          <w:rFonts w:eastAsia="Arial Unicode MS"/>
          <w:bCs/>
          <w:lang w:eastAsia="fr-FR" w:bidi="he-IL"/>
        </w:rPr>
        <w:t xml:space="preserve">; </w:t>
      </w:r>
      <w:r w:rsidR="00C14040" w:rsidRPr="000716BB">
        <w:rPr>
          <w:rFonts w:eastAsia="Arial Unicode MS"/>
          <w:bCs/>
          <w:lang w:eastAsia="fr-FR" w:bidi="he-IL"/>
        </w:rPr>
        <w:t>{</w:t>
      </w:r>
      <w:r w:rsidR="00C14040">
        <w:rPr>
          <w:rFonts w:eastAsia="Arial Unicode MS"/>
          <w:bCs/>
          <w:lang w:eastAsia="fr-FR" w:bidi="he-IL"/>
        </w:rPr>
        <w:t>59</w:t>
      </w:r>
      <w:bookmarkStart w:id="96" w:name="pag059"/>
      <w:bookmarkEnd w:id="96"/>
      <w:r w:rsidR="00C14040" w:rsidRPr="000716BB">
        <w:rPr>
          <w:rFonts w:eastAsia="Arial Unicode MS"/>
          <w:bCs/>
          <w:lang w:eastAsia="fr-FR" w:bidi="he-IL"/>
        </w:rPr>
        <w:t xml:space="preserve">} </w:t>
      </w:r>
      <w:r w:rsidRPr="00C8701B">
        <w:rPr>
          <w:rFonts w:eastAsia="Arial Unicode MS"/>
          <w:bCs/>
          <w:lang w:eastAsia="fr-FR" w:bidi="he-IL"/>
        </w:rPr>
        <w:t>et pourtant</w:t>
      </w:r>
      <w:r w:rsidR="00E65435">
        <w:rPr>
          <w:rFonts w:eastAsia="Arial Unicode MS"/>
          <w:bCs/>
          <w:lang w:eastAsia="fr-FR" w:bidi="he-IL"/>
        </w:rPr>
        <w:t xml:space="preserve">, </w:t>
      </w:r>
      <w:r w:rsidRPr="00C8701B">
        <w:rPr>
          <w:rFonts w:eastAsia="Arial Unicode MS"/>
          <w:bCs/>
          <w:lang w:eastAsia="fr-FR" w:bidi="he-IL"/>
        </w:rPr>
        <w:t>ces quelques lignes supposent vraiment entre elle et son divin Fils les relations si douces et si intimes que S. Luc a parfaitement décrites</w:t>
      </w:r>
      <w:r w:rsidR="00933C60" w:rsidRPr="00C406FF">
        <w:rPr>
          <w:rStyle w:val="Appelnotedebasdep"/>
        </w:rPr>
        <w:footnoteReference w:id="309"/>
      </w:r>
      <w:r w:rsidRPr="00C8701B">
        <w:rPr>
          <w:rFonts w:eastAsia="Arial Unicode MS"/>
          <w:bCs/>
          <w:lang w:eastAsia="fr-FR" w:bidi="he-IL"/>
        </w:rPr>
        <w:t>. S. Joseph a aussi</w:t>
      </w:r>
      <w:r w:rsidR="00E65435">
        <w:rPr>
          <w:rFonts w:eastAsia="Arial Unicode MS"/>
          <w:bCs/>
          <w:lang w:eastAsia="fr-FR" w:bidi="he-IL"/>
        </w:rPr>
        <w:t xml:space="preserve">, </w:t>
      </w:r>
      <w:r w:rsidRPr="00C8701B">
        <w:rPr>
          <w:rFonts w:eastAsia="Arial Unicode MS"/>
          <w:bCs/>
          <w:lang w:eastAsia="fr-FR" w:bidi="he-IL"/>
        </w:rPr>
        <w:t>dans</w:t>
      </w:r>
      <w:r w:rsidR="005F36ED">
        <w:rPr>
          <w:rFonts w:eastAsia="Arial Unicode MS"/>
          <w:bCs/>
          <w:lang w:eastAsia="fr-FR" w:bidi="he-IL"/>
        </w:rPr>
        <w:t xml:space="preserve"> l</w:t>
      </w:r>
      <w:r w:rsidR="00557DE0">
        <w:rPr>
          <w:rFonts w:eastAsia="Arial Unicode MS"/>
          <w:bCs/>
          <w:lang w:eastAsia="fr-FR" w:bidi="he-IL"/>
        </w:rPr>
        <w:t>’</w:t>
      </w:r>
      <w:r w:rsidRPr="00C8701B">
        <w:rPr>
          <w:rFonts w:eastAsia="Arial Unicode MS"/>
          <w:bCs/>
          <w:lang w:eastAsia="fr-FR" w:bidi="he-IL"/>
        </w:rPr>
        <w:t>évangile selon S. Jean</w:t>
      </w:r>
      <w:r w:rsidR="00E65435">
        <w:rPr>
          <w:rFonts w:eastAsia="Arial Unicode MS"/>
          <w:bCs/>
          <w:lang w:eastAsia="fr-FR" w:bidi="he-IL"/>
        </w:rPr>
        <w:t xml:space="preserve">, </w:t>
      </w:r>
      <w:r w:rsidRPr="00C8701B">
        <w:rPr>
          <w:rFonts w:eastAsia="Arial Unicode MS"/>
          <w:bCs/>
          <w:lang w:eastAsia="fr-FR" w:bidi="he-IL"/>
        </w:rPr>
        <w:t>les mêmes relations avec Jésus que dans les synoptiques</w:t>
      </w:r>
      <w:r w:rsidR="00C2602D" w:rsidRPr="00C8701B">
        <w:rPr>
          <w:rFonts w:eastAsia="Arial Unicode MS"/>
          <w:bCs/>
          <w:lang w:eastAsia="fr-FR" w:bidi="he-IL"/>
        </w:rPr>
        <w:t> :</w:t>
      </w:r>
      <w:r w:rsidRPr="00C8701B">
        <w:rPr>
          <w:rFonts w:eastAsia="Arial Unicode MS"/>
          <w:bCs/>
          <w:lang w:eastAsia="fr-FR" w:bidi="he-IL"/>
        </w:rPr>
        <w:t xml:space="preserve"> il n</w:t>
      </w:r>
      <w:r w:rsidR="00557DE0">
        <w:rPr>
          <w:rFonts w:eastAsia="Arial Unicode MS"/>
          <w:bCs/>
          <w:lang w:eastAsia="fr-FR" w:bidi="he-IL"/>
        </w:rPr>
        <w:t>’</w:t>
      </w:r>
      <w:r w:rsidRPr="00C8701B">
        <w:rPr>
          <w:rFonts w:eastAsia="Arial Unicode MS"/>
          <w:bCs/>
          <w:lang w:eastAsia="fr-FR" w:bidi="he-IL"/>
        </w:rPr>
        <w:t>est que le protecteur</w:t>
      </w:r>
      <w:r w:rsidR="00E65435">
        <w:rPr>
          <w:rFonts w:eastAsia="Arial Unicode MS"/>
          <w:bCs/>
          <w:lang w:eastAsia="fr-FR" w:bidi="he-IL"/>
        </w:rPr>
        <w:t xml:space="preserve">, </w:t>
      </w:r>
      <w:r w:rsidRPr="00C8701B">
        <w:rPr>
          <w:rFonts w:eastAsia="Arial Unicode MS"/>
          <w:bCs/>
          <w:lang w:eastAsia="fr-FR" w:bidi="he-IL"/>
        </w:rPr>
        <w:t>le nourricier du Christ</w:t>
      </w:r>
      <w:r w:rsidR="00E65435">
        <w:rPr>
          <w:rFonts w:eastAsia="Arial Unicode MS"/>
          <w:bCs/>
          <w:lang w:eastAsia="fr-FR" w:bidi="he-IL"/>
        </w:rPr>
        <w:t xml:space="preserve">, </w:t>
      </w:r>
      <w:r w:rsidRPr="00C8701B">
        <w:rPr>
          <w:rFonts w:eastAsia="Arial Unicode MS"/>
          <w:bCs/>
          <w:lang w:eastAsia="fr-FR" w:bidi="he-IL"/>
        </w:rPr>
        <w:t>et il passe pour son père devant la foule. Cf. Joan.</w:t>
      </w:r>
      <w:r w:rsidR="00C21120">
        <w:rPr>
          <w:rFonts w:eastAsia="Arial Unicode MS"/>
          <w:bCs/>
          <w:lang w:eastAsia="fr-FR" w:bidi="he-IL"/>
        </w:rPr>
        <w:t xml:space="preserve"> I, </w:t>
      </w:r>
      <w:r w:rsidR="00C21120" w:rsidRPr="00C8701B">
        <w:rPr>
          <w:rFonts w:eastAsia="Arial Unicode MS"/>
          <w:bCs/>
          <w:lang w:eastAsia="fr-FR" w:bidi="he-IL"/>
        </w:rPr>
        <w:t>4</w:t>
      </w:r>
      <w:r w:rsidRPr="00C8701B">
        <w:rPr>
          <w:rFonts w:eastAsia="Arial Unicode MS"/>
          <w:bCs/>
          <w:lang w:eastAsia="fr-FR" w:bidi="he-IL"/>
        </w:rPr>
        <w:t>5</w:t>
      </w:r>
      <w:r w:rsidR="00C2602D" w:rsidRPr="00C8701B">
        <w:rPr>
          <w:rFonts w:eastAsia="Arial Unicode MS"/>
          <w:bCs/>
          <w:lang w:eastAsia="fr-FR" w:bidi="he-IL"/>
        </w:rPr>
        <w:t> </w:t>
      </w:r>
      <w:r w:rsidR="007F6508">
        <w:rPr>
          <w:rFonts w:eastAsia="Arial Unicode MS"/>
          <w:bCs/>
          <w:lang w:eastAsia="fr-FR" w:bidi="he-IL"/>
        </w:rPr>
        <w:t xml:space="preserve">; </w:t>
      </w:r>
      <w:r w:rsidR="00A319EA">
        <w:rPr>
          <w:rFonts w:eastAsia="Arial Unicode MS"/>
          <w:bCs/>
          <w:lang w:eastAsia="fr-FR" w:bidi="he-IL"/>
        </w:rPr>
        <w:t>VI</w:t>
      </w:r>
      <w:r w:rsidR="00E65435">
        <w:rPr>
          <w:rFonts w:eastAsia="Arial Unicode MS"/>
          <w:bCs/>
          <w:lang w:eastAsia="fr-FR" w:bidi="he-IL"/>
        </w:rPr>
        <w:t xml:space="preserve">, </w:t>
      </w:r>
      <w:r w:rsidRPr="00C8701B">
        <w:rPr>
          <w:rFonts w:eastAsia="Arial Unicode MS"/>
          <w:bCs/>
          <w:lang w:eastAsia="fr-FR" w:bidi="he-IL"/>
        </w:rPr>
        <w:t>42</w:t>
      </w:r>
      <w:r w:rsidR="00E65435">
        <w:rPr>
          <w:rFonts w:eastAsia="Arial Unicode MS"/>
          <w:bCs/>
          <w:lang w:eastAsia="fr-FR" w:bidi="he-IL"/>
        </w:rPr>
        <w:t xml:space="preserve">, </w:t>
      </w:r>
      <w:r w:rsidRPr="00C8701B">
        <w:rPr>
          <w:rFonts w:eastAsia="Arial Unicode MS"/>
          <w:bCs/>
          <w:lang w:eastAsia="fr-FR" w:bidi="he-IL"/>
        </w:rPr>
        <w:t xml:space="preserve">et Matth. </w:t>
      </w:r>
      <w:r w:rsidR="003A247F">
        <w:rPr>
          <w:rFonts w:eastAsia="Arial Unicode MS"/>
          <w:bCs/>
          <w:lang w:eastAsia="fr-FR" w:bidi="he-IL"/>
        </w:rPr>
        <w:t>XIII</w:t>
      </w:r>
      <w:r w:rsidR="00E65435">
        <w:rPr>
          <w:rFonts w:eastAsia="Arial Unicode MS"/>
          <w:bCs/>
          <w:lang w:eastAsia="fr-FR" w:bidi="he-IL"/>
        </w:rPr>
        <w:t xml:space="preserve">, </w:t>
      </w:r>
      <w:r w:rsidRPr="00C8701B">
        <w:rPr>
          <w:rFonts w:eastAsia="Arial Unicode MS"/>
          <w:bCs/>
          <w:lang w:eastAsia="fr-FR" w:bidi="he-IL"/>
        </w:rPr>
        <w:t>54-58 et parall.</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Le témoignage du Précurseur est le même de part et d</w:t>
      </w:r>
      <w:r w:rsidR="00557DE0">
        <w:rPr>
          <w:rFonts w:eastAsia="Arial Unicode MS"/>
          <w:bCs/>
          <w:lang w:eastAsia="fr-FR" w:bidi="he-IL"/>
        </w:rPr>
        <w:t>’</w:t>
      </w:r>
      <w:r w:rsidRPr="00C8701B">
        <w:rPr>
          <w:rFonts w:eastAsia="Arial Unicode MS"/>
          <w:bCs/>
          <w:lang w:eastAsia="fr-FR" w:bidi="he-IL"/>
        </w:rPr>
        <w:t>autre (Joan.</w:t>
      </w:r>
      <w:r w:rsidR="00C21120">
        <w:rPr>
          <w:rFonts w:eastAsia="Arial Unicode MS"/>
          <w:bCs/>
          <w:lang w:eastAsia="fr-FR" w:bidi="he-IL"/>
        </w:rPr>
        <w:t xml:space="preserve"> I, </w:t>
      </w:r>
      <w:r w:rsidR="00C21120" w:rsidRPr="00C8701B">
        <w:rPr>
          <w:rFonts w:eastAsia="Arial Unicode MS"/>
          <w:bCs/>
          <w:lang w:eastAsia="fr-FR" w:bidi="he-IL"/>
        </w:rPr>
        <w:t>1</w:t>
      </w:r>
      <w:r w:rsidRPr="00C8701B">
        <w:rPr>
          <w:rFonts w:eastAsia="Arial Unicode MS"/>
          <w:bCs/>
          <w:lang w:eastAsia="fr-FR" w:bidi="he-IL"/>
        </w:rPr>
        <w:t>9 et ss.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cf. Matth.</w:t>
      </w:r>
      <w:r w:rsidR="0017332F" w:rsidRPr="00C8701B">
        <w:rPr>
          <w:rFonts w:eastAsia="Arial Unicode MS"/>
          <w:bCs/>
          <w:lang w:eastAsia="fr-FR" w:bidi="he-IL"/>
        </w:rPr>
        <w:t xml:space="preserve"> III</w:t>
      </w:r>
      <w:r w:rsidR="00E65435">
        <w:rPr>
          <w:rFonts w:eastAsia="Arial Unicode MS"/>
          <w:bCs/>
          <w:lang w:eastAsia="fr-FR" w:bidi="he-IL"/>
        </w:rPr>
        <w:t xml:space="preserve">, </w:t>
      </w:r>
      <w:r w:rsidRPr="00C8701B">
        <w:rPr>
          <w:rFonts w:eastAsia="Arial Unicode MS"/>
          <w:bCs/>
          <w:lang w:eastAsia="fr-FR" w:bidi="he-IL"/>
        </w:rPr>
        <w:t>1 et ss.</w:t>
      </w:r>
      <w:r w:rsidR="00E65435">
        <w:rPr>
          <w:rFonts w:eastAsia="Arial Unicode MS"/>
          <w:bCs/>
          <w:lang w:eastAsia="fr-FR" w:bidi="he-IL"/>
        </w:rPr>
        <w:t xml:space="preserve">, </w:t>
      </w:r>
      <w:r w:rsidRPr="00C8701B">
        <w:rPr>
          <w:rFonts w:eastAsia="Arial Unicode MS"/>
          <w:bCs/>
          <w:lang w:eastAsia="fr-FR" w:bidi="he-IL"/>
        </w:rPr>
        <w:t xml:space="preserve">et les </w:t>
      </w:r>
      <w:r w:rsidR="00D62373" w:rsidRPr="00C8701B">
        <w:rPr>
          <w:rFonts w:eastAsia="Arial Unicode MS"/>
          <w:bCs/>
          <w:lang w:eastAsia="fr-FR" w:bidi="he-IL"/>
        </w:rPr>
        <w:t>passages</w:t>
      </w:r>
      <w:r w:rsidRPr="00C8701B">
        <w:rPr>
          <w:rFonts w:eastAsia="Arial Unicode MS"/>
          <w:bCs/>
          <w:lang w:eastAsia="fr-FR" w:bidi="he-IL"/>
        </w:rPr>
        <w:t xml:space="preserve"> parallèles de S. Marc et de S. Luc). S. Jean ne raconte pas explicitement le baptême de Jésus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mais une déclaration du Précurseur</w:t>
      </w:r>
      <w:r w:rsidR="00933C60" w:rsidRPr="00C406FF">
        <w:rPr>
          <w:rStyle w:val="Appelnotedebasdep"/>
        </w:rPr>
        <w:footnoteReference w:id="310"/>
      </w:r>
      <w:r w:rsidRPr="00C8701B">
        <w:rPr>
          <w:rFonts w:eastAsia="Arial Unicode MS"/>
          <w:bCs/>
          <w:lang w:eastAsia="fr-FR" w:bidi="he-IL"/>
        </w:rPr>
        <w:t xml:space="preserve"> nous rappelle de la façon la plus nette cet important épisode. Le passage Joan</w:t>
      </w:r>
      <w:r w:rsidR="001157C4">
        <w:rPr>
          <w:rFonts w:eastAsia="Arial Unicode MS"/>
          <w:bCs/>
          <w:lang w:eastAsia="fr-FR" w:bidi="he-IL"/>
        </w:rPr>
        <w:t>. VII,</w:t>
      </w:r>
      <w:r w:rsidR="00E65435">
        <w:rPr>
          <w:rFonts w:eastAsia="Arial Unicode MS"/>
          <w:bCs/>
          <w:lang w:eastAsia="fr-FR" w:bidi="he-IL"/>
        </w:rPr>
        <w:t xml:space="preserve"> </w:t>
      </w:r>
      <w:r w:rsidR="00432301">
        <w:rPr>
          <w:rFonts w:eastAsia="Arial Unicode MS"/>
          <w:bCs/>
          <w:lang w:eastAsia="fr-FR" w:bidi="he-IL"/>
        </w:rPr>
        <w:t>41</w:t>
      </w:r>
      <w:r w:rsidRPr="00C8701B">
        <w:rPr>
          <w:rFonts w:eastAsia="Arial Unicode MS"/>
          <w:bCs/>
          <w:lang w:eastAsia="fr-FR" w:bidi="he-IL"/>
        </w:rPr>
        <w:t>-42 n</w:t>
      </w:r>
      <w:r w:rsidR="00557DE0">
        <w:rPr>
          <w:rFonts w:eastAsia="Arial Unicode MS"/>
          <w:bCs/>
          <w:lang w:eastAsia="fr-FR" w:bidi="he-IL"/>
        </w:rPr>
        <w:t>’</w:t>
      </w:r>
      <w:r w:rsidRPr="00C8701B">
        <w:rPr>
          <w:rFonts w:eastAsia="Arial Unicode MS"/>
          <w:bCs/>
          <w:lang w:eastAsia="fr-FR" w:bidi="he-IL"/>
        </w:rPr>
        <w:t>établit pas moins clairement la différence qui existait entre le lieu de la naissance de Jésus-Christ</w:t>
      </w:r>
      <w:r w:rsidR="00E65435">
        <w:rPr>
          <w:rFonts w:eastAsia="Arial Unicode MS"/>
          <w:bCs/>
          <w:lang w:eastAsia="fr-FR" w:bidi="he-IL"/>
        </w:rPr>
        <w:t xml:space="preserve">, </w:t>
      </w:r>
      <w:r w:rsidRPr="00C8701B">
        <w:rPr>
          <w:rFonts w:eastAsia="Arial Unicode MS"/>
          <w:bCs/>
          <w:lang w:eastAsia="fr-FR" w:bidi="he-IL"/>
        </w:rPr>
        <w:t>et la Galilée</w:t>
      </w:r>
      <w:r w:rsidR="00E65435">
        <w:rPr>
          <w:rFonts w:eastAsia="Arial Unicode MS"/>
          <w:bCs/>
          <w:lang w:eastAsia="fr-FR" w:bidi="he-IL"/>
        </w:rPr>
        <w:t xml:space="preserve">, </w:t>
      </w:r>
      <w:r w:rsidRPr="00C8701B">
        <w:rPr>
          <w:rFonts w:eastAsia="Arial Unicode MS"/>
          <w:bCs/>
          <w:lang w:eastAsia="fr-FR" w:bidi="he-IL"/>
        </w:rPr>
        <w:t>où il passa la plus grande partie de sa vie</w:t>
      </w:r>
      <w:r w:rsidR="00C2602D" w:rsidRPr="00C8701B">
        <w:rPr>
          <w:rFonts w:eastAsia="Arial Unicode MS"/>
          <w:bCs/>
          <w:lang w:eastAsia="fr-FR" w:bidi="he-IL"/>
        </w:rPr>
        <w:t> :</w:t>
      </w:r>
      <w:r w:rsidRPr="00C8701B">
        <w:rPr>
          <w:rFonts w:eastAsia="Arial Unicode MS"/>
          <w:bCs/>
          <w:lang w:eastAsia="fr-FR" w:bidi="he-IL"/>
        </w:rPr>
        <w:t xml:space="preserve"> différence que les synoptiques avaient exposée en termes plus complets.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Joan</w:t>
      </w:r>
      <w:r w:rsidR="00DD17CA" w:rsidRPr="00C8701B">
        <w:rPr>
          <w:rFonts w:eastAsia="Arial Unicode MS"/>
          <w:bCs/>
          <w:lang w:eastAsia="fr-FR" w:bidi="he-IL"/>
        </w:rPr>
        <w:t xml:space="preserve">. </w:t>
      </w:r>
      <w:r w:rsidR="00A319EA">
        <w:rPr>
          <w:rFonts w:eastAsia="Arial Unicode MS"/>
          <w:bCs/>
          <w:lang w:eastAsia="fr-FR" w:bidi="he-IL"/>
        </w:rPr>
        <w:t>VI</w:t>
      </w:r>
      <w:r w:rsidR="00E65435">
        <w:rPr>
          <w:rFonts w:eastAsia="Arial Unicode MS"/>
          <w:bCs/>
          <w:lang w:eastAsia="fr-FR" w:bidi="he-IL"/>
        </w:rPr>
        <w:t xml:space="preserve">, </w:t>
      </w:r>
      <w:r w:rsidRPr="00C8701B">
        <w:rPr>
          <w:rFonts w:eastAsia="Arial Unicode MS"/>
          <w:bCs/>
          <w:lang w:eastAsia="fr-FR" w:bidi="he-IL"/>
        </w:rPr>
        <w:t>71</w:t>
      </w:r>
      <w:r w:rsidR="00E65435">
        <w:rPr>
          <w:rFonts w:eastAsia="Arial Unicode MS"/>
          <w:bCs/>
          <w:lang w:eastAsia="fr-FR" w:bidi="he-IL"/>
        </w:rPr>
        <w:t xml:space="preserve">, </w:t>
      </w:r>
      <w:r w:rsidRPr="00C8701B">
        <w:rPr>
          <w:rFonts w:eastAsia="Arial Unicode MS"/>
          <w:bCs/>
          <w:lang w:eastAsia="fr-FR" w:bidi="he-IL"/>
        </w:rPr>
        <w:t xml:space="preserve">il est question des </w:t>
      </w:r>
      <w:r w:rsidR="00C2602D" w:rsidRPr="00C8701B">
        <w:rPr>
          <w:rFonts w:eastAsia="Arial Unicode MS"/>
          <w:bCs/>
          <w:lang w:eastAsia="fr-FR" w:bidi="he-IL"/>
        </w:rPr>
        <w:t>« </w:t>
      </w:r>
      <w:r w:rsidRPr="00C8701B">
        <w:rPr>
          <w:rFonts w:eastAsia="Arial Unicode MS"/>
          <w:bCs/>
          <w:lang w:eastAsia="fr-FR" w:bidi="he-IL"/>
        </w:rPr>
        <w:t>Douze</w:t>
      </w:r>
      <w:r w:rsidR="00C2602D" w:rsidRPr="00C8701B">
        <w:rPr>
          <w:rFonts w:eastAsia="Arial Unicode MS"/>
          <w:bCs/>
          <w:lang w:eastAsia="fr-FR" w:bidi="he-IL"/>
        </w:rPr>
        <w:t> »</w:t>
      </w:r>
      <w:r w:rsidR="00E65435">
        <w:rPr>
          <w:rFonts w:eastAsia="Arial Unicode MS"/>
          <w:bCs/>
          <w:lang w:eastAsia="fr-FR" w:bidi="he-IL"/>
        </w:rPr>
        <w:t xml:space="preserve">, </w:t>
      </w:r>
      <w:r w:rsidRPr="00C8701B">
        <w:rPr>
          <w:rFonts w:eastAsia="Arial Unicode MS"/>
          <w:bCs/>
          <w:lang w:eastAsia="fr-FR" w:bidi="he-IL"/>
        </w:rPr>
        <w:t>et plus loin</w:t>
      </w:r>
      <w:r w:rsidR="00E65435">
        <w:rPr>
          <w:rFonts w:eastAsia="Arial Unicode MS"/>
          <w:bCs/>
          <w:lang w:eastAsia="fr-FR" w:bidi="he-IL"/>
        </w:rPr>
        <w:t xml:space="preserve">, </w:t>
      </w:r>
      <w:r w:rsidRPr="00C8701B">
        <w:rPr>
          <w:rFonts w:eastAsia="Arial Unicode MS"/>
          <w:bCs/>
          <w:lang w:eastAsia="fr-FR" w:bidi="he-IL"/>
        </w:rPr>
        <w:t>Joan.</w:t>
      </w:r>
      <w:r w:rsidR="0017332F" w:rsidRPr="00C8701B">
        <w:rPr>
          <w:rFonts w:eastAsia="Arial Unicode MS"/>
          <w:bCs/>
          <w:lang w:eastAsia="fr-FR" w:bidi="he-IL"/>
        </w:rPr>
        <w:t xml:space="preserve"> XXI</w:t>
      </w:r>
      <w:r w:rsidR="00E65435">
        <w:rPr>
          <w:rFonts w:eastAsia="Arial Unicode MS"/>
          <w:bCs/>
          <w:lang w:eastAsia="fr-FR" w:bidi="he-IL"/>
        </w:rPr>
        <w:t xml:space="preserve">, </w:t>
      </w:r>
      <w:r w:rsidRPr="00C8701B">
        <w:rPr>
          <w:rFonts w:eastAsia="Arial Unicode MS"/>
          <w:bCs/>
          <w:lang w:eastAsia="fr-FR" w:bidi="he-IL"/>
        </w:rPr>
        <w:t>2</w:t>
      </w:r>
      <w:r w:rsidR="00E65435">
        <w:rPr>
          <w:rFonts w:eastAsia="Arial Unicode MS"/>
          <w:bCs/>
          <w:lang w:eastAsia="fr-FR" w:bidi="he-IL"/>
        </w:rPr>
        <w:t xml:space="preserve">, </w:t>
      </w:r>
      <w:r w:rsidRPr="00C8701B">
        <w:rPr>
          <w:rFonts w:eastAsia="Arial Unicode MS"/>
          <w:bCs/>
          <w:lang w:eastAsia="fr-FR" w:bidi="he-IL"/>
        </w:rPr>
        <w:t xml:space="preserve">des </w:t>
      </w:r>
      <w:r w:rsidR="00C2602D" w:rsidRPr="00C8701B">
        <w:rPr>
          <w:rFonts w:eastAsia="Arial Unicode MS"/>
          <w:bCs/>
          <w:lang w:eastAsia="fr-FR" w:bidi="he-IL"/>
        </w:rPr>
        <w:t>« </w:t>
      </w:r>
      <w:r w:rsidRPr="00C8701B">
        <w:rPr>
          <w:rFonts w:eastAsia="Arial Unicode MS"/>
          <w:bCs/>
          <w:lang w:eastAsia="fr-FR" w:bidi="he-IL"/>
        </w:rPr>
        <w:t>fils de Zébédée</w:t>
      </w:r>
      <w:r w:rsidR="00C2602D" w:rsidRPr="00C8701B">
        <w:rPr>
          <w:rFonts w:eastAsia="Arial Unicode MS"/>
          <w:bCs/>
          <w:lang w:eastAsia="fr-FR" w:bidi="he-IL"/>
        </w:rPr>
        <w:t> »</w:t>
      </w:r>
      <w:r w:rsidR="00E65435">
        <w:rPr>
          <w:rFonts w:eastAsia="Arial Unicode MS"/>
          <w:bCs/>
          <w:lang w:eastAsia="fr-FR" w:bidi="he-IL"/>
        </w:rPr>
        <w:t xml:space="preserve">, </w:t>
      </w:r>
      <w:r w:rsidRPr="00C8701B">
        <w:rPr>
          <w:rFonts w:eastAsia="Arial Unicode MS"/>
          <w:bCs/>
          <w:lang w:eastAsia="fr-FR" w:bidi="he-IL"/>
        </w:rPr>
        <w:t>sans aucun autre détail. C</w:t>
      </w:r>
      <w:r w:rsidR="00557DE0">
        <w:rPr>
          <w:rFonts w:eastAsia="Arial Unicode MS"/>
          <w:bCs/>
          <w:lang w:eastAsia="fr-FR" w:bidi="he-IL"/>
        </w:rPr>
        <w:t>’</w:t>
      </w:r>
      <w:r w:rsidRPr="00C8701B">
        <w:rPr>
          <w:rFonts w:eastAsia="Arial Unicode MS"/>
          <w:bCs/>
          <w:lang w:eastAsia="fr-FR" w:bidi="he-IL"/>
        </w:rPr>
        <w:t>est que l</w:t>
      </w:r>
      <w:r w:rsidR="00557DE0">
        <w:rPr>
          <w:rFonts w:eastAsia="Arial Unicode MS"/>
          <w:bCs/>
          <w:lang w:eastAsia="fr-FR" w:bidi="he-IL"/>
        </w:rPr>
        <w:t>’</w:t>
      </w:r>
      <w:r w:rsidRPr="00C8701B">
        <w:rPr>
          <w:rFonts w:eastAsia="Arial Unicode MS"/>
          <w:bCs/>
          <w:lang w:eastAsia="fr-FR" w:bidi="he-IL"/>
        </w:rPr>
        <w:t>auteur du quatrième évangile savait ces personnages suffisamment connus</w:t>
      </w:r>
      <w:r w:rsidR="00E65435">
        <w:rPr>
          <w:rFonts w:eastAsia="Arial Unicode MS"/>
          <w:bCs/>
          <w:lang w:eastAsia="fr-FR" w:bidi="he-IL"/>
        </w:rPr>
        <w:t xml:space="preserve">, </w:t>
      </w:r>
      <w:r w:rsidRPr="00C8701B">
        <w:rPr>
          <w:rFonts w:eastAsia="Arial Unicode MS"/>
          <w:bCs/>
          <w:lang w:eastAsia="fr-FR" w:bidi="he-IL"/>
        </w:rPr>
        <w:t>grâce aux écrits de ses devanciers.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Ailleurs</w:t>
      </w:r>
      <w:r w:rsidR="00E65435">
        <w:rPr>
          <w:rFonts w:eastAsia="Arial Unicode MS"/>
          <w:bCs/>
          <w:lang w:eastAsia="fr-FR" w:bidi="he-IL"/>
        </w:rPr>
        <w:t xml:space="preserve">, </w:t>
      </w:r>
      <w:r w:rsidRPr="00C8701B">
        <w:rPr>
          <w:rFonts w:eastAsia="Arial Unicode MS"/>
          <w:bCs/>
          <w:lang w:eastAsia="fr-FR" w:bidi="he-IL"/>
        </w:rPr>
        <w:t>Joan</w:t>
      </w:r>
      <w:r w:rsidR="001157C4">
        <w:rPr>
          <w:rFonts w:eastAsia="Arial Unicode MS"/>
          <w:bCs/>
          <w:lang w:eastAsia="fr-FR" w:bidi="he-IL"/>
        </w:rPr>
        <w:t xml:space="preserve">. </w:t>
      </w:r>
      <w:r w:rsidR="0096281A">
        <w:rPr>
          <w:rFonts w:eastAsia="Arial Unicode MS"/>
          <w:bCs/>
          <w:lang w:eastAsia="fr-FR" w:bidi="he-IL"/>
        </w:rPr>
        <w:t>IV</w:t>
      </w:r>
      <w:r w:rsidR="001157C4">
        <w:rPr>
          <w:rFonts w:eastAsia="Arial Unicode MS"/>
          <w:bCs/>
          <w:lang w:eastAsia="fr-FR" w:bidi="he-IL"/>
        </w:rPr>
        <w:t>,</w:t>
      </w:r>
      <w:r w:rsidR="00E65435">
        <w:rPr>
          <w:rFonts w:eastAsia="Arial Unicode MS"/>
          <w:bCs/>
          <w:lang w:eastAsia="fr-FR" w:bidi="he-IL"/>
        </w:rPr>
        <w:t xml:space="preserve"> </w:t>
      </w:r>
      <w:r w:rsidRPr="00C8701B">
        <w:rPr>
          <w:rFonts w:eastAsia="Arial Unicode MS"/>
          <w:bCs/>
          <w:lang w:eastAsia="fr-FR" w:bidi="he-IL"/>
        </w:rPr>
        <w:t>44</w:t>
      </w:r>
      <w:r w:rsidR="00E65435">
        <w:rPr>
          <w:rFonts w:eastAsia="Arial Unicode MS"/>
          <w:bCs/>
          <w:lang w:eastAsia="fr-FR" w:bidi="he-IL"/>
        </w:rPr>
        <w:t xml:space="preserve">, </w:t>
      </w:r>
      <w:r w:rsidRPr="00C8701B">
        <w:rPr>
          <w:rFonts w:eastAsia="Arial Unicode MS"/>
          <w:bCs/>
          <w:lang w:eastAsia="fr-FR" w:bidi="he-IL"/>
        </w:rPr>
        <w:t>n</w:t>
      </w:r>
      <w:r w:rsidR="00557DE0">
        <w:rPr>
          <w:rFonts w:eastAsia="Arial Unicode MS"/>
          <w:bCs/>
          <w:lang w:eastAsia="fr-FR" w:bidi="he-IL"/>
        </w:rPr>
        <w:t>’</w:t>
      </w:r>
      <w:r w:rsidRPr="00C8701B">
        <w:rPr>
          <w:rFonts w:eastAsia="Arial Unicode MS"/>
          <w:bCs/>
          <w:lang w:eastAsia="fr-FR" w:bidi="he-IL"/>
        </w:rPr>
        <w:t>avons-nous pas une réminiscence visible de l</w:t>
      </w:r>
      <w:r w:rsidR="00557DE0">
        <w:rPr>
          <w:rFonts w:eastAsia="Arial Unicode MS"/>
          <w:bCs/>
          <w:lang w:eastAsia="fr-FR" w:bidi="he-IL"/>
        </w:rPr>
        <w:t>’</w:t>
      </w:r>
      <w:r w:rsidRPr="00C8701B">
        <w:rPr>
          <w:rFonts w:eastAsia="Arial Unicode MS"/>
          <w:bCs/>
          <w:lang w:eastAsia="fr-FR" w:bidi="he-IL"/>
        </w:rPr>
        <w:t>indigne traitement que le Sauveur reçut de ses compatriotes</w:t>
      </w:r>
      <w:r w:rsidR="00933C60" w:rsidRPr="00C406FF">
        <w:rPr>
          <w:rStyle w:val="Appelnotedebasdep"/>
        </w:rPr>
        <w:footnoteReference w:id="311"/>
      </w:r>
      <w:r w:rsidR="00C2602D" w:rsidRPr="00C8701B">
        <w:rPr>
          <w:rFonts w:eastAsia="Arial Unicode MS"/>
          <w:bCs/>
          <w:lang w:eastAsia="fr-FR" w:bidi="he-IL"/>
        </w:rPr>
        <w:t xml:space="preserve"> ? </w:t>
      </w:r>
    </w:p>
    <w:p w:rsidR="00C2602D" w:rsidRPr="00C8701B" w:rsidRDefault="00B704AD" w:rsidP="00C2602D">
      <w:pPr>
        <w:rPr>
          <w:rFonts w:eastAsia="Arial Unicode MS"/>
          <w:bCs/>
          <w:lang w:eastAsia="fr-FR" w:bidi="he-IL"/>
        </w:rPr>
      </w:pPr>
      <w:r w:rsidRPr="00C8701B">
        <w:rPr>
          <w:rFonts w:eastAsia="Arial Unicode MS"/>
          <w:bCs/>
          <w:lang w:eastAsia="fr-FR" w:bidi="he-IL"/>
        </w:rPr>
        <w:t>La note Joan.</w:t>
      </w:r>
      <w:r w:rsidR="0017332F" w:rsidRPr="00C8701B">
        <w:rPr>
          <w:rFonts w:eastAsia="Arial Unicode MS"/>
          <w:bCs/>
          <w:lang w:eastAsia="fr-FR" w:bidi="he-IL"/>
        </w:rPr>
        <w:t xml:space="preserve"> III</w:t>
      </w:r>
      <w:r w:rsidR="00E65435">
        <w:rPr>
          <w:rFonts w:eastAsia="Arial Unicode MS"/>
          <w:bCs/>
          <w:lang w:eastAsia="fr-FR" w:bidi="he-IL"/>
        </w:rPr>
        <w:t xml:space="preserve">, </w:t>
      </w:r>
      <w:r w:rsidRPr="00C8701B">
        <w:rPr>
          <w:rFonts w:eastAsia="Arial Unicode MS"/>
          <w:bCs/>
          <w:lang w:eastAsia="fr-FR" w:bidi="he-IL"/>
        </w:rPr>
        <w:t>24</w:t>
      </w:r>
      <w:r w:rsidR="00E65435">
        <w:rPr>
          <w:rFonts w:eastAsia="Arial Unicode MS"/>
          <w:bCs/>
          <w:lang w:eastAsia="fr-FR" w:bidi="he-IL"/>
        </w:rPr>
        <w:t xml:space="preserve">, </w:t>
      </w:r>
      <w:r w:rsidR="00E9329E">
        <w:rPr>
          <w:rStyle w:val="italicus"/>
        </w:rPr>
        <w:t>nondum enim missus fúerat Joán</w:t>
      </w:r>
      <w:r w:rsidR="00E9329E" w:rsidRPr="00DC4586">
        <w:rPr>
          <w:rStyle w:val="italicus"/>
        </w:rPr>
        <w:t>nes</w:t>
      </w:r>
      <w:r w:rsidRPr="00DC4586">
        <w:rPr>
          <w:rStyle w:val="italicus"/>
        </w:rPr>
        <w:t xml:space="preserve"> in </w:t>
      </w:r>
      <w:r w:rsidR="00E9329E" w:rsidRPr="00DC4586">
        <w:rPr>
          <w:rStyle w:val="italicus"/>
        </w:rPr>
        <w:t>cárcerem</w:t>
      </w:r>
      <w:r w:rsidR="00E65435">
        <w:rPr>
          <w:rStyle w:val="italicus"/>
        </w:rPr>
        <w:t xml:space="preserve">, </w:t>
      </w:r>
      <w:r w:rsidRPr="00C8701B">
        <w:rPr>
          <w:rFonts w:eastAsia="Arial Unicode MS"/>
          <w:bCs/>
          <w:lang w:eastAsia="fr-FR" w:bidi="he-IL"/>
        </w:rPr>
        <w:t>ne s</w:t>
      </w:r>
      <w:r w:rsidR="00557DE0">
        <w:rPr>
          <w:rFonts w:eastAsia="Arial Unicode MS"/>
          <w:bCs/>
          <w:lang w:eastAsia="fr-FR" w:bidi="he-IL"/>
        </w:rPr>
        <w:t>’</w:t>
      </w:r>
      <w:r w:rsidRPr="00C8701B">
        <w:rPr>
          <w:rFonts w:eastAsia="Arial Unicode MS"/>
          <w:bCs/>
          <w:lang w:eastAsia="fr-FR" w:bidi="he-IL"/>
        </w:rPr>
        <w:t>explique qu</w:t>
      </w:r>
      <w:r w:rsidR="00557DE0">
        <w:rPr>
          <w:rFonts w:eastAsia="Arial Unicode MS"/>
          <w:bCs/>
          <w:lang w:eastAsia="fr-FR" w:bidi="he-IL"/>
        </w:rPr>
        <w:t>’</w:t>
      </w:r>
      <w:r w:rsidRPr="00C8701B">
        <w:rPr>
          <w:rFonts w:eastAsia="Arial Unicode MS"/>
          <w:bCs/>
          <w:lang w:eastAsia="fr-FR" w:bidi="he-IL"/>
        </w:rPr>
        <w:t>autant qu</w:t>
      </w:r>
      <w:r w:rsidR="00557DE0">
        <w:rPr>
          <w:rFonts w:eastAsia="Arial Unicode MS"/>
          <w:bCs/>
          <w:lang w:eastAsia="fr-FR" w:bidi="he-IL"/>
        </w:rPr>
        <w:t>’</w:t>
      </w:r>
      <w:r w:rsidRPr="00C8701B">
        <w:rPr>
          <w:rFonts w:eastAsia="Arial Unicode MS"/>
          <w:bCs/>
          <w:lang w:eastAsia="fr-FR" w:bidi="he-IL"/>
        </w:rPr>
        <w:t>elle résume les narrations plus explicites des autres évangélistes sur l</w:t>
      </w:r>
      <w:r w:rsidR="00557DE0">
        <w:rPr>
          <w:rFonts w:eastAsia="Arial Unicode MS"/>
          <w:bCs/>
          <w:lang w:eastAsia="fr-FR" w:bidi="he-IL"/>
        </w:rPr>
        <w:t>’</w:t>
      </w:r>
      <w:r w:rsidRPr="00C8701B">
        <w:rPr>
          <w:rFonts w:eastAsia="Arial Unicode MS"/>
          <w:bCs/>
          <w:lang w:eastAsia="fr-FR" w:bidi="he-IL"/>
        </w:rPr>
        <w:t>emprisonnement de Jean-Baptiste.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On a prétendu que</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après S. Jean</w:t>
      </w:r>
      <w:r w:rsidR="00E65435">
        <w:rPr>
          <w:rFonts w:eastAsia="Arial Unicode MS"/>
          <w:bCs/>
          <w:lang w:eastAsia="fr-FR" w:bidi="he-IL"/>
        </w:rPr>
        <w:t xml:space="preserve">, </w:t>
      </w:r>
      <w:r w:rsidRPr="00C8701B">
        <w:rPr>
          <w:rFonts w:eastAsia="Arial Unicode MS"/>
          <w:bCs/>
          <w:lang w:eastAsia="fr-FR" w:bidi="he-IL"/>
        </w:rPr>
        <w:t>le ministère de N.-S. Jésus-Christ ne s</w:t>
      </w:r>
      <w:r w:rsidR="00557DE0">
        <w:rPr>
          <w:rFonts w:eastAsia="Arial Unicode MS"/>
          <w:bCs/>
          <w:lang w:eastAsia="fr-FR" w:bidi="he-IL"/>
        </w:rPr>
        <w:t>’</w:t>
      </w:r>
      <w:r w:rsidRPr="00C8701B">
        <w:rPr>
          <w:rFonts w:eastAsia="Arial Unicode MS"/>
          <w:bCs/>
          <w:lang w:eastAsia="fr-FR" w:bidi="he-IL"/>
        </w:rPr>
        <w:t>exerça qu</w:t>
      </w:r>
      <w:r w:rsidR="00557DE0">
        <w:rPr>
          <w:rFonts w:eastAsia="Arial Unicode MS"/>
          <w:bCs/>
          <w:lang w:eastAsia="fr-FR" w:bidi="he-IL"/>
        </w:rPr>
        <w:t>’</w:t>
      </w:r>
      <w:r w:rsidRPr="00C8701B">
        <w:rPr>
          <w:rFonts w:eastAsia="Arial Unicode MS"/>
          <w:bCs/>
          <w:lang w:eastAsia="fr-FR" w:bidi="he-IL"/>
        </w:rPr>
        <w:t>en Judée et à Jérusalem</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mais les traits suivants</w:t>
      </w:r>
      <w:r w:rsidR="00E65435">
        <w:rPr>
          <w:rFonts w:eastAsia="Arial Unicode MS"/>
          <w:bCs/>
          <w:lang w:eastAsia="fr-FR" w:bidi="he-IL"/>
        </w:rPr>
        <w:t xml:space="preserve">, </w:t>
      </w:r>
      <w:r w:rsidRPr="00C8701B">
        <w:rPr>
          <w:rFonts w:eastAsia="Arial Unicode MS"/>
          <w:bCs/>
          <w:lang w:eastAsia="fr-FR" w:bidi="he-IL"/>
        </w:rPr>
        <w:t>Joan</w:t>
      </w:r>
      <w:r w:rsidR="00DD17CA" w:rsidRPr="00C8701B">
        <w:rPr>
          <w:rFonts w:eastAsia="Arial Unicode MS"/>
          <w:bCs/>
          <w:lang w:eastAsia="fr-FR" w:bidi="he-IL"/>
        </w:rPr>
        <w:t xml:space="preserve">. </w:t>
      </w:r>
      <w:r w:rsidR="00A319EA">
        <w:rPr>
          <w:rFonts w:eastAsia="Arial Unicode MS"/>
          <w:bCs/>
          <w:lang w:eastAsia="fr-FR" w:bidi="he-IL"/>
        </w:rPr>
        <w:t>VI</w:t>
      </w:r>
      <w:r w:rsidR="00E65435">
        <w:rPr>
          <w:rFonts w:eastAsia="Arial Unicode MS"/>
          <w:bCs/>
          <w:lang w:eastAsia="fr-FR" w:bidi="he-IL"/>
        </w:rPr>
        <w:t xml:space="preserve">, </w:t>
      </w:r>
      <w:r w:rsidRPr="00C8701B">
        <w:rPr>
          <w:rFonts w:eastAsia="Arial Unicode MS"/>
          <w:bCs/>
          <w:lang w:eastAsia="fr-FR" w:bidi="he-IL"/>
        </w:rPr>
        <w:t>2</w:t>
      </w:r>
      <w:r w:rsidR="00C2602D" w:rsidRPr="00C8701B">
        <w:rPr>
          <w:rFonts w:eastAsia="Arial Unicode MS"/>
          <w:bCs/>
          <w:lang w:eastAsia="fr-FR" w:bidi="he-IL"/>
        </w:rPr>
        <w:t> </w:t>
      </w:r>
      <w:r w:rsidR="007F6508">
        <w:rPr>
          <w:rFonts w:eastAsia="Arial Unicode MS"/>
          <w:bCs/>
          <w:lang w:eastAsia="fr-FR" w:bidi="he-IL"/>
        </w:rPr>
        <w:t xml:space="preserve">; </w:t>
      </w:r>
      <w:r w:rsidR="00A964CD">
        <w:rPr>
          <w:rFonts w:eastAsia="Arial Unicode MS"/>
          <w:bCs/>
          <w:lang w:eastAsia="fr-FR" w:bidi="he-IL"/>
        </w:rPr>
        <w:t>VII</w:t>
      </w:r>
      <w:r w:rsidR="00E65435">
        <w:rPr>
          <w:rFonts w:eastAsia="Arial Unicode MS"/>
          <w:bCs/>
          <w:lang w:eastAsia="fr-FR" w:bidi="he-IL"/>
        </w:rPr>
        <w:t>,</w:t>
      </w:r>
      <w:r w:rsidR="00C21120">
        <w:rPr>
          <w:rFonts w:eastAsia="Arial Unicode MS"/>
          <w:bCs/>
          <w:lang w:eastAsia="fr-FR" w:bidi="he-IL"/>
        </w:rPr>
        <w:t xml:space="preserve"> I, </w:t>
      </w:r>
      <w:r w:rsidR="00C21120" w:rsidRPr="00C8701B">
        <w:rPr>
          <w:rFonts w:eastAsia="Arial Unicode MS"/>
          <w:bCs/>
          <w:lang w:eastAsia="fr-FR" w:bidi="he-IL"/>
        </w:rPr>
        <w:t>3</w:t>
      </w:r>
      <w:r w:rsidR="00C2602D" w:rsidRPr="00C8701B">
        <w:rPr>
          <w:rFonts w:eastAsia="Arial Unicode MS"/>
          <w:bCs/>
          <w:lang w:eastAsia="fr-FR" w:bidi="he-IL"/>
        </w:rPr>
        <w:t> </w:t>
      </w:r>
      <w:r w:rsidR="007F6508">
        <w:rPr>
          <w:rFonts w:eastAsia="Arial Unicode MS"/>
          <w:bCs/>
          <w:lang w:eastAsia="fr-FR" w:bidi="he-IL"/>
        </w:rPr>
        <w:t xml:space="preserve">; </w:t>
      </w:r>
      <w:r w:rsidR="001157C4">
        <w:rPr>
          <w:rFonts w:eastAsia="Arial Unicode MS"/>
          <w:bCs/>
          <w:lang w:eastAsia="fr-FR" w:bidi="he-IL"/>
        </w:rPr>
        <w:t>X</w:t>
      </w:r>
      <w:r w:rsidR="00E65435">
        <w:rPr>
          <w:rFonts w:eastAsia="Arial Unicode MS"/>
          <w:bCs/>
          <w:lang w:eastAsia="fr-FR" w:bidi="he-IL"/>
        </w:rPr>
        <w:t xml:space="preserve">, </w:t>
      </w:r>
      <w:r w:rsidRPr="00C8701B">
        <w:rPr>
          <w:rFonts w:eastAsia="Arial Unicode MS"/>
          <w:bCs/>
          <w:lang w:eastAsia="fr-FR" w:bidi="he-IL"/>
        </w:rPr>
        <w:t>40-42</w:t>
      </w:r>
      <w:r w:rsidR="00E65435">
        <w:rPr>
          <w:rFonts w:eastAsia="Arial Unicode MS"/>
          <w:bCs/>
          <w:lang w:eastAsia="fr-FR" w:bidi="he-IL"/>
        </w:rPr>
        <w:t xml:space="preserve">, </w:t>
      </w:r>
      <w:r w:rsidRPr="00C8701B">
        <w:rPr>
          <w:rFonts w:eastAsia="Arial Unicode MS"/>
          <w:bCs/>
          <w:lang w:eastAsia="fr-FR" w:bidi="he-IL"/>
        </w:rPr>
        <w:t>nous montrent le Messie agissant et</w:t>
      </w:r>
      <w:r w:rsidR="00E9329E">
        <w:rPr>
          <w:rFonts w:eastAsia="Arial Unicode MS"/>
          <w:bCs/>
          <w:lang w:eastAsia="fr-FR" w:bidi="he-IL"/>
        </w:rPr>
        <w:t xml:space="preserve"> prêchant aussi en Galilée et en</w:t>
      </w:r>
      <w:r w:rsidRPr="00C8701B">
        <w:rPr>
          <w:rFonts w:eastAsia="Arial Unicode MS"/>
          <w:bCs/>
          <w:lang w:eastAsia="fr-FR" w:bidi="he-IL"/>
        </w:rPr>
        <w:t xml:space="preserve"> Pérée</w:t>
      </w:r>
      <w:r w:rsidR="00E65435">
        <w:rPr>
          <w:rFonts w:eastAsia="Arial Unicode MS"/>
          <w:bCs/>
          <w:lang w:eastAsia="fr-FR" w:bidi="he-IL"/>
        </w:rPr>
        <w:t xml:space="preserve">, </w:t>
      </w:r>
      <w:r w:rsidRPr="00C8701B">
        <w:rPr>
          <w:rFonts w:eastAsia="Arial Unicode MS"/>
          <w:bCs/>
          <w:lang w:eastAsia="fr-FR" w:bidi="he-IL"/>
        </w:rPr>
        <w:t>de même que d</w:t>
      </w:r>
      <w:r w:rsidR="00557DE0">
        <w:rPr>
          <w:rFonts w:eastAsia="Arial Unicode MS"/>
          <w:bCs/>
          <w:lang w:eastAsia="fr-FR" w:bidi="he-IL"/>
        </w:rPr>
        <w:t>’</w:t>
      </w:r>
      <w:r w:rsidRPr="00C8701B">
        <w:rPr>
          <w:rFonts w:eastAsia="Arial Unicode MS"/>
          <w:bCs/>
          <w:lang w:eastAsia="fr-FR" w:bidi="he-IL"/>
        </w:rPr>
        <w:t>après les trois premiers évangiles.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Il y aurait une étude intéressante à faire sur les caractères des principaux personnages de l</w:t>
      </w:r>
      <w:r w:rsidR="00557DE0">
        <w:rPr>
          <w:rFonts w:eastAsia="Arial Unicode MS"/>
          <w:bCs/>
          <w:lang w:eastAsia="fr-FR" w:bidi="he-IL"/>
        </w:rPr>
        <w:t>’</w:t>
      </w:r>
      <w:r w:rsidRPr="00C8701B">
        <w:rPr>
          <w:rFonts w:eastAsia="Arial Unicode MS"/>
          <w:bCs/>
          <w:lang w:eastAsia="fr-FR" w:bidi="he-IL"/>
        </w:rPr>
        <w:t>évangile</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après les quatre rédactions. L</w:t>
      </w:r>
      <w:r w:rsidR="00557DE0">
        <w:rPr>
          <w:rFonts w:eastAsia="Arial Unicode MS"/>
          <w:bCs/>
          <w:lang w:eastAsia="fr-FR" w:bidi="he-IL"/>
        </w:rPr>
        <w:t>’</w:t>
      </w:r>
      <w:r w:rsidRPr="00C8701B">
        <w:rPr>
          <w:rFonts w:eastAsia="Arial Unicode MS"/>
          <w:bCs/>
          <w:lang w:eastAsia="fr-FR" w:bidi="he-IL"/>
        </w:rPr>
        <w:t>on verrait alors jusqu</w:t>
      </w:r>
      <w:r w:rsidR="00557DE0">
        <w:rPr>
          <w:rFonts w:eastAsia="Arial Unicode MS"/>
          <w:bCs/>
          <w:lang w:eastAsia="fr-FR" w:bidi="he-IL"/>
        </w:rPr>
        <w:t>’</w:t>
      </w:r>
      <w:r w:rsidRPr="00C8701B">
        <w:rPr>
          <w:rFonts w:eastAsia="Arial Unicode MS"/>
          <w:bCs/>
          <w:lang w:eastAsia="fr-FR" w:bidi="he-IL"/>
        </w:rPr>
        <w:t>à quel point il</w:t>
      </w:r>
      <w:r w:rsidR="00E9329E">
        <w:rPr>
          <w:rFonts w:eastAsia="Arial Unicode MS"/>
          <w:bCs/>
          <w:lang w:eastAsia="fr-FR" w:bidi="he-IL"/>
        </w:rPr>
        <w:t>s s</w:t>
      </w:r>
      <w:r w:rsidRPr="00C8701B">
        <w:rPr>
          <w:rFonts w:eastAsia="Arial Unicode MS"/>
          <w:bCs/>
          <w:lang w:eastAsia="fr-FR" w:bidi="he-IL"/>
        </w:rPr>
        <w:t>ont identiques</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une part dans S. Jean</w:t>
      </w:r>
      <w:r w:rsidR="00E65435">
        <w:rPr>
          <w:rFonts w:eastAsia="Arial Unicode MS"/>
          <w:bCs/>
          <w:lang w:eastAsia="fr-FR" w:bidi="he-IL"/>
        </w:rPr>
        <w:t xml:space="preserve">, </w:t>
      </w:r>
      <w:r w:rsidRPr="00C8701B">
        <w:rPr>
          <w:rFonts w:eastAsia="Arial Unicode MS"/>
          <w:bCs/>
          <w:lang w:eastAsia="fr-FR" w:bidi="he-IL"/>
        </w:rPr>
        <w:t>de l</w:t>
      </w:r>
      <w:r w:rsidR="00557DE0">
        <w:rPr>
          <w:rFonts w:eastAsia="Arial Unicode MS"/>
          <w:bCs/>
          <w:lang w:eastAsia="fr-FR" w:bidi="he-IL"/>
        </w:rPr>
        <w:t>’</w:t>
      </w:r>
      <w:r w:rsidRPr="00C8701B">
        <w:rPr>
          <w:rFonts w:eastAsia="Arial Unicode MS"/>
          <w:bCs/>
          <w:lang w:eastAsia="fr-FR" w:bidi="he-IL"/>
        </w:rPr>
        <w:t>autre dans les synoptiques</w:t>
      </w:r>
      <w:r w:rsidR="00E65435">
        <w:rPr>
          <w:rFonts w:eastAsia="Arial Unicode MS"/>
          <w:bCs/>
          <w:lang w:eastAsia="fr-FR" w:bidi="he-IL"/>
        </w:rPr>
        <w:t xml:space="preserve">, </w:t>
      </w:r>
      <w:r w:rsidRPr="00C8701B">
        <w:rPr>
          <w:rFonts w:eastAsia="Arial Unicode MS"/>
          <w:bCs/>
          <w:lang w:eastAsia="fr-FR" w:bidi="he-IL"/>
        </w:rPr>
        <w:t>quoique ceux-ci donnent généralement plus de détails.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S. Jean n</w:t>
      </w:r>
      <w:r w:rsidR="00557DE0">
        <w:rPr>
          <w:rFonts w:eastAsia="Arial Unicode MS"/>
          <w:bCs/>
          <w:lang w:eastAsia="fr-FR" w:bidi="he-IL"/>
        </w:rPr>
        <w:t>’</w:t>
      </w:r>
      <w:r w:rsidRPr="00C8701B">
        <w:rPr>
          <w:rFonts w:eastAsia="Arial Unicode MS"/>
          <w:bCs/>
          <w:lang w:eastAsia="fr-FR" w:bidi="he-IL"/>
        </w:rPr>
        <w:t>expose d</w:t>
      </w:r>
      <w:r w:rsidR="00557DE0">
        <w:rPr>
          <w:rFonts w:eastAsia="Arial Unicode MS"/>
          <w:bCs/>
          <w:lang w:eastAsia="fr-FR" w:bidi="he-IL"/>
        </w:rPr>
        <w:t>’</w:t>
      </w:r>
      <w:r w:rsidRPr="00C8701B">
        <w:rPr>
          <w:rFonts w:eastAsia="Arial Unicode MS"/>
          <w:bCs/>
          <w:lang w:eastAsia="fr-FR" w:bidi="he-IL"/>
        </w:rPr>
        <w:t>une manière proprement dite ni l</w:t>
      </w:r>
      <w:r w:rsidR="00557DE0">
        <w:rPr>
          <w:rFonts w:eastAsia="Arial Unicode MS"/>
          <w:bCs/>
          <w:lang w:eastAsia="fr-FR" w:bidi="he-IL"/>
        </w:rPr>
        <w:t>’</w:t>
      </w:r>
      <w:r w:rsidR="00E9329E">
        <w:rPr>
          <w:rFonts w:eastAsia="Arial Unicode MS"/>
          <w:bCs/>
          <w:lang w:eastAsia="fr-FR" w:bidi="he-IL"/>
        </w:rPr>
        <w:t>institution du sac</w:t>
      </w:r>
      <w:r w:rsidRPr="00C8701B">
        <w:rPr>
          <w:rFonts w:eastAsia="Arial Unicode MS"/>
          <w:bCs/>
          <w:lang w:eastAsia="fr-FR" w:bidi="he-IL"/>
        </w:rPr>
        <w:t>rement de baptême</w:t>
      </w:r>
      <w:r w:rsidR="00E65435">
        <w:rPr>
          <w:rFonts w:eastAsia="Arial Unicode MS"/>
          <w:bCs/>
          <w:lang w:eastAsia="fr-FR" w:bidi="he-IL"/>
        </w:rPr>
        <w:t xml:space="preserve">, </w:t>
      </w:r>
      <w:r w:rsidRPr="00C8701B">
        <w:rPr>
          <w:rFonts w:eastAsia="Arial Unicode MS"/>
          <w:bCs/>
          <w:lang w:eastAsia="fr-FR" w:bidi="he-IL"/>
        </w:rPr>
        <w:t>ni celle de l</w:t>
      </w:r>
      <w:r w:rsidR="00557DE0">
        <w:rPr>
          <w:rFonts w:eastAsia="Arial Unicode MS"/>
          <w:bCs/>
          <w:lang w:eastAsia="fr-FR" w:bidi="he-IL"/>
        </w:rPr>
        <w:t>’</w:t>
      </w:r>
      <w:r w:rsidRPr="00C8701B">
        <w:rPr>
          <w:rFonts w:eastAsia="Arial Unicode MS"/>
          <w:bCs/>
          <w:lang w:eastAsia="fr-FR" w:bidi="he-IL"/>
        </w:rPr>
        <w:t>Eucharistie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mais il a l</w:t>
      </w:r>
      <w:r w:rsidR="00557DE0">
        <w:rPr>
          <w:rFonts w:eastAsia="Arial Unicode MS"/>
          <w:bCs/>
          <w:lang w:eastAsia="fr-FR" w:bidi="he-IL"/>
        </w:rPr>
        <w:t>’</w:t>
      </w:r>
      <w:r w:rsidRPr="00C8701B">
        <w:rPr>
          <w:rFonts w:eastAsia="Arial Unicode MS"/>
          <w:bCs/>
          <w:lang w:eastAsia="fr-FR" w:bidi="he-IL"/>
        </w:rPr>
        <w:t>équivalent de la première dans l</w:t>
      </w:r>
      <w:r w:rsidR="00557DE0">
        <w:rPr>
          <w:rFonts w:eastAsia="Arial Unicode MS"/>
          <w:bCs/>
          <w:lang w:eastAsia="fr-FR" w:bidi="he-IL"/>
        </w:rPr>
        <w:t>’</w:t>
      </w:r>
      <w:r w:rsidRPr="00C8701B">
        <w:rPr>
          <w:rFonts w:eastAsia="Arial Unicode MS"/>
          <w:bCs/>
          <w:lang w:eastAsia="fr-FR" w:bidi="he-IL"/>
        </w:rPr>
        <w:t>entretien avec Nicodème</w:t>
      </w:r>
      <w:r w:rsidR="00E65435">
        <w:rPr>
          <w:rFonts w:eastAsia="Arial Unicode MS"/>
          <w:bCs/>
          <w:lang w:eastAsia="fr-FR" w:bidi="he-IL"/>
        </w:rPr>
        <w:t xml:space="preserve">, </w:t>
      </w:r>
      <w:r w:rsidRPr="00C8701B">
        <w:rPr>
          <w:rFonts w:eastAsia="Arial Unicode MS"/>
          <w:bCs/>
          <w:lang w:eastAsia="fr-FR" w:bidi="he-IL"/>
        </w:rPr>
        <w:t>Joan.</w:t>
      </w:r>
      <w:r w:rsidR="0017332F" w:rsidRPr="00C8701B">
        <w:rPr>
          <w:rFonts w:eastAsia="Arial Unicode MS"/>
          <w:bCs/>
          <w:lang w:eastAsia="fr-FR" w:bidi="he-IL"/>
        </w:rPr>
        <w:t xml:space="preserve"> III</w:t>
      </w:r>
      <w:r w:rsidR="00E65435">
        <w:rPr>
          <w:rFonts w:eastAsia="Arial Unicode MS"/>
          <w:bCs/>
          <w:lang w:eastAsia="fr-FR" w:bidi="he-IL"/>
        </w:rPr>
        <w:t xml:space="preserve">, </w:t>
      </w:r>
      <w:r w:rsidRPr="00C8701B">
        <w:rPr>
          <w:rFonts w:eastAsia="Arial Unicode MS"/>
          <w:bCs/>
          <w:lang w:eastAsia="fr-FR" w:bidi="he-IL"/>
        </w:rPr>
        <w:t>5</w:t>
      </w:r>
      <w:r w:rsidR="00E65435">
        <w:rPr>
          <w:rFonts w:eastAsia="Arial Unicode MS"/>
          <w:bCs/>
          <w:lang w:eastAsia="fr-FR" w:bidi="he-IL"/>
        </w:rPr>
        <w:t xml:space="preserve">, </w:t>
      </w:r>
      <w:r w:rsidRPr="00C8701B">
        <w:rPr>
          <w:rFonts w:eastAsia="Arial Unicode MS"/>
          <w:bCs/>
          <w:lang w:eastAsia="fr-FR" w:bidi="he-IL"/>
        </w:rPr>
        <w:t>et l</w:t>
      </w:r>
      <w:r w:rsidR="00557DE0">
        <w:rPr>
          <w:rFonts w:eastAsia="Arial Unicode MS"/>
          <w:bCs/>
          <w:lang w:eastAsia="fr-FR" w:bidi="he-IL"/>
        </w:rPr>
        <w:t>’</w:t>
      </w:r>
      <w:r w:rsidRPr="00C8701B">
        <w:rPr>
          <w:rFonts w:eastAsia="Arial Unicode MS"/>
          <w:bCs/>
          <w:lang w:eastAsia="fr-FR" w:bidi="he-IL"/>
        </w:rPr>
        <w:t xml:space="preserve">équivalent de la seconde dans le discours prononcé à </w:t>
      </w:r>
      <w:r w:rsidR="00C215A6">
        <w:rPr>
          <w:rFonts w:eastAsia="Arial Unicode MS"/>
          <w:bCs/>
          <w:lang w:eastAsia="fr-FR" w:bidi="he-IL"/>
        </w:rPr>
        <w:t>Capharnaüm</w:t>
      </w:r>
      <w:r w:rsidRPr="00C8701B">
        <w:rPr>
          <w:rFonts w:eastAsia="Arial Unicode MS"/>
          <w:bCs/>
          <w:lang w:eastAsia="fr-FR" w:bidi="he-IL"/>
        </w:rPr>
        <w:t xml:space="preserve"> après la </w:t>
      </w:r>
      <w:r w:rsidR="00D62373" w:rsidRPr="00E9329E">
        <w:t>multiplication</w:t>
      </w:r>
      <w:r w:rsidRPr="00E9329E">
        <w:t xml:space="preserve"> des pains</w:t>
      </w:r>
      <w:r w:rsidR="00E65435" w:rsidRPr="00E9329E">
        <w:t xml:space="preserve">, </w:t>
      </w:r>
      <w:r w:rsidRPr="00E9329E">
        <w:t xml:space="preserve">Joan. </w:t>
      </w:r>
      <w:r w:rsidR="00A319EA">
        <w:t>VI</w:t>
      </w:r>
      <w:r w:rsidRPr="00E9329E">
        <w:t xml:space="preserve">. De même pour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Ascension</w:t>
      </w:r>
      <w:r w:rsidR="00E65435">
        <w:rPr>
          <w:rFonts w:eastAsia="Arial Unicode MS"/>
          <w:bCs/>
          <w:lang w:eastAsia="fr-FR" w:bidi="he-IL"/>
        </w:rPr>
        <w:t xml:space="preserve">, </w:t>
      </w:r>
      <w:r w:rsidRPr="00C8701B">
        <w:rPr>
          <w:rFonts w:eastAsia="Arial Unicode MS"/>
          <w:bCs/>
          <w:lang w:eastAsia="fr-FR" w:bidi="he-IL"/>
        </w:rPr>
        <w:t>qu</w:t>
      </w:r>
      <w:r w:rsidR="00557DE0">
        <w:rPr>
          <w:rFonts w:eastAsia="Arial Unicode MS"/>
          <w:bCs/>
          <w:lang w:eastAsia="fr-FR" w:bidi="he-IL"/>
        </w:rPr>
        <w:t>’</w:t>
      </w:r>
      <w:r w:rsidRPr="00C8701B">
        <w:rPr>
          <w:rFonts w:eastAsia="Arial Unicode MS"/>
          <w:bCs/>
          <w:lang w:eastAsia="fr-FR" w:bidi="he-IL"/>
        </w:rPr>
        <w:t>il rappelle d</w:t>
      </w:r>
      <w:r w:rsidR="00557DE0">
        <w:rPr>
          <w:rFonts w:eastAsia="Arial Unicode MS"/>
          <w:bCs/>
          <w:lang w:eastAsia="fr-FR" w:bidi="he-IL"/>
        </w:rPr>
        <w:t>’</w:t>
      </w:r>
      <w:r w:rsidRPr="00C8701B">
        <w:rPr>
          <w:rFonts w:eastAsia="Arial Unicode MS"/>
          <w:bCs/>
          <w:lang w:eastAsia="fr-FR" w:bidi="he-IL"/>
        </w:rPr>
        <w:t>un seul mot</w:t>
      </w:r>
      <w:r w:rsidR="00E65435">
        <w:rPr>
          <w:rFonts w:eastAsia="Arial Unicode MS"/>
          <w:bCs/>
          <w:lang w:eastAsia="fr-FR" w:bidi="he-IL"/>
        </w:rPr>
        <w:t xml:space="preserve">, </w:t>
      </w:r>
      <w:r w:rsidRPr="00C8701B">
        <w:rPr>
          <w:rFonts w:eastAsia="Arial Unicode MS"/>
          <w:bCs/>
          <w:lang w:eastAsia="fr-FR" w:bidi="he-IL"/>
        </w:rPr>
        <w:t xml:space="preserve">Joan. </w:t>
      </w:r>
      <w:r w:rsidR="005069E2">
        <w:rPr>
          <w:rFonts w:eastAsia="Arial Unicode MS"/>
          <w:bCs/>
          <w:lang w:eastAsia="fr-FR" w:bidi="he-IL"/>
        </w:rPr>
        <w:t>XX</w:t>
      </w:r>
      <w:r w:rsidR="00E65435">
        <w:rPr>
          <w:rFonts w:eastAsia="Arial Unicode MS"/>
          <w:bCs/>
          <w:lang w:eastAsia="fr-FR" w:bidi="he-IL"/>
        </w:rPr>
        <w:t xml:space="preserve">, </w:t>
      </w:r>
      <w:r w:rsidRPr="00C8701B">
        <w:rPr>
          <w:rFonts w:eastAsia="Arial Unicode MS"/>
          <w:bCs/>
          <w:lang w:eastAsia="fr-FR" w:bidi="he-IL"/>
        </w:rPr>
        <w:t>17.</w:t>
      </w:r>
      <w:r w:rsidR="00C2602D" w:rsidRPr="00C8701B">
        <w:rPr>
          <w:rFonts w:eastAsia="Arial Unicode MS"/>
          <w:bCs/>
          <w:lang w:eastAsia="fr-FR" w:bidi="he-IL"/>
        </w:rPr>
        <w:t xml:space="preserve"> </w:t>
      </w:r>
    </w:p>
    <w:p w:rsidR="00E9329E" w:rsidRDefault="00E9329E" w:rsidP="00D62373">
      <w:pPr>
        <w:rPr>
          <w:rFonts w:eastAsia="Arial Unicode MS"/>
          <w:bCs/>
          <w:lang w:eastAsia="fr-FR" w:bidi="he-IL"/>
        </w:rPr>
      </w:pPr>
      <w:r>
        <w:rPr>
          <w:rFonts w:eastAsia="Arial Unicode MS"/>
          <w:bCs/>
          <w:lang w:eastAsia="fr-FR" w:bidi="he-IL"/>
        </w:rPr>
        <w:t>En</w:t>
      </w:r>
      <w:r w:rsidR="00B704AD" w:rsidRPr="00C8701B">
        <w:rPr>
          <w:rFonts w:eastAsia="Arial Unicode MS"/>
          <w:bCs/>
          <w:lang w:eastAsia="fr-FR" w:bidi="he-IL"/>
        </w:rPr>
        <w:t xml:space="preserve"> fin de compte</w:t>
      </w:r>
      <w:r w:rsidR="00E65435">
        <w:rPr>
          <w:rFonts w:eastAsia="Arial Unicode MS"/>
          <w:bCs/>
          <w:lang w:eastAsia="fr-FR" w:bidi="he-IL"/>
        </w:rPr>
        <w:t xml:space="preserve">, </w:t>
      </w:r>
      <w:r w:rsidR="00B704AD" w:rsidRPr="00C8701B">
        <w:rPr>
          <w:rFonts w:eastAsia="Arial Unicode MS"/>
          <w:bCs/>
          <w:lang w:eastAsia="fr-FR" w:bidi="he-IL"/>
        </w:rPr>
        <w:t>on voit combien l</w:t>
      </w:r>
      <w:r w:rsidR="00557DE0">
        <w:rPr>
          <w:rFonts w:eastAsia="Arial Unicode MS"/>
          <w:bCs/>
          <w:lang w:eastAsia="fr-FR" w:bidi="he-IL"/>
        </w:rPr>
        <w:t>’</w:t>
      </w:r>
      <w:r w:rsidR="00B704AD" w:rsidRPr="00C8701B">
        <w:rPr>
          <w:rFonts w:eastAsia="Arial Unicode MS"/>
          <w:bCs/>
          <w:lang w:eastAsia="fr-FR" w:bidi="he-IL"/>
        </w:rPr>
        <w:t xml:space="preserve">harmonie est réelle entre </w:t>
      </w:r>
      <w:r w:rsidR="00D62373" w:rsidRPr="00C8701B">
        <w:rPr>
          <w:rFonts w:eastAsia="Arial Unicode MS"/>
          <w:bCs/>
          <w:lang w:eastAsia="fr-FR" w:bidi="he-IL"/>
        </w:rPr>
        <w:t>l</w:t>
      </w:r>
      <w:r w:rsidR="00D62373">
        <w:rPr>
          <w:rFonts w:eastAsia="Arial Unicode MS"/>
          <w:bCs/>
          <w:lang w:eastAsia="fr-FR" w:bidi="he-IL"/>
        </w:rPr>
        <w:t>’œ</w:t>
      </w:r>
      <w:r w:rsidR="00D62373" w:rsidRPr="00C8701B">
        <w:rPr>
          <w:rFonts w:eastAsia="Arial Unicode MS"/>
          <w:bCs/>
          <w:lang w:eastAsia="fr-FR" w:bidi="he-IL"/>
        </w:rPr>
        <w:t xml:space="preserve">uvre </w:t>
      </w:r>
      <w:r w:rsidR="00B704AD" w:rsidRPr="00C8701B">
        <w:rPr>
          <w:rFonts w:eastAsia="Arial Unicode MS"/>
          <w:bCs/>
          <w:lang w:eastAsia="fr-FR" w:bidi="he-IL"/>
        </w:rPr>
        <w:t>de S. Jean et</w:t>
      </w:r>
      <w:r w:rsidR="00D62373">
        <w:rPr>
          <w:rFonts w:eastAsia="Arial Unicode MS"/>
          <w:bCs/>
          <w:lang w:eastAsia="fr-FR" w:bidi="he-IL"/>
        </w:rPr>
        <w:t xml:space="preserve"> </w:t>
      </w:r>
      <w:r w:rsidR="00B704AD" w:rsidRPr="00C8701B">
        <w:rPr>
          <w:rFonts w:eastAsia="Arial Unicode MS"/>
          <w:bCs/>
          <w:lang w:eastAsia="fr-FR" w:bidi="he-IL"/>
        </w:rPr>
        <w:t>celle des synoptiques</w:t>
      </w:r>
      <w:r w:rsidR="00E65435">
        <w:rPr>
          <w:rFonts w:eastAsia="Arial Unicode MS"/>
          <w:bCs/>
          <w:lang w:eastAsia="fr-FR" w:bidi="he-IL"/>
        </w:rPr>
        <w:t xml:space="preserve">, </w:t>
      </w:r>
      <w:r w:rsidR="00B704AD" w:rsidRPr="00C8701B">
        <w:rPr>
          <w:rFonts w:eastAsia="Arial Unicode MS"/>
          <w:bCs/>
          <w:lang w:eastAsia="fr-FR" w:bidi="he-IL"/>
        </w:rPr>
        <w:t>malgré les grandes divergences qui ont été indiquées plus haut. L</w:t>
      </w:r>
      <w:r w:rsidR="00557DE0">
        <w:rPr>
          <w:rFonts w:eastAsia="Arial Unicode MS"/>
          <w:bCs/>
          <w:lang w:eastAsia="fr-FR" w:bidi="he-IL"/>
        </w:rPr>
        <w:t>’</w:t>
      </w:r>
      <w:r w:rsidR="00B704AD" w:rsidRPr="00C8701B">
        <w:rPr>
          <w:rFonts w:eastAsia="Arial Unicode MS"/>
          <w:bCs/>
          <w:lang w:eastAsia="fr-FR" w:bidi="he-IL"/>
        </w:rPr>
        <w:t>unité est réelle</w:t>
      </w:r>
      <w:r w:rsidR="00E65435">
        <w:rPr>
          <w:rFonts w:eastAsia="Arial Unicode MS"/>
          <w:bCs/>
          <w:lang w:eastAsia="fr-FR" w:bidi="he-IL"/>
        </w:rPr>
        <w:t xml:space="preserve">, </w:t>
      </w:r>
      <w:r w:rsidR="00B704AD" w:rsidRPr="00C8701B">
        <w:rPr>
          <w:rFonts w:eastAsia="Arial Unicode MS"/>
          <w:bCs/>
          <w:lang w:eastAsia="fr-FR" w:bidi="he-IL"/>
        </w:rPr>
        <w:t>parfaite</w:t>
      </w:r>
      <w:r w:rsidR="00E65435">
        <w:rPr>
          <w:rFonts w:eastAsia="Arial Unicode MS"/>
          <w:bCs/>
          <w:lang w:eastAsia="fr-FR" w:bidi="he-IL"/>
        </w:rPr>
        <w:t xml:space="preserve">, </w:t>
      </w:r>
      <w:r w:rsidR="00B704AD" w:rsidRPr="00C8701B">
        <w:rPr>
          <w:rFonts w:eastAsia="Arial Unicode MS"/>
          <w:bCs/>
          <w:lang w:eastAsia="fr-FR" w:bidi="he-IL"/>
        </w:rPr>
        <w:t>et s</w:t>
      </w:r>
      <w:r w:rsidR="00557DE0">
        <w:rPr>
          <w:rFonts w:eastAsia="Arial Unicode MS"/>
          <w:bCs/>
          <w:lang w:eastAsia="fr-FR" w:bidi="he-IL"/>
        </w:rPr>
        <w:t>’</w:t>
      </w:r>
      <w:r w:rsidR="00B704AD" w:rsidRPr="00C8701B">
        <w:rPr>
          <w:rFonts w:eastAsia="Arial Unicode MS"/>
          <w:bCs/>
          <w:lang w:eastAsia="fr-FR" w:bidi="he-IL"/>
        </w:rPr>
        <w:t>opère sans violence. Les synoptiques laissent çà et là comme des brèches et ouvertures</w:t>
      </w:r>
      <w:r w:rsidR="00E65435">
        <w:rPr>
          <w:rFonts w:eastAsia="Arial Unicode MS"/>
          <w:bCs/>
          <w:lang w:eastAsia="fr-FR" w:bidi="he-IL"/>
        </w:rPr>
        <w:t xml:space="preserve">, </w:t>
      </w:r>
      <w:r w:rsidR="00B704AD" w:rsidRPr="00C8701B">
        <w:rPr>
          <w:rFonts w:eastAsia="Arial Unicode MS"/>
          <w:bCs/>
          <w:lang w:eastAsia="fr-FR" w:bidi="he-IL"/>
        </w:rPr>
        <w:t>par où l</w:t>
      </w:r>
      <w:r w:rsidR="00557DE0">
        <w:rPr>
          <w:rFonts w:eastAsia="Arial Unicode MS"/>
          <w:bCs/>
          <w:lang w:eastAsia="fr-FR" w:bidi="he-IL"/>
        </w:rPr>
        <w:t>’</w:t>
      </w:r>
      <w:r w:rsidR="00B704AD" w:rsidRPr="00C8701B">
        <w:rPr>
          <w:rFonts w:eastAsia="Arial Unicode MS"/>
          <w:bCs/>
          <w:lang w:eastAsia="fr-FR" w:bidi="he-IL"/>
        </w:rPr>
        <w:t>on peut introduire très simplement et très naturellement les faits propres à S. Jean</w:t>
      </w:r>
      <w:r w:rsidR="00C2602D" w:rsidRPr="00C8701B">
        <w:rPr>
          <w:rFonts w:eastAsia="Arial Unicode MS"/>
          <w:bCs/>
          <w:lang w:eastAsia="fr-FR" w:bidi="he-IL"/>
        </w:rPr>
        <w:t> </w:t>
      </w:r>
      <w:r w:rsidR="007F6508">
        <w:rPr>
          <w:rFonts w:eastAsia="Arial Unicode MS"/>
          <w:bCs/>
          <w:lang w:eastAsia="fr-FR" w:bidi="he-IL"/>
        </w:rPr>
        <w:t xml:space="preserve">; </w:t>
      </w:r>
      <w:r w:rsidR="00C14040" w:rsidRPr="000716BB">
        <w:rPr>
          <w:rFonts w:eastAsia="Arial Unicode MS"/>
          <w:bCs/>
          <w:lang w:eastAsia="fr-FR" w:bidi="he-IL"/>
        </w:rPr>
        <w:t>{</w:t>
      </w:r>
      <w:r w:rsidR="00C14040">
        <w:rPr>
          <w:rFonts w:eastAsia="Arial Unicode MS"/>
          <w:bCs/>
          <w:lang w:eastAsia="fr-FR" w:bidi="he-IL"/>
        </w:rPr>
        <w:t>60</w:t>
      </w:r>
      <w:bookmarkStart w:id="97" w:name="pag060"/>
      <w:bookmarkEnd w:id="97"/>
      <w:r w:rsidR="00C14040" w:rsidRPr="000716BB">
        <w:rPr>
          <w:rFonts w:eastAsia="Arial Unicode MS"/>
          <w:bCs/>
          <w:lang w:eastAsia="fr-FR" w:bidi="he-IL"/>
        </w:rPr>
        <w:t xml:space="preserve">} </w:t>
      </w:r>
      <w:r w:rsidR="00B704AD" w:rsidRPr="00C8701B">
        <w:rPr>
          <w:rFonts w:eastAsia="Arial Unicode MS"/>
          <w:bCs/>
          <w:lang w:eastAsia="fr-FR" w:bidi="he-IL"/>
        </w:rPr>
        <w:t>et S. Jean</w:t>
      </w:r>
      <w:r w:rsidR="00E65435">
        <w:rPr>
          <w:rFonts w:eastAsia="Arial Unicode MS"/>
          <w:bCs/>
          <w:lang w:eastAsia="fr-FR" w:bidi="he-IL"/>
        </w:rPr>
        <w:t xml:space="preserve">, </w:t>
      </w:r>
      <w:r w:rsidR="00B704AD" w:rsidRPr="00C8701B">
        <w:rPr>
          <w:rFonts w:eastAsia="Arial Unicode MS"/>
          <w:bCs/>
          <w:lang w:eastAsia="fr-FR" w:bidi="he-IL"/>
        </w:rPr>
        <w:t>de son côté</w:t>
      </w:r>
      <w:r w:rsidR="00E65435">
        <w:rPr>
          <w:rFonts w:eastAsia="Arial Unicode MS"/>
          <w:bCs/>
          <w:lang w:eastAsia="fr-FR" w:bidi="he-IL"/>
        </w:rPr>
        <w:t xml:space="preserve">, </w:t>
      </w:r>
      <w:r w:rsidR="00B704AD" w:rsidRPr="00C8701B">
        <w:rPr>
          <w:rFonts w:eastAsia="Arial Unicode MS"/>
          <w:bCs/>
          <w:lang w:eastAsia="fr-FR" w:bidi="he-IL"/>
        </w:rPr>
        <w:t>a des espaces vides pour recevoir les matériaux propres aux synoptiques</w:t>
      </w:r>
      <w:r w:rsidR="00933C60" w:rsidRPr="00C406FF">
        <w:rPr>
          <w:rStyle w:val="Appelnotedebasdep"/>
        </w:rPr>
        <w:footnoteReference w:id="312"/>
      </w:r>
      <w:r w:rsidR="00B704AD" w:rsidRPr="00C8701B">
        <w:rPr>
          <w:rFonts w:eastAsia="Arial Unicode MS"/>
          <w:bCs/>
          <w:lang w:eastAsia="fr-FR" w:bidi="he-IL"/>
        </w:rPr>
        <w:t>. Ces derniers n</w:t>
      </w:r>
      <w:r w:rsidR="00557DE0">
        <w:rPr>
          <w:rFonts w:eastAsia="Arial Unicode MS"/>
          <w:bCs/>
          <w:lang w:eastAsia="fr-FR" w:bidi="he-IL"/>
        </w:rPr>
        <w:t>’</w:t>
      </w:r>
      <w:r w:rsidR="00B704AD" w:rsidRPr="00C8701B">
        <w:rPr>
          <w:rFonts w:eastAsia="Arial Unicode MS"/>
          <w:bCs/>
          <w:lang w:eastAsia="fr-FR" w:bidi="he-IL"/>
        </w:rPr>
        <w:t>excluent pa</w:t>
      </w:r>
      <w:r>
        <w:rPr>
          <w:rFonts w:eastAsia="Arial Unicode MS"/>
          <w:bCs/>
          <w:lang w:eastAsia="fr-FR" w:bidi="he-IL"/>
        </w:rPr>
        <w:t>s p</w:t>
      </w:r>
      <w:r w:rsidR="00B704AD" w:rsidRPr="00C8701B">
        <w:rPr>
          <w:rFonts w:eastAsia="Arial Unicode MS"/>
          <w:bCs/>
          <w:lang w:eastAsia="fr-FR" w:bidi="he-IL"/>
        </w:rPr>
        <w:t>lus le ministère messianique du Sauveur à Jérusalem durant sa vie publique</w:t>
      </w:r>
      <w:r w:rsidR="00933C60" w:rsidRPr="00C406FF">
        <w:rPr>
          <w:rStyle w:val="Appelnotedebasdep"/>
        </w:rPr>
        <w:footnoteReference w:id="313"/>
      </w:r>
      <w:r w:rsidR="00E65435">
        <w:rPr>
          <w:rFonts w:eastAsia="Arial Unicode MS"/>
          <w:bCs/>
          <w:lang w:eastAsia="fr-FR" w:bidi="he-IL"/>
        </w:rPr>
        <w:t xml:space="preserve">, </w:t>
      </w:r>
      <w:r w:rsidR="00B704AD" w:rsidRPr="00C8701B">
        <w:rPr>
          <w:rFonts w:eastAsia="Arial Unicode MS"/>
          <w:bCs/>
          <w:lang w:eastAsia="fr-FR" w:bidi="he-IL"/>
        </w:rPr>
        <w:t>que S. Jean n</w:t>
      </w:r>
      <w:r w:rsidR="00557DE0">
        <w:rPr>
          <w:rFonts w:eastAsia="Arial Unicode MS"/>
          <w:bCs/>
          <w:lang w:eastAsia="fr-FR" w:bidi="he-IL"/>
        </w:rPr>
        <w:t>’</w:t>
      </w:r>
      <w:r w:rsidR="00B704AD" w:rsidRPr="00C8701B">
        <w:rPr>
          <w:rFonts w:eastAsia="Arial Unicode MS"/>
          <w:bCs/>
          <w:lang w:eastAsia="fr-FR" w:bidi="he-IL"/>
        </w:rPr>
        <w:t>exclut le ministère de Jésus en Galilée pendant la même période. Ainsi qu</w:t>
      </w:r>
      <w:r w:rsidR="00557DE0">
        <w:rPr>
          <w:rFonts w:eastAsia="Arial Unicode MS"/>
          <w:bCs/>
          <w:lang w:eastAsia="fr-FR" w:bidi="he-IL"/>
        </w:rPr>
        <w:t>’</w:t>
      </w:r>
      <w:r w:rsidR="00B704AD" w:rsidRPr="00C8701B">
        <w:rPr>
          <w:rFonts w:eastAsia="Arial Unicode MS"/>
          <w:bCs/>
          <w:lang w:eastAsia="fr-FR" w:bidi="he-IL"/>
        </w:rPr>
        <w:t>on l</w:t>
      </w:r>
      <w:r w:rsidR="00557DE0">
        <w:rPr>
          <w:rFonts w:eastAsia="Arial Unicode MS"/>
          <w:bCs/>
          <w:lang w:eastAsia="fr-FR" w:bidi="he-IL"/>
        </w:rPr>
        <w:t>’</w:t>
      </w:r>
      <w:r w:rsidR="00B704AD" w:rsidRPr="00C8701B">
        <w:rPr>
          <w:rFonts w:eastAsia="Arial Unicode MS"/>
          <w:bCs/>
          <w:lang w:eastAsia="fr-FR" w:bidi="he-IL"/>
        </w:rPr>
        <w:t>a dit</w:t>
      </w:r>
      <w:r w:rsidR="00E65435">
        <w:rPr>
          <w:rFonts w:eastAsia="Arial Unicode MS"/>
          <w:bCs/>
          <w:lang w:eastAsia="fr-FR" w:bidi="he-IL"/>
        </w:rPr>
        <w:t xml:space="preserve">, </w:t>
      </w:r>
      <w:r w:rsidR="00C2602D" w:rsidRPr="00C8701B">
        <w:rPr>
          <w:rFonts w:eastAsia="Arial Unicode MS"/>
          <w:bCs/>
          <w:lang w:eastAsia="fr-FR" w:bidi="he-IL"/>
        </w:rPr>
        <w:t>« </w:t>
      </w:r>
      <w:r w:rsidR="00B704AD" w:rsidRPr="00C8701B">
        <w:rPr>
          <w:rFonts w:eastAsia="Arial Unicode MS"/>
          <w:bCs/>
          <w:lang w:eastAsia="fr-FR" w:bidi="he-IL"/>
        </w:rPr>
        <w:t>la parfaite indépendance (des quatre évangélistes) se résout en une parfaite harmonie</w:t>
      </w:r>
      <w:r w:rsidR="00933C60" w:rsidRPr="00C406FF">
        <w:rPr>
          <w:rStyle w:val="Appelnotedebasdep"/>
        </w:rPr>
        <w:footnoteReference w:id="314"/>
      </w:r>
      <w:r>
        <w:rPr>
          <w:rFonts w:eastAsia="Arial Unicode MS"/>
          <w:bCs/>
          <w:lang w:eastAsia="fr-FR" w:bidi="he-IL"/>
        </w:rPr>
        <w:t xml:space="preserve">. </w:t>
      </w:r>
    </w:p>
    <w:p w:rsidR="00C2602D" w:rsidRDefault="00E9329E" w:rsidP="00E9329E">
      <w:pPr>
        <w:rPr>
          <w:rFonts w:eastAsia="Arial Unicode MS"/>
          <w:bCs/>
          <w:lang w:eastAsia="fr-FR" w:bidi="he-IL"/>
        </w:rPr>
      </w:pPr>
      <w:r>
        <w:rPr>
          <w:rFonts w:eastAsia="Arial Unicode MS"/>
          <w:bCs/>
          <w:lang w:eastAsia="fr-FR" w:bidi="he-IL"/>
        </w:rPr>
        <w:t>4</w:t>
      </w:r>
      <w:r w:rsidR="00B704AD" w:rsidRPr="00C8701B">
        <w:rPr>
          <w:rFonts w:eastAsia="Arial Unicode MS"/>
          <w:bCs/>
          <w:lang w:eastAsia="fr-FR" w:bidi="he-IL"/>
        </w:rPr>
        <w:t>° Cela n</w:t>
      </w:r>
      <w:r w:rsidR="00557DE0">
        <w:rPr>
          <w:rFonts w:eastAsia="Arial Unicode MS"/>
          <w:bCs/>
          <w:lang w:eastAsia="fr-FR" w:bidi="he-IL"/>
        </w:rPr>
        <w:t>’</w:t>
      </w:r>
      <w:r w:rsidR="00B704AD" w:rsidRPr="00C8701B">
        <w:rPr>
          <w:rFonts w:eastAsia="Arial Unicode MS"/>
          <w:bCs/>
          <w:lang w:eastAsia="fr-FR" w:bidi="he-IL"/>
        </w:rPr>
        <w:t>est pas moins vrai du portrait de N.-S. Jésus-Christ</w:t>
      </w:r>
      <w:r w:rsidR="00E65435">
        <w:rPr>
          <w:rFonts w:eastAsia="Arial Unicode MS"/>
          <w:bCs/>
          <w:lang w:eastAsia="fr-FR" w:bidi="he-IL"/>
        </w:rPr>
        <w:t xml:space="preserve">, </w:t>
      </w:r>
      <w:r w:rsidR="00B704AD" w:rsidRPr="00C8701B">
        <w:rPr>
          <w:rFonts w:eastAsia="Arial Unicode MS"/>
          <w:bCs/>
          <w:lang w:eastAsia="fr-FR" w:bidi="he-IL"/>
        </w:rPr>
        <w:t>tel qu</w:t>
      </w:r>
      <w:r w:rsidR="00557DE0">
        <w:rPr>
          <w:rFonts w:eastAsia="Arial Unicode MS"/>
          <w:bCs/>
          <w:lang w:eastAsia="fr-FR" w:bidi="he-IL"/>
        </w:rPr>
        <w:t>’</w:t>
      </w:r>
      <w:r w:rsidR="00B704AD" w:rsidRPr="00C8701B">
        <w:rPr>
          <w:rFonts w:eastAsia="Arial Unicode MS"/>
          <w:bCs/>
          <w:lang w:eastAsia="fr-FR" w:bidi="he-IL"/>
        </w:rPr>
        <w:t>il se dégage de nos deux groupes de narrations. Il faut</w:t>
      </w:r>
      <w:r>
        <w:rPr>
          <w:rFonts w:eastAsia="Arial Unicode MS"/>
          <w:bCs/>
          <w:lang w:eastAsia="fr-FR" w:bidi="he-IL"/>
        </w:rPr>
        <w:t xml:space="preserve"> </w:t>
      </w:r>
      <w:r w:rsidR="00B704AD" w:rsidRPr="00C8701B">
        <w:rPr>
          <w:rFonts w:eastAsia="Arial Unicode MS"/>
          <w:bCs/>
          <w:lang w:eastAsia="fr-FR" w:bidi="he-IL"/>
        </w:rPr>
        <w:t>avoir les préventions</w:t>
      </w:r>
      <w:r w:rsidR="00E65435">
        <w:rPr>
          <w:rFonts w:eastAsia="Arial Unicode MS"/>
          <w:bCs/>
          <w:lang w:eastAsia="fr-FR" w:bidi="he-IL"/>
        </w:rPr>
        <w:t xml:space="preserve">, </w:t>
      </w:r>
      <w:r w:rsidR="00B704AD" w:rsidRPr="00C8701B">
        <w:rPr>
          <w:rFonts w:eastAsia="Arial Unicode MS"/>
          <w:bCs/>
          <w:lang w:eastAsia="fr-FR" w:bidi="he-IL"/>
        </w:rPr>
        <w:t>la cécité volontaire des rationalistes contemporains</w:t>
      </w:r>
      <w:r w:rsidR="00E65435">
        <w:rPr>
          <w:rFonts w:eastAsia="Arial Unicode MS"/>
          <w:bCs/>
          <w:lang w:eastAsia="fr-FR" w:bidi="he-IL"/>
        </w:rPr>
        <w:t xml:space="preserve">, </w:t>
      </w:r>
      <w:r w:rsidR="00B704AD" w:rsidRPr="00C8701B">
        <w:rPr>
          <w:rFonts w:eastAsia="Arial Unicode MS"/>
          <w:bCs/>
          <w:lang w:eastAsia="fr-FR" w:bidi="he-IL"/>
        </w:rPr>
        <w:t>pour ne pas reconnaître des deux côtés le même Dieu-homme</w:t>
      </w:r>
      <w:r w:rsidR="00E65435">
        <w:rPr>
          <w:rFonts w:eastAsia="Arial Unicode MS"/>
          <w:bCs/>
          <w:lang w:eastAsia="fr-FR" w:bidi="he-IL"/>
        </w:rPr>
        <w:t xml:space="preserve">, </w:t>
      </w:r>
      <w:r w:rsidR="00B704AD" w:rsidRPr="00C8701B">
        <w:rPr>
          <w:rFonts w:eastAsia="Arial Unicode MS"/>
          <w:bCs/>
          <w:lang w:eastAsia="fr-FR" w:bidi="he-IL"/>
        </w:rPr>
        <w:t>le même Jésus-Messie</w:t>
      </w:r>
      <w:r w:rsidR="00E65435">
        <w:rPr>
          <w:rFonts w:eastAsia="Arial Unicode MS"/>
          <w:bCs/>
          <w:lang w:eastAsia="fr-FR" w:bidi="he-IL"/>
        </w:rPr>
        <w:t xml:space="preserve">, </w:t>
      </w:r>
      <w:r w:rsidR="00B704AD" w:rsidRPr="00C8701B">
        <w:rPr>
          <w:rFonts w:eastAsia="Arial Unicode MS"/>
          <w:bCs/>
          <w:lang w:eastAsia="fr-FR" w:bidi="he-IL"/>
        </w:rPr>
        <w:t>simplement présenté sous des aspects divers.</w:t>
      </w:r>
      <w:r w:rsidR="00C2602D" w:rsidRPr="00C8701B">
        <w:rPr>
          <w:rFonts w:eastAsia="Arial Unicode MS"/>
          <w:bCs/>
          <w:lang w:eastAsia="fr-FR" w:bidi="he-IL"/>
        </w:rPr>
        <w:t xml:space="preserve"> </w:t>
      </w:r>
    </w:p>
    <w:p w:rsidR="00C2602D" w:rsidRPr="00C8701B" w:rsidRDefault="00E9329E" w:rsidP="00C2602D">
      <w:pPr>
        <w:rPr>
          <w:rFonts w:eastAsia="Arial Unicode MS"/>
          <w:bCs/>
          <w:lang w:eastAsia="fr-FR" w:bidi="he-IL"/>
        </w:rPr>
      </w:pPr>
      <w:r>
        <w:rPr>
          <w:rFonts w:eastAsia="Arial Unicode MS"/>
          <w:bCs/>
          <w:lang w:eastAsia="fr-FR" w:bidi="he-IL"/>
        </w:rPr>
        <w:t xml:space="preserve">On a comparé de nos </w:t>
      </w:r>
      <w:r w:rsidR="00B704AD" w:rsidRPr="00C8701B">
        <w:rPr>
          <w:rFonts w:eastAsia="Arial Unicode MS"/>
          <w:bCs/>
          <w:lang w:eastAsia="fr-FR" w:bidi="he-IL"/>
        </w:rPr>
        <w:t>jours cette différence extérieure</w:t>
      </w:r>
      <w:r w:rsidR="00E65435">
        <w:rPr>
          <w:rFonts w:eastAsia="Arial Unicode MS"/>
          <w:bCs/>
          <w:lang w:eastAsia="fr-FR" w:bidi="he-IL"/>
        </w:rPr>
        <w:t xml:space="preserve">, </w:t>
      </w:r>
      <w:r w:rsidR="00B704AD" w:rsidRPr="00C8701B">
        <w:rPr>
          <w:rFonts w:eastAsia="Arial Unicode MS"/>
          <w:bCs/>
          <w:lang w:eastAsia="fr-FR" w:bidi="he-IL"/>
        </w:rPr>
        <w:t>d</w:t>
      </w:r>
      <w:r w:rsidR="00557DE0">
        <w:rPr>
          <w:rFonts w:eastAsia="Arial Unicode MS"/>
          <w:bCs/>
          <w:lang w:eastAsia="fr-FR" w:bidi="he-IL"/>
        </w:rPr>
        <w:t>’</w:t>
      </w:r>
      <w:r w:rsidR="00B704AD" w:rsidRPr="00C8701B">
        <w:rPr>
          <w:rFonts w:eastAsia="Arial Unicode MS"/>
          <w:bCs/>
          <w:lang w:eastAsia="fr-FR" w:bidi="he-IL"/>
        </w:rPr>
        <w:t>une façon exacte et délicate</w:t>
      </w:r>
      <w:r w:rsidR="00E65435">
        <w:rPr>
          <w:rFonts w:eastAsia="Arial Unicode MS"/>
          <w:bCs/>
          <w:lang w:eastAsia="fr-FR" w:bidi="he-IL"/>
        </w:rPr>
        <w:t xml:space="preserve">, </w:t>
      </w:r>
      <w:r w:rsidR="00B704AD" w:rsidRPr="00C8701B">
        <w:rPr>
          <w:rFonts w:eastAsia="Arial Unicode MS"/>
          <w:bCs/>
          <w:lang w:eastAsia="fr-FR" w:bidi="he-IL"/>
        </w:rPr>
        <w:t>à celle qui existe entre la physionomie de Socrate d</w:t>
      </w:r>
      <w:r w:rsidR="00557DE0">
        <w:rPr>
          <w:rFonts w:eastAsia="Arial Unicode MS"/>
          <w:bCs/>
          <w:lang w:eastAsia="fr-FR" w:bidi="he-IL"/>
        </w:rPr>
        <w:t>’</w:t>
      </w:r>
      <w:r w:rsidR="00B704AD" w:rsidRPr="00C8701B">
        <w:rPr>
          <w:rFonts w:eastAsia="Arial Unicode MS"/>
          <w:bCs/>
          <w:lang w:eastAsia="fr-FR" w:bidi="he-IL"/>
        </w:rPr>
        <w:t>après les écrits de Platon et ceux de Xénophon. De même que Xénophon dépeint davantage l</w:t>
      </w:r>
      <w:r w:rsidR="00557DE0">
        <w:rPr>
          <w:rFonts w:eastAsia="Arial Unicode MS"/>
          <w:bCs/>
          <w:lang w:eastAsia="fr-FR" w:bidi="he-IL"/>
        </w:rPr>
        <w:t>’</w:t>
      </w:r>
      <w:r w:rsidR="00B704AD" w:rsidRPr="00C8701B">
        <w:rPr>
          <w:rFonts w:eastAsia="Arial Unicode MS"/>
          <w:bCs/>
          <w:lang w:eastAsia="fr-FR" w:bidi="he-IL"/>
        </w:rPr>
        <w:t>activité pratique de son héros</w:t>
      </w:r>
      <w:r w:rsidR="00E65435">
        <w:rPr>
          <w:rFonts w:eastAsia="Arial Unicode MS"/>
          <w:bCs/>
          <w:lang w:eastAsia="fr-FR" w:bidi="he-IL"/>
        </w:rPr>
        <w:t xml:space="preserve">, </w:t>
      </w:r>
      <w:r w:rsidR="00B704AD" w:rsidRPr="00C8701B">
        <w:rPr>
          <w:rFonts w:eastAsia="Arial Unicode MS"/>
          <w:bCs/>
          <w:lang w:eastAsia="fr-FR" w:bidi="he-IL"/>
        </w:rPr>
        <w:t>tandis que Platon en retrace surtout l</w:t>
      </w:r>
      <w:r w:rsidR="00557DE0">
        <w:rPr>
          <w:rFonts w:eastAsia="Arial Unicode MS"/>
          <w:bCs/>
          <w:lang w:eastAsia="fr-FR" w:bidi="he-IL"/>
        </w:rPr>
        <w:t>’</w:t>
      </w:r>
      <w:r w:rsidR="00B704AD" w:rsidRPr="00C8701B">
        <w:rPr>
          <w:rFonts w:eastAsia="Arial Unicode MS"/>
          <w:bCs/>
          <w:lang w:eastAsia="fr-FR" w:bidi="he-IL"/>
        </w:rPr>
        <w:t>activité philosophique</w:t>
      </w:r>
      <w:r w:rsidR="00C2602D" w:rsidRPr="00C8701B">
        <w:rPr>
          <w:rFonts w:eastAsia="Arial Unicode MS"/>
          <w:bCs/>
          <w:lang w:eastAsia="fr-FR" w:bidi="he-IL"/>
        </w:rPr>
        <w:t> :</w:t>
      </w:r>
      <w:r w:rsidR="00B704AD" w:rsidRPr="00C8701B">
        <w:rPr>
          <w:rFonts w:eastAsia="Arial Unicode MS"/>
          <w:bCs/>
          <w:lang w:eastAsia="fr-FR" w:bidi="he-IL"/>
        </w:rPr>
        <w:t xml:space="preserve"> de même S. Jean décrit l</w:t>
      </w:r>
      <w:r w:rsidR="00557DE0">
        <w:rPr>
          <w:rFonts w:eastAsia="Arial Unicode MS"/>
          <w:bCs/>
          <w:lang w:eastAsia="fr-FR" w:bidi="he-IL"/>
        </w:rPr>
        <w:t>’</w:t>
      </w:r>
      <w:r w:rsidR="00B704AD" w:rsidRPr="00C8701B">
        <w:rPr>
          <w:rFonts w:eastAsia="Arial Unicode MS"/>
          <w:bCs/>
          <w:lang w:eastAsia="fr-FR" w:bidi="he-IL"/>
        </w:rPr>
        <w:t>être supérieur de Jésus-Christ</w:t>
      </w:r>
      <w:r w:rsidR="00E65435">
        <w:rPr>
          <w:rFonts w:eastAsia="Arial Unicode MS"/>
          <w:bCs/>
          <w:lang w:eastAsia="fr-FR" w:bidi="he-IL"/>
        </w:rPr>
        <w:t xml:space="preserve">, </w:t>
      </w:r>
      <w:r w:rsidR="00B704AD" w:rsidRPr="00C8701B">
        <w:rPr>
          <w:rFonts w:eastAsia="Arial Unicode MS"/>
          <w:bCs/>
          <w:lang w:eastAsia="fr-FR" w:bidi="he-IL"/>
        </w:rPr>
        <w:t>alors que les synoptiques insistent plutôt sur les faits extérieurs de sa vie</w:t>
      </w:r>
      <w:r w:rsidR="00933C60" w:rsidRPr="00C406FF">
        <w:rPr>
          <w:rStyle w:val="Appelnotedebasdep"/>
        </w:rPr>
        <w:footnoteReference w:id="315"/>
      </w:r>
      <w:r w:rsidR="00B704AD"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Mais</w:t>
      </w:r>
      <w:r w:rsidR="00E65435">
        <w:rPr>
          <w:rFonts w:eastAsia="Arial Unicode MS"/>
          <w:bCs/>
          <w:lang w:eastAsia="fr-FR" w:bidi="he-IL"/>
        </w:rPr>
        <w:t xml:space="preserve">, </w:t>
      </w:r>
      <w:r w:rsidRPr="00C8701B">
        <w:rPr>
          <w:rFonts w:eastAsia="Arial Unicode MS"/>
          <w:bCs/>
          <w:lang w:eastAsia="fr-FR" w:bidi="he-IL"/>
        </w:rPr>
        <w:t>des deux parts</w:t>
      </w:r>
      <w:r w:rsidR="00E65435">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 le même Jésus</w:t>
      </w:r>
      <w:r w:rsidR="00E65435">
        <w:rPr>
          <w:rFonts w:eastAsia="Arial Unicode MS"/>
          <w:bCs/>
          <w:lang w:eastAsia="fr-FR" w:bidi="he-IL"/>
        </w:rPr>
        <w:t xml:space="preserve">, </w:t>
      </w:r>
      <w:r w:rsidRPr="00C8701B">
        <w:rPr>
          <w:rFonts w:eastAsia="Arial Unicode MS"/>
          <w:bCs/>
          <w:lang w:eastAsia="fr-FR" w:bidi="he-IL"/>
        </w:rPr>
        <w:t>le même Rédempteur de l</w:t>
      </w:r>
      <w:r w:rsidR="00557DE0">
        <w:rPr>
          <w:rFonts w:eastAsia="Arial Unicode MS"/>
          <w:bCs/>
          <w:lang w:eastAsia="fr-FR" w:bidi="he-IL"/>
        </w:rPr>
        <w:t>’</w:t>
      </w:r>
      <w:r w:rsidRPr="00C8701B">
        <w:rPr>
          <w:rFonts w:eastAsia="Arial Unicode MS"/>
          <w:bCs/>
          <w:lang w:eastAsia="fr-FR" w:bidi="he-IL"/>
        </w:rPr>
        <w:t>humanité</w:t>
      </w:r>
      <w:r w:rsidR="00E65435">
        <w:rPr>
          <w:rFonts w:eastAsia="Arial Unicode MS"/>
          <w:bCs/>
          <w:lang w:eastAsia="fr-FR" w:bidi="he-IL"/>
        </w:rPr>
        <w:t xml:space="preserve">, </w:t>
      </w:r>
      <w:r w:rsidR="00506395">
        <w:rPr>
          <w:rFonts w:eastAsia="Arial Unicode MS"/>
          <w:bCs/>
          <w:lang w:eastAsia="fr-FR" w:bidi="he-IL"/>
        </w:rPr>
        <w:t xml:space="preserve">le même </w:t>
      </w:r>
      <w:r w:rsidRPr="00C8701B">
        <w:rPr>
          <w:rFonts w:eastAsia="Arial Unicode MS"/>
          <w:bCs/>
          <w:lang w:eastAsia="fr-FR" w:bidi="he-IL"/>
        </w:rPr>
        <w:t>Fils de Dieu.</w:t>
      </w:r>
      <w:r w:rsidR="007F6508">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Pour ce qui concerne les discours et les paroles du Maître</w:t>
      </w:r>
      <w:r w:rsidR="00E65435">
        <w:rPr>
          <w:rFonts w:eastAsia="Arial Unicode MS"/>
          <w:bCs/>
          <w:lang w:eastAsia="fr-FR" w:bidi="he-IL"/>
        </w:rPr>
        <w:t xml:space="preserve">, </w:t>
      </w:r>
      <w:r w:rsidRPr="00C8701B">
        <w:rPr>
          <w:rFonts w:eastAsia="Arial Unicode MS"/>
          <w:bCs/>
          <w:lang w:eastAsia="fr-FR" w:bidi="he-IL"/>
        </w:rPr>
        <w:t>S. Jean a des pages simples et populaires</w:t>
      </w:r>
      <w:r w:rsidR="00E65435">
        <w:rPr>
          <w:rFonts w:eastAsia="Arial Unicode MS"/>
          <w:bCs/>
          <w:lang w:eastAsia="fr-FR" w:bidi="he-IL"/>
        </w:rPr>
        <w:t xml:space="preserve">, </w:t>
      </w:r>
      <w:r w:rsidRPr="00C8701B">
        <w:rPr>
          <w:rFonts w:eastAsia="Arial Unicode MS"/>
          <w:bCs/>
          <w:lang w:eastAsia="fr-FR" w:bidi="he-IL"/>
        </w:rPr>
        <w:t>qui rappellent le Discours sur la montagne ou les paraboles</w:t>
      </w:r>
      <w:r w:rsidR="00933C60" w:rsidRPr="00C406FF">
        <w:rPr>
          <w:rStyle w:val="Appelnotedebasdep"/>
        </w:rPr>
        <w:footnoteReference w:id="316"/>
      </w:r>
      <w:r w:rsidRPr="00C8701B">
        <w:rPr>
          <w:rFonts w:eastAsia="Arial Unicode MS"/>
          <w:bCs/>
          <w:lang w:eastAsia="fr-FR" w:bidi="he-IL"/>
        </w:rPr>
        <w:t>. D</w:t>
      </w:r>
      <w:r w:rsidR="00557DE0">
        <w:rPr>
          <w:rFonts w:eastAsia="Arial Unicode MS"/>
          <w:bCs/>
          <w:lang w:eastAsia="fr-FR" w:bidi="he-IL"/>
        </w:rPr>
        <w:t>’</w:t>
      </w:r>
      <w:r w:rsidRPr="00C8701B">
        <w:rPr>
          <w:rFonts w:eastAsia="Arial Unicode MS"/>
          <w:bCs/>
          <w:lang w:eastAsia="fr-FR" w:bidi="he-IL"/>
        </w:rPr>
        <w:t>un autre côté</w:t>
      </w:r>
      <w:r w:rsidR="00E65435">
        <w:rPr>
          <w:rFonts w:eastAsia="Arial Unicode MS"/>
          <w:bCs/>
          <w:lang w:eastAsia="fr-FR" w:bidi="he-IL"/>
        </w:rPr>
        <w:t xml:space="preserve">, </w:t>
      </w:r>
      <w:r w:rsidRPr="00C8701B">
        <w:rPr>
          <w:rFonts w:eastAsia="Arial Unicode MS"/>
          <w:bCs/>
          <w:lang w:eastAsia="fr-FR" w:bidi="he-IL"/>
        </w:rPr>
        <w:t>les passages Matth.</w:t>
      </w:r>
      <w:r w:rsidR="00623A37">
        <w:rPr>
          <w:rFonts w:eastAsia="Arial Unicode MS"/>
          <w:bCs/>
          <w:lang w:eastAsia="fr-FR" w:bidi="he-IL"/>
        </w:rPr>
        <w:t xml:space="preserve"> XI,</w:t>
      </w:r>
      <w:r w:rsidR="00E65435">
        <w:rPr>
          <w:rFonts w:eastAsia="Arial Unicode MS"/>
          <w:bCs/>
          <w:lang w:eastAsia="fr-FR" w:bidi="he-IL"/>
        </w:rPr>
        <w:t xml:space="preserve"> </w:t>
      </w:r>
      <w:r w:rsidR="00506395">
        <w:rPr>
          <w:rFonts w:eastAsia="Arial Unicode MS"/>
          <w:bCs/>
          <w:lang w:eastAsia="fr-FR" w:bidi="he-IL"/>
        </w:rPr>
        <w:t>25-</w:t>
      </w:r>
      <w:r w:rsidRPr="00C8701B">
        <w:rPr>
          <w:rFonts w:eastAsia="Arial Unicode MS"/>
          <w:bCs/>
          <w:lang w:eastAsia="fr-FR" w:bidi="he-IL"/>
        </w:rPr>
        <w:t>30</w:t>
      </w:r>
      <w:r w:rsidR="00E65435">
        <w:rPr>
          <w:rFonts w:eastAsia="Arial Unicode MS"/>
          <w:bCs/>
          <w:lang w:eastAsia="fr-FR" w:bidi="he-IL"/>
        </w:rPr>
        <w:t xml:space="preserve">, </w:t>
      </w:r>
      <w:r w:rsidRPr="00C8701B">
        <w:rPr>
          <w:rFonts w:eastAsia="Arial Unicode MS"/>
          <w:bCs/>
          <w:lang w:eastAsia="fr-FR" w:bidi="he-IL"/>
        </w:rPr>
        <w:t xml:space="preserve">et Luc. </w:t>
      </w:r>
      <w:r w:rsidR="001157C4">
        <w:rPr>
          <w:rFonts w:eastAsia="Arial Unicode MS"/>
          <w:bCs/>
          <w:lang w:eastAsia="fr-FR" w:bidi="he-IL"/>
        </w:rPr>
        <w:t>X</w:t>
      </w:r>
      <w:r w:rsidR="00E65435">
        <w:rPr>
          <w:rFonts w:eastAsia="Arial Unicode MS"/>
          <w:bCs/>
          <w:lang w:eastAsia="fr-FR" w:bidi="he-IL"/>
        </w:rPr>
        <w:t xml:space="preserve">, </w:t>
      </w:r>
      <w:r w:rsidRPr="00C8701B">
        <w:rPr>
          <w:rFonts w:eastAsia="Arial Unicode MS"/>
          <w:bCs/>
          <w:lang w:eastAsia="fr-FR" w:bidi="he-IL"/>
        </w:rPr>
        <w:t>21-24 n</w:t>
      </w:r>
      <w:r w:rsidR="00557DE0">
        <w:rPr>
          <w:rFonts w:eastAsia="Arial Unicode MS"/>
          <w:bCs/>
          <w:lang w:eastAsia="fr-FR" w:bidi="he-IL"/>
        </w:rPr>
        <w:t>’</w:t>
      </w:r>
      <w:r w:rsidRPr="00C8701B">
        <w:rPr>
          <w:rFonts w:eastAsia="Arial Unicode MS"/>
          <w:bCs/>
          <w:lang w:eastAsia="fr-FR" w:bidi="he-IL"/>
        </w:rPr>
        <w:t>atteignent-ils pas une hauteur digne du quatrième évangile</w:t>
      </w:r>
      <w:r w:rsidR="00C2602D" w:rsidRPr="00C8701B">
        <w:rPr>
          <w:rFonts w:eastAsia="Arial Unicode MS"/>
          <w:bCs/>
          <w:lang w:eastAsia="fr-FR" w:bidi="he-IL"/>
        </w:rPr>
        <w:t> ?</w:t>
      </w:r>
      <w:r w:rsidR="00CF1A98">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après S. Jean comme d</w:t>
      </w:r>
      <w:r w:rsidR="00557DE0">
        <w:rPr>
          <w:rFonts w:eastAsia="Arial Unicode MS"/>
          <w:bCs/>
          <w:lang w:eastAsia="fr-FR" w:bidi="he-IL"/>
        </w:rPr>
        <w:t>’</w:t>
      </w:r>
      <w:r w:rsidR="00506395">
        <w:rPr>
          <w:rFonts w:eastAsia="Arial Unicode MS"/>
          <w:bCs/>
          <w:lang w:eastAsia="fr-FR" w:bidi="he-IL"/>
        </w:rPr>
        <w:t>après l</w:t>
      </w:r>
      <w:r w:rsidRPr="00C8701B">
        <w:rPr>
          <w:rFonts w:eastAsia="Arial Unicode MS"/>
          <w:bCs/>
          <w:lang w:eastAsia="fr-FR" w:bidi="he-IL"/>
        </w:rPr>
        <w:t>es synoptiques</w:t>
      </w:r>
      <w:r w:rsidR="00E65435">
        <w:rPr>
          <w:rFonts w:eastAsia="Arial Unicode MS"/>
          <w:bCs/>
          <w:lang w:eastAsia="fr-FR" w:bidi="he-IL"/>
        </w:rPr>
        <w:t xml:space="preserve">, </w:t>
      </w:r>
      <w:r w:rsidRPr="00C8701B">
        <w:rPr>
          <w:rFonts w:eastAsia="Arial Unicode MS"/>
          <w:bCs/>
          <w:lang w:eastAsia="fr-FR" w:bidi="he-IL"/>
        </w:rPr>
        <w:t>Jésus aime à s</w:t>
      </w:r>
      <w:r w:rsidR="00557DE0">
        <w:rPr>
          <w:rFonts w:eastAsia="Arial Unicode MS"/>
          <w:bCs/>
          <w:lang w:eastAsia="fr-FR" w:bidi="he-IL"/>
        </w:rPr>
        <w:t>’</w:t>
      </w:r>
      <w:r w:rsidRPr="00C8701B">
        <w:rPr>
          <w:rFonts w:eastAsia="Arial Unicode MS"/>
          <w:bCs/>
          <w:lang w:eastAsia="fr-FR" w:bidi="he-IL"/>
        </w:rPr>
        <w:t>appliquer l</w:t>
      </w:r>
      <w:r w:rsidR="00557DE0">
        <w:rPr>
          <w:rFonts w:eastAsia="Arial Unicode MS"/>
          <w:bCs/>
          <w:lang w:eastAsia="fr-FR" w:bidi="he-IL"/>
        </w:rPr>
        <w:t>’</w:t>
      </w:r>
      <w:r w:rsidRPr="00C8701B">
        <w:rPr>
          <w:rFonts w:eastAsia="Arial Unicode MS"/>
          <w:bCs/>
          <w:lang w:eastAsia="fr-FR" w:bidi="he-IL"/>
        </w:rPr>
        <w:t>appellation significative de</w:t>
      </w:r>
      <w:r w:rsidR="00CE11E9">
        <w:rPr>
          <w:rFonts w:eastAsia="Arial Unicode MS"/>
          <w:bCs/>
          <w:lang w:eastAsia="fr-FR" w:bidi="he-IL"/>
        </w:rPr>
        <w:t xml:space="preserve"> </w:t>
      </w:r>
      <w:r w:rsidR="00F12048" w:rsidRPr="00C8701B">
        <w:rPr>
          <w:rFonts w:eastAsia="Arial Unicode MS"/>
          <w:bCs/>
          <w:lang w:eastAsia="fr-FR" w:bidi="he-IL"/>
        </w:rPr>
        <w:t>« </w:t>
      </w:r>
      <w:r w:rsidRPr="00C8701B">
        <w:rPr>
          <w:rFonts w:eastAsia="Arial Unicode MS"/>
          <w:bCs/>
          <w:lang w:eastAsia="fr-FR" w:bidi="he-IL"/>
        </w:rPr>
        <w:t>Fils de l</w:t>
      </w:r>
      <w:r w:rsidR="00557DE0">
        <w:rPr>
          <w:rFonts w:eastAsia="Arial Unicode MS"/>
          <w:bCs/>
          <w:lang w:eastAsia="fr-FR" w:bidi="he-IL"/>
        </w:rPr>
        <w:t>’</w:t>
      </w:r>
      <w:r w:rsidRPr="00C8701B">
        <w:rPr>
          <w:rFonts w:eastAsia="Arial Unicode MS"/>
          <w:bCs/>
          <w:lang w:eastAsia="fr-FR" w:bidi="he-IL"/>
        </w:rPr>
        <w:t>homm</w:t>
      </w:r>
      <w:r w:rsidR="00CF1A98">
        <w:rPr>
          <w:rFonts w:eastAsia="Arial Unicode MS"/>
          <w:bCs/>
          <w:lang w:eastAsia="fr-FR" w:bidi="he-IL"/>
        </w:rPr>
        <w:t>e », pour marquer l</w:t>
      </w:r>
      <w:r w:rsidRPr="00C8701B">
        <w:rPr>
          <w:rFonts w:eastAsia="Arial Unicode MS"/>
          <w:bCs/>
          <w:lang w:eastAsia="fr-FR" w:bidi="he-IL"/>
        </w:rPr>
        <w:t>e côté plus humble de sa nature</w:t>
      </w:r>
      <w:r w:rsidR="00933C60" w:rsidRPr="00C406FF">
        <w:rPr>
          <w:rStyle w:val="Appelnotedebasdep"/>
        </w:rPr>
        <w:footnoteReference w:id="317"/>
      </w:r>
      <w:r w:rsidRPr="00C8701B">
        <w:rPr>
          <w:rFonts w:eastAsia="Arial Unicode MS"/>
          <w:bCs/>
          <w:lang w:eastAsia="fr-FR" w:bidi="he-IL"/>
        </w:rPr>
        <w:t>. Mais aussi</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après les synoptiques comme d</w:t>
      </w:r>
      <w:r w:rsidR="00557DE0">
        <w:rPr>
          <w:rFonts w:eastAsia="Arial Unicode MS"/>
          <w:bCs/>
          <w:lang w:eastAsia="fr-FR" w:bidi="he-IL"/>
        </w:rPr>
        <w:t>’</w:t>
      </w:r>
      <w:r w:rsidRPr="00C8701B">
        <w:rPr>
          <w:rFonts w:eastAsia="Arial Unicode MS"/>
          <w:bCs/>
          <w:lang w:eastAsia="fr-FR" w:bidi="he-IL"/>
        </w:rPr>
        <w:t>après S. Jean</w:t>
      </w:r>
      <w:r w:rsidR="00E65435">
        <w:rPr>
          <w:rFonts w:eastAsia="Arial Unicode MS"/>
          <w:bCs/>
          <w:lang w:eastAsia="fr-FR" w:bidi="he-IL"/>
        </w:rPr>
        <w:t xml:space="preserve">, </w:t>
      </w:r>
      <w:r w:rsidRPr="00C8701B">
        <w:rPr>
          <w:rFonts w:eastAsia="Arial Unicode MS"/>
          <w:bCs/>
          <w:lang w:eastAsia="fr-FR" w:bidi="he-IL"/>
        </w:rPr>
        <w:t>il parle et agit constamment comme Fils de Dieu</w:t>
      </w:r>
      <w:r w:rsidR="00E65435">
        <w:rPr>
          <w:rFonts w:eastAsia="Arial Unicode MS"/>
          <w:bCs/>
          <w:lang w:eastAsia="fr-FR" w:bidi="he-IL"/>
        </w:rPr>
        <w:t xml:space="preserve">, </w:t>
      </w:r>
      <w:r w:rsidRPr="00C8701B">
        <w:rPr>
          <w:rFonts w:eastAsia="Arial Unicode MS"/>
          <w:bCs/>
          <w:lang w:eastAsia="fr-FR" w:bidi="he-IL"/>
        </w:rPr>
        <w:t>faisant par</w:t>
      </w:r>
      <w:r w:rsidR="00506395">
        <w:rPr>
          <w:rFonts w:eastAsia="Arial Unicode MS"/>
          <w:bCs/>
          <w:lang w:eastAsia="fr-FR" w:bidi="he-IL"/>
        </w:rPr>
        <w:t>tout de sa personne le centre de</w:t>
      </w:r>
      <w:r w:rsidRPr="00C8701B">
        <w:rPr>
          <w:rFonts w:eastAsia="Arial Unicode MS"/>
          <w:bCs/>
          <w:lang w:eastAsia="fr-FR" w:bidi="he-IL"/>
        </w:rPr>
        <w:t xml:space="preserve"> son enseignement</w:t>
      </w:r>
      <w:r w:rsidR="00E65435">
        <w:rPr>
          <w:rFonts w:eastAsia="Arial Unicode MS"/>
          <w:bCs/>
          <w:lang w:eastAsia="fr-FR" w:bidi="he-IL"/>
        </w:rPr>
        <w:t xml:space="preserve">, </w:t>
      </w:r>
      <w:r w:rsidRPr="00C8701B">
        <w:rPr>
          <w:rFonts w:eastAsia="Arial Unicode MS"/>
          <w:bCs/>
          <w:lang w:eastAsia="fr-FR" w:bidi="he-IL"/>
        </w:rPr>
        <w:t>de toute la rédemption.</w:t>
      </w:r>
      <w:r w:rsidR="00C2602D" w:rsidRPr="00C8701B">
        <w:rPr>
          <w:rFonts w:eastAsia="Arial Unicode MS"/>
          <w:bCs/>
          <w:lang w:eastAsia="fr-FR" w:bidi="he-IL"/>
        </w:rPr>
        <w:t xml:space="preserve"> </w:t>
      </w:r>
    </w:p>
    <w:p w:rsidR="00C2602D" w:rsidRPr="00DC4586" w:rsidRDefault="00B704AD" w:rsidP="00C2602D">
      <w:pPr>
        <w:rPr>
          <w:rStyle w:val="italicus"/>
        </w:rPr>
      </w:pPr>
      <w:r w:rsidRPr="00C8701B">
        <w:rPr>
          <w:rFonts w:eastAsia="Arial Unicode MS"/>
          <w:bCs/>
          <w:lang w:eastAsia="fr-FR" w:bidi="he-IL"/>
        </w:rPr>
        <w:t>La liste suivante</w:t>
      </w:r>
      <w:r w:rsidR="00E65435">
        <w:rPr>
          <w:rFonts w:eastAsia="Arial Unicode MS"/>
          <w:bCs/>
          <w:lang w:eastAsia="fr-FR" w:bidi="he-IL"/>
        </w:rPr>
        <w:t xml:space="preserve">, </w:t>
      </w:r>
      <w:r w:rsidRPr="00C8701B">
        <w:rPr>
          <w:rFonts w:eastAsia="Arial Unicode MS"/>
          <w:bCs/>
          <w:lang w:eastAsia="fr-FR" w:bidi="he-IL"/>
        </w:rPr>
        <w:t>que nous pourrions beaucoup allonger</w:t>
      </w:r>
      <w:r w:rsidR="00E65435">
        <w:rPr>
          <w:rFonts w:eastAsia="Arial Unicode MS"/>
          <w:bCs/>
          <w:lang w:eastAsia="fr-FR" w:bidi="he-IL"/>
        </w:rPr>
        <w:t xml:space="preserve">, </w:t>
      </w:r>
      <w:r w:rsidRPr="00C8701B">
        <w:rPr>
          <w:rFonts w:eastAsia="Arial Unicode MS"/>
          <w:bCs/>
          <w:lang w:eastAsia="fr-FR" w:bidi="he-IL"/>
        </w:rPr>
        <w:t>le démontre surabondamment</w:t>
      </w:r>
      <w:r w:rsidR="00C2602D" w:rsidRPr="00C8701B">
        <w:rPr>
          <w:rFonts w:eastAsia="Arial Unicode MS"/>
          <w:bCs/>
          <w:lang w:eastAsia="fr-FR" w:bidi="he-IL"/>
        </w:rPr>
        <w:t> :</w:t>
      </w:r>
      <w:r w:rsidRPr="00C8701B">
        <w:rPr>
          <w:rFonts w:eastAsia="Arial Unicode MS"/>
          <w:bCs/>
          <w:lang w:eastAsia="fr-FR" w:bidi="he-IL"/>
        </w:rPr>
        <w:t xml:space="preserve"> Matth</w:t>
      </w:r>
      <w:r w:rsidR="001157C4">
        <w:rPr>
          <w:rFonts w:eastAsia="Arial Unicode MS"/>
          <w:bCs/>
          <w:lang w:eastAsia="fr-FR" w:bidi="he-IL"/>
        </w:rPr>
        <w:t>. VII,</w:t>
      </w:r>
      <w:r w:rsidR="00E65435">
        <w:rPr>
          <w:rFonts w:eastAsia="Arial Unicode MS"/>
          <w:bCs/>
          <w:lang w:eastAsia="fr-FR" w:bidi="he-IL"/>
        </w:rPr>
        <w:t xml:space="preserve"> </w:t>
      </w:r>
      <w:r w:rsidRPr="00C8701B">
        <w:rPr>
          <w:rFonts w:eastAsia="Arial Unicode MS"/>
          <w:bCs/>
          <w:lang w:eastAsia="fr-FR" w:bidi="he-IL"/>
        </w:rPr>
        <w:t>22</w:t>
      </w:r>
      <w:r w:rsidR="00E65435">
        <w:rPr>
          <w:rFonts w:eastAsia="Arial Unicode MS"/>
          <w:bCs/>
          <w:lang w:eastAsia="fr-FR" w:bidi="he-IL"/>
        </w:rPr>
        <w:t xml:space="preserve">, </w:t>
      </w:r>
      <w:r w:rsidR="00506395">
        <w:rPr>
          <w:rStyle w:val="italicus"/>
        </w:rPr>
        <w:t>Dómine</w:t>
      </w:r>
      <w:r w:rsidR="00E65435">
        <w:rPr>
          <w:rStyle w:val="italicus"/>
        </w:rPr>
        <w:t xml:space="preserve">, </w:t>
      </w:r>
      <w:r w:rsidR="00506395">
        <w:rPr>
          <w:rStyle w:val="italicus"/>
        </w:rPr>
        <w:t>Dómine</w:t>
      </w:r>
      <w:r w:rsidR="00E65435">
        <w:rPr>
          <w:rStyle w:val="italicus"/>
        </w:rPr>
        <w:t xml:space="preserve">, </w:t>
      </w:r>
      <w:r w:rsidRPr="00DC4586">
        <w:rPr>
          <w:rStyle w:val="italicus"/>
        </w:rPr>
        <w:t xml:space="preserve">nonne in </w:t>
      </w:r>
      <w:r w:rsidR="004E7E47">
        <w:rPr>
          <w:rStyle w:val="italicus"/>
        </w:rPr>
        <w:t>nómine</w:t>
      </w:r>
      <w:r w:rsidRPr="00DC4586">
        <w:rPr>
          <w:rStyle w:val="italicus"/>
        </w:rPr>
        <w:t xml:space="preserve"> tuo </w:t>
      </w:r>
      <w:r w:rsidR="00506395" w:rsidRPr="00DC4586">
        <w:rPr>
          <w:rStyle w:val="italicus"/>
        </w:rPr>
        <w:t>prophetávimus</w:t>
      </w:r>
      <w:r w:rsidR="00E65435">
        <w:rPr>
          <w:rStyle w:val="italicus"/>
        </w:rPr>
        <w:t xml:space="preserve">, </w:t>
      </w:r>
      <w:r w:rsidRPr="00DC4586">
        <w:rPr>
          <w:rStyle w:val="italicus"/>
        </w:rPr>
        <w:t xml:space="preserve">et in </w:t>
      </w:r>
      <w:r w:rsidR="004E7E47">
        <w:rPr>
          <w:rStyle w:val="italicus"/>
        </w:rPr>
        <w:t>nómine</w:t>
      </w:r>
      <w:r w:rsidRPr="00DC4586">
        <w:rPr>
          <w:rStyle w:val="italicus"/>
        </w:rPr>
        <w:t xml:space="preserve"> </w:t>
      </w:r>
      <w:r w:rsidR="0014311E">
        <w:rPr>
          <w:rStyle w:val="italicus"/>
        </w:rPr>
        <w:t>Luc</w:t>
      </w:r>
      <w:r w:rsidRPr="00DC4586">
        <w:rPr>
          <w:rStyle w:val="italicus"/>
        </w:rPr>
        <w:t xml:space="preserve"> </w:t>
      </w:r>
      <w:r w:rsidR="00506395" w:rsidRPr="00DC4586">
        <w:rPr>
          <w:rStyle w:val="italicus"/>
        </w:rPr>
        <w:t>dæmónia</w:t>
      </w:r>
      <w:r w:rsidR="00506395">
        <w:rPr>
          <w:rStyle w:val="italicus"/>
        </w:rPr>
        <w:t xml:space="preserve"> ejécim</w:t>
      </w:r>
      <w:r w:rsidR="00506395" w:rsidRPr="00DC4586">
        <w:rPr>
          <w:rStyle w:val="italicus"/>
        </w:rPr>
        <w:t>us</w:t>
      </w:r>
      <w:r w:rsidRPr="00DC4586">
        <w:rPr>
          <w:rStyle w:val="italicus"/>
        </w:rPr>
        <w:t>...</w:t>
      </w:r>
      <w:r w:rsidR="00C2602D" w:rsidRPr="00DC4586">
        <w:rPr>
          <w:rStyle w:val="italicus"/>
        </w:rPr>
        <w:t> ?</w:t>
      </w:r>
      <w:r w:rsidRPr="00C8701B">
        <w:rPr>
          <w:rFonts w:eastAsia="Arial Unicode MS"/>
          <w:bCs/>
          <w:lang w:eastAsia="fr-FR" w:bidi="he-IL"/>
        </w:rPr>
        <w:t xml:space="preserve"> Matth. </w:t>
      </w:r>
      <w:r w:rsidR="00506395">
        <w:rPr>
          <w:rFonts w:eastAsia="Arial Unicode MS"/>
          <w:bCs/>
          <w:lang w:eastAsia="fr-FR" w:bidi="he-IL"/>
        </w:rPr>
        <w:t>IX</w:t>
      </w:r>
      <w:r w:rsidR="00E65435">
        <w:rPr>
          <w:rFonts w:eastAsia="Arial Unicode MS"/>
          <w:bCs/>
          <w:lang w:eastAsia="fr-FR" w:bidi="he-IL"/>
        </w:rPr>
        <w:t xml:space="preserve">, </w:t>
      </w:r>
      <w:r w:rsidRPr="00C8701B">
        <w:rPr>
          <w:rFonts w:eastAsia="Arial Unicode MS"/>
          <w:bCs/>
          <w:lang w:eastAsia="fr-FR" w:bidi="he-IL"/>
        </w:rPr>
        <w:t>2 et ss.</w:t>
      </w:r>
      <w:r w:rsidR="00E65435">
        <w:rPr>
          <w:rFonts w:eastAsia="Arial Unicode MS"/>
          <w:bCs/>
          <w:lang w:eastAsia="fr-FR" w:bidi="he-IL"/>
        </w:rPr>
        <w:t xml:space="preserve">, </w:t>
      </w:r>
      <w:r w:rsidR="00506395" w:rsidRPr="00DC4586">
        <w:rPr>
          <w:rStyle w:val="italicus"/>
        </w:rPr>
        <w:t>Confíde</w:t>
      </w:r>
      <w:r w:rsidR="00E65435">
        <w:rPr>
          <w:rStyle w:val="italicus"/>
        </w:rPr>
        <w:t xml:space="preserve">, </w:t>
      </w:r>
      <w:r w:rsidRPr="00DC4586">
        <w:rPr>
          <w:rStyle w:val="italicus"/>
        </w:rPr>
        <w:t>fili</w:t>
      </w:r>
      <w:r w:rsidR="00E65435">
        <w:rPr>
          <w:rStyle w:val="italicus"/>
        </w:rPr>
        <w:t xml:space="preserve">, </w:t>
      </w:r>
      <w:r w:rsidR="00506395" w:rsidRPr="00DC4586">
        <w:rPr>
          <w:rStyle w:val="italicus"/>
        </w:rPr>
        <w:t>remittúntur</w:t>
      </w:r>
      <w:r w:rsidRPr="00DC4586">
        <w:rPr>
          <w:rStyle w:val="italicus"/>
        </w:rPr>
        <w:t xml:space="preserve"> tibi </w:t>
      </w:r>
      <w:r w:rsidR="00506395" w:rsidRPr="00DC4586">
        <w:rPr>
          <w:rStyle w:val="italicus"/>
        </w:rPr>
        <w:t>peccáta</w:t>
      </w:r>
      <w:r w:rsidRPr="00DC4586">
        <w:rPr>
          <w:rStyle w:val="italicus"/>
        </w:rPr>
        <w:t xml:space="preserve"> tua.</w:t>
      </w:r>
      <w:r w:rsidRPr="00C8701B">
        <w:rPr>
          <w:rFonts w:eastAsia="Arial Unicode MS"/>
          <w:bCs/>
          <w:lang w:eastAsia="fr-FR" w:bidi="he-IL"/>
        </w:rPr>
        <w:t xml:space="preserve"> </w:t>
      </w:r>
      <w:r w:rsidRPr="00F3476E">
        <w:rPr>
          <w:rFonts w:eastAsia="Arial Unicode MS"/>
          <w:bCs/>
          <w:lang w:eastAsia="fr-FR" w:bidi="he-IL"/>
        </w:rPr>
        <w:t xml:space="preserve">Matth. </w:t>
      </w:r>
      <w:r w:rsidR="001157C4" w:rsidRPr="00F3476E">
        <w:rPr>
          <w:rFonts w:eastAsia="Arial Unicode MS"/>
          <w:bCs/>
          <w:lang w:eastAsia="fr-FR" w:bidi="he-IL"/>
        </w:rPr>
        <w:t>X</w:t>
      </w:r>
      <w:r w:rsidR="00E65435" w:rsidRPr="00F3476E">
        <w:rPr>
          <w:rFonts w:eastAsia="Arial Unicode MS"/>
          <w:bCs/>
          <w:lang w:eastAsia="fr-FR" w:bidi="he-IL"/>
        </w:rPr>
        <w:t xml:space="preserve">, </w:t>
      </w:r>
      <w:r w:rsidRPr="00F3476E">
        <w:rPr>
          <w:rFonts w:eastAsia="Arial Unicode MS"/>
          <w:bCs/>
          <w:lang w:eastAsia="fr-FR" w:bidi="he-IL"/>
        </w:rPr>
        <w:t>1.</w:t>
      </w:r>
      <w:r w:rsidRPr="00F3476E">
        <w:rPr>
          <w:rStyle w:val="italicus"/>
        </w:rPr>
        <w:t xml:space="preserve"> </w:t>
      </w:r>
      <w:r w:rsidR="006D3DC1" w:rsidRPr="00F3476E">
        <w:rPr>
          <w:rStyle w:val="italicus"/>
        </w:rPr>
        <w:t>Dedit</w:t>
      </w:r>
      <w:r w:rsidRPr="00F3476E">
        <w:rPr>
          <w:rStyle w:val="italicus"/>
        </w:rPr>
        <w:t xml:space="preserve"> illis</w:t>
      </w:r>
      <w:r w:rsidR="00506395" w:rsidRPr="00F3476E">
        <w:rPr>
          <w:rStyle w:val="italicus"/>
        </w:rPr>
        <w:t xml:space="preserve"> </w:t>
      </w:r>
      <w:r w:rsidRPr="00F3476E">
        <w:rPr>
          <w:rStyle w:val="italicus"/>
        </w:rPr>
        <w:t>potest</w:t>
      </w:r>
      <w:r w:rsidR="008056CD" w:rsidRPr="00F3476E">
        <w:rPr>
          <w:rStyle w:val="italicus"/>
        </w:rPr>
        <w:t>átem</w:t>
      </w:r>
      <w:r w:rsidRPr="00F3476E">
        <w:rPr>
          <w:rStyle w:val="italicus"/>
        </w:rPr>
        <w:t xml:space="preserve"> </w:t>
      </w:r>
      <w:r w:rsidR="00506395" w:rsidRPr="00F3476E">
        <w:rPr>
          <w:rStyle w:val="italicus"/>
        </w:rPr>
        <w:t>spirítuum</w:t>
      </w:r>
      <w:r w:rsidRPr="00F3476E">
        <w:rPr>
          <w:rStyle w:val="italicus"/>
        </w:rPr>
        <w:t xml:space="preserve"> </w:t>
      </w:r>
      <w:r w:rsidR="00506395" w:rsidRPr="00F3476E">
        <w:rPr>
          <w:rStyle w:val="italicus"/>
        </w:rPr>
        <w:t>immundórum</w:t>
      </w:r>
      <w:r w:rsidR="00E65435" w:rsidRPr="00F3476E">
        <w:rPr>
          <w:rStyle w:val="italicus"/>
        </w:rPr>
        <w:t xml:space="preserve">, </w:t>
      </w:r>
      <w:r w:rsidRPr="00F3476E">
        <w:rPr>
          <w:rStyle w:val="italicus"/>
        </w:rPr>
        <w:t xml:space="preserve">ut </w:t>
      </w:r>
      <w:r w:rsidR="00506395" w:rsidRPr="00F3476E">
        <w:rPr>
          <w:rStyle w:val="italicus"/>
        </w:rPr>
        <w:t>ejícerent</w:t>
      </w:r>
      <w:r w:rsidRPr="00F3476E">
        <w:rPr>
          <w:rStyle w:val="italicus"/>
        </w:rPr>
        <w:t xml:space="preserve"> eos...</w:t>
      </w:r>
      <w:r w:rsidRPr="00F3476E">
        <w:rPr>
          <w:rFonts w:eastAsia="Arial Unicode MS"/>
          <w:bCs/>
          <w:lang w:eastAsia="fr-FR" w:bidi="he-IL"/>
        </w:rPr>
        <w:t xml:space="preserve"> </w:t>
      </w:r>
      <w:r w:rsidR="00C14040" w:rsidRPr="000716BB">
        <w:rPr>
          <w:rFonts w:eastAsia="Arial Unicode MS"/>
          <w:bCs/>
          <w:lang w:eastAsia="fr-FR" w:bidi="he-IL"/>
        </w:rPr>
        <w:t>{</w:t>
      </w:r>
      <w:r w:rsidR="00C14040">
        <w:rPr>
          <w:rFonts w:eastAsia="Arial Unicode MS"/>
          <w:bCs/>
          <w:lang w:eastAsia="fr-FR" w:bidi="he-IL"/>
        </w:rPr>
        <w:t>61</w:t>
      </w:r>
      <w:bookmarkStart w:id="98" w:name="pag061"/>
      <w:bookmarkEnd w:id="98"/>
      <w:r w:rsidR="00C14040" w:rsidRPr="000716BB">
        <w:rPr>
          <w:rFonts w:eastAsia="Arial Unicode MS"/>
          <w:bCs/>
          <w:lang w:eastAsia="fr-FR" w:bidi="he-IL"/>
        </w:rPr>
        <w:t xml:space="preserve">} </w:t>
      </w:r>
      <w:r w:rsidRPr="00F3476E">
        <w:rPr>
          <w:rFonts w:eastAsia="Arial Unicode MS"/>
          <w:bCs/>
          <w:lang w:eastAsia="fr-FR" w:bidi="he-IL"/>
        </w:rPr>
        <w:t>Matth.</w:t>
      </w:r>
      <w:r w:rsidR="00623A37" w:rsidRPr="00F3476E">
        <w:rPr>
          <w:rFonts w:eastAsia="Arial Unicode MS"/>
          <w:bCs/>
          <w:lang w:eastAsia="fr-FR" w:bidi="he-IL"/>
        </w:rPr>
        <w:t xml:space="preserve"> </w:t>
      </w:r>
      <w:r w:rsidR="00623A37">
        <w:rPr>
          <w:rFonts w:eastAsia="Arial Unicode MS"/>
          <w:bCs/>
          <w:lang w:eastAsia="fr-FR" w:bidi="he-IL"/>
        </w:rPr>
        <w:t>XI,</w:t>
      </w:r>
      <w:r w:rsidR="00E65435">
        <w:rPr>
          <w:rFonts w:eastAsia="Arial Unicode MS"/>
          <w:bCs/>
          <w:lang w:eastAsia="fr-FR" w:bidi="he-IL"/>
        </w:rPr>
        <w:t xml:space="preserve"> </w:t>
      </w:r>
      <w:r w:rsidRPr="00C8701B">
        <w:rPr>
          <w:rFonts w:eastAsia="Arial Unicode MS"/>
          <w:bCs/>
          <w:lang w:eastAsia="fr-FR" w:bidi="he-IL"/>
        </w:rPr>
        <w:t>27</w:t>
      </w:r>
      <w:r w:rsidR="00E65435">
        <w:rPr>
          <w:rFonts w:eastAsia="Arial Unicode MS"/>
          <w:bCs/>
          <w:lang w:eastAsia="fr-FR" w:bidi="he-IL"/>
        </w:rPr>
        <w:t xml:space="preserve">, </w:t>
      </w:r>
      <w:r w:rsidRPr="00DC4586">
        <w:rPr>
          <w:rStyle w:val="italicus"/>
        </w:rPr>
        <w:t>Omnia mihi</w:t>
      </w:r>
      <w:r w:rsidR="00C2602D" w:rsidRPr="00DC4586">
        <w:rPr>
          <w:rStyle w:val="italicus"/>
        </w:rPr>
        <w:t xml:space="preserve"> </w:t>
      </w:r>
      <w:r w:rsidR="00506395">
        <w:rPr>
          <w:rStyle w:val="italicus"/>
        </w:rPr>
        <w:t>trádita sunt a Patre m</w:t>
      </w:r>
      <w:r w:rsidRPr="00DC4586">
        <w:rPr>
          <w:rStyle w:val="italicus"/>
        </w:rPr>
        <w:t>eo</w:t>
      </w:r>
      <w:r w:rsidR="00E65435">
        <w:rPr>
          <w:rStyle w:val="italicus"/>
        </w:rPr>
        <w:t xml:space="preserve">, </w:t>
      </w:r>
      <w:r w:rsidR="00506395">
        <w:rPr>
          <w:rStyle w:val="italicus"/>
        </w:rPr>
        <w:t>et nemo novit Fíl</w:t>
      </w:r>
      <w:r w:rsidR="00506395" w:rsidRPr="00DC4586">
        <w:rPr>
          <w:rStyle w:val="italicus"/>
        </w:rPr>
        <w:t>ium</w:t>
      </w:r>
      <w:r w:rsidR="00E65435">
        <w:rPr>
          <w:rStyle w:val="italicus"/>
        </w:rPr>
        <w:t xml:space="preserve">, </w:t>
      </w:r>
      <w:r w:rsidR="00506395">
        <w:rPr>
          <w:rStyle w:val="italicus"/>
        </w:rPr>
        <w:t>ni</w:t>
      </w:r>
      <w:r w:rsidRPr="00DC4586">
        <w:rPr>
          <w:rStyle w:val="italicus"/>
        </w:rPr>
        <w:t>si Pater...</w:t>
      </w:r>
      <w:r w:rsidRPr="00C8701B">
        <w:rPr>
          <w:rFonts w:eastAsia="Arial Unicode MS"/>
          <w:bCs/>
          <w:lang w:eastAsia="fr-FR" w:bidi="he-IL"/>
        </w:rPr>
        <w:t xml:space="preserve"> </w:t>
      </w:r>
      <w:r w:rsidR="00506395" w:rsidRPr="00506395">
        <w:rPr>
          <w:rFonts w:eastAsia="Arial Unicode MS"/>
          <w:bCs/>
          <w:lang w:eastAsia="fr-FR" w:bidi="he-IL"/>
        </w:rPr>
        <w:t>Matth.</w:t>
      </w:r>
      <w:r w:rsidRPr="00506395">
        <w:rPr>
          <w:rFonts w:eastAsia="Arial Unicode MS"/>
          <w:bCs/>
          <w:lang w:eastAsia="fr-FR" w:bidi="he-IL"/>
        </w:rPr>
        <w:t xml:space="preserve"> </w:t>
      </w:r>
      <w:r w:rsidR="003A247F" w:rsidRPr="00F3476E">
        <w:rPr>
          <w:rFonts w:eastAsia="Arial Unicode MS"/>
          <w:bCs/>
          <w:lang w:eastAsia="fr-FR" w:bidi="he-IL"/>
        </w:rPr>
        <w:t>XIII</w:t>
      </w:r>
      <w:r w:rsidR="00E65435" w:rsidRPr="00F3476E">
        <w:rPr>
          <w:rFonts w:eastAsia="Arial Unicode MS"/>
          <w:bCs/>
          <w:lang w:eastAsia="fr-FR" w:bidi="he-IL"/>
        </w:rPr>
        <w:t xml:space="preserve">, </w:t>
      </w:r>
      <w:r w:rsidRPr="00F3476E">
        <w:rPr>
          <w:rFonts w:eastAsia="Arial Unicode MS"/>
          <w:bCs/>
          <w:lang w:eastAsia="fr-FR" w:bidi="he-IL"/>
        </w:rPr>
        <w:t>41</w:t>
      </w:r>
      <w:r w:rsidR="00E65435" w:rsidRPr="00F3476E">
        <w:rPr>
          <w:rFonts w:eastAsia="Arial Unicode MS"/>
          <w:bCs/>
          <w:lang w:eastAsia="fr-FR" w:bidi="he-IL"/>
        </w:rPr>
        <w:t xml:space="preserve">, </w:t>
      </w:r>
      <w:r w:rsidR="00506395" w:rsidRPr="00F3476E">
        <w:rPr>
          <w:rStyle w:val="italicus"/>
        </w:rPr>
        <w:t>Mittet Fílius</w:t>
      </w:r>
      <w:r w:rsidRPr="00F3476E">
        <w:rPr>
          <w:rStyle w:val="italicus"/>
        </w:rPr>
        <w:t xml:space="preserve"> </w:t>
      </w:r>
      <w:r w:rsidR="00506395" w:rsidRPr="00F3476E">
        <w:rPr>
          <w:rStyle w:val="italicus"/>
        </w:rPr>
        <w:t>hóminis</w:t>
      </w:r>
      <w:r w:rsidRPr="00F3476E">
        <w:rPr>
          <w:rStyle w:val="italicus"/>
        </w:rPr>
        <w:t xml:space="preserve"> </w:t>
      </w:r>
      <w:r w:rsidR="00506395" w:rsidRPr="00F3476E">
        <w:rPr>
          <w:rStyle w:val="italicus"/>
        </w:rPr>
        <w:t>Angelos</w:t>
      </w:r>
      <w:r w:rsidRPr="00F3476E">
        <w:rPr>
          <w:rStyle w:val="italicus"/>
        </w:rPr>
        <w:t xml:space="preserve"> suos...</w:t>
      </w:r>
      <w:r w:rsidRPr="00F3476E">
        <w:rPr>
          <w:rFonts w:eastAsia="Arial Unicode MS"/>
          <w:bCs/>
          <w:lang w:eastAsia="fr-FR" w:bidi="he-IL"/>
        </w:rPr>
        <w:t xml:space="preserve"> Matth. </w:t>
      </w:r>
      <w:r w:rsidR="00CA083D" w:rsidRPr="00F3476E">
        <w:rPr>
          <w:rFonts w:eastAsia="Arial Unicode MS"/>
          <w:bCs/>
          <w:lang w:eastAsia="fr-FR" w:bidi="he-IL"/>
        </w:rPr>
        <w:t>XVII</w:t>
      </w:r>
      <w:r w:rsidR="00C87A2B" w:rsidRPr="00F3476E">
        <w:rPr>
          <w:rFonts w:eastAsia="Arial Unicode MS"/>
          <w:bCs/>
          <w:lang w:eastAsia="fr-FR" w:bidi="he-IL"/>
        </w:rPr>
        <w:t>I</w:t>
      </w:r>
      <w:r w:rsidR="00E65435" w:rsidRPr="00F3476E">
        <w:rPr>
          <w:rFonts w:eastAsia="Arial Unicode MS"/>
          <w:bCs/>
          <w:lang w:eastAsia="fr-FR" w:bidi="he-IL"/>
        </w:rPr>
        <w:t xml:space="preserve">, </w:t>
      </w:r>
      <w:r w:rsidRPr="00F3476E">
        <w:rPr>
          <w:rFonts w:eastAsia="Arial Unicode MS"/>
          <w:bCs/>
          <w:lang w:eastAsia="fr-FR" w:bidi="he-IL"/>
        </w:rPr>
        <w:t>20</w:t>
      </w:r>
      <w:r w:rsidR="00E65435" w:rsidRPr="00F3476E">
        <w:rPr>
          <w:rFonts w:eastAsia="Arial Unicode MS"/>
          <w:bCs/>
          <w:lang w:eastAsia="fr-FR" w:bidi="he-IL"/>
        </w:rPr>
        <w:t xml:space="preserve">, </w:t>
      </w:r>
      <w:r w:rsidR="00506395" w:rsidRPr="00F3476E">
        <w:rPr>
          <w:rStyle w:val="italicus"/>
        </w:rPr>
        <w:t>Ubi enim sunt duo vel t</w:t>
      </w:r>
      <w:r w:rsidRPr="00F3476E">
        <w:rPr>
          <w:rStyle w:val="italicus"/>
        </w:rPr>
        <w:t>res</w:t>
      </w:r>
      <w:r w:rsidR="00506395" w:rsidRPr="00F3476E">
        <w:rPr>
          <w:rStyle w:val="italicus"/>
        </w:rPr>
        <w:t xml:space="preserve"> congregáti </w:t>
      </w:r>
      <w:r w:rsidRPr="00F3476E">
        <w:rPr>
          <w:rStyle w:val="italicus"/>
        </w:rPr>
        <w:t>in</w:t>
      </w:r>
      <w:r w:rsidR="00506395" w:rsidRPr="00F3476E">
        <w:rPr>
          <w:rStyle w:val="italicus"/>
        </w:rPr>
        <w:t xml:space="preserve"> </w:t>
      </w:r>
      <w:r w:rsidRPr="00F3476E">
        <w:rPr>
          <w:rStyle w:val="italicus"/>
        </w:rPr>
        <w:t>nomine</w:t>
      </w:r>
      <w:r w:rsidR="00506395" w:rsidRPr="00F3476E">
        <w:rPr>
          <w:rStyle w:val="italicus"/>
        </w:rPr>
        <w:t xml:space="preserve"> </w:t>
      </w:r>
      <w:r w:rsidRPr="00F3476E">
        <w:rPr>
          <w:rStyle w:val="italicus"/>
        </w:rPr>
        <w:t>meo</w:t>
      </w:r>
      <w:r w:rsidR="00E65435" w:rsidRPr="00F3476E">
        <w:rPr>
          <w:rStyle w:val="italicus"/>
        </w:rPr>
        <w:t xml:space="preserve">, </w:t>
      </w:r>
      <w:r w:rsidRPr="00F3476E">
        <w:rPr>
          <w:rStyle w:val="italicus"/>
        </w:rPr>
        <w:t>ibi</w:t>
      </w:r>
      <w:r w:rsidR="00506395" w:rsidRPr="00F3476E">
        <w:rPr>
          <w:rStyle w:val="italicus"/>
        </w:rPr>
        <w:t xml:space="preserve"> </w:t>
      </w:r>
      <w:r w:rsidRPr="00F3476E">
        <w:rPr>
          <w:rStyle w:val="italicus"/>
        </w:rPr>
        <w:t>sum in</w:t>
      </w:r>
      <w:r w:rsidR="00506395" w:rsidRPr="00F3476E">
        <w:rPr>
          <w:rStyle w:val="italicus"/>
        </w:rPr>
        <w:t xml:space="preserve"> médio</w:t>
      </w:r>
      <w:r w:rsidRPr="00F3476E">
        <w:rPr>
          <w:rStyle w:val="italicus"/>
        </w:rPr>
        <w:t xml:space="preserve"> </w:t>
      </w:r>
      <w:r w:rsidR="00473B23" w:rsidRPr="00F3476E">
        <w:rPr>
          <w:rStyle w:val="italicus"/>
        </w:rPr>
        <w:t>eórum</w:t>
      </w:r>
      <w:r w:rsidRPr="00F3476E">
        <w:rPr>
          <w:rStyle w:val="italicus"/>
        </w:rPr>
        <w:t>.</w:t>
      </w:r>
      <w:r w:rsidRPr="00F3476E">
        <w:rPr>
          <w:rFonts w:eastAsia="Arial Unicode MS"/>
          <w:bCs/>
          <w:lang w:eastAsia="fr-FR" w:bidi="he-IL"/>
        </w:rPr>
        <w:t xml:space="preserve"> </w:t>
      </w:r>
      <w:r w:rsidR="00506395" w:rsidRPr="00F3476E">
        <w:rPr>
          <w:rFonts w:eastAsia="Arial Unicode MS"/>
          <w:bCs/>
          <w:lang w:eastAsia="fr-FR" w:bidi="he-IL"/>
        </w:rPr>
        <w:t>Matth.</w:t>
      </w:r>
      <w:r w:rsidRPr="00F3476E">
        <w:rPr>
          <w:rFonts w:eastAsia="Arial Unicode MS"/>
          <w:bCs/>
          <w:lang w:eastAsia="fr-FR" w:bidi="he-IL"/>
        </w:rPr>
        <w:t xml:space="preserve"> </w:t>
      </w:r>
      <w:r w:rsidR="005069E2" w:rsidRPr="00F3476E">
        <w:rPr>
          <w:rFonts w:eastAsia="Arial Unicode MS"/>
          <w:bCs/>
          <w:lang w:eastAsia="fr-FR" w:bidi="he-IL"/>
        </w:rPr>
        <w:t>XX</w:t>
      </w:r>
      <w:r w:rsidR="00E65435" w:rsidRPr="00F3476E">
        <w:rPr>
          <w:rFonts w:eastAsia="Arial Unicode MS"/>
          <w:bCs/>
          <w:lang w:eastAsia="fr-FR" w:bidi="he-IL"/>
        </w:rPr>
        <w:t xml:space="preserve">, </w:t>
      </w:r>
      <w:r w:rsidRPr="00F3476E">
        <w:rPr>
          <w:rFonts w:eastAsia="Arial Unicode MS"/>
          <w:bCs/>
          <w:lang w:eastAsia="fr-FR" w:bidi="he-IL"/>
        </w:rPr>
        <w:t>28</w:t>
      </w:r>
      <w:r w:rsidR="00E65435" w:rsidRPr="00F3476E">
        <w:rPr>
          <w:rFonts w:eastAsia="Arial Unicode MS"/>
          <w:bCs/>
          <w:lang w:eastAsia="fr-FR" w:bidi="he-IL"/>
        </w:rPr>
        <w:t xml:space="preserve">, </w:t>
      </w:r>
      <w:r w:rsidR="00506395" w:rsidRPr="00F3476E">
        <w:rPr>
          <w:rStyle w:val="italicus"/>
        </w:rPr>
        <w:t>Fílius</w:t>
      </w:r>
      <w:r w:rsidRPr="00F3476E">
        <w:rPr>
          <w:rStyle w:val="italicus"/>
        </w:rPr>
        <w:t xml:space="preserve"> </w:t>
      </w:r>
      <w:r w:rsidR="00506395" w:rsidRPr="00F3476E">
        <w:rPr>
          <w:rStyle w:val="italicus"/>
        </w:rPr>
        <w:t>hóminis</w:t>
      </w:r>
      <w:r w:rsidRPr="00F3476E">
        <w:rPr>
          <w:rStyle w:val="italicus"/>
        </w:rPr>
        <w:t xml:space="preserve">... </w:t>
      </w:r>
      <w:r w:rsidR="00506395" w:rsidRPr="00F3476E">
        <w:rPr>
          <w:rStyle w:val="italicus"/>
        </w:rPr>
        <w:t>verni... dare ánimam</w:t>
      </w:r>
      <w:r w:rsidRPr="00F3476E">
        <w:rPr>
          <w:rStyle w:val="italicus"/>
        </w:rPr>
        <w:t xml:space="preserve"> suam </w:t>
      </w:r>
      <w:r w:rsidR="00506395" w:rsidRPr="00F3476E">
        <w:rPr>
          <w:rStyle w:val="italicus"/>
        </w:rPr>
        <w:t>redemptiónem</w:t>
      </w:r>
      <w:r w:rsidRPr="00F3476E">
        <w:rPr>
          <w:rStyle w:val="italicus"/>
        </w:rPr>
        <w:t xml:space="preserve"> pro multis.</w:t>
      </w:r>
      <w:r w:rsidRPr="00F3476E">
        <w:rPr>
          <w:rFonts w:eastAsia="Arial Unicode MS"/>
          <w:bCs/>
          <w:lang w:eastAsia="fr-FR" w:bidi="he-IL"/>
        </w:rPr>
        <w:t xml:space="preserve"> Matth.</w:t>
      </w:r>
      <w:r w:rsidR="0017332F" w:rsidRPr="00F3476E">
        <w:rPr>
          <w:rFonts w:eastAsia="Arial Unicode MS"/>
          <w:bCs/>
          <w:lang w:eastAsia="fr-FR" w:bidi="he-IL"/>
        </w:rPr>
        <w:t xml:space="preserve"> XXI</w:t>
      </w:r>
      <w:r w:rsidR="00E65435" w:rsidRPr="00F3476E">
        <w:rPr>
          <w:rFonts w:eastAsia="Arial Unicode MS"/>
          <w:bCs/>
          <w:lang w:eastAsia="fr-FR" w:bidi="he-IL"/>
        </w:rPr>
        <w:t xml:space="preserve">, </w:t>
      </w:r>
      <w:r w:rsidRPr="00F3476E">
        <w:rPr>
          <w:rFonts w:eastAsia="Arial Unicode MS"/>
          <w:bCs/>
          <w:lang w:eastAsia="fr-FR" w:bidi="he-IL"/>
        </w:rPr>
        <w:t>37</w:t>
      </w:r>
      <w:r w:rsidR="00E65435" w:rsidRPr="00F3476E">
        <w:rPr>
          <w:rFonts w:eastAsia="Arial Unicode MS"/>
          <w:bCs/>
          <w:lang w:eastAsia="fr-FR" w:bidi="he-IL"/>
        </w:rPr>
        <w:t xml:space="preserve">, </w:t>
      </w:r>
      <w:r w:rsidR="00506395" w:rsidRPr="00F3476E">
        <w:rPr>
          <w:rStyle w:val="italicus"/>
        </w:rPr>
        <w:t>Verebúntur</w:t>
      </w:r>
      <w:r w:rsidRPr="00F3476E">
        <w:rPr>
          <w:rStyle w:val="italicus"/>
        </w:rPr>
        <w:t xml:space="preserve"> f</w:t>
      </w:r>
      <w:r w:rsidR="00C21120" w:rsidRPr="00F3476E">
        <w:rPr>
          <w:rStyle w:val="italicus"/>
        </w:rPr>
        <w:t>ílium</w:t>
      </w:r>
      <w:r w:rsidRPr="00F3476E">
        <w:rPr>
          <w:rStyle w:val="italicus"/>
        </w:rPr>
        <w:t xml:space="preserve"> meum.</w:t>
      </w:r>
      <w:r w:rsidRPr="00F3476E">
        <w:rPr>
          <w:rFonts w:eastAsia="Arial Unicode MS"/>
          <w:bCs/>
          <w:lang w:eastAsia="fr-FR" w:bidi="he-IL"/>
        </w:rPr>
        <w:t xml:space="preserve"> </w:t>
      </w:r>
      <w:r w:rsidR="00506395" w:rsidRPr="00F3476E">
        <w:rPr>
          <w:rFonts w:eastAsia="Arial Unicode MS"/>
          <w:bCs/>
          <w:lang w:eastAsia="fr-FR" w:bidi="he-IL"/>
        </w:rPr>
        <w:t>Matth.</w:t>
      </w:r>
      <w:r w:rsidRPr="00F3476E">
        <w:rPr>
          <w:rFonts w:eastAsia="Arial Unicode MS"/>
          <w:bCs/>
          <w:lang w:eastAsia="fr-FR" w:bidi="he-IL"/>
        </w:rPr>
        <w:t xml:space="preserve"> </w:t>
      </w:r>
      <w:r w:rsidR="003A247F" w:rsidRPr="00F3476E">
        <w:rPr>
          <w:rFonts w:eastAsia="Arial Unicode MS"/>
          <w:bCs/>
          <w:lang w:eastAsia="fr-FR" w:bidi="he-IL"/>
        </w:rPr>
        <w:t>XXII</w:t>
      </w:r>
      <w:r w:rsidR="00E65435" w:rsidRPr="00F3476E">
        <w:rPr>
          <w:rFonts w:eastAsia="Arial Unicode MS"/>
          <w:bCs/>
          <w:lang w:eastAsia="fr-FR" w:bidi="he-IL"/>
        </w:rPr>
        <w:t xml:space="preserve">, </w:t>
      </w:r>
      <w:r w:rsidRPr="00F3476E">
        <w:rPr>
          <w:rFonts w:eastAsia="Arial Unicode MS"/>
          <w:bCs/>
          <w:lang w:eastAsia="fr-FR" w:bidi="he-IL"/>
        </w:rPr>
        <w:t>45</w:t>
      </w:r>
      <w:r w:rsidR="00E65435" w:rsidRPr="00F3476E">
        <w:rPr>
          <w:rFonts w:eastAsia="Arial Unicode MS"/>
          <w:bCs/>
          <w:lang w:eastAsia="fr-FR" w:bidi="he-IL"/>
        </w:rPr>
        <w:t xml:space="preserve">, </w:t>
      </w:r>
      <w:r w:rsidRPr="00F3476E">
        <w:rPr>
          <w:rStyle w:val="italicus"/>
        </w:rPr>
        <w:t>Si David vocat eum</w:t>
      </w:r>
      <w:r w:rsidR="00506395" w:rsidRPr="00F3476E">
        <w:rPr>
          <w:rStyle w:val="italicus"/>
        </w:rPr>
        <w:t xml:space="preserve"> Dóminum</w:t>
      </w:r>
      <w:r w:rsidRPr="00F3476E">
        <w:rPr>
          <w:rStyle w:val="italicus"/>
        </w:rPr>
        <w:t>...</w:t>
      </w:r>
      <w:r w:rsidRPr="00F3476E">
        <w:rPr>
          <w:rFonts w:eastAsia="Arial Unicode MS"/>
          <w:bCs/>
          <w:lang w:eastAsia="fr-FR" w:bidi="he-IL"/>
        </w:rPr>
        <w:t xml:space="preserve"> Matth. </w:t>
      </w:r>
      <w:r w:rsidR="0042479B" w:rsidRPr="00F3476E">
        <w:rPr>
          <w:rFonts w:eastAsia="Arial Unicode MS"/>
          <w:bCs/>
          <w:lang w:eastAsia="fr-FR" w:bidi="he-IL"/>
        </w:rPr>
        <w:t>XXV</w:t>
      </w:r>
      <w:r w:rsidR="00E65435" w:rsidRPr="00F3476E">
        <w:rPr>
          <w:rFonts w:eastAsia="Arial Unicode MS"/>
          <w:bCs/>
          <w:lang w:eastAsia="fr-FR" w:bidi="he-IL"/>
        </w:rPr>
        <w:t xml:space="preserve">, </w:t>
      </w:r>
      <w:r w:rsidRPr="00F3476E">
        <w:rPr>
          <w:rFonts w:eastAsia="Arial Unicode MS"/>
          <w:bCs/>
          <w:lang w:eastAsia="fr-FR" w:bidi="he-IL"/>
        </w:rPr>
        <w:t>31</w:t>
      </w:r>
      <w:r w:rsidR="00E65435" w:rsidRPr="00F3476E">
        <w:rPr>
          <w:rFonts w:eastAsia="Arial Unicode MS"/>
          <w:bCs/>
          <w:lang w:eastAsia="fr-FR" w:bidi="he-IL"/>
        </w:rPr>
        <w:t xml:space="preserve">, </w:t>
      </w:r>
      <w:r w:rsidRPr="00F3476E">
        <w:rPr>
          <w:rStyle w:val="italicus"/>
        </w:rPr>
        <w:t xml:space="preserve">Cum </w:t>
      </w:r>
      <w:r w:rsidR="00506395" w:rsidRPr="00F3476E">
        <w:rPr>
          <w:rStyle w:val="italicus"/>
        </w:rPr>
        <w:t>vénerit</w:t>
      </w:r>
      <w:r w:rsidRPr="00F3476E">
        <w:rPr>
          <w:rStyle w:val="italicus"/>
        </w:rPr>
        <w:t xml:space="preserve"> F</w:t>
      </w:r>
      <w:r w:rsidR="00C21120" w:rsidRPr="00F3476E">
        <w:rPr>
          <w:rStyle w:val="italicus"/>
        </w:rPr>
        <w:t>ílius</w:t>
      </w:r>
      <w:r w:rsidR="00506395" w:rsidRPr="00F3476E">
        <w:rPr>
          <w:rStyle w:val="italicus"/>
        </w:rPr>
        <w:t xml:space="preserve"> hóminis in majestáte</w:t>
      </w:r>
      <w:r w:rsidRPr="00F3476E">
        <w:rPr>
          <w:rStyle w:val="italicus"/>
        </w:rPr>
        <w:t xml:space="preserve"> sua... </w:t>
      </w:r>
      <w:r w:rsidRPr="00F3476E">
        <w:rPr>
          <w:rFonts w:eastAsia="Arial Unicode MS"/>
          <w:bCs/>
          <w:lang w:eastAsia="fr-FR" w:bidi="he-IL"/>
        </w:rPr>
        <w:t xml:space="preserve">Matth. </w:t>
      </w:r>
      <w:r w:rsidR="0042479B" w:rsidRPr="00F3476E">
        <w:rPr>
          <w:rFonts w:eastAsia="Arial Unicode MS"/>
          <w:bCs/>
          <w:lang w:eastAsia="fr-FR" w:bidi="he-IL"/>
        </w:rPr>
        <w:t>X</w:t>
      </w:r>
      <w:r w:rsidR="00EF1E04" w:rsidRPr="00F3476E">
        <w:rPr>
          <w:rFonts w:eastAsia="Arial Unicode MS"/>
          <w:bCs/>
          <w:lang w:eastAsia="fr-FR" w:bidi="he-IL"/>
        </w:rPr>
        <w:t>XVI</w:t>
      </w:r>
      <w:r w:rsidR="00E65435" w:rsidRPr="00F3476E">
        <w:rPr>
          <w:rFonts w:eastAsia="Arial Unicode MS"/>
          <w:bCs/>
          <w:lang w:eastAsia="fr-FR" w:bidi="he-IL"/>
        </w:rPr>
        <w:t xml:space="preserve">, </w:t>
      </w:r>
      <w:r w:rsidRPr="00F3476E">
        <w:rPr>
          <w:rFonts w:eastAsia="Arial Unicode MS"/>
          <w:bCs/>
          <w:lang w:eastAsia="fr-FR" w:bidi="he-IL"/>
        </w:rPr>
        <w:t>28</w:t>
      </w:r>
      <w:r w:rsidR="00E65435" w:rsidRPr="00F3476E">
        <w:rPr>
          <w:rFonts w:eastAsia="Arial Unicode MS"/>
          <w:bCs/>
          <w:lang w:eastAsia="fr-FR" w:bidi="he-IL"/>
        </w:rPr>
        <w:t xml:space="preserve">, </w:t>
      </w:r>
      <w:r w:rsidRPr="00F3476E">
        <w:rPr>
          <w:rStyle w:val="italicus"/>
        </w:rPr>
        <w:t>Sanguis meus Novi Te</w:t>
      </w:r>
      <w:r w:rsidR="003A07A7" w:rsidRPr="00F3476E">
        <w:rPr>
          <w:rStyle w:val="italicus"/>
        </w:rPr>
        <w:t>staménti</w:t>
      </w:r>
      <w:r w:rsidRPr="00F3476E">
        <w:rPr>
          <w:rStyle w:val="italicus"/>
        </w:rPr>
        <w:t>...</w:t>
      </w:r>
      <w:r w:rsidRPr="00F3476E">
        <w:rPr>
          <w:rFonts w:eastAsia="Arial Unicode MS"/>
          <w:bCs/>
          <w:lang w:eastAsia="fr-FR" w:bidi="he-IL"/>
        </w:rPr>
        <w:t xml:space="preserve"> </w:t>
      </w:r>
      <w:r w:rsidR="00506395" w:rsidRPr="00F3476E">
        <w:rPr>
          <w:rFonts w:eastAsia="Arial Unicode MS"/>
          <w:bCs/>
          <w:lang w:eastAsia="fr-FR" w:bidi="he-IL"/>
        </w:rPr>
        <w:t>Matth.</w:t>
      </w:r>
      <w:r w:rsidRPr="00F3476E">
        <w:rPr>
          <w:rFonts w:eastAsia="Arial Unicode MS"/>
          <w:bCs/>
          <w:lang w:eastAsia="fr-FR" w:bidi="he-IL"/>
        </w:rPr>
        <w:t xml:space="preserve"> </w:t>
      </w:r>
      <w:r w:rsidR="0042479B" w:rsidRPr="00F3476E">
        <w:rPr>
          <w:rFonts w:eastAsia="Arial Unicode MS"/>
          <w:bCs/>
          <w:lang w:eastAsia="fr-FR" w:bidi="he-IL"/>
        </w:rPr>
        <w:t>X</w:t>
      </w:r>
      <w:r w:rsidR="00CA083D" w:rsidRPr="00F3476E">
        <w:rPr>
          <w:rFonts w:eastAsia="Arial Unicode MS"/>
          <w:bCs/>
          <w:lang w:eastAsia="fr-FR" w:bidi="he-IL"/>
        </w:rPr>
        <w:t>XVII</w:t>
      </w:r>
      <w:r w:rsidR="00C87A2B" w:rsidRPr="00F3476E">
        <w:rPr>
          <w:rFonts w:eastAsia="Arial Unicode MS"/>
          <w:bCs/>
          <w:lang w:eastAsia="fr-FR" w:bidi="he-IL"/>
        </w:rPr>
        <w:t>I</w:t>
      </w:r>
      <w:r w:rsidR="00E65435" w:rsidRPr="00F3476E">
        <w:rPr>
          <w:rFonts w:eastAsia="Arial Unicode MS"/>
          <w:bCs/>
          <w:lang w:eastAsia="fr-FR" w:bidi="he-IL"/>
        </w:rPr>
        <w:t xml:space="preserve">, </w:t>
      </w:r>
      <w:r w:rsidRPr="00F3476E">
        <w:rPr>
          <w:rFonts w:eastAsia="Arial Unicode MS"/>
          <w:bCs/>
          <w:lang w:eastAsia="fr-FR" w:bidi="he-IL"/>
        </w:rPr>
        <w:t>20</w:t>
      </w:r>
      <w:r w:rsidR="00E65435" w:rsidRPr="00F3476E">
        <w:rPr>
          <w:rFonts w:eastAsia="Arial Unicode MS"/>
          <w:bCs/>
          <w:lang w:eastAsia="fr-FR" w:bidi="he-IL"/>
        </w:rPr>
        <w:t xml:space="preserve">, </w:t>
      </w:r>
      <w:r w:rsidRPr="00F3476E">
        <w:rPr>
          <w:rStyle w:val="italicus"/>
        </w:rPr>
        <w:t>Ecce ego</w:t>
      </w:r>
      <w:r w:rsidR="00506395" w:rsidRPr="00F3476E">
        <w:rPr>
          <w:rStyle w:val="italicus"/>
        </w:rPr>
        <w:t xml:space="preserve"> vobíscum</w:t>
      </w:r>
      <w:r w:rsidRPr="00F3476E">
        <w:rPr>
          <w:rStyle w:val="italicus"/>
        </w:rPr>
        <w:t xml:space="preserve"> sunt </w:t>
      </w:r>
      <w:r w:rsidR="00695548" w:rsidRPr="00F3476E">
        <w:rPr>
          <w:rStyle w:val="italicus"/>
        </w:rPr>
        <w:t>ómnibus</w:t>
      </w:r>
      <w:r w:rsidRPr="00F3476E">
        <w:rPr>
          <w:rStyle w:val="italicus"/>
        </w:rPr>
        <w:t xml:space="preserve"> di</w:t>
      </w:r>
      <w:r w:rsidR="0094118D" w:rsidRPr="00F3476E">
        <w:rPr>
          <w:rStyle w:val="italicus"/>
        </w:rPr>
        <w:t>ébus</w:t>
      </w:r>
      <w:r w:rsidRPr="00F3476E">
        <w:rPr>
          <w:rStyle w:val="italicus"/>
        </w:rPr>
        <w:t>...</w:t>
      </w:r>
      <w:r w:rsidRPr="00F3476E">
        <w:rPr>
          <w:rFonts w:eastAsia="Arial Unicode MS"/>
          <w:bCs/>
          <w:lang w:eastAsia="fr-FR" w:bidi="he-IL"/>
        </w:rPr>
        <w:t xml:space="preserve"> Luc.</w:t>
      </w:r>
      <w:r w:rsidR="0017332F" w:rsidRPr="00F3476E">
        <w:rPr>
          <w:rFonts w:eastAsia="Arial Unicode MS"/>
          <w:bCs/>
          <w:lang w:eastAsia="fr-FR" w:bidi="he-IL"/>
        </w:rPr>
        <w:t xml:space="preserve"> XXI</w:t>
      </w:r>
      <w:r w:rsidR="00E65435" w:rsidRPr="00F3476E">
        <w:rPr>
          <w:rFonts w:eastAsia="Arial Unicode MS"/>
          <w:bCs/>
          <w:lang w:eastAsia="fr-FR" w:bidi="he-IL"/>
        </w:rPr>
        <w:t xml:space="preserve">, </w:t>
      </w:r>
      <w:r w:rsidRPr="00F3476E">
        <w:rPr>
          <w:rFonts w:eastAsia="Arial Unicode MS"/>
          <w:bCs/>
          <w:lang w:eastAsia="fr-FR" w:bidi="he-IL"/>
        </w:rPr>
        <w:t>15</w:t>
      </w:r>
      <w:r w:rsidR="00E65435" w:rsidRPr="00F3476E">
        <w:rPr>
          <w:rFonts w:eastAsia="Arial Unicode MS"/>
          <w:bCs/>
          <w:lang w:eastAsia="fr-FR" w:bidi="he-IL"/>
        </w:rPr>
        <w:t xml:space="preserve">, </w:t>
      </w:r>
      <w:r w:rsidRPr="00F3476E">
        <w:rPr>
          <w:rStyle w:val="italicus"/>
        </w:rPr>
        <w:t xml:space="preserve">Ego dabo vobis os et </w:t>
      </w:r>
      <w:r w:rsidR="00506395" w:rsidRPr="00F3476E">
        <w:rPr>
          <w:rStyle w:val="italicus"/>
        </w:rPr>
        <w:t>sapiéntiam</w:t>
      </w:r>
      <w:r w:rsidRPr="00F3476E">
        <w:rPr>
          <w:rStyle w:val="italicus"/>
        </w:rPr>
        <w:t xml:space="preserve"> cui non </w:t>
      </w:r>
      <w:r w:rsidR="00506395" w:rsidRPr="00F3476E">
        <w:rPr>
          <w:rStyle w:val="italicus"/>
        </w:rPr>
        <w:t>póterunt</w:t>
      </w:r>
      <w:r w:rsidRPr="00F3476E">
        <w:rPr>
          <w:rStyle w:val="italicus"/>
        </w:rPr>
        <w:t xml:space="preserve"> </w:t>
      </w:r>
      <w:r w:rsidR="00506395" w:rsidRPr="00F3476E">
        <w:rPr>
          <w:rStyle w:val="italicus"/>
        </w:rPr>
        <w:t>resístere</w:t>
      </w:r>
      <w:r w:rsidRPr="00F3476E">
        <w:rPr>
          <w:rStyle w:val="italicus"/>
        </w:rPr>
        <w:t xml:space="preserve">... omnes </w:t>
      </w:r>
      <w:r w:rsidR="00506395" w:rsidRPr="00F3476E">
        <w:rPr>
          <w:rStyle w:val="italicus"/>
        </w:rPr>
        <w:t>adversárii</w:t>
      </w:r>
      <w:r w:rsidRPr="00F3476E">
        <w:rPr>
          <w:rStyle w:val="italicus"/>
        </w:rPr>
        <w:t xml:space="preserve"> ve</w:t>
      </w:r>
      <w:r w:rsidR="00506395" w:rsidRPr="00F3476E">
        <w:rPr>
          <w:rStyle w:val="italicus"/>
        </w:rPr>
        <w:t>st</w:t>
      </w:r>
      <w:r w:rsidR="0004306D" w:rsidRPr="00F3476E">
        <w:rPr>
          <w:rStyle w:val="italicus"/>
        </w:rPr>
        <w:t>r</w:t>
      </w:r>
      <w:r w:rsidRPr="00F3476E">
        <w:rPr>
          <w:rStyle w:val="italicus"/>
        </w:rPr>
        <w:t>i.</w:t>
      </w:r>
      <w:r w:rsidRPr="00F3476E">
        <w:rPr>
          <w:rFonts w:eastAsia="Arial Unicode MS"/>
          <w:bCs/>
          <w:lang w:eastAsia="fr-FR" w:bidi="he-IL"/>
        </w:rPr>
        <w:t xml:space="preserve"> Luc. </w:t>
      </w:r>
      <w:r w:rsidR="00C2681A" w:rsidRPr="00F3476E">
        <w:rPr>
          <w:rFonts w:eastAsia="Arial Unicode MS"/>
          <w:bCs/>
          <w:lang w:eastAsia="fr-FR" w:bidi="he-IL"/>
        </w:rPr>
        <w:t>XX</w:t>
      </w:r>
      <w:r w:rsidR="00CB43AA" w:rsidRPr="00F3476E">
        <w:rPr>
          <w:rFonts w:eastAsia="Arial Unicode MS"/>
          <w:bCs/>
          <w:lang w:eastAsia="fr-FR" w:bidi="he-IL"/>
        </w:rPr>
        <w:t>IV</w:t>
      </w:r>
      <w:r w:rsidR="00E65435" w:rsidRPr="00F3476E">
        <w:rPr>
          <w:rFonts w:eastAsia="Arial Unicode MS"/>
          <w:bCs/>
          <w:lang w:eastAsia="fr-FR" w:bidi="he-IL"/>
        </w:rPr>
        <w:t xml:space="preserve">, </w:t>
      </w:r>
      <w:r w:rsidRPr="00F3476E">
        <w:rPr>
          <w:rFonts w:eastAsia="Arial Unicode MS"/>
          <w:bCs/>
          <w:lang w:eastAsia="fr-FR" w:bidi="he-IL"/>
        </w:rPr>
        <w:t>49</w:t>
      </w:r>
      <w:r w:rsidR="00E65435" w:rsidRPr="00F3476E">
        <w:rPr>
          <w:rFonts w:eastAsia="Arial Unicode MS"/>
          <w:bCs/>
          <w:lang w:eastAsia="fr-FR" w:bidi="he-IL"/>
        </w:rPr>
        <w:t xml:space="preserve">, </w:t>
      </w:r>
      <w:r w:rsidR="00506395" w:rsidRPr="00F3476E">
        <w:rPr>
          <w:rStyle w:val="italicus"/>
        </w:rPr>
        <w:t>Ego mitto promíssum Pat</w:t>
      </w:r>
      <w:r w:rsidRPr="00F3476E">
        <w:rPr>
          <w:rStyle w:val="italicus"/>
        </w:rPr>
        <w:t>ris mei in vos.</w:t>
      </w:r>
      <w:r w:rsidRPr="00F3476E">
        <w:rPr>
          <w:rFonts w:eastAsia="Arial Unicode MS"/>
          <w:bCs/>
          <w:lang w:eastAsia="fr-FR" w:bidi="he-IL"/>
        </w:rPr>
        <w:t xml:space="preserve"> </w:t>
      </w:r>
      <w:r w:rsidRPr="00C8701B">
        <w:rPr>
          <w:rFonts w:eastAsia="Arial Unicode MS"/>
          <w:bCs/>
          <w:lang w:eastAsia="fr-FR" w:bidi="he-IL"/>
        </w:rPr>
        <w:t>Etc.</w:t>
      </w:r>
      <w:r w:rsidR="00933C60" w:rsidRPr="00C406FF">
        <w:rPr>
          <w:rStyle w:val="Appelnotedebasdep"/>
        </w:rPr>
        <w:footnoteReference w:id="318"/>
      </w:r>
      <w:r w:rsidR="00C2602D" w:rsidRPr="00DC4586">
        <w:rPr>
          <w:rStyle w:val="italicus"/>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Et encore</w:t>
      </w:r>
      <w:r w:rsidR="00E65435">
        <w:rPr>
          <w:rFonts w:eastAsia="Arial Unicode MS"/>
          <w:bCs/>
          <w:lang w:eastAsia="fr-FR" w:bidi="he-IL"/>
        </w:rPr>
        <w:t xml:space="preserve">, </w:t>
      </w:r>
      <w:r w:rsidRPr="00C8701B">
        <w:rPr>
          <w:rFonts w:eastAsia="Arial Unicode MS"/>
          <w:bCs/>
          <w:lang w:eastAsia="fr-FR" w:bidi="he-IL"/>
        </w:rPr>
        <w:t>dans S. Jean comme dans les synoptiques</w:t>
      </w:r>
      <w:r w:rsidR="00E65435">
        <w:rPr>
          <w:rFonts w:eastAsia="Arial Unicode MS"/>
          <w:bCs/>
          <w:lang w:eastAsia="fr-FR" w:bidi="he-IL"/>
        </w:rPr>
        <w:t xml:space="preserve">, </w:t>
      </w:r>
      <w:r w:rsidRPr="00C8701B">
        <w:rPr>
          <w:rFonts w:eastAsia="Arial Unicode MS"/>
          <w:bCs/>
          <w:lang w:eastAsia="fr-FR" w:bidi="he-IL"/>
        </w:rPr>
        <w:t>la preuve de la divinité</w:t>
      </w:r>
      <w:r w:rsidR="00506395">
        <w:rPr>
          <w:rFonts w:eastAsia="Arial Unicode MS"/>
          <w:bCs/>
          <w:lang w:eastAsia="fr-FR" w:bidi="he-IL"/>
        </w:rPr>
        <w:t xml:space="preserve"> n</w:t>
      </w:r>
      <w:r w:rsidR="00557DE0">
        <w:rPr>
          <w:rFonts w:eastAsia="Arial Unicode MS"/>
          <w:bCs/>
          <w:lang w:eastAsia="fr-FR" w:bidi="he-IL"/>
        </w:rPr>
        <w:t>’</w:t>
      </w:r>
      <w:r w:rsidRPr="00C8701B">
        <w:rPr>
          <w:rFonts w:eastAsia="Arial Unicode MS"/>
          <w:bCs/>
          <w:lang w:eastAsia="fr-FR" w:bidi="he-IL"/>
        </w:rPr>
        <w:t>est-elle pas sans cesse appuyée sur les miracles</w:t>
      </w:r>
      <w:r w:rsidR="00E65435">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miracles qui sont</w:t>
      </w:r>
      <w:r w:rsidR="00E65435">
        <w:rPr>
          <w:rFonts w:eastAsia="Arial Unicode MS"/>
          <w:bCs/>
          <w:lang w:eastAsia="fr-FR" w:bidi="he-IL"/>
        </w:rPr>
        <w:t xml:space="preserve">, </w:t>
      </w:r>
      <w:r w:rsidRPr="00C8701B">
        <w:rPr>
          <w:rFonts w:eastAsia="Arial Unicode MS"/>
          <w:bCs/>
          <w:lang w:eastAsia="fr-FR" w:bidi="he-IL"/>
        </w:rPr>
        <w:t>il est vrai</w:t>
      </w:r>
      <w:r w:rsidR="00E65435">
        <w:rPr>
          <w:rFonts w:eastAsia="Arial Unicode MS"/>
          <w:bCs/>
          <w:lang w:eastAsia="fr-FR" w:bidi="he-IL"/>
        </w:rPr>
        <w:t xml:space="preserve">, </w:t>
      </w:r>
      <w:r w:rsidRPr="00C8701B">
        <w:rPr>
          <w:rFonts w:eastAsia="Arial Unicode MS"/>
          <w:bCs/>
          <w:lang w:eastAsia="fr-FR" w:bidi="he-IL"/>
        </w:rPr>
        <w:t>racontés en petit nombre d</w:t>
      </w:r>
      <w:r w:rsidR="00557DE0">
        <w:rPr>
          <w:rFonts w:eastAsia="Arial Unicode MS"/>
          <w:bCs/>
          <w:lang w:eastAsia="fr-FR" w:bidi="he-IL"/>
        </w:rPr>
        <w:t>’</w:t>
      </w:r>
      <w:r w:rsidRPr="00C8701B">
        <w:rPr>
          <w:rFonts w:eastAsia="Arial Unicode MS"/>
          <w:bCs/>
          <w:lang w:eastAsia="fr-FR" w:bidi="he-IL"/>
        </w:rPr>
        <w:t>une manière explicite</w:t>
      </w:r>
      <w:r w:rsidR="00933C60" w:rsidRPr="00C406FF">
        <w:rPr>
          <w:rStyle w:val="Appelnotedebasdep"/>
        </w:rPr>
        <w:footnoteReference w:id="319"/>
      </w:r>
      <w:r w:rsidR="00E65435">
        <w:rPr>
          <w:rFonts w:eastAsia="Arial Unicode MS"/>
          <w:bCs/>
          <w:lang w:eastAsia="fr-FR" w:bidi="he-IL"/>
        </w:rPr>
        <w:t xml:space="preserve">, </w:t>
      </w:r>
      <w:r w:rsidRPr="00C8701B">
        <w:rPr>
          <w:rFonts w:eastAsia="Arial Unicode MS"/>
          <w:bCs/>
          <w:lang w:eastAsia="fr-FR" w:bidi="he-IL"/>
        </w:rPr>
        <w:t>mais qui portent des noms caractéristiques</w:t>
      </w:r>
      <w:r w:rsidR="00E65435">
        <w:rPr>
          <w:rFonts w:eastAsia="Arial Unicode MS"/>
          <w:bCs/>
          <w:lang w:eastAsia="fr-FR" w:bidi="he-IL"/>
        </w:rPr>
        <w:t xml:space="preserve">, </w:t>
      </w:r>
      <w:r w:rsidRPr="00C8701B">
        <w:rPr>
          <w:rFonts w:eastAsia="Arial Unicode MS"/>
          <w:bCs/>
          <w:lang w:eastAsia="fr-FR" w:bidi="he-IL"/>
        </w:rPr>
        <w:t>et qui apparaissent seulement à la façon d</w:t>
      </w:r>
      <w:r w:rsidR="00557DE0">
        <w:rPr>
          <w:rFonts w:eastAsia="Arial Unicode MS"/>
          <w:bCs/>
          <w:lang w:eastAsia="fr-FR" w:bidi="he-IL"/>
        </w:rPr>
        <w:t>’</w:t>
      </w:r>
      <w:r w:rsidRPr="00C8701B">
        <w:rPr>
          <w:rFonts w:eastAsia="Arial Unicode MS"/>
          <w:bCs/>
          <w:lang w:eastAsia="fr-FR" w:bidi="he-IL"/>
        </w:rPr>
        <w:t>exemples choisis dans une immense catégorie de faits semblable</w:t>
      </w:r>
      <w:r w:rsidRPr="001C15F9">
        <w:t>s</w:t>
      </w:r>
      <w:r w:rsidR="00C2602D" w:rsidRPr="001C15F9">
        <w:t> ?</w:t>
      </w:r>
      <w:r w:rsidRPr="001C15F9">
        <w:t xml:space="preserve"> Σημε</w:t>
      </w:r>
      <w:r w:rsidR="001C15F9" w:rsidRPr="001C15F9">
        <w:t>ῖ</w:t>
      </w:r>
      <w:r w:rsidR="00A74F01" w:rsidRPr="001C15F9">
        <w:t>α</w:t>
      </w:r>
      <w:r w:rsidR="00E65435" w:rsidRPr="001C15F9">
        <w:t xml:space="preserve">, </w:t>
      </w:r>
      <w:r w:rsidRPr="00DC4586">
        <w:rPr>
          <w:rStyle w:val="italicus"/>
        </w:rPr>
        <w:t>signa</w:t>
      </w:r>
      <w:r w:rsidR="00E65435">
        <w:rPr>
          <w:rStyle w:val="italicus"/>
        </w:rPr>
        <w:t xml:space="preserve">, </w:t>
      </w:r>
      <w:r w:rsidR="003A07A7">
        <w:rPr>
          <w:rFonts w:eastAsia="Arial Unicode MS"/>
          <w:bCs/>
          <w:lang w:eastAsia="fr-FR" w:bidi="he-IL"/>
        </w:rPr>
        <w:t>Joan. II,</w:t>
      </w:r>
      <w:r w:rsidR="00E65435">
        <w:rPr>
          <w:rFonts w:eastAsia="Arial Unicode MS"/>
          <w:bCs/>
          <w:lang w:eastAsia="fr-FR" w:bidi="he-IL"/>
        </w:rPr>
        <w:t xml:space="preserve"> </w:t>
      </w:r>
      <w:r w:rsidRPr="00C8701B">
        <w:rPr>
          <w:rFonts w:eastAsia="Arial Unicode MS"/>
          <w:bCs/>
          <w:lang w:eastAsia="fr-FR" w:bidi="he-IL"/>
        </w:rPr>
        <w:t>23</w:t>
      </w:r>
      <w:r w:rsidR="00C2602D" w:rsidRPr="00C8701B">
        <w:rPr>
          <w:rFonts w:eastAsia="Arial Unicode MS"/>
          <w:bCs/>
          <w:lang w:eastAsia="fr-FR" w:bidi="he-IL"/>
        </w:rPr>
        <w:t> </w:t>
      </w:r>
      <w:r w:rsidR="007F6508">
        <w:rPr>
          <w:rFonts w:eastAsia="Arial Unicode MS"/>
          <w:bCs/>
          <w:lang w:eastAsia="fr-FR" w:bidi="he-IL"/>
        </w:rPr>
        <w:t>;</w:t>
      </w:r>
      <w:r w:rsidR="00160AA0">
        <w:rPr>
          <w:rFonts w:eastAsia="Arial Unicode MS"/>
          <w:bCs/>
          <w:lang w:eastAsia="fr-FR" w:bidi="he-IL"/>
        </w:rPr>
        <w:t xml:space="preserve"> III,</w:t>
      </w:r>
      <w:r w:rsidR="00E65435">
        <w:rPr>
          <w:rFonts w:eastAsia="Arial Unicode MS"/>
          <w:bCs/>
          <w:lang w:eastAsia="fr-FR" w:bidi="he-IL"/>
        </w:rPr>
        <w:t xml:space="preserve"> </w:t>
      </w:r>
      <w:r w:rsidRPr="00C8701B">
        <w:rPr>
          <w:rFonts w:eastAsia="Arial Unicode MS"/>
          <w:bCs/>
          <w:lang w:eastAsia="fr-FR" w:bidi="he-IL"/>
        </w:rPr>
        <w:t>2</w:t>
      </w:r>
      <w:r w:rsidR="00C2602D" w:rsidRPr="00C8701B">
        <w:rPr>
          <w:rFonts w:eastAsia="Arial Unicode MS"/>
          <w:bCs/>
          <w:lang w:eastAsia="fr-FR" w:bidi="he-IL"/>
        </w:rPr>
        <w:t> </w:t>
      </w:r>
      <w:r w:rsidR="007F6508">
        <w:rPr>
          <w:rFonts w:eastAsia="Arial Unicode MS"/>
          <w:bCs/>
          <w:lang w:eastAsia="fr-FR" w:bidi="he-IL"/>
        </w:rPr>
        <w:t xml:space="preserve">; </w:t>
      </w:r>
      <w:r w:rsidR="0096281A">
        <w:rPr>
          <w:rFonts w:eastAsia="Arial Unicode MS"/>
          <w:bCs/>
          <w:lang w:eastAsia="fr-FR" w:bidi="he-IL"/>
        </w:rPr>
        <w:t>IV</w:t>
      </w:r>
      <w:r w:rsidR="00E65435">
        <w:rPr>
          <w:rFonts w:eastAsia="Arial Unicode MS"/>
          <w:bCs/>
          <w:lang w:eastAsia="fr-FR" w:bidi="he-IL"/>
        </w:rPr>
        <w:t xml:space="preserve">, </w:t>
      </w:r>
      <w:r w:rsidRPr="00C8701B">
        <w:rPr>
          <w:rFonts w:eastAsia="Arial Unicode MS"/>
          <w:bCs/>
          <w:lang w:eastAsia="fr-FR" w:bidi="he-IL"/>
        </w:rPr>
        <w:t>48.</w:t>
      </w:r>
      <w:r w:rsidRPr="001C15F9">
        <w:t xml:space="preserve"> Σημε</w:t>
      </w:r>
      <w:r w:rsidR="00401D7F" w:rsidRPr="001C15F9">
        <w:t>ῖ</w:t>
      </w:r>
      <w:r w:rsidR="001C15F9" w:rsidRPr="001C15F9">
        <w:t>α</w:t>
      </w:r>
      <w:r w:rsidRPr="001C15F9">
        <w:t xml:space="preserve"> </w:t>
      </w:r>
      <w:r w:rsidR="00216C2A" w:rsidRPr="001C15F9">
        <w:t>κ</w:t>
      </w:r>
      <w:r w:rsidR="00A74F01" w:rsidRPr="001C15F9">
        <w:t>α</w:t>
      </w:r>
      <w:r w:rsidR="00216C2A" w:rsidRPr="001C15F9">
        <w:t>ὶ</w:t>
      </w:r>
      <w:r w:rsidRPr="001C15F9">
        <w:t xml:space="preserve"> τ</w:t>
      </w:r>
      <w:r w:rsidR="00C771BF" w:rsidRPr="001C15F9">
        <w:t>έ</w:t>
      </w:r>
      <w:r w:rsidRPr="001C15F9">
        <w:t>ρ</w:t>
      </w:r>
      <w:r w:rsidR="00A74F01" w:rsidRPr="001C15F9">
        <w:t>α</w:t>
      </w:r>
      <w:r w:rsidRPr="001C15F9">
        <w:t>τ</w:t>
      </w:r>
      <w:r w:rsidR="00A74F01" w:rsidRPr="001C15F9">
        <w:t>α</w:t>
      </w:r>
      <w:r w:rsidR="00E65435" w:rsidRPr="001C15F9">
        <w:t>,</w:t>
      </w:r>
      <w:r w:rsidR="00E65435">
        <w:rPr>
          <w:rFonts w:eastAsia="Arial Unicode MS"/>
          <w:bCs/>
          <w:lang w:val="el-GR" w:eastAsia="fr-FR" w:bidi="he-IL"/>
        </w:rPr>
        <w:t xml:space="preserve"> </w:t>
      </w:r>
      <w:r w:rsidRPr="00DC4586">
        <w:rPr>
          <w:rStyle w:val="italicus"/>
        </w:rPr>
        <w:t xml:space="preserve">signa et </w:t>
      </w:r>
      <w:r w:rsidR="00506395" w:rsidRPr="00DC4586">
        <w:rPr>
          <w:rStyle w:val="italicus"/>
        </w:rPr>
        <w:t>prodígia</w:t>
      </w:r>
      <w:r w:rsidR="00E65435">
        <w:rPr>
          <w:rStyle w:val="italicus"/>
        </w:rPr>
        <w:t xml:space="preserve">, </w:t>
      </w:r>
      <w:r w:rsidRPr="00C8701B">
        <w:rPr>
          <w:rFonts w:eastAsia="Arial Unicode MS"/>
          <w:bCs/>
          <w:lang w:eastAsia="fr-FR" w:bidi="he-IL"/>
        </w:rPr>
        <w:t xml:space="preserve">Joan. </w:t>
      </w:r>
      <w:r w:rsidR="00835131">
        <w:rPr>
          <w:rFonts w:eastAsia="Arial Unicode MS"/>
          <w:bCs/>
          <w:lang w:eastAsia="fr-FR" w:bidi="he-IL"/>
        </w:rPr>
        <w:t>V</w:t>
      </w:r>
      <w:r w:rsidR="00E65435">
        <w:rPr>
          <w:rFonts w:eastAsia="Arial Unicode MS"/>
          <w:bCs/>
          <w:lang w:eastAsia="fr-FR" w:bidi="he-IL"/>
        </w:rPr>
        <w:t xml:space="preserve">, </w:t>
      </w:r>
      <w:r w:rsidRPr="00C8701B">
        <w:rPr>
          <w:rFonts w:eastAsia="Arial Unicode MS"/>
          <w:bCs/>
          <w:lang w:eastAsia="fr-FR" w:bidi="he-IL"/>
        </w:rPr>
        <w:t>19</w:t>
      </w:r>
      <w:r w:rsidR="00E65435">
        <w:rPr>
          <w:rFonts w:eastAsia="Arial Unicode MS"/>
          <w:bCs/>
          <w:lang w:eastAsia="fr-FR" w:bidi="he-IL"/>
        </w:rPr>
        <w:t xml:space="preserve">, </w:t>
      </w:r>
      <w:r w:rsidRPr="00C8701B">
        <w:rPr>
          <w:rFonts w:eastAsia="Arial Unicode MS"/>
          <w:bCs/>
          <w:lang w:eastAsia="fr-FR" w:bidi="he-IL"/>
        </w:rPr>
        <w:t>21</w:t>
      </w:r>
      <w:r w:rsidR="00E65435">
        <w:rPr>
          <w:rFonts w:eastAsia="Arial Unicode MS"/>
          <w:bCs/>
          <w:lang w:eastAsia="fr-FR" w:bidi="he-IL"/>
        </w:rPr>
        <w:t xml:space="preserve">, </w:t>
      </w:r>
      <w:r w:rsidRPr="00C8701B">
        <w:rPr>
          <w:rFonts w:eastAsia="Arial Unicode MS"/>
          <w:bCs/>
          <w:lang w:eastAsia="fr-FR" w:bidi="he-IL"/>
        </w:rPr>
        <w:t>36</w:t>
      </w:r>
      <w:r w:rsidR="00C2602D" w:rsidRPr="00C8701B">
        <w:rPr>
          <w:rFonts w:eastAsia="Arial Unicode MS"/>
          <w:bCs/>
          <w:lang w:eastAsia="fr-FR" w:bidi="he-IL"/>
        </w:rPr>
        <w:t> </w:t>
      </w:r>
      <w:r w:rsidR="007F6508">
        <w:rPr>
          <w:rFonts w:eastAsia="Arial Unicode MS"/>
          <w:bCs/>
          <w:lang w:eastAsia="fr-FR" w:bidi="he-IL"/>
        </w:rPr>
        <w:t xml:space="preserve">; </w:t>
      </w:r>
      <w:r w:rsidR="00A319EA">
        <w:rPr>
          <w:rFonts w:eastAsia="Arial Unicode MS"/>
          <w:bCs/>
          <w:lang w:eastAsia="fr-FR" w:bidi="he-IL"/>
        </w:rPr>
        <w:t>VI</w:t>
      </w:r>
      <w:r w:rsidR="00E65435">
        <w:rPr>
          <w:rFonts w:eastAsia="Arial Unicode MS"/>
          <w:bCs/>
          <w:lang w:eastAsia="fr-FR" w:bidi="he-IL"/>
        </w:rPr>
        <w:t xml:space="preserve">, </w:t>
      </w:r>
      <w:r w:rsidRPr="00C8701B">
        <w:rPr>
          <w:rFonts w:eastAsia="Arial Unicode MS"/>
          <w:bCs/>
          <w:lang w:eastAsia="fr-FR" w:bidi="he-IL"/>
        </w:rPr>
        <w:t>2</w:t>
      </w:r>
      <w:r w:rsidR="00E65435">
        <w:rPr>
          <w:rFonts w:eastAsia="Arial Unicode MS"/>
          <w:bCs/>
          <w:lang w:eastAsia="fr-FR" w:bidi="he-IL"/>
        </w:rPr>
        <w:t xml:space="preserve">, </w:t>
      </w:r>
      <w:r w:rsidRPr="00C8701B">
        <w:rPr>
          <w:rFonts w:eastAsia="Arial Unicode MS"/>
          <w:bCs/>
          <w:lang w:eastAsia="fr-FR" w:bidi="he-IL"/>
        </w:rPr>
        <w:t>1</w:t>
      </w:r>
      <w:r w:rsidRPr="001C15F9">
        <w:t>4</w:t>
      </w:r>
      <w:r w:rsidR="00E65435" w:rsidRPr="001C15F9">
        <w:t xml:space="preserve">, </w:t>
      </w:r>
      <w:r w:rsidRPr="001C15F9">
        <w:t>26</w:t>
      </w:r>
      <w:r w:rsidR="00C2602D" w:rsidRPr="001C15F9">
        <w:t> </w:t>
      </w:r>
      <w:r w:rsidR="007F6508" w:rsidRPr="001C15F9">
        <w:t xml:space="preserve">; </w:t>
      </w:r>
      <w:r w:rsidR="00A964CD" w:rsidRPr="001C15F9">
        <w:t>VII</w:t>
      </w:r>
      <w:r w:rsidR="00E65435" w:rsidRPr="001C15F9">
        <w:t xml:space="preserve">, </w:t>
      </w:r>
      <w:r w:rsidRPr="001C15F9">
        <w:t>3</w:t>
      </w:r>
      <w:r w:rsidR="00E65435" w:rsidRPr="001C15F9">
        <w:t xml:space="preserve">, </w:t>
      </w:r>
      <w:r w:rsidRPr="001C15F9">
        <w:t>31</w:t>
      </w:r>
      <w:r w:rsidR="00C2602D" w:rsidRPr="001C15F9">
        <w:t> </w:t>
      </w:r>
      <w:r w:rsidR="007F6508" w:rsidRPr="001C15F9">
        <w:t xml:space="preserve">; </w:t>
      </w:r>
      <w:r w:rsidR="00906914" w:rsidRPr="001C15F9">
        <w:t>IX</w:t>
      </w:r>
      <w:r w:rsidR="00E65435" w:rsidRPr="001C15F9">
        <w:t xml:space="preserve">, </w:t>
      </w:r>
      <w:r w:rsidRPr="001C15F9">
        <w:t>3</w:t>
      </w:r>
      <w:r w:rsidR="00E65435" w:rsidRPr="001C15F9">
        <w:t xml:space="preserve">, </w:t>
      </w:r>
      <w:r w:rsidRPr="001C15F9">
        <w:t xml:space="preserve">4. </w:t>
      </w:r>
      <w:r w:rsidR="00D62373">
        <w:t>Ἔ</w:t>
      </w:r>
      <w:r w:rsidR="00D62373" w:rsidRPr="001C15F9">
        <w:t>ργα</w:t>
      </w:r>
      <w:r w:rsidR="001C15F9">
        <w:t xml:space="preserve"> το</w:t>
      </w:r>
      <w:r w:rsidR="00637AE9" w:rsidRPr="001C15F9">
        <w:t>ῦ</w:t>
      </w:r>
      <w:r w:rsidRPr="001C15F9">
        <w:t xml:space="preserve"> </w:t>
      </w:r>
      <w:r w:rsidR="001C15F9">
        <w:rPr>
          <w:rFonts w:eastAsia="Arial Unicode MS"/>
          <w:bCs/>
          <w:lang w:eastAsia="fr-FR" w:bidi="he-IL"/>
        </w:rPr>
        <w:t>θεοῦ</w:t>
      </w:r>
      <w:r w:rsidR="00E65435">
        <w:rPr>
          <w:rFonts w:eastAsia="Arial Unicode MS"/>
          <w:bCs/>
          <w:lang w:eastAsia="fr-FR" w:bidi="he-IL"/>
        </w:rPr>
        <w:t xml:space="preserve">, </w:t>
      </w:r>
      <w:r w:rsidR="001C15F9">
        <w:rPr>
          <w:rStyle w:val="italicus"/>
        </w:rPr>
        <w:t>ópera</w:t>
      </w:r>
      <w:r w:rsidRPr="00DC4586">
        <w:rPr>
          <w:rStyle w:val="italicus"/>
        </w:rPr>
        <w:t xml:space="preserve"> Dei</w:t>
      </w:r>
      <w:r w:rsidR="00E65435">
        <w:rPr>
          <w:rStyle w:val="italicus"/>
        </w:rPr>
        <w:t xml:space="preserve">, </w:t>
      </w:r>
      <w:r w:rsidRPr="00C8701B">
        <w:rPr>
          <w:rFonts w:eastAsia="Arial Unicode MS"/>
          <w:bCs/>
          <w:lang w:eastAsia="fr-FR" w:bidi="he-IL"/>
        </w:rPr>
        <w:t xml:space="preserve">Joan. </w:t>
      </w:r>
      <w:r w:rsidR="00906914">
        <w:rPr>
          <w:rFonts w:eastAsia="Arial Unicode MS"/>
          <w:bCs/>
          <w:lang w:eastAsia="fr-FR" w:bidi="he-IL"/>
        </w:rPr>
        <w:t>IX</w:t>
      </w:r>
      <w:r w:rsidR="00E65435">
        <w:rPr>
          <w:rFonts w:eastAsia="Arial Unicode MS"/>
          <w:bCs/>
          <w:lang w:eastAsia="fr-FR" w:bidi="he-IL"/>
        </w:rPr>
        <w:t xml:space="preserve">, </w:t>
      </w:r>
      <w:r w:rsidRPr="00C8701B">
        <w:rPr>
          <w:rFonts w:eastAsia="Arial Unicode MS"/>
          <w:bCs/>
          <w:lang w:eastAsia="fr-FR" w:bidi="he-IL"/>
        </w:rPr>
        <w:t xml:space="preserve">16. </w:t>
      </w:r>
      <w:r w:rsidR="001C15F9">
        <w:t>Πολλὰ</w:t>
      </w:r>
      <w:r w:rsidRPr="001C15F9">
        <w:t xml:space="preserve"> σημε</w:t>
      </w:r>
      <w:r w:rsidR="001C15F9" w:rsidRPr="001C15F9">
        <w:t>ῖ</w:t>
      </w:r>
      <w:r w:rsidR="00A74F01" w:rsidRPr="001C15F9">
        <w:t>α</w:t>
      </w:r>
      <w:r w:rsidR="00E65435" w:rsidRPr="001C15F9">
        <w:t xml:space="preserve">, </w:t>
      </w:r>
      <w:r w:rsidRPr="00C8701B">
        <w:rPr>
          <w:rFonts w:eastAsia="Arial Unicode MS"/>
          <w:bCs/>
          <w:lang w:eastAsia="fr-FR" w:bidi="he-IL"/>
        </w:rPr>
        <w:t xml:space="preserve">Joan. </w:t>
      </w:r>
      <w:r w:rsidR="00D72CBC">
        <w:rPr>
          <w:rFonts w:eastAsia="Arial Unicode MS"/>
          <w:bCs/>
          <w:lang w:eastAsia="fr-FR" w:bidi="he-IL"/>
        </w:rPr>
        <w:t>XII</w:t>
      </w:r>
      <w:r w:rsidR="00E65435">
        <w:rPr>
          <w:rFonts w:eastAsia="Arial Unicode MS"/>
          <w:bCs/>
          <w:lang w:eastAsia="fr-FR" w:bidi="he-IL"/>
        </w:rPr>
        <w:t xml:space="preserve">, </w:t>
      </w:r>
      <w:r w:rsidRPr="00C8701B">
        <w:rPr>
          <w:rFonts w:eastAsia="Arial Unicode MS"/>
          <w:bCs/>
          <w:lang w:eastAsia="fr-FR" w:bidi="he-IL"/>
        </w:rPr>
        <w:t>18</w:t>
      </w:r>
      <w:r w:rsidR="00E65435">
        <w:rPr>
          <w:rFonts w:eastAsia="Arial Unicode MS"/>
          <w:bCs/>
          <w:lang w:eastAsia="fr-FR" w:bidi="he-IL"/>
        </w:rPr>
        <w:t xml:space="preserve">, </w:t>
      </w:r>
      <w:r w:rsidRPr="00C8701B">
        <w:rPr>
          <w:rFonts w:eastAsia="Arial Unicode MS"/>
          <w:bCs/>
          <w:lang w:eastAsia="fr-FR" w:bidi="he-IL"/>
        </w:rPr>
        <w:t>37-43</w:t>
      </w:r>
      <w:r w:rsidR="00C2602D" w:rsidRPr="00C8701B">
        <w:rPr>
          <w:rFonts w:eastAsia="Arial Unicode MS"/>
          <w:bCs/>
          <w:lang w:eastAsia="fr-FR" w:bidi="he-IL"/>
        </w:rPr>
        <w:t> </w:t>
      </w:r>
      <w:r w:rsidR="007F6508">
        <w:rPr>
          <w:rFonts w:eastAsia="Arial Unicode MS"/>
          <w:bCs/>
          <w:lang w:eastAsia="fr-FR" w:bidi="he-IL"/>
        </w:rPr>
        <w:t xml:space="preserve">; </w:t>
      </w:r>
      <w:r w:rsidR="00CB43AA">
        <w:rPr>
          <w:rFonts w:eastAsia="Arial Unicode MS"/>
          <w:bCs/>
          <w:lang w:eastAsia="fr-FR" w:bidi="he-IL"/>
        </w:rPr>
        <w:t>XIV</w:t>
      </w:r>
      <w:r w:rsidR="00E65435">
        <w:rPr>
          <w:rFonts w:eastAsia="Arial Unicode MS"/>
          <w:bCs/>
          <w:lang w:eastAsia="fr-FR" w:bidi="he-IL"/>
        </w:rPr>
        <w:t xml:space="preserve">, </w:t>
      </w:r>
      <w:r w:rsidRPr="00C8701B">
        <w:rPr>
          <w:rFonts w:eastAsia="Arial Unicode MS"/>
          <w:bCs/>
          <w:lang w:eastAsia="fr-FR" w:bidi="he-IL"/>
        </w:rPr>
        <w:t>10-13</w:t>
      </w:r>
      <w:r w:rsidR="00C2602D" w:rsidRPr="00C8701B">
        <w:rPr>
          <w:rFonts w:eastAsia="Arial Unicode MS"/>
          <w:bCs/>
          <w:lang w:eastAsia="fr-FR" w:bidi="he-IL"/>
        </w:rPr>
        <w:t> </w:t>
      </w:r>
      <w:r w:rsidR="007F6508">
        <w:rPr>
          <w:rFonts w:eastAsia="Arial Unicode MS"/>
          <w:bCs/>
          <w:lang w:eastAsia="fr-FR" w:bidi="he-IL"/>
        </w:rPr>
        <w:t xml:space="preserve">; </w:t>
      </w:r>
      <w:r w:rsidR="00D72CBC">
        <w:rPr>
          <w:rFonts w:eastAsia="Arial Unicode MS"/>
          <w:bCs/>
          <w:lang w:eastAsia="fr-FR" w:bidi="he-IL"/>
        </w:rPr>
        <w:t>XV</w:t>
      </w:r>
      <w:r w:rsidR="00E65435">
        <w:rPr>
          <w:rFonts w:eastAsia="Arial Unicode MS"/>
          <w:bCs/>
          <w:lang w:eastAsia="fr-FR" w:bidi="he-IL"/>
        </w:rPr>
        <w:t xml:space="preserve">, </w:t>
      </w:r>
      <w:r w:rsidRPr="00C8701B">
        <w:rPr>
          <w:rFonts w:eastAsia="Arial Unicode MS"/>
          <w:bCs/>
          <w:lang w:eastAsia="fr-FR" w:bidi="he-IL"/>
        </w:rPr>
        <w:t>24</w:t>
      </w:r>
      <w:r w:rsidR="00933C60" w:rsidRPr="00C406FF">
        <w:rPr>
          <w:rStyle w:val="Appelnotedebasdep"/>
        </w:rPr>
        <w:footnoteReference w:id="320"/>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1C15F9">
        <w:t>III</w:t>
      </w:r>
      <w:r w:rsidR="001C15F9">
        <w:t>.</w:t>
      </w:r>
      <w:r w:rsidR="00E65435">
        <w:rPr>
          <w:rStyle w:val="italicus"/>
        </w:rPr>
        <w:t xml:space="preserve"> </w:t>
      </w:r>
      <w:r w:rsidRPr="00DC4586">
        <w:rPr>
          <w:rStyle w:val="italicus"/>
        </w:rPr>
        <w:t>Explication du double phénomène des ressemblances et des différences.</w:t>
      </w:r>
      <w:r w:rsidR="000F7DAA">
        <w:rPr>
          <w:rStyle w:val="italicus"/>
        </w:rPr>
        <w:t xml:space="preserve"> —</w:t>
      </w:r>
      <w:r w:rsidR="008D0642">
        <w:rPr>
          <w:rFonts w:eastAsia="Arial Unicode MS"/>
          <w:bCs/>
          <w:lang w:eastAsia="fr-FR" w:bidi="he-IL"/>
        </w:rPr>
        <w:t xml:space="preserve"> </w:t>
      </w:r>
      <w:r w:rsidRPr="00C8701B">
        <w:rPr>
          <w:rFonts w:eastAsia="Arial Unicode MS"/>
          <w:bCs/>
          <w:lang w:eastAsia="fr-FR" w:bidi="he-IL"/>
        </w:rPr>
        <w:t>Pour les coïncidences</w:t>
      </w:r>
      <w:r w:rsidR="00E65435">
        <w:rPr>
          <w:rFonts w:eastAsia="Arial Unicode MS"/>
          <w:bCs/>
          <w:lang w:eastAsia="fr-FR" w:bidi="he-IL"/>
        </w:rPr>
        <w:t xml:space="preserve">, </w:t>
      </w:r>
      <w:r w:rsidRPr="00C8701B">
        <w:rPr>
          <w:rFonts w:eastAsia="Arial Unicode MS"/>
          <w:bCs/>
          <w:lang w:eastAsia="fr-FR" w:bidi="he-IL"/>
        </w:rPr>
        <w:t>rien de plus simple</w:t>
      </w:r>
      <w:r w:rsidR="00C2602D" w:rsidRPr="00C8701B">
        <w:rPr>
          <w:rFonts w:eastAsia="Arial Unicode MS"/>
          <w:bCs/>
          <w:lang w:eastAsia="fr-FR" w:bidi="he-IL"/>
        </w:rPr>
        <w:t> :</w:t>
      </w:r>
      <w:r w:rsidRPr="00C8701B">
        <w:rPr>
          <w:rFonts w:eastAsia="Arial Unicode MS"/>
          <w:bCs/>
          <w:lang w:eastAsia="fr-FR" w:bidi="he-IL"/>
        </w:rPr>
        <w:t xml:space="preserve"> le</w:t>
      </w:r>
      <w:r w:rsidR="001C15F9">
        <w:rPr>
          <w:rFonts w:eastAsia="Arial Unicode MS"/>
          <w:bCs/>
          <w:lang w:eastAsia="fr-FR" w:bidi="he-IL"/>
        </w:rPr>
        <w:t xml:space="preserve"> </w:t>
      </w:r>
      <w:r w:rsidRPr="00C8701B">
        <w:rPr>
          <w:rFonts w:eastAsia="Arial Unicode MS"/>
          <w:bCs/>
          <w:lang w:eastAsia="fr-FR" w:bidi="he-IL"/>
        </w:rPr>
        <w:t>fond</w:t>
      </w:r>
      <w:r w:rsidR="001C15F9">
        <w:rPr>
          <w:rFonts w:eastAsia="Arial Unicode MS"/>
          <w:bCs/>
          <w:lang w:eastAsia="fr-FR" w:bidi="he-IL"/>
        </w:rPr>
        <w:t xml:space="preserve"> co</w:t>
      </w:r>
      <w:r w:rsidRPr="00C8701B">
        <w:rPr>
          <w:rFonts w:eastAsia="Arial Unicode MS"/>
          <w:bCs/>
          <w:lang w:eastAsia="fr-FR" w:bidi="he-IL"/>
        </w:rPr>
        <w:t>mmun</w:t>
      </w:r>
      <w:r w:rsidR="001C15F9">
        <w:rPr>
          <w:rFonts w:eastAsia="Arial Unicode MS"/>
          <w:bCs/>
          <w:lang w:eastAsia="fr-FR" w:bidi="he-IL"/>
        </w:rPr>
        <w:t xml:space="preserve"> </w:t>
      </w:r>
      <w:r w:rsidRPr="00C8701B">
        <w:rPr>
          <w:rFonts w:eastAsia="Arial Unicode MS"/>
          <w:bCs/>
          <w:lang w:eastAsia="fr-FR" w:bidi="he-IL"/>
        </w:rPr>
        <w:t>de</w:t>
      </w:r>
      <w:r w:rsidR="001C15F9">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001C15F9">
        <w:rPr>
          <w:rFonts w:eastAsia="Arial Unicode MS"/>
          <w:bCs/>
          <w:lang w:eastAsia="fr-FR" w:bidi="he-IL"/>
        </w:rPr>
        <w:t>histoire évangélique. Inutile d</w:t>
      </w:r>
      <w:r w:rsidR="00557DE0">
        <w:rPr>
          <w:rFonts w:eastAsia="Arial Unicode MS"/>
          <w:bCs/>
          <w:lang w:eastAsia="fr-FR" w:bidi="he-IL"/>
        </w:rPr>
        <w:t>’</w:t>
      </w:r>
      <w:r w:rsidR="001C15F9">
        <w:rPr>
          <w:rFonts w:eastAsia="Arial Unicode MS"/>
          <w:bCs/>
          <w:lang w:eastAsia="fr-FR" w:bidi="he-IL"/>
        </w:rPr>
        <w:t>in</w:t>
      </w:r>
      <w:r w:rsidRPr="00C8701B">
        <w:rPr>
          <w:rFonts w:eastAsia="Arial Unicode MS"/>
          <w:bCs/>
          <w:lang w:eastAsia="fr-FR" w:bidi="he-IL"/>
        </w:rPr>
        <w:t>sister sur ce point</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mais il faut appuyer sur les causes des différences</w:t>
      </w:r>
      <w:r w:rsidR="00E65435">
        <w:rPr>
          <w:rFonts w:eastAsia="Arial Unicode MS"/>
          <w:bCs/>
          <w:lang w:eastAsia="fr-FR" w:bidi="he-IL"/>
        </w:rPr>
        <w:t xml:space="preserve">, </w:t>
      </w:r>
      <w:r w:rsidRPr="00C8701B">
        <w:rPr>
          <w:rFonts w:eastAsia="Arial Unicode MS"/>
          <w:bCs/>
          <w:lang w:eastAsia="fr-FR" w:bidi="he-IL"/>
        </w:rPr>
        <w:t>puisque c</w:t>
      </w:r>
      <w:r w:rsidR="00557DE0">
        <w:rPr>
          <w:rFonts w:eastAsia="Arial Unicode MS"/>
          <w:bCs/>
          <w:lang w:eastAsia="fr-FR" w:bidi="he-IL"/>
        </w:rPr>
        <w:t>’</w:t>
      </w:r>
      <w:r w:rsidRPr="00C8701B">
        <w:rPr>
          <w:rFonts w:eastAsia="Arial Unicode MS"/>
          <w:bCs/>
          <w:lang w:eastAsia="fr-FR" w:bidi="he-IL"/>
        </w:rPr>
        <w:t>est là l</w:t>
      </w:r>
      <w:r w:rsidR="00557DE0">
        <w:rPr>
          <w:rFonts w:eastAsia="Arial Unicode MS"/>
          <w:bCs/>
          <w:lang w:eastAsia="fr-FR" w:bidi="he-IL"/>
        </w:rPr>
        <w:t>’</w:t>
      </w:r>
      <w:r w:rsidRPr="00C8701B">
        <w:rPr>
          <w:rFonts w:eastAsia="Arial Unicode MS"/>
          <w:bCs/>
          <w:lang w:eastAsia="fr-FR" w:bidi="he-IL"/>
        </w:rPr>
        <w:t>élément qui domine dans les rapports du quatrième évangile avec les précédents.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1° S</w:t>
      </w:r>
      <w:r w:rsidR="001C15F9">
        <w:rPr>
          <w:rFonts w:eastAsia="Arial Unicode MS"/>
          <w:bCs/>
          <w:lang w:eastAsia="fr-FR" w:bidi="he-IL"/>
        </w:rPr>
        <w:t>. Jean écrivit son évangile asse</w:t>
      </w:r>
      <w:r w:rsidRPr="00C8701B">
        <w:rPr>
          <w:rFonts w:eastAsia="Arial Unicode MS"/>
          <w:bCs/>
          <w:lang w:eastAsia="fr-FR" w:bidi="he-IL"/>
        </w:rPr>
        <w:t>z longtemps après l</w:t>
      </w:r>
      <w:r w:rsidR="00557DE0">
        <w:rPr>
          <w:rFonts w:eastAsia="Arial Unicode MS"/>
          <w:bCs/>
          <w:lang w:eastAsia="fr-FR" w:bidi="he-IL"/>
        </w:rPr>
        <w:t>’</w:t>
      </w:r>
      <w:r w:rsidRPr="00C8701B">
        <w:rPr>
          <w:rFonts w:eastAsia="Arial Unicode MS"/>
          <w:bCs/>
          <w:lang w:eastAsia="fr-FR" w:bidi="he-IL"/>
        </w:rPr>
        <w:t>apparition de ceux des synoptiques</w:t>
      </w:r>
      <w:r w:rsidR="00E65435">
        <w:rPr>
          <w:rFonts w:eastAsia="Arial Unicode MS"/>
          <w:bCs/>
          <w:lang w:eastAsia="fr-FR" w:bidi="he-IL"/>
        </w:rPr>
        <w:t xml:space="preserve">, </w:t>
      </w:r>
      <w:r w:rsidRPr="00C8701B">
        <w:rPr>
          <w:rFonts w:eastAsia="Arial Unicode MS"/>
          <w:bCs/>
          <w:lang w:eastAsia="fr-FR" w:bidi="he-IL"/>
        </w:rPr>
        <w:t>et</w:t>
      </w:r>
      <w:r w:rsidR="00E65435">
        <w:rPr>
          <w:rFonts w:eastAsia="Arial Unicode MS"/>
          <w:bCs/>
          <w:lang w:eastAsia="fr-FR" w:bidi="he-IL"/>
        </w:rPr>
        <w:t xml:space="preserve">, </w:t>
      </w:r>
      <w:r w:rsidRPr="00C8701B">
        <w:rPr>
          <w:rFonts w:eastAsia="Arial Unicode MS"/>
          <w:bCs/>
          <w:lang w:eastAsia="fr-FR" w:bidi="he-IL"/>
        </w:rPr>
        <w:t>en partie notable</w:t>
      </w:r>
      <w:r w:rsidR="00E65435">
        <w:rPr>
          <w:rFonts w:eastAsia="Arial Unicode MS"/>
          <w:bCs/>
          <w:lang w:eastAsia="fr-FR" w:bidi="he-IL"/>
        </w:rPr>
        <w:t xml:space="preserve">, </w:t>
      </w:r>
      <w:r w:rsidRPr="00C8701B">
        <w:rPr>
          <w:rFonts w:eastAsia="Arial Unicode MS"/>
          <w:bCs/>
          <w:lang w:eastAsia="fr-FR" w:bidi="he-IL"/>
        </w:rPr>
        <w:t>pour les compléter</w:t>
      </w:r>
      <w:r w:rsidR="00E65435">
        <w:rPr>
          <w:rFonts w:eastAsia="Arial Unicode MS"/>
          <w:bCs/>
          <w:lang w:eastAsia="fr-FR" w:bidi="he-IL"/>
        </w:rPr>
        <w:t xml:space="preserve">, </w:t>
      </w:r>
      <w:r w:rsidRPr="00C8701B">
        <w:rPr>
          <w:rFonts w:eastAsia="Arial Unicode MS"/>
          <w:bCs/>
          <w:lang w:eastAsia="fr-FR" w:bidi="he-IL"/>
        </w:rPr>
        <w:t>comme l</w:t>
      </w:r>
      <w:r w:rsidR="00557DE0">
        <w:rPr>
          <w:rFonts w:eastAsia="Arial Unicode MS"/>
          <w:bCs/>
          <w:lang w:eastAsia="fr-FR" w:bidi="he-IL"/>
        </w:rPr>
        <w:t>’</w:t>
      </w:r>
      <w:r w:rsidRPr="00C8701B">
        <w:rPr>
          <w:rFonts w:eastAsia="Arial Unicode MS"/>
          <w:bCs/>
          <w:lang w:eastAsia="fr-FR" w:bidi="he-IL"/>
        </w:rPr>
        <w:t>affirme la tradition</w:t>
      </w:r>
      <w:r w:rsidR="00933C60" w:rsidRPr="00C406FF">
        <w:rPr>
          <w:rStyle w:val="Appelnotedebasdep"/>
        </w:rPr>
        <w:footnoteReference w:id="321"/>
      </w:r>
      <w:r w:rsidRPr="00C8701B">
        <w:rPr>
          <w:rFonts w:eastAsia="Arial Unicode MS"/>
          <w:bCs/>
          <w:lang w:eastAsia="fr-FR" w:bidi="he-IL"/>
        </w:rPr>
        <w:t>. Il omit donc la plupart des choses qu</w:t>
      </w:r>
      <w:r w:rsidR="00557DE0">
        <w:rPr>
          <w:rFonts w:eastAsia="Arial Unicode MS"/>
          <w:bCs/>
          <w:lang w:eastAsia="fr-FR" w:bidi="he-IL"/>
        </w:rPr>
        <w:t>’</w:t>
      </w:r>
      <w:r w:rsidRPr="00C8701B">
        <w:rPr>
          <w:rFonts w:eastAsia="Arial Unicode MS"/>
          <w:bCs/>
          <w:lang w:eastAsia="fr-FR" w:bidi="he-IL"/>
        </w:rPr>
        <w:t>ils avaient suffisamment racontées</w:t>
      </w:r>
      <w:r w:rsidR="00E65435">
        <w:rPr>
          <w:rFonts w:eastAsia="Arial Unicode MS"/>
          <w:bCs/>
          <w:lang w:eastAsia="fr-FR" w:bidi="he-IL"/>
        </w:rPr>
        <w:t xml:space="preserve">, </w:t>
      </w:r>
      <w:r w:rsidRPr="00C8701B">
        <w:rPr>
          <w:rFonts w:eastAsia="Arial Unicode MS"/>
          <w:bCs/>
          <w:lang w:eastAsia="fr-FR" w:bidi="he-IL"/>
        </w:rPr>
        <w:t>se contentant d</w:t>
      </w:r>
      <w:r w:rsidR="00557DE0">
        <w:rPr>
          <w:rFonts w:eastAsia="Arial Unicode MS"/>
          <w:bCs/>
          <w:lang w:eastAsia="fr-FR" w:bidi="he-IL"/>
        </w:rPr>
        <w:t>’</w:t>
      </w:r>
      <w:r w:rsidRPr="00C8701B">
        <w:rPr>
          <w:rFonts w:eastAsia="Arial Unicode MS"/>
          <w:bCs/>
          <w:lang w:eastAsia="fr-FR" w:bidi="he-IL"/>
        </w:rPr>
        <w:t>y renvoyer par des insinuations et des formules générales</w:t>
      </w:r>
      <w:r w:rsidR="00E65435">
        <w:rPr>
          <w:rFonts w:eastAsia="Arial Unicode MS"/>
          <w:bCs/>
          <w:lang w:eastAsia="fr-FR" w:bidi="he-IL"/>
        </w:rPr>
        <w:t xml:space="preserve">, </w:t>
      </w:r>
      <w:r w:rsidRPr="00C8701B">
        <w:rPr>
          <w:rFonts w:eastAsia="Arial Unicode MS"/>
          <w:bCs/>
          <w:lang w:eastAsia="fr-FR" w:bidi="he-IL"/>
        </w:rPr>
        <w:t>et il inséra d</w:t>
      </w:r>
      <w:r w:rsidR="00557DE0">
        <w:rPr>
          <w:rFonts w:eastAsia="Arial Unicode MS"/>
          <w:bCs/>
          <w:lang w:eastAsia="fr-FR" w:bidi="he-IL"/>
        </w:rPr>
        <w:t>’</w:t>
      </w:r>
      <w:r w:rsidRPr="00C8701B">
        <w:rPr>
          <w:rFonts w:eastAsia="Arial Unicode MS"/>
          <w:bCs/>
          <w:lang w:eastAsia="fr-FR" w:bidi="he-IL"/>
        </w:rPr>
        <w:t>autres faits à leur place.</w:t>
      </w:r>
      <w:r w:rsidR="00C2602D" w:rsidRPr="00C8701B">
        <w:rPr>
          <w:rFonts w:eastAsia="Arial Unicode MS"/>
          <w:bCs/>
          <w:lang w:eastAsia="fr-FR" w:bidi="he-IL"/>
        </w:rPr>
        <w:t xml:space="preserve"> </w:t>
      </w:r>
    </w:p>
    <w:p w:rsidR="00C2602D" w:rsidRPr="00C8701B" w:rsidRDefault="001C15F9" w:rsidP="001C15F9">
      <w:pPr>
        <w:rPr>
          <w:rFonts w:eastAsia="Arial Unicode MS"/>
          <w:bCs/>
          <w:lang w:eastAsia="fr-FR" w:bidi="he-IL"/>
        </w:rPr>
      </w:pPr>
      <w:r>
        <w:rPr>
          <w:rFonts w:eastAsia="Arial Unicode MS"/>
          <w:bCs/>
          <w:lang w:eastAsia="fr-FR" w:bidi="he-IL"/>
        </w:rPr>
        <w:t>2° À</w:t>
      </w:r>
      <w:r w:rsidR="00B704AD" w:rsidRPr="00C8701B">
        <w:rPr>
          <w:rFonts w:eastAsia="Arial Unicode MS"/>
          <w:bCs/>
          <w:lang w:eastAsia="fr-FR" w:bidi="he-IL"/>
        </w:rPr>
        <w:t xml:space="preserve"> cette époque plus tardive</w:t>
      </w:r>
      <w:r w:rsidR="00E65435">
        <w:rPr>
          <w:rFonts w:eastAsia="Arial Unicode MS"/>
          <w:bCs/>
          <w:lang w:eastAsia="fr-FR" w:bidi="he-IL"/>
        </w:rPr>
        <w:t xml:space="preserve">, </w:t>
      </w:r>
      <w:r w:rsidR="00B704AD" w:rsidRPr="00C8701B">
        <w:rPr>
          <w:rFonts w:eastAsia="Arial Unicode MS"/>
          <w:bCs/>
          <w:lang w:eastAsia="fr-FR" w:bidi="he-IL"/>
        </w:rPr>
        <w:t>la lutte s</w:t>
      </w:r>
      <w:r w:rsidR="00557DE0">
        <w:rPr>
          <w:rFonts w:eastAsia="Arial Unicode MS"/>
          <w:bCs/>
          <w:lang w:eastAsia="fr-FR" w:bidi="he-IL"/>
        </w:rPr>
        <w:t>’</w:t>
      </w:r>
      <w:r w:rsidR="00B704AD" w:rsidRPr="00C8701B">
        <w:rPr>
          <w:rFonts w:eastAsia="Arial Unicode MS"/>
          <w:bCs/>
          <w:lang w:eastAsia="fr-FR" w:bidi="he-IL"/>
        </w:rPr>
        <w:t>est accentuée entré le christianisme et le monde</w:t>
      </w:r>
      <w:r w:rsidR="00E65435">
        <w:rPr>
          <w:rFonts w:eastAsia="Arial Unicode MS"/>
          <w:bCs/>
          <w:lang w:eastAsia="fr-FR" w:bidi="he-IL"/>
        </w:rPr>
        <w:t xml:space="preserve">, </w:t>
      </w:r>
      <w:r w:rsidR="00B704AD" w:rsidRPr="00C8701B">
        <w:rPr>
          <w:rFonts w:eastAsia="Arial Unicode MS"/>
          <w:bCs/>
          <w:lang w:eastAsia="fr-FR" w:bidi="he-IL"/>
        </w:rPr>
        <w:t>entre l</w:t>
      </w:r>
      <w:r w:rsidR="00557DE0">
        <w:rPr>
          <w:rFonts w:eastAsia="Arial Unicode MS"/>
          <w:bCs/>
          <w:lang w:eastAsia="fr-FR" w:bidi="he-IL"/>
        </w:rPr>
        <w:t>’</w:t>
      </w:r>
      <w:r w:rsidR="00C8701B">
        <w:rPr>
          <w:rFonts w:eastAsia="Arial Unicode MS"/>
          <w:bCs/>
          <w:lang w:eastAsia="fr-FR" w:bidi="he-IL"/>
        </w:rPr>
        <w:t>Église</w:t>
      </w:r>
      <w:r w:rsidR="00B704AD" w:rsidRPr="00C8701B">
        <w:rPr>
          <w:rFonts w:eastAsia="Arial Unicode MS"/>
          <w:bCs/>
          <w:lang w:eastAsia="fr-FR" w:bidi="he-IL"/>
        </w:rPr>
        <w:t xml:space="preserve"> et la synagogue. Les germes des premières hérésies ont</w:t>
      </w:r>
      <w:r>
        <w:rPr>
          <w:rFonts w:eastAsia="Arial Unicode MS"/>
          <w:bCs/>
          <w:lang w:eastAsia="fr-FR" w:bidi="he-IL"/>
        </w:rPr>
        <w:t xml:space="preserve"> </w:t>
      </w:r>
      <w:r w:rsidR="00B704AD" w:rsidRPr="00C8701B">
        <w:rPr>
          <w:rFonts w:eastAsia="Arial Unicode MS"/>
          <w:bCs/>
          <w:lang w:eastAsia="fr-FR" w:bidi="he-IL"/>
        </w:rPr>
        <w:t>apparu. La société chrétienne a des besoins spéciaux soit au dedans</w:t>
      </w:r>
      <w:r w:rsidR="00E65435">
        <w:rPr>
          <w:rFonts w:eastAsia="Arial Unicode MS"/>
          <w:bCs/>
          <w:lang w:eastAsia="fr-FR" w:bidi="he-IL"/>
        </w:rPr>
        <w:t xml:space="preserve">, </w:t>
      </w:r>
      <w:r w:rsidR="00B704AD" w:rsidRPr="00C8701B">
        <w:rPr>
          <w:rFonts w:eastAsia="Arial Unicode MS"/>
          <w:bCs/>
          <w:lang w:eastAsia="fr-FR" w:bidi="he-IL"/>
        </w:rPr>
        <w:t xml:space="preserve">soit au dehors. De là le but spécial aussi que se proposa </w:t>
      </w:r>
      <w:r>
        <w:rPr>
          <w:rFonts w:eastAsia="Arial Unicode MS"/>
          <w:bCs/>
          <w:lang w:eastAsia="fr-FR" w:bidi="he-IL"/>
        </w:rPr>
        <w:t>S</w:t>
      </w:r>
      <w:r w:rsidR="00B704AD" w:rsidRPr="00C8701B">
        <w:rPr>
          <w:rFonts w:eastAsia="Arial Unicode MS"/>
          <w:bCs/>
          <w:lang w:val="el-GR" w:eastAsia="fr-FR" w:bidi="he-IL"/>
        </w:rPr>
        <w:t xml:space="preserve">. </w:t>
      </w:r>
      <w:r w:rsidR="00B704AD" w:rsidRPr="00C8701B">
        <w:rPr>
          <w:rFonts w:eastAsia="Arial Unicode MS"/>
          <w:bCs/>
          <w:lang w:eastAsia="fr-FR" w:bidi="he-IL"/>
        </w:rPr>
        <w:t>Jean</w:t>
      </w:r>
      <w:r w:rsidR="00E65435">
        <w:rPr>
          <w:rFonts w:eastAsia="Arial Unicode MS"/>
          <w:bCs/>
          <w:lang w:eastAsia="fr-FR" w:bidi="he-IL"/>
        </w:rPr>
        <w:t xml:space="preserve">, </w:t>
      </w:r>
      <w:r w:rsidR="00B704AD" w:rsidRPr="00C8701B">
        <w:rPr>
          <w:rFonts w:eastAsia="Arial Unicode MS"/>
          <w:bCs/>
          <w:lang w:eastAsia="fr-FR" w:bidi="he-IL"/>
        </w:rPr>
        <w:t>lorsqu</w:t>
      </w:r>
      <w:r w:rsidR="00557DE0">
        <w:rPr>
          <w:rFonts w:eastAsia="Arial Unicode MS"/>
          <w:bCs/>
          <w:lang w:eastAsia="fr-FR" w:bidi="he-IL"/>
        </w:rPr>
        <w:t>’</w:t>
      </w:r>
      <w:r w:rsidR="00B704AD" w:rsidRPr="00C8701B">
        <w:rPr>
          <w:rFonts w:eastAsia="Arial Unicode MS"/>
          <w:bCs/>
          <w:lang w:eastAsia="fr-FR" w:bidi="he-IL"/>
        </w:rPr>
        <w:t>il entreprit la composition de son évangile. Aux premiers</w:t>
      </w:r>
      <w:r>
        <w:rPr>
          <w:rFonts w:eastAsia="Arial Unicode MS"/>
          <w:bCs/>
          <w:lang w:eastAsia="fr-FR" w:bidi="he-IL"/>
        </w:rPr>
        <w:t xml:space="preserve"> </w:t>
      </w:r>
      <w:r w:rsidR="00B704AD" w:rsidRPr="00C8701B">
        <w:rPr>
          <w:rFonts w:eastAsia="Arial Unicode MS"/>
          <w:bCs/>
          <w:lang w:eastAsia="fr-FR" w:bidi="he-IL"/>
        </w:rPr>
        <w:t>chrétiens</w:t>
      </w:r>
      <w:r w:rsidR="00E65435">
        <w:rPr>
          <w:rFonts w:eastAsia="Arial Unicode MS"/>
          <w:bCs/>
          <w:lang w:eastAsia="fr-FR" w:bidi="he-IL"/>
        </w:rPr>
        <w:t xml:space="preserve">, </w:t>
      </w:r>
      <w:r w:rsidR="00B704AD" w:rsidRPr="00C8701B">
        <w:rPr>
          <w:rFonts w:eastAsia="Arial Unicode MS"/>
          <w:bCs/>
          <w:lang w:eastAsia="fr-FR" w:bidi="he-IL"/>
        </w:rPr>
        <w:t>à l</w:t>
      </w:r>
      <w:r w:rsidR="00557DE0">
        <w:rPr>
          <w:rFonts w:eastAsia="Arial Unicode MS"/>
          <w:bCs/>
          <w:lang w:eastAsia="fr-FR" w:bidi="he-IL"/>
        </w:rPr>
        <w:t>’</w:t>
      </w:r>
      <w:r w:rsidR="00C8701B">
        <w:rPr>
          <w:rFonts w:eastAsia="Arial Unicode MS"/>
          <w:bCs/>
          <w:lang w:eastAsia="fr-FR" w:bidi="he-IL"/>
        </w:rPr>
        <w:t>Église</w:t>
      </w:r>
      <w:r w:rsidR="00B704AD" w:rsidRPr="00C8701B">
        <w:rPr>
          <w:rFonts w:eastAsia="Arial Unicode MS"/>
          <w:bCs/>
          <w:lang w:eastAsia="fr-FR" w:bidi="he-IL"/>
        </w:rPr>
        <w:t xml:space="preserve"> encore au berceau</w:t>
      </w:r>
      <w:r w:rsidR="00E65435">
        <w:rPr>
          <w:rFonts w:eastAsia="Arial Unicode MS"/>
          <w:bCs/>
          <w:lang w:eastAsia="fr-FR" w:bidi="he-IL"/>
        </w:rPr>
        <w:t xml:space="preserve">, </w:t>
      </w:r>
      <w:r w:rsidR="00B704AD" w:rsidRPr="00C8701B">
        <w:rPr>
          <w:rFonts w:eastAsia="Arial Unicode MS"/>
          <w:bCs/>
          <w:lang w:eastAsia="fr-FR" w:bidi="he-IL"/>
        </w:rPr>
        <w:t xml:space="preserve">le lait de la doctrine suffisait (cf. Hebr. </w:t>
      </w:r>
      <w:r w:rsidR="00835131">
        <w:rPr>
          <w:rFonts w:eastAsia="Arial Unicode MS"/>
          <w:bCs/>
          <w:lang w:eastAsia="fr-FR" w:bidi="he-IL"/>
        </w:rPr>
        <w:t>V</w:t>
      </w:r>
      <w:r w:rsidR="00E65435">
        <w:rPr>
          <w:rFonts w:eastAsia="Arial Unicode MS"/>
          <w:bCs/>
          <w:lang w:eastAsia="fr-FR" w:bidi="he-IL"/>
        </w:rPr>
        <w:t xml:space="preserve">, </w:t>
      </w:r>
      <w:r w:rsidR="00B704AD" w:rsidRPr="00C8701B">
        <w:rPr>
          <w:rFonts w:eastAsia="Arial Unicode MS"/>
          <w:bCs/>
          <w:lang w:eastAsia="fr-FR" w:bidi="he-IL"/>
        </w:rPr>
        <w:t>12)</w:t>
      </w:r>
      <w:r w:rsidR="00E65435">
        <w:rPr>
          <w:rFonts w:eastAsia="Arial Unicode MS"/>
          <w:bCs/>
          <w:lang w:eastAsia="fr-FR" w:bidi="he-IL"/>
        </w:rPr>
        <w:t xml:space="preserve">, </w:t>
      </w:r>
      <w:r>
        <w:rPr>
          <w:rFonts w:eastAsia="Arial Unicode MS"/>
          <w:bCs/>
          <w:lang w:eastAsia="fr-FR" w:bidi="he-IL"/>
        </w:rPr>
        <w:t>et les premiers évan</w:t>
      </w:r>
      <w:r w:rsidR="00B704AD" w:rsidRPr="00C8701B">
        <w:rPr>
          <w:rFonts w:eastAsia="Arial Unicode MS"/>
          <w:bCs/>
          <w:lang w:eastAsia="fr-FR" w:bidi="he-IL"/>
        </w:rPr>
        <w:t>gélistes le leur fournirent concurremment avec la prédication orale</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à l</w:t>
      </w:r>
      <w:r w:rsidR="00557DE0">
        <w:rPr>
          <w:rFonts w:eastAsia="Arial Unicode MS"/>
          <w:bCs/>
          <w:lang w:eastAsia="fr-FR" w:bidi="he-IL"/>
        </w:rPr>
        <w:t>’</w:t>
      </w:r>
      <w:r w:rsidR="00B704AD" w:rsidRPr="00C8701B">
        <w:rPr>
          <w:rFonts w:eastAsia="Arial Unicode MS"/>
          <w:bCs/>
          <w:lang w:eastAsia="fr-FR" w:bidi="he-IL"/>
        </w:rPr>
        <w:t>Église déjà parvenue à sa</w:t>
      </w:r>
      <w:r>
        <w:rPr>
          <w:rFonts w:eastAsia="Arial Unicode MS"/>
          <w:bCs/>
          <w:lang w:eastAsia="fr-FR" w:bidi="he-IL"/>
        </w:rPr>
        <w:t xml:space="preserve"> </w:t>
      </w:r>
      <w:r w:rsidR="00B704AD" w:rsidRPr="00C8701B">
        <w:rPr>
          <w:rFonts w:eastAsia="Arial Unicode MS"/>
          <w:bCs/>
          <w:lang w:eastAsia="fr-FR" w:bidi="he-IL"/>
        </w:rPr>
        <w:t>maturité</w:t>
      </w:r>
      <w:r w:rsidR="00E65435">
        <w:rPr>
          <w:rFonts w:eastAsia="Arial Unicode MS"/>
          <w:bCs/>
          <w:lang w:eastAsia="fr-FR" w:bidi="he-IL"/>
        </w:rPr>
        <w:t xml:space="preserve">, </w:t>
      </w:r>
      <w:r w:rsidR="00B704AD" w:rsidRPr="00C8701B">
        <w:rPr>
          <w:rFonts w:eastAsia="Arial Unicode MS"/>
          <w:bCs/>
          <w:lang w:eastAsia="fr-FR" w:bidi="he-IL"/>
        </w:rPr>
        <w:t>mise en contact avec les systèmes philosophiques de l</w:t>
      </w:r>
      <w:r w:rsidR="00557DE0">
        <w:rPr>
          <w:rFonts w:eastAsia="Arial Unicode MS"/>
          <w:bCs/>
          <w:lang w:eastAsia="fr-FR" w:bidi="he-IL"/>
        </w:rPr>
        <w:t>’</w:t>
      </w:r>
      <w:r w:rsidR="00B704AD" w:rsidRPr="00C8701B">
        <w:rPr>
          <w:rFonts w:eastAsia="Arial Unicode MS"/>
          <w:bCs/>
          <w:lang w:eastAsia="fr-FR" w:bidi="he-IL"/>
        </w:rPr>
        <w:t>Asie-Mineure</w:t>
      </w:r>
      <w:r w:rsidR="00E65435">
        <w:rPr>
          <w:rFonts w:eastAsia="Arial Unicode MS"/>
          <w:bCs/>
          <w:lang w:eastAsia="fr-FR" w:bidi="he-IL"/>
        </w:rPr>
        <w:t xml:space="preserve">, </w:t>
      </w:r>
      <w:r>
        <w:rPr>
          <w:rFonts w:eastAsia="Arial Unicode MS"/>
          <w:bCs/>
          <w:lang w:eastAsia="fr-FR" w:bidi="he-IL"/>
        </w:rPr>
        <w:t>S. Jean offre des mets plu</w:t>
      </w:r>
      <w:r w:rsidR="00B704AD" w:rsidRPr="00C8701B">
        <w:rPr>
          <w:rFonts w:eastAsia="Arial Unicode MS"/>
          <w:bCs/>
          <w:lang w:eastAsia="fr-FR" w:bidi="he-IL"/>
        </w:rPr>
        <w:t>s solides</w:t>
      </w:r>
      <w:r w:rsidR="00E65435">
        <w:rPr>
          <w:rFonts w:eastAsia="Arial Unicode MS"/>
          <w:bCs/>
          <w:lang w:eastAsia="fr-FR" w:bidi="he-IL"/>
        </w:rPr>
        <w:t xml:space="preserve">, </w:t>
      </w:r>
      <w:r w:rsidR="00B704AD" w:rsidRPr="00C8701B">
        <w:rPr>
          <w:rFonts w:eastAsia="Arial Unicode MS"/>
          <w:bCs/>
          <w:lang w:eastAsia="fr-FR" w:bidi="he-IL"/>
        </w:rPr>
        <w:t>sous la forme des profonds mystères qu</w:t>
      </w:r>
      <w:r w:rsidR="00557DE0">
        <w:rPr>
          <w:rFonts w:eastAsia="Arial Unicode MS"/>
          <w:bCs/>
          <w:lang w:eastAsia="fr-FR" w:bidi="he-IL"/>
        </w:rPr>
        <w:t>’</w:t>
      </w:r>
      <w:r>
        <w:rPr>
          <w:rFonts w:eastAsia="Arial Unicode MS"/>
          <w:bCs/>
          <w:lang w:eastAsia="fr-FR" w:bidi="he-IL"/>
        </w:rPr>
        <w:t>il avait puisés au cœur</w:t>
      </w:r>
      <w:r w:rsidR="00B704AD" w:rsidRPr="00C8701B">
        <w:rPr>
          <w:rFonts w:eastAsia="Arial Unicode MS"/>
          <w:bCs/>
          <w:lang w:eastAsia="fr-FR" w:bidi="he-IL"/>
        </w:rPr>
        <w:t xml:space="preserve"> même de N.-S. Jésus-Christ </w:t>
      </w:r>
      <w:r w:rsidR="00C2602D" w:rsidRPr="00C8701B">
        <w:rPr>
          <w:rFonts w:eastAsia="Arial Unicode MS"/>
          <w:bCs/>
          <w:lang w:eastAsia="fr-FR" w:bidi="he-IL"/>
        </w:rPr>
        <w:t>« </w:t>
      </w:r>
      <w:r w:rsidR="00B704AD" w:rsidRPr="00C8701B">
        <w:rPr>
          <w:rFonts w:eastAsia="Arial Unicode MS"/>
          <w:bCs/>
          <w:lang w:eastAsia="fr-FR" w:bidi="he-IL"/>
        </w:rPr>
        <w:t xml:space="preserve">Nihil </w:t>
      </w:r>
      <w:r w:rsidR="00F125AE">
        <w:rPr>
          <w:rFonts w:eastAsia="Arial Unicode MS"/>
          <w:bCs/>
          <w:lang w:eastAsia="fr-FR" w:bidi="he-IL"/>
        </w:rPr>
        <w:t>humánum</w:t>
      </w:r>
      <w:r w:rsidR="00B704AD" w:rsidRPr="00C8701B">
        <w:rPr>
          <w:rFonts w:eastAsia="Arial Unicode MS"/>
          <w:bCs/>
          <w:lang w:eastAsia="fr-FR" w:bidi="he-IL"/>
        </w:rPr>
        <w:t xml:space="preserve"> dicit</w:t>
      </w:r>
      <w:r w:rsidR="00E65435">
        <w:rPr>
          <w:rFonts w:eastAsia="Arial Unicode MS"/>
          <w:bCs/>
          <w:lang w:eastAsia="fr-FR" w:bidi="he-IL"/>
        </w:rPr>
        <w:t xml:space="preserve">, </w:t>
      </w:r>
      <w:r w:rsidR="00B704AD" w:rsidRPr="00C8701B">
        <w:rPr>
          <w:rFonts w:eastAsia="Arial Unicode MS"/>
          <w:bCs/>
          <w:lang w:eastAsia="fr-FR" w:bidi="he-IL"/>
        </w:rPr>
        <w:t xml:space="preserve">sed quidquid </w:t>
      </w:r>
      <w:r w:rsidR="00F125AE" w:rsidRPr="00C8701B">
        <w:rPr>
          <w:rFonts w:eastAsia="Arial Unicode MS"/>
          <w:bCs/>
          <w:lang w:eastAsia="fr-FR" w:bidi="he-IL"/>
        </w:rPr>
        <w:t>lóquitur</w:t>
      </w:r>
      <w:r w:rsidR="00E65435">
        <w:rPr>
          <w:rFonts w:eastAsia="Arial Unicode MS"/>
          <w:bCs/>
          <w:lang w:eastAsia="fr-FR" w:bidi="he-IL"/>
        </w:rPr>
        <w:t xml:space="preserve">, </w:t>
      </w:r>
      <w:r w:rsidR="00B704AD" w:rsidRPr="00C8701B">
        <w:rPr>
          <w:rFonts w:eastAsia="Arial Unicode MS"/>
          <w:bCs/>
          <w:lang w:eastAsia="fr-FR" w:bidi="he-IL"/>
        </w:rPr>
        <w:t>ex spiritu</w:t>
      </w:r>
      <w:r w:rsidR="00356A5E">
        <w:rPr>
          <w:rFonts w:eastAsia="Arial Unicode MS"/>
          <w:bCs/>
          <w:lang w:eastAsia="fr-FR" w:bidi="he-IL"/>
        </w:rPr>
        <w:t>á</w:t>
      </w:r>
      <w:r w:rsidR="00356A5E" w:rsidRPr="00C8701B">
        <w:rPr>
          <w:rFonts w:eastAsia="Arial Unicode MS"/>
          <w:bCs/>
          <w:lang w:eastAsia="fr-FR" w:bidi="he-IL"/>
        </w:rPr>
        <w:t>libus</w:t>
      </w:r>
      <w:r w:rsidR="00B704AD" w:rsidRPr="00C8701B">
        <w:rPr>
          <w:rFonts w:eastAsia="Arial Unicode MS"/>
          <w:bCs/>
          <w:lang w:eastAsia="fr-FR" w:bidi="he-IL"/>
        </w:rPr>
        <w:t xml:space="preserve"> </w:t>
      </w:r>
      <w:r w:rsidR="00F125AE" w:rsidRPr="00C8701B">
        <w:rPr>
          <w:rFonts w:eastAsia="Arial Unicode MS"/>
          <w:bCs/>
          <w:lang w:eastAsia="fr-FR" w:bidi="he-IL"/>
        </w:rPr>
        <w:t>abýssis</w:t>
      </w:r>
      <w:r w:rsidR="00B704AD" w:rsidRPr="00C8701B">
        <w:rPr>
          <w:rFonts w:eastAsia="Arial Unicode MS"/>
          <w:bCs/>
          <w:lang w:eastAsia="fr-FR" w:bidi="he-IL"/>
        </w:rPr>
        <w:t xml:space="preserve"> haustum est</w:t>
      </w:r>
      <w:r w:rsidR="00E65435">
        <w:rPr>
          <w:rFonts w:eastAsia="Arial Unicode MS"/>
          <w:bCs/>
          <w:lang w:eastAsia="fr-FR" w:bidi="he-IL"/>
        </w:rPr>
        <w:t xml:space="preserve">, </w:t>
      </w:r>
      <w:r w:rsidR="00B704AD" w:rsidRPr="00C8701B">
        <w:rPr>
          <w:rFonts w:eastAsia="Arial Unicode MS"/>
          <w:bCs/>
          <w:lang w:eastAsia="fr-FR" w:bidi="he-IL"/>
        </w:rPr>
        <w:t xml:space="preserve">ex </w:t>
      </w:r>
      <w:r w:rsidR="00F125AE" w:rsidRPr="00C8701B">
        <w:rPr>
          <w:rFonts w:eastAsia="Arial Unicode MS"/>
          <w:bCs/>
          <w:lang w:eastAsia="fr-FR" w:bidi="he-IL"/>
        </w:rPr>
        <w:t>arcánis</w:t>
      </w:r>
      <w:r w:rsidR="00B704AD" w:rsidRPr="00C8701B">
        <w:rPr>
          <w:rFonts w:eastAsia="Arial Unicode MS"/>
          <w:bCs/>
          <w:lang w:eastAsia="fr-FR" w:bidi="he-IL"/>
        </w:rPr>
        <w:t xml:space="preserve"> illis</w:t>
      </w:r>
      <w:r w:rsidR="00E65435">
        <w:rPr>
          <w:rFonts w:eastAsia="Arial Unicode MS"/>
          <w:bCs/>
          <w:lang w:eastAsia="fr-FR" w:bidi="he-IL"/>
        </w:rPr>
        <w:t xml:space="preserve">, </w:t>
      </w:r>
      <w:r w:rsidR="00B704AD" w:rsidRPr="00C8701B">
        <w:rPr>
          <w:rFonts w:eastAsia="Arial Unicode MS"/>
          <w:bCs/>
          <w:lang w:eastAsia="fr-FR" w:bidi="he-IL"/>
        </w:rPr>
        <w:t>qu</w:t>
      </w:r>
      <w:r w:rsidR="00E37C84">
        <w:rPr>
          <w:rFonts w:eastAsia="Arial Unicode MS"/>
          <w:bCs/>
          <w:lang w:eastAsia="fr-FR" w:bidi="he-IL"/>
        </w:rPr>
        <w:t>æ</w:t>
      </w:r>
      <w:r w:rsidR="00B704AD" w:rsidRPr="00C8701B">
        <w:rPr>
          <w:rFonts w:eastAsia="Arial Unicode MS"/>
          <w:bCs/>
          <w:lang w:eastAsia="fr-FR" w:bidi="he-IL"/>
        </w:rPr>
        <w:t xml:space="preserve"> </w:t>
      </w:r>
      <w:r w:rsidR="00F125AE" w:rsidRPr="00C8701B">
        <w:rPr>
          <w:rFonts w:eastAsia="Arial Unicode MS"/>
          <w:bCs/>
          <w:lang w:eastAsia="fr-FR" w:bidi="he-IL"/>
        </w:rPr>
        <w:t>ántequam</w:t>
      </w:r>
      <w:r w:rsidR="00B704AD" w:rsidRPr="00C8701B">
        <w:rPr>
          <w:rFonts w:eastAsia="Arial Unicode MS"/>
          <w:bCs/>
          <w:lang w:eastAsia="fr-FR" w:bidi="he-IL"/>
        </w:rPr>
        <w:t xml:space="preserve"> </w:t>
      </w:r>
      <w:r w:rsidR="00F125AE" w:rsidRPr="00C8701B">
        <w:rPr>
          <w:rFonts w:eastAsia="Arial Unicode MS"/>
          <w:bCs/>
          <w:lang w:eastAsia="fr-FR" w:bidi="he-IL"/>
        </w:rPr>
        <w:t>fíerent</w:t>
      </w:r>
      <w:r w:rsidR="00E65435">
        <w:rPr>
          <w:rFonts w:eastAsia="Arial Unicode MS"/>
          <w:bCs/>
          <w:lang w:eastAsia="fr-FR" w:bidi="he-IL"/>
        </w:rPr>
        <w:t xml:space="preserve">, </w:t>
      </w:r>
      <w:r w:rsidR="00B704AD" w:rsidRPr="00C8701B">
        <w:rPr>
          <w:rFonts w:eastAsia="Arial Unicode MS"/>
          <w:bCs/>
          <w:lang w:eastAsia="fr-FR" w:bidi="he-IL"/>
        </w:rPr>
        <w:t xml:space="preserve">ne </w:t>
      </w:r>
      <w:r w:rsidR="00F125AE" w:rsidRPr="00C8701B">
        <w:rPr>
          <w:rFonts w:eastAsia="Arial Unicode MS"/>
          <w:bCs/>
          <w:lang w:eastAsia="fr-FR" w:bidi="he-IL"/>
        </w:rPr>
        <w:t>ángeli</w:t>
      </w:r>
      <w:r w:rsidR="00B704AD" w:rsidRPr="00C8701B">
        <w:rPr>
          <w:rFonts w:eastAsia="Arial Unicode MS"/>
          <w:bCs/>
          <w:lang w:eastAsia="fr-FR" w:bidi="he-IL"/>
        </w:rPr>
        <w:t xml:space="preserve"> quidem </w:t>
      </w:r>
      <w:r w:rsidR="00F125AE" w:rsidRPr="00C8701B">
        <w:rPr>
          <w:rFonts w:eastAsia="Arial Unicode MS"/>
          <w:bCs/>
          <w:lang w:eastAsia="fr-FR" w:bidi="he-IL"/>
        </w:rPr>
        <w:t>nóverant</w:t>
      </w:r>
      <w:r w:rsidR="00C2602D" w:rsidRPr="00C8701B">
        <w:rPr>
          <w:rFonts w:eastAsia="Arial Unicode MS"/>
          <w:bCs/>
          <w:lang w:eastAsia="fr-FR" w:bidi="he-IL"/>
        </w:rPr>
        <w:t> »</w:t>
      </w:r>
      <w:r w:rsidR="00933C60" w:rsidRPr="00C406FF">
        <w:rPr>
          <w:rStyle w:val="Appelnotedebasdep"/>
        </w:rPr>
        <w:footnoteReference w:id="322"/>
      </w:r>
      <w:r w:rsidR="00B704AD" w:rsidRPr="00C8701B">
        <w:rPr>
          <w:rFonts w:eastAsia="Arial Unicode MS"/>
          <w:bCs/>
          <w:lang w:eastAsia="fr-FR" w:bidi="he-IL"/>
        </w:rPr>
        <w:t xml:space="preserve">. </w:t>
      </w:r>
      <w:r w:rsidR="00C14040" w:rsidRPr="000716BB">
        <w:rPr>
          <w:rFonts w:eastAsia="Arial Unicode MS"/>
          <w:bCs/>
          <w:lang w:eastAsia="fr-FR" w:bidi="he-IL"/>
        </w:rPr>
        <w:t>{</w:t>
      </w:r>
      <w:r w:rsidR="00C14040">
        <w:rPr>
          <w:rFonts w:eastAsia="Arial Unicode MS"/>
          <w:bCs/>
          <w:lang w:eastAsia="fr-FR" w:bidi="he-IL"/>
        </w:rPr>
        <w:t>62</w:t>
      </w:r>
      <w:bookmarkStart w:id="99" w:name="pag062"/>
      <w:bookmarkEnd w:id="99"/>
      <w:r w:rsidR="00C14040" w:rsidRPr="000716BB">
        <w:rPr>
          <w:rFonts w:eastAsia="Arial Unicode MS"/>
          <w:bCs/>
          <w:lang w:eastAsia="fr-FR" w:bidi="he-IL"/>
        </w:rPr>
        <w:t xml:space="preserve">} </w:t>
      </w:r>
      <w:r w:rsidR="00B704AD" w:rsidRPr="00C8701B">
        <w:rPr>
          <w:rFonts w:eastAsia="Arial Unicode MS"/>
          <w:bCs/>
          <w:lang w:eastAsia="fr-FR" w:bidi="he-IL"/>
        </w:rPr>
        <w:t>De là vient</w:t>
      </w:r>
      <w:r w:rsidR="00E65435">
        <w:rPr>
          <w:rFonts w:eastAsia="Arial Unicode MS"/>
          <w:bCs/>
          <w:lang w:eastAsia="fr-FR" w:bidi="he-IL"/>
        </w:rPr>
        <w:t xml:space="preserve">, </w:t>
      </w:r>
      <w:r w:rsidR="00B704AD" w:rsidRPr="00C8701B">
        <w:rPr>
          <w:rFonts w:eastAsia="Arial Unicode MS"/>
          <w:bCs/>
          <w:lang w:eastAsia="fr-FR" w:bidi="he-IL"/>
        </w:rPr>
        <w:t>comme le dit S. Jérôme</w:t>
      </w:r>
      <w:r w:rsidR="00E65435">
        <w:rPr>
          <w:rFonts w:eastAsia="Arial Unicode MS"/>
          <w:bCs/>
          <w:lang w:eastAsia="fr-FR" w:bidi="he-IL"/>
        </w:rPr>
        <w:t xml:space="preserve">, </w:t>
      </w:r>
      <w:r w:rsidR="00B704AD" w:rsidRPr="00C8701B">
        <w:rPr>
          <w:rFonts w:eastAsia="Arial Unicode MS"/>
          <w:bCs/>
          <w:lang w:eastAsia="fr-FR" w:bidi="he-IL"/>
        </w:rPr>
        <w:t xml:space="preserve">que </w:t>
      </w:r>
      <w:r w:rsidR="00C2602D" w:rsidRPr="00C8701B">
        <w:rPr>
          <w:rFonts w:eastAsia="Arial Unicode MS"/>
          <w:bCs/>
          <w:lang w:eastAsia="fr-FR" w:bidi="he-IL"/>
        </w:rPr>
        <w:t>« </w:t>
      </w:r>
      <w:r w:rsidR="00B704AD" w:rsidRPr="00C8701B">
        <w:rPr>
          <w:rFonts w:eastAsia="Arial Unicode MS"/>
          <w:bCs/>
          <w:lang w:eastAsia="fr-FR" w:bidi="he-IL"/>
        </w:rPr>
        <w:t>ipsum ejus e</w:t>
      </w:r>
      <w:r w:rsidR="00736374">
        <w:rPr>
          <w:rFonts w:eastAsia="Arial Unicode MS"/>
          <w:bCs/>
          <w:lang w:eastAsia="fr-FR" w:bidi="he-IL"/>
        </w:rPr>
        <w:t>vangélium</w:t>
      </w:r>
      <w:r w:rsidR="00B704AD" w:rsidRPr="00C8701B">
        <w:rPr>
          <w:rFonts w:eastAsia="Arial Unicode MS"/>
          <w:bCs/>
          <w:lang w:eastAsia="fr-FR" w:bidi="he-IL"/>
        </w:rPr>
        <w:t xml:space="preserve"> multum distat a </w:t>
      </w:r>
      <w:r w:rsidR="00F125AE" w:rsidRPr="00C8701B">
        <w:rPr>
          <w:rFonts w:eastAsia="Arial Unicode MS"/>
          <w:bCs/>
          <w:lang w:eastAsia="fr-FR" w:bidi="he-IL"/>
        </w:rPr>
        <w:t>céteris</w:t>
      </w:r>
      <w:r w:rsidR="00F125AE">
        <w:rPr>
          <w:rFonts w:eastAsia="Arial Unicode MS"/>
          <w:bCs/>
          <w:lang w:eastAsia="fr-FR" w:bidi="he-IL"/>
        </w:rPr>
        <w:t> »</w:t>
      </w:r>
      <w:r w:rsidR="00933C60" w:rsidRPr="00C406FF">
        <w:rPr>
          <w:rStyle w:val="Appelnotedebasdep"/>
        </w:rPr>
        <w:footnoteReference w:id="323"/>
      </w:r>
      <w:r w:rsidR="00B704AD" w:rsidRPr="00C8701B">
        <w:rPr>
          <w:rFonts w:eastAsia="Arial Unicode MS"/>
          <w:bCs/>
          <w:lang w:eastAsia="fr-FR" w:bidi="he-IL"/>
        </w:rPr>
        <w:t>. En effet</w:t>
      </w:r>
      <w:r w:rsidR="00E65435">
        <w:rPr>
          <w:rFonts w:eastAsia="Arial Unicode MS"/>
          <w:bCs/>
          <w:lang w:eastAsia="fr-FR" w:bidi="he-IL"/>
        </w:rPr>
        <w:t xml:space="preserve">, </w:t>
      </w:r>
      <w:r w:rsidR="00B704AD" w:rsidRPr="00C8701B">
        <w:rPr>
          <w:rFonts w:eastAsia="Arial Unicode MS"/>
          <w:bCs/>
          <w:lang w:eastAsia="fr-FR" w:bidi="he-IL"/>
        </w:rPr>
        <w:t>la différence du but devait nécessairement créer la différence de la méthode</w:t>
      </w:r>
      <w:r w:rsidR="00933C60" w:rsidRPr="00C406FF">
        <w:rPr>
          <w:rStyle w:val="Appelnotedebasdep"/>
        </w:rPr>
        <w:footnoteReference w:id="324"/>
      </w:r>
      <w:r w:rsidR="00B704AD" w:rsidRPr="00C8701B">
        <w:rPr>
          <w:rFonts w:eastAsia="Arial Unicode MS"/>
          <w:bCs/>
          <w:lang w:eastAsia="fr-FR" w:bidi="he-IL"/>
        </w:rPr>
        <w:t>.</w:t>
      </w:r>
      <w:r w:rsidR="00C2602D" w:rsidRPr="00C8701B">
        <w:rPr>
          <w:rFonts w:eastAsia="Arial Unicode MS"/>
          <w:bCs/>
          <w:lang w:eastAsia="fr-FR" w:bidi="he-IL"/>
        </w:rPr>
        <w:t xml:space="preserve"> </w:t>
      </w:r>
    </w:p>
    <w:p w:rsidR="00F125AE" w:rsidRDefault="00B704AD" w:rsidP="00F125AE">
      <w:pPr>
        <w:rPr>
          <w:rFonts w:eastAsia="Arial Unicode MS"/>
          <w:bCs/>
          <w:lang w:eastAsia="fr-FR" w:bidi="he-IL"/>
        </w:rPr>
      </w:pPr>
      <w:r w:rsidRPr="00C8701B">
        <w:rPr>
          <w:rFonts w:eastAsia="Arial Unicode MS"/>
          <w:bCs/>
          <w:lang w:eastAsia="fr-FR" w:bidi="he-IL"/>
        </w:rPr>
        <w:t>3° Enfin</w:t>
      </w:r>
      <w:r w:rsidR="00E65435">
        <w:rPr>
          <w:rFonts w:eastAsia="Arial Unicode MS"/>
          <w:bCs/>
          <w:lang w:eastAsia="fr-FR" w:bidi="he-IL"/>
        </w:rPr>
        <w:t xml:space="preserve">, </w:t>
      </w:r>
      <w:r w:rsidRPr="00C8701B">
        <w:rPr>
          <w:rFonts w:eastAsia="Arial Unicode MS"/>
          <w:bCs/>
          <w:lang w:eastAsia="fr-FR" w:bidi="he-IL"/>
        </w:rPr>
        <w:t>nous l</w:t>
      </w:r>
      <w:r w:rsidR="00557DE0">
        <w:rPr>
          <w:rFonts w:eastAsia="Arial Unicode MS"/>
          <w:bCs/>
          <w:lang w:eastAsia="fr-FR" w:bidi="he-IL"/>
        </w:rPr>
        <w:t>’</w:t>
      </w:r>
      <w:r w:rsidRPr="00C8701B">
        <w:rPr>
          <w:rFonts w:eastAsia="Arial Unicode MS"/>
          <w:bCs/>
          <w:lang w:eastAsia="fr-FR" w:bidi="he-IL"/>
        </w:rPr>
        <w:t>avons vu</w:t>
      </w:r>
      <w:r w:rsidR="00E65435">
        <w:rPr>
          <w:rFonts w:eastAsia="Arial Unicode MS"/>
          <w:bCs/>
          <w:lang w:eastAsia="fr-FR" w:bidi="he-IL"/>
        </w:rPr>
        <w:t xml:space="preserve">, </w:t>
      </w:r>
      <w:r w:rsidRPr="00C8701B">
        <w:rPr>
          <w:rFonts w:eastAsia="Arial Unicode MS"/>
          <w:bCs/>
          <w:lang w:eastAsia="fr-FR" w:bidi="he-IL"/>
        </w:rPr>
        <w:t>puisque S. Jean et les synoptiques se rencontrent rarement dans leurs récits</w:t>
      </w:r>
      <w:r w:rsidR="00E65435">
        <w:rPr>
          <w:rFonts w:eastAsia="Arial Unicode MS"/>
          <w:bCs/>
          <w:lang w:eastAsia="fr-FR" w:bidi="he-IL"/>
        </w:rPr>
        <w:t xml:space="preserve">, </w:t>
      </w:r>
      <w:r w:rsidRPr="00C8701B">
        <w:rPr>
          <w:rFonts w:eastAsia="Arial Unicode MS"/>
          <w:bCs/>
          <w:lang w:eastAsia="fr-FR" w:bidi="he-IL"/>
        </w:rPr>
        <w:t>puisqu</w:t>
      </w:r>
      <w:r w:rsidR="00557DE0">
        <w:rPr>
          <w:rFonts w:eastAsia="Arial Unicode MS"/>
          <w:bCs/>
          <w:lang w:eastAsia="fr-FR" w:bidi="he-IL"/>
        </w:rPr>
        <w:t>’</w:t>
      </w:r>
      <w:r w:rsidRPr="00C8701B">
        <w:rPr>
          <w:rFonts w:eastAsia="Arial Unicode MS"/>
          <w:bCs/>
          <w:lang w:eastAsia="fr-FR" w:bidi="he-IL"/>
        </w:rPr>
        <w:t>ils n</w:t>
      </w:r>
      <w:r w:rsidR="00557DE0">
        <w:rPr>
          <w:rFonts w:eastAsia="Arial Unicode MS"/>
          <w:bCs/>
          <w:lang w:eastAsia="fr-FR" w:bidi="he-IL"/>
        </w:rPr>
        <w:t>’</w:t>
      </w:r>
      <w:r w:rsidRPr="00C8701B">
        <w:rPr>
          <w:rFonts w:eastAsia="Arial Unicode MS"/>
          <w:bCs/>
          <w:lang w:eastAsia="fr-FR" w:bidi="he-IL"/>
        </w:rPr>
        <w:t>offrent tous qu</w:t>
      </w:r>
      <w:r w:rsidR="00557DE0">
        <w:rPr>
          <w:rFonts w:eastAsia="Arial Unicode MS"/>
          <w:bCs/>
          <w:lang w:eastAsia="fr-FR" w:bidi="he-IL"/>
        </w:rPr>
        <w:t>’</w:t>
      </w:r>
      <w:r w:rsidRPr="00C8701B">
        <w:rPr>
          <w:rFonts w:eastAsia="Arial Unicode MS"/>
          <w:bCs/>
          <w:lang w:eastAsia="fr-FR" w:bidi="he-IL"/>
        </w:rPr>
        <w:t>une biographie incomplète du Sauveur</w:t>
      </w:r>
      <w:r w:rsidR="00E65435">
        <w:rPr>
          <w:rFonts w:eastAsia="Arial Unicode MS"/>
          <w:bCs/>
          <w:lang w:eastAsia="fr-FR" w:bidi="he-IL"/>
        </w:rPr>
        <w:t xml:space="preserve">, </w:t>
      </w:r>
      <w:r w:rsidRPr="00C8701B">
        <w:rPr>
          <w:rFonts w:eastAsia="Arial Unicode MS"/>
          <w:bCs/>
          <w:lang w:eastAsia="fr-FR" w:bidi="he-IL"/>
        </w:rPr>
        <w:t>quoi d</w:t>
      </w:r>
      <w:r w:rsidR="00557DE0">
        <w:rPr>
          <w:rFonts w:eastAsia="Arial Unicode MS"/>
          <w:bCs/>
          <w:lang w:eastAsia="fr-FR" w:bidi="he-IL"/>
        </w:rPr>
        <w:t>’</w:t>
      </w:r>
      <w:r w:rsidRPr="00C8701B">
        <w:rPr>
          <w:rFonts w:eastAsia="Arial Unicode MS"/>
          <w:bCs/>
          <w:lang w:eastAsia="fr-FR" w:bidi="he-IL"/>
        </w:rPr>
        <w:t>étonnant qu</w:t>
      </w:r>
      <w:r w:rsidR="00557DE0">
        <w:rPr>
          <w:rFonts w:eastAsia="Arial Unicode MS"/>
          <w:bCs/>
          <w:lang w:eastAsia="fr-FR" w:bidi="he-IL"/>
        </w:rPr>
        <w:t>’</w:t>
      </w:r>
      <w:r w:rsidRPr="00C8701B">
        <w:rPr>
          <w:rFonts w:eastAsia="Arial Unicode MS"/>
          <w:bCs/>
          <w:lang w:eastAsia="fr-FR" w:bidi="he-IL"/>
        </w:rPr>
        <w:t>ils diffèrent entre eux</w:t>
      </w:r>
      <w:r w:rsidR="00C2602D" w:rsidRPr="00C8701B">
        <w:rPr>
          <w:rFonts w:eastAsia="Arial Unicode MS"/>
          <w:bCs/>
          <w:lang w:eastAsia="fr-FR" w:bidi="he-IL"/>
        </w:rPr>
        <w:t> ?</w:t>
      </w:r>
      <w:r w:rsidRPr="00C8701B">
        <w:rPr>
          <w:rFonts w:eastAsia="Arial Unicode MS"/>
          <w:bCs/>
          <w:lang w:eastAsia="fr-FR" w:bidi="he-IL"/>
        </w:rPr>
        <w:t xml:space="preserve"> L</w:t>
      </w:r>
      <w:r w:rsidR="00557DE0">
        <w:rPr>
          <w:rFonts w:eastAsia="Arial Unicode MS"/>
          <w:bCs/>
          <w:lang w:eastAsia="fr-FR" w:bidi="he-IL"/>
        </w:rPr>
        <w:t>’</w:t>
      </w:r>
      <w:r w:rsidRPr="00C8701B">
        <w:rPr>
          <w:rFonts w:eastAsia="Arial Unicode MS"/>
          <w:bCs/>
          <w:lang w:eastAsia="fr-FR" w:bidi="he-IL"/>
        </w:rPr>
        <w:t>auditoire auquel Jésus s</w:t>
      </w:r>
      <w:r w:rsidR="00557DE0">
        <w:rPr>
          <w:rFonts w:eastAsia="Arial Unicode MS"/>
          <w:bCs/>
          <w:lang w:eastAsia="fr-FR" w:bidi="he-IL"/>
        </w:rPr>
        <w:t>’</w:t>
      </w:r>
      <w:r w:rsidRPr="00C8701B">
        <w:rPr>
          <w:rFonts w:eastAsia="Arial Unicode MS"/>
          <w:bCs/>
          <w:lang w:eastAsia="fr-FR" w:bidi="he-IL"/>
        </w:rPr>
        <w:t>adresse n</w:t>
      </w:r>
      <w:r w:rsidR="00557DE0">
        <w:rPr>
          <w:rFonts w:eastAsia="Arial Unicode MS"/>
          <w:bCs/>
          <w:lang w:eastAsia="fr-FR" w:bidi="he-IL"/>
        </w:rPr>
        <w:t>’</w:t>
      </w:r>
      <w:r w:rsidRPr="00C8701B">
        <w:rPr>
          <w:rFonts w:eastAsia="Arial Unicode MS"/>
          <w:bCs/>
          <w:lang w:eastAsia="fr-FR" w:bidi="he-IL"/>
        </w:rPr>
        <w:t>est pas le même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de là les différences de ton et de langage. En un mot</w:t>
      </w:r>
      <w:r w:rsidR="00E65435">
        <w:rPr>
          <w:rFonts w:eastAsia="Arial Unicode MS"/>
          <w:bCs/>
          <w:lang w:eastAsia="fr-FR" w:bidi="he-IL"/>
        </w:rPr>
        <w:t xml:space="preserve">, </w:t>
      </w:r>
      <w:r w:rsidR="00C2602D" w:rsidRPr="00C8701B">
        <w:rPr>
          <w:rFonts w:eastAsia="Arial Unicode MS"/>
          <w:bCs/>
          <w:lang w:eastAsia="fr-FR" w:bidi="he-IL"/>
        </w:rPr>
        <w:t>« </w:t>
      </w:r>
      <w:r w:rsidRPr="00C8701B">
        <w:rPr>
          <w:rFonts w:eastAsia="Arial Unicode MS"/>
          <w:bCs/>
          <w:lang w:eastAsia="fr-FR" w:bidi="he-IL"/>
        </w:rPr>
        <w:t>les divergences du fond et de la forme correspondent à des différences de personnes et de localité</w:t>
      </w:r>
      <w:r w:rsidR="00F125AE">
        <w:rPr>
          <w:rFonts w:eastAsia="Arial Unicode MS"/>
          <w:bCs/>
          <w:lang w:eastAsia="fr-FR" w:bidi="he-IL"/>
        </w:rPr>
        <w:t>s. »</w:t>
      </w:r>
      <w:r w:rsidR="00933C60" w:rsidRPr="00C406FF">
        <w:rPr>
          <w:rStyle w:val="Appelnotedebasdep"/>
        </w:rPr>
        <w:footnoteReference w:id="325"/>
      </w:r>
    </w:p>
    <w:p w:rsidR="00C2602D" w:rsidRPr="00C8701B" w:rsidRDefault="00F125AE" w:rsidP="00F125AE">
      <w:pPr>
        <w:rPr>
          <w:rFonts w:eastAsia="Arial Unicode MS"/>
          <w:bCs/>
          <w:lang w:eastAsia="fr-FR" w:bidi="he-IL"/>
        </w:rPr>
      </w:pPr>
      <w:r>
        <w:rPr>
          <w:rFonts w:eastAsia="Arial Unicode MS"/>
          <w:bCs/>
          <w:lang w:eastAsia="fr-FR" w:bidi="he-IL"/>
        </w:rPr>
        <w:t>C</w:t>
      </w:r>
      <w:r w:rsidR="00B704AD" w:rsidRPr="00C8701B">
        <w:rPr>
          <w:rFonts w:eastAsia="Arial Unicode MS"/>
          <w:bCs/>
          <w:lang w:eastAsia="fr-FR" w:bidi="he-IL"/>
        </w:rPr>
        <w:t xml:space="preserve">oncluons </w:t>
      </w:r>
      <w:r w:rsidR="00B704AD" w:rsidRPr="00F125AE">
        <w:t>et résumons cette longue discussion sur les rapports mutuels des évangélistes</w:t>
      </w:r>
      <w:r w:rsidR="00E65435" w:rsidRPr="00F125AE">
        <w:t xml:space="preserve">, </w:t>
      </w:r>
      <w:r w:rsidR="00B704AD" w:rsidRPr="00F125AE">
        <w:t>en réitérant le mot de S. Irénée</w:t>
      </w:r>
      <w:r w:rsidR="00C2602D" w:rsidRPr="00F125AE">
        <w:t> :</w:t>
      </w:r>
      <w:r w:rsidR="00B704AD" w:rsidRPr="00F125AE">
        <w:t xml:space="preserve"> </w:t>
      </w:r>
      <w:r w:rsidR="00530852" w:rsidRPr="00F125AE">
        <w:t>εὐ</w:t>
      </w:r>
      <w:r w:rsidR="00A74F01" w:rsidRPr="00F125AE">
        <w:t>α</w:t>
      </w:r>
      <w:r w:rsidR="00B704AD" w:rsidRPr="00F125AE">
        <w:t>γγ</w:t>
      </w:r>
      <w:r w:rsidR="00C771BF" w:rsidRPr="00F125AE">
        <w:t>έ</w:t>
      </w:r>
      <w:r w:rsidR="00B704AD" w:rsidRPr="00F125AE">
        <w:t xml:space="preserve">λιον </w:t>
      </w:r>
      <w:r w:rsidRPr="00F125AE">
        <w:t>τετράμορφον</w:t>
      </w:r>
      <w:r w:rsidR="00B704AD" w:rsidRPr="00F125AE">
        <w:t>. Il n</w:t>
      </w:r>
      <w:r w:rsidR="00557DE0">
        <w:t>’</w:t>
      </w:r>
      <w:r w:rsidR="00B704AD" w:rsidRPr="00F125AE">
        <w:t>y a réellement qu</w:t>
      </w:r>
      <w:r w:rsidR="00557DE0">
        <w:t>’</w:t>
      </w:r>
      <w:r w:rsidR="00B704AD" w:rsidRPr="00F125AE">
        <w:t>une seule histoire évangélique</w:t>
      </w:r>
      <w:r w:rsidR="00E65435" w:rsidRPr="00F125AE">
        <w:t xml:space="preserve">, </w:t>
      </w:r>
      <w:r w:rsidR="00B704AD" w:rsidRPr="00F125AE">
        <w:t>qu</w:t>
      </w:r>
      <w:r w:rsidR="00557DE0">
        <w:t>’</w:t>
      </w:r>
      <w:r w:rsidR="00B704AD" w:rsidRPr="00F125AE">
        <w:t>un évangile</w:t>
      </w:r>
      <w:r w:rsidR="00B704AD" w:rsidRPr="00C8701B">
        <w:rPr>
          <w:rFonts w:eastAsia="Arial Unicode MS"/>
          <w:bCs/>
          <w:lang w:eastAsia="fr-FR" w:bidi="he-IL"/>
        </w:rPr>
        <w:t xml:space="preserve"> unique</w:t>
      </w:r>
      <w:r w:rsidR="00E65435">
        <w:rPr>
          <w:rFonts w:eastAsia="Arial Unicode MS"/>
          <w:bCs/>
          <w:lang w:eastAsia="fr-FR" w:bidi="he-IL"/>
        </w:rPr>
        <w:t xml:space="preserve">, </w:t>
      </w:r>
      <w:r w:rsidR="00B704AD" w:rsidRPr="00C8701B">
        <w:rPr>
          <w:rFonts w:eastAsia="Arial Unicode MS"/>
          <w:bCs/>
          <w:lang w:eastAsia="fr-FR" w:bidi="he-IL"/>
        </w:rPr>
        <w:t>bien que cet évangile ait paru sous une forme quadruple. Ses quatre rédactions canoniques</w:t>
      </w:r>
      <w:r w:rsidR="00E65435">
        <w:rPr>
          <w:rFonts w:eastAsia="Arial Unicode MS"/>
          <w:bCs/>
          <w:lang w:eastAsia="fr-FR" w:bidi="he-IL"/>
        </w:rPr>
        <w:t xml:space="preserve">, </w:t>
      </w:r>
      <w:r w:rsidR="00B704AD" w:rsidRPr="00C8701B">
        <w:rPr>
          <w:rFonts w:eastAsia="Arial Unicode MS"/>
          <w:bCs/>
          <w:lang w:eastAsia="fr-FR" w:bidi="he-IL"/>
        </w:rPr>
        <w:t>malgré leurs différences nombreuses</w:t>
      </w:r>
      <w:r w:rsidR="00E65435">
        <w:rPr>
          <w:rFonts w:eastAsia="Arial Unicode MS"/>
          <w:bCs/>
          <w:lang w:eastAsia="fr-FR" w:bidi="he-IL"/>
        </w:rPr>
        <w:t xml:space="preserve">, </w:t>
      </w:r>
      <w:r w:rsidR="00B704AD" w:rsidRPr="00C8701B">
        <w:rPr>
          <w:rFonts w:eastAsia="Arial Unicode MS"/>
          <w:bCs/>
          <w:lang w:eastAsia="fr-FR" w:bidi="he-IL"/>
        </w:rPr>
        <w:t>sont étroitement reliées entre elles par l</w:t>
      </w:r>
      <w:r w:rsidR="00557DE0">
        <w:rPr>
          <w:rFonts w:eastAsia="Arial Unicode MS"/>
          <w:bCs/>
          <w:lang w:eastAsia="fr-FR" w:bidi="he-IL"/>
        </w:rPr>
        <w:t>’</w:t>
      </w:r>
      <w:r w:rsidR="00B704AD" w:rsidRPr="00C8701B">
        <w:rPr>
          <w:rFonts w:eastAsia="Arial Unicode MS"/>
          <w:bCs/>
          <w:lang w:eastAsia="fr-FR" w:bidi="he-IL"/>
        </w:rPr>
        <w:t>unité des faits</w:t>
      </w:r>
      <w:r w:rsidR="00E65435">
        <w:rPr>
          <w:rFonts w:eastAsia="Arial Unicode MS"/>
          <w:bCs/>
          <w:lang w:eastAsia="fr-FR" w:bidi="he-IL"/>
        </w:rPr>
        <w:t xml:space="preserve">, </w:t>
      </w:r>
      <w:r w:rsidR="00B704AD" w:rsidRPr="00C8701B">
        <w:rPr>
          <w:rFonts w:eastAsia="Arial Unicode MS"/>
          <w:bCs/>
          <w:lang w:eastAsia="fr-FR" w:bidi="he-IL"/>
        </w:rPr>
        <w:t>l</w:t>
      </w:r>
      <w:r w:rsidR="00557DE0">
        <w:rPr>
          <w:rFonts w:eastAsia="Arial Unicode MS"/>
          <w:bCs/>
          <w:lang w:eastAsia="fr-FR" w:bidi="he-IL"/>
        </w:rPr>
        <w:t>’</w:t>
      </w:r>
      <w:r w:rsidR="00B704AD" w:rsidRPr="00C8701B">
        <w:rPr>
          <w:rFonts w:eastAsia="Arial Unicode MS"/>
          <w:bCs/>
          <w:lang w:eastAsia="fr-FR" w:bidi="he-IL"/>
        </w:rPr>
        <w:t>unité de la doctrine</w:t>
      </w:r>
      <w:r w:rsidR="00E65435">
        <w:rPr>
          <w:rFonts w:eastAsia="Arial Unicode MS"/>
          <w:bCs/>
          <w:lang w:eastAsia="fr-FR" w:bidi="he-IL"/>
        </w:rPr>
        <w:t xml:space="preserve">, </w:t>
      </w:r>
      <w:r w:rsidR="00B704AD" w:rsidRPr="00C8701B">
        <w:rPr>
          <w:rFonts w:eastAsia="Arial Unicode MS"/>
          <w:bCs/>
          <w:lang w:eastAsia="fr-FR" w:bidi="he-IL"/>
        </w:rPr>
        <w:t>et l</w:t>
      </w:r>
      <w:r w:rsidR="00557DE0">
        <w:rPr>
          <w:rFonts w:eastAsia="Arial Unicode MS"/>
          <w:bCs/>
          <w:lang w:eastAsia="fr-FR" w:bidi="he-IL"/>
        </w:rPr>
        <w:t>’</w:t>
      </w:r>
      <w:r w:rsidR="00B704AD" w:rsidRPr="00C8701B">
        <w:rPr>
          <w:rFonts w:eastAsia="Arial Unicode MS"/>
          <w:bCs/>
          <w:lang w:eastAsia="fr-FR" w:bidi="he-IL"/>
        </w:rPr>
        <w:t>unité de l</w:t>
      </w:r>
      <w:r w:rsidR="00557DE0">
        <w:rPr>
          <w:rFonts w:eastAsia="Arial Unicode MS"/>
          <w:bCs/>
          <w:lang w:eastAsia="fr-FR" w:bidi="he-IL"/>
        </w:rPr>
        <w:t>’</w:t>
      </w:r>
      <w:r w:rsidR="00B704AD" w:rsidRPr="00C8701B">
        <w:rPr>
          <w:rFonts w:eastAsia="Arial Unicode MS"/>
          <w:bCs/>
          <w:lang w:eastAsia="fr-FR" w:bidi="he-IL"/>
        </w:rPr>
        <w:t>esprit.</w:t>
      </w:r>
      <w:r w:rsidR="00C2602D" w:rsidRPr="00C8701B">
        <w:rPr>
          <w:rFonts w:eastAsia="Arial Unicode MS"/>
          <w:bCs/>
          <w:lang w:eastAsia="fr-FR" w:bidi="he-IL"/>
        </w:rPr>
        <w:t xml:space="preserve"> </w:t>
      </w:r>
    </w:p>
    <w:p w:rsidR="00C2602D" w:rsidRPr="00C8701B" w:rsidRDefault="00B704AD" w:rsidP="003A68DB">
      <w:pPr>
        <w:pStyle w:val="Titre4"/>
        <w:rPr>
          <w:lang w:eastAsia="fr-FR" w:bidi="he-IL"/>
        </w:rPr>
      </w:pPr>
      <w:bookmarkStart w:id="100" w:name="_Toc526755722"/>
      <w:r w:rsidRPr="00C8701B">
        <w:rPr>
          <w:rFonts w:eastAsia="Arial Unicode MS"/>
          <w:bCs/>
          <w:lang w:eastAsia="fr-FR" w:bidi="he-IL"/>
        </w:rPr>
        <w:t>§ VIII. LA CHRONOLOGIE DES ÉVANGILES</w:t>
      </w:r>
      <w:bookmarkStart w:id="101" w:name="evin08"/>
      <w:bookmarkEnd w:id="100"/>
      <w:bookmarkEnd w:id="101"/>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Autre question embarrassante</w:t>
      </w:r>
      <w:r w:rsidR="00E65435">
        <w:rPr>
          <w:rFonts w:eastAsia="Arial Unicode MS"/>
          <w:bCs/>
          <w:lang w:eastAsia="fr-FR" w:bidi="he-IL"/>
        </w:rPr>
        <w:t xml:space="preserve">, </w:t>
      </w:r>
      <w:r w:rsidRPr="00C8701B">
        <w:rPr>
          <w:rFonts w:eastAsia="Arial Unicode MS"/>
          <w:bCs/>
          <w:lang w:eastAsia="fr-FR" w:bidi="he-IL"/>
        </w:rPr>
        <w:t>qui laisse l</w:t>
      </w:r>
      <w:r w:rsidR="00557DE0">
        <w:rPr>
          <w:rFonts w:eastAsia="Arial Unicode MS"/>
          <w:bCs/>
          <w:lang w:eastAsia="fr-FR" w:bidi="he-IL"/>
        </w:rPr>
        <w:t>’</w:t>
      </w:r>
      <w:r w:rsidRPr="00C8701B">
        <w:rPr>
          <w:rFonts w:eastAsia="Arial Unicode MS"/>
          <w:bCs/>
          <w:lang w:eastAsia="fr-FR" w:bidi="he-IL"/>
        </w:rPr>
        <w:t>exégète encore plus perplexe que celle des rapports mutuels des évangélistes.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Ici</w:t>
      </w:r>
      <w:r w:rsidR="00E65435">
        <w:rPr>
          <w:rFonts w:eastAsia="Arial Unicode MS"/>
          <w:bCs/>
          <w:lang w:eastAsia="fr-FR" w:bidi="he-IL"/>
        </w:rPr>
        <w:t xml:space="preserve">, </w:t>
      </w:r>
      <w:r w:rsidRPr="00C8701B">
        <w:rPr>
          <w:rFonts w:eastAsia="Arial Unicode MS"/>
          <w:bCs/>
          <w:lang w:eastAsia="fr-FR" w:bidi="he-IL"/>
        </w:rPr>
        <w:t>le problème est absolument insoluble</w:t>
      </w:r>
      <w:r w:rsidR="00E65435">
        <w:rPr>
          <w:rFonts w:eastAsia="Arial Unicode MS"/>
          <w:bCs/>
          <w:lang w:eastAsia="fr-FR" w:bidi="he-IL"/>
        </w:rPr>
        <w:t xml:space="preserve">, </w:t>
      </w:r>
      <w:r w:rsidR="00F125AE">
        <w:rPr>
          <w:rFonts w:eastAsia="Arial Unicode MS"/>
          <w:bCs/>
          <w:lang w:eastAsia="fr-FR" w:bidi="he-IL"/>
        </w:rPr>
        <w:t>comme le prouvent les divi</w:t>
      </w:r>
      <w:r w:rsidRPr="00C8701B">
        <w:rPr>
          <w:rFonts w:eastAsia="Arial Unicode MS"/>
          <w:bCs/>
          <w:lang w:eastAsia="fr-FR" w:bidi="he-IL"/>
        </w:rPr>
        <w:t>sions sans fin des astronomes et des mathématiciens de premier ordre qui s</w:t>
      </w:r>
      <w:r w:rsidR="00557DE0">
        <w:rPr>
          <w:rFonts w:eastAsia="Arial Unicode MS"/>
          <w:bCs/>
          <w:lang w:eastAsia="fr-FR" w:bidi="he-IL"/>
        </w:rPr>
        <w:t>’</w:t>
      </w:r>
      <w:r w:rsidRPr="00C8701B">
        <w:rPr>
          <w:rFonts w:eastAsia="Arial Unicode MS"/>
          <w:bCs/>
          <w:lang w:eastAsia="fr-FR" w:bidi="he-IL"/>
        </w:rPr>
        <w:t>en sont occupés. Les écrivains ecclésiastiques des premiers siècles ne l</w:t>
      </w:r>
      <w:r w:rsidR="00557DE0">
        <w:rPr>
          <w:rFonts w:eastAsia="Arial Unicode MS"/>
          <w:bCs/>
          <w:lang w:eastAsia="fr-FR" w:bidi="he-IL"/>
        </w:rPr>
        <w:t>’</w:t>
      </w:r>
      <w:r w:rsidR="00F125AE">
        <w:rPr>
          <w:rFonts w:eastAsia="Arial Unicode MS"/>
          <w:bCs/>
          <w:lang w:eastAsia="fr-FR" w:bidi="he-IL"/>
        </w:rPr>
        <w:t>on</w:t>
      </w:r>
      <w:r w:rsidRPr="00C8701B">
        <w:rPr>
          <w:rFonts w:eastAsia="Arial Unicode MS"/>
          <w:bCs/>
          <w:lang w:eastAsia="fr-FR" w:bidi="he-IL"/>
        </w:rPr>
        <w:t>t pas traité</w:t>
      </w:r>
      <w:r w:rsidRPr="00DC4586">
        <w:rPr>
          <w:rStyle w:val="italicus"/>
        </w:rPr>
        <w:t xml:space="preserve"> ex professo</w:t>
      </w:r>
      <w:r w:rsidR="00C2602D" w:rsidRPr="00DC4586">
        <w:rPr>
          <w:rStyle w:val="italicus"/>
        </w:rPr>
        <w:t> </w:t>
      </w:r>
      <w:r w:rsidR="007F6508">
        <w:rPr>
          <w:rStyle w:val="italicus"/>
        </w:rPr>
        <w:t xml:space="preserve">; </w:t>
      </w:r>
      <w:r w:rsidRPr="00C8701B">
        <w:rPr>
          <w:rFonts w:eastAsia="Arial Unicode MS"/>
          <w:bCs/>
          <w:lang w:eastAsia="fr-FR" w:bidi="he-IL"/>
        </w:rPr>
        <w:t>ils se contentent</w:t>
      </w:r>
      <w:r w:rsidR="00E65435">
        <w:rPr>
          <w:rFonts w:eastAsia="Arial Unicode MS"/>
          <w:bCs/>
          <w:lang w:eastAsia="fr-FR" w:bidi="he-IL"/>
        </w:rPr>
        <w:t xml:space="preserve">, </w:t>
      </w:r>
      <w:r w:rsidRPr="00C8701B">
        <w:rPr>
          <w:rFonts w:eastAsia="Arial Unicode MS"/>
          <w:bCs/>
          <w:lang w:eastAsia="fr-FR" w:bidi="he-IL"/>
        </w:rPr>
        <w:t>à l</w:t>
      </w:r>
      <w:r w:rsidR="00557DE0">
        <w:rPr>
          <w:rFonts w:eastAsia="Arial Unicode MS"/>
          <w:bCs/>
          <w:lang w:eastAsia="fr-FR" w:bidi="he-IL"/>
        </w:rPr>
        <w:t>’</w:t>
      </w:r>
      <w:r w:rsidRPr="00C8701B">
        <w:rPr>
          <w:rFonts w:eastAsia="Arial Unicode MS"/>
          <w:bCs/>
          <w:lang w:eastAsia="fr-FR" w:bidi="he-IL"/>
        </w:rPr>
        <w:t>occasion</w:t>
      </w:r>
      <w:r w:rsidR="00E65435">
        <w:rPr>
          <w:rFonts w:eastAsia="Arial Unicode MS"/>
          <w:bCs/>
          <w:lang w:eastAsia="fr-FR" w:bidi="he-IL"/>
        </w:rPr>
        <w:t xml:space="preserve">, </w:t>
      </w:r>
      <w:r w:rsidRPr="00C8701B">
        <w:rPr>
          <w:rFonts w:eastAsia="Arial Unicode MS"/>
          <w:bCs/>
          <w:lang w:eastAsia="fr-FR" w:bidi="he-IL"/>
        </w:rPr>
        <w:t>de données rapides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et pourtant</w:t>
      </w:r>
      <w:r w:rsidR="00E65435">
        <w:rPr>
          <w:rFonts w:eastAsia="Arial Unicode MS"/>
          <w:bCs/>
          <w:lang w:eastAsia="fr-FR" w:bidi="he-IL"/>
        </w:rPr>
        <w:t xml:space="preserve">, </w:t>
      </w:r>
      <w:r w:rsidRPr="00C8701B">
        <w:rPr>
          <w:rFonts w:eastAsia="Arial Unicode MS"/>
          <w:bCs/>
          <w:lang w:eastAsia="fr-FR" w:bidi="he-IL"/>
        </w:rPr>
        <w:t>ces données sont déjà discordantes. Ainsi</w:t>
      </w:r>
      <w:r w:rsidR="00E65435">
        <w:rPr>
          <w:rFonts w:eastAsia="Arial Unicode MS"/>
          <w:bCs/>
          <w:lang w:eastAsia="fr-FR" w:bidi="he-IL"/>
        </w:rPr>
        <w:t xml:space="preserve">, </w:t>
      </w:r>
      <w:r w:rsidRPr="00C8701B">
        <w:rPr>
          <w:rFonts w:eastAsia="Arial Unicode MS"/>
          <w:bCs/>
          <w:lang w:eastAsia="fr-FR" w:bidi="he-IL"/>
        </w:rPr>
        <w:t>la certitude complète est tout à fait impossible.</w:t>
      </w:r>
      <w:r w:rsidR="00C2602D" w:rsidRPr="00C8701B">
        <w:rPr>
          <w:rFonts w:eastAsia="Arial Unicode MS"/>
          <w:bCs/>
          <w:lang w:eastAsia="fr-FR" w:bidi="he-IL"/>
        </w:rPr>
        <w:t xml:space="preserve"> </w:t>
      </w:r>
    </w:p>
    <w:p w:rsidR="00F125AE" w:rsidRDefault="00C2602D" w:rsidP="00F125AE">
      <w:pPr>
        <w:rPr>
          <w:rFonts w:eastAsia="Arial Unicode MS"/>
          <w:bCs/>
          <w:lang w:eastAsia="fr-FR" w:bidi="he-IL"/>
        </w:rPr>
      </w:pPr>
      <w:r w:rsidRPr="00C8701B">
        <w:rPr>
          <w:rFonts w:eastAsia="Arial Unicode MS"/>
          <w:bCs/>
          <w:lang w:eastAsia="fr-FR" w:bidi="he-IL"/>
        </w:rPr>
        <w:t>« </w:t>
      </w:r>
      <w:r w:rsidR="00B704AD" w:rsidRPr="00C8701B">
        <w:rPr>
          <w:rFonts w:eastAsia="Arial Unicode MS"/>
          <w:bCs/>
          <w:lang w:eastAsia="fr-FR" w:bidi="he-IL"/>
        </w:rPr>
        <w:t>Pour la naissance de Jésus-Christ</w:t>
      </w:r>
      <w:r w:rsidR="00E65435">
        <w:rPr>
          <w:rFonts w:eastAsia="Arial Unicode MS"/>
          <w:bCs/>
          <w:lang w:eastAsia="fr-FR" w:bidi="he-IL"/>
        </w:rPr>
        <w:t xml:space="preserve">, </w:t>
      </w:r>
      <w:r w:rsidR="00B704AD" w:rsidRPr="00C8701B">
        <w:rPr>
          <w:rFonts w:eastAsia="Arial Unicode MS"/>
          <w:bCs/>
          <w:lang w:eastAsia="fr-FR" w:bidi="he-IL"/>
        </w:rPr>
        <w:t xml:space="preserve">dit M. </w:t>
      </w:r>
      <w:r w:rsidR="00B704AD" w:rsidRPr="00F125AE">
        <w:t xml:space="preserve">Wallon dans son excellente dissertation sur ce </w:t>
      </w:r>
      <w:r w:rsidR="00B704AD" w:rsidRPr="00C8701B">
        <w:rPr>
          <w:rFonts w:eastAsia="Arial Unicode MS"/>
          <w:bCs/>
          <w:lang w:eastAsia="fr-FR" w:bidi="he-IL"/>
        </w:rPr>
        <w:t>point</w:t>
      </w:r>
      <w:r w:rsidR="00933C60" w:rsidRPr="00C406FF">
        <w:rPr>
          <w:rStyle w:val="Appelnotedebasdep"/>
        </w:rPr>
        <w:footnoteReference w:id="326"/>
      </w:r>
      <w:r w:rsidR="00E65435">
        <w:rPr>
          <w:rFonts w:eastAsia="Arial Unicode MS"/>
          <w:bCs/>
          <w:lang w:eastAsia="fr-FR" w:bidi="he-IL"/>
        </w:rPr>
        <w:t xml:space="preserve">, </w:t>
      </w:r>
      <w:r w:rsidR="00B704AD" w:rsidRPr="00C8701B">
        <w:rPr>
          <w:rFonts w:eastAsia="Arial Unicode MS"/>
          <w:bCs/>
          <w:lang w:eastAsia="fr-FR" w:bidi="he-IL"/>
        </w:rPr>
        <w:t>toutes les années ont été proposées et défendue</w:t>
      </w:r>
      <w:r w:rsidR="00F125AE">
        <w:rPr>
          <w:rFonts w:eastAsia="Arial Unicode MS"/>
          <w:bCs/>
          <w:lang w:eastAsia="fr-FR" w:bidi="he-IL"/>
        </w:rPr>
        <w:t xml:space="preserve"> </w:t>
      </w:r>
      <w:r w:rsidR="00B704AD" w:rsidRPr="00C8701B">
        <w:rPr>
          <w:rFonts w:eastAsia="Arial Unicode MS"/>
          <w:bCs/>
          <w:lang w:eastAsia="fr-FR" w:bidi="he-IL"/>
        </w:rPr>
        <w:t>à jusqu</w:t>
      </w:r>
      <w:r w:rsidR="00557DE0">
        <w:rPr>
          <w:rFonts w:eastAsia="Arial Unicode MS"/>
          <w:bCs/>
          <w:lang w:eastAsia="fr-FR" w:bidi="he-IL"/>
        </w:rPr>
        <w:t>’</w:t>
      </w:r>
      <w:r w:rsidR="00B704AD" w:rsidRPr="00C8701B">
        <w:rPr>
          <w:rFonts w:eastAsia="Arial Unicode MS"/>
          <w:bCs/>
          <w:lang w:eastAsia="fr-FR" w:bidi="he-IL"/>
        </w:rPr>
        <w:t>aux limites les plus invraisemblables</w:t>
      </w:r>
      <w:r w:rsidR="00E65435">
        <w:rPr>
          <w:rFonts w:eastAsia="Arial Unicode MS"/>
          <w:bCs/>
          <w:lang w:eastAsia="fr-FR" w:bidi="he-IL"/>
        </w:rPr>
        <w:t xml:space="preserve">, </w:t>
      </w:r>
      <w:r w:rsidR="00F125AE">
        <w:rPr>
          <w:rFonts w:eastAsia="Arial Unicode MS"/>
          <w:bCs/>
          <w:lang w:eastAsia="fr-FR" w:bidi="he-IL"/>
        </w:rPr>
        <w:t>d</w:t>
      </w:r>
      <w:r w:rsidR="00B704AD" w:rsidRPr="00C8701B">
        <w:rPr>
          <w:rFonts w:eastAsia="Arial Unicode MS"/>
          <w:bCs/>
          <w:lang w:eastAsia="fr-FR" w:bidi="he-IL"/>
        </w:rPr>
        <w:t>epuis l</w:t>
      </w:r>
      <w:r w:rsidR="00557DE0">
        <w:rPr>
          <w:rFonts w:eastAsia="Arial Unicode MS"/>
          <w:bCs/>
          <w:lang w:eastAsia="fr-FR" w:bidi="he-IL"/>
        </w:rPr>
        <w:t>’</w:t>
      </w:r>
      <w:r w:rsidR="00B704AD" w:rsidRPr="00C8701B">
        <w:rPr>
          <w:rFonts w:eastAsia="Arial Unicode MS"/>
          <w:bCs/>
          <w:lang w:eastAsia="fr-FR" w:bidi="he-IL"/>
        </w:rPr>
        <w:t>an 22 avant l</w:t>
      </w:r>
      <w:r w:rsidR="00557DE0">
        <w:rPr>
          <w:rFonts w:eastAsia="Arial Unicode MS"/>
          <w:bCs/>
          <w:lang w:eastAsia="fr-FR" w:bidi="he-IL"/>
        </w:rPr>
        <w:t>’</w:t>
      </w:r>
      <w:r w:rsidR="00B704AD" w:rsidRPr="00C8701B">
        <w:rPr>
          <w:rFonts w:eastAsia="Arial Unicode MS"/>
          <w:bCs/>
          <w:lang w:eastAsia="fr-FR" w:bidi="he-IL"/>
        </w:rPr>
        <w:t>ère vulgaire jusqu</w:t>
      </w:r>
      <w:r w:rsidR="00557DE0">
        <w:rPr>
          <w:rFonts w:eastAsia="Arial Unicode MS"/>
          <w:bCs/>
          <w:lang w:eastAsia="fr-FR" w:bidi="he-IL"/>
        </w:rPr>
        <w:t>’</w:t>
      </w:r>
      <w:r w:rsidR="00B704AD" w:rsidRPr="00C8701B">
        <w:rPr>
          <w:rFonts w:eastAsia="Arial Unicode MS"/>
          <w:bCs/>
          <w:lang w:eastAsia="fr-FR" w:bidi="he-IL"/>
        </w:rPr>
        <w:t>à l</w:t>
      </w:r>
      <w:r w:rsidR="00557DE0">
        <w:rPr>
          <w:rFonts w:eastAsia="Arial Unicode MS"/>
          <w:bCs/>
          <w:lang w:eastAsia="fr-FR" w:bidi="he-IL"/>
        </w:rPr>
        <w:t>’</w:t>
      </w:r>
      <w:r w:rsidR="00B704AD" w:rsidRPr="00C8701B">
        <w:rPr>
          <w:rFonts w:eastAsia="Arial Unicode MS"/>
          <w:bCs/>
          <w:lang w:eastAsia="fr-FR" w:bidi="he-IL"/>
        </w:rPr>
        <w:t>an 9 de cette même èr</w:t>
      </w:r>
      <w:r w:rsidR="00F125AE">
        <w:rPr>
          <w:rFonts w:eastAsia="Arial Unicode MS"/>
          <w:bCs/>
          <w:lang w:eastAsia="fr-FR" w:bidi="he-IL"/>
        </w:rPr>
        <w:t xml:space="preserve">e. » </w:t>
      </w:r>
    </w:p>
    <w:p w:rsidR="00C2602D" w:rsidRPr="00C8701B" w:rsidRDefault="00F125AE" w:rsidP="00F125AE">
      <w:pPr>
        <w:rPr>
          <w:rFonts w:eastAsia="Arial Unicode MS"/>
          <w:bCs/>
          <w:lang w:eastAsia="fr-FR" w:bidi="he-IL"/>
        </w:rPr>
      </w:pPr>
      <w:r>
        <w:rPr>
          <w:rFonts w:eastAsia="Arial Unicode MS"/>
          <w:bCs/>
          <w:lang w:eastAsia="fr-FR" w:bidi="he-IL"/>
        </w:rPr>
        <w:t>C</w:t>
      </w:r>
      <w:r w:rsidR="00557DE0">
        <w:rPr>
          <w:rFonts w:eastAsia="Arial Unicode MS"/>
          <w:bCs/>
          <w:lang w:eastAsia="fr-FR" w:bidi="he-IL"/>
        </w:rPr>
        <w:t>’</w:t>
      </w:r>
      <w:r w:rsidR="00B704AD" w:rsidRPr="00C8701B">
        <w:rPr>
          <w:rFonts w:eastAsia="Arial Unicode MS"/>
          <w:bCs/>
          <w:lang w:eastAsia="fr-FR" w:bidi="he-IL"/>
        </w:rPr>
        <w:t>est-à-dire que l</w:t>
      </w:r>
      <w:r w:rsidR="00557DE0">
        <w:rPr>
          <w:rFonts w:eastAsia="Arial Unicode MS"/>
          <w:bCs/>
          <w:lang w:eastAsia="fr-FR" w:bidi="he-IL"/>
        </w:rPr>
        <w:t>’</w:t>
      </w:r>
      <w:r w:rsidR="00B704AD" w:rsidRPr="00C8701B">
        <w:rPr>
          <w:rFonts w:eastAsia="Arial Unicode MS"/>
          <w:bCs/>
          <w:lang w:eastAsia="fr-FR" w:bidi="he-IL"/>
        </w:rPr>
        <w:t>on a fait à trente-et-une années consécutives l</w:t>
      </w:r>
      <w:r w:rsidR="00557DE0">
        <w:rPr>
          <w:rFonts w:eastAsia="Arial Unicode MS"/>
          <w:bCs/>
          <w:lang w:eastAsia="fr-FR" w:bidi="he-IL"/>
        </w:rPr>
        <w:t>’</w:t>
      </w:r>
      <w:r w:rsidR="00B704AD" w:rsidRPr="00C8701B">
        <w:rPr>
          <w:rFonts w:eastAsia="Arial Unicode MS"/>
          <w:bCs/>
          <w:lang w:eastAsia="fr-FR" w:bidi="he-IL"/>
        </w:rPr>
        <w:t>honneur de les regarder comme ayant été témoins de la naissance du Sau</w:t>
      </w:r>
      <w:r>
        <w:rPr>
          <w:rFonts w:eastAsia="Arial Unicode MS"/>
          <w:bCs/>
          <w:lang w:eastAsia="fr-FR" w:bidi="he-IL"/>
        </w:rPr>
        <w:t xml:space="preserve">veur. </w:t>
      </w:r>
    </w:p>
    <w:p w:rsidR="00C2602D" w:rsidRPr="00C8701B" w:rsidRDefault="00F125AE" w:rsidP="00C2602D">
      <w:pPr>
        <w:rPr>
          <w:rFonts w:eastAsia="Arial Unicode MS"/>
          <w:bCs/>
          <w:lang w:eastAsia="fr-FR" w:bidi="he-IL"/>
        </w:rPr>
      </w:pPr>
      <w:r w:rsidRPr="00F125AE">
        <w:t xml:space="preserve">À ne </w:t>
      </w:r>
      <w:r w:rsidR="00B704AD" w:rsidRPr="00F125AE">
        <w:t>citer que les opinions sérieuses</w:t>
      </w:r>
      <w:r w:rsidR="00E65435" w:rsidRPr="00F125AE">
        <w:t xml:space="preserve">, </w:t>
      </w:r>
      <w:r w:rsidR="00B704AD" w:rsidRPr="00F125AE">
        <w:t xml:space="preserve">quelles </w:t>
      </w:r>
      <w:r w:rsidR="00B704AD" w:rsidRPr="00C8701B">
        <w:rPr>
          <w:rFonts w:eastAsia="Arial Unicode MS"/>
          <w:bCs/>
          <w:lang w:eastAsia="fr-FR" w:bidi="he-IL"/>
        </w:rPr>
        <w:t>divergences apparaissent aussitôt</w:t>
      </w:r>
      <w:r w:rsidR="00C2602D" w:rsidRPr="00C8701B">
        <w:rPr>
          <w:rFonts w:eastAsia="Arial Unicode MS"/>
          <w:bCs/>
          <w:lang w:eastAsia="fr-FR" w:bidi="he-IL"/>
        </w:rPr>
        <w:t xml:space="preserve"> ! </w:t>
      </w:r>
    </w:p>
    <w:p w:rsidR="00F125AE" w:rsidRDefault="00F125AE" w:rsidP="00C2602D">
      <w:pPr>
        <w:rPr>
          <w:rFonts w:eastAsia="Arial Unicode MS"/>
          <w:lang w:eastAsia="fr-FR" w:bidi="he-IL"/>
        </w:rPr>
      </w:pPr>
    </w:p>
    <w:p w:rsidR="00C2602D" w:rsidRPr="00C8701B" w:rsidRDefault="00B704AD" w:rsidP="00C2602D">
      <w:pPr>
        <w:rPr>
          <w:rFonts w:eastAsia="Arial Unicode MS"/>
          <w:bCs/>
          <w:lang w:eastAsia="fr-FR" w:bidi="he-IL"/>
        </w:rPr>
      </w:pPr>
      <w:r w:rsidRPr="00C8701B">
        <w:rPr>
          <w:rFonts w:eastAsia="Arial Unicode MS"/>
          <w:bCs/>
          <w:lang w:eastAsia="fr-FR" w:bidi="he-IL"/>
        </w:rPr>
        <w:t>747 de la fondation de Rome</w:t>
      </w:r>
      <w:r w:rsidR="00E65435">
        <w:rPr>
          <w:rFonts w:eastAsia="Arial Unicode MS"/>
          <w:bCs/>
          <w:lang w:eastAsia="fr-FR" w:bidi="he-IL"/>
        </w:rPr>
        <w:t xml:space="preserve">, </w:t>
      </w:r>
      <w:r w:rsidRPr="00C8701B">
        <w:rPr>
          <w:rFonts w:eastAsia="Arial Unicode MS"/>
          <w:bCs/>
          <w:lang w:eastAsia="fr-FR" w:bidi="he-IL"/>
        </w:rPr>
        <w:t>7 ans avant l</w:t>
      </w:r>
      <w:r w:rsidR="00557DE0">
        <w:rPr>
          <w:rFonts w:eastAsia="Arial Unicode MS"/>
          <w:bCs/>
          <w:lang w:eastAsia="fr-FR" w:bidi="he-IL"/>
        </w:rPr>
        <w:t>’</w:t>
      </w:r>
      <w:r w:rsidRPr="00C8701B">
        <w:rPr>
          <w:rFonts w:eastAsia="Arial Unicode MS"/>
          <w:bCs/>
          <w:lang w:eastAsia="fr-FR" w:bidi="he-IL"/>
        </w:rPr>
        <w:t>ère vulgaire</w:t>
      </w:r>
      <w:r w:rsidR="00C2602D" w:rsidRPr="00C8701B">
        <w:rPr>
          <w:rFonts w:eastAsia="Arial Unicode MS"/>
          <w:bCs/>
          <w:lang w:eastAsia="fr-FR" w:bidi="he-IL"/>
        </w:rPr>
        <w:t> :</w:t>
      </w:r>
      <w:r w:rsidRPr="00C8701B">
        <w:rPr>
          <w:rFonts w:eastAsia="Arial Unicode MS"/>
          <w:bCs/>
          <w:lang w:eastAsia="fr-FR" w:bidi="he-IL"/>
        </w:rPr>
        <w:t xml:space="preserve"> San Clemente</w:t>
      </w:r>
      <w:r w:rsidR="00E65435">
        <w:rPr>
          <w:rFonts w:eastAsia="Arial Unicode MS"/>
          <w:bCs/>
          <w:lang w:eastAsia="fr-FR" w:bidi="he-IL"/>
        </w:rPr>
        <w:t xml:space="preserve">, </w:t>
      </w:r>
      <w:r w:rsidRPr="00C8701B">
        <w:rPr>
          <w:rFonts w:eastAsia="Arial Unicode MS"/>
          <w:bCs/>
          <w:lang w:eastAsia="fr-FR" w:bidi="he-IL"/>
        </w:rPr>
        <w:t>Ideler</w:t>
      </w:r>
      <w:r w:rsidR="00E65435">
        <w:rPr>
          <w:rFonts w:eastAsia="Arial Unicode MS"/>
          <w:bCs/>
          <w:lang w:eastAsia="fr-FR" w:bidi="he-IL"/>
        </w:rPr>
        <w:t xml:space="preserve">, </w:t>
      </w:r>
      <w:r w:rsidRPr="00C8701B">
        <w:rPr>
          <w:rFonts w:eastAsia="Arial Unicode MS"/>
          <w:bCs/>
          <w:lang w:eastAsia="fr-FR" w:bidi="he-IL"/>
        </w:rPr>
        <w:t>M. Wallon</w:t>
      </w:r>
      <w:r w:rsidR="00E65435">
        <w:rPr>
          <w:rFonts w:eastAsia="Arial Unicode MS"/>
          <w:bCs/>
          <w:lang w:eastAsia="fr-FR" w:bidi="he-IL"/>
        </w:rPr>
        <w:t xml:space="preserve">, </w:t>
      </w:r>
      <w:r w:rsidRPr="00C8701B">
        <w:rPr>
          <w:rFonts w:eastAsia="Arial Unicode MS"/>
          <w:bCs/>
          <w:lang w:eastAsia="fr-FR" w:bidi="he-IL"/>
        </w:rPr>
        <w:t>M. Mémain</w:t>
      </w:r>
      <w:r w:rsidR="00E65435">
        <w:rPr>
          <w:rFonts w:eastAsia="Arial Unicode MS"/>
          <w:bCs/>
          <w:lang w:eastAsia="fr-FR" w:bidi="he-IL"/>
        </w:rPr>
        <w:t xml:space="preserve">, </w:t>
      </w:r>
      <w:r w:rsidRPr="00C8701B">
        <w:rPr>
          <w:rFonts w:eastAsia="Arial Unicode MS"/>
          <w:bCs/>
          <w:lang w:eastAsia="fr-FR" w:bidi="he-IL"/>
        </w:rPr>
        <w:t>etc.</w:t>
      </w:r>
      <w:r w:rsidR="00F125AE">
        <w:rPr>
          <w:rFonts w:eastAsia="Arial Unicode MS"/>
          <w:bCs/>
          <w:lang w:eastAsia="fr-FR" w:bidi="he-IL"/>
        </w:rPr>
        <w:t xml:space="preserve"> </w:t>
      </w:r>
      <w:r w:rsidR="00C14040" w:rsidRPr="000716BB">
        <w:rPr>
          <w:rFonts w:eastAsia="Arial Unicode MS"/>
          <w:bCs/>
          <w:lang w:eastAsia="fr-FR" w:bidi="he-IL"/>
        </w:rPr>
        <w:t>{</w:t>
      </w:r>
      <w:r w:rsidR="00C14040">
        <w:rPr>
          <w:rFonts w:eastAsia="Arial Unicode MS"/>
          <w:bCs/>
          <w:lang w:eastAsia="fr-FR" w:bidi="he-IL"/>
        </w:rPr>
        <w:t>63</w:t>
      </w:r>
      <w:bookmarkStart w:id="102" w:name="pag063"/>
      <w:bookmarkEnd w:id="102"/>
      <w:r w:rsidR="00C14040" w:rsidRPr="000716BB">
        <w:rPr>
          <w:rFonts w:eastAsia="Arial Unicode MS"/>
          <w:bCs/>
          <w:lang w:eastAsia="fr-FR" w:bidi="he-IL"/>
        </w:rPr>
        <w:t>}</w:t>
      </w:r>
    </w:p>
    <w:p w:rsidR="00C2602D" w:rsidRPr="00C8701B" w:rsidRDefault="00B704AD" w:rsidP="00C2602D">
      <w:pPr>
        <w:rPr>
          <w:rFonts w:eastAsia="Arial Unicode MS"/>
          <w:bCs/>
          <w:lang w:eastAsia="fr-FR" w:bidi="he-IL"/>
        </w:rPr>
      </w:pPr>
      <w:r w:rsidRPr="00C8701B">
        <w:rPr>
          <w:rFonts w:eastAsia="Arial Unicode MS"/>
          <w:lang w:eastAsia="fr-FR" w:bidi="he-IL"/>
        </w:rPr>
        <w:t>748</w:t>
      </w:r>
      <w:r w:rsidR="00605074" w:rsidRPr="00C8701B">
        <w:rPr>
          <w:rFonts w:eastAsia="Arial Unicode MS"/>
          <w:lang w:eastAsia="fr-FR" w:bidi="he-IL"/>
        </w:rPr>
        <w:t xml:space="preserve"> </w:t>
      </w:r>
      <w:r w:rsidRPr="00C8701B">
        <w:rPr>
          <w:rFonts w:eastAsia="Arial Unicode MS"/>
          <w:bCs/>
          <w:lang w:eastAsia="fr-FR" w:bidi="he-IL"/>
        </w:rPr>
        <w:t>u. c.</w:t>
      </w:r>
      <w:r w:rsidR="00933C60" w:rsidRPr="00C406FF">
        <w:rPr>
          <w:rStyle w:val="Appelnotedebasdep"/>
        </w:rPr>
        <w:footnoteReference w:id="327"/>
      </w:r>
      <w:r w:rsidR="00E65435">
        <w:rPr>
          <w:rFonts w:eastAsia="Arial Unicode MS"/>
          <w:bCs/>
          <w:lang w:eastAsia="fr-FR" w:bidi="he-IL"/>
        </w:rPr>
        <w:t xml:space="preserve">, </w:t>
      </w:r>
      <w:r w:rsidRPr="00C8701B">
        <w:rPr>
          <w:rFonts w:eastAsia="Arial Unicode MS"/>
          <w:bCs/>
          <w:lang w:eastAsia="fr-FR" w:bidi="he-IL"/>
        </w:rPr>
        <w:t>6 ans avant l</w:t>
      </w:r>
      <w:r w:rsidR="00557DE0">
        <w:rPr>
          <w:rFonts w:eastAsia="Arial Unicode MS"/>
          <w:bCs/>
          <w:lang w:eastAsia="fr-FR" w:bidi="he-IL"/>
        </w:rPr>
        <w:t>’</w:t>
      </w:r>
      <w:r w:rsidRPr="00C8701B">
        <w:rPr>
          <w:rFonts w:eastAsia="Arial Unicode MS"/>
          <w:bCs/>
          <w:lang w:eastAsia="fr-FR" w:bidi="he-IL"/>
        </w:rPr>
        <w:t>ère vulgaire</w:t>
      </w:r>
      <w:r w:rsidR="00C2602D" w:rsidRPr="00C8701B">
        <w:rPr>
          <w:rFonts w:eastAsia="Arial Unicode MS"/>
          <w:bCs/>
          <w:lang w:eastAsia="fr-FR" w:bidi="he-IL"/>
        </w:rPr>
        <w:t> :</w:t>
      </w:r>
      <w:r w:rsidRPr="00C8701B">
        <w:rPr>
          <w:rFonts w:eastAsia="Arial Unicode MS"/>
          <w:bCs/>
          <w:lang w:eastAsia="fr-FR" w:bidi="he-IL"/>
        </w:rPr>
        <w:t xml:space="preserve"> </w:t>
      </w:r>
      <w:r w:rsidR="00F125AE" w:rsidRPr="00C8701B">
        <w:rPr>
          <w:rFonts w:eastAsia="Arial Unicode MS"/>
          <w:bCs/>
          <w:lang w:eastAsia="fr-FR" w:bidi="he-IL"/>
        </w:rPr>
        <w:t>Kepler</w:t>
      </w:r>
      <w:r w:rsidR="00E65435">
        <w:rPr>
          <w:rFonts w:eastAsia="Arial Unicode MS"/>
          <w:bCs/>
          <w:lang w:eastAsia="fr-FR" w:bidi="he-IL"/>
        </w:rPr>
        <w:t xml:space="preserve">, </w:t>
      </w:r>
      <w:r w:rsidRPr="00C8701B">
        <w:rPr>
          <w:rFonts w:eastAsia="Arial Unicode MS"/>
          <w:bCs/>
          <w:lang w:eastAsia="fr-FR" w:bidi="he-IL"/>
        </w:rPr>
        <w:t xml:space="preserve">le P. </w:t>
      </w:r>
      <w:r w:rsidR="00F125AE">
        <w:rPr>
          <w:rFonts w:eastAsia="Arial Unicode MS"/>
          <w:bCs/>
          <w:lang w:eastAsia="fr-FR" w:bidi="he-IL"/>
        </w:rPr>
        <w:t>Cornely</w:t>
      </w:r>
      <w:r w:rsidR="00E65435">
        <w:rPr>
          <w:rFonts w:eastAsia="Arial Unicode MS"/>
          <w:bCs/>
          <w:lang w:eastAsia="fr-FR" w:bidi="he-IL"/>
        </w:rPr>
        <w:t xml:space="preserve">, </w:t>
      </w:r>
      <w:r w:rsidRPr="00C8701B">
        <w:rPr>
          <w:rFonts w:eastAsia="Arial Unicode MS"/>
          <w:bCs/>
          <w:lang w:eastAsia="fr-FR" w:bidi="he-IL"/>
        </w:rPr>
        <w:t>etc.</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lang w:eastAsia="fr-FR" w:bidi="he-IL"/>
        </w:rPr>
        <w:t>749</w:t>
      </w:r>
      <w:r w:rsidR="00605074" w:rsidRPr="00C8701B">
        <w:rPr>
          <w:rFonts w:eastAsia="Arial Unicode MS"/>
          <w:lang w:eastAsia="fr-FR" w:bidi="he-IL"/>
        </w:rPr>
        <w:t xml:space="preserve"> </w:t>
      </w:r>
      <w:r w:rsidRPr="00C8701B">
        <w:rPr>
          <w:rFonts w:eastAsia="Arial Unicode MS"/>
          <w:bCs/>
          <w:lang w:eastAsia="fr-FR" w:bidi="he-IL"/>
        </w:rPr>
        <w:t>u. c.</w:t>
      </w:r>
      <w:r w:rsidR="00E65435">
        <w:rPr>
          <w:rFonts w:eastAsia="Arial Unicode MS"/>
          <w:bCs/>
          <w:lang w:eastAsia="fr-FR" w:bidi="he-IL"/>
        </w:rPr>
        <w:t xml:space="preserve">, </w:t>
      </w:r>
      <w:r w:rsidRPr="00C8701B">
        <w:rPr>
          <w:rFonts w:eastAsia="Arial Unicode MS"/>
          <w:bCs/>
          <w:lang w:eastAsia="fr-FR" w:bidi="he-IL"/>
        </w:rPr>
        <w:t>5 années avant notre ère</w:t>
      </w:r>
      <w:r w:rsidR="00C2602D" w:rsidRPr="00C8701B">
        <w:rPr>
          <w:rFonts w:eastAsia="Arial Unicode MS"/>
          <w:bCs/>
          <w:lang w:eastAsia="fr-FR" w:bidi="he-IL"/>
        </w:rPr>
        <w:t> :</w:t>
      </w:r>
      <w:r w:rsidRPr="00C8701B">
        <w:rPr>
          <w:rFonts w:eastAsia="Arial Unicode MS"/>
          <w:bCs/>
          <w:lang w:eastAsia="fr-FR" w:bidi="he-IL"/>
        </w:rPr>
        <w:t xml:space="preserve"> Tillemont</w:t>
      </w:r>
      <w:r w:rsidR="00E65435">
        <w:rPr>
          <w:rFonts w:eastAsia="Arial Unicode MS"/>
          <w:bCs/>
          <w:lang w:eastAsia="fr-FR" w:bidi="he-IL"/>
        </w:rPr>
        <w:t xml:space="preserve">, </w:t>
      </w:r>
      <w:r w:rsidR="00F125AE" w:rsidRPr="00C8701B">
        <w:rPr>
          <w:rFonts w:eastAsia="Arial Unicode MS"/>
          <w:bCs/>
          <w:lang w:eastAsia="fr-FR" w:bidi="he-IL"/>
        </w:rPr>
        <w:t>Pétau</w:t>
      </w:r>
      <w:r w:rsidR="00E65435">
        <w:rPr>
          <w:rFonts w:eastAsia="Arial Unicode MS"/>
          <w:bCs/>
          <w:lang w:eastAsia="fr-FR" w:bidi="he-IL"/>
        </w:rPr>
        <w:t xml:space="preserve">, </w:t>
      </w:r>
      <w:r w:rsidRPr="00C8701B">
        <w:rPr>
          <w:rFonts w:eastAsia="Arial Unicode MS"/>
          <w:bCs/>
          <w:lang w:eastAsia="fr-FR" w:bidi="he-IL"/>
        </w:rPr>
        <w:t>Anger</w:t>
      </w:r>
      <w:r w:rsidR="00E65435">
        <w:rPr>
          <w:rFonts w:eastAsia="Arial Unicode MS"/>
          <w:bCs/>
          <w:lang w:eastAsia="fr-FR" w:bidi="he-IL"/>
        </w:rPr>
        <w:t xml:space="preserve">, </w:t>
      </w:r>
      <w:r w:rsidRPr="00C8701B">
        <w:rPr>
          <w:rFonts w:eastAsia="Arial Unicode MS"/>
          <w:bCs/>
          <w:lang w:eastAsia="fr-FR" w:bidi="he-IL"/>
        </w:rPr>
        <w:t>Wieseler</w:t>
      </w:r>
      <w:r w:rsidR="00E65435">
        <w:rPr>
          <w:rFonts w:eastAsia="Arial Unicode MS"/>
          <w:bCs/>
          <w:lang w:eastAsia="fr-FR" w:bidi="he-IL"/>
        </w:rPr>
        <w:t xml:space="preserve">, </w:t>
      </w:r>
      <w:r w:rsidRPr="00C8701B">
        <w:rPr>
          <w:rFonts w:eastAsia="Arial Unicode MS"/>
          <w:bCs/>
          <w:lang w:eastAsia="fr-FR" w:bidi="he-IL"/>
        </w:rPr>
        <w:t>Greswell</w:t>
      </w:r>
      <w:r w:rsidR="00E65435">
        <w:rPr>
          <w:rFonts w:eastAsia="Arial Unicode MS"/>
          <w:bCs/>
          <w:lang w:eastAsia="fr-FR" w:bidi="he-IL"/>
        </w:rPr>
        <w:t xml:space="preserve">, </w:t>
      </w:r>
      <w:r w:rsidRPr="00C8701B">
        <w:rPr>
          <w:rFonts w:eastAsia="Arial Unicode MS"/>
          <w:bCs/>
          <w:lang w:eastAsia="fr-FR" w:bidi="he-IL"/>
        </w:rPr>
        <w:t>les D</w:t>
      </w:r>
      <w:r w:rsidRPr="00C8701B">
        <w:rPr>
          <w:rFonts w:eastAsia="Arial Unicode MS"/>
          <w:bCs/>
          <w:vertAlign w:val="superscript"/>
          <w:lang w:eastAsia="fr-FR" w:bidi="he-IL"/>
        </w:rPr>
        <w:t>rs</w:t>
      </w:r>
      <w:r w:rsidRPr="00C8701B">
        <w:rPr>
          <w:rFonts w:eastAsia="Arial Unicode MS"/>
          <w:bCs/>
          <w:lang w:eastAsia="fr-FR" w:bidi="he-IL"/>
        </w:rPr>
        <w:t xml:space="preserve"> Friedlieb</w:t>
      </w:r>
      <w:r w:rsidR="00E65435">
        <w:rPr>
          <w:rFonts w:eastAsia="Arial Unicode MS"/>
          <w:bCs/>
          <w:lang w:eastAsia="fr-FR" w:bidi="he-IL"/>
        </w:rPr>
        <w:t xml:space="preserve">, </w:t>
      </w:r>
      <w:r w:rsidRPr="00C8701B">
        <w:rPr>
          <w:rFonts w:eastAsia="Arial Unicode MS"/>
          <w:bCs/>
          <w:lang w:eastAsia="fr-FR" w:bidi="he-IL"/>
        </w:rPr>
        <w:t>Schegg</w:t>
      </w:r>
      <w:r w:rsidR="00E65435">
        <w:rPr>
          <w:rFonts w:eastAsia="Arial Unicode MS"/>
          <w:bCs/>
          <w:lang w:eastAsia="fr-FR" w:bidi="he-IL"/>
        </w:rPr>
        <w:t xml:space="preserve">, </w:t>
      </w:r>
      <w:r w:rsidRPr="00C8701B">
        <w:rPr>
          <w:rFonts w:eastAsia="Arial Unicode MS"/>
          <w:bCs/>
          <w:lang w:eastAsia="fr-FR" w:bidi="he-IL"/>
        </w:rPr>
        <w:t>Schanz</w:t>
      </w:r>
      <w:r w:rsidR="00E65435">
        <w:rPr>
          <w:rFonts w:eastAsia="Arial Unicode MS"/>
          <w:bCs/>
          <w:lang w:eastAsia="fr-FR" w:bidi="he-IL"/>
        </w:rPr>
        <w:t xml:space="preserve">, </w:t>
      </w:r>
      <w:r w:rsidRPr="00C8701B">
        <w:rPr>
          <w:rFonts w:eastAsia="Arial Unicode MS"/>
          <w:bCs/>
          <w:lang w:eastAsia="fr-FR" w:bidi="he-IL"/>
        </w:rPr>
        <w:t>M. Fouard</w:t>
      </w:r>
      <w:r w:rsidR="00E65435">
        <w:rPr>
          <w:rFonts w:eastAsia="Arial Unicode MS"/>
          <w:bCs/>
          <w:lang w:eastAsia="fr-FR" w:bidi="he-IL"/>
        </w:rPr>
        <w:t xml:space="preserve">, </w:t>
      </w:r>
      <w:r w:rsidRPr="00C8701B">
        <w:rPr>
          <w:rFonts w:eastAsia="Arial Unicode MS"/>
          <w:bCs/>
          <w:lang w:eastAsia="fr-FR" w:bidi="he-IL"/>
        </w:rPr>
        <w:t>etc.</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lang w:eastAsia="fr-FR" w:bidi="he-IL"/>
        </w:rPr>
        <w:t>750</w:t>
      </w:r>
      <w:r w:rsidR="00605074" w:rsidRPr="00C8701B">
        <w:rPr>
          <w:rFonts w:eastAsia="Arial Unicode MS"/>
          <w:lang w:eastAsia="fr-FR" w:bidi="he-IL"/>
        </w:rPr>
        <w:t xml:space="preserve"> </w:t>
      </w:r>
      <w:r w:rsidRPr="00C8701B">
        <w:rPr>
          <w:rFonts w:eastAsia="Arial Unicode MS"/>
          <w:bCs/>
          <w:lang w:eastAsia="fr-FR" w:bidi="he-IL"/>
        </w:rPr>
        <w:t>u. c.</w:t>
      </w:r>
      <w:r w:rsidR="00E65435">
        <w:rPr>
          <w:rFonts w:eastAsia="Arial Unicode MS"/>
          <w:bCs/>
          <w:lang w:eastAsia="fr-FR" w:bidi="he-IL"/>
        </w:rPr>
        <w:t xml:space="preserve">, </w:t>
      </w:r>
      <w:r w:rsidRPr="00C8701B">
        <w:rPr>
          <w:rFonts w:eastAsia="Arial Unicode MS"/>
          <w:bCs/>
          <w:lang w:eastAsia="fr-FR" w:bidi="he-IL"/>
        </w:rPr>
        <w:t>4 ans avant notre ère</w:t>
      </w:r>
      <w:r w:rsidR="00C2602D" w:rsidRPr="00C8701B">
        <w:rPr>
          <w:rFonts w:eastAsia="Arial Unicode MS"/>
          <w:bCs/>
          <w:lang w:eastAsia="fr-FR" w:bidi="he-IL"/>
        </w:rPr>
        <w:t> :</w:t>
      </w:r>
      <w:r w:rsidRPr="00C8701B">
        <w:rPr>
          <w:rFonts w:eastAsia="Arial Unicode MS"/>
          <w:bCs/>
          <w:lang w:eastAsia="fr-FR" w:bidi="he-IL"/>
        </w:rPr>
        <w:t xml:space="preserve"> Lamy</w:t>
      </w:r>
      <w:r w:rsidR="00E65435">
        <w:rPr>
          <w:rFonts w:eastAsia="Arial Unicode MS"/>
          <w:bCs/>
          <w:lang w:eastAsia="fr-FR" w:bidi="he-IL"/>
        </w:rPr>
        <w:t xml:space="preserve">, </w:t>
      </w:r>
      <w:r w:rsidRPr="00C8701B">
        <w:rPr>
          <w:rFonts w:eastAsia="Arial Unicode MS"/>
          <w:bCs/>
          <w:lang w:eastAsia="fr-FR" w:bidi="he-IL"/>
        </w:rPr>
        <w:t>Bengel</w:t>
      </w:r>
      <w:r w:rsidR="00E65435">
        <w:rPr>
          <w:rFonts w:eastAsia="Arial Unicode MS"/>
          <w:bCs/>
          <w:lang w:eastAsia="fr-FR" w:bidi="he-IL"/>
        </w:rPr>
        <w:t xml:space="preserve">, </w:t>
      </w:r>
      <w:r w:rsidRPr="00C8701B">
        <w:rPr>
          <w:rFonts w:eastAsia="Arial Unicode MS"/>
          <w:bCs/>
          <w:lang w:eastAsia="fr-FR" w:bidi="he-IL"/>
        </w:rPr>
        <w:t>etc.</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lang w:eastAsia="fr-FR" w:bidi="he-IL"/>
        </w:rPr>
        <w:t>751</w:t>
      </w:r>
      <w:r w:rsidR="00605074" w:rsidRPr="00C8701B">
        <w:rPr>
          <w:rFonts w:eastAsia="Arial Unicode MS"/>
          <w:lang w:eastAsia="fr-FR" w:bidi="he-IL"/>
        </w:rPr>
        <w:t xml:space="preserve"> </w:t>
      </w:r>
      <w:r w:rsidRPr="00C8701B">
        <w:rPr>
          <w:rFonts w:eastAsia="Arial Unicode MS"/>
          <w:bCs/>
          <w:lang w:eastAsia="fr-FR" w:bidi="he-IL"/>
        </w:rPr>
        <w:t>u. c.</w:t>
      </w:r>
      <w:r w:rsidR="00E65435">
        <w:rPr>
          <w:rFonts w:eastAsia="Arial Unicode MS"/>
          <w:bCs/>
          <w:lang w:eastAsia="fr-FR" w:bidi="he-IL"/>
        </w:rPr>
        <w:t xml:space="preserve">, </w:t>
      </w:r>
      <w:r w:rsidRPr="00C8701B">
        <w:rPr>
          <w:rFonts w:eastAsia="Arial Unicode MS"/>
          <w:bCs/>
          <w:lang w:eastAsia="fr-FR" w:bidi="he-IL"/>
        </w:rPr>
        <w:t>ou 3 ans avant l</w:t>
      </w:r>
      <w:r w:rsidR="00557DE0">
        <w:rPr>
          <w:rFonts w:eastAsia="Arial Unicode MS"/>
          <w:bCs/>
          <w:lang w:eastAsia="fr-FR" w:bidi="he-IL"/>
        </w:rPr>
        <w:t>’</w:t>
      </w:r>
      <w:r w:rsidRPr="00C8701B">
        <w:rPr>
          <w:rFonts w:eastAsia="Arial Unicode MS"/>
          <w:bCs/>
          <w:lang w:eastAsia="fr-FR" w:bidi="he-IL"/>
        </w:rPr>
        <w:t xml:space="preserve">ère </w:t>
      </w:r>
      <w:r w:rsidR="00F125AE" w:rsidRPr="00C8701B">
        <w:rPr>
          <w:rFonts w:eastAsia="Arial Unicode MS"/>
          <w:bCs/>
          <w:lang w:eastAsia="fr-FR" w:bidi="he-IL"/>
        </w:rPr>
        <w:t>vulgaire</w:t>
      </w:r>
      <w:r w:rsidR="00C2602D" w:rsidRPr="00C8701B">
        <w:rPr>
          <w:rFonts w:eastAsia="Arial Unicode MS"/>
          <w:bCs/>
          <w:lang w:eastAsia="fr-FR" w:bidi="he-IL"/>
        </w:rPr>
        <w:t> :</w:t>
      </w:r>
      <w:r w:rsidRPr="00C8701B">
        <w:rPr>
          <w:rFonts w:eastAsia="Arial Unicode MS"/>
          <w:bCs/>
          <w:lang w:eastAsia="fr-FR" w:bidi="he-IL"/>
        </w:rPr>
        <w:t xml:space="preserve"> Tertullien</w:t>
      </w:r>
      <w:r w:rsidR="00E65435">
        <w:rPr>
          <w:rFonts w:eastAsia="Arial Unicode MS"/>
          <w:bCs/>
          <w:lang w:eastAsia="fr-FR" w:bidi="he-IL"/>
        </w:rPr>
        <w:t xml:space="preserve">, </w:t>
      </w:r>
      <w:r w:rsidRPr="00C8701B">
        <w:rPr>
          <w:rFonts w:eastAsia="Arial Unicode MS"/>
          <w:bCs/>
          <w:lang w:eastAsia="fr-FR" w:bidi="he-IL"/>
        </w:rPr>
        <w:t>8. Jérôme</w:t>
      </w:r>
      <w:r w:rsidR="00E65435">
        <w:rPr>
          <w:rFonts w:eastAsia="Arial Unicode MS"/>
          <w:bCs/>
          <w:lang w:eastAsia="fr-FR" w:bidi="he-IL"/>
        </w:rPr>
        <w:t xml:space="preserve">, </w:t>
      </w:r>
      <w:r w:rsidR="00F125AE">
        <w:rPr>
          <w:rFonts w:eastAsia="Arial Unicode MS"/>
          <w:bCs/>
          <w:lang w:eastAsia="fr-FR" w:bidi="he-IL"/>
        </w:rPr>
        <w:t>Baronius,</w:t>
      </w:r>
      <w:r w:rsidRPr="00C8701B">
        <w:rPr>
          <w:rFonts w:eastAsia="Arial Unicode MS"/>
          <w:bCs/>
          <w:lang w:eastAsia="fr-FR" w:bidi="he-IL"/>
        </w:rPr>
        <w:t xml:space="preserve"> Bosanquet</w:t>
      </w:r>
      <w:r w:rsidR="00E65435">
        <w:rPr>
          <w:rFonts w:eastAsia="Arial Unicode MS"/>
          <w:bCs/>
          <w:lang w:eastAsia="fr-FR" w:bidi="he-IL"/>
        </w:rPr>
        <w:t xml:space="preserve">, </w:t>
      </w:r>
      <w:r w:rsidRPr="00C8701B">
        <w:rPr>
          <w:rFonts w:eastAsia="Arial Unicode MS"/>
          <w:bCs/>
          <w:lang w:eastAsia="fr-FR" w:bidi="he-IL"/>
        </w:rPr>
        <w:t>Lauth</w:t>
      </w:r>
      <w:r w:rsidR="00E65435">
        <w:rPr>
          <w:rFonts w:eastAsia="Arial Unicode MS"/>
          <w:bCs/>
          <w:lang w:eastAsia="fr-FR" w:bidi="he-IL"/>
        </w:rPr>
        <w:t xml:space="preserve">, </w:t>
      </w:r>
      <w:r w:rsidRPr="00C8701B">
        <w:rPr>
          <w:rFonts w:eastAsia="Arial Unicode MS"/>
          <w:bCs/>
          <w:lang w:eastAsia="fr-FR" w:bidi="he-IL"/>
        </w:rPr>
        <w:t>Volkmar</w:t>
      </w:r>
      <w:r w:rsidR="00E65435">
        <w:rPr>
          <w:rFonts w:eastAsia="Arial Unicode MS"/>
          <w:bCs/>
          <w:lang w:eastAsia="fr-FR" w:bidi="he-IL"/>
        </w:rPr>
        <w:t xml:space="preserve">, </w:t>
      </w:r>
      <w:r w:rsidRPr="00C8701B">
        <w:rPr>
          <w:rFonts w:eastAsia="Arial Unicode MS"/>
          <w:bCs/>
          <w:lang w:eastAsia="fr-FR" w:bidi="he-IL"/>
        </w:rPr>
        <w:t>etc.</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lang w:eastAsia="fr-FR" w:bidi="he-IL"/>
        </w:rPr>
        <w:t>752</w:t>
      </w:r>
      <w:r w:rsidR="00605074" w:rsidRPr="00C8701B">
        <w:rPr>
          <w:rFonts w:eastAsia="Arial Unicode MS"/>
          <w:lang w:eastAsia="fr-FR" w:bidi="he-IL"/>
        </w:rPr>
        <w:t xml:space="preserve"> </w:t>
      </w:r>
      <w:r w:rsidRPr="00C8701B">
        <w:rPr>
          <w:rFonts w:eastAsia="Arial Unicode MS"/>
          <w:bCs/>
          <w:lang w:eastAsia="fr-FR" w:bidi="he-IL"/>
        </w:rPr>
        <w:t>u. c.</w:t>
      </w:r>
      <w:r w:rsidR="00E65435">
        <w:rPr>
          <w:rFonts w:eastAsia="Arial Unicode MS"/>
          <w:bCs/>
          <w:lang w:eastAsia="fr-FR" w:bidi="he-IL"/>
        </w:rPr>
        <w:t xml:space="preserve">, </w:t>
      </w:r>
      <w:r w:rsidRPr="00C8701B">
        <w:rPr>
          <w:rFonts w:eastAsia="Arial Unicode MS"/>
          <w:bCs/>
          <w:lang w:eastAsia="fr-FR" w:bidi="he-IL"/>
        </w:rPr>
        <w:t>2 années avant notre ère</w:t>
      </w:r>
      <w:r w:rsidR="00C2602D" w:rsidRPr="00C8701B">
        <w:rPr>
          <w:rFonts w:eastAsia="Arial Unicode MS"/>
          <w:bCs/>
          <w:lang w:eastAsia="fr-FR" w:bidi="he-IL"/>
        </w:rPr>
        <w:t> :</w:t>
      </w:r>
      <w:r w:rsidRPr="00C8701B">
        <w:rPr>
          <w:rFonts w:eastAsia="Arial Unicode MS"/>
          <w:bCs/>
          <w:lang w:eastAsia="fr-FR" w:bidi="he-IL"/>
        </w:rPr>
        <w:t xml:space="preserve"> Clément d</w:t>
      </w:r>
      <w:r w:rsidR="00557DE0">
        <w:rPr>
          <w:rFonts w:eastAsia="Arial Unicode MS"/>
          <w:bCs/>
          <w:lang w:eastAsia="fr-FR" w:bidi="he-IL"/>
        </w:rPr>
        <w:t>’</w:t>
      </w:r>
      <w:r w:rsidRPr="00C8701B">
        <w:rPr>
          <w:rFonts w:eastAsia="Arial Unicode MS"/>
          <w:bCs/>
          <w:lang w:eastAsia="fr-FR" w:bidi="he-IL"/>
        </w:rPr>
        <w:t>Alexandrie</w:t>
      </w:r>
      <w:r w:rsidR="00E65435">
        <w:rPr>
          <w:rFonts w:eastAsia="Arial Unicode MS"/>
          <w:bCs/>
          <w:lang w:eastAsia="fr-FR" w:bidi="he-IL"/>
        </w:rPr>
        <w:t xml:space="preserve">, </w:t>
      </w:r>
      <w:r w:rsidRPr="00C8701B">
        <w:rPr>
          <w:rFonts w:eastAsia="Arial Unicode MS"/>
          <w:bCs/>
          <w:lang w:eastAsia="fr-FR" w:bidi="he-IL"/>
        </w:rPr>
        <w:t xml:space="preserve">S. </w:t>
      </w:r>
      <w:r w:rsidR="00F125AE" w:rsidRPr="00C8701B">
        <w:rPr>
          <w:rFonts w:eastAsia="Arial Unicode MS"/>
          <w:bCs/>
          <w:lang w:eastAsia="fr-FR" w:bidi="he-IL"/>
        </w:rPr>
        <w:t>Épiphane</w:t>
      </w:r>
      <w:r w:rsidR="00E65435">
        <w:rPr>
          <w:rFonts w:eastAsia="Arial Unicode MS"/>
          <w:bCs/>
          <w:lang w:eastAsia="fr-FR" w:bidi="he-IL"/>
        </w:rPr>
        <w:t xml:space="preserve">, </w:t>
      </w:r>
      <w:r w:rsidRPr="00C8701B">
        <w:rPr>
          <w:rFonts w:eastAsia="Arial Unicode MS"/>
          <w:bCs/>
          <w:lang w:eastAsia="fr-FR" w:bidi="he-IL"/>
        </w:rPr>
        <w:t>Caspari</w:t>
      </w:r>
      <w:r w:rsidR="00E65435">
        <w:rPr>
          <w:rFonts w:eastAsia="Arial Unicode MS"/>
          <w:bCs/>
          <w:lang w:eastAsia="fr-FR" w:bidi="he-IL"/>
        </w:rPr>
        <w:t xml:space="preserve">, </w:t>
      </w:r>
      <w:r w:rsidRPr="00C8701B">
        <w:rPr>
          <w:rFonts w:eastAsia="Arial Unicode MS"/>
          <w:bCs/>
          <w:lang w:eastAsia="fr-FR" w:bidi="he-IL"/>
        </w:rPr>
        <w:t>le Père F. Riess</w:t>
      </w:r>
      <w:r w:rsidR="00E65435">
        <w:rPr>
          <w:rFonts w:eastAsia="Arial Unicode MS"/>
          <w:bCs/>
          <w:lang w:eastAsia="fr-FR" w:bidi="he-IL"/>
        </w:rPr>
        <w:t xml:space="preserve">, </w:t>
      </w:r>
      <w:r w:rsidRPr="00C8701B">
        <w:rPr>
          <w:rFonts w:eastAsia="Arial Unicode MS"/>
          <w:bCs/>
          <w:lang w:eastAsia="fr-FR" w:bidi="he-IL"/>
        </w:rPr>
        <w:t>etc.</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753u. c.</w:t>
      </w:r>
      <w:r w:rsidR="00E65435">
        <w:rPr>
          <w:rFonts w:eastAsia="Arial Unicode MS"/>
          <w:bCs/>
          <w:lang w:eastAsia="fr-FR" w:bidi="he-IL"/>
        </w:rPr>
        <w:t xml:space="preserve">, </w:t>
      </w:r>
      <w:r w:rsidRPr="00C8701B">
        <w:rPr>
          <w:rFonts w:eastAsia="Arial Unicode MS"/>
          <w:bCs/>
          <w:lang w:eastAsia="fr-FR" w:bidi="he-IL"/>
        </w:rPr>
        <w:t>1 an avant l</w:t>
      </w:r>
      <w:r w:rsidR="00557DE0">
        <w:rPr>
          <w:rFonts w:eastAsia="Arial Unicode MS"/>
          <w:bCs/>
          <w:lang w:eastAsia="fr-FR" w:bidi="he-IL"/>
        </w:rPr>
        <w:t>’</w:t>
      </w:r>
      <w:r w:rsidRPr="00C8701B">
        <w:rPr>
          <w:rFonts w:eastAsia="Arial Unicode MS"/>
          <w:bCs/>
          <w:lang w:eastAsia="fr-FR" w:bidi="he-IL"/>
        </w:rPr>
        <w:t>ère vulgaire</w:t>
      </w:r>
      <w:r w:rsidR="00C2602D" w:rsidRPr="00C8701B">
        <w:rPr>
          <w:rFonts w:eastAsia="Arial Unicode MS"/>
          <w:bCs/>
          <w:lang w:eastAsia="fr-FR" w:bidi="he-IL"/>
        </w:rPr>
        <w:t> :</w:t>
      </w:r>
      <w:r w:rsidRPr="00C8701B">
        <w:rPr>
          <w:rFonts w:eastAsia="Arial Unicode MS"/>
          <w:bCs/>
          <w:lang w:eastAsia="fr-FR" w:bidi="he-IL"/>
        </w:rPr>
        <w:t xml:space="preserve"> Pearson</w:t>
      </w:r>
      <w:r w:rsidR="00E65435">
        <w:rPr>
          <w:rFonts w:eastAsia="Arial Unicode MS"/>
          <w:bCs/>
          <w:lang w:eastAsia="fr-FR" w:bidi="he-IL"/>
        </w:rPr>
        <w:t xml:space="preserve">, </w:t>
      </w:r>
      <w:r w:rsidRPr="00C8701B">
        <w:rPr>
          <w:rFonts w:eastAsia="Arial Unicode MS"/>
          <w:bCs/>
          <w:lang w:eastAsia="fr-FR" w:bidi="he-IL"/>
        </w:rPr>
        <w:t>Hug</w:t>
      </w:r>
      <w:r w:rsidR="00E65435">
        <w:rPr>
          <w:rFonts w:eastAsia="Arial Unicode MS"/>
          <w:bCs/>
          <w:lang w:eastAsia="fr-FR" w:bidi="he-IL"/>
        </w:rPr>
        <w:t xml:space="preserve">, </w:t>
      </w:r>
      <w:r w:rsidRPr="00C8701B">
        <w:rPr>
          <w:rFonts w:eastAsia="Arial Unicode MS"/>
          <w:bCs/>
          <w:lang w:eastAsia="fr-FR" w:bidi="he-IL"/>
        </w:rPr>
        <w:t>etc.</w:t>
      </w:r>
      <w:r w:rsidR="00C2602D" w:rsidRPr="00C8701B">
        <w:rPr>
          <w:rFonts w:eastAsia="Arial Unicode MS"/>
          <w:bCs/>
          <w:lang w:eastAsia="fr-FR" w:bidi="he-IL"/>
        </w:rPr>
        <w:t xml:space="preserve"> </w:t>
      </w:r>
    </w:p>
    <w:p w:rsidR="00C2602D" w:rsidRDefault="00B704AD" w:rsidP="00C2602D">
      <w:pPr>
        <w:rPr>
          <w:rFonts w:eastAsia="Arial Unicode MS"/>
          <w:bCs/>
          <w:lang w:eastAsia="fr-FR" w:bidi="he-IL"/>
        </w:rPr>
      </w:pPr>
      <w:r w:rsidRPr="00C8701B">
        <w:rPr>
          <w:rFonts w:eastAsia="Arial Unicode MS"/>
          <w:bCs/>
          <w:lang w:eastAsia="fr-FR" w:bidi="he-IL"/>
        </w:rPr>
        <w:t>754 u. c.</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an 1 de notre ère</w:t>
      </w:r>
      <w:r w:rsidR="00C2602D" w:rsidRPr="00C8701B">
        <w:rPr>
          <w:rFonts w:eastAsia="Arial Unicode MS"/>
          <w:bCs/>
          <w:lang w:eastAsia="fr-FR" w:bidi="he-IL"/>
        </w:rPr>
        <w:t> :</w:t>
      </w:r>
      <w:r w:rsidRPr="00C8701B">
        <w:rPr>
          <w:rFonts w:eastAsia="Arial Unicode MS"/>
          <w:bCs/>
          <w:lang w:eastAsia="fr-FR" w:bidi="he-IL"/>
        </w:rPr>
        <w:t xml:space="preserve"> Denys le Petit</w:t>
      </w:r>
      <w:r w:rsidR="00E65435">
        <w:rPr>
          <w:rFonts w:eastAsia="Arial Unicode MS"/>
          <w:bCs/>
          <w:lang w:eastAsia="fr-FR" w:bidi="he-IL"/>
        </w:rPr>
        <w:t xml:space="preserve">, </w:t>
      </w:r>
      <w:r w:rsidRPr="00C8701B">
        <w:rPr>
          <w:rFonts w:eastAsia="Arial Unicode MS"/>
          <w:bCs/>
          <w:lang w:eastAsia="fr-FR" w:bidi="he-IL"/>
        </w:rPr>
        <w:t>etc.</w:t>
      </w:r>
      <w:r w:rsidR="00C2602D" w:rsidRPr="00C8701B">
        <w:rPr>
          <w:rFonts w:eastAsia="Arial Unicode MS"/>
          <w:bCs/>
          <w:lang w:eastAsia="fr-FR" w:bidi="he-IL"/>
        </w:rPr>
        <w:t xml:space="preserve"> </w:t>
      </w:r>
    </w:p>
    <w:p w:rsidR="00F125AE" w:rsidRPr="00C8701B" w:rsidRDefault="00F125AE" w:rsidP="00C2602D">
      <w:pPr>
        <w:rPr>
          <w:rFonts w:eastAsia="Arial Unicode MS"/>
          <w:bCs/>
          <w:lang w:eastAsia="fr-FR" w:bidi="he-IL"/>
        </w:rPr>
      </w:pPr>
    </w:p>
    <w:p w:rsidR="00C2602D" w:rsidRPr="00C8701B" w:rsidRDefault="00B704AD" w:rsidP="00C2602D">
      <w:pPr>
        <w:rPr>
          <w:rFonts w:eastAsia="Arial Unicode MS"/>
          <w:bCs/>
          <w:lang w:eastAsia="fr-FR" w:bidi="he-IL"/>
        </w:rPr>
      </w:pPr>
      <w:r w:rsidRPr="00C8701B">
        <w:rPr>
          <w:rFonts w:eastAsia="Arial Unicode MS"/>
          <w:bCs/>
          <w:lang w:eastAsia="fr-FR" w:bidi="he-IL"/>
        </w:rPr>
        <w:t>De même</w:t>
      </w:r>
      <w:r w:rsidR="00E65435">
        <w:rPr>
          <w:rFonts w:eastAsia="Arial Unicode MS"/>
          <w:bCs/>
          <w:lang w:eastAsia="fr-FR" w:bidi="he-IL"/>
        </w:rPr>
        <w:t xml:space="preserve">, </w:t>
      </w:r>
      <w:r w:rsidRPr="00C8701B">
        <w:rPr>
          <w:rFonts w:eastAsia="Arial Unicode MS"/>
          <w:bCs/>
          <w:lang w:eastAsia="fr-FR" w:bidi="he-IL"/>
        </w:rPr>
        <w:t>continue M. Wallon</w:t>
      </w:r>
      <w:r w:rsidR="00933C60" w:rsidRPr="00C406FF">
        <w:rPr>
          <w:rStyle w:val="Appelnotedebasdep"/>
        </w:rPr>
        <w:footnoteReference w:id="328"/>
      </w:r>
      <w:r w:rsidR="00E65435">
        <w:rPr>
          <w:rFonts w:eastAsia="Arial Unicode MS"/>
          <w:bCs/>
          <w:lang w:eastAsia="fr-FR" w:bidi="he-IL"/>
        </w:rPr>
        <w:t>,</w:t>
      </w:r>
      <w:r w:rsidR="00E37C84">
        <w:rPr>
          <w:rFonts w:eastAsia="Arial Unicode MS"/>
          <w:bCs/>
          <w:lang w:eastAsia="fr-FR" w:bidi="he-IL"/>
        </w:rPr>
        <w:t xml:space="preserve"> « </w:t>
      </w:r>
      <w:r w:rsidR="00F125AE">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année que S. Luc désigne pour la mission de Jean-Baptiste est celle qu</w:t>
      </w:r>
      <w:r w:rsidR="00557DE0">
        <w:rPr>
          <w:rFonts w:eastAsia="Arial Unicode MS"/>
          <w:bCs/>
          <w:lang w:eastAsia="fr-FR" w:bidi="he-IL"/>
        </w:rPr>
        <w:t>’</w:t>
      </w:r>
      <w:r w:rsidRPr="00C8701B">
        <w:rPr>
          <w:rFonts w:eastAsia="Arial Unicode MS"/>
          <w:bCs/>
          <w:lang w:eastAsia="fr-FR" w:bidi="he-IL"/>
        </w:rPr>
        <w:t>un grand nombre d</w:t>
      </w:r>
      <w:r w:rsidR="00557DE0">
        <w:rPr>
          <w:rFonts w:eastAsia="Arial Unicode MS"/>
          <w:bCs/>
          <w:lang w:eastAsia="fr-FR" w:bidi="he-IL"/>
        </w:rPr>
        <w:t>’</w:t>
      </w:r>
      <w:r w:rsidRPr="00C8701B">
        <w:rPr>
          <w:rFonts w:eastAsia="Arial Unicode MS"/>
          <w:bCs/>
          <w:lang w:eastAsia="fr-FR" w:bidi="he-IL"/>
        </w:rPr>
        <w:t>anciens et quelques-uns des chronologistes modernes adoptent pour celle de la Passion</w:t>
      </w:r>
      <w:r w:rsidR="001C028D">
        <w:rPr>
          <w:rFonts w:eastAsia="Arial Unicode MS"/>
          <w:bCs/>
          <w:lang w:eastAsia="fr-FR" w:bidi="he-IL"/>
        </w:rPr>
        <w:t> »</w:t>
      </w:r>
      <w:r w:rsidRPr="00C8701B">
        <w:rPr>
          <w:rFonts w:eastAsia="Arial Unicode MS"/>
          <w:bCs/>
          <w:lang w:eastAsia="fr-FR" w:bidi="he-IL"/>
        </w:rPr>
        <w:t>.</w:t>
      </w:r>
      <w:r w:rsidR="00C2602D" w:rsidRPr="00C8701B">
        <w:rPr>
          <w:rFonts w:eastAsia="Arial Unicode MS"/>
          <w:bCs/>
          <w:lang w:eastAsia="fr-FR" w:bidi="he-IL"/>
        </w:rPr>
        <w:t xml:space="preserve"> </w:t>
      </w:r>
    </w:p>
    <w:p w:rsidR="00C2602D" w:rsidRDefault="00B704AD" w:rsidP="00C2602D">
      <w:pPr>
        <w:rPr>
          <w:rFonts w:eastAsia="Arial Unicode MS"/>
          <w:bCs/>
          <w:lang w:eastAsia="fr-FR" w:bidi="he-IL"/>
        </w:rPr>
      </w:pPr>
      <w:r w:rsidRPr="00C8701B">
        <w:rPr>
          <w:rFonts w:eastAsia="Arial Unicode MS"/>
          <w:bCs/>
          <w:lang w:eastAsia="fr-FR" w:bidi="he-IL"/>
        </w:rPr>
        <w:t>De là</w:t>
      </w:r>
      <w:r w:rsidR="00E65435">
        <w:rPr>
          <w:rFonts w:eastAsia="Arial Unicode MS"/>
          <w:bCs/>
          <w:lang w:eastAsia="fr-FR" w:bidi="he-IL"/>
        </w:rPr>
        <w:t xml:space="preserve">, </w:t>
      </w:r>
      <w:r w:rsidRPr="00C8701B">
        <w:rPr>
          <w:rFonts w:eastAsia="Arial Unicode MS"/>
          <w:bCs/>
          <w:lang w:eastAsia="fr-FR" w:bidi="he-IL"/>
        </w:rPr>
        <w:t>encore</w:t>
      </w:r>
      <w:r w:rsidR="00E65435">
        <w:rPr>
          <w:rFonts w:eastAsia="Arial Unicode MS"/>
          <w:bCs/>
          <w:lang w:eastAsia="fr-FR" w:bidi="he-IL"/>
        </w:rPr>
        <w:t xml:space="preserve">, </w:t>
      </w:r>
      <w:r w:rsidRPr="00C8701B">
        <w:rPr>
          <w:rFonts w:eastAsia="Arial Unicode MS"/>
          <w:bCs/>
          <w:lang w:eastAsia="fr-FR" w:bidi="he-IL"/>
        </w:rPr>
        <w:t xml:space="preserve">une étonnante variété pour fixer la date de la mort </w:t>
      </w:r>
      <w:r w:rsidR="00906914">
        <w:rPr>
          <w:rFonts w:eastAsia="Arial Unicode MS"/>
          <w:bCs/>
          <w:lang w:eastAsia="fr-FR" w:bidi="he-IL"/>
        </w:rPr>
        <w:t>de</w:t>
      </w:r>
      <w:r w:rsidRPr="00C8701B">
        <w:rPr>
          <w:rFonts w:eastAsia="Arial Unicode MS"/>
          <w:bCs/>
          <w:lang w:eastAsia="fr-FR" w:bidi="he-IL"/>
        </w:rPr>
        <w:t xml:space="preserve"> N.-S. Jésus-Christ.</w:t>
      </w:r>
      <w:r w:rsidR="00C2602D" w:rsidRPr="00C8701B">
        <w:rPr>
          <w:rFonts w:eastAsia="Arial Unicode MS"/>
          <w:bCs/>
          <w:lang w:eastAsia="fr-FR" w:bidi="he-IL"/>
        </w:rPr>
        <w:t xml:space="preserve"> </w:t>
      </w:r>
    </w:p>
    <w:p w:rsidR="00F125AE" w:rsidRPr="00C8701B" w:rsidRDefault="00F125AE" w:rsidP="00C2602D">
      <w:pPr>
        <w:rPr>
          <w:rFonts w:eastAsia="Arial Unicode MS"/>
          <w:bCs/>
          <w:lang w:eastAsia="fr-FR" w:bidi="he-IL"/>
        </w:rPr>
      </w:pPr>
    </w:p>
    <w:p w:rsidR="00C2602D" w:rsidRPr="00C8701B" w:rsidRDefault="00B704AD" w:rsidP="00C2602D">
      <w:pPr>
        <w:rPr>
          <w:rFonts w:eastAsia="Arial Unicode MS"/>
          <w:bCs/>
          <w:lang w:eastAsia="fr-FR" w:bidi="he-IL"/>
        </w:rPr>
      </w:pPr>
      <w:r w:rsidRPr="00C8701B">
        <w:rPr>
          <w:rFonts w:eastAsia="Arial Unicode MS"/>
          <w:lang w:eastAsia="fr-FR" w:bidi="he-IL"/>
        </w:rPr>
        <w:t>782</w:t>
      </w:r>
      <w:r w:rsidR="00605074" w:rsidRPr="00C8701B">
        <w:rPr>
          <w:rFonts w:eastAsia="Arial Unicode MS"/>
          <w:lang w:eastAsia="fr-FR" w:bidi="he-IL"/>
        </w:rPr>
        <w:t xml:space="preserve"> </w:t>
      </w:r>
      <w:r w:rsidR="00F125AE">
        <w:rPr>
          <w:rFonts w:eastAsia="Arial Unicode MS"/>
          <w:bCs/>
          <w:lang w:eastAsia="fr-FR" w:bidi="he-IL"/>
        </w:rPr>
        <w:t>u</w:t>
      </w:r>
      <w:r w:rsidRPr="00C8701B">
        <w:rPr>
          <w:rFonts w:eastAsia="Arial Unicode MS"/>
          <w:bCs/>
          <w:lang w:eastAsia="fr-FR" w:bidi="he-IL"/>
        </w:rPr>
        <w:t>. c.</w:t>
      </w:r>
      <w:r w:rsidR="00E65435">
        <w:rPr>
          <w:rFonts w:eastAsia="Arial Unicode MS"/>
          <w:bCs/>
          <w:lang w:eastAsia="fr-FR" w:bidi="he-IL"/>
        </w:rPr>
        <w:t xml:space="preserve">, </w:t>
      </w:r>
      <w:r w:rsidRPr="00C8701B">
        <w:rPr>
          <w:rFonts w:eastAsia="Arial Unicode MS"/>
          <w:bCs/>
          <w:lang w:eastAsia="fr-FR" w:bidi="he-IL"/>
        </w:rPr>
        <w:t>ou 29 de notre ère</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après Tertullien</w:t>
      </w:r>
      <w:r w:rsidR="00E65435">
        <w:rPr>
          <w:rFonts w:eastAsia="Arial Unicode MS"/>
          <w:bCs/>
          <w:lang w:eastAsia="fr-FR" w:bidi="he-IL"/>
        </w:rPr>
        <w:t xml:space="preserve">, </w:t>
      </w:r>
      <w:r w:rsidRPr="00C8701B">
        <w:rPr>
          <w:rFonts w:eastAsia="Arial Unicode MS"/>
          <w:bCs/>
          <w:lang w:eastAsia="fr-FR" w:bidi="he-IL"/>
        </w:rPr>
        <w:t>Lactance</w:t>
      </w:r>
      <w:r w:rsidR="00E65435">
        <w:rPr>
          <w:rFonts w:eastAsia="Arial Unicode MS"/>
          <w:bCs/>
          <w:lang w:eastAsia="fr-FR" w:bidi="he-IL"/>
        </w:rPr>
        <w:t xml:space="preserve">, </w:t>
      </w:r>
      <w:r w:rsidRPr="00C8701B">
        <w:rPr>
          <w:rFonts w:eastAsia="Arial Unicode MS"/>
          <w:bCs/>
          <w:lang w:eastAsia="fr-FR" w:bidi="he-IL"/>
        </w:rPr>
        <w:t>San Clemente</w:t>
      </w:r>
      <w:r w:rsidR="00E65435">
        <w:rPr>
          <w:rFonts w:eastAsia="Arial Unicode MS"/>
          <w:bCs/>
          <w:lang w:eastAsia="fr-FR" w:bidi="he-IL"/>
        </w:rPr>
        <w:t xml:space="preserve">, </w:t>
      </w:r>
      <w:r w:rsidRPr="00C8701B">
        <w:rPr>
          <w:rFonts w:eastAsia="Arial Unicode MS"/>
          <w:bCs/>
          <w:lang w:eastAsia="fr-FR" w:bidi="he-IL"/>
        </w:rPr>
        <w:t>Ideler</w:t>
      </w:r>
      <w:r w:rsidR="00E65435">
        <w:rPr>
          <w:rFonts w:eastAsia="Arial Unicode MS"/>
          <w:bCs/>
          <w:lang w:eastAsia="fr-FR" w:bidi="he-IL"/>
        </w:rPr>
        <w:t xml:space="preserve">, </w:t>
      </w:r>
      <w:r w:rsidRPr="00C8701B">
        <w:rPr>
          <w:rFonts w:eastAsia="Arial Unicode MS"/>
          <w:bCs/>
          <w:lang w:eastAsia="fr-FR" w:bidi="he-IL"/>
        </w:rPr>
        <w:t>Patrizi</w:t>
      </w:r>
      <w:r w:rsidR="00E65435">
        <w:rPr>
          <w:rFonts w:eastAsia="Arial Unicode MS"/>
          <w:bCs/>
          <w:lang w:eastAsia="fr-FR" w:bidi="he-IL"/>
        </w:rPr>
        <w:t xml:space="preserve">, </w:t>
      </w:r>
      <w:r w:rsidRPr="00C8701B">
        <w:rPr>
          <w:rFonts w:eastAsia="Arial Unicode MS"/>
          <w:bCs/>
          <w:lang w:eastAsia="fr-FR" w:bidi="he-IL"/>
        </w:rPr>
        <w:t>Sepp</w:t>
      </w:r>
      <w:r w:rsidR="00E65435">
        <w:rPr>
          <w:rFonts w:eastAsia="Arial Unicode MS"/>
          <w:bCs/>
          <w:lang w:eastAsia="fr-FR" w:bidi="he-IL"/>
        </w:rPr>
        <w:t xml:space="preserve">, </w:t>
      </w:r>
      <w:r w:rsidRPr="00C8701B">
        <w:rPr>
          <w:rFonts w:eastAsia="Arial Unicode MS"/>
          <w:bCs/>
          <w:lang w:eastAsia="fr-FR" w:bidi="he-IL"/>
        </w:rPr>
        <w:t>Zœckler</w:t>
      </w:r>
      <w:r w:rsidR="00E65435">
        <w:rPr>
          <w:rFonts w:eastAsia="Arial Unicode MS"/>
          <w:bCs/>
          <w:lang w:eastAsia="fr-FR" w:bidi="he-IL"/>
        </w:rPr>
        <w:t xml:space="preserve">, </w:t>
      </w:r>
      <w:r w:rsidRPr="00C8701B">
        <w:rPr>
          <w:rFonts w:eastAsia="Arial Unicode MS"/>
          <w:bCs/>
          <w:lang w:eastAsia="fr-FR" w:bidi="he-IL"/>
        </w:rPr>
        <w:t>etc.</w:t>
      </w:r>
      <w:r w:rsidR="00C2602D" w:rsidRPr="00C8701B">
        <w:rPr>
          <w:rFonts w:eastAsia="Arial Unicode MS"/>
          <w:bCs/>
          <w:lang w:eastAsia="fr-FR" w:bidi="he-IL"/>
        </w:rPr>
        <w:t xml:space="preserve"> </w:t>
      </w:r>
    </w:p>
    <w:p w:rsidR="00C2602D" w:rsidRPr="00D62373" w:rsidRDefault="00B704AD" w:rsidP="00C2602D">
      <w:r w:rsidRPr="00D62373">
        <w:t>783</w:t>
      </w:r>
      <w:r w:rsidR="00605074" w:rsidRPr="00D62373">
        <w:t xml:space="preserve"> </w:t>
      </w:r>
      <w:r w:rsidRPr="00D62373">
        <w:t>u.</w:t>
      </w:r>
      <w:r w:rsidR="00F125AE" w:rsidRPr="00D62373">
        <w:t xml:space="preserve"> c</w:t>
      </w:r>
      <w:r w:rsidR="001E41D1" w:rsidRPr="00D62373">
        <w:t>.</w:t>
      </w:r>
      <w:r w:rsidR="00E65435" w:rsidRPr="00D62373">
        <w:t xml:space="preserve">, </w:t>
      </w:r>
      <w:r w:rsidRPr="00D62373">
        <w:t>30 de l</w:t>
      </w:r>
      <w:r w:rsidR="00557DE0" w:rsidRPr="00D62373">
        <w:t>’</w:t>
      </w:r>
      <w:r w:rsidRPr="00D62373">
        <w:t>ère vulgaire</w:t>
      </w:r>
      <w:r w:rsidR="00C2602D" w:rsidRPr="00D62373">
        <w:t> :</w:t>
      </w:r>
      <w:r w:rsidRPr="00D62373">
        <w:t xml:space="preserve"> </w:t>
      </w:r>
      <w:r w:rsidR="00F125AE" w:rsidRPr="00D62373">
        <w:t>Wieseler</w:t>
      </w:r>
      <w:r w:rsidR="00E65435" w:rsidRPr="00D62373">
        <w:t xml:space="preserve">, </w:t>
      </w:r>
      <w:r w:rsidRPr="00D62373">
        <w:t>Caspari</w:t>
      </w:r>
      <w:r w:rsidR="00E65435" w:rsidRPr="00D62373">
        <w:t xml:space="preserve">, </w:t>
      </w:r>
      <w:r w:rsidRPr="00D62373">
        <w:t>Friedlieb</w:t>
      </w:r>
      <w:r w:rsidR="00E65435" w:rsidRPr="00D62373">
        <w:t xml:space="preserve">, </w:t>
      </w:r>
      <w:r w:rsidRPr="00D62373">
        <w:t>Schegg</w:t>
      </w:r>
      <w:r w:rsidR="00E65435" w:rsidRPr="00D62373">
        <w:t xml:space="preserve">, </w:t>
      </w:r>
      <w:r w:rsidRPr="00D62373">
        <w:t>Bisping</w:t>
      </w:r>
      <w:r w:rsidR="00E65435" w:rsidRPr="00D62373">
        <w:t xml:space="preserve">, </w:t>
      </w:r>
      <w:r w:rsidRPr="00D62373">
        <w:t>M. Fouard</w:t>
      </w:r>
      <w:r w:rsidR="00E65435" w:rsidRPr="00D62373">
        <w:t xml:space="preserve">, </w:t>
      </w:r>
      <w:r w:rsidRPr="00D62373">
        <w:t>etc.</w:t>
      </w:r>
      <w:r w:rsidR="00C2602D" w:rsidRPr="00D62373">
        <w:t xml:space="preserve"> </w:t>
      </w:r>
    </w:p>
    <w:p w:rsidR="00C2602D" w:rsidRPr="00C8701B" w:rsidRDefault="00B704AD" w:rsidP="00C2602D">
      <w:pPr>
        <w:rPr>
          <w:rFonts w:eastAsia="Arial Unicode MS"/>
          <w:bCs/>
          <w:lang w:eastAsia="fr-FR" w:bidi="he-IL"/>
        </w:rPr>
      </w:pPr>
      <w:r w:rsidRPr="00C8701B">
        <w:rPr>
          <w:rFonts w:eastAsia="Arial Unicode MS"/>
          <w:lang w:eastAsia="fr-FR" w:bidi="he-IL"/>
        </w:rPr>
        <w:t>784</w:t>
      </w:r>
      <w:r w:rsidR="00605074" w:rsidRPr="00C8701B">
        <w:rPr>
          <w:rFonts w:eastAsia="Arial Unicode MS"/>
          <w:lang w:eastAsia="fr-FR" w:bidi="he-IL"/>
        </w:rPr>
        <w:t xml:space="preserve"> </w:t>
      </w:r>
      <w:r w:rsidRPr="00C8701B">
        <w:rPr>
          <w:rFonts w:eastAsia="Arial Unicode MS"/>
          <w:bCs/>
          <w:lang w:eastAsia="fr-FR" w:bidi="he-IL"/>
        </w:rPr>
        <w:t>u. c.</w:t>
      </w:r>
      <w:r w:rsidR="00E65435">
        <w:rPr>
          <w:rFonts w:eastAsia="Arial Unicode MS"/>
          <w:bCs/>
          <w:lang w:eastAsia="fr-FR" w:bidi="he-IL"/>
        </w:rPr>
        <w:t xml:space="preserve">, </w:t>
      </w:r>
      <w:r w:rsidRPr="00C8701B">
        <w:rPr>
          <w:rFonts w:eastAsia="Arial Unicode MS"/>
          <w:bCs/>
          <w:lang w:eastAsia="fr-FR" w:bidi="he-IL"/>
        </w:rPr>
        <w:t>31 de notre ère</w:t>
      </w:r>
      <w:r w:rsidR="00F125AE">
        <w:rPr>
          <w:rFonts w:eastAsia="Arial Unicode MS"/>
          <w:bCs/>
          <w:lang w:eastAsia="fr-FR" w:bidi="he-IL"/>
        </w:rPr>
        <w:t> </w:t>
      </w:r>
      <w:r w:rsidR="00C2602D" w:rsidRPr="00C8701B">
        <w:rPr>
          <w:rFonts w:eastAsia="Arial Unicode MS"/>
          <w:bCs/>
          <w:lang w:eastAsia="fr-FR" w:bidi="he-IL"/>
        </w:rPr>
        <w:t>:</w:t>
      </w:r>
      <w:r w:rsidRPr="00C8701B">
        <w:rPr>
          <w:rFonts w:eastAsia="Arial Unicode MS"/>
          <w:bCs/>
          <w:lang w:eastAsia="fr-FR" w:bidi="he-IL"/>
        </w:rPr>
        <w:t xml:space="preserve"> le P. Pétau</w:t>
      </w:r>
      <w:r w:rsidR="00E65435">
        <w:rPr>
          <w:rFonts w:eastAsia="Arial Unicode MS"/>
          <w:bCs/>
          <w:lang w:eastAsia="fr-FR" w:bidi="he-IL"/>
        </w:rPr>
        <w:t xml:space="preserve">, </w:t>
      </w:r>
      <w:r w:rsidR="00F125AE">
        <w:rPr>
          <w:rFonts w:eastAsia="Arial Unicode MS"/>
          <w:bCs/>
          <w:lang w:eastAsia="fr-FR" w:bidi="he-IL"/>
        </w:rPr>
        <w:t>A</w:t>
      </w:r>
      <w:r w:rsidRPr="00C8701B">
        <w:rPr>
          <w:rFonts w:eastAsia="Arial Unicode MS"/>
          <w:bCs/>
          <w:lang w:eastAsia="fr-FR" w:bidi="he-IL"/>
        </w:rPr>
        <w:t>nger</w:t>
      </w:r>
      <w:r w:rsidR="00E65435">
        <w:rPr>
          <w:rFonts w:eastAsia="Arial Unicode MS"/>
          <w:bCs/>
          <w:lang w:eastAsia="fr-FR" w:bidi="he-IL"/>
        </w:rPr>
        <w:t xml:space="preserve">, </w:t>
      </w:r>
      <w:r w:rsidRPr="00C8701B">
        <w:rPr>
          <w:rFonts w:eastAsia="Arial Unicode MS"/>
          <w:bCs/>
          <w:lang w:eastAsia="fr-FR" w:bidi="he-IL"/>
        </w:rPr>
        <w:t>Ljungberg</w:t>
      </w:r>
      <w:r w:rsidR="00E65435">
        <w:rPr>
          <w:rFonts w:eastAsia="Arial Unicode MS"/>
          <w:bCs/>
          <w:lang w:eastAsia="fr-FR" w:bidi="he-IL"/>
        </w:rPr>
        <w:t xml:space="preserve">, </w:t>
      </w:r>
      <w:r w:rsidRPr="00C8701B">
        <w:rPr>
          <w:rFonts w:eastAsia="Arial Unicode MS"/>
          <w:bCs/>
          <w:lang w:eastAsia="fr-FR" w:bidi="he-IL"/>
        </w:rPr>
        <w:t>etc.</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lang w:eastAsia="fr-FR" w:bidi="he-IL"/>
        </w:rPr>
        <w:t>785</w:t>
      </w:r>
      <w:r w:rsidR="00605074" w:rsidRPr="00C8701B">
        <w:rPr>
          <w:rFonts w:eastAsia="Arial Unicode MS"/>
          <w:lang w:eastAsia="fr-FR" w:bidi="he-IL"/>
        </w:rPr>
        <w:t xml:space="preserve"> </w:t>
      </w:r>
      <w:r w:rsidRPr="00C8701B">
        <w:rPr>
          <w:rFonts w:eastAsia="Arial Unicode MS"/>
          <w:bCs/>
          <w:lang w:eastAsia="fr-FR" w:bidi="he-IL"/>
        </w:rPr>
        <w:t>u. c.</w:t>
      </w:r>
      <w:r w:rsidR="00E65435">
        <w:rPr>
          <w:rFonts w:eastAsia="Arial Unicode MS"/>
          <w:bCs/>
          <w:lang w:eastAsia="fr-FR" w:bidi="he-IL"/>
        </w:rPr>
        <w:t xml:space="preserve">, </w:t>
      </w:r>
      <w:r w:rsidRPr="00C8701B">
        <w:rPr>
          <w:rFonts w:eastAsia="Arial Unicode MS"/>
          <w:bCs/>
          <w:lang w:eastAsia="fr-FR" w:bidi="he-IL"/>
        </w:rPr>
        <w:t>32 de notre ère</w:t>
      </w:r>
      <w:r w:rsidR="00C2602D" w:rsidRPr="00C8701B">
        <w:rPr>
          <w:rFonts w:eastAsia="Arial Unicode MS"/>
          <w:bCs/>
          <w:lang w:eastAsia="fr-FR" w:bidi="he-IL"/>
        </w:rPr>
        <w:t> :</w:t>
      </w:r>
      <w:r w:rsidRPr="00C8701B">
        <w:rPr>
          <w:rFonts w:eastAsia="Arial Unicode MS"/>
          <w:bCs/>
          <w:lang w:eastAsia="fr-FR" w:bidi="he-IL"/>
        </w:rPr>
        <w:t xml:space="preserve"> Baronius</w:t>
      </w:r>
      <w:r w:rsidR="00E65435">
        <w:rPr>
          <w:rFonts w:eastAsia="Arial Unicode MS"/>
          <w:bCs/>
          <w:lang w:eastAsia="fr-FR" w:bidi="he-IL"/>
        </w:rPr>
        <w:t xml:space="preserve">, </w:t>
      </w:r>
      <w:r w:rsidRPr="00C8701B">
        <w:rPr>
          <w:rFonts w:eastAsia="Arial Unicode MS"/>
          <w:bCs/>
          <w:lang w:eastAsia="fr-FR" w:bidi="he-IL"/>
        </w:rPr>
        <w:t>Weigel</w:t>
      </w:r>
      <w:r w:rsidR="00E65435">
        <w:rPr>
          <w:rFonts w:eastAsia="Arial Unicode MS"/>
          <w:bCs/>
          <w:lang w:eastAsia="fr-FR" w:bidi="he-IL"/>
        </w:rPr>
        <w:t xml:space="preserve">, </w:t>
      </w:r>
      <w:r w:rsidRPr="00C8701B">
        <w:rPr>
          <w:rFonts w:eastAsia="Arial Unicode MS"/>
          <w:bCs/>
          <w:lang w:eastAsia="fr-FR" w:bidi="he-IL"/>
        </w:rPr>
        <w:t>etc.</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lang w:eastAsia="fr-FR" w:bidi="he-IL"/>
        </w:rPr>
        <w:t>786</w:t>
      </w:r>
      <w:r w:rsidR="00605074" w:rsidRPr="00C8701B">
        <w:rPr>
          <w:rFonts w:eastAsia="Arial Unicode MS"/>
          <w:lang w:eastAsia="fr-FR" w:bidi="he-IL"/>
        </w:rPr>
        <w:t xml:space="preserve"> </w:t>
      </w:r>
      <w:r w:rsidRPr="00C8701B">
        <w:rPr>
          <w:rFonts w:eastAsia="Arial Unicode MS"/>
          <w:bCs/>
          <w:lang w:eastAsia="fr-FR" w:bidi="he-IL"/>
        </w:rPr>
        <w:t>u. c.</w:t>
      </w:r>
      <w:r w:rsidR="00E65435">
        <w:rPr>
          <w:rFonts w:eastAsia="Arial Unicode MS"/>
          <w:bCs/>
          <w:lang w:eastAsia="fr-FR" w:bidi="he-IL"/>
        </w:rPr>
        <w:t xml:space="preserve">, </w:t>
      </w:r>
      <w:r w:rsidRPr="00C8701B">
        <w:rPr>
          <w:rFonts w:eastAsia="Arial Unicode MS"/>
          <w:bCs/>
          <w:lang w:eastAsia="fr-FR" w:bidi="he-IL"/>
        </w:rPr>
        <w:t>33 de l</w:t>
      </w:r>
      <w:r w:rsidR="00557DE0">
        <w:rPr>
          <w:rFonts w:eastAsia="Arial Unicode MS"/>
          <w:bCs/>
          <w:lang w:eastAsia="fr-FR" w:bidi="he-IL"/>
        </w:rPr>
        <w:t>’</w:t>
      </w:r>
      <w:r w:rsidRPr="00C8701B">
        <w:rPr>
          <w:rFonts w:eastAsia="Arial Unicode MS"/>
          <w:bCs/>
          <w:lang w:eastAsia="fr-FR" w:bidi="he-IL"/>
        </w:rPr>
        <w:t>ère vulgaire</w:t>
      </w:r>
      <w:r w:rsidR="00C2602D" w:rsidRPr="00C8701B">
        <w:rPr>
          <w:rFonts w:eastAsia="Arial Unicode MS"/>
          <w:bCs/>
          <w:lang w:eastAsia="fr-FR" w:bidi="he-IL"/>
        </w:rPr>
        <w:t> :</w:t>
      </w:r>
      <w:r w:rsidRPr="00C8701B">
        <w:rPr>
          <w:rFonts w:eastAsia="Arial Unicode MS"/>
          <w:bCs/>
          <w:lang w:eastAsia="fr-FR" w:bidi="he-IL"/>
        </w:rPr>
        <w:t xml:space="preserve"> Scaliger</w:t>
      </w:r>
      <w:r w:rsidR="00E65435">
        <w:rPr>
          <w:rFonts w:eastAsia="Arial Unicode MS"/>
          <w:bCs/>
          <w:lang w:eastAsia="fr-FR" w:bidi="he-IL"/>
        </w:rPr>
        <w:t xml:space="preserve">, </w:t>
      </w:r>
      <w:r w:rsidRPr="00C8701B">
        <w:rPr>
          <w:rFonts w:eastAsia="Arial Unicode MS"/>
          <w:bCs/>
          <w:lang w:eastAsia="fr-FR" w:bidi="he-IL"/>
        </w:rPr>
        <w:t>Usher</w:t>
      </w:r>
      <w:r w:rsidR="00E65435">
        <w:rPr>
          <w:rFonts w:eastAsia="Arial Unicode MS"/>
          <w:bCs/>
          <w:lang w:eastAsia="fr-FR" w:bidi="he-IL"/>
        </w:rPr>
        <w:t xml:space="preserve">, </w:t>
      </w:r>
      <w:r w:rsidRPr="00C8701B">
        <w:rPr>
          <w:rFonts w:eastAsia="Arial Unicode MS"/>
          <w:bCs/>
          <w:lang w:eastAsia="fr-FR" w:bidi="he-IL"/>
        </w:rPr>
        <w:t>Hase</w:t>
      </w:r>
      <w:r w:rsidR="00E65435">
        <w:rPr>
          <w:rFonts w:eastAsia="Arial Unicode MS"/>
          <w:bCs/>
          <w:lang w:eastAsia="fr-FR" w:bidi="he-IL"/>
        </w:rPr>
        <w:t xml:space="preserve">, </w:t>
      </w:r>
      <w:r w:rsidRPr="00C8701B">
        <w:rPr>
          <w:rFonts w:eastAsia="Arial Unicode MS"/>
          <w:bCs/>
          <w:lang w:eastAsia="fr-FR" w:bidi="he-IL"/>
        </w:rPr>
        <w:t>Bosanquet</w:t>
      </w:r>
      <w:r w:rsidR="00E65435">
        <w:rPr>
          <w:rFonts w:eastAsia="Arial Unicode MS"/>
          <w:bCs/>
          <w:lang w:eastAsia="fr-FR" w:bidi="he-IL"/>
        </w:rPr>
        <w:t xml:space="preserve">, </w:t>
      </w:r>
      <w:r w:rsidR="00F125AE">
        <w:rPr>
          <w:rFonts w:eastAsia="Arial Unicode MS"/>
          <w:bCs/>
          <w:lang w:eastAsia="fr-FR" w:bidi="he-IL"/>
        </w:rPr>
        <w:t>M. Wall</w:t>
      </w:r>
      <w:r w:rsidRPr="00C8701B">
        <w:rPr>
          <w:rFonts w:eastAsia="Arial Unicode MS"/>
          <w:bCs/>
          <w:lang w:eastAsia="fr-FR" w:bidi="he-IL"/>
        </w:rPr>
        <w:t>on</w:t>
      </w:r>
      <w:r w:rsidR="00E65435">
        <w:rPr>
          <w:rFonts w:eastAsia="Arial Unicode MS"/>
          <w:bCs/>
          <w:lang w:eastAsia="fr-FR" w:bidi="he-IL"/>
        </w:rPr>
        <w:t xml:space="preserve">, </w:t>
      </w:r>
      <w:r w:rsidRPr="00C8701B">
        <w:rPr>
          <w:rFonts w:eastAsia="Arial Unicode MS"/>
          <w:bCs/>
          <w:lang w:eastAsia="fr-FR" w:bidi="he-IL"/>
        </w:rPr>
        <w:t>le P. Riess</w:t>
      </w:r>
      <w:r w:rsidR="00E65435">
        <w:rPr>
          <w:rFonts w:eastAsia="Arial Unicode MS"/>
          <w:bCs/>
          <w:lang w:eastAsia="fr-FR" w:bidi="he-IL"/>
        </w:rPr>
        <w:t xml:space="preserve">, </w:t>
      </w:r>
      <w:r w:rsidRPr="00C8701B">
        <w:rPr>
          <w:rFonts w:eastAsia="Arial Unicode MS"/>
          <w:bCs/>
          <w:lang w:eastAsia="fr-FR" w:bidi="he-IL"/>
        </w:rPr>
        <w:t>M. Mémain</w:t>
      </w:r>
      <w:r w:rsidR="00E65435">
        <w:rPr>
          <w:rFonts w:eastAsia="Arial Unicode MS"/>
          <w:bCs/>
          <w:lang w:eastAsia="fr-FR" w:bidi="he-IL"/>
        </w:rPr>
        <w:t xml:space="preserve">, </w:t>
      </w:r>
      <w:r w:rsidRPr="00C8701B">
        <w:rPr>
          <w:rFonts w:eastAsia="Arial Unicode MS"/>
          <w:bCs/>
          <w:lang w:eastAsia="fr-FR" w:bidi="he-IL"/>
        </w:rPr>
        <w:t>etc.</w:t>
      </w:r>
      <w:r w:rsidR="00C2602D" w:rsidRPr="00C8701B">
        <w:rPr>
          <w:rFonts w:eastAsia="Arial Unicode MS"/>
          <w:bCs/>
          <w:lang w:eastAsia="fr-FR" w:bidi="he-IL"/>
        </w:rPr>
        <w:t xml:space="preserve"> </w:t>
      </w:r>
    </w:p>
    <w:p w:rsidR="00C2602D" w:rsidRPr="00F125AE" w:rsidRDefault="00B704AD" w:rsidP="00C2602D">
      <w:r w:rsidRPr="00F125AE">
        <w:t>787</w:t>
      </w:r>
      <w:r w:rsidR="00605074" w:rsidRPr="00F125AE">
        <w:t xml:space="preserve"> </w:t>
      </w:r>
      <w:r w:rsidRPr="00F125AE">
        <w:t>u. c.</w:t>
      </w:r>
      <w:r w:rsidR="00E65435" w:rsidRPr="00F125AE">
        <w:t xml:space="preserve">, </w:t>
      </w:r>
      <w:r w:rsidRPr="00F125AE">
        <w:t>34 de l</w:t>
      </w:r>
      <w:r w:rsidR="00557DE0">
        <w:t>’</w:t>
      </w:r>
      <w:r w:rsidRPr="00F125AE">
        <w:t>ère vulgaire</w:t>
      </w:r>
      <w:r w:rsidR="00C2602D" w:rsidRPr="00F125AE">
        <w:t> :</w:t>
      </w:r>
      <w:r w:rsidRPr="00F125AE">
        <w:t xml:space="preserve"> S. Jérôme</w:t>
      </w:r>
      <w:r w:rsidR="00E65435" w:rsidRPr="00F125AE">
        <w:t xml:space="preserve">, </w:t>
      </w:r>
      <w:r w:rsidRPr="00F125AE">
        <w:t xml:space="preserve">les </w:t>
      </w:r>
      <w:r w:rsidRPr="00C8701B">
        <w:rPr>
          <w:rFonts w:eastAsia="Arial Unicode MS"/>
          <w:bCs/>
          <w:lang w:eastAsia="fr-FR" w:bidi="he-IL"/>
        </w:rPr>
        <w:t>D</w:t>
      </w:r>
      <w:r w:rsidR="00F125AE" w:rsidRPr="00F125AE">
        <w:rPr>
          <w:rFonts w:eastAsia="Arial Unicode MS"/>
          <w:bCs/>
          <w:vertAlign w:val="superscript"/>
          <w:lang w:eastAsia="fr-FR" w:bidi="he-IL"/>
        </w:rPr>
        <w:t>rs</w:t>
      </w:r>
      <w:r w:rsidRPr="00C8701B">
        <w:rPr>
          <w:rFonts w:eastAsia="Arial Unicode MS"/>
          <w:bCs/>
          <w:lang w:eastAsia="fr-FR" w:bidi="he-IL"/>
        </w:rPr>
        <w:t xml:space="preserve"> </w:t>
      </w:r>
      <w:r w:rsidRPr="00F125AE">
        <w:t>Volkmar</w:t>
      </w:r>
      <w:r w:rsidR="00E65435" w:rsidRPr="00F125AE">
        <w:t xml:space="preserve">, </w:t>
      </w:r>
      <w:r w:rsidR="00F125AE" w:rsidRPr="00F125AE">
        <w:t>Sevin</w:t>
      </w:r>
      <w:r w:rsidR="00E65435" w:rsidRPr="00F125AE">
        <w:t xml:space="preserve">, </w:t>
      </w:r>
      <w:r w:rsidRPr="00F125AE">
        <w:t>etc.</w:t>
      </w:r>
      <w:r w:rsidR="00C2602D" w:rsidRPr="00F125AE">
        <w:t xml:space="preserve"> </w:t>
      </w:r>
    </w:p>
    <w:p w:rsidR="00C2602D" w:rsidRPr="00F125AE" w:rsidRDefault="00B704AD" w:rsidP="00C2602D">
      <w:r w:rsidRPr="00F125AE">
        <w:t>788</w:t>
      </w:r>
      <w:r w:rsidR="00605074" w:rsidRPr="00F125AE">
        <w:t xml:space="preserve"> </w:t>
      </w:r>
      <w:r w:rsidRPr="00F125AE">
        <w:t>u. c.</w:t>
      </w:r>
      <w:r w:rsidR="00E65435" w:rsidRPr="00F125AE">
        <w:t xml:space="preserve">, </w:t>
      </w:r>
      <w:r w:rsidRPr="00F125AE">
        <w:t>35 de notre ère</w:t>
      </w:r>
      <w:r w:rsidR="00C2602D" w:rsidRPr="00F125AE">
        <w:t> :</w:t>
      </w:r>
      <w:r w:rsidRPr="00F125AE">
        <w:t xml:space="preserve"> Bunsen</w:t>
      </w:r>
      <w:r w:rsidR="00E65435" w:rsidRPr="00F125AE">
        <w:t xml:space="preserve">, </w:t>
      </w:r>
      <w:r w:rsidRPr="00F125AE">
        <w:t>Hausrath</w:t>
      </w:r>
      <w:r w:rsidR="00E65435" w:rsidRPr="00F125AE">
        <w:t xml:space="preserve">, </w:t>
      </w:r>
      <w:r w:rsidRPr="00F125AE">
        <w:t>Keim</w:t>
      </w:r>
      <w:r w:rsidR="00E65435" w:rsidRPr="00F125AE">
        <w:t xml:space="preserve">, </w:t>
      </w:r>
      <w:r w:rsidR="00F125AE" w:rsidRPr="00F125AE">
        <w:t>etc.</w:t>
      </w:r>
      <w:r w:rsidR="00C2602D" w:rsidRPr="00F125AE">
        <w:t xml:space="preserve"> </w:t>
      </w:r>
    </w:p>
    <w:p w:rsidR="00C2602D" w:rsidRPr="00F125AE" w:rsidRDefault="00B704AD" w:rsidP="00C2602D">
      <w:r w:rsidRPr="00F125AE">
        <w:t>789</w:t>
      </w:r>
      <w:r w:rsidR="00605074" w:rsidRPr="00F125AE">
        <w:t xml:space="preserve"> </w:t>
      </w:r>
      <w:r w:rsidRPr="00F125AE">
        <w:t>u. c.</w:t>
      </w:r>
      <w:r w:rsidR="00E65435" w:rsidRPr="00F125AE">
        <w:t xml:space="preserve">, </w:t>
      </w:r>
      <w:r w:rsidRPr="00F125AE">
        <w:t xml:space="preserve">36 de </w:t>
      </w:r>
      <w:r w:rsidR="00F125AE" w:rsidRPr="00F125AE">
        <w:t>notre</w:t>
      </w:r>
      <w:r w:rsidRPr="00F125AE">
        <w:t xml:space="preserve"> ère</w:t>
      </w:r>
      <w:r w:rsidR="00C2602D" w:rsidRPr="00F125AE">
        <w:t> :</w:t>
      </w:r>
      <w:r w:rsidRPr="00F125AE">
        <w:t xml:space="preserve"> Hitzig</w:t>
      </w:r>
      <w:r w:rsidR="00E65435" w:rsidRPr="00F125AE">
        <w:t xml:space="preserve">, </w:t>
      </w:r>
      <w:r w:rsidRPr="00F125AE">
        <w:t>etc.</w:t>
      </w:r>
      <w:r w:rsidR="00C2602D" w:rsidRPr="00F125AE">
        <w:t xml:space="preserve"> </w:t>
      </w:r>
    </w:p>
    <w:p w:rsidR="00F125AE" w:rsidRDefault="00F125AE" w:rsidP="00C2602D">
      <w:pPr>
        <w:rPr>
          <w:rFonts w:eastAsia="Arial Unicode MS"/>
          <w:bCs/>
          <w:lang w:eastAsia="fr-FR" w:bidi="he-IL"/>
        </w:rPr>
      </w:pPr>
    </w:p>
    <w:p w:rsidR="00C2602D" w:rsidRPr="00C8701B" w:rsidRDefault="00B704AD" w:rsidP="00C2602D">
      <w:pPr>
        <w:rPr>
          <w:rFonts w:eastAsia="Arial Unicode MS"/>
          <w:bCs/>
          <w:lang w:eastAsia="fr-FR" w:bidi="he-IL"/>
        </w:rPr>
      </w:pPr>
      <w:r w:rsidRPr="00C8701B">
        <w:rPr>
          <w:rFonts w:eastAsia="Arial Unicode MS"/>
          <w:bCs/>
          <w:lang w:eastAsia="fr-FR" w:bidi="he-IL"/>
        </w:rPr>
        <w:t>Comment expliquer de telles divergences</w:t>
      </w:r>
      <w:r w:rsidR="00C2602D" w:rsidRPr="00C8701B">
        <w:rPr>
          <w:rFonts w:eastAsia="Arial Unicode MS"/>
          <w:bCs/>
          <w:lang w:eastAsia="fr-FR" w:bidi="he-IL"/>
        </w:rPr>
        <w:t> ?</w:t>
      </w:r>
      <w:r w:rsidRPr="00C8701B">
        <w:rPr>
          <w:rFonts w:eastAsia="Arial Unicode MS"/>
          <w:bCs/>
          <w:lang w:eastAsia="fr-FR" w:bidi="he-IL"/>
        </w:rPr>
        <w:t xml:space="preserve"> Il faut</w:t>
      </w:r>
      <w:r w:rsidR="00E65435">
        <w:rPr>
          <w:rFonts w:eastAsia="Arial Unicode MS"/>
          <w:bCs/>
          <w:lang w:eastAsia="fr-FR" w:bidi="he-IL"/>
        </w:rPr>
        <w:t xml:space="preserve">, </w:t>
      </w:r>
      <w:r w:rsidRPr="00C8701B">
        <w:rPr>
          <w:rFonts w:eastAsia="Arial Unicode MS"/>
          <w:bCs/>
          <w:lang w:eastAsia="fr-FR" w:bidi="he-IL"/>
        </w:rPr>
        <w:t>évidemment</w:t>
      </w:r>
      <w:r w:rsidR="00E65435">
        <w:rPr>
          <w:rFonts w:eastAsia="Arial Unicode MS"/>
          <w:bCs/>
          <w:lang w:eastAsia="fr-FR" w:bidi="he-IL"/>
        </w:rPr>
        <w:t xml:space="preserve">, </w:t>
      </w:r>
      <w:r w:rsidRPr="00C8701B">
        <w:rPr>
          <w:rFonts w:eastAsia="Arial Unicode MS"/>
          <w:bCs/>
          <w:lang w:eastAsia="fr-FR" w:bidi="he-IL"/>
        </w:rPr>
        <w:t>que les bases des calculs</w:t>
      </w:r>
      <w:r w:rsidR="00E65435">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est-à-dire</w:t>
      </w:r>
      <w:r w:rsidR="00E65435">
        <w:rPr>
          <w:rFonts w:eastAsia="Arial Unicode MS"/>
          <w:bCs/>
          <w:lang w:eastAsia="fr-FR" w:bidi="he-IL"/>
        </w:rPr>
        <w:t xml:space="preserve">, </w:t>
      </w:r>
      <w:r w:rsidRPr="00C8701B">
        <w:rPr>
          <w:rFonts w:eastAsia="Arial Unicode MS"/>
          <w:bCs/>
          <w:lang w:eastAsia="fr-FR" w:bidi="he-IL"/>
        </w:rPr>
        <w:t>les données des écrivains sacrés</w:t>
      </w:r>
      <w:r w:rsidR="00E65435">
        <w:rPr>
          <w:rFonts w:eastAsia="Arial Unicode MS"/>
          <w:bCs/>
          <w:lang w:eastAsia="fr-FR" w:bidi="he-IL"/>
        </w:rPr>
        <w:t xml:space="preserve">, </w:t>
      </w:r>
      <w:r w:rsidRPr="00C8701B">
        <w:rPr>
          <w:rFonts w:eastAsia="Arial Unicode MS"/>
          <w:bCs/>
          <w:lang w:eastAsia="fr-FR" w:bidi="he-IL"/>
        </w:rPr>
        <w:t>soient assez flottantes</w:t>
      </w:r>
      <w:r w:rsidR="00E65435">
        <w:rPr>
          <w:rFonts w:eastAsia="Arial Unicode MS"/>
          <w:bCs/>
          <w:lang w:eastAsia="fr-FR" w:bidi="he-IL"/>
        </w:rPr>
        <w:t xml:space="preserve">, </w:t>
      </w:r>
      <w:r w:rsidRPr="00C8701B">
        <w:rPr>
          <w:rFonts w:eastAsia="Arial Unicode MS"/>
          <w:bCs/>
          <w:lang w:eastAsia="fr-FR" w:bidi="he-IL"/>
        </w:rPr>
        <w:t>puisque tous les auteurs que nous venons de citer prétendent s</w:t>
      </w:r>
      <w:r w:rsidR="00557DE0">
        <w:rPr>
          <w:rFonts w:eastAsia="Arial Unicode MS"/>
          <w:bCs/>
          <w:lang w:eastAsia="fr-FR" w:bidi="he-IL"/>
        </w:rPr>
        <w:t>’</w:t>
      </w:r>
      <w:r w:rsidRPr="00C8701B">
        <w:rPr>
          <w:rFonts w:eastAsia="Arial Unicode MS"/>
          <w:bCs/>
          <w:lang w:eastAsia="fr-FR" w:bidi="he-IL"/>
        </w:rPr>
        <w:t>appuyer sur elles pour établir leur opinion.</w:t>
      </w:r>
      <w:r w:rsidR="00C2602D" w:rsidRPr="00C8701B">
        <w:rPr>
          <w:rFonts w:eastAsia="Arial Unicode MS"/>
          <w:bCs/>
          <w:lang w:eastAsia="fr-FR" w:bidi="he-IL"/>
        </w:rPr>
        <w:t xml:space="preserve"> </w:t>
      </w:r>
    </w:p>
    <w:p w:rsidR="00F56B84" w:rsidRDefault="00B704AD" w:rsidP="00F56B84">
      <w:pPr>
        <w:rPr>
          <w:rFonts w:eastAsia="Arial Unicode MS"/>
          <w:bCs/>
          <w:lang w:eastAsia="fr-FR" w:bidi="he-IL"/>
        </w:rPr>
      </w:pPr>
      <w:r w:rsidRPr="00C8701B">
        <w:rPr>
          <w:rFonts w:eastAsia="Arial Unicode MS"/>
          <w:bCs/>
          <w:lang w:eastAsia="fr-FR" w:bidi="he-IL"/>
        </w:rPr>
        <w:t>Heureusement</w:t>
      </w:r>
      <w:r w:rsidR="00E65435">
        <w:rPr>
          <w:rFonts w:eastAsia="Arial Unicode MS"/>
          <w:bCs/>
          <w:lang w:eastAsia="fr-FR" w:bidi="he-IL"/>
        </w:rPr>
        <w:t xml:space="preserve">, </w:t>
      </w:r>
      <w:r w:rsidRPr="00C8701B">
        <w:rPr>
          <w:rFonts w:eastAsia="Arial Unicode MS"/>
          <w:bCs/>
          <w:lang w:eastAsia="fr-FR" w:bidi="he-IL"/>
        </w:rPr>
        <w:t>et la conduite des Pères le montre bien</w:t>
      </w:r>
      <w:r w:rsidR="00933C60" w:rsidRPr="00C406FF">
        <w:rPr>
          <w:rStyle w:val="Appelnotedebasdep"/>
        </w:rPr>
        <w:footnoteReference w:id="329"/>
      </w:r>
      <w:r w:rsidR="00E65435">
        <w:rPr>
          <w:rFonts w:eastAsia="Arial Unicode MS"/>
          <w:bCs/>
          <w:lang w:eastAsia="fr-FR" w:bidi="he-IL"/>
        </w:rPr>
        <w:t xml:space="preserve">, </w:t>
      </w:r>
      <w:r w:rsidRPr="00C8701B">
        <w:rPr>
          <w:rFonts w:eastAsia="Arial Unicode MS"/>
          <w:bCs/>
          <w:lang w:eastAsia="fr-FR" w:bidi="he-IL"/>
        </w:rPr>
        <w:t>cette question n</w:t>
      </w:r>
      <w:r w:rsidR="00557DE0">
        <w:rPr>
          <w:rFonts w:eastAsia="Arial Unicode MS"/>
          <w:bCs/>
          <w:lang w:eastAsia="fr-FR" w:bidi="he-IL"/>
        </w:rPr>
        <w:t>’</w:t>
      </w:r>
      <w:r w:rsidRPr="00C8701B">
        <w:rPr>
          <w:rFonts w:eastAsia="Arial Unicode MS"/>
          <w:bCs/>
          <w:lang w:eastAsia="fr-FR" w:bidi="he-IL"/>
        </w:rPr>
        <w:t xml:space="preserve">est nullement </w:t>
      </w:r>
      <w:r w:rsidR="00F56B84">
        <w:rPr>
          <w:rFonts w:eastAsia="Arial Unicode MS"/>
          <w:bCs/>
          <w:lang w:eastAsia="fr-FR" w:bidi="he-IL"/>
        </w:rPr>
        <w:t>v</w:t>
      </w:r>
      <w:r w:rsidRPr="00C8701B">
        <w:rPr>
          <w:rFonts w:eastAsia="Arial Unicode MS"/>
          <w:bCs/>
          <w:lang w:eastAsia="fr-FR" w:bidi="he-IL"/>
        </w:rPr>
        <w:t>itale pour l</w:t>
      </w:r>
      <w:r w:rsidR="00557DE0">
        <w:rPr>
          <w:rFonts w:eastAsia="Arial Unicode MS"/>
          <w:bCs/>
          <w:lang w:eastAsia="fr-FR" w:bidi="he-IL"/>
        </w:rPr>
        <w:t>’</w:t>
      </w:r>
      <w:r w:rsidRPr="00C8701B">
        <w:rPr>
          <w:rFonts w:eastAsia="Arial Unicode MS"/>
          <w:bCs/>
          <w:lang w:eastAsia="fr-FR" w:bidi="he-IL"/>
        </w:rPr>
        <w:t>histoire évangélique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elle est au contraire fort accessoire en elle-même</w:t>
      </w:r>
      <w:r w:rsidR="00E65435">
        <w:rPr>
          <w:rFonts w:eastAsia="Arial Unicode MS"/>
          <w:bCs/>
          <w:lang w:eastAsia="fr-FR" w:bidi="he-IL"/>
        </w:rPr>
        <w:t xml:space="preserve">, </w:t>
      </w:r>
      <w:r w:rsidRPr="00C8701B">
        <w:rPr>
          <w:rFonts w:eastAsia="Arial Unicode MS"/>
          <w:bCs/>
          <w:lang w:eastAsia="fr-FR" w:bidi="he-IL"/>
        </w:rPr>
        <w:t>à côté des actions et de la doctrine de N.-S Jésus-Chris</w:t>
      </w:r>
      <w:r w:rsidR="00F56B84">
        <w:rPr>
          <w:rFonts w:eastAsia="Arial Unicode MS"/>
          <w:bCs/>
          <w:lang w:eastAsia="fr-FR" w:bidi="he-IL"/>
        </w:rPr>
        <w:t>t c</w:t>
      </w:r>
      <w:r w:rsidRPr="00C8701B">
        <w:rPr>
          <w:rFonts w:eastAsia="Arial Unicode MS"/>
          <w:bCs/>
          <w:lang w:eastAsia="fr-FR" w:bidi="he-IL"/>
        </w:rPr>
        <w:t xml:space="preserve">ontenues dans les saints évangiles. </w:t>
      </w:r>
      <w:r w:rsidR="00C2602D" w:rsidRPr="00C8701B">
        <w:rPr>
          <w:rFonts w:eastAsia="Arial Unicode MS"/>
          <w:bCs/>
          <w:lang w:eastAsia="fr-FR" w:bidi="he-IL"/>
        </w:rPr>
        <w:t>« </w:t>
      </w:r>
      <w:r w:rsidRPr="00C8701B">
        <w:rPr>
          <w:rFonts w:eastAsia="Arial Unicode MS"/>
          <w:bCs/>
          <w:lang w:eastAsia="fr-FR" w:bidi="he-IL"/>
        </w:rPr>
        <w:t>Qu</w:t>
      </w:r>
      <w:r w:rsidR="00557DE0">
        <w:rPr>
          <w:rFonts w:eastAsia="Arial Unicode MS"/>
          <w:bCs/>
          <w:lang w:eastAsia="fr-FR" w:bidi="he-IL"/>
        </w:rPr>
        <w:t>’</w:t>
      </w:r>
      <w:r w:rsidRPr="00C8701B">
        <w:rPr>
          <w:rFonts w:eastAsia="Arial Unicode MS"/>
          <w:bCs/>
          <w:lang w:eastAsia="fr-FR" w:bidi="he-IL"/>
        </w:rPr>
        <w:t xml:space="preserve">il faille mettre quelques années plus tôt ou plus tard la naissance de </w:t>
      </w:r>
      <w:r w:rsidR="00E05F39">
        <w:rPr>
          <w:rFonts w:eastAsia="Arial Unicode MS"/>
          <w:bCs/>
          <w:lang w:eastAsia="fr-FR" w:bidi="he-IL"/>
        </w:rPr>
        <w:t>Notre-Seigneur</w:t>
      </w:r>
      <w:r w:rsidR="00E65435">
        <w:rPr>
          <w:rFonts w:eastAsia="Arial Unicode MS"/>
          <w:bCs/>
          <w:lang w:eastAsia="fr-FR" w:bidi="he-IL"/>
        </w:rPr>
        <w:t xml:space="preserve">, </w:t>
      </w:r>
      <w:r w:rsidRPr="00C8701B">
        <w:rPr>
          <w:rFonts w:eastAsia="Arial Unicode MS"/>
          <w:bCs/>
          <w:lang w:eastAsia="fr-FR" w:bidi="he-IL"/>
        </w:rPr>
        <w:t>et ensuite prolonger sa vie un peu plus ou un peu moins</w:t>
      </w:r>
      <w:r w:rsidR="00E65435">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 une diversité qui provient autant des incertitudes des années du monde que de celles de Jésus-</w:t>
      </w:r>
      <w:r w:rsidR="00F56B84">
        <w:rPr>
          <w:rFonts w:eastAsia="Arial Unicode MS"/>
          <w:bCs/>
          <w:lang w:eastAsia="fr-FR" w:bidi="he-IL"/>
        </w:rPr>
        <w:t>Christ</w:t>
      </w:r>
      <w:r w:rsidRPr="00C8701B">
        <w:rPr>
          <w:rFonts w:eastAsia="Arial Unicode MS"/>
          <w:bCs/>
          <w:lang w:eastAsia="fr-FR" w:bidi="he-IL"/>
        </w:rPr>
        <w:t>. Et quoi qu</w:t>
      </w:r>
      <w:r w:rsidR="00557DE0">
        <w:rPr>
          <w:rFonts w:eastAsia="Arial Unicode MS"/>
          <w:bCs/>
          <w:lang w:eastAsia="fr-FR" w:bidi="he-IL"/>
        </w:rPr>
        <w:t>’</w:t>
      </w:r>
      <w:r w:rsidRPr="00C8701B">
        <w:rPr>
          <w:rFonts w:eastAsia="Arial Unicode MS"/>
          <w:bCs/>
          <w:lang w:eastAsia="fr-FR" w:bidi="he-IL"/>
        </w:rPr>
        <w:t>il en soit</w:t>
      </w:r>
      <w:r w:rsidR="00E65435">
        <w:rPr>
          <w:rFonts w:eastAsia="Arial Unicode MS"/>
          <w:bCs/>
          <w:lang w:eastAsia="fr-FR" w:bidi="he-IL"/>
        </w:rPr>
        <w:t xml:space="preserve">, </w:t>
      </w:r>
      <w:r w:rsidRPr="00C8701B">
        <w:rPr>
          <w:rFonts w:eastAsia="Arial Unicode MS"/>
          <w:bCs/>
          <w:lang w:eastAsia="fr-FR" w:bidi="he-IL"/>
        </w:rPr>
        <w:t>un lecteur attentif aura déjà pu reconnaître qu</w:t>
      </w:r>
      <w:r w:rsidR="00557DE0">
        <w:rPr>
          <w:rFonts w:eastAsia="Arial Unicode MS"/>
          <w:bCs/>
          <w:lang w:eastAsia="fr-FR" w:bidi="he-IL"/>
        </w:rPr>
        <w:t>’</w:t>
      </w:r>
      <w:r w:rsidRPr="00C8701B">
        <w:rPr>
          <w:rFonts w:eastAsia="Arial Unicode MS"/>
          <w:bCs/>
          <w:lang w:eastAsia="fr-FR" w:bidi="he-IL"/>
        </w:rPr>
        <w:t>elle ne fait rien à la suite ni à l</w:t>
      </w:r>
      <w:r w:rsidR="00557DE0">
        <w:rPr>
          <w:rFonts w:eastAsia="Arial Unicode MS"/>
          <w:bCs/>
          <w:lang w:eastAsia="fr-FR" w:bidi="he-IL"/>
        </w:rPr>
        <w:t>’</w:t>
      </w:r>
      <w:r w:rsidRPr="00C8701B">
        <w:rPr>
          <w:rFonts w:eastAsia="Arial Unicode MS"/>
          <w:bCs/>
          <w:lang w:eastAsia="fr-FR" w:bidi="he-IL"/>
        </w:rPr>
        <w:t>accomplissement des conseils de Dieu. Il faut éviter les anachronismes qui brouillent l</w:t>
      </w:r>
      <w:r w:rsidR="00557DE0">
        <w:rPr>
          <w:rFonts w:eastAsia="Arial Unicode MS"/>
          <w:bCs/>
          <w:lang w:eastAsia="fr-FR" w:bidi="he-IL"/>
        </w:rPr>
        <w:t>’</w:t>
      </w:r>
      <w:r w:rsidRPr="00C8701B">
        <w:rPr>
          <w:rFonts w:eastAsia="Arial Unicode MS"/>
          <w:bCs/>
          <w:lang w:eastAsia="fr-FR" w:bidi="he-IL"/>
        </w:rPr>
        <w:t>ordre des affaires</w:t>
      </w:r>
      <w:r w:rsidR="00E65435">
        <w:rPr>
          <w:rFonts w:eastAsia="Arial Unicode MS"/>
          <w:bCs/>
          <w:lang w:eastAsia="fr-FR" w:bidi="he-IL"/>
        </w:rPr>
        <w:t xml:space="preserve">, </w:t>
      </w:r>
      <w:r w:rsidRPr="00C8701B">
        <w:rPr>
          <w:rFonts w:eastAsia="Arial Unicode MS"/>
          <w:bCs/>
          <w:lang w:eastAsia="fr-FR" w:bidi="he-IL"/>
        </w:rPr>
        <w:t>et laisse</w:t>
      </w:r>
      <w:r w:rsidR="00F56B84">
        <w:rPr>
          <w:rFonts w:eastAsia="Arial Unicode MS"/>
          <w:bCs/>
          <w:lang w:eastAsia="fr-FR" w:bidi="he-IL"/>
        </w:rPr>
        <w:t>r les savants disputer les autres. »</w:t>
      </w:r>
      <w:r w:rsidR="00933C60" w:rsidRPr="00C406FF">
        <w:rPr>
          <w:rStyle w:val="Appelnotedebasdep"/>
        </w:rPr>
        <w:footnoteReference w:id="330"/>
      </w:r>
      <w:r w:rsidR="00C14040">
        <w:rPr>
          <w:rFonts w:eastAsia="Arial Unicode MS"/>
          <w:bCs/>
          <w:lang w:eastAsia="fr-FR" w:bidi="he-IL"/>
        </w:rPr>
        <w:t xml:space="preserve"> </w:t>
      </w:r>
      <w:r w:rsidR="00C14040" w:rsidRPr="000716BB">
        <w:rPr>
          <w:rFonts w:eastAsia="Arial Unicode MS"/>
          <w:bCs/>
          <w:lang w:eastAsia="fr-FR" w:bidi="he-IL"/>
        </w:rPr>
        <w:t>{</w:t>
      </w:r>
      <w:r w:rsidR="00C14040">
        <w:rPr>
          <w:rFonts w:eastAsia="Arial Unicode MS"/>
          <w:bCs/>
          <w:lang w:eastAsia="fr-FR" w:bidi="he-IL"/>
        </w:rPr>
        <w:t>64</w:t>
      </w:r>
      <w:bookmarkStart w:id="103" w:name="pag064"/>
      <w:bookmarkEnd w:id="103"/>
      <w:r w:rsidR="00C14040" w:rsidRPr="000716BB">
        <w:rPr>
          <w:rFonts w:eastAsia="Arial Unicode MS"/>
          <w:bCs/>
          <w:lang w:eastAsia="fr-FR" w:bidi="he-IL"/>
        </w:rPr>
        <w:t>}</w:t>
      </w:r>
    </w:p>
    <w:p w:rsidR="00C2602D" w:rsidRPr="00C8701B" w:rsidRDefault="00F56B84" w:rsidP="00F56B84">
      <w:pPr>
        <w:rPr>
          <w:rFonts w:eastAsia="Arial Unicode MS"/>
          <w:bCs/>
          <w:lang w:eastAsia="fr-FR" w:bidi="he-IL"/>
        </w:rPr>
      </w:pPr>
      <w:r>
        <w:rPr>
          <w:rFonts w:eastAsia="Arial Unicode MS"/>
          <w:bCs/>
          <w:lang w:eastAsia="fr-FR" w:bidi="he-IL"/>
        </w:rPr>
        <w:t>Il</w:t>
      </w:r>
      <w:r w:rsidR="00B704AD" w:rsidRPr="00C8701B">
        <w:rPr>
          <w:rFonts w:eastAsia="Arial Unicode MS"/>
          <w:bCs/>
          <w:lang w:eastAsia="fr-FR" w:bidi="he-IL"/>
        </w:rPr>
        <w:t xml:space="preserve"> importe</w:t>
      </w:r>
      <w:r w:rsidR="00E65435">
        <w:rPr>
          <w:rFonts w:eastAsia="Arial Unicode MS"/>
          <w:bCs/>
          <w:lang w:eastAsia="fr-FR" w:bidi="he-IL"/>
        </w:rPr>
        <w:t xml:space="preserve">, </w:t>
      </w:r>
      <w:r w:rsidR="00B704AD" w:rsidRPr="00C8701B">
        <w:rPr>
          <w:rFonts w:eastAsia="Arial Unicode MS"/>
          <w:bCs/>
          <w:lang w:eastAsia="fr-FR" w:bidi="he-IL"/>
        </w:rPr>
        <w:t>néanmoins</w:t>
      </w:r>
      <w:r w:rsidR="00E65435">
        <w:rPr>
          <w:rFonts w:eastAsia="Arial Unicode MS"/>
          <w:bCs/>
          <w:lang w:eastAsia="fr-FR" w:bidi="he-IL"/>
        </w:rPr>
        <w:t xml:space="preserve">, </w:t>
      </w:r>
      <w:r w:rsidR="00B704AD" w:rsidRPr="00C8701B">
        <w:rPr>
          <w:rFonts w:eastAsia="Arial Unicode MS"/>
          <w:bCs/>
          <w:lang w:eastAsia="fr-FR" w:bidi="he-IL"/>
        </w:rPr>
        <w:t>par respect pour l</w:t>
      </w:r>
      <w:r w:rsidR="00557DE0">
        <w:rPr>
          <w:rFonts w:eastAsia="Arial Unicode MS"/>
          <w:bCs/>
          <w:lang w:eastAsia="fr-FR" w:bidi="he-IL"/>
        </w:rPr>
        <w:t>’</w:t>
      </w:r>
      <w:r w:rsidR="00B704AD" w:rsidRPr="00C8701B">
        <w:rPr>
          <w:rFonts w:eastAsia="Arial Unicode MS"/>
          <w:bCs/>
          <w:lang w:eastAsia="fr-FR" w:bidi="he-IL"/>
        </w:rPr>
        <w:t>évangile et pour la vie de</w:t>
      </w:r>
      <w:r w:rsidR="00E65435">
        <w:rPr>
          <w:rFonts w:eastAsia="Arial Unicode MS"/>
          <w:bCs/>
          <w:lang w:eastAsia="fr-FR" w:bidi="he-IL"/>
        </w:rPr>
        <w:t xml:space="preserve"> </w:t>
      </w:r>
      <w:r w:rsidR="00B704AD" w:rsidRPr="00C8701B">
        <w:rPr>
          <w:rFonts w:eastAsia="Arial Unicode MS"/>
          <w:bCs/>
          <w:lang w:eastAsia="fr-FR" w:bidi="he-IL"/>
        </w:rPr>
        <w:t>Jesus</w:t>
      </w:r>
      <w:r w:rsidR="00E65435">
        <w:rPr>
          <w:rFonts w:eastAsia="Arial Unicode MS"/>
          <w:bCs/>
          <w:lang w:eastAsia="fr-FR" w:bidi="he-IL"/>
        </w:rPr>
        <w:t xml:space="preserve">, </w:t>
      </w:r>
      <w:r w:rsidR="00B704AD" w:rsidRPr="00C8701B">
        <w:rPr>
          <w:rFonts w:eastAsia="Arial Unicode MS"/>
          <w:bCs/>
          <w:lang w:eastAsia="fr-FR" w:bidi="he-IL"/>
        </w:rPr>
        <w:t>que nous cherchions à</w:t>
      </w:r>
      <w:r>
        <w:rPr>
          <w:rFonts w:eastAsia="Arial Unicode MS"/>
          <w:bCs/>
          <w:lang w:eastAsia="fr-FR" w:bidi="he-IL"/>
        </w:rPr>
        <w:t xml:space="preserve"> </w:t>
      </w:r>
      <w:r w:rsidR="00B704AD" w:rsidRPr="00C8701B">
        <w:rPr>
          <w:rFonts w:eastAsia="Arial Unicode MS"/>
          <w:bCs/>
          <w:lang w:eastAsia="fr-FR" w:bidi="he-IL"/>
        </w:rPr>
        <w:t>nous approcher le plus possible de la vérité</w:t>
      </w:r>
      <w:r w:rsidR="00E65435">
        <w:rPr>
          <w:rFonts w:eastAsia="Arial Unicode MS"/>
          <w:bCs/>
          <w:lang w:eastAsia="fr-FR" w:bidi="he-IL"/>
        </w:rPr>
        <w:t xml:space="preserve">, </w:t>
      </w:r>
      <w:r w:rsidR="00B704AD" w:rsidRPr="00C8701B">
        <w:rPr>
          <w:rFonts w:eastAsia="Arial Unicode MS"/>
          <w:bCs/>
          <w:lang w:eastAsia="fr-FR" w:bidi="he-IL"/>
        </w:rPr>
        <w:t>même sur ce point secondaire.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Au reste</w:t>
      </w:r>
      <w:r w:rsidR="00E65435">
        <w:rPr>
          <w:rFonts w:eastAsia="Arial Unicode MS"/>
          <w:bCs/>
          <w:lang w:eastAsia="fr-FR" w:bidi="he-IL"/>
        </w:rPr>
        <w:t xml:space="preserve">, </w:t>
      </w:r>
      <w:r w:rsidRPr="00C8701B">
        <w:rPr>
          <w:rFonts w:eastAsia="Arial Unicode MS"/>
          <w:bCs/>
          <w:lang w:eastAsia="fr-FR" w:bidi="he-IL"/>
        </w:rPr>
        <w:t>la difficulté consiste plutôt à fixer d</w:t>
      </w:r>
      <w:r w:rsidR="00557DE0">
        <w:rPr>
          <w:rFonts w:eastAsia="Arial Unicode MS"/>
          <w:bCs/>
          <w:lang w:eastAsia="fr-FR" w:bidi="he-IL"/>
        </w:rPr>
        <w:t>’</w:t>
      </w:r>
      <w:r w:rsidRPr="00C8701B">
        <w:rPr>
          <w:rFonts w:eastAsia="Arial Unicode MS"/>
          <w:bCs/>
          <w:lang w:eastAsia="fr-FR" w:bidi="he-IL"/>
        </w:rPr>
        <w:t>une manière approximative les dates principales de la vie de N.-S. Jésus-Christ</w:t>
      </w:r>
      <w:r w:rsidR="00E65435">
        <w:rPr>
          <w:rFonts w:eastAsia="Arial Unicode MS"/>
          <w:bCs/>
          <w:lang w:eastAsia="fr-FR" w:bidi="he-IL"/>
        </w:rPr>
        <w:t xml:space="preserve">, </w:t>
      </w:r>
      <w:r w:rsidRPr="00C8701B">
        <w:rPr>
          <w:rFonts w:eastAsia="Arial Unicode MS"/>
          <w:bCs/>
          <w:lang w:eastAsia="fr-FR" w:bidi="he-IL"/>
        </w:rPr>
        <w:t>qu</w:t>
      </w:r>
      <w:r w:rsidR="00557DE0">
        <w:rPr>
          <w:rFonts w:eastAsia="Arial Unicode MS"/>
          <w:bCs/>
          <w:lang w:eastAsia="fr-FR" w:bidi="he-IL"/>
        </w:rPr>
        <w:t>’</w:t>
      </w:r>
      <w:r w:rsidRPr="00C8701B">
        <w:rPr>
          <w:rFonts w:eastAsia="Arial Unicode MS"/>
          <w:bCs/>
          <w:lang w:eastAsia="fr-FR" w:bidi="he-IL"/>
        </w:rPr>
        <w:t>à les établir avec une certitude rigoureusement mathématique</w:t>
      </w:r>
      <w:r w:rsidR="00C2602D" w:rsidRPr="00C8701B">
        <w:rPr>
          <w:rFonts w:eastAsia="Arial Unicode MS"/>
          <w:bCs/>
          <w:lang w:eastAsia="fr-FR" w:bidi="he-IL"/>
        </w:rPr>
        <w:t> :</w:t>
      </w:r>
      <w:r w:rsidRPr="00C8701B">
        <w:rPr>
          <w:rFonts w:eastAsia="Arial Unicode MS"/>
          <w:bCs/>
          <w:lang w:eastAsia="fr-FR" w:bidi="he-IL"/>
        </w:rPr>
        <w:t xml:space="preserve"> le premier point est relativement clair et aisé</w:t>
      </w:r>
      <w:r w:rsidR="00933C60" w:rsidRPr="00C406FF">
        <w:rPr>
          <w:rStyle w:val="Appelnotedebasdep"/>
        </w:rPr>
        <w:footnoteReference w:id="331"/>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 le second qui est obscur</w:t>
      </w:r>
      <w:r w:rsidR="00E65435">
        <w:rPr>
          <w:rFonts w:eastAsia="Arial Unicode MS"/>
          <w:bCs/>
          <w:lang w:eastAsia="fr-FR" w:bidi="he-IL"/>
        </w:rPr>
        <w:t xml:space="preserve">, </w:t>
      </w:r>
      <w:r w:rsidRPr="00C8701B">
        <w:rPr>
          <w:rFonts w:eastAsia="Arial Unicode MS"/>
          <w:bCs/>
          <w:lang w:eastAsia="fr-FR" w:bidi="he-IL"/>
        </w:rPr>
        <w:t>et tel est sans doute le motif pour lequel il a passionné un si grand nombre de savants.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Les volumes composés sur cette question dépassent le chiffre de cent</w:t>
      </w:r>
      <w:r w:rsidR="00933C60" w:rsidRPr="00C406FF">
        <w:rPr>
          <w:rStyle w:val="Appelnotedebasdep"/>
        </w:rPr>
        <w:footnoteReference w:id="332"/>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les simples dissertations</w:t>
      </w:r>
      <w:r w:rsidR="00E65435">
        <w:rPr>
          <w:rFonts w:eastAsia="Arial Unicode MS"/>
          <w:bCs/>
          <w:lang w:eastAsia="fr-FR" w:bidi="he-IL"/>
        </w:rPr>
        <w:t xml:space="preserve">, </w:t>
      </w:r>
      <w:r w:rsidRPr="00C8701B">
        <w:rPr>
          <w:rFonts w:eastAsia="Arial Unicode MS"/>
          <w:bCs/>
          <w:lang w:eastAsia="fr-FR" w:bidi="he-IL"/>
        </w:rPr>
        <w:t xml:space="preserve">celui de mille. Parmi les auteurs contemporains que nous avons mis plus ou </w:t>
      </w:r>
      <w:r w:rsidR="00F56B84">
        <w:rPr>
          <w:rFonts w:eastAsia="Arial Unicode MS"/>
          <w:bCs/>
          <w:lang w:eastAsia="fr-FR" w:bidi="he-IL"/>
        </w:rPr>
        <w:t>moins à profit pour composer ces</w:t>
      </w:r>
      <w:r w:rsidRPr="00C8701B">
        <w:rPr>
          <w:rFonts w:eastAsia="Arial Unicode MS"/>
          <w:bCs/>
          <w:lang w:eastAsia="fr-FR" w:bidi="he-IL"/>
        </w:rPr>
        <w:t xml:space="preserve"> pages</w:t>
      </w:r>
      <w:r w:rsidR="00E65435">
        <w:rPr>
          <w:rFonts w:eastAsia="Arial Unicode MS"/>
          <w:bCs/>
          <w:lang w:eastAsia="fr-FR" w:bidi="he-IL"/>
        </w:rPr>
        <w:t xml:space="preserve">, </w:t>
      </w:r>
      <w:r w:rsidRPr="00C8701B">
        <w:rPr>
          <w:rFonts w:eastAsia="Arial Unicode MS"/>
          <w:bCs/>
          <w:lang w:eastAsia="fr-FR" w:bidi="he-IL"/>
        </w:rPr>
        <w:t>nous citerons surtout Wieseler</w:t>
      </w:r>
      <w:r w:rsidR="00933C60" w:rsidRPr="00C406FF">
        <w:rPr>
          <w:rStyle w:val="Appelnotedebasdep"/>
        </w:rPr>
        <w:footnoteReference w:id="333"/>
      </w:r>
      <w:r w:rsidR="00E65435">
        <w:rPr>
          <w:rFonts w:eastAsia="Arial Unicode MS"/>
          <w:bCs/>
          <w:lang w:eastAsia="fr-FR" w:bidi="he-IL"/>
        </w:rPr>
        <w:t xml:space="preserve">, </w:t>
      </w:r>
      <w:r w:rsidR="00F56B84">
        <w:rPr>
          <w:rFonts w:eastAsia="Arial Unicode MS"/>
          <w:bCs/>
          <w:lang w:eastAsia="fr-FR" w:bidi="he-IL"/>
        </w:rPr>
        <w:t>Sey</w:t>
      </w:r>
      <w:r w:rsidRPr="00C8701B">
        <w:rPr>
          <w:rFonts w:eastAsia="Arial Unicode MS"/>
          <w:bCs/>
          <w:lang w:eastAsia="fr-FR" w:bidi="he-IL"/>
        </w:rPr>
        <w:t>ffarth</w:t>
      </w:r>
      <w:r w:rsidR="00933C60" w:rsidRPr="00C406FF">
        <w:rPr>
          <w:rStyle w:val="Appelnotedebasdep"/>
        </w:rPr>
        <w:footnoteReference w:id="334"/>
      </w:r>
      <w:r w:rsidR="00E65435">
        <w:rPr>
          <w:rFonts w:eastAsia="Arial Unicode MS"/>
          <w:bCs/>
          <w:lang w:eastAsia="fr-FR" w:bidi="he-IL"/>
        </w:rPr>
        <w:t xml:space="preserve">, </w:t>
      </w:r>
      <w:r w:rsidRPr="00C8701B">
        <w:rPr>
          <w:rFonts w:eastAsia="Arial Unicode MS"/>
          <w:bCs/>
          <w:lang w:eastAsia="fr-FR" w:bidi="he-IL"/>
        </w:rPr>
        <w:t>le P. Patrizi</w:t>
      </w:r>
      <w:r w:rsidR="00933C60" w:rsidRPr="00C406FF">
        <w:rPr>
          <w:rStyle w:val="Appelnotedebasdep"/>
        </w:rPr>
        <w:footnoteReference w:id="335"/>
      </w:r>
      <w:r w:rsidR="00E65435">
        <w:rPr>
          <w:rFonts w:eastAsia="Arial Unicode MS"/>
          <w:bCs/>
          <w:lang w:eastAsia="fr-FR" w:bidi="he-IL"/>
        </w:rPr>
        <w:t xml:space="preserve">, </w:t>
      </w:r>
      <w:r w:rsidRPr="00C8701B">
        <w:rPr>
          <w:rFonts w:eastAsia="Arial Unicode MS"/>
          <w:bCs/>
          <w:lang w:eastAsia="fr-FR" w:bidi="he-IL"/>
        </w:rPr>
        <w:t>le P. Ammer</w:t>
      </w:r>
      <w:r w:rsidR="00933C60" w:rsidRPr="00C406FF">
        <w:rPr>
          <w:rStyle w:val="Appelnotedebasdep"/>
        </w:rPr>
        <w:footnoteReference w:id="336"/>
      </w:r>
      <w:r w:rsidR="00E65435">
        <w:rPr>
          <w:rFonts w:eastAsia="Arial Unicode MS"/>
          <w:bCs/>
          <w:lang w:eastAsia="fr-FR" w:bidi="he-IL"/>
        </w:rPr>
        <w:t xml:space="preserve">, </w:t>
      </w:r>
      <w:r w:rsidRPr="00C8701B">
        <w:rPr>
          <w:rFonts w:eastAsia="Arial Unicode MS"/>
          <w:bCs/>
          <w:lang w:eastAsia="fr-FR" w:bidi="he-IL"/>
        </w:rPr>
        <w:t>M. Chavannes</w:t>
      </w:r>
      <w:r w:rsidR="00933C60" w:rsidRPr="00C406FF">
        <w:rPr>
          <w:rStyle w:val="Appelnotedebasdep"/>
        </w:rPr>
        <w:footnoteReference w:id="337"/>
      </w:r>
      <w:r w:rsidR="00E65435">
        <w:rPr>
          <w:rFonts w:eastAsia="Arial Unicode MS"/>
          <w:bCs/>
          <w:lang w:eastAsia="fr-FR" w:bidi="he-IL"/>
        </w:rPr>
        <w:t xml:space="preserve">, </w:t>
      </w:r>
      <w:r w:rsidRPr="00C8701B">
        <w:rPr>
          <w:rFonts w:eastAsia="Arial Unicode MS"/>
          <w:bCs/>
          <w:lang w:eastAsia="fr-FR" w:bidi="he-IL"/>
        </w:rPr>
        <w:t>les D</w:t>
      </w:r>
      <w:r w:rsidRPr="00C8701B">
        <w:rPr>
          <w:rFonts w:eastAsia="Arial Unicode MS"/>
          <w:bCs/>
          <w:vertAlign w:val="superscript"/>
          <w:lang w:eastAsia="fr-FR" w:bidi="he-IL"/>
        </w:rPr>
        <w:t>r</w:t>
      </w:r>
      <w:r w:rsidR="00F56B84">
        <w:rPr>
          <w:rFonts w:eastAsia="Arial Unicode MS"/>
          <w:bCs/>
          <w:vertAlign w:val="superscript"/>
          <w:lang w:eastAsia="fr-FR" w:bidi="he-IL"/>
        </w:rPr>
        <w:t>s</w:t>
      </w:r>
      <w:r w:rsidRPr="00C8701B">
        <w:rPr>
          <w:rFonts w:eastAsia="Arial Unicode MS"/>
          <w:bCs/>
          <w:lang w:eastAsia="fr-FR" w:bidi="he-IL"/>
        </w:rPr>
        <w:t xml:space="preserve"> Zumpt</w:t>
      </w:r>
      <w:r w:rsidR="00933C60" w:rsidRPr="00C406FF">
        <w:rPr>
          <w:rStyle w:val="Appelnotedebasdep"/>
        </w:rPr>
        <w:footnoteReference w:id="338"/>
      </w:r>
      <w:r w:rsidR="00E65435">
        <w:rPr>
          <w:rFonts w:eastAsia="Arial Unicode MS"/>
          <w:bCs/>
          <w:lang w:eastAsia="fr-FR" w:bidi="he-IL"/>
        </w:rPr>
        <w:t xml:space="preserve">, </w:t>
      </w:r>
      <w:r w:rsidRPr="00C8701B">
        <w:rPr>
          <w:rFonts w:eastAsia="Arial Unicode MS"/>
          <w:bCs/>
          <w:lang w:eastAsia="fr-FR" w:bidi="he-IL"/>
        </w:rPr>
        <w:t>Caspari</w:t>
      </w:r>
      <w:r w:rsidR="00933C60" w:rsidRPr="00C406FF">
        <w:rPr>
          <w:rStyle w:val="Appelnotedebasdep"/>
        </w:rPr>
        <w:footnoteReference w:id="339"/>
      </w:r>
      <w:r w:rsidR="00E65435">
        <w:rPr>
          <w:rFonts w:eastAsia="Arial Unicode MS"/>
          <w:bCs/>
          <w:lang w:val="el-GR" w:eastAsia="fr-FR" w:bidi="he-IL"/>
        </w:rPr>
        <w:t xml:space="preserve">, </w:t>
      </w:r>
      <w:r w:rsidRPr="00C8701B">
        <w:rPr>
          <w:rFonts w:eastAsia="Arial Unicode MS"/>
          <w:bCs/>
          <w:lang w:eastAsia="fr-FR" w:bidi="he-IL"/>
        </w:rPr>
        <w:t>Sevin</w:t>
      </w:r>
      <w:r w:rsidR="00933C60" w:rsidRPr="00C406FF">
        <w:rPr>
          <w:rStyle w:val="Appelnotedebasdep"/>
        </w:rPr>
        <w:footnoteReference w:id="340"/>
      </w:r>
      <w:r w:rsidR="00E65435">
        <w:rPr>
          <w:rFonts w:eastAsia="Arial Unicode MS"/>
          <w:bCs/>
          <w:lang w:eastAsia="fr-FR" w:bidi="he-IL"/>
        </w:rPr>
        <w:t xml:space="preserve">, </w:t>
      </w:r>
      <w:r w:rsidRPr="00C8701B">
        <w:rPr>
          <w:rFonts w:eastAsia="Arial Unicode MS"/>
          <w:bCs/>
          <w:lang w:eastAsia="fr-FR" w:bidi="he-IL"/>
        </w:rPr>
        <w:t>Ljungberg</w:t>
      </w:r>
      <w:r w:rsidR="00933C60" w:rsidRPr="00C406FF">
        <w:rPr>
          <w:rStyle w:val="Appelnotedebasdep"/>
        </w:rPr>
        <w:footnoteReference w:id="341"/>
      </w:r>
      <w:r w:rsidR="00E65435">
        <w:rPr>
          <w:rFonts w:eastAsia="Arial Unicode MS"/>
          <w:bCs/>
          <w:lang w:eastAsia="fr-FR" w:bidi="he-IL"/>
        </w:rPr>
        <w:t xml:space="preserve">, </w:t>
      </w:r>
      <w:r w:rsidRPr="00C8701B">
        <w:rPr>
          <w:rFonts w:eastAsia="Arial Unicode MS"/>
          <w:bCs/>
          <w:lang w:eastAsia="fr-FR" w:bidi="he-IL"/>
        </w:rPr>
        <w:t>le</w:t>
      </w:r>
      <w:r w:rsidR="00F56B84">
        <w:rPr>
          <w:rFonts w:eastAsia="Arial Unicode MS"/>
          <w:bCs/>
          <w:lang w:eastAsia="fr-FR" w:bidi="he-IL"/>
        </w:rPr>
        <w:t xml:space="preserve"> </w:t>
      </w:r>
      <w:r w:rsidRPr="00C8701B">
        <w:rPr>
          <w:rFonts w:eastAsia="Arial Unicode MS"/>
          <w:bCs/>
          <w:lang w:eastAsia="fr-FR" w:bidi="he-IL"/>
        </w:rPr>
        <w:t>P. F. Riess</w:t>
      </w:r>
      <w:r w:rsidR="00933C60" w:rsidRPr="00C406FF">
        <w:rPr>
          <w:rStyle w:val="Appelnotedebasdep"/>
        </w:rPr>
        <w:footnoteReference w:id="342"/>
      </w:r>
      <w:r w:rsidR="00E65435">
        <w:rPr>
          <w:rFonts w:eastAsia="Arial Unicode MS"/>
          <w:bCs/>
          <w:lang w:eastAsia="fr-FR" w:bidi="he-IL"/>
        </w:rPr>
        <w:t xml:space="preserve">, </w:t>
      </w:r>
      <w:r w:rsidRPr="00C8701B">
        <w:rPr>
          <w:rFonts w:eastAsia="Arial Unicode MS"/>
          <w:bCs/>
          <w:lang w:eastAsia="fr-FR" w:bidi="he-IL"/>
        </w:rPr>
        <w:t>M. Schegg</w:t>
      </w:r>
      <w:r w:rsidR="00933C60" w:rsidRPr="00C406FF">
        <w:rPr>
          <w:rStyle w:val="Appelnotedebasdep"/>
        </w:rPr>
        <w:footnoteReference w:id="343"/>
      </w:r>
      <w:r w:rsidR="00E65435">
        <w:rPr>
          <w:rFonts w:eastAsia="Arial Unicode MS"/>
          <w:bCs/>
          <w:lang w:eastAsia="fr-FR" w:bidi="he-IL"/>
        </w:rPr>
        <w:t xml:space="preserve">, </w:t>
      </w:r>
      <w:r w:rsidRPr="00C8701B">
        <w:rPr>
          <w:rFonts w:eastAsia="Arial Unicode MS"/>
          <w:bCs/>
          <w:lang w:eastAsia="fr-FR" w:bidi="he-IL"/>
        </w:rPr>
        <w:t>M. le chanoine Mémain</w:t>
      </w:r>
      <w:r w:rsidR="00933C60" w:rsidRPr="00C406FF">
        <w:rPr>
          <w:rStyle w:val="Appelnotedebasdep"/>
        </w:rPr>
        <w:footnoteReference w:id="344"/>
      </w:r>
      <w:r w:rsidR="00E65435">
        <w:rPr>
          <w:rFonts w:eastAsia="Arial Unicode MS"/>
          <w:bCs/>
          <w:lang w:eastAsia="fr-FR" w:bidi="he-IL"/>
        </w:rPr>
        <w:t xml:space="preserve">, </w:t>
      </w:r>
      <w:r w:rsidRPr="00C8701B">
        <w:rPr>
          <w:rFonts w:eastAsia="Arial Unicode MS"/>
          <w:bCs/>
          <w:lang w:eastAsia="fr-FR" w:bidi="he-IL"/>
        </w:rPr>
        <w:t>et d</w:t>
      </w:r>
      <w:r w:rsidR="00557DE0">
        <w:rPr>
          <w:rFonts w:eastAsia="Arial Unicode MS"/>
          <w:bCs/>
          <w:lang w:eastAsia="fr-FR" w:bidi="he-IL"/>
        </w:rPr>
        <w:t>’</w:t>
      </w:r>
      <w:r w:rsidRPr="00C8701B">
        <w:rPr>
          <w:rFonts w:eastAsia="Arial Unicode MS"/>
          <w:bCs/>
          <w:lang w:eastAsia="fr-FR" w:bidi="he-IL"/>
        </w:rPr>
        <w:t xml:space="preserve">excellentes pages de </w:t>
      </w:r>
      <w:r w:rsidR="00DF5BCD" w:rsidRPr="00C8701B">
        <w:rPr>
          <w:rFonts w:eastAsia="Arial Unicode MS"/>
          <w:bCs/>
          <w:lang w:eastAsia="fr-FR" w:bidi="he-IL"/>
        </w:rPr>
        <w:t>M</w:t>
      </w:r>
      <w:r w:rsidR="00DF5BCD">
        <w:rPr>
          <w:rFonts w:eastAsia="Arial Unicode MS"/>
          <w:bCs/>
          <w:lang w:eastAsia="fr-FR" w:bidi="he-IL"/>
        </w:rPr>
        <w:t xml:space="preserve">. H. </w:t>
      </w:r>
      <w:r w:rsidRPr="00C8701B">
        <w:rPr>
          <w:rFonts w:eastAsia="Arial Unicode MS"/>
          <w:bCs/>
          <w:lang w:eastAsia="fr-FR" w:bidi="he-IL"/>
        </w:rPr>
        <w:t>Wallon</w:t>
      </w:r>
      <w:r w:rsidR="00933C60" w:rsidRPr="00C406FF">
        <w:rPr>
          <w:rStyle w:val="Appelnotedebasdep"/>
        </w:rPr>
        <w:footnoteReference w:id="345"/>
      </w:r>
      <w:r w:rsidR="00E65435">
        <w:rPr>
          <w:rFonts w:eastAsia="Arial Unicode MS"/>
          <w:bCs/>
          <w:lang w:eastAsia="fr-FR" w:bidi="he-IL"/>
        </w:rPr>
        <w:t xml:space="preserve">, </w:t>
      </w:r>
      <w:r w:rsidRPr="00C8701B">
        <w:rPr>
          <w:rFonts w:eastAsia="Arial Unicode MS"/>
          <w:bCs/>
          <w:lang w:eastAsia="fr-FR" w:bidi="he-IL"/>
        </w:rPr>
        <w:t xml:space="preserve">de MM. </w:t>
      </w:r>
      <w:r w:rsidR="00F56B84" w:rsidRPr="00C8701B">
        <w:rPr>
          <w:rFonts w:eastAsia="Arial Unicode MS"/>
          <w:bCs/>
          <w:lang w:eastAsia="fr-FR" w:bidi="he-IL"/>
        </w:rPr>
        <w:t>Fouard</w:t>
      </w:r>
      <w:r w:rsidR="00933C60" w:rsidRPr="00C406FF">
        <w:rPr>
          <w:rStyle w:val="Appelnotedebasdep"/>
        </w:rPr>
        <w:footnoteReference w:id="346"/>
      </w:r>
      <w:r w:rsidRPr="00C8701B">
        <w:rPr>
          <w:rFonts w:eastAsia="Arial Unicode MS"/>
          <w:bCs/>
          <w:lang w:eastAsia="fr-FR" w:bidi="he-IL"/>
        </w:rPr>
        <w:t xml:space="preserve"> et Schanz</w:t>
      </w:r>
      <w:r w:rsidR="00933C60" w:rsidRPr="00C406FF">
        <w:rPr>
          <w:rStyle w:val="Appelnotedebasdep"/>
        </w:rPr>
        <w:footnoteReference w:id="347"/>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Nous avons à chercher trois dates principales</w:t>
      </w:r>
      <w:r w:rsidR="00C2602D" w:rsidRPr="00C8701B">
        <w:rPr>
          <w:rFonts w:eastAsia="Arial Unicode MS"/>
          <w:bCs/>
          <w:lang w:eastAsia="fr-FR" w:bidi="he-IL"/>
        </w:rPr>
        <w:t> :</w:t>
      </w:r>
      <w:r w:rsidRPr="00C8701B">
        <w:rPr>
          <w:rFonts w:eastAsia="Arial Unicode MS"/>
          <w:bCs/>
          <w:lang w:eastAsia="fr-FR" w:bidi="he-IL"/>
        </w:rPr>
        <w:t xml:space="preserve"> Quand Jésus-Christ est</w:t>
      </w:r>
      <w:r w:rsidR="00F56B84">
        <w:rPr>
          <w:rFonts w:eastAsia="Arial Unicode MS"/>
          <w:bCs/>
          <w:lang w:eastAsia="fr-FR" w:bidi="he-IL"/>
        </w:rPr>
        <w:t>-</w:t>
      </w:r>
      <w:r w:rsidRPr="00C8701B">
        <w:rPr>
          <w:rFonts w:eastAsia="Arial Unicode MS"/>
          <w:bCs/>
          <w:lang w:eastAsia="fr-FR" w:bidi="he-IL"/>
        </w:rPr>
        <w:t>il né</w:t>
      </w:r>
      <w:r w:rsidR="00C2602D" w:rsidRPr="00C8701B">
        <w:rPr>
          <w:rFonts w:eastAsia="Arial Unicode MS"/>
          <w:bCs/>
          <w:lang w:eastAsia="fr-FR" w:bidi="he-IL"/>
        </w:rPr>
        <w:t> ?</w:t>
      </w:r>
      <w:r w:rsidRPr="00C8701B">
        <w:rPr>
          <w:rFonts w:eastAsia="Arial Unicode MS"/>
          <w:bCs/>
          <w:lang w:eastAsia="fr-FR" w:bidi="he-IL"/>
        </w:rPr>
        <w:t xml:space="preserve"> </w:t>
      </w:r>
      <w:r w:rsidR="00C14040" w:rsidRPr="000716BB">
        <w:rPr>
          <w:rFonts w:eastAsia="Arial Unicode MS"/>
          <w:bCs/>
          <w:lang w:eastAsia="fr-FR" w:bidi="he-IL"/>
        </w:rPr>
        <w:t>{</w:t>
      </w:r>
      <w:r w:rsidR="00C14040">
        <w:rPr>
          <w:rFonts w:eastAsia="Arial Unicode MS"/>
          <w:bCs/>
          <w:lang w:eastAsia="fr-FR" w:bidi="he-IL"/>
        </w:rPr>
        <w:t>65</w:t>
      </w:r>
      <w:bookmarkStart w:id="104" w:name="pag065"/>
      <w:bookmarkEnd w:id="104"/>
      <w:r w:rsidR="00C14040" w:rsidRPr="000716BB">
        <w:rPr>
          <w:rFonts w:eastAsia="Arial Unicode MS"/>
          <w:bCs/>
          <w:lang w:eastAsia="fr-FR" w:bidi="he-IL"/>
        </w:rPr>
        <w:t xml:space="preserve">} </w:t>
      </w:r>
      <w:r w:rsidRPr="00C8701B">
        <w:rPr>
          <w:rFonts w:eastAsia="Arial Unicode MS"/>
          <w:bCs/>
          <w:lang w:eastAsia="fr-FR" w:bidi="he-IL"/>
        </w:rPr>
        <w:t>En quelle année a commencé son ministère public</w:t>
      </w:r>
      <w:r w:rsidR="00C2602D" w:rsidRPr="00C8701B">
        <w:rPr>
          <w:rFonts w:eastAsia="Arial Unicode MS"/>
          <w:bCs/>
          <w:lang w:eastAsia="fr-FR" w:bidi="he-IL"/>
        </w:rPr>
        <w:t> ?</w:t>
      </w:r>
      <w:r w:rsidR="00F56B84">
        <w:rPr>
          <w:rFonts w:eastAsia="Arial Unicode MS"/>
          <w:bCs/>
          <w:lang w:eastAsia="fr-FR" w:bidi="he-IL"/>
        </w:rPr>
        <w:t xml:space="preserve"> Quelle fut l</w:t>
      </w:r>
      <w:r w:rsidR="00557DE0">
        <w:rPr>
          <w:rFonts w:eastAsia="Arial Unicode MS"/>
          <w:bCs/>
          <w:lang w:eastAsia="fr-FR" w:bidi="he-IL"/>
        </w:rPr>
        <w:t>’</w:t>
      </w:r>
      <w:r w:rsidRPr="00C8701B">
        <w:rPr>
          <w:rFonts w:eastAsia="Arial Unicode MS"/>
          <w:bCs/>
          <w:lang w:eastAsia="fr-FR" w:bidi="he-IL"/>
        </w:rPr>
        <w:t>année de sa mort</w:t>
      </w:r>
      <w:r w:rsidR="00C2602D" w:rsidRPr="00C8701B">
        <w:rPr>
          <w:rFonts w:eastAsia="Arial Unicode MS"/>
          <w:bCs/>
          <w:lang w:eastAsia="fr-FR" w:bidi="he-IL"/>
        </w:rPr>
        <w:t xml:space="preserve"> ? </w:t>
      </w:r>
    </w:p>
    <w:p w:rsidR="00C2602D" w:rsidRPr="00F56B84" w:rsidRDefault="00B704AD" w:rsidP="00F56B84">
      <w:pPr>
        <w:pStyle w:val="Titre5"/>
      </w:pPr>
      <w:r w:rsidRPr="00F56B84">
        <w:t>I.</w:t>
      </w:r>
      <w:r w:rsidR="000F7DAA" w:rsidRPr="00F56B84">
        <w:t xml:space="preserve"> —</w:t>
      </w:r>
      <w:r w:rsidR="008D0642" w:rsidRPr="00F56B84">
        <w:t xml:space="preserve"> </w:t>
      </w:r>
      <w:r w:rsidR="001A4F8D" w:rsidRPr="00F56B84">
        <w:t>L</w:t>
      </w:r>
      <w:r w:rsidR="001A4F8D">
        <w:t>’</w:t>
      </w:r>
      <w:r w:rsidR="001A4F8D" w:rsidRPr="00F56B84">
        <w:t xml:space="preserve">année </w:t>
      </w:r>
      <w:r w:rsidR="001A4F8D">
        <w:t>de la naissance de</w:t>
      </w:r>
      <w:r w:rsidR="001A4F8D" w:rsidRPr="00F56B84">
        <w:t xml:space="preserve"> N.-S. Jésus-Christ</w:t>
      </w:r>
      <w:bookmarkStart w:id="105" w:name="evin0801"/>
      <w:bookmarkEnd w:id="105"/>
      <w:r w:rsidR="001A4F8D" w:rsidRPr="00F56B84">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Rappelons d</w:t>
      </w:r>
      <w:r w:rsidR="00557DE0">
        <w:rPr>
          <w:rFonts w:eastAsia="Arial Unicode MS"/>
          <w:bCs/>
          <w:lang w:eastAsia="fr-FR" w:bidi="he-IL"/>
        </w:rPr>
        <w:t>’</w:t>
      </w:r>
      <w:r w:rsidRPr="00C8701B">
        <w:rPr>
          <w:rFonts w:eastAsia="Arial Unicode MS"/>
          <w:bCs/>
          <w:lang w:eastAsia="fr-FR" w:bidi="he-IL"/>
        </w:rPr>
        <w:t>abord que c</w:t>
      </w:r>
      <w:r w:rsidR="00557DE0">
        <w:rPr>
          <w:rFonts w:eastAsia="Arial Unicode MS"/>
          <w:bCs/>
          <w:lang w:eastAsia="fr-FR" w:bidi="he-IL"/>
        </w:rPr>
        <w:t>’</w:t>
      </w:r>
      <w:r w:rsidRPr="00C8701B">
        <w:rPr>
          <w:rFonts w:eastAsia="Arial Unicode MS"/>
          <w:bCs/>
          <w:lang w:eastAsia="fr-FR" w:bidi="he-IL"/>
        </w:rPr>
        <w:t>est à Denys-le-Petit</w:t>
      </w:r>
      <w:r w:rsidR="00E65435">
        <w:rPr>
          <w:rFonts w:eastAsia="Arial Unicode MS"/>
          <w:bCs/>
          <w:lang w:eastAsia="fr-FR" w:bidi="he-IL"/>
        </w:rPr>
        <w:t xml:space="preserve">, </w:t>
      </w:r>
      <w:r w:rsidRPr="00C8701B">
        <w:rPr>
          <w:rFonts w:eastAsia="Arial Unicode MS"/>
          <w:bCs/>
          <w:lang w:eastAsia="fr-FR" w:bidi="he-IL"/>
        </w:rPr>
        <w:t xml:space="preserve">abbé romain qui vivait au milieu du </w:t>
      </w:r>
      <w:r w:rsidR="00F56B84">
        <w:rPr>
          <w:rFonts w:eastAsia="Arial Unicode MS"/>
          <w:bCs/>
          <w:lang w:eastAsia="fr-FR" w:bidi="he-IL"/>
        </w:rPr>
        <w:t>VIe</w:t>
      </w:r>
      <w:r w:rsidRPr="00C8701B">
        <w:rPr>
          <w:rFonts w:eastAsia="Arial Unicode MS"/>
          <w:bCs/>
          <w:lang w:eastAsia="fr-FR" w:bidi="he-IL"/>
        </w:rPr>
        <w:t xml:space="preserve"> siècle</w:t>
      </w:r>
      <w:r w:rsidR="00E65435">
        <w:rPr>
          <w:rFonts w:eastAsia="Arial Unicode MS"/>
          <w:bCs/>
          <w:lang w:eastAsia="fr-FR" w:bidi="he-IL"/>
        </w:rPr>
        <w:t xml:space="preserve">, </w:t>
      </w:r>
      <w:r w:rsidRPr="00C8701B">
        <w:rPr>
          <w:rFonts w:eastAsia="Arial Unicode MS"/>
          <w:bCs/>
          <w:lang w:eastAsia="fr-FR" w:bidi="he-IL"/>
        </w:rPr>
        <w:t>que nous devons l</w:t>
      </w:r>
      <w:r w:rsidR="00557DE0">
        <w:rPr>
          <w:rFonts w:eastAsia="Arial Unicode MS"/>
          <w:bCs/>
          <w:lang w:eastAsia="fr-FR" w:bidi="he-IL"/>
        </w:rPr>
        <w:t>’</w:t>
      </w:r>
      <w:r w:rsidRPr="00C8701B">
        <w:rPr>
          <w:rFonts w:eastAsia="Arial Unicode MS"/>
          <w:bCs/>
          <w:lang w:eastAsia="fr-FR" w:bidi="he-IL"/>
        </w:rPr>
        <w:t>origine de l</w:t>
      </w:r>
      <w:r w:rsidR="00557DE0">
        <w:rPr>
          <w:rFonts w:eastAsia="Arial Unicode MS"/>
          <w:bCs/>
          <w:lang w:eastAsia="fr-FR" w:bidi="he-IL"/>
        </w:rPr>
        <w:t>’</w:t>
      </w:r>
      <w:r w:rsidRPr="00C8701B">
        <w:rPr>
          <w:rFonts w:eastAsia="Arial Unicode MS"/>
          <w:bCs/>
          <w:lang w:eastAsia="fr-FR" w:bidi="he-IL"/>
        </w:rPr>
        <w:t>ère dite vulgaire</w:t>
      </w:r>
      <w:r w:rsidR="00E65435">
        <w:rPr>
          <w:rFonts w:eastAsia="Arial Unicode MS"/>
          <w:bCs/>
          <w:lang w:eastAsia="fr-FR" w:bidi="he-IL"/>
        </w:rPr>
        <w:t xml:space="preserve">, </w:t>
      </w:r>
      <w:r w:rsidRPr="00C8701B">
        <w:rPr>
          <w:rFonts w:eastAsia="Arial Unicode MS"/>
          <w:bCs/>
          <w:lang w:eastAsia="fr-FR" w:bidi="he-IL"/>
        </w:rPr>
        <w:t>parfois appelée</w:t>
      </w:r>
      <w:r w:rsidR="00E65435">
        <w:rPr>
          <w:rFonts w:eastAsia="Arial Unicode MS"/>
          <w:bCs/>
          <w:lang w:eastAsia="fr-FR" w:bidi="he-IL"/>
        </w:rPr>
        <w:t xml:space="preserve">, </w:t>
      </w:r>
      <w:r w:rsidRPr="00C8701B">
        <w:rPr>
          <w:rFonts w:eastAsia="Arial Unicode MS"/>
          <w:bCs/>
          <w:lang w:eastAsia="fr-FR" w:bidi="he-IL"/>
        </w:rPr>
        <w:t>de son nom</w:t>
      </w:r>
      <w:r w:rsidR="00C2602D" w:rsidRPr="00C8701B">
        <w:rPr>
          <w:rFonts w:eastAsia="Arial Unicode MS"/>
          <w:bCs/>
          <w:lang w:eastAsia="fr-FR" w:bidi="he-IL"/>
        </w:rPr>
        <w:t> :</w:t>
      </w:r>
      <w:r w:rsidR="00F56B84">
        <w:rPr>
          <w:rStyle w:val="italicus"/>
        </w:rPr>
        <w:t xml:space="preserve"> æ</w:t>
      </w:r>
      <w:r w:rsidR="00DF496C">
        <w:rPr>
          <w:rStyle w:val="italicus"/>
        </w:rPr>
        <w:t>ra dyonisí</w:t>
      </w:r>
      <w:r w:rsidRPr="00DC4586">
        <w:rPr>
          <w:rStyle w:val="italicus"/>
        </w:rPr>
        <w:t>aca.</w:t>
      </w:r>
      <w:r w:rsidR="00C2602D" w:rsidRPr="00C8701B">
        <w:rPr>
          <w:rFonts w:eastAsia="Arial Unicode MS"/>
          <w:bCs/>
          <w:lang w:eastAsia="fr-FR" w:bidi="he-IL"/>
        </w:rPr>
        <w:t xml:space="preserve"> </w:t>
      </w:r>
    </w:p>
    <w:p w:rsidR="00C2602D" w:rsidRDefault="00B704AD" w:rsidP="00C2602D">
      <w:pPr>
        <w:rPr>
          <w:rFonts w:eastAsia="Arial Unicode MS"/>
          <w:bCs/>
          <w:lang w:eastAsia="fr-FR" w:bidi="he-IL"/>
        </w:rPr>
      </w:pPr>
      <w:r w:rsidRPr="00C8701B">
        <w:rPr>
          <w:rFonts w:eastAsia="Arial Unicode MS"/>
          <w:bCs/>
          <w:lang w:eastAsia="fr-FR" w:bidi="he-IL"/>
        </w:rPr>
        <w:t>Jusqu</w:t>
      </w:r>
      <w:r w:rsidR="00557DE0">
        <w:rPr>
          <w:rFonts w:eastAsia="Arial Unicode MS"/>
          <w:bCs/>
          <w:lang w:eastAsia="fr-FR" w:bidi="he-IL"/>
        </w:rPr>
        <w:t>’</w:t>
      </w:r>
      <w:r w:rsidRPr="00C8701B">
        <w:rPr>
          <w:rFonts w:eastAsia="Arial Unicode MS"/>
          <w:bCs/>
          <w:lang w:eastAsia="fr-FR" w:bidi="he-IL"/>
        </w:rPr>
        <w:t>à lui</w:t>
      </w:r>
      <w:r w:rsidR="00E65435">
        <w:rPr>
          <w:rFonts w:eastAsia="Arial Unicode MS"/>
          <w:bCs/>
          <w:lang w:eastAsia="fr-FR" w:bidi="he-IL"/>
        </w:rPr>
        <w:t xml:space="preserve">, </w:t>
      </w:r>
      <w:r w:rsidRPr="00C8701B">
        <w:rPr>
          <w:rFonts w:eastAsia="Arial Unicode MS"/>
          <w:bCs/>
          <w:lang w:eastAsia="fr-FR" w:bidi="he-IL"/>
        </w:rPr>
        <w:t>on avait supputé les années ecclésiastiques d</w:t>
      </w:r>
      <w:r w:rsidR="00557DE0">
        <w:rPr>
          <w:rFonts w:eastAsia="Arial Unicode MS"/>
          <w:bCs/>
          <w:lang w:eastAsia="fr-FR" w:bidi="he-IL"/>
        </w:rPr>
        <w:t>’</w:t>
      </w:r>
      <w:r w:rsidRPr="00C8701B">
        <w:rPr>
          <w:rFonts w:eastAsia="Arial Unicode MS"/>
          <w:bCs/>
          <w:lang w:eastAsia="fr-FR" w:bidi="he-IL"/>
        </w:rPr>
        <w:t>après l</w:t>
      </w:r>
      <w:r w:rsidR="00557DE0">
        <w:rPr>
          <w:rFonts w:eastAsia="Arial Unicode MS"/>
          <w:bCs/>
          <w:lang w:eastAsia="fr-FR" w:bidi="he-IL"/>
        </w:rPr>
        <w:t>’</w:t>
      </w:r>
      <w:r w:rsidRPr="00C8701B">
        <w:rPr>
          <w:rFonts w:eastAsia="Arial Unicode MS"/>
          <w:bCs/>
          <w:lang w:eastAsia="fr-FR" w:bidi="he-IL"/>
        </w:rPr>
        <w:t>ère dioclétienne</w:t>
      </w:r>
      <w:r w:rsidR="00E65435">
        <w:rPr>
          <w:rFonts w:eastAsia="Arial Unicode MS"/>
          <w:bCs/>
          <w:lang w:eastAsia="fr-FR" w:bidi="he-IL"/>
        </w:rPr>
        <w:t xml:space="preserve">, </w:t>
      </w:r>
      <w:r w:rsidRPr="00C8701B">
        <w:rPr>
          <w:rFonts w:eastAsia="Arial Unicode MS"/>
          <w:bCs/>
          <w:lang w:eastAsia="fr-FR" w:bidi="he-IL"/>
        </w:rPr>
        <w:t>nommée aussi</w:t>
      </w:r>
      <w:r w:rsidR="00E37C84">
        <w:rPr>
          <w:rFonts w:eastAsia="Arial Unicode MS"/>
          <w:bCs/>
          <w:lang w:eastAsia="fr-FR" w:bidi="he-IL"/>
        </w:rPr>
        <w:t xml:space="preserve"> « </w:t>
      </w:r>
      <w:r w:rsidR="00F56B84">
        <w:rPr>
          <w:rFonts w:eastAsia="Arial Unicode MS"/>
          <w:bCs/>
          <w:lang w:eastAsia="fr-FR" w:bidi="he-IL"/>
        </w:rPr>
        <w:t>ère des martyrs »</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mais l</w:t>
      </w:r>
      <w:r w:rsidR="00557DE0">
        <w:rPr>
          <w:rFonts w:eastAsia="Arial Unicode MS"/>
          <w:bCs/>
          <w:lang w:eastAsia="fr-FR" w:bidi="he-IL"/>
        </w:rPr>
        <w:t>’</w:t>
      </w:r>
      <w:r w:rsidRPr="00C8701B">
        <w:rPr>
          <w:rFonts w:eastAsia="Arial Unicode MS"/>
          <w:bCs/>
          <w:lang w:eastAsia="fr-FR" w:bidi="he-IL"/>
        </w:rPr>
        <w:t>abbé Denys eut l</w:t>
      </w:r>
      <w:r w:rsidR="00557DE0">
        <w:rPr>
          <w:rFonts w:eastAsia="Arial Unicode MS"/>
          <w:bCs/>
          <w:lang w:eastAsia="fr-FR" w:bidi="he-IL"/>
        </w:rPr>
        <w:t>’</w:t>
      </w:r>
      <w:r w:rsidRPr="00C8701B">
        <w:rPr>
          <w:rFonts w:eastAsia="Arial Unicode MS"/>
          <w:bCs/>
          <w:lang w:eastAsia="fr-FR" w:bidi="he-IL"/>
        </w:rPr>
        <w:t>heureuse pensée de réaliser d</w:t>
      </w:r>
      <w:r w:rsidR="00557DE0">
        <w:rPr>
          <w:rFonts w:eastAsia="Arial Unicode MS"/>
          <w:bCs/>
          <w:lang w:eastAsia="fr-FR" w:bidi="he-IL"/>
        </w:rPr>
        <w:t>’</w:t>
      </w:r>
      <w:r w:rsidRPr="00C8701B">
        <w:rPr>
          <w:rFonts w:eastAsia="Arial Unicode MS"/>
          <w:bCs/>
          <w:lang w:eastAsia="fr-FR" w:bidi="he-IL"/>
        </w:rPr>
        <w:t>une façon nouvelle la si riche expression d</w:t>
      </w:r>
      <w:r w:rsidR="00F56B84">
        <w:rPr>
          <w:rFonts w:eastAsia="Arial Unicode MS"/>
          <w:bCs/>
          <w:lang w:eastAsia="fr-FR" w:bidi="he-IL"/>
        </w:rPr>
        <w:t>e S</w:t>
      </w:r>
      <w:r w:rsidRPr="00C8701B">
        <w:rPr>
          <w:rFonts w:eastAsia="Arial Unicode MS"/>
          <w:bCs/>
          <w:lang w:eastAsia="fr-FR" w:bidi="he-IL"/>
        </w:rPr>
        <w:t>. Paul</w:t>
      </w:r>
      <w:r w:rsidR="00E65435">
        <w:rPr>
          <w:rFonts w:eastAsia="Arial Unicode MS"/>
          <w:bCs/>
          <w:lang w:eastAsia="fr-FR" w:bidi="he-IL"/>
        </w:rPr>
        <w:t xml:space="preserve">, </w:t>
      </w:r>
      <w:r w:rsidR="00F56B84">
        <w:rPr>
          <w:rStyle w:val="italicus"/>
        </w:rPr>
        <w:t xml:space="preserve">plenitúdo </w:t>
      </w:r>
      <w:r w:rsidR="00DF496C">
        <w:rPr>
          <w:rStyle w:val="italicus"/>
        </w:rPr>
        <w:t>témporum</w:t>
      </w:r>
      <w:r w:rsidR="00933C60" w:rsidRPr="00C406FF">
        <w:rPr>
          <w:rStyle w:val="Appelnotedebasdep"/>
        </w:rPr>
        <w:footnoteReference w:id="348"/>
      </w:r>
      <w:r w:rsidR="00E65435">
        <w:rPr>
          <w:rFonts w:eastAsia="Arial Unicode MS"/>
          <w:bCs/>
          <w:lang w:eastAsia="fr-FR" w:bidi="he-IL"/>
        </w:rPr>
        <w:t xml:space="preserve">, </w:t>
      </w:r>
      <w:r w:rsidRPr="00C8701B">
        <w:rPr>
          <w:rFonts w:eastAsia="Arial Unicode MS"/>
          <w:bCs/>
          <w:lang w:eastAsia="fr-FR" w:bidi="he-IL"/>
        </w:rPr>
        <w:t>et de rattacher la chronologie ancienne</w:t>
      </w:r>
      <w:r w:rsidR="00E65435">
        <w:rPr>
          <w:rFonts w:eastAsia="Arial Unicode MS"/>
          <w:bCs/>
          <w:lang w:eastAsia="fr-FR" w:bidi="he-IL"/>
        </w:rPr>
        <w:t xml:space="preserve">, </w:t>
      </w:r>
      <w:r w:rsidRPr="00C8701B">
        <w:rPr>
          <w:rFonts w:eastAsia="Arial Unicode MS"/>
          <w:bCs/>
          <w:lang w:eastAsia="fr-FR" w:bidi="he-IL"/>
        </w:rPr>
        <w:t>présente et future</w:t>
      </w:r>
      <w:r w:rsidR="00E65435">
        <w:rPr>
          <w:rFonts w:eastAsia="Arial Unicode MS"/>
          <w:bCs/>
          <w:lang w:eastAsia="fr-FR" w:bidi="he-IL"/>
        </w:rPr>
        <w:t xml:space="preserve">, </w:t>
      </w:r>
      <w:r w:rsidRPr="00C8701B">
        <w:rPr>
          <w:rFonts w:eastAsia="Arial Unicode MS"/>
          <w:bCs/>
          <w:lang w:eastAsia="fr-FR" w:bidi="he-IL"/>
        </w:rPr>
        <w:t>à l</w:t>
      </w:r>
      <w:r w:rsidR="00557DE0">
        <w:rPr>
          <w:rFonts w:eastAsia="Arial Unicode MS"/>
          <w:bCs/>
          <w:lang w:eastAsia="fr-FR" w:bidi="he-IL"/>
        </w:rPr>
        <w:t>’</w:t>
      </w:r>
      <w:r w:rsidRPr="00C8701B">
        <w:rPr>
          <w:rFonts w:eastAsia="Arial Unicode MS"/>
          <w:bCs/>
          <w:lang w:eastAsia="fr-FR" w:bidi="he-IL"/>
        </w:rPr>
        <w:t>année de la naissance du Christ. Adoptée peu à peu par l</w:t>
      </w:r>
      <w:r w:rsidR="00557DE0">
        <w:rPr>
          <w:rFonts w:eastAsia="Arial Unicode MS"/>
          <w:bCs/>
          <w:lang w:eastAsia="fr-FR" w:bidi="he-IL"/>
        </w:rPr>
        <w:t>’</w:t>
      </w:r>
      <w:r w:rsidR="00C8701B">
        <w:rPr>
          <w:rFonts w:eastAsia="Arial Unicode MS"/>
          <w:bCs/>
          <w:lang w:eastAsia="fr-FR" w:bidi="he-IL"/>
        </w:rPr>
        <w:t>Église</w:t>
      </w:r>
      <w:r w:rsidR="00E65435">
        <w:rPr>
          <w:rFonts w:eastAsia="Arial Unicode MS"/>
          <w:bCs/>
          <w:lang w:eastAsia="fr-FR" w:bidi="he-IL"/>
        </w:rPr>
        <w:t xml:space="preserve">, </w:t>
      </w:r>
      <w:r w:rsidRPr="00C8701B">
        <w:rPr>
          <w:rFonts w:eastAsia="Arial Unicode MS"/>
          <w:bCs/>
          <w:lang w:eastAsia="fr-FR" w:bidi="he-IL"/>
        </w:rPr>
        <w:t>cette ère finit par passer également</w:t>
      </w:r>
      <w:r w:rsidR="00E65435">
        <w:rPr>
          <w:rFonts w:eastAsia="Arial Unicode MS"/>
          <w:bCs/>
          <w:lang w:eastAsia="fr-FR" w:bidi="he-IL"/>
        </w:rPr>
        <w:t xml:space="preserve">, </w:t>
      </w:r>
      <w:r w:rsidRPr="00C8701B">
        <w:rPr>
          <w:rFonts w:eastAsia="Arial Unicode MS"/>
          <w:bCs/>
          <w:lang w:eastAsia="fr-FR" w:bidi="he-IL"/>
        </w:rPr>
        <w:t xml:space="preserve">vers le </w:t>
      </w:r>
      <w:r w:rsidR="00C6425D">
        <w:rPr>
          <w:rFonts w:eastAsia="Arial Unicode MS"/>
          <w:bCs/>
          <w:lang w:eastAsia="fr-FR" w:bidi="he-IL"/>
        </w:rPr>
        <w:t>XI</w:t>
      </w:r>
      <w:r w:rsidR="00F56B84" w:rsidRPr="00F56B84">
        <w:rPr>
          <w:rFonts w:eastAsia="Arial Unicode MS"/>
          <w:bCs/>
          <w:vertAlign w:val="superscript"/>
          <w:lang w:eastAsia="fr-FR" w:bidi="he-IL"/>
        </w:rPr>
        <w:t>e</w:t>
      </w:r>
      <w:r w:rsidRPr="00C8701B">
        <w:rPr>
          <w:rFonts w:eastAsia="Arial Unicode MS"/>
          <w:bCs/>
          <w:lang w:eastAsia="fr-FR" w:bidi="he-IL"/>
        </w:rPr>
        <w:t xml:space="preserve"> siècle</w:t>
      </w:r>
      <w:r w:rsidR="00E65435">
        <w:rPr>
          <w:rFonts w:eastAsia="Arial Unicode MS"/>
          <w:bCs/>
          <w:lang w:eastAsia="fr-FR" w:bidi="he-IL"/>
        </w:rPr>
        <w:t xml:space="preserve">, </w:t>
      </w:r>
      <w:r w:rsidRPr="00C8701B">
        <w:rPr>
          <w:rFonts w:eastAsia="Arial Unicode MS"/>
          <w:bCs/>
          <w:lang w:eastAsia="fr-FR" w:bidi="he-IL"/>
        </w:rPr>
        <w:t>dans l</w:t>
      </w:r>
      <w:r w:rsidR="00557DE0">
        <w:rPr>
          <w:rFonts w:eastAsia="Arial Unicode MS"/>
          <w:bCs/>
          <w:lang w:eastAsia="fr-FR" w:bidi="he-IL"/>
        </w:rPr>
        <w:t>’</w:t>
      </w:r>
      <w:r w:rsidRPr="00C8701B">
        <w:rPr>
          <w:rFonts w:eastAsia="Arial Unicode MS"/>
          <w:bCs/>
          <w:lang w:eastAsia="fr-FR" w:bidi="he-IL"/>
        </w:rPr>
        <w:t>usage civil pour tous les peuples chrétiens.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Malheureusement</w:t>
      </w:r>
      <w:r w:rsidR="00E65435">
        <w:rPr>
          <w:rFonts w:eastAsia="Arial Unicode MS"/>
          <w:bCs/>
          <w:lang w:eastAsia="fr-FR" w:bidi="he-IL"/>
        </w:rPr>
        <w:t xml:space="preserve">, </w:t>
      </w:r>
      <w:r w:rsidRPr="00C8701B">
        <w:rPr>
          <w:rFonts w:eastAsia="Arial Unicode MS"/>
          <w:bCs/>
          <w:lang w:eastAsia="fr-FR" w:bidi="he-IL"/>
        </w:rPr>
        <w:t>par suite de calculs erronés</w:t>
      </w:r>
      <w:r w:rsidR="00E65435">
        <w:rPr>
          <w:rFonts w:eastAsia="Arial Unicode MS"/>
          <w:bCs/>
          <w:lang w:eastAsia="fr-FR" w:bidi="he-IL"/>
        </w:rPr>
        <w:t xml:space="preserve">, </w:t>
      </w:r>
      <w:r w:rsidRPr="00C8701B">
        <w:rPr>
          <w:rFonts w:eastAsia="Arial Unicode MS"/>
          <w:bCs/>
          <w:lang w:eastAsia="fr-FR" w:bidi="he-IL"/>
        </w:rPr>
        <w:t>elle est fausse dans son point de départ</w:t>
      </w:r>
      <w:r w:rsidR="00E65435">
        <w:rPr>
          <w:rFonts w:eastAsia="Arial Unicode MS"/>
          <w:bCs/>
          <w:lang w:eastAsia="fr-FR" w:bidi="he-IL"/>
        </w:rPr>
        <w:t xml:space="preserve">, </w:t>
      </w:r>
      <w:r w:rsidRPr="00C8701B">
        <w:rPr>
          <w:rFonts w:eastAsia="Arial Unicode MS"/>
          <w:bCs/>
          <w:lang w:eastAsia="fr-FR" w:bidi="he-IL"/>
        </w:rPr>
        <w:t>fixé à l</w:t>
      </w:r>
      <w:r w:rsidR="00557DE0">
        <w:rPr>
          <w:rFonts w:eastAsia="Arial Unicode MS"/>
          <w:bCs/>
          <w:lang w:eastAsia="fr-FR" w:bidi="he-IL"/>
        </w:rPr>
        <w:t>’</w:t>
      </w:r>
      <w:r w:rsidRPr="00C8701B">
        <w:rPr>
          <w:rFonts w:eastAsia="Arial Unicode MS"/>
          <w:bCs/>
          <w:lang w:eastAsia="fr-FR" w:bidi="he-IL"/>
        </w:rPr>
        <w:t>an 754 depuis la fondation de Rome. Elle est en retard de plusieurs années</w:t>
      </w:r>
      <w:r w:rsidR="00E65435">
        <w:rPr>
          <w:rFonts w:eastAsia="Arial Unicode MS"/>
          <w:bCs/>
          <w:lang w:eastAsia="fr-FR" w:bidi="he-IL"/>
        </w:rPr>
        <w:t xml:space="preserve">, </w:t>
      </w:r>
      <w:r w:rsidRPr="00C8701B">
        <w:rPr>
          <w:rFonts w:eastAsia="Arial Unicode MS"/>
          <w:bCs/>
          <w:lang w:eastAsia="fr-FR" w:bidi="he-IL"/>
        </w:rPr>
        <w:t>tout le monde en convient</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quoique les chronologistes</w:t>
      </w:r>
      <w:r w:rsidR="00E65435">
        <w:rPr>
          <w:rFonts w:eastAsia="Arial Unicode MS"/>
          <w:bCs/>
          <w:lang w:eastAsia="fr-FR" w:bidi="he-IL"/>
        </w:rPr>
        <w:t xml:space="preserve">, </w:t>
      </w:r>
      <w:r w:rsidRPr="00C8701B">
        <w:rPr>
          <w:rFonts w:eastAsia="Arial Unicode MS"/>
          <w:bCs/>
          <w:lang w:eastAsia="fr-FR" w:bidi="he-IL"/>
        </w:rPr>
        <w:t>à cause de la diversité de leurs propres systèmes</w:t>
      </w:r>
      <w:r w:rsidR="00E65435">
        <w:rPr>
          <w:rFonts w:eastAsia="Arial Unicode MS"/>
          <w:bCs/>
          <w:lang w:eastAsia="fr-FR" w:bidi="he-IL"/>
        </w:rPr>
        <w:t xml:space="preserve">, </w:t>
      </w:r>
      <w:r w:rsidRPr="00C8701B">
        <w:rPr>
          <w:rFonts w:eastAsia="Arial Unicode MS"/>
          <w:bCs/>
          <w:lang w:eastAsia="fr-FR" w:bidi="he-IL"/>
        </w:rPr>
        <w:t>ne soient pas d</w:t>
      </w:r>
      <w:r w:rsidR="00557DE0">
        <w:rPr>
          <w:rFonts w:eastAsia="Arial Unicode MS"/>
          <w:bCs/>
          <w:lang w:eastAsia="fr-FR" w:bidi="he-IL"/>
        </w:rPr>
        <w:t>’</w:t>
      </w:r>
      <w:r w:rsidRPr="00C8701B">
        <w:rPr>
          <w:rFonts w:eastAsia="Arial Unicode MS"/>
          <w:bCs/>
          <w:lang w:eastAsia="fr-FR" w:bidi="he-IL"/>
        </w:rPr>
        <w:t>accord pour déterminer le nombre précis des années.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Pour calculer la date de la naissance du Sauveur</w:t>
      </w:r>
      <w:r w:rsidR="00E65435">
        <w:rPr>
          <w:rFonts w:eastAsia="Arial Unicode MS"/>
          <w:bCs/>
          <w:lang w:eastAsia="fr-FR" w:bidi="he-IL"/>
        </w:rPr>
        <w:t xml:space="preserve">, </w:t>
      </w:r>
      <w:r w:rsidRPr="00C8701B">
        <w:rPr>
          <w:rFonts w:eastAsia="Arial Unicode MS"/>
          <w:bCs/>
          <w:lang w:eastAsia="fr-FR" w:bidi="he-IL"/>
        </w:rPr>
        <w:t>nous avons quelques indications assez directes des évangiles.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1°</w:t>
      </w:r>
      <w:bookmarkStart w:id="106" w:name="evin080101"/>
      <w:bookmarkEnd w:id="106"/>
      <w:r w:rsidRPr="00C8701B">
        <w:rPr>
          <w:rFonts w:eastAsia="Arial Unicode MS"/>
          <w:bCs/>
          <w:lang w:eastAsia="fr-FR" w:bidi="he-IL"/>
        </w:rPr>
        <w:t xml:space="preserve"> S. Matthieu</w:t>
      </w:r>
      <w:r w:rsidR="00E65435">
        <w:rPr>
          <w:rFonts w:eastAsia="Arial Unicode MS"/>
          <w:bCs/>
          <w:lang w:eastAsia="fr-FR" w:bidi="he-IL"/>
        </w:rPr>
        <w:t xml:space="preserve">, </w:t>
      </w:r>
      <w:r w:rsidR="00F56B84">
        <w:rPr>
          <w:rFonts w:eastAsia="Arial Unicode MS"/>
          <w:bCs/>
          <w:lang w:eastAsia="fr-FR" w:bidi="he-IL"/>
        </w:rPr>
        <w:t>II</w:t>
      </w:r>
      <w:r w:rsidR="00E65435">
        <w:rPr>
          <w:rFonts w:eastAsia="Arial Unicode MS"/>
          <w:bCs/>
          <w:lang w:eastAsia="fr-FR" w:bidi="he-IL"/>
        </w:rPr>
        <w:t xml:space="preserve">, </w:t>
      </w:r>
      <w:r w:rsidRPr="00C8701B">
        <w:rPr>
          <w:rFonts w:eastAsia="Arial Unicode MS"/>
          <w:bCs/>
          <w:lang w:eastAsia="fr-FR" w:bidi="he-IL"/>
        </w:rPr>
        <w:t>9</w:t>
      </w:r>
      <w:r w:rsidR="00933C60" w:rsidRPr="00C406FF">
        <w:rPr>
          <w:rStyle w:val="Appelnotedebasdep"/>
        </w:rPr>
        <w:footnoteReference w:id="349"/>
      </w:r>
      <w:r w:rsidR="00E65435">
        <w:rPr>
          <w:rFonts w:eastAsia="Arial Unicode MS"/>
          <w:bCs/>
          <w:lang w:eastAsia="fr-FR" w:bidi="he-IL"/>
        </w:rPr>
        <w:t xml:space="preserve">, </w:t>
      </w:r>
      <w:r w:rsidRPr="00C8701B">
        <w:rPr>
          <w:rFonts w:eastAsia="Arial Unicode MS"/>
          <w:bCs/>
          <w:lang w:eastAsia="fr-FR" w:bidi="he-IL"/>
        </w:rPr>
        <w:t>et S. Luc</w:t>
      </w:r>
      <w:r w:rsidR="00E65435">
        <w:rPr>
          <w:rFonts w:eastAsia="Arial Unicode MS"/>
          <w:bCs/>
          <w:lang w:eastAsia="fr-FR" w:bidi="he-IL"/>
        </w:rPr>
        <w:t>,</w:t>
      </w:r>
      <w:r w:rsidR="00C21120">
        <w:rPr>
          <w:rFonts w:eastAsia="Arial Unicode MS"/>
          <w:bCs/>
          <w:lang w:eastAsia="fr-FR" w:bidi="he-IL"/>
        </w:rPr>
        <w:t xml:space="preserve"> I, </w:t>
      </w:r>
      <w:r w:rsidR="00C21120" w:rsidRPr="00C8701B">
        <w:rPr>
          <w:rFonts w:eastAsia="Arial Unicode MS"/>
          <w:bCs/>
          <w:lang w:eastAsia="fr-FR" w:bidi="he-IL"/>
        </w:rPr>
        <w:t>5</w:t>
      </w:r>
      <w:r w:rsidR="00933C60" w:rsidRPr="00C406FF">
        <w:rPr>
          <w:rStyle w:val="Appelnotedebasdep"/>
        </w:rPr>
        <w:footnoteReference w:id="350"/>
      </w:r>
      <w:r w:rsidR="00F56B84">
        <w:rPr>
          <w:rFonts w:eastAsia="Arial Unicode MS"/>
          <w:bCs/>
          <w:lang w:eastAsia="fr-FR" w:bidi="he-IL"/>
        </w:rPr>
        <w:t>,</w:t>
      </w:r>
      <w:r w:rsidRPr="00C8701B">
        <w:rPr>
          <w:rFonts w:eastAsia="Arial Unicode MS"/>
          <w:bCs/>
          <w:lang w:eastAsia="fr-FR" w:bidi="he-IL"/>
        </w:rPr>
        <w:t xml:space="preserve"> racontent en termes explicites que Jésus naquit pendant le règne d</w:t>
      </w:r>
      <w:r w:rsidR="00557DE0">
        <w:rPr>
          <w:rFonts w:eastAsia="Arial Unicode MS"/>
          <w:bCs/>
          <w:lang w:eastAsia="fr-FR" w:bidi="he-IL"/>
        </w:rPr>
        <w:t>’</w:t>
      </w:r>
      <w:r w:rsidRPr="00C8701B">
        <w:rPr>
          <w:rFonts w:eastAsia="Arial Unicode MS"/>
          <w:bCs/>
          <w:lang w:eastAsia="fr-FR" w:bidi="he-IL"/>
        </w:rPr>
        <w:t>Hérode-le-Grand</w:t>
      </w:r>
      <w:r w:rsidR="00E65435">
        <w:rPr>
          <w:rFonts w:eastAsia="Arial Unicode MS"/>
          <w:bCs/>
          <w:lang w:eastAsia="fr-FR" w:bidi="he-IL"/>
        </w:rPr>
        <w:t xml:space="preserve">, </w:t>
      </w:r>
      <w:r w:rsidRPr="00C8701B">
        <w:rPr>
          <w:rFonts w:eastAsia="Arial Unicode MS"/>
          <w:bCs/>
          <w:lang w:eastAsia="fr-FR" w:bidi="he-IL"/>
        </w:rPr>
        <w:t>et que l</w:t>
      </w:r>
      <w:r w:rsidR="00557DE0">
        <w:rPr>
          <w:rFonts w:eastAsia="Arial Unicode MS"/>
          <w:bCs/>
          <w:lang w:eastAsia="fr-FR" w:bidi="he-IL"/>
        </w:rPr>
        <w:t>’</w:t>
      </w:r>
      <w:r w:rsidR="00DF496C">
        <w:rPr>
          <w:rFonts w:eastAsia="Arial Unicode MS"/>
          <w:bCs/>
          <w:lang w:eastAsia="fr-FR" w:bidi="he-IL"/>
        </w:rPr>
        <w:t>ex</w:t>
      </w:r>
      <w:r w:rsidR="00DF496C" w:rsidRPr="00C8701B">
        <w:rPr>
          <w:rFonts w:eastAsia="Arial Unicode MS"/>
          <w:bCs/>
          <w:lang w:eastAsia="fr-FR" w:bidi="he-IL"/>
        </w:rPr>
        <w:t>il</w:t>
      </w:r>
      <w:r w:rsidRPr="00C8701B">
        <w:rPr>
          <w:rFonts w:eastAsia="Arial Unicode MS"/>
          <w:bCs/>
          <w:lang w:eastAsia="fr-FR" w:bidi="he-IL"/>
        </w:rPr>
        <w:t xml:space="preserve"> momentané du divin Enfant en </w:t>
      </w:r>
      <w:r w:rsidR="00C215A6">
        <w:rPr>
          <w:rFonts w:eastAsia="Arial Unicode MS"/>
          <w:bCs/>
          <w:lang w:eastAsia="fr-FR" w:bidi="he-IL"/>
        </w:rPr>
        <w:t>Égypt</w:t>
      </w:r>
      <w:r w:rsidRPr="00C8701B">
        <w:rPr>
          <w:rFonts w:eastAsia="Arial Unicode MS"/>
          <w:bCs/>
          <w:lang w:eastAsia="fr-FR" w:bidi="he-IL"/>
        </w:rPr>
        <w:t>e</w:t>
      </w:r>
      <w:r w:rsidR="00933C60" w:rsidRPr="00C406FF">
        <w:rPr>
          <w:rStyle w:val="Appelnotedebasdep"/>
        </w:rPr>
        <w:footnoteReference w:id="351"/>
      </w:r>
      <w:r w:rsidRPr="00C8701B">
        <w:rPr>
          <w:rFonts w:eastAsia="Arial Unicode MS"/>
          <w:bCs/>
          <w:lang w:eastAsia="fr-FR" w:bidi="he-IL"/>
        </w:rPr>
        <w:t xml:space="preserve"> prit fin à la mort de ce prince. Or</w:t>
      </w:r>
      <w:r w:rsidR="00E65435">
        <w:rPr>
          <w:rFonts w:eastAsia="Arial Unicode MS"/>
          <w:bCs/>
          <w:lang w:eastAsia="fr-FR" w:bidi="he-IL"/>
        </w:rPr>
        <w:t xml:space="preserve">, </w:t>
      </w:r>
      <w:r w:rsidRPr="00C8701B">
        <w:rPr>
          <w:rFonts w:eastAsia="Arial Unicode MS"/>
          <w:bCs/>
          <w:lang w:eastAsia="fr-FR" w:bidi="he-IL"/>
        </w:rPr>
        <w:t>divers détails de l</w:t>
      </w:r>
      <w:r w:rsidR="00557DE0">
        <w:rPr>
          <w:rFonts w:eastAsia="Arial Unicode MS"/>
          <w:bCs/>
          <w:lang w:eastAsia="fr-FR" w:bidi="he-IL"/>
        </w:rPr>
        <w:t>’</w:t>
      </w:r>
      <w:r w:rsidRPr="00C8701B">
        <w:rPr>
          <w:rFonts w:eastAsia="Arial Unicode MS"/>
          <w:bCs/>
          <w:lang w:eastAsia="fr-FR" w:bidi="he-IL"/>
        </w:rPr>
        <w:t>historien Josèphe nous permettent de reconstituer les dates principales de la domination d</w:t>
      </w:r>
      <w:r w:rsidR="00557DE0">
        <w:rPr>
          <w:rFonts w:eastAsia="Arial Unicode MS"/>
          <w:bCs/>
          <w:lang w:eastAsia="fr-FR" w:bidi="he-IL"/>
        </w:rPr>
        <w:t>’</w:t>
      </w:r>
      <w:r w:rsidRPr="00C8701B">
        <w:rPr>
          <w:rFonts w:eastAsia="Arial Unicode MS"/>
          <w:bCs/>
          <w:lang w:eastAsia="fr-FR" w:bidi="he-IL"/>
        </w:rPr>
        <w:t>Hérode. Monté sur le trône sous le consulat de Cn</w:t>
      </w:r>
      <w:r w:rsidR="00F56B84">
        <w:rPr>
          <w:rFonts w:eastAsia="Arial Unicode MS"/>
          <w:bCs/>
          <w:lang w:eastAsia="fr-FR" w:bidi="he-IL"/>
        </w:rPr>
        <w:t>.</w:t>
      </w:r>
      <w:r w:rsidR="00E65435">
        <w:rPr>
          <w:rFonts w:eastAsia="Arial Unicode MS"/>
          <w:bCs/>
          <w:lang w:eastAsia="fr-FR" w:bidi="he-IL"/>
        </w:rPr>
        <w:t xml:space="preserve"> </w:t>
      </w:r>
      <w:r w:rsidRPr="00C8701B">
        <w:rPr>
          <w:rFonts w:eastAsia="Arial Unicode MS"/>
          <w:bCs/>
          <w:lang w:eastAsia="fr-FR" w:bidi="he-IL"/>
        </w:rPr>
        <w:t>Dom</w:t>
      </w:r>
      <w:r w:rsidR="00776C8C">
        <w:rPr>
          <w:rFonts w:eastAsia="Arial Unicode MS"/>
          <w:bCs/>
          <w:lang w:eastAsia="fr-FR" w:bidi="he-IL"/>
        </w:rPr>
        <w:t>í</w:t>
      </w:r>
      <w:r w:rsidR="00776C8C" w:rsidRPr="00C8701B">
        <w:rPr>
          <w:rFonts w:eastAsia="Arial Unicode MS"/>
          <w:bCs/>
          <w:lang w:eastAsia="fr-FR" w:bidi="he-IL"/>
        </w:rPr>
        <w:t>tius</w:t>
      </w:r>
      <w:r w:rsidRPr="00C8701B">
        <w:rPr>
          <w:rFonts w:eastAsia="Arial Unicode MS"/>
          <w:bCs/>
          <w:lang w:eastAsia="fr-FR" w:bidi="he-IL"/>
        </w:rPr>
        <w:t xml:space="preserve"> Calvinus et de C. Asinius Pollio</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est-à-dire l</w:t>
      </w:r>
      <w:r w:rsidR="00557DE0">
        <w:rPr>
          <w:rFonts w:eastAsia="Arial Unicode MS"/>
          <w:bCs/>
          <w:lang w:eastAsia="fr-FR" w:bidi="he-IL"/>
        </w:rPr>
        <w:t>’</w:t>
      </w:r>
      <w:r w:rsidRPr="00C8701B">
        <w:rPr>
          <w:rFonts w:eastAsia="Arial Unicode MS"/>
          <w:bCs/>
          <w:lang w:eastAsia="fr-FR" w:bidi="he-IL"/>
        </w:rPr>
        <w:t>an 714 après la fondation de Rome</w:t>
      </w:r>
      <w:r w:rsidR="00933C60" w:rsidRPr="00C406FF">
        <w:rPr>
          <w:rStyle w:val="Appelnotedebasdep"/>
        </w:rPr>
        <w:footnoteReference w:id="352"/>
      </w:r>
      <w:r w:rsidR="00E65435">
        <w:rPr>
          <w:rFonts w:eastAsia="Arial Unicode MS"/>
          <w:bCs/>
          <w:lang w:eastAsia="fr-FR" w:bidi="he-IL"/>
        </w:rPr>
        <w:t xml:space="preserve">, </w:t>
      </w:r>
      <w:r w:rsidRPr="00C8701B">
        <w:rPr>
          <w:rFonts w:eastAsia="Arial Unicode MS"/>
          <w:bCs/>
          <w:lang w:eastAsia="fr-FR" w:bidi="he-IL"/>
        </w:rPr>
        <w:t>il n</w:t>
      </w:r>
      <w:r w:rsidR="00557DE0">
        <w:rPr>
          <w:rFonts w:eastAsia="Arial Unicode MS"/>
          <w:bCs/>
          <w:lang w:eastAsia="fr-FR" w:bidi="he-IL"/>
        </w:rPr>
        <w:t>’</w:t>
      </w:r>
      <w:r w:rsidRPr="00C8701B">
        <w:rPr>
          <w:rFonts w:eastAsia="Arial Unicode MS"/>
          <w:bCs/>
          <w:lang w:eastAsia="fr-FR" w:bidi="he-IL"/>
        </w:rPr>
        <w:t>acheva son long règne qu</w:t>
      </w:r>
      <w:r w:rsidR="00557DE0">
        <w:rPr>
          <w:rFonts w:eastAsia="Arial Unicode MS"/>
          <w:bCs/>
          <w:lang w:eastAsia="fr-FR" w:bidi="he-IL"/>
        </w:rPr>
        <w:t>’</w:t>
      </w:r>
      <w:r w:rsidRPr="00C8701B">
        <w:rPr>
          <w:rFonts w:eastAsia="Arial Unicode MS"/>
          <w:bCs/>
          <w:lang w:eastAsia="fr-FR" w:bidi="he-IL"/>
        </w:rPr>
        <w:t>au début de l</w:t>
      </w:r>
      <w:r w:rsidR="00557DE0">
        <w:rPr>
          <w:rFonts w:eastAsia="Arial Unicode MS"/>
          <w:bCs/>
          <w:lang w:eastAsia="fr-FR" w:bidi="he-IL"/>
        </w:rPr>
        <w:t>’</w:t>
      </w:r>
      <w:r w:rsidR="00F56B84">
        <w:rPr>
          <w:rFonts w:eastAsia="Arial Unicode MS"/>
          <w:bCs/>
          <w:lang w:eastAsia="fr-FR" w:bidi="he-IL"/>
        </w:rPr>
        <w:t>année 75</w:t>
      </w:r>
      <w:r w:rsidRPr="00C8701B">
        <w:rPr>
          <w:rFonts w:eastAsia="Arial Unicode MS"/>
          <w:bCs/>
          <w:lang w:eastAsia="fr-FR" w:bidi="he-IL"/>
        </w:rPr>
        <w:t>0</w:t>
      </w:r>
      <w:r w:rsidR="00E65435">
        <w:rPr>
          <w:rFonts w:eastAsia="Arial Unicode MS"/>
          <w:bCs/>
          <w:lang w:eastAsia="fr-FR" w:bidi="he-IL"/>
        </w:rPr>
        <w:t xml:space="preserve">, </w:t>
      </w:r>
      <w:r w:rsidRPr="00C8701B">
        <w:rPr>
          <w:rFonts w:eastAsia="Arial Unicode MS"/>
          <w:bCs/>
          <w:lang w:eastAsia="fr-FR" w:bidi="he-IL"/>
        </w:rPr>
        <w:t>entre la fin de mars et les premiers jours d</w:t>
      </w:r>
      <w:r w:rsidR="00557DE0">
        <w:rPr>
          <w:rFonts w:eastAsia="Arial Unicode MS"/>
          <w:bCs/>
          <w:lang w:eastAsia="fr-FR" w:bidi="he-IL"/>
        </w:rPr>
        <w:t>’</w:t>
      </w:r>
      <w:r w:rsidRPr="00C8701B">
        <w:rPr>
          <w:rFonts w:eastAsia="Arial Unicode MS"/>
          <w:bCs/>
          <w:lang w:eastAsia="fr-FR" w:bidi="he-IL"/>
        </w:rPr>
        <w:t>avril</w:t>
      </w:r>
      <w:r w:rsidR="00933C60" w:rsidRPr="00C406FF">
        <w:rPr>
          <w:rStyle w:val="Appelnotedebasdep"/>
        </w:rPr>
        <w:footnoteReference w:id="353"/>
      </w:r>
      <w:r w:rsidR="00E65435">
        <w:rPr>
          <w:rFonts w:eastAsia="Arial Unicode MS"/>
          <w:bCs/>
          <w:lang w:eastAsia="fr-FR" w:bidi="he-IL"/>
        </w:rPr>
        <w:t xml:space="preserve">, </w:t>
      </w:r>
      <w:r w:rsidRPr="00C8701B">
        <w:rPr>
          <w:rFonts w:eastAsia="Arial Unicode MS"/>
          <w:bCs/>
          <w:lang w:eastAsia="fr-FR" w:bidi="he-IL"/>
        </w:rPr>
        <w:t>par conséquent l</w:t>
      </w:r>
      <w:r w:rsidR="00557DE0">
        <w:rPr>
          <w:rFonts w:eastAsia="Arial Unicode MS"/>
          <w:bCs/>
          <w:lang w:eastAsia="fr-FR" w:bidi="he-IL"/>
        </w:rPr>
        <w:t>’</w:t>
      </w:r>
      <w:r w:rsidRPr="00C8701B">
        <w:rPr>
          <w:rFonts w:eastAsia="Arial Unicode MS"/>
          <w:bCs/>
          <w:lang w:eastAsia="fr-FR" w:bidi="he-IL"/>
        </w:rPr>
        <w:t>an 4 de l</w:t>
      </w:r>
      <w:r w:rsidR="00557DE0">
        <w:rPr>
          <w:rFonts w:eastAsia="Arial Unicode MS"/>
          <w:bCs/>
          <w:lang w:eastAsia="fr-FR" w:bidi="he-IL"/>
        </w:rPr>
        <w:t>’</w:t>
      </w:r>
      <w:r w:rsidRPr="00C8701B">
        <w:rPr>
          <w:rFonts w:eastAsia="Arial Unicode MS"/>
          <w:bCs/>
          <w:lang w:eastAsia="fr-FR" w:bidi="he-IL"/>
        </w:rPr>
        <w:t>ère vulgaire.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Cette date est très sûre si on la maintient dans sa généralité</w:t>
      </w:r>
      <w:r w:rsidR="00C2602D" w:rsidRPr="00C8701B">
        <w:rPr>
          <w:rFonts w:eastAsia="Arial Unicode MS"/>
          <w:bCs/>
          <w:lang w:eastAsia="fr-FR" w:bidi="he-IL"/>
        </w:rPr>
        <w:t> :</w:t>
      </w:r>
      <w:r w:rsidRPr="00C8701B">
        <w:rPr>
          <w:rFonts w:eastAsia="Arial Unicode MS"/>
          <w:bCs/>
          <w:lang w:eastAsia="fr-FR" w:bidi="he-IL"/>
        </w:rPr>
        <w:t xml:space="preserve"> N.-S. Jésus-</w:t>
      </w:r>
      <w:r w:rsidR="00F56B84">
        <w:rPr>
          <w:rFonts w:eastAsia="Arial Unicode MS"/>
          <w:bCs/>
          <w:lang w:eastAsia="fr-FR" w:bidi="he-IL"/>
        </w:rPr>
        <w:t>Christ</w:t>
      </w:r>
      <w:r w:rsidRPr="00C8701B">
        <w:rPr>
          <w:rFonts w:eastAsia="Arial Unicode MS"/>
          <w:bCs/>
          <w:lang w:eastAsia="fr-FR" w:bidi="he-IL"/>
        </w:rPr>
        <w:t xml:space="preserve"> n</w:t>
      </w:r>
      <w:r w:rsidR="00557DE0">
        <w:rPr>
          <w:rFonts w:eastAsia="Arial Unicode MS"/>
          <w:bCs/>
          <w:lang w:eastAsia="fr-FR" w:bidi="he-IL"/>
        </w:rPr>
        <w:t>’</w:t>
      </w:r>
      <w:r w:rsidRPr="00C8701B">
        <w:rPr>
          <w:rFonts w:eastAsia="Arial Unicode MS"/>
          <w:bCs/>
          <w:lang w:eastAsia="fr-FR" w:bidi="he-IL"/>
        </w:rPr>
        <w:t>est pas né plus tard que le mois d</w:t>
      </w:r>
      <w:r w:rsidR="00557DE0">
        <w:rPr>
          <w:rFonts w:eastAsia="Arial Unicode MS"/>
          <w:bCs/>
          <w:lang w:eastAsia="fr-FR" w:bidi="he-IL"/>
        </w:rPr>
        <w:t>’</w:t>
      </w:r>
      <w:r w:rsidR="00DF496C">
        <w:rPr>
          <w:rFonts w:eastAsia="Arial Unicode MS"/>
          <w:bCs/>
          <w:lang w:eastAsia="fr-FR" w:bidi="he-IL"/>
        </w:rPr>
        <w:t>avril 750 u. c. Seulem</w:t>
      </w:r>
      <w:r w:rsidRPr="00C8701B">
        <w:rPr>
          <w:rFonts w:eastAsia="Arial Unicode MS"/>
          <w:bCs/>
          <w:lang w:eastAsia="fr-FR" w:bidi="he-IL"/>
        </w:rPr>
        <w:t>ent</w:t>
      </w:r>
      <w:r w:rsidR="00E65435">
        <w:rPr>
          <w:rFonts w:eastAsia="Arial Unicode MS"/>
          <w:bCs/>
          <w:lang w:eastAsia="fr-FR" w:bidi="he-IL"/>
        </w:rPr>
        <w:t xml:space="preserve">, </w:t>
      </w:r>
      <w:r w:rsidRPr="00C8701B">
        <w:rPr>
          <w:rFonts w:eastAsia="Arial Unicode MS"/>
          <w:bCs/>
          <w:lang w:eastAsia="fr-FR" w:bidi="he-IL"/>
        </w:rPr>
        <w:t>la divergence provient de ce que les commentateurs et les chronologistes demandent un intervalle plus ou moins considérable pour l</w:t>
      </w:r>
      <w:r w:rsidR="00557DE0">
        <w:rPr>
          <w:rFonts w:eastAsia="Arial Unicode MS"/>
          <w:bCs/>
          <w:lang w:eastAsia="fr-FR" w:bidi="he-IL"/>
        </w:rPr>
        <w:t>’</w:t>
      </w:r>
      <w:r w:rsidRPr="00C8701B">
        <w:rPr>
          <w:rFonts w:eastAsia="Arial Unicode MS"/>
          <w:bCs/>
          <w:lang w:eastAsia="fr-FR" w:bidi="he-IL"/>
        </w:rPr>
        <w:t>accomplissemen</w:t>
      </w:r>
      <w:r w:rsidR="00064E44">
        <w:rPr>
          <w:rFonts w:eastAsia="Arial Unicode MS"/>
          <w:bCs/>
          <w:lang w:eastAsia="fr-FR" w:bidi="he-IL"/>
        </w:rPr>
        <w:t>t d</w:t>
      </w:r>
      <w:r w:rsidRPr="00C8701B">
        <w:rPr>
          <w:rFonts w:eastAsia="Arial Unicode MS"/>
          <w:bCs/>
          <w:lang w:eastAsia="fr-FR" w:bidi="he-IL"/>
        </w:rPr>
        <w:t>es mystères de la Sainte-Enfance</w:t>
      </w:r>
      <w:r w:rsidR="00E65435">
        <w:rPr>
          <w:rFonts w:eastAsia="Arial Unicode MS"/>
          <w:bCs/>
          <w:lang w:eastAsia="fr-FR" w:bidi="he-IL"/>
        </w:rPr>
        <w:t xml:space="preserve">, </w:t>
      </w:r>
      <w:r w:rsidRPr="00C8701B">
        <w:rPr>
          <w:rFonts w:eastAsia="Arial Unicode MS"/>
          <w:bCs/>
          <w:lang w:eastAsia="fr-FR" w:bidi="he-IL"/>
        </w:rPr>
        <w:t>à partir de Noël jusqu</w:t>
      </w:r>
      <w:r w:rsidR="00557DE0">
        <w:rPr>
          <w:rFonts w:eastAsia="Arial Unicode MS"/>
          <w:bCs/>
          <w:lang w:eastAsia="fr-FR" w:bidi="he-IL"/>
        </w:rPr>
        <w:t>’</w:t>
      </w:r>
      <w:r w:rsidRPr="00C8701B">
        <w:rPr>
          <w:rFonts w:eastAsia="Arial Unicode MS"/>
          <w:bCs/>
          <w:lang w:eastAsia="fr-FR" w:bidi="he-IL"/>
        </w:rPr>
        <w:t>au massacre des Innocents</w:t>
      </w:r>
      <w:r w:rsidR="00E65435">
        <w:rPr>
          <w:rFonts w:eastAsia="Arial Unicode MS"/>
          <w:bCs/>
          <w:lang w:eastAsia="fr-FR" w:bidi="he-IL"/>
        </w:rPr>
        <w:t xml:space="preserve">, </w:t>
      </w:r>
      <w:r w:rsidRPr="00C8701B">
        <w:rPr>
          <w:rFonts w:eastAsia="Arial Unicode MS"/>
          <w:bCs/>
          <w:lang w:eastAsia="fr-FR" w:bidi="he-IL"/>
        </w:rPr>
        <w:t>fait qui précéda de peu de temps la mort d</w:t>
      </w:r>
      <w:r w:rsidR="00557DE0">
        <w:rPr>
          <w:rFonts w:eastAsia="Arial Unicode MS"/>
          <w:bCs/>
          <w:lang w:eastAsia="fr-FR" w:bidi="he-IL"/>
        </w:rPr>
        <w:t>’</w:t>
      </w:r>
      <w:r w:rsidRPr="00C8701B">
        <w:rPr>
          <w:rFonts w:eastAsia="Arial Unicode MS"/>
          <w:bCs/>
          <w:lang w:eastAsia="fr-FR" w:bidi="he-IL"/>
        </w:rPr>
        <w:t>Hérode</w:t>
      </w:r>
      <w:r w:rsidR="00933C60" w:rsidRPr="00C406FF">
        <w:rPr>
          <w:rStyle w:val="Appelnotedebasdep"/>
        </w:rPr>
        <w:footnoteReference w:id="354"/>
      </w:r>
      <w:r w:rsidRPr="00C8701B">
        <w:rPr>
          <w:rFonts w:eastAsia="Arial Unicode MS"/>
          <w:bCs/>
          <w:lang w:eastAsia="fr-FR" w:bidi="he-IL"/>
        </w:rPr>
        <w:t>. Pour nous</w:t>
      </w:r>
      <w:r w:rsidR="00E65435">
        <w:rPr>
          <w:rFonts w:eastAsia="Arial Unicode MS"/>
          <w:bCs/>
          <w:lang w:eastAsia="fr-FR" w:bidi="he-IL"/>
        </w:rPr>
        <w:t xml:space="preserve">, </w:t>
      </w:r>
      <w:r w:rsidRPr="00C8701B">
        <w:rPr>
          <w:rFonts w:eastAsia="Arial Unicode MS"/>
          <w:bCs/>
          <w:lang w:eastAsia="fr-FR" w:bidi="he-IL"/>
        </w:rPr>
        <w:t>qui croyons que quelques semaines purent suffire</w:t>
      </w:r>
      <w:r w:rsidR="00E65435">
        <w:rPr>
          <w:rFonts w:eastAsia="Arial Unicode MS"/>
          <w:bCs/>
          <w:lang w:eastAsia="fr-FR" w:bidi="he-IL"/>
        </w:rPr>
        <w:t xml:space="preserve">, </w:t>
      </w:r>
      <w:r w:rsidRPr="00C8701B">
        <w:rPr>
          <w:rFonts w:eastAsia="Arial Unicode MS"/>
          <w:bCs/>
          <w:lang w:eastAsia="fr-FR" w:bidi="he-IL"/>
        </w:rPr>
        <w:t>nous n</w:t>
      </w:r>
      <w:r w:rsidR="00557DE0">
        <w:rPr>
          <w:rFonts w:eastAsia="Arial Unicode MS"/>
          <w:bCs/>
          <w:lang w:eastAsia="fr-FR" w:bidi="he-IL"/>
        </w:rPr>
        <w:t>’</w:t>
      </w:r>
      <w:r w:rsidRPr="00C8701B">
        <w:rPr>
          <w:rFonts w:eastAsia="Arial Unicode MS"/>
          <w:bCs/>
          <w:lang w:eastAsia="fr-FR" w:bidi="he-IL"/>
        </w:rPr>
        <w:t>avons aucune peine à placer la naissance de Jésus vers la fin de décembre 749.</w:t>
      </w:r>
      <w:r w:rsidR="00C2602D" w:rsidRPr="00C8701B">
        <w:rPr>
          <w:rFonts w:eastAsia="Arial Unicode MS"/>
          <w:bCs/>
          <w:lang w:eastAsia="fr-FR" w:bidi="he-IL"/>
        </w:rPr>
        <w:t xml:space="preserve"> </w:t>
      </w:r>
      <w:r w:rsidR="00C14040" w:rsidRPr="000716BB">
        <w:rPr>
          <w:rFonts w:eastAsia="Arial Unicode MS"/>
          <w:bCs/>
          <w:lang w:eastAsia="fr-FR" w:bidi="he-IL"/>
        </w:rPr>
        <w:t>{</w:t>
      </w:r>
      <w:r w:rsidR="00C14040">
        <w:rPr>
          <w:rFonts w:eastAsia="Arial Unicode MS"/>
          <w:bCs/>
          <w:lang w:eastAsia="fr-FR" w:bidi="he-IL"/>
        </w:rPr>
        <w:t>66</w:t>
      </w:r>
      <w:bookmarkStart w:id="107" w:name="pag066"/>
      <w:bookmarkEnd w:id="107"/>
      <w:r w:rsidR="00C14040" w:rsidRPr="000716BB">
        <w:rPr>
          <w:rFonts w:eastAsia="Arial Unicode MS"/>
          <w:bCs/>
          <w:lang w:eastAsia="fr-FR" w:bidi="he-IL"/>
        </w:rPr>
        <w:t>}</w:t>
      </w:r>
    </w:p>
    <w:p w:rsidR="00C2602D" w:rsidRPr="00C8701B" w:rsidRDefault="00B704AD" w:rsidP="00C2602D">
      <w:pPr>
        <w:rPr>
          <w:rFonts w:eastAsia="Arial Unicode MS"/>
          <w:bCs/>
          <w:lang w:eastAsia="fr-FR" w:bidi="he-IL"/>
        </w:rPr>
      </w:pPr>
      <w:r w:rsidRPr="00C8701B">
        <w:rPr>
          <w:rFonts w:eastAsia="Arial Unicode MS"/>
          <w:bCs/>
          <w:lang w:eastAsia="fr-FR" w:bidi="he-IL"/>
        </w:rPr>
        <w:t>2° D</w:t>
      </w:r>
      <w:r w:rsidR="00557DE0">
        <w:rPr>
          <w:rFonts w:eastAsia="Arial Unicode MS"/>
          <w:bCs/>
          <w:lang w:eastAsia="fr-FR" w:bidi="he-IL"/>
        </w:rPr>
        <w:t>’</w:t>
      </w:r>
      <w:r w:rsidRPr="00C8701B">
        <w:rPr>
          <w:rFonts w:eastAsia="Arial Unicode MS"/>
          <w:bCs/>
          <w:lang w:eastAsia="fr-FR" w:bidi="he-IL"/>
        </w:rPr>
        <w:t>après S. Luc</w:t>
      </w:r>
      <w:r w:rsidR="00E65435">
        <w:rPr>
          <w:rFonts w:eastAsia="Arial Unicode MS"/>
          <w:bCs/>
          <w:lang w:eastAsia="fr-FR" w:bidi="he-IL"/>
        </w:rPr>
        <w:t xml:space="preserve">, </w:t>
      </w:r>
      <w:r w:rsidR="00064E44">
        <w:rPr>
          <w:rFonts w:eastAsia="Arial Unicode MS"/>
          <w:bCs/>
          <w:lang w:eastAsia="fr-FR" w:bidi="he-IL"/>
        </w:rPr>
        <w:t>II</w:t>
      </w:r>
      <w:r w:rsidR="00E65435">
        <w:rPr>
          <w:rFonts w:eastAsia="Arial Unicode MS"/>
          <w:bCs/>
          <w:lang w:eastAsia="fr-FR" w:bidi="he-IL"/>
        </w:rPr>
        <w:t xml:space="preserve">, </w:t>
      </w:r>
      <w:r w:rsidRPr="00C8701B">
        <w:rPr>
          <w:rFonts w:eastAsia="Arial Unicode MS"/>
          <w:bCs/>
          <w:lang w:eastAsia="fr-FR" w:bidi="he-IL"/>
        </w:rPr>
        <w:t>1-15</w:t>
      </w:r>
      <w:r w:rsidR="00E65435">
        <w:rPr>
          <w:rFonts w:eastAsia="Arial Unicode MS"/>
          <w:bCs/>
          <w:lang w:eastAsia="fr-FR" w:bidi="he-IL"/>
        </w:rPr>
        <w:t xml:space="preserve">, </w:t>
      </w:r>
      <w:r w:rsidRPr="00C8701B">
        <w:rPr>
          <w:rFonts w:eastAsia="Arial Unicode MS"/>
          <w:bCs/>
          <w:lang w:eastAsia="fr-FR" w:bidi="he-IL"/>
        </w:rPr>
        <w:t>il y eut</w:t>
      </w:r>
      <w:r w:rsidR="00E65435">
        <w:rPr>
          <w:rFonts w:eastAsia="Arial Unicode MS"/>
          <w:bCs/>
          <w:lang w:eastAsia="fr-FR" w:bidi="he-IL"/>
        </w:rPr>
        <w:t xml:space="preserve">, </w:t>
      </w:r>
      <w:r w:rsidRPr="00C8701B">
        <w:rPr>
          <w:rFonts w:eastAsia="Arial Unicode MS"/>
          <w:bCs/>
          <w:lang w:eastAsia="fr-FR" w:bidi="he-IL"/>
        </w:rPr>
        <w:t>vers l</w:t>
      </w:r>
      <w:r w:rsidR="00557DE0">
        <w:rPr>
          <w:rFonts w:eastAsia="Arial Unicode MS"/>
          <w:bCs/>
          <w:lang w:eastAsia="fr-FR" w:bidi="he-IL"/>
        </w:rPr>
        <w:t>’</w:t>
      </w:r>
      <w:r w:rsidRPr="00C8701B">
        <w:rPr>
          <w:rFonts w:eastAsia="Arial Unicode MS"/>
          <w:bCs/>
          <w:lang w:eastAsia="fr-FR" w:bidi="he-IL"/>
        </w:rPr>
        <w:t>époque de la naissance du Christ</w:t>
      </w:r>
      <w:r w:rsidR="00E65435">
        <w:rPr>
          <w:rFonts w:eastAsia="Arial Unicode MS"/>
          <w:bCs/>
          <w:lang w:eastAsia="fr-FR" w:bidi="he-IL"/>
        </w:rPr>
        <w:t xml:space="preserve">, </w:t>
      </w:r>
      <w:r w:rsidRPr="00C8701B">
        <w:rPr>
          <w:rFonts w:eastAsia="Arial Unicode MS"/>
          <w:bCs/>
          <w:lang w:eastAsia="fr-FR" w:bidi="he-IL"/>
        </w:rPr>
        <w:t>un recensement universel dans tout l</w:t>
      </w:r>
      <w:r w:rsidR="00557DE0">
        <w:rPr>
          <w:rFonts w:eastAsia="Arial Unicode MS"/>
          <w:bCs/>
          <w:lang w:eastAsia="fr-FR" w:bidi="he-IL"/>
        </w:rPr>
        <w:t>’</w:t>
      </w:r>
      <w:r w:rsidRPr="00C8701B">
        <w:rPr>
          <w:rFonts w:eastAsia="Arial Unicode MS"/>
          <w:bCs/>
          <w:lang w:eastAsia="fr-FR" w:bidi="he-IL"/>
        </w:rPr>
        <w:t>empire romain</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et cette opération avait précisément lieu en Judée</w:t>
      </w:r>
      <w:r w:rsidR="00E65435">
        <w:rPr>
          <w:rFonts w:eastAsia="Arial Unicode MS"/>
          <w:bCs/>
          <w:lang w:eastAsia="fr-FR" w:bidi="he-IL"/>
        </w:rPr>
        <w:t xml:space="preserve">, </w:t>
      </w:r>
      <w:r w:rsidRPr="00C8701B">
        <w:rPr>
          <w:rFonts w:eastAsia="Arial Unicode MS"/>
          <w:bCs/>
          <w:lang w:eastAsia="fr-FR" w:bidi="he-IL"/>
        </w:rPr>
        <w:t>quand Marie mit au monde l</w:t>
      </w:r>
      <w:r w:rsidR="00557DE0">
        <w:rPr>
          <w:rFonts w:eastAsia="Arial Unicode MS"/>
          <w:bCs/>
          <w:lang w:eastAsia="fr-FR" w:bidi="he-IL"/>
        </w:rPr>
        <w:t>’</w:t>
      </w:r>
      <w:r w:rsidRPr="00C8701B">
        <w:rPr>
          <w:rFonts w:eastAsia="Arial Unicode MS"/>
          <w:bCs/>
          <w:lang w:eastAsia="fr-FR" w:bidi="he-IL"/>
        </w:rPr>
        <w:t>Enfant-Dieu à Bethléem</w:t>
      </w:r>
      <w:r w:rsidR="00064E44">
        <w:rPr>
          <w:rFonts w:eastAsia="Arial Unicode MS"/>
          <w:bCs/>
          <w:lang w:eastAsia="fr-FR" w:bidi="he-IL"/>
        </w:rPr>
        <w:t>.</w:t>
      </w:r>
    </w:p>
    <w:p w:rsidR="00C2602D" w:rsidRPr="00C8701B" w:rsidRDefault="00B704AD" w:rsidP="00C2602D">
      <w:pPr>
        <w:rPr>
          <w:rFonts w:eastAsia="Arial Unicode MS"/>
          <w:bCs/>
          <w:lang w:eastAsia="fr-FR" w:bidi="he-IL"/>
        </w:rPr>
      </w:pPr>
      <w:r w:rsidRPr="00C8701B">
        <w:rPr>
          <w:rFonts w:eastAsia="Arial Unicode MS"/>
          <w:bCs/>
          <w:lang w:eastAsia="fr-FR" w:bidi="he-IL"/>
        </w:rPr>
        <w:t>Est-t-il possible d</w:t>
      </w:r>
      <w:r w:rsidR="00557DE0">
        <w:rPr>
          <w:rFonts w:eastAsia="Arial Unicode MS"/>
          <w:bCs/>
          <w:lang w:eastAsia="fr-FR" w:bidi="he-IL"/>
        </w:rPr>
        <w:t>’</w:t>
      </w:r>
      <w:r w:rsidRPr="00C8701B">
        <w:rPr>
          <w:rFonts w:eastAsia="Arial Unicode MS"/>
          <w:bCs/>
          <w:lang w:eastAsia="fr-FR" w:bidi="he-IL"/>
        </w:rPr>
        <w:t>établir exactement la date de ce dénombrement</w:t>
      </w:r>
      <w:r w:rsidR="00E65435">
        <w:rPr>
          <w:rFonts w:eastAsia="Arial Unicode MS"/>
          <w:bCs/>
          <w:lang w:eastAsia="fr-FR" w:bidi="he-IL"/>
        </w:rPr>
        <w:t xml:space="preserve">, </w:t>
      </w:r>
      <w:r w:rsidRPr="00C8701B">
        <w:rPr>
          <w:rFonts w:eastAsia="Arial Unicode MS"/>
          <w:bCs/>
          <w:lang w:eastAsia="fr-FR" w:bidi="he-IL"/>
        </w:rPr>
        <w:t>et surtout celle de son exécution dans la province de Judée</w:t>
      </w:r>
      <w:r w:rsidR="00C2602D" w:rsidRPr="00C8701B">
        <w:rPr>
          <w:rFonts w:eastAsia="Arial Unicode MS"/>
          <w:bCs/>
          <w:lang w:eastAsia="fr-FR" w:bidi="he-IL"/>
        </w:rPr>
        <w:t> ?</w:t>
      </w:r>
      <w:r w:rsidRPr="00C8701B">
        <w:rPr>
          <w:rFonts w:eastAsia="Arial Unicode MS"/>
          <w:bCs/>
          <w:lang w:eastAsia="fr-FR" w:bidi="he-IL"/>
        </w:rPr>
        <w:t xml:space="preserve"> Nous aurions alors une autre base importante pour nos calculs.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Malheureusement</w:t>
      </w:r>
      <w:r w:rsidR="00E65435">
        <w:rPr>
          <w:rFonts w:eastAsia="Arial Unicode MS"/>
          <w:bCs/>
          <w:lang w:eastAsia="fr-FR" w:bidi="he-IL"/>
        </w:rPr>
        <w:t xml:space="preserve">, </w:t>
      </w:r>
      <w:r w:rsidRPr="00C8701B">
        <w:rPr>
          <w:rFonts w:eastAsia="Arial Unicode MS"/>
          <w:bCs/>
          <w:lang w:eastAsia="fr-FR" w:bidi="he-IL"/>
        </w:rPr>
        <w:t>rien n</w:t>
      </w:r>
      <w:r w:rsidR="00557DE0">
        <w:rPr>
          <w:rFonts w:eastAsia="Arial Unicode MS"/>
          <w:bCs/>
          <w:lang w:eastAsia="fr-FR" w:bidi="he-IL"/>
        </w:rPr>
        <w:t>’</w:t>
      </w:r>
      <w:r w:rsidRPr="00C8701B">
        <w:rPr>
          <w:rFonts w:eastAsia="Arial Unicode MS"/>
          <w:bCs/>
          <w:lang w:eastAsia="fr-FR" w:bidi="he-IL"/>
        </w:rPr>
        <w:t>est bien certain</w:t>
      </w:r>
      <w:r w:rsidR="00E65435">
        <w:rPr>
          <w:rFonts w:eastAsia="Arial Unicode MS"/>
          <w:bCs/>
          <w:lang w:eastAsia="fr-FR" w:bidi="he-IL"/>
        </w:rPr>
        <w:t xml:space="preserve">, </w:t>
      </w:r>
      <w:r w:rsidRPr="00C8701B">
        <w:rPr>
          <w:rFonts w:eastAsia="Arial Unicode MS"/>
          <w:bCs/>
          <w:lang w:eastAsia="fr-FR" w:bidi="he-IL"/>
        </w:rPr>
        <w:t>surtout pour ce qui concerne le recensement partiel des provinces</w:t>
      </w:r>
      <w:r w:rsidR="00E65435">
        <w:rPr>
          <w:rFonts w:eastAsia="Arial Unicode MS"/>
          <w:bCs/>
          <w:lang w:eastAsia="fr-FR" w:bidi="he-IL"/>
        </w:rPr>
        <w:t xml:space="preserve">, </w:t>
      </w:r>
      <w:r w:rsidRPr="00C8701B">
        <w:rPr>
          <w:rFonts w:eastAsia="Arial Unicode MS"/>
          <w:bCs/>
          <w:lang w:eastAsia="fr-FR" w:bidi="he-IL"/>
        </w:rPr>
        <w:t>comme le démontrent encore les divergences qui existent entre les meilleurs auteurs</w:t>
      </w:r>
      <w:r w:rsidR="00933C60" w:rsidRPr="00C406FF">
        <w:rPr>
          <w:rStyle w:val="Appelnotedebasdep"/>
        </w:rPr>
        <w:footnoteReference w:id="355"/>
      </w:r>
      <w:r w:rsidRPr="00C8701B">
        <w:rPr>
          <w:rFonts w:eastAsia="Arial Unicode MS"/>
          <w:bCs/>
          <w:lang w:eastAsia="fr-FR" w:bidi="he-IL"/>
        </w:rPr>
        <w:t>. Du moins</w:t>
      </w:r>
      <w:r w:rsidR="00E65435">
        <w:rPr>
          <w:rFonts w:eastAsia="Arial Unicode MS"/>
          <w:bCs/>
          <w:lang w:eastAsia="fr-FR" w:bidi="he-IL"/>
        </w:rPr>
        <w:t xml:space="preserve">, </w:t>
      </w:r>
      <w:r w:rsidRPr="00C8701B">
        <w:rPr>
          <w:rFonts w:eastAsia="Arial Unicode MS"/>
          <w:bCs/>
          <w:lang w:eastAsia="fr-FR" w:bidi="he-IL"/>
        </w:rPr>
        <w:t>à défaut de résulta</w:t>
      </w:r>
      <w:r w:rsidR="00064E44">
        <w:rPr>
          <w:rFonts w:eastAsia="Arial Unicode MS"/>
          <w:bCs/>
          <w:lang w:eastAsia="fr-FR" w:bidi="he-IL"/>
        </w:rPr>
        <w:t>t d</w:t>
      </w:r>
      <w:r w:rsidRPr="00C8701B">
        <w:rPr>
          <w:rFonts w:eastAsia="Arial Unicode MS"/>
          <w:bCs/>
          <w:lang w:eastAsia="fr-FR" w:bidi="he-IL"/>
        </w:rPr>
        <w:t>écisif</w:t>
      </w:r>
      <w:r w:rsidR="00E65435">
        <w:rPr>
          <w:rFonts w:eastAsia="Arial Unicode MS"/>
          <w:bCs/>
          <w:lang w:eastAsia="fr-FR" w:bidi="he-IL"/>
        </w:rPr>
        <w:t xml:space="preserve">, </w:t>
      </w:r>
      <w:r w:rsidRPr="00C8701B">
        <w:rPr>
          <w:rFonts w:eastAsia="Arial Unicode MS"/>
          <w:bCs/>
          <w:lang w:eastAsia="fr-FR" w:bidi="he-IL"/>
        </w:rPr>
        <w:t>nous pouvons dire qu</w:t>
      </w:r>
      <w:r w:rsidR="00557DE0">
        <w:rPr>
          <w:rFonts w:eastAsia="Arial Unicode MS"/>
          <w:bCs/>
          <w:lang w:eastAsia="fr-FR" w:bidi="he-IL"/>
        </w:rPr>
        <w:t>’</w:t>
      </w:r>
      <w:r w:rsidR="00064E44">
        <w:rPr>
          <w:rFonts w:eastAsia="Arial Unicode MS"/>
          <w:bCs/>
          <w:lang w:eastAsia="fr-FR" w:bidi="he-IL"/>
        </w:rPr>
        <w:t>il paraît sûr qu</w:t>
      </w:r>
      <w:r w:rsidRPr="00C8701B">
        <w:rPr>
          <w:rFonts w:eastAsia="Arial Unicode MS"/>
          <w:bCs/>
          <w:lang w:eastAsia="fr-FR" w:bidi="he-IL"/>
        </w:rPr>
        <w:t>e l</w:t>
      </w:r>
      <w:r w:rsidR="00557DE0">
        <w:rPr>
          <w:rFonts w:eastAsia="Arial Unicode MS"/>
          <w:bCs/>
          <w:lang w:eastAsia="fr-FR" w:bidi="he-IL"/>
        </w:rPr>
        <w:t>’</w:t>
      </w:r>
      <w:r w:rsidRPr="00C8701B">
        <w:rPr>
          <w:rFonts w:eastAsia="Arial Unicode MS"/>
          <w:bCs/>
          <w:lang w:eastAsia="fr-FR" w:bidi="he-IL"/>
        </w:rPr>
        <w:t>édit fut promulgué en 746 u. c.</w:t>
      </w:r>
      <w:r w:rsidR="00E65435">
        <w:rPr>
          <w:rFonts w:eastAsia="Arial Unicode MS"/>
          <w:bCs/>
          <w:lang w:eastAsia="fr-FR" w:bidi="he-IL"/>
        </w:rPr>
        <w:t xml:space="preserve">, </w:t>
      </w:r>
      <w:r w:rsidRPr="00C8701B">
        <w:rPr>
          <w:rFonts w:eastAsia="Arial Unicode MS"/>
          <w:bCs/>
          <w:lang w:eastAsia="fr-FR" w:bidi="he-IL"/>
        </w:rPr>
        <w:t>et qu</w:t>
      </w:r>
      <w:r w:rsidR="00557DE0">
        <w:rPr>
          <w:rFonts w:eastAsia="Arial Unicode MS"/>
          <w:bCs/>
          <w:lang w:eastAsia="fr-FR" w:bidi="he-IL"/>
        </w:rPr>
        <w:t>’</w:t>
      </w:r>
      <w:r w:rsidRPr="00C8701B">
        <w:rPr>
          <w:rFonts w:eastAsia="Arial Unicode MS"/>
          <w:bCs/>
          <w:lang w:eastAsia="fr-FR" w:bidi="he-IL"/>
        </w:rPr>
        <w:t>il avait reçu sa complète exécution en 750.</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3° Nous n</w:t>
      </w:r>
      <w:r w:rsidR="00557DE0">
        <w:rPr>
          <w:rFonts w:eastAsia="Arial Unicode MS"/>
          <w:bCs/>
          <w:lang w:eastAsia="fr-FR" w:bidi="he-IL"/>
        </w:rPr>
        <w:t>’</w:t>
      </w:r>
      <w:r w:rsidRPr="00C8701B">
        <w:rPr>
          <w:rFonts w:eastAsia="Arial Unicode MS"/>
          <w:bCs/>
          <w:lang w:eastAsia="fr-FR" w:bidi="he-IL"/>
        </w:rPr>
        <w:t>arrivons à rien de plus certa</w:t>
      </w:r>
      <w:r w:rsidR="00064E44">
        <w:rPr>
          <w:rFonts w:eastAsia="Arial Unicode MS"/>
          <w:bCs/>
          <w:lang w:eastAsia="fr-FR" w:bidi="he-IL"/>
        </w:rPr>
        <w:t>in par les calculs relatifs à l</w:t>
      </w:r>
      <w:r w:rsidR="00557DE0">
        <w:rPr>
          <w:rFonts w:eastAsia="Arial Unicode MS"/>
          <w:bCs/>
          <w:lang w:eastAsia="fr-FR" w:bidi="he-IL"/>
        </w:rPr>
        <w:t>’</w:t>
      </w:r>
      <w:r w:rsidR="00064E44">
        <w:rPr>
          <w:rFonts w:eastAsia="Arial Unicode MS"/>
          <w:bCs/>
          <w:lang w:eastAsia="fr-FR" w:bidi="he-IL"/>
        </w:rPr>
        <w:t>é</w:t>
      </w:r>
      <w:r w:rsidRPr="00C8701B">
        <w:rPr>
          <w:rFonts w:eastAsia="Arial Unicode MS"/>
          <w:bCs/>
          <w:lang w:eastAsia="fr-FR" w:bidi="he-IL"/>
        </w:rPr>
        <w:t>toile et à la visite des Mages</w:t>
      </w:r>
      <w:r w:rsidR="00E65435">
        <w:rPr>
          <w:rFonts w:eastAsia="Arial Unicode MS"/>
          <w:bCs/>
          <w:lang w:eastAsia="fr-FR" w:bidi="he-IL"/>
        </w:rPr>
        <w:t xml:space="preserve">, </w:t>
      </w:r>
      <w:r w:rsidRPr="00C8701B">
        <w:rPr>
          <w:rFonts w:eastAsia="Arial Unicode MS"/>
          <w:bCs/>
          <w:lang w:eastAsia="fr-FR" w:bidi="he-IL"/>
        </w:rPr>
        <w:t>quoique ce soient des</w:t>
      </w:r>
      <w:r w:rsidR="00064E44">
        <w:rPr>
          <w:rFonts w:eastAsia="Arial Unicode MS"/>
          <w:bCs/>
          <w:lang w:eastAsia="fr-FR" w:bidi="he-IL"/>
        </w:rPr>
        <w:t xml:space="preserve"> </w:t>
      </w:r>
      <w:r w:rsidRPr="00C8701B">
        <w:rPr>
          <w:rFonts w:eastAsia="Arial Unicode MS"/>
          <w:bCs/>
          <w:lang w:eastAsia="fr-FR" w:bidi="he-IL"/>
        </w:rPr>
        <w:t xml:space="preserve">hommes de la trempe de </w:t>
      </w:r>
      <w:r w:rsidR="00DF496C" w:rsidRPr="00C8701B">
        <w:rPr>
          <w:rFonts w:eastAsia="Arial Unicode MS"/>
          <w:bCs/>
          <w:lang w:eastAsia="fr-FR" w:bidi="he-IL"/>
        </w:rPr>
        <w:t>Kepler</w:t>
      </w:r>
      <w:r w:rsidR="00E65435">
        <w:rPr>
          <w:rFonts w:eastAsia="Arial Unicode MS"/>
          <w:bCs/>
          <w:lang w:eastAsia="fr-FR" w:bidi="he-IL"/>
        </w:rPr>
        <w:t xml:space="preserve">, </w:t>
      </w:r>
      <w:r w:rsidRPr="00C8701B">
        <w:rPr>
          <w:rFonts w:eastAsia="Arial Unicode MS"/>
          <w:bCs/>
          <w:lang w:eastAsia="fr-FR" w:bidi="he-IL"/>
        </w:rPr>
        <w:t>de San Clemente</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Ideler</w:t>
      </w:r>
      <w:r w:rsidR="00E65435">
        <w:rPr>
          <w:rFonts w:eastAsia="Arial Unicode MS"/>
          <w:bCs/>
          <w:lang w:eastAsia="fr-FR" w:bidi="he-IL"/>
        </w:rPr>
        <w:t xml:space="preserve">, </w:t>
      </w:r>
      <w:r w:rsidRPr="00C8701B">
        <w:rPr>
          <w:rFonts w:eastAsia="Arial Unicode MS"/>
          <w:bCs/>
          <w:lang w:eastAsia="fr-FR" w:bidi="he-IL"/>
        </w:rPr>
        <w:t>de Wieseler</w:t>
      </w:r>
      <w:r w:rsidR="00E65435">
        <w:rPr>
          <w:rFonts w:eastAsia="Arial Unicode MS"/>
          <w:bCs/>
          <w:lang w:eastAsia="fr-FR" w:bidi="he-IL"/>
        </w:rPr>
        <w:t xml:space="preserve">, </w:t>
      </w:r>
      <w:r w:rsidRPr="00C8701B">
        <w:rPr>
          <w:rFonts w:eastAsia="Arial Unicode MS"/>
          <w:bCs/>
          <w:lang w:eastAsia="fr-FR" w:bidi="he-IL"/>
        </w:rPr>
        <w:t>etc.</w:t>
      </w:r>
      <w:r w:rsidR="00E65435">
        <w:rPr>
          <w:rFonts w:eastAsia="Arial Unicode MS"/>
          <w:bCs/>
          <w:lang w:eastAsia="fr-FR" w:bidi="he-IL"/>
        </w:rPr>
        <w:t xml:space="preserve">, </w:t>
      </w:r>
      <w:r w:rsidRPr="00C8701B">
        <w:rPr>
          <w:rFonts w:eastAsia="Arial Unicode MS"/>
          <w:bCs/>
          <w:lang w:eastAsia="fr-FR" w:bidi="he-IL"/>
        </w:rPr>
        <w:t>qui les aient mis autrefois à la mode.</w:t>
      </w:r>
      <w:r w:rsidR="00C2602D" w:rsidRPr="00C8701B">
        <w:rPr>
          <w:rFonts w:eastAsia="Arial Unicode MS"/>
          <w:bCs/>
          <w:lang w:eastAsia="fr-FR" w:bidi="he-IL"/>
        </w:rPr>
        <w:t xml:space="preserve"> </w:t>
      </w:r>
    </w:p>
    <w:p w:rsidR="00C2602D" w:rsidRPr="00C8701B" w:rsidRDefault="00DF496C" w:rsidP="00C2602D">
      <w:pPr>
        <w:rPr>
          <w:rFonts w:eastAsia="Arial Unicode MS"/>
          <w:bCs/>
          <w:lang w:eastAsia="fr-FR" w:bidi="he-IL"/>
        </w:rPr>
      </w:pPr>
      <w:r w:rsidRPr="00C8701B">
        <w:rPr>
          <w:rFonts w:eastAsia="Arial Unicode MS"/>
          <w:bCs/>
          <w:lang w:eastAsia="fr-FR" w:bidi="he-IL"/>
        </w:rPr>
        <w:t>Kepler</w:t>
      </w:r>
      <w:r w:rsidR="00E65435">
        <w:rPr>
          <w:rFonts w:eastAsia="Arial Unicode MS"/>
          <w:bCs/>
          <w:lang w:eastAsia="fr-FR" w:bidi="he-IL"/>
        </w:rPr>
        <w:t xml:space="preserve">, </w:t>
      </w:r>
      <w:r w:rsidR="00B704AD" w:rsidRPr="00C8701B">
        <w:rPr>
          <w:rFonts w:eastAsia="Arial Unicode MS"/>
          <w:bCs/>
          <w:lang w:eastAsia="fr-FR" w:bidi="he-IL"/>
        </w:rPr>
        <w:t>témoin</w:t>
      </w:r>
      <w:r w:rsidR="00E65435">
        <w:rPr>
          <w:rFonts w:eastAsia="Arial Unicode MS"/>
          <w:bCs/>
          <w:lang w:eastAsia="fr-FR" w:bidi="he-IL"/>
        </w:rPr>
        <w:t xml:space="preserve">, </w:t>
      </w:r>
      <w:r w:rsidR="00B704AD" w:rsidRPr="00C8701B">
        <w:rPr>
          <w:rFonts w:eastAsia="Arial Unicode MS"/>
          <w:bCs/>
          <w:lang w:eastAsia="fr-FR" w:bidi="he-IL"/>
        </w:rPr>
        <w:t>en 1603 et en 1604</w:t>
      </w:r>
      <w:r w:rsidR="00E65435">
        <w:rPr>
          <w:rFonts w:eastAsia="Arial Unicode MS"/>
          <w:bCs/>
          <w:lang w:eastAsia="fr-FR" w:bidi="he-IL"/>
        </w:rPr>
        <w:t xml:space="preserve">, </w:t>
      </w:r>
      <w:r w:rsidR="00B704AD" w:rsidRPr="00C8701B">
        <w:rPr>
          <w:rFonts w:eastAsia="Arial Unicode MS"/>
          <w:bCs/>
          <w:lang w:eastAsia="fr-FR" w:bidi="he-IL"/>
        </w:rPr>
        <w:t>d</w:t>
      </w:r>
      <w:r w:rsidR="00557DE0">
        <w:rPr>
          <w:rFonts w:eastAsia="Arial Unicode MS"/>
          <w:bCs/>
          <w:lang w:eastAsia="fr-FR" w:bidi="he-IL"/>
        </w:rPr>
        <w:t>’</w:t>
      </w:r>
      <w:r w:rsidR="00B704AD" w:rsidRPr="00C8701B">
        <w:rPr>
          <w:rFonts w:eastAsia="Arial Unicode MS"/>
          <w:bCs/>
          <w:lang w:eastAsia="fr-FR" w:bidi="he-IL"/>
        </w:rPr>
        <w:t>une conjonction remarquable de Jupiter</w:t>
      </w:r>
      <w:r w:rsidR="00E65435">
        <w:rPr>
          <w:rFonts w:eastAsia="Arial Unicode MS"/>
          <w:bCs/>
          <w:lang w:eastAsia="fr-FR" w:bidi="he-IL"/>
        </w:rPr>
        <w:t xml:space="preserve">, </w:t>
      </w:r>
      <w:r w:rsidR="00B704AD" w:rsidRPr="00C8701B">
        <w:rPr>
          <w:rFonts w:eastAsia="Arial Unicode MS"/>
          <w:bCs/>
          <w:lang w:eastAsia="fr-FR" w:bidi="he-IL"/>
        </w:rPr>
        <w:t>de Saturne et de Mars dans le signe des Poissons</w:t>
      </w:r>
      <w:r w:rsidR="00E65435">
        <w:rPr>
          <w:rFonts w:eastAsia="Arial Unicode MS"/>
          <w:bCs/>
          <w:lang w:eastAsia="fr-FR" w:bidi="he-IL"/>
        </w:rPr>
        <w:t xml:space="preserve">, </w:t>
      </w:r>
      <w:r w:rsidR="00B704AD" w:rsidRPr="00C8701B">
        <w:rPr>
          <w:rFonts w:eastAsia="Arial Unicode MS"/>
          <w:bCs/>
          <w:lang w:eastAsia="fr-FR" w:bidi="he-IL"/>
        </w:rPr>
        <w:t>avait pensé que l</w:t>
      </w:r>
      <w:r w:rsidR="00557DE0">
        <w:rPr>
          <w:rFonts w:eastAsia="Arial Unicode MS"/>
          <w:bCs/>
          <w:lang w:eastAsia="fr-FR" w:bidi="he-IL"/>
        </w:rPr>
        <w:t>’</w:t>
      </w:r>
      <w:r w:rsidR="00B704AD" w:rsidRPr="00C8701B">
        <w:rPr>
          <w:rFonts w:eastAsia="Arial Unicode MS"/>
          <w:bCs/>
          <w:lang w:eastAsia="fr-FR" w:bidi="he-IL"/>
        </w:rPr>
        <w:t>étoile des Mages aurait bien pu consister dans une conjonction analogue des mêmes astres. Ses tables astronomiques lui apprirent</w:t>
      </w:r>
      <w:r w:rsidR="00E65435">
        <w:rPr>
          <w:rFonts w:eastAsia="Arial Unicode MS"/>
          <w:bCs/>
          <w:lang w:eastAsia="fr-FR" w:bidi="he-IL"/>
        </w:rPr>
        <w:t xml:space="preserve">, </w:t>
      </w:r>
      <w:r w:rsidR="00B704AD" w:rsidRPr="00C8701B">
        <w:rPr>
          <w:rFonts w:eastAsia="Arial Unicode MS"/>
          <w:bCs/>
          <w:lang w:eastAsia="fr-FR" w:bidi="he-IL"/>
        </w:rPr>
        <w:t>en effet</w:t>
      </w:r>
      <w:r w:rsidR="00E65435">
        <w:rPr>
          <w:rFonts w:eastAsia="Arial Unicode MS"/>
          <w:bCs/>
          <w:lang w:eastAsia="fr-FR" w:bidi="he-IL"/>
        </w:rPr>
        <w:t xml:space="preserve">, </w:t>
      </w:r>
      <w:r w:rsidR="00B704AD" w:rsidRPr="00C8701B">
        <w:rPr>
          <w:rFonts w:eastAsia="Arial Unicode MS"/>
          <w:bCs/>
          <w:lang w:eastAsia="fr-FR" w:bidi="he-IL"/>
        </w:rPr>
        <w:t>qu</w:t>
      </w:r>
      <w:r w:rsidR="00557DE0">
        <w:rPr>
          <w:rFonts w:eastAsia="Arial Unicode MS"/>
          <w:bCs/>
          <w:lang w:eastAsia="fr-FR" w:bidi="he-IL"/>
        </w:rPr>
        <w:t>’</w:t>
      </w:r>
      <w:r w:rsidR="00064E44">
        <w:rPr>
          <w:rFonts w:eastAsia="Arial Unicode MS"/>
          <w:bCs/>
          <w:lang w:eastAsia="fr-FR" w:bidi="he-IL"/>
        </w:rPr>
        <w:t>e</w:t>
      </w:r>
      <w:r w:rsidR="00B704AD" w:rsidRPr="00C8701B">
        <w:rPr>
          <w:rFonts w:eastAsia="Arial Unicode MS"/>
          <w:bCs/>
          <w:lang w:eastAsia="fr-FR" w:bidi="he-IL"/>
        </w:rPr>
        <w:t>lle avait eu lieu en 747 et 748 de la fondation de Rome</w:t>
      </w:r>
      <w:r w:rsidR="00E65435">
        <w:rPr>
          <w:rFonts w:eastAsia="Arial Unicode MS"/>
          <w:bCs/>
          <w:lang w:eastAsia="fr-FR" w:bidi="he-IL"/>
        </w:rPr>
        <w:t xml:space="preserve">, </w:t>
      </w:r>
      <w:r w:rsidR="00B704AD" w:rsidRPr="00C8701B">
        <w:rPr>
          <w:rFonts w:eastAsia="Arial Unicode MS"/>
          <w:bCs/>
          <w:lang w:eastAsia="fr-FR" w:bidi="he-IL"/>
        </w:rPr>
        <w:t>de sept à six ans avant l</w:t>
      </w:r>
      <w:r w:rsidR="00557DE0">
        <w:rPr>
          <w:rFonts w:eastAsia="Arial Unicode MS"/>
          <w:bCs/>
          <w:lang w:eastAsia="fr-FR" w:bidi="he-IL"/>
        </w:rPr>
        <w:t>’</w:t>
      </w:r>
      <w:r w:rsidR="00B704AD" w:rsidRPr="00C8701B">
        <w:rPr>
          <w:rFonts w:eastAsia="Arial Unicode MS"/>
          <w:bCs/>
          <w:lang w:eastAsia="fr-FR" w:bidi="he-IL"/>
        </w:rPr>
        <w:t>ère vulgaire</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et</w:t>
      </w:r>
      <w:r w:rsidR="00E65435">
        <w:rPr>
          <w:rFonts w:eastAsia="Arial Unicode MS"/>
          <w:bCs/>
          <w:lang w:eastAsia="fr-FR" w:bidi="he-IL"/>
        </w:rPr>
        <w:t xml:space="preserve">, </w:t>
      </w:r>
      <w:r w:rsidR="00B704AD" w:rsidRPr="00C8701B">
        <w:rPr>
          <w:rFonts w:eastAsia="Arial Unicode MS"/>
          <w:bCs/>
          <w:lang w:eastAsia="fr-FR" w:bidi="he-IL"/>
        </w:rPr>
        <w:t>finalement</w:t>
      </w:r>
      <w:r w:rsidR="00E65435">
        <w:rPr>
          <w:rFonts w:eastAsia="Arial Unicode MS"/>
          <w:bCs/>
          <w:lang w:eastAsia="fr-FR" w:bidi="he-IL"/>
        </w:rPr>
        <w:t xml:space="preserve">, </w:t>
      </w:r>
      <w:r w:rsidR="00B704AD" w:rsidRPr="00C8701B">
        <w:rPr>
          <w:rFonts w:eastAsia="Arial Unicode MS"/>
          <w:bCs/>
          <w:lang w:eastAsia="fr-FR" w:bidi="he-IL"/>
        </w:rPr>
        <w:t>il adopta l</w:t>
      </w:r>
      <w:r w:rsidR="00557DE0">
        <w:rPr>
          <w:rFonts w:eastAsia="Arial Unicode MS"/>
          <w:bCs/>
          <w:lang w:eastAsia="fr-FR" w:bidi="he-IL"/>
        </w:rPr>
        <w:t>’</w:t>
      </w:r>
      <w:r w:rsidR="00B704AD" w:rsidRPr="00C8701B">
        <w:rPr>
          <w:rFonts w:eastAsia="Arial Unicode MS"/>
          <w:bCs/>
          <w:lang w:eastAsia="fr-FR" w:bidi="he-IL"/>
        </w:rPr>
        <w:t>année 7</w:t>
      </w:r>
      <w:r>
        <w:rPr>
          <w:rFonts w:eastAsia="Arial Unicode MS"/>
          <w:bCs/>
          <w:lang w:eastAsia="fr-FR" w:bidi="he-IL"/>
        </w:rPr>
        <w:t>48 comme date de la naissance d</w:t>
      </w:r>
      <w:r w:rsidR="00B704AD" w:rsidRPr="00C8701B">
        <w:rPr>
          <w:rFonts w:eastAsia="Arial Unicode MS"/>
          <w:bCs/>
          <w:lang w:eastAsia="fr-FR" w:bidi="he-IL"/>
        </w:rPr>
        <w:t>e Jésus-Christ</w:t>
      </w:r>
      <w:r w:rsidR="00E65435">
        <w:rPr>
          <w:rFonts w:eastAsia="Arial Unicode MS"/>
          <w:bCs/>
          <w:lang w:eastAsia="fr-FR" w:bidi="he-IL"/>
        </w:rPr>
        <w:t xml:space="preserve">, </w:t>
      </w:r>
      <w:r w:rsidR="00B704AD" w:rsidRPr="00C8701B">
        <w:rPr>
          <w:rFonts w:eastAsia="Arial Unicode MS"/>
          <w:bCs/>
          <w:lang w:eastAsia="fr-FR" w:bidi="he-IL"/>
        </w:rPr>
        <w:t>sans exclure pourtant l</w:t>
      </w:r>
      <w:r w:rsidR="00557DE0">
        <w:rPr>
          <w:rFonts w:eastAsia="Arial Unicode MS"/>
          <w:bCs/>
          <w:lang w:eastAsia="fr-FR" w:bidi="he-IL"/>
        </w:rPr>
        <w:t>’</w:t>
      </w:r>
      <w:r w:rsidR="00B704AD" w:rsidRPr="00C8701B">
        <w:rPr>
          <w:rFonts w:eastAsia="Arial Unicode MS"/>
          <w:bCs/>
          <w:lang w:eastAsia="fr-FR" w:bidi="he-IL"/>
        </w:rPr>
        <w:t>année 749. Mais</w:t>
      </w:r>
      <w:r w:rsidR="00E65435">
        <w:rPr>
          <w:rFonts w:eastAsia="Arial Unicode MS"/>
          <w:bCs/>
          <w:lang w:eastAsia="fr-FR" w:bidi="he-IL"/>
        </w:rPr>
        <w:t xml:space="preserve">, </w:t>
      </w:r>
      <w:r w:rsidR="00B704AD" w:rsidRPr="00C8701B">
        <w:rPr>
          <w:rFonts w:eastAsia="Arial Unicode MS"/>
          <w:bCs/>
          <w:lang w:eastAsia="fr-FR" w:bidi="he-IL"/>
        </w:rPr>
        <w:t>ces calculs sont si peu sûrs</w:t>
      </w:r>
      <w:r w:rsidR="00E65435">
        <w:rPr>
          <w:rFonts w:eastAsia="Arial Unicode MS"/>
          <w:bCs/>
          <w:lang w:eastAsia="fr-FR" w:bidi="he-IL"/>
        </w:rPr>
        <w:t xml:space="preserve">, </w:t>
      </w:r>
      <w:r w:rsidR="00B704AD" w:rsidRPr="00C8701B">
        <w:rPr>
          <w:rFonts w:eastAsia="Arial Unicode MS"/>
          <w:bCs/>
          <w:lang w:eastAsia="fr-FR" w:bidi="he-IL"/>
        </w:rPr>
        <w:t>que d</w:t>
      </w:r>
      <w:r w:rsidR="00557DE0">
        <w:rPr>
          <w:rFonts w:eastAsia="Arial Unicode MS"/>
          <w:bCs/>
          <w:lang w:eastAsia="fr-FR" w:bidi="he-IL"/>
        </w:rPr>
        <w:t>’</w:t>
      </w:r>
      <w:r w:rsidR="00B704AD" w:rsidRPr="00C8701B">
        <w:rPr>
          <w:rFonts w:eastAsia="Arial Unicode MS"/>
          <w:bCs/>
          <w:lang w:eastAsia="fr-FR" w:bidi="he-IL"/>
        </w:rPr>
        <w:t>autres</w:t>
      </w:r>
      <w:r w:rsidR="00E65435">
        <w:rPr>
          <w:rFonts w:eastAsia="Arial Unicode MS"/>
          <w:bCs/>
          <w:lang w:eastAsia="fr-FR" w:bidi="he-IL"/>
        </w:rPr>
        <w:t xml:space="preserve">, </w:t>
      </w:r>
      <w:r w:rsidR="00B704AD" w:rsidRPr="00C8701B">
        <w:rPr>
          <w:rFonts w:eastAsia="Arial Unicode MS"/>
          <w:bCs/>
          <w:lang w:eastAsia="fr-FR" w:bidi="he-IL"/>
        </w:rPr>
        <w:t>prenant le même point de départ</w:t>
      </w:r>
      <w:r w:rsidR="00E65435">
        <w:rPr>
          <w:rFonts w:eastAsia="Arial Unicode MS"/>
          <w:bCs/>
          <w:lang w:eastAsia="fr-FR" w:bidi="he-IL"/>
        </w:rPr>
        <w:t xml:space="preserve">, </w:t>
      </w:r>
      <w:r w:rsidR="00B704AD" w:rsidRPr="00C8701B">
        <w:rPr>
          <w:rFonts w:eastAsia="Arial Unicode MS"/>
          <w:bCs/>
          <w:lang w:eastAsia="fr-FR" w:bidi="he-IL"/>
        </w:rPr>
        <w:t>adoptent les années 747 ou 750</w:t>
      </w:r>
      <w:r w:rsidR="00933C60" w:rsidRPr="00C406FF">
        <w:rPr>
          <w:rStyle w:val="Appelnotedebasdep"/>
        </w:rPr>
        <w:footnoteReference w:id="356"/>
      </w:r>
      <w:r w:rsidR="00B704AD"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ailleurs</w:t>
      </w:r>
      <w:r w:rsidR="00E65435">
        <w:rPr>
          <w:rFonts w:eastAsia="Arial Unicode MS"/>
          <w:bCs/>
          <w:lang w:eastAsia="fr-FR" w:bidi="he-IL"/>
        </w:rPr>
        <w:t xml:space="preserve">, </w:t>
      </w:r>
      <w:r w:rsidR="00064E44">
        <w:rPr>
          <w:rStyle w:val="italicus"/>
        </w:rPr>
        <w:t>falsum</w:t>
      </w:r>
      <w:r w:rsidRPr="00DC4586">
        <w:rPr>
          <w:rStyle w:val="italicus"/>
        </w:rPr>
        <w:t xml:space="preserve"> </w:t>
      </w:r>
      <w:r w:rsidR="00DF496C" w:rsidRPr="00DC4586">
        <w:rPr>
          <w:rStyle w:val="italicus"/>
        </w:rPr>
        <w:t>suppósitum</w:t>
      </w:r>
      <w:r w:rsidR="00E65435">
        <w:rPr>
          <w:rStyle w:val="italicus"/>
        </w:rPr>
        <w:t xml:space="preserve">, </w:t>
      </w:r>
      <w:r w:rsidRPr="00C8701B">
        <w:rPr>
          <w:rFonts w:eastAsia="Arial Unicode MS"/>
          <w:bCs/>
          <w:lang w:eastAsia="fr-FR" w:bidi="he-IL"/>
        </w:rPr>
        <w:t xml:space="preserve">car </w:t>
      </w:r>
      <w:r w:rsidR="00064E44">
        <w:rPr>
          <w:rFonts w:eastAsia="Arial Unicode MS"/>
          <w:bCs/>
          <w:lang w:eastAsia="fr-FR" w:bidi="he-IL"/>
        </w:rPr>
        <w:t>l</w:t>
      </w:r>
      <w:r w:rsidR="00557DE0">
        <w:rPr>
          <w:rFonts w:eastAsia="Arial Unicode MS"/>
          <w:bCs/>
          <w:lang w:val="el-GR" w:eastAsia="fr-FR" w:bidi="he-IL"/>
        </w:rPr>
        <w:t>’</w:t>
      </w:r>
      <w:r w:rsidR="00064E44">
        <w:rPr>
          <w:rFonts w:eastAsia="Arial Unicode MS"/>
          <w:bCs/>
          <w:lang w:eastAsia="fr-FR" w:bidi="he-IL"/>
        </w:rPr>
        <w:t>ἀ</w:t>
      </w:r>
      <w:r w:rsidRPr="00C8701B">
        <w:rPr>
          <w:rFonts w:eastAsia="Arial Unicode MS"/>
          <w:bCs/>
          <w:lang w:val="el-GR" w:eastAsia="fr-FR" w:bidi="he-IL"/>
        </w:rPr>
        <w:t>στ</w:t>
      </w:r>
      <w:r w:rsidR="00C151D4">
        <w:rPr>
          <w:rFonts w:eastAsia="Arial Unicode MS"/>
          <w:bCs/>
          <w:lang w:val="el-GR" w:eastAsia="fr-FR" w:bidi="he-IL"/>
        </w:rPr>
        <w:t>ή</w:t>
      </w:r>
      <w:r w:rsidRPr="00C8701B">
        <w:rPr>
          <w:rFonts w:eastAsia="Arial Unicode MS"/>
          <w:bCs/>
          <w:lang w:val="el-GR" w:eastAsia="fr-FR" w:bidi="he-IL"/>
        </w:rPr>
        <w:t xml:space="preserve">ρ </w:t>
      </w:r>
      <w:r w:rsidRPr="00C8701B">
        <w:rPr>
          <w:rFonts w:eastAsia="Arial Unicode MS"/>
          <w:bCs/>
          <w:lang w:eastAsia="fr-FR" w:bidi="he-IL"/>
        </w:rPr>
        <w:t>ou étoile des Mages désigne difficilement une conjonction de ce genre</w:t>
      </w:r>
      <w:r w:rsidR="00933C60" w:rsidRPr="00C406FF">
        <w:rPr>
          <w:rStyle w:val="Appelnotedebasdep"/>
        </w:rPr>
        <w:footnoteReference w:id="357"/>
      </w:r>
      <w:r w:rsidRPr="00C8701B">
        <w:rPr>
          <w:rFonts w:eastAsia="Arial Unicode MS"/>
          <w:bCs/>
          <w:lang w:eastAsia="fr-FR" w:bidi="he-IL"/>
        </w:rPr>
        <w:t>. Ce fut sans doute un simple météore</w:t>
      </w:r>
      <w:r w:rsidR="00E65435">
        <w:rPr>
          <w:rFonts w:eastAsia="Arial Unicode MS"/>
          <w:bCs/>
          <w:lang w:eastAsia="fr-FR" w:bidi="he-IL"/>
        </w:rPr>
        <w:t xml:space="preserve">, </w:t>
      </w:r>
      <w:r w:rsidRPr="00C8701B">
        <w:rPr>
          <w:rFonts w:eastAsia="Arial Unicode MS"/>
          <w:bCs/>
          <w:lang w:eastAsia="fr-FR" w:bidi="he-IL"/>
        </w:rPr>
        <w:t>qui disparut sans laisser de traces.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4° Un détail en apparence insignifiant de S. Luc</w:t>
      </w:r>
      <w:r w:rsidR="00E65435">
        <w:rPr>
          <w:rFonts w:eastAsia="Arial Unicode MS"/>
          <w:bCs/>
          <w:lang w:eastAsia="fr-FR" w:bidi="he-IL"/>
        </w:rPr>
        <w:t>,</w:t>
      </w:r>
      <w:r w:rsidR="00C21120">
        <w:rPr>
          <w:rFonts w:eastAsia="Arial Unicode MS"/>
          <w:bCs/>
          <w:lang w:eastAsia="fr-FR" w:bidi="he-IL"/>
        </w:rPr>
        <w:t xml:space="preserve"> I, </w:t>
      </w:r>
      <w:r w:rsidR="00C21120" w:rsidRPr="00C8701B">
        <w:rPr>
          <w:rFonts w:eastAsia="Arial Unicode MS"/>
          <w:bCs/>
          <w:lang w:eastAsia="fr-FR" w:bidi="he-IL"/>
        </w:rPr>
        <w:t>5</w:t>
      </w:r>
      <w:r w:rsidR="00E65435">
        <w:rPr>
          <w:rFonts w:eastAsia="Arial Unicode MS"/>
          <w:bCs/>
          <w:lang w:eastAsia="fr-FR" w:bidi="he-IL"/>
        </w:rPr>
        <w:t xml:space="preserve">, </w:t>
      </w:r>
      <w:r w:rsidR="00DF496C" w:rsidRPr="00DC4586">
        <w:rPr>
          <w:rStyle w:val="italicus"/>
        </w:rPr>
        <w:t>Zacharías</w:t>
      </w:r>
      <w:r w:rsidRPr="00DC4586">
        <w:rPr>
          <w:rStyle w:val="italicus"/>
        </w:rPr>
        <w:t xml:space="preserve"> de vice </w:t>
      </w:r>
      <w:r w:rsidR="00DF496C" w:rsidRPr="00DC4586">
        <w:rPr>
          <w:rStyle w:val="italicus"/>
        </w:rPr>
        <w:t>Abía</w:t>
      </w:r>
      <w:r w:rsidR="00E65435">
        <w:rPr>
          <w:rStyle w:val="italicus"/>
        </w:rPr>
        <w:t xml:space="preserve">, </w:t>
      </w:r>
      <w:r w:rsidRPr="00C8701B">
        <w:rPr>
          <w:rFonts w:eastAsia="Arial Unicode MS"/>
          <w:bCs/>
          <w:lang w:eastAsia="fr-FR" w:bidi="he-IL"/>
        </w:rPr>
        <w:t>a également servi de point d</w:t>
      </w:r>
      <w:r w:rsidR="00557DE0">
        <w:rPr>
          <w:rFonts w:eastAsia="Arial Unicode MS"/>
          <w:bCs/>
          <w:lang w:eastAsia="fr-FR" w:bidi="he-IL"/>
        </w:rPr>
        <w:t>’</w:t>
      </w:r>
      <w:r w:rsidRPr="00C8701B">
        <w:rPr>
          <w:rFonts w:eastAsia="Arial Unicode MS"/>
          <w:bCs/>
          <w:lang w:eastAsia="fr-FR" w:bidi="he-IL"/>
        </w:rPr>
        <w:t>appui à de savantes recherches pour supputer l</w:t>
      </w:r>
      <w:r w:rsidR="00557DE0">
        <w:rPr>
          <w:rFonts w:eastAsia="Arial Unicode MS"/>
          <w:bCs/>
          <w:lang w:eastAsia="fr-FR" w:bidi="he-IL"/>
        </w:rPr>
        <w:t>’</w:t>
      </w:r>
      <w:r w:rsidRPr="00C8701B">
        <w:rPr>
          <w:rFonts w:eastAsia="Arial Unicode MS"/>
          <w:bCs/>
          <w:lang w:eastAsia="fr-FR" w:bidi="he-IL"/>
        </w:rPr>
        <w:t>année de la naissance du Christ.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Cette classe sacerdotale d</w:t>
      </w:r>
      <w:r w:rsidR="00557DE0">
        <w:rPr>
          <w:rFonts w:eastAsia="Arial Unicode MS"/>
          <w:bCs/>
          <w:lang w:eastAsia="fr-FR" w:bidi="he-IL"/>
        </w:rPr>
        <w:t>’</w:t>
      </w:r>
      <w:r w:rsidR="00DF496C" w:rsidRPr="00C8701B">
        <w:rPr>
          <w:rFonts w:eastAsia="Arial Unicode MS"/>
          <w:bCs/>
          <w:lang w:eastAsia="fr-FR" w:bidi="he-IL"/>
        </w:rPr>
        <w:t>Abía</w:t>
      </w:r>
      <w:r w:rsidRPr="00C8701B">
        <w:rPr>
          <w:rFonts w:eastAsia="Arial Unicode MS"/>
          <w:bCs/>
          <w:lang w:eastAsia="fr-FR" w:bidi="he-IL"/>
        </w:rPr>
        <w:t xml:space="preserve"> était la huitième de celles que David avait instituées (au nombre de vingt-quatre) lorsqu</w:t>
      </w:r>
      <w:r w:rsidR="00557DE0">
        <w:rPr>
          <w:rFonts w:eastAsia="Arial Unicode MS"/>
          <w:bCs/>
          <w:lang w:eastAsia="fr-FR" w:bidi="he-IL"/>
        </w:rPr>
        <w:t>’</w:t>
      </w:r>
      <w:r w:rsidRPr="00C8701B">
        <w:rPr>
          <w:rFonts w:eastAsia="Arial Unicode MS"/>
          <w:bCs/>
          <w:lang w:eastAsia="fr-FR" w:bidi="he-IL"/>
        </w:rPr>
        <w:t>il organisa le culte divin. Or</w:t>
      </w:r>
      <w:r w:rsidR="00E65435">
        <w:rPr>
          <w:rFonts w:eastAsia="Arial Unicode MS"/>
          <w:bCs/>
          <w:lang w:eastAsia="fr-FR" w:bidi="he-IL"/>
        </w:rPr>
        <w:t xml:space="preserve">, </w:t>
      </w:r>
      <w:r w:rsidRPr="00C8701B">
        <w:rPr>
          <w:rFonts w:eastAsia="Arial Unicode MS"/>
          <w:bCs/>
          <w:lang w:eastAsia="fr-FR" w:bidi="he-IL"/>
        </w:rPr>
        <w:t>on sait que chaque classe était de service au temple pendant une semaine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évangéliste nous dit</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autre part</w:t>
      </w:r>
      <w:r w:rsidR="00E65435">
        <w:rPr>
          <w:rFonts w:eastAsia="Arial Unicode MS"/>
          <w:bCs/>
          <w:lang w:eastAsia="fr-FR" w:bidi="he-IL"/>
        </w:rPr>
        <w:t xml:space="preserve">, </w:t>
      </w:r>
      <w:r w:rsidRPr="00C8701B">
        <w:rPr>
          <w:rFonts w:eastAsia="Arial Unicode MS"/>
          <w:bCs/>
          <w:lang w:eastAsia="fr-FR" w:bidi="he-IL"/>
        </w:rPr>
        <w:t>que la classe d</w:t>
      </w:r>
      <w:r w:rsidR="00557DE0">
        <w:rPr>
          <w:rFonts w:eastAsia="Arial Unicode MS"/>
          <w:bCs/>
          <w:lang w:eastAsia="fr-FR" w:bidi="he-IL"/>
        </w:rPr>
        <w:t>’</w:t>
      </w:r>
      <w:r w:rsidR="00DF496C">
        <w:rPr>
          <w:rFonts w:eastAsia="Arial Unicode MS"/>
          <w:bCs/>
          <w:lang w:eastAsia="fr-FR" w:bidi="he-IL"/>
        </w:rPr>
        <w:t>Abía</w:t>
      </w:r>
      <w:r w:rsidR="00064E44">
        <w:rPr>
          <w:rFonts w:eastAsia="Arial Unicode MS"/>
          <w:bCs/>
          <w:lang w:eastAsia="fr-FR" w:bidi="he-IL"/>
        </w:rPr>
        <w:t xml:space="preserve"> était en fonction</w:t>
      </w:r>
      <w:r w:rsidRPr="00C8701B">
        <w:rPr>
          <w:rFonts w:eastAsia="Arial Unicode MS"/>
          <w:bCs/>
          <w:lang w:eastAsia="fr-FR" w:bidi="he-IL"/>
        </w:rPr>
        <w:t xml:space="preserve"> peu de temps avant la conception de S</w:t>
      </w:r>
      <w:r w:rsidR="00C87A2B">
        <w:rPr>
          <w:rFonts w:eastAsia="Arial Unicode MS"/>
          <w:bCs/>
          <w:lang w:eastAsia="fr-FR" w:bidi="he-IL"/>
        </w:rPr>
        <w:t>.</w:t>
      </w:r>
      <w:r w:rsidR="00E65435">
        <w:rPr>
          <w:rFonts w:eastAsia="Arial Unicode MS"/>
          <w:bCs/>
          <w:lang w:eastAsia="fr-FR" w:bidi="he-IL"/>
        </w:rPr>
        <w:t xml:space="preserve"> </w:t>
      </w:r>
      <w:r w:rsidRPr="00C8701B">
        <w:rPr>
          <w:rFonts w:eastAsia="Arial Unicode MS"/>
          <w:bCs/>
          <w:lang w:eastAsia="fr-FR" w:bidi="he-IL"/>
        </w:rPr>
        <w:t>Jean-Baptiste</w:t>
      </w:r>
      <w:r w:rsidR="00E65435">
        <w:rPr>
          <w:rFonts w:eastAsia="Arial Unicode MS"/>
          <w:bCs/>
          <w:lang w:eastAsia="fr-FR" w:bidi="he-IL"/>
        </w:rPr>
        <w:t xml:space="preserve">, </w:t>
      </w:r>
      <w:r w:rsidRPr="00C8701B">
        <w:rPr>
          <w:rFonts w:eastAsia="Arial Unicode MS"/>
          <w:bCs/>
          <w:lang w:eastAsia="fr-FR" w:bidi="he-IL"/>
        </w:rPr>
        <w:t>six mois avant le mystère de l</w:t>
      </w:r>
      <w:r w:rsidR="00557DE0">
        <w:rPr>
          <w:rFonts w:eastAsia="Arial Unicode MS"/>
          <w:bCs/>
          <w:lang w:eastAsia="fr-FR" w:bidi="he-IL"/>
        </w:rPr>
        <w:t>’</w:t>
      </w:r>
      <w:r w:rsidR="00064E44">
        <w:rPr>
          <w:rFonts w:eastAsia="Arial Unicode MS"/>
          <w:bCs/>
          <w:lang w:eastAsia="fr-FR" w:bidi="he-IL"/>
        </w:rPr>
        <w:t>Inc</w:t>
      </w:r>
      <w:r w:rsidRPr="00C8701B">
        <w:rPr>
          <w:rFonts w:eastAsia="Arial Unicode MS"/>
          <w:bCs/>
          <w:lang w:eastAsia="fr-FR" w:bidi="he-IL"/>
        </w:rPr>
        <w:t>arnation</w:t>
      </w:r>
      <w:r w:rsidR="00933C60" w:rsidRPr="00C406FF">
        <w:rPr>
          <w:rStyle w:val="Appelnotedebasdep"/>
        </w:rPr>
        <w:footnoteReference w:id="358"/>
      </w:r>
      <w:r w:rsidR="00E65435">
        <w:rPr>
          <w:rFonts w:eastAsia="Arial Unicode MS"/>
          <w:bCs/>
          <w:lang w:eastAsia="fr-FR" w:bidi="he-IL"/>
        </w:rPr>
        <w:t xml:space="preserve">, </w:t>
      </w:r>
      <w:r w:rsidRPr="00C8701B">
        <w:rPr>
          <w:rFonts w:eastAsia="Arial Unicode MS"/>
          <w:bCs/>
          <w:lang w:eastAsia="fr-FR" w:bidi="he-IL"/>
        </w:rPr>
        <w:t>par conséquent</w:t>
      </w:r>
      <w:r w:rsidR="00E65435">
        <w:rPr>
          <w:rFonts w:eastAsia="Arial Unicode MS"/>
          <w:bCs/>
          <w:lang w:eastAsia="fr-FR" w:bidi="he-IL"/>
        </w:rPr>
        <w:t xml:space="preserve">, </w:t>
      </w:r>
      <w:r w:rsidRPr="00C8701B">
        <w:rPr>
          <w:rFonts w:eastAsia="Arial Unicode MS"/>
          <w:bCs/>
          <w:lang w:eastAsia="fr-FR" w:bidi="he-IL"/>
        </w:rPr>
        <w:t>quinze mois avant Noël. On conçoit donc que les chronologistes aient éprouvé le désir de retrouver l</w:t>
      </w:r>
      <w:r w:rsidR="00557DE0">
        <w:rPr>
          <w:rFonts w:eastAsia="Arial Unicode MS"/>
          <w:bCs/>
          <w:lang w:eastAsia="fr-FR" w:bidi="he-IL"/>
        </w:rPr>
        <w:t>’</w:t>
      </w:r>
      <w:r w:rsidRPr="00C8701B">
        <w:rPr>
          <w:rFonts w:eastAsia="Arial Unicode MS"/>
          <w:bCs/>
          <w:lang w:eastAsia="fr-FR" w:bidi="he-IL"/>
        </w:rPr>
        <w:t>ordre de service des différentes classes.</w:t>
      </w:r>
      <w:r w:rsidR="00C2602D" w:rsidRPr="00C8701B">
        <w:rPr>
          <w:rFonts w:eastAsia="Arial Unicode MS"/>
          <w:bCs/>
          <w:lang w:eastAsia="fr-FR" w:bidi="he-IL"/>
        </w:rPr>
        <w:t xml:space="preserve"> </w:t>
      </w:r>
      <w:r w:rsidR="00C14040" w:rsidRPr="000716BB">
        <w:rPr>
          <w:rFonts w:eastAsia="Arial Unicode MS"/>
          <w:bCs/>
          <w:lang w:eastAsia="fr-FR" w:bidi="he-IL"/>
        </w:rPr>
        <w:t>{</w:t>
      </w:r>
      <w:r w:rsidR="00C14040">
        <w:rPr>
          <w:rFonts w:eastAsia="Arial Unicode MS"/>
          <w:bCs/>
          <w:lang w:eastAsia="fr-FR" w:bidi="he-IL"/>
        </w:rPr>
        <w:t>67</w:t>
      </w:r>
      <w:bookmarkStart w:id="108" w:name="pag067"/>
      <w:bookmarkEnd w:id="108"/>
      <w:r w:rsidR="00C14040" w:rsidRPr="000716BB">
        <w:rPr>
          <w:rFonts w:eastAsia="Arial Unicode MS"/>
          <w:bCs/>
          <w:lang w:eastAsia="fr-FR" w:bidi="he-IL"/>
        </w:rPr>
        <w:t>}</w:t>
      </w:r>
    </w:p>
    <w:p w:rsidR="00C2602D" w:rsidRPr="00C8701B" w:rsidRDefault="00B704AD" w:rsidP="00C2602D">
      <w:pPr>
        <w:rPr>
          <w:rFonts w:eastAsia="Arial Unicode MS"/>
          <w:bCs/>
          <w:lang w:eastAsia="fr-FR" w:bidi="he-IL"/>
        </w:rPr>
      </w:pPr>
      <w:r w:rsidRPr="00C8701B">
        <w:rPr>
          <w:rFonts w:eastAsia="Arial Unicode MS"/>
          <w:bCs/>
          <w:lang w:eastAsia="fr-FR" w:bidi="he-IL"/>
        </w:rPr>
        <w:t>Deux voies étaient possibles</w:t>
      </w:r>
      <w:r w:rsidR="00E65435">
        <w:rPr>
          <w:rFonts w:eastAsia="Arial Unicode MS"/>
          <w:bCs/>
          <w:lang w:eastAsia="fr-FR" w:bidi="he-IL"/>
        </w:rPr>
        <w:t xml:space="preserve">, </w:t>
      </w:r>
      <w:r w:rsidRPr="00C8701B">
        <w:rPr>
          <w:rFonts w:eastAsia="Arial Unicode MS"/>
          <w:bCs/>
          <w:lang w:eastAsia="fr-FR" w:bidi="he-IL"/>
        </w:rPr>
        <w:t>et elles ont été suivies tour à tour</w:t>
      </w:r>
      <w:r w:rsidR="00C2602D" w:rsidRPr="00C8701B">
        <w:rPr>
          <w:rFonts w:eastAsia="Arial Unicode MS"/>
          <w:bCs/>
          <w:lang w:eastAsia="fr-FR" w:bidi="he-IL"/>
        </w:rPr>
        <w:t> :</w:t>
      </w:r>
      <w:r w:rsidRPr="00C8701B">
        <w:rPr>
          <w:rFonts w:eastAsia="Arial Unicode MS"/>
          <w:bCs/>
          <w:lang w:eastAsia="fr-FR" w:bidi="he-IL"/>
        </w:rPr>
        <w:t xml:space="preserve"> redescendre à partir de telle ou telle période</w:t>
      </w:r>
      <w:r w:rsidR="00E65435">
        <w:rPr>
          <w:rFonts w:eastAsia="Arial Unicode MS"/>
          <w:bCs/>
          <w:lang w:eastAsia="fr-FR" w:bidi="he-IL"/>
        </w:rPr>
        <w:t xml:space="preserve">, </w:t>
      </w:r>
      <w:r w:rsidRPr="00C8701B">
        <w:rPr>
          <w:rFonts w:eastAsia="Arial Unicode MS"/>
          <w:bCs/>
          <w:lang w:eastAsia="fr-FR" w:bidi="he-IL"/>
        </w:rPr>
        <w:t>jusque vers l</w:t>
      </w:r>
      <w:r w:rsidR="00557DE0">
        <w:rPr>
          <w:rFonts w:eastAsia="Arial Unicode MS"/>
          <w:bCs/>
          <w:lang w:eastAsia="fr-FR" w:bidi="he-IL"/>
        </w:rPr>
        <w:t>’</w:t>
      </w:r>
      <w:r w:rsidRPr="00C8701B">
        <w:rPr>
          <w:rFonts w:eastAsia="Arial Unicode MS"/>
          <w:bCs/>
          <w:lang w:eastAsia="fr-FR" w:bidi="he-IL"/>
        </w:rPr>
        <w:t>époque de la naissance de Notre-Seigneur</w:t>
      </w:r>
      <w:r w:rsidR="00E65435">
        <w:rPr>
          <w:rFonts w:eastAsia="Arial Unicode MS"/>
          <w:bCs/>
          <w:lang w:eastAsia="fr-FR" w:bidi="he-IL"/>
        </w:rPr>
        <w:t xml:space="preserve">, </w:t>
      </w:r>
      <w:r w:rsidRPr="00C8701B">
        <w:rPr>
          <w:rFonts w:eastAsia="Arial Unicode MS"/>
          <w:bCs/>
          <w:lang w:eastAsia="fr-FR" w:bidi="he-IL"/>
        </w:rPr>
        <w:t>ce qu</w:t>
      </w:r>
      <w:r w:rsidR="00557DE0">
        <w:rPr>
          <w:rFonts w:eastAsia="Arial Unicode MS"/>
          <w:bCs/>
          <w:lang w:eastAsia="fr-FR" w:bidi="he-IL"/>
        </w:rPr>
        <w:t>’</w:t>
      </w:r>
      <w:r w:rsidRPr="00C8701B">
        <w:rPr>
          <w:rFonts w:eastAsia="Arial Unicode MS"/>
          <w:bCs/>
          <w:lang w:eastAsia="fr-FR" w:bidi="he-IL"/>
        </w:rPr>
        <w:t>a fait Scaliger</w:t>
      </w:r>
      <w:r w:rsidR="00E65435">
        <w:rPr>
          <w:rFonts w:eastAsia="Arial Unicode MS"/>
          <w:bCs/>
          <w:lang w:eastAsia="fr-FR" w:bidi="he-IL"/>
        </w:rPr>
        <w:t xml:space="preserve">, </w:t>
      </w:r>
      <w:r w:rsidRPr="00C8701B">
        <w:rPr>
          <w:rFonts w:eastAsia="Arial Unicode MS"/>
          <w:bCs/>
          <w:lang w:eastAsia="fr-FR" w:bidi="he-IL"/>
        </w:rPr>
        <w:t>depuis la domination de Judas Machabée</w:t>
      </w:r>
      <w:r w:rsidR="00E65435">
        <w:rPr>
          <w:rFonts w:eastAsia="Arial Unicode MS"/>
          <w:bCs/>
          <w:lang w:eastAsia="fr-FR" w:bidi="he-IL"/>
        </w:rPr>
        <w:t xml:space="preserve">, </w:t>
      </w:r>
      <w:r w:rsidRPr="00C8701B">
        <w:rPr>
          <w:rFonts w:eastAsia="Arial Unicode MS"/>
          <w:bCs/>
          <w:lang w:eastAsia="fr-FR" w:bidi="he-IL"/>
        </w:rPr>
        <w:t>mais avec des résultats assez vagues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remonter</w:t>
      </w:r>
      <w:r w:rsidR="00E65435">
        <w:rPr>
          <w:rFonts w:eastAsia="Arial Unicode MS"/>
          <w:bCs/>
          <w:lang w:eastAsia="fr-FR" w:bidi="he-IL"/>
        </w:rPr>
        <w:t xml:space="preserve">, </w:t>
      </w:r>
      <w:r w:rsidRPr="00C8701B">
        <w:rPr>
          <w:rFonts w:eastAsia="Arial Unicode MS"/>
          <w:bCs/>
          <w:lang w:eastAsia="fr-FR" w:bidi="he-IL"/>
        </w:rPr>
        <w:t>au contraire</w:t>
      </w:r>
      <w:r w:rsidR="00E65435">
        <w:rPr>
          <w:rFonts w:eastAsia="Arial Unicode MS"/>
          <w:bCs/>
          <w:lang w:eastAsia="fr-FR" w:bidi="he-IL"/>
        </w:rPr>
        <w:t xml:space="preserve">, </w:t>
      </w:r>
      <w:r w:rsidRPr="00C8701B">
        <w:rPr>
          <w:rFonts w:eastAsia="Arial Unicode MS"/>
          <w:bCs/>
          <w:lang w:eastAsia="fr-FR" w:bidi="he-IL"/>
        </w:rPr>
        <w:t>à partir de la ruine de Jérusalem jusqu</w:t>
      </w:r>
      <w:r w:rsidR="00557DE0">
        <w:rPr>
          <w:rFonts w:eastAsia="Arial Unicode MS"/>
          <w:bCs/>
          <w:lang w:eastAsia="fr-FR" w:bidi="he-IL"/>
        </w:rPr>
        <w:t>’</w:t>
      </w:r>
      <w:r w:rsidRPr="00C8701B">
        <w:rPr>
          <w:rFonts w:eastAsia="Arial Unicode MS"/>
          <w:bCs/>
          <w:lang w:eastAsia="fr-FR" w:bidi="he-IL"/>
        </w:rPr>
        <w:t>à cette même période</w:t>
      </w:r>
      <w:r w:rsidR="00E65435">
        <w:rPr>
          <w:rFonts w:eastAsia="Arial Unicode MS"/>
          <w:bCs/>
          <w:lang w:eastAsia="fr-FR" w:bidi="he-IL"/>
        </w:rPr>
        <w:t xml:space="preserve">, </w:t>
      </w:r>
      <w:r w:rsidRPr="00C8701B">
        <w:rPr>
          <w:rFonts w:eastAsia="Arial Unicode MS"/>
          <w:bCs/>
          <w:lang w:eastAsia="fr-FR" w:bidi="he-IL"/>
        </w:rPr>
        <w:t>en rebroussant le cours des années.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Voici de quelle manière on a procédé d</w:t>
      </w:r>
      <w:r w:rsidR="00557DE0">
        <w:rPr>
          <w:rFonts w:eastAsia="Arial Unicode MS"/>
          <w:bCs/>
          <w:lang w:eastAsia="fr-FR" w:bidi="he-IL"/>
        </w:rPr>
        <w:t>’</w:t>
      </w:r>
      <w:r w:rsidRPr="00C8701B">
        <w:rPr>
          <w:rFonts w:eastAsia="Arial Unicode MS"/>
          <w:bCs/>
          <w:lang w:eastAsia="fr-FR" w:bidi="he-IL"/>
        </w:rPr>
        <w:t>après la seconde méthode. Le Talmud et Josèphe disent expressément que les Romains s</w:t>
      </w:r>
      <w:r w:rsidR="00557DE0">
        <w:rPr>
          <w:rFonts w:eastAsia="Arial Unicode MS"/>
          <w:bCs/>
          <w:lang w:eastAsia="fr-FR" w:bidi="he-IL"/>
        </w:rPr>
        <w:t>’</w:t>
      </w:r>
      <w:r w:rsidR="0025739F">
        <w:rPr>
          <w:rFonts w:eastAsia="Arial Unicode MS"/>
          <w:bCs/>
          <w:lang w:eastAsia="fr-FR" w:bidi="he-IL"/>
        </w:rPr>
        <w:t>emparèrent de l</w:t>
      </w:r>
      <w:r w:rsidRPr="00C8701B">
        <w:rPr>
          <w:rFonts w:eastAsia="Arial Unicode MS"/>
          <w:bCs/>
          <w:lang w:eastAsia="fr-FR" w:bidi="he-IL"/>
        </w:rPr>
        <w:t>a capitale juive le 9 Ab 823 u. c.</w:t>
      </w:r>
      <w:r w:rsidR="00E65435">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est-à-dire</w:t>
      </w:r>
      <w:r w:rsidR="00E65435">
        <w:rPr>
          <w:rFonts w:eastAsia="Arial Unicode MS"/>
          <w:bCs/>
          <w:lang w:eastAsia="fr-FR" w:bidi="he-IL"/>
        </w:rPr>
        <w:t xml:space="preserve">, </w:t>
      </w:r>
      <w:r w:rsidRPr="00C8701B">
        <w:rPr>
          <w:rFonts w:eastAsia="Arial Unicode MS"/>
          <w:bCs/>
          <w:lang w:eastAsia="fr-FR" w:bidi="he-IL"/>
        </w:rPr>
        <w:t>le 5 août 70 de l</w:t>
      </w:r>
      <w:r w:rsidR="00557DE0">
        <w:rPr>
          <w:rFonts w:eastAsia="Arial Unicode MS"/>
          <w:bCs/>
          <w:lang w:eastAsia="fr-FR" w:bidi="he-IL"/>
        </w:rPr>
        <w:t>’</w:t>
      </w:r>
      <w:r w:rsidRPr="00C8701B">
        <w:rPr>
          <w:rFonts w:eastAsia="Arial Unicode MS"/>
          <w:bCs/>
          <w:lang w:eastAsia="fr-FR" w:bidi="he-IL"/>
        </w:rPr>
        <w:t>ère vulgaire. Ils ajoutent que</w:t>
      </w:r>
      <w:r w:rsidR="00E65435">
        <w:rPr>
          <w:rFonts w:eastAsia="Arial Unicode MS"/>
          <w:bCs/>
          <w:lang w:eastAsia="fr-FR" w:bidi="he-IL"/>
        </w:rPr>
        <w:t xml:space="preserve">, </w:t>
      </w:r>
      <w:r w:rsidRPr="00C8701B">
        <w:rPr>
          <w:rFonts w:eastAsia="Arial Unicode MS"/>
          <w:bCs/>
          <w:lang w:eastAsia="fr-FR" w:bidi="he-IL"/>
        </w:rPr>
        <w:t>la veille de ce jour</w:t>
      </w:r>
      <w:r w:rsidR="00E65435">
        <w:rPr>
          <w:rFonts w:eastAsia="Arial Unicode MS"/>
          <w:bCs/>
          <w:lang w:eastAsia="fr-FR" w:bidi="he-IL"/>
        </w:rPr>
        <w:t xml:space="preserve">, </w:t>
      </w:r>
      <w:r w:rsidRPr="00C8701B">
        <w:rPr>
          <w:rFonts w:eastAsia="Arial Unicode MS"/>
          <w:bCs/>
          <w:lang w:eastAsia="fr-FR" w:bidi="he-IL"/>
        </w:rPr>
        <w:t>la première classe sacerdotale entrait en fonctions. D</w:t>
      </w:r>
      <w:r w:rsidR="00557DE0">
        <w:rPr>
          <w:rFonts w:eastAsia="Arial Unicode MS"/>
          <w:bCs/>
          <w:lang w:eastAsia="fr-FR" w:bidi="he-IL"/>
        </w:rPr>
        <w:t>’</w:t>
      </w:r>
      <w:r w:rsidRPr="00C8701B">
        <w:rPr>
          <w:rFonts w:eastAsia="Arial Unicode MS"/>
          <w:bCs/>
          <w:lang w:eastAsia="fr-FR" w:bidi="he-IL"/>
        </w:rPr>
        <w:t>où il suivrait que la huitième</w:t>
      </w:r>
      <w:r w:rsidR="00E65435">
        <w:rPr>
          <w:rFonts w:eastAsia="Arial Unicode MS"/>
          <w:bCs/>
          <w:lang w:eastAsia="fr-FR" w:bidi="he-IL"/>
        </w:rPr>
        <w:t xml:space="preserve">, </w:t>
      </w:r>
      <w:r w:rsidRPr="00C8701B">
        <w:rPr>
          <w:rFonts w:eastAsia="Arial Unicode MS"/>
          <w:bCs/>
          <w:lang w:eastAsia="fr-FR" w:bidi="he-IL"/>
        </w:rPr>
        <w:t>celle d</w:t>
      </w:r>
      <w:r w:rsidR="00557DE0">
        <w:rPr>
          <w:rFonts w:eastAsia="Arial Unicode MS"/>
          <w:bCs/>
          <w:lang w:eastAsia="fr-FR" w:bidi="he-IL"/>
        </w:rPr>
        <w:t>’</w:t>
      </w:r>
      <w:r w:rsidR="00DF496C" w:rsidRPr="00C8701B">
        <w:rPr>
          <w:rFonts w:eastAsia="Arial Unicode MS"/>
          <w:bCs/>
          <w:lang w:eastAsia="fr-FR" w:bidi="he-IL"/>
        </w:rPr>
        <w:t>Abía</w:t>
      </w:r>
      <w:r w:rsidR="00E65435">
        <w:rPr>
          <w:rFonts w:eastAsia="Arial Unicode MS"/>
          <w:bCs/>
          <w:lang w:eastAsia="fr-FR" w:bidi="he-IL"/>
        </w:rPr>
        <w:t xml:space="preserve">, </w:t>
      </w:r>
      <w:r w:rsidRPr="00C8701B">
        <w:rPr>
          <w:rFonts w:eastAsia="Arial Unicode MS"/>
          <w:bCs/>
          <w:lang w:eastAsia="fr-FR" w:bidi="he-IL"/>
        </w:rPr>
        <w:t>avait été de service du 17 au 23 avril et du 3 au 9 octobre 748. Par l</w:t>
      </w:r>
      <w:r w:rsidR="00557DE0">
        <w:rPr>
          <w:rFonts w:eastAsia="Arial Unicode MS"/>
          <w:bCs/>
          <w:lang w:eastAsia="fr-FR" w:bidi="he-IL"/>
        </w:rPr>
        <w:t>’</w:t>
      </w:r>
      <w:r w:rsidRPr="00C8701B">
        <w:rPr>
          <w:rFonts w:eastAsia="Arial Unicode MS"/>
          <w:bCs/>
          <w:lang w:eastAsia="fr-FR" w:bidi="he-IL"/>
        </w:rPr>
        <w:t>addition de quinze mois à cette dernière date</w:t>
      </w:r>
      <w:r w:rsidR="00E65435">
        <w:rPr>
          <w:rFonts w:eastAsia="Arial Unicode MS"/>
          <w:bCs/>
          <w:lang w:eastAsia="fr-FR" w:bidi="he-IL"/>
        </w:rPr>
        <w:t xml:space="preserve">, </w:t>
      </w:r>
      <w:r w:rsidRPr="00C8701B">
        <w:rPr>
          <w:rFonts w:eastAsia="Arial Unicode MS"/>
          <w:bCs/>
          <w:lang w:eastAsia="fr-FR" w:bidi="he-IL"/>
        </w:rPr>
        <w:t>on obtient le commencement de janvier 750.</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Ce résultat ne nous déplaît pas</w:t>
      </w:r>
      <w:r w:rsidR="00E65435">
        <w:rPr>
          <w:rFonts w:eastAsia="Arial Unicode MS"/>
          <w:bCs/>
          <w:lang w:eastAsia="fr-FR" w:bidi="he-IL"/>
        </w:rPr>
        <w:t xml:space="preserve">, </w:t>
      </w:r>
      <w:r w:rsidRPr="00C8701B">
        <w:rPr>
          <w:rFonts w:eastAsia="Arial Unicode MS"/>
          <w:bCs/>
          <w:lang w:eastAsia="fr-FR" w:bidi="he-IL"/>
        </w:rPr>
        <w:t>puisque c</w:t>
      </w:r>
      <w:r w:rsidR="00557DE0">
        <w:rPr>
          <w:rFonts w:eastAsia="Arial Unicode MS"/>
          <w:bCs/>
          <w:lang w:eastAsia="fr-FR" w:bidi="he-IL"/>
        </w:rPr>
        <w:t>’</w:t>
      </w:r>
      <w:r w:rsidRPr="00C8701B">
        <w:rPr>
          <w:rFonts w:eastAsia="Arial Unicode MS"/>
          <w:bCs/>
          <w:lang w:eastAsia="fr-FR" w:bidi="he-IL"/>
        </w:rPr>
        <w:t>est à peu p</w:t>
      </w:r>
      <w:r w:rsidR="0025739F">
        <w:rPr>
          <w:rFonts w:eastAsia="Arial Unicode MS"/>
          <w:bCs/>
          <w:lang w:eastAsia="fr-FR" w:bidi="he-IL"/>
        </w:rPr>
        <w:t>rès celui que nous avons adopté</w:t>
      </w:r>
      <w:r w:rsidRPr="00C8701B">
        <w:rPr>
          <w:rFonts w:eastAsia="Arial Unicode MS"/>
          <w:bCs/>
          <w:lang w:eastAsia="fr-FR" w:bidi="he-IL"/>
        </w:rPr>
        <w:t xml:space="preserve"> précédemment</w:t>
      </w:r>
      <w:r w:rsidR="00933C60" w:rsidRPr="00C406FF">
        <w:rPr>
          <w:rStyle w:val="Appelnotedebasdep"/>
        </w:rPr>
        <w:footnoteReference w:id="359"/>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mais le raisonnement est bien aléatoire</w:t>
      </w:r>
      <w:r w:rsidR="00E65435">
        <w:rPr>
          <w:rFonts w:eastAsia="Arial Unicode MS"/>
          <w:bCs/>
          <w:lang w:eastAsia="fr-FR" w:bidi="he-IL"/>
        </w:rPr>
        <w:t xml:space="preserve">, </w:t>
      </w:r>
      <w:r w:rsidRPr="00C8701B">
        <w:rPr>
          <w:rFonts w:eastAsia="Arial Unicode MS"/>
          <w:bCs/>
          <w:lang w:eastAsia="fr-FR" w:bidi="he-IL"/>
        </w:rPr>
        <w:t>car</w:t>
      </w:r>
      <w:r w:rsidR="00E65435">
        <w:rPr>
          <w:rFonts w:eastAsia="Arial Unicode MS"/>
          <w:bCs/>
          <w:lang w:eastAsia="fr-FR" w:bidi="he-IL"/>
        </w:rPr>
        <w:t xml:space="preserve">, </w:t>
      </w:r>
      <w:r w:rsidRPr="00C8701B">
        <w:rPr>
          <w:rFonts w:eastAsia="Arial Unicode MS"/>
          <w:bCs/>
          <w:lang w:eastAsia="fr-FR" w:bidi="he-IL"/>
        </w:rPr>
        <w:t>en un temps où le souverain pontificat appartenait au plus offrant</w:t>
      </w:r>
      <w:r w:rsidR="00E65435">
        <w:rPr>
          <w:rFonts w:eastAsia="Arial Unicode MS"/>
          <w:bCs/>
          <w:lang w:eastAsia="fr-FR" w:bidi="he-IL"/>
        </w:rPr>
        <w:t xml:space="preserve">, </w:t>
      </w:r>
      <w:r w:rsidRPr="00C8701B">
        <w:rPr>
          <w:rFonts w:eastAsia="Arial Unicode MS"/>
          <w:bCs/>
          <w:lang w:eastAsia="fr-FR" w:bidi="he-IL"/>
        </w:rPr>
        <w:t>est-on bien sûr que l</w:t>
      </w:r>
      <w:r w:rsidR="00557DE0">
        <w:rPr>
          <w:rFonts w:eastAsia="Arial Unicode MS"/>
          <w:bCs/>
          <w:lang w:eastAsia="fr-FR" w:bidi="he-IL"/>
        </w:rPr>
        <w:t>’</w:t>
      </w:r>
      <w:r w:rsidRPr="00C8701B">
        <w:rPr>
          <w:rFonts w:eastAsia="Arial Unicode MS"/>
          <w:bCs/>
          <w:lang w:eastAsia="fr-FR" w:bidi="he-IL"/>
        </w:rPr>
        <w:t>ordre des classes sacerdotales ait été rigoureusement suivi</w:t>
      </w:r>
      <w:r w:rsidR="00C2602D" w:rsidRPr="00C8701B">
        <w:rPr>
          <w:rFonts w:eastAsia="Arial Unicode MS"/>
          <w:bCs/>
          <w:lang w:eastAsia="fr-FR" w:bidi="he-IL"/>
        </w:rPr>
        <w:t xml:space="preserve"> ? </w:t>
      </w:r>
    </w:p>
    <w:p w:rsidR="00C2602D" w:rsidRPr="00C8701B" w:rsidRDefault="00B704AD" w:rsidP="00C2602D">
      <w:pPr>
        <w:rPr>
          <w:rFonts w:eastAsia="Arial Unicode MS"/>
          <w:bCs/>
          <w:lang w:eastAsia="fr-FR" w:bidi="he-IL"/>
        </w:rPr>
      </w:pPr>
      <w:r w:rsidRPr="00C8701B">
        <w:rPr>
          <w:rFonts w:eastAsia="Arial Unicode MS"/>
          <w:bCs/>
          <w:lang w:eastAsia="fr-FR" w:bidi="he-IL"/>
        </w:rPr>
        <w:t>Concluons</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après la seule base qui nous semble solide jusqu</w:t>
      </w:r>
      <w:r w:rsidR="00557DE0">
        <w:rPr>
          <w:rFonts w:eastAsia="Arial Unicode MS"/>
          <w:bCs/>
          <w:lang w:eastAsia="fr-FR" w:bidi="he-IL"/>
        </w:rPr>
        <w:t>’</w:t>
      </w:r>
      <w:r w:rsidRPr="00C8701B">
        <w:rPr>
          <w:rFonts w:eastAsia="Arial Unicode MS"/>
          <w:bCs/>
          <w:lang w:eastAsia="fr-FR" w:bidi="he-IL"/>
        </w:rPr>
        <w:t>ici</w:t>
      </w:r>
      <w:r w:rsidR="00E65435">
        <w:rPr>
          <w:rFonts w:eastAsia="Arial Unicode MS"/>
          <w:bCs/>
          <w:lang w:eastAsia="fr-FR" w:bidi="he-IL"/>
        </w:rPr>
        <w:t xml:space="preserve">, </w:t>
      </w:r>
      <w:r w:rsidRPr="00C8701B">
        <w:rPr>
          <w:rFonts w:eastAsia="Arial Unicode MS"/>
          <w:bCs/>
          <w:lang w:eastAsia="fr-FR" w:bidi="he-IL"/>
        </w:rPr>
        <w:t>que les plus grandes vraisemblances sont pour la fin de 749 u. c.</w:t>
      </w:r>
      <w:r w:rsidR="00E65435">
        <w:rPr>
          <w:rFonts w:eastAsia="Arial Unicode MS"/>
          <w:bCs/>
          <w:lang w:eastAsia="fr-FR" w:bidi="he-IL"/>
        </w:rPr>
        <w:t xml:space="preserve">, </w:t>
      </w:r>
      <w:r w:rsidRPr="00C8701B">
        <w:rPr>
          <w:rFonts w:eastAsia="Arial Unicode MS"/>
          <w:bCs/>
          <w:lang w:eastAsia="fr-FR" w:bidi="he-IL"/>
        </w:rPr>
        <w:t>ou de l</w:t>
      </w:r>
      <w:r w:rsidR="00557DE0">
        <w:rPr>
          <w:rFonts w:eastAsia="Arial Unicode MS"/>
          <w:bCs/>
          <w:lang w:eastAsia="fr-FR" w:bidi="he-IL"/>
        </w:rPr>
        <w:t>’</w:t>
      </w:r>
      <w:r w:rsidRPr="00C8701B">
        <w:rPr>
          <w:rFonts w:eastAsia="Arial Unicode MS"/>
          <w:bCs/>
          <w:lang w:eastAsia="fr-FR" w:bidi="he-IL"/>
        </w:rPr>
        <w:t>an 5 avant l</w:t>
      </w:r>
      <w:r w:rsidR="00557DE0">
        <w:rPr>
          <w:rFonts w:eastAsia="Arial Unicode MS"/>
          <w:bCs/>
          <w:lang w:eastAsia="fr-FR" w:bidi="he-IL"/>
        </w:rPr>
        <w:t>’</w:t>
      </w:r>
      <w:r w:rsidRPr="00C8701B">
        <w:rPr>
          <w:rFonts w:eastAsia="Arial Unicode MS"/>
          <w:bCs/>
          <w:lang w:eastAsia="fr-FR" w:bidi="he-IL"/>
        </w:rPr>
        <w:t>ère vulgaire.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Quant au jour</w:t>
      </w:r>
      <w:r w:rsidR="00E65435">
        <w:rPr>
          <w:rFonts w:eastAsia="Arial Unicode MS"/>
          <w:bCs/>
          <w:lang w:eastAsia="fr-FR" w:bidi="he-IL"/>
        </w:rPr>
        <w:t xml:space="preserve">, </w:t>
      </w:r>
      <w:r w:rsidRPr="00C8701B">
        <w:rPr>
          <w:rFonts w:eastAsia="Arial Unicode MS"/>
          <w:bCs/>
          <w:lang w:eastAsia="fr-FR" w:bidi="he-IL"/>
        </w:rPr>
        <w:t>il est absolument impossible de le déterminer scienti</w:t>
      </w:r>
      <w:r w:rsidR="0004306D" w:rsidRPr="00C8701B">
        <w:rPr>
          <w:rFonts w:eastAsia="Arial Unicode MS"/>
          <w:bCs/>
          <w:lang w:eastAsia="fr-FR" w:bidi="he-IL"/>
        </w:rPr>
        <w:t>f</w:t>
      </w:r>
      <w:r w:rsidR="0004306D">
        <w:rPr>
          <w:rFonts w:eastAsia="Arial Unicode MS"/>
          <w:bCs/>
          <w:lang w:eastAsia="fr-FR" w:bidi="he-IL"/>
        </w:rPr>
        <w:t>i</w:t>
      </w:r>
      <w:r w:rsidR="0004306D" w:rsidRPr="00C8701B">
        <w:rPr>
          <w:rFonts w:eastAsia="Arial Unicode MS"/>
          <w:bCs/>
          <w:lang w:eastAsia="fr-FR" w:bidi="he-IL"/>
        </w:rPr>
        <w:t>q</w:t>
      </w:r>
      <w:r w:rsidRPr="00C8701B">
        <w:rPr>
          <w:rFonts w:eastAsia="Arial Unicode MS"/>
          <w:bCs/>
          <w:lang w:eastAsia="fr-FR" w:bidi="he-IL"/>
        </w:rPr>
        <w:t>uement. Cependant</w:t>
      </w:r>
      <w:r w:rsidR="00E65435">
        <w:rPr>
          <w:rFonts w:eastAsia="Arial Unicode MS"/>
          <w:bCs/>
          <w:lang w:eastAsia="fr-FR" w:bidi="he-IL"/>
        </w:rPr>
        <w:t xml:space="preserve">, </w:t>
      </w:r>
      <w:r w:rsidRPr="00C8701B">
        <w:rPr>
          <w:rFonts w:eastAsia="Arial Unicode MS"/>
          <w:bCs/>
          <w:lang w:eastAsia="fr-FR" w:bidi="he-IL"/>
        </w:rPr>
        <w:t>la pratique de l</w:t>
      </w:r>
      <w:r w:rsidR="00557DE0">
        <w:rPr>
          <w:rFonts w:eastAsia="Arial Unicode MS"/>
          <w:bCs/>
          <w:lang w:eastAsia="fr-FR" w:bidi="he-IL"/>
        </w:rPr>
        <w:t>’</w:t>
      </w:r>
      <w:r w:rsidRPr="00C8701B">
        <w:rPr>
          <w:rFonts w:eastAsia="Arial Unicode MS"/>
          <w:bCs/>
          <w:lang w:eastAsia="fr-FR" w:bidi="he-IL"/>
        </w:rPr>
        <w:t xml:space="preserve">ancienne </w:t>
      </w:r>
      <w:r w:rsidR="00C8701B">
        <w:rPr>
          <w:rFonts w:eastAsia="Arial Unicode MS"/>
          <w:bCs/>
          <w:lang w:eastAsia="fr-FR" w:bidi="he-IL"/>
        </w:rPr>
        <w:t>Église</w:t>
      </w:r>
      <w:r w:rsidRPr="00C8701B">
        <w:rPr>
          <w:rFonts w:eastAsia="Arial Unicode MS"/>
          <w:bCs/>
          <w:lang w:eastAsia="fr-FR" w:bidi="he-IL"/>
        </w:rPr>
        <w:t xml:space="preserve"> nous apprend ce qui suit</w:t>
      </w:r>
      <w:r w:rsidR="0025739F">
        <w:rPr>
          <w:rFonts w:eastAsia="Arial Unicode MS"/>
          <w:bCs/>
          <w:lang w:eastAsia="fr-FR" w:bidi="he-IL"/>
        </w:rPr>
        <w:t>. « </w:t>
      </w:r>
      <w:r w:rsidRPr="00C8701B">
        <w:rPr>
          <w:rFonts w:eastAsia="Arial Unicode MS"/>
          <w:bCs/>
          <w:lang w:eastAsia="fr-FR" w:bidi="he-IL"/>
        </w:rPr>
        <w:t>Il est incontestable que la fête du 25 décembre a été célébrée depuis la plus haute antiquité par l</w:t>
      </w:r>
      <w:r w:rsidR="00557DE0">
        <w:rPr>
          <w:rFonts w:eastAsia="Arial Unicode MS"/>
          <w:bCs/>
          <w:lang w:eastAsia="fr-FR" w:bidi="he-IL"/>
        </w:rPr>
        <w:t>’</w:t>
      </w:r>
      <w:r w:rsidR="00C8701B">
        <w:rPr>
          <w:rFonts w:eastAsia="Arial Unicode MS"/>
          <w:bCs/>
          <w:lang w:eastAsia="fr-FR" w:bidi="he-IL"/>
        </w:rPr>
        <w:t>Église</w:t>
      </w:r>
      <w:r w:rsidRPr="00C8701B">
        <w:rPr>
          <w:rFonts w:eastAsia="Arial Unicode MS"/>
          <w:bCs/>
          <w:lang w:eastAsia="fr-FR" w:bidi="he-IL"/>
        </w:rPr>
        <w:t xml:space="preserve"> de Rome et dans tout l</w:t>
      </w:r>
      <w:r w:rsidR="00557DE0">
        <w:rPr>
          <w:rFonts w:eastAsia="Arial Unicode MS"/>
          <w:bCs/>
          <w:lang w:eastAsia="fr-FR" w:bidi="he-IL"/>
        </w:rPr>
        <w:t>’</w:t>
      </w:r>
      <w:r w:rsidRPr="00C8701B">
        <w:rPr>
          <w:rFonts w:eastAsia="Arial Unicode MS"/>
          <w:bCs/>
          <w:lang w:eastAsia="fr-FR" w:bidi="he-IL"/>
        </w:rPr>
        <w:t>Occident</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mais ce n</w:t>
      </w:r>
      <w:r w:rsidR="00557DE0">
        <w:rPr>
          <w:rFonts w:eastAsia="Arial Unicode MS"/>
          <w:bCs/>
          <w:lang w:eastAsia="fr-FR" w:bidi="he-IL"/>
        </w:rPr>
        <w:t>’</w:t>
      </w:r>
      <w:r w:rsidRPr="00C8701B">
        <w:rPr>
          <w:rFonts w:eastAsia="Arial Unicode MS"/>
          <w:bCs/>
          <w:lang w:eastAsia="fr-FR" w:bidi="he-IL"/>
        </w:rPr>
        <w:t>est qu</w:t>
      </w:r>
      <w:r w:rsidR="00557DE0">
        <w:rPr>
          <w:rFonts w:eastAsia="Arial Unicode MS"/>
          <w:bCs/>
          <w:lang w:eastAsia="fr-FR" w:bidi="he-IL"/>
        </w:rPr>
        <w:t>’</w:t>
      </w:r>
      <w:r w:rsidRPr="00C8701B">
        <w:rPr>
          <w:rFonts w:eastAsia="Arial Unicode MS"/>
          <w:bCs/>
          <w:lang w:eastAsia="fr-FR" w:bidi="he-IL"/>
        </w:rPr>
        <w:t>au quatrième siècle que les chrétiens d</w:t>
      </w:r>
      <w:r w:rsidR="00557DE0">
        <w:rPr>
          <w:rFonts w:eastAsia="Arial Unicode MS"/>
          <w:bCs/>
          <w:lang w:eastAsia="fr-FR" w:bidi="he-IL"/>
        </w:rPr>
        <w:t>’</w:t>
      </w:r>
      <w:r w:rsidRPr="00C8701B">
        <w:rPr>
          <w:rFonts w:eastAsia="Arial Unicode MS"/>
          <w:bCs/>
          <w:lang w:eastAsia="fr-FR" w:bidi="he-IL"/>
        </w:rPr>
        <w:t>Orient adoptèrent complètement cette fête</w:t>
      </w:r>
      <w:r w:rsidR="00E65435">
        <w:rPr>
          <w:rFonts w:eastAsia="Arial Unicode MS"/>
          <w:bCs/>
          <w:lang w:eastAsia="fr-FR" w:bidi="he-IL"/>
        </w:rPr>
        <w:t xml:space="preserve">, </w:t>
      </w:r>
      <w:r w:rsidRPr="00C8701B">
        <w:rPr>
          <w:rFonts w:eastAsia="Arial Unicode MS"/>
          <w:bCs/>
          <w:lang w:eastAsia="fr-FR" w:bidi="he-IL"/>
        </w:rPr>
        <w:t>et commencèrent</w:t>
      </w:r>
      <w:r w:rsidR="00E65435">
        <w:rPr>
          <w:rFonts w:eastAsia="Arial Unicode MS"/>
          <w:bCs/>
          <w:lang w:eastAsia="fr-FR" w:bidi="he-IL"/>
        </w:rPr>
        <w:t xml:space="preserve">, </w:t>
      </w:r>
      <w:r w:rsidRPr="00C8701B">
        <w:rPr>
          <w:rFonts w:eastAsia="Arial Unicode MS"/>
          <w:bCs/>
          <w:lang w:eastAsia="fr-FR" w:bidi="he-IL"/>
        </w:rPr>
        <w:t>eux aussi</w:t>
      </w:r>
      <w:r w:rsidR="00E65435">
        <w:rPr>
          <w:rFonts w:eastAsia="Arial Unicode MS"/>
          <w:bCs/>
          <w:lang w:eastAsia="fr-FR" w:bidi="he-IL"/>
        </w:rPr>
        <w:t xml:space="preserve">, </w:t>
      </w:r>
      <w:r w:rsidRPr="00C8701B">
        <w:rPr>
          <w:rFonts w:eastAsia="Arial Unicode MS"/>
          <w:bCs/>
          <w:lang w:eastAsia="fr-FR" w:bidi="he-IL"/>
        </w:rPr>
        <w:t>à la</w:t>
      </w:r>
      <w:r w:rsidR="00E65435">
        <w:rPr>
          <w:rFonts w:eastAsia="Arial Unicode MS"/>
          <w:bCs/>
          <w:lang w:eastAsia="fr-FR" w:bidi="he-IL"/>
        </w:rPr>
        <w:t xml:space="preserve">, </w:t>
      </w:r>
      <w:r w:rsidRPr="00C8701B">
        <w:rPr>
          <w:rFonts w:eastAsia="Arial Unicode MS"/>
          <w:bCs/>
          <w:lang w:eastAsia="fr-FR" w:bidi="he-IL"/>
        </w:rPr>
        <w:t>célébrer le 25 d</w:t>
      </w:r>
      <w:r w:rsidR="0025739F">
        <w:rPr>
          <w:rFonts w:eastAsia="Arial Unicode MS"/>
          <w:bCs/>
          <w:lang w:eastAsia="fr-FR" w:bidi="he-IL"/>
        </w:rPr>
        <w:t>écembre. Ils ne connaissaient ju</w:t>
      </w:r>
      <w:r w:rsidRPr="00C8701B">
        <w:rPr>
          <w:rFonts w:eastAsia="Arial Unicode MS"/>
          <w:bCs/>
          <w:lang w:eastAsia="fr-FR" w:bidi="he-IL"/>
        </w:rPr>
        <w:t>sque-là que celle de l</w:t>
      </w:r>
      <w:r w:rsidR="00557DE0">
        <w:rPr>
          <w:rFonts w:eastAsia="Arial Unicode MS"/>
          <w:bCs/>
          <w:lang w:eastAsia="fr-FR" w:bidi="he-IL"/>
        </w:rPr>
        <w:t>’</w:t>
      </w:r>
      <w:r w:rsidR="00DF496C" w:rsidRPr="00C8701B">
        <w:rPr>
          <w:rFonts w:eastAsia="Arial Unicode MS"/>
          <w:bCs/>
          <w:lang w:eastAsia="fr-FR" w:bidi="he-IL"/>
        </w:rPr>
        <w:t>Épiphanie</w:t>
      </w:r>
      <w:r w:rsidR="00E65435">
        <w:rPr>
          <w:rFonts w:eastAsia="Arial Unicode MS"/>
          <w:bCs/>
          <w:lang w:eastAsia="fr-FR" w:bidi="he-IL"/>
        </w:rPr>
        <w:t xml:space="preserve">, </w:t>
      </w:r>
      <w:r w:rsidRPr="00C8701B">
        <w:rPr>
          <w:rFonts w:eastAsia="Arial Unicode MS"/>
          <w:bCs/>
          <w:lang w:eastAsia="fr-FR" w:bidi="he-IL"/>
        </w:rPr>
        <w:t>et quelques-uns rattachaient à ce même jour du 6 janvier toutes les grandes manifestations</w:t>
      </w:r>
      <w:r w:rsidR="00E65435">
        <w:rPr>
          <w:rFonts w:eastAsia="Arial Unicode MS"/>
          <w:bCs/>
          <w:lang w:eastAsia="fr-FR" w:bidi="he-IL"/>
        </w:rPr>
        <w:t xml:space="preserve">, </w:t>
      </w:r>
      <w:r w:rsidRPr="00C8701B">
        <w:rPr>
          <w:rFonts w:eastAsia="Arial Unicode MS"/>
          <w:bCs/>
          <w:lang w:val="el-GR" w:eastAsia="fr-FR" w:bidi="he-IL"/>
        </w:rPr>
        <w:t>τ</w:t>
      </w:r>
      <w:r w:rsidR="0025739F">
        <w:rPr>
          <w:rFonts w:eastAsia="Arial Unicode MS"/>
          <w:bCs/>
          <w:lang w:eastAsia="fr-FR" w:bidi="he-IL"/>
        </w:rPr>
        <w:t>ὰ</w:t>
      </w:r>
      <w:r w:rsidRPr="00C8701B">
        <w:rPr>
          <w:rFonts w:eastAsia="Arial Unicode MS"/>
          <w:bCs/>
          <w:lang w:val="el-GR" w:eastAsia="fr-FR" w:bidi="he-IL"/>
        </w:rPr>
        <w:t xml:space="preserve"> </w:t>
      </w:r>
      <w:r w:rsidR="0025739F">
        <w:rPr>
          <w:rFonts w:eastAsia="Arial Unicode MS"/>
          <w:bCs/>
          <w:lang w:eastAsia="fr-FR" w:bidi="he-IL"/>
        </w:rPr>
        <w:t>Ἐ</w:t>
      </w:r>
      <w:r w:rsidRPr="00C8701B">
        <w:rPr>
          <w:rFonts w:eastAsia="Arial Unicode MS"/>
          <w:bCs/>
          <w:lang w:val="el-GR" w:eastAsia="fr-FR" w:bidi="he-IL"/>
        </w:rPr>
        <w:t>πιφ</w:t>
      </w:r>
      <w:r w:rsidR="0025739F">
        <w:rPr>
          <w:rFonts w:eastAsia="Arial Unicode MS"/>
          <w:bCs/>
          <w:lang w:eastAsia="fr-FR" w:bidi="he-IL"/>
        </w:rPr>
        <w:t>α</w:t>
      </w:r>
      <w:r w:rsidR="0025739F">
        <w:rPr>
          <w:rFonts w:eastAsia="Arial Unicode MS"/>
          <w:bCs/>
          <w:lang w:val="el-GR" w:eastAsia="fr-FR" w:bidi="he-IL"/>
        </w:rPr>
        <w:t>ν</w:t>
      </w:r>
      <w:r w:rsidR="0025739F">
        <w:rPr>
          <w:rFonts w:eastAsia="Arial Unicode MS"/>
          <w:bCs/>
          <w:lang w:eastAsia="fr-FR" w:bidi="he-IL"/>
        </w:rPr>
        <w:t>ί</w:t>
      </w:r>
      <w:r w:rsidR="00A74F01">
        <w:rPr>
          <w:rFonts w:eastAsia="Arial Unicode MS"/>
          <w:bCs/>
          <w:lang w:val="el-GR" w:eastAsia="fr-FR" w:bidi="he-IL"/>
        </w:rPr>
        <w:t>α</w:t>
      </w:r>
      <w:r w:rsidR="00E65435">
        <w:rPr>
          <w:rFonts w:eastAsia="Arial Unicode MS"/>
          <w:bCs/>
          <w:lang w:val="el-GR" w:eastAsia="fr-FR" w:bidi="he-IL"/>
        </w:rPr>
        <w:t xml:space="preserve">, </w:t>
      </w:r>
      <w:r w:rsidRPr="00C8701B">
        <w:rPr>
          <w:rFonts w:eastAsia="Arial Unicode MS"/>
          <w:bCs/>
          <w:lang w:eastAsia="fr-FR" w:bidi="he-IL"/>
        </w:rPr>
        <w:t>de Notre-Seigneur</w:t>
      </w:r>
      <w:r w:rsidR="00C2602D" w:rsidRPr="00C8701B">
        <w:rPr>
          <w:rFonts w:eastAsia="Arial Unicode MS"/>
          <w:bCs/>
          <w:lang w:eastAsia="fr-FR" w:bidi="he-IL"/>
        </w:rPr>
        <w:t> :</w:t>
      </w:r>
      <w:r w:rsidRPr="00C8701B">
        <w:rPr>
          <w:rFonts w:eastAsia="Arial Unicode MS"/>
          <w:bCs/>
          <w:lang w:eastAsia="fr-FR" w:bidi="he-IL"/>
        </w:rPr>
        <w:t xml:space="preserve"> la Nativité</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adoration des Mages</w:t>
      </w:r>
      <w:r w:rsidR="00E65435">
        <w:rPr>
          <w:rFonts w:eastAsia="Arial Unicode MS"/>
          <w:bCs/>
          <w:lang w:eastAsia="fr-FR" w:bidi="he-IL"/>
        </w:rPr>
        <w:t xml:space="preserve">, </w:t>
      </w:r>
      <w:r w:rsidRPr="00C8701B">
        <w:rPr>
          <w:rFonts w:eastAsia="Arial Unicode MS"/>
          <w:bCs/>
          <w:lang w:eastAsia="fr-FR" w:bidi="he-IL"/>
        </w:rPr>
        <w:t>le Baptême du Sauveur</w:t>
      </w:r>
      <w:r w:rsidR="0025739F">
        <w:rPr>
          <w:rFonts w:eastAsia="Arial Unicode MS"/>
          <w:bCs/>
          <w:lang w:eastAsia="fr-FR" w:bidi="he-IL"/>
        </w:rPr>
        <w:t xml:space="preserve"> et le miracle des noces de Cana</w:t>
      </w:r>
      <w:r w:rsidRPr="00C8701B">
        <w:rPr>
          <w:rFonts w:eastAsia="Arial Unicode MS"/>
          <w:bCs/>
          <w:lang w:eastAsia="fr-FR" w:bidi="he-IL"/>
        </w:rPr>
        <w:t>. C</w:t>
      </w:r>
      <w:r w:rsidR="00557DE0">
        <w:rPr>
          <w:rFonts w:eastAsia="Arial Unicode MS"/>
          <w:bCs/>
          <w:lang w:eastAsia="fr-FR" w:bidi="he-IL"/>
        </w:rPr>
        <w:t>’</w:t>
      </w:r>
      <w:r w:rsidRPr="00C8701B">
        <w:rPr>
          <w:rFonts w:eastAsia="Arial Unicode MS"/>
          <w:bCs/>
          <w:lang w:eastAsia="fr-FR" w:bidi="he-IL"/>
        </w:rPr>
        <w:t>était beaucoup pour le même jour. La tradition de l</w:t>
      </w:r>
      <w:r w:rsidR="00557DE0">
        <w:rPr>
          <w:rFonts w:eastAsia="Arial Unicode MS"/>
          <w:bCs/>
          <w:lang w:eastAsia="fr-FR" w:bidi="he-IL"/>
        </w:rPr>
        <w:t>’</w:t>
      </w:r>
      <w:r w:rsidR="00C8701B">
        <w:rPr>
          <w:rFonts w:eastAsia="Arial Unicode MS"/>
          <w:bCs/>
          <w:lang w:eastAsia="fr-FR" w:bidi="he-IL"/>
        </w:rPr>
        <w:t>Église</w:t>
      </w:r>
      <w:r w:rsidRPr="00C8701B">
        <w:rPr>
          <w:rFonts w:eastAsia="Arial Unicode MS"/>
          <w:bCs/>
          <w:lang w:eastAsia="fr-FR" w:bidi="he-IL"/>
        </w:rPr>
        <w:t xml:space="preserve"> romaine</w:t>
      </w:r>
      <w:r w:rsidR="00E65435">
        <w:rPr>
          <w:rFonts w:eastAsia="Arial Unicode MS"/>
          <w:bCs/>
          <w:lang w:eastAsia="fr-FR" w:bidi="he-IL"/>
        </w:rPr>
        <w:t xml:space="preserve">, </w:t>
      </w:r>
      <w:r w:rsidRPr="00C8701B">
        <w:rPr>
          <w:rFonts w:eastAsia="Arial Unicode MS"/>
          <w:bCs/>
          <w:lang w:eastAsia="fr-FR" w:bidi="he-IL"/>
        </w:rPr>
        <w:t>rapportant la Nativité au 25 décembre</w:t>
      </w:r>
      <w:r w:rsidR="00E65435">
        <w:rPr>
          <w:rFonts w:eastAsia="Arial Unicode MS"/>
          <w:bCs/>
          <w:lang w:eastAsia="fr-FR" w:bidi="he-IL"/>
        </w:rPr>
        <w:t xml:space="preserve">, </w:t>
      </w:r>
      <w:r w:rsidRPr="00C8701B">
        <w:rPr>
          <w:rFonts w:eastAsia="Arial Unicode MS"/>
          <w:bCs/>
          <w:lang w:eastAsia="fr-FR" w:bidi="he-IL"/>
        </w:rPr>
        <w:t>parut mieux fondée que le sentiment contradictoire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aussi toutes les </w:t>
      </w:r>
      <w:r w:rsidR="00C8701B">
        <w:rPr>
          <w:rFonts w:eastAsia="Arial Unicode MS"/>
          <w:bCs/>
          <w:lang w:eastAsia="fr-FR" w:bidi="he-IL"/>
        </w:rPr>
        <w:t>Église</w:t>
      </w:r>
      <w:r w:rsidRPr="00C8701B">
        <w:rPr>
          <w:rFonts w:eastAsia="Arial Unicode MS"/>
          <w:bCs/>
          <w:lang w:eastAsia="fr-FR" w:bidi="he-IL"/>
        </w:rPr>
        <w:t>s</w:t>
      </w:r>
      <w:r w:rsidR="00E65435">
        <w:rPr>
          <w:rFonts w:eastAsia="Arial Unicode MS"/>
          <w:bCs/>
          <w:lang w:eastAsia="fr-FR" w:bidi="he-IL"/>
        </w:rPr>
        <w:t xml:space="preserve">, </w:t>
      </w:r>
      <w:r w:rsidRPr="00C8701B">
        <w:rPr>
          <w:rFonts w:eastAsia="Arial Unicode MS"/>
          <w:bCs/>
          <w:lang w:eastAsia="fr-FR" w:bidi="he-IL"/>
        </w:rPr>
        <w:t>ainsi que tous les docteurs d</w:t>
      </w:r>
      <w:r w:rsidR="00557DE0">
        <w:rPr>
          <w:rFonts w:eastAsia="Arial Unicode MS"/>
          <w:bCs/>
          <w:lang w:eastAsia="fr-FR" w:bidi="he-IL"/>
        </w:rPr>
        <w:t>’</w:t>
      </w:r>
      <w:r w:rsidRPr="00C8701B">
        <w:rPr>
          <w:rFonts w:eastAsia="Arial Unicode MS"/>
          <w:bCs/>
          <w:lang w:eastAsia="fr-FR" w:bidi="he-IL"/>
        </w:rPr>
        <w:t>Orient</w:t>
      </w:r>
      <w:r w:rsidR="00E65435">
        <w:rPr>
          <w:rFonts w:eastAsia="Arial Unicode MS"/>
          <w:bCs/>
          <w:lang w:eastAsia="fr-FR" w:bidi="he-IL"/>
        </w:rPr>
        <w:t xml:space="preserve">, </w:t>
      </w:r>
      <w:r w:rsidRPr="00C8701B">
        <w:rPr>
          <w:rFonts w:eastAsia="Arial Unicode MS"/>
          <w:bCs/>
          <w:lang w:eastAsia="fr-FR" w:bidi="he-IL"/>
        </w:rPr>
        <w:t>s</w:t>
      </w:r>
      <w:r w:rsidR="00557DE0">
        <w:rPr>
          <w:rFonts w:eastAsia="Arial Unicode MS"/>
          <w:bCs/>
          <w:lang w:eastAsia="fr-FR" w:bidi="he-IL"/>
        </w:rPr>
        <w:t>’</w:t>
      </w:r>
      <w:r w:rsidRPr="00C8701B">
        <w:rPr>
          <w:rFonts w:eastAsia="Arial Unicode MS"/>
          <w:bCs/>
          <w:lang w:eastAsia="fr-FR" w:bidi="he-IL"/>
        </w:rPr>
        <w:t>empressèrent d</w:t>
      </w:r>
      <w:r w:rsidR="00557DE0">
        <w:rPr>
          <w:rFonts w:eastAsia="Arial Unicode MS"/>
          <w:bCs/>
          <w:lang w:eastAsia="fr-FR" w:bidi="he-IL"/>
        </w:rPr>
        <w:t>’</w:t>
      </w:r>
      <w:r w:rsidRPr="00C8701B">
        <w:rPr>
          <w:rFonts w:eastAsia="Arial Unicode MS"/>
          <w:bCs/>
          <w:lang w:eastAsia="fr-FR" w:bidi="he-IL"/>
        </w:rPr>
        <w:t>y adhérer.</w:t>
      </w:r>
      <w:r w:rsidR="00933C60" w:rsidRPr="00C406FF">
        <w:rPr>
          <w:rStyle w:val="Appelnotedebasdep"/>
        </w:rPr>
        <w:footnoteReference w:id="360"/>
      </w:r>
      <w:r w:rsidR="00C2602D" w:rsidRPr="00C8701B">
        <w:rPr>
          <w:rFonts w:eastAsia="Arial Unicode MS"/>
          <w:bCs/>
          <w:lang w:eastAsia="fr-FR" w:bidi="he-IL"/>
        </w:rPr>
        <w:t xml:space="preserve"> » </w:t>
      </w:r>
    </w:p>
    <w:p w:rsidR="00C2602D" w:rsidRPr="00C8701B" w:rsidRDefault="00B704AD" w:rsidP="0025739F">
      <w:pPr>
        <w:pStyle w:val="Titre5"/>
        <w:rPr>
          <w:lang w:eastAsia="fr-FR" w:bidi="he-IL"/>
        </w:rPr>
      </w:pPr>
      <w:r w:rsidRPr="00C8701B">
        <w:rPr>
          <w:lang w:eastAsia="fr-FR" w:bidi="he-IL"/>
        </w:rPr>
        <w:t>II.</w:t>
      </w:r>
      <w:r w:rsidR="000F7DAA">
        <w:rPr>
          <w:lang w:eastAsia="fr-FR" w:bidi="he-IL"/>
        </w:rPr>
        <w:t xml:space="preserve"> —</w:t>
      </w:r>
      <w:r w:rsidR="008D0642">
        <w:rPr>
          <w:lang w:eastAsia="fr-FR" w:bidi="he-IL"/>
        </w:rPr>
        <w:t xml:space="preserve"> </w:t>
      </w:r>
      <w:r w:rsidR="0025739F">
        <w:rPr>
          <w:lang w:eastAsia="fr-FR" w:bidi="he-IL"/>
        </w:rPr>
        <w:t>Début et durée de l</w:t>
      </w:r>
      <w:r w:rsidRPr="00C8701B">
        <w:rPr>
          <w:lang w:eastAsia="fr-FR" w:bidi="he-IL"/>
        </w:rPr>
        <w:t>a vie publique de jésus.</w:t>
      </w:r>
      <w:bookmarkStart w:id="109" w:name="evin0802"/>
      <w:bookmarkEnd w:id="109"/>
      <w:r w:rsidR="00C2602D" w:rsidRPr="00C8701B">
        <w:rPr>
          <w:lang w:eastAsia="fr-FR" w:bidi="he-IL"/>
        </w:rPr>
        <w:t xml:space="preserve"> </w:t>
      </w:r>
    </w:p>
    <w:p w:rsidR="00C2602D" w:rsidRDefault="00B704AD" w:rsidP="00C2602D">
      <w:pPr>
        <w:rPr>
          <w:rFonts w:eastAsia="Arial Unicode MS"/>
          <w:bCs/>
          <w:lang w:eastAsia="fr-FR" w:bidi="he-IL"/>
        </w:rPr>
      </w:pPr>
      <w:r w:rsidRPr="00C8701B">
        <w:rPr>
          <w:rFonts w:eastAsia="Arial Unicode MS"/>
          <w:bCs/>
          <w:lang w:eastAsia="fr-FR" w:bidi="he-IL"/>
        </w:rPr>
        <w:t>1°</w:t>
      </w:r>
      <w:bookmarkStart w:id="110" w:name="evin080201"/>
      <w:bookmarkEnd w:id="110"/>
      <w:r w:rsidRPr="00DC4586">
        <w:rPr>
          <w:rStyle w:val="italicus"/>
        </w:rPr>
        <w:t xml:space="preserve"> Le début de la vie publique de N.-S. Jésus-Christ.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Deux textes évangéliques nous fournissent à ce sujet une lumière plus ou moins vive.</w:t>
      </w:r>
      <w:r w:rsidR="00C2602D" w:rsidRPr="00C8701B">
        <w:rPr>
          <w:rFonts w:eastAsia="Arial Unicode MS"/>
          <w:bCs/>
          <w:lang w:eastAsia="fr-FR" w:bidi="he-IL"/>
        </w:rPr>
        <w:t xml:space="preserve"> </w:t>
      </w:r>
      <w:r w:rsidR="00C14040" w:rsidRPr="000716BB">
        <w:rPr>
          <w:rFonts w:eastAsia="Arial Unicode MS"/>
          <w:bCs/>
          <w:lang w:eastAsia="fr-FR" w:bidi="he-IL"/>
        </w:rPr>
        <w:t>{</w:t>
      </w:r>
      <w:r w:rsidR="00C14040">
        <w:rPr>
          <w:rFonts w:eastAsia="Arial Unicode MS"/>
          <w:bCs/>
          <w:lang w:eastAsia="fr-FR" w:bidi="he-IL"/>
        </w:rPr>
        <w:t>68</w:t>
      </w:r>
      <w:bookmarkStart w:id="111" w:name="pag068"/>
      <w:bookmarkEnd w:id="111"/>
      <w:r w:rsidR="00C14040" w:rsidRPr="000716BB">
        <w:rPr>
          <w:rFonts w:eastAsia="Arial Unicode MS"/>
          <w:bCs/>
          <w:lang w:eastAsia="fr-FR" w:bidi="he-IL"/>
        </w:rPr>
        <w:t>}</w:t>
      </w:r>
    </w:p>
    <w:p w:rsidR="00C2602D" w:rsidRPr="00C8701B" w:rsidRDefault="00B704AD" w:rsidP="00C2602D">
      <w:pPr>
        <w:rPr>
          <w:rFonts w:eastAsia="Arial Unicode MS"/>
          <w:bCs/>
          <w:lang w:eastAsia="fr-FR" w:bidi="he-IL"/>
        </w:rPr>
      </w:pPr>
      <w:r w:rsidRPr="00C8701B">
        <w:rPr>
          <w:rFonts w:eastAsia="Arial Unicode MS"/>
          <w:bCs/>
          <w:lang w:eastAsia="fr-FR" w:bidi="he-IL"/>
        </w:rPr>
        <w:t xml:space="preserve">Joan. </w:t>
      </w:r>
      <w:r w:rsidR="00906914">
        <w:rPr>
          <w:rFonts w:eastAsia="Arial Unicode MS"/>
          <w:bCs/>
          <w:lang w:val="el-GR" w:eastAsia="fr-FR" w:bidi="he-IL"/>
        </w:rPr>
        <w:t>II</w:t>
      </w:r>
      <w:r w:rsidR="00E65435">
        <w:rPr>
          <w:rFonts w:eastAsia="Arial Unicode MS"/>
          <w:bCs/>
          <w:lang w:val="el-GR" w:eastAsia="fr-FR" w:bidi="he-IL"/>
        </w:rPr>
        <w:t xml:space="preserve">, </w:t>
      </w:r>
      <w:r w:rsidRPr="00C8701B">
        <w:rPr>
          <w:rFonts w:eastAsia="Arial Unicode MS"/>
          <w:bCs/>
          <w:lang w:eastAsia="fr-FR" w:bidi="he-IL"/>
        </w:rPr>
        <w:t>20</w:t>
      </w:r>
      <w:r w:rsidR="00E65435">
        <w:rPr>
          <w:rFonts w:eastAsia="Arial Unicode MS"/>
          <w:bCs/>
          <w:lang w:eastAsia="fr-FR" w:bidi="he-IL"/>
        </w:rPr>
        <w:t xml:space="preserve">, </w:t>
      </w:r>
      <w:r w:rsidRPr="00C8701B">
        <w:rPr>
          <w:rFonts w:eastAsia="Arial Unicode MS"/>
          <w:bCs/>
          <w:lang w:eastAsia="fr-FR" w:bidi="he-IL"/>
        </w:rPr>
        <w:t>les Juifs adressent cette réponse à Jésus</w:t>
      </w:r>
      <w:r w:rsidR="00E65435">
        <w:rPr>
          <w:rFonts w:eastAsia="Arial Unicode MS"/>
          <w:bCs/>
          <w:lang w:eastAsia="fr-FR" w:bidi="he-IL"/>
        </w:rPr>
        <w:t xml:space="preserve">, </w:t>
      </w:r>
      <w:r w:rsidRPr="00C8701B">
        <w:rPr>
          <w:rFonts w:eastAsia="Arial Unicode MS"/>
          <w:bCs/>
          <w:lang w:eastAsia="fr-FR" w:bidi="he-IL"/>
        </w:rPr>
        <w:t>qui se faisait fort</w:t>
      </w:r>
      <w:r w:rsidR="00E65435">
        <w:rPr>
          <w:rFonts w:eastAsia="Arial Unicode MS"/>
          <w:bCs/>
          <w:lang w:eastAsia="fr-FR" w:bidi="he-IL"/>
        </w:rPr>
        <w:t xml:space="preserve">, </w:t>
      </w:r>
      <w:r w:rsidRPr="00C8701B">
        <w:rPr>
          <w:rFonts w:eastAsia="Arial Unicode MS"/>
          <w:bCs/>
          <w:lang w:eastAsia="fr-FR" w:bidi="he-IL"/>
        </w:rPr>
        <w:t>en signe de ses divins pouvoirs</w:t>
      </w:r>
      <w:r w:rsidR="00E65435">
        <w:rPr>
          <w:rFonts w:eastAsia="Arial Unicode MS"/>
          <w:bCs/>
          <w:lang w:eastAsia="fr-FR" w:bidi="he-IL"/>
        </w:rPr>
        <w:t xml:space="preserve">, </w:t>
      </w:r>
      <w:r w:rsidRPr="00C8701B">
        <w:rPr>
          <w:rFonts w:eastAsia="Arial Unicode MS"/>
          <w:bCs/>
          <w:lang w:eastAsia="fr-FR" w:bidi="he-IL"/>
        </w:rPr>
        <w:t>de rebâtir</w:t>
      </w:r>
      <w:r w:rsidR="005E1001">
        <w:rPr>
          <w:rStyle w:val="italicus"/>
        </w:rPr>
        <w:t xml:space="preserve"> templu</w:t>
      </w:r>
      <w:r w:rsidRPr="00DC4586">
        <w:rPr>
          <w:rStyle w:val="italicus"/>
        </w:rPr>
        <w:t>m hoc</w:t>
      </w:r>
      <w:r w:rsidRPr="00C8701B">
        <w:rPr>
          <w:rFonts w:eastAsia="Arial Unicode MS"/>
          <w:bCs/>
          <w:lang w:eastAsia="fr-FR" w:bidi="he-IL"/>
        </w:rPr>
        <w:t xml:space="preserve"> en trois jours</w:t>
      </w:r>
      <w:r w:rsidR="00933C60" w:rsidRPr="00C406FF">
        <w:rPr>
          <w:rStyle w:val="Appelnotedebasdep"/>
        </w:rPr>
        <w:footnoteReference w:id="361"/>
      </w:r>
      <w:r w:rsidR="00C2602D" w:rsidRPr="00C8701B">
        <w:rPr>
          <w:rFonts w:eastAsia="Arial Unicode MS"/>
          <w:bCs/>
          <w:lang w:eastAsia="fr-FR" w:bidi="he-IL"/>
        </w:rPr>
        <w:t> :</w:t>
      </w:r>
      <w:r w:rsidR="005E1001">
        <w:rPr>
          <w:rStyle w:val="italicus"/>
        </w:rPr>
        <w:t xml:space="preserve"> Quadragínta et sex annis æ</w:t>
      </w:r>
      <w:r w:rsidRPr="00DC4586">
        <w:rPr>
          <w:rStyle w:val="italicus"/>
        </w:rPr>
        <w:t>di</w:t>
      </w:r>
      <w:r w:rsidR="00776C8C" w:rsidRPr="00DC4586">
        <w:rPr>
          <w:rStyle w:val="italicus"/>
        </w:rPr>
        <w:t>fic</w:t>
      </w:r>
      <w:r w:rsidR="00776C8C">
        <w:rPr>
          <w:rStyle w:val="italicus"/>
        </w:rPr>
        <w:t>á</w:t>
      </w:r>
      <w:r w:rsidR="00776C8C" w:rsidRPr="00DC4586">
        <w:rPr>
          <w:rStyle w:val="italicus"/>
        </w:rPr>
        <w:t>tum</w:t>
      </w:r>
      <w:r w:rsidRPr="00DC4586">
        <w:rPr>
          <w:rStyle w:val="italicus"/>
        </w:rPr>
        <w:t xml:space="preserve"> est templum hoc</w:t>
      </w:r>
      <w:r w:rsidR="00E65435">
        <w:rPr>
          <w:rStyle w:val="italicus"/>
        </w:rPr>
        <w:t xml:space="preserve">, </w:t>
      </w:r>
      <w:r w:rsidRPr="00DC4586">
        <w:rPr>
          <w:rStyle w:val="italicus"/>
        </w:rPr>
        <w:t>et tu in tribus di</w:t>
      </w:r>
      <w:r w:rsidR="0094118D">
        <w:rPr>
          <w:rStyle w:val="italicus"/>
        </w:rPr>
        <w:t>ébus</w:t>
      </w:r>
      <w:r w:rsidRPr="00DC4586">
        <w:rPr>
          <w:rStyle w:val="italicus"/>
        </w:rPr>
        <w:t xml:space="preserve"> ex</w:t>
      </w:r>
      <w:r w:rsidR="00206793" w:rsidRPr="00DC4586">
        <w:rPr>
          <w:rStyle w:val="italicus"/>
        </w:rPr>
        <w:t>cit</w:t>
      </w:r>
      <w:r w:rsidR="00206793">
        <w:rPr>
          <w:rStyle w:val="italicus"/>
        </w:rPr>
        <w:t>á</w:t>
      </w:r>
      <w:r w:rsidR="00206793" w:rsidRPr="00DC4586">
        <w:rPr>
          <w:rStyle w:val="italicus"/>
        </w:rPr>
        <w:t>bis</w:t>
      </w:r>
      <w:r w:rsidRPr="00DC4586">
        <w:rPr>
          <w:rStyle w:val="italicus"/>
        </w:rPr>
        <w:t xml:space="preserve"> illud</w:t>
      </w:r>
      <w:r w:rsidR="00C2602D" w:rsidRPr="00C8701B">
        <w:rPr>
          <w:rFonts w:eastAsia="Arial Unicode MS"/>
          <w:bCs/>
          <w:lang w:eastAsia="fr-FR" w:bidi="he-IL"/>
        </w:rPr>
        <w:t> ?</w:t>
      </w:r>
      <w:r w:rsidRPr="00C8701B">
        <w:rPr>
          <w:rFonts w:eastAsia="Arial Unicode MS"/>
          <w:bCs/>
          <w:lang w:eastAsia="fr-FR" w:bidi="he-IL"/>
        </w:rPr>
        <w:t xml:space="preserve"> Il y a là</w:t>
      </w:r>
      <w:r w:rsidR="00E65435">
        <w:rPr>
          <w:rFonts w:eastAsia="Arial Unicode MS"/>
          <w:bCs/>
          <w:lang w:eastAsia="fr-FR" w:bidi="he-IL"/>
        </w:rPr>
        <w:t xml:space="preserve">, </w:t>
      </w:r>
      <w:r w:rsidRPr="00C8701B">
        <w:rPr>
          <w:rFonts w:eastAsia="Arial Unicode MS"/>
          <w:bCs/>
          <w:lang w:eastAsia="fr-FR" w:bidi="he-IL"/>
        </w:rPr>
        <w:t>évidemment</w:t>
      </w:r>
      <w:r w:rsidR="00E65435">
        <w:rPr>
          <w:rFonts w:eastAsia="Arial Unicode MS"/>
          <w:bCs/>
          <w:lang w:eastAsia="fr-FR" w:bidi="he-IL"/>
        </w:rPr>
        <w:t xml:space="preserve">, </w:t>
      </w:r>
      <w:r w:rsidRPr="00C8701B">
        <w:rPr>
          <w:rFonts w:eastAsia="Arial Unicode MS"/>
          <w:bCs/>
          <w:lang w:eastAsia="fr-FR" w:bidi="he-IL"/>
        </w:rPr>
        <w:t>une date à faire valoir.</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Il s</w:t>
      </w:r>
      <w:r w:rsidR="00557DE0">
        <w:rPr>
          <w:rFonts w:eastAsia="Arial Unicode MS"/>
          <w:bCs/>
          <w:lang w:eastAsia="fr-FR" w:bidi="he-IL"/>
        </w:rPr>
        <w:t>’</w:t>
      </w:r>
      <w:r w:rsidRPr="00C8701B">
        <w:rPr>
          <w:rFonts w:eastAsia="Arial Unicode MS"/>
          <w:bCs/>
          <w:lang w:eastAsia="fr-FR" w:bidi="he-IL"/>
        </w:rPr>
        <w:t>agissait du second temple</w:t>
      </w:r>
      <w:r w:rsidR="00E65435">
        <w:rPr>
          <w:rFonts w:eastAsia="Arial Unicode MS"/>
          <w:bCs/>
          <w:lang w:eastAsia="fr-FR" w:bidi="he-IL"/>
        </w:rPr>
        <w:t xml:space="preserve">, </w:t>
      </w:r>
      <w:r w:rsidR="005E1001">
        <w:rPr>
          <w:rFonts w:eastAsia="Arial Unicode MS"/>
          <w:bCs/>
          <w:lang w:eastAsia="fr-FR" w:bidi="he-IL"/>
        </w:rPr>
        <w:t>dit de Zorobabel</w:t>
      </w:r>
      <w:r w:rsidR="00E65435">
        <w:rPr>
          <w:rFonts w:eastAsia="Arial Unicode MS"/>
          <w:bCs/>
          <w:lang w:eastAsia="fr-FR" w:bidi="he-IL"/>
        </w:rPr>
        <w:t xml:space="preserve">, </w:t>
      </w:r>
      <w:r w:rsidRPr="00C8701B">
        <w:rPr>
          <w:rFonts w:eastAsia="Arial Unicode MS"/>
          <w:bCs/>
          <w:lang w:eastAsia="fr-FR" w:bidi="he-IL"/>
        </w:rPr>
        <w:t>construit sur les bases de celui de Salomon après le retour de l</w:t>
      </w:r>
      <w:r w:rsidR="00557DE0">
        <w:rPr>
          <w:rFonts w:eastAsia="Arial Unicode MS"/>
          <w:bCs/>
          <w:lang w:eastAsia="fr-FR" w:bidi="he-IL"/>
        </w:rPr>
        <w:t>’</w:t>
      </w:r>
      <w:r w:rsidRPr="00C8701B">
        <w:rPr>
          <w:rFonts w:eastAsia="Arial Unicode MS"/>
          <w:bCs/>
          <w:lang w:eastAsia="fr-FR" w:bidi="he-IL"/>
        </w:rPr>
        <w:t>exil</w:t>
      </w:r>
      <w:r w:rsidR="00933C60" w:rsidRPr="00C406FF">
        <w:rPr>
          <w:rStyle w:val="Appelnotedebasdep"/>
        </w:rPr>
        <w:footnoteReference w:id="362"/>
      </w:r>
      <w:r w:rsidR="00E65435">
        <w:rPr>
          <w:rFonts w:eastAsia="Arial Unicode MS"/>
          <w:bCs/>
          <w:lang w:eastAsia="fr-FR" w:bidi="he-IL"/>
        </w:rPr>
        <w:t xml:space="preserve">, </w:t>
      </w:r>
      <w:r w:rsidRPr="00C8701B">
        <w:rPr>
          <w:rFonts w:eastAsia="Arial Unicode MS"/>
          <w:bCs/>
          <w:lang w:eastAsia="fr-FR" w:bidi="he-IL"/>
        </w:rPr>
        <w:t>et qu</w:t>
      </w:r>
      <w:r w:rsidR="00557DE0">
        <w:rPr>
          <w:rFonts w:eastAsia="Arial Unicode MS"/>
          <w:bCs/>
          <w:lang w:eastAsia="fr-FR" w:bidi="he-IL"/>
        </w:rPr>
        <w:t>’</w:t>
      </w:r>
      <w:r w:rsidRPr="00C8701B">
        <w:rPr>
          <w:rFonts w:eastAsia="Arial Unicode MS"/>
          <w:bCs/>
          <w:lang w:eastAsia="fr-FR" w:bidi="he-IL"/>
        </w:rPr>
        <w:t>Hérode-le-Grand avait entrepris de restaurer</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agrandir. D</w:t>
      </w:r>
      <w:r w:rsidR="00557DE0">
        <w:rPr>
          <w:rFonts w:eastAsia="Arial Unicode MS"/>
          <w:bCs/>
          <w:lang w:eastAsia="fr-FR" w:bidi="he-IL"/>
        </w:rPr>
        <w:t>’</w:t>
      </w:r>
      <w:r w:rsidRPr="00C8701B">
        <w:rPr>
          <w:rFonts w:eastAsia="Arial Unicode MS"/>
          <w:bCs/>
          <w:lang w:eastAsia="fr-FR" w:bidi="he-IL"/>
        </w:rPr>
        <w:t xml:space="preserve">après </w:t>
      </w:r>
      <w:r w:rsidR="00DF496C" w:rsidRPr="00C8701B">
        <w:rPr>
          <w:rFonts w:eastAsia="Arial Unicode MS"/>
          <w:bCs/>
          <w:lang w:eastAsia="fr-FR" w:bidi="he-IL"/>
        </w:rPr>
        <w:t>Flávius</w:t>
      </w:r>
      <w:r w:rsidRPr="00C8701B">
        <w:rPr>
          <w:rFonts w:eastAsia="Arial Unicode MS"/>
          <w:bCs/>
          <w:lang w:eastAsia="fr-FR" w:bidi="he-IL"/>
        </w:rPr>
        <w:t xml:space="preserve"> Josèphe</w:t>
      </w:r>
      <w:r w:rsidR="00933C60" w:rsidRPr="00C406FF">
        <w:rPr>
          <w:rStyle w:val="Appelnotedebasdep"/>
        </w:rPr>
        <w:footnoteReference w:id="363"/>
      </w:r>
      <w:r w:rsidR="00E65435">
        <w:rPr>
          <w:rFonts w:eastAsia="Arial Unicode MS"/>
          <w:bCs/>
          <w:lang w:eastAsia="fr-FR" w:bidi="he-IL"/>
        </w:rPr>
        <w:t xml:space="preserve">, </w:t>
      </w:r>
      <w:r w:rsidRPr="00C8701B">
        <w:rPr>
          <w:rFonts w:eastAsia="Arial Unicode MS"/>
          <w:bCs/>
          <w:lang w:eastAsia="fr-FR" w:bidi="he-IL"/>
        </w:rPr>
        <w:t>cette reconstruction</w:t>
      </w:r>
      <w:r w:rsidR="00E65435">
        <w:rPr>
          <w:rFonts w:eastAsia="Arial Unicode MS"/>
          <w:bCs/>
          <w:lang w:eastAsia="fr-FR" w:bidi="he-IL"/>
        </w:rPr>
        <w:t xml:space="preserve">, </w:t>
      </w:r>
      <w:r w:rsidR="005E1001">
        <w:rPr>
          <w:rFonts w:eastAsia="Arial Unicode MS"/>
          <w:bCs/>
          <w:lang w:eastAsia="fr-FR" w:bidi="he-IL"/>
        </w:rPr>
        <w:t>inaugurée vingt an</w:t>
      </w:r>
      <w:r w:rsidRPr="00C8701B">
        <w:rPr>
          <w:rFonts w:eastAsia="Arial Unicode MS"/>
          <w:bCs/>
          <w:lang w:eastAsia="fr-FR" w:bidi="he-IL"/>
        </w:rPr>
        <w:t>s avant l</w:t>
      </w:r>
      <w:r w:rsidR="00557DE0">
        <w:rPr>
          <w:rFonts w:eastAsia="Arial Unicode MS"/>
          <w:bCs/>
          <w:lang w:eastAsia="fr-FR" w:bidi="he-IL"/>
        </w:rPr>
        <w:t>’</w:t>
      </w:r>
      <w:r w:rsidRPr="00C8701B">
        <w:rPr>
          <w:rFonts w:eastAsia="Arial Unicode MS"/>
          <w:bCs/>
          <w:lang w:eastAsia="fr-FR" w:bidi="he-IL"/>
        </w:rPr>
        <w:t>ère vulgaire</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an 734 de Rome</w:t>
      </w:r>
      <w:r w:rsidR="00E65435">
        <w:rPr>
          <w:rFonts w:eastAsia="Arial Unicode MS"/>
          <w:bCs/>
          <w:lang w:eastAsia="fr-FR" w:bidi="he-IL"/>
        </w:rPr>
        <w:t xml:space="preserve">, </w:t>
      </w:r>
      <w:r w:rsidRPr="00C8701B">
        <w:rPr>
          <w:rFonts w:eastAsia="Arial Unicode MS"/>
          <w:bCs/>
          <w:lang w:eastAsia="fr-FR" w:bidi="he-IL"/>
        </w:rPr>
        <w:t>ne fut achevée que longtemps après</w:t>
      </w:r>
      <w:r w:rsidR="00E65435">
        <w:rPr>
          <w:rFonts w:eastAsia="Arial Unicode MS"/>
          <w:bCs/>
          <w:lang w:eastAsia="fr-FR" w:bidi="he-IL"/>
        </w:rPr>
        <w:t xml:space="preserve">, </w:t>
      </w:r>
      <w:r w:rsidRPr="00C8701B">
        <w:rPr>
          <w:rFonts w:eastAsia="Arial Unicode MS"/>
          <w:bCs/>
          <w:lang w:eastAsia="fr-FR" w:bidi="he-IL"/>
        </w:rPr>
        <w:t>en 817 ou 818 u. c.</w:t>
      </w:r>
      <w:r w:rsidR="00E65435">
        <w:rPr>
          <w:rFonts w:eastAsia="Arial Unicode MS"/>
          <w:bCs/>
          <w:lang w:eastAsia="fr-FR" w:bidi="he-IL"/>
        </w:rPr>
        <w:t xml:space="preserve">, </w:t>
      </w:r>
      <w:r w:rsidRPr="00C8701B">
        <w:rPr>
          <w:rFonts w:eastAsia="Arial Unicode MS"/>
          <w:bCs/>
          <w:lang w:eastAsia="fr-FR" w:bidi="he-IL"/>
        </w:rPr>
        <w:t>presque au moment où il allait être détruit. Mais</w:t>
      </w:r>
      <w:r w:rsidR="00E65435">
        <w:rPr>
          <w:rFonts w:eastAsia="Arial Unicode MS"/>
          <w:bCs/>
          <w:lang w:eastAsia="fr-FR" w:bidi="he-IL"/>
        </w:rPr>
        <w:t xml:space="preserve">, </w:t>
      </w:r>
      <w:r w:rsidRPr="00C8701B">
        <w:rPr>
          <w:rFonts w:eastAsia="Arial Unicode MS"/>
          <w:bCs/>
          <w:lang w:eastAsia="fr-FR" w:bidi="he-IL"/>
        </w:rPr>
        <w:t>en ajoutant 46 à 734</w:t>
      </w:r>
      <w:r w:rsidR="00E65435">
        <w:rPr>
          <w:rFonts w:eastAsia="Arial Unicode MS"/>
          <w:bCs/>
          <w:lang w:eastAsia="fr-FR" w:bidi="he-IL"/>
        </w:rPr>
        <w:t xml:space="preserve">, </w:t>
      </w:r>
      <w:r w:rsidRPr="00C8701B">
        <w:rPr>
          <w:rFonts w:eastAsia="Arial Unicode MS"/>
          <w:bCs/>
          <w:lang w:eastAsia="fr-FR" w:bidi="he-IL"/>
        </w:rPr>
        <w:t>on obtient 780 pour la première Pâque de la vie publique de Jésus.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S. Luc</w:t>
      </w:r>
      <w:r w:rsidR="00954AA2">
        <w:rPr>
          <w:rFonts w:eastAsia="Arial Unicode MS"/>
          <w:bCs/>
          <w:lang w:eastAsia="fr-FR" w:bidi="he-IL"/>
        </w:rPr>
        <w:t>, III,</w:t>
      </w:r>
      <w:r w:rsidR="00E65435">
        <w:rPr>
          <w:rFonts w:eastAsia="Arial Unicode MS"/>
          <w:bCs/>
          <w:lang w:eastAsia="fr-FR" w:bidi="he-IL"/>
        </w:rPr>
        <w:t xml:space="preserve"> </w:t>
      </w:r>
      <w:r w:rsidRPr="00C8701B">
        <w:rPr>
          <w:rFonts w:eastAsia="Arial Unicode MS"/>
          <w:bCs/>
          <w:lang w:eastAsia="fr-FR" w:bidi="he-IL"/>
        </w:rPr>
        <w:t>1-3</w:t>
      </w:r>
      <w:r w:rsidR="00E65435">
        <w:rPr>
          <w:rFonts w:eastAsia="Arial Unicode MS"/>
          <w:bCs/>
          <w:lang w:eastAsia="fr-FR" w:bidi="he-IL"/>
        </w:rPr>
        <w:t xml:space="preserve">, </w:t>
      </w:r>
      <w:r w:rsidRPr="00C8701B">
        <w:rPr>
          <w:rFonts w:eastAsia="Arial Unicode MS"/>
          <w:bCs/>
          <w:lang w:eastAsia="fr-FR" w:bidi="he-IL"/>
        </w:rPr>
        <w:t>23</w:t>
      </w:r>
      <w:r w:rsidR="00E65435">
        <w:rPr>
          <w:rFonts w:eastAsia="Arial Unicode MS"/>
          <w:bCs/>
          <w:lang w:eastAsia="fr-FR" w:bidi="he-IL"/>
        </w:rPr>
        <w:t xml:space="preserve">, </w:t>
      </w:r>
      <w:r w:rsidRPr="00C8701B">
        <w:rPr>
          <w:rFonts w:eastAsia="Arial Unicode MS"/>
          <w:bCs/>
          <w:lang w:eastAsia="fr-FR" w:bidi="he-IL"/>
        </w:rPr>
        <w:t>nous fournit un document plus sûr encore</w:t>
      </w:r>
      <w:r w:rsidR="00E65435">
        <w:rPr>
          <w:rFonts w:eastAsia="Arial Unicode MS"/>
          <w:bCs/>
          <w:lang w:eastAsia="fr-FR" w:bidi="he-IL"/>
        </w:rPr>
        <w:t xml:space="preserve">, </w:t>
      </w:r>
      <w:r w:rsidRPr="00C8701B">
        <w:rPr>
          <w:rFonts w:eastAsia="Arial Unicode MS"/>
          <w:bCs/>
          <w:lang w:eastAsia="fr-FR" w:bidi="he-IL"/>
        </w:rPr>
        <w:t>que l</w:t>
      </w:r>
      <w:r w:rsidR="00557DE0">
        <w:rPr>
          <w:rFonts w:eastAsia="Arial Unicode MS"/>
          <w:bCs/>
          <w:lang w:eastAsia="fr-FR" w:bidi="he-IL"/>
        </w:rPr>
        <w:t>’</w:t>
      </w:r>
      <w:r w:rsidRPr="00C8701B">
        <w:rPr>
          <w:rFonts w:eastAsia="Arial Unicode MS"/>
          <w:bCs/>
          <w:lang w:eastAsia="fr-FR" w:bidi="he-IL"/>
        </w:rPr>
        <w:t>on regarde à juste titre comme le plus important de tous ceux que contiennent les évangiles sur cette question chronologique</w:t>
      </w:r>
      <w:r w:rsidR="00933C60" w:rsidRPr="00C406FF">
        <w:rPr>
          <w:rStyle w:val="Appelnotedebasdep"/>
        </w:rPr>
        <w:footnoteReference w:id="364"/>
      </w:r>
      <w:r w:rsidRPr="00C8701B">
        <w:rPr>
          <w:rFonts w:eastAsia="Arial Unicode MS"/>
          <w:bCs/>
          <w:lang w:eastAsia="fr-FR" w:bidi="he-IL"/>
        </w:rPr>
        <w:t>.</w:t>
      </w:r>
      <w:r w:rsidRPr="00DC4586">
        <w:rPr>
          <w:rStyle w:val="italicus"/>
        </w:rPr>
        <w:t xml:space="preserve"> Anno... </w:t>
      </w:r>
      <w:r w:rsidR="005E1001" w:rsidRPr="00DC4586">
        <w:rPr>
          <w:rStyle w:val="italicus"/>
        </w:rPr>
        <w:t>quintodécimo</w:t>
      </w:r>
      <w:r w:rsidRPr="00DC4586">
        <w:rPr>
          <w:rStyle w:val="italicus"/>
        </w:rPr>
        <w:t xml:space="preserve"> </w:t>
      </w:r>
      <w:r w:rsidR="005E1001" w:rsidRPr="00DC4586">
        <w:rPr>
          <w:rStyle w:val="italicus"/>
        </w:rPr>
        <w:t>impérii</w:t>
      </w:r>
      <w:r w:rsidRPr="00DC4586">
        <w:rPr>
          <w:rStyle w:val="italicus"/>
        </w:rPr>
        <w:t xml:space="preserve"> </w:t>
      </w:r>
      <w:r w:rsidR="005E1001" w:rsidRPr="00DC4586">
        <w:rPr>
          <w:rStyle w:val="italicus"/>
        </w:rPr>
        <w:t>Tibérii</w:t>
      </w:r>
      <w:r w:rsidRPr="00DC4586">
        <w:rPr>
          <w:rStyle w:val="italicus"/>
        </w:rPr>
        <w:t xml:space="preserve"> </w:t>
      </w:r>
      <w:r w:rsidR="005E1001" w:rsidRPr="00DC4586">
        <w:rPr>
          <w:rStyle w:val="italicus"/>
        </w:rPr>
        <w:t>Cǽsaris</w:t>
      </w:r>
      <w:r w:rsidR="00E65435">
        <w:rPr>
          <w:rStyle w:val="italicus"/>
        </w:rPr>
        <w:t xml:space="preserve">, </w:t>
      </w:r>
      <w:r w:rsidRPr="00C8701B">
        <w:rPr>
          <w:rFonts w:eastAsia="Arial Unicode MS"/>
          <w:bCs/>
          <w:lang w:eastAsia="fr-FR" w:bidi="he-IL"/>
        </w:rPr>
        <w:t>écrit-il</w:t>
      </w:r>
      <w:r w:rsidR="00E65435">
        <w:rPr>
          <w:rFonts w:eastAsia="Arial Unicode MS"/>
          <w:bCs/>
          <w:lang w:eastAsia="fr-FR" w:bidi="he-IL"/>
        </w:rPr>
        <w:t xml:space="preserve">, </w:t>
      </w:r>
      <w:r w:rsidR="005E1001">
        <w:rPr>
          <w:rStyle w:val="italicus"/>
        </w:rPr>
        <w:t>procuránte Pó</w:t>
      </w:r>
      <w:r w:rsidR="005E1001" w:rsidRPr="00DC4586">
        <w:rPr>
          <w:rStyle w:val="italicus"/>
        </w:rPr>
        <w:t>ntio</w:t>
      </w:r>
      <w:r w:rsidRPr="00DC4586">
        <w:rPr>
          <w:rStyle w:val="italicus"/>
        </w:rPr>
        <w:t xml:space="preserve"> </w:t>
      </w:r>
      <w:r w:rsidR="005E1001" w:rsidRPr="00DC4586">
        <w:rPr>
          <w:rStyle w:val="italicus"/>
        </w:rPr>
        <w:t>Piláto</w:t>
      </w:r>
      <w:r w:rsidRPr="00DC4586">
        <w:rPr>
          <w:rStyle w:val="italicus"/>
        </w:rPr>
        <w:t xml:space="preserve"> </w:t>
      </w:r>
      <w:r w:rsidR="005E1001">
        <w:rPr>
          <w:rStyle w:val="italicus"/>
        </w:rPr>
        <w:t>Judǽ</w:t>
      </w:r>
      <w:r w:rsidR="005E1001" w:rsidRPr="00DC4586">
        <w:rPr>
          <w:rStyle w:val="italicus"/>
        </w:rPr>
        <w:t>am</w:t>
      </w:r>
      <w:r w:rsidR="00C87A2B">
        <w:rPr>
          <w:rStyle w:val="italicus"/>
        </w:rPr>
        <w:t>...</w:t>
      </w:r>
      <w:r w:rsidR="00C2602D" w:rsidRPr="00DC4586">
        <w:rPr>
          <w:rStyle w:val="italicus"/>
        </w:rPr>
        <w:t> </w:t>
      </w:r>
      <w:r w:rsidR="007F6508">
        <w:rPr>
          <w:rStyle w:val="italicus"/>
        </w:rPr>
        <w:t xml:space="preserve">; </w:t>
      </w:r>
      <w:r w:rsidRPr="00DC4586">
        <w:rPr>
          <w:rStyle w:val="italicus"/>
        </w:rPr>
        <w:t>factum est verbum D</w:t>
      </w:r>
      <w:r w:rsidR="004D031F">
        <w:rPr>
          <w:rStyle w:val="italicus"/>
        </w:rPr>
        <w:t>ómini</w:t>
      </w:r>
      <w:r w:rsidRPr="00DC4586">
        <w:rPr>
          <w:rStyle w:val="italicus"/>
        </w:rPr>
        <w:t xml:space="preserve"> super </w:t>
      </w:r>
      <w:r w:rsidR="00CD3C57" w:rsidRPr="00DC4586">
        <w:rPr>
          <w:rStyle w:val="italicus"/>
        </w:rPr>
        <w:t>Joánnem</w:t>
      </w:r>
      <w:r w:rsidR="005E1001">
        <w:rPr>
          <w:rStyle w:val="italicus"/>
        </w:rPr>
        <w:t>,</w:t>
      </w:r>
      <w:r w:rsidRPr="00DC4586">
        <w:rPr>
          <w:rStyle w:val="italicus"/>
        </w:rPr>
        <w:t xml:space="preserve"> </w:t>
      </w:r>
      <w:r w:rsidR="005E1001" w:rsidRPr="00DC4586">
        <w:rPr>
          <w:rStyle w:val="italicus"/>
        </w:rPr>
        <w:t>Zacharí</w:t>
      </w:r>
      <w:r w:rsidR="005E1001">
        <w:rPr>
          <w:rStyle w:val="italicus"/>
        </w:rPr>
        <w:t>æ</w:t>
      </w:r>
      <w:r w:rsidRPr="00DC4586">
        <w:rPr>
          <w:rStyle w:val="italicus"/>
        </w:rPr>
        <w:t xml:space="preserve"> f</w:t>
      </w:r>
      <w:r w:rsidR="00C21120">
        <w:rPr>
          <w:rStyle w:val="italicus"/>
        </w:rPr>
        <w:t>íli</w:t>
      </w:r>
      <w:r w:rsidR="00C21120" w:rsidRPr="00DC4586">
        <w:rPr>
          <w:rStyle w:val="italicus"/>
        </w:rPr>
        <w:t>um</w:t>
      </w:r>
      <w:r w:rsidR="00E65435">
        <w:rPr>
          <w:rStyle w:val="italicus"/>
        </w:rPr>
        <w:t xml:space="preserve">, </w:t>
      </w:r>
      <w:r w:rsidRPr="00DC4586">
        <w:rPr>
          <w:rStyle w:val="italicus"/>
        </w:rPr>
        <w:t xml:space="preserve">in </w:t>
      </w:r>
      <w:r w:rsidR="005E1001" w:rsidRPr="00DC4586">
        <w:rPr>
          <w:rStyle w:val="italicus"/>
        </w:rPr>
        <w:t>desérto</w:t>
      </w:r>
      <w:r w:rsidR="00C2602D" w:rsidRPr="00DC4586">
        <w:rPr>
          <w:rStyle w:val="italicus"/>
        </w:rPr>
        <w:t> </w:t>
      </w:r>
      <w:r w:rsidR="007F6508">
        <w:rPr>
          <w:rStyle w:val="italicus"/>
        </w:rPr>
        <w:t xml:space="preserve">; </w:t>
      </w:r>
      <w:r w:rsidRPr="00DC4586">
        <w:rPr>
          <w:rStyle w:val="italicus"/>
        </w:rPr>
        <w:t>et venit</w:t>
      </w:r>
      <w:r w:rsidR="005E1001">
        <w:rPr>
          <w:rStyle w:val="italicus"/>
        </w:rPr>
        <w:t xml:space="preserve"> </w:t>
      </w:r>
      <w:r w:rsidRPr="00DC4586">
        <w:rPr>
          <w:rStyle w:val="italicus"/>
        </w:rPr>
        <w:t>in omnem reg</w:t>
      </w:r>
      <w:r w:rsidR="000B732C">
        <w:rPr>
          <w:rStyle w:val="italicus"/>
        </w:rPr>
        <w:t>iónem</w:t>
      </w:r>
      <w:r w:rsidR="005E1001">
        <w:rPr>
          <w:rStyle w:val="italicus"/>
        </w:rPr>
        <w:t xml:space="preserve"> Jordánis</w:t>
      </w:r>
      <w:r w:rsidR="00E65435">
        <w:rPr>
          <w:rStyle w:val="italicus"/>
        </w:rPr>
        <w:t xml:space="preserve">, </w:t>
      </w:r>
      <w:r w:rsidR="005E1001">
        <w:rPr>
          <w:rStyle w:val="italicus"/>
        </w:rPr>
        <w:t>prǽ</w:t>
      </w:r>
      <w:r w:rsidR="005E1001" w:rsidRPr="00DC4586">
        <w:rPr>
          <w:rStyle w:val="italicus"/>
        </w:rPr>
        <w:t>dicans</w:t>
      </w:r>
      <w:r w:rsidRPr="00DC4586">
        <w:rPr>
          <w:rStyle w:val="italicus"/>
        </w:rPr>
        <w:t xml:space="preserve"> </w:t>
      </w:r>
      <w:r w:rsidR="005E1001" w:rsidRPr="00DC4586">
        <w:rPr>
          <w:rStyle w:val="italicus"/>
        </w:rPr>
        <w:t>baptísmum</w:t>
      </w:r>
      <w:r w:rsidR="00E65435">
        <w:rPr>
          <w:rStyle w:val="italicus"/>
        </w:rPr>
        <w:t xml:space="preserve">, </w:t>
      </w:r>
      <w:r w:rsidR="005E1001">
        <w:rPr>
          <w:rStyle w:val="italicus"/>
        </w:rPr>
        <w:t>pœ</w:t>
      </w:r>
      <w:r w:rsidRPr="00DC4586">
        <w:rPr>
          <w:rStyle w:val="italicus"/>
        </w:rPr>
        <w:t>nit</w:t>
      </w:r>
      <w:r w:rsidR="00652B4F">
        <w:rPr>
          <w:rStyle w:val="italicus"/>
        </w:rPr>
        <w:t>é</w:t>
      </w:r>
      <w:r w:rsidR="00652B4F" w:rsidRPr="00DC4586">
        <w:rPr>
          <w:rStyle w:val="italicus"/>
        </w:rPr>
        <w:t>nti</w:t>
      </w:r>
      <w:r w:rsidR="00652B4F">
        <w:rPr>
          <w:rStyle w:val="italicus"/>
        </w:rPr>
        <w:t>æ</w:t>
      </w:r>
      <w:r w:rsidRPr="00DC4586">
        <w:rPr>
          <w:rStyle w:val="italicus"/>
        </w:rPr>
        <w:t>...</w:t>
      </w:r>
      <w:r w:rsidR="00933C60" w:rsidRPr="00C406FF">
        <w:rPr>
          <w:rStyle w:val="Appelnotedebasdep"/>
        </w:rPr>
        <w:footnoteReference w:id="365"/>
      </w:r>
      <w:r w:rsidRPr="00C8701B">
        <w:rPr>
          <w:rFonts w:eastAsia="Arial Unicode MS"/>
          <w:bCs/>
          <w:lang w:eastAsia="fr-FR" w:bidi="he-IL"/>
        </w:rPr>
        <w:t>. C</w:t>
      </w:r>
      <w:r w:rsidR="00557DE0">
        <w:rPr>
          <w:rFonts w:eastAsia="Arial Unicode MS"/>
          <w:bCs/>
          <w:lang w:eastAsia="fr-FR" w:bidi="he-IL"/>
        </w:rPr>
        <w:t>’</w:t>
      </w:r>
      <w:r w:rsidRPr="00C8701B">
        <w:rPr>
          <w:rFonts w:eastAsia="Arial Unicode MS"/>
          <w:bCs/>
          <w:lang w:eastAsia="fr-FR" w:bidi="he-IL"/>
        </w:rPr>
        <w:t>est dire</w:t>
      </w:r>
      <w:r w:rsidR="00E65435">
        <w:rPr>
          <w:rFonts w:eastAsia="Arial Unicode MS"/>
          <w:bCs/>
          <w:lang w:eastAsia="fr-FR" w:bidi="he-IL"/>
        </w:rPr>
        <w:t xml:space="preserve">, </w:t>
      </w:r>
      <w:r w:rsidRPr="00C8701B">
        <w:rPr>
          <w:rFonts w:eastAsia="Arial Unicode MS"/>
          <w:bCs/>
          <w:lang w:eastAsia="fr-FR" w:bidi="he-IL"/>
        </w:rPr>
        <w:t>aussi nettement que possible</w:t>
      </w:r>
      <w:r w:rsidR="00E65435">
        <w:rPr>
          <w:rFonts w:eastAsia="Arial Unicode MS"/>
          <w:bCs/>
          <w:lang w:eastAsia="fr-FR" w:bidi="he-IL"/>
        </w:rPr>
        <w:t xml:space="preserve">, </w:t>
      </w:r>
      <w:r w:rsidRPr="00C8701B">
        <w:rPr>
          <w:rFonts w:eastAsia="Arial Unicode MS"/>
          <w:bCs/>
          <w:lang w:eastAsia="fr-FR" w:bidi="he-IL"/>
        </w:rPr>
        <w:t>que le Précurseur commença son ministère en la quinzième année de Tibère. Or</w:t>
      </w:r>
      <w:r w:rsidR="00E65435">
        <w:rPr>
          <w:rFonts w:eastAsia="Arial Unicode MS"/>
          <w:bCs/>
          <w:lang w:eastAsia="fr-FR" w:bidi="he-IL"/>
        </w:rPr>
        <w:t xml:space="preserve">, </w:t>
      </w:r>
      <w:r w:rsidRPr="00C8701B">
        <w:rPr>
          <w:rFonts w:eastAsia="Arial Unicode MS"/>
          <w:bCs/>
          <w:lang w:eastAsia="fr-FR" w:bidi="he-IL"/>
        </w:rPr>
        <w:t>à cette époque</w:t>
      </w:r>
      <w:r w:rsidR="00E65435">
        <w:rPr>
          <w:rFonts w:eastAsia="Arial Unicode MS"/>
          <w:bCs/>
          <w:lang w:eastAsia="fr-FR" w:bidi="he-IL"/>
        </w:rPr>
        <w:t xml:space="preserve">, </w:t>
      </w:r>
      <w:r w:rsidRPr="00C8701B">
        <w:rPr>
          <w:rFonts w:eastAsia="Arial Unicode MS"/>
          <w:bCs/>
          <w:lang w:eastAsia="fr-FR" w:bidi="he-IL"/>
        </w:rPr>
        <w:t>continue l</w:t>
      </w:r>
      <w:r w:rsidR="00557DE0">
        <w:rPr>
          <w:rFonts w:eastAsia="Arial Unicode MS"/>
          <w:bCs/>
          <w:lang w:eastAsia="fr-FR" w:bidi="he-IL"/>
        </w:rPr>
        <w:t>’</w:t>
      </w:r>
      <w:r w:rsidRPr="00C8701B">
        <w:rPr>
          <w:rFonts w:eastAsia="Arial Unicode MS"/>
          <w:bCs/>
          <w:lang w:eastAsia="fr-FR" w:bidi="he-IL"/>
        </w:rPr>
        <w:t>évangéliste (vers. 23)</w:t>
      </w:r>
      <w:r w:rsidR="00E65435">
        <w:rPr>
          <w:rFonts w:eastAsia="Arial Unicode MS"/>
          <w:bCs/>
          <w:lang w:eastAsia="fr-FR" w:bidi="he-IL"/>
        </w:rPr>
        <w:t xml:space="preserve">, </w:t>
      </w:r>
      <w:r w:rsidR="005E1001">
        <w:rPr>
          <w:rStyle w:val="italicus"/>
        </w:rPr>
        <w:t>ipse Jésus erat incí</w:t>
      </w:r>
      <w:r w:rsidR="005E1001" w:rsidRPr="00DC4586">
        <w:rPr>
          <w:rStyle w:val="italicus"/>
        </w:rPr>
        <w:t>piens</w:t>
      </w:r>
      <w:r w:rsidRPr="00DC4586">
        <w:rPr>
          <w:rStyle w:val="italicus"/>
        </w:rPr>
        <w:t xml:space="preserve"> quasi ann</w:t>
      </w:r>
      <w:r w:rsidR="003A07A7">
        <w:rPr>
          <w:rStyle w:val="italicus"/>
        </w:rPr>
        <w:t>órum</w:t>
      </w:r>
      <w:r w:rsidRPr="00DC4586">
        <w:rPr>
          <w:rStyle w:val="italicus"/>
        </w:rPr>
        <w:t xml:space="preserve"> </w:t>
      </w:r>
      <w:r w:rsidR="005E1001" w:rsidRPr="00DC4586">
        <w:rPr>
          <w:rStyle w:val="italicus"/>
        </w:rPr>
        <w:t>trigínta</w:t>
      </w:r>
      <w:r w:rsidR="00933C60" w:rsidRPr="00C406FF">
        <w:rPr>
          <w:rStyle w:val="Appelnotedebasdep"/>
        </w:rPr>
        <w:footnoteReference w:id="366"/>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Quelle est donc cette quinzième année de Tibère</w:t>
      </w:r>
      <w:r w:rsidR="00C2602D" w:rsidRPr="00C8701B">
        <w:rPr>
          <w:rFonts w:eastAsia="Arial Unicode MS"/>
          <w:bCs/>
          <w:lang w:eastAsia="fr-FR" w:bidi="he-IL"/>
        </w:rPr>
        <w:t> ?</w:t>
      </w:r>
      <w:r w:rsidRPr="00C8701B">
        <w:rPr>
          <w:rFonts w:eastAsia="Arial Unicode MS"/>
          <w:bCs/>
          <w:lang w:eastAsia="fr-FR" w:bidi="he-IL"/>
        </w:rPr>
        <w:t xml:space="preserve"> Est-il possible que les avis se soient partagés sur une date aussi claire</w:t>
      </w:r>
      <w:r w:rsidR="00C2602D" w:rsidRPr="00C8701B">
        <w:rPr>
          <w:rFonts w:eastAsia="Arial Unicode MS"/>
          <w:bCs/>
          <w:lang w:eastAsia="fr-FR" w:bidi="he-IL"/>
        </w:rPr>
        <w:t> ?</w:t>
      </w:r>
      <w:r w:rsidRPr="00C8701B">
        <w:rPr>
          <w:rFonts w:eastAsia="Arial Unicode MS"/>
          <w:bCs/>
          <w:lang w:eastAsia="fr-FR" w:bidi="he-IL"/>
        </w:rPr>
        <w:t xml:space="preserve"> Malheureusement c</w:t>
      </w:r>
      <w:r w:rsidR="00557DE0">
        <w:rPr>
          <w:rFonts w:eastAsia="Arial Unicode MS"/>
          <w:bCs/>
          <w:lang w:eastAsia="fr-FR" w:bidi="he-IL"/>
        </w:rPr>
        <w:t>’</w:t>
      </w:r>
      <w:r w:rsidRPr="00C8701B">
        <w:rPr>
          <w:rFonts w:eastAsia="Arial Unicode MS"/>
          <w:bCs/>
          <w:lang w:eastAsia="fr-FR" w:bidi="he-IL"/>
        </w:rPr>
        <w:t>est ce qui est arrivé</w:t>
      </w:r>
      <w:r w:rsidR="00E65435">
        <w:rPr>
          <w:rFonts w:eastAsia="Arial Unicode MS"/>
          <w:bCs/>
          <w:lang w:eastAsia="fr-FR" w:bidi="he-IL"/>
        </w:rPr>
        <w:t xml:space="preserve">, </w:t>
      </w:r>
      <w:r w:rsidRPr="00C8701B">
        <w:rPr>
          <w:rFonts w:eastAsia="Arial Unicode MS"/>
          <w:bCs/>
          <w:lang w:eastAsia="fr-FR" w:bidi="he-IL"/>
        </w:rPr>
        <w:t>car on la suppute d</w:t>
      </w:r>
      <w:r w:rsidR="00557DE0">
        <w:rPr>
          <w:rFonts w:eastAsia="Arial Unicode MS"/>
          <w:bCs/>
          <w:lang w:eastAsia="fr-FR" w:bidi="he-IL"/>
        </w:rPr>
        <w:t>’</w:t>
      </w:r>
      <w:r w:rsidRPr="00C8701B">
        <w:rPr>
          <w:rFonts w:eastAsia="Arial Unicode MS"/>
          <w:bCs/>
          <w:lang w:eastAsia="fr-FR" w:bidi="he-IL"/>
        </w:rPr>
        <w:t>après deux méthodes différentes</w:t>
      </w:r>
      <w:r w:rsidR="00E65435">
        <w:rPr>
          <w:rFonts w:eastAsia="Arial Unicode MS"/>
          <w:bCs/>
          <w:lang w:eastAsia="fr-FR" w:bidi="he-IL"/>
        </w:rPr>
        <w:t xml:space="preserve">, </w:t>
      </w:r>
      <w:r w:rsidRPr="00C8701B">
        <w:rPr>
          <w:rFonts w:eastAsia="Arial Unicode MS"/>
          <w:bCs/>
          <w:lang w:eastAsia="fr-FR" w:bidi="he-IL"/>
        </w:rPr>
        <w:t>de manière à produire une variante de deux années</w:t>
      </w:r>
      <w:r w:rsidR="00E65435">
        <w:rPr>
          <w:rFonts w:eastAsia="Arial Unicode MS"/>
          <w:bCs/>
          <w:lang w:eastAsia="fr-FR" w:bidi="he-IL"/>
        </w:rPr>
        <w:t xml:space="preserve">, </w:t>
      </w:r>
      <w:r w:rsidRPr="00C8701B">
        <w:rPr>
          <w:rFonts w:eastAsia="Arial Unicode MS"/>
          <w:bCs/>
          <w:lang w:eastAsia="fr-FR" w:bidi="he-IL"/>
        </w:rPr>
        <w:t>et</w:t>
      </w:r>
      <w:r w:rsidR="00E65435">
        <w:rPr>
          <w:rFonts w:eastAsia="Arial Unicode MS"/>
          <w:bCs/>
          <w:lang w:eastAsia="fr-FR" w:bidi="he-IL"/>
        </w:rPr>
        <w:t xml:space="preserve">, </w:t>
      </w:r>
      <w:r w:rsidRPr="00C8701B">
        <w:rPr>
          <w:rFonts w:eastAsia="Arial Unicode MS"/>
          <w:bCs/>
          <w:lang w:eastAsia="fr-FR" w:bidi="he-IL"/>
        </w:rPr>
        <w:t>par suite</w:t>
      </w:r>
      <w:r w:rsidR="00E65435">
        <w:rPr>
          <w:rFonts w:eastAsia="Arial Unicode MS"/>
          <w:bCs/>
          <w:lang w:eastAsia="fr-FR" w:bidi="he-IL"/>
        </w:rPr>
        <w:t xml:space="preserve">, </w:t>
      </w:r>
      <w:r w:rsidRPr="00C8701B">
        <w:rPr>
          <w:rFonts w:eastAsia="Arial Unicode MS"/>
          <w:bCs/>
          <w:lang w:eastAsia="fr-FR" w:bidi="he-IL"/>
        </w:rPr>
        <w:t>une grande incertitude.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Les uns</w:t>
      </w:r>
      <w:r w:rsidR="00E65435">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et</w:t>
      </w:r>
      <w:r w:rsidR="00E65435">
        <w:rPr>
          <w:rFonts w:eastAsia="Arial Unicode MS"/>
          <w:bCs/>
          <w:lang w:eastAsia="fr-FR" w:bidi="he-IL"/>
        </w:rPr>
        <w:t xml:space="preserve">, </w:t>
      </w:r>
      <w:r w:rsidRPr="00C8701B">
        <w:rPr>
          <w:rFonts w:eastAsia="Arial Unicode MS"/>
          <w:bCs/>
          <w:lang w:eastAsia="fr-FR" w:bidi="he-IL"/>
        </w:rPr>
        <w:t>à première vue</w:t>
      </w:r>
      <w:r w:rsidR="00E65435">
        <w:rPr>
          <w:rFonts w:eastAsia="Arial Unicode MS"/>
          <w:bCs/>
          <w:lang w:eastAsia="fr-FR" w:bidi="he-IL"/>
        </w:rPr>
        <w:t xml:space="preserve">, </w:t>
      </w:r>
      <w:r w:rsidRPr="00C8701B">
        <w:rPr>
          <w:rFonts w:eastAsia="Arial Unicode MS"/>
          <w:bCs/>
          <w:lang w:eastAsia="fr-FR" w:bidi="he-IL"/>
        </w:rPr>
        <w:t>il semble que ce procédé soit le plus naturel</w:t>
      </w:r>
      <w:r w:rsidR="00E65435">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005E1001">
        <w:rPr>
          <w:rFonts w:eastAsia="Arial Unicode MS"/>
          <w:bCs/>
          <w:lang w:eastAsia="fr-FR" w:bidi="he-IL"/>
        </w:rPr>
        <w:t>com</w:t>
      </w:r>
      <w:r w:rsidRPr="00C8701B">
        <w:rPr>
          <w:rFonts w:eastAsia="Arial Unicode MS"/>
          <w:bCs/>
          <w:lang w:eastAsia="fr-FR" w:bidi="he-IL"/>
        </w:rPr>
        <w:t>ptent les années du règne de Tibère à partir de la mort d</w:t>
      </w:r>
      <w:r w:rsidR="00557DE0">
        <w:rPr>
          <w:rFonts w:eastAsia="Arial Unicode MS"/>
          <w:bCs/>
          <w:lang w:eastAsia="fr-FR" w:bidi="he-IL"/>
        </w:rPr>
        <w:t>’</w:t>
      </w:r>
      <w:r w:rsidRPr="00C8701B">
        <w:rPr>
          <w:rFonts w:eastAsia="Arial Unicode MS"/>
          <w:bCs/>
          <w:lang w:eastAsia="fr-FR" w:bidi="he-IL"/>
        </w:rPr>
        <w:t>Auguste</w:t>
      </w:r>
      <w:r w:rsidR="00E65435">
        <w:rPr>
          <w:rFonts w:eastAsia="Arial Unicode MS"/>
          <w:bCs/>
          <w:lang w:eastAsia="fr-FR" w:bidi="he-IL"/>
        </w:rPr>
        <w:t xml:space="preserve">, </w:t>
      </w:r>
      <w:r w:rsidRPr="00C8701B">
        <w:rPr>
          <w:rFonts w:eastAsia="Arial Unicode MS"/>
          <w:bCs/>
          <w:lang w:eastAsia="fr-FR" w:bidi="he-IL"/>
        </w:rPr>
        <w:t>qui eut lieu le 19 août 767 u. c.</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an 14 de l</w:t>
      </w:r>
      <w:r w:rsidR="00557DE0">
        <w:rPr>
          <w:rFonts w:eastAsia="Arial Unicode MS"/>
          <w:bCs/>
          <w:lang w:eastAsia="fr-FR" w:bidi="he-IL"/>
        </w:rPr>
        <w:t>’</w:t>
      </w:r>
      <w:r w:rsidRPr="00C8701B">
        <w:rPr>
          <w:rFonts w:eastAsia="Arial Unicode MS"/>
          <w:bCs/>
          <w:lang w:eastAsia="fr-FR" w:bidi="he-IL"/>
        </w:rPr>
        <w:t>ère vulgaire. La quinzième année du successeur d</w:t>
      </w:r>
      <w:r w:rsidR="00557DE0">
        <w:rPr>
          <w:rFonts w:eastAsia="Arial Unicode MS"/>
          <w:bCs/>
          <w:lang w:eastAsia="fr-FR" w:bidi="he-IL"/>
        </w:rPr>
        <w:t>’</w:t>
      </w:r>
      <w:r w:rsidRPr="00C8701B">
        <w:rPr>
          <w:rFonts w:eastAsia="Arial Unicode MS"/>
          <w:bCs/>
          <w:lang w:eastAsia="fr-FR" w:bidi="he-IL"/>
        </w:rPr>
        <w:t>Auguste devrait donc courir</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après cela</w:t>
      </w:r>
      <w:r w:rsidR="00E65435">
        <w:rPr>
          <w:rFonts w:eastAsia="Arial Unicode MS"/>
          <w:bCs/>
          <w:lang w:eastAsia="fr-FR" w:bidi="he-IL"/>
        </w:rPr>
        <w:t xml:space="preserve">, </w:t>
      </w:r>
      <w:r w:rsidRPr="00C8701B">
        <w:rPr>
          <w:rFonts w:eastAsia="Arial Unicode MS"/>
          <w:bCs/>
          <w:lang w:eastAsia="fr-FR" w:bidi="he-IL"/>
        </w:rPr>
        <w:t>du 19 août 781 au 19 août 782 (28-29 de l</w:t>
      </w:r>
      <w:r w:rsidR="00557DE0">
        <w:rPr>
          <w:rFonts w:eastAsia="Arial Unicode MS"/>
          <w:bCs/>
          <w:lang w:eastAsia="fr-FR" w:bidi="he-IL"/>
        </w:rPr>
        <w:t>’</w:t>
      </w:r>
      <w:r w:rsidRPr="00C8701B">
        <w:rPr>
          <w:rFonts w:eastAsia="Arial Unicode MS"/>
          <w:bCs/>
          <w:lang w:eastAsia="fr-FR" w:bidi="he-IL"/>
        </w:rPr>
        <w:t>ère vulgaire)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mais alors</w:t>
      </w:r>
      <w:r w:rsidR="00E65435">
        <w:rPr>
          <w:rFonts w:eastAsia="Arial Unicode MS"/>
          <w:bCs/>
          <w:lang w:eastAsia="fr-FR" w:bidi="he-IL"/>
        </w:rPr>
        <w:t xml:space="preserve">, </w:t>
      </w:r>
      <w:r w:rsidRPr="00C8701B">
        <w:rPr>
          <w:rFonts w:eastAsia="Arial Unicode MS"/>
          <w:bCs/>
          <w:lang w:eastAsia="fr-FR" w:bidi="he-IL"/>
        </w:rPr>
        <w:t xml:space="preserve">en retranchant de ce chiffre les </w:t>
      </w:r>
      <w:r w:rsidR="00C2602D" w:rsidRPr="00C8701B">
        <w:rPr>
          <w:rFonts w:eastAsia="Arial Unicode MS"/>
          <w:bCs/>
          <w:lang w:eastAsia="fr-FR" w:bidi="he-IL"/>
        </w:rPr>
        <w:t>« </w:t>
      </w:r>
      <w:r w:rsidRPr="00C8701B">
        <w:rPr>
          <w:rFonts w:eastAsia="Arial Unicode MS"/>
          <w:bCs/>
          <w:lang w:eastAsia="fr-FR" w:bidi="he-IL"/>
        </w:rPr>
        <w:t>trente années environ</w:t>
      </w:r>
      <w:r w:rsidR="00C2602D" w:rsidRPr="00C8701B">
        <w:rPr>
          <w:rFonts w:eastAsia="Arial Unicode MS"/>
          <w:bCs/>
          <w:lang w:eastAsia="fr-FR" w:bidi="he-IL"/>
        </w:rPr>
        <w:t> »</w:t>
      </w:r>
      <w:r w:rsidRPr="00C8701B">
        <w:rPr>
          <w:rFonts w:eastAsia="Arial Unicode MS"/>
          <w:bCs/>
          <w:lang w:eastAsia="fr-FR" w:bidi="he-IL"/>
        </w:rPr>
        <w:t xml:space="preserve"> qu</w:t>
      </w:r>
      <w:r w:rsidR="00557DE0">
        <w:rPr>
          <w:rFonts w:eastAsia="Arial Unicode MS"/>
          <w:bCs/>
          <w:lang w:eastAsia="fr-FR" w:bidi="he-IL"/>
        </w:rPr>
        <w:t>’</w:t>
      </w:r>
      <w:r w:rsidRPr="00C8701B">
        <w:rPr>
          <w:rFonts w:eastAsia="Arial Unicode MS"/>
          <w:bCs/>
          <w:lang w:eastAsia="fr-FR" w:bidi="he-IL"/>
        </w:rPr>
        <w:t>avait Jésus</w:t>
      </w:r>
      <w:r w:rsidR="00E65435">
        <w:rPr>
          <w:rFonts w:eastAsia="Arial Unicode MS"/>
          <w:bCs/>
          <w:lang w:eastAsia="fr-FR" w:bidi="he-IL"/>
        </w:rPr>
        <w:t xml:space="preserve">, </w:t>
      </w:r>
      <w:r w:rsidRPr="00C8701B">
        <w:rPr>
          <w:rFonts w:eastAsia="Arial Unicode MS"/>
          <w:bCs/>
          <w:lang w:eastAsia="fr-FR" w:bidi="he-IL"/>
        </w:rPr>
        <w:t>on obtiendrait</w:t>
      </w:r>
      <w:r w:rsidR="00E65435">
        <w:rPr>
          <w:rFonts w:eastAsia="Arial Unicode MS"/>
          <w:bCs/>
          <w:lang w:eastAsia="fr-FR" w:bidi="he-IL"/>
        </w:rPr>
        <w:t xml:space="preserve">, </w:t>
      </w:r>
      <w:r w:rsidRPr="00C8701B">
        <w:rPr>
          <w:rFonts w:eastAsia="Arial Unicode MS"/>
          <w:bCs/>
          <w:lang w:eastAsia="fr-FR" w:bidi="he-IL"/>
        </w:rPr>
        <w:t>comme date de sa naissance</w:t>
      </w:r>
      <w:r w:rsidR="00E65435">
        <w:rPr>
          <w:rFonts w:eastAsia="Arial Unicode MS"/>
          <w:bCs/>
          <w:lang w:eastAsia="fr-FR" w:bidi="he-IL"/>
        </w:rPr>
        <w:t xml:space="preserve">, </w:t>
      </w:r>
      <w:r w:rsidR="005E1001">
        <w:rPr>
          <w:rFonts w:eastAsia="Arial Unicode MS"/>
          <w:bCs/>
          <w:lang w:eastAsia="fr-FR" w:bidi="he-IL"/>
        </w:rPr>
        <w:t>75</w:t>
      </w:r>
      <w:r w:rsidRPr="00C8701B">
        <w:rPr>
          <w:rFonts w:eastAsia="Arial Unicode MS"/>
          <w:bCs/>
          <w:lang w:eastAsia="fr-FR" w:bidi="he-IL"/>
        </w:rPr>
        <w:t>1 ou 752</w:t>
      </w:r>
      <w:r w:rsidR="00C2602D" w:rsidRPr="00C8701B">
        <w:rPr>
          <w:rFonts w:eastAsia="Arial Unicode MS"/>
          <w:bCs/>
          <w:lang w:eastAsia="fr-FR" w:bidi="he-IL"/>
        </w:rPr>
        <w:t> :</w:t>
      </w:r>
      <w:r w:rsidRPr="00C8701B">
        <w:rPr>
          <w:rFonts w:eastAsia="Arial Unicode MS"/>
          <w:bCs/>
          <w:lang w:eastAsia="fr-FR" w:bidi="he-IL"/>
        </w:rPr>
        <w:t xml:space="preserve"> résultat condamné d</w:t>
      </w:r>
      <w:r w:rsidR="00557DE0">
        <w:rPr>
          <w:rFonts w:eastAsia="Arial Unicode MS"/>
          <w:bCs/>
          <w:lang w:eastAsia="fr-FR" w:bidi="he-IL"/>
        </w:rPr>
        <w:t>’</w:t>
      </w:r>
      <w:r w:rsidRPr="00C8701B">
        <w:rPr>
          <w:rFonts w:eastAsia="Arial Unicode MS"/>
          <w:bCs/>
          <w:lang w:eastAsia="fr-FR" w:bidi="he-IL"/>
        </w:rPr>
        <w:t>avance par la nécessité de placer le premier Noël chrétien au plus tard vers le début de l</w:t>
      </w:r>
      <w:r w:rsidR="00557DE0">
        <w:rPr>
          <w:rFonts w:eastAsia="Arial Unicode MS"/>
          <w:bCs/>
          <w:lang w:eastAsia="fr-FR" w:bidi="he-IL"/>
        </w:rPr>
        <w:t>’</w:t>
      </w:r>
      <w:r w:rsidRPr="00C8701B">
        <w:rPr>
          <w:rFonts w:eastAsia="Arial Unicode MS"/>
          <w:bCs/>
          <w:lang w:eastAsia="fr-FR" w:bidi="he-IL"/>
        </w:rPr>
        <w:t>année 750</w:t>
      </w:r>
      <w:r w:rsidR="00933C60" w:rsidRPr="00C406FF">
        <w:rPr>
          <w:rStyle w:val="Appelnotedebasdep"/>
        </w:rPr>
        <w:footnoteReference w:id="367"/>
      </w:r>
      <w:r w:rsidRPr="00C8701B">
        <w:rPr>
          <w:rFonts w:eastAsia="Arial Unicode MS"/>
          <w:bCs/>
          <w:lang w:eastAsia="fr-FR" w:bidi="he-IL"/>
        </w:rPr>
        <w:t>. Sans doute</w:t>
      </w:r>
      <w:r w:rsidR="00E65435">
        <w:rPr>
          <w:rFonts w:eastAsia="Arial Unicode MS"/>
          <w:bCs/>
          <w:lang w:eastAsia="fr-FR" w:bidi="he-IL"/>
        </w:rPr>
        <w:t xml:space="preserve">, </w:t>
      </w:r>
      <w:r w:rsidRPr="00C8701B">
        <w:rPr>
          <w:rFonts w:eastAsia="Arial Unicode MS"/>
          <w:bCs/>
          <w:lang w:eastAsia="fr-FR" w:bidi="he-IL"/>
        </w:rPr>
        <w:t xml:space="preserve">la particule </w:t>
      </w:r>
      <w:r w:rsidR="005E1001">
        <w:rPr>
          <w:rFonts w:eastAsia="Arial Unicode MS"/>
          <w:bCs/>
          <w:lang w:eastAsia="fr-FR" w:bidi="he-IL"/>
        </w:rPr>
        <w:t>ὡ</w:t>
      </w:r>
      <w:r w:rsidRPr="00C8701B">
        <w:rPr>
          <w:rFonts w:eastAsia="Arial Unicode MS"/>
          <w:bCs/>
          <w:lang w:val="el-GR" w:eastAsia="fr-FR" w:bidi="he-IL"/>
        </w:rPr>
        <w:t>σε</w:t>
      </w:r>
      <w:r w:rsidR="00DB352C">
        <w:rPr>
          <w:rFonts w:eastAsia="Arial Unicode MS"/>
          <w:bCs/>
          <w:lang w:val="el-GR" w:eastAsia="fr-FR" w:bidi="he-IL"/>
        </w:rPr>
        <w:t>ί</w:t>
      </w:r>
      <w:r w:rsidR="00E65435">
        <w:rPr>
          <w:rFonts w:eastAsia="Arial Unicode MS"/>
          <w:bCs/>
          <w:lang w:val="el-GR" w:eastAsia="fr-FR" w:bidi="he-IL"/>
        </w:rPr>
        <w:t xml:space="preserve">, </w:t>
      </w:r>
      <w:r w:rsidRPr="00DC4586">
        <w:rPr>
          <w:rStyle w:val="italicus"/>
        </w:rPr>
        <w:t>quasi</w:t>
      </w:r>
      <w:r w:rsidR="00E65435">
        <w:rPr>
          <w:rStyle w:val="italicus"/>
        </w:rPr>
        <w:t xml:space="preserve">, </w:t>
      </w:r>
      <w:r w:rsidRPr="00C8701B">
        <w:rPr>
          <w:rFonts w:eastAsia="Arial Unicode MS"/>
          <w:bCs/>
          <w:lang w:eastAsia="fr-FR" w:bidi="he-IL"/>
        </w:rPr>
        <w:t>est élastique et nous laisse quelque marge</w:t>
      </w:r>
      <w:r w:rsidR="00C2602D" w:rsidRPr="00C8701B">
        <w:rPr>
          <w:rFonts w:eastAsia="Arial Unicode MS"/>
          <w:bCs/>
          <w:lang w:eastAsia="fr-FR" w:bidi="he-IL"/>
        </w:rPr>
        <w:t> :</w:t>
      </w:r>
      <w:r w:rsidR="005E1001">
        <w:rPr>
          <w:rFonts w:eastAsia="Arial Unicode MS"/>
          <w:bCs/>
          <w:lang w:eastAsia="fr-FR" w:bidi="he-IL"/>
        </w:rPr>
        <w:t xml:space="preserve"> les partisans</w:t>
      </w:r>
      <w:r w:rsidRPr="00C8701B">
        <w:rPr>
          <w:rFonts w:eastAsia="Arial Unicode MS"/>
          <w:bCs/>
          <w:lang w:eastAsia="fr-FR" w:bidi="he-IL"/>
        </w:rPr>
        <w:t xml:space="preserve"> de l</w:t>
      </w:r>
      <w:r w:rsidR="00557DE0">
        <w:rPr>
          <w:rFonts w:eastAsia="Arial Unicode MS"/>
          <w:bCs/>
          <w:lang w:eastAsia="fr-FR" w:bidi="he-IL"/>
        </w:rPr>
        <w:t>’</w:t>
      </w:r>
      <w:r w:rsidR="00DF496C">
        <w:rPr>
          <w:rFonts w:eastAsia="Arial Unicode MS"/>
          <w:bCs/>
          <w:lang w:eastAsia="fr-FR" w:bidi="he-IL"/>
        </w:rPr>
        <w:t>interprétation</w:t>
      </w:r>
      <w:r w:rsidR="005E1001">
        <w:rPr>
          <w:rFonts w:eastAsia="Arial Unicode MS"/>
          <w:bCs/>
          <w:lang w:eastAsia="fr-FR" w:bidi="he-IL"/>
        </w:rPr>
        <w:t xml:space="preserve"> qui précède en</w:t>
      </w:r>
      <w:r w:rsidRPr="00C8701B">
        <w:rPr>
          <w:rFonts w:eastAsia="Arial Unicode MS"/>
          <w:bCs/>
          <w:lang w:eastAsia="fr-FR" w:bidi="he-IL"/>
        </w:rPr>
        <w:t xml:space="preserve"> profitent pour donner au Sauveur</w:t>
      </w:r>
      <w:r w:rsidR="00E65435">
        <w:rPr>
          <w:rFonts w:eastAsia="Arial Unicode MS"/>
          <w:bCs/>
          <w:lang w:eastAsia="fr-FR" w:bidi="he-IL"/>
        </w:rPr>
        <w:t xml:space="preserve">, </w:t>
      </w:r>
      <w:r w:rsidRPr="00C8701B">
        <w:rPr>
          <w:rFonts w:eastAsia="Arial Unicode MS"/>
          <w:bCs/>
          <w:lang w:eastAsia="fr-FR" w:bidi="he-IL"/>
        </w:rPr>
        <w:t>à cette date</w:t>
      </w:r>
      <w:r w:rsidR="00E65435">
        <w:rPr>
          <w:rFonts w:eastAsia="Arial Unicode MS"/>
          <w:bCs/>
          <w:lang w:eastAsia="fr-FR" w:bidi="he-IL"/>
        </w:rPr>
        <w:t xml:space="preserve">, </w:t>
      </w:r>
      <w:r w:rsidRPr="00C8701B">
        <w:rPr>
          <w:rFonts w:eastAsia="Arial Unicode MS"/>
          <w:bCs/>
          <w:lang w:eastAsia="fr-FR" w:bidi="he-IL"/>
        </w:rPr>
        <w:t>jusqu</w:t>
      </w:r>
      <w:r w:rsidR="00557DE0">
        <w:rPr>
          <w:rFonts w:eastAsia="Arial Unicode MS"/>
          <w:bCs/>
          <w:lang w:eastAsia="fr-FR" w:bidi="he-IL"/>
        </w:rPr>
        <w:t>’</w:t>
      </w:r>
      <w:r w:rsidRPr="00C8701B">
        <w:rPr>
          <w:rFonts w:eastAsia="Arial Unicode MS"/>
          <w:bCs/>
          <w:lang w:eastAsia="fr-FR" w:bidi="he-IL"/>
        </w:rPr>
        <w:t>à trente-trois ans au besoin</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ce qui est certainement exagéré</w:t>
      </w:r>
      <w:r w:rsidR="00E65435">
        <w:rPr>
          <w:rFonts w:eastAsia="Arial Unicode MS"/>
          <w:bCs/>
          <w:lang w:eastAsia="fr-FR" w:bidi="he-IL"/>
        </w:rPr>
        <w:t xml:space="preserve">, </w:t>
      </w:r>
      <w:r w:rsidR="00C14040" w:rsidRPr="000716BB">
        <w:rPr>
          <w:rFonts w:eastAsia="Arial Unicode MS"/>
          <w:bCs/>
          <w:lang w:eastAsia="fr-FR" w:bidi="he-IL"/>
        </w:rPr>
        <w:t>{</w:t>
      </w:r>
      <w:r w:rsidR="00C14040">
        <w:rPr>
          <w:rFonts w:eastAsia="Arial Unicode MS"/>
          <w:bCs/>
          <w:lang w:eastAsia="fr-FR" w:bidi="he-IL"/>
        </w:rPr>
        <w:t>69</w:t>
      </w:r>
      <w:bookmarkStart w:id="112" w:name="pag069"/>
      <w:bookmarkEnd w:id="112"/>
      <w:r w:rsidR="00C14040" w:rsidRPr="000716BB">
        <w:rPr>
          <w:rFonts w:eastAsia="Arial Unicode MS"/>
          <w:bCs/>
          <w:lang w:eastAsia="fr-FR" w:bidi="he-IL"/>
        </w:rPr>
        <w:t>}</w:t>
      </w:r>
      <w:r w:rsidR="00C14040">
        <w:rPr>
          <w:rFonts w:eastAsia="Arial Unicode MS"/>
          <w:bCs/>
          <w:lang w:eastAsia="fr-FR" w:bidi="he-IL"/>
        </w:rPr>
        <w:t xml:space="preserve"> c</w:t>
      </w:r>
      <w:r w:rsidRPr="00C8701B">
        <w:rPr>
          <w:rFonts w:eastAsia="Arial Unicode MS"/>
          <w:bCs/>
          <w:lang w:eastAsia="fr-FR" w:bidi="he-IL"/>
        </w:rPr>
        <w:t>ar les paroles de S. Luc ne nous permettent guère de dépasser la trentième année.</w:t>
      </w:r>
      <w:r w:rsidR="00C2602D" w:rsidRPr="00C8701B">
        <w:rPr>
          <w:rFonts w:eastAsia="Arial Unicode MS"/>
          <w:bCs/>
          <w:lang w:eastAsia="fr-FR" w:bidi="he-IL"/>
        </w:rPr>
        <w:t xml:space="preserve"> </w:t>
      </w:r>
    </w:p>
    <w:p w:rsidR="00C2602D" w:rsidRPr="00C8701B" w:rsidRDefault="005E1001" w:rsidP="00E87D10">
      <w:pPr>
        <w:rPr>
          <w:rFonts w:eastAsia="Arial Unicode MS"/>
          <w:bCs/>
          <w:lang w:eastAsia="fr-FR" w:bidi="he-IL"/>
        </w:rPr>
      </w:pPr>
      <w:r>
        <w:rPr>
          <w:rFonts w:eastAsia="Arial Unicode MS"/>
          <w:bCs/>
          <w:lang w:eastAsia="fr-FR" w:bidi="he-IL"/>
        </w:rPr>
        <w:t>À</w:t>
      </w:r>
      <w:r w:rsidR="00B704AD" w:rsidRPr="00C8701B">
        <w:rPr>
          <w:rFonts w:eastAsia="Arial Unicode MS"/>
          <w:bCs/>
          <w:lang w:eastAsia="fr-FR" w:bidi="he-IL"/>
        </w:rPr>
        <w:t xml:space="preserve"> cause</w:t>
      </w:r>
      <w:bookmarkStart w:id="113" w:name="evin080201acausede"/>
      <w:bookmarkEnd w:id="113"/>
      <w:r w:rsidR="00B704AD" w:rsidRPr="00C8701B">
        <w:rPr>
          <w:rFonts w:eastAsia="Arial Unicode MS"/>
          <w:bCs/>
          <w:lang w:eastAsia="fr-FR" w:bidi="he-IL"/>
        </w:rPr>
        <w:t xml:space="preserve"> de cette difficulté très réelle</w:t>
      </w:r>
      <w:r w:rsidR="00E65435">
        <w:rPr>
          <w:rFonts w:eastAsia="Arial Unicode MS"/>
          <w:bCs/>
          <w:lang w:eastAsia="fr-FR" w:bidi="he-IL"/>
        </w:rPr>
        <w:t xml:space="preserve">, </w:t>
      </w:r>
      <w:r w:rsidR="00B704AD" w:rsidRPr="00C8701B">
        <w:rPr>
          <w:rFonts w:eastAsia="Arial Unicode MS"/>
          <w:bCs/>
          <w:lang w:eastAsia="fr-FR" w:bidi="he-IL"/>
        </w:rPr>
        <w:t>la plupart des exégètes contemporains ont pensé qu</w:t>
      </w:r>
      <w:r w:rsidR="00557DE0">
        <w:rPr>
          <w:rFonts w:eastAsia="Arial Unicode MS"/>
          <w:bCs/>
          <w:lang w:eastAsia="fr-FR" w:bidi="he-IL"/>
        </w:rPr>
        <w:t>’</w:t>
      </w:r>
      <w:r w:rsidR="00B704AD" w:rsidRPr="00C8701B">
        <w:rPr>
          <w:rFonts w:eastAsia="Arial Unicode MS"/>
          <w:bCs/>
          <w:lang w:eastAsia="fr-FR" w:bidi="he-IL"/>
        </w:rPr>
        <w:t>il valait mieux compter les années de Tibère à partir da moment où il fut associé à Auguste en qualité de</w:t>
      </w:r>
      <w:r w:rsidR="00CE11E9">
        <w:rPr>
          <w:rFonts w:eastAsia="Arial Unicode MS"/>
          <w:bCs/>
          <w:lang w:eastAsia="fr-FR" w:bidi="he-IL"/>
        </w:rPr>
        <w:t xml:space="preserve"> </w:t>
      </w:r>
      <w:r w:rsidR="00F12048" w:rsidRPr="00C8701B">
        <w:rPr>
          <w:rFonts w:eastAsia="Arial Unicode MS"/>
          <w:bCs/>
          <w:lang w:eastAsia="fr-FR" w:bidi="he-IL"/>
        </w:rPr>
        <w:t>« </w:t>
      </w:r>
      <w:r w:rsidR="00DF496C" w:rsidRPr="00C8701B">
        <w:rPr>
          <w:rFonts w:eastAsia="Arial Unicode MS"/>
          <w:bCs/>
          <w:lang w:eastAsia="fr-FR" w:bidi="he-IL"/>
        </w:rPr>
        <w:t>colléga</w:t>
      </w:r>
      <w:r w:rsidR="00B704AD" w:rsidRPr="00C8701B">
        <w:rPr>
          <w:rFonts w:eastAsia="Arial Unicode MS"/>
          <w:bCs/>
          <w:lang w:eastAsia="fr-FR" w:bidi="he-IL"/>
        </w:rPr>
        <w:t xml:space="preserve"> </w:t>
      </w:r>
      <w:r w:rsidR="00DF496C" w:rsidRPr="00C8701B">
        <w:rPr>
          <w:rFonts w:eastAsia="Arial Unicode MS"/>
          <w:bCs/>
          <w:lang w:eastAsia="fr-FR" w:bidi="he-IL"/>
        </w:rPr>
        <w:t>impéri</w:t>
      </w:r>
      <w:r w:rsidR="00DF496C">
        <w:rPr>
          <w:rFonts w:eastAsia="Arial Unicode MS"/>
          <w:bCs/>
          <w:lang w:eastAsia="fr-FR" w:bidi="he-IL"/>
        </w:rPr>
        <w:t>i</w:t>
      </w:r>
      <w:r>
        <w:rPr>
          <w:rFonts w:eastAsia="Arial Unicode MS"/>
          <w:bCs/>
          <w:lang w:eastAsia="fr-FR" w:bidi="he-IL"/>
        </w:rPr>
        <w:t> » e</w:t>
      </w:r>
      <w:r w:rsidR="00B704AD" w:rsidRPr="00C8701B">
        <w:rPr>
          <w:rFonts w:eastAsia="Arial Unicode MS"/>
          <w:bCs/>
          <w:lang w:eastAsia="fr-FR" w:bidi="he-IL"/>
        </w:rPr>
        <w:t>t de</w:t>
      </w:r>
      <w:r w:rsidR="00E37C84">
        <w:rPr>
          <w:rFonts w:eastAsia="Arial Unicode MS"/>
          <w:bCs/>
          <w:lang w:eastAsia="fr-FR" w:bidi="he-IL"/>
        </w:rPr>
        <w:t xml:space="preserve"> « </w:t>
      </w:r>
      <w:r w:rsidR="00DF496C">
        <w:rPr>
          <w:rFonts w:eastAsia="Arial Unicode MS"/>
          <w:bCs/>
          <w:lang w:eastAsia="fr-FR" w:bidi="he-IL"/>
        </w:rPr>
        <w:t>consors tribuní</w:t>
      </w:r>
      <w:r w:rsidR="00B704AD" w:rsidRPr="00C8701B">
        <w:rPr>
          <w:rFonts w:eastAsia="Arial Unicode MS"/>
          <w:bCs/>
          <w:lang w:eastAsia="fr-FR" w:bidi="he-IL"/>
        </w:rPr>
        <w:t>ci</w:t>
      </w:r>
      <w:r w:rsidR="00E37C84">
        <w:rPr>
          <w:rFonts w:eastAsia="Arial Unicode MS"/>
          <w:bCs/>
          <w:lang w:eastAsia="fr-FR" w:bidi="he-IL"/>
        </w:rPr>
        <w:t>æ</w:t>
      </w:r>
      <w:r w:rsidR="00B704AD" w:rsidRPr="00C8701B">
        <w:rPr>
          <w:rFonts w:eastAsia="Arial Unicode MS"/>
          <w:bCs/>
          <w:lang w:eastAsia="fr-FR" w:bidi="he-IL"/>
        </w:rPr>
        <w:t xml:space="preserve"> </w:t>
      </w:r>
      <w:r w:rsidR="00DF496C" w:rsidRPr="00C8701B">
        <w:rPr>
          <w:rFonts w:eastAsia="Arial Unicode MS"/>
          <w:bCs/>
          <w:lang w:eastAsia="fr-FR" w:bidi="he-IL"/>
        </w:rPr>
        <w:t>potestáti</w:t>
      </w:r>
      <w:r w:rsidR="00DF496C">
        <w:rPr>
          <w:rFonts w:eastAsia="Arial Unicode MS"/>
          <w:bCs/>
          <w:lang w:eastAsia="fr-FR" w:bidi="he-IL"/>
        </w:rPr>
        <w:t>s</w:t>
      </w:r>
      <w:r>
        <w:rPr>
          <w:rFonts w:eastAsia="Arial Unicode MS"/>
          <w:bCs/>
          <w:lang w:eastAsia="fr-FR" w:bidi="he-IL"/>
        </w:rPr>
        <w:t> »</w:t>
      </w:r>
      <w:r w:rsidR="00933C60" w:rsidRPr="00C406FF">
        <w:rPr>
          <w:rStyle w:val="Appelnotedebasdep"/>
        </w:rPr>
        <w:footnoteReference w:id="368"/>
      </w:r>
      <w:r>
        <w:rPr>
          <w:rFonts w:eastAsia="Arial Unicode MS"/>
          <w:bCs/>
          <w:lang w:eastAsia="fr-FR" w:bidi="he-IL"/>
        </w:rPr>
        <w:t>,</w:t>
      </w:r>
      <w:r w:rsidR="00E65435">
        <w:rPr>
          <w:rFonts w:eastAsia="Arial Unicode MS"/>
          <w:bCs/>
          <w:lang w:eastAsia="fr-FR" w:bidi="he-IL"/>
        </w:rPr>
        <w:t xml:space="preserve"> </w:t>
      </w:r>
      <w:r w:rsidR="00B704AD" w:rsidRPr="00C8701B">
        <w:rPr>
          <w:rFonts w:eastAsia="Arial Unicode MS"/>
          <w:bCs/>
          <w:lang w:eastAsia="fr-FR" w:bidi="he-IL"/>
        </w:rPr>
        <w:t>ce qui eut lieu dès l</w:t>
      </w:r>
      <w:r w:rsidR="00557DE0">
        <w:rPr>
          <w:rFonts w:eastAsia="Arial Unicode MS"/>
          <w:bCs/>
          <w:lang w:eastAsia="fr-FR" w:bidi="he-IL"/>
        </w:rPr>
        <w:t>’</w:t>
      </w:r>
      <w:r w:rsidR="00B704AD" w:rsidRPr="00C8701B">
        <w:rPr>
          <w:rFonts w:eastAsia="Arial Unicode MS"/>
          <w:bCs/>
          <w:lang w:eastAsia="fr-FR" w:bidi="he-IL"/>
        </w:rPr>
        <w:t>année 765 u. c.</w:t>
      </w:r>
      <w:r w:rsidR="00E65435">
        <w:rPr>
          <w:rFonts w:eastAsia="Arial Unicode MS"/>
          <w:bCs/>
          <w:lang w:eastAsia="fr-FR" w:bidi="he-IL"/>
        </w:rPr>
        <w:t xml:space="preserve">, </w:t>
      </w:r>
      <w:r w:rsidR="00B704AD" w:rsidRPr="00C8701B">
        <w:rPr>
          <w:rFonts w:eastAsia="Arial Unicode MS"/>
          <w:bCs/>
          <w:lang w:eastAsia="fr-FR" w:bidi="he-IL"/>
        </w:rPr>
        <w:t>c</w:t>
      </w:r>
      <w:r w:rsidR="00557DE0">
        <w:rPr>
          <w:rFonts w:eastAsia="Arial Unicode MS"/>
          <w:bCs/>
          <w:lang w:eastAsia="fr-FR" w:bidi="he-IL"/>
        </w:rPr>
        <w:t>’</w:t>
      </w:r>
      <w:r w:rsidR="00B704AD" w:rsidRPr="00C8701B">
        <w:rPr>
          <w:rFonts w:eastAsia="Arial Unicode MS"/>
          <w:bCs/>
          <w:lang w:eastAsia="fr-FR" w:bidi="he-IL"/>
        </w:rPr>
        <w:t>est-à-dire l</w:t>
      </w:r>
      <w:r w:rsidR="00557DE0">
        <w:rPr>
          <w:rFonts w:eastAsia="Arial Unicode MS"/>
          <w:bCs/>
          <w:lang w:eastAsia="fr-FR" w:bidi="he-IL"/>
        </w:rPr>
        <w:t>’</w:t>
      </w:r>
      <w:r w:rsidR="00B704AD" w:rsidRPr="00C8701B">
        <w:rPr>
          <w:rFonts w:eastAsia="Arial Unicode MS"/>
          <w:bCs/>
          <w:lang w:eastAsia="fr-FR" w:bidi="he-IL"/>
        </w:rPr>
        <w:t>an 12 de l</w:t>
      </w:r>
      <w:r w:rsidR="00557DE0">
        <w:rPr>
          <w:rFonts w:eastAsia="Arial Unicode MS"/>
          <w:bCs/>
          <w:lang w:eastAsia="fr-FR" w:bidi="he-IL"/>
        </w:rPr>
        <w:t>’</w:t>
      </w:r>
      <w:r w:rsidR="00B704AD" w:rsidRPr="00C8701B">
        <w:rPr>
          <w:rFonts w:eastAsia="Arial Unicode MS"/>
          <w:bCs/>
          <w:lang w:eastAsia="fr-FR" w:bidi="he-IL"/>
        </w:rPr>
        <w:t>ère vulgaire. Cette quinzième année courrait donc de 779 à 780</w:t>
      </w:r>
      <w:r w:rsidR="00E65435">
        <w:rPr>
          <w:rFonts w:eastAsia="Arial Unicode MS"/>
          <w:bCs/>
          <w:lang w:eastAsia="fr-FR" w:bidi="he-IL"/>
        </w:rPr>
        <w:t xml:space="preserve">, </w:t>
      </w:r>
      <w:r w:rsidR="00B704AD" w:rsidRPr="00C8701B">
        <w:rPr>
          <w:rFonts w:eastAsia="Arial Unicode MS"/>
          <w:bCs/>
          <w:lang w:eastAsia="fr-FR" w:bidi="he-IL"/>
        </w:rPr>
        <w:t xml:space="preserve">ce qui coïnciderait fort bien avec les </w:t>
      </w:r>
      <w:r w:rsidR="00C2602D" w:rsidRPr="00C8701B">
        <w:rPr>
          <w:rFonts w:eastAsia="Arial Unicode MS"/>
          <w:bCs/>
          <w:lang w:eastAsia="fr-FR" w:bidi="he-IL"/>
        </w:rPr>
        <w:t>« </w:t>
      </w:r>
      <w:r w:rsidR="00B704AD" w:rsidRPr="00C8701B">
        <w:rPr>
          <w:rFonts w:eastAsia="Arial Unicode MS"/>
          <w:bCs/>
          <w:lang w:eastAsia="fr-FR" w:bidi="he-IL"/>
        </w:rPr>
        <w:t>trente ans environ</w:t>
      </w:r>
      <w:r w:rsidR="00C2602D" w:rsidRPr="00C8701B">
        <w:rPr>
          <w:rFonts w:eastAsia="Arial Unicode MS"/>
          <w:bCs/>
          <w:lang w:eastAsia="fr-FR" w:bidi="he-IL"/>
        </w:rPr>
        <w:t> »</w:t>
      </w:r>
      <w:r w:rsidR="00B704AD" w:rsidRPr="00C8701B">
        <w:rPr>
          <w:rFonts w:eastAsia="Arial Unicode MS"/>
          <w:bCs/>
          <w:lang w:eastAsia="fr-FR" w:bidi="he-IL"/>
        </w:rPr>
        <w:t xml:space="preserve"> de Jésus</w:t>
      </w:r>
      <w:r w:rsidR="00E65435">
        <w:rPr>
          <w:rFonts w:eastAsia="Arial Unicode MS"/>
          <w:bCs/>
          <w:lang w:eastAsia="fr-FR" w:bidi="he-IL"/>
        </w:rPr>
        <w:t xml:space="preserve">, </w:t>
      </w:r>
      <w:r w:rsidR="00B704AD" w:rsidRPr="00C8701B">
        <w:rPr>
          <w:rFonts w:eastAsia="Arial Unicode MS"/>
          <w:bCs/>
          <w:lang w:eastAsia="fr-FR" w:bidi="he-IL"/>
        </w:rPr>
        <w:t>comptée à partir de 749-750.</w:t>
      </w:r>
      <w:r w:rsidR="00C2602D" w:rsidRPr="00C8701B">
        <w:rPr>
          <w:rFonts w:eastAsia="Arial Unicode MS"/>
          <w:bCs/>
          <w:lang w:eastAsia="fr-FR" w:bidi="he-IL"/>
        </w:rPr>
        <w:t xml:space="preserve"> </w:t>
      </w:r>
    </w:p>
    <w:p w:rsidR="00C2602D" w:rsidRPr="00C8701B" w:rsidRDefault="005E1001" w:rsidP="00C2602D">
      <w:pPr>
        <w:rPr>
          <w:rFonts w:eastAsia="Arial Unicode MS"/>
          <w:bCs/>
          <w:lang w:eastAsia="fr-FR" w:bidi="he-IL"/>
        </w:rPr>
      </w:pPr>
      <w:r>
        <w:rPr>
          <w:rFonts w:eastAsia="Arial Unicode MS"/>
          <w:bCs/>
          <w:lang w:eastAsia="fr-FR" w:bidi="he-IL"/>
        </w:rPr>
        <w:t>À</w:t>
      </w:r>
      <w:r w:rsidR="00B704AD" w:rsidRPr="00C8701B">
        <w:rPr>
          <w:rFonts w:eastAsia="Arial Unicode MS"/>
          <w:bCs/>
          <w:lang w:eastAsia="fr-FR" w:bidi="he-IL"/>
        </w:rPr>
        <w:t xml:space="preserve"> cela</w:t>
      </w:r>
      <w:r w:rsidR="00E65435">
        <w:rPr>
          <w:rFonts w:eastAsia="Arial Unicode MS"/>
          <w:bCs/>
          <w:lang w:eastAsia="fr-FR" w:bidi="he-IL"/>
        </w:rPr>
        <w:t xml:space="preserve">, </w:t>
      </w:r>
      <w:r w:rsidR="00B704AD" w:rsidRPr="00C8701B">
        <w:rPr>
          <w:rFonts w:eastAsia="Arial Unicode MS"/>
          <w:bCs/>
          <w:lang w:eastAsia="fr-FR" w:bidi="he-IL"/>
        </w:rPr>
        <w:t>les partisans de la première opinion objectent</w:t>
      </w:r>
      <w:r w:rsidR="00E65435">
        <w:rPr>
          <w:rFonts w:eastAsia="Arial Unicode MS"/>
          <w:bCs/>
          <w:lang w:eastAsia="fr-FR" w:bidi="he-IL"/>
        </w:rPr>
        <w:t xml:space="preserve">, </w:t>
      </w:r>
      <w:r w:rsidR="00B704AD" w:rsidRPr="00C8701B">
        <w:rPr>
          <w:rFonts w:eastAsia="Arial Unicode MS"/>
          <w:bCs/>
          <w:lang w:eastAsia="fr-FR" w:bidi="he-IL"/>
        </w:rPr>
        <w:t>il est vrai</w:t>
      </w:r>
      <w:r w:rsidR="00E65435">
        <w:rPr>
          <w:rFonts w:eastAsia="Arial Unicode MS"/>
          <w:bCs/>
          <w:lang w:eastAsia="fr-FR" w:bidi="he-IL"/>
        </w:rPr>
        <w:t xml:space="preserve">, </w:t>
      </w:r>
      <w:r w:rsidR="00B704AD" w:rsidRPr="00C8701B">
        <w:rPr>
          <w:rFonts w:eastAsia="Arial Unicode MS"/>
          <w:bCs/>
          <w:lang w:eastAsia="fr-FR" w:bidi="he-IL"/>
        </w:rPr>
        <w:t>qu</w:t>
      </w:r>
      <w:r w:rsidR="00557DE0">
        <w:rPr>
          <w:rFonts w:eastAsia="Arial Unicode MS"/>
          <w:bCs/>
          <w:lang w:eastAsia="fr-FR" w:bidi="he-IL"/>
        </w:rPr>
        <w:t>’</w:t>
      </w:r>
      <w:r w:rsidR="00B704AD" w:rsidRPr="00C8701B">
        <w:rPr>
          <w:rFonts w:eastAsia="Arial Unicode MS"/>
          <w:bCs/>
          <w:lang w:eastAsia="fr-FR" w:bidi="he-IL"/>
        </w:rPr>
        <w:t>on ne trouve pas d</w:t>
      </w:r>
      <w:r w:rsidR="00557DE0">
        <w:rPr>
          <w:rFonts w:eastAsia="Arial Unicode MS"/>
          <w:bCs/>
          <w:lang w:eastAsia="fr-FR" w:bidi="he-IL"/>
        </w:rPr>
        <w:t>’</w:t>
      </w:r>
      <w:r w:rsidR="00B704AD" w:rsidRPr="00C8701B">
        <w:rPr>
          <w:rFonts w:eastAsia="Arial Unicode MS"/>
          <w:bCs/>
          <w:lang w:eastAsia="fr-FR" w:bidi="he-IL"/>
        </w:rPr>
        <w:t>exemple</w:t>
      </w:r>
      <w:r w:rsidR="00E65435">
        <w:rPr>
          <w:rFonts w:eastAsia="Arial Unicode MS"/>
          <w:bCs/>
          <w:lang w:eastAsia="fr-FR" w:bidi="he-IL"/>
        </w:rPr>
        <w:t xml:space="preserve">, </w:t>
      </w:r>
      <w:r w:rsidR="00B704AD" w:rsidRPr="00C8701B">
        <w:rPr>
          <w:rFonts w:eastAsia="Arial Unicode MS"/>
          <w:bCs/>
          <w:lang w:eastAsia="fr-FR" w:bidi="he-IL"/>
        </w:rPr>
        <w:t>dans les usages romains</w:t>
      </w:r>
      <w:r w:rsidR="00E65435">
        <w:rPr>
          <w:rFonts w:eastAsia="Arial Unicode MS"/>
          <w:bCs/>
          <w:lang w:eastAsia="fr-FR" w:bidi="he-IL"/>
        </w:rPr>
        <w:t xml:space="preserve">, </w:t>
      </w:r>
      <w:r w:rsidR="00B704AD" w:rsidRPr="00C8701B">
        <w:rPr>
          <w:rFonts w:eastAsia="Arial Unicode MS"/>
          <w:bCs/>
          <w:lang w:eastAsia="fr-FR" w:bidi="he-IL"/>
        </w:rPr>
        <w:t>d</w:t>
      </w:r>
      <w:r w:rsidR="00557DE0">
        <w:rPr>
          <w:rFonts w:eastAsia="Arial Unicode MS"/>
          <w:bCs/>
          <w:lang w:eastAsia="fr-FR" w:bidi="he-IL"/>
        </w:rPr>
        <w:t>’</w:t>
      </w:r>
      <w:r w:rsidR="00B704AD" w:rsidRPr="00C8701B">
        <w:rPr>
          <w:rFonts w:eastAsia="Arial Unicode MS"/>
          <w:bCs/>
          <w:lang w:eastAsia="fr-FR" w:bidi="he-IL"/>
        </w:rPr>
        <w:t>une supputation semblable des années d</w:t>
      </w:r>
      <w:r w:rsidR="00557DE0">
        <w:rPr>
          <w:rFonts w:eastAsia="Arial Unicode MS"/>
          <w:bCs/>
          <w:lang w:eastAsia="fr-FR" w:bidi="he-IL"/>
        </w:rPr>
        <w:t>’</w:t>
      </w:r>
      <w:r w:rsidR="00B704AD" w:rsidRPr="00C8701B">
        <w:rPr>
          <w:rFonts w:eastAsia="Arial Unicode MS"/>
          <w:bCs/>
          <w:lang w:eastAsia="fr-FR" w:bidi="he-IL"/>
        </w:rPr>
        <w:t>un règne</w:t>
      </w:r>
      <w:r w:rsidR="00933C60" w:rsidRPr="00C406FF">
        <w:rPr>
          <w:rStyle w:val="Appelnotedebasdep"/>
        </w:rPr>
        <w:footnoteReference w:id="369"/>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mais</w:t>
      </w:r>
      <w:r w:rsidR="00E65435">
        <w:rPr>
          <w:rFonts w:eastAsia="Arial Unicode MS"/>
          <w:bCs/>
          <w:lang w:eastAsia="fr-FR" w:bidi="he-IL"/>
        </w:rPr>
        <w:t xml:space="preserve">, </w:t>
      </w:r>
      <w:r w:rsidR="00B704AD" w:rsidRPr="00C8701B">
        <w:rPr>
          <w:rFonts w:eastAsia="Arial Unicode MS"/>
          <w:bCs/>
          <w:lang w:eastAsia="fr-FR" w:bidi="he-IL"/>
        </w:rPr>
        <w:t>comme nous l</w:t>
      </w:r>
      <w:r w:rsidR="00557DE0">
        <w:rPr>
          <w:rFonts w:eastAsia="Arial Unicode MS"/>
          <w:bCs/>
          <w:lang w:eastAsia="fr-FR" w:bidi="he-IL"/>
        </w:rPr>
        <w:t>’</w:t>
      </w:r>
      <w:r w:rsidR="00B704AD" w:rsidRPr="00C8701B">
        <w:rPr>
          <w:rFonts w:eastAsia="Arial Unicode MS"/>
          <w:bCs/>
          <w:lang w:eastAsia="fr-FR" w:bidi="he-IL"/>
        </w:rPr>
        <w:t>écrivions dans notre commentaire sur l</w:t>
      </w:r>
      <w:r w:rsidR="00557DE0">
        <w:rPr>
          <w:rFonts w:eastAsia="Arial Unicode MS"/>
          <w:bCs/>
          <w:lang w:eastAsia="fr-FR" w:bidi="he-IL"/>
        </w:rPr>
        <w:t>’</w:t>
      </w:r>
      <w:r w:rsidR="00B704AD" w:rsidRPr="00C8701B">
        <w:rPr>
          <w:rFonts w:eastAsia="Arial Unicode MS"/>
          <w:bCs/>
          <w:lang w:eastAsia="fr-FR" w:bidi="he-IL"/>
        </w:rPr>
        <w:t>évangile selon S. Luc</w:t>
      </w:r>
      <w:r w:rsidR="00933C60" w:rsidRPr="00C406FF">
        <w:rPr>
          <w:rStyle w:val="Appelnotedebasdep"/>
        </w:rPr>
        <w:footnoteReference w:id="370"/>
      </w:r>
      <w:r w:rsidR="00E65435">
        <w:rPr>
          <w:rFonts w:eastAsia="Arial Unicode MS"/>
          <w:bCs/>
          <w:lang w:eastAsia="fr-FR" w:bidi="he-IL"/>
        </w:rPr>
        <w:t xml:space="preserve">, </w:t>
      </w:r>
      <w:r w:rsidR="00C2602D" w:rsidRPr="00C8701B">
        <w:rPr>
          <w:rFonts w:eastAsia="Arial Unicode MS"/>
          <w:bCs/>
          <w:lang w:eastAsia="fr-FR" w:bidi="he-IL"/>
        </w:rPr>
        <w:t>« </w:t>
      </w:r>
      <w:r w:rsidR="00B704AD" w:rsidRPr="00C8701B">
        <w:rPr>
          <w:rFonts w:eastAsia="Arial Unicode MS"/>
          <w:bCs/>
          <w:lang w:eastAsia="fr-FR" w:bidi="he-IL"/>
        </w:rPr>
        <w:t>Wieseler a récemment démontré</w:t>
      </w:r>
      <w:r w:rsidR="00E65435">
        <w:rPr>
          <w:rFonts w:eastAsia="Arial Unicode MS"/>
          <w:bCs/>
          <w:lang w:eastAsia="fr-FR" w:bidi="he-IL"/>
        </w:rPr>
        <w:t xml:space="preserve">, </w:t>
      </w:r>
      <w:r w:rsidR="00B704AD" w:rsidRPr="00C8701B">
        <w:rPr>
          <w:rFonts w:eastAsia="Arial Unicode MS"/>
          <w:bCs/>
          <w:lang w:eastAsia="fr-FR" w:bidi="he-IL"/>
        </w:rPr>
        <w:t>à l</w:t>
      </w:r>
      <w:r w:rsidR="00557DE0">
        <w:rPr>
          <w:rFonts w:eastAsia="Arial Unicode MS"/>
          <w:bCs/>
          <w:lang w:eastAsia="fr-FR" w:bidi="he-IL"/>
        </w:rPr>
        <w:t>’</w:t>
      </w:r>
      <w:r w:rsidR="00B704AD" w:rsidRPr="00C8701B">
        <w:rPr>
          <w:rFonts w:eastAsia="Arial Unicode MS"/>
          <w:bCs/>
          <w:lang w:eastAsia="fr-FR" w:bidi="he-IL"/>
        </w:rPr>
        <w:t>aide d</w:t>
      </w:r>
      <w:r w:rsidR="00557DE0">
        <w:rPr>
          <w:rFonts w:eastAsia="Arial Unicode MS"/>
          <w:bCs/>
          <w:lang w:eastAsia="fr-FR" w:bidi="he-IL"/>
        </w:rPr>
        <w:t>’</w:t>
      </w:r>
      <w:r w:rsidR="00B704AD" w:rsidRPr="00C8701B">
        <w:rPr>
          <w:rFonts w:eastAsia="Arial Unicode MS"/>
          <w:bCs/>
          <w:lang w:eastAsia="fr-FR" w:bidi="he-IL"/>
        </w:rPr>
        <w:t>inscriptions et de médailles</w:t>
      </w:r>
      <w:r w:rsidR="00E65435">
        <w:rPr>
          <w:rFonts w:eastAsia="Arial Unicode MS"/>
          <w:bCs/>
          <w:lang w:eastAsia="fr-FR" w:bidi="he-IL"/>
        </w:rPr>
        <w:t xml:space="preserve">, </w:t>
      </w:r>
      <w:r w:rsidR="00B704AD" w:rsidRPr="00C8701B">
        <w:rPr>
          <w:rFonts w:eastAsia="Arial Unicode MS"/>
          <w:bCs/>
          <w:lang w:eastAsia="fr-FR" w:bidi="he-IL"/>
        </w:rPr>
        <w:t>que cette manière de calculer le temps du règne des empereurs était usitée dans les provinces de l</w:t>
      </w:r>
      <w:r w:rsidR="00557DE0">
        <w:rPr>
          <w:rFonts w:eastAsia="Arial Unicode MS"/>
          <w:bCs/>
          <w:lang w:eastAsia="fr-FR" w:bidi="he-IL"/>
        </w:rPr>
        <w:t>’</w:t>
      </w:r>
      <w:r w:rsidR="00B704AD" w:rsidRPr="00C8701B">
        <w:rPr>
          <w:rFonts w:eastAsia="Arial Unicode MS"/>
          <w:bCs/>
          <w:lang w:eastAsia="fr-FR" w:bidi="he-IL"/>
        </w:rPr>
        <w:t>Orient</w:t>
      </w:r>
      <w:r w:rsidR="00C2602D" w:rsidRPr="00C8701B">
        <w:rPr>
          <w:rFonts w:eastAsia="Arial Unicode MS"/>
          <w:bCs/>
          <w:lang w:eastAsia="fr-FR" w:bidi="he-IL"/>
        </w:rPr>
        <w:t> »</w:t>
      </w:r>
      <w:r w:rsidR="00933C60" w:rsidRPr="00C406FF">
        <w:rPr>
          <w:rStyle w:val="Appelnotedebasdep"/>
        </w:rPr>
        <w:footnoteReference w:id="371"/>
      </w:r>
      <w:r w:rsidR="00B704AD" w:rsidRPr="00C8701B">
        <w:rPr>
          <w:rFonts w:eastAsia="Arial Unicode MS"/>
          <w:bCs/>
          <w:lang w:eastAsia="fr-FR" w:bidi="he-IL"/>
        </w:rPr>
        <w:t>. Elle était</w:t>
      </w:r>
      <w:r w:rsidR="00E65435">
        <w:rPr>
          <w:rFonts w:eastAsia="Arial Unicode MS"/>
          <w:bCs/>
          <w:lang w:eastAsia="fr-FR" w:bidi="he-IL"/>
        </w:rPr>
        <w:t xml:space="preserve">, </w:t>
      </w:r>
      <w:r w:rsidR="00B704AD" w:rsidRPr="00C8701B">
        <w:rPr>
          <w:rFonts w:eastAsia="Arial Unicode MS"/>
          <w:bCs/>
          <w:lang w:eastAsia="fr-FR" w:bidi="he-IL"/>
        </w:rPr>
        <w:t>en effet</w:t>
      </w:r>
      <w:r w:rsidR="00E65435">
        <w:rPr>
          <w:rFonts w:eastAsia="Arial Unicode MS"/>
          <w:bCs/>
          <w:lang w:eastAsia="fr-FR" w:bidi="he-IL"/>
        </w:rPr>
        <w:t xml:space="preserve">, </w:t>
      </w:r>
      <w:r w:rsidR="00B704AD" w:rsidRPr="00C8701B">
        <w:rPr>
          <w:rFonts w:eastAsia="Arial Unicode MS"/>
          <w:bCs/>
          <w:lang w:eastAsia="fr-FR" w:bidi="he-IL"/>
        </w:rPr>
        <w:t>très conforme à l</w:t>
      </w:r>
      <w:r w:rsidR="00557DE0">
        <w:rPr>
          <w:rFonts w:eastAsia="Arial Unicode MS"/>
          <w:bCs/>
          <w:lang w:eastAsia="fr-FR" w:bidi="he-IL"/>
        </w:rPr>
        <w:t>’</w:t>
      </w:r>
      <w:r w:rsidR="00B704AD" w:rsidRPr="00C8701B">
        <w:rPr>
          <w:rFonts w:eastAsia="Arial Unicode MS"/>
          <w:bCs/>
          <w:lang w:eastAsia="fr-FR" w:bidi="he-IL"/>
        </w:rPr>
        <w:t>étiquette orientale</w:t>
      </w:r>
      <w:r w:rsidR="00933C60" w:rsidRPr="00C406FF">
        <w:rPr>
          <w:rStyle w:val="Appelnotedebasdep"/>
        </w:rPr>
        <w:footnoteReference w:id="372"/>
      </w:r>
      <w:r w:rsidR="00E65435">
        <w:rPr>
          <w:rFonts w:eastAsia="Arial Unicode MS"/>
          <w:bCs/>
          <w:lang w:eastAsia="fr-FR" w:bidi="he-IL"/>
        </w:rPr>
        <w:t xml:space="preserve">, </w:t>
      </w:r>
      <w:r w:rsidR="00B704AD" w:rsidRPr="00C8701B">
        <w:rPr>
          <w:rFonts w:eastAsia="Arial Unicode MS"/>
          <w:bCs/>
          <w:lang w:eastAsia="fr-FR" w:bidi="he-IL"/>
        </w:rPr>
        <w:t>alors même qu</w:t>
      </w:r>
      <w:r w:rsidR="00557DE0">
        <w:rPr>
          <w:rFonts w:eastAsia="Arial Unicode MS"/>
          <w:bCs/>
          <w:lang w:eastAsia="fr-FR" w:bidi="he-IL"/>
        </w:rPr>
        <w:t>’</w:t>
      </w:r>
      <w:r w:rsidR="00B704AD" w:rsidRPr="00C8701B">
        <w:rPr>
          <w:rFonts w:eastAsia="Arial Unicode MS"/>
          <w:bCs/>
          <w:lang w:eastAsia="fr-FR" w:bidi="he-IL"/>
        </w:rPr>
        <w:t xml:space="preserve">elle </w:t>
      </w:r>
      <w:r>
        <w:rPr>
          <w:rFonts w:eastAsia="Arial Unicode MS"/>
          <w:bCs/>
          <w:lang w:eastAsia="fr-FR" w:bidi="he-IL"/>
        </w:rPr>
        <w:t>convenait moins aux mœurs occidental</w:t>
      </w:r>
      <w:r w:rsidR="00B704AD" w:rsidRPr="00C8701B">
        <w:rPr>
          <w:rFonts w:eastAsia="Arial Unicode MS"/>
          <w:bCs/>
          <w:lang w:eastAsia="fr-FR" w:bidi="he-IL"/>
        </w:rPr>
        <w:t>es</w:t>
      </w:r>
      <w:r w:rsidR="00C2602D" w:rsidRPr="00C8701B">
        <w:rPr>
          <w:rFonts w:eastAsia="Arial Unicode MS"/>
          <w:bCs/>
          <w:lang w:eastAsia="fr-FR" w:bidi="he-IL"/>
        </w:rPr>
        <w:t> :</w:t>
      </w:r>
      <w:r w:rsidR="00B704AD" w:rsidRPr="00C8701B">
        <w:rPr>
          <w:rFonts w:eastAsia="Arial Unicode MS"/>
          <w:bCs/>
          <w:lang w:eastAsia="fr-FR" w:bidi="he-IL"/>
        </w:rPr>
        <w:t xml:space="preserve"> or</w:t>
      </w:r>
      <w:r w:rsidR="00E65435">
        <w:rPr>
          <w:rFonts w:eastAsia="Arial Unicode MS"/>
          <w:bCs/>
          <w:lang w:eastAsia="fr-FR" w:bidi="he-IL"/>
        </w:rPr>
        <w:t xml:space="preserve">, </w:t>
      </w:r>
      <w:r w:rsidR="00B704AD" w:rsidRPr="00C8701B">
        <w:rPr>
          <w:rFonts w:eastAsia="Arial Unicode MS"/>
          <w:bCs/>
          <w:lang w:eastAsia="fr-FR" w:bidi="he-IL"/>
        </w:rPr>
        <w:t>nous sommes précisément transportés en Orient pour cette question.</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2°</w:t>
      </w:r>
      <w:r w:rsidRPr="00DC4586">
        <w:rPr>
          <w:rStyle w:val="italicus"/>
        </w:rPr>
        <w:t xml:space="preserve"> Durée de la vie publique de N.-S. Jésus-Christ.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Signalons tout d</w:t>
      </w:r>
      <w:r w:rsidR="00557DE0">
        <w:rPr>
          <w:rFonts w:eastAsia="Arial Unicode MS"/>
          <w:bCs/>
          <w:lang w:eastAsia="fr-FR" w:bidi="he-IL"/>
        </w:rPr>
        <w:t>’</w:t>
      </w:r>
      <w:r w:rsidRPr="00C8701B">
        <w:rPr>
          <w:rFonts w:eastAsia="Arial Unicode MS"/>
          <w:bCs/>
          <w:lang w:eastAsia="fr-FR" w:bidi="he-IL"/>
        </w:rPr>
        <w:t xml:space="preserve">abord une erreur de plusieurs auteurs </w:t>
      </w:r>
      <w:r w:rsidR="005E1001" w:rsidRPr="00C8701B">
        <w:rPr>
          <w:rFonts w:eastAsia="Arial Unicode MS"/>
          <w:bCs/>
          <w:lang w:eastAsia="fr-FR" w:bidi="he-IL"/>
        </w:rPr>
        <w:t>ecclésiastiques</w:t>
      </w:r>
      <w:r w:rsidRPr="00C8701B">
        <w:rPr>
          <w:rFonts w:eastAsia="Arial Unicode MS"/>
          <w:bCs/>
          <w:lang w:eastAsia="fr-FR" w:bidi="he-IL"/>
        </w:rPr>
        <w:t xml:space="preserve"> des premiers siècles. Prenant trop à la lett</w:t>
      </w:r>
      <w:r w:rsidR="005E1001">
        <w:rPr>
          <w:rFonts w:eastAsia="Arial Unicode MS"/>
          <w:bCs/>
          <w:lang w:eastAsia="fr-FR" w:bidi="he-IL"/>
        </w:rPr>
        <w:t>re cette parole du prophète Isaï</w:t>
      </w:r>
      <w:r w:rsidRPr="00C8701B">
        <w:rPr>
          <w:rFonts w:eastAsia="Arial Unicode MS"/>
          <w:bCs/>
          <w:lang w:eastAsia="fr-FR" w:bidi="he-IL"/>
        </w:rPr>
        <w:t>e</w:t>
      </w:r>
      <w:r w:rsidR="00C2602D" w:rsidRPr="00C8701B">
        <w:rPr>
          <w:rFonts w:eastAsia="Arial Unicode MS"/>
          <w:bCs/>
          <w:lang w:eastAsia="fr-FR" w:bidi="he-IL"/>
        </w:rPr>
        <w:t> :</w:t>
      </w:r>
      <w:r w:rsidRPr="00DC4586">
        <w:rPr>
          <w:rStyle w:val="italicus"/>
        </w:rPr>
        <w:t xml:space="preserve"> </w:t>
      </w:r>
      <w:r w:rsidRPr="00C8701B">
        <w:rPr>
          <w:rFonts w:eastAsia="Arial Unicode MS"/>
          <w:bCs/>
          <w:iCs/>
          <w:lang w:eastAsia="fr-FR" w:bidi="he-IL"/>
        </w:rPr>
        <w:t>(</w:t>
      </w:r>
      <w:r w:rsidRPr="00DC4586">
        <w:rPr>
          <w:rStyle w:val="italicus"/>
        </w:rPr>
        <w:t>Misit me</w:t>
      </w:r>
      <w:r w:rsidRPr="00C8701B">
        <w:rPr>
          <w:rFonts w:eastAsia="Arial Unicode MS"/>
          <w:bCs/>
          <w:iCs/>
          <w:lang w:eastAsia="fr-FR" w:bidi="he-IL"/>
        </w:rPr>
        <w:t>)</w:t>
      </w:r>
      <w:r w:rsidRPr="00DC4586">
        <w:rPr>
          <w:rStyle w:val="italicus"/>
        </w:rPr>
        <w:t xml:space="preserve"> </w:t>
      </w:r>
      <w:r w:rsidR="005E1001">
        <w:rPr>
          <w:rStyle w:val="italicus"/>
        </w:rPr>
        <w:t>præ</w:t>
      </w:r>
      <w:r w:rsidR="005E1001" w:rsidRPr="00DC4586">
        <w:rPr>
          <w:rStyle w:val="italicus"/>
        </w:rPr>
        <w:t>dicáre</w:t>
      </w:r>
      <w:r w:rsidRPr="00DC4586">
        <w:rPr>
          <w:rStyle w:val="italicus"/>
        </w:rPr>
        <w:t xml:space="preserve"> annum D</w:t>
      </w:r>
      <w:r w:rsidR="004D031F">
        <w:rPr>
          <w:rStyle w:val="italicus"/>
        </w:rPr>
        <w:t>ómini</w:t>
      </w:r>
      <w:r w:rsidRPr="00DC4586">
        <w:rPr>
          <w:rStyle w:val="italicus"/>
        </w:rPr>
        <w:t xml:space="preserve"> </w:t>
      </w:r>
      <w:r w:rsidR="005E1001" w:rsidRPr="00DC4586">
        <w:rPr>
          <w:rStyle w:val="italicus"/>
        </w:rPr>
        <w:t>accéptum</w:t>
      </w:r>
      <w:r w:rsidR="00933C60" w:rsidRPr="00C406FF">
        <w:rPr>
          <w:rStyle w:val="Appelnotedebasdep"/>
        </w:rPr>
        <w:footnoteReference w:id="373"/>
      </w:r>
      <w:r w:rsidR="00E65435">
        <w:rPr>
          <w:rFonts w:eastAsia="Arial Unicode MS"/>
          <w:bCs/>
          <w:lang w:eastAsia="fr-FR" w:bidi="he-IL"/>
        </w:rPr>
        <w:t xml:space="preserve">, </w:t>
      </w:r>
      <w:r w:rsidRPr="00C8701B">
        <w:rPr>
          <w:rFonts w:eastAsia="Arial Unicode MS"/>
          <w:bCs/>
          <w:lang w:eastAsia="fr-FR" w:bidi="he-IL"/>
        </w:rPr>
        <w:t>dont le divin Maître se fit un jour à lui-même l</w:t>
      </w:r>
      <w:r w:rsidR="00557DE0">
        <w:rPr>
          <w:rFonts w:eastAsia="Arial Unicode MS"/>
          <w:bCs/>
          <w:lang w:eastAsia="fr-FR" w:bidi="he-IL"/>
        </w:rPr>
        <w:t>’</w:t>
      </w:r>
      <w:r w:rsidRPr="00C8701B">
        <w:rPr>
          <w:rFonts w:eastAsia="Arial Unicode MS"/>
          <w:bCs/>
          <w:lang w:eastAsia="fr-FR" w:bidi="he-IL"/>
        </w:rPr>
        <w:t>application dans la synagogue de Nazareth</w:t>
      </w:r>
      <w:r w:rsidR="00933C60" w:rsidRPr="00C406FF">
        <w:rPr>
          <w:rStyle w:val="Appelnotedebasdep"/>
        </w:rPr>
        <w:footnoteReference w:id="374"/>
      </w:r>
      <w:r w:rsidR="00E65435">
        <w:rPr>
          <w:rFonts w:eastAsia="Arial Unicode MS"/>
          <w:bCs/>
          <w:lang w:eastAsia="fr-FR" w:bidi="he-IL"/>
        </w:rPr>
        <w:t xml:space="preserve">, </w:t>
      </w:r>
      <w:r w:rsidRPr="00C8701B">
        <w:rPr>
          <w:rFonts w:eastAsia="Arial Unicode MS"/>
          <w:bCs/>
          <w:lang w:eastAsia="fr-FR" w:bidi="he-IL"/>
        </w:rPr>
        <w:t>ils concluaient que la vie publique de Jésus n</w:t>
      </w:r>
      <w:r w:rsidR="00557DE0">
        <w:rPr>
          <w:rFonts w:eastAsia="Arial Unicode MS"/>
          <w:bCs/>
          <w:lang w:eastAsia="fr-FR" w:bidi="he-IL"/>
        </w:rPr>
        <w:t>’</w:t>
      </w:r>
      <w:r w:rsidRPr="00C8701B">
        <w:rPr>
          <w:rFonts w:eastAsia="Arial Unicode MS"/>
          <w:bCs/>
          <w:lang w:eastAsia="fr-FR" w:bidi="he-IL"/>
        </w:rPr>
        <w:t>avait duré qu</w:t>
      </w:r>
      <w:r w:rsidR="00557DE0">
        <w:rPr>
          <w:rFonts w:eastAsia="Arial Unicode MS"/>
          <w:bCs/>
          <w:lang w:eastAsia="fr-FR" w:bidi="he-IL"/>
        </w:rPr>
        <w:t>’</w:t>
      </w:r>
      <w:r w:rsidRPr="00C8701B">
        <w:rPr>
          <w:rFonts w:eastAsia="Arial Unicode MS"/>
          <w:bCs/>
          <w:lang w:eastAsia="fr-FR" w:bidi="he-IL"/>
        </w:rPr>
        <w:t>une seule année</w:t>
      </w:r>
      <w:r w:rsidR="00933C60" w:rsidRPr="00C406FF">
        <w:rPr>
          <w:rStyle w:val="Appelnotedebasdep"/>
        </w:rPr>
        <w:footnoteReference w:id="375"/>
      </w:r>
      <w:r w:rsidRPr="00C8701B">
        <w:rPr>
          <w:rFonts w:eastAsia="Arial Unicode MS"/>
          <w:bCs/>
          <w:lang w:eastAsia="fr-FR" w:bidi="he-IL"/>
        </w:rPr>
        <w:t>. De nos jours</w:t>
      </w:r>
      <w:r w:rsidR="00E65435">
        <w:rPr>
          <w:rFonts w:eastAsia="Arial Unicode MS"/>
          <w:bCs/>
          <w:lang w:eastAsia="fr-FR" w:bidi="he-IL"/>
        </w:rPr>
        <w:t xml:space="preserve">, </w:t>
      </w:r>
      <w:r w:rsidRPr="00C8701B">
        <w:rPr>
          <w:rFonts w:eastAsia="Arial Unicode MS"/>
          <w:bCs/>
          <w:lang w:eastAsia="fr-FR" w:bidi="he-IL"/>
        </w:rPr>
        <w:t>le D</w:t>
      </w:r>
      <w:r w:rsidRPr="00C8701B">
        <w:rPr>
          <w:rFonts w:eastAsia="Arial Unicode MS"/>
          <w:bCs/>
          <w:vertAlign w:val="superscript"/>
          <w:lang w:eastAsia="fr-FR" w:bidi="he-IL"/>
        </w:rPr>
        <w:t>r</w:t>
      </w:r>
      <w:r w:rsidRPr="00C8701B">
        <w:rPr>
          <w:rFonts w:eastAsia="Arial Unicode MS"/>
          <w:bCs/>
          <w:lang w:eastAsia="fr-FR" w:bidi="he-IL"/>
        </w:rPr>
        <w:t xml:space="preserve"> Keim a essayé de ressusciter ce sentiment</w:t>
      </w:r>
      <w:r w:rsidR="00E65435">
        <w:rPr>
          <w:rFonts w:eastAsia="Arial Unicode MS"/>
          <w:bCs/>
          <w:lang w:eastAsia="fr-FR" w:bidi="he-IL"/>
        </w:rPr>
        <w:t xml:space="preserve">, </w:t>
      </w:r>
      <w:r w:rsidRPr="00C8701B">
        <w:rPr>
          <w:rFonts w:eastAsia="Arial Unicode MS"/>
          <w:bCs/>
          <w:lang w:eastAsia="fr-FR" w:bidi="he-IL"/>
        </w:rPr>
        <w:t>afin d</w:t>
      </w:r>
      <w:r w:rsidR="00557DE0">
        <w:rPr>
          <w:rFonts w:eastAsia="Arial Unicode MS"/>
          <w:bCs/>
          <w:lang w:eastAsia="fr-FR" w:bidi="he-IL"/>
        </w:rPr>
        <w:t>’</w:t>
      </w:r>
      <w:r w:rsidRPr="00C8701B">
        <w:rPr>
          <w:rFonts w:eastAsia="Arial Unicode MS"/>
          <w:bCs/>
          <w:lang w:eastAsia="fr-FR" w:bidi="he-IL"/>
        </w:rPr>
        <w:t>opposer les synoptiques à S. Jean et pour mieux rejeter le quatrième évangile.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Comme si les synoptiques eux-mêmes ne supposaient point</w:t>
      </w:r>
      <w:r w:rsidR="00E65435">
        <w:rPr>
          <w:rFonts w:eastAsia="Arial Unicode MS"/>
          <w:bCs/>
          <w:lang w:eastAsia="fr-FR" w:bidi="he-IL"/>
        </w:rPr>
        <w:t xml:space="preserve">, </w:t>
      </w:r>
      <w:r w:rsidRPr="00C8701B">
        <w:rPr>
          <w:rFonts w:eastAsia="Arial Unicode MS"/>
          <w:bCs/>
          <w:lang w:eastAsia="fr-FR" w:bidi="he-IL"/>
        </w:rPr>
        <w:t>çà et là</w:t>
      </w:r>
      <w:r w:rsidR="00E65435">
        <w:rPr>
          <w:rFonts w:eastAsia="Arial Unicode MS"/>
          <w:bCs/>
          <w:lang w:eastAsia="fr-FR" w:bidi="he-IL"/>
        </w:rPr>
        <w:t xml:space="preserve">, </w:t>
      </w:r>
      <w:r w:rsidRPr="00C8701B">
        <w:rPr>
          <w:rFonts w:eastAsia="Arial Unicode MS"/>
          <w:bCs/>
          <w:lang w:eastAsia="fr-FR" w:bidi="he-IL"/>
        </w:rPr>
        <w:t>que le ministère du Sauveur dura plus d</w:t>
      </w:r>
      <w:r w:rsidR="00557DE0">
        <w:rPr>
          <w:rFonts w:eastAsia="Arial Unicode MS"/>
          <w:bCs/>
          <w:lang w:eastAsia="fr-FR" w:bidi="he-IL"/>
        </w:rPr>
        <w:t>’</w:t>
      </w:r>
      <w:r w:rsidRPr="00C8701B">
        <w:rPr>
          <w:rFonts w:eastAsia="Arial Unicode MS"/>
          <w:bCs/>
          <w:lang w:eastAsia="fr-FR" w:bidi="he-IL"/>
        </w:rPr>
        <w:t>une année</w:t>
      </w:r>
      <w:r w:rsidR="00C2602D" w:rsidRPr="00C8701B">
        <w:rPr>
          <w:rFonts w:eastAsia="Arial Unicode MS"/>
          <w:bCs/>
          <w:lang w:eastAsia="fr-FR" w:bidi="he-IL"/>
        </w:rPr>
        <w:t> !</w:t>
      </w:r>
      <w:r w:rsidRPr="00C8701B">
        <w:rPr>
          <w:rFonts w:eastAsia="Arial Unicode MS"/>
          <w:bCs/>
          <w:lang w:eastAsia="fr-FR" w:bidi="he-IL"/>
        </w:rPr>
        <w:t xml:space="preserve"> Par exemple</w:t>
      </w:r>
      <w:r w:rsidR="00E65435">
        <w:rPr>
          <w:rFonts w:eastAsia="Arial Unicode MS"/>
          <w:bCs/>
          <w:lang w:eastAsia="fr-FR" w:bidi="he-IL"/>
        </w:rPr>
        <w:t xml:space="preserve">, </w:t>
      </w:r>
      <w:r w:rsidRPr="00C8701B">
        <w:rPr>
          <w:rFonts w:eastAsia="Arial Unicode MS"/>
          <w:bCs/>
          <w:lang w:eastAsia="fr-FR" w:bidi="he-IL"/>
        </w:rPr>
        <w:t>S</w:t>
      </w:r>
      <w:r w:rsidR="007D3F5A">
        <w:rPr>
          <w:rFonts w:eastAsia="Arial Unicode MS"/>
          <w:bCs/>
          <w:lang w:eastAsia="fr-FR" w:bidi="he-IL"/>
        </w:rPr>
        <w:t xml:space="preserve">. </w:t>
      </w:r>
      <w:r w:rsidR="007D3F5A" w:rsidRPr="00C8701B">
        <w:rPr>
          <w:rFonts w:eastAsia="Arial Unicode MS"/>
          <w:bCs/>
          <w:lang w:eastAsia="fr-FR" w:bidi="he-IL"/>
        </w:rPr>
        <w:t>M</w:t>
      </w:r>
      <w:r w:rsidRPr="00C8701B">
        <w:rPr>
          <w:rFonts w:eastAsia="Arial Unicode MS"/>
          <w:bCs/>
          <w:lang w:eastAsia="fr-FR" w:bidi="he-IL"/>
        </w:rPr>
        <w:t>arc</w:t>
      </w:r>
      <w:r w:rsidR="00933C60" w:rsidRPr="00C406FF">
        <w:rPr>
          <w:rStyle w:val="Appelnotedebasdep"/>
        </w:rPr>
        <w:footnoteReference w:id="376"/>
      </w:r>
      <w:r w:rsidR="00E65435">
        <w:rPr>
          <w:rFonts w:eastAsia="Arial Unicode MS"/>
          <w:bCs/>
          <w:lang w:eastAsia="fr-FR" w:bidi="he-IL"/>
        </w:rPr>
        <w:t xml:space="preserve">, </w:t>
      </w:r>
      <w:r w:rsidRPr="00C8701B">
        <w:rPr>
          <w:rFonts w:eastAsia="Arial Unicode MS"/>
          <w:bCs/>
          <w:lang w:eastAsia="fr-FR" w:bidi="he-IL"/>
        </w:rPr>
        <w:t>lorsqu</w:t>
      </w:r>
      <w:r w:rsidR="00557DE0">
        <w:rPr>
          <w:rFonts w:eastAsia="Arial Unicode MS"/>
          <w:bCs/>
          <w:lang w:eastAsia="fr-FR" w:bidi="he-IL"/>
        </w:rPr>
        <w:t>’</w:t>
      </w:r>
      <w:r w:rsidRPr="00C8701B">
        <w:rPr>
          <w:rFonts w:eastAsia="Arial Unicode MS"/>
          <w:bCs/>
          <w:lang w:eastAsia="fr-FR" w:bidi="he-IL"/>
        </w:rPr>
        <w:t>il raconte ce simple trait</w:t>
      </w:r>
      <w:r w:rsidR="00C2602D" w:rsidRPr="00C8701B">
        <w:rPr>
          <w:rFonts w:eastAsia="Arial Unicode MS"/>
          <w:bCs/>
          <w:lang w:eastAsia="fr-FR" w:bidi="he-IL"/>
        </w:rPr>
        <w:t> :</w:t>
      </w:r>
      <w:r w:rsidRPr="00DC4586">
        <w:rPr>
          <w:rStyle w:val="italicus"/>
        </w:rPr>
        <w:t xml:space="preserve"> Et factum est...</w:t>
      </w:r>
      <w:r w:rsidR="00E65435">
        <w:rPr>
          <w:rStyle w:val="italicus"/>
        </w:rPr>
        <w:t xml:space="preserve">, </w:t>
      </w:r>
      <w:r w:rsidRPr="00DC4586">
        <w:rPr>
          <w:rStyle w:val="italicus"/>
        </w:rPr>
        <w:t xml:space="preserve">cum </w:t>
      </w:r>
      <w:r w:rsidR="00D72B1E">
        <w:rPr>
          <w:rStyle w:val="italicus"/>
        </w:rPr>
        <w:t>Dóminus</w:t>
      </w:r>
      <w:r w:rsidRPr="00DC4586">
        <w:rPr>
          <w:rStyle w:val="italicus"/>
        </w:rPr>
        <w:t xml:space="preserve"> </w:t>
      </w:r>
      <w:r w:rsidR="005E1001" w:rsidRPr="00DC4586">
        <w:rPr>
          <w:rStyle w:val="italicus"/>
        </w:rPr>
        <w:t>sábbatis</w:t>
      </w:r>
      <w:r w:rsidRPr="00DC4586">
        <w:rPr>
          <w:rStyle w:val="italicus"/>
        </w:rPr>
        <w:t xml:space="preserve"> </w:t>
      </w:r>
      <w:r w:rsidR="005E1001" w:rsidRPr="00DC4586">
        <w:rPr>
          <w:rStyle w:val="italicus"/>
        </w:rPr>
        <w:t>ambuláret</w:t>
      </w:r>
      <w:r w:rsidRPr="00DC4586">
        <w:rPr>
          <w:rStyle w:val="italicus"/>
        </w:rPr>
        <w:t xml:space="preserve"> per sala</w:t>
      </w:r>
      <w:r w:rsidR="00E65435">
        <w:rPr>
          <w:rStyle w:val="italicus"/>
        </w:rPr>
        <w:t xml:space="preserve">, </w:t>
      </w:r>
      <w:r w:rsidRPr="00DC4586">
        <w:rPr>
          <w:rStyle w:val="italicus"/>
        </w:rPr>
        <w:t xml:space="preserve">et </w:t>
      </w:r>
      <w:r w:rsidR="005E1001" w:rsidRPr="00DC4586">
        <w:rPr>
          <w:rStyle w:val="italicus"/>
        </w:rPr>
        <w:t>discípuli</w:t>
      </w:r>
      <w:r w:rsidRPr="00DC4586">
        <w:rPr>
          <w:rStyle w:val="italicus"/>
        </w:rPr>
        <w:t xml:space="preserve"> ejus </w:t>
      </w:r>
      <w:r w:rsidR="00473B23" w:rsidRPr="00DC4586">
        <w:rPr>
          <w:rStyle w:val="italicus"/>
        </w:rPr>
        <w:t>cœp</w:t>
      </w:r>
      <w:r w:rsidR="00473B23">
        <w:rPr>
          <w:rStyle w:val="italicus"/>
        </w:rPr>
        <w:t>érunt</w:t>
      </w:r>
      <w:r w:rsidRPr="00DC4586">
        <w:rPr>
          <w:rStyle w:val="italicus"/>
        </w:rPr>
        <w:t xml:space="preserve"> </w:t>
      </w:r>
      <w:r w:rsidR="005E1001" w:rsidRPr="00DC4586">
        <w:rPr>
          <w:rStyle w:val="italicus"/>
        </w:rPr>
        <w:t>prógredi</w:t>
      </w:r>
      <w:r w:rsidR="00E65435">
        <w:rPr>
          <w:rStyle w:val="italicus"/>
        </w:rPr>
        <w:t xml:space="preserve">, </w:t>
      </w:r>
      <w:r w:rsidRPr="00DC4586">
        <w:rPr>
          <w:rStyle w:val="italicus"/>
        </w:rPr>
        <w:t xml:space="preserve">et </w:t>
      </w:r>
      <w:r w:rsidR="005E1001" w:rsidRPr="00DC4586">
        <w:rPr>
          <w:rStyle w:val="italicus"/>
        </w:rPr>
        <w:t>véllere</w:t>
      </w:r>
      <w:r w:rsidRPr="00DC4586">
        <w:rPr>
          <w:rStyle w:val="italicus"/>
        </w:rPr>
        <w:t xml:space="preserve"> spicas</w:t>
      </w:r>
      <w:r w:rsidR="00E65435">
        <w:rPr>
          <w:rStyle w:val="italicus"/>
        </w:rPr>
        <w:t xml:space="preserve">, </w:t>
      </w:r>
      <w:r w:rsidRPr="00C8701B">
        <w:rPr>
          <w:rFonts w:eastAsia="Arial Unicode MS"/>
          <w:bCs/>
          <w:lang w:eastAsia="fr-FR" w:bidi="he-IL"/>
        </w:rPr>
        <w:t>suppose en toute rigueur que la vie publique de Jésus dura environ deux ans</w:t>
      </w:r>
      <w:r w:rsidR="00E65435">
        <w:rPr>
          <w:rFonts w:eastAsia="Arial Unicode MS"/>
          <w:bCs/>
          <w:lang w:eastAsia="fr-FR" w:bidi="he-IL"/>
        </w:rPr>
        <w:t xml:space="preserve">, </w:t>
      </w:r>
      <w:r w:rsidRPr="00C8701B">
        <w:rPr>
          <w:rFonts w:eastAsia="Arial Unicode MS"/>
          <w:bCs/>
          <w:lang w:eastAsia="fr-FR" w:bidi="he-IL"/>
        </w:rPr>
        <w:t>puisque</w:t>
      </w:r>
      <w:r w:rsidR="00E65435">
        <w:rPr>
          <w:rFonts w:eastAsia="Arial Unicode MS"/>
          <w:bCs/>
          <w:lang w:eastAsia="fr-FR" w:bidi="he-IL"/>
        </w:rPr>
        <w:t xml:space="preserve">, </w:t>
      </w:r>
      <w:r w:rsidRPr="00C8701B">
        <w:rPr>
          <w:rFonts w:eastAsia="Arial Unicode MS"/>
          <w:bCs/>
          <w:lang w:eastAsia="fr-FR" w:bidi="he-IL"/>
        </w:rPr>
        <w:t>en Palestine</w:t>
      </w:r>
      <w:r w:rsidR="00E65435">
        <w:rPr>
          <w:rFonts w:eastAsia="Arial Unicode MS"/>
          <w:bCs/>
          <w:lang w:eastAsia="fr-FR" w:bidi="he-IL"/>
        </w:rPr>
        <w:t xml:space="preserve">, </w:t>
      </w:r>
      <w:r w:rsidRPr="00C8701B">
        <w:rPr>
          <w:rFonts w:eastAsia="Arial Unicode MS"/>
          <w:bCs/>
          <w:lang w:eastAsia="fr-FR" w:bidi="he-IL"/>
        </w:rPr>
        <w:t>la maturité du blé a lieu après la Pâque</w:t>
      </w:r>
      <w:r w:rsidR="00933C60" w:rsidRPr="00C406FF">
        <w:rPr>
          <w:rStyle w:val="Appelnotedebasdep"/>
        </w:rPr>
        <w:footnoteReference w:id="377"/>
      </w:r>
      <w:r w:rsidRPr="00C8701B">
        <w:rPr>
          <w:rFonts w:eastAsia="Arial Unicode MS"/>
          <w:bCs/>
          <w:lang w:eastAsia="fr-FR" w:bidi="he-IL"/>
        </w:rPr>
        <w:t>.</w:t>
      </w:r>
      <w:r w:rsidR="00C2602D" w:rsidRPr="00C8701B">
        <w:rPr>
          <w:rFonts w:eastAsia="Arial Unicode MS"/>
          <w:bCs/>
          <w:lang w:eastAsia="fr-FR" w:bidi="he-IL"/>
        </w:rPr>
        <w:t xml:space="preserve"> </w:t>
      </w:r>
      <w:r w:rsidR="00C14040" w:rsidRPr="000716BB">
        <w:rPr>
          <w:rFonts w:eastAsia="Arial Unicode MS"/>
          <w:bCs/>
          <w:lang w:eastAsia="fr-FR" w:bidi="he-IL"/>
        </w:rPr>
        <w:t>{</w:t>
      </w:r>
      <w:r w:rsidR="00C14040">
        <w:rPr>
          <w:rFonts w:eastAsia="Arial Unicode MS"/>
          <w:bCs/>
          <w:lang w:eastAsia="fr-FR" w:bidi="he-IL"/>
        </w:rPr>
        <w:t>70</w:t>
      </w:r>
      <w:bookmarkStart w:id="114" w:name="pag070"/>
      <w:bookmarkEnd w:id="114"/>
      <w:r w:rsidR="00C14040" w:rsidRPr="000716BB">
        <w:rPr>
          <w:rFonts w:eastAsia="Arial Unicode MS"/>
          <w:bCs/>
          <w:lang w:eastAsia="fr-FR" w:bidi="he-IL"/>
        </w:rPr>
        <w:t>}</w:t>
      </w:r>
    </w:p>
    <w:p w:rsidR="00C2602D" w:rsidRPr="00C8701B" w:rsidRDefault="005E1001" w:rsidP="00C2602D">
      <w:pPr>
        <w:rPr>
          <w:rFonts w:eastAsia="Arial Unicode MS"/>
          <w:bCs/>
          <w:lang w:eastAsia="fr-FR" w:bidi="he-IL"/>
        </w:rPr>
      </w:pPr>
      <w:r>
        <w:rPr>
          <w:rFonts w:eastAsia="Arial Unicode MS"/>
          <w:bCs/>
          <w:lang w:eastAsia="fr-FR" w:bidi="he-IL"/>
        </w:rPr>
        <w:t>Mai</w:t>
      </w:r>
      <w:r w:rsidR="00B704AD" w:rsidRPr="00C8701B">
        <w:rPr>
          <w:rFonts w:eastAsia="Arial Unicode MS"/>
          <w:bCs/>
          <w:lang w:eastAsia="fr-FR" w:bidi="he-IL"/>
        </w:rPr>
        <w:t>s le quatrième évangile</w:t>
      </w:r>
      <w:r w:rsidR="00E65435">
        <w:rPr>
          <w:rFonts w:eastAsia="Arial Unicode MS"/>
          <w:bCs/>
          <w:lang w:eastAsia="fr-FR" w:bidi="he-IL"/>
        </w:rPr>
        <w:t xml:space="preserve">, </w:t>
      </w:r>
      <w:r w:rsidR="00B704AD" w:rsidRPr="00C8701B">
        <w:rPr>
          <w:rFonts w:eastAsia="Arial Unicode MS"/>
          <w:bCs/>
          <w:lang w:eastAsia="fr-FR" w:bidi="he-IL"/>
        </w:rPr>
        <w:t>nous</w:t>
      </w:r>
      <w:r w:rsidR="005F36ED">
        <w:rPr>
          <w:rFonts w:eastAsia="Arial Unicode MS"/>
          <w:bCs/>
          <w:lang w:eastAsia="fr-FR" w:bidi="he-IL"/>
        </w:rPr>
        <w:t xml:space="preserve"> l</w:t>
      </w:r>
      <w:r w:rsidR="00557DE0">
        <w:rPr>
          <w:rFonts w:eastAsia="Arial Unicode MS"/>
          <w:bCs/>
          <w:lang w:eastAsia="fr-FR" w:bidi="he-IL"/>
        </w:rPr>
        <w:t>’</w:t>
      </w:r>
      <w:r w:rsidR="00B704AD" w:rsidRPr="00C8701B">
        <w:rPr>
          <w:rFonts w:eastAsia="Arial Unicode MS"/>
          <w:bCs/>
          <w:lang w:eastAsia="fr-FR" w:bidi="he-IL"/>
        </w:rPr>
        <w:t>avons déjà dit à une autre occasion</w:t>
      </w:r>
      <w:r w:rsidR="00933C60" w:rsidRPr="00C406FF">
        <w:rPr>
          <w:rStyle w:val="Appelnotedebasdep"/>
        </w:rPr>
        <w:footnoteReference w:id="378"/>
      </w:r>
      <w:r w:rsidR="00E65435">
        <w:rPr>
          <w:rFonts w:eastAsia="Arial Unicode MS"/>
          <w:bCs/>
          <w:lang w:eastAsia="fr-FR" w:bidi="he-IL"/>
        </w:rPr>
        <w:t xml:space="preserve">, </w:t>
      </w:r>
      <w:r w:rsidR="00B704AD" w:rsidRPr="00C8701B">
        <w:rPr>
          <w:rFonts w:eastAsia="Arial Unicode MS"/>
          <w:bCs/>
          <w:lang w:eastAsia="fr-FR" w:bidi="he-IL"/>
        </w:rPr>
        <w:t>jette les plus vives clartés sur la durée du ministère public du Christ</w:t>
      </w:r>
      <w:r w:rsidR="00E65435">
        <w:rPr>
          <w:rFonts w:eastAsia="Arial Unicode MS"/>
          <w:bCs/>
          <w:lang w:eastAsia="fr-FR" w:bidi="he-IL"/>
        </w:rPr>
        <w:t xml:space="preserve">, </w:t>
      </w:r>
      <w:r w:rsidR="00B704AD" w:rsidRPr="00C8701B">
        <w:rPr>
          <w:rFonts w:eastAsia="Arial Unicode MS"/>
          <w:bCs/>
          <w:lang w:eastAsia="fr-FR" w:bidi="he-IL"/>
        </w:rPr>
        <w:t>par la mention si exacte de certaines solennités religieuses</w:t>
      </w:r>
      <w:r w:rsidR="00E65435">
        <w:rPr>
          <w:rFonts w:eastAsia="Arial Unicode MS"/>
          <w:bCs/>
          <w:lang w:eastAsia="fr-FR" w:bidi="he-IL"/>
        </w:rPr>
        <w:t xml:space="preserve">, </w:t>
      </w:r>
      <w:r w:rsidR="00B704AD" w:rsidRPr="00C8701B">
        <w:rPr>
          <w:rFonts w:eastAsia="Arial Unicode MS"/>
          <w:bCs/>
          <w:lang w:eastAsia="fr-FR" w:bidi="he-IL"/>
        </w:rPr>
        <w:t>et des voyages que Jésus fit ou ne fit pas à Jérusalem</w:t>
      </w:r>
      <w:r w:rsidR="00E65435">
        <w:rPr>
          <w:rFonts w:eastAsia="Arial Unicode MS"/>
          <w:bCs/>
          <w:lang w:eastAsia="fr-FR" w:bidi="he-IL"/>
        </w:rPr>
        <w:t xml:space="preserve">, </w:t>
      </w:r>
      <w:r w:rsidR="00B704AD" w:rsidRPr="00C8701B">
        <w:rPr>
          <w:rFonts w:eastAsia="Arial Unicode MS"/>
          <w:bCs/>
          <w:lang w:eastAsia="fr-FR" w:bidi="he-IL"/>
        </w:rPr>
        <w:t>pour les célébrer au centre de la théocratie</w:t>
      </w:r>
      <w:r w:rsidR="00933C60" w:rsidRPr="00C406FF">
        <w:rPr>
          <w:rStyle w:val="Appelnotedebasdep"/>
        </w:rPr>
        <w:footnoteReference w:id="379"/>
      </w:r>
      <w:r w:rsidR="00B704AD"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après le récit de S. Jean</w:t>
      </w:r>
      <w:r w:rsidR="00E65435">
        <w:rPr>
          <w:rFonts w:eastAsia="Arial Unicode MS"/>
          <w:bCs/>
          <w:lang w:eastAsia="fr-FR" w:bidi="he-IL"/>
        </w:rPr>
        <w:t xml:space="preserve">, </w:t>
      </w:r>
      <w:r w:rsidRPr="00C8701B">
        <w:rPr>
          <w:rFonts w:eastAsia="Arial Unicode MS"/>
          <w:bCs/>
          <w:lang w:eastAsia="fr-FR" w:bidi="he-IL"/>
        </w:rPr>
        <w:t>trois Pâques au moins sont tout à fait certaines durant cette période</w:t>
      </w:r>
      <w:r w:rsidR="00C2602D" w:rsidRPr="00C8701B">
        <w:rPr>
          <w:rFonts w:eastAsia="Arial Unicode MS"/>
          <w:bCs/>
          <w:lang w:eastAsia="fr-FR" w:bidi="he-IL"/>
        </w:rPr>
        <w:t> :</w:t>
      </w:r>
      <w:r w:rsidRPr="00C8701B">
        <w:rPr>
          <w:rFonts w:eastAsia="Arial Unicode MS"/>
          <w:bCs/>
          <w:lang w:eastAsia="fr-FR" w:bidi="he-IL"/>
        </w:rPr>
        <w:t xml:space="preserve"> l</w:t>
      </w:r>
      <w:r w:rsidR="00557DE0">
        <w:rPr>
          <w:rFonts w:eastAsia="Arial Unicode MS"/>
          <w:bCs/>
          <w:lang w:eastAsia="fr-FR" w:bidi="he-IL"/>
        </w:rPr>
        <w:t>’</w:t>
      </w:r>
      <w:r w:rsidRPr="00C8701B">
        <w:rPr>
          <w:rFonts w:eastAsia="Arial Unicode MS"/>
          <w:bCs/>
          <w:lang w:eastAsia="fr-FR" w:bidi="he-IL"/>
        </w:rPr>
        <w:t>une</w:t>
      </w:r>
      <w:r w:rsidR="00E65435">
        <w:rPr>
          <w:rFonts w:eastAsia="Arial Unicode MS"/>
          <w:bCs/>
          <w:lang w:eastAsia="fr-FR" w:bidi="he-IL"/>
        </w:rPr>
        <w:t xml:space="preserve">, </w:t>
      </w:r>
      <w:r w:rsidRPr="00C8701B">
        <w:rPr>
          <w:rFonts w:eastAsia="Arial Unicode MS"/>
          <w:bCs/>
          <w:lang w:eastAsia="fr-FR" w:bidi="he-IL"/>
        </w:rPr>
        <w:t>quelque temps après le baptême du Sauveur</w:t>
      </w:r>
      <w:r w:rsidR="00E65435">
        <w:rPr>
          <w:rFonts w:eastAsia="Arial Unicode MS"/>
          <w:bCs/>
          <w:lang w:eastAsia="fr-FR" w:bidi="he-IL"/>
        </w:rPr>
        <w:t xml:space="preserve">, </w:t>
      </w:r>
      <w:r w:rsidR="003A07A7">
        <w:rPr>
          <w:rFonts w:eastAsia="Arial Unicode MS"/>
          <w:bCs/>
          <w:lang w:eastAsia="fr-FR" w:bidi="he-IL"/>
        </w:rPr>
        <w:t>Joan. II,</w:t>
      </w:r>
      <w:r w:rsidR="00E65435">
        <w:rPr>
          <w:rFonts w:eastAsia="Arial Unicode MS"/>
          <w:bCs/>
          <w:lang w:eastAsia="fr-FR" w:bidi="he-IL"/>
        </w:rPr>
        <w:t xml:space="preserve"> </w:t>
      </w:r>
      <w:r w:rsidRPr="00C8701B">
        <w:rPr>
          <w:rFonts w:eastAsia="Arial Unicode MS"/>
          <w:bCs/>
          <w:lang w:eastAsia="fr-FR" w:bidi="he-IL"/>
        </w:rPr>
        <w:t>13 et ss.</w:t>
      </w:r>
      <w:r w:rsidR="00E65435">
        <w:rPr>
          <w:rFonts w:eastAsia="Arial Unicode MS"/>
          <w:bCs/>
          <w:lang w:eastAsia="fr-FR" w:bidi="he-IL"/>
        </w:rPr>
        <w:t xml:space="preserve">, </w:t>
      </w:r>
      <w:r w:rsidRPr="00C8701B">
        <w:rPr>
          <w:rFonts w:eastAsia="Arial Unicode MS"/>
          <w:bCs/>
          <w:lang w:eastAsia="fr-FR" w:bidi="he-IL"/>
        </w:rPr>
        <w:t>probablement en 780 u. c.</w:t>
      </w:r>
      <w:r w:rsidR="00E65435">
        <w:rPr>
          <w:rFonts w:eastAsia="Arial Unicode MS"/>
          <w:bCs/>
          <w:lang w:eastAsia="fr-FR" w:bidi="he-IL"/>
        </w:rPr>
        <w:t xml:space="preserve">, </w:t>
      </w:r>
      <w:r w:rsidRPr="00C8701B">
        <w:rPr>
          <w:rFonts w:eastAsia="Arial Unicode MS"/>
          <w:bCs/>
          <w:lang w:eastAsia="fr-FR" w:bidi="he-IL"/>
        </w:rPr>
        <w:t>selon ce qui a été marqué plus haut</w:t>
      </w:r>
      <w:r w:rsidR="00933C60" w:rsidRPr="00C406FF">
        <w:rPr>
          <w:rStyle w:val="Appelnotedebasdep"/>
        </w:rPr>
        <w:footnoteReference w:id="380"/>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la seconde</w:t>
      </w:r>
      <w:r w:rsidR="00E65435">
        <w:rPr>
          <w:rFonts w:eastAsia="Arial Unicode MS"/>
          <w:bCs/>
          <w:lang w:eastAsia="fr-FR" w:bidi="he-IL"/>
        </w:rPr>
        <w:t xml:space="preserve">, </w:t>
      </w:r>
      <w:r w:rsidRPr="00C8701B">
        <w:rPr>
          <w:rFonts w:eastAsia="Arial Unicode MS"/>
          <w:bCs/>
          <w:lang w:eastAsia="fr-FR" w:bidi="he-IL"/>
        </w:rPr>
        <w:t>Joan</w:t>
      </w:r>
      <w:r w:rsidR="00DD17CA" w:rsidRPr="00C8701B">
        <w:rPr>
          <w:rFonts w:eastAsia="Arial Unicode MS"/>
          <w:bCs/>
          <w:lang w:eastAsia="fr-FR" w:bidi="he-IL"/>
        </w:rPr>
        <w:t xml:space="preserve">. </w:t>
      </w:r>
      <w:r w:rsidR="00A319EA">
        <w:rPr>
          <w:rFonts w:eastAsia="Arial Unicode MS"/>
          <w:bCs/>
          <w:lang w:eastAsia="fr-FR" w:bidi="he-IL"/>
        </w:rPr>
        <w:t>VI</w:t>
      </w:r>
      <w:r w:rsidR="00E65435">
        <w:rPr>
          <w:rFonts w:eastAsia="Arial Unicode MS"/>
          <w:bCs/>
          <w:lang w:eastAsia="fr-FR" w:bidi="he-IL"/>
        </w:rPr>
        <w:t xml:space="preserve">, </w:t>
      </w:r>
      <w:r w:rsidRPr="00C8701B">
        <w:rPr>
          <w:rFonts w:eastAsia="Arial Unicode MS"/>
          <w:bCs/>
          <w:lang w:eastAsia="fr-FR" w:bidi="he-IL"/>
        </w:rPr>
        <w:t>1-4</w:t>
      </w:r>
      <w:r w:rsidR="00E65435">
        <w:rPr>
          <w:rFonts w:eastAsia="Arial Unicode MS"/>
          <w:bCs/>
          <w:lang w:eastAsia="fr-FR" w:bidi="he-IL"/>
        </w:rPr>
        <w:t xml:space="preserve">, </w:t>
      </w:r>
      <w:r w:rsidRPr="00C8701B">
        <w:rPr>
          <w:rFonts w:eastAsia="Arial Unicode MS"/>
          <w:bCs/>
          <w:lang w:eastAsia="fr-FR" w:bidi="he-IL"/>
        </w:rPr>
        <w:t>rattachée au miracle de la première multiplication des pains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la troisième</w:t>
      </w:r>
      <w:r w:rsidR="00E65435">
        <w:rPr>
          <w:rFonts w:eastAsia="Arial Unicode MS"/>
          <w:bCs/>
          <w:lang w:eastAsia="fr-FR" w:bidi="he-IL"/>
        </w:rPr>
        <w:t xml:space="preserve">, </w:t>
      </w:r>
      <w:r w:rsidRPr="00C8701B">
        <w:rPr>
          <w:rFonts w:eastAsia="Arial Unicode MS"/>
          <w:bCs/>
          <w:lang w:eastAsia="fr-FR" w:bidi="he-IL"/>
        </w:rPr>
        <w:t>Jo</w:t>
      </w:r>
      <w:r w:rsidR="00A319EA">
        <w:rPr>
          <w:rFonts w:eastAsia="Arial Unicode MS"/>
          <w:bCs/>
          <w:lang w:eastAsia="fr-FR" w:bidi="he-IL"/>
        </w:rPr>
        <w:t>an</w:t>
      </w:r>
      <w:r w:rsidRPr="00C8701B">
        <w:rPr>
          <w:rFonts w:eastAsia="Arial Unicode MS"/>
          <w:bCs/>
          <w:lang w:eastAsia="fr-FR" w:bidi="he-IL"/>
        </w:rPr>
        <w:t>.</w:t>
      </w:r>
      <w:r w:rsidR="00623A37">
        <w:rPr>
          <w:rFonts w:eastAsia="Arial Unicode MS"/>
          <w:bCs/>
          <w:lang w:eastAsia="fr-FR" w:bidi="he-IL"/>
        </w:rPr>
        <w:t xml:space="preserve"> XI,</w:t>
      </w:r>
      <w:r w:rsidR="00E65435">
        <w:rPr>
          <w:rFonts w:eastAsia="Arial Unicode MS"/>
          <w:bCs/>
          <w:lang w:eastAsia="fr-FR" w:bidi="he-IL"/>
        </w:rPr>
        <w:t xml:space="preserve"> </w:t>
      </w:r>
      <w:r w:rsidRPr="00C8701B">
        <w:rPr>
          <w:rFonts w:eastAsia="Arial Unicode MS"/>
          <w:bCs/>
          <w:lang w:eastAsia="fr-FR" w:bidi="he-IL"/>
        </w:rPr>
        <w:t>55</w:t>
      </w:r>
      <w:r w:rsidR="00E65435">
        <w:rPr>
          <w:rFonts w:eastAsia="Arial Unicode MS"/>
          <w:bCs/>
          <w:lang w:eastAsia="fr-FR" w:bidi="he-IL"/>
        </w:rPr>
        <w:t xml:space="preserve">, </w:t>
      </w:r>
      <w:r w:rsidRPr="00C8701B">
        <w:rPr>
          <w:rFonts w:eastAsia="Arial Unicode MS"/>
          <w:bCs/>
          <w:lang w:eastAsia="fr-FR" w:bidi="he-IL"/>
        </w:rPr>
        <w:t xml:space="preserve">et </w:t>
      </w:r>
      <w:r w:rsidR="00CB43AA">
        <w:rPr>
          <w:rFonts w:eastAsia="Arial Unicode MS"/>
          <w:bCs/>
          <w:lang w:eastAsia="fr-FR" w:bidi="he-IL"/>
        </w:rPr>
        <w:t>XII</w:t>
      </w:r>
      <w:r w:rsidR="00E65435">
        <w:rPr>
          <w:rFonts w:eastAsia="Arial Unicode MS"/>
          <w:bCs/>
          <w:lang w:eastAsia="fr-FR" w:bidi="he-IL"/>
        </w:rPr>
        <w:t xml:space="preserve">, </w:t>
      </w:r>
      <w:r w:rsidRPr="00C8701B">
        <w:rPr>
          <w:rFonts w:eastAsia="Arial Unicode MS"/>
          <w:bCs/>
          <w:lang w:eastAsia="fr-FR" w:bidi="he-IL"/>
        </w:rPr>
        <w:t>1</w:t>
      </w:r>
      <w:r w:rsidR="00E65435">
        <w:rPr>
          <w:rFonts w:eastAsia="Arial Unicode MS"/>
          <w:bCs/>
          <w:lang w:eastAsia="fr-FR" w:bidi="he-IL"/>
        </w:rPr>
        <w:t xml:space="preserve">, </w:t>
      </w:r>
      <w:r w:rsidRPr="00C8701B">
        <w:rPr>
          <w:rFonts w:eastAsia="Arial Unicode MS"/>
          <w:bCs/>
          <w:lang w:eastAsia="fr-FR" w:bidi="he-IL"/>
        </w:rPr>
        <w:t>qui fut témoin de la passion et de la mort de Jésus.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Entre la première et la seconde de ces Pâques</w:t>
      </w:r>
      <w:r w:rsidR="00E65435">
        <w:rPr>
          <w:rFonts w:eastAsia="Arial Unicode MS"/>
          <w:bCs/>
          <w:lang w:eastAsia="fr-FR" w:bidi="he-IL"/>
        </w:rPr>
        <w:t xml:space="preserve">, </w:t>
      </w:r>
      <w:r w:rsidRPr="00C8701B">
        <w:rPr>
          <w:rFonts w:eastAsia="Arial Unicode MS"/>
          <w:bCs/>
          <w:lang w:eastAsia="fr-FR" w:bidi="he-IL"/>
        </w:rPr>
        <w:t>S. Jean signale une fête</w:t>
      </w:r>
      <w:r w:rsidR="00E65435">
        <w:rPr>
          <w:rFonts w:eastAsia="Arial Unicode MS"/>
          <w:bCs/>
          <w:lang w:eastAsia="fr-FR" w:bidi="he-IL"/>
        </w:rPr>
        <w:t xml:space="preserve">, </w:t>
      </w:r>
      <w:r w:rsidRPr="00C8701B">
        <w:rPr>
          <w:rFonts w:eastAsia="Arial Unicode MS"/>
          <w:bCs/>
          <w:lang w:eastAsia="fr-FR" w:bidi="he-IL"/>
        </w:rPr>
        <w:t>qu</w:t>
      </w:r>
      <w:r w:rsidR="00557DE0">
        <w:rPr>
          <w:rFonts w:eastAsia="Arial Unicode MS"/>
          <w:bCs/>
          <w:lang w:eastAsia="fr-FR" w:bidi="he-IL"/>
        </w:rPr>
        <w:t>’</w:t>
      </w:r>
      <w:r w:rsidRPr="00C8701B">
        <w:rPr>
          <w:rFonts w:eastAsia="Arial Unicode MS"/>
          <w:bCs/>
          <w:lang w:eastAsia="fr-FR" w:bidi="he-IL"/>
        </w:rPr>
        <w:t>il désigne un peu vaguement par les mots</w:t>
      </w:r>
      <w:r w:rsidRPr="00DC4586">
        <w:rPr>
          <w:rStyle w:val="italicus"/>
        </w:rPr>
        <w:t xml:space="preserve"> dies festus </w:t>
      </w:r>
      <w:r w:rsidR="0094118D">
        <w:rPr>
          <w:rStyle w:val="italicus"/>
        </w:rPr>
        <w:t>Judæ</w:t>
      </w:r>
      <w:r w:rsidR="003A07A7">
        <w:rPr>
          <w:rStyle w:val="italicus"/>
        </w:rPr>
        <w:t>órum</w:t>
      </w:r>
      <w:r w:rsidR="00933C60" w:rsidRPr="00C406FF">
        <w:rPr>
          <w:rStyle w:val="Appelnotedebasdep"/>
        </w:rPr>
        <w:footnoteReference w:id="381"/>
      </w:r>
      <w:r w:rsidRPr="00C8701B">
        <w:rPr>
          <w:rFonts w:eastAsia="Arial Unicode MS"/>
          <w:bCs/>
          <w:lang w:eastAsia="fr-FR" w:bidi="he-IL"/>
        </w:rPr>
        <w:t>. Serait-ce</w:t>
      </w:r>
      <w:r w:rsidR="00E65435">
        <w:rPr>
          <w:rFonts w:eastAsia="Arial Unicode MS"/>
          <w:bCs/>
          <w:lang w:eastAsia="fr-FR" w:bidi="he-IL"/>
        </w:rPr>
        <w:t xml:space="preserve">, </w:t>
      </w:r>
      <w:r w:rsidRPr="00C8701B">
        <w:rPr>
          <w:rFonts w:eastAsia="Arial Unicode MS"/>
          <w:bCs/>
          <w:lang w:eastAsia="fr-FR" w:bidi="he-IL"/>
        </w:rPr>
        <w:t>comme on l</w:t>
      </w:r>
      <w:r w:rsidR="00557DE0">
        <w:rPr>
          <w:rFonts w:eastAsia="Arial Unicode MS"/>
          <w:bCs/>
          <w:lang w:eastAsia="fr-FR" w:bidi="he-IL"/>
        </w:rPr>
        <w:t>’</w:t>
      </w:r>
      <w:r w:rsidRPr="00C8701B">
        <w:rPr>
          <w:rFonts w:eastAsia="Arial Unicode MS"/>
          <w:bCs/>
          <w:lang w:eastAsia="fr-FR" w:bidi="he-IL"/>
        </w:rPr>
        <w:t>a pensé parfois</w:t>
      </w:r>
      <w:r w:rsidR="00933C60" w:rsidRPr="00C406FF">
        <w:rPr>
          <w:rStyle w:val="Appelnotedebasdep"/>
        </w:rPr>
        <w:footnoteReference w:id="382"/>
      </w:r>
      <w:r w:rsidR="00E65435">
        <w:rPr>
          <w:rFonts w:eastAsia="Arial Unicode MS"/>
          <w:bCs/>
          <w:lang w:eastAsia="fr-FR" w:bidi="he-IL"/>
        </w:rPr>
        <w:t xml:space="preserve">, </w:t>
      </w:r>
      <w:r w:rsidRPr="00C8701B">
        <w:rPr>
          <w:rFonts w:eastAsia="Arial Unicode MS"/>
          <w:bCs/>
          <w:lang w:eastAsia="fr-FR" w:bidi="he-IL"/>
        </w:rPr>
        <w:t>la fête des</w:t>
      </w:r>
      <w:r w:rsidRPr="00DC4586">
        <w:rPr>
          <w:rStyle w:val="italicus"/>
        </w:rPr>
        <w:t xml:space="preserve"> Purim</w:t>
      </w:r>
      <w:r w:rsidRPr="00C8701B">
        <w:rPr>
          <w:rFonts w:eastAsia="Arial Unicode MS"/>
          <w:bCs/>
          <w:lang w:eastAsia="fr-FR" w:bidi="he-IL"/>
        </w:rPr>
        <w:t xml:space="preserve"> ou des Sorts</w:t>
      </w:r>
      <w:r w:rsidR="00E65435">
        <w:rPr>
          <w:rFonts w:eastAsia="Arial Unicode MS"/>
          <w:bCs/>
          <w:lang w:eastAsia="fr-FR" w:bidi="he-IL"/>
        </w:rPr>
        <w:t xml:space="preserve">, </w:t>
      </w:r>
      <w:r w:rsidRPr="00C8701B">
        <w:rPr>
          <w:rFonts w:eastAsia="Arial Unicode MS"/>
          <w:bCs/>
          <w:lang w:eastAsia="fr-FR" w:bidi="he-IL"/>
        </w:rPr>
        <w:t>qui se célébrait au mois de mars</w:t>
      </w:r>
      <w:r w:rsidR="00E65435">
        <w:rPr>
          <w:rFonts w:eastAsia="Arial Unicode MS"/>
          <w:bCs/>
          <w:lang w:eastAsia="fr-FR" w:bidi="he-IL"/>
        </w:rPr>
        <w:t xml:space="preserve">, </w:t>
      </w:r>
      <w:r w:rsidRPr="00C8701B">
        <w:rPr>
          <w:rFonts w:eastAsia="Arial Unicode MS"/>
          <w:bCs/>
          <w:lang w:eastAsia="fr-FR" w:bidi="he-IL"/>
        </w:rPr>
        <w:t>peu de temps avant les solennités pascales</w:t>
      </w:r>
      <w:r w:rsidR="00C2602D" w:rsidRPr="00C8701B">
        <w:rPr>
          <w:rFonts w:eastAsia="Arial Unicode MS"/>
          <w:bCs/>
          <w:lang w:eastAsia="fr-FR" w:bidi="he-IL"/>
        </w:rPr>
        <w:t> ?</w:t>
      </w:r>
      <w:r w:rsidRPr="00C8701B">
        <w:rPr>
          <w:rFonts w:eastAsia="Arial Unicode MS"/>
          <w:bCs/>
          <w:lang w:eastAsia="fr-FR" w:bidi="he-IL"/>
        </w:rPr>
        <w:t xml:space="preserve"> Serait-ce la Pentecôte</w:t>
      </w:r>
      <w:r w:rsidR="00E65435">
        <w:rPr>
          <w:rFonts w:eastAsia="Arial Unicode MS"/>
          <w:bCs/>
          <w:lang w:eastAsia="fr-FR" w:bidi="he-IL"/>
        </w:rPr>
        <w:t xml:space="preserve">, </w:t>
      </w:r>
      <w:r w:rsidRPr="00C8701B">
        <w:rPr>
          <w:rFonts w:eastAsia="Arial Unicode MS"/>
          <w:bCs/>
          <w:lang w:eastAsia="fr-FR" w:bidi="he-IL"/>
        </w:rPr>
        <w:t>le</w:t>
      </w:r>
      <w:r w:rsidRPr="00DC4586">
        <w:rPr>
          <w:rStyle w:val="italicus"/>
        </w:rPr>
        <w:t xml:space="preserve"> Yôm Kippour</w:t>
      </w:r>
      <w:r w:rsidR="00E65435">
        <w:rPr>
          <w:rStyle w:val="italicus"/>
        </w:rPr>
        <w:t xml:space="preserve">, </w:t>
      </w:r>
      <w:r w:rsidRPr="00C8701B">
        <w:rPr>
          <w:rFonts w:eastAsia="Arial Unicode MS"/>
          <w:bCs/>
          <w:lang w:eastAsia="fr-FR" w:bidi="he-IL"/>
        </w:rPr>
        <w:t>la Dédicace</w:t>
      </w:r>
      <w:r w:rsidR="00E65435">
        <w:rPr>
          <w:rFonts w:eastAsia="Arial Unicode MS"/>
          <w:bCs/>
          <w:lang w:eastAsia="fr-FR" w:bidi="he-IL"/>
        </w:rPr>
        <w:t xml:space="preserve">, </w:t>
      </w:r>
      <w:r w:rsidRPr="00C8701B">
        <w:rPr>
          <w:rFonts w:eastAsia="Arial Unicode MS"/>
          <w:bCs/>
          <w:lang w:eastAsia="fr-FR" w:bidi="he-IL"/>
        </w:rPr>
        <w:t>la fête des Trompettes</w:t>
      </w:r>
      <w:r w:rsidR="00C2602D" w:rsidRPr="00C8701B">
        <w:rPr>
          <w:rFonts w:eastAsia="Arial Unicode MS"/>
          <w:bCs/>
          <w:lang w:eastAsia="fr-FR" w:bidi="he-IL"/>
        </w:rPr>
        <w:t> ?</w:t>
      </w:r>
      <w:r w:rsidRPr="00C8701B">
        <w:rPr>
          <w:rFonts w:eastAsia="Arial Unicode MS"/>
          <w:bCs/>
          <w:lang w:eastAsia="fr-FR" w:bidi="he-IL"/>
        </w:rPr>
        <w:t xml:space="preserve"> Ces divers sentiments ont été soutenus par d</w:t>
      </w:r>
      <w:r w:rsidR="00557DE0">
        <w:rPr>
          <w:rFonts w:eastAsia="Arial Unicode MS"/>
          <w:bCs/>
          <w:lang w:eastAsia="fr-FR" w:bidi="he-IL"/>
        </w:rPr>
        <w:t>’</w:t>
      </w:r>
      <w:r w:rsidRPr="00C8701B">
        <w:rPr>
          <w:rFonts w:eastAsia="Arial Unicode MS"/>
          <w:bCs/>
          <w:lang w:eastAsia="fr-FR" w:bidi="he-IL"/>
        </w:rPr>
        <w:t>excellents exégètes</w:t>
      </w:r>
      <w:r w:rsidR="00933C60" w:rsidRPr="00C406FF">
        <w:rPr>
          <w:rStyle w:val="Appelnotedebasdep"/>
        </w:rPr>
        <w:footnoteReference w:id="383"/>
      </w:r>
      <w:r w:rsidRPr="00C8701B">
        <w:rPr>
          <w:rFonts w:eastAsia="Arial Unicode MS"/>
          <w:bCs/>
          <w:lang w:eastAsia="fr-FR" w:bidi="he-IL"/>
        </w:rPr>
        <w:t>. Mais nous pensons sans hésiter</w:t>
      </w:r>
      <w:r w:rsidR="00E65435">
        <w:rPr>
          <w:rFonts w:eastAsia="Arial Unicode MS"/>
          <w:bCs/>
          <w:lang w:eastAsia="fr-FR" w:bidi="he-IL"/>
        </w:rPr>
        <w:t xml:space="preserve">, </w:t>
      </w:r>
      <w:r w:rsidRPr="00C8701B">
        <w:rPr>
          <w:rFonts w:eastAsia="Arial Unicode MS"/>
          <w:bCs/>
          <w:lang w:eastAsia="fr-FR" w:bidi="he-IL"/>
        </w:rPr>
        <w:t>à la suite de S. Irénée</w:t>
      </w:r>
      <w:r w:rsidR="00933C60" w:rsidRPr="00C406FF">
        <w:rPr>
          <w:rStyle w:val="Appelnotedebasdep"/>
        </w:rPr>
        <w:footnoteReference w:id="384"/>
      </w:r>
      <w:r w:rsidR="00E65435">
        <w:rPr>
          <w:rFonts w:eastAsia="Arial Unicode MS"/>
          <w:bCs/>
          <w:lang w:eastAsia="fr-FR" w:bidi="he-IL"/>
        </w:rPr>
        <w:t xml:space="preserve">, </w:t>
      </w:r>
      <w:r w:rsidRPr="00C8701B">
        <w:rPr>
          <w:rFonts w:eastAsia="Arial Unicode MS"/>
          <w:bCs/>
          <w:lang w:eastAsia="fr-FR" w:bidi="he-IL"/>
        </w:rPr>
        <w:t>qu</w:t>
      </w:r>
      <w:r w:rsidR="00557DE0">
        <w:rPr>
          <w:rFonts w:eastAsia="Arial Unicode MS"/>
          <w:bCs/>
          <w:lang w:eastAsia="fr-FR" w:bidi="he-IL"/>
        </w:rPr>
        <w:t>’</w:t>
      </w:r>
      <w:r w:rsidRPr="00C8701B">
        <w:rPr>
          <w:rFonts w:eastAsia="Arial Unicode MS"/>
          <w:bCs/>
          <w:lang w:eastAsia="fr-FR" w:bidi="he-IL"/>
        </w:rPr>
        <w:t>il s</w:t>
      </w:r>
      <w:r w:rsidR="00557DE0">
        <w:rPr>
          <w:rFonts w:eastAsia="Arial Unicode MS"/>
          <w:bCs/>
          <w:lang w:eastAsia="fr-FR" w:bidi="he-IL"/>
        </w:rPr>
        <w:t>’</w:t>
      </w:r>
      <w:r w:rsidRPr="00C8701B">
        <w:rPr>
          <w:rFonts w:eastAsia="Arial Unicode MS"/>
          <w:bCs/>
          <w:lang w:eastAsia="fr-FR" w:bidi="he-IL"/>
        </w:rPr>
        <w:t>agit d</w:t>
      </w:r>
      <w:r w:rsidR="00557DE0">
        <w:rPr>
          <w:rFonts w:eastAsia="Arial Unicode MS"/>
          <w:bCs/>
          <w:lang w:eastAsia="fr-FR" w:bidi="he-IL"/>
        </w:rPr>
        <w:t>’</w:t>
      </w:r>
      <w:r w:rsidR="00A319EA">
        <w:rPr>
          <w:rFonts w:eastAsia="Arial Unicode MS"/>
          <w:bCs/>
          <w:lang w:eastAsia="fr-FR" w:bidi="he-IL"/>
        </w:rPr>
        <w:t>une autre Pâque,</w:t>
      </w:r>
      <w:r w:rsidRPr="00C8701B">
        <w:rPr>
          <w:rFonts w:eastAsia="Arial Unicode MS"/>
          <w:bCs/>
          <w:lang w:eastAsia="fr-FR" w:bidi="he-IL"/>
        </w:rPr>
        <w:t xml:space="preserve"> à intercaler entre celles des chapitre</w:t>
      </w:r>
      <w:r w:rsidR="00C21120" w:rsidRPr="00C8701B">
        <w:rPr>
          <w:rFonts w:eastAsia="Arial Unicode MS"/>
          <w:bCs/>
          <w:lang w:eastAsia="fr-FR" w:bidi="he-IL"/>
        </w:rPr>
        <w:t>s</w:t>
      </w:r>
      <w:r w:rsidR="00C21120">
        <w:rPr>
          <w:rFonts w:eastAsia="Arial Unicode MS"/>
          <w:bCs/>
          <w:lang w:eastAsia="fr-FR" w:bidi="he-IL"/>
        </w:rPr>
        <w:t xml:space="preserve"> </w:t>
      </w:r>
      <w:r w:rsidR="00A319EA">
        <w:rPr>
          <w:rFonts w:eastAsia="Arial Unicode MS"/>
          <w:bCs/>
          <w:lang w:eastAsia="fr-FR" w:bidi="he-IL"/>
        </w:rPr>
        <w:t>II</w:t>
      </w:r>
      <w:r w:rsidR="00C21120">
        <w:rPr>
          <w:rFonts w:eastAsia="Arial Unicode MS"/>
          <w:bCs/>
          <w:lang w:eastAsia="fr-FR" w:bidi="he-IL"/>
        </w:rPr>
        <w:t xml:space="preserve"> </w:t>
      </w:r>
      <w:r w:rsidR="00C21120" w:rsidRPr="00C8701B">
        <w:rPr>
          <w:rFonts w:eastAsia="Arial Unicode MS"/>
          <w:bCs/>
          <w:lang w:eastAsia="fr-FR" w:bidi="he-IL"/>
        </w:rPr>
        <w:t>e</w:t>
      </w:r>
      <w:r w:rsidRPr="00C8701B">
        <w:rPr>
          <w:rFonts w:eastAsia="Arial Unicode MS"/>
          <w:bCs/>
          <w:lang w:eastAsia="fr-FR" w:bidi="he-IL"/>
        </w:rPr>
        <w:t xml:space="preserve">t </w:t>
      </w:r>
      <w:r w:rsidR="00A319EA">
        <w:rPr>
          <w:rFonts w:eastAsia="Arial Unicode MS"/>
          <w:bCs/>
          <w:lang w:eastAsia="fr-FR" w:bidi="he-IL"/>
        </w:rPr>
        <w:t>VI</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ce qui fait quatre Pâques en tout pour la vie publique de Jésus</w:t>
      </w:r>
      <w:r w:rsidR="00E65435">
        <w:rPr>
          <w:rFonts w:eastAsia="Arial Unicode MS"/>
          <w:bCs/>
          <w:lang w:eastAsia="fr-FR" w:bidi="he-IL"/>
        </w:rPr>
        <w:t xml:space="preserve">, </w:t>
      </w:r>
      <w:r w:rsidRPr="00C8701B">
        <w:rPr>
          <w:rFonts w:eastAsia="Arial Unicode MS"/>
          <w:bCs/>
          <w:lang w:eastAsia="fr-FR" w:bidi="he-IL"/>
        </w:rPr>
        <w:t>par conséquent trois années complètes</w:t>
      </w:r>
      <w:r w:rsidR="00E65435">
        <w:rPr>
          <w:rFonts w:eastAsia="Arial Unicode MS"/>
          <w:bCs/>
          <w:lang w:eastAsia="fr-FR" w:bidi="he-IL"/>
        </w:rPr>
        <w:t xml:space="preserve">, </w:t>
      </w:r>
      <w:r w:rsidRPr="00C8701B">
        <w:rPr>
          <w:rFonts w:eastAsia="Arial Unicode MS"/>
          <w:bCs/>
          <w:lang w:eastAsia="fr-FR" w:bidi="he-IL"/>
        </w:rPr>
        <w:t>de 780 à 783 u. c. (27 à 30 de l</w:t>
      </w:r>
      <w:r w:rsidR="00557DE0">
        <w:rPr>
          <w:rFonts w:eastAsia="Arial Unicode MS"/>
          <w:bCs/>
          <w:lang w:eastAsia="fr-FR" w:bidi="he-IL"/>
        </w:rPr>
        <w:t>’</w:t>
      </w:r>
      <w:r w:rsidRPr="00C8701B">
        <w:rPr>
          <w:rFonts w:eastAsia="Arial Unicode MS"/>
          <w:bCs/>
          <w:lang w:eastAsia="fr-FR" w:bidi="he-IL"/>
        </w:rPr>
        <w:t>ère vulgaire)</w:t>
      </w:r>
      <w:r w:rsidR="00E65435">
        <w:rPr>
          <w:rFonts w:eastAsia="Arial Unicode MS"/>
          <w:bCs/>
          <w:lang w:eastAsia="fr-FR" w:bidi="he-IL"/>
        </w:rPr>
        <w:t xml:space="preserve">, </w:t>
      </w:r>
      <w:r w:rsidRPr="00C8701B">
        <w:rPr>
          <w:rFonts w:eastAsia="Arial Unicode MS"/>
          <w:bCs/>
          <w:lang w:eastAsia="fr-FR" w:bidi="he-IL"/>
        </w:rPr>
        <w:t>entre la première Pâque</w:t>
      </w:r>
      <w:r w:rsidR="00E65435">
        <w:rPr>
          <w:rFonts w:eastAsia="Arial Unicode MS"/>
          <w:bCs/>
          <w:lang w:eastAsia="fr-FR" w:bidi="he-IL"/>
        </w:rPr>
        <w:t xml:space="preserve">, </w:t>
      </w:r>
      <w:r w:rsidR="003A07A7">
        <w:rPr>
          <w:rFonts w:eastAsia="Arial Unicode MS"/>
          <w:bCs/>
          <w:lang w:eastAsia="fr-FR" w:bidi="he-IL"/>
        </w:rPr>
        <w:t>Joan. II,</w:t>
      </w:r>
      <w:r w:rsidR="00E65435">
        <w:rPr>
          <w:rFonts w:eastAsia="Arial Unicode MS"/>
          <w:bCs/>
          <w:lang w:eastAsia="fr-FR" w:bidi="he-IL"/>
        </w:rPr>
        <w:t xml:space="preserve"> </w:t>
      </w:r>
      <w:r w:rsidRPr="00C8701B">
        <w:rPr>
          <w:rFonts w:eastAsia="Arial Unicode MS"/>
          <w:bCs/>
          <w:lang w:eastAsia="fr-FR" w:bidi="he-IL"/>
        </w:rPr>
        <w:t>13</w:t>
      </w:r>
      <w:r w:rsidR="00E65435">
        <w:rPr>
          <w:rFonts w:eastAsia="Arial Unicode MS"/>
          <w:bCs/>
          <w:lang w:eastAsia="fr-FR" w:bidi="he-IL"/>
        </w:rPr>
        <w:t xml:space="preserve">, </w:t>
      </w:r>
      <w:r w:rsidRPr="00C8701B">
        <w:rPr>
          <w:rFonts w:eastAsia="Arial Unicode MS"/>
          <w:bCs/>
          <w:lang w:eastAsia="fr-FR" w:bidi="he-IL"/>
        </w:rPr>
        <w:t>et la quatrième</w:t>
      </w:r>
      <w:r w:rsidR="00E65435">
        <w:rPr>
          <w:rFonts w:eastAsia="Arial Unicode MS"/>
          <w:bCs/>
          <w:lang w:eastAsia="fr-FR" w:bidi="he-IL"/>
        </w:rPr>
        <w:t xml:space="preserve">, </w:t>
      </w:r>
      <w:r w:rsidRPr="00C8701B">
        <w:rPr>
          <w:rFonts w:eastAsia="Arial Unicode MS"/>
          <w:bCs/>
          <w:lang w:eastAsia="fr-FR" w:bidi="he-IL"/>
        </w:rPr>
        <w:t xml:space="preserve">Joan. </w:t>
      </w:r>
      <w:r w:rsidR="00CB43AA">
        <w:rPr>
          <w:rFonts w:eastAsia="Arial Unicode MS"/>
          <w:bCs/>
          <w:lang w:eastAsia="fr-FR" w:bidi="he-IL"/>
        </w:rPr>
        <w:t>XII</w:t>
      </w:r>
      <w:r w:rsidR="00E65435">
        <w:rPr>
          <w:rFonts w:eastAsia="Arial Unicode MS"/>
          <w:bCs/>
          <w:lang w:eastAsia="fr-FR" w:bidi="he-IL"/>
        </w:rPr>
        <w:t xml:space="preserve">, </w:t>
      </w:r>
      <w:r w:rsidRPr="00C8701B">
        <w:rPr>
          <w:rFonts w:eastAsia="Arial Unicode MS"/>
          <w:bCs/>
          <w:lang w:eastAsia="fr-FR" w:bidi="he-IL"/>
        </w:rPr>
        <w:t>1</w:t>
      </w:r>
      <w:r w:rsidR="00E65435">
        <w:rPr>
          <w:rFonts w:eastAsia="Arial Unicode MS"/>
          <w:bCs/>
          <w:lang w:eastAsia="fr-FR" w:bidi="he-IL"/>
        </w:rPr>
        <w:t xml:space="preserve">, </w:t>
      </w:r>
      <w:r w:rsidRPr="00C8701B">
        <w:rPr>
          <w:rFonts w:eastAsia="Arial Unicode MS"/>
          <w:bCs/>
          <w:lang w:eastAsia="fr-FR" w:bidi="he-IL"/>
        </w:rPr>
        <w:t>avec quelques mois à ajouter avant la première</w:t>
      </w:r>
      <w:r w:rsidR="00E65435">
        <w:rPr>
          <w:rFonts w:eastAsia="Arial Unicode MS"/>
          <w:bCs/>
          <w:lang w:eastAsia="fr-FR" w:bidi="he-IL"/>
        </w:rPr>
        <w:t xml:space="preserve">, </w:t>
      </w:r>
      <w:r w:rsidR="00A319EA">
        <w:rPr>
          <w:rFonts w:eastAsia="Arial Unicode MS"/>
          <w:bCs/>
          <w:lang w:eastAsia="fr-FR" w:bidi="he-IL"/>
        </w:rPr>
        <w:t>pour le baptêm</w:t>
      </w:r>
      <w:r w:rsidRPr="00C8701B">
        <w:rPr>
          <w:rFonts w:eastAsia="Arial Unicode MS"/>
          <w:bCs/>
          <w:lang w:eastAsia="fr-FR" w:bidi="he-IL"/>
        </w:rPr>
        <w:t>e</w:t>
      </w:r>
      <w:r w:rsidR="00E65435">
        <w:rPr>
          <w:rFonts w:eastAsia="Arial Unicode MS"/>
          <w:bCs/>
          <w:lang w:eastAsia="fr-FR" w:bidi="he-IL"/>
        </w:rPr>
        <w:t xml:space="preserve">, </w:t>
      </w:r>
      <w:r w:rsidRPr="00C8701B">
        <w:rPr>
          <w:rFonts w:eastAsia="Arial Unicode MS"/>
          <w:bCs/>
          <w:lang w:eastAsia="fr-FR" w:bidi="he-IL"/>
        </w:rPr>
        <w:t>la tentation et divers autres faits préliminaires</w:t>
      </w:r>
      <w:r w:rsidR="00933C60" w:rsidRPr="00C406FF">
        <w:rPr>
          <w:rStyle w:val="Appelnotedebasdep"/>
        </w:rPr>
        <w:footnoteReference w:id="385"/>
      </w:r>
      <w:r w:rsidRPr="00C8701B">
        <w:rPr>
          <w:rFonts w:eastAsia="Arial Unicode MS"/>
          <w:bCs/>
          <w:lang w:eastAsia="fr-FR" w:bidi="he-IL"/>
        </w:rPr>
        <w:t>. Donc</w:t>
      </w:r>
      <w:r w:rsidR="00E65435">
        <w:rPr>
          <w:rFonts w:eastAsia="Arial Unicode MS"/>
          <w:bCs/>
          <w:lang w:eastAsia="fr-FR" w:bidi="he-IL"/>
        </w:rPr>
        <w:t xml:space="preserve">, </w:t>
      </w:r>
      <w:r w:rsidRPr="00C8701B">
        <w:rPr>
          <w:rFonts w:eastAsia="Arial Unicode MS"/>
          <w:bCs/>
          <w:lang w:eastAsia="fr-FR" w:bidi="he-IL"/>
        </w:rPr>
        <w:t>environ trois ans et demi en tout</w:t>
      </w:r>
      <w:r w:rsidR="00E65435">
        <w:rPr>
          <w:rFonts w:eastAsia="Arial Unicode MS"/>
          <w:bCs/>
          <w:lang w:eastAsia="fr-FR" w:bidi="he-IL"/>
        </w:rPr>
        <w:t xml:space="preserve">, </w:t>
      </w:r>
      <w:r w:rsidRPr="00C8701B">
        <w:rPr>
          <w:rFonts w:eastAsia="Arial Unicode MS"/>
          <w:bCs/>
          <w:lang w:eastAsia="fr-FR" w:bidi="he-IL"/>
        </w:rPr>
        <w:t>comme l</w:t>
      </w:r>
      <w:r w:rsidR="00557DE0">
        <w:rPr>
          <w:rFonts w:eastAsia="Arial Unicode MS"/>
          <w:bCs/>
          <w:lang w:eastAsia="fr-FR" w:bidi="he-IL"/>
        </w:rPr>
        <w:t>’</w:t>
      </w:r>
      <w:r w:rsidRPr="00C8701B">
        <w:rPr>
          <w:rFonts w:eastAsia="Arial Unicode MS"/>
          <w:bCs/>
          <w:lang w:eastAsia="fr-FR" w:bidi="he-IL"/>
        </w:rPr>
        <w:t>ont admis Eusèbe et S. Jérôme</w:t>
      </w:r>
      <w:r w:rsidR="00933C60" w:rsidRPr="00C406FF">
        <w:rPr>
          <w:rStyle w:val="Appelnotedebasdep"/>
        </w:rPr>
        <w:footnoteReference w:id="386"/>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A319EA">
      <w:pPr>
        <w:pStyle w:val="Titre5"/>
        <w:rPr>
          <w:lang w:eastAsia="fr-FR" w:bidi="he-IL"/>
        </w:rPr>
      </w:pPr>
      <w:r w:rsidRPr="00C8701B">
        <w:rPr>
          <w:lang w:eastAsia="fr-FR" w:bidi="he-IL"/>
        </w:rPr>
        <w:t>III.</w:t>
      </w:r>
      <w:r w:rsidR="000F7DAA">
        <w:rPr>
          <w:lang w:eastAsia="fr-FR" w:bidi="he-IL"/>
        </w:rPr>
        <w:t xml:space="preserve"> —</w:t>
      </w:r>
      <w:r w:rsidR="008D0642">
        <w:rPr>
          <w:lang w:eastAsia="fr-FR" w:bidi="he-IL"/>
        </w:rPr>
        <w:t xml:space="preserve"> </w:t>
      </w:r>
      <w:r w:rsidR="004901F4" w:rsidRPr="00C8701B">
        <w:rPr>
          <w:lang w:eastAsia="fr-FR" w:bidi="he-IL"/>
        </w:rPr>
        <w:t>L</w:t>
      </w:r>
      <w:r w:rsidR="004901F4">
        <w:rPr>
          <w:lang w:eastAsia="fr-FR" w:bidi="he-IL"/>
        </w:rPr>
        <w:t>’</w:t>
      </w:r>
      <w:r w:rsidR="004901F4" w:rsidRPr="00C8701B">
        <w:rPr>
          <w:lang w:eastAsia="fr-FR" w:bidi="he-IL"/>
        </w:rPr>
        <w:t>année de la mort de N.-S. Jésus-Christ</w:t>
      </w:r>
      <w:bookmarkStart w:id="115" w:name="evin0803"/>
      <w:bookmarkEnd w:id="115"/>
      <w:r w:rsidR="004901F4" w:rsidRPr="00C8701B">
        <w:rPr>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Sa fixation dépend</w:t>
      </w:r>
      <w:r w:rsidR="00E65435">
        <w:rPr>
          <w:rFonts w:eastAsia="Arial Unicode MS"/>
          <w:bCs/>
          <w:lang w:eastAsia="fr-FR" w:bidi="he-IL"/>
        </w:rPr>
        <w:t xml:space="preserve">, </w:t>
      </w:r>
      <w:r w:rsidRPr="00C8701B">
        <w:rPr>
          <w:rFonts w:eastAsia="Arial Unicode MS"/>
          <w:bCs/>
          <w:lang w:eastAsia="fr-FR" w:bidi="he-IL"/>
        </w:rPr>
        <w:t>nous venons de le voir</w:t>
      </w:r>
      <w:r w:rsidR="00E65435">
        <w:rPr>
          <w:rFonts w:eastAsia="Arial Unicode MS"/>
          <w:bCs/>
          <w:lang w:eastAsia="fr-FR" w:bidi="he-IL"/>
        </w:rPr>
        <w:t xml:space="preserve">, </w:t>
      </w:r>
      <w:r w:rsidRPr="00C8701B">
        <w:rPr>
          <w:rFonts w:eastAsia="Arial Unicode MS"/>
          <w:bCs/>
          <w:lang w:eastAsia="fr-FR" w:bidi="he-IL"/>
        </w:rPr>
        <w:t>de la durée qu</w:t>
      </w:r>
      <w:r w:rsidR="00557DE0">
        <w:rPr>
          <w:rFonts w:eastAsia="Arial Unicode MS"/>
          <w:bCs/>
          <w:lang w:eastAsia="fr-FR" w:bidi="he-IL"/>
        </w:rPr>
        <w:t>’</w:t>
      </w:r>
      <w:r w:rsidRPr="00C8701B">
        <w:rPr>
          <w:rFonts w:eastAsia="Arial Unicode MS"/>
          <w:bCs/>
          <w:lang w:eastAsia="fr-FR" w:bidi="he-IL"/>
        </w:rPr>
        <w:t>on aura accordée à l</w:t>
      </w:r>
      <w:r w:rsidR="00557DE0">
        <w:rPr>
          <w:rFonts w:eastAsia="Arial Unicode MS"/>
          <w:bCs/>
          <w:lang w:eastAsia="fr-FR" w:bidi="he-IL"/>
        </w:rPr>
        <w:t>’</w:t>
      </w:r>
      <w:r w:rsidRPr="00C8701B">
        <w:rPr>
          <w:rFonts w:eastAsia="Arial Unicode MS"/>
          <w:bCs/>
          <w:lang w:eastAsia="fr-FR" w:bidi="he-IL"/>
        </w:rPr>
        <w:t>ensemble de la vie publique.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Essayons</w:t>
      </w:r>
      <w:r w:rsidR="00E65435">
        <w:rPr>
          <w:rFonts w:eastAsia="Arial Unicode MS"/>
          <w:bCs/>
          <w:lang w:eastAsia="fr-FR" w:bidi="he-IL"/>
        </w:rPr>
        <w:t xml:space="preserve">, </w:t>
      </w:r>
      <w:r w:rsidRPr="00C8701B">
        <w:rPr>
          <w:rFonts w:eastAsia="Arial Unicode MS"/>
          <w:bCs/>
          <w:lang w:eastAsia="fr-FR" w:bidi="he-IL"/>
        </w:rPr>
        <w:t>comme précédemment</w:t>
      </w:r>
      <w:r w:rsidR="00E65435">
        <w:rPr>
          <w:rFonts w:eastAsia="Arial Unicode MS"/>
          <w:bCs/>
          <w:lang w:eastAsia="fr-FR" w:bidi="he-IL"/>
        </w:rPr>
        <w:t xml:space="preserve">, </w:t>
      </w:r>
      <w:r w:rsidRPr="00C8701B">
        <w:rPr>
          <w:rFonts w:eastAsia="Arial Unicode MS"/>
          <w:bCs/>
          <w:lang w:eastAsia="fr-FR" w:bidi="he-IL"/>
        </w:rPr>
        <w:t>de ne nous appuyer que sur des données solides.</w:t>
      </w:r>
      <w:r w:rsidR="00C2602D" w:rsidRPr="00C8701B">
        <w:rPr>
          <w:rFonts w:eastAsia="Arial Unicode MS"/>
          <w:bCs/>
          <w:lang w:eastAsia="fr-FR" w:bidi="he-IL"/>
        </w:rPr>
        <w:t xml:space="preserve"> </w:t>
      </w:r>
    </w:p>
    <w:p w:rsidR="00C2602D" w:rsidRPr="00C8701B" w:rsidRDefault="00A319EA" w:rsidP="00C2602D">
      <w:pPr>
        <w:rPr>
          <w:rFonts w:eastAsia="Arial Unicode MS"/>
          <w:bCs/>
          <w:lang w:eastAsia="fr-FR" w:bidi="he-IL"/>
        </w:rPr>
      </w:pPr>
      <w:r>
        <w:rPr>
          <w:rFonts w:eastAsia="Arial Unicode MS"/>
          <w:bCs/>
          <w:lang w:eastAsia="fr-FR" w:bidi="he-IL"/>
        </w:rPr>
        <w:t>Notre-Seigneur Jésus-Christ es</w:t>
      </w:r>
      <w:r w:rsidR="00B704AD" w:rsidRPr="00C8701B">
        <w:rPr>
          <w:rFonts w:eastAsia="Arial Unicode MS"/>
          <w:bCs/>
          <w:lang w:eastAsia="fr-FR" w:bidi="he-IL"/>
        </w:rPr>
        <w:t>t mort</w:t>
      </w:r>
      <w:r w:rsidR="00B704AD" w:rsidRPr="00DC4586">
        <w:rPr>
          <w:rStyle w:val="italicus"/>
        </w:rPr>
        <w:t xml:space="preserve"> sub </w:t>
      </w:r>
      <w:r>
        <w:rPr>
          <w:rStyle w:val="italicus"/>
        </w:rPr>
        <w:t xml:space="preserve">Póntio </w:t>
      </w:r>
      <w:r w:rsidR="00DF496C">
        <w:rPr>
          <w:rStyle w:val="italicus"/>
        </w:rPr>
        <w:t>Pilát</w:t>
      </w:r>
      <w:r w:rsidR="00DF496C" w:rsidRPr="00DC4586">
        <w:rPr>
          <w:rStyle w:val="italicus"/>
        </w:rPr>
        <w:t>o</w:t>
      </w:r>
      <w:r w:rsidR="00E65435">
        <w:rPr>
          <w:rStyle w:val="italicus"/>
        </w:rPr>
        <w:t xml:space="preserve">, </w:t>
      </w:r>
      <w:r w:rsidR="00B704AD" w:rsidRPr="00C8701B">
        <w:rPr>
          <w:rFonts w:eastAsia="Arial Unicode MS"/>
          <w:bCs/>
          <w:lang w:eastAsia="fr-FR" w:bidi="he-IL"/>
        </w:rPr>
        <w:t>comme nous le disons au symbole</w:t>
      </w:r>
      <w:r w:rsidR="00E65435">
        <w:rPr>
          <w:rFonts w:eastAsia="Arial Unicode MS"/>
          <w:bCs/>
          <w:lang w:eastAsia="fr-FR" w:bidi="he-IL"/>
        </w:rPr>
        <w:t xml:space="preserve">, </w:t>
      </w:r>
      <w:r w:rsidR="00B704AD" w:rsidRPr="00C8701B">
        <w:rPr>
          <w:rFonts w:eastAsia="Arial Unicode MS"/>
          <w:bCs/>
          <w:lang w:eastAsia="fr-FR" w:bidi="he-IL"/>
        </w:rPr>
        <w:t>d</w:t>
      </w:r>
      <w:r w:rsidR="00557DE0">
        <w:rPr>
          <w:rFonts w:eastAsia="Arial Unicode MS"/>
          <w:bCs/>
          <w:lang w:eastAsia="fr-FR" w:bidi="he-IL"/>
        </w:rPr>
        <w:t>’</w:t>
      </w:r>
      <w:r w:rsidR="00B704AD" w:rsidRPr="00C8701B">
        <w:rPr>
          <w:rFonts w:eastAsia="Arial Unicode MS"/>
          <w:bCs/>
          <w:lang w:eastAsia="fr-FR" w:bidi="he-IL"/>
        </w:rPr>
        <w:t>après l</w:t>
      </w:r>
      <w:r w:rsidR="00557DE0">
        <w:rPr>
          <w:rFonts w:eastAsia="Arial Unicode MS"/>
          <w:bCs/>
          <w:lang w:eastAsia="fr-FR" w:bidi="he-IL"/>
        </w:rPr>
        <w:t>’</w:t>
      </w:r>
      <w:r w:rsidR="00B704AD" w:rsidRPr="00C8701B">
        <w:rPr>
          <w:rFonts w:eastAsia="Arial Unicode MS"/>
          <w:bCs/>
          <w:lang w:eastAsia="fr-FR" w:bidi="he-IL"/>
        </w:rPr>
        <w:t>évangile</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donc</w:t>
      </w:r>
      <w:r w:rsidR="00E65435">
        <w:rPr>
          <w:rFonts w:eastAsia="Arial Unicode MS"/>
          <w:bCs/>
          <w:lang w:eastAsia="fr-FR" w:bidi="he-IL"/>
        </w:rPr>
        <w:t xml:space="preserve">, </w:t>
      </w:r>
      <w:r w:rsidR="00B704AD" w:rsidRPr="00C8701B">
        <w:rPr>
          <w:rFonts w:eastAsia="Arial Unicode MS"/>
          <w:bCs/>
          <w:lang w:eastAsia="fr-FR" w:bidi="he-IL"/>
        </w:rPr>
        <w:t>sa vie ne s</w:t>
      </w:r>
      <w:r w:rsidR="00557DE0">
        <w:rPr>
          <w:rFonts w:eastAsia="Arial Unicode MS"/>
          <w:bCs/>
          <w:lang w:eastAsia="fr-FR" w:bidi="he-IL"/>
        </w:rPr>
        <w:t>’</w:t>
      </w:r>
      <w:r>
        <w:rPr>
          <w:rFonts w:eastAsia="Arial Unicode MS"/>
          <w:bCs/>
          <w:lang w:eastAsia="fr-FR" w:bidi="he-IL"/>
        </w:rPr>
        <w:t>est pas prolongée au</w:t>
      </w:r>
      <w:r w:rsidR="00B704AD" w:rsidRPr="00C8701B">
        <w:rPr>
          <w:rFonts w:eastAsia="Arial Unicode MS"/>
          <w:bCs/>
          <w:lang w:eastAsia="fr-FR" w:bidi="he-IL"/>
        </w:rPr>
        <w:t>-delà de l</w:t>
      </w:r>
      <w:r w:rsidR="00557DE0">
        <w:rPr>
          <w:rFonts w:eastAsia="Arial Unicode MS"/>
          <w:bCs/>
          <w:lang w:eastAsia="fr-FR" w:bidi="he-IL"/>
        </w:rPr>
        <w:t>’</w:t>
      </w:r>
      <w:r w:rsidR="00B704AD" w:rsidRPr="00C8701B">
        <w:rPr>
          <w:rFonts w:eastAsia="Arial Unicode MS"/>
          <w:bCs/>
          <w:lang w:eastAsia="fr-FR" w:bidi="he-IL"/>
        </w:rPr>
        <w:t>année 36 de notre ère (789 u. c.)</w:t>
      </w:r>
      <w:r w:rsidR="00E65435">
        <w:rPr>
          <w:rFonts w:eastAsia="Arial Unicode MS"/>
          <w:bCs/>
          <w:lang w:eastAsia="fr-FR" w:bidi="he-IL"/>
        </w:rPr>
        <w:t xml:space="preserve">, </w:t>
      </w:r>
      <w:r w:rsidR="00B704AD" w:rsidRPr="00C8701B">
        <w:rPr>
          <w:rFonts w:eastAsia="Arial Unicode MS"/>
          <w:bCs/>
          <w:lang w:eastAsia="fr-FR" w:bidi="he-IL"/>
        </w:rPr>
        <w:t>puisque Ponce-Pilate gouverna la Judée jusqu</w:t>
      </w:r>
      <w:r w:rsidR="00557DE0">
        <w:rPr>
          <w:rFonts w:eastAsia="Arial Unicode MS"/>
          <w:bCs/>
          <w:lang w:eastAsia="fr-FR" w:bidi="he-IL"/>
        </w:rPr>
        <w:t>’</w:t>
      </w:r>
      <w:r w:rsidR="00B704AD" w:rsidRPr="00C8701B">
        <w:rPr>
          <w:rFonts w:eastAsia="Arial Unicode MS"/>
          <w:bCs/>
          <w:lang w:eastAsia="fr-FR" w:bidi="he-IL"/>
        </w:rPr>
        <w:t>à cette date.</w:t>
      </w:r>
      <w:r w:rsidR="00C2602D" w:rsidRPr="00C8701B">
        <w:rPr>
          <w:rFonts w:eastAsia="Arial Unicode MS"/>
          <w:bCs/>
          <w:lang w:eastAsia="fr-FR" w:bidi="he-IL"/>
        </w:rPr>
        <w:t xml:space="preserve"> </w:t>
      </w:r>
      <w:r w:rsidR="00C14040" w:rsidRPr="000716BB">
        <w:rPr>
          <w:rFonts w:eastAsia="Arial Unicode MS"/>
          <w:bCs/>
          <w:lang w:eastAsia="fr-FR" w:bidi="he-IL"/>
        </w:rPr>
        <w:t>{</w:t>
      </w:r>
      <w:r w:rsidR="00C14040">
        <w:rPr>
          <w:rFonts w:eastAsia="Arial Unicode MS"/>
          <w:bCs/>
          <w:lang w:eastAsia="fr-FR" w:bidi="he-IL"/>
        </w:rPr>
        <w:t>71</w:t>
      </w:r>
      <w:bookmarkStart w:id="116" w:name="pag071"/>
      <w:bookmarkEnd w:id="116"/>
      <w:r w:rsidR="00C14040" w:rsidRPr="000716BB">
        <w:rPr>
          <w:rFonts w:eastAsia="Arial Unicode MS"/>
          <w:bCs/>
          <w:lang w:eastAsia="fr-FR" w:bidi="he-IL"/>
        </w:rPr>
        <w:t>}</w:t>
      </w:r>
    </w:p>
    <w:p w:rsidR="00C2602D" w:rsidRPr="00C8701B" w:rsidRDefault="00B704AD" w:rsidP="00C2602D">
      <w:pPr>
        <w:rPr>
          <w:rFonts w:eastAsia="Arial Unicode MS"/>
          <w:bCs/>
          <w:lang w:eastAsia="fr-FR" w:bidi="he-IL"/>
        </w:rPr>
      </w:pPr>
      <w:r w:rsidRPr="00C8701B">
        <w:rPr>
          <w:rFonts w:eastAsia="Arial Unicode MS"/>
          <w:bCs/>
          <w:lang w:eastAsia="fr-FR" w:bidi="he-IL"/>
        </w:rPr>
        <w:t>D</w:t>
      </w:r>
      <w:r w:rsidR="00557DE0">
        <w:rPr>
          <w:rFonts w:eastAsia="Arial Unicode MS"/>
          <w:bCs/>
          <w:lang w:eastAsia="fr-FR" w:bidi="he-IL"/>
        </w:rPr>
        <w:t>’</w:t>
      </w:r>
      <w:r w:rsidR="00A319EA">
        <w:rPr>
          <w:rFonts w:eastAsia="Arial Unicode MS"/>
          <w:bCs/>
          <w:lang w:eastAsia="fr-FR" w:bidi="he-IL"/>
        </w:rPr>
        <w:t>un autre côt</w:t>
      </w:r>
      <w:r w:rsidRPr="00C8701B">
        <w:rPr>
          <w:rFonts w:eastAsia="Arial Unicode MS"/>
          <w:bCs/>
          <w:lang w:eastAsia="fr-FR" w:bidi="he-IL"/>
        </w:rPr>
        <w:t>é</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après les quatre évangélistes</w:t>
      </w:r>
      <w:r w:rsidR="00E65435">
        <w:rPr>
          <w:rFonts w:eastAsia="Arial Unicode MS"/>
          <w:bCs/>
          <w:lang w:eastAsia="fr-FR" w:bidi="he-IL"/>
        </w:rPr>
        <w:t xml:space="preserve">, </w:t>
      </w:r>
      <w:r w:rsidRPr="00C8701B">
        <w:rPr>
          <w:rFonts w:eastAsia="Arial Unicode MS"/>
          <w:bCs/>
          <w:lang w:eastAsia="fr-FR" w:bidi="he-IL"/>
        </w:rPr>
        <w:t>Jésus est mort un vendredi</w:t>
      </w:r>
      <w:r w:rsidR="00933C60" w:rsidRPr="00C406FF">
        <w:rPr>
          <w:rStyle w:val="Appelnotedebasdep"/>
        </w:rPr>
        <w:footnoteReference w:id="387"/>
      </w:r>
      <w:r w:rsidR="00E65435">
        <w:rPr>
          <w:rFonts w:eastAsia="Arial Unicode MS"/>
          <w:bCs/>
          <w:lang w:eastAsia="fr-FR" w:bidi="he-IL"/>
        </w:rPr>
        <w:t xml:space="preserve">, </w:t>
      </w:r>
      <w:r w:rsidRPr="00C8701B">
        <w:rPr>
          <w:rFonts w:eastAsia="Arial Unicode MS"/>
          <w:bCs/>
          <w:lang w:eastAsia="fr-FR" w:bidi="he-IL"/>
        </w:rPr>
        <w:t>le jour le plus solennel de la Pâque juive</w:t>
      </w:r>
      <w:r w:rsidR="00E65435">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est-à-dire le 15 nisan. Si l</w:t>
      </w:r>
      <w:r w:rsidR="00557DE0">
        <w:rPr>
          <w:rFonts w:eastAsia="Arial Unicode MS"/>
          <w:bCs/>
          <w:lang w:eastAsia="fr-FR" w:bidi="he-IL"/>
        </w:rPr>
        <w:t>’</w:t>
      </w:r>
      <w:r w:rsidRPr="00C8701B">
        <w:rPr>
          <w:rFonts w:eastAsia="Arial Unicode MS"/>
          <w:bCs/>
          <w:lang w:eastAsia="fr-FR" w:bidi="he-IL"/>
        </w:rPr>
        <w:t xml:space="preserve">on calcule les années où le 15 nisan tomba un vendredi durant le dernier quart du </w:t>
      </w:r>
      <w:r w:rsidR="00A319EA">
        <w:rPr>
          <w:rFonts w:eastAsia="Arial Unicode MS"/>
          <w:bCs/>
          <w:lang w:eastAsia="fr-FR" w:bidi="he-IL"/>
        </w:rPr>
        <w:t>VIII</w:t>
      </w:r>
      <w:r w:rsidRPr="00C8701B">
        <w:rPr>
          <w:rFonts w:eastAsia="Arial Unicode MS"/>
          <w:bCs/>
          <w:vertAlign w:val="superscript"/>
          <w:lang w:eastAsia="fr-FR" w:bidi="he-IL"/>
        </w:rPr>
        <w:t>e</w:t>
      </w:r>
      <w:r w:rsidRPr="00C8701B">
        <w:rPr>
          <w:rFonts w:eastAsia="Arial Unicode MS"/>
          <w:bCs/>
          <w:lang w:eastAsia="fr-FR" w:bidi="he-IL"/>
        </w:rPr>
        <w:t xml:space="preserve"> siècle de Rome</w:t>
      </w:r>
      <w:r w:rsidR="00E65435">
        <w:rPr>
          <w:rFonts w:eastAsia="Arial Unicode MS"/>
          <w:bCs/>
          <w:lang w:eastAsia="fr-FR" w:bidi="he-IL"/>
        </w:rPr>
        <w:t xml:space="preserve">, </w:t>
      </w:r>
      <w:r w:rsidRPr="00C8701B">
        <w:rPr>
          <w:rFonts w:eastAsia="Arial Unicode MS"/>
          <w:bCs/>
          <w:lang w:eastAsia="fr-FR" w:bidi="he-IL"/>
        </w:rPr>
        <w:t xml:space="preserve">on trouve précisément </w:t>
      </w:r>
      <w:r w:rsidR="00DF496C" w:rsidRPr="00C8701B">
        <w:rPr>
          <w:rFonts w:eastAsia="Arial Unicode MS"/>
          <w:bCs/>
          <w:lang w:eastAsia="fr-FR" w:bidi="he-IL"/>
        </w:rPr>
        <w:t>l’année</w:t>
      </w:r>
      <w:r w:rsidRPr="00C8701B">
        <w:rPr>
          <w:rFonts w:eastAsia="Arial Unicode MS"/>
          <w:bCs/>
          <w:lang w:eastAsia="fr-FR" w:bidi="he-IL"/>
        </w:rPr>
        <w:t xml:space="preserve"> 783</w:t>
      </w:r>
      <w:r w:rsidR="00E65435">
        <w:rPr>
          <w:rFonts w:eastAsia="Arial Unicode MS"/>
          <w:bCs/>
          <w:lang w:eastAsia="fr-FR" w:bidi="he-IL"/>
        </w:rPr>
        <w:t xml:space="preserve">, </w:t>
      </w:r>
      <w:r w:rsidRPr="00C8701B">
        <w:rPr>
          <w:rFonts w:eastAsia="Arial Unicode MS"/>
          <w:bCs/>
          <w:lang w:eastAsia="fr-FR" w:bidi="he-IL"/>
        </w:rPr>
        <w:t>la trentième de l</w:t>
      </w:r>
      <w:r w:rsidR="00557DE0">
        <w:rPr>
          <w:rFonts w:eastAsia="Arial Unicode MS"/>
          <w:bCs/>
          <w:lang w:eastAsia="fr-FR" w:bidi="he-IL"/>
        </w:rPr>
        <w:t>’</w:t>
      </w:r>
      <w:r w:rsidRPr="00C8701B">
        <w:rPr>
          <w:rFonts w:eastAsia="Arial Unicode MS"/>
          <w:bCs/>
          <w:lang w:eastAsia="fr-FR" w:bidi="he-IL"/>
        </w:rPr>
        <w:t>ère vulgaire (le 7 avril)</w:t>
      </w:r>
      <w:r w:rsidR="00E65435">
        <w:rPr>
          <w:rFonts w:eastAsia="Arial Unicode MS"/>
          <w:bCs/>
          <w:lang w:eastAsia="fr-FR" w:bidi="he-IL"/>
        </w:rPr>
        <w:t xml:space="preserve">, </w:t>
      </w:r>
      <w:r w:rsidRPr="00C8701B">
        <w:rPr>
          <w:rFonts w:eastAsia="Arial Unicode MS"/>
          <w:bCs/>
          <w:lang w:eastAsia="fr-FR" w:bidi="he-IL"/>
        </w:rPr>
        <w:t>à laquelle nous avaient conduit nos précédents calculs.</w:t>
      </w:r>
      <w:r w:rsidR="00C2602D" w:rsidRPr="00C8701B">
        <w:rPr>
          <w:rFonts w:eastAsia="Arial Unicode MS"/>
          <w:bCs/>
          <w:lang w:eastAsia="fr-FR" w:bidi="he-IL"/>
        </w:rPr>
        <w:t xml:space="preserve"> </w:t>
      </w:r>
    </w:p>
    <w:p w:rsidR="00A319EA" w:rsidRDefault="00B704AD" w:rsidP="00A319EA">
      <w:pPr>
        <w:rPr>
          <w:rFonts w:eastAsia="Arial Unicode MS"/>
          <w:bCs/>
          <w:lang w:eastAsia="fr-FR" w:bidi="he-IL"/>
        </w:rPr>
      </w:pPr>
      <w:r w:rsidRPr="00C8701B">
        <w:rPr>
          <w:rFonts w:eastAsia="Arial Unicode MS"/>
          <w:bCs/>
          <w:lang w:eastAsia="fr-FR" w:bidi="he-IL"/>
        </w:rPr>
        <w:t>Il est aisé de déterminer</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après cela</w:t>
      </w:r>
      <w:r w:rsidR="00E65435">
        <w:rPr>
          <w:rFonts w:eastAsia="Arial Unicode MS"/>
          <w:bCs/>
          <w:lang w:eastAsia="fr-FR" w:bidi="he-IL"/>
        </w:rPr>
        <w:t xml:space="preserve">, </w:t>
      </w:r>
      <w:r w:rsidRPr="00C8701B">
        <w:rPr>
          <w:rFonts w:eastAsia="Arial Unicode MS"/>
          <w:bCs/>
          <w:lang w:eastAsia="fr-FR" w:bidi="he-IL"/>
        </w:rPr>
        <w:t xml:space="preserve">le nombre total des </w:t>
      </w:r>
      <w:r w:rsidR="00DF496C" w:rsidRPr="00C8701B">
        <w:rPr>
          <w:rFonts w:eastAsia="Arial Unicode MS"/>
          <w:bCs/>
          <w:lang w:eastAsia="fr-FR" w:bidi="he-IL"/>
        </w:rPr>
        <w:t>années</w:t>
      </w:r>
      <w:r w:rsidRPr="00C8701B">
        <w:rPr>
          <w:rFonts w:eastAsia="Arial Unicode MS"/>
          <w:bCs/>
          <w:lang w:eastAsia="fr-FR" w:bidi="he-IL"/>
        </w:rPr>
        <w:t xml:space="preserve"> de N.-S. Jésus-Christ. Né le 25 décembre 749</w:t>
      </w:r>
      <w:r w:rsidR="00E65435">
        <w:rPr>
          <w:rFonts w:eastAsia="Arial Unicode MS"/>
          <w:bCs/>
          <w:lang w:eastAsia="fr-FR" w:bidi="he-IL"/>
        </w:rPr>
        <w:t xml:space="preserve">, </w:t>
      </w:r>
      <w:r w:rsidRPr="00C8701B">
        <w:rPr>
          <w:rFonts w:eastAsia="Arial Unicode MS"/>
          <w:bCs/>
          <w:lang w:eastAsia="fr-FR" w:bidi="he-IL"/>
        </w:rPr>
        <w:t>il avait</w:t>
      </w:r>
      <w:r w:rsidR="00E65435">
        <w:rPr>
          <w:rFonts w:eastAsia="Arial Unicode MS"/>
          <w:bCs/>
          <w:lang w:eastAsia="fr-FR" w:bidi="he-IL"/>
        </w:rPr>
        <w:t xml:space="preserve">, </w:t>
      </w:r>
      <w:r w:rsidRPr="00C8701B">
        <w:rPr>
          <w:rFonts w:eastAsia="Arial Unicode MS"/>
          <w:bCs/>
          <w:lang w:eastAsia="fr-FR" w:bidi="he-IL"/>
        </w:rPr>
        <w:t>le 7 avril 783</w:t>
      </w:r>
      <w:r w:rsidR="00E65435">
        <w:rPr>
          <w:rFonts w:eastAsia="Arial Unicode MS"/>
          <w:bCs/>
          <w:lang w:eastAsia="fr-FR" w:bidi="he-IL"/>
        </w:rPr>
        <w:t xml:space="preserve">, </w:t>
      </w:r>
      <w:r w:rsidRPr="00C8701B">
        <w:rPr>
          <w:rFonts w:eastAsia="Arial Unicode MS"/>
          <w:bCs/>
          <w:lang w:eastAsia="fr-FR" w:bidi="he-IL"/>
        </w:rPr>
        <w:t>jour de sa mort</w:t>
      </w:r>
      <w:r w:rsidR="00E65435">
        <w:rPr>
          <w:rFonts w:eastAsia="Arial Unicode MS"/>
          <w:bCs/>
          <w:lang w:eastAsia="fr-FR" w:bidi="he-IL"/>
        </w:rPr>
        <w:t xml:space="preserve">, </w:t>
      </w:r>
      <w:r w:rsidRPr="00C8701B">
        <w:rPr>
          <w:rFonts w:eastAsia="Arial Unicode MS"/>
          <w:bCs/>
          <w:lang w:eastAsia="fr-FR" w:bidi="he-IL"/>
        </w:rPr>
        <w:t>trente-trois ans</w:t>
      </w:r>
      <w:r w:rsidR="00E65435">
        <w:rPr>
          <w:rFonts w:eastAsia="Arial Unicode MS"/>
          <w:bCs/>
          <w:lang w:eastAsia="fr-FR" w:bidi="he-IL"/>
        </w:rPr>
        <w:t xml:space="preserve">, </w:t>
      </w:r>
      <w:r w:rsidRPr="00C8701B">
        <w:rPr>
          <w:rFonts w:eastAsia="Arial Unicode MS"/>
          <w:bCs/>
          <w:lang w:eastAsia="fr-FR" w:bidi="he-IL"/>
        </w:rPr>
        <w:t>trois mois</w:t>
      </w:r>
      <w:r w:rsidR="00E65435">
        <w:rPr>
          <w:rFonts w:eastAsia="Arial Unicode MS"/>
          <w:bCs/>
          <w:lang w:eastAsia="fr-FR" w:bidi="he-IL"/>
        </w:rPr>
        <w:t xml:space="preserve">, </w:t>
      </w:r>
      <w:r w:rsidRPr="00C8701B">
        <w:rPr>
          <w:rFonts w:eastAsia="Arial Unicode MS"/>
          <w:bCs/>
          <w:lang w:eastAsia="fr-FR" w:bidi="he-IL"/>
        </w:rPr>
        <w:t>treize jours</w:t>
      </w:r>
      <w:r w:rsidR="00933C60" w:rsidRPr="00C406FF">
        <w:rPr>
          <w:rStyle w:val="Appelnotedebasdep"/>
        </w:rPr>
        <w:footnoteReference w:id="388"/>
      </w:r>
    </w:p>
    <w:p w:rsidR="00C2602D" w:rsidRPr="00C8701B" w:rsidRDefault="00A319EA" w:rsidP="003A68DB">
      <w:pPr>
        <w:pStyle w:val="Titre4"/>
        <w:rPr>
          <w:lang w:eastAsia="fr-FR" w:bidi="he-IL"/>
        </w:rPr>
      </w:pPr>
      <w:bookmarkStart w:id="117" w:name="_Toc526755723"/>
      <w:r>
        <w:rPr>
          <w:rFonts w:eastAsia="Arial Unicode MS"/>
          <w:bCs/>
          <w:lang w:eastAsia="fr-FR" w:bidi="he-IL"/>
        </w:rPr>
        <w:t>§</w:t>
      </w:r>
      <w:r w:rsidR="00B704AD" w:rsidRPr="00C8701B">
        <w:rPr>
          <w:rFonts w:eastAsia="Arial Unicode MS"/>
          <w:bCs/>
          <w:lang w:eastAsia="fr-FR" w:bidi="he-IL"/>
        </w:rPr>
        <w:t xml:space="preserve"> IX.</w:t>
      </w:r>
      <w:r w:rsidR="000F7DAA">
        <w:rPr>
          <w:rFonts w:eastAsia="Arial Unicode MS"/>
          <w:bCs/>
          <w:lang w:eastAsia="fr-FR" w:bidi="he-IL"/>
        </w:rPr>
        <w:t xml:space="preserve"> —</w:t>
      </w:r>
      <w:r w:rsidR="008D0642">
        <w:rPr>
          <w:rFonts w:eastAsia="Arial Unicode MS"/>
          <w:bCs/>
          <w:lang w:eastAsia="fr-FR" w:bidi="he-IL"/>
        </w:rPr>
        <w:t xml:space="preserve"> </w:t>
      </w:r>
      <w:r w:rsidR="00B704AD" w:rsidRPr="00C8701B">
        <w:rPr>
          <w:rFonts w:eastAsia="Arial Unicode MS"/>
          <w:bCs/>
          <w:lang w:eastAsia="fr-FR" w:bidi="he-IL"/>
        </w:rPr>
        <w:t>LE TEXTE PRIMITIF DES ÉVANGILES ET LA CRITIQUE DU TEXTE</w:t>
      </w:r>
      <w:r w:rsidR="00933C60" w:rsidRPr="00C406FF">
        <w:rPr>
          <w:rStyle w:val="Appelnotedebasdep"/>
        </w:rPr>
        <w:footnoteReference w:id="389"/>
      </w:r>
      <w:r w:rsidR="00B704AD" w:rsidRPr="00C8701B">
        <w:rPr>
          <w:rFonts w:eastAsia="Arial Unicode MS"/>
          <w:bCs/>
          <w:lang w:eastAsia="fr-FR" w:bidi="he-IL"/>
        </w:rPr>
        <w:t>.</w:t>
      </w:r>
      <w:bookmarkStart w:id="118" w:name="evin09"/>
      <w:bookmarkEnd w:id="117"/>
      <w:bookmarkEnd w:id="118"/>
      <w:r w:rsidR="00C2602D" w:rsidRPr="00C8701B">
        <w:rPr>
          <w:rFonts w:eastAsia="Arial Unicode MS"/>
          <w:bCs/>
          <w:lang w:eastAsia="fr-FR" w:bidi="he-IL"/>
        </w:rPr>
        <w:t xml:space="preserve"> </w:t>
      </w:r>
    </w:p>
    <w:p w:rsidR="00A319EA" w:rsidRDefault="00A319EA" w:rsidP="00C2602D">
      <w:pPr>
        <w:rPr>
          <w:rFonts w:eastAsia="Arial Unicode MS"/>
          <w:bCs/>
          <w:lang w:eastAsia="fr-FR" w:bidi="he-IL"/>
        </w:rPr>
      </w:pPr>
      <w:r w:rsidRPr="00A319EA">
        <w:t>1°</w:t>
      </w:r>
      <w:r w:rsidR="00B704AD" w:rsidRPr="00A319EA">
        <w:t xml:space="preserve"> Nous avons dit et démontré</w:t>
      </w:r>
      <w:r w:rsidR="00E65435" w:rsidRPr="00A319EA">
        <w:t xml:space="preserve">, </w:t>
      </w:r>
      <w:r w:rsidR="00B704AD" w:rsidRPr="00A319EA">
        <w:t xml:space="preserve">dans chacune </w:t>
      </w:r>
      <w:r w:rsidR="00B704AD" w:rsidRPr="00C8701B">
        <w:rPr>
          <w:rFonts w:eastAsia="Arial Unicode MS"/>
          <w:bCs/>
          <w:lang w:eastAsia="fr-FR" w:bidi="he-IL"/>
        </w:rPr>
        <w:t>de nos introductions spéciales</w:t>
      </w:r>
      <w:r w:rsidR="00933C60" w:rsidRPr="00C406FF">
        <w:rPr>
          <w:rStyle w:val="Appelnotedebasdep"/>
        </w:rPr>
        <w:footnoteReference w:id="390"/>
      </w:r>
      <w:r w:rsidR="00E65435">
        <w:rPr>
          <w:rFonts w:eastAsia="Arial Unicode MS"/>
          <w:bCs/>
          <w:lang w:eastAsia="fr-FR" w:bidi="he-IL"/>
        </w:rPr>
        <w:t xml:space="preserve">, </w:t>
      </w:r>
      <w:r>
        <w:rPr>
          <w:rFonts w:eastAsia="Arial Unicode MS"/>
          <w:bCs/>
          <w:lang w:eastAsia="fr-FR" w:bidi="he-IL"/>
        </w:rPr>
        <w:t>que S. Matthieu com</w:t>
      </w:r>
      <w:r w:rsidR="00B704AD" w:rsidRPr="00C8701B">
        <w:rPr>
          <w:rFonts w:eastAsia="Arial Unicode MS"/>
          <w:bCs/>
          <w:lang w:eastAsia="fr-FR" w:bidi="he-IL"/>
        </w:rPr>
        <w:t>posa son évangile en hébreu</w:t>
      </w:r>
      <w:r w:rsidR="00E65435">
        <w:rPr>
          <w:rFonts w:eastAsia="Arial Unicode MS"/>
          <w:bCs/>
          <w:lang w:eastAsia="fr-FR" w:bidi="he-IL"/>
        </w:rPr>
        <w:t xml:space="preserve">, </w:t>
      </w:r>
      <w:r w:rsidR="00DF496C">
        <w:rPr>
          <w:rFonts w:eastAsia="Arial Unicode MS"/>
          <w:bCs/>
          <w:lang w:eastAsia="fr-FR" w:bidi="he-IL"/>
        </w:rPr>
        <w:t>ou plutôt dans</w:t>
      </w:r>
      <w:r w:rsidR="00B704AD" w:rsidRPr="00C8701B">
        <w:rPr>
          <w:rFonts w:eastAsia="Arial Unicode MS"/>
          <w:bCs/>
          <w:lang w:eastAsia="fr-FR" w:bidi="he-IL"/>
        </w:rPr>
        <w:t xml:space="preserve"> l</w:t>
      </w:r>
      <w:r w:rsidR="00557DE0">
        <w:rPr>
          <w:rFonts w:eastAsia="Arial Unicode MS"/>
          <w:bCs/>
          <w:lang w:eastAsia="fr-FR" w:bidi="he-IL"/>
        </w:rPr>
        <w:t>’</w:t>
      </w:r>
      <w:r w:rsidR="00B704AD" w:rsidRPr="00C8701B">
        <w:rPr>
          <w:rFonts w:eastAsia="Arial Unicode MS"/>
          <w:bCs/>
          <w:lang w:eastAsia="fr-FR" w:bidi="he-IL"/>
        </w:rPr>
        <w:t>idiome araméen parlé en Palestine au temps de Jésus-Christ</w:t>
      </w:r>
      <w:r w:rsidR="00933C60" w:rsidRPr="00C406FF">
        <w:rPr>
          <w:rStyle w:val="Appelnotedebasdep"/>
        </w:rPr>
        <w:footnoteReference w:id="391"/>
      </w:r>
      <w:r w:rsidR="00E65435">
        <w:rPr>
          <w:rFonts w:eastAsia="Arial Unicode MS"/>
          <w:bCs/>
          <w:lang w:eastAsia="fr-FR" w:bidi="he-IL"/>
        </w:rPr>
        <w:t xml:space="preserve">, </w:t>
      </w:r>
      <w:r w:rsidR="00B704AD" w:rsidRPr="00C8701B">
        <w:rPr>
          <w:rFonts w:eastAsia="Arial Unicode MS"/>
          <w:bCs/>
          <w:lang w:eastAsia="fr-FR" w:bidi="he-IL"/>
        </w:rPr>
        <w:t>et que S. Marc</w:t>
      </w:r>
      <w:r w:rsidR="00E65435">
        <w:rPr>
          <w:rFonts w:eastAsia="Arial Unicode MS"/>
          <w:bCs/>
          <w:lang w:eastAsia="fr-FR" w:bidi="he-IL"/>
        </w:rPr>
        <w:t xml:space="preserve">, </w:t>
      </w:r>
      <w:r w:rsidR="00B704AD" w:rsidRPr="00C8701B">
        <w:rPr>
          <w:rFonts w:eastAsia="Arial Unicode MS"/>
          <w:bCs/>
          <w:lang w:eastAsia="fr-FR" w:bidi="he-IL"/>
        </w:rPr>
        <w:t>S. Luc et S. Jean écrivirent primitivement les leurs</w:t>
      </w:r>
      <w:r>
        <w:rPr>
          <w:rFonts w:eastAsia="Arial Unicode MS"/>
          <w:bCs/>
          <w:lang w:eastAsia="fr-FR" w:bidi="he-IL"/>
        </w:rPr>
        <w:t xml:space="preserve"> </w:t>
      </w:r>
      <w:r w:rsidR="00B704AD" w:rsidRPr="00C8701B">
        <w:rPr>
          <w:rFonts w:eastAsia="Arial Unicode MS"/>
          <w:bCs/>
          <w:lang w:eastAsia="fr-FR" w:bidi="he-IL"/>
        </w:rPr>
        <w:t>en grec</w:t>
      </w:r>
      <w:r w:rsidR="00C2602D" w:rsidRPr="00C8701B">
        <w:rPr>
          <w:rFonts w:eastAsia="Arial Unicode MS"/>
          <w:bCs/>
          <w:lang w:eastAsia="fr-FR" w:bidi="he-IL"/>
        </w:rPr>
        <w:t> </w:t>
      </w:r>
      <w:r w:rsidR="007F6508">
        <w:rPr>
          <w:rFonts w:eastAsia="Arial Unicode MS"/>
          <w:bCs/>
          <w:lang w:eastAsia="fr-FR" w:bidi="he-IL"/>
        </w:rPr>
        <w:t xml:space="preserve">; </w:t>
      </w:r>
      <w:r>
        <w:rPr>
          <w:rFonts w:eastAsia="Arial Unicode MS"/>
          <w:bCs/>
          <w:lang w:eastAsia="fr-FR" w:bidi="he-IL"/>
        </w:rPr>
        <w:t>de plus</w:t>
      </w:r>
      <w:r w:rsidR="00E65435">
        <w:rPr>
          <w:rFonts w:eastAsia="Arial Unicode MS"/>
          <w:bCs/>
          <w:lang w:eastAsia="fr-FR" w:bidi="he-IL"/>
        </w:rPr>
        <w:t xml:space="preserve">, </w:t>
      </w:r>
      <w:r w:rsidR="00B704AD" w:rsidRPr="00C8701B">
        <w:rPr>
          <w:rFonts w:eastAsia="Arial Unicode MS"/>
          <w:bCs/>
          <w:lang w:eastAsia="fr-FR" w:bidi="he-IL"/>
        </w:rPr>
        <w:t>que le texte araméen du premier évangile fut de très bonne heure traduit en grec</w:t>
      </w:r>
      <w:r w:rsidR="00933C60" w:rsidRPr="00C406FF">
        <w:rPr>
          <w:rStyle w:val="Appelnotedebasdep"/>
        </w:rPr>
        <w:footnoteReference w:id="392"/>
      </w:r>
      <w:r w:rsidR="00B704AD" w:rsidRPr="00C8701B">
        <w:rPr>
          <w:rFonts w:eastAsia="Arial Unicode MS"/>
          <w:bCs/>
          <w:lang w:eastAsia="fr-FR" w:bidi="he-IL"/>
        </w:rPr>
        <w:t>. Cette traduction ayant bientôt fait disparaître l</w:t>
      </w:r>
      <w:r w:rsidR="00557DE0">
        <w:rPr>
          <w:rFonts w:eastAsia="Arial Unicode MS"/>
          <w:bCs/>
          <w:lang w:eastAsia="fr-FR" w:bidi="he-IL"/>
        </w:rPr>
        <w:t>’</w:t>
      </w:r>
      <w:r w:rsidR="00B704AD" w:rsidRPr="00C8701B">
        <w:rPr>
          <w:rFonts w:eastAsia="Arial Unicode MS"/>
          <w:bCs/>
          <w:lang w:eastAsia="fr-FR" w:bidi="he-IL"/>
        </w:rPr>
        <w:t>original et étant devenue officielle</w:t>
      </w:r>
      <w:r w:rsidR="00E65435">
        <w:rPr>
          <w:rFonts w:eastAsia="Arial Unicode MS"/>
          <w:bCs/>
          <w:lang w:eastAsia="fr-FR" w:bidi="he-IL"/>
        </w:rPr>
        <w:t xml:space="preserve">, </w:t>
      </w:r>
      <w:r w:rsidR="00B704AD" w:rsidRPr="00C8701B">
        <w:rPr>
          <w:rFonts w:eastAsia="Arial Unicode MS"/>
          <w:bCs/>
          <w:lang w:eastAsia="fr-FR" w:bidi="he-IL"/>
        </w:rPr>
        <w:t>c</w:t>
      </w:r>
      <w:r w:rsidR="00557DE0">
        <w:rPr>
          <w:rFonts w:eastAsia="Arial Unicode MS"/>
          <w:bCs/>
          <w:lang w:eastAsia="fr-FR" w:bidi="he-IL"/>
        </w:rPr>
        <w:t>’</w:t>
      </w:r>
      <w:r w:rsidR="00B704AD" w:rsidRPr="00C8701B">
        <w:rPr>
          <w:rFonts w:eastAsia="Arial Unicode MS"/>
          <w:bCs/>
          <w:lang w:eastAsia="fr-FR" w:bidi="he-IL"/>
        </w:rPr>
        <w:t>est donc le grec qui est en réalité pour nous le texte unique.</w:t>
      </w:r>
    </w:p>
    <w:p w:rsidR="00A319EA" w:rsidRDefault="00A319EA" w:rsidP="00C2602D">
      <w:r>
        <w:rPr>
          <w:rFonts w:eastAsia="Arial Unicode MS"/>
          <w:bCs/>
          <w:lang w:eastAsia="fr-FR" w:bidi="he-IL"/>
        </w:rPr>
        <w:t>2°</w:t>
      </w:r>
      <w:r w:rsidR="00B704AD" w:rsidRPr="00C8701B">
        <w:rPr>
          <w:rFonts w:eastAsia="Arial Unicode MS"/>
          <w:bCs/>
          <w:lang w:eastAsia="fr-FR" w:bidi="he-IL"/>
        </w:rPr>
        <w:t xml:space="preserve"> Ce grec n</w:t>
      </w:r>
      <w:r w:rsidR="00557DE0">
        <w:rPr>
          <w:rFonts w:eastAsia="Arial Unicode MS"/>
          <w:bCs/>
          <w:lang w:eastAsia="fr-FR" w:bidi="he-IL"/>
        </w:rPr>
        <w:t>’</w:t>
      </w:r>
      <w:r w:rsidR="00B704AD" w:rsidRPr="00C8701B">
        <w:rPr>
          <w:rFonts w:eastAsia="Arial Unicode MS"/>
          <w:bCs/>
          <w:lang w:eastAsia="fr-FR" w:bidi="he-IL"/>
        </w:rPr>
        <w:t>est point</w:t>
      </w:r>
      <w:r w:rsidR="00E65435">
        <w:rPr>
          <w:rFonts w:eastAsia="Arial Unicode MS"/>
          <w:bCs/>
          <w:lang w:eastAsia="fr-FR" w:bidi="he-IL"/>
        </w:rPr>
        <w:t xml:space="preserve">, </w:t>
      </w:r>
      <w:r w:rsidR="00B704AD" w:rsidRPr="00C8701B">
        <w:rPr>
          <w:rFonts w:eastAsia="Arial Unicode MS"/>
          <w:bCs/>
          <w:lang w:eastAsia="fr-FR" w:bidi="he-IL"/>
        </w:rPr>
        <w:t>tant s</w:t>
      </w:r>
      <w:r w:rsidR="00557DE0">
        <w:rPr>
          <w:rFonts w:eastAsia="Arial Unicode MS"/>
          <w:bCs/>
          <w:lang w:eastAsia="fr-FR" w:bidi="he-IL"/>
        </w:rPr>
        <w:t>’</w:t>
      </w:r>
      <w:r w:rsidR="00B704AD" w:rsidRPr="00C8701B">
        <w:rPr>
          <w:rFonts w:eastAsia="Arial Unicode MS"/>
          <w:bCs/>
          <w:lang w:eastAsia="fr-FR" w:bidi="he-IL"/>
        </w:rPr>
        <w:t>en faut</w:t>
      </w:r>
      <w:r w:rsidR="00E65435">
        <w:rPr>
          <w:rFonts w:eastAsia="Arial Unicode MS"/>
          <w:bCs/>
          <w:lang w:eastAsia="fr-FR" w:bidi="he-IL"/>
        </w:rPr>
        <w:t xml:space="preserve">, </w:t>
      </w:r>
      <w:r w:rsidR="00B704AD" w:rsidRPr="00C8701B">
        <w:rPr>
          <w:rFonts w:eastAsia="Arial Unicode MS"/>
          <w:bCs/>
          <w:lang w:eastAsia="fr-FR" w:bidi="he-IL"/>
        </w:rPr>
        <w:t>celui des écrivains classiques</w:t>
      </w:r>
      <w:r w:rsidR="00E65435">
        <w:rPr>
          <w:rFonts w:eastAsia="Arial Unicode MS"/>
          <w:bCs/>
          <w:lang w:eastAsia="fr-FR" w:bidi="he-IL"/>
        </w:rPr>
        <w:t xml:space="preserve">, </w:t>
      </w:r>
      <w:r>
        <w:rPr>
          <w:rFonts w:eastAsia="Arial Unicode MS"/>
          <w:bCs/>
          <w:lang w:eastAsia="fr-FR" w:bidi="he-IL"/>
        </w:rPr>
        <w:t>c</w:t>
      </w:r>
      <w:r w:rsidR="00557DE0">
        <w:rPr>
          <w:rFonts w:eastAsia="Arial Unicode MS"/>
          <w:bCs/>
          <w:lang w:eastAsia="fr-FR" w:bidi="he-IL"/>
        </w:rPr>
        <w:t>’</w:t>
      </w:r>
      <w:r w:rsidR="00B704AD" w:rsidRPr="00C8701B">
        <w:rPr>
          <w:rFonts w:eastAsia="Arial Unicode MS"/>
          <w:bCs/>
          <w:lang w:eastAsia="fr-FR" w:bidi="he-IL"/>
        </w:rPr>
        <w:t>es</w:t>
      </w:r>
      <w:r>
        <w:rPr>
          <w:rFonts w:eastAsia="Arial Unicode MS"/>
          <w:bCs/>
          <w:lang w:eastAsia="fr-FR" w:bidi="he-IL"/>
        </w:rPr>
        <w:t>t-à</w:t>
      </w:r>
      <w:r w:rsidR="00B704AD" w:rsidRPr="00C8701B">
        <w:rPr>
          <w:rFonts w:eastAsia="Arial Unicode MS"/>
          <w:bCs/>
          <w:lang w:eastAsia="fr-FR" w:bidi="he-IL"/>
        </w:rPr>
        <w:t>-dire le dialecte attique. Il consiste dans ce qu</w:t>
      </w:r>
      <w:r w:rsidR="00557DE0">
        <w:rPr>
          <w:rFonts w:eastAsia="Arial Unicode MS"/>
          <w:bCs/>
          <w:lang w:eastAsia="fr-FR" w:bidi="he-IL"/>
        </w:rPr>
        <w:t>’</w:t>
      </w:r>
      <w:r w:rsidR="00B704AD" w:rsidRPr="00C8701B">
        <w:rPr>
          <w:rFonts w:eastAsia="Arial Unicode MS"/>
          <w:bCs/>
          <w:lang w:eastAsia="fr-FR" w:bidi="he-IL"/>
        </w:rPr>
        <w:t xml:space="preserve">on nommait </w:t>
      </w:r>
      <w:r w:rsidR="00B704AD" w:rsidRPr="00DF496C">
        <w:t>δι</w:t>
      </w:r>
      <w:r w:rsidR="00CD3C57" w:rsidRPr="00DF496C">
        <w:t>ά</w:t>
      </w:r>
      <w:r w:rsidR="00B704AD" w:rsidRPr="00DF496C">
        <w:t>λεκτος</w:t>
      </w:r>
      <w:r w:rsidR="00B704AD" w:rsidRPr="00A319EA">
        <w:t xml:space="preserve"> κοιν</w:t>
      </w:r>
      <w:r w:rsidR="00C151D4" w:rsidRPr="00A319EA">
        <w:t>ή</w:t>
      </w:r>
      <w:r w:rsidR="00E65435" w:rsidRPr="00A319EA">
        <w:t>,</w:t>
      </w:r>
      <w:r w:rsidR="00E65435">
        <w:rPr>
          <w:rFonts w:eastAsia="Arial Unicode MS"/>
          <w:bCs/>
          <w:lang w:val="el-GR" w:eastAsia="fr-FR" w:bidi="he-IL"/>
        </w:rPr>
        <w:t xml:space="preserve"> </w:t>
      </w:r>
      <w:r w:rsidR="00B704AD" w:rsidRPr="00C8701B">
        <w:rPr>
          <w:rFonts w:eastAsia="Arial Unicode MS"/>
          <w:bCs/>
          <w:lang w:eastAsia="fr-FR" w:bidi="he-IL"/>
        </w:rPr>
        <w:t>ou dialecte vulgaire et populaire</w:t>
      </w:r>
      <w:r w:rsidR="00E65435">
        <w:rPr>
          <w:rFonts w:eastAsia="Arial Unicode MS"/>
          <w:bCs/>
          <w:lang w:eastAsia="fr-FR" w:bidi="he-IL"/>
        </w:rPr>
        <w:t xml:space="preserve">, </w:t>
      </w:r>
      <w:r w:rsidR="00B704AD" w:rsidRPr="00C8701B">
        <w:rPr>
          <w:rFonts w:eastAsia="Arial Unicode MS"/>
          <w:bCs/>
          <w:lang w:eastAsia="fr-FR" w:bidi="he-IL"/>
        </w:rPr>
        <w:t>lequel se forma peu à peu</w:t>
      </w:r>
      <w:r w:rsidR="00E65435">
        <w:rPr>
          <w:rFonts w:eastAsia="Arial Unicode MS"/>
          <w:bCs/>
          <w:lang w:eastAsia="fr-FR" w:bidi="he-IL"/>
        </w:rPr>
        <w:t xml:space="preserve">, </w:t>
      </w:r>
      <w:r>
        <w:rPr>
          <w:rFonts w:eastAsia="Arial Unicode MS"/>
          <w:bCs/>
          <w:lang w:eastAsia="fr-FR" w:bidi="he-IL"/>
        </w:rPr>
        <w:t xml:space="preserve">à partir de </w:t>
      </w:r>
      <w:r w:rsidR="00B704AD" w:rsidRPr="00C8701B">
        <w:rPr>
          <w:rFonts w:eastAsia="Arial Unicode MS"/>
          <w:bCs/>
          <w:lang w:eastAsia="fr-FR" w:bidi="he-IL"/>
        </w:rPr>
        <w:t>l</w:t>
      </w:r>
      <w:r w:rsidR="00557DE0">
        <w:rPr>
          <w:rFonts w:eastAsia="Arial Unicode MS"/>
          <w:bCs/>
          <w:lang w:eastAsia="fr-FR" w:bidi="he-IL"/>
        </w:rPr>
        <w:t>’</w:t>
      </w:r>
      <w:r w:rsidR="00B704AD" w:rsidRPr="00C8701B">
        <w:rPr>
          <w:rFonts w:eastAsia="Arial Unicode MS"/>
          <w:bCs/>
          <w:lang w:eastAsia="fr-FR" w:bidi="he-IL"/>
        </w:rPr>
        <w:t>époque d</w:t>
      </w:r>
      <w:r w:rsidR="00557DE0">
        <w:rPr>
          <w:rFonts w:eastAsia="Arial Unicode MS"/>
          <w:bCs/>
          <w:lang w:eastAsia="fr-FR" w:bidi="he-IL"/>
        </w:rPr>
        <w:t>’</w:t>
      </w:r>
      <w:r w:rsidR="00B704AD" w:rsidRPr="00C8701B">
        <w:rPr>
          <w:rFonts w:eastAsia="Arial Unicode MS"/>
          <w:bCs/>
          <w:lang w:eastAsia="fr-FR" w:bidi="he-IL"/>
        </w:rPr>
        <w:t>Alexandre-le-Grand</w:t>
      </w:r>
      <w:r w:rsidR="00E65435">
        <w:rPr>
          <w:rFonts w:eastAsia="Arial Unicode MS"/>
          <w:bCs/>
          <w:lang w:eastAsia="fr-FR" w:bidi="he-IL"/>
        </w:rPr>
        <w:t xml:space="preserve">, </w:t>
      </w:r>
      <w:r w:rsidR="00B704AD" w:rsidRPr="00C8701B">
        <w:rPr>
          <w:rFonts w:eastAsia="Arial Unicode MS"/>
          <w:bCs/>
          <w:lang w:eastAsia="fr-FR" w:bidi="he-IL"/>
        </w:rPr>
        <w:t xml:space="preserve">et qui alla recevoir sa dernière forme en </w:t>
      </w:r>
      <w:r w:rsidR="00C215A6">
        <w:rPr>
          <w:rFonts w:eastAsia="Arial Unicode MS"/>
          <w:bCs/>
          <w:lang w:eastAsia="fr-FR" w:bidi="he-IL"/>
        </w:rPr>
        <w:t>Égypt</w:t>
      </w:r>
      <w:r w:rsidR="00B704AD" w:rsidRPr="00C8701B">
        <w:rPr>
          <w:rFonts w:eastAsia="Arial Unicode MS"/>
          <w:bCs/>
          <w:lang w:eastAsia="fr-FR" w:bidi="he-IL"/>
        </w:rPr>
        <w:t>e</w:t>
      </w:r>
      <w:r w:rsidR="00E65435">
        <w:rPr>
          <w:rFonts w:eastAsia="Arial Unicode MS"/>
          <w:bCs/>
          <w:lang w:eastAsia="fr-FR" w:bidi="he-IL"/>
        </w:rPr>
        <w:t xml:space="preserve">, </w:t>
      </w:r>
      <w:r w:rsidR="00B704AD" w:rsidRPr="00C8701B">
        <w:rPr>
          <w:rFonts w:eastAsia="Arial Unicode MS"/>
          <w:bCs/>
          <w:lang w:eastAsia="fr-FR" w:bidi="he-IL"/>
        </w:rPr>
        <w:t>à Alexandrie surtout. Il devint la langue des Septante</w:t>
      </w:r>
      <w:r w:rsidR="00E65435">
        <w:rPr>
          <w:rFonts w:eastAsia="Arial Unicode MS"/>
          <w:bCs/>
          <w:lang w:eastAsia="fr-FR" w:bidi="he-IL"/>
        </w:rPr>
        <w:t xml:space="preserve">, </w:t>
      </w:r>
      <w:r w:rsidR="00B704AD" w:rsidRPr="00C8701B">
        <w:rPr>
          <w:rFonts w:eastAsia="Arial Unicode MS"/>
          <w:bCs/>
          <w:lang w:eastAsia="fr-FR" w:bidi="he-IL"/>
        </w:rPr>
        <w:t>non sans se laisser imprégner d</w:t>
      </w:r>
      <w:r w:rsidR="00557DE0">
        <w:rPr>
          <w:rFonts w:eastAsia="Arial Unicode MS"/>
          <w:bCs/>
          <w:lang w:eastAsia="fr-FR" w:bidi="he-IL"/>
        </w:rPr>
        <w:t>’</w:t>
      </w:r>
      <w:r w:rsidR="00B704AD" w:rsidRPr="00C8701B">
        <w:rPr>
          <w:rFonts w:eastAsia="Arial Unicode MS"/>
          <w:bCs/>
          <w:lang w:eastAsia="fr-FR" w:bidi="he-IL"/>
        </w:rPr>
        <w:t>une senteur toute hébraïque</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il fut aussi</w:t>
      </w:r>
      <w:r w:rsidR="00E65435">
        <w:rPr>
          <w:rFonts w:eastAsia="Arial Unicode MS"/>
          <w:bCs/>
          <w:lang w:eastAsia="fr-FR" w:bidi="he-IL"/>
        </w:rPr>
        <w:t xml:space="preserve">, </w:t>
      </w:r>
      <w:r w:rsidR="00B704AD" w:rsidRPr="00C8701B">
        <w:rPr>
          <w:rFonts w:eastAsia="Arial Unicode MS"/>
          <w:bCs/>
          <w:lang w:eastAsia="fr-FR" w:bidi="he-IL"/>
        </w:rPr>
        <w:t>avec des transformations nécessitées par de nouvelles idées qu</w:t>
      </w:r>
      <w:r w:rsidR="00557DE0">
        <w:rPr>
          <w:rFonts w:eastAsia="Arial Unicode MS"/>
          <w:bCs/>
          <w:lang w:eastAsia="fr-FR" w:bidi="he-IL"/>
        </w:rPr>
        <w:t>’</w:t>
      </w:r>
      <w:r w:rsidR="00B704AD" w:rsidRPr="00C8701B">
        <w:rPr>
          <w:rFonts w:eastAsia="Arial Unicode MS"/>
          <w:bCs/>
          <w:lang w:eastAsia="fr-FR" w:bidi="he-IL"/>
        </w:rPr>
        <w:t>il fallait exprimer au moyen de mots anciens</w:t>
      </w:r>
      <w:r w:rsidR="00E65435">
        <w:rPr>
          <w:rFonts w:eastAsia="Arial Unicode MS"/>
          <w:bCs/>
          <w:lang w:eastAsia="fr-FR" w:bidi="he-IL"/>
        </w:rPr>
        <w:t xml:space="preserve">, </w:t>
      </w:r>
      <w:r w:rsidR="00B704AD" w:rsidRPr="00C8701B">
        <w:rPr>
          <w:rFonts w:eastAsia="Arial Unicode MS"/>
          <w:bCs/>
          <w:lang w:eastAsia="fr-FR" w:bidi="he-IL"/>
        </w:rPr>
        <w:t>l</w:t>
      </w:r>
      <w:r w:rsidR="00557DE0">
        <w:rPr>
          <w:rFonts w:eastAsia="Arial Unicode MS"/>
          <w:bCs/>
          <w:lang w:eastAsia="fr-FR" w:bidi="he-IL"/>
        </w:rPr>
        <w:t>’</w:t>
      </w:r>
      <w:r w:rsidR="00B704AD" w:rsidRPr="00C8701B">
        <w:rPr>
          <w:rFonts w:eastAsia="Arial Unicode MS"/>
          <w:bCs/>
          <w:lang w:eastAsia="fr-FR" w:bidi="he-IL"/>
        </w:rPr>
        <w:t>idiome du Nouveau Testament en général</w:t>
      </w:r>
      <w:r w:rsidR="00C87A2B">
        <w:rPr>
          <w:rFonts w:eastAsia="Arial Unicode MS"/>
          <w:bCs/>
          <w:lang w:eastAsia="fr-FR" w:bidi="he-IL"/>
        </w:rPr>
        <w:t>,</w:t>
      </w:r>
      <w:r w:rsidR="00E65435">
        <w:rPr>
          <w:rFonts w:eastAsia="Arial Unicode MS"/>
          <w:bCs/>
          <w:lang w:eastAsia="fr-FR" w:bidi="he-IL"/>
        </w:rPr>
        <w:t xml:space="preserve"> </w:t>
      </w:r>
      <w:r w:rsidR="00B704AD" w:rsidRPr="00C8701B">
        <w:rPr>
          <w:rFonts w:eastAsia="Arial Unicode MS"/>
          <w:bCs/>
          <w:lang w:eastAsia="fr-FR" w:bidi="he-IL"/>
        </w:rPr>
        <w:t xml:space="preserve">et des </w:t>
      </w:r>
      <w:r w:rsidR="000439E9">
        <w:rPr>
          <w:rFonts w:eastAsia="Arial Unicode MS"/>
          <w:bCs/>
          <w:lang w:eastAsia="fr-FR" w:bidi="he-IL"/>
        </w:rPr>
        <w:t>Évangile</w:t>
      </w:r>
      <w:r w:rsidR="00B704AD" w:rsidRPr="00C8701B">
        <w:rPr>
          <w:rFonts w:eastAsia="Arial Unicode MS"/>
          <w:bCs/>
          <w:lang w:eastAsia="fr-FR" w:bidi="he-IL"/>
        </w:rPr>
        <w:t>s en particulier. Depuis Scaliger</w:t>
      </w:r>
      <w:r w:rsidR="00933C60" w:rsidRPr="00C406FF">
        <w:rPr>
          <w:rStyle w:val="Appelnotedebasdep"/>
        </w:rPr>
        <w:footnoteReference w:id="393"/>
      </w:r>
      <w:r w:rsidR="00E65435">
        <w:rPr>
          <w:rFonts w:eastAsia="Arial Unicode MS"/>
          <w:bCs/>
          <w:lang w:eastAsia="fr-FR" w:bidi="he-IL"/>
        </w:rPr>
        <w:t xml:space="preserve">, </w:t>
      </w:r>
      <w:r w:rsidR="00B704AD" w:rsidRPr="00C8701B">
        <w:rPr>
          <w:rFonts w:eastAsia="Arial Unicode MS"/>
          <w:bCs/>
          <w:lang w:eastAsia="fr-FR" w:bidi="he-IL"/>
        </w:rPr>
        <w:t>il est souvent désigné par le nom de</w:t>
      </w:r>
      <w:r w:rsidR="00B704AD" w:rsidRPr="00DC4586">
        <w:rPr>
          <w:rStyle w:val="italicus"/>
        </w:rPr>
        <w:t xml:space="preserve"> grec hellénistique</w:t>
      </w:r>
      <w:r w:rsidR="00B704AD" w:rsidRPr="00A319EA">
        <w:t>.</w:t>
      </w:r>
      <w:r w:rsidRPr="00A319EA">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Ce dialecte</w:t>
      </w:r>
      <w:r w:rsidR="00E65435">
        <w:rPr>
          <w:rFonts w:eastAsia="Arial Unicode MS"/>
          <w:bCs/>
          <w:lang w:eastAsia="fr-FR" w:bidi="he-IL"/>
        </w:rPr>
        <w:t xml:space="preserve">, </w:t>
      </w:r>
      <w:r w:rsidRPr="00C8701B">
        <w:rPr>
          <w:rFonts w:eastAsia="Arial Unicode MS"/>
          <w:bCs/>
          <w:lang w:eastAsia="fr-FR" w:bidi="he-IL"/>
        </w:rPr>
        <w:t>devenu si intéressant par là-même</w:t>
      </w:r>
      <w:r w:rsidR="00E65435">
        <w:rPr>
          <w:rFonts w:eastAsia="Arial Unicode MS"/>
          <w:bCs/>
          <w:lang w:eastAsia="fr-FR" w:bidi="he-IL"/>
        </w:rPr>
        <w:t xml:space="preserve">, </w:t>
      </w:r>
      <w:r w:rsidRPr="00C8701B">
        <w:rPr>
          <w:rFonts w:eastAsia="Arial Unicode MS"/>
          <w:bCs/>
          <w:lang w:eastAsia="fr-FR" w:bidi="he-IL"/>
        </w:rPr>
        <w:t>a été l</w:t>
      </w:r>
      <w:r w:rsidR="00557DE0">
        <w:rPr>
          <w:rFonts w:eastAsia="Arial Unicode MS"/>
          <w:bCs/>
          <w:lang w:eastAsia="fr-FR" w:bidi="he-IL"/>
        </w:rPr>
        <w:t>’</w:t>
      </w:r>
      <w:r w:rsidRPr="00C8701B">
        <w:rPr>
          <w:rFonts w:eastAsia="Arial Unicode MS"/>
          <w:bCs/>
          <w:lang w:eastAsia="fr-FR" w:bidi="he-IL"/>
        </w:rPr>
        <w:t>objet d</w:t>
      </w:r>
      <w:r w:rsidR="00557DE0">
        <w:rPr>
          <w:rFonts w:eastAsia="Arial Unicode MS"/>
          <w:bCs/>
          <w:lang w:eastAsia="fr-FR" w:bidi="he-IL"/>
        </w:rPr>
        <w:t>’</w:t>
      </w:r>
      <w:r w:rsidRPr="00C8701B">
        <w:rPr>
          <w:rFonts w:eastAsia="Arial Unicode MS"/>
          <w:bCs/>
          <w:lang w:eastAsia="fr-FR" w:bidi="he-IL"/>
        </w:rPr>
        <w:t>études spéciales</w:t>
      </w:r>
      <w:r w:rsidR="00E65435">
        <w:rPr>
          <w:rFonts w:eastAsia="Arial Unicode MS"/>
          <w:bCs/>
          <w:lang w:eastAsia="fr-FR" w:bidi="he-IL"/>
        </w:rPr>
        <w:t xml:space="preserve">, </w:t>
      </w:r>
      <w:r w:rsidRPr="00C8701B">
        <w:rPr>
          <w:rFonts w:eastAsia="Arial Unicode MS"/>
          <w:bCs/>
          <w:lang w:eastAsia="fr-FR" w:bidi="he-IL"/>
        </w:rPr>
        <w:t>qui nous ont valu de précieux ouvrag</w:t>
      </w:r>
      <w:r w:rsidRPr="00A319EA">
        <w:t>es de lexicographie</w:t>
      </w:r>
      <w:r w:rsidR="00E65435" w:rsidRPr="00A319EA">
        <w:t xml:space="preserve">, </w:t>
      </w:r>
      <w:r w:rsidR="00C14040" w:rsidRPr="000716BB">
        <w:rPr>
          <w:rFonts w:eastAsia="Arial Unicode MS"/>
          <w:bCs/>
          <w:lang w:eastAsia="fr-FR" w:bidi="he-IL"/>
        </w:rPr>
        <w:t>{</w:t>
      </w:r>
      <w:r w:rsidR="00C14040">
        <w:rPr>
          <w:rFonts w:eastAsia="Arial Unicode MS"/>
          <w:bCs/>
          <w:lang w:eastAsia="fr-FR" w:bidi="he-IL"/>
        </w:rPr>
        <w:t>72</w:t>
      </w:r>
      <w:bookmarkStart w:id="119" w:name="pag072"/>
      <w:bookmarkEnd w:id="119"/>
      <w:r w:rsidR="00C14040" w:rsidRPr="000716BB">
        <w:rPr>
          <w:rFonts w:eastAsia="Arial Unicode MS"/>
          <w:bCs/>
          <w:lang w:eastAsia="fr-FR" w:bidi="he-IL"/>
        </w:rPr>
        <w:t xml:space="preserve">} </w:t>
      </w:r>
      <w:r w:rsidRPr="00A319EA">
        <w:t>de</w:t>
      </w:r>
      <w:r w:rsidR="00C2602D" w:rsidRPr="00A319EA">
        <w:t xml:space="preserve"> </w:t>
      </w:r>
      <w:r w:rsidRPr="00C8701B">
        <w:rPr>
          <w:rFonts w:eastAsia="Arial Unicode MS"/>
          <w:bCs/>
          <w:lang w:eastAsia="fr-FR" w:bidi="he-IL"/>
        </w:rPr>
        <w:t>grammaire</w:t>
      </w:r>
      <w:r w:rsidR="00E65435">
        <w:rPr>
          <w:rFonts w:eastAsia="Arial Unicode MS"/>
          <w:bCs/>
          <w:lang w:eastAsia="fr-FR" w:bidi="he-IL"/>
        </w:rPr>
        <w:t xml:space="preserve">, </w:t>
      </w:r>
      <w:r w:rsidRPr="00C8701B">
        <w:rPr>
          <w:rFonts w:eastAsia="Arial Unicode MS"/>
          <w:bCs/>
          <w:lang w:eastAsia="fr-FR" w:bidi="he-IL"/>
        </w:rPr>
        <w:t>de synonymie</w:t>
      </w:r>
      <w:r w:rsidR="00E65435">
        <w:rPr>
          <w:rFonts w:eastAsia="Arial Unicode MS"/>
          <w:bCs/>
          <w:lang w:eastAsia="fr-FR" w:bidi="he-IL"/>
        </w:rPr>
        <w:t xml:space="preserve">, </w:t>
      </w:r>
      <w:r w:rsidRPr="00C8701B">
        <w:rPr>
          <w:rFonts w:eastAsia="Arial Unicode MS"/>
          <w:bCs/>
          <w:lang w:eastAsia="fr-FR" w:bidi="he-IL"/>
        </w:rPr>
        <w:t>etc.</w:t>
      </w:r>
      <w:r w:rsidR="00E65435">
        <w:rPr>
          <w:rFonts w:eastAsia="Arial Unicode MS"/>
          <w:bCs/>
          <w:lang w:eastAsia="fr-FR" w:bidi="he-IL"/>
        </w:rPr>
        <w:t xml:space="preserve">, </w:t>
      </w:r>
      <w:r w:rsidRPr="00C8701B">
        <w:rPr>
          <w:rFonts w:eastAsia="Arial Unicode MS"/>
          <w:bCs/>
          <w:lang w:eastAsia="fr-FR" w:bidi="he-IL"/>
        </w:rPr>
        <w:t>grâce auxquels la tâche de l</w:t>
      </w:r>
      <w:r w:rsidR="00557DE0">
        <w:rPr>
          <w:rFonts w:eastAsia="Arial Unicode MS"/>
          <w:bCs/>
          <w:lang w:eastAsia="fr-FR" w:bidi="he-IL"/>
        </w:rPr>
        <w:t>’</w:t>
      </w:r>
      <w:r w:rsidRPr="00C8701B">
        <w:rPr>
          <w:rFonts w:eastAsia="Arial Unicode MS"/>
          <w:bCs/>
          <w:lang w:eastAsia="fr-FR" w:bidi="he-IL"/>
        </w:rPr>
        <w:t xml:space="preserve">exégète est </w:t>
      </w:r>
      <w:r w:rsidR="00DF496C" w:rsidRPr="00C8701B">
        <w:rPr>
          <w:rFonts w:eastAsia="Arial Unicode MS"/>
          <w:bCs/>
          <w:lang w:eastAsia="fr-FR" w:bidi="he-IL"/>
        </w:rPr>
        <w:t>singulièrement</w:t>
      </w:r>
      <w:r w:rsidRPr="00C8701B">
        <w:rPr>
          <w:rFonts w:eastAsia="Arial Unicode MS"/>
          <w:bCs/>
          <w:lang w:eastAsia="fr-FR" w:bidi="he-IL"/>
        </w:rPr>
        <w:t xml:space="preserve"> facilitée</w:t>
      </w:r>
      <w:r w:rsidR="00933C60" w:rsidRPr="00C406FF">
        <w:rPr>
          <w:rStyle w:val="Appelnotedebasdep"/>
        </w:rPr>
        <w:footnoteReference w:id="394"/>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 xml:space="preserve">3° Les manuscrits originaux des </w:t>
      </w:r>
      <w:r w:rsidR="000439E9">
        <w:rPr>
          <w:rFonts w:eastAsia="Arial Unicode MS"/>
          <w:bCs/>
          <w:lang w:eastAsia="fr-FR" w:bidi="he-IL"/>
        </w:rPr>
        <w:t>Évangile</w:t>
      </w:r>
      <w:r w:rsidRPr="00C8701B">
        <w:rPr>
          <w:rFonts w:eastAsia="Arial Unicode MS"/>
          <w:bCs/>
          <w:lang w:eastAsia="fr-FR" w:bidi="he-IL"/>
        </w:rPr>
        <w:t>s</w:t>
      </w:r>
      <w:r w:rsidR="00933C60" w:rsidRPr="00C406FF">
        <w:rPr>
          <w:rStyle w:val="Appelnotedebasdep"/>
        </w:rPr>
        <w:footnoteReference w:id="395"/>
      </w:r>
      <w:r w:rsidRPr="00C8701B">
        <w:rPr>
          <w:rFonts w:eastAsia="Arial Unicode MS"/>
          <w:bCs/>
          <w:lang w:eastAsia="fr-FR" w:bidi="he-IL"/>
        </w:rPr>
        <w:t xml:space="preserve"> paraissent avoir </w:t>
      </w:r>
      <w:r w:rsidR="00DF496C" w:rsidRPr="00C8701B">
        <w:rPr>
          <w:rFonts w:eastAsia="Arial Unicode MS"/>
          <w:bCs/>
          <w:lang w:eastAsia="fr-FR" w:bidi="he-IL"/>
        </w:rPr>
        <w:t>promptement</w:t>
      </w:r>
      <w:r w:rsidRPr="00C8701B">
        <w:rPr>
          <w:rFonts w:eastAsia="Arial Unicode MS"/>
          <w:bCs/>
          <w:lang w:eastAsia="fr-FR" w:bidi="he-IL"/>
        </w:rPr>
        <w:t xml:space="preserve"> disparu</w:t>
      </w:r>
      <w:r w:rsidR="00933C60" w:rsidRPr="00C406FF">
        <w:rPr>
          <w:rStyle w:val="Appelnotedebasdep"/>
        </w:rPr>
        <w:footnoteReference w:id="396"/>
      </w:r>
      <w:r w:rsidR="00C2602D" w:rsidRPr="00C8701B">
        <w:rPr>
          <w:rFonts w:eastAsia="Arial Unicode MS"/>
          <w:bCs/>
          <w:lang w:eastAsia="fr-FR" w:bidi="he-IL"/>
        </w:rPr>
        <w:t> </w:t>
      </w:r>
      <w:r w:rsidR="007F6508">
        <w:rPr>
          <w:rFonts w:eastAsia="Arial Unicode MS"/>
          <w:bCs/>
          <w:lang w:eastAsia="fr-FR" w:bidi="he-IL"/>
        </w:rPr>
        <w:t xml:space="preserve">; </w:t>
      </w:r>
      <w:r w:rsidR="00A319EA">
        <w:rPr>
          <w:rFonts w:eastAsia="Arial Unicode MS"/>
          <w:bCs/>
          <w:lang w:eastAsia="fr-FR" w:bidi="he-IL"/>
        </w:rPr>
        <w:t>mais on en avait fait d</w:t>
      </w:r>
      <w:r w:rsidRPr="00C8701B">
        <w:rPr>
          <w:rFonts w:eastAsia="Arial Unicode MS"/>
          <w:bCs/>
          <w:lang w:eastAsia="fr-FR" w:bidi="he-IL"/>
        </w:rPr>
        <w:t>es copies</w:t>
      </w:r>
      <w:r w:rsidR="00E65435">
        <w:rPr>
          <w:rFonts w:eastAsia="Arial Unicode MS"/>
          <w:bCs/>
          <w:lang w:eastAsia="fr-FR" w:bidi="he-IL"/>
        </w:rPr>
        <w:t xml:space="preserve">, </w:t>
      </w:r>
      <w:r w:rsidRPr="00C8701B">
        <w:rPr>
          <w:rFonts w:eastAsia="Arial Unicode MS"/>
          <w:bCs/>
          <w:lang w:eastAsia="fr-FR" w:bidi="he-IL"/>
        </w:rPr>
        <w:t>qui allèrent se multipliant de plus en plus. Toutefois</w:t>
      </w:r>
      <w:r w:rsidR="00E65435">
        <w:rPr>
          <w:rFonts w:eastAsia="Arial Unicode MS"/>
          <w:bCs/>
          <w:lang w:eastAsia="fr-FR" w:bidi="he-IL"/>
        </w:rPr>
        <w:t xml:space="preserve">, </w:t>
      </w:r>
      <w:r w:rsidRPr="00C8701B">
        <w:rPr>
          <w:rFonts w:eastAsia="Arial Unicode MS"/>
          <w:bCs/>
          <w:lang w:eastAsia="fr-FR" w:bidi="he-IL"/>
        </w:rPr>
        <w:t>Dieu ne fit pas un miracle spécial pour sauvegarder la parfaite exactitude d</w:t>
      </w:r>
      <w:r w:rsidR="00A319EA">
        <w:rPr>
          <w:rFonts w:eastAsia="Arial Unicode MS"/>
          <w:bCs/>
          <w:lang w:eastAsia="fr-FR" w:bidi="he-IL"/>
        </w:rPr>
        <w:t>u t</w:t>
      </w:r>
      <w:r w:rsidRPr="00C8701B">
        <w:rPr>
          <w:rFonts w:eastAsia="Arial Unicode MS"/>
          <w:bCs/>
          <w:lang w:eastAsia="fr-FR" w:bidi="he-IL"/>
        </w:rPr>
        <w:t>exte primitif composé sous son inspiration</w:t>
      </w:r>
      <w:r w:rsidR="00C2602D" w:rsidRPr="00C8701B">
        <w:rPr>
          <w:rFonts w:eastAsia="Arial Unicode MS"/>
          <w:bCs/>
          <w:lang w:eastAsia="fr-FR" w:bidi="he-IL"/>
        </w:rPr>
        <w:t> :</w:t>
      </w:r>
      <w:r w:rsidRPr="00C8701B">
        <w:rPr>
          <w:rFonts w:eastAsia="Arial Unicode MS"/>
          <w:bCs/>
          <w:lang w:eastAsia="fr-FR" w:bidi="he-IL"/>
        </w:rPr>
        <w:t xml:space="preserve"> les </w:t>
      </w:r>
      <w:r w:rsidR="000439E9">
        <w:rPr>
          <w:rFonts w:eastAsia="Arial Unicode MS"/>
          <w:bCs/>
          <w:lang w:eastAsia="fr-FR" w:bidi="he-IL"/>
        </w:rPr>
        <w:t>Évangile</w:t>
      </w:r>
      <w:r w:rsidRPr="00C8701B">
        <w:rPr>
          <w:rFonts w:eastAsia="Arial Unicode MS"/>
          <w:bCs/>
          <w:lang w:eastAsia="fr-FR" w:bidi="he-IL"/>
        </w:rPr>
        <w:t>s n</w:t>
      </w:r>
      <w:r w:rsidR="00557DE0">
        <w:rPr>
          <w:rFonts w:eastAsia="Arial Unicode MS"/>
          <w:bCs/>
          <w:lang w:eastAsia="fr-FR" w:bidi="he-IL"/>
        </w:rPr>
        <w:t>’</w:t>
      </w:r>
      <w:r w:rsidRPr="00C8701B">
        <w:rPr>
          <w:rFonts w:eastAsia="Arial Unicode MS"/>
          <w:bCs/>
          <w:lang w:eastAsia="fr-FR" w:bidi="he-IL"/>
        </w:rPr>
        <w:t>échappèrent donc pas au sort des livres ordinaires</w:t>
      </w:r>
      <w:r w:rsidR="00E65435">
        <w:rPr>
          <w:rFonts w:eastAsia="Arial Unicode MS"/>
          <w:bCs/>
          <w:lang w:eastAsia="fr-FR" w:bidi="he-IL"/>
        </w:rPr>
        <w:t xml:space="preserve">, </w:t>
      </w:r>
      <w:r w:rsidRPr="00C8701B">
        <w:rPr>
          <w:rFonts w:eastAsia="Arial Unicode MS"/>
          <w:bCs/>
          <w:lang w:eastAsia="fr-FR" w:bidi="he-IL"/>
        </w:rPr>
        <w:t>et des fautes</w:t>
      </w:r>
      <w:r w:rsidR="00E65435">
        <w:rPr>
          <w:rFonts w:eastAsia="Arial Unicode MS"/>
          <w:bCs/>
          <w:lang w:eastAsia="fr-FR" w:bidi="he-IL"/>
        </w:rPr>
        <w:t xml:space="preserve">, </w:t>
      </w:r>
      <w:r w:rsidRPr="00C8701B">
        <w:rPr>
          <w:rFonts w:eastAsia="Arial Unicode MS"/>
          <w:bCs/>
          <w:lang w:eastAsia="fr-FR" w:bidi="he-IL"/>
        </w:rPr>
        <w:t>assez nombreuses se glissèrent partout</w:t>
      </w:r>
      <w:r w:rsidR="00933C60" w:rsidRPr="00C406FF">
        <w:rPr>
          <w:rStyle w:val="Appelnotedebasdep"/>
        </w:rPr>
        <w:footnoteReference w:id="397"/>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Origène s</w:t>
      </w:r>
      <w:r w:rsidR="00557DE0">
        <w:rPr>
          <w:rFonts w:eastAsia="Arial Unicode MS"/>
          <w:bCs/>
          <w:lang w:eastAsia="fr-FR" w:bidi="he-IL"/>
        </w:rPr>
        <w:t>’</w:t>
      </w:r>
      <w:r w:rsidRPr="00C8701B">
        <w:rPr>
          <w:rFonts w:eastAsia="Arial Unicode MS"/>
          <w:bCs/>
          <w:lang w:eastAsia="fr-FR" w:bidi="he-IL"/>
        </w:rPr>
        <w:t>en plaignait déjà</w:t>
      </w:r>
      <w:r w:rsidR="00933C60" w:rsidRPr="00C406FF">
        <w:rPr>
          <w:rStyle w:val="Appelnotedebasdep"/>
        </w:rPr>
        <w:footnoteReference w:id="398"/>
      </w:r>
      <w:r w:rsidR="00E65435">
        <w:rPr>
          <w:rFonts w:eastAsia="Arial Unicode MS"/>
          <w:bCs/>
          <w:lang w:eastAsia="fr-FR" w:bidi="he-IL"/>
        </w:rPr>
        <w:t xml:space="preserve">, </w:t>
      </w:r>
      <w:r w:rsidRPr="00C8701B">
        <w:rPr>
          <w:rFonts w:eastAsia="Arial Unicode MS"/>
          <w:bCs/>
          <w:lang w:eastAsia="fr-FR" w:bidi="he-IL"/>
        </w:rPr>
        <w:t>et il a pris soin d</w:t>
      </w:r>
      <w:r w:rsidR="00557DE0">
        <w:rPr>
          <w:rFonts w:eastAsia="Arial Unicode MS"/>
          <w:bCs/>
          <w:lang w:eastAsia="fr-FR" w:bidi="he-IL"/>
        </w:rPr>
        <w:t>’</w:t>
      </w:r>
      <w:r w:rsidR="00A319EA">
        <w:rPr>
          <w:rFonts w:eastAsia="Arial Unicode MS"/>
          <w:bCs/>
          <w:lang w:eastAsia="fr-FR" w:bidi="he-IL"/>
        </w:rPr>
        <w:t>en noter</w:t>
      </w:r>
      <w:r w:rsidRPr="00C8701B">
        <w:rPr>
          <w:rFonts w:eastAsia="Arial Unicode MS"/>
          <w:bCs/>
          <w:lang w:eastAsia="fr-FR" w:bidi="he-IL"/>
        </w:rPr>
        <w:t xml:space="preserve"> quelques</w:t>
      </w:r>
      <w:r w:rsidR="00A319EA">
        <w:rPr>
          <w:rFonts w:eastAsia="Arial Unicode MS"/>
          <w:bCs/>
          <w:lang w:eastAsia="fr-FR" w:bidi="he-IL"/>
        </w:rPr>
        <w:t>-</w:t>
      </w:r>
      <w:r w:rsidRPr="00C8701B">
        <w:rPr>
          <w:rFonts w:eastAsia="Arial Unicode MS"/>
          <w:bCs/>
          <w:lang w:eastAsia="fr-FR" w:bidi="he-IL"/>
        </w:rPr>
        <w:t>unes</w:t>
      </w:r>
      <w:r w:rsidR="00933C60" w:rsidRPr="00C406FF">
        <w:rPr>
          <w:rStyle w:val="Appelnotedebasdep"/>
        </w:rPr>
        <w:footnoteReference w:id="399"/>
      </w:r>
      <w:r w:rsidRPr="00C8701B">
        <w:rPr>
          <w:rFonts w:eastAsia="Arial Unicode MS"/>
          <w:bCs/>
          <w:lang w:eastAsia="fr-FR" w:bidi="he-IL"/>
        </w:rPr>
        <w:t>. Au siècle dernier</w:t>
      </w:r>
      <w:r w:rsidR="00E65435">
        <w:rPr>
          <w:rFonts w:eastAsia="Arial Unicode MS"/>
          <w:bCs/>
          <w:lang w:eastAsia="fr-FR" w:bidi="he-IL"/>
        </w:rPr>
        <w:t xml:space="preserve">, </w:t>
      </w:r>
      <w:r w:rsidRPr="00C8701B">
        <w:rPr>
          <w:rFonts w:eastAsia="Arial Unicode MS"/>
          <w:bCs/>
          <w:lang w:eastAsia="fr-FR" w:bidi="he-IL"/>
        </w:rPr>
        <w:t>on comptait</w:t>
      </w:r>
      <w:r w:rsidR="00E65435">
        <w:rPr>
          <w:rFonts w:eastAsia="Arial Unicode MS"/>
          <w:bCs/>
          <w:lang w:eastAsia="fr-FR" w:bidi="he-IL"/>
        </w:rPr>
        <w:t xml:space="preserve">, </w:t>
      </w:r>
      <w:r w:rsidRPr="00C8701B">
        <w:rPr>
          <w:rFonts w:eastAsia="Arial Unicode MS"/>
          <w:bCs/>
          <w:lang w:eastAsia="fr-FR" w:bidi="he-IL"/>
        </w:rPr>
        <w:t>pour tous les écrits du Nouveau Testament</w:t>
      </w:r>
      <w:r w:rsidR="00E65435">
        <w:rPr>
          <w:rFonts w:eastAsia="Arial Unicode MS"/>
          <w:bCs/>
          <w:lang w:eastAsia="fr-FR" w:bidi="he-IL"/>
        </w:rPr>
        <w:t xml:space="preserve">, </w:t>
      </w:r>
      <w:r w:rsidRPr="00C8701B">
        <w:rPr>
          <w:rFonts w:eastAsia="Arial Unicode MS"/>
          <w:bCs/>
          <w:lang w:eastAsia="fr-FR" w:bidi="he-IL"/>
        </w:rPr>
        <w:t>environ 30</w:t>
      </w:r>
      <w:r w:rsidR="00A319EA">
        <w:rPr>
          <w:rFonts w:eastAsia="Arial Unicode MS"/>
          <w:bCs/>
          <w:lang w:eastAsia="fr-FR" w:bidi="he-IL"/>
        </w:rPr>
        <w:t> </w:t>
      </w:r>
      <w:r w:rsidRPr="00C8701B">
        <w:rPr>
          <w:rFonts w:eastAsia="Arial Unicode MS"/>
          <w:bCs/>
          <w:lang w:eastAsia="fr-FR" w:bidi="he-IL"/>
        </w:rPr>
        <w:t>000 variantes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aujourd</w:t>
      </w:r>
      <w:r w:rsidR="00557DE0">
        <w:rPr>
          <w:rFonts w:eastAsia="Arial Unicode MS"/>
          <w:bCs/>
          <w:lang w:eastAsia="fr-FR" w:bidi="he-IL"/>
        </w:rPr>
        <w:t>’</w:t>
      </w:r>
      <w:r w:rsidRPr="00C8701B">
        <w:rPr>
          <w:rFonts w:eastAsia="Arial Unicode MS"/>
          <w:bCs/>
          <w:lang w:eastAsia="fr-FR" w:bidi="he-IL"/>
        </w:rPr>
        <w:t>hui</w:t>
      </w:r>
      <w:r w:rsidR="00E65435">
        <w:rPr>
          <w:rFonts w:eastAsia="Arial Unicode MS"/>
          <w:bCs/>
          <w:lang w:eastAsia="fr-FR" w:bidi="he-IL"/>
        </w:rPr>
        <w:t xml:space="preserve">, </w:t>
      </w:r>
      <w:r w:rsidRPr="00C8701B">
        <w:rPr>
          <w:rFonts w:eastAsia="Arial Unicode MS"/>
          <w:bCs/>
          <w:lang w:eastAsia="fr-FR" w:bidi="he-IL"/>
        </w:rPr>
        <w:t>on admet qu</w:t>
      </w:r>
      <w:r w:rsidR="00557DE0">
        <w:rPr>
          <w:rFonts w:eastAsia="Arial Unicode MS"/>
          <w:bCs/>
          <w:lang w:eastAsia="fr-FR" w:bidi="he-IL"/>
        </w:rPr>
        <w:t>’</w:t>
      </w:r>
      <w:r w:rsidRPr="00C8701B">
        <w:rPr>
          <w:rFonts w:eastAsia="Arial Unicode MS"/>
          <w:bCs/>
          <w:lang w:eastAsia="fr-FR" w:bidi="he-IL"/>
        </w:rPr>
        <w:t>il en existe 150</w:t>
      </w:r>
      <w:r w:rsidR="00A319EA">
        <w:rPr>
          <w:rFonts w:eastAsia="Arial Unicode MS"/>
          <w:bCs/>
          <w:lang w:eastAsia="fr-FR" w:bidi="he-IL"/>
        </w:rPr>
        <w:t> </w:t>
      </w:r>
      <w:r w:rsidRPr="00C8701B">
        <w:rPr>
          <w:rFonts w:eastAsia="Arial Unicode MS"/>
          <w:bCs/>
          <w:lang w:eastAsia="fr-FR" w:bidi="he-IL"/>
        </w:rPr>
        <w:t>000 au moins</w:t>
      </w:r>
      <w:r w:rsidR="00933C60" w:rsidRPr="00C406FF">
        <w:rPr>
          <w:rStyle w:val="Appelnotedebasdep"/>
        </w:rPr>
        <w:footnoteReference w:id="400"/>
      </w:r>
      <w:r w:rsidR="00E65435">
        <w:rPr>
          <w:rFonts w:eastAsia="Arial Unicode MS"/>
          <w:bCs/>
          <w:lang w:eastAsia="fr-FR" w:bidi="he-IL"/>
        </w:rPr>
        <w:t xml:space="preserve">, </w:t>
      </w:r>
      <w:r w:rsidRPr="00C8701B">
        <w:rPr>
          <w:rFonts w:eastAsia="Arial Unicode MS"/>
          <w:bCs/>
          <w:lang w:eastAsia="fr-FR" w:bidi="he-IL"/>
        </w:rPr>
        <w:t>car on connaît un nombre beaucoup plus considérable de manuscrits</w:t>
      </w:r>
      <w:r w:rsidR="00E65435">
        <w:rPr>
          <w:rFonts w:eastAsia="Arial Unicode MS"/>
          <w:bCs/>
          <w:lang w:eastAsia="fr-FR" w:bidi="he-IL"/>
        </w:rPr>
        <w:t xml:space="preserve">, </w:t>
      </w:r>
      <w:r w:rsidRPr="00C8701B">
        <w:rPr>
          <w:rFonts w:eastAsia="Arial Unicode MS"/>
          <w:bCs/>
          <w:lang w:eastAsia="fr-FR" w:bidi="he-IL"/>
        </w:rPr>
        <w:t>et chaque manuscrit nouvellement découvert</w:t>
      </w:r>
      <w:r w:rsidR="00E65435">
        <w:rPr>
          <w:rFonts w:eastAsia="Arial Unicode MS"/>
          <w:bCs/>
          <w:lang w:eastAsia="fr-FR" w:bidi="he-IL"/>
        </w:rPr>
        <w:t xml:space="preserve">, </w:t>
      </w:r>
      <w:r w:rsidRPr="00C8701B">
        <w:rPr>
          <w:rFonts w:eastAsia="Arial Unicode MS"/>
          <w:bCs/>
          <w:lang w:eastAsia="fr-FR" w:bidi="he-IL"/>
        </w:rPr>
        <w:t>ou étudié plus à fond</w:t>
      </w:r>
      <w:r w:rsidR="00E65435">
        <w:rPr>
          <w:rFonts w:eastAsia="Arial Unicode MS"/>
          <w:bCs/>
          <w:lang w:eastAsia="fr-FR" w:bidi="he-IL"/>
        </w:rPr>
        <w:t xml:space="preserve">, </w:t>
      </w:r>
      <w:r w:rsidRPr="00C8701B">
        <w:rPr>
          <w:rFonts w:eastAsia="Arial Unicode MS"/>
          <w:bCs/>
          <w:lang w:eastAsia="fr-FR" w:bidi="he-IL"/>
        </w:rPr>
        <w:t>apporte son contingent spécial de fautes ou de leçons. Mais</w:t>
      </w:r>
      <w:r w:rsidR="00E65435">
        <w:rPr>
          <w:rFonts w:eastAsia="Arial Unicode MS"/>
          <w:bCs/>
          <w:lang w:eastAsia="fr-FR" w:bidi="he-IL"/>
        </w:rPr>
        <w:t xml:space="preserve">, </w:t>
      </w:r>
      <w:r w:rsidRPr="00C8701B">
        <w:rPr>
          <w:rFonts w:eastAsia="Arial Unicode MS"/>
          <w:bCs/>
          <w:lang w:eastAsia="fr-FR" w:bidi="he-IL"/>
        </w:rPr>
        <w:t>sur ce chiffre qui paraît énorme à première vue</w:t>
      </w:r>
      <w:r w:rsidR="00E65435">
        <w:rPr>
          <w:rFonts w:eastAsia="Arial Unicode MS"/>
          <w:bCs/>
          <w:lang w:eastAsia="fr-FR" w:bidi="he-IL"/>
        </w:rPr>
        <w:t xml:space="preserve">, </w:t>
      </w:r>
      <w:r w:rsidRPr="00C8701B">
        <w:rPr>
          <w:rFonts w:eastAsia="Arial Unicode MS"/>
          <w:bCs/>
          <w:lang w:eastAsia="fr-FR" w:bidi="he-IL"/>
        </w:rPr>
        <w:t>il n</w:t>
      </w:r>
      <w:r w:rsidR="00557DE0">
        <w:rPr>
          <w:rFonts w:eastAsia="Arial Unicode MS"/>
          <w:bCs/>
          <w:lang w:eastAsia="fr-FR" w:bidi="he-IL"/>
        </w:rPr>
        <w:t>’</w:t>
      </w:r>
      <w:r w:rsidRPr="00C8701B">
        <w:rPr>
          <w:rFonts w:eastAsia="Arial Unicode MS"/>
          <w:bCs/>
          <w:lang w:eastAsia="fr-FR" w:bidi="he-IL"/>
        </w:rPr>
        <w:t>y</w:t>
      </w:r>
      <w:r w:rsidR="00E65435">
        <w:rPr>
          <w:rFonts w:eastAsia="Arial Unicode MS"/>
          <w:bCs/>
          <w:lang w:eastAsia="fr-FR" w:bidi="he-IL"/>
        </w:rPr>
        <w:t xml:space="preserve">, </w:t>
      </w:r>
      <w:r w:rsidRPr="00C8701B">
        <w:rPr>
          <w:rFonts w:eastAsia="Arial Unicode MS"/>
          <w:bCs/>
          <w:lang w:eastAsia="fr-FR" w:bidi="he-IL"/>
        </w:rPr>
        <w:t>a pas plus de 1</w:t>
      </w:r>
      <w:r w:rsidR="00A319EA">
        <w:rPr>
          <w:rFonts w:eastAsia="Arial Unicode MS"/>
          <w:bCs/>
          <w:lang w:eastAsia="fr-FR" w:bidi="he-IL"/>
        </w:rPr>
        <w:t> </w:t>
      </w:r>
      <w:r w:rsidRPr="00C8701B">
        <w:rPr>
          <w:rFonts w:eastAsia="Arial Unicode MS"/>
          <w:bCs/>
          <w:lang w:eastAsia="fr-FR" w:bidi="he-IL"/>
        </w:rPr>
        <w:t>200 à 1</w:t>
      </w:r>
      <w:r w:rsidR="00A319EA">
        <w:rPr>
          <w:rFonts w:eastAsia="Arial Unicode MS"/>
          <w:bCs/>
          <w:lang w:eastAsia="fr-FR" w:bidi="he-IL"/>
        </w:rPr>
        <w:t> </w:t>
      </w:r>
      <w:r w:rsidRPr="00C8701B">
        <w:rPr>
          <w:rFonts w:eastAsia="Arial Unicode MS"/>
          <w:bCs/>
          <w:lang w:eastAsia="fr-FR" w:bidi="he-IL"/>
        </w:rPr>
        <w:t>300 passages où la leçon primitive soit l</w:t>
      </w:r>
      <w:r w:rsidR="00557DE0">
        <w:rPr>
          <w:rFonts w:eastAsia="Arial Unicode MS"/>
          <w:bCs/>
          <w:lang w:eastAsia="fr-FR" w:bidi="he-IL"/>
        </w:rPr>
        <w:t>’</w:t>
      </w:r>
      <w:r w:rsidRPr="00C8701B">
        <w:rPr>
          <w:rFonts w:eastAsia="Arial Unicode MS"/>
          <w:bCs/>
          <w:lang w:eastAsia="fr-FR" w:bidi="he-IL"/>
        </w:rPr>
        <w:t>objet d</w:t>
      </w:r>
      <w:r w:rsidR="00557DE0">
        <w:rPr>
          <w:rFonts w:eastAsia="Arial Unicode MS"/>
          <w:bCs/>
          <w:lang w:eastAsia="fr-FR" w:bidi="he-IL"/>
        </w:rPr>
        <w:t>’</w:t>
      </w:r>
      <w:r w:rsidRPr="00C8701B">
        <w:rPr>
          <w:rFonts w:eastAsia="Arial Unicode MS"/>
          <w:bCs/>
          <w:lang w:eastAsia="fr-FR" w:bidi="he-IL"/>
        </w:rPr>
        <w:t>une véritable incertitude. Presque toujours</w:t>
      </w:r>
      <w:r w:rsidR="00E65435">
        <w:rPr>
          <w:rFonts w:eastAsia="Arial Unicode MS"/>
          <w:bCs/>
          <w:lang w:eastAsia="fr-FR" w:bidi="he-IL"/>
        </w:rPr>
        <w:t xml:space="preserve">, </w:t>
      </w:r>
      <w:r w:rsidRPr="00C8701B">
        <w:rPr>
          <w:rFonts w:eastAsia="Arial Unicode MS"/>
          <w:bCs/>
          <w:lang w:eastAsia="fr-FR" w:bidi="he-IL"/>
        </w:rPr>
        <w:t>il s</w:t>
      </w:r>
      <w:r w:rsidR="00557DE0">
        <w:rPr>
          <w:rFonts w:eastAsia="Arial Unicode MS"/>
          <w:bCs/>
          <w:lang w:eastAsia="fr-FR" w:bidi="he-IL"/>
        </w:rPr>
        <w:t>’</w:t>
      </w:r>
      <w:r w:rsidRPr="00C8701B">
        <w:rPr>
          <w:rFonts w:eastAsia="Arial Unicode MS"/>
          <w:bCs/>
          <w:lang w:eastAsia="fr-FR" w:bidi="he-IL"/>
        </w:rPr>
        <w:t>agit ou de simples variations dan</w:t>
      </w:r>
      <w:r w:rsidR="00A319EA">
        <w:rPr>
          <w:rFonts w:eastAsia="Arial Unicode MS"/>
          <w:bCs/>
          <w:lang w:eastAsia="fr-FR" w:bidi="he-IL"/>
        </w:rPr>
        <w:t>s l</w:t>
      </w:r>
      <w:r w:rsidR="00557DE0">
        <w:rPr>
          <w:rFonts w:eastAsia="Arial Unicode MS"/>
          <w:bCs/>
          <w:lang w:eastAsia="fr-FR" w:bidi="he-IL"/>
        </w:rPr>
        <w:t>’</w:t>
      </w:r>
      <w:r w:rsidRPr="00C8701B">
        <w:rPr>
          <w:rFonts w:eastAsia="Arial Unicode MS"/>
          <w:bCs/>
          <w:lang w:eastAsia="fr-FR" w:bidi="he-IL"/>
        </w:rPr>
        <w:t>orthographe</w:t>
      </w:r>
      <w:r w:rsidR="00E65435">
        <w:rPr>
          <w:rFonts w:eastAsia="Arial Unicode MS"/>
          <w:bCs/>
          <w:lang w:eastAsia="fr-FR" w:bidi="he-IL"/>
        </w:rPr>
        <w:t xml:space="preserve">, </w:t>
      </w:r>
      <w:r w:rsidRPr="00C8701B">
        <w:rPr>
          <w:rFonts w:eastAsia="Arial Unicode MS"/>
          <w:bCs/>
          <w:lang w:eastAsia="fr-FR" w:bidi="he-IL"/>
        </w:rPr>
        <w:t>ou de mots transposés</w:t>
      </w:r>
      <w:r w:rsidR="00E65435">
        <w:rPr>
          <w:rFonts w:eastAsia="Arial Unicode MS"/>
          <w:bCs/>
          <w:lang w:eastAsia="fr-FR" w:bidi="he-IL"/>
        </w:rPr>
        <w:t xml:space="preserve">, </w:t>
      </w:r>
      <w:r w:rsidRPr="00C8701B">
        <w:rPr>
          <w:rFonts w:eastAsia="Arial Unicode MS"/>
          <w:bCs/>
          <w:lang w:eastAsia="fr-FR" w:bidi="he-IL"/>
        </w:rPr>
        <w:t>ou d</w:t>
      </w:r>
      <w:r w:rsidR="00557DE0">
        <w:rPr>
          <w:rFonts w:eastAsia="Arial Unicode MS"/>
          <w:bCs/>
          <w:lang w:eastAsia="fr-FR" w:bidi="he-IL"/>
        </w:rPr>
        <w:t>’</w:t>
      </w:r>
      <w:r w:rsidRPr="00C8701B">
        <w:rPr>
          <w:rFonts w:eastAsia="Arial Unicode MS"/>
          <w:bCs/>
          <w:lang w:eastAsia="fr-FR" w:bidi="he-IL"/>
        </w:rPr>
        <w:t>expressions synonymes. Les variantes sérieuses</w:t>
      </w:r>
      <w:r w:rsidR="00E65435">
        <w:rPr>
          <w:rFonts w:eastAsia="Arial Unicode MS"/>
          <w:bCs/>
          <w:lang w:eastAsia="fr-FR" w:bidi="he-IL"/>
        </w:rPr>
        <w:t xml:space="preserve">, </w:t>
      </w:r>
      <w:r w:rsidRPr="00C8701B">
        <w:rPr>
          <w:rFonts w:eastAsia="Arial Unicode MS"/>
          <w:bCs/>
          <w:lang w:eastAsia="fr-FR" w:bidi="he-IL"/>
        </w:rPr>
        <w:t>qui affectent le sens</w:t>
      </w:r>
      <w:r w:rsidR="00E65435">
        <w:rPr>
          <w:rFonts w:eastAsia="Arial Unicode MS"/>
          <w:bCs/>
          <w:lang w:eastAsia="fr-FR" w:bidi="he-IL"/>
        </w:rPr>
        <w:t xml:space="preserve">, </w:t>
      </w:r>
      <w:r w:rsidR="00A319EA">
        <w:rPr>
          <w:rFonts w:eastAsia="Arial Unicode MS"/>
          <w:bCs/>
          <w:lang w:eastAsia="fr-FR" w:bidi="he-IL"/>
        </w:rPr>
        <w:t xml:space="preserve">sont </w:t>
      </w:r>
      <w:r w:rsidR="00DF496C">
        <w:rPr>
          <w:rFonts w:eastAsia="Arial Unicode MS"/>
          <w:bCs/>
          <w:lang w:eastAsia="fr-FR" w:bidi="he-IL"/>
        </w:rPr>
        <w:t>extrême</w:t>
      </w:r>
      <w:r w:rsidR="00DF496C" w:rsidRPr="00C8701B">
        <w:rPr>
          <w:rFonts w:eastAsia="Arial Unicode MS"/>
          <w:bCs/>
          <w:lang w:eastAsia="fr-FR" w:bidi="he-IL"/>
        </w:rPr>
        <w:t>ment</w:t>
      </w:r>
      <w:r w:rsidRPr="00C8701B">
        <w:rPr>
          <w:rFonts w:eastAsia="Arial Unicode MS"/>
          <w:bCs/>
          <w:lang w:eastAsia="fr-FR" w:bidi="he-IL"/>
        </w:rPr>
        <w:t xml:space="preserve"> rares</w:t>
      </w:r>
      <w:r w:rsidR="00E65435">
        <w:rPr>
          <w:rFonts w:eastAsia="Arial Unicode MS"/>
          <w:bCs/>
          <w:lang w:eastAsia="fr-FR" w:bidi="he-IL"/>
        </w:rPr>
        <w:t xml:space="preserve">, </w:t>
      </w:r>
      <w:r w:rsidRPr="00C8701B">
        <w:rPr>
          <w:rFonts w:eastAsia="Arial Unicode MS"/>
          <w:bCs/>
          <w:lang w:eastAsia="fr-FR" w:bidi="he-IL"/>
        </w:rPr>
        <w:t>comme le disait Origène au païen Celse</w:t>
      </w:r>
      <w:r w:rsidR="00E65435">
        <w:rPr>
          <w:rFonts w:eastAsia="Arial Unicode MS"/>
          <w:bCs/>
          <w:lang w:eastAsia="fr-FR" w:bidi="he-IL"/>
        </w:rPr>
        <w:t xml:space="preserve">, </w:t>
      </w:r>
      <w:r w:rsidRPr="00C8701B">
        <w:rPr>
          <w:rFonts w:eastAsia="Arial Unicode MS"/>
          <w:bCs/>
          <w:lang w:eastAsia="fr-FR" w:bidi="he-IL"/>
        </w:rPr>
        <w:t>qui s</w:t>
      </w:r>
      <w:r w:rsidR="00557DE0">
        <w:rPr>
          <w:rFonts w:eastAsia="Arial Unicode MS"/>
          <w:bCs/>
          <w:lang w:eastAsia="fr-FR" w:bidi="he-IL"/>
        </w:rPr>
        <w:t>’</w:t>
      </w:r>
      <w:r w:rsidRPr="00C8701B">
        <w:rPr>
          <w:rFonts w:eastAsia="Arial Unicode MS"/>
          <w:bCs/>
          <w:lang w:eastAsia="fr-FR" w:bidi="he-IL"/>
        </w:rPr>
        <w:t>appuyait sur cette diversité pour attaquer le fond même du récit sacré</w:t>
      </w:r>
      <w:r w:rsidR="00933C60" w:rsidRPr="00C406FF">
        <w:rPr>
          <w:rStyle w:val="Appelnotedebasdep"/>
        </w:rPr>
        <w:footnoteReference w:id="401"/>
      </w:r>
      <w:r w:rsidRPr="00C8701B">
        <w:rPr>
          <w:rFonts w:eastAsia="Arial Unicode MS"/>
          <w:bCs/>
          <w:lang w:eastAsia="fr-FR" w:bidi="he-IL"/>
        </w:rPr>
        <w:t>. En vérité</w:t>
      </w:r>
      <w:r w:rsidR="00E65435">
        <w:rPr>
          <w:rFonts w:eastAsia="Arial Unicode MS"/>
          <w:bCs/>
          <w:lang w:eastAsia="fr-FR" w:bidi="he-IL"/>
        </w:rPr>
        <w:t xml:space="preserve">, </w:t>
      </w:r>
      <w:r w:rsidRPr="00C8701B">
        <w:rPr>
          <w:rFonts w:eastAsia="Arial Unicode MS"/>
          <w:bCs/>
          <w:lang w:eastAsia="fr-FR" w:bidi="he-IL"/>
        </w:rPr>
        <w:t>nous possédons</w:t>
      </w:r>
      <w:r w:rsidR="00E65435">
        <w:rPr>
          <w:rFonts w:eastAsia="Arial Unicode MS"/>
          <w:bCs/>
          <w:lang w:eastAsia="fr-FR" w:bidi="he-IL"/>
        </w:rPr>
        <w:t xml:space="preserve">, </w:t>
      </w:r>
      <w:r w:rsidRPr="00C8701B">
        <w:rPr>
          <w:rFonts w:eastAsia="Arial Unicode MS"/>
          <w:bCs/>
          <w:lang w:eastAsia="fr-FR" w:bidi="he-IL"/>
        </w:rPr>
        <w:t>dans les détails comme dans l</w:t>
      </w:r>
      <w:r w:rsidR="00557DE0">
        <w:rPr>
          <w:rFonts w:eastAsia="Arial Unicode MS"/>
          <w:bCs/>
          <w:lang w:eastAsia="fr-FR" w:bidi="he-IL"/>
        </w:rPr>
        <w:t>’</w:t>
      </w:r>
      <w:r w:rsidRPr="00C8701B">
        <w:rPr>
          <w:rFonts w:eastAsia="Arial Unicode MS"/>
          <w:bCs/>
          <w:lang w:eastAsia="fr-FR" w:bidi="he-IL"/>
        </w:rPr>
        <w:t>ensemble</w:t>
      </w:r>
      <w:r w:rsidR="00E65435">
        <w:rPr>
          <w:rFonts w:eastAsia="Arial Unicode MS"/>
          <w:bCs/>
          <w:lang w:eastAsia="fr-FR" w:bidi="he-IL"/>
        </w:rPr>
        <w:t xml:space="preserve">, </w:t>
      </w:r>
      <w:r w:rsidRPr="00C8701B">
        <w:rPr>
          <w:rFonts w:eastAsia="Arial Unicode MS"/>
          <w:bCs/>
          <w:lang w:eastAsia="fr-FR" w:bidi="he-IL"/>
        </w:rPr>
        <w:t>le texte original et authentique des évangélistes.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4° Comme Origène</w:t>
      </w:r>
      <w:r w:rsidR="00E65435">
        <w:rPr>
          <w:rFonts w:eastAsia="Arial Unicode MS"/>
          <w:bCs/>
          <w:lang w:eastAsia="fr-FR" w:bidi="he-IL"/>
        </w:rPr>
        <w:t xml:space="preserve">, </w:t>
      </w:r>
      <w:r w:rsidRPr="00C8701B">
        <w:rPr>
          <w:rFonts w:eastAsia="Arial Unicode MS"/>
          <w:bCs/>
          <w:lang w:eastAsia="fr-FR" w:bidi="he-IL"/>
        </w:rPr>
        <w:t>S. Jérôme travailla à rétablir</w:t>
      </w:r>
      <w:r w:rsidR="00E65435">
        <w:rPr>
          <w:rFonts w:eastAsia="Arial Unicode MS"/>
          <w:bCs/>
          <w:lang w:eastAsia="fr-FR" w:bidi="he-IL"/>
        </w:rPr>
        <w:t xml:space="preserve">, </w:t>
      </w:r>
      <w:r w:rsidR="00C14040" w:rsidRPr="000716BB">
        <w:rPr>
          <w:rFonts w:eastAsia="Arial Unicode MS"/>
          <w:bCs/>
          <w:lang w:eastAsia="fr-FR" w:bidi="he-IL"/>
        </w:rPr>
        <w:t>{</w:t>
      </w:r>
      <w:r w:rsidR="00C14040">
        <w:rPr>
          <w:rFonts w:eastAsia="Arial Unicode MS"/>
          <w:bCs/>
          <w:lang w:eastAsia="fr-FR" w:bidi="he-IL"/>
        </w:rPr>
        <w:t>73</w:t>
      </w:r>
      <w:bookmarkStart w:id="120" w:name="pag073"/>
      <w:bookmarkEnd w:id="120"/>
      <w:r w:rsidR="00C14040" w:rsidRPr="000716BB">
        <w:rPr>
          <w:rFonts w:eastAsia="Arial Unicode MS"/>
          <w:bCs/>
          <w:lang w:eastAsia="fr-FR" w:bidi="he-IL"/>
        </w:rPr>
        <w:t xml:space="preserve">} </w:t>
      </w:r>
      <w:r w:rsidRPr="00C8701B">
        <w:rPr>
          <w:rFonts w:eastAsia="Arial Unicode MS"/>
          <w:bCs/>
          <w:lang w:eastAsia="fr-FR" w:bidi="he-IL"/>
        </w:rPr>
        <w:t>en collationnant les meilleurs manuscrits</w:t>
      </w:r>
      <w:r w:rsidR="00E65435">
        <w:rPr>
          <w:rFonts w:eastAsia="Arial Unicode MS"/>
          <w:bCs/>
          <w:lang w:eastAsia="fr-FR" w:bidi="he-IL"/>
        </w:rPr>
        <w:t xml:space="preserve">, </w:t>
      </w:r>
      <w:r w:rsidRPr="00C8701B">
        <w:rPr>
          <w:rFonts w:eastAsia="Arial Unicode MS"/>
          <w:bCs/>
          <w:lang w:eastAsia="fr-FR" w:bidi="he-IL"/>
        </w:rPr>
        <w:t>ce qu</w:t>
      </w:r>
      <w:r w:rsidR="00557DE0">
        <w:rPr>
          <w:rFonts w:eastAsia="Arial Unicode MS"/>
          <w:bCs/>
          <w:lang w:eastAsia="fr-FR" w:bidi="he-IL"/>
        </w:rPr>
        <w:t>’</w:t>
      </w:r>
      <w:r w:rsidRPr="00C8701B">
        <w:rPr>
          <w:rFonts w:eastAsia="Arial Unicode MS"/>
          <w:bCs/>
          <w:lang w:eastAsia="fr-FR" w:bidi="he-IL"/>
        </w:rPr>
        <w:t>il nomme quelque part la</w:t>
      </w:r>
      <w:r w:rsidRPr="00DC4586">
        <w:rPr>
          <w:rStyle w:val="italicus"/>
        </w:rPr>
        <w:t xml:space="preserve"> </w:t>
      </w:r>
      <w:r w:rsidR="0096412E">
        <w:rPr>
          <w:rStyle w:val="italicus"/>
        </w:rPr>
        <w:t>véritas</w:t>
      </w:r>
      <w:r w:rsidRPr="00DC4586">
        <w:rPr>
          <w:rStyle w:val="italicus"/>
        </w:rPr>
        <w:t xml:space="preserve"> </w:t>
      </w:r>
      <w:r w:rsidR="00A85866">
        <w:rPr>
          <w:rStyle w:val="italicus"/>
        </w:rPr>
        <w:t>græc</w:t>
      </w:r>
      <w:r w:rsidRPr="00DC4586">
        <w:rPr>
          <w:rStyle w:val="italicus"/>
        </w:rPr>
        <w:t>a</w:t>
      </w:r>
      <w:r w:rsidR="00933C60" w:rsidRPr="00C406FF">
        <w:rPr>
          <w:rStyle w:val="Appelnotedebasdep"/>
        </w:rPr>
        <w:footnoteReference w:id="402"/>
      </w:r>
      <w:r w:rsidR="00E65435">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est-à-dire le texte primitif</w:t>
      </w:r>
      <w:r w:rsidR="00E65435">
        <w:rPr>
          <w:rFonts w:eastAsia="Arial Unicode MS"/>
          <w:bCs/>
          <w:lang w:eastAsia="fr-FR" w:bidi="he-IL"/>
        </w:rPr>
        <w:t xml:space="preserve">, </w:t>
      </w:r>
      <w:r w:rsidR="0077300D">
        <w:rPr>
          <w:rFonts w:eastAsia="Arial Unicode MS"/>
          <w:bCs/>
          <w:lang w:eastAsia="fr-FR" w:bidi="he-IL"/>
        </w:rPr>
        <w:t>tel</w:t>
      </w:r>
      <w:r w:rsidRPr="00C8701B">
        <w:rPr>
          <w:rFonts w:eastAsia="Arial Unicode MS"/>
          <w:bCs/>
          <w:lang w:eastAsia="fr-FR" w:bidi="he-IL"/>
        </w:rPr>
        <w:t xml:space="preserve"> qu</w:t>
      </w:r>
      <w:r w:rsidR="00557DE0">
        <w:rPr>
          <w:rFonts w:eastAsia="Arial Unicode MS"/>
          <w:bCs/>
          <w:lang w:eastAsia="fr-FR" w:bidi="he-IL"/>
        </w:rPr>
        <w:t>’</w:t>
      </w:r>
      <w:r w:rsidRPr="00C8701B">
        <w:rPr>
          <w:rFonts w:eastAsia="Arial Unicode MS"/>
          <w:bCs/>
          <w:lang w:eastAsia="fr-FR" w:bidi="he-IL"/>
        </w:rPr>
        <w:t>il sortit de la plume des évangélistes et des autres auteurs inspirés du Nouveau Testament. De nos jours plus que jamais</w:t>
      </w:r>
      <w:r w:rsidR="00E65435">
        <w:rPr>
          <w:rFonts w:eastAsia="Arial Unicode MS"/>
          <w:bCs/>
          <w:lang w:eastAsia="fr-FR" w:bidi="he-IL"/>
        </w:rPr>
        <w:t xml:space="preserve">, </w:t>
      </w:r>
      <w:r w:rsidRPr="00C8701B">
        <w:rPr>
          <w:rFonts w:eastAsia="Arial Unicode MS"/>
          <w:bCs/>
          <w:lang w:eastAsia="fr-FR" w:bidi="he-IL"/>
        </w:rPr>
        <w:t>on s</w:t>
      </w:r>
      <w:r w:rsidR="00557DE0">
        <w:rPr>
          <w:rFonts w:eastAsia="Arial Unicode MS"/>
          <w:bCs/>
          <w:lang w:eastAsia="fr-FR" w:bidi="he-IL"/>
        </w:rPr>
        <w:t>’</w:t>
      </w:r>
      <w:r w:rsidRPr="00C8701B">
        <w:rPr>
          <w:rFonts w:eastAsia="Arial Unicode MS"/>
          <w:bCs/>
          <w:lang w:eastAsia="fr-FR" w:bidi="he-IL"/>
        </w:rPr>
        <w:t>est livré à cette étude utile et intéressante. Assurément</w:t>
      </w:r>
      <w:r w:rsidR="00E65435">
        <w:rPr>
          <w:rFonts w:eastAsia="Arial Unicode MS"/>
          <w:bCs/>
          <w:lang w:eastAsia="fr-FR" w:bidi="he-IL"/>
        </w:rPr>
        <w:t xml:space="preserve">, </w:t>
      </w:r>
      <w:r w:rsidRPr="00C8701B">
        <w:rPr>
          <w:rFonts w:eastAsia="Arial Unicode MS"/>
          <w:bCs/>
          <w:lang w:eastAsia="fr-FR" w:bidi="he-IL"/>
        </w:rPr>
        <w:t>il faut renoncer à reconstituer d</w:t>
      </w:r>
      <w:r w:rsidR="00557DE0">
        <w:rPr>
          <w:rFonts w:eastAsia="Arial Unicode MS"/>
          <w:bCs/>
          <w:lang w:eastAsia="fr-FR" w:bidi="he-IL"/>
        </w:rPr>
        <w:t>’</w:t>
      </w:r>
      <w:r w:rsidRPr="00C8701B">
        <w:rPr>
          <w:rFonts w:eastAsia="Arial Unicode MS"/>
          <w:bCs/>
          <w:lang w:eastAsia="fr-FR" w:bidi="he-IL"/>
        </w:rPr>
        <w:t>une manière adéquate cette</w:t>
      </w:r>
      <w:r w:rsidRPr="00DC4586">
        <w:rPr>
          <w:rStyle w:val="italicus"/>
        </w:rPr>
        <w:t xml:space="preserve"> </w:t>
      </w:r>
      <w:r w:rsidR="0096412E">
        <w:rPr>
          <w:rStyle w:val="italicus"/>
        </w:rPr>
        <w:t>véritas</w:t>
      </w:r>
      <w:r w:rsidRPr="00DC4586">
        <w:rPr>
          <w:rStyle w:val="italicus"/>
        </w:rPr>
        <w:t xml:space="preserve"> </w:t>
      </w:r>
      <w:r w:rsidR="00A85866">
        <w:rPr>
          <w:rStyle w:val="italicus"/>
        </w:rPr>
        <w:t>græc</w:t>
      </w:r>
      <w:r w:rsidRPr="00DC4586">
        <w:rPr>
          <w:rStyle w:val="italicus"/>
        </w:rPr>
        <w:t>a</w:t>
      </w:r>
      <w:r w:rsidR="00C2602D" w:rsidRPr="00DC4586">
        <w:rPr>
          <w:rStyle w:val="italicus"/>
        </w:rPr>
        <w:t> </w:t>
      </w:r>
      <w:r w:rsidR="007F6508">
        <w:rPr>
          <w:rStyle w:val="italicus"/>
        </w:rPr>
        <w:t xml:space="preserve">; </w:t>
      </w:r>
      <w:r w:rsidRPr="00C8701B">
        <w:rPr>
          <w:rFonts w:eastAsia="Arial Unicode MS"/>
          <w:bCs/>
          <w:lang w:eastAsia="fr-FR" w:bidi="he-IL"/>
        </w:rPr>
        <w:t>néanmoins</w:t>
      </w:r>
      <w:r w:rsidR="00E65435">
        <w:rPr>
          <w:rFonts w:eastAsia="Arial Unicode MS"/>
          <w:bCs/>
          <w:lang w:eastAsia="fr-FR" w:bidi="he-IL"/>
        </w:rPr>
        <w:t xml:space="preserve">, </w:t>
      </w:r>
      <w:r w:rsidRPr="00C8701B">
        <w:rPr>
          <w:rFonts w:eastAsia="Arial Unicode MS"/>
          <w:bCs/>
          <w:lang w:eastAsia="fr-FR" w:bidi="he-IL"/>
        </w:rPr>
        <w:t>tout effort sérieux</w:t>
      </w:r>
      <w:r w:rsidR="00E65435">
        <w:rPr>
          <w:rFonts w:eastAsia="Arial Unicode MS"/>
          <w:bCs/>
          <w:lang w:eastAsia="fr-FR" w:bidi="he-IL"/>
        </w:rPr>
        <w:t xml:space="preserve">, </w:t>
      </w:r>
      <w:r w:rsidRPr="00C8701B">
        <w:rPr>
          <w:rFonts w:eastAsia="Arial Unicode MS"/>
          <w:bCs/>
          <w:lang w:eastAsia="fr-FR" w:bidi="he-IL"/>
        </w:rPr>
        <w:t>en vue de rendre aussi pur que possible le texte qui raconte l</w:t>
      </w:r>
      <w:r w:rsidR="00557DE0">
        <w:rPr>
          <w:rFonts w:eastAsia="Arial Unicode MS"/>
          <w:bCs/>
          <w:lang w:eastAsia="fr-FR" w:bidi="he-IL"/>
        </w:rPr>
        <w:t>’</w:t>
      </w:r>
      <w:r w:rsidRPr="00C8701B">
        <w:rPr>
          <w:rFonts w:eastAsia="Arial Unicode MS"/>
          <w:bCs/>
          <w:lang w:eastAsia="fr-FR" w:bidi="he-IL"/>
        </w:rPr>
        <w:t>histoire de N.-S. Jésus-Christ</w:t>
      </w:r>
      <w:r w:rsidR="00E65435">
        <w:rPr>
          <w:rFonts w:eastAsia="Arial Unicode MS"/>
          <w:bCs/>
          <w:lang w:eastAsia="fr-FR" w:bidi="he-IL"/>
        </w:rPr>
        <w:t xml:space="preserve">, </w:t>
      </w:r>
      <w:r w:rsidRPr="00C8701B">
        <w:rPr>
          <w:rFonts w:eastAsia="Arial Unicode MS"/>
          <w:bCs/>
          <w:lang w:eastAsia="fr-FR" w:bidi="he-IL"/>
        </w:rPr>
        <w:t>est digne d</w:t>
      </w:r>
      <w:r w:rsidR="00557DE0">
        <w:rPr>
          <w:rFonts w:eastAsia="Arial Unicode MS"/>
          <w:bCs/>
          <w:lang w:eastAsia="fr-FR" w:bidi="he-IL"/>
        </w:rPr>
        <w:t>’</w:t>
      </w:r>
      <w:r w:rsidRPr="00C8701B">
        <w:rPr>
          <w:rFonts w:eastAsia="Arial Unicode MS"/>
          <w:bCs/>
          <w:lang w:eastAsia="fr-FR" w:bidi="he-IL"/>
        </w:rPr>
        <w:t>encouragements et d</w:t>
      </w:r>
      <w:r w:rsidR="00557DE0">
        <w:rPr>
          <w:rFonts w:eastAsia="Arial Unicode MS"/>
          <w:bCs/>
          <w:lang w:eastAsia="fr-FR" w:bidi="he-IL"/>
        </w:rPr>
        <w:t>’</w:t>
      </w:r>
      <w:r w:rsidRPr="00C8701B">
        <w:rPr>
          <w:rFonts w:eastAsia="Arial Unicode MS"/>
          <w:bCs/>
          <w:lang w:eastAsia="fr-FR" w:bidi="he-IL"/>
        </w:rPr>
        <w:t>éloges</w:t>
      </w:r>
      <w:r w:rsidR="00933C60" w:rsidRPr="00C406FF">
        <w:rPr>
          <w:rStyle w:val="Appelnotedebasdep"/>
        </w:rPr>
        <w:footnoteReference w:id="403"/>
      </w:r>
      <w:r w:rsidRPr="00C8701B">
        <w:rPr>
          <w:rFonts w:eastAsia="Arial Unicode MS"/>
          <w:bCs/>
          <w:lang w:eastAsia="fr-FR" w:bidi="he-IL"/>
        </w:rPr>
        <w:t>. Les matériaux abondent</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il s</w:t>
      </w:r>
      <w:r w:rsidR="00557DE0">
        <w:rPr>
          <w:rFonts w:eastAsia="Arial Unicode MS"/>
          <w:bCs/>
          <w:lang w:eastAsia="fr-FR" w:bidi="he-IL"/>
        </w:rPr>
        <w:t>’</w:t>
      </w:r>
      <w:r w:rsidRPr="00C8701B">
        <w:rPr>
          <w:rFonts w:eastAsia="Arial Unicode MS"/>
          <w:bCs/>
          <w:lang w:eastAsia="fr-FR" w:bidi="he-IL"/>
        </w:rPr>
        <w:t>agit seulement de les mettre en œuvre d</w:t>
      </w:r>
      <w:r w:rsidR="00557DE0">
        <w:rPr>
          <w:rFonts w:eastAsia="Arial Unicode MS"/>
          <w:bCs/>
          <w:lang w:eastAsia="fr-FR" w:bidi="he-IL"/>
        </w:rPr>
        <w:t>’</w:t>
      </w:r>
      <w:r w:rsidRPr="00C8701B">
        <w:rPr>
          <w:rFonts w:eastAsia="Arial Unicode MS"/>
          <w:bCs/>
          <w:lang w:eastAsia="fr-FR" w:bidi="he-IL"/>
        </w:rPr>
        <w:t>une manière judicieuse.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5° Dans nos commentaires</w:t>
      </w:r>
      <w:r w:rsidR="00E65435">
        <w:rPr>
          <w:rFonts w:eastAsia="Arial Unicode MS"/>
          <w:bCs/>
          <w:lang w:eastAsia="fr-FR" w:bidi="he-IL"/>
        </w:rPr>
        <w:t xml:space="preserve">, </w:t>
      </w:r>
      <w:r w:rsidR="0077300D">
        <w:rPr>
          <w:rFonts w:eastAsia="Arial Unicode MS"/>
          <w:bCs/>
          <w:lang w:eastAsia="fr-FR" w:bidi="he-IL"/>
        </w:rPr>
        <w:t>no</w:t>
      </w:r>
      <w:r w:rsidRPr="00C8701B">
        <w:rPr>
          <w:rFonts w:eastAsia="Arial Unicode MS"/>
          <w:bCs/>
          <w:lang w:eastAsia="fr-FR" w:bidi="he-IL"/>
        </w:rPr>
        <w:t>us avons signalé fidèlement les principales variantes</w:t>
      </w:r>
      <w:r w:rsidR="00E65435">
        <w:rPr>
          <w:rFonts w:eastAsia="Arial Unicode MS"/>
          <w:bCs/>
          <w:lang w:eastAsia="fr-FR" w:bidi="he-IL"/>
        </w:rPr>
        <w:t xml:space="preserve">, </w:t>
      </w:r>
      <w:r w:rsidRPr="00C8701B">
        <w:rPr>
          <w:rFonts w:eastAsia="Arial Unicode MS"/>
          <w:bCs/>
          <w:lang w:eastAsia="fr-FR" w:bidi="he-IL"/>
        </w:rPr>
        <w:t>en indiquant d</w:t>
      </w:r>
      <w:r w:rsidR="00557DE0">
        <w:rPr>
          <w:rFonts w:eastAsia="Arial Unicode MS"/>
          <w:bCs/>
          <w:lang w:eastAsia="fr-FR" w:bidi="he-IL"/>
        </w:rPr>
        <w:t>’</w:t>
      </w:r>
      <w:r w:rsidRPr="00C8701B">
        <w:rPr>
          <w:rFonts w:eastAsia="Arial Unicode MS"/>
          <w:bCs/>
          <w:lang w:eastAsia="fr-FR" w:bidi="he-IL"/>
        </w:rPr>
        <w:t>ordinaire celle qui avait obtenu nos préférences. Il nous reste à ajouter ici quelques détails techniques</w:t>
      </w:r>
      <w:r w:rsidR="00E65435">
        <w:rPr>
          <w:rFonts w:eastAsia="Arial Unicode MS"/>
          <w:bCs/>
          <w:lang w:eastAsia="fr-FR" w:bidi="he-IL"/>
        </w:rPr>
        <w:t xml:space="preserve">, </w:t>
      </w:r>
      <w:r w:rsidR="0077300D">
        <w:rPr>
          <w:rFonts w:eastAsia="Arial Unicode MS"/>
          <w:bCs/>
          <w:lang w:eastAsia="fr-FR" w:bidi="he-IL"/>
        </w:rPr>
        <w:t>pour rensei</w:t>
      </w:r>
      <w:r w:rsidRPr="00C8701B">
        <w:rPr>
          <w:rFonts w:eastAsia="Arial Unicode MS"/>
          <w:bCs/>
          <w:lang w:eastAsia="fr-FR" w:bidi="he-IL"/>
        </w:rPr>
        <w:t>gner le lecteur sur nos citations forcément abrégées.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Les matériaux qui servent à la critique du texte</w:t>
      </w:r>
      <w:r w:rsidR="00E65435">
        <w:rPr>
          <w:rFonts w:eastAsia="Arial Unicode MS"/>
          <w:bCs/>
          <w:lang w:eastAsia="fr-FR" w:bidi="he-IL"/>
        </w:rPr>
        <w:t xml:space="preserve">, </w:t>
      </w:r>
      <w:r w:rsidRPr="00C8701B">
        <w:rPr>
          <w:rFonts w:eastAsia="Arial Unicode MS"/>
          <w:bCs/>
          <w:lang w:eastAsia="fr-FR" w:bidi="he-IL"/>
        </w:rPr>
        <w:t>et auxquels nous avons si fréquemment renvoyé</w:t>
      </w:r>
      <w:r w:rsidR="00E65435">
        <w:rPr>
          <w:rFonts w:eastAsia="Arial Unicode MS"/>
          <w:bCs/>
          <w:lang w:eastAsia="fr-FR" w:bidi="he-IL"/>
        </w:rPr>
        <w:t xml:space="preserve">, </w:t>
      </w:r>
      <w:r w:rsidRPr="00C8701B">
        <w:rPr>
          <w:rFonts w:eastAsia="Arial Unicode MS"/>
          <w:bCs/>
          <w:lang w:eastAsia="fr-FR" w:bidi="he-IL"/>
        </w:rPr>
        <w:t>sont de trois sortes</w:t>
      </w:r>
      <w:r w:rsidR="00C2602D" w:rsidRPr="00C8701B">
        <w:rPr>
          <w:rFonts w:eastAsia="Arial Unicode MS"/>
          <w:bCs/>
          <w:lang w:eastAsia="fr-FR" w:bidi="he-IL"/>
        </w:rPr>
        <w:t> :</w:t>
      </w:r>
      <w:r w:rsidRPr="00C8701B">
        <w:rPr>
          <w:rFonts w:eastAsia="Arial Unicode MS"/>
          <w:bCs/>
          <w:lang w:eastAsia="fr-FR" w:bidi="he-IL"/>
        </w:rPr>
        <w:t xml:space="preserve"> les manuscrits</w:t>
      </w:r>
      <w:r w:rsidR="00E65435">
        <w:rPr>
          <w:rFonts w:eastAsia="Arial Unicode MS"/>
          <w:bCs/>
          <w:lang w:eastAsia="fr-FR" w:bidi="he-IL"/>
        </w:rPr>
        <w:t xml:space="preserve">, </w:t>
      </w:r>
      <w:r w:rsidRPr="00C8701B">
        <w:rPr>
          <w:rFonts w:eastAsia="Arial Unicode MS"/>
          <w:bCs/>
          <w:lang w:eastAsia="fr-FR" w:bidi="he-IL"/>
        </w:rPr>
        <w:t>les versions</w:t>
      </w:r>
      <w:r w:rsidR="00E65435">
        <w:rPr>
          <w:rFonts w:eastAsia="Arial Unicode MS"/>
          <w:bCs/>
          <w:lang w:eastAsia="fr-FR" w:bidi="he-IL"/>
        </w:rPr>
        <w:t xml:space="preserve">, </w:t>
      </w:r>
      <w:r w:rsidRPr="00C8701B">
        <w:rPr>
          <w:rFonts w:eastAsia="Arial Unicode MS"/>
          <w:bCs/>
          <w:lang w:eastAsia="fr-FR" w:bidi="he-IL"/>
        </w:rPr>
        <w:t>les citations des Pères.</w:t>
      </w:r>
      <w:r w:rsidR="00C2602D" w:rsidRPr="00C8701B">
        <w:rPr>
          <w:rFonts w:eastAsia="Arial Unicode MS"/>
          <w:bCs/>
          <w:lang w:eastAsia="fr-FR" w:bidi="he-IL"/>
        </w:rPr>
        <w:t xml:space="preserve"> </w:t>
      </w:r>
    </w:p>
    <w:p w:rsidR="00C2602D" w:rsidRPr="00C8701B" w:rsidRDefault="0077300D" w:rsidP="00C2602D">
      <w:pPr>
        <w:rPr>
          <w:rFonts w:eastAsia="Arial Unicode MS"/>
          <w:bCs/>
          <w:lang w:eastAsia="fr-FR" w:bidi="he-IL"/>
        </w:rPr>
      </w:pPr>
      <w:r>
        <w:rPr>
          <w:rFonts w:eastAsia="Arial Unicode MS"/>
          <w:bCs/>
          <w:lang w:eastAsia="fr-FR" w:bidi="he-IL"/>
        </w:rPr>
        <w:t>α</w:t>
      </w:r>
      <w:r w:rsidR="00517F11">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00B704AD" w:rsidRPr="00C8701B">
        <w:rPr>
          <w:rFonts w:eastAsia="Arial Unicode MS"/>
          <w:bCs/>
          <w:lang w:eastAsia="fr-FR" w:bidi="he-IL"/>
        </w:rPr>
        <w:t>Les manuscrits se divisent en deux catégories</w:t>
      </w:r>
      <w:r w:rsidR="00C2602D" w:rsidRPr="00C8701B">
        <w:rPr>
          <w:rFonts w:eastAsia="Arial Unicode MS"/>
          <w:bCs/>
          <w:lang w:eastAsia="fr-FR" w:bidi="he-IL"/>
        </w:rPr>
        <w:t> :</w:t>
      </w:r>
      <w:r w:rsidR="00B704AD" w:rsidRPr="00C8701B">
        <w:rPr>
          <w:rFonts w:eastAsia="Arial Unicode MS"/>
          <w:bCs/>
          <w:lang w:eastAsia="fr-FR" w:bidi="he-IL"/>
        </w:rPr>
        <w:t xml:space="preserve"> ceux qui sont écrits en lettres dites</w:t>
      </w:r>
      <w:r w:rsidR="00B704AD" w:rsidRPr="00DC4586">
        <w:rPr>
          <w:rStyle w:val="italicus"/>
        </w:rPr>
        <w:t xml:space="preserve"> onciales</w:t>
      </w:r>
      <w:r w:rsidR="00E65435">
        <w:rPr>
          <w:rStyle w:val="italicus"/>
        </w:rPr>
        <w:t xml:space="preserve">, </w:t>
      </w:r>
      <w:r w:rsidR="00B704AD" w:rsidRPr="00C8701B">
        <w:rPr>
          <w:rFonts w:eastAsia="Arial Unicode MS"/>
          <w:bCs/>
          <w:lang w:eastAsia="fr-FR" w:bidi="he-IL"/>
        </w:rPr>
        <w:t>ou</w:t>
      </w:r>
      <w:r w:rsidR="00B704AD" w:rsidRPr="00DC4586">
        <w:rPr>
          <w:rStyle w:val="italicus"/>
        </w:rPr>
        <w:t xml:space="preserve"> majuscules</w:t>
      </w:r>
      <w:r w:rsidR="00E65435">
        <w:rPr>
          <w:rStyle w:val="italicus"/>
        </w:rPr>
        <w:t xml:space="preserve">, </w:t>
      </w:r>
      <w:r w:rsidR="00B704AD" w:rsidRPr="00C8701B">
        <w:rPr>
          <w:rFonts w:eastAsia="Arial Unicode MS"/>
          <w:bCs/>
          <w:lang w:eastAsia="fr-FR" w:bidi="he-IL"/>
        </w:rPr>
        <w:t>et ceux où l</w:t>
      </w:r>
      <w:r w:rsidR="00557DE0">
        <w:rPr>
          <w:rFonts w:eastAsia="Arial Unicode MS"/>
          <w:bCs/>
          <w:lang w:eastAsia="fr-FR" w:bidi="he-IL"/>
        </w:rPr>
        <w:t>’</w:t>
      </w:r>
      <w:r w:rsidR="00B704AD" w:rsidRPr="00C8701B">
        <w:rPr>
          <w:rFonts w:eastAsia="Arial Unicode MS"/>
          <w:bCs/>
          <w:lang w:eastAsia="fr-FR" w:bidi="he-IL"/>
        </w:rPr>
        <w:t>on a employé l</w:t>
      </w:r>
      <w:r w:rsidR="00557DE0">
        <w:rPr>
          <w:rFonts w:eastAsia="Arial Unicode MS"/>
          <w:bCs/>
          <w:lang w:eastAsia="fr-FR" w:bidi="he-IL"/>
        </w:rPr>
        <w:t>’</w:t>
      </w:r>
      <w:r w:rsidR="00B704AD" w:rsidRPr="00C8701B">
        <w:rPr>
          <w:rFonts w:eastAsia="Arial Unicode MS"/>
          <w:bCs/>
          <w:lang w:eastAsia="fr-FR" w:bidi="he-IL"/>
        </w:rPr>
        <w:t>écriture</w:t>
      </w:r>
      <w:r w:rsidR="00B704AD" w:rsidRPr="00DC4586">
        <w:rPr>
          <w:rStyle w:val="italicus"/>
        </w:rPr>
        <w:t xml:space="preserve"> cursive</w:t>
      </w:r>
      <w:r w:rsidR="00E65435">
        <w:rPr>
          <w:rStyle w:val="italicus"/>
        </w:rPr>
        <w:t xml:space="preserve">, </w:t>
      </w:r>
      <w:r>
        <w:rPr>
          <w:rFonts w:eastAsia="Arial Unicode MS"/>
          <w:bCs/>
          <w:lang w:eastAsia="fr-FR" w:bidi="he-IL"/>
        </w:rPr>
        <w:t>o</w:t>
      </w:r>
      <w:r w:rsidR="00B704AD" w:rsidRPr="00C8701B">
        <w:rPr>
          <w:rFonts w:eastAsia="Arial Unicode MS"/>
          <w:bCs/>
          <w:lang w:eastAsia="fr-FR" w:bidi="he-IL"/>
        </w:rPr>
        <w:t>u les caractères</w:t>
      </w:r>
      <w:r w:rsidR="00B704AD" w:rsidRPr="00DC4586">
        <w:rPr>
          <w:rStyle w:val="italicus"/>
        </w:rPr>
        <w:t xml:space="preserve"> minuscules.</w:t>
      </w:r>
      <w:r>
        <w:rPr>
          <w:rFonts w:eastAsia="Arial Unicode MS"/>
          <w:bCs/>
          <w:lang w:eastAsia="fr-FR" w:bidi="he-IL"/>
        </w:rPr>
        <w:t xml:space="preserve"> Les premiers sont les plus anci</w:t>
      </w:r>
      <w:r w:rsidR="00B704AD" w:rsidRPr="00C8701B">
        <w:rPr>
          <w:rFonts w:eastAsia="Arial Unicode MS"/>
          <w:bCs/>
          <w:lang w:eastAsia="fr-FR" w:bidi="he-IL"/>
        </w:rPr>
        <w:t>ens</w:t>
      </w:r>
      <w:r w:rsidR="00E65435">
        <w:rPr>
          <w:rFonts w:eastAsia="Arial Unicode MS"/>
          <w:bCs/>
          <w:lang w:eastAsia="fr-FR" w:bidi="he-IL"/>
        </w:rPr>
        <w:t xml:space="preserve">, </w:t>
      </w:r>
      <w:r w:rsidR="00B704AD" w:rsidRPr="00C8701B">
        <w:rPr>
          <w:rFonts w:eastAsia="Arial Unicode MS"/>
          <w:bCs/>
          <w:lang w:eastAsia="fr-FR" w:bidi="he-IL"/>
        </w:rPr>
        <w:t>et</w:t>
      </w:r>
      <w:r w:rsidR="00E65435">
        <w:rPr>
          <w:rFonts w:eastAsia="Arial Unicode MS"/>
          <w:bCs/>
          <w:lang w:eastAsia="fr-FR" w:bidi="he-IL"/>
        </w:rPr>
        <w:t xml:space="preserve">, </w:t>
      </w:r>
      <w:r w:rsidR="00B704AD" w:rsidRPr="00C8701B">
        <w:rPr>
          <w:rFonts w:eastAsia="Arial Unicode MS"/>
          <w:bCs/>
          <w:lang w:eastAsia="fr-FR" w:bidi="he-IL"/>
        </w:rPr>
        <w:t>par suite</w:t>
      </w:r>
      <w:r w:rsidR="00E65435">
        <w:rPr>
          <w:rFonts w:eastAsia="Arial Unicode MS"/>
          <w:bCs/>
          <w:lang w:eastAsia="fr-FR" w:bidi="he-IL"/>
        </w:rPr>
        <w:t xml:space="preserve">, </w:t>
      </w:r>
      <w:r w:rsidR="008B47E5">
        <w:rPr>
          <w:rFonts w:eastAsia="Arial Unicode MS"/>
          <w:bCs/>
          <w:lang w:eastAsia="fr-FR" w:bidi="he-IL"/>
        </w:rPr>
        <w:t>les</w:t>
      </w:r>
      <w:r w:rsidR="00B704AD" w:rsidRPr="00C8701B">
        <w:rPr>
          <w:rFonts w:eastAsia="Arial Unicode MS"/>
          <w:bCs/>
          <w:lang w:eastAsia="fr-FR" w:bidi="he-IL"/>
        </w:rPr>
        <w:t xml:space="preserve"> plus importants</w:t>
      </w:r>
      <w:r w:rsidR="00C2602D" w:rsidRPr="00C8701B">
        <w:rPr>
          <w:rFonts w:eastAsia="Arial Unicode MS"/>
          <w:bCs/>
          <w:lang w:eastAsia="fr-FR" w:bidi="he-IL"/>
        </w:rPr>
        <w:t> </w:t>
      </w:r>
      <w:r w:rsidR="007F6508">
        <w:rPr>
          <w:rFonts w:eastAsia="Arial Unicode MS"/>
          <w:bCs/>
          <w:lang w:eastAsia="fr-FR" w:bidi="he-IL"/>
        </w:rPr>
        <w:t xml:space="preserve">; </w:t>
      </w:r>
      <w:r w:rsidR="00C14040" w:rsidRPr="000716BB">
        <w:rPr>
          <w:rFonts w:eastAsia="Arial Unicode MS"/>
          <w:bCs/>
          <w:lang w:eastAsia="fr-FR" w:bidi="he-IL"/>
        </w:rPr>
        <w:t>{</w:t>
      </w:r>
      <w:r w:rsidR="00C14040">
        <w:rPr>
          <w:rFonts w:eastAsia="Arial Unicode MS"/>
          <w:bCs/>
          <w:lang w:eastAsia="fr-FR" w:bidi="he-IL"/>
        </w:rPr>
        <w:t>74</w:t>
      </w:r>
      <w:bookmarkStart w:id="121" w:name="pag074"/>
      <w:bookmarkEnd w:id="121"/>
      <w:r w:rsidR="00C14040" w:rsidRPr="000716BB">
        <w:rPr>
          <w:rFonts w:eastAsia="Arial Unicode MS"/>
          <w:bCs/>
          <w:lang w:eastAsia="fr-FR" w:bidi="he-IL"/>
        </w:rPr>
        <w:t xml:space="preserve">} </w:t>
      </w:r>
      <w:r w:rsidR="00B704AD" w:rsidRPr="00C8701B">
        <w:rPr>
          <w:rFonts w:eastAsia="Arial Unicode MS"/>
          <w:bCs/>
          <w:lang w:eastAsia="fr-FR" w:bidi="he-IL"/>
        </w:rPr>
        <w:t>les autres</w:t>
      </w:r>
      <w:r w:rsidR="00E65435">
        <w:rPr>
          <w:rFonts w:eastAsia="Arial Unicode MS"/>
          <w:bCs/>
          <w:lang w:eastAsia="fr-FR" w:bidi="he-IL"/>
        </w:rPr>
        <w:t xml:space="preserve">, </w:t>
      </w:r>
      <w:r w:rsidR="00B704AD" w:rsidRPr="00C8701B">
        <w:rPr>
          <w:rFonts w:eastAsia="Arial Unicode MS"/>
          <w:bCs/>
          <w:lang w:eastAsia="fr-FR" w:bidi="he-IL"/>
        </w:rPr>
        <w:t>quoique beaucoup plus nombreux</w:t>
      </w:r>
      <w:r w:rsidR="00E65435">
        <w:rPr>
          <w:rFonts w:eastAsia="Arial Unicode MS"/>
          <w:bCs/>
          <w:lang w:eastAsia="fr-FR" w:bidi="he-IL"/>
        </w:rPr>
        <w:t xml:space="preserve">, </w:t>
      </w:r>
      <w:r w:rsidR="00B704AD" w:rsidRPr="00C8701B">
        <w:rPr>
          <w:rFonts w:eastAsia="Arial Unicode MS"/>
          <w:bCs/>
          <w:lang w:eastAsia="fr-FR" w:bidi="he-IL"/>
        </w:rPr>
        <w:t>ne jo</w:t>
      </w:r>
      <w:r>
        <w:rPr>
          <w:rFonts w:eastAsia="Arial Unicode MS"/>
          <w:bCs/>
          <w:lang w:eastAsia="fr-FR" w:bidi="he-IL"/>
        </w:rPr>
        <w:t>ui</w:t>
      </w:r>
      <w:r w:rsidR="00795B48">
        <w:rPr>
          <w:rFonts w:eastAsia="Arial Unicode MS"/>
          <w:bCs/>
          <w:lang w:eastAsia="fr-FR" w:bidi="he-IL"/>
        </w:rPr>
        <w:t>sse</w:t>
      </w:r>
      <w:r>
        <w:rPr>
          <w:rFonts w:eastAsia="Arial Unicode MS"/>
          <w:bCs/>
          <w:lang w:eastAsia="fr-FR" w:bidi="he-IL"/>
        </w:rPr>
        <w:t>n</w:t>
      </w:r>
      <w:r w:rsidR="00B704AD" w:rsidRPr="00C8701B">
        <w:rPr>
          <w:rFonts w:eastAsia="Arial Unicode MS"/>
          <w:bCs/>
          <w:lang w:eastAsia="fr-FR" w:bidi="he-IL"/>
        </w:rPr>
        <w:t>t pas d</w:t>
      </w:r>
      <w:r w:rsidR="00557DE0">
        <w:rPr>
          <w:rFonts w:eastAsia="Arial Unicode MS"/>
          <w:bCs/>
          <w:lang w:eastAsia="fr-FR" w:bidi="he-IL"/>
        </w:rPr>
        <w:t>’</w:t>
      </w:r>
      <w:r w:rsidR="00B704AD" w:rsidRPr="00C8701B">
        <w:rPr>
          <w:rFonts w:eastAsia="Arial Unicode MS"/>
          <w:bCs/>
          <w:lang w:eastAsia="fr-FR" w:bidi="he-IL"/>
        </w:rPr>
        <w:t>une aussi grande autorité. Ils sont</w:t>
      </w:r>
      <w:r w:rsidR="00E65435">
        <w:rPr>
          <w:rFonts w:eastAsia="Arial Unicode MS"/>
          <w:bCs/>
          <w:lang w:eastAsia="fr-FR" w:bidi="he-IL"/>
        </w:rPr>
        <w:t xml:space="preserve">, </w:t>
      </w:r>
      <w:r w:rsidR="00B704AD" w:rsidRPr="00C8701B">
        <w:rPr>
          <w:rFonts w:eastAsia="Arial Unicode MS"/>
          <w:bCs/>
          <w:lang w:eastAsia="fr-FR" w:bidi="he-IL"/>
        </w:rPr>
        <w:t>pour la plupart</w:t>
      </w:r>
      <w:r w:rsidR="00E65435">
        <w:rPr>
          <w:rFonts w:eastAsia="Arial Unicode MS"/>
          <w:bCs/>
          <w:lang w:eastAsia="fr-FR" w:bidi="he-IL"/>
        </w:rPr>
        <w:t xml:space="preserve">, </w:t>
      </w:r>
      <w:r w:rsidR="00B704AD" w:rsidRPr="00C8701B">
        <w:rPr>
          <w:rFonts w:eastAsia="Arial Unicode MS"/>
          <w:bCs/>
          <w:lang w:eastAsia="fr-FR" w:bidi="he-IL"/>
        </w:rPr>
        <w:t xml:space="preserve">du </w:t>
      </w:r>
      <w:r w:rsidR="001157C4">
        <w:rPr>
          <w:rFonts w:eastAsia="Arial Unicode MS"/>
          <w:bCs/>
          <w:lang w:eastAsia="fr-FR" w:bidi="he-IL"/>
        </w:rPr>
        <w:t>X</w:t>
      </w:r>
      <w:r w:rsidR="00F56B84" w:rsidRPr="00F56B84">
        <w:rPr>
          <w:rFonts w:eastAsia="Arial Unicode MS"/>
          <w:bCs/>
          <w:vertAlign w:val="superscript"/>
          <w:lang w:eastAsia="fr-FR" w:bidi="he-IL"/>
        </w:rPr>
        <w:t>e</w:t>
      </w:r>
      <w:r>
        <w:rPr>
          <w:rFonts w:eastAsia="Arial Unicode MS"/>
          <w:bCs/>
          <w:lang w:eastAsia="fr-FR" w:bidi="he-IL"/>
        </w:rPr>
        <w:t xml:space="preserve"> siècle e</w:t>
      </w:r>
      <w:r w:rsidR="00B704AD" w:rsidRPr="00C8701B">
        <w:rPr>
          <w:rFonts w:eastAsia="Arial Unicode MS"/>
          <w:bCs/>
          <w:lang w:eastAsia="fr-FR" w:bidi="he-IL"/>
        </w:rPr>
        <w:t>t des siècles suivants. Parmi ces divers manuscrits</w:t>
      </w:r>
      <w:r w:rsidR="00E65435">
        <w:rPr>
          <w:rFonts w:eastAsia="Arial Unicode MS"/>
          <w:bCs/>
          <w:lang w:eastAsia="fr-FR" w:bidi="he-IL"/>
        </w:rPr>
        <w:t xml:space="preserve">, </w:t>
      </w:r>
      <w:r w:rsidR="00B704AD" w:rsidRPr="00C8701B">
        <w:rPr>
          <w:rFonts w:eastAsia="Arial Unicode MS"/>
          <w:bCs/>
          <w:lang w:eastAsia="fr-FR" w:bidi="he-IL"/>
        </w:rPr>
        <w:t>aucun n</w:t>
      </w:r>
      <w:r w:rsidR="00557DE0">
        <w:rPr>
          <w:rFonts w:eastAsia="Arial Unicode MS"/>
          <w:bCs/>
          <w:lang w:eastAsia="fr-FR" w:bidi="he-IL"/>
        </w:rPr>
        <w:t>’</w:t>
      </w:r>
      <w:r w:rsidR="00B704AD" w:rsidRPr="00C8701B">
        <w:rPr>
          <w:rFonts w:eastAsia="Arial Unicode MS"/>
          <w:bCs/>
          <w:lang w:eastAsia="fr-FR" w:bidi="he-IL"/>
        </w:rPr>
        <w:t xml:space="preserve">est antérieur au </w:t>
      </w:r>
      <w:r w:rsidR="00215CAD">
        <w:rPr>
          <w:rFonts w:eastAsia="Arial Unicode MS"/>
          <w:bCs/>
          <w:lang w:eastAsia="fr-FR" w:bidi="he-IL"/>
        </w:rPr>
        <w:t>IV</w:t>
      </w:r>
      <w:r w:rsidR="00B704AD" w:rsidRPr="00C8701B">
        <w:rPr>
          <w:rFonts w:eastAsia="Arial Unicode MS"/>
          <w:bCs/>
          <w:vertAlign w:val="superscript"/>
          <w:lang w:eastAsia="fr-FR" w:bidi="he-IL"/>
        </w:rPr>
        <w:t>e</w:t>
      </w:r>
      <w:r w:rsidR="00B704AD" w:rsidRPr="00C8701B">
        <w:rPr>
          <w:rFonts w:eastAsia="Arial Unicode MS"/>
          <w:bCs/>
          <w:lang w:eastAsia="fr-FR" w:bidi="he-IL"/>
        </w:rPr>
        <w:t xml:space="preserve"> siècle.</w:t>
      </w:r>
      <w:r w:rsidR="00C2602D" w:rsidRPr="00C8701B">
        <w:rPr>
          <w:rFonts w:eastAsia="Arial Unicode MS"/>
          <w:bCs/>
          <w:lang w:eastAsia="fr-FR" w:bidi="he-IL"/>
        </w:rPr>
        <w:t xml:space="preserve"> </w:t>
      </w:r>
    </w:p>
    <w:p w:rsidR="00C2602D" w:rsidRDefault="007D3F5A" w:rsidP="00C2602D">
      <w:pPr>
        <w:rPr>
          <w:rFonts w:eastAsia="Arial Unicode MS"/>
          <w:bCs/>
          <w:lang w:eastAsia="fr-FR" w:bidi="he-IL"/>
        </w:rPr>
      </w:pPr>
      <w:r w:rsidRPr="00C8701B">
        <w:rPr>
          <w:rFonts w:eastAsia="Arial Unicode MS"/>
          <w:bCs/>
          <w:lang w:eastAsia="fr-FR" w:bidi="he-IL"/>
        </w:rPr>
        <w:t>O</w:t>
      </w:r>
      <w:r w:rsidR="00B704AD" w:rsidRPr="00C8701B">
        <w:rPr>
          <w:rFonts w:eastAsia="Arial Unicode MS"/>
          <w:bCs/>
          <w:lang w:eastAsia="fr-FR" w:bidi="he-IL"/>
        </w:rPr>
        <w:t>n compte</w:t>
      </w:r>
      <w:r w:rsidR="00E65435">
        <w:rPr>
          <w:rFonts w:eastAsia="Arial Unicode MS"/>
          <w:bCs/>
          <w:lang w:eastAsia="fr-FR" w:bidi="he-IL"/>
        </w:rPr>
        <w:t xml:space="preserve">, </w:t>
      </w:r>
      <w:r w:rsidR="00B704AD" w:rsidRPr="00C8701B">
        <w:rPr>
          <w:rFonts w:eastAsia="Arial Unicode MS"/>
          <w:bCs/>
          <w:lang w:eastAsia="fr-FR" w:bidi="he-IL"/>
        </w:rPr>
        <w:t>pour les évangiles</w:t>
      </w:r>
      <w:r w:rsidR="00E65435">
        <w:rPr>
          <w:rFonts w:eastAsia="Arial Unicode MS"/>
          <w:bCs/>
          <w:lang w:eastAsia="fr-FR" w:bidi="he-IL"/>
        </w:rPr>
        <w:t xml:space="preserve">, </w:t>
      </w:r>
      <w:r w:rsidR="00B704AD" w:rsidRPr="00C8701B">
        <w:rPr>
          <w:rFonts w:eastAsia="Arial Unicode MS"/>
          <w:bCs/>
          <w:lang w:eastAsia="fr-FR" w:bidi="he-IL"/>
        </w:rPr>
        <w:t>34 manuscrits onciaux</w:t>
      </w:r>
      <w:r w:rsidR="00E65435">
        <w:rPr>
          <w:rFonts w:eastAsia="Arial Unicode MS"/>
          <w:bCs/>
          <w:lang w:eastAsia="fr-FR" w:bidi="he-IL"/>
        </w:rPr>
        <w:t xml:space="preserve">, </w:t>
      </w:r>
      <w:r w:rsidR="00B704AD" w:rsidRPr="00C8701B">
        <w:rPr>
          <w:rFonts w:eastAsia="Arial Unicode MS"/>
          <w:bCs/>
          <w:lang w:eastAsia="fr-FR" w:bidi="he-IL"/>
        </w:rPr>
        <w:t>et 601 minuscules</w:t>
      </w:r>
      <w:r w:rsidR="00E65435">
        <w:rPr>
          <w:rFonts w:eastAsia="Arial Unicode MS"/>
          <w:bCs/>
          <w:lang w:eastAsia="fr-FR" w:bidi="he-IL"/>
        </w:rPr>
        <w:t xml:space="preserve">, </w:t>
      </w:r>
      <w:r w:rsidR="00B704AD" w:rsidRPr="00C8701B">
        <w:rPr>
          <w:rFonts w:eastAsia="Arial Unicode MS"/>
          <w:bCs/>
          <w:lang w:eastAsia="fr-FR" w:bidi="he-IL"/>
        </w:rPr>
        <w:t>contenant le texte en tout ou en partie</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de plus</w:t>
      </w:r>
      <w:r w:rsidR="00E65435">
        <w:rPr>
          <w:rFonts w:eastAsia="Arial Unicode MS"/>
          <w:bCs/>
          <w:lang w:eastAsia="fr-FR" w:bidi="he-IL"/>
        </w:rPr>
        <w:t xml:space="preserve">, </w:t>
      </w:r>
      <w:r w:rsidR="00B704AD" w:rsidRPr="00C8701B">
        <w:rPr>
          <w:rFonts w:eastAsia="Arial Unicode MS"/>
          <w:bCs/>
          <w:lang w:eastAsia="fr-FR" w:bidi="he-IL"/>
        </w:rPr>
        <w:t>près de 250 évangéliaires</w:t>
      </w:r>
      <w:r w:rsidR="00E65435">
        <w:rPr>
          <w:rFonts w:eastAsia="Arial Unicode MS"/>
          <w:bCs/>
          <w:lang w:eastAsia="fr-FR" w:bidi="he-IL"/>
        </w:rPr>
        <w:t xml:space="preserve">, </w:t>
      </w:r>
      <w:r w:rsidR="00B704AD" w:rsidRPr="00C8701B">
        <w:rPr>
          <w:rFonts w:eastAsia="Arial Unicode MS"/>
          <w:bCs/>
          <w:lang w:eastAsia="fr-FR" w:bidi="he-IL"/>
        </w:rPr>
        <w:t>également manuscrits</w:t>
      </w:r>
      <w:r w:rsidR="0077300D" w:rsidRPr="00C406FF">
        <w:rPr>
          <w:rStyle w:val="Appelnotedebasdep"/>
        </w:rPr>
        <w:footnoteReference w:id="404"/>
      </w:r>
      <w:r w:rsidR="00B704AD" w:rsidRPr="00C8701B">
        <w:rPr>
          <w:rFonts w:eastAsia="Arial Unicode MS"/>
          <w:bCs/>
          <w:lang w:eastAsia="fr-FR" w:bidi="he-IL"/>
        </w:rPr>
        <w:t>. Chacun de ces documents est désigné soit par une lettre majuscule</w:t>
      </w:r>
      <w:r w:rsidR="00E65435">
        <w:rPr>
          <w:rFonts w:eastAsia="Arial Unicode MS"/>
          <w:bCs/>
          <w:lang w:eastAsia="fr-FR" w:bidi="he-IL"/>
        </w:rPr>
        <w:t xml:space="preserve">, </w:t>
      </w:r>
      <w:r w:rsidR="00B704AD" w:rsidRPr="00C8701B">
        <w:rPr>
          <w:rFonts w:eastAsia="Arial Unicode MS"/>
          <w:bCs/>
          <w:lang w:eastAsia="fr-FR" w:bidi="he-IL"/>
        </w:rPr>
        <w:t>lorsqu</w:t>
      </w:r>
      <w:r w:rsidR="00557DE0">
        <w:rPr>
          <w:rFonts w:eastAsia="Arial Unicode MS"/>
          <w:bCs/>
          <w:lang w:eastAsia="fr-FR" w:bidi="he-IL"/>
        </w:rPr>
        <w:t>’</w:t>
      </w:r>
      <w:r w:rsidR="00B704AD" w:rsidRPr="00C8701B">
        <w:rPr>
          <w:rFonts w:eastAsia="Arial Unicode MS"/>
          <w:bCs/>
          <w:lang w:eastAsia="fr-FR" w:bidi="he-IL"/>
        </w:rPr>
        <w:t>il s</w:t>
      </w:r>
      <w:r w:rsidR="00557DE0">
        <w:rPr>
          <w:rFonts w:eastAsia="Arial Unicode MS"/>
          <w:bCs/>
          <w:lang w:eastAsia="fr-FR" w:bidi="he-IL"/>
        </w:rPr>
        <w:t>’</w:t>
      </w:r>
      <w:r w:rsidR="00B704AD" w:rsidRPr="00C8701B">
        <w:rPr>
          <w:rFonts w:eastAsia="Arial Unicode MS"/>
          <w:bCs/>
          <w:lang w:eastAsia="fr-FR" w:bidi="he-IL"/>
        </w:rPr>
        <w:t>agit de manuscrits en caractères onciaux</w:t>
      </w:r>
      <w:r w:rsidR="00E65435">
        <w:rPr>
          <w:rFonts w:eastAsia="Arial Unicode MS"/>
          <w:bCs/>
          <w:lang w:eastAsia="fr-FR" w:bidi="he-IL"/>
        </w:rPr>
        <w:t xml:space="preserve">, </w:t>
      </w:r>
      <w:r w:rsidR="00B704AD" w:rsidRPr="00C8701B">
        <w:rPr>
          <w:rFonts w:eastAsia="Arial Unicode MS"/>
          <w:bCs/>
          <w:lang w:eastAsia="fr-FR" w:bidi="he-IL"/>
        </w:rPr>
        <w:t>soit par un chiffre</w:t>
      </w:r>
      <w:r w:rsidR="00E65435">
        <w:rPr>
          <w:rFonts w:eastAsia="Arial Unicode MS"/>
          <w:bCs/>
          <w:lang w:eastAsia="fr-FR" w:bidi="he-IL"/>
        </w:rPr>
        <w:t xml:space="preserve">, </w:t>
      </w:r>
      <w:r w:rsidR="00B704AD" w:rsidRPr="00C8701B">
        <w:rPr>
          <w:rFonts w:eastAsia="Arial Unicode MS"/>
          <w:bCs/>
          <w:lang w:eastAsia="fr-FR" w:bidi="he-IL"/>
        </w:rPr>
        <w:t>pour les manuscrits en écriture cursive.</w:t>
      </w:r>
      <w:r w:rsidR="00C2602D" w:rsidRPr="00C8701B">
        <w:rPr>
          <w:rFonts w:eastAsia="Arial Unicode MS"/>
          <w:bCs/>
          <w:lang w:eastAsia="fr-FR" w:bidi="he-IL"/>
        </w:rPr>
        <w:t xml:space="preserve"> </w:t>
      </w:r>
    </w:p>
    <w:p w:rsidR="00C2602D" w:rsidRDefault="00B704AD" w:rsidP="00C2602D">
      <w:pPr>
        <w:rPr>
          <w:rFonts w:eastAsia="Arial Unicode MS"/>
          <w:bCs/>
          <w:lang w:eastAsia="fr-FR" w:bidi="he-IL"/>
        </w:rPr>
      </w:pPr>
      <w:r w:rsidRPr="00C8701B">
        <w:rPr>
          <w:rFonts w:eastAsia="Arial Unicode MS"/>
          <w:bCs/>
          <w:lang w:eastAsia="fr-FR" w:bidi="he-IL"/>
        </w:rPr>
        <w:t>Le tableau qui suit résume les détails qu</w:t>
      </w:r>
      <w:r w:rsidR="00557DE0">
        <w:rPr>
          <w:rFonts w:eastAsia="Arial Unicode MS"/>
          <w:bCs/>
          <w:lang w:eastAsia="fr-FR" w:bidi="he-IL"/>
        </w:rPr>
        <w:t>’</w:t>
      </w:r>
      <w:r w:rsidRPr="00C8701B">
        <w:rPr>
          <w:rFonts w:eastAsia="Arial Unicode MS"/>
          <w:bCs/>
          <w:lang w:eastAsia="fr-FR" w:bidi="he-IL"/>
        </w:rPr>
        <w:t>il est utile de connaître touchant les principaux manuscrits onciaux ou majuscules relatifs aux évangiles. On pourra facilement les compléter à l</w:t>
      </w:r>
      <w:r w:rsidR="00557DE0">
        <w:rPr>
          <w:rFonts w:eastAsia="Arial Unicode MS"/>
          <w:bCs/>
          <w:lang w:eastAsia="fr-FR" w:bidi="he-IL"/>
        </w:rPr>
        <w:t>’</w:t>
      </w:r>
      <w:r w:rsidRPr="00C8701B">
        <w:rPr>
          <w:rFonts w:eastAsia="Arial Unicode MS"/>
          <w:bCs/>
          <w:lang w:eastAsia="fr-FR" w:bidi="he-IL"/>
        </w:rPr>
        <w:t>aide des pages de M. Trochon que nous avons signalées plus haut</w:t>
      </w:r>
      <w:r w:rsidR="00933C60" w:rsidRPr="00C406FF">
        <w:rPr>
          <w:rStyle w:val="Appelnotedebasdep"/>
        </w:rPr>
        <w:footnoteReference w:id="405"/>
      </w:r>
      <w:r w:rsidRPr="00C8701B">
        <w:rPr>
          <w:rFonts w:eastAsia="Arial Unicode MS"/>
          <w:bCs/>
          <w:lang w:eastAsia="fr-FR" w:bidi="he-IL"/>
        </w:rPr>
        <w:t>.</w:t>
      </w:r>
      <w:r w:rsidR="00C2602D" w:rsidRPr="00C8701B">
        <w:rPr>
          <w:rFonts w:eastAsia="Arial Unicode MS"/>
          <w:bCs/>
          <w:lang w:eastAsia="fr-FR" w:bidi="he-IL"/>
        </w:rPr>
        <w:t xml:space="preserve"> </w:t>
      </w:r>
    </w:p>
    <w:p w:rsidR="009C7AB2" w:rsidRPr="002C017E" w:rsidRDefault="009C7AB2" w:rsidP="009C7AB2"/>
    <w:tbl>
      <w:tblPr>
        <w:tblW w:w="10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4489"/>
        <w:gridCol w:w="5416"/>
        <w:gridCol w:w="5136"/>
        <w:gridCol w:w="3389"/>
        <w:gridCol w:w="4195"/>
      </w:tblGrid>
      <w:tr w:rsidR="009C7AB2" w:rsidRPr="002C017E" w:rsidTr="00C14040">
        <w:trPr>
          <w:trHeight w:val="841"/>
        </w:trPr>
        <w:tc>
          <w:tcPr>
            <w:tcW w:w="992" w:type="pct"/>
            <w:shd w:val="clear" w:color="auto" w:fill="FFFFFF"/>
          </w:tcPr>
          <w:p w:rsidR="009C7AB2" w:rsidRPr="002C017E" w:rsidRDefault="009C7AB2" w:rsidP="009E1A8A">
            <w:pPr>
              <w:pStyle w:val="nsr"/>
            </w:pPr>
            <w:r w:rsidRPr="002C017E">
              <w:t>Désignation</w:t>
            </w:r>
            <w:r>
              <w:t xml:space="preserve"> </w:t>
            </w:r>
            <w:r w:rsidRPr="002C017E">
              <w:t>abrégée du manuscrit</w:t>
            </w:r>
          </w:p>
        </w:tc>
        <w:tc>
          <w:tcPr>
            <w:tcW w:w="1197" w:type="pct"/>
            <w:shd w:val="clear" w:color="auto" w:fill="FFFFFF"/>
          </w:tcPr>
          <w:p w:rsidR="009C7AB2" w:rsidRPr="002C017E" w:rsidRDefault="009C7AB2" w:rsidP="009E1A8A">
            <w:pPr>
              <w:pStyle w:val="nsr"/>
            </w:pPr>
            <w:r w:rsidRPr="002C017E">
              <w:t>Son nom complet</w:t>
            </w:r>
          </w:p>
        </w:tc>
        <w:tc>
          <w:tcPr>
            <w:tcW w:w="1135" w:type="pct"/>
            <w:shd w:val="clear" w:color="auto" w:fill="FFFFFF"/>
          </w:tcPr>
          <w:p w:rsidR="009C7AB2" w:rsidRPr="002C017E" w:rsidRDefault="009C7AB2" w:rsidP="009E1A8A">
            <w:pPr>
              <w:pStyle w:val="nsr"/>
            </w:pPr>
            <w:r w:rsidRPr="002C017E">
              <w:t>Lieu où il se trouve actuellement</w:t>
            </w:r>
          </w:p>
        </w:tc>
        <w:tc>
          <w:tcPr>
            <w:tcW w:w="749" w:type="pct"/>
            <w:shd w:val="clear" w:color="auto" w:fill="FFFFFF"/>
          </w:tcPr>
          <w:p w:rsidR="009C7AB2" w:rsidRPr="002C017E" w:rsidRDefault="009C7AB2" w:rsidP="009E1A8A">
            <w:pPr>
              <w:pStyle w:val="nsr"/>
            </w:pPr>
            <w:r w:rsidRPr="002C017E">
              <w:t>Date probable</w:t>
            </w:r>
          </w:p>
        </w:tc>
        <w:tc>
          <w:tcPr>
            <w:tcW w:w="927" w:type="pct"/>
            <w:shd w:val="clear" w:color="auto" w:fill="FFFFFF"/>
          </w:tcPr>
          <w:p w:rsidR="009C7AB2" w:rsidRPr="002C017E" w:rsidRDefault="009C7AB2" w:rsidP="009E1A8A">
            <w:pPr>
              <w:pStyle w:val="nsr"/>
            </w:pPr>
            <w:r w:rsidRPr="002C017E">
              <w:t>Son contenu</w:t>
            </w:r>
          </w:p>
        </w:tc>
      </w:tr>
      <w:tr w:rsidR="009C7AB2" w:rsidRPr="002C017E" w:rsidTr="00C14040">
        <w:trPr>
          <w:trHeight w:val="360"/>
        </w:trPr>
        <w:tc>
          <w:tcPr>
            <w:tcW w:w="992" w:type="pct"/>
            <w:shd w:val="clear" w:color="auto" w:fill="FFFFFF"/>
          </w:tcPr>
          <w:p w:rsidR="009C7AB2" w:rsidRPr="002C017E" w:rsidRDefault="009C7AB2" w:rsidP="009E1A8A">
            <w:pPr>
              <w:pStyle w:val="nsr"/>
            </w:pPr>
            <w:r w:rsidRPr="002C017E">
              <w:t>B</w:t>
            </w:r>
          </w:p>
        </w:tc>
        <w:tc>
          <w:tcPr>
            <w:tcW w:w="1197" w:type="pct"/>
            <w:shd w:val="clear" w:color="auto" w:fill="FFFFFF"/>
          </w:tcPr>
          <w:p w:rsidR="009C7AB2" w:rsidRPr="002C017E" w:rsidRDefault="009C7AB2" w:rsidP="009E1A8A">
            <w:pPr>
              <w:pStyle w:val="nsr"/>
              <w:rPr>
                <w:i/>
                <w:iCs/>
              </w:rPr>
            </w:pPr>
            <w:r w:rsidRPr="002C017E">
              <w:rPr>
                <w:i/>
                <w:iCs/>
              </w:rPr>
              <w:t>Vaticanus.</w:t>
            </w:r>
          </w:p>
        </w:tc>
        <w:tc>
          <w:tcPr>
            <w:tcW w:w="1135" w:type="pct"/>
            <w:shd w:val="clear" w:color="auto" w:fill="FFFFFF"/>
          </w:tcPr>
          <w:p w:rsidR="009C7AB2" w:rsidRPr="002C017E" w:rsidRDefault="009C7AB2" w:rsidP="009E1A8A">
            <w:pPr>
              <w:pStyle w:val="nsr"/>
            </w:pPr>
            <w:r w:rsidRPr="002C017E">
              <w:t>Palais du Vatican.</w:t>
            </w:r>
          </w:p>
        </w:tc>
        <w:tc>
          <w:tcPr>
            <w:tcW w:w="749" w:type="pct"/>
            <w:shd w:val="clear" w:color="auto" w:fill="FFFFFF"/>
          </w:tcPr>
          <w:p w:rsidR="009C7AB2" w:rsidRPr="002C017E" w:rsidRDefault="009C7AB2" w:rsidP="009E1A8A">
            <w:pPr>
              <w:pStyle w:val="nsr"/>
            </w:pPr>
            <w:r>
              <w:t>IV</w:t>
            </w:r>
            <w:r w:rsidRPr="002C017E">
              <w:rPr>
                <w:vertAlign w:val="superscript"/>
              </w:rPr>
              <w:t>e</w:t>
            </w:r>
            <w:r w:rsidRPr="002C017E">
              <w:t xml:space="preserve"> siècle</w:t>
            </w:r>
          </w:p>
        </w:tc>
        <w:tc>
          <w:tcPr>
            <w:tcW w:w="927" w:type="pct"/>
            <w:shd w:val="clear" w:color="auto" w:fill="FFFFFF"/>
          </w:tcPr>
          <w:p w:rsidR="009C7AB2" w:rsidRPr="002C017E" w:rsidRDefault="009C7AB2" w:rsidP="009E1A8A">
            <w:pPr>
              <w:pStyle w:val="nsr"/>
            </w:pPr>
            <w:r>
              <w:t>T</w:t>
            </w:r>
            <w:r w:rsidRPr="002C017E">
              <w:t>ou</w:t>
            </w:r>
            <w:r>
              <w:t>s</w:t>
            </w:r>
            <w:r w:rsidRPr="002C017E">
              <w:t xml:space="preserve"> les évangiles.</w:t>
            </w:r>
          </w:p>
        </w:tc>
      </w:tr>
      <w:tr w:rsidR="009C7AB2" w:rsidRPr="002C017E" w:rsidTr="00C14040">
        <w:trPr>
          <w:trHeight w:val="157"/>
        </w:trPr>
        <w:tc>
          <w:tcPr>
            <w:tcW w:w="992" w:type="pct"/>
            <w:shd w:val="clear" w:color="auto" w:fill="FFFFFF"/>
          </w:tcPr>
          <w:p w:rsidR="009C7AB2" w:rsidRPr="002C017E" w:rsidRDefault="009C7AB2" w:rsidP="009E1A8A">
            <w:pPr>
              <w:pStyle w:val="nsr"/>
            </w:pPr>
            <w:r>
              <w:rPr>
                <w:rtl/>
                <w:lang w:bidi="he-IL"/>
              </w:rPr>
              <w:t>א</w:t>
            </w:r>
          </w:p>
        </w:tc>
        <w:tc>
          <w:tcPr>
            <w:tcW w:w="1197" w:type="pct"/>
            <w:shd w:val="clear" w:color="auto" w:fill="FFFFFF"/>
          </w:tcPr>
          <w:p w:rsidR="009C7AB2" w:rsidRPr="002C017E" w:rsidRDefault="009C7AB2" w:rsidP="009E1A8A">
            <w:pPr>
              <w:pStyle w:val="nsr"/>
              <w:rPr>
                <w:i/>
                <w:iCs/>
              </w:rPr>
            </w:pPr>
            <w:r>
              <w:rPr>
                <w:i/>
                <w:iCs/>
              </w:rPr>
              <w:t>Sinaiticus</w:t>
            </w:r>
            <w:r w:rsidRPr="002C017E">
              <w:rPr>
                <w:i/>
                <w:iCs/>
              </w:rPr>
              <w:t>.</w:t>
            </w:r>
          </w:p>
        </w:tc>
        <w:tc>
          <w:tcPr>
            <w:tcW w:w="1135" w:type="pct"/>
            <w:shd w:val="clear" w:color="auto" w:fill="FFFFFF"/>
          </w:tcPr>
          <w:p w:rsidR="009C7AB2" w:rsidRPr="002C017E" w:rsidRDefault="009C7AB2" w:rsidP="009E1A8A">
            <w:pPr>
              <w:pStyle w:val="nsr"/>
            </w:pPr>
            <w:r w:rsidRPr="002C017E">
              <w:t>S. Petersburg.</w:t>
            </w:r>
          </w:p>
        </w:tc>
        <w:tc>
          <w:tcPr>
            <w:tcW w:w="749" w:type="pct"/>
            <w:shd w:val="clear" w:color="auto" w:fill="FFFFFF"/>
          </w:tcPr>
          <w:p w:rsidR="009C7AB2" w:rsidRPr="002C017E" w:rsidRDefault="009C7AB2" w:rsidP="009E1A8A">
            <w:pPr>
              <w:pStyle w:val="nsr"/>
            </w:pPr>
            <w:r>
              <w:t>IV</w:t>
            </w:r>
            <w:r w:rsidRPr="002C017E">
              <w:rPr>
                <w:vertAlign w:val="superscript"/>
              </w:rPr>
              <w:t>e</w:t>
            </w:r>
          </w:p>
        </w:tc>
        <w:tc>
          <w:tcPr>
            <w:tcW w:w="927" w:type="pct"/>
            <w:shd w:val="clear" w:color="auto" w:fill="FFFFFF"/>
          </w:tcPr>
          <w:p w:rsidR="009C7AB2" w:rsidRPr="002C017E" w:rsidRDefault="009C7AB2" w:rsidP="009E1A8A">
            <w:pPr>
              <w:pStyle w:val="nsr"/>
            </w:pPr>
            <w:r w:rsidRPr="002C017E">
              <w:t>Tous le</w:t>
            </w:r>
            <w:r>
              <w:t xml:space="preserve">s évangiles. </w:t>
            </w:r>
          </w:p>
        </w:tc>
      </w:tr>
      <w:tr w:rsidR="009C7AB2" w:rsidRPr="002C017E" w:rsidTr="00C14040">
        <w:trPr>
          <w:trHeight w:val="478"/>
        </w:trPr>
        <w:tc>
          <w:tcPr>
            <w:tcW w:w="992" w:type="pct"/>
            <w:shd w:val="clear" w:color="auto" w:fill="FFFFFF"/>
          </w:tcPr>
          <w:p w:rsidR="009C7AB2" w:rsidRPr="002C017E" w:rsidRDefault="009C7AB2" w:rsidP="009E1A8A">
            <w:pPr>
              <w:pStyle w:val="nsr"/>
            </w:pPr>
            <w:r w:rsidRPr="002C017E">
              <w:t>A</w:t>
            </w:r>
          </w:p>
        </w:tc>
        <w:tc>
          <w:tcPr>
            <w:tcW w:w="1197" w:type="pct"/>
            <w:shd w:val="clear" w:color="auto" w:fill="FFFFFF"/>
          </w:tcPr>
          <w:p w:rsidR="009C7AB2" w:rsidRPr="002C017E" w:rsidRDefault="009C7AB2" w:rsidP="009E1A8A">
            <w:pPr>
              <w:pStyle w:val="nsr"/>
              <w:rPr>
                <w:i/>
                <w:iCs/>
              </w:rPr>
            </w:pPr>
            <w:r>
              <w:rPr>
                <w:i/>
                <w:iCs/>
              </w:rPr>
              <w:t>Ale</w:t>
            </w:r>
            <w:r w:rsidRPr="002C017E">
              <w:rPr>
                <w:i/>
                <w:iCs/>
              </w:rPr>
              <w:t>xandrinus.</w:t>
            </w:r>
          </w:p>
        </w:tc>
        <w:tc>
          <w:tcPr>
            <w:tcW w:w="1135" w:type="pct"/>
            <w:shd w:val="clear" w:color="auto" w:fill="FFFFFF"/>
          </w:tcPr>
          <w:p w:rsidR="009C7AB2" w:rsidRPr="002C017E" w:rsidRDefault="009C7AB2" w:rsidP="009E1A8A">
            <w:pPr>
              <w:pStyle w:val="nsr"/>
            </w:pPr>
            <w:r w:rsidRPr="002C017E">
              <w:t>Musée britannique.</w:t>
            </w:r>
          </w:p>
        </w:tc>
        <w:tc>
          <w:tcPr>
            <w:tcW w:w="749" w:type="pct"/>
            <w:shd w:val="clear" w:color="auto" w:fill="FFFFFF"/>
          </w:tcPr>
          <w:p w:rsidR="009C7AB2" w:rsidRPr="002C017E" w:rsidRDefault="009C7AB2" w:rsidP="009E1A8A">
            <w:pPr>
              <w:pStyle w:val="nsr"/>
            </w:pPr>
            <w:r>
              <w:t>V</w:t>
            </w:r>
            <w:r w:rsidRPr="002C017E">
              <w:rPr>
                <w:vertAlign w:val="superscript"/>
              </w:rPr>
              <w:t>e</w:t>
            </w:r>
          </w:p>
        </w:tc>
        <w:tc>
          <w:tcPr>
            <w:tcW w:w="927" w:type="pct"/>
            <w:shd w:val="clear" w:color="auto" w:fill="FFFFFF"/>
          </w:tcPr>
          <w:p w:rsidR="009C7AB2" w:rsidRPr="002C017E" w:rsidRDefault="009C7AB2" w:rsidP="009E1A8A">
            <w:pPr>
              <w:pStyle w:val="nsr"/>
            </w:pPr>
            <w:r>
              <w:t>S.</w:t>
            </w:r>
            <w:r w:rsidRPr="002C017E">
              <w:t xml:space="preserve"> Matth., à partir de XXV, 6</w:t>
            </w:r>
            <w:r>
              <w:t> ;</w:t>
            </w:r>
            <w:r w:rsidRPr="002C017E">
              <w:t xml:space="preserve"> S. Marc</w:t>
            </w:r>
            <w:r>
              <w:t> ;</w:t>
            </w:r>
            <w:r w:rsidRPr="002C017E">
              <w:t xml:space="preserve"> S. Luc</w:t>
            </w:r>
            <w:r>
              <w:t> ; S. Jean</w:t>
            </w:r>
            <w:r w:rsidRPr="002C017E">
              <w:t xml:space="preserve"> moins</w:t>
            </w:r>
            <w:r>
              <w:t xml:space="preserve"> </w:t>
            </w:r>
            <w:r w:rsidR="00A319EA">
              <w:t>VI</w:t>
            </w:r>
            <w:r w:rsidRPr="002C017E">
              <w:t>, 50-</w:t>
            </w:r>
            <w:r>
              <w:t>VIII</w:t>
            </w:r>
            <w:r w:rsidRPr="002C017E">
              <w:t>, 52</w:t>
            </w:r>
            <w:r>
              <w:t>.</w:t>
            </w:r>
          </w:p>
        </w:tc>
      </w:tr>
      <w:tr w:rsidR="009C7AB2" w:rsidRPr="002C017E" w:rsidTr="00C14040">
        <w:trPr>
          <w:trHeight w:val="306"/>
        </w:trPr>
        <w:tc>
          <w:tcPr>
            <w:tcW w:w="992" w:type="pct"/>
            <w:shd w:val="clear" w:color="auto" w:fill="FFFFFF"/>
          </w:tcPr>
          <w:p w:rsidR="009C7AB2" w:rsidRPr="002C017E" w:rsidRDefault="009C7AB2" w:rsidP="009E1A8A">
            <w:pPr>
              <w:pStyle w:val="nsr"/>
            </w:pPr>
            <w:r>
              <w:t>C</w:t>
            </w:r>
          </w:p>
        </w:tc>
        <w:tc>
          <w:tcPr>
            <w:tcW w:w="1197" w:type="pct"/>
            <w:shd w:val="clear" w:color="auto" w:fill="FFFFFF"/>
          </w:tcPr>
          <w:p w:rsidR="009C7AB2" w:rsidRPr="002C017E" w:rsidRDefault="009C7AB2" w:rsidP="009E1A8A">
            <w:pPr>
              <w:pStyle w:val="nsr"/>
              <w:rPr>
                <w:i/>
                <w:iCs/>
              </w:rPr>
            </w:pPr>
            <w:r>
              <w:rPr>
                <w:i/>
                <w:iCs/>
              </w:rPr>
              <w:t>Ephræ</w:t>
            </w:r>
            <w:r w:rsidRPr="002C017E">
              <w:rPr>
                <w:i/>
                <w:iCs/>
              </w:rPr>
              <w:t>mi r</w:t>
            </w:r>
            <w:r>
              <w:rPr>
                <w:i/>
                <w:iCs/>
              </w:rPr>
              <w:t>escri</w:t>
            </w:r>
            <w:r w:rsidRPr="002C017E">
              <w:rPr>
                <w:i/>
                <w:iCs/>
              </w:rPr>
              <w:t>ptus.</w:t>
            </w:r>
          </w:p>
        </w:tc>
        <w:tc>
          <w:tcPr>
            <w:tcW w:w="1135" w:type="pct"/>
            <w:shd w:val="clear" w:color="auto" w:fill="FFFFFF"/>
          </w:tcPr>
          <w:p w:rsidR="009C7AB2" w:rsidRPr="002C017E" w:rsidRDefault="009C7AB2" w:rsidP="009E1A8A">
            <w:pPr>
              <w:pStyle w:val="nsr"/>
            </w:pPr>
            <w:r w:rsidRPr="002C017E">
              <w:t>Paris.</w:t>
            </w:r>
          </w:p>
        </w:tc>
        <w:tc>
          <w:tcPr>
            <w:tcW w:w="749" w:type="pct"/>
            <w:shd w:val="clear" w:color="auto" w:fill="FFFFFF"/>
          </w:tcPr>
          <w:p w:rsidR="009C7AB2" w:rsidRPr="002C017E" w:rsidRDefault="009C7AB2" w:rsidP="009E1A8A">
            <w:pPr>
              <w:pStyle w:val="nsr"/>
            </w:pPr>
            <w:r>
              <w:t>V</w:t>
            </w:r>
            <w:r w:rsidRPr="002C017E">
              <w:rPr>
                <w:vertAlign w:val="superscript"/>
              </w:rPr>
              <w:t>e</w:t>
            </w:r>
          </w:p>
        </w:tc>
        <w:tc>
          <w:tcPr>
            <w:tcW w:w="927" w:type="pct"/>
            <w:shd w:val="clear" w:color="auto" w:fill="FFFFFF"/>
          </w:tcPr>
          <w:p w:rsidR="009C7AB2" w:rsidRPr="002C017E" w:rsidRDefault="009C7AB2" w:rsidP="009E1A8A">
            <w:pPr>
              <w:pStyle w:val="nsr"/>
            </w:pPr>
            <w:r>
              <w:t>Des fragments des quat</w:t>
            </w:r>
            <w:r w:rsidRPr="002C017E">
              <w:t>re évangiles</w:t>
            </w:r>
            <w:r>
              <w:t> ;</w:t>
            </w:r>
            <w:r w:rsidRPr="002C017E">
              <w:t xml:space="preserve"> environ les 2/5 du texte.</w:t>
            </w:r>
          </w:p>
        </w:tc>
      </w:tr>
      <w:tr w:rsidR="009C7AB2" w:rsidRPr="002C017E" w:rsidTr="00C14040">
        <w:trPr>
          <w:trHeight w:val="337"/>
        </w:trPr>
        <w:tc>
          <w:tcPr>
            <w:tcW w:w="992" w:type="pct"/>
            <w:shd w:val="clear" w:color="auto" w:fill="FFFFFF"/>
          </w:tcPr>
          <w:p w:rsidR="009C7AB2" w:rsidRPr="002C017E" w:rsidRDefault="009C7AB2" w:rsidP="009E1A8A">
            <w:pPr>
              <w:pStyle w:val="nsr"/>
            </w:pPr>
            <w:r>
              <w:t>Q</w:t>
            </w:r>
          </w:p>
        </w:tc>
        <w:tc>
          <w:tcPr>
            <w:tcW w:w="1197" w:type="pct"/>
            <w:shd w:val="clear" w:color="auto" w:fill="FFFFFF"/>
          </w:tcPr>
          <w:p w:rsidR="009C7AB2" w:rsidRPr="002C017E" w:rsidRDefault="009C7AB2" w:rsidP="009E1A8A">
            <w:pPr>
              <w:pStyle w:val="nsr"/>
              <w:rPr>
                <w:i/>
                <w:iCs/>
              </w:rPr>
            </w:pPr>
            <w:r>
              <w:rPr>
                <w:i/>
                <w:iCs/>
              </w:rPr>
              <w:t>Guelpherbita</w:t>
            </w:r>
            <w:r w:rsidRPr="002C017E">
              <w:rPr>
                <w:i/>
                <w:iCs/>
              </w:rPr>
              <w:t>nus</w:t>
            </w:r>
            <w:r w:rsidRPr="002C017E">
              <w:t xml:space="preserve"> B.</w:t>
            </w:r>
          </w:p>
        </w:tc>
        <w:tc>
          <w:tcPr>
            <w:tcW w:w="1135" w:type="pct"/>
            <w:shd w:val="clear" w:color="auto" w:fill="FFFFFF"/>
          </w:tcPr>
          <w:p w:rsidR="009C7AB2" w:rsidRPr="002C017E" w:rsidRDefault="009C7AB2" w:rsidP="009E1A8A">
            <w:pPr>
              <w:pStyle w:val="nsr"/>
            </w:pPr>
            <w:r>
              <w:t>Wolfenbüttel</w:t>
            </w:r>
            <w:r w:rsidRPr="002C017E">
              <w:t>.</w:t>
            </w:r>
          </w:p>
        </w:tc>
        <w:tc>
          <w:tcPr>
            <w:tcW w:w="749" w:type="pct"/>
            <w:shd w:val="clear" w:color="auto" w:fill="FFFFFF"/>
          </w:tcPr>
          <w:p w:rsidR="009C7AB2" w:rsidRPr="002C017E" w:rsidRDefault="009C7AB2" w:rsidP="009E1A8A">
            <w:pPr>
              <w:pStyle w:val="nsr"/>
            </w:pPr>
            <w:r>
              <w:t>V</w:t>
            </w:r>
            <w:r w:rsidRPr="002C017E">
              <w:rPr>
                <w:vertAlign w:val="superscript"/>
              </w:rPr>
              <w:t>e</w:t>
            </w:r>
          </w:p>
        </w:tc>
        <w:tc>
          <w:tcPr>
            <w:tcW w:w="927" w:type="pct"/>
            <w:shd w:val="clear" w:color="auto" w:fill="FFFFFF"/>
          </w:tcPr>
          <w:p w:rsidR="009C7AB2" w:rsidRPr="002C017E" w:rsidRDefault="009C7AB2" w:rsidP="009E1A8A">
            <w:pPr>
              <w:pStyle w:val="nsr"/>
            </w:pPr>
            <w:r w:rsidRPr="002C017E">
              <w:t>235 versets de S. Luc et de S. Jean.</w:t>
            </w:r>
          </w:p>
        </w:tc>
      </w:tr>
      <w:tr w:rsidR="009C7AB2" w:rsidRPr="002C017E" w:rsidTr="00C14040">
        <w:trPr>
          <w:trHeight w:val="170"/>
        </w:trPr>
        <w:tc>
          <w:tcPr>
            <w:tcW w:w="992" w:type="pct"/>
            <w:shd w:val="clear" w:color="auto" w:fill="FFFFFF"/>
          </w:tcPr>
          <w:p w:rsidR="009C7AB2" w:rsidRPr="002C017E" w:rsidRDefault="009C7AB2" w:rsidP="009E1A8A">
            <w:pPr>
              <w:pStyle w:val="nsr"/>
            </w:pPr>
            <w:r>
              <w:t>Σ</w:t>
            </w:r>
          </w:p>
        </w:tc>
        <w:tc>
          <w:tcPr>
            <w:tcW w:w="1197" w:type="pct"/>
            <w:shd w:val="clear" w:color="auto" w:fill="FFFFFF"/>
          </w:tcPr>
          <w:p w:rsidR="009C7AB2" w:rsidRPr="002C017E" w:rsidRDefault="009C7AB2" w:rsidP="009E1A8A">
            <w:pPr>
              <w:pStyle w:val="nsr"/>
              <w:rPr>
                <w:i/>
                <w:iCs/>
              </w:rPr>
            </w:pPr>
            <w:r w:rsidRPr="002C017E">
              <w:rPr>
                <w:i/>
                <w:iCs/>
              </w:rPr>
              <w:t>Rossanensis.</w:t>
            </w:r>
          </w:p>
        </w:tc>
        <w:tc>
          <w:tcPr>
            <w:tcW w:w="1135" w:type="pct"/>
            <w:shd w:val="clear" w:color="auto" w:fill="FFFFFF"/>
          </w:tcPr>
          <w:p w:rsidR="009C7AB2" w:rsidRPr="002C017E" w:rsidRDefault="009C7AB2" w:rsidP="009E1A8A">
            <w:pPr>
              <w:pStyle w:val="nsr"/>
            </w:pPr>
            <w:r w:rsidRPr="002C017E">
              <w:t>Rossano.</w:t>
            </w:r>
          </w:p>
        </w:tc>
        <w:tc>
          <w:tcPr>
            <w:tcW w:w="749" w:type="pct"/>
            <w:shd w:val="clear" w:color="auto" w:fill="FFFFFF"/>
          </w:tcPr>
          <w:p w:rsidR="009C7AB2" w:rsidRPr="002C017E" w:rsidRDefault="009C7AB2" w:rsidP="009E1A8A">
            <w:pPr>
              <w:pStyle w:val="nsr"/>
            </w:pPr>
            <w:r w:rsidRPr="002C017E">
              <w:t>V</w:t>
            </w:r>
            <w:r>
              <w:t>I</w:t>
            </w:r>
            <w:r w:rsidRPr="002C017E">
              <w:rPr>
                <w:vertAlign w:val="superscript"/>
              </w:rPr>
              <w:t>e</w:t>
            </w:r>
          </w:p>
        </w:tc>
        <w:tc>
          <w:tcPr>
            <w:tcW w:w="927" w:type="pct"/>
            <w:shd w:val="clear" w:color="auto" w:fill="FFFFFF"/>
          </w:tcPr>
          <w:p w:rsidR="009C7AB2" w:rsidRPr="002C017E" w:rsidRDefault="009C7AB2" w:rsidP="009E1A8A">
            <w:pPr>
              <w:pStyle w:val="nsr"/>
            </w:pPr>
            <w:r>
              <w:t>Jusqu</w:t>
            </w:r>
            <w:r w:rsidR="00557DE0">
              <w:t>’</w:t>
            </w:r>
            <w:r>
              <w:t>à S. Marc, XVI, 14.</w:t>
            </w:r>
          </w:p>
        </w:tc>
      </w:tr>
      <w:tr w:rsidR="009C7AB2" w:rsidRPr="002C017E" w:rsidTr="00C14040">
        <w:trPr>
          <w:trHeight w:val="149"/>
        </w:trPr>
        <w:tc>
          <w:tcPr>
            <w:tcW w:w="992" w:type="pct"/>
            <w:shd w:val="clear" w:color="auto" w:fill="FFFFFF"/>
          </w:tcPr>
          <w:p w:rsidR="009C7AB2" w:rsidRPr="002C017E" w:rsidRDefault="009C7AB2" w:rsidP="009E1A8A">
            <w:pPr>
              <w:pStyle w:val="nsr"/>
            </w:pPr>
            <w:r>
              <w:t>D</w:t>
            </w:r>
          </w:p>
        </w:tc>
        <w:tc>
          <w:tcPr>
            <w:tcW w:w="1197" w:type="pct"/>
            <w:shd w:val="clear" w:color="auto" w:fill="FFFFFF"/>
          </w:tcPr>
          <w:p w:rsidR="009C7AB2" w:rsidRPr="002C017E" w:rsidRDefault="009C7AB2" w:rsidP="009E1A8A">
            <w:pPr>
              <w:pStyle w:val="nsr"/>
              <w:rPr>
                <w:i/>
                <w:iCs/>
              </w:rPr>
            </w:pPr>
            <w:r>
              <w:rPr>
                <w:i/>
                <w:iCs/>
              </w:rPr>
              <w:t>Besæ</w:t>
            </w:r>
            <w:r w:rsidRPr="002C017E">
              <w:rPr>
                <w:i/>
                <w:iCs/>
              </w:rPr>
              <w:t>.</w:t>
            </w:r>
          </w:p>
        </w:tc>
        <w:tc>
          <w:tcPr>
            <w:tcW w:w="1135" w:type="pct"/>
            <w:shd w:val="clear" w:color="auto" w:fill="FFFFFF"/>
          </w:tcPr>
          <w:p w:rsidR="009C7AB2" w:rsidRPr="002C017E" w:rsidRDefault="009C7AB2" w:rsidP="009E1A8A">
            <w:pPr>
              <w:pStyle w:val="nsr"/>
            </w:pPr>
            <w:r w:rsidRPr="002C017E">
              <w:t>Cambridge.</w:t>
            </w:r>
          </w:p>
        </w:tc>
        <w:tc>
          <w:tcPr>
            <w:tcW w:w="749" w:type="pct"/>
            <w:shd w:val="clear" w:color="auto" w:fill="FFFFFF"/>
          </w:tcPr>
          <w:p w:rsidR="009C7AB2" w:rsidRPr="002C017E" w:rsidRDefault="009C7AB2" w:rsidP="009E1A8A">
            <w:pPr>
              <w:pStyle w:val="nsr"/>
            </w:pPr>
            <w:r>
              <w:t>VI</w:t>
            </w:r>
            <w:r w:rsidRPr="002C017E">
              <w:rPr>
                <w:vertAlign w:val="superscript"/>
              </w:rPr>
              <w:t>e</w:t>
            </w:r>
            <w:r>
              <w:t xml:space="preserve"> </w:t>
            </w:r>
          </w:p>
        </w:tc>
        <w:tc>
          <w:tcPr>
            <w:tcW w:w="927" w:type="pct"/>
            <w:shd w:val="clear" w:color="auto" w:fill="FFFFFF"/>
          </w:tcPr>
          <w:p w:rsidR="009C7AB2" w:rsidRPr="002C017E" w:rsidRDefault="009C7AB2" w:rsidP="009E1A8A">
            <w:pPr>
              <w:pStyle w:val="nsr"/>
            </w:pPr>
            <w:r w:rsidRPr="002C017E">
              <w:t>Les quatre évangiles, avec des lacunes.</w:t>
            </w:r>
          </w:p>
        </w:tc>
      </w:tr>
      <w:tr w:rsidR="009C7AB2" w:rsidRPr="002C017E" w:rsidTr="00C14040">
        <w:trPr>
          <w:trHeight w:val="314"/>
        </w:trPr>
        <w:tc>
          <w:tcPr>
            <w:tcW w:w="992" w:type="pct"/>
            <w:shd w:val="clear" w:color="auto" w:fill="FFFFFF"/>
          </w:tcPr>
          <w:p w:rsidR="009C7AB2" w:rsidRPr="002C017E" w:rsidRDefault="009C7AB2" w:rsidP="009E1A8A">
            <w:pPr>
              <w:pStyle w:val="nsr"/>
            </w:pPr>
            <w:r>
              <w:t>P</w:t>
            </w:r>
          </w:p>
        </w:tc>
        <w:tc>
          <w:tcPr>
            <w:tcW w:w="1197" w:type="pct"/>
            <w:shd w:val="clear" w:color="auto" w:fill="FFFFFF"/>
          </w:tcPr>
          <w:p w:rsidR="009C7AB2" w:rsidRPr="002C017E" w:rsidRDefault="009C7AB2" w:rsidP="009E1A8A">
            <w:pPr>
              <w:pStyle w:val="nsr"/>
            </w:pPr>
            <w:r>
              <w:rPr>
                <w:i/>
                <w:iCs/>
              </w:rPr>
              <w:t>Guelph</w:t>
            </w:r>
            <w:r w:rsidRPr="002C017E">
              <w:rPr>
                <w:i/>
                <w:iCs/>
              </w:rPr>
              <w:t>erbita</w:t>
            </w:r>
            <w:r>
              <w:rPr>
                <w:i/>
                <w:iCs/>
              </w:rPr>
              <w:t>nus</w:t>
            </w:r>
            <w:r w:rsidRPr="002C017E">
              <w:t xml:space="preserve"> A</w:t>
            </w:r>
            <w:r>
              <w:t>.</w:t>
            </w:r>
          </w:p>
        </w:tc>
        <w:tc>
          <w:tcPr>
            <w:tcW w:w="1135" w:type="pct"/>
            <w:shd w:val="clear" w:color="auto" w:fill="FFFFFF"/>
          </w:tcPr>
          <w:p w:rsidR="009C7AB2" w:rsidRPr="002C017E" w:rsidRDefault="009C7AB2" w:rsidP="009E1A8A">
            <w:pPr>
              <w:pStyle w:val="nsr"/>
            </w:pPr>
            <w:r>
              <w:t>Wolfenbüttel.</w:t>
            </w:r>
          </w:p>
        </w:tc>
        <w:tc>
          <w:tcPr>
            <w:tcW w:w="749" w:type="pct"/>
            <w:shd w:val="clear" w:color="auto" w:fill="FFFFFF"/>
          </w:tcPr>
          <w:p w:rsidR="009C7AB2" w:rsidRPr="002C017E" w:rsidRDefault="009C7AB2" w:rsidP="009E1A8A">
            <w:pPr>
              <w:pStyle w:val="nsr"/>
            </w:pPr>
            <w:r w:rsidRPr="002C017E">
              <w:t>V</w:t>
            </w:r>
            <w:r>
              <w:t>I</w:t>
            </w:r>
            <w:r w:rsidRPr="002C017E">
              <w:rPr>
                <w:vertAlign w:val="superscript"/>
              </w:rPr>
              <w:t>e</w:t>
            </w:r>
          </w:p>
        </w:tc>
        <w:tc>
          <w:tcPr>
            <w:tcW w:w="927" w:type="pct"/>
            <w:shd w:val="clear" w:color="auto" w:fill="FFFFFF"/>
          </w:tcPr>
          <w:p w:rsidR="009C7AB2" w:rsidRPr="002C017E" w:rsidRDefault="009C7AB2" w:rsidP="009E1A8A">
            <w:pPr>
              <w:pStyle w:val="nsr"/>
            </w:pPr>
            <w:r w:rsidRPr="002C017E">
              <w:t>486 versets pris dans tous les évangélistes.</w:t>
            </w:r>
          </w:p>
        </w:tc>
      </w:tr>
      <w:tr w:rsidR="009C7AB2" w:rsidRPr="002C017E" w:rsidTr="00C14040">
        <w:trPr>
          <w:trHeight w:val="165"/>
        </w:trPr>
        <w:tc>
          <w:tcPr>
            <w:tcW w:w="992" w:type="pct"/>
            <w:shd w:val="clear" w:color="auto" w:fill="FFFFFF"/>
          </w:tcPr>
          <w:p w:rsidR="009C7AB2" w:rsidRPr="002C017E" w:rsidRDefault="009C7AB2" w:rsidP="009E1A8A">
            <w:pPr>
              <w:pStyle w:val="nsr"/>
            </w:pPr>
            <w:r w:rsidRPr="002C017E">
              <w:t>Z</w:t>
            </w:r>
          </w:p>
        </w:tc>
        <w:tc>
          <w:tcPr>
            <w:tcW w:w="1197" w:type="pct"/>
            <w:shd w:val="clear" w:color="auto" w:fill="FFFFFF"/>
          </w:tcPr>
          <w:p w:rsidR="009C7AB2" w:rsidRPr="002C017E" w:rsidRDefault="009C7AB2" w:rsidP="009E1A8A">
            <w:pPr>
              <w:pStyle w:val="nsr"/>
              <w:rPr>
                <w:i/>
                <w:iCs/>
              </w:rPr>
            </w:pPr>
            <w:r w:rsidRPr="002C017E">
              <w:rPr>
                <w:i/>
                <w:iCs/>
              </w:rPr>
              <w:t>Dublinensis.</w:t>
            </w:r>
          </w:p>
        </w:tc>
        <w:tc>
          <w:tcPr>
            <w:tcW w:w="1135" w:type="pct"/>
            <w:shd w:val="clear" w:color="auto" w:fill="FFFFFF"/>
          </w:tcPr>
          <w:p w:rsidR="009C7AB2" w:rsidRPr="002C017E" w:rsidRDefault="009C7AB2" w:rsidP="009E1A8A">
            <w:pPr>
              <w:pStyle w:val="nsr"/>
            </w:pPr>
            <w:r w:rsidRPr="002C017E">
              <w:t>Dublin.</w:t>
            </w:r>
          </w:p>
        </w:tc>
        <w:tc>
          <w:tcPr>
            <w:tcW w:w="749" w:type="pct"/>
            <w:shd w:val="clear" w:color="auto" w:fill="FFFFFF"/>
          </w:tcPr>
          <w:p w:rsidR="009C7AB2" w:rsidRPr="002C017E" w:rsidRDefault="009C7AB2" w:rsidP="009E1A8A">
            <w:pPr>
              <w:pStyle w:val="nsr"/>
            </w:pPr>
            <w:r>
              <w:t>VI</w:t>
            </w:r>
            <w:r w:rsidRPr="002C017E">
              <w:rPr>
                <w:vertAlign w:val="superscript"/>
              </w:rPr>
              <w:t>e</w:t>
            </w:r>
          </w:p>
        </w:tc>
        <w:tc>
          <w:tcPr>
            <w:tcW w:w="927" w:type="pct"/>
            <w:shd w:val="clear" w:color="auto" w:fill="FFFFFF"/>
          </w:tcPr>
          <w:p w:rsidR="009C7AB2" w:rsidRPr="002C017E" w:rsidRDefault="009C7AB2" w:rsidP="009E1A8A">
            <w:pPr>
              <w:pStyle w:val="nsr"/>
            </w:pPr>
            <w:r>
              <w:t xml:space="preserve">290 versets de S. Matthieu. </w:t>
            </w:r>
          </w:p>
        </w:tc>
      </w:tr>
      <w:tr w:rsidR="009C7AB2" w:rsidRPr="002C017E" w:rsidTr="00C14040">
        <w:trPr>
          <w:trHeight w:val="157"/>
        </w:trPr>
        <w:tc>
          <w:tcPr>
            <w:tcW w:w="992" w:type="pct"/>
            <w:shd w:val="clear" w:color="auto" w:fill="FFFFFF"/>
          </w:tcPr>
          <w:p w:rsidR="009C7AB2" w:rsidRPr="002C017E" w:rsidRDefault="009C7AB2" w:rsidP="009E1A8A">
            <w:pPr>
              <w:pStyle w:val="nsr"/>
            </w:pPr>
            <w:r w:rsidRPr="002C017E">
              <w:t>R</w:t>
            </w:r>
          </w:p>
        </w:tc>
        <w:tc>
          <w:tcPr>
            <w:tcW w:w="1197" w:type="pct"/>
            <w:shd w:val="clear" w:color="auto" w:fill="FFFFFF"/>
          </w:tcPr>
          <w:p w:rsidR="009C7AB2" w:rsidRPr="002C017E" w:rsidRDefault="009C7AB2" w:rsidP="009E1A8A">
            <w:pPr>
              <w:pStyle w:val="nsr"/>
              <w:rPr>
                <w:i/>
                <w:iCs/>
              </w:rPr>
            </w:pPr>
            <w:r w:rsidRPr="002C017E">
              <w:rPr>
                <w:i/>
                <w:iCs/>
              </w:rPr>
              <w:t>Nitriensis.</w:t>
            </w:r>
          </w:p>
        </w:tc>
        <w:tc>
          <w:tcPr>
            <w:tcW w:w="1135" w:type="pct"/>
            <w:shd w:val="clear" w:color="auto" w:fill="FFFFFF"/>
          </w:tcPr>
          <w:p w:rsidR="009C7AB2" w:rsidRPr="002C017E" w:rsidRDefault="009C7AB2" w:rsidP="009E1A8A">
            <w:pPr>
              <w:pStyle w:val="nsr"/>
            </w:pPr>
            <w:r w:rsidRPr="002C017E">
              <w:t>Musée britannique.</w:t>
            </w:r>
          </w:p>
        </w:tc>
        <w:tc>
          <w:tcPr>
            <w:tcW w:w="749" w:type="pct"/>
            <w:shd w:val="clear" w:color="auto" w:fill="FFFFFF"/>
          </w:tcPr>
          <w:p w:rsidR="009C7AB2" w:rsidRPr="002C017E" w:rsidRDefault="009C7AB2" w:rsidP="009E1A8A">
            <w:pPr>
              <w:pStyle w:val="nsr"/>
            </w:pPr>
            <w:r>
              <w:t>VI</w:t>
            </w:r>
            <w:r w:rsidRPr="002C017E">
              <w:rPr>
                <w:vertAlign w:val="superscript"/>
              </w:rPr>
              <w:t>e</w:t>
            </w:r>
          </w:p>
        </w:tc>
        <w:tc>
          <w:tcPr>
            <w:tcW w:w="927" w:type="pct"/>
            <w:shd w:val="clear" w:color="auto" w:fill="FFFFFF"/>
          </w:tcPr>
          <w:p w:rsidR="009C7AB2" w:rsidRPr="002C017E" w:rsidRDefault="009C7AB2" w:rsidP="009E1A8A">
            <w:pPr>
              <w:pStyle w:val="nsr"/>
            </w:pPr>
            <w:r w:rsidRPr="002C017E">
              <w:t>516 versets de S. Luc.</w:t>
            </w:r>
          </w:p>
        </w:tc>
      </w:tr>
      <w:tr w:rsidR="009C7AB2" w:rsidRPr="002C017E" w:rsidTr="00C14040">
        <w:trPr>
          <w:trHeight w:val="334"/>
        </w:trPr>
        <w:tc>
          <w:tcPr>
            <w:tcW w:w="992" w:type="pct"/>
            <w:shd w:val="clear" w:color="auto" w:fill="FFFFFF"/>
          </w:tcPr>
          <w:p w:rsidR="009C7AB2" w:rsidRPr="002C017E" w:rsidRDefault="009C7AB2" w:rsidP="009E1A8A">
            <w:pPr>
              <w:pStyle w:val="nsr"/>
            </w:pPr>
            <w:r w:rsidRPr="002C017E">
              <w:t>N</w:t>
            </w:r>
          </w:p>
        </w:tc>
        <w:tc>
          <w:tcPr>
            <w:tcW w:w="1197" w:type="pct"/>
            <w:shd w:val="clear" w:color="auto" w:fill="FFFFFF"/>
          </w:tcPr>
          <w:p w:rsidR="009C7AB2" w:rsidRPr="002C017E" w:rsidRDefault="009C7AB2" w:rsidP="009E1A8A">
            <w:pPr>
              <w:pStyle w:val="nsr"/>
              <w:rPr>
                <w:i/>
                <w:iCs/>
              </w:rPr>
            </w:pPr>
            <w:r>
              <w:rPr>
                <w:i/>
                <w:iCs/>
              </w:rPr>
              <w:t>Purpureus</w:t>
            </w:r>
            <w:r w:rsidRPr="002C017E">
              <w:rPr>
                <w:i/>
                <w:iCs/>
              </w:rPr>
              <w:t>.</w:t>
            </w:r>
          </w:p>
        </w:tc>
        <w:tc>
          <w:tcPr>
            <w:tcW w:w="1135" w:type="pct"/>
            <w:shd w:val="clear" w:color="auto" w:fill="FFFFFF"/>
          </w:tcPr>
          <w:p w:rsidR="009C7AB2" w:rsidRPr="002C017E" w:rsidRDefault="009C7AB2" w:rsidP="009E1A8A">
            <w:pPr>
              <w:pStyle w:val="nsr"/>
            </w:pPr>
            <w:r>
              <w:t>Dispersé en divers lieu</w:t>
            </w:r>
            <w:r w:rsidRPr="002C017E">
              <w:t>x.</w:t>
            </w:r>
          </w:p>
        </w:tc>
        <w:tc>
          <w:tcPr>
            <w:tcW w:w="749" w:type="pct"/>
            <w:shd w:val="clear" w:color="auto" w:fill="FFFFFF"/>
          </w:tcPr>
          <w:p w:rsidR="009C7AB2" w:rsidRPr="002C017E" w:rsidRDefault="009C7AB2" w:rsidP="009E1A8A">
            <w:pPr>
              <w:pStyle w:val="nsr"/>
            </w:pPr>
            <w:r>
              <w:t>VI</w:t>
            </w:r>
            <w:r w:rsidRPr="002C017E">
              <w:rPr>
                <w:vertAlign w:val="superscript"/>
              </w:rPr>
              <w:t>e</w:t>
            </w:r>
          </w:p>
        </w:tc>
        <w:tc>
          <w:tcPr>
            <w:tcW w:w="927" w:type="pct"/>
            <w:shd w:val="clear" w:color="auto" w:fill="FFFFFF"/>
          </w:tcPr>
          <w:p w:rsidR="009C7AB2" w:rsidRPr="002C017E" w:rsidRDefault="009C7AB2" w:rsidP="009E1A8A">
            <w:pPr>
              <w:pStyle w:val="nsr"/>
            </w:pPr>
            <w:r w:rsidRPr="002C017E">
              <w:t>Quelques fragments.</w:t>
            </w:r>
          </w:p>
        </w:tc>
      </w:tr>
      <w:tr w:rsidR="009C7AB2" w:rsidRPr="002C017E" w:rsidTr="00C14040">
        <w:trPr>
          <w:trHeight w:val="139"/>
        </w:trPr>
        <w:tc>
          <w:tcPr>
            <w:tcW w:w="992" w:type="pct"/>
            <w:shd w:val="clear" w:color="auto" w:fill="FFFFFF"/>
          </w:tcPr>
          <w:p w:rsidR="009C7AB2" w:rsidRPr="002C017E" w:rsidRDefault="009C7AB2" w:rsidP="009E1A8A">
            <w:pPr>
              <w:pStyle w:val="nsr"/>
            </w:pPr>
            <w:r w:rsidRPr="002C017E">
              <w:t>E</w:t>
            </w:r>
          </w:p>
        </w:tc>
        <w:tc>
          <w:tcPr>
            <w:tcW w:w="1197" w:type="pct"/>
            <w:shd w:val="clear" w:color="auto" w:fill="FFFFFF"/>
          </w:tcPr>
          <w:p w:rsidR="009C7AB2" w:rsidRPr="002C017E" w:rsidRDefault="009C7AB2" w:rsidP="009E1A8A">
            <w:pPr>
              <w:pStyle w:val="nsr"/>
              <w:rPr>
                <w:i/>
                <w:iCs/>
              </w:rPr>
            </w:pPr>
            <w:r>
              <w:rPr>
                <w:i/>
                <w:iCs/>
              </w:rPr>
              <w:t>Basiliens</w:t>
            </w:r>
            <w:r w:rsidRPr="002C017E">
              <w:rPr>
                <w:i/>
                <w:iCs/>
              </w:rPr>
              <w:t>is.</w:t>
            </w:r>
          </w:p>
        </w:tc>
        <w:tc>
          <w:tcPr>
            <w:tcW w:w="1135" w:type="pct"/>
            <w:shd w:val="clear" w:color="auto" w:fill="FFFFFF"/>
          </w:tcPr>
          <w:p w:rsidR="009C7AB2" w:rsidRPr="002C017E" w:rsidRDefault="009C7AB2" w:rsidP="009E1A8A">
            <w:pPr>
              <w:pStyle w:val="nsr"/>
            </w:pPr>
            <w:r w:rsidRPr="002C017E">
              <w:t>Bâle.</w:t>
            </w:r>
          </w:p>
        </w:tc>
        <w:tc>
          <w:tcPr>
            <w:tcW w:w="749" w:type="pct"/>
            <w:shd w:val="clear" w:color="auto" w:fill="FFFFFF"/>
          </w:tcPr>
          <w:p w:rsidR="009C7AB2" w:rsidRPr="002C017E" w:rsidRDefault="009C7AB2" w:rsidP="009E1A8A">
            <w:pPr>
              <w:pStyle w:val="nsr"/>
            </w:pPr>
            <w:r>
              <w:t>VII</w:t>
            </w:r>
            <w:r w:rsidRPr="002C017E">
              <w:rPr>
                <w:vertAlign w:val="superscript"/>
              </w:rPr>
              <w:t>e</w:t>
            </w:r>
          </w:p>
        </w:tc>
        <w:tc>
          <w:tcPr>
            <w:tcW w:w="927" w:type="pct"/>
            <w:shd w:val="clear" w:color="auto" w:fill="FFFFFF"/>
          </w:tcPr>
          <w:p w:rsidR="009C7AB2" w:rsidRPr="002C017E" w:rsidRDefault="009C7AB2" w:rsidP="009E1A8A">
            <w:pPr>
              <w:pStyle w:val="nsr"/>
            </w:pPr>
            <w:r w:rsidRPr="002C017E">
              <w:t xml:space="preserve">Tout, à part Luc. </w:t>
            </w:r>
            <w:r>
              <w:t>III</w:t>
            </w:r>
            <w:r w:rsidRPr="002C017E">
              <w:t>, 4-15</w:t>
            </w:r>
            <w:r>
              <w:t> ;</w:t>
            </w:r>
            <w:r w:rsidRPr="002C017E">
              <w:t xml:space="preserve"> XXIV, 47-53.</w:t>
            </w:r>
          </w:p>
        </w:tc>
      </w:tr>
      <w:tr w:rsidR="009C7AB2" w:rsidRPr="000F6981" w:rsidTr="00C14040">
        <w:trPr>
          <w:trHeight w:val="494"/>
        </w:trPr>
        <w:tc>
          <w:tcPr>
            <w:tcW w:w="992" w:type="pct"/>
            <w:shd w:val="clear" w:color="auto" w:fill="FFFFFF"/>
          </w:tcPr>
          <w:p w:rsidR="009C7AB2" w:rsidRPr="002C017E" w:rsidRDefault="009C7AB2" w:rsidP="009E1A8A">
            <w:pPr>
              <w:pStyle w:val="nsr"/>
            </w:pPr>
            <w:r w:rsidRPr="002C017E">
              <w:t>L</w:t>
            </w:r>
          </w:p>
        </w:tc>
        <w:tc>
          <w:tcPr>
            <w:tcW w:w="1197" w:type="pct"/>
            <w:shd w:val="clear" w:color="auto" w:fill="FFFFFF"/>
          </w:tcPr>
          <w:p w:rsidR="009C7AB2" w:rsidRPr="002C017E" w:rsidRDefault="009C7AB2" w:rsidP="009E1A8A">
            <w:pPr>
              <w:pStyle w:val="nsr"/>
              <w:rPr>
                <w:i/>
                <w:iCs/>
              </w:rPr>
            </w:pPr>
            <w:r>
              <w:rPr>
                <w:i/>
                <w:iCs/>
              </w:rPr>
              <w:t>Regius.</w:t>
            </w:r>
          </w:p>
        </w:tc>
        <w:tc>
          <w:tcPr>
            <w:tcW w:w="1135" w:type="pct"/>
            <w:shd w:val="clear" w:color="auto" w:fill="FFFFFF"/>
          </w:tcPr>
          <w:p w:rsidR="009C7AB2" w:rsidRPr="002C017E" w:rsidRDefault="009C7AB2" w:rsidP="009E1A8A">
            <w:pPr>
              <w:pStyle w:val="nsr"/>
            </w:pPr>
            <w:r w:rsidRPr="002C017E">
              <w:t>Paris.</w:t>
            </w:r>
          </w:p>
        </w:tc>
        <w:tc>
          <w:tcPr>
            <w:tcW w:w="749" w:type="pct"/>
            <w:shd w:val="clear" w:color="auto" w:fill="FFFFFF"/>
          </w:tcPr>
          <w:p w:rsidR="009C7AB2" w:rsidRPr="002C017E" w:rsidRDefault="009C7AB2" w:rsidP="009E1A8A">
            <w:pPr>
              <w:pStyle w:val="nsr"/>
            </w:pPr>
            <w:r w:rsidRPr="002C017E">
              <w:t>VIII</w:t>
            </w:r>
            <w:r w:rsidRPr="002C017E">
              <w:rPr>
                <w:vertAlign w:val="superscript"/>
              </w:rPr>
              <w:t>e</w:t>
            </w:r>
          </w:p>
        </w:tc>
        <w:tc>
          <w:tcPr>
            <w:tcW w:w="927" w:type="pct"/>
            <w:shd w:val="clear" w:color="auto" w:fill="FFFFFF"/>
          </w:tcPr>
          <w:p w:rsidR="009C7AB2" w:rsidRPr="000F6981" w:rsidRDefault="009C7AB2" w:rsidP="009E1A8A">
            <w:pPr>
              <w:pStyle w:val="nsr"/>
              <w:rPr>
                <w:lang w:val="en-GB"/>
              </w:rPr>
            </w:pPr>
            <w:r>
              <w:t>Tout, à part Matt</w:t>
            </w:r>
            <w:r w:rsidRPr="002C017E">
              <w:t xml:space="preserve">h. </w:t>
            </w:r>
            <w:r w:rsidRPr="009C7AB2">
              <w:t xml:space="preserve">IV, 22-V, 14 ; XXVIII, 17-20 ; Marc, X, 16-30 ; XV, 2-20 ; Joan. </w:t>
            </w:r>
            <w:r w:rsidRPr="000F6981">
              <w:rPr>
                <w:lang w:val="en-GB"/>
              </w:rPr>
              <w:t>XXI, 15-25.</w:t>
            </w:r>
          </w:p>
        </w:tc>
      </w:tr>
      <w:tr w:rsidR="009C7AB2" w:rsidRPr="002C017E" w:rsidTr="00C14040">
        <w:trPr>
          <w:trHeight w:val="324"/>
        </w:trPr>
        <w:tc>
          <w:tcPr>
            <w:tcW w:w="992" w:type="pct"/>
            <w:shd w:val="clear" w:color="auto" w:fill="FFFFFF"/>
          </w:tcPr>
          <w:p w:rsidR="009C7AB2" w:rsidRPr="002C017E" w:rsidRDefault="009C7AB2" w:rsidP="009E1A8A">
            <w:pPr>
              <w:pStyle w:val="nsr"/>
            </w:pPr>
            <w:r w:rsidRPr="002C017E">
              <w:t>V</w:t>
            </w:r>
          </w:p>
        </w:tc>
        <w:tc>
          <w:tcPr>
            <w:tcW w:w="1197" w:type="pct"/>
            <w:shd w:val="clear" w:color="auto" w:fill="FFFFFF"/>
          </w:tcPr>
          <w:p w:rsidR="009C7AB2" w:rsidRPr="002C017E" w:rsidRDefault="009C7AB2" w:rsidP="009E1A8A">
            <w:pPr>
              <w:pStyle w:val="nsr"/>
              <w:rPr>
                <w:i/>
                <w:iCs/>
              </w:rPr>
            </w:pPr>
            <w:r>
              <w:rPr>
                <w:i/>
                <w:iCs/>
              </w:rPr>
              <w:t>Mosquensis</w:t>
            </w:r>
            <w:r w:rsidRPr="002C017E">
              <w:rPr>
                <w:i/>
                <w:iCs/>
              </w:rPr>
              <w:t>.</w:t>
            </w:r>
          </w:p>
        </w:tc>
        <w:tc>
          <w:tcPr>
            <w:tcW w:w="1135" w:type="pct"/>
            <w:shd w:val="clear" w:color="auto" w:fill="FFFFFF"/>
          </w:tcPr>
          <w:p w:rsidR="009C7AB2" w:rsidRPr="002C017E" w:rsidRDefault="009C7AB2" w:rsidP="009E1A8A">
            <w:pPr>
              <w:pStyle w:val="nsr"/>
            </w:pPr>
            <w:r w:rsidRPr="002C017E">
              <w:t>Moscou.</w:t>
            </w:r>
          </w:p>
        </w:tc>
        <w:tc>
          <w:tcPr>
            <w:tcW w:w="749" w:type="pct"/>
            <w:shd w:val="clear" w:color="auto" w:fill="FFFFFF"/>
          </w:tcPr>
          <w:p w:rsidR="009C7AB2" w:rsidRPr="002C017E" w:rsidRDefault="009C7AB2" w:rsidP="009E1A8A">
            <w:pPr>
              <w:pStyle w:val="nsr"/>
            </w:pPr>
            <w:r w:rsidRPr="002C017E">
              <w:t>VIII</w:t>
            </w:r>
            <w:r w:rsidRPr="002C017E">
              <w:rPr>
                <w:vertAlign w:val="superscript"/>
              </w:rPr>
              <w:t>e</w:t>
            </w:r>
          </w:p>
        </w:tc>
        <w:tc>
          <w:tcPr>
            <w:tcW w:w="927" w:type="pct"/>
            <w:shd w:val="clear" w:color="auto" w:fill="FFFFFF"/>
          </w:tcPr>
          <w:p w:rsidR="009C7AB2" w:rsidRPr="002C017E" w:rsidRDefault="009C7AB2" w:rsidP="009E1A8A">
            <w:pPr>
              <w:pStyle w:val="nsr"/>
            </w:pPr>
            <w:r w:rsidRPr="002C017E">
              <w:t>Tout, à</w:t>
            </w:r>
            <w:r>
              <w:t xml:space="preserve"> part Mat</w:t>
            </w:r>
            <w:r w:rsidRPr="002C017E">
              <w:t>th. V, 44-</w:t>
            </w:r>
            <w:r w:rsidR="00A319EA">
              <w:t>VI</w:t>
            </w:r>
            <w:r>
              <w:t>, 1</w:t>
            </w:r>
            <w:r w:rsidRPr="002C017E">
              <w:t>2</w:t>
            </w:r>
            <w:r>
              <w:t> ;</w:t>
            </w:r>
            <w:r w:rsidRPr="002C017E">
              <w:t xml:space="preserve"> IX</w:t>
            </w:r>
            <w:r>
              <w:t>, 18,</w:t>
            </w:r>
            <w:r w:rsidRPr="002C017E">
              <w:t xml:space="preserve"> X</w:t>
            </w:r>
            <w:r>
              <w:t>, 1 ;</w:t>
            </w:r>
            <w:r w:rsidRPr="002C017E">
              <w:t xml:space="preserve"> XXII</w:t>
            </w:r>
            <w:r>
              <w:t>, 1</w:t>
            </w:r>
            <w:r w:rsidRPr="002C017E">
              <w:t>4-</w:t>
            </w:r>
            <w:r>
              <w:t>XXII</w:t>
            </w:r>
            <w:r w:rsidRPr="002C017E">
              <w:t>I, 35</w:t>
            </w:r>
            <w:r>
              <w:t> ;</w:t>
            </w:r>
            <w:r w:rsidRPr="002C017E">
              <w:t xml:space="preserve"> Joan. XXI, 12-25</w:t>
            </w:r>
          </w:p>
        </w:tc>
      </w:tr>
      <w:tr w:rsidR="009C7AB2" w:rsidRPr="002C017E" w:rsidTr="00C14040">
        <w:trPr>
          <w:trHeight w:val="157"/>
        </w:trPr>
        <w:tc>
          <w:tcPr>
            <w:tcW w:w="992" w:type="pct"/>
            <w:shd w:val="clear" w:color="auto" w:fill="FFFFFF"/>
          </w:tcPr>
          <w:p w:rsidR="009C7AB2" w:rsidRPr="002C017E" w:rsidRDefault="009C7AB2" w:rsidP="009E1A8A">
            <w:pPr>
              <w:pStyle w:val="nsr"/>
              <w:rPr>
                <w:i/>
                <w:iCs/>
              </w:rPr>
            </w:pPr>
            <w:r w:rsidRPr="002C017E">
              <w:t>Y</w:t>
            </w:r>
          </w:p>
        </w:tc>
        <w:tc>
          <w:tcPr>
            <w:tcW w:w="1197" w:type="pct"/>
            <w:shd w:val="clear" w:color="auto" w:fill="FFFFFF"/>
          </w:tcPr>
          <w:p w:rsidR="009C7AB2" w:rsidRPr="002C017E" w:rsidRDefault="009C7AB2" w:rsidP="009E1A8A">
            <w:pPr>
              <w:pStyle w:val="nsr"/>
              <w:rPr>
                <w:i/>
                <w:iCs/>
              </w:rPr>
            </w:pPr>
            <w:r>
              <w:rPr>
                <w:i/>
                <w:iCs/>
              </w:rPr>
              <w:t>Barber</w:t>
            </w:r>
            <w:r w:rsidRPr="002C017E">
              <w:rPr>
                <w:i/>
                <w:iCs/>
              </w:rPr>
              <w:t>ini.</w:t>
            </w:r>
          </w:p>
        </w:tc>
        <w:tc>
          <w:tcPr>
            <w:tcW w:w="1135" w:type="pct"/>
            <w:shd w:val="clear" w:color="auto" w:fill="FFFFFF"/>
          </w:tcPr>
          <w:p w:rsidR="009C7AB2" w:rsidRPr="002C017E" w:rsidRDefault="009C7AB2" w:rsidP="009E1A8A">
            <w:pPr>
              <w:pStyle w:val="nsr"/>
            </w:pPr>
            <w:r w:rsidRPr="002C017E">
              <w:t>Rome.</w:t>
            </w:r>
          </w:p>
        </w:tc>
        <w:tc>
          <w:tcPr>
            <w:tcW w:w="749" w:type="pct"/>
            <w:shd w:val="clear" w:color="auto" w:fill="FFFFFF"/>
          </w:tcPr>
          <w:p w:rsidR="009C7AB2" w:rsidRPr="002C017E" w:rsidRDefault="009C7AB2" w:rsidP="009E1A8A">
            <w:pPr>
              <w:pStyle w:val="nsr"/>
            </w:pPr>
            <w:r w:rsidRPr="002C017E">
              <w:t>VIII</w:t>
            </w:r>
            <w:r w:rsidRPr="002C017E">
              <w:rPr>
                <w:vertAlign w:val="superscript"/>
              </w:rPr>
              <w:t>e</w:t>
            </w:r>
          </w:p>
        </w:tc>
        <w:tc>
          <w:tcPr>
            <w:tcW w:w="927" w:type="pct"/>
            <w:shd w:val="clear" w:color="auto" w:fill="FFFFFF"/>
          </w:tcPr>
          <w:p w:rsidR="009C7AB2" w:rsidRPr="002C017E" w:rsidRDefault="009C7AB2" w:rsidP="009E1A8A">
            <w:pPr>
              <w:pStyle w:val="nsr"/>
            </w:pPr>
            <w:r w:rsidRPr="002C017E">
              <w:t xml:space="preserve">S. Jean, </w:t>
            </w:r>
            <w:r>
              <w:t>XVI</w:t>
            </w:r>
            <w:r w:rsidRPr="002C017E">
              <w:t>, 3-XIX, 41.</w:t>
            </w:r>
          </w:p>
        </w:tc>
      </w:tr>
      <w:tr w:rsidR="009C7AB2" w:rsidRPr="002C017E" w:rsidTr="00C14040">
        <w:trPr>
          <w:trHeight w:val="170"/>
        </w:trPr>
        <w:tc>
          <w:tcPr>
            <w:tcW w:w="992" w:type="pct"/>
            <w:shd w:val="clear" w:color="auto" w:fill="FFFFFF"/>
          </w:tcPr>
          <w:p w:rsidR="009C7AB2" w:rsidRPr="002C017E" w:rsidRDefault="009C7AB2" w:rsidP="009E1A8A">
            <w:pPr>
              <w:pStyle w:val="nsr"/>
            </w:pPr>
            <w:r>
              <w:t>Ξ</w:t>
            </w:r>
          </w:p>
        </w:tc>
        <w:tc>
          <w:tcPr>
            <w:tcW w:w="1197" w:type="pct"/>
            <w:shd w:val="clear" w:color="auto" w:fill="FFFFFF"/>
          </w:tcPr>
          <w:p w:rsidR="009C7AB2" w:rsidRPr="002C017E" w:rsidRDefault="009C7AB2" w:rsidP="009E1A8A">
            <w:pPr>
              <w:pStyle w:val="nsr"/>
              <w:rPr>
                <w:i/>
                <w:iCs/>
              </w:rPr>
            </w:pPr>
            <w:r>
              <w:rPr>
                <w:i/>
                <w:iCs/>
              </w:rPr>
              <w:t>Zacynthius.</w:t>
            </w:r>
          </w:p>
        </w:tc>
        <w:tc>
          <w:tcPr>
            <w:tcW w:w="1135" w:type="pct"/>
            <w:shd w:val="clear" w:color="auto" w:fill="FFFFFF"/>
          </w:tcPr>
          <w:p w:rsidR="009C7AB2" w:rsidRPr="002C017E" w:rsidRDefault="009C7AB2" w:rsidP="009E1A8A">
            <w:pPr>
              <w:pStyle w:val="nsr"/>
            </w:pPr>
            <w:r w:rsidRPr="002C017E">
              <w:t>Londres.</w:t>
            </w:r>
          </w:p>
        </w:tc>
        <w:tc>
          <w:tcPr>
            <w:tcW w:w="749" w:type="pct"/>
            <w:shd w:val="clear" w:color="auto" w:fill="FFFFFF"/>
          </w:tcPr>
          <w:p w:rsidR="009C7AB2" w:rsidRPr="002C017E" w:rsidRDefault="009C7AB2" w:rsidP="009E1A8A">
            <w:pPr>
              <w:pStyle w:val="nsr"/>
            </w:pPr>
            <w:r w:rsidRPr="002C017E">
              <w:t>VIII</w:t>
            </w:r>
            <w:r w:rsidRPr="002C017E">
              <w:rPr>
                <w:vertAlign w:val="superscript"/>
              </w:rPr>
              <w:t>e</w:t>
            </w:r>
          </w:p>
        </w:tc>
        <w:tc>
          <w:tcPr>
            <w:tcW w:w="927" w:type="pct"/>
            <w:shd w:val="clear" w:color="auto" w:fill="FFFFFF"/>
          </w:tcPr>
          <w:p w:rsidR="009C7AB2" w:rsidRPr="002C017E" w:rsidRDefault="009C7AB2" w:rsidP="009E1A8A">
            <w:pPr>
              <w:pStyle w:val="nsr"/>
            </w:pPr>
            <w:r w:rsidRPr="002C017E">
              <w:t>S. Luc,</w:t>
            </w:r>
            <w:r w:rsidRPr="002C017E">
              <w:rPr>
                <w:i/>
                <w:iCs/>
              </w:rPr>
              <w:t xml:space="preserve"> </w:t>
            </w:r>
            <w:r>
              <w:t xml:space="preserve">I, </w:t>
            </w:r>
            <w:r w:rsidRPr="002C017E">
              <w:t>1-X</w:t>
            </w:r>
            <w:r>
              <w:t>I,</w:t>
            </w:r>
            <w:r w:rsidRPr="002C017E">
              <w:t xml:space="preserve"> 33.</w:t>
            </w:r>
          </w:p>
        </w:tc>
      </w:tr>
      <w:tr w:rsidR="009C7AB2" w:rsidRPr="002C017E" w:rsidTr="00C14040">
        <w:trPr>
          <w:trHeight w:val="175"/>
        </w:trPr>
        <w:tc>
          <w:tcPr>
            <w:tcW w:w="992" w:type="pct"/>
            <w:shd w:val="clear" w:color="auto" w:fill="FFFFFF"/>
          </w:tcPr>
          <w:p w:rsidR="009C7AB2" w:rsidRPr="002C017E" w:rsidRDefault="009C7AB2" w:rsidP="009E1A8A">
            <w:pPr>
              <w:pStyle w:val="nsr"/>
            </w:pPr>
            <w:r w:rsidRPr="002C017E">
              <w:t>H</w:t>
            </w:r>
          </w:p>
        </w:tc>
        <w:tc>
          <w:tcPr>
            <w:tcW w:w="1197" w:type="pct"/>
            <w:shd w:val="clear" w:color="auto" w:fill="FFFFFF"/>
          </w:tcPr>
          <w:p w:rsidR="009C7AB2" w:rsidRPr="002C017E" w:rsidRDefault="009C7AB2" w:rsidP="009E1A8A">
            <w:pPr>
              <w:pStyle w:val="nsr"/>
              <w:rPr>
                <w:i/>
                <w:iCs/>
              </w:rPr>
            </w:pPr>
            <w:r>
              <w:rPr>
                <w:i/>
                <w:iCs/>
              </w:rPr>
              <w:t>Wol</w:t>
            </w:r>
            <w:r w:rsidRPr="002C017E">
              <w:rPr>
                <w:i/>
                <w:iCs/>
              </w:rPr>
              <w:t>fli</w:t>
            </w:r>
            <w:r w:rsidRPr="002C017E">
              <w:t xml:space="preserve"> B.</w:t>
            </w:r>
          </w:p>
        </w:tc>
        <w:tc>
          <w:tcPr>
            <w:tcW w:w="1135" w:type="pct"/>
            <w:shd w:val="clear" w:color="auto" w:fill="FFFFFF"/>
          </w:tcPr>
          <w:p w:rsidR="009C7AB2" w:rsidRPr="002C017E" w:rsidRDefault="009C7AB2" w:rsidP="009E1A8A">
            <w:pPr>
              <w:pStyle w:val="nsr"/>
            </w:pPr>
            <w:r w:rsidRPr="002C017E">
              <w:t>Hambourg.</w:t>
            </w:r>
          </w:p>
        </w:tc>
        <w:tc>
          <w:tcPr>
            <w:tcW w:w="749" w:type="pct"/>
            <w:shd w:val="clear" w:color="auto" w:fill="FFFFFF"/>
          </w:tcPr>
          <w:p w:rsidR="009C7AB2" w:rsidRPr="002C017E" w:rsidRDefault="009C7AB2" w:rsidP="009E1A8A">
            <w:pPr>
              <w:pStyle w:val="nsr"/>
            </w:pPr>
            <w:r>
              <w:t>IX</w:t>
            </w:r>
            <w:r w:rsidRPr="002C017E">
              <w:rPr>
                <w:vertAlign w:val="superscript"/>
              </w:rPr>
              <w:t>e</w:t>
            </w:r>
          </w:p>
        </w:tc>
        <w:tc>
          <w:tcPr>
            <w:tcW w:w="927" w:type="pct"/>
            <w:shd w:val="clear" w:color="auto" w:fill="FFFFFF"/>
          </w:tcPr>
          <w:p w:rsidR="009C7AB2" w:rsidRPr="002C017E" w:rsidRDefault="009C7AB2" w:rsidP="009E1A8A">
            <w:pPr>
              <w:pStyle w:val="nsr"/>
            </w:pPr>
            <w:r w:rsidRPr="002C017E">
              <w:t>Des fragments.</w:t>
            </w:r>
          </w:p>
        </w:tc>
      </w:tr>
      <w:tr w:rsidR="009C7AB2" w:rsidRPr="002C017E" w:rsidTr="00C14040">
        <w:trPr>
          <w:trHeight w:val="157"/>
        </w:trPr>
        <w:tc>
          <w:tcPr>
            <w:tcW w:w="992" w:type="pct"/>
            <w:shd w:val="clear" w:color="auto" w:fill="FFFFFF"/>
          </w:tcPr>
          <w:p w:rsidR="009C7AB2" w:rsidRPr="002C017E" w:rsidRDefault="009C7AB2" w:rsidP="009E1A8A">
            <w:pPr>
              <w:pStyle w:val="nsr"/>
            </w:pPr>
            <w:r w:rsidRPr="002C017E">
              <w:t>K</w:t>
            </w:r>
          </w:p>
        </w:tc>
        <w:tc>
          <w:tcPr>
            <w:tcW w:w="1197" w:type="pct"/>
            <w:shd w:val="clear" w:color="auto" w:fill="FFFFFF"/>
          </w:tcPr>
          <w:p w:rsidR="009C7AB2" w:rsidRPr="002C017E" w:rsidRDefault="009C7AB2" w:rsidP="009E1A8A">
            <w:pPr>
              <w:pStyle w:val="nsr"/>
              <w:rPr>
                <w:i/>
                <w:iCs/>
              </w:rPr>
            </w:pPr>
            <w:r>
              <w:rPr>
                <w:i/>
                <w:iCs/>
              </w:rPr>
              <w:t>Cypri</w:t>
            </w:r>
            <w:r w:rsidRPr="002C017E">
              <w:rPr>
                <w:i/>
                <w:iCs/>
              </w:rPr>
              <w:t>us.</w:t>
            </w:r>
          </w:p>
        </w:tc>
        <w:tc>
          <w:tcPr>
            <w:tcW w:w="1135" w:type="pct"/>
            <w:shd w:val="clear" w:color="auto" w:fill="FFFFFF"/>
          </w:tcPr>
          <w:p w:rsidR="009C7AB2" w:rsidRPr="002C017E" w:rsidRDefault="009C7AB2" w:rsidP="009E1A8A">
            <w:pPr>
              <w:pStyle w:val="nsr"/>
            </w:pPr>
            <w:r w:rsidRPr="002C017E">
              <w:t>Paris.</w:t>
            </w:r>
          </w:p>
        </w:tc>
        <w:tc>
          <w:tcPr>
            <w:tcW w:w="749" w:type="pct"/>
            <w:shd w:val="clear" w:color="auto" w:fill="FFFFFF"/>
          </w:tcPr>
          <w:p w:rsidR="009C7AB2" w:rsidRPr="002C017E" w:rsidRDefault="009C7AB2" w:rsidP="009E1A8A">
            <w:pPr>
              <w:pStyle w:val="nsr"/>
            </w:pPr>
            <w:r>
              <w:t>IX</w:t>
            </w:r>
            <w:r w:rsidRPr="002C017E">
              <w:rPr>
                <w:vertAlign w:val="superscript"/>
              </w:rPr>
              <w:t>e</w:t>
            </w:r>
          </w:p>
        </w:tc>
        <w:tc>
          <w:tcPr>
            <w:tcW w:w="927" w:type="pct"/>
            <w:shd w:val="clear" w:color="auto" w:fill="FFFFFF"/>
          </w:tcPr>
          <w:p w:rsidR="009C7AB2" w:rsidRPr="002C017E" w:rsidRDefault="009C7AB2" w:rsidP="009E1A8A">
            <w:pPr>
              <w:pStyle w:val="nsr"/>
            </w:pPr>
            <w:r w:rsidRPr="002C017E">
              <w:t>Les quatre évangiles.</w:t>
            </w:r>
          </w:p>
        </w:tc>
      </w:tr>
      <w:tr w:rsidR="009C7AB2" w:rsidRPr="002C017E" w:rsidTr="00C14040">
        <w:trPr>
          <w:trHeight w:val="154"/>
        </w:trPr>
        <w:tc>
          <w:tcPr>
            <w:tcW w:w="992" w:type="pct"/>
            <w:shd w:val="clear" w:color="auto" w:fill="FFFFFF"/>
          </w:tcPr>
          <w:p w:rsidR="009C7AB2" w:rsidRPr="002C017E" w:rsidRDefault="009C7AB2" w:rsidP="009E1A8A">
            <w:pPr>
              <w:pStyle w:val="nsr"/>
            </w:pPr>
            <w:r w:rsidRPr="002C017E">
              <w:t>F</w:t>
            </w:r>
          </w:p>
        </w:tc>
        <w:tc>
          <w:tcPr>
            <w:tcW w:w="1197" w:type="pct"/>
            <w:shd w:val="clear" w:color="auto" w:fill="FFFFFF"/>
          </w:tcPr>
          <w:p w:rsidR="009C7AB2" w:rsidRPr="002C017E" w:rsidRDefault="009C7AB2" w:rsidP="009E1A8A">
            <w:pPr>
              <w:pStyle w:val="nsr"/>
              <w:rPr>
                <w:i/>
                <w:iCs/>
              </w:rPr>
            </w:pPr>
            <w:r>
              <w:rPr>
                <w:i/>
                <w:iCs/>
              </w:rPr>
              <w:t>Boreel</w:t>
            </w:r>
            <w:r w:rsidRPr="002C017E">
              <w:rPr>
                <w:i/>
                <w:iCs/>
              </w:rPr>
              <w:t>i.</w:t>
            </w:r>
          </w:p>
        </w:tc>
        <w:tc>
          <w:tcPr>
            <w:tcW w:w="1135" w:type="pct"/>
            <w:shd w:val="clear" w:color="auto" w:fill="FFFFFF"/>
          </w:tcPr>
          <w:p w:rsidR="009C7AB2" w:rsidRPr="002C017E" w:rsidRDefault="009C7AB2" w:rsidP="009E1A8A">
            <w:pPr>
              <w:pStyle w:val="nsr"/>
            </w:pPr>
            <w:r>
              <w:t>Utrecht</w:t>
            </w:r>
            <w:r w:rsidRPr="002C017E">
              <w:t>.</w:t>
            </w:r>
          </w:p>
        </w:tc>
        <w:tc>
          <w:tcPr>
            <w:tcW w:w="749" w:type="pct"/>
            <w:shd w:val="clear" w:color="auto" w:fill="FFFFFF"/>
          </w:tcPr>
          <w:p w:rsidR="009C7AB2" w:rsidRPr="002C017E" w:rsidRDefault="009C7AB2" w:rsidP="009E1A8A">
            <w:pPr>
              <w:pStyle w:val="nsr"/>
            </w:pPr>
            <w:r w:rsidRPr="002C017E">
              <w:t>IX</w:t>
            </w:r>
            <w:r w:rsidRPr="002C017E">
              <w:rPr>
                <w:vertAlign w:val="superscript"/>
              </w:rPr>
              <w:t>e</w:t>
            </w:r>
          </w:p>
        </w:tc>
        <w:tc>
          <w:tcPr>
            <w:tcW w:w="927" w:type="pct"/>
            <w:shd w:val="clear" w:color="auto" w:fill="FFFFFF"/>
          </w:tcPr>
          <w:p w:rsidR="009C7AB2" w:rsidRPr="002C017E" w:rsidRDefault="009C7AB2" w:rsidP="009E1A8A">
            <w:pPr>
              <w:pStyle w:val="nsr"/>
            </w:pPr>
            <w:r w:rsidRPr="002C017E">
              <w:t>Fragments.</w:t>
            </w:r>
          </w:p>
        </w:tc>
      </w:tr>
      <w:tr w:rsidR="009C7AB2" w:rsidRPr="002C017E" w:rsidTr="00C14040">
        <w:trPr>
          <w:trHeight w:val="481"/>
        </w:trPr>
        <w:tc>
          <w:tcPr>
            <w:tcW w:w="992" w:type="pct"/>
            <w:shd w:val="clear" w:color="auto" w:fill="FFFFFF"/>
          </w:tcPr>
          <w:p w:rsidR="009C7AB2" w:rsidRPr="002C017E" w:rsidRDefault="009C7AB2" w:rsidP="009E1A8A">
            <w:pPr>
              <w:pStyle w:val="nsr"/>
            </w:pPr>
            <w:r>
              <w:t>Γ</w:t>
            </w:r>
          </w:p>
        </w:tc>
        <w:tc>
          <w:tcPr>
            <w:tcW w:w="1197" w:type="pct"/>
            <w:shd w:val="clear" w:color="auto" w:fill="FFFFFF"/>
          </w:tcPr>
          <w:p w:rsidR="009C7AB2" w:rsidRPr="002C017E" w:rsidRDefault="009C7AB2" w:rsidP="009E1A8A">
            <w:pPr>
              <w:pStyle w:val="nsr"/>
              <w:rPr>
                <w:i/>
                <w:iCs/>
              </w:rPr>
            </w:pPr>
            <w:r>
              <w:rPr>
                <w:i/>
                <w:iCs/>
              </w:rPr>
              <w:t>Tis</w:t>
            </w:r>
            <w:r w:rsidRPr="002C017E">
              <w:rPr>
                <w:i/>
                <w:iCs/>
              </w:rPr>
              <w:t>chendor</w:t>
            </w:r>
            <w:r>
              <w:rPr>
                <w:i/>
                <w:iCs/>
              </w:rPr>
              <w:t>fianu</w:t>
            </w:r>
            <w:r w:rsidRPr="002C017E">
              <w:rPr>
                <w:i/>
                <w:iCs/>
              </w:rPr>
              <w:t>s</w:t>
            </w:r>
            <w:r w:rsidRPr="002C017E">
              <w:t xml:space="preserve"> IV.</w:t>
            </w:r>
          </w:p>
        </w:tc>
        <w:tc>
          <w:tcPr>
            <w:tcW w:w="1135" w:type="pct"/>
            <w:shd w:val="clear" w:color="auto" w:fill="FFFFFF"/>
          </w:tcPr>
          <w:p w:rsidR="009C7AB2" w:rsidRPr="002C017E" w:rsidRDefault="009C7AB2" w:rsidP="009E1A8A">
            <w:pPr>
              <w:pStyle w:val="nsr"/>
            </w:pPr>
            <w:r w:rsidRPr="002C017E">
              <w:t>Londres.</w:t>
            </w:r>
          </w:p>
        </w:tc>
        <w:tc>
          <w:tcPr>
            <w:tcW w:w="749" w:type="pct"/>
            <w:shd w:val="clear" w:color="auto" w:fill="FFFFFF"/>
          </w:tcPr>
          <w:p w:rsidR="009C7AB2" w:rsidRPr="002C017E" w:rsidRDefault="009C7AB2" w:rsidP="009E1A8A">
            <w:pPr>
              <w:pStyle w:val="nsr"/>
            </w:pPr>
            <w:r w:rsidRPr="002C017E">
              <w:t>IX</w:t>
            </w:r>
            <w:r w:rsidRPr="002C017E">
              <w:rPr>
                <w:vertAlign w:val="superscript"/>
              </w:rPr>
              <w:t>e</w:t>
            </w:r>
          </w:p>
        </w:tc>
        <w:tc>
          <w:tcPr>
            <w:tcW w:w="927" w:type="pct"/>
            <w:shd w:val="clear" w:color="auto" w:fill="FFFFFF"/>
          </w:tcPr>
          <w:p w:rsidR="009C7AB2" w:rsidRPr="002C017E" w:rsidRDefault="009C7AB2" w:rsidP="009E1A8A">
            <w:pPr>
              <w:pStyle w:val="nsr"/>
            </w:pPr>
            <w:r>
              <w:t>S. Luc</w:t>
            </w:r>
            <w:r w:rsidRPr="002C017E">
              <w:t xml:space="preserve"> en entier, S. Marc à part 105 versets,</w:t>
            </w:r>
            <w:r>
              <w:t xml:space="preserve"> 534 versets de S. Matthieu et d</w:t>
            </w:r>
            <w:r w:rsidRPr="002C017E">
              <w:t>e S. Jean.</w:t>
            </w:r>
          </w:p>
        </w:tc>
      </w:tr>
      <w:tr w:rsidR="009C7AB2" w:rsidRPr="002C017E" w:rsidTr="00C14040">
        <w:trPr>
          <w:trHeight w:val="170"/>
        </w:trPr>
        <w:tc>
          <w:tcPr>
            <w:tcW w:w="992" w:type="pct"/>
            <w:shd w:val="clear" w:color="auto" w:fill="FFFFFF"/>
          </w:tcPr>
          <w:p w:rsidR="009C7AB2" w:rsidRPr="002C017E" w:rsidRDefault="009C7AB2" w:rsidP="009E1A8A">
            <w:pPr>
              <w:pStyle w:val="nsr"/>
            </w:pPr>
            <w:r>
              <w:t>Δ</w:t>
            </w:r>
          </w:p>
        </w:tc>
        <w:tc>
          <w:tcPr>
            <w:tcW w:w="1197" w:type="pct"/>
            <w:shd w:val="clear" w:color="auto" w:fill="FFFFFF"/>
          </w:tcPr>
          <w:p w:rsidR="009C7AB2" w:rsidRPr="002C017E" w:rsidRDefault="009C7AB2" w:rsidP="009E1A8A">
            <w:pPr>
              <w:pStyle w:val="nsr"/>
              <w:rPr>
                <w:i/>
                <w:iCs/>
              </w:rPr>
            </w:pPr>
            <w:r>
              <w:rPr>
                <w:i/>
                <w:iCs/>
              </w:rPr>
              <w:t>Sangallens</w:t>
            </w:r>
            <w:r w:rsidRPr="002C017E">
              <w:rPr>
                <w:i/>
                <w:iCs/>
              </w:rPr>
              <w:t>is.</w:t>
            </w:r>
          </w:p>
        </w:tc>
        <w:tc>
          <w:tcPr>
            <w:tcW w:w="1135" w:type="pct"/>
            <w:shd w:val="clear" w:color="auto" w:fill="FFFFFF"/>
          </w:tcPr>
          <w:p w:rsidR="009C7AB2" w:rsidRPr="002C017E" w:rsidRDefault="009C7AB2" w:rsidP="009E1A8A">
            <w:pPr>
              <w:pStyle w:val="nsr"/>
            </w:pPr>
            <w:r w:rsidRPr="002C017E">
              <w:t>S. Gall.</w:t>
            </w:r>
          </w:p>
        </w:tc>
        <w:tc>
          <w:tcPr>
            <w:tcW w:w="749" w:type="pct"/>
            <w:shd w:val="clear" w:color="auto" w:fill="FFFFFF"/>
          </w:tcPr>
          <w:p w:rsidR="009C7AB2" w:rsidRPr="002C017E" w:rsidRDefault="009C7AB2" w:rsidP="009E1A8A">
            <w:pPr>
              <w:pStyle w:val="nsr"/>
            </w:pPr>
            <w:r w:rsidRPr="002C017E">
              <w:t>IX</w:t>
            </w:r>
            <w:r w:rsidRPr="002C017E">
              <w:rPr>
                <w:vertAlign w:val="superscript"/>
              </w:rPr>
              <w:t>e</w:t>
            </w:r>
          </w:p>
        </w:tc>
        <w:tc>
          <w:tcPr>
            <w:tcW w:w="927" w:type="pct"/>
            <w:shd w:val="clear" w:color="auto" w:fill="FFFFFF"/>
          </w:tcPr>
          <w:p w:rsidR="009C7AB2" w:rsidRPr="002C017E" w:rsidRDefault="009C7AB2" w:rsidP="009E1A8A">
            <w:pPr>
              <w:pStyle w:val="nsr"/>
            </w:pPr>
            <w:r w:rsidRPr="002C017E">
              <w:t xml:space="preserve">Tout, excepté Joan. </w:t>
            </w:r>
            <w:r>
              <w:t>XI</w:t>
            </w:r>
            <w:r w:rsidRPr="002C017E">
              <w:t>X, 17-35.</w:t>
            </w:r>
          </w:p>
        </w:tc>
      </w:tr>
      <w:tr w:rsidR="009C7AB2" w:rsidRPr="000F6981" w:rsidTr="00C14040">
        <w:trPr>
          <w:trHeight w:val="473"/>
        </w:trPr>
        <w:tc>
          <w:tcPr>
            <w:tcW w:w="992" w:type="pct"/>
            <w:shd w:val="clear" w:color="auto" w:fill="FFFFFF"/>
          </w:tcPr>
          <w:p w:rsidR="009C7AB2" w:rsidRPr="002C017E" w:rsidRDefault="009C7AB2" w:rsidP="009E1A8A">
            <w:pPr>
              <w:pStyle w:val="nsr"/>
            </w:pPr>
            <w:r>
              <w:t>Π</w:t>
            </w:r>
          </w:p>
        </w:tc>
        <w:tc>
          <w:tcPr>
            <w:tcW w:w="1197" w:type="pct"/>
            <w:shd w:val="clear" w:color="auto" w:fill="FFFFFF"/>
          </w:tcPr>
          <w:p w:rsidR="009C7AB2" w:rsidRPr="002C017E" w:rsidRDefault="009C7AB2" w:rsidP="009E1A8A">
            <w:pPr>
              <w:pStyle w:val="nsr"/>
              <w:rPr>
                <w:i/>
                <w:iCs/>
              </w:rPr>
            </w:pPr>
            <w:r w:rsidRPr="002C017E">
              <w:rPr>
                <w:i/>
                <w:iCs/>
              </w:rPr>
              <w:t>Petropolitanus</w:t>
            </w:r>
          </w:p>
        </w:tc>
        <w:tc>
          <w:tcPr>
            <w:tcW w:w="1135" w:type="pct"/>
            <w:shd w:val="clear" w:color="auto" w:fill="FFFFFF"/>
          </w:tcPr>
          <w:p w:rsidR="009C7AB2" w:rsidRPr="002C017E" w:rsidRDefault="009C7AB2" w:rsidP="009E1A8A">
            <w:pPr>
              <w:pStyle w:val="nsr"/>
            </w:pPr>
            <w:r>
              <w:t>St</w:t>
            </w:r>
            <w:r w:rsidRPr="002C017E">
              <w:t xml:space="preserve"> Petersburg.</w:t>
            </w:r>
          </w:p>
        </w:tc>
        <w:tc>
          <w:tcPr>
            <w:tcW w:w="749" w:type="pct"/>
            <w:shd w:val="clear" w:color="auto" w:fill="FFFFFF"/>
          </w:tcPr>
          <w:p w:rsidR="009C7AB2" w:rsidRPr="002C017E" w:rsidRDefault="009C7AB2" w:rsidP="009E1A8A">
            <w:pPr>
              <w:pStyle w:val="nsr"/>
            </w:pPr>
            <w:r w:rsidRPr="002C017E">
              <w:t>IX</w:t>
            </w:r>
            <w:r w:rsidRPr="002C017E">
              <w:rPr>
                <w:vertAlign w:val="superscript"/>
              </w:rPr>
              <w:t>e</w:t>
            </w:r>
          </w:p>
        </w:tc>
        <w:tc>
          <w:tcPr>
            <w:tcW w:w="927" w:type="pct"/>
            <w:shd w:val="clear" w:color="auto" w:fill="FFFFFF"/>
          </w:tcPr>
          <w:p w:rsidR="009C7AB2" w:rsidRPr="000F6981" w:rsidRDefault="009C7AB2" w:rsidP="009E1A8A">
            <w:pPr>
              <w:pStyle w:val="nsr"/>
              <w:rPr>
                <w:lang w:val="en-GB"/>
              </w:rPr>
            </w:pPr>
            <w:r w:rsidRPr="002C017E">
              <w:t xml:space="preserve">Tout, à part Matth. </w:t>
            </w:r>
            <w:r w:rsidRPr="009C7AB2">
              <w:t xml:space="preserve">III, 12-IV, 18 ; XIX, 12-XX, 3 ; Joan. </w:t>
            </w:r>
            <w:r>
              <w:rPr>
                <w:lang w:val="en-GB"/>
              </w:rPr>
              <w:t>VIII</w:t>
            </w:r>
            <w:r w:rsidRPr="000F6981">
              <w:rPr>
                <w:lang w:val="en-GB"/>
              </w:rPr>
              <w:t>, 6-39.</w:t>
            </w:r>
          </w:p>
        </w:tc>
      </w:tr>
      <w:tr w:rsidR="009C7AB2" w:rsidRPr="002C017E" w:rsidTr="00C14040">
        <w:trPr>
          <w:trHeight w:val="167"/>
        </w:trPr>
        <w:tc>
          <w:tcPr>
            <w:tcW w:w="992" w:type="pct"/>
            <w:shd w:val="clear" w:color="auto" w:fill="FFFFFF"/>
          </w:tcPr>
          <w:p w:rsidR="009C7AB2" w:rsidRPr="002C017E" w:rsidRDefault="009C7AB2" w:rsidP="009E1A8A">
            <w:pPr>
              <w:pStyle w:val="nsr"/>
            </w:pPr>
            <w:r w:rsidRPr="002C017E">
              <w:t>M</w:t>
            </w:r>
          </w:p>
        </w:tc>
        <w:tc>
          <w:tcPr>
            <w:tcW w:w="1197" w:type="pct"/>
            <w:shd w:val="clear" w:color="auto" w:fill="FFFFFF"/>
          </w:tcPr>
          <w:p w:rsidR="009C7AB2" w:rsidRPr="002C017E" w:rsidRDefault="009C7AB2" w:rsidP="009E1A8A">
            <w:pPr>
              <w:pStyle w:val="nsr"/>
              <w:rPr>
                <w:i/>
                <w:iCs/>
              </w:rPr>
            </w:pPr>
            <w:r>
              <w:rPr>
                <w:i/>
                <w:iCs/>
              </w:rPr>
              <w:t>Campianu</w:t>
            </w:r>
            <w:r w:rsidRPr="002C017E">
              <w:rPr>
                <w:i/>
                <w:iCs/>
              </w:rPr>
              <w:t>s.</w:t>
            </w:r>
          </w:p>
        </w:tc>
        <w:tc>
          <w:tcPr>
            <w:tcW w:w="1135" w:type="pct"/>
            <w:shd w:val="clear" w:color="auto" w:fill="FFFFFF"/>
          </w:tcPr>
          <w:p w:rsidR="009C7AB2" w:rsidRPr="002C017E" w:rsidRDefault="009C7AB2" w:rsidP="009E1A8A">
            <w:pPr>
              <w:pStyle w:val="nsr"/>
            </w:pPr>
            <w:r w:rsidRPr="002C017E">
              <w:t>Paris.</w:t>
            </w:r>
          </w:p>
        </w:tc>
        <w:tc>
          <w:tcPr>
            <w:tcW w:w="749" w:type="pct"/>
            <w:shd w:val="clear" w:color="auto" w:fill="FFFFFF"/>
          </w:tcPr>
          <w:p w:rsidR="009C7AB2" w:rsidRPr="002C017E" w:rsidRDefault="009C7AB2" w:rsidP="009E1A8A">
            <w:pPr>
              <w:pStyle w:val="nsr"/>
            </w:pPr>
            <w:r w:rsidRPr="002C017E">
              <w:t>IX</w:t>
            </w:r>
            <w:r w:rsidRPr="002C017E">
              <w:rPr>
                <w:vertAlign w:val="superscript"/>
              </w:rPr>
              <w:t>e</w:t>
            </w:r>
          </w:p>
        </w:tc>
        <w:tc>
          <w:tcPr>
            <w:tcW w:w="927" w:type="pct"/>
            <w:shd w:val="clear" w:color="auto" w:fill="FFFFFF"/>
          </w:tcPr>
          <w:p w:rsidR="009C7AB2" w:rsidRPr="002C017E" w:rsidRDefault="009C7AB2" w:rsidP="009E1A8A">
            <w:pPr>
              <w:pStyle w:val="nsr"/>
            </w:pPr>
            <w:r w:rsidRPr="002C017E">
              <w:t>Tout.</w:t>
            </w:r>
          </w:p>
        </w:tc>
      </w:tr>
      <w:tr w:rsidR="009C7AB2" w:rsidRPr="002C017E" w:rsidTr="00C14040">
        <w:trPr>
          <w:trHeight w:val="157"/>
        </w:trPr>
        <w:tc>
          <w:tcPr>
            <w:tcW w:w="992" w:type="pct"/>
            <w:shd w:val="clear" w:color="auto" w:fill="FFFFFF"/>
          </w:tcPr>
          <w:p w:rsidR="009C7AB2" w:rsidRPr="002C017E" w:rsidRDefault="009C7AB2" w:rsidP="009E1A8A">
            <w:pPr>
              <w:pStyle w:val="nsr"/>
            </w:pPr>
            <w:r w:rsidRPr="002C017E">
              <w:t>X</w:t>
            </w:r>
          </w:p>
        </w:tc>
        <w:tc>
          <w:tcPr>
            <w:tcW w:w="1197" w:type="pct"/>
            <w:shd w:val="clear" w:color="auto" w:fill="FFFFFF"/>
          </w:tcPr>
          <w:p w:rsidR="009C7AB2" w:rsidRPr="002C017E" w:rsidRDefault="009C7AB2" w:rsidP="009E1A8A">
            <w:pPr>
              <w:pStyle w:val="nsr"/>
              <w:rPr>
                <w:i/>
                <w:iCs/>
              </w:rPr>
            </w:pPr>
            <w:r>
              <w:rPr>
                <w:i/>
                <w:iCs/>
              </w:rPr>
              <w:t>Monacensis</w:t>
            </w:r>
            <w:r w:rsidRPr="002C017E">
              <w:rPr>
                <w:i/>
                <w:iCs/>
              </w:rPr>
              <w:t>.</w:t>
            </w:r>
          </w:p>
        </w:tc>
        <w:tc>
          <w:tcPr>
            <w:tcW w:w="1135" w:type="pct"/>
            <w:shd w:val="clear" w:color="auto" w:fill="FFFFFF"/>
          </w:tcPr>
          <w:p w:rsidR="009C7AB2" w:rsidRPr="002C017E" w:rsidRDefault="009C7AB2" w:rsidP="009E1A8A">
            <w:pPr>
              <w:pStyle w:val="nsr"/>
            </w:pPr>
            <w:r w:rsidRPr="002C017E">
              <w:t>Munich.</w:t>
            </w:r>
          </w:p>
        </w:tc>
        <w:tc>
          <w:tcPr>
            <w:tcW w:w="749" w:type="pct"/>
            <w:shd w:val="clear" w:color="auto" w:fill="FFFFFF"/>
          </w:tcPr>
          <w:p w:rsidR="009C7AB2" w:rsidRPr="002C017E" w:rsidRDefault="009C7AB2" w:rsidP="009E1A8A">
            <w:pPr>
              <w:pStyle w:val="nsr"/>
            </w:pPr>
            <w:r w:rsidRPr="002C017E">
              <w:t>IX</w:t>
            </w:r>
            <w:r w:rsidRPr="002C017E">
              <w:rPr>
                <w:vertAlign w:val="superscript"/>
              </w:rPr>
              <w:t>e</w:t>
            </w:r>
          </w:p>
        </w:tc>
        <w:tc>
          <w:tcPr>
            <w:tcW w:w="927" w:type="pct"/>
            <w:shd w:val="clear" w:color="auto" w:fill="FFFFFF"/>
          </w:tcPr>
          <w:p w:rsidR="009C7AB2" w:rsidRPr="002C017E" w:rsidRDefault="009C7AB2" w:rsidP="009E1A8A">
            <w:pPr>
              <w:pStyle w:val="nsr"/>
            </w:pPr>
            <w:r w:rsidRPr="002C017E">
              <w:t>Sérieuses lacunes.</w:t>
            </w:r>
          </w:p>
        </w:tc>
      </w:tr>
      <w:tr w:rsidR="009C7AB2" w:rsidRPr="002C017E" w:rsidTr="00C14040">
        <w:trPr>
          <w:trHeight w:val="170"/>
        </w:trPr>
        <w:tc>
          <w:tcPr>
            <w:tcW w:w="992" w:type="pct"/>
            <w:shd w:val="clear" w:color="auto" w:fill="FFFFFF"/>
          </w:tcPr>
          <w:p w:rsidR="009C7AB2" w:rsidRPr="002C017E" w:rsidRDefault="009C7AB2" w:rsidP="009E1A8A">
            <w:pPr>
              <w:pStyle w:val="nsr"/>
            </w:pPr>
            <w:r w:rsidRPr="002C017E">
              <w:t>U</w:t>
            </w:r>
          </w:p>
        </w:tc>
        <w:tc>
          <w:tcPr>
            <w:tcW w:w="1197" w:type="pct"/>
            <w:shd w:val="clear" w:color="auto" w:fill="FFFFFF"/>
          </w:tcPr>
          <w:p w:rsidR="009C7AB2" w:rsidRPr="002C017E" w:rsidRDefault="009C7AB2" w:rsidP="009E1A8A">
            <w:pPr>
              <w:pStyle w:val="nsr"/>
              <w:rPr>
                <w:i/>
                <w:iCs/>
              </w:rPr>
            </w:pPr>
            <w:r>
              <w:rPr>
                <w:i/>
                <w:iCs/>
              </w:rPr>
              <w:t>Nanianu</w:t>
            </w:r>
            <w:r w:rsidRPr="002C017E">
              <w:rPr>
                <w:i/>
                <w:iCs/>
              </w:rPr>
              <w:t>s</w:t>
            </w:r>
            <w:r w:rsidRPr="002C017E">
              <w:t xml:space="preserve"> I.</w:t>
            </w:r>
          </w:p>
        </w:tc>
        <w:tc>
          <w:tcPr>
            <w:tcW w:w="1135" w:type="pct"/>
            <w:shd w:val="clear" w:color="auto" w:fill="FFFFFF"/>
          </w:tcPr>
          <w:p w:rsidR="009C7AB2" w:rsidRPr="002C017E" w:rsidRDefault="009C7AB2" w:rsidP="009E1A8A">
            <w:pPr>
              <w:pStyle w:val="nsr"/>
            </w:pPr>
            <w:r w:rsidRPr="002C017E">
              <w:t>Venise.</w:t>
            </w:r>
          </w:p>
        </w:tc>
        <w:tc>
          <w:tcPr>
            <w:tcW w:w="749" w:type="pct"/>
            <w:shd w:val="clear" w:color="auto" w:fill="FFFFFF"/>
          </w:tcPr>
          <w:p w:rsidR="009C7AB2" w:rsidRPr="002C017E" w:rsidRDefault="009C7AB2" w:rsidP="009E1A8A">
            <w:pPr>
              <w:pStyle w:val="nsr"/>
            </w:pPr>
            <w:r>
              <w:t>X</w:t>
            </w:r>
            <w:r w:rsidRPr="002C017E">
              <w:rPr>
                <w:vertAlign w:val="superscript"/>
              </w:rPr>
              <w:t>e</w:t>
            </w:r>
          </w:p>
        </w:tc>
        <w:tc>
          <w:tcPr>
            <w:tcW w:w="927" w:type="pct"/>
            <w:shd w:val="clear" w:color="auto" w:fill="FFFFFF"/>
          </w:tcPr>
          <w:p w:rsidR="009C7AB2" w:rsidRPr="002C017E" w:rsidRDefault="009C7AB2" w:rsidP="009E1A8A">
            <w:pPr>
              <w:pStyle w:val="nsr"/>
            </w:pPr>
            <w:r w:rsidRPr="002C017E">
              <w:t>Tout.</w:t>
            </w:r>
          </w:p>
        </w:tc>
      </w:tr>
      <w:tr w:rsidR="009C7AB2" w:rsidRPr="002C017E" w:rsidTr="00C14040">
        <w:trPr>
          <w:trHeight w:val="147"/>
        </w:trPr>
        <w:tc>
          <w:tcPr>
            <w:tcW w:w="992" w:type="pct"/>
            <w:shd w:val="clear" w:color="auto" w:fill="FFFFFF"/>
          </w:tcPr>
          <w:p w:rsidR="009C7AB2" w:rsidRPr="002C017E" w:rsidRDefault="009C7AB2" w:rsidP="009E1A8A">
            <w:pPr>
              <w:pStyle w:val="nsr"/>
            </w:pPr>
            <w:r w:rsidRPr="002C017E">
              <w:t>S</w:t>
            </w:r>
          </w:p>
        </w:tc>
        <w:tc>
          <w:tcPr>
            <w:tcW w:w="1197" w:type="pct"/>
            <w:shd w:val="clear" w:color="auto" w:fill="FFFFFF"/>
          </w:tcPr>
          <w:p w:rsidR="009C7AB2" w:rsidRPr="002C017E" w:rsidRDefault="009C7AB2" w:rsidP="009E1A8A">
            <w:pPr>
              <w:pStyle w:val="nsr"/>
              <w:rPr>
                <w:i/>
                <w:iCs/>
              </w:rPr>
            </w:pPr>
            <w:r>
              <w:rPr>
                <w:i/>
                <w:iCs/>
              </w:rPr>
              <w:t xml:space="preserve">Vaticanus </w:t>
            </w:r>
            <w:r w:rsidRPr="002C017E">
              <w:t>354.</w:t>
            </w:r>
          </w:p>
        </w:tc>
        <w:tc>
          <w:tcPr>
            <w:tcW w:w="1135" w:type="pct"/>
            <w:shd w:val="clear" w:color="auto" w:fill="FFFFFF"/>
          </w:tcPr>
          <w:p w:rsidR="009C7AB2" w:rsidRPr="002C017E" w:rsidRDefault="009C7AB2" w:rsidP="009E1A8A">
            <w:pPr>
              <w:pStyle w:val="nsr"/>
            </w:pPr>
            <w:r w:rsidRPr="002C017E">
              <w:t>Vatican.</w:t>
            </w:r>
          </w:p>
        </w:tc>
        <w:tc>
          <w:tcPr>
            <w:tcW w:w="749" w:type="pct"/>
            <w:shd w:val="clear" w:color="auto" w:fill="FFFFFF"/>
          </w:tcPr>
          <w:p w:rsidR="009C7AB2" w:rsidRPr="002C017E" w:rsidRDefault="009C7AB2" w:rsidP="009E1A8A">
            <w:pPr>
              <w:pStyle w:val="nsr"/>
            </w:pPr>
            <w:r w:rsidRPr="002C017E">
              <w:t>X</w:t>
            </w:r>
            <w:r w:rsidRPr="002C017E">
              <w:rPr>
                <w:vertAlign w:val="superscript"/>
              </w:rPr>
              <w:t>e</w:t>
            </w:r>
          </w:p>
        </w:tc>
        <w:tc>
          <w:tcPr>
            <w:tcW w:w="927" w:type="pct"/>
            <w:shd w:val="clear" w:color="auto" w:fill="FFFFFF"/>
          </w:tcPr>
          <w:p w:rsidR="009C7AB2" w:rsidRPr="002C017E" w:rsidRDefault="009C7AB2" w:rsidP="009E1A8A">
            <w:pPr>
              <w:pStyle w:val="nsr"/>
            </w:pPr>
            <w:r w:rsidRPr="002C017E">
              <w:t>Tout.</w:t>
            </w:r>
          </w:p>
        </w:tc>
      </w:tr>
      <w:tr w:rsidR="009C7AB2" w:rsidRPr="002C017E" w:rsidTr="00C14040">
        <w:trPr>
          <w:trHeight w:val="316"/>
        </w:trPr>
        <w:tc>
          <w:tcPr>
            <w:tcW w:w="992" w:type="pct"/>
            <w:shd w:val="clear" w:color="auto" w:fill="FFFFFF"/>
          </w:tcPr>
          <w:p w:rsidR="009C7AB2" w:rsidRPr="002C017E" w:rsidRDefault="009C7AB2" w:rsidP="009E1A8A">
            <w:pPr>
              <w:pStyle w:val="nsr"/>
            </w:pPr>
            <w:r w:rsidRPr="002C017E">
              <w:t>G</w:t>
            </w:r>
          </w:p>
        </w:tc>
        <w:tc>
          <w:tcPr>
            <w:tcW w:w="1197" w:type="pct"/>
            <w:shd w:val="clear" w:color="auto" w:fill="FFFFFF"/>
          </w:tcPr>
          <w:p w:rsidR="009C7AB2" w:rsidRPr="002C017E" w:rsidRDefault="009C7AB2" w:rsidP="009E1A8A">
            <w:pPr>
              <w:pStyle w:val="nsr"/>
              <w:rPr>
                <w:i/>
                <w:iCs/>
              </w:rPr>
            </w:pPr>
            <w:r w:rsidRPr="002C017E">
              <w:rPr>
                <w:i/>
                <w:iCs/>
              </w:rPr>
              <w:t>Harleianus.</w:t>
            </w:r>
          </w:p>
        </w:tc>
        <w:tc>
          <w:tcPr>
            <w:tcW w:w="1135" w:type="pct"/>
            <w:shd w:val="clear" w:color="auto" w:fill="FFFFFF"/>
          </w:tcPr>
          <w:p w:rsidR="009C7AB2" w:rsidRPr="002C017E" w:rsidRDefault="009C7AB2" w:rsidP="009E1A8A">
            <w:pPr>
              <w:pStyle w:val="nsr"/>
            </w:pPr>
            <w:r w:rsidRPr="002C017E">
              <w:t>Musée britannique</w:t>
            </w:r>
          </w:p>
        </w:tc>
        <w:tc>
          <w:tcPr>
            <w:tcW w:w="749" w:type="pct"/>
            <w:shd w:val="clear" w:color="auto" w:fill="FFFFFF"/>
          </w:tcPr>
          <w:p w:rsidR="009C7AB2" w:rsidRPr="002C017E" w:rsidRDefault="009C7AB2" w:rsidP="009E1A8A">
            <w:pPr>
              <w:pStyle w:val="nsr"/>
            </w:pPr>
            <w:r w:rsidRPr="002C017E">
              <w:t>X</w:t>
            </w:r>
            <w:r w:rsidRPr="002C017E">
              <w:rPr>
                <w:vertAlign w:val="superscript"/>
              </w:rPr>
              <w:t>e</w:t>
            </w:r>
          </w:p>
        </w:tc>
        <w:tc>
          <w:tcPr>
            <w:tcW w:w="927" w:type="pct"/>
            <w:shd w:val="clear" w:color="auto" w:fill="FFFFFF"/>
          </w:tcPr>
          <w:p w:rsidR="009C7AB2" w:rsidRPr="002C017E" w:rsidRDefault="009C7AB2" w:rsidP="009E1A8A">
            <w:pPr>
              <w:pStyle w:val="nsr"/>
            </w:pPr>
            <w:r w:rsidRPr="002C017E">
              <w:t>Fragments.</w:t>
            </w:r>
          </w:p>
        </w:tc>
      </w:tr>
    </w:tbl>
    <w:p w:rsidR="009C7AB2" w:rsidRDefault="00C14040" w:rsidP="009C7AB2">
      <w:pPr>
        <w:rPr>
          <w:szCs w:val="25"/>
          <w:lang w:eastAsia="fr-FR"/>
        </w:rPr>
      </w:pPr>
      <w:r w:rsidRPr="000716BB">
        <w:rPr>
          <w:rFonts w:eastAsia="Arial Unicode MS"/>
          <w:bCs/>
          <w:lang w:eastAsia="fr-FR" w:bidi="he-IL"/>
        </w:rPr>
        <w:t>{</w:t>
      </w:r>
      <w:r>
        <w:rPr>
          <w:rFonts w:eastAsia="Arial Unicode MS"/>
          <w:bCs/>
          <w:lang w:eastAsia="fr-FR" w:bidi="he-IL"/>
        </w:rPr>
        <w:t>75</w:t>
      </w:r>
      <w:bookmarkStart w:id="122" w:name="pag075"/>
      <w:bookmarkEnd w:id="122"/>
      <w:r w:rsidRPr="000716BB">
        <w:rPr>
          <w:rFonts w:eastAsia="Arial Unicode MS"/>
          <w:bCs/>
          <w:lang w:eastAsia="fr-FR" w:bidi="he-IL"/>
        </w:rPr>
        <w:t>}</w:t>
      </w:r>
    </w:p>
    <w:p w:rsidR="00C2602D" w:rsidRPr="00C8701B" w:rsidRDefault="0077300D" w:rsidP="00C2602D">
      <w:pPr>
        <w:rPr>
          <w:rFonts w:eastAsia="Arial Unicode MS"/>
          <w:bCs/>
          <w:lang w:eastAsia="fr-FR" w:bidi="he-IL"/>
        </w:rPr>
      </w:pPr>
      <w:r>
        <w:rPr>
          <w:rFonts w:eastAsia="Arial Unicode MS"/>
          <w:bCs/>
          <w:lang w:eastAsia="fr-FR" w:bidi="he-IL"/>
        </w:rPr>
        <w:t>β.</w:t>
      </w:r>
      <w:r w:rsidR="000F7DAA">
        <w:rPr>
          <w:rFonts w:eastAsia="Arial Unicode MS"/>
          <w:bCs/>
          <w:lang w:val="el-GR" w:eastAsia="fr-FR" w:bidi="he-IL"/>
        </w:rPr>
        <w:t xml:space="preserve"> </w:t>
      </w:r>
      <w:r>
        <w:rPr>
          <w:rFonts w:eastAsia="Arial Unicode MS"/>
          <w:bCs/>
          <w:lang w:eastAsia="fr-FR" w:bidi="he-IL"/>
        </w:rPr>
        <w:t>— Les</w:t>
      </w:r>
      <w:r w:rsidR="00B704AD" w:rsidRPr="00C8701B">
        <w:rPr>
          <w:rFonts w:eastAsia="Arial Unicode MS"/>
          <w:bCs/>
          <w:lang w:eastAsia="fr-FR" w:bidi="he-IL"/>
        </w:rPr>
        <w:t xml:space="preserve"> traductions anciennes auxquelles nous avons le plus souvent renvoyé dans nos notes critiques sont les versions syriaques</w:t>
      </w:r>
      <w:r w:rsidR="00E65435">
        <w:rPr>
          <w:rFonts w:eastAsia="Arial Unicode MS"/>
          <w:bCs/>
          <w:lang w:eastAsia="fr-FR" w:bidi="he-IL"/>
        </w:rPr>
        <w:t xml:space="preserve">, </w:t>
      </w:r>
      <w:r w:rsidR="00B704AD" w:rsidRPr="00C8701B">
        <w:rPr>
          <w:rFonts w:eastAsia="Arial Unicode MS"/>
          <w:bCs/>
          <w:lang w:eastAsia="fr-FR" w:bidi="he-IL"/>
        </w:rPr>
        <w:t>latines</w:t>
      </w:r>
      <w:r w:rsidR="00E65435">
        <w:rPr>
          <w:rFonts w:eastAsia="Arial Unicode MS"/>
          <w:bCs/>
          <w:lang w:eastAsia="fr-FR" w:bidi="he-IL"/>
        </w:rPr>
        <w:t xml:space="preserve">, </w:t>
      </w:r>
      <w:r w:rsidR="00B704AD" w:rsidRPr="00C8701B">
        <w:rPr>
          <w:rFonts w:eastAsia="Arial Unicode MS"/>
          <w:bCs/>
          <w:lang w:eastAsia="fr-FR" w:bidi="he-IL"/>
        </w:rPr>
        <w:t>égyptiennes et gothique</w:t>
      </w:r>
      <w:r w:rsidR="00933C60" w:rsidRPr="00C406FF">
        <w:rPr>
          <w:rStyle w:val="Appelnotedebasdep"/>
        </w:rPr>
        <w:footnoteReference w:id="406"/>
      </w:r>
      <w:r w:rsidR="00B704AD"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Parmi les premières</w:t>
      </w:r>
      <w:r w:rsidR="00E65435">
        <w:rPr>
          <w:rFonts w:eastAsia="Arial Unicode MS"/>
          <w:bCs/>
          <w:lang w:eastAsia="fr-FR" w:bidi="he-IL"/>
        </w:rPr>
        <w:t xml:space="preserve">, </w:t>
      </w:r>
      <w:r w:rsidRPr="00C8701B">
        <w:rPr>
          <w:rFonts w:eastAsia="Arial Unicode MS"/>
          <w:bCs/>
          <w:lang w:eastAsia="fr-FR" w:bidi="he-IL"/>
        </w:rPr>
        <w:t>il faut surtout nommer</w:t>
      </w:r>
      <w:r w:rsidR="00E65435">
        <w:rPr>
          <w:rFonts w:eastAsia="Arial Unicode MS"/>
          <w:bCs/>
          <w:lang w:eastAsia="fr-FR" w:bidi="he-IL"/>
        </w:rPr>
        <w:t xml:space="preserve">, </w:t>
      </w:r>
      <w:r w:rsidRPr="00C8701B">
        <w:rPr>
          <w:rFonts w:eastAsia="Arial Unicode MS"/>
          <w:bCs/>
          <w:lang w:eastAsia="fr-FR" w:bidi="he-IL"/>
        </w:rPr>
        <w:t>avec la</w:t>
      </w:r>
      <w:r w:rsidRPr="00DC4586">
        <w:rPr>
          <w:rStyle w:val="italicus"/>
        </w:rPr>
        <w:t xml:space="preserve"> Peschito</w:t>
      </w:r>
      <w:r w:rsidR="00E65435">
        <w:rPr>
          <w:rFonts w:eastAsia="Arial Unicode MS"/>
          <w:bCs/>
          <w:lang w:eastAsia="fr-FR" w:bidi="he-IL"/>
        </w:rPr>
        <w:t xml:space="preserve">, </w:t>
      </w:r>
      <w:r w:rsidRPr="00C8701B">
        <w:rPr>
          <w:rFonts w:eastAsia="Arial Unicode MS"/>
          <w:bCs/>
          <w:lang w:eastAsia="fr-FR" w:bidi="he-IL"/>
        </w:rPr>
        <w:t>qui date du second siècle</w:t>
      </w:r>
      <w:r w:rsidR="00E65435">
        <w:rPr>
          <w:rFonts w:eastAsia="Arial Unicode MS"/>
          <w:bCs/>
          <w:lang w:eastAsia="fr-FR" w:bidi="he-IL"/>
        </w:rPr>
        <w:t xml:space="preserve">, </w:t>
      </w:r>
      <w:r w:rsidRPr="00C8701B">
        <w:rPr>
          <w:rFonts w:eastAsia="Arial Unicode MS"/>
          <w:bCs/>
          <w:lang w:eastAsia="fr-FR" w:bidi="he-IL"/>
        </w:rPr>
        <w:t>et dont l</w:t>
      </w:r>
      <w:r w:rsidR="00557DE0">
        <w:rPr>
          <w:rFonts w:eastAsia="Arial Unicode MS"/>
          <w:bCs/>
          <w:lang w:eastAsia="fr-FR" w:bidi="he-IL"/>
        </w:rPr>
        <w:t>’</w:t>
      </w:r>
      <w:r w:rsidRPr="00C8701B">
        <w:rPr>
          <w:rFonts w:eastAsia="Arial Unicode MS"/>
          <w:bCs/>
          <w:lang w:eastAsia="fr-FR" w:bidi="he-IL"/>
        </w:rPr>
        <w:t>importance est très considérable pour la fixation du texte</w:t>
      </w:r>
      <w:r w:rsidR="00E65435">
        <w:rPr>
          <w:rFonts w:eastAsia="Arial Unicode MS"/>
          <w:bCs/>
          <w:lang w:eastAsia="fr-FR" w:bidi="he-IL"/>
        </w:rPr>
        <w:t xml:space="preserve">, </w:t>
      </w:r>
      <w:r w:rsidRPr="00C8701B">
        <w:rPr>
          <w:rFonts w:eastAsia="Arial Unicode MS"/>
          <w:bCs/>
          <w:lang w:eastAsia="fr-FR" w:bidi="he-IL"/>
        </w:rPr>
        <w:t>celle qui porte le nom du savant anglais qui l</w:t>
      </w:r>
      <w:r w:rsidR="00557DE0">
        <w:rPr>
          <w:rFonts w:eastAsia="Arial Unicode MS"/>
          <w:bCs/>
          <w:lang w:eastAsia="fr-FR" w:bidi="he-IL"/>
        </w:rPr>
        <w:t>’</w:t>
      </w:r>
      <w:r w:rsidRPr="00C8701B">
        <w:rPr>
          <w:rFonts w:eastAsia="Arial Unicode MS"/>
          <w:bCs/>
          <w:lang w:eastAsia="fr-FR" w:bidi="he-IL"/>
        </w:rPr>
        <w:t>a mise en lumière</w:t>
      </w:r>
      <w:r w:rsidR="00E65435">
        <w:rPr>
          <w:rFonts w:eastAsia="Arial Unicode MS"/>
          <w:bCs/>
          <w:lang w:eastAsia="fr-FR" w:bidi="he-IL"/>
        </w:rPr>
        <w:t xml:space="preserve">, </w:t>
      </w:r>
      <w:r w:rsidRPr="00C8701B">
        <w:rPr>
          <w:rFonts w:eastAsia="Arial Unicode MS"/>
          <w:bCs/>
          <w:lang w:eastAsia="fr-FR" w:bidi="he-IL"/>
        </w:rPr>
        <w:t>le D</w:t>
      </w:r>
      <w:r w:rsidRPr="00C8701B">
        <w:rPr>
          <w:rFonts w:eastAsia="Arial Unicode MS"/>
          <w:bCs/>
          <w:vertAlign w:val="superscript"/>
          <w:lang w:eastAsia="fr-FR" w:bidi="he-IL"/>
        </w:rPr>
        <w:t>r</w:t>
      </w:r>
      <w:r w:rsidRPr="00C8701B">
        <w:rPr>
          <w:rFonts w:eastAsia="Arial Unicode MS"/>
          <w:bCs/>
          <w:lang w:eastAsia="fr-FR" w:bidi="he-IL"/>
        </w:rPr>
        <w:t xml:space="preserve"> Cureton</w:t>
      </w:r>
      <w:r w:rsidR="00933C60" w:rsidRPr="00C406FF">
        <w:rPr>
          <w:rStyle w:val="Appelnotedebasdep"/>
        </w:rPr>
        <w:footnoteReference w:id="407"/>
      </w:r>
      <w:r w:rsidR="00C2602D" w:rsidRPr="00C8701B">
        <w:rPr>
          <w:rFonts w:eastAsia="Arial Unicode MS"/>
          <w:bCs/>
          <w:lang w:eastAsia="fr-FR" w:bidi="he-IL"/>
        </w:rPr>
        <w:t> :</w:t>
      </w:r>
      <w:r w:rsidRPr="00C8701B">
        <w:rPr>
          <w:rFonts w:eastAsia="Arial Unicode MS"/>
          <w:bCs/>
          <w:lang w:eastAsia="fr-FR" w:bidi="he-IL"/>
        </w:rPr>
        <w:t xml:space="preserve"> elle contient des fragments de S. Matthieu</w:t>
      </w:r>
      <w:r w:rsidR="00E65435">
        <w:rPr>
          <w:rFonts w:eastAsia="Arial Unicode MS"/>
          <w:bCs/>
          <w:lang w:eastAsia="fr-FR" w:bidi="he-IL"/>
        </w:rPr>
        <w:t xml:space="preserve">, </w:t>
      </w:r>
      <w:r w:rsidRPr="00C8701B">
        <w:rPr>
          <w:rFonts w:eastAsia="Arial Unicode MS"/>
          <w:bCs/>
          <w:lang w:eastAsia="fr-FR" w:bidi="he-IL"/>
        </w:rPr>
        <w:t>de S. Luc</w:t>
      </w:r>
      <w:r w:rsidR="00E65435">
        <w:rPr>
          <w:rFonts w:eastAsia="Arial Unicode MS"/>
          <w:bCs/>
          <w:lang w:eastAsia="fr-FR" w:bidi="he-IL"/>
        </w:rPr>
        <w:t xml:space="preserve">, </w:t>
      </w:r>
      <w:r w:rsidRPr="00C8701B">
        <w:rPr>
          <w:rFonts w:eastAsia="Arial Unicode MS"/>
          <w:bCs/>
          <w:lang w:eastAsia="fr-FR" w:bidi="he-IL"/>
        </w:rPr>
        <w:t>de S. Jean</w:t>
      </w:r>
      <w:r w:rsidR="00E65435">
        <w:rPr>
          <w:rFonts w:eastAsia="Arial Unicode MS"/>
          <w:bCs/>
          <w:lang w:eastAsia="fr-FR" w:bidi="he-IL"/>
        </w:rPr>
        <w:t xml:space="preserve">, </w:t>
      </w:r>
      <w:r w:rsidRPr="00C8701B">
        <w:rPr>
          <w:rFonts w:eastAsia="Arial Unicode MS"/>
          <w:bCs/>
          <w:lang w:eastAsia="fr-FR" w:bidi="he-IL"/>
        </w:rPr>
        <w:t>et seulement les quatre derniers versets de S. Marc. Peut-être remonterait-elle encore plus haut que la</w:t>
      </w:r>
      <w:r w:rsidRPr="00DC4586">
        <w:rPr>
          <w:rStyle w:val="italicus"/>
        </w:rPr>
        <w:t xml:space="preserve"> Peschito.</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Quant aux versions latines</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Itala et la Vulgate</w:t>
      </w:r>
      <w:r w:rsidR="00E65435">
        <w:rPr>
          <w:rFonts w:eastAsia="Arial Unicode MS"/>
          <w:bCs/>
          <w:lang w:eastAsia="fr-FR" w:bidi="he-IL"/>
        </w:rPr>
        <w:t xml:space="preserve">, </w:t>
      </w:r>
      <w:r w:rsidRPr="00C8701B">
        <w:rPr>
          <w:rFonts w:eastAsia="Arial Unicode MS"/>
          <w:bCs/>
          <w:lang w:eastAsia="fr-FR" w:bidi="he-IL"/>
        </w:rPr>
        <w:t>elles ne jouissent pas d</w:t>
      </w:r>
      <w:r w:rsidR="00557DE0">
        <w:rPr>
          <w:rFonts w:eastAsia="Arial Unicode MS"/>
          <w:bCs/>
          <w:lang w:eastAsia="fr-FR" w:bidi="he-IL"/>
        </w:rPr>
        <w:t>’</w:t>
      </w:r>
      <w:r w:rsidRPr="00C8701B">
        <w:rPr>
          <w:rFonts w:eastAsia="Arial Unicode MS"/>
          <w:bCs/>
          <w:lang w:eastAsia="fr-FR" w:bidi="he-IL"/>
        </w:rPr>
        <w:t>une moindre influence relativement à l</w:t>
      </w:r>
      <w:r w:rsidR="00557DE0">
        <w:rPr>
          <w:rFonts w:eastAsia="Arial Unicode MS"/>
          <w:bCs/>
          <w:lang w:eastAsia="fr-FR" w:bidi="he-IL"/>
        </w:rPr>
        <w:t>’</w:t>
      </w:r>
      <w:r w:rsidRPr="00C8701B">
        <w:rPr>
          <w:rFonts w:eastAsia="Arial Unicode MS"/>
          <w:bCs/>
          <w:lang w:eastAsia="fr-FR" w:bidi="he-IL"/>
        </w:rPr>
        <w:t>étude critique du texte des évangiles. Les manuscrits qui nous en restent</w:t>
      </w:r>
      <w:r w:rsidR="00E65435">
        <w:rPr>
          <w:rFonts w:eastAsia="Arial Unicode MS"/>
          <w:bCs/>
          <w:lang w:eastAsia="fr-FR" w:bidi="he-IL"/>
        </w:rPr>
        <w:t xml:space="preserve">, </w:t>
      </w:r>
      <w:r w:rsidRPr="00C8701B">
        <w:rPr>
          <w:rFonts w:eastAsia="Arial Unicode MS"/>
          <w:bCs/>
          <w:lang w:eastAsia="fr-FR" w:bidi="he-IL"/>
        </w:rPr>
        <w:t>ou les éditions imprimées</w:t>
      </w:r>
      <w:r w:rsidR="00E65435">
        <w:rPr>
          <w:rFonts w:eastAsia="Arial Unicode MS"/>
          <w:bCs/>
          <w:lang w:eastAsia="fr-FR" w:bidi="he-IL"/>
        </w:rPr>
        <w:t xml:space="preserve">, </w:t>
      </w:r>
      <w:r w:rsidRPr="00C8701B">
        <w:rPr>
          <w:rFonts w:eastAsia="Arial Unicode MS"/>
          <w:bCs/>
          <w:lang w:eastAsia="fr-FR" w:bidi="he-IL"/>
        </w:rPr>
        <w:t>sont d</w:t>
      </w:r>
      <w:r w:rsidR="00557DE0">
        <w:rPr>
          <w:rFonts w:eastAsia="Arial Unicode MS"/>
          <w:bCs/>
          <w:lang w:eastAsia="fr-FR" w:bidi="he-IL"/>
        </w:rPr>
        <w:t>’</w:t>
      </w:r>
      <w:r w:rsidRPr="00C8701B">
        <w:rPr>
          <w:rFonts w:eastAsia="Arial Unicode MS"/>
          <w:bCs/>
          <w:lang w:eastAsia="fr-FR" w:bidi="he-IL"/>
        </w:rPr>
        <w:t>un grand secours aux critiques</w:t>
      </w:r>
      <w:r w:rsidR="00933C60" w:rsidRPr="00C406FF">
        <w:rPr>
          <w:rStyle w:val="Appelnotedebasdep"/>
        </w:rPr>
        <w:footnoteReference w:id="408"/>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On s</w:t>
      </w:r>
      <w:r w:rsidR="00557DE0">
        <w:rPr>
          <w:rFonts w:eastAsia="Arial Unicode MS"/>
          <w:bCs/>
          <w:lang w:eastAsia="fr-FR" w:bidi="he-IL"/>
        </w:rPr>
        <w:t>’</w:t>
      </w:r>
      <w:r w:rsidRPr="00C8701B">
        <w:rPr>
          <w:rFonts w:eastAsia="Arial Unicode MS"/>
          <w:bCs/>
          <w:lang w:eastAsia="fr-FR" w:bidi="he-IL"/>
        </w:rPr>
        <w:t>accorde aussi à accorder une grande autorité aux deux traductions égyptiennes</w:t>
      </w:r>
      <w:r w:rsidR="00C2602D" w:rsidRPr="00C8701B">
        <w:rPr>
          <w:rFonts w:eastAsia="Arial Unicode MS"/>
          <w:bCs/>
          <w:lang w:eastAsia="fr-FR" w:bidi="he-IL"/>
        </w:rPr>
        <w:t> :</w:t>
      </w:r>
      <w:r w:rsidRPr="00C8701B">
        <w:rPr>
          <w:rFonts w:eastAsia="Arial Unicode MS"/>
          <w:bCs/>
          <w:lang w:eastAsia="fr-FR" w:bidi="he-IL"/>
        </w:rPr>
        <w:t xml:space="preserve"> l</w:t>
      </w:r>
      <w:r w:rsidR="00557DE0">
        <w:rPr>
          <w:rFonts w:eastAsia="Arial Unicode MS"/>
          <w:bCs/>
          <w:lang w:eastAsia="fr-FR" w:bidi="he-IL"/>
        </w:rPr>
        <w:t>’</w:t>
      </w:r>
      <w:r w:rsidRPr="00C8701B">
        <w:rPr>
          <w:rFonts w:eastAsia="Arial Unicode MS"/>
          <w:bCs/>
          <w:lang w:eastAsia="fr-FR" w:bidi="he-IL"/>
        </w:rPr>
        <w:t>une dite de Memphis</w:t>
      </w:r>
      <w:r w:rsidR="00E65435">
        <w:rPr>
          <w:rFonts w:eastAsia="Arial Unicode MS"/>
          <w:bCs/>
          <w:lang w:eastAsia="fr-FR" w:bidi="he-IL"/>
        </w:rPr>
        <w:t xml:space="preserve">, </w:t>
      </w:r>
      <w:r w:rsidRPr="00C8701B">
        <w:rPr>
          <w:rFonts w:eastAsia="Arial Unicode MS"/>
          <w:bCs/>
          <w:lang w:eastAsia="fr-FR" w:bidi="he-IL"/>
        </w:rPr>
        <w:t>écrite dans le dialecte de la Basse-</w:t>
      </w:r>
      <w:r w:rsidR="00C215A6">
        <w:rPr>
          <w:rFonts w:eastAsia="Arial Unicode MS"/>
          <w:bCs/>
          <w:lang w:eastAsia="fr-FR" w:bidi="he-IL"/>
        </w:rPr>
        <w:t>Égypt</w:t>
      </w:r>
      <w:r w:rsidRPr="00C8701B">
        <w:rPr>
          <w:rFonts w:eastAsia="Arial Unicode MS"/>
          <w:bCs/>
          <w:lang w:eastAsia="fr-FR" w:bidi="he-IL"/>
        </w:rPr>
        <w:t>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autre</w:t>
      </w:r>
      <w:r w:rsidR="00E65435">
        <w:rPr>
          <w:rFonts w:eastAsia="Arial Unicode MS"/>
          <w:bCs/>
          <w:lang w:eastAsia="fr-FR" w:bidi="he-IL"/>
        </w:rPr>
        <w:t xml:space="preserve">, </w:t>
      </w:r>
      <w:r w:rsidRPr="00C8701B">
        <w:rPr>
          <w:rFonts w:eastAsia="Arial Unicode MS"/>
          <w:bCs/>
          <w:lang w:eastAsia="fr-FR" w:bidi="he-IL"/>
        </w:rPr>
        <w:t>appelée sahidique</w:t>
      </w:r>
      <w:r w:rsidR="00E65435">
        <w:rPr>
          <w:rFonts w:eastAsia="Arial Unicode MS"/>
          <w:bCs/>
          <w:lang w:eastAsia="fr-FR" w:bidi="he-IL"/>
        </w:rPr>
        <w:t xml:space="preserve">, </w:t>
      </w:r>
      <w:r w:rsidRPr="00C8701B">
        <w:rPr>
          <w:rFonts w:eastAsia="Arial Unicode MS"/>
          <w:bCs/>
          <w:lang w:eastAsia="fr-FR" w:bidi="he-IL"/>
        </w:rPr>
        <w:t>ou de Thèbes</w:t>
      </w:r>
      <w:r w:rsidR="00E65435">
        <w:rPr>
          <w:rFonts w:eastAsia="Arial Unicode MS"/>
          <w:bCs/>
          <w:lang w:eastAsia="fr-FR" w:bidi="he-IL"/>
        </w:rPr>
        <w:t xml:space="preserve">, </w:t>
      </w:r>
      <w:r w:rsidRPr="00C8701B">
        <w:rPr>
          <w:rFonts w:eastAsia="Arial Unicode MS"/>
          <w:bCs/>
          <w:lang w:eastAsia="fr-FR" w:bidi="he-IL"/>
        </w:rPr>
        <w:t>et composée dans le dialecte de la Haute-</w:t>
      </w:r>
      <w:r w:rsidR="00C215A6">
        <w:rPr>
          <w:rFonts w:eastAsia="Arial Unicode MS"/>
          <w:bCs/>
          <w:lang w:eastAsia="fr-FR" w:bidi="he-IL"/>
        </w:rPr>
        <w:t>Égypt</w:t>
      </w:r>
      <w:r w:rsidRPr="00C8701B">
        <w:rPr>
          <w:rFonts w:eastAsia="Arial Unicode MS"/>
          <w:bCs/>
          <w:lang w:eastAsia="fr-FR" w:bidi="he-IL"/>
        </w:rPr>
        <w:t>e. On croit qu</w:t>
      </w:r>
      <w:r w:rsidR="00557DE0">
        <w:rPr>
          <w:rFonts w:eastAsia="Arial Unicode MS"/>
          <w:bCs/>
          <w:lang w:eastAsia="fr-FR" w:bidi="he-IL"/>
        </w:rPr>
        <w:t>’</w:t>
      </w:r>
      <w:r w:rsidR="0077300D">
        <w:rPr>
          <w:rFonts w:eastAsia="Arial Unicode MS"/>
          <w:bCs/>
          <w:lang w:eastAsia="fr-FR" w:bidi="he-IL"/>
        </w:rPr>
        <w:t>elles datent l</w:t>
      </w:r>
      <w:r w:rsidR="00557DE0">
        <w:rPr>
          <w:rFonts w:eastAsia="Arial Unicode MS"/>
          <w:bCs/>
          <w:lang w:eastAsia="fr-FR" w:bidi="he-IL"/>
        </w:rPr>
        <w:t>’</w:t>
      </w:r>
      <w:r w:rsidR="0077300D">
        <w:rPr>
          <w:rFonts w:eastAsia="Arial Unicode MS"/>
          <w:bCs/>
          <w:lang w:eastAsia="fr-FR" w:bidi="he-IL"/>
        </w:rPr>
        <w:t>un</w:t>
      </w:r>
      <w:r w:rsidRPr="00C8701B">
        <w:rPr>
          <w:rFonts w:eastAsia="Arial Unicode MS"/>
          <w:bCs/>
          <w:lang w:eastAsia="fr-FR" w:bidi="he-IL"/>
        </w:rPr>
        <w:t>e et l</w:t>
      </w:r>
      <w:r w:rsidR="00557DE0">
        <w:rPr>
          <w:rFonts w:eastAsia="Arial Unicode MS"/>
          <w:bCs/>
          <w:lang w:eastAsia="fr-FR" w:bidi="he-IL"/>
        </w:rPr>
        <w:t>’</w:t>
      </w:r>
      <w:r w:rsidRPr="00C8701B">
        <w:rPr>
          <w:rFonts w:eastAsia="Arial Unicode MS"/>
          <w:bCs/>
          <w:lang w:eastAsia="fr-FR" w:bidi="he-IL"/>
        </w:rPr>
        <w:t xml:space="preserve">autre du </w:t>
      </w:r>
      <w:r w:rsidR="0077300D">
        <w:rPr>
          <w:rFonts w:eastAsia="Arial Unicode MS"/>
          <w:bCs/>
          <w:lang w:eastAsia="fr-FR" w:bidi="he-IL"/>
        </w:rPr>
        <w:t>III</w:t>
      </w:r>
      <w:r w:rsidRPr="00C8701B">
        <w:rPr>
          <w:rFonts w:eastAsia="Arial Unicode MS"/>
          <w:bCs/>
          <w:vertAlign w:val="superscript"/>
          <w:lang w:eastAsia="fr-FR" w:bidi="he-IL"/>
        </w:rPr>
        <w:t>e</w:t>
      </w:r>
      <w:r w:rsidRPr="00C8701B">
        <w:rPr>
          <w:rFonts w:eastAsia="Arial Unicode MS"/>
          <w:bCs/>
          <w:lang w:eastAsia="fr-FR" w:bidi="he-IL"/>
        </w:rPr>
        <w:t xml:space="preserve"> siècle de notre ère</w:t>
      </w:r>
      <w:r w:rsidR="00933C60" w:rsidRPr="00C406FF">
        <w:rPr>
          <w:rStyle w:val="Appelnotedebasdep"/>
        </w:rPr>
        <w:footnoteReference w:id="409"/>
      </w:r>
      <w:r w:rsidRPr="00C8701B">
        <w:rPr>
          <w:rFonts w:eastAsia="Arial Unicode MS"/>
          <w:bCs/>
          <w:lang w:eastAsia="fr-FR" w:bidi="he-IL"/>
        </w:rPr>
        <w:t>.</w:t>
      </w:r>
      <w:r w:rsidR="00C2602D" w:rsidRPr="00C8701B">
        <w:rPr>
          <w:rFonts w:eastAsia="Arial Unicode MS"/>
          <w:bCs/>
          <w:lang w:eastAsia="fr-FR" w:bidi="he-IL"/>
        </w:rPr>
        <w:t xml:space="preserve"> </w:t>
      </w:r>
    </w:p>
    <w:p w:rsidR="00C2602D" w:rsidRDefault="00B704AD" w:rsidP="00C2602D">
      <w:pPr>
        <w:rPr>
          <w:rFonts w:eastAsia="Arial Unicode MS"/>
          <w:bCs/>
          <w:lang w:eastAsia="fr-FR" w:bidi="he-IL"/>
        </w:rPr>
      </w:pPr>
      <w:r w:rsidRPr="00C8701B">
        <w:rPr>
          <w:rFonts w:eastAsia="Arial Unicode MS"/>
          <w:bCs/>
          <w:lang w:eastAsia="fr-FR" w:bidi="he-IL"/>
        </w:rPr>
        <w:t>La version gothique d</w:t>
      </w:r>
      <w:r w:rsidR="00557DE0">
        <w:rPr>
          <w:rFonts w:eastAsia="Arial Unicode MS"/>
          <w:bCs/>
          <w:lang w:eastAsia="fr-FR" w:bidi="he-IL"/>
        </w:rPr>
        <w:t>’</w:t>
      </w:r>
      <w:r w:rsidRPr="00C8701B">
        <w:rPr>
          <w:rFonts w:eastAsia="Arial Unicode MS"/>
          <w:bCs/>
          <w:lang w:eastAsia="fr-FR" w:bidi="he-IL"/>
        </w:rPr>
        <w:t>Ulfilas n</w:t>
      </w:r>
      <w:r w:rsidR="00557DE0">
        <w:rPr>
          <w:rFonts w:eastAsia="Arial Unicode MS"/>
          <w:bCs/>
          <w:lang w:eastAsia="fr-FR" w:bidi="he-IL"/>
        </w:rPr>
        <w:t>’</w:t>
      </w:r>
      <w:r w:rsidRPr="00C8701B">
        <w:rPr>
          <w:rFonts w:eastAsia="Arial Unicode MS"/>
          <w:bCs/>
          <w:lang w:eastAsia="fr-FR" w:bidi="he-IL"/>
        </w:rPr>
        <w:t xml:space="preserve">est pas antérieure au </w:t>
      </w:r>
      <w:r w:rsidR="0077300D">
        <w:rPr>
          <w:rFonts w:eastAsia="Arial Unicode MS"/>
          <w:bCs/>
          <w:lang w:eastAsia="fr-FR" w:bidi="he-IL"/>
        </w:rPr>
        <w:t>VI</w:t>
      </w:r>
      <w:r w:rsidR="00F56B84" w:rsidRPr="00F56B84">
        <w:rPr>
          <w:rFonts w:eastAsia="Arial Unicode MS"/>
          <w:bCs/>
          <w:vertAlign w:val="superscript"/>
          <w:lang w:eastAsia="fr-FR" w:bidi="he-IL"/>
        </w:rPr>
        <w:t>e</w:t>
      </w:r>
      <w:r w:rsidRPr="00C8701B">
        <w:rPr>
          <w:rFonts w:eastAsia="Arial Unicode MS"/>
          <w:bCs/>
          <w:lang w:eastAsia="fr-FR" w:bidi="he-IL"/>
        </w:rPr>
        <w:t xml:space="preserve"> siècle</w:t>
      </w:r>
      <w:r w:rsidR="00933C60" w:rsidRPr="00C406FF">
        <w:rPr>
          <w:rStyle w:val="Appelnotedebasdep"/>
        </w:rPr>
        <w:footnoteReference w:id="410"/>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val="el-GR" w:eastAsia="fr-FR" w:bidi="he-IL"/>
        </w:rPr>
        <w:t>γ.</w:t>
      </w:r>
      <w:r w:rsidR="000F7DAA">
        <w:rPr>
          <w:rFonts w:eastAsia="Arial Unicode MS"/>
          <w:bCs/>
          <w:lang w:val="el-GR"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Les citations des Pères ont pareillement une très grande valeur</w:t>
      </w:r>
      <w:r w:rsidR="00E65435">
        <w:rPr>
          <w:rFonts w:eastAsia="Arial Unicode MS"/>
          <w:bCs/>
          <w:lang w:eastAsia="fr-FR" w:bidi="he-IL"/>
        </w:rPr>
        <w:t xml:space="preserve">, </w:t>
      </w:r>
      <w:r w:rsidR="0077300D">
        <w:rPr>
          <w:rFonts w:eastAsia="Arial Unicode MS"/>
          <w:bCs/>
          <w:lang w:eastAsia="fr-FR" w:bidi="he-IL"/>
        </w:rPr>
        <w:t>s</w:t>
      </w:r>
      <w:r w:rsidRPr="00C8701B">
        <w:rPr>
          <w:rFonts w:eastAsia="Arial Unicode MS"/>
          <w:bCs/>
          <w:lang w:eastAsia="fr-FR" w:bidi="he-IL"/>
        </w:rPr>
        <w:t>urtout quand elles prov</w:t>
      </w:r>
      <w:r w:rsidR="0077300D">
        <w:rPr>
          <w:rFonts w:eastAsia="Arial Unicode MS"/>
          <w:bCs/>
          <w:lang w:eastAsia="fr-FR" w:bidi="he-IL"/>
        </w:rPr>
        <w:t>iennent des plus anciens et de c</w:t>
      </w:r>
      <w:r w:rsidRPr="00C8701B">
        <w:rPr>
          <w:rFonts w:eastAsia="Arial Unicode MS"/>
          <w:bCs/>
          <w:lang w:eastAsia="fr-FR" w:bidi="he-IL"/>
        </w:rPr>
        <w:t>eux qui ont écrit en langu</w:t>
      </w:r>
      <w:r w:rsidR="0077300D">
        <w:rPr>
          <w:rFonts w:eastAsia="Arial Unicode MS"/>
          <w:bCs/>
          <w:lang w:eastAsia="fr-FR" w:bidi="he-IL"/>
        </w:rPr>
        <w:t xml:space="preserve">e </w:t>
      </w:r>
      <w:r w:rsidR="00DF496C" w:rsidRPr="00C8701B">
        <w:rPr>
          <w:rFonts w:eastAsia="Arial Unicode MS"/>
          <w:bCs/>
          <w:lang w:eastAsia="fr-FR" w:bidi="he-IL"/>
        </w:rPr>
        <w:t>gr</w:t>
      </w:r>
      <w:r w:rsidR="00DF496C">
        <w:rPr>
          <w:rFonts w:eastAsia="Arial Unicode MS"/>
          <w:bCs/>
          <w:lang w:eastAsia="fr-FR" w:bidi="he-IL"/>
        </w:rPr>
        <w:t>e</w:t>
      </w:r>
      <w:r w:rsidR="00DF496C" w:rsidRPr="00C8701B">
        <w:rPr>
          <w:rFonts w:eastAsia="Arial Unicode MS"/>
          <w:bCs/>
          <w:lang w:eastAsia="fr-FR" w:bidi="he-IL"/>
        </w:rPr>
        <w:t>cque</w:t>
      </w:r>
      <w:r w:rsidRPr="00C8701B">
        <w:rPr>
          <w:rFonts w:eastAsia="Arial Unicode MS"/>
          <w:bCs/>
          <w:lang w:eastAsia="fr-FR" w:bidi="he-IL"/>
        </w:rPr>
        <w:t>. On les a recueillies en divers ouvrages</w:t>
      </w:r>
      <w:r w:rsidR="00E65435">
        <w:rPr>
          <w:rFonts w:eastAsia="Arial Unicode MS"/>
          <w:bCs/>
          <w:lang w:eastAsia="fr-FR" w:bidi="he-IL"/>
        </w:rPr>
        <w:t xml:space="preserve">, </w:t>
      </w:r>
      <w:r w:rsidRPr="00C8701B">
        <w:rPr>
          <w:rFonts w:eastAsia="Arial Unicode MS"/>
          <w:bCs/>
          <w:lang w:eastAsia="fr-FR" w:bidi="he-IL"/>
        </w:rPr>
        <w:t>et</w:t>
      </w:r>
      <w:r w:rsidR="00E65435">
        <w:rPr>
          <w:rFonts w:eastAsia="Arial Unicode MS"/>
          <w:bCs/>
          <w:lang w:eastAsia="fr-FR" w:bidi="he-IL"/>
        </w:rPr>
        <w:t xml:space="preserve">, </w:t>
      </w:r>
      <w:r w:rsidRPr="00C8701B">
        <w:rPr>
          <w:rFonts w:eastAsia="Arial Unicode MS"/>
          <w:bCs/>
          <w:lang w:eastAsia="fr-FR" w:bidi="he-IL"/>
        </w:rPr>
        <w:t>avec elles</w:t>
      </w:r>
      <w:r w:rsidR="00E65435">
        <w:rPr>
          <w:rFonts w:eastAsia="Arial Unicode MS"/>
          <w:bCs/>
          <w:lang w:eastAsia="fr-FR" w:bidi="he-IL"/>
        </w:rPr>
        <w:t xml:space="preserve">, </w:t>
      </w:r>
      <w:r w:rsidRPr="00C8701B">
        <w:rPr>
          <w:rFonts w:eastAsia="Arial Unicode MS"/>
          <w:bCs/>
          <w:lang w:eastAsia="fr-FR" w:bidi="he-IL"/>
        </w:rPr>
        <w:t>on peut reconstituer les évangiles à peu près en entier</w:t>
      </w:r>
      <w:r w:rsidR="00933C60" w:rsidRPr="00C406FF">
        <w:rPr>
          <w:rStyle w:val="Appelnotedebasdep"/>
        </w:rPr>
        <w:footnoteReference w:id="411"/>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14311E" w:rsidP="00C2602D">
      <w:pPr>
        <w:rPr>
          <w:rFonts w:eastAsia="Arial Unicode MS"/>
          <w:bCs/>
          <w:lang w:eastAsia="fr-FR" w:bidi="he-IL"/>
        </w:rPr>
      </w:pPr>
      <w:r w:rsidRPr="00C8701B">
        <w:rPr>
          <w:rFonts w:eastAsia="Arial Unicode MS"/>
          <w:bCs/>
          <w:lang w:eastAsia="fr-FR" w:bidi="he-IL"/>
        </w:rPr>
        <w:t>6</w:t>
      </w:r>
      <w:r>
        <w:rPr>
          <w:rFonts w:eastAsia="Arial Unicode MS"/>
          <w:bCs/>
          <w:lang w:eastAsia="fr-FR" w:bidi="he-IL"/>
        </w:rPr>
        <w:t>°</w:t>
      </w:r>
      <w:r w:rsidR="0077300D">
        <w:rPr>
          <w:rFonts w:eastAsia="Arial Unicode MS"/>
          <w:bCs/>
          <w:lang w:eastAsia="fr-FR" w:bidi="he-IL"/>
        </w:rPr>
        <w:t xml:space="preserve"> À</w:t>
      </w:r>
      <w:r w:rsidR="00B704AD" w:rsidRPr="00C8701B">
        <w:rPr>
          <w:rFonts w:eastAsia="Arial Unicode MS"/>
          <w:bCs/>
          <w:lang w:eastAsia="fr-FR" w:bidi="he-IL"/>
        </w:rPr>
        <w:t xml:space="preserve"> l</w:t>
      </w:r>
      <w:r w:rsidR="00557DE0">
        <w:rPr>
          <w:rFonts w:eastAsia="Arial Unicode MS"/>
          <w:bCs/>
          <w:lang w:eastAsia="fr-FR" w:bidi="he-IL"/>
        </w:rPr>
        <w:t>’</w:t>
      </w:r>
      <w:r w:rsidR="00B704AD" w:rsidRPr="00C8701B">
        <w:rPr>
          <w:rFonts w:eastAsia="Arial Unicode MS"/>
          <w:bCs/>
          <w:lang w:eastAsia="fr-FR" w:bidi="he-IL"/>
        </w:rPr>
        <w:t>aide de ces divers documents</w:t>
      </w:r>
      <w:r w:rsidR="00E65435">
        <w:rPr>
          <w:rFonts w:eastAsia="Arial Unicode MS"/>
          <w:bCs/>
          <w:lang w:eastAsia="fr-FR" w:bidi="he-IL"/>
        </w:rPr>
        <w:t xml:space="preserve">, </w:t>
      </w:r>
      <w:r w:rsidR="00B704AD" w:rsidRPr="00C8701B">
        <w:rPr>
          <w:rFonts w:eastAsia="Arial Unicode MS"/>
          <w:bCs/>
          <w:lang w:eastAsia="fr-FR" w:bidi="he-IL"/>
        </w:rPr>
        <w:t>combinés entre eux d</w:t>
      </w:r>
      <w:r w:rsidR="00557DE0">
        <w:rPr>
          <w:rFonts w:eastAsia="Arial Unicode MS"/>
          <w:bCs/>
          <w:lang w:eastAsia="fr-FR" w:bidi="he-IL"/>
        </w:rPr>
        <w:t>’</w:t>
      </w:r>
      <w:r w:rsidR="0077300D">
        <w:rPr>
          <w:rFonts w:eastAsia="Arial Unicode MS"/>
          <w:bCs/>
          <w:lang w:eastAsia="fr-FR" w:bidi="he-IL"/>
        </w:rPr>
        <w:t>après de</w:t>
      </w:r>
      <w:r w:rsidR="00B704AD" w:rsidRPr="00C8701B">
        <w:rPr>
          <w:rFonts w:eastAsia="Arial Unicode MS"/>
          <w:bCs/>
          <w:lang w:eastAsia="fr-FR" w:bidi="he-IL"/>
        </w:rPr>
        <w:t>s règles plus ou moins généralement admises</w:t>
      </w:r>
      <w:r w:rsidR="00E65435">
        <w:rPr>
          <w:rFonts w:eastAsia="Arial Unicode MS"/>
          <w:bCs/>
          <w:lang w:eastAsia="fr-FR" w:bidi="he-IL"/>
        </w:rPr>
        <w:t xml:space="preserve">, </w:t>
      </w:r>
      <w:r w:rsidR="00B704AD" w:rsidRPr="00C8701B">
        <w:rPr>
          <w:rFonts w:eastAsia="Arial Unicode MS"/>
          <w:bCs/>
          <w:lang w:eastAsia="fr-FR" w:bidi="he-IL"/>
        </w:rPr>
        <w:t>on a composé</w:t>
      </w:r>
      <w:r w:rsidR="00E65435">
        <w:rPr>
          <w:rFonts w:eastAsia="Arial Unicode MS"/>
          <w:bCs/>
          <w:lang w:eastAsia="fr-FR" w:bidi="he-IL"/>
        </w:rPr>
        <w:t xml:space="preserve">, </w:t>
      </w:r>
      <w:r w:rsidR="00B704AD" w:rsidRPr="00C8701B">
        <w:rPr>
          <w:rFonts w:eastAsia="Arial Unicode MS"/>
          <w:bCs/>
          <w:lang w:eastAsia="fr-FR" w:bidi="he-IL"/>
        </w:rPr>
        <w:t xml:space="preserve">depuis le </w:t>
      </w:r>
      <w:r w:rsidR="00EF1E04">
        <w:rPr>
          <w:rFonts w:eastAsia="Arial Unicode MS"/>
          <w:bCs/>
          <w:lang w:eastAsia="fr-FR" w:bidi="he-IL"/>
        </w:rPr>
        <w:t>XVI</w:t>
      </w:r>
      <w:r w:rsidR="00F56B84" w:rsidRPr="00F56B84">
        <w:rPr>
          <w:rFonts w:eastAsia="Arial Unicode MS"/>
          <w:bCs/>
          <w:vertAlign w:val="superscript"/>
          <w:lang w:eastAsia="fr-FR" w:bidi="he-IL"/>
        </w:rPr>
        <w:t>e</w:t>
      </w:r>
      <w:r w:rsidR="00B704AD" w:rsidRPr="00C8701B">
        <w:rPr>
          <w:rFonts w:eastAsia="Arial Unicode MS"/>
          <w:bCs/>
          <w:lang w:eastAsia="fr-FR" w:bidi="he-IL"/>
        </w:rPr>
        <w:t xml:space="preserve"> siècle</w:t>
      </w:r>
      <w:r w:rsidR="00933C60" w:rsidRPr="00C406FF">
        <w:rPr>
          <w:rStyle w:val="Appelnotedebasdep"/>
        </w:rPr>
        <w:footnoteReference w:id="412"/>
      </w:r>
      <w:r w:rsidR="00E65435">
        <w:rPr>
          <w:rFonts w:eastAsia="Arial Unicode MS"/>
          <w:bCs/>
          <w:lang w:eastAsia="fr-FR" w:bidi="he-IL"/>
        </w:rPr>
        <w:t xml:space="preserve">, </w:t>
      </w:r>
      <w:r w:rsidR="00B704AD" w:rsidRPr="00C8701B">
        <w:rPr>
          <w:rFonts w:eastAsia="Arial Unicode MS"/>
          <w:bCs/>
          <w:lang w:eastAsia="fr-FR" w:bidi="he-IL"/>
        </w:rPr>
        <w:t>des éditions imprimées</w:t>
      </w:r>
      <w:r w:rsidR="00E65435">
        <w:rPr>
          <w:rFonts w:eastAsia="Arial Unicode MS"/>
          <w:bCs/>
          <w:lang w:eastAsia="fr-FR" w:bidi="he-IL"/>
        </w:rPr>
        <w:t xml:space="preserve">, </w:t>
      </w:r>
      <w:r w:rsidR="00B704AD" w:rsidRPr="00C8701B">
        <w:rPr>
          <w:rFonts w:eastAsia="Arial Unicode MS"/>
          <w:bCs/>
          <w:lang w:eastAsia="fr-FR" w:bidi="he-IL"/>
        </w:rPr>
        <w:t>dites critiques</w:t>
      </w:r>
      <w:r w:rsidR="00E65435">
        <w:rPr>
          <w:rFonts w:eastAsia="Arial Unicode MS"/>
          <w:bCs/>
          <w:lang w:eastAsia="fr-FR" w:bidi="he-IL"/>
        </w:rPr>
        <w:t xml:space="preserve">, </w:t>
      </w:r>
      <w:r w:rsidR="00B704AD" w:rsidRPr="00C8701B">
        <w:rPr>
          <w:rFonts w:eastAsia="Arial Unicode MS"/>
          <w:bCs/>
          <w:lang w:eastAsia="fr-FR" w:bidi="he-IL"/>
        </w:rPr>
        <w:t xml:space="preserve">que le commentateur des saints </w:t>
      </w:r>
      <w:r w:rsidR="000439E9">
        <w:rPr>
          <w:rFonts w:eastAsia="Arial Unicode MS"/>
          <w:bCs/>
          <w:lang w:eastAsia="fr-FR" w:bidi="he-IL"/>
        </w:rPr>
        <w:t>Évangile</w:t>
      </w:r>
      <w:r w:rsidR="00B704AD" w:rsidRPr="00C8701B">
        <w:rPr>
          <w:rFonts w:eastAsia="Arial Unicode MS"/>
          <w:bCs/>
          <w:lang w:eastAsia="fr-FR" w:bidi="he-IL"/>
        </w:rPr>
        <w:t xml:space="preserve">s doit avoir habituellement sous les yeux pendant son travail. </w:t>
      </w:r>
      <w:r w:rsidR="00C14040" w:rsidRPr="000716BB">
        <w:rPr>
          <w:rFonts w:eastAsia="Arial Unicode MS"/>
          <w:bCs/>
          <w:lang w:eastAsia="fr-FR" w:bidi="he-IL"/>
        </w:rPr>
        <w:t>{</w:t>
      </w:r>
      <w:r w:rsidR="00C14040">
        <w:rPr>
          <w:rFonts w:eastAsia="Arial Unicode MS"/>
          <w:bCs/>
          <w:lang w:eastAsia="fr-FR" w:bidi="he-IL"/>
        </w:rPr>
        <w:t>76</w:t>
      </w:r>
      <w:bookmarkStart w:id="123" w:name="pag076"/>
      <w:bookmarkEnd w:id="123"/>
      <w:r w:rsidR="00C14040" w:rsidRPr="000716BB">
        <w:rPr>
          <w:rFonts w:eastAsia="Arial Unicode MS"/>
          <w:bCs/>
          <w:lang w:eastAsia="fr-FR" w:bidi="he-IL"/>
        </w:rPr>
        <w:t xml:space="preserve">} </w:t>
      </w:r>
      <w:r w:rsidR="00B704AD" w:rsidRPr="00C8701B">
        <w:rPr>
          <w:rFonts w:eastAsia="Arial Unicode MS"/>
          <w:bCs/>
          <w:lang w:eastAsia="fr-FR" w:bidi="he-IL"/>
        </w:rPr>
        <w:t>Outre le</w:t>
      </w:r>
      <w:r w:rsidR="0077300D">
        <w:rPr>
          <w:rStyle w:val="italicus"/>
        </w:rPr>
        <w:t xml:space="preserve"> Textus </w:t>
      </w:r>
      <w:r w:rsidR="00DF496C">
        <w:rPr>
          <w:rStyle w:val="italicus"/>
        </w:rPr>
        <w:t>recépt</w:t>
      </w:r>
      <w:r w:rsidR="00DF496C" w:rsidRPr="00DC4586">
        <w:rPr>
          <w:rStyle w:val="italicus"/>
        </w:rPr>
        <w:t>us</w:t>
      </w:r>
      <w:r w:rsidR="00933C60" w:rsidRPr="00C406FF">
        <w:rPr>
          <w:rStyle w:val="Appelnotedebasdep"/>
        </w:rPr>
        <w:footnoteReference w:id="413"/>
      </w:r>
      <w:r w:rsidR="00E65435">
        <w:rPr>
          <w:rFonts w:eastAsia="Arial Unicode MS"/>
          <w:bCs/>
          <w:lang w:eastAsia="fr-FR" w:bidi="he-IL"/>
        </w:rPr>
        <w:t xml:space="preserve">, </w:t>
      </w:r>
      <w:r w:rsidR="00B704AD" w:rsidRPr="00C8701B">
        <w:rPr>
          <w:rFonts w:eastAsia="Arial Unicode MS"/>
          <w:bCs/>
          <w:lang w:eastAsia="fr-FR" w:bidi="he-IL"/>
        </w:rPr>
        <w:t>qui a tant de qualités</w:t>
      </w:r>
      <w:r w:rsidR="00E65435">
        <w:rPr>
          <w:rFonts w:eastAsia="Arial Unicode MS"/>
          <w:bCs/>
          <w:lang w:eastAsia="fr-FR" w:bidi="he-IL"/>
        </w:rPr>
        <w:t xml:space="preserve">, </w:t>
      </w:r>
      <w:r w:rsidR="00B704AD" w:rsidRPr="00C8701B">
        <w:rPr>
          <w:rFonts w:eastAsia="Arial Unicode MS"/>
          <w:bCs/>
          <w:lang w:eastAsia="fr-FR" w:bidi="he-IL"/>
        </w:rPr>
        <w:t>nous avons surtout employé les éditions de Tischendorf</w:t>
      </w:r>
      <w:r w:rsidR="00933C60" w:rsidRPr="00C406FF">
        <w:rPr>
          <w:rStyle w:val="Appelnotedebasdep"/>
        </w:rPr>
        <w:footnoteReference w:id="414"/>
      </w:r>
      <w:r w:rsidR="00E65435">
        <w:rPr>
          <w:rFonts w:eastAsia="Arial Unicode MS"/>
          <w:bCs/>
          <w:lang w:eastAsia="fr-FR" w:bidi="he-IL"/>
        </w:rPr>
        <w:t xml:space="preserve">, </w:t>
      </w:r>
      <w:r w:rsidR="00B704AD" w:rsidRPr="00C8701B">
        <w:rPr>
          <w:rFonts w:eastAsia="Arial Unicode MS"/>
          <w:bCs/>
          <w:lang w:eastAsia="fr-FR" w:bidi="he-IL"/>
        </w:rPr>
        <w:t>de MM. Westcott et Hort</w:t>
      </w:r>
      <w:r w:rsidR="00933C60" w:rsidRPr="00C406FF">
        <w:rPr>
          <w:rStyle w:val="Appelnotedebasdep"/>
        </w:rPr>
        <w:footnoteReference w:id="415"/>
      </w:r>
      <w:r w:rsidR="00E65435">
        <w:rPr>
          <w:rFonts w:eastAsia="Arial Unicode MS"/>
          <w:bCs/>
          <w:lang w:eastAsia="fr-FR" w:bidi="he-IL"/>
        </w:rPr>
        <w:t xml:space="preserve">, </w:t>
      </w:r>
      <w:r w:rsidR="00B704AD" w:rsidRPr="00C8701B">
        <w:rPr>
          <w:rFonts w:eastAsia="Arial Unicode MS"/>
          <w:bCs/>
          <w:lang w:eastAsia="fr-FR" w:bidi="he-IL"/>
        </w:rPr>
        <w:t>et du D</w:t>
      </w:r>
      <w:r w:rsidR="00B704AD" w:rsidRPr="00C8701B">
        <w:rPr>
          <w:rFonts w:eastAsia="Arial Unicode MS"/>
          <w:bCs/>
          <w:vertAlign w:val="superscript"/>
          <w:lang w:eastAsia="fr-FR" w:bidi="he-IL"/>
        </w:rPr>
        <w:t>r</w:t>
      </w:r>
      <w:r w:rsidR="00B704AD" w:rsidRPr="00C8701B">
        <w:rPr>
          <w:rFonts w:eastAsia="Arial Unicode MS"/>
          <w:bCs/>
          <w:lang w:eastAsia="fr-FR" w:bidi="he-IL"/>
        </w:rPr>
        <w:t xml:space="preserve"> von Gehbardt</w:t>
      </w:r>
      <w:r w:rsidR="00933C60" w:rsidRPr="00C406FF">
        <w:rPr>
          <w:rStyle w:val="Appelnotedebasdep"/>
        </w:rPr>
        <w:footnoteReference w:id="416"/>
      </w:r>
      <w:r w:rsidR="00E65435">
        <w:rPr>
          <w:rFonts w:eastAsia="Arial Unicode MS"/>
          <w:bCs/>
          <w:lang w:eastAsia="fr-FR" w:bidi="he-IL"/>
        </w:rPr>
        <w:t xml:space="preserve">, </w:t>
      </w:r>
      <w:r w:rsidR="00B704AD" w:rsidRPr="00C8701B">
        <w:rPr>
          <w:rFonts w:eastAsia="Arial Unicode MS"/>
          <w:bCs/>
          <w:lang w:eastAsia="fr-FR" w:bidi="he-IL"/>
        </w:rPr>
        <w:t>non sans éprouver un vif et constant désir que quelque savant catholique de France nous donne prochainement un texte grec des évangiles</w:t>
      </w:r>
      <w:r w:rsidR="00E65435">
        <w:rPr>
          <w:rFonts w:eastAsia="Arial Unicode MS"/>
          <w:bCs/>
          <w:lang w:eastAsia="fr-FR" w:bidi="he-IL"/>
        </w:rPr>
        <w:t xml:space="preserve">, </w:t>
      </w:r>
      <w:r w:rsidR="00B704AD" w:rsidRPr="00C8701B">
        <w:rPr>
          <w:rFonts w:eastAsia="Arial Unicode MS"/>
          <w:bCs/>
          <w:lang w:eastAsia="fr-FR" w:bidi="he-IL"/>
        </w:rPr>
        <w:t>ou plutôt du Nouveau Testament tout entier</w:t>
      </w:r>
      <w:r w:rsidR="00E65435">
        <w:rPr>
          <w:rFonts w:eastAsia="Arial Unicode MS"/>
          <w:bCs/>
          <w:lang w:eastAsia="fr-FR" w:bidi="he-IL"/>
        </w:rPr>
        <w:t xml:space="preserve">, </w:t>
      </w:r>
      <w:r w:rsidR="00B704AD" w:rsidRPr="00C8701B">
        <w:rPr>
          <w:rFonts w:eastAsia="Arial Unicode MS"/>
          <w:bCs/>
          <w:lang w:eastAsia="fr-FR" w:bidi="he-IL"/>
        </w:rPr>
        <w:t>d</w:t>
      </w:r>
      <w:r w:rsidR="00557DE0">
        <w:rPr>
          <w:rFonts w:eastAsia="Arial Unicode MS"/>
          <w:bCs/>
          <w:lang w:eastAsia="fr-FR" w:bidi="he-IL"/>
        </w:rPr>
        <w:t>’</w:t>
      </w:r>
      <w:r w:rsidR="00B704AD" w:rsidRPr="00C8701B">
        <w:rPr>
          <w:rFonts w:eastAsia="Arial Unicode MS"/>
          <w:bCs/>
          <w:lang w:eastAsia="fr-FR" w:bidi="he-IL"/>
        </w:rPr>
        <w:t>après de</w:t>
      </w:r>
      <w:r w:rsidR="0077300D">
        <w:rPr>
          <w:rFonts w:eastAsia="Arial Unicode MS"/>
          <w:bCs/>
          <w:lang w:eastAsia="fr-FR" w:bidi="he-IL"/>
        </w:rPr>
        <w:t>s principes plus sûrs et plus « </w:t>
      </w:r>
      <w:r w:rsidR="00B704AD" w:rsidRPr="00C8701B">
        <w:rPr>
          <w:rFonts w:eastAsia="Arial Unicode MS"/>
          <w:bCs/>
          <w:lang w:eastAsia="fr-FR" w:bidi="he-IL"/>
        </w:rPr>
        <w:t>critiques</w:t>
      </w:r>
      <w:r w:rsidR="0077300D">
        <w:rPr>
          <w:rFonts w:eastAsia="Arial Unicode MS"/>
          <w:bCs/>
          <w:lang w:eastAsia="fr-FR" w:bidi="he-IL"/>
        </w:rPr>
        <w:t> »</w:t>
      </w:r>
      <w:r w:rsidR="00B704AD" w:rsidRPr="00C8701B">
        <w:rPr>
          <w:rFonts w:eastAsia="Arial Unicode MS"/>
          <w:bCs/>
          <w:lang w:eastAsia="fr-FR" w:bidi="he-IL"/>
        </w:rPr>
        <w:t xml:space="preserve"> que ceux qui ont guidé souvent les auteurs protestants</w:t>
      </w:r>
      <w:r w:rsidR="00933C60" w:rsidRPr="00C406FF">
        <w:rPr>
          <w:rStyle w:val="Appelnotedebasdep"/>
        </w:rPr>
        <w:footnoteReference w:id="417"/>
      </w:r>
      <w:r w:rsidR="00B704AD"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7° Terminons par un ou deux exemples</w:t>
      </w:r>
      <w:r w:rsidR="00E65435">
        <w:rPr>
          <w:rFonts w:eastAsia="Arial Unicode MS"/>
          <w:bCs/>
          <w:lang w:eastAsia="fr-FR" w:bidi="he-IL"/>
        </w:rPr>
        <w:t xml:space="preserve">, </w:t>
      </w:r>
      <w:r w:rsidRPr="00C8701B">
        <w:rPr>
          <w:rFonts w:eastAsia="Arial Unicode MS"/>
          <w:bCs/>
          <w:lang w:eastAsia="fr-FR" w:bidi="he-IL"/>
        </w:rPr>
        <w:t>pour montrer la manière dont nous procédions pour former notre jugement</w:t>
      </w:r>
      <w:r w:rsidR="00E65435">
        <w:rPr>
          <w:rFonts w:eastAsia="Arial Unicode MS"/>
          <w:bCs/>
          <w:lang w:eastAsia="fr-FR" w:bidi="he-IL"/>
        </w:rPr>
        <w:t xml:space="preserve">, </w:t>
      </w:r>
      <w:r w:rsidRPr="00C8701B">
        <w:rPr>
          <w:rFonts w:eastAsia="Arial Unicode MS"/>
          <w:bCs/>
          <w:lang w:eastAsia="fr-FR" w:bidi="he-IL"/>
        </w:rPr>
        <w:t>au moyen de ces éléments si variés.</w:t>
      </w:r>
      <w:r w:rsidR="00C2602D" w:rsidRPr="00C8701B">
        <w:rPr>
          <w:rFonts w:eastAsia="Arial Unicode MS"/>
          <w:bCs/>
          <w:lang w:eastAsia="fr-FR" w:bidi="he-IL"/>
        </w:rPr>
        <w:t xml:space="preserve"> </w:t>
      </w:r>
    </w:p>
    <w:p w:rsidR="00C2602D" w:rsidRDefault="0077300D" w:rsidP="00D432D6">
      <w:pPr>
        <w:rPr>
          <w:rFonts w:eastAsia="Arial Unicode MS"/>
          <w:bCs/>
          <w:lang w:eastAsia="fr-FR" w:bidi="he-IL"/>
        </w:rPr>
      </w:pPr>
      <w:r>
        <w:rPr>
          <w:rFonts w:eastAsia="Arial Unicode MS"/>
          <w:bCs/>
          <w:lang w:eastAsia="fr-FR" w:bidi="he-IL"/>
        </w:rPr>
        <w:t>α</w:t>
      </w:r>
      <w:r w:rsidR="00B704AD" w:rsidRPr="00C8701B">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00B704AD" w:rsidRPr="00C8701B">
        <w:rPr>
          <w:rFonts w:eastAsia="Arial Unicode MS"/>
          <w:bCs/>
          <w:lang w:eastAsia="fr-FR" w:bidi="he-IL"/>
        </w:rPr>
        <w:t>Dans le cantique des anges</w:t>
      </w:r>
      <w:r w:rsidR="00E65435">
        <w:rPr>
          <w:rFonts w:eastAsia="Arial Unicode MS"/>
          <w:bCs/>
          <w:lang w:eastAsia="fr-FR" w:bidi="he-IL"/>
        </w:rPr>
        <w:t xml:space="preserve">, </w:t>
      </w:r>
      <w:r w:rsidR="003A07A7">
        <w:rPr>
          <w:rFonts w:eastAsia="Arial Unicode MS"/>
          <w:bCs/>
          <w:lang w:eastAsia="fr-FR" w:bidi="he-IL"/>
        </w:rPr>
        <w:t>Luc. II,</w:t>
      </w:r>
      <w:r w:rsidR="00E65435">
        <w:rPr>
          <w:rFonts w:eastAsia="Arial Unicode MS"/>
          <w:bCs/>
          <w:lang w:eastAsia="fr-FR" w:bidi="he-IL"/>
        </w:rPr>
        <w:t xml:space="preserve"> </w:t>
      </w:r>
      <w:r w:rsidR="00B704AD" w:rsidRPr="00C8701B">
        <w:rPr>
          <w:rFonts w:eastAsia="Arial Unicode MS"/>
          <w:bCs/>
          <w:lang w:eastAsia="fr-FR" w:bidi="he-IL"/>
        </w:rPr>
        <w:t>14</w:t>
      </w:r>
      <w:r w:rsidR="00D432D6">
        <w:rPr>
          <w:rStyle w:val="Appelnotedebasdep"/>
          <w:rFonts w:eastAsia="Arial Unicode MS"/>
          <w:bCs/>
          <w:lang w:eastAsia="fr-FR" w:bidi="he-IL"/>
        </w:rPr>
        <w:footnoteReference w:id="418"/>
      </w:r>
      <w:r w:rsidR="00D432D6">
        <w:rPr>
          <w:rFonts w:eastAsia="Arial Unicode MS"/>
          <w:bCs/>
          <w:lang w:eastAsia="fr-FR" w:bidi="he-IL"/>
        </w:rPr>
        <w:t xml:space="preserve">, </w:t>
      </w:r>
      <w:r w:rsidR="00B704AD" w:rsidRPr="00C8701B">
        <w:rPr>
          <w:rFonts w:eastAsia="Arial Unicode MS"/>
          <w:bCs/>
          <w:lang w:eastAsia="fr-FR" w:bidi="he-IL"/>
        </w:rPr>
        <w:t xml:space="preserve">faut-il lire </w:t>
      </w:r>
      <w:r>
        <w:rPr>
          <w:rFonts w:eastAsia="Arial Unicode MS"/>
          <w:bCs/>
          <w:lang w:eastAsia="fr-FR" w:bidi="he-IL"/>
        </w:rPr>
        <w:t>ἐν</w:t>
      </w:r>
      <w:r w:rsidR="00B704AD" w:rsidRPr="00C8701B">
        <w:rPr>
          <w:rFonts w:eastAsia="Arial Unicode MS"/>
          <w:bCs/>
          <w:lang w:eastAsia="fr-FR" w:bidi="he-IL"/>
        </w:rPr>
        <w:t xml:space="preserve"> </w:t>
      </w:r>
      <w:r w:rsidR="00A25B88">
        <w:rPr>
          <w:rFonts w:eastAsia="Arial Unicode MS"/>
          <w:bCs/>
          <w:lang w:val="el-GR" w:eastAsia="fr-FR" w:bidi="he-IL"/>
        </w:rPr>
        <w:t>ἀ</w:t>
      </w:r>
      <w:r w:rsidR="00D23136" w:rsidRPr="00C8701B">
        <w:rPr>
          <w:rFonts w:eastAsia="Arial Unicode MS"/>
          <w:bCs/>
          <w:lang w:val="el-GR" w:eastAsia="fr-FR" w:bidi="he-IL"/>
        </w:rPr>
        <w:t>ν</w:t>
      </w:r>
      <w:r w:rsidR="00D23136">
        <w:rPr>
          <w:rFonts w:eastAsia="Arial Unicode MS"/>
          <w:bCs/>
          <w:lang w:val="el-GR" w:eastAsia="fr-FR" w:bidi="he-IL"/>
        </w:rPr>
        <w:t>θ</w:t>
      </w:r>
      <w:r w:rsidR="00D23136" w:rsidRPr="00C8701B">
        <w:rPr>
          <w:rFonts w:eastAsia="Arial Unicode MS"/>
          <w:bCs/>
          <w:lang w:val="el-GR" w:eastAsia="fr-FR" w:bidi="he-IL"/>
        </w:rPr>
        <w:t>ρ</w:t>
      </w:r>
      <w:r w:rsidR="00736374">
        <w:rPr>
          <w:rFonts w:eastAsia="Arial Unicode MS"/>
          <w:bCs/>
          <w:lang w:val="el-GR" w:eastAsia="fr-FR" w:bidi="he-IL"/>
        </w:rPr>
        <w:t>ώ</w:t>
      </w:r>
      <w:r>
        <w:rPr>
          <w:rFonts w:eastAsia="Arial Unicode MS"/>
          <w:bCs/>
          <w:lang w:val="el-GR" w:eastAsia="fr-FR" w:bidi="he-IL"/>
        </w:rPr>
        <w:t>ποις ε</w:t>
      </w:r>
      <w:r>
        <w:rPr>
          <w:rFonts w:eastAsia="Arial Unicode MS"/>
          <w:bCs/>
          <w:lang w:eastAsia="fr-FR" w:bidi="he-IL"/>
        </w:rPr>
        <w:t>ὐ</w:t>
      </w:r>
      <w:r w:rsidR="00B704AD" w:rsidRPr="00C8701B">
        <w:rPr>
          <w:rFonts w:eastAsia="Arial Unicode MS"/>
          <w:bCs/>
          <w:lang w:val="el-GR" w:eastAsia="fr-FR" w:bidi="he-IL"/>
        </w:rPr>
        <w:t>δοκ</w:t>
      </w:r>
      <w:r w:rsidR="00DB352C">
        <w:rPr>
          <w:rFonts w:eastAsia="Arial Unicode MS"/>
          <w:bCs/>
          <w:lang w:val="el-GR" w:eastAsia="fr-FR" w:bidi="he-IL"/>
        </w:rPr>
        <w:t>ί</w:t>
      </w:r>
      <w:r w:rsidR="00A74F01">
        <w:rPr>
          <w:rFonts w:eastAsia="Arial Unicode MS"/>
          <w:bCs/>
          <w:lang w:val="el-GR" w:eastAsia="fr-FR" w:bidi="he-IL"/>
        </w:rPr>
        <w:t>α</w:t>
      </w:r>
      <w:r w:rsidR="00B704AD" w:rsidRPr="00C8701B">
        <w:rPr>
          <w:rFonts w:eastAsia="Arial Unicode MS"/>
          <w:bCs/>
          <w:lang w:val="el-GR" w:eastAsia="fr-FR" w:bidi="he-IL"/>
        </w:rPr>
        <w:t>ς</w:t>
      </w:r>
      <w:r w:rsidR="00E65435">
        <w:rPr>
          <w:rFonts w:eastAsia="Arial Unicode MS"/>
          <w:bCs/>
          <w:lang w:val="el-GR" w:eastAsia="fr-FR" w:bidi="he-IL"/>
        </w:rPr>
        <w:t xml:space="preserve">, </w:t>
      </w:r>
      <w:r w:rsidR="002210BB">
        <w:rPr>
          <w:rStyle w:val="italicus"/>
        </w:rPr>
        <w:t>homínibu</w:t>
      </w:r>
      <w:r w:rsidR="002210BB" w:rsidRPr="00DC4586">
        <w:rPr>
          <w:rStyle w:val="italicus"/>
        </w:rPr>
        <w:t>s</w:t>
      </w:r>
      <w:r w:rsidR="00B704AD" w:rsidRPr="00DC4586">
        <w:rPr>
          <w:rStyle w:val="italicus"/>
        </w:rPr>
        <w:t xml:space="preserve"> bon</w:t>
      </w:r>
      <w:r w:rsidR="0037178C">
        <w:rPr>
          <w:rStyle w:val="italicus"/>
        </w:rPr>
        <w:t>æ</w:t>
      </w:r>
      <w:r w:rsidR="00B704AD" w:rsidRPr="00DC4586">
        <w:rPr>
          <w:rStyle w:val="italicus"/>
        </w:rPr>
        <w:t xml:space="preserve"> </w:t>
      </w:r>
      <w:r w:rsidR="002210BB" w:rsidRPr="00DC4586">
        <w:rPr>
          <w:rStyle w:val="italicus"/>
        </w:rPr>
        <w:t>voluntátis</w:t>
      </w:r>
      <w:r w:rsidR="00B704AD" w:rsidRPr="00C8701B">
        <w:rPr>
          <w:rFonts w:eastAsia="Arial Unicode MS"/>
          <w:bCs/>
          <w:lang w:eastAsia="fr-FR" w:bidi="he-IL"/>
        </w:rPr>
        <w:t xml:space="preserve"> (Vulg.) ou </w:t>
      </w:r>
      <w:r>
        <w:rPr>
          <w:rFonts w:eastAsia="Arial Unicode MS"/>
          <w:bCs/>
          <w:lang w:eastAsia="fr-FR" w:bidi="he-IL"/>
        </w:rPr>
        <w:t>ἐν</w:t>
      </w:r>
      <w:r w:rsidR="00B704AD" w:rsidRPr="00C8701B">
        <w:rPr>
          <w:rFonts w:eastAsia="Arial Unicode MS"/>
          <w:bCs/>
          <w:lang w:eastAsia="fr-FR" w:bidi="he-IL"/>
        </w:rPr>
        <w:t xml:space="preserve"> </w:t>
      </w:r>
      <w:r w:rsidR="00A25B88">
        <w:rPr>
          <w:rFonts w:eastAsia="Arial Unicode MS"/>
          <w:bCs/>
          <w:lang w:val="el-GR" w:eastAsia="fr-FR" w:bidi="he-IL"/>
        </w:rPr>
        <w:t>ἀ</w:t>
      </w:r>
      <w:r w:rsidR="00B704AD" w:rsidRPr="00C8701B">
        <w:rPr>
          <w:rFonts w:eastAsia="Arial Unicode MS"/>
          <w:bCs/>
          <w:lang w:val="el-GR" w:eastAsia="fr-FR" w:bidi="he-IL"/>
        </w:rPr>
        <w:t>νθρ</w:t>
      </w:r>
      <w:r w:rsidR="00736374">
        <w:rPr>
          <w:rFonts w:eastAsia="Arial Unicode MS"/>
          <w:bCs/>
          <w:lang w:val="el-GR" w:eastAsia="fr-FR" w:bidi="he-IL"/>
        </w:rPr>
        <w:t>ώ</w:t>
      </w:r>
      <w:r w:rsidR="00B704AD" w:rsidRPr="00C8701B">
        <w:rPr>
          <w:rFonts w:eastAsia="Arial Unicode MS"/>
          <w:bCs/>
          <w:lang w:val="el-GR" w:eastAsia="fr-FR" w:bidi="he-IL"/>
        </w:rPr>
        <w:t>ποις ε</w:t>
      </w:r>
      <w:r w:rsidR="002210BB">
        <w:rPr>
          <w:rFonts w:eastAsia="Arial Unicode MS"/>
          <w:bCs/>
          <w:lang w:eastAsia="fr-FR" w:bidi="he-IL"/>
        </w:rPr>
        <w:t>ὐ</w:t>
      </w:r>
      <w:r w:rsidR="00B704AD" w:rsidRPr="00C8701B">
        <w:rPr>
          <w:rFonts w:eastAsia="Arial Unicode MS"/>
          <w:bCs/>
          <w:lang w:val="el-GR" w:eastAsia="fr-FR" w:bidi="he-IL"/>
        </w:rPr>
        <w:t>δοκ</w:t>
      </w:r>
      <w:r w:rsidR="00DB352C">
        <w:rPr>
          <w:rFonts w:eastAsia="Arial Unicode MS"/>
          <w:bCs/>
          <w:lang w:val="el-GR" w:eastAsia="fr-FR" w:bidi="he-IL"/>
        </w:rPr>
        <w:t>ί</w:t>
      </w:r>
      <w:r w:rsidR="00A74F01">
        <w:rPr>
          <w:rFonts w:eastAsia="Arial Unicode MS"/>
          <w:bCs/>
          <w:lang w:val="el-GR" w:eastAsia="fr-FR" w:bidi="he-IL"/>
        </w:rPr>
        <w:t>α</w:t>
      </w:r>
      <w:r w:rsidR="00E65435">
        <w:rPr>
          <w:rFonts w:eastAsia="Arial Unicode MS"/>
          <w:bCs/>
          <w:lang w:val="el-GR" w:eastAsia="fr-FR" w:bidi="he-IL"/>
        </w:rPr>
        <w:t>,</w:t>
      </w:r>
      <w:r w:rsidR="00E37C84">
        <w:rPr>
          <w:rFonts w:eastAsia="Arial Unicode MS"/>
          <w:bCs/>
          <w:lang w:val="el-GR" w:eastAsia="fr-FR" w:bidi="he-IL"/>
        </w:rPr>
        <w:t xml:space="preserve"> « </w:t>
      </w:r>
      <w:r w:rsidR="00B704AD" w:rsidRPr="00C8701B">
        <w:rPr>
          <w:rFonts w:eastAsia="Arial Unicode MS"/>
          <w:bCs/>
          <w:lang w:eastAsia="fr-FR" w:bidi="he-IL"/>
        </w:rPr>
        <w:t>hom</w:t>
      </w:r>
      <w:r w:rsidR="00356A5E">
        <w:rPr>
          <w:rFonts w:eastAsia="Arial Unicode MS"/>
          <w:bCs/>
          <w:lang w:eastAsia="fr-FR" w:bidi="he-IL"/>
        </w:rPr>
        <w:t>í</w:t>
      </w:r>
      <w:r w:rsidR="00356A5E" w:rsidRPr="00C8701B">
        <w:rPr>
          <w:rFonts w:eastAsia="Arial Unicode MS"/>
          <w:bCs/>
          <w:lang w:eastAsia="fr-FR" w:bidi="he-IL"/>
        </w:rPr>
        <w:t>nibus</w:t>
      </w:r>
      <w:r w:rsidR="00B704AD" w:rsidRPr="00C8701B">
        <w:rPr>
          <w:rFonts w:eastAsia="Arial Unicode MS"/>
          <w:bCs/>
          <w:lang w:eastAsia="fr-FR" w:bidi="he-IL"/>
        </w:rPr>
        <w:t xml:space="preserve"> bona </w:t>
      </w:r>
      <w:r w:rsidR="00E939E7" w:rsidRPr="00C8701B">
        <w:rPr>
          <w:rFonts w:eastAsia="Arial Unicode MS"/>
          <w:bCs/>
          <w:lang w:eastAsia="fr-FR" w:bidi="he-IL"/>
        </w:rPr>
        <w:t>vol</w:t>
      </w:r>
      <w:r w:rsidR="00E939E7">
        <w:rPr>
          <w:rFonts w:eastAsia="Arial Unicode MS"/>
          <w:bCs/>
          <w:lang w:eastAsia="fr-FR" w:bidi="he-IL"/>
        </w:rPr>
        <w:t>ú</w:t>
      </w:r>
      <w:r w:rsidR="00E939E7" w:rsidRPr="00C8701B">
        <w:rPr>
          <w:rFonts w:eastAsia="Arial Unicode MS"/>
          <w:bCs/>
          <w:lang w:eastAsia="fr-FR" w:bidi="he-IL"/>
        </w:rPr>
        <w:t>ntas</w:t>
      </w:r>
      <w:r w:rsidR="00C2602D" w:rsidRPr="00C8701B">
        <w:rPr>
          <w:rFonts w:eastAsia="Arial Unicode MS"/>
          <w:bCs/>
          <w:lang w:eastAsia="fr-FR" w:bidi="he-IL"/>
        </w:rPr>
        <w:t> » ?</w:t>
      </w:r>
      <w:r w:rsidR="000F7DAA">
        <w:rPr>
          <w:rFonts w:eastAsia="Arial Unicode MS"/>
          <w:bCs/>
          <w:lang w:eastAsia="fr-FR" w:bidi="he-IL"/>
        </w:rPr>
        <w:t xml:space="preserve"> —</w:t>
      </w:r>
      <w:r w:rsidR="008D0642">
        <w:rPr>
          <w:rFonts w:eastAsia="Arial Unicode MS"/>
          <w:bCs/>
          <w:lang w:eastAsia="fr-FR" w:bidi="he-IL"/>
        </w:rPr>
        <w:t xml:space="preserve"> </w:t>
      </w:r>
      <w:r w:rsidR="00B704AD" w:rsidRPr="00C8701B">
        <w:rPr>
          <w:rFonts w:eastAsia="Arial Unicode MS"/>
          <w:bCs/>
          <w:lang w:eastAsia="fr-FR" w:bidi="he-IL"/>
        </w:rPr>
        <w:t>La première leçon a pour elle l</w:t>
      </w:r>
      <w:r w:rsidR="00557DE0">
        <w:rPr>
          <w:rFonts w:eastAsia="Arial Unicode MS"/>
          <w:bCs/>
          <w:lang w:eastAsia="fr-FR" w:bidi="he-IL"/>
        </w:rPr>
        <w:t>’</w:t>
      </w:r>
      <w:r w:rsidR="00B704AD" w:rsidRPr="00C8701B">
        <w:rPr>
          <w:rFonts w:eastAsia="Arial Unicode MS"/>
          <w:bCs/>
          <w:lang w:eastAsia="fr-FR" w:bidi="he-IL"/>
        </w:rPr>
        <w:t>appui des manuscrits ancien</w:t>
      </w:r>
      <w:r w:rsidR="002210BB">
        <w:rPr>
          <w:rFonts w:eastAsia="Arial Unicode MS"/>
          <w:bCs/>
          <w:lang w:eastAsia="fr-FR" w:bidi="he-IL"/>
        </w:rPr>
        <w:t xml:space="preserve">s </w:t>
      </w:r>
      <w:r w:rsidR="002210BB" w:rsidRPr="00C8701B">
        <w:rPr>
          <w:rFonts w:eastAsia="Arial Unicode MS"/>
          <w:bCs/>
          <w:rtl/>
          <w:lang w:eastAsia="fr-FR" w:bidi="he-IL"/>
        </w:rPr>
        <w:t>א</w:t>
      </w:r>
      <w:r w:rsidR="002210BB">
        <w:rPr>
          <w:rFonts w:eastAsia="Arial Unicode MS"/>
          <w:bCs/>
          <w:lang w:eastAsia="fr-FR" w:bidi="he-IL"/>
        </w:rPr>
        <w:t>, A</w:t>
      </w:r>
      <w:r w:rsidR="00E65435">
        <w:rPr>
          <w:rFonts w:eastAsia="Arial Unicode MS"/>
          <w:bCs/>
          <w:lang w:eastAsia="fr-FR" w:bidi="he-IL"/>
        </w:rPr>
        <w:t xml:space="preserve">, </w:t>
      </w:r>
      <w:r w:rsidR="00B704AD" w:rsidRPr="00C8701B">
        <w:rPr>
          <w:rFonts w:eastAsia="Arial Unicode MS"/>
          <w:bCs/>
          <w:lang w:eastAsia="fr-FR" w:bidi="he-IL"/>
        </w:rPr>
        <w:t>B</w:t>
      </w:r>
      <w:r w:rsidR="00E65435">
        <w:rPr>
          <w:rFonts w:eastAsia="Arial Unicode MS"/>
          <w:bCs/>
          <w:lang w:eastAsia="fr-FR" w:bidi="he-IL"/>
        </w:rPr>
        <w:t xml:space="preserve">, </w:t>
      </w:r>
      <w:r w:rsidR="00B704AD" w:rsidRPr="00C8701B">
        <w:rPr>
          <w:rFonts w:eastAsia="Arial Unicode MS"/>
          <w:bCs/>
          <w:lang w:eastAsia="fr-FR" w:bidi="he-IL"/>
        </w:rPr>
        <w:t>D</w:t>
      </w:r>
      <w:r w:rsidR="00E65435">
        <w:rPr>
          <w:rFonts w:eastAsia="Arial Unicode MS"/>
          <w:bCs/>
          <w:lang w:eastAsia="fr-FR" w:bidi="he-IL"/>
        </w:rPr>
        <w:t xml:space="preserve">, </w:t>
      </w:r>
      <w:r w:rsidR="00B704AD" w:rsidRPr="00C8701B">
        <w:rPr>
          <w:rFonts w:eastAsia="Arial Unicode MS"/>
          <w:bCs/>
          <w:lang w:eastAsia="fr-FR" w:bidi="he-IL"/>
        </w:rPr>
        <w:t>de l</w:t>
      </w:r>
      <w:r w:rsidR="00557DE0">
        <w:rPr>
          <w:rFonts w:eastAsia="Arial Unicode MS"/>
          <w:bCs/>
          <w:lang w:eastAsia="fr-FR" w:bidi="he-IL"/>
        </w:rPr>
        <w:t>’</w:t>
      </w:r>
      <w:r w:rsidR="00B704AD" w:rsidRPr="00C8701B">
        <w:rPr>
          <w:rFonts w:eastAsia="Arial Unicode MS"/>
          <w:bCs/>
          <w:lang w:eastAsia="fr-FR" w:bidi="he-IL"/>
        </w:rPr>
        <w:t>Itala</w:t>
      </w:r>
      <w:r w:rsidR="00E65435">
        <w:rPr>
          <w:rFonts w:eastAsia="Arial Unicode MS"/>
          <w:bCs/>
          <w:lang w:eastAsia="fr-FR" w:bidi="he-IL"/>
        </w:rPr>
        <w:t xml:space="preserve">, </w:t>
      </w:r>
      <w:r w:rsidR="002210BB">
        <w:rPr>
          <w:rFonts w:eastAsia="Arial Unicode MS"/>
          <w:bCs/>
          <w:lang w:eastAsia="fr-FR" w:bidi="he-IL"/>
        </w:rPr>
        <w:t>de la V</w:t>
      </w:r>
      <w:r w:rsidR="00B704AD" w:rsidRPr="00C8701B">
        <w:rPr>
          <w:rFonts w:eastAsia="Arial Unicode MS"/>
          <w:bCs/>
          <w:lang w:eastAsia="fr-FR" w:bidi="he-IL"/>
        </w:rPr>
        <w:t>ulgate</w:t>
      </w:r>
      <w:r w:rsidR="00E65435">
        <w:rPr>
          <w:rFonts w:eastAsia="Arial Unicode MS"/>
          <w:bCs/>
          <w:lang w:eastAsia="fr-FR" w:bidi="he-IL"/>
        </w:rPr>
        <w:t xml:space="preserve">, </w:t>
      </w:r>
      <w:r w:rsidR="00B704AD" w:rsidRPr="00C8701B">
        <w:rPr>
          <w:rFonts w:eastAsia="Arial Unicode MS"/>
          <w:bCs/>
          <w:lang w:eastAsia="fr-FR" w:bidi="he-IL"/>
        </w:rPr>
        <w:t>de la version gothique</w:t>
      </w:r>
      <w:r w:rsidR="00E65435">
        <w:rPr>
          <w:rFonts w:eastAsia="Arial Unicode MS"/>
          <w:bCs/>
          <w:lang w:eastAsia="fr-FR" w:bidi="he-IL"/>
        </w:rPr>
        <w:t xml:space="preserve">, </w:t>
      </w:r>
      <w:r w:rsidR="00B704AD" w:rsidRPr="00C8701B">
        <w:rPr>
          <w:rFonts w:eastAsia="Arial Unicode MS"/>
          <w:bCs/>
          <w:lang w:eastAsia="fr-FR" w:bidi="he-IL"/>
        </w:rPr>
        <w:t>de plusieurs Pères (surtout parmi les latins). La seconde est favorisée par tous les autres manuscrits minuscules (E</w:t>
      </w:r>
      <w:r w:rsidR="00E65435">
        <w:rPr>
          <w:rFonts w:eastAsia="Arial Unicode MS"/>
          <w:bCs/>
          <w:lang w:eastAsia="fr-FR" w:bidi="he-IL"/>
        </w:rPr>
        <w:t xml:space="preserve">, </w:t>
      </w:r>
      <w:r w:rsidR="00B704AD" w:rsidRPr="00C8701B">
        <w:rPr>
          <w:rFonts w:eastAsia="Arial Unicode MS"/>
          <w:bCs/>
          <w:lang w:eastAsia="fr-FR" w:bidi="he-IL"/>
        </w:rPr>
        <w:t>G</w:t>
      </w:r>
      <w:r w:rsidR="00E65435">
        <w:rPr>
          <w:rFonts w:eastAsia="Arial Unicode MS"/>
          <w:bCs/>
          <w:lang w:eastAsia="fr-FR" w:bidi="he-IL"/>
        </w:rPr>
        <w:t xml:space="preserve">, </w:t>
      </w:r>
      <w:r w:rsidR="002210BB">
        <w:rPr>
          <w:rFonts w:eastAsia="Arial Unicode MS"/>
          <w:bCs/>
          <w:lang w:eastAsia="fr-FR" w:bidi="he-IL"/>
        </w:rPr>
        <w:t>H</w:t>
      </w:r>
      <w:r w:rsidR="00E65435">
        <w:rPr>
          <w:rFonts w:eastAsia="Arial Unicode MS"/>
          <w:bCs/>
          <w:lang w:eastAsia="fr-FR" w:bidi="he-IL"/>
        </w:rPr>
        <w:t xml:space="preserve">, </w:t>
      </w:r>
      <w:r w:rsidR="00B704AD" w:rsidRPr="00C8701B">
        <w:rPr>
          <w:rFonts w:eastAsia="Arial Unicode MS"/>
          <w:bCs/>
          <w:lang w:eastAsia="fr-FR" w:bidi="he-IL"/>
        </w:rPr>
        <w:t>K</w:t>
      </w:r>
      <w:r w:rsidR="00E65435">
        <w:rPr>
          <w:rFonts w:eastAsia="Arial Unicode MS"/>
          <w:bCs/>
          <w:lang w:eastAsia="fr-FR" w:bidi="he-IL"/>
        </w:rPr>
        <w:t xml:space="preserve">, </w:t>
      </w:r>
      <w:r w:rsidR="00B704AD" w:rsidRPr="00C8701B">
        <w:rPr>
          <w:rFonts w:eastAsia="Arial Unicode MS"/>
          <w:bCs/>
          <w:lang w:eastAsia="fr-FR" w:bidi="he-IL"/>
        </w:rPr>
        <w:t>L</w:t>
      </w:r>
      <w:r w:rsidR="00E65435">
        <w:rPr>
          <w:rFonts w:eastAsia="Arial Unicode MS"/>
          <w:bCs/>
          <w:lang w:eastAsia="fr-FR" w:bidi="he-IL"/>
        </w:rPr>
        <w:t xml:space="preserve">, </w:t>
      </w:r>
      <w:r w:rsidR="002210BB">
        <w:rPr>
          <w:rFonts w:eastAsia="Arial Unicode MS"/>
          <w:bCs/>
          <w:lang w:eastAsia="fr-FR" w:bidi="he-IL"/>
        </w:rPr>
        <w:t>M</w:t>
      </w:r>
      <w:r w:rsidR="00E65435">
        <w:rPr>
          <w:rFonts w:eastAsia="Arial Unicode MS"/>
          <w:bCs/>
          <w:lang w:eastAsia="fr-FR" w:bidi="he-IL"/>
        </w:rPr>
        <w:t xml:space="preserve">, </w:t>
      </w:r>
      <w:r w:rsidR="00B704AD" w:rsidRPr="00C8701B">
        <w:rPr>
          <w:rFonts w:eastAsia="Arial Unicode MS"/>
          <w:bCs/>
          <w:lang w:eastAsia="fr-FR" w:bidi="he-IL"/>
        </w:rPr>
        <w:t>P</w:t>
      </w:r>
      <w:r w:rsidR="00E65435">
        <w:rPr>
          <w:rFonts w:eastAsia="Arial Unicode MS"/>
          <w:bCs/>
          <w:lang w:eastAsia="fr-FR" w:bidi="he-IL"/>
        </w:rPr>
        <w:t xml:space="preserve">, </w:t>
      </w:r>
      <w:r w:rsidR="00B704AD" w:rsidRPr="00C8701B">
        <w:rPr>
          <w:rFonts w:eastAsia="Arial Unicode MS"/>
          <w:bCs/>
          <w:lang w:eastAsia="fr-FR" w:bidi="he-IL"/>
        </w:rPr>
        <w:t>S</w:t>
      </w:r>
      <w:r w:rsidR="00E65435">
        <w:rPr>
          <w:rFonts w:eastAsia="Arial Unicode MS"/>
          <w:bCs/>
          <w:lang w:eastAsia="fr-FR" w:bidi="he-IL"/>
        </w:rPr>
        <w:t xml:space="preserve">, </w:t>
      </w:r>
      <w:r w:rsidR="00B704AD" w:rsidRPr="00C8701B">
        <w:rPr>
          <w:rFonts w:eastAsia="Arial Unicode MS"/>
          <w:bCs/>
          <w:lang w:eastAsia="fr-FR" w:bidi="he-IL"/>
        </w:rPr>
        <w:t>U</w:t>
      </w:r>
      <w:r w:rsidR="00E65435">
        <w:rPr>
          <w:rFonts w:eastAsia="Arial Unicode MS"/>
          <w:bCs/>
          <w:lang w:eastAsia="fr-FR" w:bidi="he-IL"/>
        </w:rPr>
        <w:t xml:space="preserve">, </w:t>
      </w:r>
      <w:r w:rsidR="002210BB">
        <w:rPr>
          <w:rFonts w:eastAsia="Arial Unicode MS"/>
          <w:bCs/>
          <w:lang w:eastAsia="fr-FR" w:bidi="he-IL"/>
        </w:rPr>
        <w:t>V</w:t>
      </w:r>
      <w:r w:rsidR="00E65435">
        <w:rPr>
          <w:rFonts w:eastAsia="Arial Unicode MS"/>
          <w:bCs/>
          <w:lang w:eastAsia="fr-FR" w:bidi="he-IL"/>
        </w:rPr>
        <w:t xml:space="preserve">, </w:t>
      </w:r>
      <w:r w:rsidR="00B704AD" w:rsidRPr="00C8701B">
        <w:rPr>
          <w:rFonts w:eastAsia="Arial Unicode MS"/>
          <w:bCs/>
          <w:lang w:eastAsia="fr-FR" w:bidi="he-IL"/>
        </w:rPr>
        <w:t>L</w:t>
      </w:r>
      <w:r w:rsidR="00E65435">
        <w:rPr>
          <w:rFonts w:eastAsia="Arial Unicode MS"/>
          <w:bCs/>
          <w:lang w:eastAsia="fr-FR" w:bidi="he-IL"/>
        </w:rPr>
        <w:t xml:space="preserve">, </w:t>
      </w:r>
      <w:r w:rsidR="00B704AD" w:rsidRPr="00C8701B">
        <w:rPr>
          <w:rFonts w:eastAsia="Arial Unicode MS"/>
          <w:bCs/>
          <w:lang w:val="el-GR" w:eastAsia="fr-FR" w:bidi="he-IL"/>
        </w:rPr>
        <w:t>Δ</w:t>
      </w:r>
      <w:r w:rsidR="00E65435">
        <w:rPr>
          <w:rFonts w:eastAsia="Arial Unicode MS"/>
          <w:bCs/>
          <w:lang w:val="el-GR" w:eastAsia="fr-FR" w:bidi="he-IL"/>
        </w:rPr>
        <w:t xml:space="preserve">, </w:t>
      </w:r>
      <w:r w:rsidR="00B704AD" w:rsidRPr="00C8701B">
        <w:rPr>
          <w:rFonts w:eastAsia="Arial Unicode MS"/>
          <w:bCs/>
          <w:lang w:val="el-GR" w:eastAsia="fr-FR" w:bidi="he-IL"/>
        </w:rPr>
        <w:t>Λ</w:t>
      </w:r>
      <w:r w:rsidR="00E65435">
        <w:rPr>
          <w:rFonts w:eastAsia="Arial Unicode MS"/>
          <w:bCs/>
          <w:lang w:val="el-GR" w:eastAsia="fr-FR" w:bidi="he-IL"/>
        </w:rPr>
        <w:t xml:space="preserve">, </w:t>
      </w:r>
      <w:r w:rsidR="00B704AD" w:rsidRPr="00C8701B">
        <w:rPr>
          <w:rFonts w:eastAsia="Arial Unicode MS"/>
          <w:bCs/>
          <w:lang w:val="el-GR" w:eastAsia="fr-FR" w:bidi="he-IL"/>
        </w:rPr>
        <w:t>Ξ)</w:t>
      </w:r>
      <w:r w:rsidR="00E65435">
        <w:rPr>
          <w:rFonts w:eastAsia="Arial Unicode MS"/>
          <w:bCs/>
          <w:lang w:val="el-GR" w:eastAsia="fr-FR" w:bidi="he-IL"/>
        </w:rPr>
        <w:t xml:space="preserve">, </w:t>
      </w:r>
      <w:r w:rsidR="00B704AD" w:rsidRPr="00C8701B">
        <w:rPr>
          <w:rFonts w:eastAsia="Arial Unicode MS"/>
          <w:bCs/>
          <w:lang w:eastAsia="fr-FR" w:bidi="he-IL"/>
        </w:rPr>
        <w:t>l</w:t>
      </w:r>
      <w:r w:rsidR="00557DE0">
        <w:rPr>
          <w:rFonts w:eastAsia="Arial Unicode MS"/>
          <w:bCs/>
          <w:lang w:eastAsia="fr-FR" w:bidi="he-IL"/>
        </w:rPr>
        <w:t>’</w:t>
      </w:r>
      <w:r w:rsidR="00B704AD" w:rsidRPr="00C8701B">
        <w:rPr>
          <w:rFonts w:eastAsia="Arial Unicode MS"/>
          <w:bCs/>
          <w:lang w:eastAsia="fr-FR" w:bidi="he-IL"/>
        </w:rPr>
        <w:t>unanimité des minuscules</w:t>
      </w:r>
      <w:r w:rsidR="00E65435">
        <w:rPr>
          <w:rFonts w:eastAsia="Arial Unicode MS"/>
          <w:bCs/>
          <w:lang w:eastAsia="fr-FR" w:bidi="he-IL"/>
        </w:rPr>
        <w:t xml:space="preserve">, </w:t>
      </w:r>
      <w:r w:rsidR="00B704AD" w:rsidRPr="00C8701B">
        <w:rPr>
          <w:rFonts w:eastAsia="Arial Unicode MS"/>
          <w:bCs/>
          <w:lang w:eastAsia="fr-FR" w:bidi="he-IL"/>
        </w:rPr>
        <w:t>la Peschito</w:t>
      </w:r>
      <w:r w:rsidR="00E65435">
        <w:rPr>
          <w:rFonts w:eastAsia="Arial Unicode MS"/>
          <w:bCs/>
          <w:lang w:eastAsia="fr-FR" w:bidi="he-IL"/>
        </w:rPr>
        <w:t xml:space="preserve">, </w:t>
      </w:r>
      <w:r w:rsidR="00B704AD" w:rsidRPr="00C8701B">
        <w:rPr>
          <w:rFonts w:eastAsia="Arial Unicode MS"/>
          <w:bCs/>
          <w:lang w:eastAsia="fr-FR" w:bidi="he-IL"/>
        </w:rPr>
        <w:t>les deux versions égyptiennes</w:t>
      </w:r>
      <w:r w:rsidR="00E65435">
        <w:rPr>
          <w:rFonts w:eastAsia="Arial Unicode MS"/>
          <w:bCs/>
          <w:lang w:eastAsia="fr-FR" w:bidi="he-IL"/>
        </w:rPr>
        <w:t xml:space="preserve">, </w:t>
      </w:r>
      <w:r w:rsidR="00B704AD" w:rsidRPr="00C8701B">
        <w:rPr>
          <w:rFonts w:eastAsia="Arial Unicode MS"/>
          <w:bCs/>
          <w:lang w:eastAsia="fr-FR" w:bidi="he-IL"/>
        </w:rPr>
        <w:t>la plupart des Pères grecs et syriens</w:t>
      </w:r>
      <w:r w:rsidR="00E65435">
        <w:rPr>
          <w:rFonts w:eastAsia="Arial Unicode MS"/>
          <w:bCs/>
          <w:lang w:eastAsia="fr-FR" w:bidi="he-IL"/>
        </w:rPr>
        <w:t xml:space="preserve">, </w:t>
      </w:r>
      <w:r w:rsidR="00B704AD" w:rsidRPr="00C8701B">
        <w:rPr>
          <w:rFonts w:eastAsia="Arial Unicode MS"/>
          <w:bCs/>
          <w:lang w:eastAsia="fr-FR" w:bidi="he-IL"/>
        </w:rPr>
        <w:t>etc. Les suffrages extérieurs se contrebalancent</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mais la dernière leçon ajoute au cantique une répétition inutile</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elle nous paraît</w:t>
      </w:r>
      <w:r w:rsidR="00E65435">
        <w:rPr>
          <w:rFonts w:eastAsia="Arial Unicode MS"/>
          <w:bCs/>
          <w:lang w:eastAsia="fr-FR" w:bidi="he-IL"/>
        </w:rPr>
        <w:t xml:space="preserve">, </w:t>
      </w:r>
      <w:r w:rsidR="00B704AD" w:rsidRPr="00C8701B">
        <w:rPr>
          <w:rFonts w:eastAsia="Arial Unicode MS"/>
          <w:bCs/>
          <w:lang w:eastAsia="fr-FR" w:bidi="he-IL"/>
        </w:rPr>
        <w:t>en somme</w:t>
      </w:r>
      <w:r w:rsidR="00E65435">
        <w:rPr>
          <w:rFonts w:eastAsia="Arial Unicode MS"/>
          <w:bCs/>
          <w:lang w:eastAsia="fr-FR" w:bidi="he-IL"/>
        </w:rPr>
        <w:t xml:space="preserve">, </w:t>
      </w:r>
      <w:r w:rsidR="00B704AD" w:rsidRPr="00C8701B">
        <w:rPr>
          <w:rFonts w:eastAsia="Arial Unicode MS"/>
          <w:bCs/>
          <w:lang w:eastAsia="fr-FR" w:bidi="he-IL"/>
        </w:rPr>
        <w:t>moins garantie.</w:t>
      </w:r>
      <w:r w:rsidR="00C2602D" w:rsidRPr="00C8701B">
        <w:rPr>
          <w:rFonts w:eastAsia="Arial Unicode MS"/>
          <w:bCs/>
          <w:lang w:eastAsia="fr-FR" w:bidi="he-IL"/>
        </w:rPr>
        <w:t xml:space="preserve"> </w:t>
      </w:r>
    </w:p>
    <w:p w:rsidR="00C2602D" w:rsidRPr="00C8701B" w:rsidRDefault="00F36CBE" w:rsidP="00C2602D">
      <w:pPr>
        <w:rPr>
          <w:rFonts w:eastAsia="Arial Unicode MS"/>
          <w:bCs/>
          <w:lang w:eastAsia="fr-FR" w:bidi="he-IL"/>
        </w:rPr>
      </w:pPr>
      <w:r>
        <w:rPr>
          <w:rFonts w:eastAsia="Arial Unicode MS"/>
          <w:bCs/>
          <w:lang w:eastAsia="fr-FR" w:bidi="he-IL"/>
        </w:rPr>
        <w:t>β</w:t>
      </w:r>
      <w:r w:rsidR="00B704AD" w:rsidRPr="00C8701B">
        <w:rPr>
          <w:rFonts w:eastAsia="Arial Unicode MS"/>
          <w:bCs/>
          <w:lang w:val="el-GR" w:eastAsia="fr-FR" w:bidi="he-IL"/>
        </w:rPr>
        <w:t>.</w:t>
      </w:r>
      <w:r w:rsidR="000F7DAA">
        <w:rPr>
          <w:rFonts w:eastAsia="Arial Unicode MS"/>
          <w:bCs/>
          <w:lang w:val="el-GR" w:eastAsia="fr-FR" w:bidi="he-IL"/>
        </w:rPr>
        <w:t xml:space="preserve"> —</w:t>
      </w:r>
      <w:r w:rsidR="008D0642">
        <w:rPr>
          <w:rFonts w:eastAsia="Arial Unicode MS"/>
          <w:bCs/>
          <w:lang w:eastAsia="fr-FR" w:bidi="he-IL"/>
        </w:rPr>
        <w:t xml:space="preserve"> </w:t>
      </w:r>
      <w:r w:rsidR="00B704AD" w:rsidRPr="00C8701B">
        <w:rPr>
          <w:rFonts w:eastAsia="Arial Unicode MS"/>
          <w:bCs/>
          <w:lang w:eastAsia="fr-FR" w:bidi="he-IL"/>
        </w:rPr>
        <w:t>Les mots suivants du quatrième évangile</w:t>
      </w:r>
      <w:r w:rsidR="00933C60" w:rsidRPr="00C406FF">
        <w:rPr>
          <w:rStyle w:val="Appelnotedebasdep"/>
        </w:rPr>
        <w:footnoteReference w:id="419"/>
      </w:r>
      <w:r w:rsidR="00E65435">
        <w:rPr>
          <w:rFonts w:eastAsia="Arial Unicode MS"/>
          <w:bCs/>
          <w:lang w:eastAsia="fr-FR" w:bidi="he-IL"/>
        </w:rPr>
        <w:t xml:space="preserve">, </w:t>
      </w:r>
      <w:r w:rsidRPr="00F36CBE">
        <w:t>ὁ</w:t>
      </w:r>
      <w:r w:rsidR="00B704AD" w:rsidRPr="00F36CBE">
        <w:t xml:space="preserve"> </w:t>
      </w:r>
      <w:r>
        <w:t>ὤ</w:t>
      </w:r>
      <w:r w:rsidR="00992D87" w:rsidRPr="00F36CBE">
        <w:t>ν</w:t>
      </w:r>
      <w:r w:rsidR="00401D7F" w:rsidRPr="00F36CBE">
        <w:t xml:space="preserve"> ἐν </w:t>
      </w:r>
      <w:r w:rsidR="00B704AD" w:rsidRPr="00F36CBE">
        <w:t>τ</w:t>
      </w:r>
      <w:r>
        <w:t>ῷ</w:t>
      </w:r>
      <w:r w:rsidR="00B704AD" w:rsidRPr="00F36CBE">
        <w:t xml:space="preserve"> ο</w:t>
      </w:r>
      <w:r w:rsidR="00992D87" w:rsidRPr="00F36CBE">
        <w:t>ῦ</w:t>
      </w:r>
      <w:r w:rsidR="00B704AD" w:rsidRPr="00F36CBE">
        <w:t>ρ</w:t>
      </w:r>
      <w:r w:rsidR="00A74F01" w:rsidRPr="00F36CBE">
        <w:t>α</w:t>
      </w:r>
      <w:r w:rsidR="00B704AD" w:rsidRPr="00F36CBE">
        <w:t>ν</w:t>
      </w:r>
      <w:r w:rsidRPr="00F36CBE">
        <w:t>ῳ</w:t>
      </w:r>
      <w:r w:rsidR="00E65435" w:rsidRPr="00F36CBE">
        <w:t>,</w:t>
      </w:r>
      <w:r w:rsidR="00E65435">
        <w:rPr>
          <w:rFonts w:eastAsia="Arial Unicode MS"/>
          <w:bCs/>
          <w:lang w:val="el-GR" w:eastAsia="fr-FR" w:bidi="he-IL"/>
        </w:rPr>
        <w:t xml:space="preserve"> </w:t>
      </w:r>
      <w:r w:rsidR="00B704AD" w:rsidRPr="00DC4586">
        <w:rPr>
          <w:rStyle w:val="italicus"/>
        </w:rPr>
        <w:t>qui</w:t>
      </w:r>
      <w:r>
        <w:rPr>
          <w:rStyle w:val="italicus"/>
        </w:rPr>
        <w:t xml:space="preserve"> </w:t>
      </w:r>
      <w:r w:rsidR="00B704AD" w:rsidRPr="00DC4586">
        <w:rPr>
          <w:rStyle w:val="italicus"/>
        </w:rPr>
        <w:t>est cœlo</w:t>
      </w:r>
      <w:r w:rsidR="00E65435">
        <w:rPr>
          <w:rStyle w:val="italicus"/>
        </w:rPr>
        <w:t xml:space="preserve">, </w:t>
      </w:r>
      <w:r w:rsidR="00B704AD" w:rsidRPr="00C8701B">
        <w:rPr>
          <w:rFonts w:eastAsia="Arial Unicode MS"/>
          <w:bCs/>
          <w:lang w:eastAsia="fr-FR" w:bidi="he-IL"/>
        </w:rPr>
        <w:t>sont-ils vraiment authentiques</w:t>
      </w:r>
      <w:r w:rsidR="00C2602D" w:rsidRPr="00C8701B">
        <w:rPr>
          <w:rFonts w:eastAsia="Arial Unicode MS"/>
          <w:bCs/>
          <w:lang w:eastAsia="fr-FR" w:bidi="he-IL"/>
        </w:rPr>
        <w:t> ?</w:t>
      </w:r>
      <w:r w:rsidR="00B704AD" w:rsidRPr="00C8701B">
        <w:rPr>
          <w:rFonts w:eastAsia="Arial Unicode MS"/>
          <w:bCs/>
          <w:lang w:eastAsia="fr-FR" w:bidi="he-IL"/>
        </w:rPr>
        <w:t xml:space="preserve"> Ils sont omis pa</w:t>
      </w:r>
      <w:r>
        <w:rPr>
          <w:rFonts w:eastAsia="Arial Unicode MS"/>
          <w:bCs/>
          <w:lang w:eastAsia="fr-FR" w:bidi="he-IL"/>
        </w:rPr>
        <w:t xml:space="preserve">r </w:t>
      </w:r>
      <w:r w:rsidRPr="00C8701B">
        <w:rPr>
          <w:rFonts w:eastAsia="Arial Unicode MS"/>
          <w:bCs/>
          <w:rtl/>
          <w:lang w:eastAsia="fr-FR" w:bidi="he-IL"/>
        </w:rPr>
        <w:t>א</w:t>
      </w:r>
      <w:r>
        <w:rPr>
          <w:rFonts w:eastAsia="Arial Unicode MS"/>
          <w:bCs/>
          <w:lang w:eastAsia="fr-FR" w:bidi="he-IL"/>
        </w:rPr>
        <w:t>, B</w:t>
      </w:r>
      <w:r w:rsidR="00E65435">
        <w:rPr>
          <w:rFonts w:eastAsia="Arial Unicode MS"/>
          <w:bCs/>
          <w:lang w:eastAsia="fr-FR" w:bidi="he-IL"/>
        </w:rPr>
        <w:t xml:space="preserve">, </w:t>
      </w:r>
      <w:r w:rsidR="00B704AD" w:rsidRPr="00C8701B">
        <w:rPr>
          <w:rFonts w:eastAsia="Arial Unicode MS"/>
          <w:bCs/>
          <w:lang w:eastAsia="fr-FR" w:bidi="he-IL"/>
        </w:rPr>
        <w:t>L</w:t>
      </w:r>
      <w:r w:rsidR="00E65435">
        <w:rPr>
          <w:rFonts w:eastAsia="Arial Unicode MS"/>
          <w:bCs/>
          <w:lang w:eastAsia="fr-FR" w:bidi="he-IL"/>
        </w:rPr>
        <w:t xml:space="preserve">, </w:t>
      </w:r>
      <w:r w:rsidR="00B704AD" w:rsidRPr="00C8701B">
        <w:rPr>
          <w:rFonts w:eastAsia="Arial Unicode MS"/>
          <w:bCs/>
          <w:lang w:eastAsia="fr-FR" w:bidi="he-IL"/>
        </w:rPr>
        <w:t>T</w:t>
      </w:r>
      <w:r w:rsidR="00E65435">
        <w:rPr>
          <w:rFonts w:eastAsia="Arial Unicode MS"/>
          <w:bCs/>
          <w:lang w:eastAsia="fr-FR" w:bidi="he-IL"/>
        </w:rPr>
        <w:t xml:space="preserve">, </w:t>
      </w:r>
      <w:r w:rsidR="00B704AD" w:rsidRPr="00C8701B">
        <w:rPr>
          <w:rFonts w:eastAsia="Arial Unicode MS"/>
          <w:bCs/>
          <w:lang w:eastAsia="fr-FR" w:bidi="he-IL"/>
        </w:rPr>
        <w:t>par un manuscrit de la traduction de Memphis</w:t>
      </w:r>
      <w:r w:rsidR="00E65435">
        <w:rPr>
          <w:rFonts w:eastAsia="Arial Unicode MS"/>
          <w:bCs/>
          <w:lang w:eastAsia="fr-FR" w:bidi="he-IL"/>
        </w:rPr>
        <w:t xml:space="preserve">, </w:t>
      </w:r>
      <w:r w:rsidR="00B704AD" w:rsidRPr="00C8701B">
        <w:rPr>
          <w:rFonts w:eastAsia="Arial Unicode MS"/>
          <w:bCs/>
          <w:lang w:eastAsia="fr-FR" w:bidi="he-IL"/>
        </w:rPr>
        <w:t>par quelques Pères</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 xml:space="preserve">mais nous les trouvons dans </w:t>
      </w:r>
      <w:r w:rsidR="00B704AD" w:rsidRPr="00F36CBE">
        <w:t>A</w:t>
      </w:r>
      <w:r w:rsidR="00E65435" w:rsidRPr="00F36CBE">
        <w:t xml:space="preserve">, </w:t>
      </w:r>
      <w:r w:rsidR="00B704AD" w:rsidRPr="00F36CBE">
        <w:t>E</w:t>
      </w:r>
      <w:r w:rsidR="00E65435" w:rsidRPr="00F36CBE">
        <w:t xml:space="preserve">, </w:t>
      </w:r>
      <w:r w:rsidRPr="00F36CBE">
        <w:t>G</w:t>
      </w:r>
      <w:r w:rsidR="00E65435" w:rsidRPr="00F36CBE">
        <w:t xml:space="preserve">, </w:t>
      </w:r>
      <w:r w:rsidRPr="00F36CBE">
        <w:t>H,</w:t>
      </w:r>
      <w:r w:rsidR="00E65435" w:rsidRPr="00F36CBE">
        <w:t xml:space="preserve"> </w:t>
      </w:r>
      <w:r w:rsidR="00B704AD" w:rsidRPr="00F36CBE">
        <w:t>K</w:t>
      </w:r>
      <w:r w:rsidR="00E65435" w:rsidRPr="00F36CBE">
        <w:t xml:space="preserve">, </w:t>
      </w:r>
      <w:r w:rsidRPr="00F36CBE">
        <w:t>M</w:t>
      </w:r>
      <w:r w:rsidR="00E65435" w:rsidRPr="00F36CBE">
        <w:t xml:space="preserve">, </w:t>
      </w:r>
      <w:r w:rsidR="00B704AD" w:rsidRPr="00F36CBE">
        <w:t>S</w:t>
      </w:r>
      <w:r w:rsidR="00FC445E" w:rsidRPr="00F36CBE">
        <w:t xml:space="preserve">, </w:t>
      </w:r>
      <w:r w:rsidRPr="00F36CBE">
        <w:t>U</w:t>
      </w:r>
      <w:r w:rsidR="00FC445E" w:rsidRPr="00F36CBE">
        <w:t>,</w:t>
      </w:r>
      <w:r w:rsidR="00E65435" w:rsidRPr="00F36CBE">
        <w:t xml:space="preserve"> </w:t>
      </w:r>
      <w:r w:rsidR="00B704AD" w:rsidRPr="00F36CBE">
        <w:t>Y</w:t>
      </w:r>
      <w:r w:rsidR="00E65435" w:rsidRPr="00F36CBE">
        <w:t xml:space="preserve">, </w:t>
      </w:r>
      <w:r w:rsidR="00B704AD" w:rsidRPr="00F36CBE">
        <w:t>Γ</w:t>
      </w:r>
      <w:r w:rsidR="00E65435" w:rsidRPr="00F36CBE">
        <w:t xml:space="preserve">, </w:t>
      </w:r>
      <w:r w:rsidR="00B704AD" w:rsidRPr="00F36CBE">
        <w:t>Δ</w:t>
      </w:r>
      <w:r w:rsidR="00E65435" w:rsidRPr="00F36CBE">
        <w:t xml:space="preserve">, </w:t>
      </w:r>
      <w:r w:rsidRPr="00F36CBE">
        <w:t>Λ</w:t>
      </w:r>
      <w:r w:rsidR="00E65435" w:rsidRPr="00F36CBE">
        <w:t xml:space="preserve">, </w:t>
      </w:r>
      <w:r w:rsidR="00B704AD" w:rsidRPr="00F36CBE">
        <w:t>Π</w:t>
      </w:r>
      <w:r w:rsidR="00E65435" w:rsidRPr="00F36CBE">
        <w:t xml:space="preserve">, </w:t>
      </w:r>
      <w:r w:rsidR="00B704AD" w:rsidRPr="00F36CBE">
        <w:t>dans</w:t>
      </w:r>
      <w:r w:rsidR="00B704AD" w:rsidRPr="00C8701B">
        <w:rPr>
          <w:rFonts w:eastAsia="Arial Unicode MS"/>
          <w:bCs/>
          <w:lang w:eastAsia="fr-FR" w:bidi="he-IL"/>
        </w:rPr>
        <w:t xml:space="preserve"> presque tous les manuscrits en caractères cursifs</w:t>
      </w:r>
      <w:r w:rsidR="00E65435">
        <w:rPr>
          <w:rFonts w:eastAsia="Arial Unicode MS"/>
          <w:bCs/>
          <w:lang w:eastAsia="fr-FR" w:bidi="he-IL"/>
        </w:rPr>
        <w:t xml:space="preserve">, </w:t>
      </w:r>
      <w:r w:rsidR="00B704AD" w:rsidRPr="00C8701B">
        <w:rPr>
          <w:rFonts w:eastAsia="Arial Unicode MS"/>
          <w:bCs/>
          <w:lang w:eastAsia="fr-FR" w:bidi="he-IL"/>
        </w:rPr>
        <w:t>dans toutes les versions syriaques</w:t>
      </w:r>
      <w:r w:rsidR="00E65435">
        <w:rPr>
          <w:rFonts w:eastAsia="Arial Unicode MS"/>
          <w:bCs/>
          <w:lang w:eastAsia="fr-FR" w:bidi="he-IL"/>
        </w:rPr>
        <w:t xml:space="preserve">, </w:t>
      </w:r>
      <w:r w:rsidR="00B704AD" w:rsidRPr="00C8701B">
        <w:rPr>
          <w:rFonts w:eastAsia="Arial Unicode MS"/>
          <w:bCs/>
          <w:lang w:eastAsia="fr-FR" w:bidi="he-IL"/>
        </w:rPr>
        <w:t>dans la plupart des Pères.</w:t>
      </w:r>
      <w:r w:rsidR="00C2602D" w:rsidRPr="00C8701B">
        <w:rPr>
          <w:rFonts w:eastAsia="Arial Unicode MS"/>
          <w:bCs/>
          <w:lang w:eastAsia="fr-FR" w:bidi="he-IL"/>
        </w:rPr>
        <w:t xml:space="preserve"> </w:t>
      </w:r>
      <w:r w:rsidR="00C14040" w:rsidRPr="000716BB">
        <w:rPr>
          <w:rFonts w:eastAsia="Arial Unicode MS"/>
          <w:bCs/>
          <w:lang w:eastAsia="fr-FR" w:bidi="he-IL"/>
        </w:rPr>
        <w:t>{</w:t>
      </w:r>
      <w:r w:rsidR="00C14040">
        <w:rPr>
          <w:rFonts w:eastAsia="Arial Unicode MS"/>
          <w:bCs/>
          <w:lang w:eastAsia="fr-FR" w:bidi="he-IL"/>
        </w:rPr>
        <w:t>77</w:t>
      </w:r>
      <w:bookmarkStart w:id="124" w:name="pag077"/>
      <w:bookmarkEnd w:id="124"/>
      <w:r w:rsidR="00C14040" w:rsidRPr="000716BB">
        <w:rPr>
          <w:rFonts w:eastAsia="Arial Unicode MS"/>
          <w:bCs/>
          <w:lang w:eastAsia="fr-FR" w:bidi="he-IL"/>
        </w:rPr>
        <w:t>}</w:t>
      </w:r>
    </w:p>
    <w:p w:rsidR="00C2602D" w:rsidRPr="00C8701B" w:rsidRDefault="00B704AD" w:rsidP="00C2602D">
      <w:pPr>
        <w:rPr>
          <w:rFonts w:eastAsia="Arial Unicode MS"/>
          <w:bCs/>
          <w:lang w:eastAsia="fr-FR" w:bidi="he-IL"/>
        </w:rPr>
      </w:pPr>
      <w:r w:rsidRPr="00C8701B">
        <w:rPr>
          <w:rFonts w:eastAsia="Arial Unicode MS"/>
          <w:bCs/>
          <w:lang w:eastAsia="fr-FR" w:bidi="he-IL"/>
        </w:rPr>
        <w:t>Y a-t-il à hésiter</w:t>
      </w:r>
      <w:r w:rsidR="00C2602D" w:rsidRPr="00C8701B">
        <w:rPr>
          <w:rFonts w:eastAsia="Arial Unicode MS"/>
          <w:bCs/>
          <w:lang w:eastAsia="fr-FR" w:bidi="he-IL"/>
        </w:rPr>
        <w:t> ?</w:t>
      </w:r>
      <w:r w:rsidRPr="00C8701B">
        <w:rPr>
          <w:rFonts w:eastAsia="Arial Unicode MS"/>
          <w:bCs/>
          <w:lang w:eastAsia="fr-FR" w:bidi="he-IL"/>
        </w:rPr>
        <w:t xml:space="preserve"> l</w:t>
      </w:r>
      <w:r w:rsidR="00557DE0">
        <w:rPr>
          <w:rFonts w:eastAsia="Arial Unicode MS"/>
          <w:bCs/>
          <w:lang w:eastAsia="fr-FR" w:bidi="he-IL"/>
        </w:rPr>
        <w:t>’</w:t>
      </w:r>
      <w:r w:rsidRPr="00C8701B">
        <w:rPr>
          <w:rFonts w:eastAsia="Arial Unicode MS"/>
          <w:bCs/>
          <w:lang w:eastAsia="fr-FR" w:bidi="he-IL"/>
        </w:rPr>
        <w:t>évidence n</w:t>
      </w:r>
      <w:r w:rsidR="00557DE0">
        <w:rPr>
          <w:rFonts w:eastAsia="Arial Unicode MS"/>
          <w:bCs/>
          <w:lang w:eastAsia="fr-FR" w:bidi="he-IL"/>
        </w:rPr>
        <w:t>’</w:t>
      </w:r>
      <w:r w:rsidRPr="00C8701B">
        <w:rPr>
          <w:rFonts w:eastAsia="Arial Unicode MS"/>
          <w:bCs/>
          <w:lang w:eastAsia="fr-FR" w:bidi="he-IL"/>
        </w:rPr>
        <w:t>est-elle pas pour l</w:t>
      </w:r>
      <w:r w:rsidR="00557DE0">
        <w:rPr>
          <w:rFonts w:eastAsia="Arial Unicode MS"/>
          <w:bCs/>
          <w:lang w:eastAsia="fr-FR" w:bidi="he-IL"/>
        </w:rPr>
        <w:t>’</w:t>
      </w:r>
      <w:r w:rsidRPr="00C8701B">
        <w:rPr>
          <w:rFonts w:eastAsia="Arial Unicode MS"/>
          <w:bCs/>
          <w:lang w:eastAsia="fr-FR" w:bidi="he-IL"/>
        </w:rPr>
        <w:t>authenticité</w:t>
      </w:r>
      <w:r w:rsidR="00C2602D" w:rsidRPr="00C8701B">
        <w:rPr>
          <w:rFonts w:eastAsia="Arial Unicode MS"/>
          <w:bCs/>
          <w:lang w:eastAsia="fr-FR" w:bidi="he-IL"/>
        </w:rPr>
        <w:t> ?</w:t>
      </w:r>
      <w:r w:rsidRPr="00C8701B">
        <w:rPr>
          <w:rFonts w:eastAsia="Arial Unicode MS"/>
          <w:bCs/>
          <w:lang w:eastAsia="fr-FR" w:bidi="he-IL"/>
        </w:rPr>
        <w:t xml:space="preserve"> Et pourtant divers criti</w:t>
      </w:r>
      <w:r w:rsidR="00F36CBE">
        <w:rPr>
          <w:rFonts w:eastAsia="Arial Unicode MS"/>
          <w:bCs/>
          <w:lang w:eastAsia="fr-FR" w:bidi="he-IL"/>
        </w:rPr>
        <w:t>ques sacrifient ce passage</w:t>
      </w:r>
      <w:r w:rsidR="00933C60" w:rsidRPr="00C406FF">
        <w:rPr>
          <w:rStyle w:val="Appelnotedebasdep"/>
        </w:rPr>
        <w:footnoteReference w:id="420"/>
      </w:r>
      <w:r w:rsidR="00F36CBE">
        <w:rPr>
          <w:rFonts w:eastAsia="Arial Unicode MS"/>
          <w:bCs/>
          <w:lang w:eastAsia="fr-FR" w:bidi="he-IL"/>
        </w:rPr>
        <w:t> !</w:t>
      </w:r>
      <w:r w:rsidR="00C2602D" w:rsidRPr="00C8701B">
        <w:rPr>
          <w:rFonts w:eastAsia="Arial Unicode MS"/>
          <w:bCs/>
          <w:lang w:eastAsia="fr-FR" w:bidi="he-IL"/>
        </w:rPr>
        <w:t xml:space="preserve"> </w:t>
      </w:r>
    </w:p>
    <w:p w:rsidR="00C2602D" w:rsidRPr="00C8701B" w:rsidRDefault="00B704AD" w:rsidP="003A68DB">
      <w:pPr>
        <w:pStyle w:val="Titre4"/>
        <w:rPr>
          <w:lang w:eastAsia="fr-FR" w:bidi="he-IL"/>
        </w:rPr>
      </w:pPr>
      <w:bookmarkStart w:id="125" w:name="_Toc526755724"/>
      <w:r w:rsidRPr="00C8701B">
        <w:rPr>
          <w:rFonts w:eastAsia="Arial Unicode MS"/>
          <w:bCs/>
          <w:lang w:eastAsia="fr-FR" w:bidi="he-IL"/>
        </w:rPr>
        <w:t xml:space="preserve">§ </w:t>
      </w:r>
      <w:r w:rsidR="001157C4">
        <w:rPr>
          <w:rFonts w:eastAsia="Arial Unicode MS"/>
          <w:bCs/>
          <w:lang w:eastAsia="fr-FR" w:bidi="he-IL"/>
        </w:rPr>
        <w:t>X</w:t>
      </w:r>
      <w:r w:rsidRPr="00C8701B">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LES ÉVANGILES ET LA CRITIQUE RATIONALISTE.</w:t>
      </w:r>
      <w:bookmarkStart w:id="126" w:name="evin10"/>
      <w:bookmarkEnd w:id="125"/>
      <w:bookmarkEnd w:id="126"/>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Nous n</w:t>
      </w:r>
      <w:r w:rsidR="00557DE0">
        <w:rPr>
          <w:rFonts w:eastAsia="Arial Unicode MS"/>
          <w:bCs/>
          <w:lang w:eastAsia="fr-FR" w:bidi="he-IL"/>
        </w:rPr>
        <w:t>’</w:t>
      </w:r>
      <w:r w:rsidRPr="00C8701B">
        <w:rPr>
          <w:rFonts w:eastAsia="Arial Unicode MS"/>
          <w:bCs/>
          <w:lang w:eastAsia="fr-FR" w:bidi="he-IL"/>
        </w:rPr>
        <w:t>avons à nous occuper que d</w:t>
      </w:r>
      <w:r w:rsidR="00557DE0">
        <w:rPr>
          <w:rFonts w:eastAsia="Arial Unicode MS"/>
          <w:bCs/>
          <w:lang w:eastAsia="fr-FR" w:bidi="he-IL"/>
        </w:rPr>
        <w:t>’</w:t>
      </w:r>
      <w:r w:rsidRPr="00C8701B">
        <w:rPr>
          <w:rFonts w:eastAsia="Arial Unicode MS"/>
          <w:bCs/>
          <w:lang w:eastAsia="fr-FR" w:bidi="he-IL"/>
        </w:rPr>
        <w:t xml:space="preserve">une façon très </w:t>
      </w:r>
      <w:r w:rsidR="00DF496C" w:rsidRPr="00C8701B">
        <w:rPr>
          <w:rFonts w:eastAsia="Arial Unicode MS"/>
          <w:bCs/>
          <w:lang w:eastAsia="fr-FR" w:bidi="he-IL"/>
        </w:rPr>
        <w:t>succincte</w:t>
      </w:r>
      <w:r w:rsidRPr="00C8701B">
        <w:rPr>
          <w:rFonts w:eastAsia="Arial Unicode MS"/>
          <w:bCs/>
          <w:lang w:eastAsia="fr-FR" w:bidi="he-IL"/>
        </w:rPr>
        <w:t xml:space="preserve"> de ce triste sujet</w:t>
      </w:r>
      <w:r w:rsidR="00E65435">
        <w:rPr>
          <w:rFonts w:eastAsia="Arial Unicode MS"/>
          <w:bCs/>
          <w:lang w:eastAsia="fr-FR" w:bidi="he-IL"/>
        </w:rPr>
        <w:t xml:space="preserve">, </w:t>
      </w:r>
      <w:r w:rsidRPr="00C8701B">
        <w:rPr>
          <w:rFonts w:eastAsia="Arial Unicode MS"/>
          <w:bCs/>
          <w:lang w:eastAsia="fr-FR" w:bidi="he-IL"/>
        </w:rPr>
        <w:t>qui ne nous concerne pas directement. Au reste</w:t>
      </w:r>
      <w:r w:rsidR="00E65435">
        <w:rPr>
          <w:rFonts w:eastAsia="Arial Unicode MS"/>
          <w:bCs/>
          <w:lang w:eastAsia="fr-FR" w:bidi="he-IL"/>
        </w:rPr>
        <w:t xml:space="preserve">, </w:t>
      </w:r>
      <w:r w:rsidRPr="00C8701B">
        <w:rPr>
          <w:rFonts w:eastAsia="Arial Unicode MS"/>
          <w:bCs/>
          <w:lang w:eastAsia="fr-FR" w:bidi="he-IL"/>
        </w:rPr>
        <w:t xml:space="preserve">les bonnes expositions et les excellentes réfutations </w:t>
      </w:r>
      <w:r w:rsidR="00F36CBE">
        <w:rPr>
          <w:rFonts w:eastAsia="Arial Unicode MS"/>
          <w:bCs/>
          <w:lang w:eastAsia="fr-FR" w:bidi="he-IL"/>
        </w:rPr>
        <w:t>ne manquent pas</w:t>
      </w:r>
      <w:r w:rsidR="00933C60" w:rsidRPr="00C406FF">
        <w:rPr>
          <w:rStyle w:val="Appelnotedebasdep"/>
        </w:rPr>
        <w:footnoteReference w:id="421"/>
      </w:r>
      <w:r w:rsidR="00F36CBE">
        <w:rPr>
          <w:rFonts w:eastAsia="Arial Unicode MS"/>
          <w:bCs/>
          <w:lang w:eastAsia="fr-FR" w:bidi="he-IL"/>
        </w:rPr>
        <w:t>. Ajoutons q</w:t>
      </w:r>
      <w:r w:rsidRPr="00C8701B">
        <w:rPr>
          <w:rFonts w:eastAsia="Arial Unicode MS"/>
          <w:bCs/>
          <w:lang w:eastAsia="fr-FR" w:bidi="he-IL"/>
        </w:rPr>
        <w:t>ue</w:t>
      </w:r>
      <w:r w:rsidR="00E65435">
        <w:rPr>
          <w:rFonts w:eastAsia="Arial Unicode MS"/>
          <w:bCs/>
          <w:lang w:eastAsia="fr-FR" w:bidi="he-IL"/>
        </w:rPr>
        <w:t xml:space="preserve">, </w:t>
      </w:r>
      <w:r w:rsidRPr="00C8701B">
        <w:rPr>
          <w:rFonts w:eastAsia="Arial Unicode MS"/>
          <w:bCs/>
          <w:lang w:eastAsia="fr-FR" w:bidi="he-IL"/>
        </w:rPr>
        <w:t>le plus souvent</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 xml:space="preserve">exposition claire et nette de la vérité suffit pour </w:t>
      </w:r>
      <w:r w:rsidR="00DF496C" w:rsidRPr="00C8701B">
        <w:rPr>
          <w:rFonts w:eastAsia="Arial Unicode MS"/>
          <w:bCs/>
          <w:lang w:eastAsia="fr-FR" w:bidi="he-IL"/>
        </w:rPr>
        <w:t>prévenir</w:t>
      </w:r>
      <w:r w:rsidRPr="00C8701B">
        <w:rPr>
          <w:rFonts w:eastAsia="Arial Unicode MS"/>
          <w:bCs/>
          <w:lang w:eastAsia="fr-FR" w:bidi="he-IL"/>
        </w:rPr>
        <w:t xml:space="preserve"> la plupart des objections et pour les réduire à néant. C</w:t>
      </w:r>
      <w:r w:rsidR="00557DE0">
        <w:rPr>
          <w:rFonts w:eastAsia="Arial Unicode MS"/>
          <w:bCs/>
          <w:lang w:eastAsia="fr-FR" w:bidi="he-IL"/>
        </w:rPr>
        <w:t>’</w:t>
      </w:r>
      <w:r w:rsidRPr="00C8701B">
        <w:rPr>
          <w:rFonts w:eastAsia="Arial Unicode MS"/>
          <w:bCs/>
          <w:lang w:eastAsia="fr-FR" w:bidi="he-IL"/>
        </w:rPr>
        <w:t>est ce principe qui nous a servi habituellement de règle dans nos quatre volumes de commentaires.</w:t>
      </w:r>
      <w:r w:rsidR="00C2602D" w:rsidRPr="00C8701B">
        <w:rPr>
          <w:rFonts w:eastAsia="Arial Unicode MS"/>
          <w:bCs/>
          <w:lang w:eastAsia="fr-FR" w:bidi="he-IL"/>
        </w:rPr>
        <w:t xml:space="preserve"> </w:t>
      </w:r>
    </w:p>
    <w:p w:rsidR="00CA6915" w:rsidRDefault="00B704AD" w:rsidP="00CA6915">
      <w:pPr>
        <w:rPr>
          <w:rFonts w:eastAsia="Arial Unicode MS"/>
          <w:bCs/>
          <w:lang w:eastAsia="fr-FR" w:bidi="he-IL"/>
        </w:rPr>
      </w:pPr>
      <w:r w:rsidRPr="00C8701B">
        <w:rPr>
          <w:rFonts w:eastAsia="Arial Unicode MS"/>
          <w:bCs/>
          <w:lang w:eastAsia="fr-FR" w:bidi="he-IL"/>
        </w:rPr>
        <w:t xml:space="preserve">Les attaques du rationalisme contre les évangiles remontent à la seconde moitié du </w:t>
      </w:r>
      <w:r w:rsidR="00CA083D">
        <w:rPr>
          <w:rFonts w:eastAsia="Arial Unicode MS"/>
          <w:bCs/>
          <w:lang w:eastAsia="fr-FR" w:bidi="he-IL"/>
        </w:rPr>
        <w:t>XVII</w:t>
      </w:r>
      <w:r w:rsidR="00C87A2B">
        <w:rPr>
          <w:rFonts w:eastAsia="Arial Unicode MS"/>
          <w:bCs/>
          <w:lang w:eastAsia="fr-FR" w:bidi="he-IL"/>
        </w:rPr>
        <w:t>I</w:t>
      </w:r>
      <w:r w:rsidR="00F56B84" w:rsidRPr="00F56B84">
        <w:rPr>
          <w:rFonts w:eastAsia="Arial Unicode MS"/>
          <w:bCs/>
          <w:vertAlign w:val="superscript"/>
          <w:lang w:eastAsia="fr-FR" w:bidi="he-IL"/>
        </w:rPr>
        <w:t>e</w:t>
      </w:r>
      <w:r w:rsidRPr="00C8701B">
        <w:rPr>
          <w:rFonts w:eastAsia="Arial Unicode MS"/>
          <w:bCs/>
          <w:lang w:eastAsia="fr-FR" w:bidi="he-IL"/>
        </w:rPr>
        <w:t xml:space="preserve"> siècle. En voici les principales phases. 1</w:t>
      </w:r>
      <w:r w:rsidR="00F36CBE">
        <w:rPr>
          <w:rFonts w:eastAsia="Arial Unicode MS"/>
          <w:bCs/>
          <w:lang w:eastAsia="fr-FR" w:bidi="he-IL"/>
        </w:rPr>
        <w:t>° E</w:t>
      </w:r>
      <w:r w:rsidRPr="00C8701B">
        <w:rPr>
          <w:rFonts w:eastAsia="Arial Unicode MS"/>
          <w:bCs/>
          <w:lang w:eastAsia="fr-FR" w:bidi="he-IL"/>
        </w:rPr>
        <w:t>lles commencèrent par les grossières impiétés des déistes anglais</w:t>
      </w:r>
      <w:r w:rsidR="00E65435">
        <w:rPr>
          <w:rFonts w:eastAsia="Arial Unicode MS"/>
          <w:bCs/>
          <w:lang w:eastAsia="fr-FR" w:bidi="he-IL"/>
        </w:rPr>
        <w:t xml:space="preserve">, </w:t>
      </w:r>
      <w:r w:rsidRPr="00C8701B">
        <w:rPr>
          <w:rFonts w:eastAsia="Arial Unicode MS"/>
          <w:bCs/>
          <w:lang w:eastAsia="fr-FR" w:bidi="he-IL"/>
        </w:rPr>
        <w:t>bientôt accompagnées des injures non moins triviales</w:t>
      </w:r>
      <w:r w:rsidR="00E65435">
        <w:rPr>
          <w:rFonts w:eastAsia="Arial Unicode MS"/>
          <w:bCs/>
          <w:lang w:eastAsia="fr-FR" w:bidi="he-IL"/>
        </w:rPr>
        <w:t xml:space="preserve">, </w:t>
      </w:r>
      <w:r w:rsidR="00F36CBE">
        <w:rPr>
          <w:rFonts w:eastAsia="Arial Unicode MS"/>
          <w:bCs/>
          <w:lang w:eastAsia="fr-FR" w:bidi="he-IL"/>
        </w:rPr>
        <w:t>soit des ency</w:t>
      </w:r>
      <w:r w:rsidRPr="00C8701B">
        <w:rPr>
          <w:rFonts w:eastAsia="Arial Unicode MS"/>
          <w:bCs/>
          <w:lang w:eastAsia="fr-FR" w:bidi="he-IL"/>
        </w:rPr>
        <w:t>clopédistes français</w:t>
      </w:r>
      <w:r w:rsidR="00E65435">
        <w:rPr>
          <w:rFonts w:eastAsia="Arial Unicode MS"/>
          <w:bCs/>
          <w:lang w:eastAsia="fr-FR" w:bidi="he-IL"/>
        </w:rPr>
        <w:t xml:space="preserve">, </w:t>
      </w:r>
      <w:r w:rsidRPr="00C8701B">
        <w:rPr>
          <w:rFonts w:eastAsia="Arial Unicode MS"/>
          <w:bCs/>
          <w:lang w:eastAsia="fr-FR" w:bidi="he-IL"/>
        </w:rPr>
        <w:t>soit de que</w:t>
      </w:r>
      <w:r w:rsidR="00CA6915">
        <w:rPr>
          <w:rFonts w:eastAsia="Arial Unicode MS"/>
          <w:bCs/>
          <w:lang w:eastAsia="fr-FR" w:bidi="he-IL"/>
        </w:rPr>
        <w:t>lques libres-penseurs allemands.</w:t>
      </w:r>
      <w:r w:rsidRPr="00C8701B">
        <w:rPr>
          <w:rFonts w:eastAsia="Arial Unicode MS"/>
          <w:bCs/>
          <w:lang w:eastAsia="fr-FR" w:bidi="he-IL"/>
        </w:rPr>
        <w:t xml:space="preserve"> John Toland</w:t>
      </w:r>
      <w:r w:rsidR="00E65435">
        <w:rPr>
          <w:rFonts w:eastAsia="Arial Unicode MS"/>
          <w:bCs/>
          <w:lang w:eastAsia="fr-FR" w:bidi="he-IL"/>
        </w:rPr>
        <w:t xml:space="preserve">, </w:t>
      </w:r>
      <w:r w:rsidRPr="00C8701B">
        <w:rPr>
          <w:rFonts w:eastAsia="Arial Unicode MS"/>
          <w:bCs/>
          <w:lang w:eastAsia="fr-FR" w:bidi="he-IL"/>
        </w:rPr>
        <w:t>Tindal et Woolston en Angleterre</w:t>
      </w:r>
      <w:r w:rsidR="00E65435">
        <w:rPr>
          <w:rFonts w:eastAsia="Arial Unicode MS"/>
          <w:bCs/>
          <w:lang w:eastAsia="fr-FR" w:bidi="he-IL"/>
        </w:rPr>
        <w:t xml:space="preserve">, </w:t>
      </w:r>
      <w:r w:rsidRPr="00C8701B">
        <w:rPr>
          <w:rFonts w:eastAsia="Arial Unicode MS"/>
          <w:bCs/>
          <w:lang w:eastAsia="fr-FR" w:bidi="he-IL"/>
        </w:rPr>
        <w:t>Voltaire en France</w:t>
      </w:r>
      <w:r w:rsidR="00E65435">
        <w:rPr>
          <w:rFonts w:eastAsia="Arial Unicode MS"/>
          <w:bCs/>
          <w:lang w:eastAsia="fr-FR" w:bidi="he-IL"/>
        </w:rPr>
        <w:t xml:space="preserve">, </w:t>
      </w:r>
      <w:r w:rsidRPr="00C8701B">
        <w:rPr>
          <w:rFonts w:eastAsia="Arial Unicode MS"/>
          <w:bCs/>
          <w:lang w:eastAsia="fr-FR" w:bidi="he-IL"/>
        </w:rPr>
        <w:t>Lessing et Reimarus en Allemagne</w:t>
      </w:r>
      <w:r w:rsidR="00E65435">
        <w:rPr>
          <w:rFonts w:eastAsia="Arial Unicode MS"/>
          <w:bCs/>
          <w:lang w:eastAsia="fr-FR" w:bidi="he-IL"/>
        </w:rPr>
        <w:t xml:space="preserve">, </w:t>
      </w:r>
      <w:r w:rsidRPr="00C8701B">
        <w:rPr>
          <w:rFonts w:eastAsia="Arial Unicode MS"/>
          <w:bCs/>
          <w:lang w:eastAsia="fr-FR" w:bidi="he-IL"/>
        </w:rPr>
        <w:t>se distinguèrent entre tous dans cette guerre brutale</w:t>
      </w:r>
      <w:r w:rsidR="00E65435">
        <w:rPr>
          <w:rFonts w:eastAsia="Arial Unicode MS"/>
          <w:bCs/>
          <w:lang w:eastAsia="fr-FR" w:bidi="he-IL"/>
        </w:rPr>
        <w:t xml:space="preserve">, </w:t>
      </w:r>
      <w:r w:rsidRPr="00C8701B">
        <w:rPr>
          <w:rFonts w:eastAsia="Arial Unicode MS"/>
          <w:bCs/>
          <w:lang w:eastAsia="fr-FR" w:bidi="he-IL"/>
        </w:rPr>
        <w:t>où la mauvaise foi n</w:t>
      </w:r>
      <w:r w:rsidR="00557DE0">
        <w:rPr>
          <w:rFonts w:eastAsia="Arial Unicode MS"/>
          <w:bCs/>
          <w:lang w:eastAsia="fr-FR" w:bidi="he-IL"/>
        </w:rPr>
        <w:t>’</w:t>
      </w:r>
      <w:r w:rsidRPr="00C8701B">
        <w:rPr>
          <w:rFonts w:eastAsia="Arial Unicode MS"/>
          <w:bCs/>
          <w:lang w:eastAsia="fr-FR" w:bidi="he-IL"/>
        </w:rPr>
        <w:t>est pas moindre que la vulgarité des procédée</w:t>
      </w:r>
      <w:r w:rsidR="00933C60" w:rsidRPr="00C406FF">
        <w:rPr>
          <w:rStyle w:val="Appelnotedebasdep"/>
        </w:rPr>
        <w:footnoteReference w:id="422"/>
      </w:r>
      <w:r w:rsidRPr="00C8701B">
        <w:rPr>
          <w:rFonts w:eastAsia="Arial Unicode MS"/>
          <w:bCs/>
          <w:lang w:eastAsia="fr-FR" w:bidi="he-IL"/>
        </w:rPr>
        <w:t xml:space="preserve">. </w:t>
      </w:r>
      <w:r w:rsidR="00C2602D" w:rsidRPr="00C8701B">
        <w:rPr>
          <w:rFonts w:eastAsia="Arial Unicode MS"/>
          <w:bCs/>
          <w:lang w:eastAsia="fr-FR" w:bidi="he-IL"/>
        </w:rPr>
        <w:t>« </w:t>
      </w:r>
      <w:r w:rsidRPr="00C8701B">
        <w:rPr>
          <w:rFonts w:eastAsia="Arial Unicode MS"/>
          <w:bCs/>
          <w:lang w:eastAsia="fr-FR" w:bidi="he-IL"/>
        </w:rPr>
        <w:t>Jésus-Christ était un visionnaire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les apôtres</w:t>
      </w:r>
      <w:r w:rsidR="00E65435">
        <w:rPr>
          <w:rFonts w:eastAsia="Arial Unicode MS"/>
          <w:bCs/>
          <w:lang w:eastAsia="fr-FR" w:bidi="he-IL"/>
        </w:rPr>
        <w:t xml:space="preserve">, </w:t>
      </w:r>
      <w:r w:rsidRPr="00C8701B">
        <w:rPr>
          <w:rFonts w:eastAsia="Arial Unicode MS"/>
          <w:bCs/>
          <w:lang w:eastAsia="fr-FR" w:bidi="he-IL"/>
        </w:rPr>
        <w:t>des imposteurs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les premiers chrétiens</w:t>
      </w:r>
      <w:r w:rsidR="00E65435">
        <w:rPr>
          <w:rFonts w:eastAsia="Arial Unicode MS"/>
          <w:bCs/>
          <w:lang w:eastAsia="fr-FR" w:bidi="he-IL"/>
        </w:rPr>
        <w:t xml:space="preserve">, </w:t>
      </w:r>
      <w:r w:rsidRPr="00C8701B">
        <w:rPr>
          <w:rFonts w:eastAsia="Arial Unicode MS"/>
          <w:bCs/>
          <w:lang w:eastAsia="fr-FR" w:bidi="he-IL"/>
        </w:rPr>
        <w:t>des fanatiques. Les faits évangéliques</w:t>
      </w:r>
      <w:r w:rsidR="00CA6915">
        <w:rPr>
          <w:rFonts w:eastAsia="Arial Unicode MS"/>
          <w:bCs/>
          <w:lang w:eastAsia="fr-FR" w:bidi="he-IL"/>
        </w:rPr>
        <w:t xml:space="preserve"> </w:t>
      </w:r>
      <w:r w:rsidRPr="00C8701B">
        <w:rPr>
          <w:rFonts w:eastAsia="Arial Unicode MS"/>
          <w:bCs/>
          <w:lang w:eastAsia="fr-FR" w:bidi="he-IL"/>
        </w:rPr>
        <w:t>avaient été inventés par un sacerdoce ambitieux</w:t>
      </w:r>
      <w:r w:rsidR="00E65435">
        <w:rPr>
          <w:rFonts w:eastAsia="Arial Unicode MS"/>
          <w:bCs/>
          <w:lang w:eastAsia="fr-FR" w:bidi="he-IL"/>
        </w:rPr>
        <w:t xml:space="preserve">, </w:t>
      </w:r>
      <w:r w:rsidRPr="00C8701B">
        <w:rPr>
          <w:rFonts w:eastAsia="Arial Unicode MS"/>
          <w:bCs/>
          <w:lang w:eastAsia="fr-FR" w:bidi="he-IL"/>
        </w:rPr>
        <w:t>rédigés par des faussaires</w:t>
      </w:r>
      <w:r w:rsidR="00E65435">
        <w:rPr>
          <w:rFonts w:eastAsia="Arial Unicode MS"/>
          <w:bCs/>
          <w:lang w:eastAsia="fr-FR" w:bidi="he-IL"/>
        </w:rPr>
        <w:t xml:space="preserve">, </w:t>
      </w:r>
      <w:r w:rsidRPr="00C8701B">
        <w:rPr>
          <w:rFonts w:eastAsia="Arial Unicode MS"/>
          <w:bCs/>
          <w:lang w:eastAsia="fr-FR" w:bidi="he-IL"/>
        </w:rPr>
        <w:t>et crus par des imbéciles. Voilà</w:t>
      </w:r>
      <w:r w:rsidR="00E65435">
        <w:rPr>
          <w:rFonts w:eastAsia="Arial Unicode MS"/>
          <w:bCs/>
          <w:lang w:eastAsia="fr-FR" w:bidi="he-IL"/>
        </w:rPr>
        <w:t xml:space="preserve">, </w:t>
      </w:r>
      <w:r w:rsidRPr="00C8701B">
        <w:rPr>
          <w:rFonts w:eastAsia="Arial Unicode MS"/>
          <w:bCs/>
          <w:lang w:eastAsia="fr-FR" w:bidi="he-IL"/>
        </w:rPr>
        <w:t>sans les voiler sous la phrase</w:t>
      </w:r>
      <w:r w:rsidR="00E65435">
        <w:rPr>
          <w:rFonts w:eastAsia="Arial Unicode MS"/>
          <w:bCs/>
          <w:lang w:eastAsia="fr-FR" w:bidi="he-IL"/>
        </w:rPr>
        <w:t xml:space="preserve">, </w:t>
      </w:r>
      <w:r w:rsidRPr="00C8701B">
        <w:rPr>
          <w:rFonts w:eastAsia="Arial Unicode MS"/>
          <w:bCs/>
          <w:lang w:eastAsia="fr-FR" w:bidi="he-IL"/>
        </w:rPr>
        <w:t xml:space="preserve">les aménités des incrédules du </w:t>
      </w:r>
      <w:r w:rsidR="00CA6915">
        <w:rPr>
          <w:rFonts w:eastAsia="Arial Unicode MS"/>
          <w:bCs/>
          <w:lang w:eastAsia="fr-FR" w:bidi="he-IL"/>
        </w:rPr>
        <w:t>XVIII</w:t>
      </w:r>
      <w:r w:rsidRPr="00C8701B">
        <w:rPr>
          <w:rFonts w:eastAsia="Arial Unicode MS"/>
          <w:bCs/>
          <w:vertAlign w:val="superscript"/>
          <w:lang w:eastAsia="fr-FR" w:bidi="he-IL"/>
        </w:rPr>
        <w:t>e</w:t>
      </w:r>
      <w:r w:rsidRPr="00C8701B">
        <w:rPr>
          <w:rFonts w:eastAsia="Arial Unicode MS"/>
          <w:bCs/>
          <w:lang w:eastAsia="fr-FR" w:bidi="he-IL"/>
        </w:rPr>
        <w:t xml:space="preserve"> siècle à l</w:t>
      </w:r>
      <w:r w:rsidR="00557DE0">
        <w:rPr>
          <w:rFonts w:eastAsia="Arial Unicode MS"/>
          <w:bCs/>
          <w:lang w:eastAsia="fr-FR" w:bidi="he-IL"/>
        </w:rPr>
        <w:t>’</w:t>
      </w:r>
      <w:r w:rsidRPr="00C8701B">
        <w:rPr>
          <w:rFonts w:eastAsia="Arial Unicode MS"/>
          <w:bCs/>
          <w:lang w:eastAsia="fr-FR" w:bidi="he-IL"/>
        </w:rPr>
        <w:t xml:space="preserve">égard de cette primitive </w:t>
      </w:r>
      <w:r w:rsidR="00C8701B">
        <w:rPr>
          <w:rFonts w:eastAsia="Arial Unicode MS"/>
          <w:bCs/>
          <w:lang w:eastAsia="fr-FR" w:bidi="he-IL"/>
        </w:rPr>
        <w:t>Église</w:t>
      </w:r>
      <w:r w:rsidR="00E65435">
        <w:rPr>
          <w:rFonts w:eastAsia="Arial Unicode MS"/>
          <w:bCs/>
          <w:lang w:eastAsia="fr-FR" w:bidi="he-IL"/>
        </w:rPr>
        <w:t xml:space="preserve">, </w:t>
      </w:r>
      <w:r w:rsidRPr="00C8701B">
        <w:rPr>
          <w:rFonts w:eastAsia="Arial Unicode MS"/>
          <w:bCs/>
          <w:lang w:eastAsia="fr-FR" w:bidi="he-IL"/>
        </w:rPr>
        <w:t>dont le touchant souvenir charmera éternellement les consciences chrétiennes... Un mot sans cesse répété</w:t>
      </w:r>
      <w:r w:rsidR="00E65435">
        <w:rPr>
          <w:rFonts w:eastAsia="Arial Unicode MS"/>
          <w:bCs/>
          <w:lang w:eastAsia="fr-FR" w:bidi="he-IL"/>
        </w:rPr>
        <w:t xml:space="preserve">, </w:t>
      </w:r>
      <w:r w:rsidRPr="00C8701B">
        <w:rPr>
          <w:rFonts w:eastAsia="Arial Unicode MS"/>
          <w:bCs/>
          <w:lang w:eastAsia="fr-FR" w:bidi="he-IL"/>
        </w:rPr>
        <w:t xml:space="preserve">celui </w:t>
      </w:r>
      <w:r w:rsidRPr="00CA6915">
        <w:t>d</w:t>
      </w:r>
      <w:r w:rsidR="00557DE0">
        <w:t>’</w:t>
      </w:r>
      <w:r w:rsidRPr="00DC4586">
        <w:rPr>
          <w:rStyle w:val="italicus"/>
        </w:rPr>
        <w:t>imposture</w:t>
      </w:r>
      <w:r w:rsidR="00E65435">
        <w:rPr>
          <w:rStyle w:val="italicus"/>
        </w:rPr>
        <w:t xml:space="preserve">, </w:t>
      </w:r>
      <w:r w:rsidRPr="00C8701B">
        <w:rPr>
          <w:rFonts w:eastAsia="Arial Unicode MS"/>
          <w:bCs/>
          <w:lang w:eastAsia="fr-FR" w:bidi="he-IL"/>
        </w:rPr>
        <w:t>expliquait l</w:t>
      </w:r>
      <w:r w:rsidR="00557DE0">
        <w:rPr>
          <w:rFonts w:eastAsia="Arial Unicode MS"/>
          <w:bCs/>
          <w:lang w:eastAsia="fr-FR" w:bidi="he-IL"/>
        </w:rPr>
        <w:t>’</w:t>
      </w:r>
      <w:r w:rsidR="000439E9">
        <w:rPr>
          <w:rFonts w:eastAsia="Arial Unicode MS"/>
          <w:bCs/>
          <w:lang w:eastAsia="fr-FR" w:bidi="he-IL"/>
        </w:rPr>
        <w:t>Évangile</w:t>
      </w:r>
      <w:r w:rsidRPr="00C8701B">
        <w:rPr>
          <w:rFonts w:eastAsia="Arial Unicode MS"/>
          <w:bCs/>
          <w:lang w:eastAsia="fr-FR" w:bidi="he-IL"/>
        </w:rPr>
        <w:t>. La naissance de Jésus-Christ d</w:t>
      </w:r>
      <w:r w:rsidR="00557DE0">
        <w:rPr>
          <w:rFonts w:eastAsia="Arial Unicode MS"/>
          <w:bCs/>
          <w:lang w:eastAsia="fr-FR" w:bidi="he-IL"/>
        </w:rPr>
        <w:t>’</w:t>
      </w:r>
      <w:r w:rsidRPr="00C8701B">
        <w:rPr>
          <w:rFonts w:eastAsia="Arial Unicode MS"/>
          <w:bCs/>
          <w:lang w:eastAsia="fr-FR" w:bidi="he-IL"/>
        </w:rPr>
        <w:t>une vierge était une imposture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la vie miraculeuse du Sauveur</w:t>
      </w:r>
      <w:r w:rsidR="00E65435">
        <w:rPr>
          <w:rFonts w:eastAsia="Arial Unicode MS"/>
          <w:bCs/>
          <w:lang w:eastAsia="fr-FR" w:bidi="he-IL"/>
        </w:rPr>
        <w:t xml:space="preserve">, </w:t>
      </w:r>
      <w:r w:rsidRPr="00C8701B">
        <w:rPr>
          <w:rFonts w:eastAsia="Arial Unicode MS"/>
          <w:bCs/>
          <w:lang w:eastAsia="fr-FR" w:bidi="he-IL"/>
        </w:rPr>
        <w:t>une imposture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sa résurrection</w:t>
      </w:r>
      <w:r w:rsidR="00E65435">
        <w:rPr>
          <w:rFonts w:eastAsia="Arial Unicode MS"/>
          <w:bCs/>
          <w:lang w:eastAsia="fr-FR" w:bidi="he-IL"/>
        </w:rPr>
        <w:t xml:space="preserve">, </w:t>
      </w:r>
      <w:r w:rsidRPr="00C8701B">
        <w:rPr>
          <w:rFonts w:eastAsia="Arial Unicode MS"/>
          <w:bCs/>
          <w:lang w:eastAsia="fr-FR" w:bidi="he-IL"/>
        </w:rPr>
        <w:t>une imposture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la divine mission des apôtres</w:t>
      </w:r>
      <w:r w:rsidR="00E65435">
        <w:rPr>
          <w:rFonts w:eastAsia="Arial Unicode MS"/>
          <w:bCs/>
          <w:lang w:eastAsia="fr-FR" w:bidi="he-IL"/>
        </w:rPr>
        <w:t xml:space="preserve">, </w:t>
      </w:r>
      <w:r w:rsidRPr="00C8701B">
        <w:rPr>
          <w:rFonts w:eastAsia="Arial Unicode MS"/>
          <w:bCs/>
          <w:lang w:eastAsia="fr-FR" w:bidi="he-IL"/>
        </w:rPr>
        <w:t>scellée par le miracle de la Pentecôte</w:t>
      </w:r>
      <w:r w:rsidR="00E65435">
        <w:rPr>
          <w:rFonts w:eastAsia="Arial Unicode MS"/>
          <w:bCs/>
          <w:lang w:eastAsia="fr-FR" w:bidi="he-IL"/>
        </w:rPr>
        <w:t xml:space="preserve">, </w:t>
      </w:r>
      <w:r w:rsidRPr="00C8701B">
        <w:rPr>
          <w:rFonts w:eastAsia="Arial Unicode MS"/>
          <w:bCs/>
          <w:lang w:eastAsia="fr-FR" w:bidi="he-IL"/>
        </w:rPr>
        <w:t>une impostur</w:t>
      </w:r>
      <w:r w:rsidR="00CA6915">
        <w:rPr>
          <w:rFonts w:eastAsia="Arial Unicode MS"/>
          <w:bCs/>
          <w:lang w:eastAsia="fr-FR" w:bidi="he-IL"/>
        </w:rPr>
        <w:t>e »</w:t>
      </w:r>
      <w:r w:rsidR="00933C60" w:rsidRPr="00C406FF">
        <w:rPr>
          <w:rStyle w:val="Appelnotedebasdep"/>
        </w:rPr>
        <w:footnoteReference w:id="423"/>
      </w:r>
      <w:r w:rsidR="00CA6915">
        <w:rPr>
          <w:rFonts w:eastAsia="Arial Unicode MS"/>
          <w:bCs/>
          <w:lang w:eastAsia="fr-FR" w:bidi="he-IL"/>
        </w:rPr>
        <w:t xml:space="preserve">. </w:t>
      </w:r>
    </w:p>
    <w:p w:rsidR="00CA6915" w:rsidRDefault="00CA6915" w:rsidP="00CA6915">
      <w:pPr>
        <w:rPr>
          <w:rFonts w:eastAsia="Arial Unicode MS"/>
          <w:bCs/>
          <w:lang w:eastAsia="fr-FR" w:bidi="he-IL"/>
        </w:rPr>
      </w:pPr>
      <w:r>
        <w:rPr>
          <w:rFonts w:eastAsia="Arial Unicode MS"/>
          <w:bCs/>
          <w:lang w:eastAsia="fr-FR" w:bidi="he-IL"/>
        </w:rPr>
        <w:t>L</w:t>
      </w:r>
      <w:r w:rsidR="00B704AD" w:rsidRPr="00C8701B">
        <w:rPr>
          <w:rFonts w:eastAsia="Arial Unicode MS"/>
          <w:bCs/>
          <w:lang w:eastAsia="fr-FR" w:bidi="he-IL"/>
        </w:rPr>
        <w:t>e scandale fut tel</w:t>
      </w:r>
      <w:r w:rsidR="00E65435">
        <w:rPr>
          <w:rFonts w:eastAsia="Arial Unicode MS"/>
          <w:bCs/>
          <w:lang w:eastAsia="fr-FR" w:bidi="he-IL"/>
        </w:rPr>
        <w:t xml:space="preserve">, </w:t>
      </w:r>
      <w:r w:rsidR="00B704AD" w:rsidRPr="00C8701B">
        <w:rPr>
          <w:rFonts w:eastAsia="Arial Unicode MS"/>
          <w:bCs/>
          <w:lang w:eastAsia="fr-FR" w:bidi="he-IL"/>
        </w:rPr>
        <w:t>que des hom</w:t>
      </w:r>
      <w:r>
        <w:rPr>
          <w:rFonts w:eastAsia="Arial Unicode MS"/>
          <w:bCs/>
          <w:lang w:eastAsia="fr-FR" w:bidi="he-IL"/>
        </w:rPr>
        <w:t>mes du calibre de Jean-Jacques R</w:t>
      </w:r>
      <w:r w:rsidR="00B704AD" w:rsidRPr="00C8701B">
        <w:rPr>
          <w:rFonts w:eastAsia="Arial Unicode MS"/>
          <w:bCs/>
          <w:lang w:eastAsia="fr-FR" w:bidi="he-IL"/>
        </w:rPr>
        <w:t>ousseau se crurent obligés de protester publiquement. C</w:t>
      </w:r>
      <w:r w:rsidR="00557DE0">
        <w:rPr>
          <w:rFonts w:eastAsia="Arial Unicode MS"/>
          <w:bCs/>
          <w:lang w:eastAsia="fr-FR" w:bidi="he-IL"/>
        </w:rPr>
        <w:t>’</w:t>
      </w:r>
      <w:r w:rsidR="00B704AD" w:rsidRPr="00C8701B">
        <w:rPr>
          <w:rFonts w:eastAsia="Arial Unicode MS"/>
          <w:bCs/>
          <w:lang w:eastAsia="fr-FR" w:bidi="he-IL"/>
        </w:rPr>
        <w:t>est ce qui nous a valu les paroles célèbres</w:t>
      </w:r>
      <w:r w:rsidR="00C2602D" w:rsidRPr="00C8701B">
        <w:rPr>
          <w:rFonts w:eastAsia="Arial Unicode MS"/>
          <w:bCs/>
          <w:lang w:eastAsia="fr-FR" w:bidi="he-IL"/>
        </w:rPr>
        <w:t> :</w:t>
      </w:r>
      <w:r w:rsidR="00B704AD" w:rsidRPr="00C8701B">
        <w:rPr>
          <w:rFonts w:eastAsia="Arial Unicode MS"/>
          <w:bCs/>
          <w:lang w:eastAsia="fr-FR" w:bidi="he-IL"/>
        </w:rPr>
        <w:t xml:space="preserve"> </w:t>
      </w:r>
      <w:r w:rsidR="00C14040" w:rsidRPr="000716BB">
        <w:rPr>
          <w:rFonts w:eastAsia="Arial Unicode MS"/>
          <w:bCs/>
          <w:lang w:eastAsia="fr-FR" w:bidi="he-IL"/>
        </w:rPr>
        <w:t>{</w:t>
      </w:r>
      <w:r w:rsidR="00C14040">
        <w:rPr>
          <w:rFonts w:eastAsia="Arial Unicode MS"/>
          <w:bCs/>
          <w:lang w:eastAsia="fr-FR" w:bidi="he-IL"/>
        </w:rPr>
        <w:t>78</w:t>
      </w:r>
      <w:bookmarkStart w:id="127" w:name="pag078"/>
      <w:bookmarkEnd w:id="127"/>
      <w:r w:rsidR="00C14040" w:rsidRPr="000716BB">
        <w:rPr>
          <w:rFonts w:eastAsia="Arial Unicode MS"/>
          <w:bCs/>
          <w:lang w:eastAsia="fr-FR" w:bidi="he-IL"/>
        </w:rPr>
        <w:t xml:space="preserve">} </w:t>
      </w:r>
      <w:r w:rsidR="00C2602D" w:rsidRPr="00C8701B">
        <w:rPr>
          <w:rFonts w:eastAsia="Arial Unicode MS"/>
          <w:bCs/>
          <w:lang w:eastAsia="fr-FR" w:bidi="he-IL"/>
        </w:rPr>
        <w:t>« </w:t>
      </w:r>
      <w:r w:rsidR="00B704AD" w:rsidRPr="00C8701B">
        <w:rPr>
          <w:rFonts w:eastAsia="Arial Unicode MS"/>
          <w:bCs/>
          <w:lang w:eastAsia="fr-FR" w:bidi="he-IL"/>
        </w:rPr>
        <w:t>La majesté de l</w:t>
      </w:r>
      <w:r w:rsidR="00557DE0">
        <w:rPr>
          <w:rFonts w:eastAsia="Arial Unicode MS"/>
          <w:bCs/>
          <w:lang w:eastAsia="fr-FR" w:bidi="he-IL"/>
        </w:rPr>
        <w:t>’</w:t>
      </w:r>
      <w:r w:rsidR="000439E9">
        <w:rPr>
          <w:rFonts w:eastAsia="Arial Unicode MS"/>
          <w:bCs/>
          <w:lang w:eastAsia="fr-FR" w:bidi="he-IL"/>
        </w:rPr>
        <w:t>Évangile</w:t>
      </w:r>
      <w:r w:rsidR="00B704AD" w:rsidRPr="00C8701B">
        <w:rPr>
          <w:rFonts w:eastAsia="Arial Unicode MS"/>
          <w:bCs/>
          <w:lang w:eastAsia="fr-FR" w:bidi="he-IL"/>
        </w:rPr>
        <w:t xml:space="preserve"> m</w:t>
      </w:r>
      <w:r w:rsidR="00557DE0">
        <w:rPr>
          <w:rFonts w:eastAsia="Arial Unicode MS"/>
          <w:bCs/>
          <w:lang w:eastAsia="fr-FR" w:bidi="he-IL"/>
        </w:rPr>
        <w:t>’</w:t>
      </w:r>
      <w:r w:rsidR="00B704AD" w:rsidRPr="00C8701B">
        <w:rPr>
          <w:rFonts w:eastAsia="Arial Unicode MS"/>
          <w:bCs/>
          <w:lang w:eastAsia="fr-FR" w:bidi="he-IL"/>
        </w:rPr>
        <w:t>étonne</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sa sainteté parle à mon cœur... Ce</w:t>
      </w:r>
      <w:r>
        <w:rPr>
          <w:rFonts w:eastAsia="Arial Unicode MS"/>
          <w:bCs/>
          <w:lang w:eastAsia="fr-FR" w:bidi="he-IL"/>
        </w:rPr>
        <w:t xml:space="preserve"> n</w:t>
      </w:r>
      <w:r w:rsidR="00557DE0">
        <w:rPr>
          <w:rFonts w:eastAsia="Arial Unicode MS"/>
          <w:bCs/>
          <w:lang w:eastAsia="fr-FR" w:bidi="he-IL"/>
        </w:rPr>
        <w:t>’</w:t>
      </w:r>
      <w:r w:rsidR="00B704AD" w:rsidRPr="00C8701B">
        <w:rPr>
          <w:rFonts w:eastAsia="Arial Unicode MS"/>
          <w:bCs/>
          <w:lang w:eastAsia="fr-FR" w:bidi="he-IL"/>
        </w:rPr>
        <w:t>est pas ainsi qu</w:t>
      </w:r>
      <w:r w:rsidR="00557DE0">
        <w:rPr>
          <w:rFonts w:eastAsia="Arial Unicode MS"/>
          <w:bCs/>
          <w:lang w:eastAsia="fr-FR" w:bidi="he-IL"/>
        </w:rPr>
        <w:t>’</w:t>
      </w:r>
      <w:r w:rsidR="00B704AD" w:rsidRPr="00C8701B">
        <w:rPr>
          <w:rFonts w:eastAsia="Arial Unicode MS"/>
          <w:bCs/>
          <w:lang w:eastAsia="fr-FR" w:bidi="he-IL"/>
        </w:rPr>
        <w:t>on invente</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l</w:t>
      </w:r>
      <w:r w:rsidR="00557DE0">
        <w:rPr>
          <w:rFonts w:eastAsia="Arial Unicode MS"/>
          <w:bCs/>
          <w:lang w:eastAsia="fr-FR" w:bidi="he-IL"/>
        </w:rPr>
        <w:t>’</w:t>
      </w:r>
      <w:r w:rsidR="00B704AD" w:rsidRPr="00C8701B">
        <w:rPr>
          <w:rFonts w:eastAsia="Arial Unicode MS"/>
          <w:bCs/>
          <w:lang w:eastAsia="fr-FR" w:bidi="he-IL"/>
        </w:rPr>
        <w:t>inventeur serait plus étonnant que le héro</w:t>
      </w:r>
      <w:r>
        <w:rPr>
          <w:rFonts w:eastAsia="Arial Unicode MS"/>
          <w:bCs/>
          <w:lang w:eastAsia="fr-FR" w:bidi="he-IL"/>
        </w:rPr>
        <w:t xml:space="preserve">s ». </w:t>
      </w:r>
    </w:p>
    <w:p w:rsidR="00C2602D" w:rsidRPr="00C8701B" w:rsidRDefault="00CA6915" w:rsidP="00CA6915">
      <w:pPr>
        <w:rPr>
          <w:rFonts w:eastAsia="Arial Unicode MS"/>
          <w:bCs/>
          <w:lang w:eastAsia="fr-FR" w:bidi="he-IL"/>
        </w:rPr>
      </w:pPr>
      <w:r>
        <w:rPr>
          <w:rFonts w:eastAsia="Arial Unicode MS"/>
          <w:bCs/>
          <w:lang w:eastAsia="fr-FR" w:bidi="he-IL"/>
        </w:rPr>
        <w:t>M</w:t>
      </w:r>
      <w:r w:rsidR="00B704AD" w:rsidRPr="00C8701B">
        <w:rPr>
          <w:rFonts w:eastAsia="Arial Unicode MS"/>
          <w:bCs/>
          <w:lang w:eastAsia="fr-FR" w:bidi="he-IL"/>
        </w:rPr>
        <w:t>alheureusement</w:t>
      </w:r>
      <w:r w:rsidR="00E65435">
        <w:rPr>
          <w:rFonts w:eastAsia="Arial Unicode MS"/>
          <w:bCs/>
          <w:lang w:eastAsia="fr-FR" w:bidi="he-IL"/>
        </w:rPr>
        <w:t xml:space="preserve">, </w:t>
      </w:r>
      <w:r w:rsidR="00B704AD" w:rsidRPr="00C8701B">
        <w:rPr>
          <w:rFonts w:eastAsia="Arial Unicode MS"/>
          <w:bCs/>
          <w:lang w:eastAsia="fr-FR" w:bidi="he-IL"/>
        </w:rPr>
        <w:t>un grand mal fut produit</w:t>
      </w:r>
      <w:r w:rsidR="00E65435">
        <w:rPr>
          <w:rFonts w:eastAsia="Arial Unicode MS"/>
          <w:bCs/>
          <w:lang w:eastAsia="fr-FR" w:bidi="he-IL"/>
        </w:rPr>
        <w:t xml:space="preserve">, </w:t>
      </w:r>
      <w:r w:rsidR="00B704AD" w:rsidRPr="00C8701B">
        <w:rPr>
          <w:rFonts w:eastAsia="Arial Unicode MS"/>
          <w:bCs/>
          <w:lang w:eastAsia="fr-FR" w:bidi="he-IL"/>
        </w:rPr>
        <w:t>et beaucoup niaient la divinité de Jésus-Christ</w:t>
      </w:r>
      <w:r w:rsidR="00E65435">
        <w:rPr>
          <w:rFonts w:eastAsia="Arial Unicode MS"/>
          <w:bCs/>
          <w:lang w:eastAsia="fr-FR" w:bidi="he-IL"/>
        </w:rPr>
        <w:t xml:space="preserve">, </w:t>
      </w:r>
      <w:r w:rsidR="00B704AD" w:rsidRPr="00C8701B">
        <w:rPr>
          <w:rFonts w:eastAsia="Arial Unicode MS"/>
          <w:bCs/>
          <w:lang w:eastAsia="fr-FR" w:bidi="he-IL"/>
        </w:rPr>
        <w:t>tout en reconnaissant au Sauveur les titres de grand homme et de moraliste distingué.</w:t>
      </w:r>
      <w:r w:rsidR="00C2602D" w:rsidRPr="00C8701B">
        <w:rPr>
          <w:rFonts w:eastAsia="Arial Unicode MS"/>
          <w:bCs/>
          <w:lang w:eastAsia="fr-FR" w:bidi="he-IL"/>
        </w:rPr>
        <w:t xml:space="preserve"> </w:t>
      </w:r>
    </w:p>
    <w:p w:rsidR="00C2602D" w:rsidRPr="00C8701B" w:rsidRDefault="0014311E" w:rsidP="00C2602D">
      <w:pPr>
        <w:rPr>
          <w:rFonts w:eastAsia="Arial Unicode MS"/>
          <w:bCs/>
          <w:lang w:eastAsia="fr-FR" w:bidi="he-IL"/>
        </w:rPr>
      </w:pPr>
      <w:r w:rsidRPr="00C8701B">
        <w:rPr>
          <w:rFonts w:eastAsia="Arial Unicode MS"/>
          <w:bCs/>
          <w:lang w:eastAsia="fr-FR" w:bidi="he-IL"/>
        </w:rPr>
        <w:t>2</w:t>
      </w:r>
      <w:r>
        <w:rPr>
          <w:rFonts w:eastAsia="Arial Unicode MS"/>
          <w:bCs/>
          <w:lang w:eastAsia="fr-FR" w:bidi="he-IL"/>
        </w:rPr>
        <w:t>°</w:t>
      </w:r>
      <w:r w:rsidR="00B704AD" w:rsidRPr="00C8701B">
        <w:rPr>
          <w:rFonts w:eastAsia="Arial Unicode MS"/>
          <w:bCs/>
          <w:lang w:eastAsia="fr-FR" w:bidi="he-IL"/>
        </w:rPr>
        <w:t xml:space="preserve"> Avec Semler</w:t>
      </w:r>
      <w:r w:rsidR="00933C60" w:rsidRPr="00C406FF">
        <w:rPr>
          <w:rStyle w:val="Appelnotedebasdep"/>
        </w:rPr>
        <w:footnoteReference w:id="424"/>
      </w:r>
      <w:r w:rsidR="00E65435">
        <w:rPr>
          <w:rFonts w:eastAsia="Arial Unicode MS"/>
          <w:bCs/>
          <w:lang w:eastAsia="fr-FR" w:bidi="he-IL"/>
        </w:rPr>
        <w:t xml:space="preserve">, </w:t>
      </w:r>
      <w:r w:rsidR="00B704AD" w:rsidRPr="00C8701B">
        <w:rPr>
          <w:rFonts w:eastAsia="Arial Unicode MS"/>
          <w:bCs/>
          <w:lang w:eastAsia="fr-FR" w:bidi="he-IL"/>
        </w:rPr>
        <w:t>qui est regardé comme le père du rationalisme proprement dit</w:t>
      </w:r>
      <w:r w:rsidR="00E65435">
        <w:rPr>
          <w:rFonts w:eastAsia="Arial Unicode MS"/>
          <w:bCs/>
          <w:lang w:eastAsia="fr-FR" w:bidi="he-IL"/>
        </w:rPr>
        <w:t xml:space="preserve">, </w:t>
      </w:r>
      <w:r w:rsidR="00CA6915">
        <w:rPr>
          <w:rFonts w:eastAsia="Arial Unicode MS"/>
          <w:bCs/>
          <w:lang w:eastAsia="fr-FR" w:bidi="he-IL"/>
        </w:rPr>
        <w:t>la question évangélique subit u</w:t>
      </w:r>
      <w:r w:rsidR="00B704AD" w:rsidRPr="00CA6915">
        <w:t>ne certain</w:t>
      </w:r>
      <w:r w:rsidR="00CA6915">
        <w:t>e</w:t>
      </w:r>
      <w:r w:rsidR="00B704AD" w:rsidRPr="00CA6915">
        <w:t xml:space="preserve"> transformation. </w:t>
      </w:r>
      <w:r w:rsidR="00B704AD" w:rsidRPr="00C8701B">
        <w:rPr>
          <w:rFonts w:eastAsia="Arial Unicode MS"/>
          <w:bCs/>
          <w:lang w:eastAsia="fr-FR" w:bidi="he-IL"/>
        </w:rPr>
        <w:t>Jésus et ses apôtres cessèrent d</w:t>
      </w:r>
      <w:r w:rsidR="00557DE0">
        <w:rPr>
          <w:rFonts w:eastAsia="Arial Unicode MS"/>
          <w:bCs/>
          <w:lang w:eastAsia="fr-FR" w:bidi="he-IL"/>
        </w:rPr>
        <w:t>’</w:t>
      </w:r>
      <w:r w:rsidR="00B704AD" w:rsidRPr="00C8701B">
        <w:rPr>
          <w:rFonts w:eastAsia="Arial Unicode MS"/>
          <w:bCs/>
          <w:lang w:eastAsia="fr-FR" w:bidi="he-IL"/>
        </w:rPr>
        <w:t>être regardés comme des imposteurs vulgaires</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toutefois</w:t>
      </w:r>
      <w:r w:rsidR="00E65435">
        <w:rPr>
          <w:rFonts w:eastAsia="Arial Unicode MS"/>
          <w:bCs/>
          <w:lang w:eastAsia="fr-FR" w:bidi="he-IL"/>
        </w:rPr>
        <w:t xml:space="preserve">, </w:t>
      </w:r>
      <w:r w:rsidR="00B704AD" w:rsidRPr="00C8701B">
        <w:rPr>
          <w:rFonts w:eastAsia="Arial Unicode MS"/>
          <w:bCs/>
          <w:lang w:eastAsia="fr-FR" w:bidi="he-IL"/>
        </w:rPr>
        <w:t>on ne craignit pas d</w:t>
      </w:r>
      <w:r w:rsidR="00557DE0">
        <w:rPr>
          <w:rFonts w:eastAsia="Arial Unicode MS"/>
          <w:bCs/>
          <w:lang w:eastAsia="fr-FR" w:bidi="he-IL"/>
        </w:rPr>
        <w:t>’</w:t>
      </w:r>
      <w:r w:rsidR="00B704AD" w:rsidRPr="00C8701B">
        <w:rPr>
          <w:rFonts w:eastAsia="Arial Unicode MS"/>
          <w:bCs/>
          <w:lang w:eastAsia="fr-FR" w:bidi="he-IL"/>
        </w:rPr>
        <w:t>affirmer qu</w:t>
      </w:r>
      <w:r w:rsidR="00557DE0">
        <w:rPr>
          <w:rFonts w:eastAsia="Arial Unicode MS"/>
          <w:bCs/>
          <w:lang w:eastAsia="fr-FR" w:bidi="he-IL"/>
        </w:rPr>
        <w:t>’</w:t>
      </w:r>
      <w:r w:rsidR="00B704AD" w:rsidRPr="00C8701B">
        <w:rPr>
          <w:rFonts w:eastAsia="Arial Unicode MS"/>
          <w:bCs/>
          <w:lang w:eastAsia="fr-FR" w:bidi="he-IL"/>
        </w:rPr>
        <w:t>ils s</w:t>
      </w:r>
      <w:r w:rsidR="00557DE0">
        <w:rPr>
          <w:rFonts w:eastAsia="Arial Unicode MS"/>
          <w:bCs/>
          <w:lang w:eastAsia="fr-FR" w:bidi="he-IL"/>
        </w:rPr>
        <w:t>’</w:t>
      </w:r>
      <w:r w:rsidR="00B704AD" w:rsidRPr="00C8701B">
        <w:rPr>
          <w:rFonts w:eastAsia="Arial Unicode MS"/>
          <w:bCs/>
          <w:lang w:eastAsia="fr-FR" w:bidi="he-IL"/>
        </w:rPr>
        <w:t xml:space="preserve">étaient </w:t>
      </w:r>
      <w:r w:rsidR="00C2602D" w:rsidRPr="00C8701B">
        <w:rPr>
          <w:rFonts w:eastAsia="Arial Unicode MS"/>
          <w:bCs/>
          <w:lang w:eastAsia="fr-FR" w:bidi="he-IL"/>
        </w:rPr>
        <w:t>« </w:t>
      </w:r>
      <w:r w:rsidR="00B704AD" w:rsidRPr="00C8701B">
        <w:rPr>
          <w:rFonts w:eastAsia="Arial Unicode MS"/>
          <w:bCs/>
          <w:lang w:eastAsia="fr-FR" w:bidi="he-IL"/>
        </w:rPr>
        <w:t>accommodés</w:t>
      </w:r>
      <w:r w:rsidR="00CA6915">
        <w:rPr>
          <w:rFonts w:eastAsia="Arial Unicode MS"/>
          <w:bCs/>
          <w:lang w:eastAsia="fr-FR" w:bidi="he-IL"/>
        </w:rPr>
        <w:t> »</w:t>
      </w:r>
      <w:r w:rsidR="000F7DAA">
        <w:rPr>
          <w:rFonts w:eastAsia="Arial Unicode MS"/>
          <w:bCs/>
          <w:lang w:val="el-GR" w:eastAsia="fr-FR" w:bidi="he-IL"/>
        </w:rPr>
        <w:t xml:space="preserve"> —</w:t>
      </w:r>
      <w:r w:rsidR="008D0642">
        <w:rPr>
          <w:rFonts w:eastAsia="Arial Unicode MS"/>
          <w:bCs/>
          <w:lang w:eastAsia="fr-FR" w:bidi="he-IL"/>
        </w:rPr>
        <w:t xml:space="preserve"> </w:t>
      </w:r>
      <w:r w:rsidR="00CA6915">
        <w:rPr>
          <w:rFonts w:eastAsia="Arial Unicode MS"/>
          <w:bCs/>
          <w:lang w:eastAsia="fr-FR" w:bidi="he-IL"/>
        </w:rPr>
        <w:t>ce fut le</w:t>
      </w:r>
      <w:r w:rsidR="00B704AD" w:rsidRPr="00C8701B">
        <w:rPr>
          <w:rFonts w:eastAsia="Arial Unicode MS"/>
          <w:bCs/>
          <w:lang w:eastAsia="fr-FR" w:bidi="he-IL"/>
        </w:rPr>
        <w:t xml:space="preserve"> mot reçu</w:t>
      </w:r>
      <w:r w:rsidR="000F7DAA">
        <w:rPr>
          <w:rFonts w:eastAsia="Arial Unicode MS"/>
          <w:bCs/>
          <w:lang w:eastAsia="fr-FR" w:bidi="he-IL"/>
        </w:rPr>
        <w:t xml:space="preserve"> —</w:t>
      </w:r>
      <w:r w:rsidR="008D0642">
        <w:rPr>
          <w:rFonts w:eastAsia="Arial Unicode MS"/>
          <w:bCs/>
          <w:lang w:eastAsia="fr-FR" w:bidi="he-IL"/>
        </w:rPr>
        <w:t xml:space="preserve"> </w:t>
      </w:r>
      <w:r w:rsidR="00B704AD" w:rsidRPr="00C8701B">
        <w:rPr>
          <w:rFonts w:eastAsia="Arial Unicode MS"/>
          <w:bCs/>
          <w:lang w:eastAsia="fr-FR" w:bidi="he-IL"/>
        </w:rPr>
        <w:t>aux idées</w:t>
      </w:r>
      <w:r w:rsidR="00E65435">
        <w:rPr>
          <w:rFonts w:eastAsia="Arial Unicode MS"/>
          <w:bCs/>
          <w:lang w:eastAsia="fr-FR" w:bidi="he-IL"/>
        </w:rPr>
        <w:t xml:space="preserve">, </w:t>
      </w:r>
      <w:r w:rsidR="00B704AD" w:rsidRPr="00C8701B">
        <w:rPr>
          <w:rFonts w:eastAsia="Arial Unicode MS"/>
          <w:bCs/>
          <w:lang w:eastAsia="fr-FR" w:bidi="he-IL"/>
        </w:rPr>
        <w:t>même fausses</w:t>
      </w:r>
      <w:r w:rsidR="00E65435">
        <w:rPr>
          <w:rFonts w:eastAsia="Arial Unicode MS"/>
          <w:bCs/>
          <w:lang w:eastAsia="fr-FR" w:bidi="he-IL"/>
        </w:rPr>
        <w:t xml:space="preserve">, </w:t>
      </w:r>
      <w:r w:rsidR="00B704AD" w:rsidRPr="00C8701B">
        <w:rPr>
          <w:rFonts w:eastAsia="Arial Unicode MS"/>
          <w:bCs/>
          <w:lang w:eastAsia="fr-FR" w:bidi="he-IL"/>
        </w:rPr>
        <w:t>de leurs contemporains</w:t>
      </w:r>
      <w:r w:rsidR="00E65435">
        <w:rPr>
          <w:rFonts w:eastAsia="Arial Unicode MS"/>
          <w:bCs/>
          <w:lang w:eastAsia="fr-FR" w:bidi="he-IL"/>
        </w:rPr>
        <w:t xml:space="preserve">, </w:t>
      </w:r>
      <w:r w:rsidR="00B704AD" w:rsidRPr="00C8701B">
        <w:rPr>
          <w:rFonts w:eastAsia="Arial Unicode MS"/>
          <w:bCs/>
          <w:lang w:eastAsia="fr-FR" w:bidi="he-IL"/>
        </w:rPr>
        <w:t>dans l</w:t>
      </w:r>
      <w:r w:rsidR="00557DE0">
        <w:rPr>
          <w:rFonts w:eastAsia="Arial Unicode MS"/>
          <w:bCs/>
          <w:lang w:eastAsia="fr-FR" w:bidi="he-IL"/>
        </w:rPr>
        <w:t>’</w:t>
      </w:r>
      <w:r w:rsidR="00B704AD" w:rsidRPr="00C8701B">
        <w:rPr>
          <w:rFonts w:eastAsia="Arial Unicode MS"/>
          <w:bCs/>
          <w:lang w:eastAsia="fr-FR" w:bidi="he-IL"/>
        </w:rPr>
        <w:t>espoir de les amener ainsi plus aisément à un état supérieur de sainteté. Par exemple</w:t>
      </w:r>
      <w:r w:rsidR="00E65435">
        <w:rPr>
          <w:rFonts w:eastAsia="Arial Unicode MS"/>
          <w:bCs/>
          <w:lang w:eastAsia="fr-FR" w:bidi="he-IL"/>
        </w:rPr>
        <w:t xml:space="preserve">, </w:t>
      </w:r>
      <w:r w:rsidR="00B704AD" w:rsidRPr="00C8701B">
        <w:rPr>
          <w:rFonts w:eastAsia="Arial Unicode MS"/>
          <w:bCs/>
          <w:lang w:eastAsia="fr-FR" w:bidi="he-IL"/>
        </w:rPr>
        <w:t>c</w:t>
      </w:r>
      <w:r w:rsidR="00557DE0">
        <w:rPr>
          <w:rFonts w:eastAsia="Arial Unicode MS"/>
          <w:bCs/>
          <w:lang w:eastAsia="fr-FR" w:bidi="he-IL"/>
        </w:rPr>
        <w:t>’</w:t>
      </w:r>
      <w:r w:rsidR="00B704AD" w:rsidRPr="00C8701B">
        <w:rPr>
          <w:rFonts w:eastAsia="Arial Unicode MS"/>
          <w:bCs/>
          <w:lang w:eastAsia="fr-FR" w:bidi="he-IL"/>
        </w:rPr>
        <w:t>est par une accommodation de ce genre que Jésus consentit à passer pour le Messie.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En réalité</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imposture s</w:t>
      </w:r>
      <w:r w:rsidR="00CA6915">
        <w:rPr>
          <w:rFonts w:eastAsia="Arial Unicode MS"/>
          <w:bCs/>
          <w:lang w:eastAsia="fr-FR" w:bidi="he-IL"/>
        </w:rPr>
        <w:t>erait-elle beaucoup moins grande</w:t>
      </w:r>
      <w:r w:rsidR="00C2602D" w:rsidRPr="00C8701B">
        <w:rPr>
          <w:rFonts w:eastAsia="Arial Unicode MS"/>
          <w:bCs/>
          <w:lang w:eastAsia="fr-FR" w:bidi="he-IL"/>
        </w:rPr>
        <w:t xml:space="preserve"> ? </w:t>
      </w:r>
    </w:p>
    <w:p w:rsidR="00C2602D" w:rsidRPr="00C8701B" w:rsidRDefault="00B704AD" w:rsidP="00C2602D">
      <w:pPr>
        <w:rPr>
          <w:rFonts w:eastAsia="Arial Unicode MS"/>
          <w:bCs/>
          <w:lang w:eastAsia="fr-FR" w:bidi="he-IL"/>
        </w:rPr>
      </w:pPr>
      <w:r w:rsidRPr="00C8701B">
        <w:rPr>
          <w:rFonts w:eastAsia="Arial Unicode MS"/>
          <w:bCs/>
          <w:lang w:eastAsia="fr-FR" w:bidi="he-IL"/>
        </w:rPr>
        <w:t>3° Vint ensuite</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car cela même parut trop fort et absolument injustifiable</w:t>
      </w:r>
      <w:r w:rsidR="00E65435">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le système de l</w:t>
      </w:r>
      <w:r w:rsidR="00557DE0">
        <w:rPr>
          <w:rFonts w:eastAsia="Arial Unicode MS"/>
          <w:bCs/>
          <w:lang w:eastAsia="fr-FR" w:bidi="he-IL"/>
        </w:rPr>
        <w:t>’</w:t>
      </w:r>
      <w:r w:rsidRPr="00C8701B">
        <w:rPr>
          <w:rFonts w:eastAsia="Arial Unicode MS"/>
          <w:bCs/>
          <w:lang w:eastAsia="fr-FR" w:bidi="he-IL"/>
        </w:rPr>
        <w:t>interprétation naturelle</w:t>
      </w:r>
      <w:r w:rsidR="00E65435">
        <w:rPr>
          <w:rFonts w:eastAsia="Arial Unicode MS"/>
          <w:bCs/>
          <w:lang w:eastAsia="fr-FR" w:bidi="he-IL"/>
        </w:rPr>
        <w:t xml:space="preserve">, </w:t>
      </w:r>
      <w:r w:rsidRPr="00C8701B">
        <w:rPr>
          <w:rFonts w:eastAsia="Arial Unicode MS"/>
          <w:bCs/>
          <w:lang w:eastAsia="fr-FR" w:bidi="he-IL"/>
        </w:rPr>
        <w:t>dont Paulus</w:t>
      </w:r>
      <w:r w:rsidR="00933C60" w:rsidRPr="00C406FF">
        <w:rPr>
          <w:rStyle w:val="Appelnotedebasdep"/>
        </w:rPr>
        <w:footnoteReference w:id="425"/>
      </w:r>
      <w:r w:rsidRPr="00C8701B">
        <w:rPr>
          <w:rFonts w:eastAsia="Arial Unicode MS"/>
          <w:bCs/>
          <w:lang w:eastAsia="fr-FR" w:bidi="he-IL"/>
        </w:rPr>
        <w:t xml:space="preserve"> fut le principal coryphée.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Pas de miracle</w:t>
      </w:r>
      <w:r w:rsidR="00E65435">
        <w:rPr>
          <w:rFonts w:eastAsia="Arial Unicode MS"/>
          <w:bCs/>
          <w:lang w:eastAsia="fr-FR" w:bidi="he-IL"/>
        </w:rPr>
        <w:t xml:space="preserve">, </w:t>
      </w:r>
      <w:r w:rsidRPr="00C8701B">
        <w:rPr>
          <w:rFonts w:eastAsia="Arial Unicode MS"/>
          <w:bCs/>
          <w:lang w:eastAsia="fr-FR" w:bidi="he-IL"/>
        </w:rPr>
        <w:t>pas de surnaturel dans l</w:t>
      </w:r>
      <w:r w:rsidR="00557DE0">
        <w:rPr>
          <w:rFonts w:eastAsia="Arial Unicode MS"/>
          <w:bCs/>
          <w:lang w:eastAsia="fr-FR" w:bidi="he-IL"/>
        </w:rPr>
        <w:t>’</w:t>
      </w:r>
      <w:r w:rsidR="000439E9">
        <w:rPr>
          <w:rFonts w:eastAsia="Arial Unicode MS"/>
          <w:bCs/>
          <w:lang w:eastAsia="fr-FR" w:bidi="he-IL"/>
        </w:rPr>
        <w:t>Évangile</w:t>
      </w:r>
      <w:r w:rsidR="00E65435">
        <w:rPr>
          <w:rFonts w:eastAsia="Arial Unicode MS"/>
          <w:bCs/>
          <w:lang w:eastAsia="fr-FR" w:bidi="he-IL"/>
        </w:rPr>
        <w:t xml:space="preserve">, </w:t>
      </w:r>
      <w:r w:rsidRPr="00C8701B">
        <w:rPr>
          <w:rFonts w:eastAsia="Arial Unicode MS"/>
          <w:bCs/>
          <w:lang w:eastAsia="fr-FR" w:bidi="he-IL"/>
        </w:rPr>
        <w:t>bien entendu</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ailleurs</w:t>
      </w:r>
      <w:r w:rsidR="00E65435">
        <w:rPr>
          <w:rFonts w:eastAsia="Arial Unicode MS"/>
          <w:bCs/>
          <w:lang w:eastAsia="fr-FR" w:bidi="he-IL"/>
        </w:rPr>
        <w:t xml:space="preserve">, </w:t>
      </w:r>
      <w:r w:rsidRPr="00C8701B">
        <w:rPr>
          <w:rFonts w:eastAsia="Arial Unicode MS"/>
          <w:bCs/>
          <w:lang w:eastAsia="fr-FR" w:bidi="he-IL"/>
        </w:rPr>
        <w:t>aucune de ces écoles n</w:t>
      </w:r>
      <w:r w:rsidR="00557DE0">
        <w:rPr>
          <w:rFonts w:eastAsia="Arial Unicode MS"/>
          <w:bCs/>
          <w:lang w:eastAsia="fr-FR" w:bidi="he-IL"/>
        </w:rPr>
        <w:t>’</w:t>
      </w:r>
      <w:r w:rsidRPr="00C8701B">
        <w:rPr>
          <w:rFonts w:eastAsia="Arial Unicode MS"/>
          <w:bCs/>
          <w:lang w:eastAsia="fr-FR" w:bidi="he-IL"/>
        </w:rPr>
        <w:t>en veut</w:t>
      </w:r>
      <w:r w:rsidR="00E65435">
        <w:rPr>
          <w:rFonts w:eastAsia="Arial Unicode MS"/>
          <w:bCs/>
          <w:lang w:eastAsia="fr-FR" w:bidi="he-IL"/>
        </w:rPr>
        <w:t xml:space="preserve">, </w:t>
      </w:r>
      <w:r w:rsidR="00DF496C">
        <w:rPr>
          <w:rFonts w:eastAsia="Arial Unicode MS"/>
          <w:bCs/>
          <w:lang w:eastAsia="fr-FR" w:bidi="he-IL"/>
        </w:rPr>
        <w:t>et elles ne diff</w:t>
      </w:r>
      <w:r w:rsidRPr="00C8701B">
        <w:rPr>
          <w:rFonts w:eastAsia="Arial Unicode MS"/>
          <w:bCs/>
          <w:lang w:eastAsia="fr-FR" w:bidi="he-IL"/>
        </w:rPr>
        <w:t>èrent guère les unes des autres que par les méthodes qu</w:t>
      </w:r>
      <w:r w:rsidR="00557DE0">
        <w:rPr>
          <w:rFonts w:eastAsia="Arial Unicode MS"/>
          <w:bCs/>
          <w:lang w:eastAsia="fr-FR" w:bidi="he-IL"/>
        </w:rPr>
        <w:t>’</w:t>
      </w:r>
      <w:r w:rsidRPr="00C8701B">
        <w:rPr>
          <w:rFonts w:eastAsia="Arial Unicode MS"/>
          <w:bCs/>
          <w:lang w:eastAsia="fr-FR" w:bidi="he-IL"/>
        </w:rPr>
        <w:t>elles emploient pour exclure cet élément</w:t>
      </w:r>
      <w:r w:rsidR="00933C60" w:rsidRPr="00C406FF">
        <w:rPr>
          <w:rStyle w:val="Appelnotedebasdep"/>
        </w:rPr>
        <w:footnoteReference w:id="426"/>
      </w:r>
      <w:r w:rsidRPr="00C8701B">
        <w:rPr>
          <w:rFonts w:eastAsia="Arial Unicode MS"/>
          <w:bCs/>
          <w:lang w:eastAsia="fr-FR" w:bidi="he-IL"/>
        </w:rPr>
        <w:t>. D</w:t>
      </w:r>
      <w:r w:rsidR="00557DE0">
        <w:rPr>
          <w:rFonts w:eastAsia="Arial Unicode MS"/>
          <w:bCs/>
          <w:lang w:eastAsia="fr-FR" w:bidi="he-IL"/>
        </w:rPr>
        <w:t>’</w:t>
      </w:r>
      <w:r w:rsidRPr="00C8701B">
        <w:rPr>
          <w:rFonts w:eastAsia="Arial Unicode MS"/>
          <w:bCs/>
          <w:lang w:eastAsia="fr-FR" w:bidi="he-IL"/>
        </w:rPr>
        <w:t>un autre côté</w:t>
      </w:r>
      <w:r w:rsidR="00E65435">
        <w:rPr>
          <w:rFonts w:eastAsia="Arial Unicode MS"/>
          <w:bCs/>
          <w:lang w:eastAsia="fr-FR" w:bidi="he-IL"/>
        </w:rPr>
        <w:t xml:space="preserve">, </w:t>
      </w:r>
      <w:r w:rsidRPr="00C8701B">
        <w:rPr>
          <w:rFonts w:eastAsia="Arial Unicode MS"/>
          <w:bCs/>
          <w:lang w:eastAsia="fr-FR" w:bidi="he-IL"/>
        </w:rPr>
        <w:t>pas d</w:t>
      </w:r>
      <w:r w:rsidR="00557DE0">
        <w:rPr>
          <w:rFonts w:eastAsia="Arial Unicode MS"/>
          <w:bCs/>
          <w:lang w:eastAsia="fr-FR" w:bidi="he-IL"/>
        </w:rPr>
        <w:t>’</w:t>
      </w:r>
      <w:r w:rsidRPr="00C8701B">
        <w:rPr>
          <w:rFonts w:eastAsia="Arial Unicode MS"/>
          <w:bCs/>
          <w:lang w:eastAsia="fr-FR" w:bidi="he-IL"/>
        </w:rPr>
        <w:t>imposture ni de fraude. Seulement</w:t>
      </w:r>
      <w:r w:rsidR="00E65435">
        <w:rPr>
          <w:rFonts w:eastAsia="Arial Unicode MS"/>
          <w:bCs/>
          <w:lang w:eastAsia="fr-FR" w:bidi="he-IL"/>
        </w:rPr>
        <w:t xml:space="preserve">, </w:t>
      </w:r>
      <w:r w:rsidRPr="00C8701B">
        <w:rPr>
          <w:rFonts w:eastAsia="Arial Unicode MS"/>
          <w:bCs/>
          <w:lang w:eastAsia="fr-FR" w:bidi="he-IL"/>
        </w:rPr>
        <w:t>les évangélistes ont parlé la langue imagée et exagérée de l</w:t>
      </w:r>
      <w:r w:rsidR="00557DE0">
        <w:rPr>
          <w:rFonts w:eastAsia="Arial Unicode MS"/>
          <w:bCs/>
          <w:lang w:eastAsia="fr-FR" w:bidi="he-IL"/>
        </w:rPr>
        <w:t>’</w:t>
      </w:r>
      <w:r w:rsidRPr="00C8701B">
        <w:rPr>
          <w:rFonts w:eastAsia="Arial Unicode MS"/>
          <w:bCs/>
          <w:lang w:eastAsia="fr-FR" w:bidi="he-IL"/>
        </w:rPr>
        <w:t>Orient</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il nous appartient à nous</w:t>
      </w:r>
      <w:r w:rsidR="00E65435">
        <w:rPr>
          <w:rFonts w:eastAsia="Arial Unicode MS"/>
          <w:bCs/>
          <w:lang w:eastAsia="fr-FR" w:bidi="he-IL"/>
        </w:rPr>
        <w:t xml:space="preserve">, </w:t>
      </w:r>
      <w:r w:rsidRPr="00C8701B">
        <w:rPr>
          <w:rFonts w:eastAsia="Arial Unicode MS"/>
          <w:bCs/>
          <w:lang w:eastAsia="fr-FR" w:bidi="he-IL"/>
        </w:rPr>
        <w:t>Occidentaux</w:t>
      </w:r>
      <w:r w:rsidR="00E65435">
        <w:rPr>
          <w:rFonts w:eastAsia="Arial Unicode MS"/>
          <w:bCs/>
          <w:lang w:eastAsia="fr-FR" w:bidi="he-IL"/>
        </w:rPr>
        <w:t xml:space="preserve">, </w:t>
      </w:r>
      <w:r w:rsidRPr="00C8701B">
        <w:rPr>
          <w:rFonts w:eastAsia="Arial Unicode MS"/>
          <w:bCs/>
          <w:lang w:eastAsia="fr-FR" w:bidi="he-IL"/>
        </w:rPr>
        <w:t>de traduire leurs récits dans notre idiome plus simple</w:t>
      </w:r>
      <w:r w:rsidR="00E65435">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est-à-dire</w:t>
      </w:r>
      <w:r w:rsidR="00E65435">
        <w:rPr>
          <w:rFonts w:eastAsia="Arial Unicode MS"/>
          <w:bCs/>
          <w:lang w:eastAsia="fr-FR" w:bidi="he-IL"/>
        </w:rPr>
        <w:t xml:space="preserve">, </w:t>
      </w:r>
      <w:r w:rsidRPr="00C8701B">
        <w:rPr>
          <w:rFonts w:eastAsia="Arial Unicode MS"/>
          <w:bCs/>
          <w:lang w:eastAsia="fr-FR" w:bidi="he-IL"/>
        </w:rPr>
        <w:t>de réduire à leurs justes proportions ces miracles apparents.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Tel est le principe. On prend donc les faits l</w:t>
      </w:r>
      <w:r w:rsidR="00557DE0">
        <w:rPr>
          <w:rFonts w:eastAsia="Arial Unicode MS"/>
          <w:bCs/>
          <w:lang w:eastAsia="fr-FR" w:bidi="he-IL"/>
        </w:rPr>
        <w:t>’</w:t>
      </w:r>
      <w:r w:rsidRPr="00C8701B">
        <w:rPr>
          <w:rFonts w:eastAsia="Arial Unicode MS"/>
          <w:bCs/>
          <w:lang w:eastAsia="fr-FR" w:bidi="he-IL"/>
        </w:rPr>
        <w:t>un après l</w:t>
      </w:r>
      <w:r w:rsidR="00557DE0">
        <w:rPr>
          <w:rFonts w:eastAsia="Arial Unicode MS"/>
          <w:bCs/>
          <w:lang w:eastAsia="fr-FR" w:bidi="he-IL"/>
        </w:rPr>
        <w:t>’</w:t>
      </w:r>
      <w:r w:rsidRPr="00C8701B">
        <w:rPr>
          <w:rFonts w:eastAsia="Arial Unicode MS"/>
          <w:bCs/>
          <w:lang w:eastAsia="fr-FR" w:bidi="he-IL"/>
        </w:rPr>
        <w:t>autre</w:t>
      </w:r>
      <w:r w:rsidR="00E65435">
        <w:rPr>
          <w:rFonts w:eastAsia="Arial Unicode MS"/>
          <w:bCs/>
          <w:lang w:eastAsia="fr-FR" w:bidi="he-IL"/>
        </w:rPr>
        <w:t xml:space="preserve">, </w:t>
      </w:r>
      <w:r w:rsidRPr="00C8701B">
        <w:rPr>
          <w:rFonts w:eastAsia="Arial Unicode MS"/>
          <w:bCs/>
          <w:lang w:eastAsia="fr-FR" w:bidi="he-IL"/>
        </w:rPr>
        <w:t>pour en écarter les détails trop</w:t>
      </w:r>
      <w:r w:rsidR="00CE11E9">
        <w:rPr>
          <w:rFonts w:eastAsia="Arial Unicode MS"/>
          <w:bCs/>
          <w:lang w:eastAsia="fr-FR" w:bidi="he-IL"/>
        </w:rPr>
        <w:t xml:space="preserve"> </w:t>
      </w:r>
      <w:r w:rsidR="00CA6915">
        <w:rPr>
          <w:rFonts w:eastAsia="Arial Unicode MS"/>
          <w:bCs/>
          <w:lang w:eastAsia="fr-FR" w:bidi="he-IL"/>
        </w:rPr>
        <w:t>« </w:t>
      </w:r>
      <w:r w:rsidRPr="00C8701B">
        <w:rPr>
          <w:rFonts w:eastAsia="Arial Unicode MS"/>
          <w:bCs/>
          <w:lang w:eastAsia="fr-FR" w:bidi="he-IL"/>
        </w:rPr>
        <w:t>orientaux</w:t>
      </w:r>
      <w:r w:rsidR="00CA6915">
        <w:rPr>
          <w:rFonts w:eastAsia="Arial Unicode MS"/>
          <w:bCs/>
          <w:lang w:eastAsia="fr-FR" w:bidi="he-IL"/>
        </w:rPr>
        <w:t> »</w:t>
      </w:r>
      <w:r w:rsidR="00E65435">
        <w:rPr>
          <w:rFonts w:eastAsia="Arial Unicode MS"/>
          <w:bCs/>
          <w:lang w:val="el-GR" w:eastAsia="fr-FR" w:bidi="he-IL"/>
        </w:rPr>
        <w:t xml:space="preserve">, </w:t>
      </w:r>
      <w:r w:rsidRPr="00C8701B">
        <w:rPr>
          <w:rFonts w:eastAsia="Arial Unicode MS"/>
          <w:bCs/>
          <w:lang w:eastAsia="fr-FR" w:bidi="he-IL"/>
        </w:rPr>
        <w:t>et pour les ramener à leur</w:t>
      </w:r>
      <w:r w:rsidR="00CA6915">
        <w:rPr>
          <w:rStyle w:val="italicus"/>
        </w:rPr>
        <w:t xml:space="preserve"> substrat</w:t>
      </w:r>
      <w:r w:rsidRPr="00DC4586">
        <w:rPr>
          <w:rStyle w:val="italicus"/>
        </w:rPr>
        <w:t xml:space="preserve">um </w:t>
      </w:r>
      <w:r w:rsidRPr="00C8701B">
        <w:rPr>
          <w:rFonts w:eastAsia="Arial Unicode MS"/>
          <w:bCs/>
          <w:lang w:eastAsia="fr-FR" w:bidi="he-IL"/>
        </w:rPr>
        <w:t>primitif.</w:t>
      </w:r>
      <w:r w:rsidR="00C2602D" w:rsidRPr="00C8701B">
        <w:rPr>
          <w:rFonts w:eastAsia="Arial Unicode MS"/>
          <w:bCs/>
          <w:lang w:eastAsia="fr-FR" w:bidi="he-IL"/>
        </w:rPr>
        <w:t xml:space="preserve"> </w:t>
      </w:r>
    </w:p>
    <w:p w:rsidR="00C2602D" w:rsidRPr="00C8701B" w:rsidRDefault="00CA6915" w:rsidP="00C2602D">
      <w:pPr>
        <w:rPr>
          <w:rFonts w:eastAsia="Arial Unicode MS"/>
          <w:bCs/>
          <w:lang w:eastAsia="fr-FR" w:bidi="he-IL"/>
        </w:rPr>
      </w:pPr>
      <w:r>
        <w:rPr>
          <w:rFonts w:eastAsia="Arial Unicode MS"/>
          <w:bCs/>
          <w:lang w:eastAsia="fr-FR" w:bidi="he-IL"/>
        </w:rPr>
        <w:t>À</w:t>
      </w:r>
      <w:r w:rsidR="00B704AD" w:rsidRPr="00C8701B">
        <w:rPr>
          <w:rFonts w:eastAsia="Arial Unicode MS"/>
          <w:bCs/>
          <w:lang w:eastAsia="fr-FR" w:bidi="he-IL"/>
        </w:rPr>
        <w:t xml:space="preserve"> quelles curieuses découvertes l</w:t>
      </w:r>
      <w:r w:rsidR="00557DE0">
        <w:rPr>
          <w:rFonts w:eastAsia="Arial Unicode MS"/>
          <w:bCs/>
          <w:lang w:eastAsia="fr-FR" w:bidi="he-IL"/>
        </w:rPr>
        <w:t>’</w:t>
      </w:r>
      <w:r w:rsidR="00B704AD" w:rsidRPr="00C8701B">
        <w:rPr>
          <w:rFonts w:eastAsia="Arial Unicode MS"/>
          <w:bCs/>
          <w:lang w:eastAsia="fr-FR" w:bidi="he-IL"/>
        </w:rPr>
        <w:t>on arrive de cette sorte</w:t>
      </w:r>
      <w:r w:rsidR="00C2602D" w:rsidRPr="00C8701B">
        <w:rPr>
          <w:rFonts w:eastAsia="Arial Unicode MS"/>
          <w:bCs/>
          <w:lang w:eastAsia="fr-FR" w:bidi="he-IL"/>
        </w:rPr>
        <w:t> !</w:t>
      </w:r>
      <w:r w:rsidR="00B704AD" w:rsidRPr="00C8701B">
        <w:rPr>
          <w:rFonts w:eastAsia="Arial Unicode MS"/>
          <w:bCs/>
          <w:lang w:eastAsia="fr-FR" w:bidi="he-IL"/>
        </w:rPr>
        <w:t xml:space="preserve"> Les pasteurs de </w:t>
      </w:r>
      <w:r w:rsidR="00DF496C" w:rsidRPr="00C8701B">
        <w:rPr>
          <w:rFonts w:eastAsia="Arial Unicode MS"/>
          <w:bCs/>
          <w:lang w:eastAsia="fr-FR" w:bidi="he-IL"/>
        </w:rPr>
        <w:t>Bethléem</w:t>
      </w:r>
      <w:r w:rsidR="00B704AD" w:rsidRPr="00C8701B">
        <w:rPr>
          <w:rFonts w:eastAsia="Arial Unicode MS"/>
          <w:bCs/>
          <w:lang w:eastAsia="fr-FR" w:bidi="he-IL"/>
        </w:rPr>
        <w:t xml:space="preserve"> virent un simple feu follet</w:t>
      </w:r>
      <w:r w:rsidR="00E65435">
        <w:rPr>
          <w:rFonts w:eastAsia="Arial Unicode MS"/>
          <w:bCs/>
          <w:lang w:eastAsia="fr-FR" w:bidi="he-IL"/>
        </w:rPr>
        <w:t xml:space="preserve">, </w:t>
      </w:r>
      <w:r w:rsidR="00B704AD" w:rsidRPr="00C8701B">
        <w:rPr>
          <w:rFonts w:eastAsia="Arial Unicode MS"/>
          <w:bCs/>
          <w:lang w:eastAsia="fr-FR" w:bidi="he-IL"/>
        </w:rPr>
        <w:t>et ils crurent que c</w:t>
      </w:r>
      <w:r w:rsidR="00557DE0">
        <w:rPr>
          <w:rFonts w:eastAsia="Arial Unicode MS"/>
          <w:bCs/>
          <w:lang w:eastAsia="fr-FR" w:bidi="he-IL"/>
        </w:rPr>
        <w:t>’</w:t>
      </w:r>
      <w:r w:rsidR="00B704AD" w:rsidRPr="00C8701B">
        <w:rPr>
          <w:rFonts w:eastAsia="Arial Unicode MS"/>
          <w:bCs/>
          <w:lang w:eastAsia="fr-FR" w:bidi="he-IL"/>
        </w:rPr>
        <w:t>étaient des anges. Les ressuscités de l</w:t>
      </w:r>
      <w:r w:rsidR="00557DE0">
        <w:rPr>
          <w:rFonts w:eastAsia="Arial Unicode MS"/>
          <w:bCs/>
          <w:lang w:eastAsia="fr-FR" w:bidi="he-IL"/>
        </w:rPr>
        <w:t>’</w:t>
      </w:r>
      <w:r>
        <w:rPr>
          <w:rFonts w:eastAsia="Arial Unicode MS"/>
          <w:bCs/>
          <w:lang w:eastAsia="fr-FR" w:bidi="he-IL"/>
        </w:rPr>
        <w:t>évan</w:t>
      </w:r>
      <w:r w:rsidR="00B704AD" w:rsidRPr="00C8701B">
        <w:rPr>
          <w:rFonts w:eastAsia="Arial Unicode MS"/>
          <w:bCs/>
          <w:lang w:eastAsia="fr-FR" w:bidi="he-IL"/>
        </w:rPr>
        <w:t>gile n</w:t>
      </w:r>
      <w:r w:rsidR="00557DE0">
        <w:rPr>
          <w:rFonts w:eastAsia="Arial Unicode MS"/>
          <w:bCs/>
          <w:lang w:eastAsia="fr-FR" w:bidi="he-IL"/>
        </w:rPr>
        <w:t>’</w:t>
      </w:r>
      <w:r w:rsidR="00B704AD" w:rsidRPr="00C8701B">
        <w:rPr>
          <w:rFonts w:eastAsia="Arial Unicode MS"/>
          <w:bCs/>
          <w:lang w:eastAsia="fr-FR" w:bidi="he-IL"/>
        </w:rPr>
        <w:t>étaient pas morts</w:t>
      </w:r>
      <w:r w:rsidR="00E65435">
        <w:rPr>
          <w:rFonts w:eastAsia="Arial Unicode MS"/>
          <w:bCs/>
          <w:lang w:eastAsia="fr-FR" w:bidi="he-IL"/>
        </w:rPr>
        <w:t xml:space="preserve">, </w:t>
      </w:r>
      <w:r w:rsidR="00B704AD" w:rsidRPr="00C8701B">
        <w:rPr>
          <w:rFonts w:eastAsia="Arial Unicode MS"/>
          <w:bCs/>
          <w:lang w:eastAsia="fr-FR" w:bidi="he-IL"/>
        </w:rPr>
        <w:t>mais seulement</w:t>
      </w:r>
      <w:r w:rsidR="00DF496C">
        <w:rPr>
          <w:rFonts w:eastAsia="Arial Unicode MS"/>
          <w:bCs/>
          <w:lang w:eastAsia="fr-FR" w:bidi="he-IL"/>
        </w:rPr>
        <w:t xml:space="preserve"> </w:t>
      </w:r>
      <w:r w:rsidR="00B704AD" w:rsidRPr="00C8701B">
        <w:rPr>
          <w:rFonts w:eastAsia="Arial Unicode MS"/>
          <w:bCs/>
          <w:lang w:eastAsia="fr-FR" w:bidi="he-IL"/>
        </w:rPr>
        <w:t>en léthargie</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Jésus lui-même fut ramené à la vie par les aromates don</w:t>
      </w:r>
      <w:r>
        <w:rPr>
          <w:rFonts w:eastAsia="Arial Unicode MS"/>
          <w:bCs/>
          <w:lang w:eastAsia="fr-FR" w:bidi="he-IL"/>
        </w:rPr>
        <w:t>t on avait entouré son corps. « </w:t>
      </w:r>
      <w:r w:rsidR="00B704AD" w:rsidRPr="00C8701B">
        <w:rPr>
          <w:rFonts w:eastAsia="Arial Unicode MS"/>
          <w:bCs/>
          <w:lang w:eastAsia="fr-FR" w:bidi="he-IL"/>
        </w:rPr>
        <w:t>Les commentateurs de S. Jean disent que</w:t>
      </w:r>
      <w:r w:rsidR="00E65435">
        <w:rPr>
          <w:rFonts w:eastAsia="Arial Unicode MS"/>
          <w:bCs/>
          <w:lang w:eastAsia="fr-FR" w:bidi="he-IL"/>
        </w:rPr>
        <w:t xml:space="preserve">, </w:t>
      </w:r>
      <w:r w:rsidR="00B704AD" w:rsidRPr="00C8701B">
        <w:rPr>
          <w:rFonts w:eastAsia="Arial Unicode MS"/>
          <w:bCs/>
          <w:lang w:eastAsia="fr-FR" w:bidi="he-IL"/>
        </w:rPr>
        <w:t>aux noces de Cana</w:t>
      </w:r>
      <w:r w:rsidR="00E65435">
        <w:rPr>
          <w:rFonts w:eastAsia="Arial Unicode MS"/>
          <w:bCs/>
          <w:lang w:eastAsia="fr-FR" w:bidi="he-IL"/>
        </w:rPr>
        <w:t xml:space="preserve">, </w:t>
      </w:r>
      <w:r w:rsidR="00B704AD" w:rsidRPr="00C8701B">
        <w:rPr>
          <w:rFonts w:eastAsia="Arial Unicode MS"/>
          <w:bCs/>
          <w:lang w:eastAsia="fr-FR" w:bidi="he-IL"/>
        </w:rPr>
        <w:t>Jésus changea l</w:t>
      </w:r>
      <w:r w:rsidR="00557DE0">
        <w:rPr>
          <w:rFonts w:eastAsia="Arial Unicode MS"/>
          <w:bCs/>
          <w:lang w:eastAsia="fr-FR" w:bidi="he-IL"/>
        </w:rPr>
        <w:t>’</w:t>
      </w:r>
      <w:r w:rsidR="00B704AD" w:rsidRPr="00C8701B">
        <w:rPr>
          <w:rFonts w:eastAsia="Arial Unicode MS"/>
          <w:bCs/>
          <w:lang w:eastAsia="fr-FR" w:bidi="he-IL"/>
        </w:rPr>
        <w:t>eau en vin. Erreur d</w:t>
      </w:r>
      <w:r w:rsidR="00557DE0">
        <w:rPr>
          <w:rFonts w:eastAsia="Arial Unicode MS"/>
          <w:bCs/>
          <w:lang w:eastAsia="fr-FR" w:bidi="he-IL"/>
        </w:rPr>
        <w:t>’</w:t>
      </w:r>
      <w:r w:rsidR="00B704AD" w:rsidRPr="00C8701B">
        <w:rPr>
          <w:rFonts w:eastAsia="Arial Unicode MS"/>
          <w:bCs/>
          <w:lang w:eastAsia="fr-FR" w:bidi="he-IL"/>
        </w:rPr>
        <w:t>interprétation</w:t>
      </w:r>
      <w:r w:rsidR="00C2602D" w:rsidRPr="00C8701B">
        <w:rPr>
          <w:rFonts w:eastAsia="Arial Unicode MS"/>
          <w:bCs/>
          <w:lang w:eastAsia="fr-FR" w:bidi="he-IL"/>
        </w:rPr>
        <w:t> !</w:t>
      </w:r>
      <w:r w:rsidR="00B704AD" w:rsidRPr="00C8701B">
        <w:rPr>
          <w:rFonts w:eastAsia="Arial Unicode MS"/>
          <w:bCs/>
          <w:lang w:eastAsia="fr-FR" w:bidi="he-IL"/>
        </w:rPr>
        <w:t xml:space="preserve"> C</w:t>
      </w:r>
      <w:r w:rsidR="00557DE0">
        <w:rPr>
          <w:rFonts w:eastAsia="Arial Unicode MS"/>
          <w:bCs/>
          <w:lang w:eastAsia="fr-FR" w:bidi="he-IL"/>
        </w:rPr>
        <w:t>’</w:t>
      </w:r>
      <w:r w:rsidR="00B704AD" w:rsidRPr="00C8701B">
        <w:rPr>
          <w:rFonts w:eastAsia="Arial Unicode MS"/>
          <w:bCs/>
          <w:lang w:eastAsia="fr-FR" w:bidi="he-IL"/>
        </w:rPr>
        <w:t>était l</w:t>
      </w:r>
      <w:r w:rsidR="00557DE0">
        <w:rPr>
          <w:rFonts w:eastAsia="Arial Unicode MS"/>
          <w:bCs/>
          <w:lang w:eastAsia="fr-FR" w:bidi="he-IL"/>
        </w:rPr>
        <w:t>’</w:t>
      </w:r>
      <w:r w:rsidR="00B704AD" w:rsidRPr="00C8701B">
        <w:rPr>
          <w:rFonts w:eastAsia="Arial Unicode MS"/>
          <w:bCs/>
          <w:lang w:eastAsia="fr-FR" w:bidi="he-IL"/>
        </w:rPr>
        <w:t>usage</w:t>
      </w:r>
      <w:r w:rsidR="00E65435">
        <w:rPr>
          <w:rFonts w:eastAsia="Arial Unicode MS"/>
          <w:bCs/>
          <w:lang w:eastAsia="fr-FR" w:bidi="he-IL"/>
        </w:rPr>
        <w:t xml:space="preserve">, </w:t>
      </w:r>
      <w:r w:rsidR="00B704AD" w:rsidRPr="00C8701B">
        <w:rPr>
          <w:rFonts w:eastAsia="Arial Unicode MS"/>
          <w:bCs/>
          <w:lang w:eastAsia="fr-FR" w:bidi="he-IL"/>
        </w:rPr>
        <w:t>chez</w:t>
      </w:r>
      <w:r>
        <w:rPr>
          <w:rFonts w:eastAsia="Arial Unicode MS"/>
          <w:bCs/>
          <w:lang w:eastAsia="fr-FR" w:bidi="he-IL"/>
        </w:rPr>
        <w:t xml:space="preserve"> </w:t>
      </w:r>
      <w:r w:rsidR="00B704AD" w:rsidRPr="00C8701B">
        <w:rPr>
          <w:rFonts w:eastAsia="Arial Unicode MS"/>
          <w:bCs/>
          <w:lang w:eastAsia="fr-FR" w:bidi="he-IL"/>
        </w:rPr>
        <w:t>les juifs</w:t>
      </w:r>
      <w:r w:rsidR="00E65435">
        <w:rPr>
          <w:rFonts w:eastAsia="Arial Unicode MS"/>
          <w:bCs/>
          <w:lang w:eastAsia="fr-FR" w:bidi="he-IL"/>
        </w:rPr>
        <w:t xml:space="preserve">, </w:t>
      </w:r>
      <w:r w:rsidR="00B704AD" w:rsidRPr="00C8701B">
        <w:rPr>
          <w:rFonts w:eastAsia="Arial Unicode MS"/>
          <w:bCs/>
          <w:lang w:eastAsia="fr-FR" w:bidi="he-IL"/>
        </w:rPr>
        <w:t>d</w:t>
      </w:r>
      <w:r w:rsidR="00557DE0">
        <w:rPr>
          <w:rFonts w:eastAsia="Arial Unicode MS"/>
          <w:bCs/>
          <w:lang w:eastAsia="fr-FR" w:bidi="he-IL"/>
        </w:rPr>
        <w:t>’</w:t>
      </w:r>
      <w:r w:rsidR="00B704AD" w:rsidRPr="00C8701B">
        <w:rPr>
          <w:rFonts w:eastAsia="Arial Unicode MS"/>
          <w:bCs/>
          <w:lang w:eastAsia="fr-FR" w:bidi="he-IL"/>
        </w:rPr>
        <w:t>offrir pour cadeaux de noces aux nouveaux mariés des présents de vin ou d</w:t>
      </w:r>
      <w:r w:rsidR="00557DE0">
        <w:rPr>
          <w:rFonts w:eastAsia="Arial Unicode MS"/>
          <w:bCs/>
          <w:lang w:eastAsia="fr-FR" w:bidi="he-IL"/>
        </w:rPr>
        <w:t>’</w:t>
      </w:r>
      <w:r w:rsidR="00B704AD" w:rsidRPr="00C8701B">
        <w:rPr>
          <w:rFonts w:eastAsia="Arial Unicode MS"/>
          <w:bCs/>
          <w:lang w:eastAsia="fr-FR" w:bidi="he-IL"/>
        </w:rPr>
        <w:t>huile. Jésus ayant amené à Cana</w:t>
      </w:r>
      <w:r w:rsidR="00E65435">
        <w:rPr>
          <w:rFonts w:eastAsia="Arial Unicode MS"/>
          <w:bCs/>
          <w:lang w:eastAsia="fr-FR" w:bidi="he-IL"/>
        </w:rPr>
        <w:t xml:space="preserve">, </w:t>
      </w:r>
      <w:r w:rsidR="00B704AD" w:rsidRPr="00C8701B">
        <w:rPr>
          <w:rFonts w:eastAsia="Arial Unicode MS"/>
          <w:bCs/>
          <w:lang w:eastAsia="fr-FR" w:bidi="he-IL"/>
        </w:rPr>
        <w:t>sans qu</w:t>
      </w:r>
      <w:r w:rsidR="00557DE0">
        <w:rPr>
          <w:rFonts w:eastAsia="Arial Unicode MS"/>
          <w:bCs/>
          <w:lang w:eastAsia="fr-FR" w:bidi="he-IL"/>
        </w:rPr>
        <w:t>’</w:t>
      </w:r>
      <w:r w:rsidR="00B704AD" w:rsidRPr="00C8701B">
        <w:rPr>
          <w:rFonts w:eastAsia="Arial Unicode MS"/>
          <w:bCs/>
          <w:lang w:eastAsia="fr-FR" w:bidi="he-IL"/>
        </w:rPr>
        <w:t>ils fussent invités</w:t>
      </w:r>
      <w:r w:rsidR="00E65435">
        <w:rPr>
          <w:rFonts w:eastAsia="Arial Unicode MS"/>
          <w:bCs/>
          <w:lang w:eastAsia="fr-FR" w:bidi="he-IL"/>
        </w:rPr>
        <w:t xml:space="preserve">, </w:t>
      </w:r>
      <w:r w:rsidR="00B704AD" w:rsidRPr="00C8701B">
        <w:rPr>
          <w:rFonts w:eastAsia="Arial Unicode MS"/>
          <w:bCs/>
          <w:lang w:eastAsia="fr-FR" w:bidi="he-IL"/>
        </w:rPr>
        <w:t>cinq nouveaux disciples qu</w:t>
      </w:r>
      <w:r w:rsidR="00557DE0">
        <w:rPr>
          <w:rFonts w:eastAsia="Arial Unicode MS"/>
          <w:bCs/>
          <w:lang w:eastAsia="fr-FR" w:bidi="he-IL"/>
        </w:rPr>
        <w:t>’</w:t>
      </w:r>
      <w:r w:rsidR="00B704AD" w:rsidRPr="00C8701B">
        <w:rPr>
          <w:rFonts w:eastAsia="Arial Unicode MS"/>
          <w:bCs/>
          <w:lang w:eastAsia="fr-FR" w:bidi="he-IL"/>
        </w:rPr>
        <w:t>il venait d</w:t>
      </w:r>
      <w:r w:rsidR="00557DE0">
        <w:rPr>
          <w:rFonts w:eastAsia="Arial Unicode MS"/>
          <w:bCs/>
          <w:lang w:eastAsia="fr-FR" w:bidi="he-IL"/>
        </w:rPr>
        <w:t>’</w:t>
      </w:r>
      <w:r w:rsidR="00B704AD" w:rsidRPr="00C8701B">
        <w:rPr>
          <w:rFonts w:eastAsia="Arial Unicode MS"/>
          <w:bCs/>
          <w:lang w:eastAsia="fr-FR" w:bidi="he-IL"/>
        </w:rPr>
        <w:t>attacher à sa personne</w:t>
      </w:r>
      <w:r w:rsidR="00E65435">
        <w:rPr>
          <w:rFonts w:eastAsia="Arial Unicode MS"/>
          <w:bCs/>
          <w:lang w:eastAsia="fr-FR" w:bidi="he-IL"/>
        </w:rPr>
        <w:t xml:space="preserve">, </w:t>
      </w:r>
      <w:r w:rsidR="00B704AD" w:rsidRPr="00C8701B">
        <w:rPr>
          <w:rFonts w:eastAsia="Arial Unicode MS"/>
          <w:bCs/>
          <w:lang w:eastAsia="fr-FR" w:bidi="he-IL"/>
        </w:rPr>
        <w:t>prévit qu</w:t>
      </w:r>
      <w:r w:rsidR="00557DE0">
        <w:rPr>
          <w:rFonts w:eastAsia="Arial Unicode MS"/>
          <w:bCs/>
          <w:lang w:eastAsia="fr-FR" w:bidi="he-IL"/>
        </w:rPr>
        <w:t>’</w:t>
      </w:r>
      <w:r w:rsidR="00B704AD" w:rsidRPr="00C8701B">
        <w:rPr>
          <w:rFonts w:eastAsia="Arial Unicode MS"/>
          <w:bCs/>
          <w:lang w:eastAsia="fr-FR" w:bidi="he-IL"/>
        </w:rPr>
        <w:t>on serait à court de vin</w:t>
      </w:r>
      <w:r w:rsidR="00E65435">
        <w:rPr>
          <w:rFonts w:eastAsia="Arial Unicode MS"/>
          <w:bCs/>
          <w:lang w:eastAsia="fr-FR" w:bidi="he-IL"/>
        </w:rPr>
        <w:t xml:space="preserve">, </w:t>
      </w:r>
      <w:r w:rsidR="00B704AD" w:rsidRPr="00C8701B">
        <w:rPr>
          <w:rFonts w:eastAsia="Arial Unicode MS"/>
          <w:bCs/>
          <w:lang w:eastAsia="fr-FR" w:bidi="he-IL"/>
        </w:rPr>
        <w:t>et il en fit apporter en quantité. Cependant</w:t>
      </w:r>
      <w:r w:rsidR="00E65435">
        <w:rPr>
          <w:rFonts w:eastAsia="Arial Unicode MS"/>
          <w:bCs/>
          <w:lang w:eastAsia="fr-FR" w:bidi="he-IL"/>
        </w:rPr>
        <w:t xml:space="preserve">, </w:t>
      </w:r>
      <w:r w:rsidR="00B704AD" w:rsidRPr="00DC4586">
        <w:rPr>
          <w:rStyle w:val="italicus"/>
        </w:rPr>
        <w:t>par plaisanterie</w:t>
      </w:r>
      <w:r w:rsidR="00E65435">
        <w:rPr>
          <w:rStyle w:val="italicus"/>
        </w:rPr>
        <w:t xml:space="preserve">, </w:t>
      </w:r>
      <w:r w:rsidR="00B704AD" w:rsidRPr="00C8701B">
        <w:rPr>
          <w:rFonts w:eastAsia="Arial Unicode MS"/>
          <w:bCs/>
          <w:lang w:eastAsia="fr-FR" w:bidi="he-IL"/>
        </w:rPr>
        <w:t>il tint son présent caché jusqu</w:t>
      </w:r>
      <w:r w:rsidR="00557DE0">
        <w:rPr>
          <w:rFonts w:eastAsia="Arial Unicode MS"/>
          <w:bCs/>
          <w:lang w:eastAsia="fr-FR" w:bidi="he-IL"/>
        </w:rPr>
        <w:t>’</w:t>
      </w:r>
      <w:r w:rsidR="00B704AD" w:rsidRPr="00C8701B">
        <w:rPr>
          <w:rFonts w:eastAsia="Arial Unicode MS"/>
          <w:bCs/>
          <w:lang w:eastAsia="fr-FR" w:bidi="he-IL"/>
        </w:rPr>
        <w:t xml:space="preserve">au moment où le vin manqua. </w:t>
      </w:r>
      <w:r w:rsidR="00C14040" w:rsidRPr="000716BB">
        <w:rPr>
          <w:rFonts w:eastAsia="Arial Unicode MS"/>
          <w:bCs/>
          <w:lang w:eastAsia="fr-FR" w:bidi="he-IL"/>
        </w:rPr>
        <w:t>{</w:t>
      </w:r>
      <w:r w:rsidR="00C14040">
        <w:rPr>
          <w:rFonts w:eastAsia="Arial Unicode MS"/>
          <w:bCs/>
          <w:lang w:eastAsia="fr-FR" w:bidi="he-IL"/>
        </w:rPr>
        <w:t>79</w:t>
      </w:r>
      <w:bookmarkStart w:id="128" w:name="pag079"/>
      <w:bookmarkEnd w:id="128"/>
      <w:r w:rsidR="00C14040" w:rsidRPr="000716BB">
        <w:rPr>
          <w:rFonts w:eastAsia="Arial Unicode MS"/>
          <w:bCs/>
          <w:lang w:eastAsia="fr-FR" w:bidi="he-IL"/>
        </w:rPr>
        <w:t xml:space="preserve">} </w:t>
      </w:r>
      <w:r w:rsidR="00B704AD" w:rsidRPr="00C8701B">
        <w:rPr>
          <w:rFonts w:eastAsia="Arial Unicode MS"/>
          <w:bCs/>
          <w:lang w:eastAsia="fr-FR" w:bidi="he-IL"/>
        </w:rPr>
        <w:t>Alors il fit verser de l</w:t>
      </w:r>
      <w:r w:rsidR="00557DE0">
        <w:rPr>
          <w:rFonts w:eastAsia="Arial Unicode MS"/>
          <w:bCs/>
          <w:lang w:eastAsia="fr-FR" w:bidi="he-IL"/>
        </w:rPr>
        <w:t>’</w:t>
      </w:r>
      <w:r w:rsidR="00B704AD" w:rsidRPr="00C8701B">
        <w:rPr>
          <w:rFonts w:eastAsia="Arial Unicode MS"/>
          <w:bCs/>
          <w:lang w:eastAsia="fr-FR" w:bidi="he-IL"/>
        </w:rPr>
        <w:t>eau d</w:t>
      </w:r>
      <w:r w:rsidR="00557DE0">
        <w:rPr>
          <w:rFonts w:eastAsia="Arial Unicode MS"/>
          <w:bCs/>
          <w:lang w:eastAsia="fr-FR" w:bidi="he-IL"/>
        </w:rPr>
        <w:t>’</w:t>
      </w:r>
      <w:r w:rsidR="00B704AD" w:rsidRPr="00C8701B">
        <w:rPr>
          <w:rFonts w:eastAsia="Arial Unicode MS"/>
          <w:bCs/>
          <w:lang w:eastAsia="fr-FR" w:bidi="he-IL"/>
        </w:rPr>
        <w:t>une cruche pour s</w:t>
      </w:r>
      <w:r w:rsidR="00557DE0">
        <w:rPr>
          <w:rFonts w:eastAsia="Arial Unicode MS"/>
          <w:bCs/>
          <w:lang w:eastAsia="fr-FR" w:bidi="he-IL"/>
        </w:rPr>
        <w:t>’</w:t>
      </w:r>
      <w:r w:rsidR="00B704AD" w:rsidRPr="00C8701B">
        <w:rPr>
          <w:rFonts w:eastAsia="Arial Unicode MS"/>
          <w:bCs/>
          <w:lang w:eastAsia="fr-FR" w:bidi="he-IL"/>
        </w:rPr>
        <w:t>amuser</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mais le vin se trouva dans les autres cruches où il avait été mis. La</w:t>
      </w:r>
      <w:r w:rsidR="00B704AD" w:rsidRPr="00DC4586">
        <w:rPr>
          <w:rStyle w:val="italicus"/>
        </w:rPr>
        <w:t xml:space="preserve"> gloire</w:t>
      </w:r>
      <w:r w:rsidR="00B704AD" w:rsidRPr="00C8701B">
        <w:rPr>
          <w:rFonts w:eastAsia="Arial Unicode MS"/>
          <w:bCs/>
          <w:lang w:eastAsia="fr-FR" w:bidi="he-IL"/>
        </w:rPr>
        <w:t xml:space="preserve"> qu</w:t>
      </w:r>
      <w:r w:rsidR="00557DE0">
        <w:rPr>
          <w:rFonts w:eastAsia="Arial Unicode MS"/>
          <w:bCs/>
          <w:lang w:eastAsia="fr-FR" w:bidi="he-IL"/>
        </w:rPr>
        <w:t>’</w:t>
      </w:r>
      <w:r w:rsidR="00B704AD" w:rsidRPr="00C8701B">
        <w:rPr>
          <w:rFonts w:eastAsia="Arial Unicode MS"/>
          <w:bCs/>
          <w:lang w:eastAsia="fr-FR" w:bidi="he-IL"/>
        </w:rPr>
        <w:t>il en retira</w:t>
      </w:r>
      <w:r w:rsidR="00E65435">
        <w:rPr>
          <w:rFonts w:eastAsia="Arial Unicode MS"/>
          <w:bCs/>
          <w:lang w:eastAsia="fr-FR" w:bidi="he-IL"/>
        </w:rPr>
        <w:t xml:space="preserve">, </w:t>
      </w:r>
      <w:r w:rsidR="00B704AD" w:rsidRPr="00C8701B">
        <w:rPr>
          <w:rFonts w:eastAsia="Arial Unicode MS"/>
          <w:bCs/>
          <w:lang w:eastAsia="fr-FR" w:bidi="he-IL"/>
        </w:rPr>
        <w:t>comme dit S. Jean</w:t>
      </w:r>
      <w:r w:rsidR="00E65435">
        <w:rPr>
          <w:rFonts w:eastAsia="Arial Unicode MS"/>
          <w:bCs/>
          <w:lang w:eastAsia="fr-FR" w:bidi="he-IL"/>
        </w:rPr>
        <w:t xml:space="preserve">, </w:t>
      </w:r>
      <w:r w:rsidR="00B704AD" w:rsidRPr="00C8701B">
        <w:rPr>
          <w:rFonts w:eastAsia="Arial Unicode MS"/>
          <w:bCs/>
          <w:lang w:eastAsia="fr-FR" w:bidi="he-IL"/>
        </w:rPr>
        <w:t>fut sa réputation de bonne humeur</w:t>
      </w:r>
      <w:r w:rsidR="00C2602D" w:rsidRPr="00C8701B">
        <w:rPr>
          <w:rFonts w:eastAsia="Arial Unicode MS"/>
          <w:bCs/>
          <w:lang w:eastAsia="fr-FR" w:bidi="he-IL"/>
        </w:rPr>
        <w:t> »</w:t>
      </w:r>
      <w:r w:rsidR="00933C60" w:rsidRPr="00C406FF">
        <w:rPr>
          <w:rStyle w:val="Appelnotedebasdep"/>
        </w:rPr>
        <w:footnoteReference w:id="427"/>
      </w:r>
      <w:r w:rsidR="00B704AD" w:rsidRPr="00C8701B">
        <w:rPr>
          <w:rFonts w:eastAsia="Arial Unicode MS"/>
          <w:bCs/>
          <w:lang w:eastAsia="fr-FR" w:bidi="he-IL"/>
        </w:rPr>
        <w:t>. De même</w:t>
      </w:r>
      <w:r w:rsidR="00E65435">
        <w:rPr>
          <w:rFonts w:eastAsia="Arial Unicode MS"/>
          <w:bCs/>
          <w:lang w:eastAsia="fr-FR" w:bidi="he-IL"/>
        </w:rPr>
        <w:t xml:space="preserve">, </w:t>
      </w:r>
      <w:r w:rsidR="00B704AD" w:rsidRPr="00C8701B">
        <w:rPr>
          <w:rFonts w:eastAsia="Arial Unicode MS"/>
          <w:bCs/>
          <w:lang w:eastAsia="fr-FR" w:bidi="he-IL"/>
        </w:rPr>
        <w:t>ou à peu près</w:t>
      </w:r>
      <w:r w:rsidR="00E65435">
        <w:rPr>
          <w:rFonts w:eastAsia="Arial Unicode MS"/>
          <w:bCs/>
          <w:lang w:eastAsia="fr-FR" w:bidi="he-IL"/>
        </w:rPr>
        <w:t xml:space="preserve">, </w:t>
      </w:r>
      <w:r w:rsidR="00B704AD" w:rsidRPr="00C8701B">
        <w:rPr>
          <w:rFonts w:eastAsia="Arial Unicode MS"/>
          <w:bCs/>
          <w:lang w:eastAsia="fr-FR" w:bidi="he-IL"/>
        </w:rPr>
        <w:t>pour les multiplications des pains</w:t>
      </w:r>
      <w:r w:rsidR="00E65435">
        <w:rPr>
          <w:rFonts w:eastAsia="Arial Unicode MS"/>
          <w:bCs/>
          <w:lang w:eastAsia="fr-FR" w:bidi="he-IL"/>
        </w:rPr>
        <w:t xml:space="preserve">, </w:t>
      </w:r>
      <w:r w:rsidR="00B704AD" w:rsidRPr="00C8701B">
        <w:rPr>
          <w:rFonts w:eastAsia="Arial Unicode MS"/>
          <w:bCs/>
          <w:lang w:eastAsia="fr-FR" w:bidi="he-IL"/>
        </w:rPr>
        <w:t>etc.</w:t>
      </w:r>
      <w:r w:rsidR="00C2602D" w:rsidRPr="00C8701B">
        <w:rPr>
          <w:rFonts w:eastAsia="Arial Unicode MS"/>
          <w:bCs/>
          <w:lang w:eastAsia="fr-FR" w:bidi="he-IL"/>
        </w:rPr>
        <w:t xml:space="preserve"> </w:t>
      </w:r>
    </w:p>
    <w:p w:rsidR="00C2602D" w:rsidRDefault="00CA6915" w:rsidP="00C2602D">
      <w:pPr>
        <w:rPr>
          <w:rFonts w:eastAsia="Arial Unicode MS"/>
          <w:bCs/>
          <w:lang w:eastAsia="fr-FR" w:bidi="he-IL"/>
        </w:rPr>
      </w:pPr>
      <w:r>
        <w:rPr>
          <w:rFonts w:eastAsia="Arial Unicode MS"/>
          <w:bCs/>
          <w:lang w:eastAsia="fr-FR" w:bidi="he-IL"/>
        </w:rPr>
        <w:t>Comme Strauss se pi</w:t>
      </w:r>
      <w:r w:rsidR="00B704AD" w:rsidRPr="00C8701B">
        <w:rPr>
          <w:rFonts w:eastAsia="Arial Unicode MS"/>
          <w:bCs/>
          <w:lang w:eastAsia="fr-FR" w:bidi="he-IL"/>
        </w:rPr>
        <w:t>que</w:t>
      </w:r>
      <w:r w:rsidR="00E65435">
        <w:rPr>
          <w:rFonts w:eastAsia="Arial Unicode MS"/>
          <w:bCs/>
          <w:lang w:eastAsia="fr-FR" w:bidi="he-IL"/>
        </w:rPr>
        <w:t xml:space="preserve">, </w:t>
      </w:r>
      <w:r w:rsidR="00B704AD" w:rsidRPr="00C8701B">
        <w:rPr>
          <w:rFonts w:eastAsia="Arial Unicode MS"/>
          <w:bCs/>
          <w:lang w:eastAsia="fr-FR" w:bidi="he-IL"/>
        </w:rPr>
        <w:t>et à bon droit</w:t>
      </w:r>
      <w:r w:rsidR="00E65435">
        <w:rPr>
          <w:rFonts w:eastAsia="Arial Unicode MS"/>
          <w:bCs/>
          <w:lang w:eastAsia="fr-FR" w:bidi="he-IL"/>
        </w:rPr>
        <w:t xml:space="preserve">, </w:t>
      </w:r>
      <w:r w:rsidR="00B704AD" w:rsidRPr="00C8701B">
        <w:rPr>
          <w:rFonts w:eastAsia="Arial Unicode MS"/>
          <w:bCs/>
          <w:lang w:eastAsia="fr-FR" w:bidi="he-IL"/>
        </w:rPr>
        <w:t>de ces puérilités</w:t>
      </w:r>
      <w:r w:rsidR="00E65435">
        <w:rPr>
          <w:rFonts w:eastAsia="Arial Unicode MS"/>
          <w:bCs/>
          <w:lang w:eastAsia="fr-FR" w:bidi="he-IL"/>
        </w:rPr>
        <w:t xml:space="preserve">, </w:t>
      </w:r>
      <w:r w:rsidR="00B704AD" w:rsidRPr="00C8701B">
        <w:rPr>
          <w:rFonts w:eastAsia="Arial Unicode MS"/>
          <w:bCs/>
          <w:lang w:eastAsia="fr-FR" w:bidi="he-IL"/>
        </w:rPr>
        <w:t>qui sont aujourd</w:t>
      </w:r>
      <w:r w:rsidR="00557DE0">
        <w:rPr>
          <w:rFonts w:eastAsia="Arial Unicode MS"/>
          <w:bCs/>
          <w:lang w:eastAsia="fr-FR" w:bidi="he-IL"/>
        </w:rPr>
        <w:t>’</w:t>
      </w:r>
      <w:r w:rsidR="00B704AD" w:rsidRPr="00C8701B">
        <w:rPr>
          <w:rFonts w:eastAsia="Arial Unicode MS"/>
          <w:bCs/>
          <w:lang w:eastAsia="fr-FR" w:bidi="he-IL"/>
        </w:rPr>
        <w:t>hui presque complètement oubliées</w:t>
      </w:r>
      <w:r w:rsidR="00933C60" w:rsidRPr="00C406FF">
        <w:rPr>
          <w:rStyle w:val="Appelnotedebasdep"/>
        </w:rPr>
        <w:footnoteReference w:id="428"/>
      </w:r>
      <w:r w:rsidR="00C2602D" w:rsidRPr="00C8701B">
        <w:rPr>
          <w:rFonts w:eastAsia="Arial Unicode MS"/>
          <w:bCs/>
          <w:lang w:eastAsia="fr-FR" w:bidi="he-IL"/>
        </w:rPr>
        <w:t xml:space="preserve"> ! </w:t>
      </w:r>
    </w:p>
    <w:p w:rsidR="00C2602D" w:rsidRPr="00C8701B" w:rsidRDefault="00B704AD" w:rsidP="00C2602D">
      <w:pPr>
        <w:rPr>
          <w:rFonts w:eastAsia="Arial Unicode MS"/>
          <w:bCs/>
          <w:lang w:eastAsia="fr-FR" w:bidi="he-IL"/>
        </w:rPr>
      </w:pPr>
      <w:r w:rsidRPr="00C8701B">
        <w:rPr>
          <w:rFonts w:eastAsia="Arial Unicode MS"/>
          <w:bCs/>
          <w:lang w:eastAsia="fr-FR" w:bidi="he-IL"/>
        </w:rPr>
        <w:t>4</w:t>
      </w:r>
      <w:r w:rsidR="00CA6915">
        <w:rPr>
          <w:rFonts w:eastAsia="Arial Unicode MS"/>
          <w:bCs/>
          <w:lang w:eastAsia="fr-FR" w:bidi="he-IL"/>
        </w:rPr>
        <w:t>° Le système d</w:t>
      </w:r>
      <w:r w:rsidRPr="00C8701B">
        <w:rPr>
          <w:rFonts w:eastAsia="Arial Unicode MS"/>
          <w:bCs/>
          <w:lang w:eastAsia="fr-FR" w:bidi="he-IL"/>
        </w:rPr>
        <w:t>u</w:t>
      </w:r>
      <w:r w:rsidRPr="00DC4586">
        <w:rPr>
          <w:rStyle w:val="italicus"/>
        </w:rPr>
        <w:t xml:space="preserve"> mythe</w:t>
      </w:r>
      <w:r w:rsidR="00E65435">
        <w:rPr>
          <w:rStyle w:val="italicus"/>
        </w:rPr>
        <w:t xml:space="preserve">, </w:t>
      </w:r>
      <w:r w:rsidR="00DF496C">
        <w:rPr>
          <w:rFonts w:eastAsia="Arial Unicode MS"/>
          <w:bCs/>
          <w:lang w:eastAsia="fr-FR" w:bidi="he-IL"/>
        </w:rPr>
        <w:t>inauguré par Eichhorn</w:t>
      </w:r>
      <w:r w:rsidR="00E65435">
        <w:rPr>
          <w:rFonts w:eastAsia="Arial Unicode MS"/>
          <w:bCs/>
          <w:lang w:eastAsia="fr-FR" w:bidi="he-IL"/>
        </w:rPr>
        <w:t xml:space="preserve">, </w:t>
      </w:r>
      <w:r w:rsidRPr="00C8701B">
        <w:rPr>
          <w:rFonts w:eastAsia="Arial Unicode MS"/>
          <w:bCs/>
          <w:lang w:eastAsia="fr-FR" w:bidi="he-IL"/>
        </w:rPr>
        <w:t>Vater</w:t>
      </w:r>
      <w:r w:rsidR="00E65435">
        <w:rPr>
          <w:rFonts w:eastAsia="Arial Unicode MS"/>
          <w:bCs/>
          <w:lang w:eastAsia="fr-FR" w:bidi="he-IL"/>
        </w:rPr>
        <w:t xml:space="preserve">, </w:t>
      </w:r>
      <w:r w:rsidRPr="00C8701B">
        <w:rPr>
          <w:rFonts w:eastAsia="Arial Unicode MS"/>
          <w:bCs/>
          <w:lang w:eastAsia="fr-FR" w:bidi="he-IL"/>
        </w:rPr>
        <w:t>de Wette</w:t>
      </w:r>
      <w:r w:rsidR="00E65435">
        <w:rPr>
          <w:rFonts w:eastAsia="Arial Unicode MS"/>
          <w:bCs/>
          <w:lang w:eastAsia="fr-FR" w:bidi="he-IL"/>
        </w:rPr>
        <w:t xml:space="preserve">, </w:t>
      </w:r>
      <w:r w:rsidRPr="00C8701B">
        <w:rPr>
          <w:rFonts w:eastAsia="Arial Unicode MS"/>
          <w:bCs/>
          <w:lang w:eastAsia="fr-FR" w:bidi="he-IL"/>
        </w:rPr>
        <w:t>etc.</w:t>
      </w:r>
      <w:r w:rsidR="00E65435">
        <w:rPr>
          <w:rFonts w:eastAsia="Arial Unicode MS"/>
          <w:bCs/>
          <w:lang w:eastAsia="fr-FR" w:bidi="he-IL"/>
        </w:rPr>
        <w:t xml:space="preserve">, </w:t>
      </w:r>
      <w:r w:rsidRPr="00C8701B">
        <w:rPr>
          <w:rFonts w:eastAsia="Arial Unicode MS"/>
          <w:bCs/>
          <w:lang w:eastAsia="fr-FR" w:bidi="he-IL"/>
        </w:rPr>
        <w:t>pour l</w:t>
      </w:r>
      <w:r w:rsidR="00557DE0">
        <w:rPr>
          <w:rFonts w:eastAsia="Arial Unicode MS"/>
          <w:bCs/>
          <w:lang w:eastAsia="fr-FR" w:bidi="he-IL"/>
        </w:rPr>
        <w:t>’</w:t>
      </w:r>
      <w:r w:rsidRPr="00C8701B">
        <w:rPr>
          <w:rFonts w:eastAsia="Arial Unicode MS"/>
          <w:bCs/>
          <w:lang w:eastAsia="fr-FR" w:bidi="he-IL"/>
        </w:rPr>
        <w:t>Ancien Testament</w:t>
      </w:r>
      <w:r w:rsidR="00933C60" w:rsidRPr="00C406FF">
        <w:rPr>
          <w:rStyle w:val="Appelnotedebasdep"/>
        </w:rPr>
        <w:footnoteReference w:id="429"/>
      </w:r>
      <w:r w:rsidR="00E65435">
        <w:rPr>
          <w:rFonts w:eastAsia="Arial Unicode MS"/>
          <w:bCs/>
          <w:lang w:eastAsia="fr-FR" w:bidi="he-IL"/>
        </w:rPr>
        <w:t xml:space="preserve">, </w:t>
      </w:r>
      <w:r w:rsidRPr="00C8701B">
        <w:rPr>
          <w:rFonts w:eastAsia="Arial Unicode MS"/>
          <w:bCs/>
          <w:lang w:eastAsia="fr-FR" w:bidi="he-IL"/>
        </w:rPr>
        <w:t>s</w:t>
      </w:r>
      <w:r w:rsidR="00557DE0">
        <w:rPr>
          <w:rFonts w:eastAsia="Arial Unicode MS"/>
          <w:bCs/>
          <w:lang w:eastAsia="fr-FR" w:bidi="he-IL"/>
        </w:rPr>
        <w:t>’</w:t>
      </w:r>
      <w:r w:rsidRPr="00C8701B">
        <w:rPr>
          <w:rFonts w:eastAsia="Arial Unicode MS"/>
          <w:bCs/>
          <w:lang w:eastAsia="fr-FR" w:bidi="he-IL"/>
        </w:rPr>
        <w:t>est personnifié dans Strauss pour ce qui regarde les évangiles</w:t>
      </w:r>
      <w:r w:rsidR="00933C60" w:rsidRPr="00C406FF">
        <w:rPr>
          <w:rStyle w:val="Appelnotedebasdep"/>
        </w:rPr>
        <w:footnoteReference w:id="430"/>
      </w:r>
      <w:r w:rsidRPr="00C8701B">
        <w:rPr>
          <w:rFonts w:eastAsia="Arial Unicode MS"/>
          <w:bCs/>
          <w:lang w:eastAsia="fr-FR" w:bidi="he-IL"/>
        </w:rPr>
        <w:t>. Des volumes pleins de science</w:t>
      </w:r>
      <w:r w:rsidR="00E65435">
        <w:rPr>
          <w:rFonts w:eastAsia="Arial Unicode MS"/>
          <w:bCs/>
          <w:lang w:eastAsia="fr-FR" w:bidi="he-IL"/>
        </w:rPr>
        <w:t xml:space="preserve">, </w:t>
      </w:r>
      <w:r w:rsidRPr="00C8701B">
        <w:rPr>
          <w:rFonts w:eastAsia="Arial Unicode MS"/>
          <w:bCs/>
          <w:lang w:eastAsia="fr-FR" w:bidi="he-IL"/>
        </w:rPr>
        <w:t>ou plutôt d</w:t>
      </w:r>
      <w:r w:rsidR="00557DE0">
        <w:rPr>
          <w:rFonts w:eastAsia="Arial Unicode MS"/>
          <w:bCs/>
          <w:lang w:eastAsia="fr-FR" w:bidi="he-IL"/>
        </w:rPr>
        <w:t>’</w:t>
      </w:r>
      <w:r w:rsidRPr="00C8701B">
        <w:rPr>
          <w:rFonts w:eastAsia="Arial Unicode MS"/>
          <w:bCs/>
          <w:lang w:eastAsia="fr-FR" w:bidi="he-IL"/>
        </w:rPr>
        <w:t xml:space="preserve">une </w:t>
      </w:r>
      <w:r w:rsidR="00C2602D" w:rsidRPr="00C8701B">
        <w:rPr>
          <w:rFonts w:eastAsia="Arial Unicode MS"/>
          <w:bCs/>
          <w:lang w:eastAsia="fr-FR" w:bidi="he-IL"/>
        </w:rPr>
        <w:t>« </w:t>
      </w:r>
      <w:r w:rsidRPr="00C8701B">
        <w:rPr>
          <w:rFonts w:eastAsia="Arial Unicode MS"/>
          <w:bCs/>
          <w:lang w:eastAsia="fr-FR" w:bidi="he-IL"/>
        </w:rPr>
        <w:t>érudition indigeste</w:t>
      </w:r>
      <w:r w:rsidR="00F3476E">
        <w:rPr>
          <w:rFonts w:eastAsia="Arial Unicode MS"/>
          <w:bCs/>
          <w:lang w:eastAsia="fr-FR" w:bidi="he-IL"/>
        </w:rPr>
        <w:t> »</w:t>
      </w:r>
      <w:r w:rsidR="00933C60" w:rsidRPr="00C406FF">
        <w:rPr>
          <w:rStyle w:val="Appelnotedebasdep"/>
        </w:rPr>
        <w:footnoteReference w:id="431"/>
      </w:r>
      <w:r w:rsidR="00E65435">
        <w:rPr>
          <w:rFonts w:eastAsia="Arial Unicode MS"/>
          <w:bCs/>
          <w:lang w:eastAsia="fr-FR" w:bidi="he-IL"/>
        </w:rPr>
        <w:t xml:space="preserve">, </w:t>
      </w:r>
      <w:r w:rsidRPr="00C8701B">
        <w:rPr>
          <w:rFonts w:eastAsia="Arial Unicode MS"/>
          <w:bCs/>
          <w:lang w:eastAsia="fr-FR" w:bidi="he-IL"/>
        </w:rPr>
        <w:t>témoignant aussi d</w:t>
      </w:r>
      <w:r w:rsidR="00557DE0">
        <w:rPr>
          <w:rFonts w:eastAsia="Arial Unicode MS"/>
          <w:bCs/>
          <w:lang w:eastAsia="fr-FR" w:bidi="he-IL"/>
        </w:rPr>
        <w:t>’</w:t>
      </w:r>
      <w:r w:rsidRPr="00C8701B">
        <w:rPr>
          <w:rFonts w:eastAsia="Arial Unicode MS"/>
          <w:bCs/>
          <w:lang w:eastAsia="fr-FR" w:bidi="he-IL"/>
        </w:rPr>
        <w:t>une hardiesse effrontée</w:t>
      </w:r>
      <w:r w:rsidR="00933C60" w:rsidRPr="00C406FF">
        <w:rPr>
          <w:rStyle w:val="Appelnotedebasdep"/>
        </w:rPr>
        <w:footnoteReference w:id="432"/>
      </w:r>
      <w:r w:rsidR="00E65435">
        <w:rPr>
          <w:rFonts w:eastAsia="Arial Unicode MS"/>
          <w:bCs/>
          <w:lang w:eastAsia="fr-FR" w:bidi="he-IL"/>
        </w:rPr>
        <w:t xml:space="preserve">, </w:t>
      </w:r>
      <w:r w:rsidRPr="00C8701B">
        <w:rPr>
          <w:rFonts w:eastAsia="Arial Unicode MS"/>
          <w:bCs/>
          <w:lang w:eastAsia="fr-FR" w:bidi="he-IL"/>
        </w:rPr>
        <w:t>développent les idées suivantes</w:t>
      </w:r>
      <w:r w:rsidR="00E65435">
        <w:rPr>
          <w:rFonts w:eastAsia="Arial Unicode MS"/>
          <w:bCs/>
          <w:lang w:eastAsia="fr-FR" w:bidi="he-IL"/>
        </w:rPr>
        <w:t xml:space="preserve">, </w:t>
      </w:r>
      <w:r w:rsidRPr="00C8701B">
        <w:rPr>
          <w:rFonts w:eastAsia="Arial Unicode MS"/>
          <w:bCs/>
          <w:lang w:eastAsia="fr-FR" w:bidi="he-IL"/>
        </w:rPr>
        <w:t>que le D</w:t>
      </w:r>
      <w:r w:rsidRPr="00C8701B">
        <w:rPr>
          <w:rFonts w:eastAsia="Arial Unicode MS"/>
          <w:bCs/>
          <w:vertAlign w:val="superscript"/>
          <w:lang w:eastAsia="fr-FR" w:bidi="he-IL"/>
        </w:rPr>
        <w:t>r</w:t>
      </w:r>
      <w:r w:rsidRPr="00C8701B">
        <w:rPr>
          <w:rFonts w:eastAsia="Arial Unicode MS"/>
          <w:bCs/>
          <w:lang w:eastAsia="fr-FR" w:bidi="he-IL"/>
        </w:rPr>
        <w:t xml:space="preserve"> Luthardt a groupées habilement dans son excellente réfutation</w:t>
      </w:r>
      <w:r w:rsidR="00C2602D" w:rsidRPr="00C8701B">
        <w:rPr>
          <w:rFonts w:eastAsia="Arial Unicode MS"/>
          <w:bCs/>
          <w:lang w:eastAsia="fr-FR" w:bidi="he-IL"/>
        </w:rPr>
        <w:t> :</w:t>
      </w:r>
      <w:r w:rsidRPr="00DC4586">
        <w:rPr>
          <w:rStyle w:val="italicus"/>
        </w:rPr>
        <w:t xml:space="preserve"> Les historiens modernes de la vie de Jésus</w:t>
      </w:r>
      <w:r w:rsidR="00933C60" w:rsidRPr="00C406FF">
        <w:rPr>
          <w:rStyle w:val="Appelnotedebasdep"/>
        </w:rPr>
        <w:footnoteReference w:id="433"/>
      </w:r>
      <w:r w:rsidRPr="00C8701B">
        <w:rPr>
          <w:rFonts w:eastAsia="Arial Unicode MS"/>
          <w:bCs/>
          <w:lang w:eastAsia="fr-FR" w:bidi="he-IL"/>
        </w:rPr>
        <w:t xml:space="preserve">. </w:t>
      </w:r>
      <w:r w:rsidR="00C2602D" w:rsidRPr="00C8701B">
        <w:rPr>
          <w:rFonts w:eastAsia="Arial Unicode MS"/>
          <w:bCs/>
          <w:lang w:eastAsia="fr-FR" w:bidi="he-IL"/>
        </w:rPr>
        <w:t>« </w:t>
      </w:r>
      <w:r w:rsidRPr="00C8701B">
        <w:rPr>
          <w:rFonts w:eastAsia="Arial Unicode MS"/>
          <w:bCs/>
          <w:lang w:eastAsia="fr-FR" w:bidi="he-IL"/>
        </w:rPr>
        <w:t>Que savons-nous maintenant de Jésus</w:t>
      </w:r>
      <w:r w:rsidR="00C2602D" w:rsidRPr="00C8701B">
        <w:rPr>
          <w:rFonts w:eastAsia="Arial Unicode MS"/>
          <w:bCs/>
          <w:lang w:eastAsia="fr-FR" w:bidi="he-IL"/>
        </w:rPr>
        <w:t> ?</w:t>
      </w:r>
      <w:r w:rsidRPr="00C8701B">
        <w:rPr>
          <w:rFonts w:eastAsia="Arial Unicode MS"/>
          <w:bCs/>
          <w:lang w:eastAsia="fr-FR" w:bidi="he-IL"/>
        </w:rPr>
        <w:t xml:space="preserve"> Extrêmement peu. Avant tout</w:t>
      </w:r>
      <w:r w:rsidR="00E65435">
        <w:rPr>
          <w:rFonts w:eastAsia="Arial Unicode MS"/>
          <w:bCs/>
          <w:lang w:eastAsia="fr-FR" w:bidi="he-IL"/>
        </w:rPr>
        <w:t xml:space="preserve">, </w:t>
      </w:r>
      <w:r w:rsidRPr="00C8701B">
        <w:rPr>
          <w:rFonts w:eastAsia="Arial Unicode MS"/>
          <w:bCs/>
          <w:lang w:eastAsia="fr-FR" w:bidi="he-IL"/>
        </w:rPr>
        <w:t>nous savons ceci</w:t>
      </w:r>
      <w:r w:rsidR="00E65435">
        <w:rPr>
          <w:rFonts w:eastAsia="Arial Unicode MS"/>
          <w:bCs/>
          <w:lang w:eastAsia="fr-FR" w:bidi="he-IL"/>
        </w:rPr>
        <w:t xml:space="preserve">, </w:t>
      </w:r>
      <w:r w:rsidRPr="00C8701B">
        <w:rPr>
          <w:rFonts w:eastAsia="Arial Unicode MS"/>
          <w:bCs/>
          <w:lang w:eastAsia="fr-FR" w:bidi="he-IL"/>
        </w:rPr>
        <w:t>que dans sa personne et dans son œuvre il n</w:t>
      </w:r>
      <w:r w:rsidR="00557DE0">
        <w:rPr>
          <w:rFonts w:eastAsia="Arial Unicode MS"/>
          <w:bCs/>
          <w:lang w:eastAsia="fr-FR" w:bidi="he-IL"/>
        </w:rPr>
        <w:t>’</w:t>
      </w:r>
      <w:r w:rsidRPr="00C8701B">
        <w:rPr>
          <w:rFonts w:eastAsia="Arial Unicode MS"/>
          <w:bCs/>
          <w:lang w:eastAsia="fr-FR" w:bidi="he-IL"/>
        </w:rPr>
        <w:t>y avait ni surnaturel</w:t>
      </w:r>
      <w:r w:rsidR="00E65435">
        <w:rPr>
          <w:rFonts w:eastAsia="Arial Unicode MS"/>
          <w:bCs/>
          <w:lang w:eastAsia="fr-FR" w:bidi="he-IL"/>
        </w:rPr>
        <w:t xml:space="preserve">, </w:t>
      </w:r>
      <w:r w:rsidRPr="00C8701B">
        <w:rPr>
          <w:rFonts w:eastAsia="Arial Unicode MS"/>
          <w:bCs/>
          <w:lang w:eastAsia="fr-FR" w:bidi="he-IL"/>
        </w:rPr>
        <w:t>ni miracle</w:t>
      </w:r>
      <w:r w:rsidR="00E65435">
        <w:rPr>
          <w:rFonts w:eastAsia="Arial Unicode MS"/>
          <w:bCs/>
          <w:lang w:eastAsia="fr-FR" w:bidi="he-IL"/>
        </w:rPr>
        <w:t xml:space="preserve">, </w:t>
      </w:r>
      <w:r w:rsidRPr="00C8701B">
        <w:rPr>
          <w:rFonts w:eastAsia="Arial Unicode MS"/>
          <w:bCs/>
          <w:lang w:eastAsia="fr-FR" w:bidi="he-IL"/>
        </w:rPr>
        <w:t>et cette négation est le point fondamental. En ce qui concerne son côté positif</w:t>
      </w:r>
      <w:r w:rsidR="00E65435">
        <w:rPr>
          <w:rFonts w:eastAsia="Arial Unicode MS"/>
          <w:bCs/>
          <w:lang w:eastAsia="fr-FR" w:bidi="he-IL"/>
        </w:rPr>
        <w:t xml:space="preserve">, </w:t>
      </w:r>
      <w:r w:rsidRPr="00C8701B">
        <w:rPr>
          <w:rFonts w:eastAsia="Arial Unicode MS"/>
          <w:bCs/>
          <w:lang w:eastAsia="fr-FR" w:bidi="he-IL"/>
        </w:rPr>
        <w:t>nous devons avouer qu</w:t>
      </w:r>
      <w:r w:rsidR="00557DE0">
        <w:rPr>
          <w:rFonts w:eastAsia="Arial Unicode MS"/>
          <w:bCs/>
          <w:lang w:eastAsia="fr-FR" w:bidi="he-IL"/>
        </w:rPr>
        <w:t>’</w:t>
      </w:r>
      <w:r w:rsidRPr="00C8701B">
        <w:rPr>
          <w:rFonts w:eastAsia="Arial Unicode MS"/>
          <w:bCs/>
          <w:lang w:eastAsia="fr-FR" w:bidi="he-IL"/>
        </w:rPr>
        <w:t>il est peu de grands hommes de l</w:t>
      </w:r>
      <w:r w:rsidR="00557DE0">
        <w:rPr>
          <w:rFonts w:eastAsia="Arial Unicode MS"/>
          <w:bCs/>
          <w:lang w:eastAsia="fr-FR" w:bidi="he-IL"/>
        </w:rPr>
        <w:t>’</w:t>
      </w:r>
      <w:r w:rsidRPr="00C8701B">
        <w:rPr>
          <w:rFonts w:eastAsia="Arial Unicode MS"/>
          <w:bCs/>
          <w:lang w:eastAsia="fr-FR" w:bidi="he-IL"/>
        </w:rPr>
        <w:t>histoire sur lesquels nous</w:t>
      </w:r>
      <w:r w:rsidR="00F3476E">
        <w:rPr>
          <w:rFonts w:eastAsia="Arial Unicode MS"/>
          <w:bCs/>
          <w:lang w:eastAsia="fr-FR" w:bidi="he-IL"/>
        </w:rPr>
        <w:t xml:space="preserve"> s</w:t>
      </w:r>
      <w:r w:rsidRPr="00C8701B">
        <w:rPr>
          <w:rFonts w:eastAsia="Arial Unicode MS"/>
          <w:bCs/>
          <w:lang w:eastAsia="fr-FR" w:bidi="he-IL"/>
        </w:rPr>
        <w:t>oyons aussi imparfaitement renseignés que sur Jésus</w:t>
      </w:r>
      <w:r w:rsidR="00933C60" w:rsidRPr="00C406FF">
        <w:rPr>
          <w:rStyle w:val="Appelnotedebasdep"/>
        </w:rPr>
        <w:footnoteReference w:id="434"/>
      </w:r>
      <w:r w:rsidRPr="00C8701B">
        <w:rPr>
          <w:rFonts w:eastAsia="Arial Unicode MS"/>
          <w:bCs/>
          <w:lang w:eastAsia="fr-FR" w:bidi="he-IL"/>
        </w:rPr>
        <w:t>. Combien plus nette et plus distincte nous apparaît la figure de Socrate</w:t>
      </w:r>
      <w:r w:rsidR="00E65435">
        <w:rPr>
          <w:rFonts w:eastAsia="Arial Unicode MS"/>
          <w:bCs/>
          <w:lang w:eastAsia="fr-FR" w:bidi="he-IL"/>
        </w:rPr>
        <w:t xml:space="preserve">, </w:t>
      </w:r>
      <w:r w:rsidRPr="00C8701B">
        <w:rPr>
          <w:rFonts w:eastAsia="Arial Unicode MS"/>
          <w:bCs/>
          <w:lang w:eastAsia="fr-FR" w:bidi="he-IL"/>
        </w:rPr>
        <w:t>qui pourtant est d</w:t>
      </w:r>
      <w:r w:rsidR="00F3476E">
        <w:rPr>
          <w:rFonts w:eastAsia="Arial Unicode MS"/>
          <w:bCs/>
          <w:lang w:eastAsia="fr-FR" w:bidi="he-IL"/>
        </w:rPr>
        <w:t>e quatre siècles plus éloignée !</w:t>
      </w:r>
      <w:r w:rsidRPr="00C8701B">
        <w:rPr>
          <w:rFonts w:eastAsia="Arial Unicode MS"/>
          <w:bCs/>
          <w:lang w:eastAsia="fr-FR" w:bidi="he-IL"/>
        </w:rPr>
        <w:t xml:space="preserve"> C</w:t>
      </w:r>
      <w:r w:rsidR="00557DE0">
        <w:rPr>
          <w:rFonts w:eastAsia="Arial Unicode MS"/>
          <w:bCs/>
          <w:lang w:eastAsia="fr-FR" w:bidi="he-IL"/>
        </w:rPr>
        <w:t>’</w:t>
      </w:r>
      <w:r w:rsidRPr="00C8701B">
        <w:rPr>
          <w:rFonts w:eastAsia="Arial Unicode MS"/>
          <w:bCs/>
          <w:lang w:eastAsia="fr-FR" w:bidi="he-IL"/>
        </w:rPr>
        <w:t>est étonnant. Personne n</w:t>
      </w:r>
      <w:r w:rsidR="00557DE0">
        <w:rPr>
          <w:rFonts w:eastAsia="Arial Unicode MS"/>
          <w:bCs/>
          <w:lang w:eastAsia="fr-FR" w:bidi="he-IL"/>
        </w:rPr>
        <w:t>’</w:t>
      </w:r>
      <w:r w:rsidRPr="00C8701B">
        <w:rPr>
          <w:rFonts w:eastAsia="Arial Unicode MS"/>
          <w:bCs/>
          <w:lang w:eastAsia="fr-FR" w:bidi="he-IL"/>
        </w:rPr>
        <w:t>a fait sur les hommes une impr</w:t>
      </w:r>
      <w:r w:rsidR="00F3476E">
        <w:rPr>
          <w:rFonts w:eastAsia="Arial Unicode MS"/>
          <w:bCs/>
          <w:lang w:eastAsia="fr-FR" w:bidi="he-IL"/>
        </w:rPr>
        <w:t>ession aussi profonde que Jésus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personne n</w:t>
      </w:r>
      <w:r w:rsidR="00557DE0">
        <w:rPr>
          <w:rFonts w:eastAsia="Arial Unicode MS"/>
          <w:bCs/>
          <w:lang w:eastAsia="fr-FR" w:bidi="he-IL"/>
        </w:rPr>
        <w:t>’</w:t>
      </w:r>
      <w:r w:rsidRPr="00C8701B">
        <w:rPr>
          <w:rFonts w:eastAsia="Arial Unicode MS"/>
          <w:bCs/>
          <w:lang w:eastAsia="fr-FR" w:bidi="he-IL"/>
        </w:rPr>
        <w:t>a laissé des traces de son activité aussi durables que les siennes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et il est celui sur le compte duquel on a le moins de renseignements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et cependant</w:t>
      </w:r>
      <w:r w:rsidR="00E65435">
        <w:rPr>
          <w:rFonts w:eastAsia="Arial Unicode MS"/>
          <w:bCs/>
          <w:lang w:eastAsia="fr-FR" w:bidi="he-IL"/>
        </w:rPr>
        <w:t xml:space="preserve">, </w:t>
      </w:r>
      <w:r w:rsidRPr="00C8701B">
        <w:rPr>
          <w:rFonts w:eastAsia="Arial Unicode MS"/>
          <w:bCs/>
          <w:lang w:eastAsia="fr-FR" w:bidi="he-IL"/>
        </w:rPr>
        <w:t>il n</w:t>
      </w:r>
      <w:r w:rsidR="00557DE0">
        <w:rPr>
          <w:rFonts w:eastAsia="Arial Unicode MS"/>
          <w:bCs/>
          <w:lang w:eastAsia="fr-FR" w:bidi="he-IL"/>
        </w:rPr>
        <w:t>’</w:t>
      </w:r>
      <w:r w:rsidRPr="00C8701B">
        <w:rPr>
          <w:rFonts w:eastAsia="Arial Unicode MS"/>
          <w:bCs/>
          <w:lang w:eastAsia="fr-FR" w:bidi="he-IL"/>
        </w:rPr>
        <w:t>appartient pas aux temps nébuleux de l</w:t>
      </w:r>
      <w:r w:rsidR="00557DE0">
        <w:rPr>
          <w:rFonts w:eastAsia="Arial Unicode MS"/>
          <w:bCs/>
          <w:lang w:eastAsia="fr-FR" w:bidi="he-IL"/>
        </w:rPr>
        <w:t>’</w:t>
      </w:r>
      <w:r w:rsidRPr="00C8701B">
        <w:rPr>
          <w:rFonts w:eastAsia="Arial Unicode MS"/>
          <w:bCs/>
          <w:lang w:eastAsia="fr-FR" w:bidi="he-IL"/>
        </w:rPr>
        <w:t>antiquité</w:t>
      </w:r>
      <w:r w:rsidR="00E65435">
        <w:rPr>
          <w:rFonts w:eastAsia="Arial Unicode MS"/>
          <w:bCs/>
          <w:lang w:eastAsia="fr-FR" w:bidi="he-IL"/>
        </w:rPr>
        <w:t xml:space="preserve">, </w:t>
      </w:r>
      <w:r w:rsidRPr="00C8701B">
        <w:rPr>
          <w:rFonts w:eastAsia="Arial Unicode MS"/>
          <w:bCs/>
          <w:lang w:eastAsia="fr-FR" w:bidi="he-IL"/>
        </w:rPr>
        <w:t>mais aux temps sereins de l</w:t>
      </w:r>
      <w:r w:rsidR="00557DE0">
        <w:rPr>
          <w:rFonts w:eastAsia="Arial Unicode MS"/>
          <w:bCs/>
          <w:lang w:eastAsia="fr-FR" w:bidi="he-IL"/>
        </w:rPr>
        <w:t>’</w:t>
      </w:r>
      <w:r w:rsidR="00F3476E">
        <w:rPr>
          <w:rFonts w:eastAsia="Arial Unicode MS"/>
          <w:bCs/>
          <w:lang w:eastAsia="fr-FR" w:bidi="he-IL"/>
        </w:rPr>
        <w:t>h</w:t>
      </w:r>
      <w:r w:rsidRPr="00C8701B">
        <w:rPr>
          <w:rFonts w:eastAsia="Arial Unicode MS"/>
          <w:bCs/>
          <w:lang w:eastAsia="fr-FR" w:bidi="he-IL"/>
        </w:rPr>
        <w:t>istoire. La faute en est aux évangélistes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ils ont laissé envahir sa biographie de tant de formations mythiques</w:t>
      </w:r>
      <w:r w:rsidR="00E65435">
        <w:rPr>
          <w:rFonts w:eastAsia="Arial Unicode MS"/>
          <w:bCs/>
          <w:lang w:eastAsia="fr-FR" w:bidi="he-IL"/>
        </w:rPr>
        <w:t xml:space="preserve">, </w:t>
      </w:r>
      <w:r w:rsidRPr="00C8701B">
        <w:rPr>
          <w:rFonts w:eastAsia="Arial Unicode MS"/>
          <w:bCs/>
          <w:lang w:eastAsia="fr-FR" w:bidi="he-IL"/>
        </w:rPr>
        <w:t>qu</w:t>
      </w:r>
      <w:r w:rsidR="00557DE0">
        <w:rPr>
          <w:rFonts w:eastAsia="Arial Unicode MS"/>
          <w:bCs/>
          <w:lang w:eastAsia="fr-FR" w:bidi="he-IL"/>
        </w:rPr>
        <w:t>’</w:t>
      </w:r>
      <w:r w:rsidRPr="00C8701B">
        <w:rPr>
          <w:rFonts w:eastAsia="Arial Unicode MS"/>
          <w:bCs/>
          <w:lang w:eastAsia="fr-FR" w:bidi="he-IL"/>
        </w:rPr>
        <w:t>elle en est entièrement voilée</w:t>
      </w:r>
      <w:r w:rsidR="00E65435">
        <w:rPr>
          <w:rFonts w:eastAsia="Arial Unicode MS"/>
          <w:bCs/>
          <w:lang w:eastAsia="fr-FR" w:bidi="he-IL"/>
        </w:rPr>
        <w:t xml:space="preserve">, </w:t>
      </w:r>
      <w:r w:rsidRPr="00C8701B">
        <w:rPr>
          <w:rFonts w:eastAsia="Arial Unicode MS"/>
          <w:bCs/>
          <w:lang w:eastAsia="fr-FR" w:bidi="he-IL"/>
        </w:rPr>
        <w:t>et même effacée</w:t>
      </w:r>
      <w:r w:rsidR="00C2602D" w:rsidRPr="00C8701B">
        <w:rPr>
          <w:rFonts w:eastAsia="Arial Unicode MS"/>
          <w:bCs/>
          <w:lang w:eastAsia="fr-FR" w:bidi="he-IL"/>
        </w:rPr>
        <w:t> »</w:t>
      </w:r>
      <w:r w:rsidR="00933C60" w:rsidRPr="00C406FF">
        <w:rPr>
          <w:rStyle w:val="Appelnotedebasdep"/>
        </w:rPr>
        <w:footnoteReference w:id="435"/>
      </w:r>
      <w:r w:rsidRPr="00C8701B">
        <w:rPr>
          <w:rFonts w:eastAsia="Arial Unicode MS"/>
          <w:bCs/>
          <w:lang w:eastAsia="fr-FR" w:bidi="he-IL"/>
        </w:rPr>
        <w:t>.</w:t>
      </w:r>
      <w:r w:rsidR="00C2602D" w:rsidRPr="00C8701B">
        <w:rPr>
          <w:rFonts w:eastAsia="Arial Unicode MS"/>
          <w:bCs/>
          <w:lang w:eastAsia="fr-FR" w:bidi="he-IL"/>
        </w:rPr>
        <w:t xml:space="preserve"> </w:t>
      </w:r>
    </w:p>
    <w:p w:rsidR="00F3476E" w:rsidRDefault="00B704AD" w:rsidP="00C2602D">
      <w:pPr>
        <w:rPr>
          <w:rFonts w:eastAsia="Arial Unicode MS"/>
          <w:bCs/>
          <w:lang w:eastAsia="fr-FR" w:bidi="he-IL"/>
        </w:rPr>
      </w:pPr>
      <w:r w:rsidRPr="00C8701B">
        <w:rPr>
          <w:rFonts w:eastAsia="Arial Unicode MS"/>
          <w:bCs/>
          <w:lang w:eastAsia="fr-FR" w:bidi="he-IL"/>
        </w:rPr>
        <w:t>Mai</w:t>
      </w:r>
      <w:r w:rsidR="006B6F85">
        <w:rPr>
          <w:rFonts w:eastAsia="Arial Unicode MS"/>
          <w:bCs/>
          <w:lang w:eastAsia="fr-FR" w:bidi="he-IL"/>
        </w:rPr>
        <w:t>s e</w:t>
      </w:r>
      <w:r w:rsidRPr="00C8701B">
        <w:rPr>
          <w:rFonts w:eastAsia="Arial Unicode MS"/>
          <w:bCs/>
          <w:lang w:eastAsia="fr-FR" w:bidi="he-IL"/>
        </w:rPr>
        <w:t>n revanche</w:t>
      </w:r>
      <w:r w:rsidR="00E65435">
        <w:rPr>
          <w:rFonts w:eastAsia="Arial Unicode MS"/>
          <w:bCs/>
          <w:lang w:eastAsia="fr-FR" w:bidi="he-IL"/>
        </w:rPr>
        <w:t xml:space="preserve">, </w:t>
      </w:r>
      <w:r w:rsidRPr="00C8701B">
        <w:rPr>
          <w:rFonts w:eastAsia="Arial Unicode MS"/>
          <w:bCs/>
          <w:lang w:eastAsia="fr-FR" w:bidi="he-IL"/>
        </w:rPr>
        <w:t>le Christ des évangiles est presque entièrement idéal</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sa vie n</w:t>
      </w:r>
      <w:r w:rsidR="00557DE0">
        <w:rPr>
          <w:rFonts w:eastAsia="Arial Unicode MS"/>
          <w:bCs/>
          <w:lang w:eastAsia="fr-FR" w:bidi="he-IL"/>
        </w:rPr>
        <w:t>’</w:t>
      </w:r>
      <w:r w:rsidRPr="00C8701B">
        <w:rPr>
          <w:rFonts w:eastAsia="Arial Unicode MS"/>
          <w:bCs/>
          <w:lang w:eastAsia="fr-FR" w:bidi="he-IL"/>
        </w:rPr>
        <w:t>est guère composée que de fictions. Car voilà</w:t>
      </w:r>
      <w:r w:rsidR="00E65435">
        <w:rPr>
          <w:rFonts w:eastAsia="Arial Unicode MS"/>
          <w:bCs/>
          <w:lang w:eastAsia="fr-FR" w:bidi="he-IL"/>
        </w:rPr>
        <w:t xml:space="preserve">, </w:t>
      </w:r>
      <w:r w:rsidRPr="00C8701B">
        <w:rPr>
          <w:rFonts w:eastAsia="Arial Unicode MS"/>
          <w:bCs/>
          <w:lang w:eastAsia="fr-FR" w:bidi="he-IL"/>
        </w:rPr>
        <w:t>au fond</w:t>
      </w:r>
      <w:r w:rsidR="00E65435">
        <w:rPr>
          <w:rFonts w:eastAsia="Arial Unicode MS"/>
          <w:bCs/>
          <w:lang w:eastAsia="fr-FR" w:bidi="he-IL"/>
        </w:rPr>
        <w:t xml:space="preserve">, </w:t>
      </w:r>
      <w:r w:rsidRPr="00C8701B">
        <w:rPr>
          <w:rFonts w:eastAsia="Arial Unicode MS"/>
          <w:bCs/>
          <w:lang w:eastAsia="fr-FR" w:bidi="he-IL"/>
        </w:rPr>
        <w:t>ce que Strauss et ses adeptes entendent par le mot</w:t>
      </w:r>
      <w:r w:rsidRPr="00DC4586">
        <w:rPr>
          <w:rStyle w:val="italicus"/>
        </w:rPr>
        <w:t xml:space="preserve"> mythe</w:t>
      </w:r>
      <w:r w:rsidR="00933C60" w:rsidRPr="00C406FF">
        <w:rPr>
          <w:rStyle w:val="Appelnotedebasdep"/>
        </w:rPr>
        <w:footnoteReference w:id="436"/>
      </w:r>
      <w:r w:rsidR="00F3476E">
        <w:rPr>
          <w:rFonts w:eastAsia="Arial Unicode MS"/>
          <w:bCs/>
          <w:lang w:eastAsia="fr-FR" w:bidi="he-IL"/>
        </w:rPr>
        <w:t>. « </w:t>
      </w:r>
      <w:r w:rsidRPr="00C8701B">
        <w:rPr>
          <w:rFonts w:eastAsia="Arial Unicode MS"/>
          <w:bCs/>
          <w:lang w:eastAsia="fr-FR" w:bidi="he-IL"/>
        </w:rPr>
        <w:t>Le mythe est</w:t>
      </w:r>
      <w:r w:rsidR="00E65435">
        <w:rPr>
          <w:rFonts w:eastAsia="Arial Unicode MS"/>
          <w:bCs/>
          <w:lang w:eastAsia="fr-FR" w:bidi="he-IL"/>
        </w:rPr>
        <w:t xml:space="preserve">, </w:t>
      </w:r>
      <w:r w:rsidRPr="00C8701B">
        <w:rPr>
          <w:rFonts w:eastAsia="Arial Unicode MS"/>
          <w:bCs/>
          <w:lang w:eastAsia="fr-FR" w:bidi="he-IL"/>
        </w:rPr>
        <w:t>comme l</w:t>
      </w:r>
      <w:r w:rsidR="00557DE0">
        <w:rPr>
          <w:rFonts w:eastAsia="Arial Unicode MS"/>
          <w:bCs/>
          <w:lang w:eastAsia="fr-FR" w:bidi="he-IL"/>
        </w:rPr>
        <w:t>’</w:t>
      </w:r>
      <w:r w:rsidRPr="00C8701B">
        <w:rPr>
          <w:rFonts w:eastAsia="Arial Unicode MS"/>
          <w:bCs/>
          <w:lang w:eastAsia="fr-FR" w:bidi="he-IL"/>
        </w:rPr>
        <w:t>apologue</w:t>
      </w:r>
      <w:r w:rsidR="00E65435">
        <w:rPr>
          <w:rFonts w:eastAsia="Arial Unicode MS"/>
          <w:bCs/>
          <w:lang w:eastAsia="fr-FR" w:bidi="he-IL"/>
        </w:rPr>
        <w:t xml:space="preserve">, </w:t>
      </w:r>
      <w:r w:rsidRPr="00C8701B">
        <w:rPr>
          <w:rFonts w:eastAsia="Arial Unicode MS"/>
          <w:bCs/>
          <w:lang w:eastAsia="fr-FR" w:bidi="he-IL"/>
        </w:rPr>
        <w:t>le fruit de l</w:t>
      </w:r>
      <w:r w:rsidR="00557DE0">
        <w:rPr>
          <w:rFonts w:eastAsia="Arial Unicode MS"/>
          <w:bCs/>
          <w:lang w:eastAsia="fr-FR" w:bidi="he-IL"/>
        </w:rPr>
        <w:t>’</w:t>
      </w:r>
      <w:r w:rsidRPr="00C8701B">
        <w:rPr>
          <w:rFonts w:eastAsia="Arial Unicode MS"/>
          <w:bCs/>
          <w:lang w:eastAsia="fr-FR" w:bidi="he-IL"/>
        </w:rPr>
        <w:t>imagination</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mais il en diffère en ce </w:t>
      </w:r>
      <w:r w:rsidR="00F3476E">
        <w:rPr>
          <w:rFonts w:eastAsia="Arial Unicode MS"/>
          <w:bCs/>
          <w:lang w:eastAsia="fr-FR" w:bidi="he-IL"/>
        </w:rPr>
        <w:t>{80</w:t>
      </w:r>
      <w:bookmarkStart w:id="129" w:name="pag080"/>
      <w:bookmarkEnd w:id="129"/>
      <w:r w:rsidR="00F3476E">
        <w:rPr>
          <w:rFonts w:eastAsia="Arial Unicode MS"/>
          <w:bCs/>
          <w:lang w:eastAsia="fr-FR" w:bidi="he-IL"/>
        </w:rPr>
        <w:t xml:space="preserve">} </w:t>
      </w:r>
      <w:r w:rsidRPr="00C8701B">
        <w:rPr>
          <w:rFonts w:eastAsia="Arial Unicode MS"/>
          <w:bCs/>
          <w:lang w:eastAsia="fr-FR" w:bidi="he-IL"/>
        </w:rPr>
        <w:t>point</w:t>
      </w:r>
      <w:r w:rsidR="00E65435">
        <w:rPr>
          <w:rFonts w:eastAsia="Arial Unicode MS"/>
          <w:bCs/>
          <w:lang w:eastAsia="fr-FR" w:bidi="he-IL"/>
        </w:rPr>
        <w:t xml:space="preserve">, </w:t>
      </w:r>
      <w:r w:rsidRPr="00C8701B">
        <w:rPr>
          <w:rFonts w:eastAsia="Arial Unicode MS"/>
          <w:bCs/>
          <w:lang w:eastAsia="fr-FR" w:bidi="he-IL"/>
        </w:rPr>
        <w:t>qu</w:t>
      </w:r>
      <w:r w:rsidR="00557DE0">
        <w:rPr>
          <w:rFonts w:eastAsia="Arial Unicode MS"/>
          <w:bCs/>
          <w:lang w:eastAsia="fr-FR" w:bidi="he-IL"/>
        </w:rPr>
        <w:t>’</w:t>
      </w:r>
      <w:r w:rsidRPr="00C8701B">
        <w:rPr>
          <w:rFonts w:eastAsia="Arial Unicode MS"/>
          <w:bCs/>
          <w:lang w:eastAsia="fr-FR" w:bidi="he-IL"/>
        </w:rPr>
        <w:t>il est une sorte d</w:t>
      </w:r>
      <w:r w:rsidR="00557DE0">
        <w:rPr>
          <w:rFonts w:eastAsia="Arial Unicode MS"/>
          <w:bCs/>
          <w:lang w:eastAsia="fr-FR" w:bidi="he-IL"/>
        </w:rPr>
        <w:t>’</w:t>
      </w:r>
      <w:r w:rsidRPr="00C8701B">
        <w:rPr>
          <w:rFonts w:eastAsia="Arial Unicode MS"/>
          <w:bCs/>
          <w:lang w:eastAsia="fr-FR" w:bidi="he-IL"/>
        </w:rPr>
        <w:t>incarnation des idées populaires</w:t>
      </w:r>
      <w:r w:rsidR="00E65435">
        <w:rPr>
          <w:rFonts w:eastAsia="Arial Unicode MS"/>
          <w:bCs/>
          <w:lang w:eastAsia="fr-FR" w:bidi="he-IL"/>
        </w:rPr>
        <w:t xml:space="preserve">, </w:t>
      </w:r>
      <w:r w:rsidRPr="00C8701B">
        <w:rPr>
          <w:rFonts w:eastAsia="Arial Unicode MS"/>
          <w:bCs/>
          <w:lang w:eastAsia="fr-FR" w:bidi="he-IL"/>
        </w:rPr>
        <w:t>à un moment donné. Les aspirations d</w:t>
      </w:r>
      <w:r w:rsidR="00557DE0">
        <w:rPr>
          <w:rFonts w:eastAsia="Arial Unicode MS"/>
          <w:bCs/>
          <w:lang w:eastAsia="fr-FR" w:bidi="he-IL"/>
        </w:rPr>
        <w:t>’</w:t>
      </w:r>
      <w:r w:rsidRPr="00C8701B">
        <w:rPr>
          <w:rFonts w:eastAsia="Arial Unicode MS"/>
          <w:bCs/>
          <w:lang w:eastAsia="fr-FR" w:bidi="he-IL"/>
        </w:rPr>
        <w:t>une époque</w:t>
      </w:r>
      <w:r w:rsidR="00E65435">
        <w:rPr>
          <w:rFonts w:eastAsia="Arial Unicode MS"/>
          <w:bCs/>
          <w:lang w:eastAsia="fr-FR" w:bidi="he-IL"/>
        </w:rPr>
        <w:t xml:space="preserve">, </w:t>
      </w:r>
      <w:r w:rsidRPr="00C8701B">
        <w:rPr>
          <w:rFonts w:eastAsia="Arial Unicode MS"/>
          <w:bCs/>
          <w:lang w:eastAsia="fr-FR" w:bidi="he-IL"/>
        </w:rPr>
        <w:t>sa manière de concevoir les choses</w:t>
      </w:r>
      <w:r w:rsidR="00E65435">
        <w:rPr>
          <w:rFonts w:eastAsia="Arial Unicode MS"/>
          <w:bCs/>
          <w:lang w:eastAsia="fr-FR" w:bidi="he-IL"/>
        </w:rPr>
        <w:t xml:space="preserve">, </w:t>
      </w:r>
      <w:r w:rsidRPr="00C8701B">
        <w:rPr>
          <w:rFonts w:eastAsia="Arial Unicode MS"/>
          <w:bCs/>
          <w:lang w:eastAsia="fr-FR" w:bidi="he-IL"/>
        </w:rPr>
        <w:t>ses désirs et ses idées prennent un jour un corps</w:t>
      </w:r>
      <w:r w:rsidR="00F3476E">
        <w:rPr>
          <w:rFonts w:eastAsia="Arial Unicode MS"/>
          <w:bCs/>
          <w:lang w:eastAsia="fr-FR" w:bidi="he-IL"/>
        </w:rPr>
        <w:t>, son idéal s</w:t>
      </w:r>
      <w:r w:rsidRPr="00C8701B">
        <w:rPr>
          <w:rFonts w:eastAsia="Arial Unicode MS"/>
          <w:bCs/>
          <w:lang w:eastAsia="fr-FR" w:bidi="he-IL"/>
        </w:rPr>
        <w:t>e personnifie dans un être ou dans un récit imaginaire</w:t>
      </w:r>
      <w:r w:rsidR="00C2602D" w:rsidRPr="00C8701B">
        <w:rPr>
          <w:rFonts w:eastAsia="Arial Unicode MS"/>
          <w:bCs/>
          <w:lang w:eastAsia="fr-FR" w:bidi="he-IL"/>
        </w:rPr>
        <w:t> :</w:t>
      </w:r>
      <w:r w:rsidRPr="00C8701B">
        <w:rPr>
          <w:rFonts w:eastAsia="Arial Unicode MS"/>
          <w:bCs/>
          <w:lang w:eastAsia="fr-FR" w:bidi="he-IL"/>
        </w:rPr>
        <w:t xml:space="preserve"> voilà le mythe. Ce n</w:t>
      </w:r>
      <w:r w:rsidR="00557DE0">
        <w:rPr>
          <w:rFonts w:eastAsia="Arial Unicode MS"/>
          <w:bCs/>
          <w:lang w:eastAsia="fr-FR" w:bidi="he-IL"/>
        </w:rPr>
        <w:t>’</w:t>
      </w:r>
      <w:r w:rsidRPr="00C8701B">
        <w:rPr>
          <w:rFonts w:eastAsia="Arial Unicode MS"/>
          <w:bCs/>
          <w:lang w:eastAsia="fr-FR" w:bidi="he-IL"/>
        </w:rPr>
        <w:t>est pas l</w:t>
      </w:r>
      <w:r w:rsidR="00557DE0">
        <w:rPr>
          <w:rFonts w:eastAsia="Arial Unicode MS"/>
          <w:bCs/>
          <w:lang w:eastAsia="fr-FR" w:bidi="he-IL"/>
        </w:rPr>
        <w:t>’</w:t>
      </w:r>
      <w:r w:rsidRPr="00C8701B">
        <w:rPr>
          <w:rFonts w:eastAsia="Arial Unicode MS"/>
          <w:bCs/>
          <w:lang w:eastAsia="fr-FR" w:bidi="he-IL"/>
        </w:rPr>
        <w:t>écrivain qui nous le raconte qui en est le créateur</w:t>
      </w:r>
      <w:r w:rsidR="00E65435">
        <w:rPr>
          <w:rFonts w:eastAsia="Arial Unicode MS"/>
          <w:bCs/>
          <w:lang w:eastAsia="fr-FR" w:bidi="he-IL"/>
        </w:rPr>
        <w:t xml:space="preserve">, </w:t>
      </w:r>
      <w:r w:rsidRPr="00C8701B">
        <w:rPr>
          <w:rFonts w:eastAsia="Arial Unicode MS"/>
          <w:bCs/>
          <w:lang w:eastAsia="fr-FR" w:bidi="he-IL"/>
        </w:rPr>
        <w:t>ce n</w:t>
      </w:r>
      <w:r w:rsidR="00557DE0">
        <w:rPr>
          <w:rFonts w:eastAsia="Arial Unicode MS"/>
          <w:bCs/>
          <w:lang w:eastAsia="fr-FR" w:bidi="he-IL"/>
        </w:rPr>
        <w:t>’</w:t>
      </w:r>
      <w:r w:rsidRPr="00C8701B">
        <w:rPr>
          <w:rFonts w:eastAsia="Arial Unicode MS"/>
          <w:bCs/>
          <w:lang w:eastAsia="fr-FR" w:bidi="he-IL"/>
        </w:rPr>
        <w:t>est pas non plus tel ou tel individu isolé</w:t>
      </w:r>
      <w:r w:rsidR="00C2602D" w:rsidRPr="00C8701B">
        <w:rPr>
          <w:rFonts w:eastAsia="Arial Unicode MS"/>
          <w:bCs/>
          <w:lang w:eastAsia="fr-FR" w:bidi="he-IL"/>
        </w:rPr>
        <w:t> </w:t>
      </w:r>
      <w:r w:rsidR="007F6508">
        <w:rPr>
          <w:rFonts w:eastAsia="Arial Unicode MS"/>
          <w:bCs/>
          <w:lang w:eastAsia="fr-FR" w:bidi="he-IL"/>
        </w:rPr>
        <w:t xml:space="preserve">; </w:t>
      </w:r>
      <w:r w:rsidR="00F3476E">
        <w:rPr>
          <w:rFonts w:eastAsia="Arial Unicode MS"/>
          <w:bCs/>
          <w:lang w:eastAsia="fr-FR" w:bidi="he-IL"/>
        </w:rPr>
        <w:t>non !</w:t>
      </w:r>
      <w:r w:rsidRPr="00C8701B">
        <w:rPr>
          <w:rFonts w:eastAsia="Arial Unicode MS"/>
          <w:bCs/>
          <w:lang w:eastAsia="fr-FR" w:bidi="he-IL"/>
        </w:rPr>
        <w:t xml:space="preserve"> C</w:t>
      </w:r>
      <w:r w:rsidR="00557DE0">
        <w:rPr>
          <w:rFonts w:eastAsia="Arial Unicode MS"/>
          <w:bCs/>
          <w:lang w:eastAsia="fr-FR" w:bidi="he-IL"/>
        </w:rPr>
        <w:t>’</w:t>
      </w:r>
      <w:r w:rsidRPr="00C8701B">
        <w:rPr>
          <w:rFonts w:eastAsia="Arial Unicode MS"/>
          <w:bCs/>
          <w:lang w:eastAsia="fr-FR" w:bidi="he-IL"/>
        </w:rPr>
        <w:t>est une création collective</w:t>
      </w:r>
      <w:r w:rsidR="00E65435">
        <w:rPr>
          <w:rFonts w:eastAsia="Arial Unicode MS"/>
          <w:bCs/>
          <w:lang w:eastAsia="fr-FR" w:bidi="he-IL"/>
        </w:rPr>
        <w:t xml:space="preserve">, </w:t>
      </w:r>
      <w:r w:rsidRPr="00C8701B">
        <w:rPr>
          <w:rFonts w:eastAsia="Arial Unicode MS"/>
          <w:bCs/>
          <w:lang w:eastAsia="fr-FR" w:bidi="he-IL"/>
        </w:rPr>
        <w:t>anonyme</w:t>
      </w:r>
      <w:r w:rsidR="00E65435">
        <w:rPr>
          <w:rFonts w:eastAsia="Arial Unicode MS"/>
          <w:bCs/>
          <w:lang w:eastAsia="fr-FR" w:bidi="he-IL"/>
        </w:rPr>
        <w:t xml:space="preserve">, </w:t>
      </w:r>
      <w:r w:rsidRPr="00C8701B">
        <w:rPr>
          <w:rFonts w:eastAsia="Arial Unicode MS"/>
          <w:bCs/>
          <w:lang w:eastAsia="fr-FR" w:bidi="he-IL"/>
        </w:rPr>
        <w:t>spontanée</w:t>
      </w:r>
      <w:r w:rsidR="00E65435">
        <w:rPr>
          <w:rFonts w:eastAsia="Arial Unicode MS"/>
          <w:bCs/>
          <w:lang w:eastAsia="fr-FR" w:bidi="he-IL"/>
        </w:rPr>
        <w:t xml:space="preserve">, </w:t>
      </w:r>
      <w:r w:rsidRPr="00C8701B">
        <w:rPr>
          <w:rFonts w:eastAsia="Arial Unicode MS"/>
          <w:bCs/>
          <w:lang w:eastAsia="fr-FR" w:bidi="he-IL"/>
        </w:rPr>
        <w:t>inconsciente</w:t>
      </w:r>
      <w:r w:rsidR="00E65435">
        <w:rPr>
          <w:rFonts w:eastAsia="Arial Unicode MS"/>
          <w:bCs/>
          <w:lang w:eastAsia="fr-FR" w:bidi="he-IL"/>
        </w:rPr>
        <w:t xml:space="preserve">, </w:t>
      </w:r>
      <w:r w:rsidRPr="00C8701B">
        <w:rPr>
          <w:rFonts w:eastAsia="Arial Unicode MS"/>
          <w:bCs/>
          <w:lang w:eastAsia="fr-FR" w:bidi="he-IL"/>
        </w:rPr>
        <w:t>dans laquelle chacun a fourni quelque trait</w:t>
      </w:r>
      <w:r w:rsidR="00E65435">
        <w:rPr>
          <w:rFonts w:eastAsia="Arial Unicode MS"/>
          <w:bCs/>
          <w:lang w:eastAsia="fr-FR" w:bidi="he-IL"/>
        </w:rPr>
        <w:t xml:space="preserve">, </w:t>
      </w:r>
      <w:r w:rsidRPr="00C8701B">
        <w:rPr>
          <w:rFonts w:eastAsia="Arial Unicode MS"/>
          <w:bCs/>
          <w:lang w:eastAsia="fr-FR" w:bidi="he-IL"/>
        </w:rPr>
        <w:t>quelque élément</w:t>
      </w:r>
      <w:r w:rsidR="00E65435">
        <w:rPr>
          <w:rFonts w:eastAsia="Arial Unicode MS"/>
          <w:bCs/>
          <w:lang w:eastAsia="fr-FR" w:bidi="he-IL"/>
        </w:rPr>
        <w:t xml:space="preserve">, </w:t>
      </w:r>
      <w:r w:rsidRPr="00C8701B">
        <w:rPr>
          <w:rFonts w:eastAsia="Arial Unicode MS"/>
          <w:bCs/>
          <w:lang w:eastAsia="fr-FR" w:bidi="he-IL"/>
        </w:rPr>
        <w:t>sans qu</w:t>
      </w:r>
      <w:r w:rsidR="00557DE0">
        <w:rPr>
          <w:rFonts w:eastAsia="Arial Unicode MS"/>
          <w:bCs/>
          <w:lang w:eastAsia="fr-FR" w:bidi="he-IL"/>
        </w:rPr>
        <w:t>’</w:t>
      </w:r>
      <w:r w:rsidRPr="00C8701B">
        <w:rPr>
          <w:rFonts w:eastAsia="Arial Unicode MS"/>
          <w:bCs/>
          <w:lang w:eastAsia="fr-FR" w:bidi="he-IL"/>
        </w:rPr>
        <w:t>il soit possible de départir à chacun la part qui lui revient. C</w:t>
      </w:r>
      <w:r w:rsidR="00557DE0">
        <w:rPr>
          <w:rFonts w:eastAsia="Arial Unicode MS"/>
          <w:bCs/>
          <w:lang w:eastAsia="fr-FR" w:bidi="he-IL"/>
        </w:rPr>
        <w:t>’</w:t>
      </w:r>
      <w:r w:rsidRPr="00C8701B">
        <w:rPr>
          <w:rFonts w:eastAsia="Arial Unicode MS"/>
          <w:bCs/>
          <w:lang w:eastAsia="fr-FR" w:bidi="he-IL"/>
        </w:rPr>
        <w:t>est de cette manière que les évangiles ont été composés par l</w:t>
      </w:r>
      <w:r w:rsidR="00557DE0">
        <w:rPr>
          <w:rFonts w:eastAsia="Arial Unicode MS"/>
          <w:bCs/>
          <w:lang w:eastAsia="fr-FR" w:bidi="he-IL"/>
        </w:rPr>
        <w:t>’</w:t>
      </w:r>
      <w:r w:rsidRPr="00C8701B">
        <w:rPr>
          <w:rFonts w:eastAsia="Arial Unicode MS"/>
          <w:bCs/>
          <w:lang w:eastAsia="fr-FR" w:bidi="he-IL"/>
        </w:rPr>
        <w:t>imagination populaire</w:t>
      </w:r>
      <w:r w:rsidR="00E65435">
        <w:rPr>
          <w:rFonts w:eastAsia="Arial Unicode MS"/>
          <w:bCs/>
          <w:lang w:eastAsia="fr-FR" w:bidi="he-IL"/>
        </w:rPr>
        <w:t xml:space="preserve">, </w:t>
      </w:r>
      <w:r w:rsidRPr="00C8701B">
        <w:rPr>
          <w:rFonts w:eastAsia="Arial Unicode MS"/>
          <w:bCs/>
          <w:lang w:eastAsia="fr-FR" w:bidi="he-IL"/>
        </w:rPr>
        <w:t>avant d</w:t>
      </w:r>
      <w:r w:rsidR="00557DE0">
        <w:rPr>
          <w:rFonts w:eastAsia="Arial Unicode MS"/>
          <w:bCs/>
          <w:lang w:eastAsia="fr-FR" w:bidi="he-IL"/>
        </w:rPr>
        <w:t>’</w:t>
      </w:r>
      <w:r w:rsidRPr="00C8701B">
        <w:rPr>
          <w:rFonts w:eastAsia="Arial Unicode MS"/>
          <w:bCs/>
          <w:lang w:eastAsia="fr-FR" w:bidi="he-IL"/>
        </w:rPr>
        <w:t>être écrits par les quatre évangélistes... Les apôtres annoncent au monde que leur maître crucifié est sorti vivant du sépulcre au troisième jour. De deux choses l</w:t>
      </w:r>
      <w:r w:rsidR="00557DE0">
        <w:rPr>
          <w:rFonts w:eastAsia="Arial Unicode MS"/>
          <w:bCs/>
          <w:lang w:eastAsia="fr-FR" w:bidi="he-IL"/>
        </w:rPr>
        <w:t>’</w:t>
      </w:r>
      <w:r w:rsidRPr="00C8701B">
        <w:rPr>
          <w:rFonts w:eastAsia="Arial Unicode MS"/>
          <w:bCs/>
          <w:lang w:eastAsia="fr-FR" w:bidi="he-IL"/>
        </w:rPr>
        <w:t>une</w:t>
      </w:r>
      <w:r w:rsidR="00E65435">
        <w:rPr>
          <w:rFonts w:eastAsia="Arial Unicode MS"/>
          <w:bCs/>
          <w:lang w:eastAsia="fr-FR" w:bidi="he-IL"/>
        </w:rPr>
        <w:t xml:space="preserve">, </w:t>
      </w:r>
      <w:r w:rsidRPr="00C8701B">
        <w:rPr>
          <w:rFonts w:eastAsia="Arial Unicode MS"/>
          <w:bCs/>
          <w:lang w:eastAsia="fr-FR" w:bidi="he-IL"/>
        </w:rPr>
        <w:t>disait la critique ancienne</w:t>
      </w:r>
      <w:r w:rsidR="00C2602D" w:rsidRPr="00C8701B">
        <w:rPr>
          <w:rFonts w:eastAsia="Arial Unicode MS"/>
          <w:bCs/>
          <w:lang w:eastAsia="fr-FR" w:bidi="he-IL"/>
        </w:rPr>
        <w:t> :</w:t>
      </w:r>
      <w:r w:rsidRPr="00C8701B">
        <w:rPr>
          <w:rFonts w:eastAsia="Arial Unicode MS"/>
          <w:bCs/>
          <w:lang w:eastAsia="fr-FR" w:bidi="he-IL"/>
        </w:rPr>
        <w:t xml:space="preserve"> ou bien l</w:t>
      </w:r>
      <w:r w:rsidR="00557DE0">
        <w:rPr>
          <w:rFonts w:eastAsia="Arial Unicode MS"/>
          <w:bCs/>
          <w:lang w:eastAsia="fr-FR" w:bidi="he-IL"/>
        </w:rPr>
        <w:t>’</w:t>
      </w:r>
      <w:r w:rsidRPr="00C8701B">
        <w:rPr>
          <w:rFonts w:eastAsia="Arial Unicode MS"/>
          <w:bCs/>
          <w:lang w:eastAsia="fr-FR" w:bidi="he-IL"/>
        </w:rPr>
        <w:t>événement a réellement eu lieu</w:t>
      </w:r>
      <w:r w:rsidR="00E65435">
        <w:rPr>
          <w:rFonts w:eastAsia="Arial Unicode MS"/>
          <w:bCs/>
          <w:lang w:eastAsia="fr-FR" w:bidi="he-IL"/>
        </w:rPr>
        <w:t xml:space="preserve">, </w:t>
      </w:r>
      <w:r w:rsidRPr="00C8701B">
        <w:rPr>
          <w:rFonts w:eastAsia="Arial Unicode MS"/>
          <w:bCs/>
          <w:lang w:eastAsia="fr-FR" w:bidi="he-IL"/>
        </w:rPr>
        <w:t>ou bien il n</w:t>
      </w:r>
      <w:r w:rsidR="00557DE0">
        <w:rPr>
          <w:rFonts w:eastAsia="Arial Unicode MS"/>
          <w:bCs/>
          <w:lang w:eastAsia="fr-FR" w:bidi="he-IL"/>
        </w:rPr>
        <w:t>’</w:t>
      </w:r>
      <w:r w:rsidRPr="00C8701B">
        <w:rPr>
          <w:rFonts w:eastAsia="Arial Unicode MS"/>
          <w:bCs/>
          <w:lang w:eastAsia="fr-FR" w:bidi="he-IL"/>
        </w:rPr>
        <w:t>a pas eu lieu</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dans le premier cas</w:t>
      </w:r>
      <w:r w:rsidR="00E65435">
        <w:rPr>
          <w:rFonts w:eastAsia="Arial Unicode MS"/>
          <w:bCs/>
          <w:lang w:eastAsia="fr-FR" w:bidi="he-IL"/>
        </w:rPr>
        <w:t xml:space="preserve">, </w:t>
      </w:r>
      <w:r w:rsidRPr="00C8701B">
        <w:rPr>
          <w:rFonts w:eastAsia="Arial Unicode MS"/>
          <w:bCs/>
          <w:lang w:eastAsia="fr-FR" w:bidi="he-IL"/>
        </w:rPr>
        <w:t>les apôtres ont dit la vérité</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dans le second</w:t>
      </w:r>
      <w:r w:rsidR="00E65435">
        <w:rPr>
          <w:rFonts w:eastAsia="Arial Unicode MS"/>
          <w:bCs/>
          <w:lang w:eastAsia="fr-FR" w:bidi="he-IL"/>
        </w:rPr>
        <w:t xml:space="preserve">, </w:t>
      </w:r>
      <w:r w:rsidRPr="00C8701B">
        <w:rPr>
          <w:rFonts w:eastAsia="Arial Unicode MS"/>
          <w:bCs/>
          <w:lang w:eastAsia="fr-FR" w:bidi="he-IL"/>
        </w:rPr>
        <w:t>ils ont menti. Selon la critique nouvelle</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après Strauss</w:t>
      </w:r>
      <w:r w:rsidR="00E65435">
        <w:rPr>
          <w:rFonts w:eastAsia="Arial Unicode MS"/>
          <w:bCs/>
          <w:lang w:eastAsia="fr-FR" w:bidi="he-IL"/>
        </w:rPr>
        <w:t xml:space="preserve">, </w:t>
      </w:r>
      <w:r w:rsidRPr="00C8701B">
        <w:rPr>
          <w:rFonts w:eastAsia="Arial Unicode MS"/>
          <w:bCs/>
          <w:lang w:eastAsia="fr-FR" w:bidi="he-IL"/>
        </w:rPr>
        <w:t>il y a un milieu entre les deux membres du dilemme</w:t>
      </w:r>
      <w:r w:rsidR="00E65435">
        <w:rPr>
          <w:rFonts w:eastAsia="Arial Unicode MS"/>
          <w:bCs/>
          <w:lang w:eastAsia="fr-FR" w:bidi="he-IL"/>
        </w:rPr>
        <w:t xml:space="preserve">, </w:t>
      </w:r>
      <w:r w:rsidRPr="00C8701B">
        <w:rPr>
          <w:rFonts w:eastAsia="Arial Unicode MS"/>
          <w:bCs/>
          <w:lang w:eastAsia="fr-FR" w:bidi="he-IL"/>
        </w:rPr>
        <w:t>entre la réalité du fait et la fourberie des disciples de Jésus</w:t>
      </w:r>
      <w:r w:rsidR="00C2602D" w:rsidRPr="00C8701B">
        <w:rPr>
          <w:rFonts w:eastAsia="Arial Unicode MS"/>
          <w:bCs/>
          <w:lang w:eastAsia="fr-FR" w:bidi="he-IL"/>
        </w:rPr>
        <w:t> :</w:t>
      </w:r>
      <w:r w:rsidRPr="00C8701B">
        <w:rPr>
          <w:rFonts w:eastAsia="Arial Unicode MS"/>
          <w:bCs/>
          <w:lang w:eastAsia="fr-FR" w:bidi="he-IL"/>
        </w:rPr>
        <w:t xml:space="preserve"> c</w:t>
      </w:r>
      <w:r w:rsidR="00557DE0">
        <w:rPr>
          <w:rFonts w:eastAsia="Arial Unicode MS"/>
          <w:bCs/>
          <w:lang w:eastAsia="fr-FR" w:bidi="he-IL"/>
        </w:rPr>
        <w:t>’</w:t>
      </w:r>
      <w:r w:rsidRPr="00C8701B">
        <w:rPr>
          <w:rFonts w:eastAsia="Arial Unicode MS"/>
          <w:bCs/>
          <w:lang w:eastAsia="fr-FR" w:bidi="he-IL"/>
        </w:rPr>
        <w:t>est le mythe. La s</w:t>
      </w:r>
      <w:r w:rsidR="00F3476E">
        <w:rPr>
          <w:rFonts w:eastAsia="Arial Unicode MS"/>
          <w:bCs/>
          <w:lang w:eastAsia="fr-FR" w:bidi="he-IL"/>
        </w:rPr>
        <w:t>upposition de la réalité du fait</w:t>
      </w:r>
      <w:r w:rsidRPr="00C8701B">
        <w:rPr>
          <w:rFonts w:eastAsia="Arial Unicode MS"/>
          <w:bCs/>
          <w:lang w:eastAsia="fr-FR" w:bidi="he-IL"/>
        </w:rPr>
        <w:t xml:space="preserve"> n</w:t>
      </w:r>
      <w:r w:rsidR="00557DE0">
        <w:rPr>
          <w:rFonts w:eastAsia="Arial Unicode MS"/>
          <w:bCs/>
          <w:lang w:eastAsia="fr-FR" w:bidi="he-IL"/>
        </w:rPr>
        <w:t>’</w:t>
      </w:r>
      <w:r w:rsidRPr="00C8701B">
        <w:rPr>
          <w:rFonts w:eastAsia="Arial Unicode MS"/>
          <w:bCs/>
          <w:lang w:eastAsia="fr-FR" w:bidi="he-IL"/>
        </w:rPr>
        <w:t>est pas admissible</w:t>
      </w:r>
      <w:r w:rsidR="00E65435">
        <w:rPr>
          <w:rFonts w:eastAsia="Arial Unicode MS"/>
          <w:bCs/>
          <w:lang w:eastAsia="fr-FR" w:bidi="he-IL"/>
        </w:rPr>
        <w:t xml:space="preserve">, </w:t>
      </w:r>
      <w:r w:rsidRPr="00C8701B">
        <w:rPr>
          <w:rFonts w:eastAsia="Arial Unicode MS"/>
          <w:bCs/>
          <w:lang w:eastAsia="fr-FR" w:bidi="he-IL"/>
        </w:rPr>
        <w:t>à cause de l</w:t>
      </w:r>
      <w:r w:rsidR="00557DE0">
        <w:rPr>
          <w:rFonts w:eastAsia="Arial Unicode MS"/>
          <w:bCs/>
          <w:lang w:eastAsia="fr-FR" w:bidi="he-IL"/>
        </w:rPr>
        <w:t>’</w:t>
      </w:r>
      <w:r w:rsidRPr="00C8701B">
        <w:rPr>
          <w:rFonts w:eastAsia="Arial Unicode MS"/>
          <w:bCs/>
          <w:lang w:eastAsia="fr-FR" w:bidi="he-IL"/>
        </w:rPr>
        <w:t>impossibilité du miracle. Celle de la fourberie est discutable. Qui nous prouve que les apôtres ont dû savoir que Jésus n</w:t>
      </w:r>
      <w:r w:rsidR="00557DE0">
        <w:rPr>
          <w:rFonts w:eastAsia="Arial Unicode MS"/>
          <w:bCs/>
          <w:lang w:eastAsia="fr-FR" w:bidi="he-IL"/>
        </w:rPr>
        <w:t>’</w:t>
      </w:r>
      <w:r w:rsidRPr="00C8701B">
        <w:rPr>
          <w:rFonts w:eastAsia="Arial Unicode MS"/>
          <w:bCs/>
          <w:lang w:eastAsia="fr-FR" w:bidi="he-IL"/>
        </w:rPr>
        <w:t>était pas ressuscité</w:t>
      </w:r>
      <w:r w:rsidR="00C2602D" w:rsidRPr="00C8701B">
        <w:rPr>
          <w:rFonts w:eastAsia="Arial Unicode MS"/>
          <w:bCs/>
          <w:lang w:eastAsia="fr-FR" w:bidi="he-IL"/>
        </w:rPr>
        <w:t> ?</w:t>
      </w:r>
      <w:r w:rsidRPr="00C8701B">
        <w:rPr>
          <w:rFonts w:eastAsia="Arial Unicode MS"/>
          <w:bCs/>
          <w:lang w:eastAsia="fr-FR" w:bidi="he-IL"/>
        </w:rPr>
        <w:t xml:space="preserve"> Qui nous prouve que l</w:t>
      </w:r>
      <w:r w:rsidR="00557DE0">
        <w:rPr>
          <w:rFonts w:eastAsia="Arial Unicode MS"/>
          <w:bCs/>
          <w:lang w:eastAsia="fr-FR" w:bidi="he-IL"/>
        </w:rPr>
        <w:t>’</w:t>
      </w:r>
      <w:r w:rsidRPr="00C8701B">
        <w:rPr>
          <w:rFonts w:eastAsia="Arial Unicode MS"/>
          <w:bCs/>
          <w:lang w:eastAsia="fr-FR" w:bidi="he-IL"/>
        </w:rPr>
        <w:t>imagination populaire n</w:t>
      </w:r>
      <w:r w:rsidR="00557DE0">
        <w:rPr>
          <w:rFonts w:eastAsia="Arial Unicode MS"/>
          <w:bCs/>
          <w:lang w:eastAsia="fr-FR" w:bidi="he-IL"/>
        </w:rPr>
        <w:t>’</w:t>
      </w:r>
      <w:r w:rsidRPr="00C8701B">
        <w:rPr>
          <w:rFonts w:eastAsia="Arial Unicode MS"/>
          <w:bCs/>
          <w:lang w:eastAsia="fr-FR" w:bidi="he-IL"/>
        </w:rPr>
        <w:t>avait pas imaginé réellement le mythe de la résurrection du Messie</w:t>
      </w:r>
      <w:r w:rsidR="00E65435">
        <w:rPr>
          <w:rFonts w:eastAsia="Arial Unicode MS"/>
          <w:bCs/>
          <w:lang w:eastAsia="fr-FR" w:bidi="he-IL"/>
        </w:rPr>
        <w:t xml:space="preserve">, </w:t>
      </w:r>
      <w:r w:rsidRPr="00C8701B">
        <w:rPr>
          <w:rFonts w:eastAsia="Arial Unicode MS"/>
          <w:bCs/>
          <w:lang w:eastAsia="fr-FR" w:bidi="he-IL"/>
        </w:rPr>
        <w:t>et que les apôtres n</w:t>
      </w:r>
      <w:r w:rsidR="00557DE0">
        <w:rPr>
          <w:rFonts w:eastAsia="Arial Unicode MS"/>
          <w:bCs/>
          <w:lang w:eastAsia="fr-FR" w:bidi="he-IL"/>
        </w:rPr>
        <w:t>’</w:t>
      </w:r>
      <w:r w:rsidRPr="00C8701B">
        <w:rPr>
          <w:rFonts w:eastAsia="Arial Unicode MS"/>
          <w:bCs/>
          <w:lang w:eastAsia="fr-FR" w:bidi="he-IL"/>
        </w:rPr>
        <w:t>ont pas cru sincèrement au mythe</w:t>
      </w:r>
      <w:r w:rsidR="00C2602D" w:rsidRPr="00C8701B">
        <w:rPr>
          <w:rFonts w:eastAsia="Arial Unicode MS"/>
          <w:bCs/>
          <w:lang w:eastAsia="fr-FR" w:bidi="he-IL"/>
        </w:rPr>
        <w:t> ?</w:t>
      </w:r>
      <w:r w:rsidRPr="00C8701B">
        <w:rPr>
          <w:rFonts w:eastAsia="Arial Unicode MS"/>
          <w:bCs/>
          <w:lang w:eastAsia="fr-FR" w:bidi="he-IL"/>
        </w:rPr>
        <w:t xml:space="preserve"> Ils peuvent ainsi avoir agi et parlé en toute honnêteté</w:t>
      </w:r>
      <w:r w:rsidR="00E65435">
        <w:rPr>
          <w:rFonts w:eastAsia="Arial Unicode MS"/>
          <w:bCs/>
          <w:lang w:eastAsia="fr-FR" w:bidi="he-IL"/>
        </w:rPr>
        <w:t xml:space="preserve">, </w:t>
      </w:r>
      <w:r w:rsidRPr="00C8701B">
        <w:rPr>
          <w:rFonts w:eastAsia="Arial Unicode MS"/>
          <w:bCs/>
          <w:lang w:eastAsia="fr-FR" w:bidi="he-IL"/>
        </w:rPr>
        <w:t>et nous voyons disparaître de la sorte la contradiction insupportable entre un mensonge conscient et une foi assez ardente pour changer la face du monde. D</w:t>
      </w:r>
      <w:r w:rsidR="00557DE0">
        <w:rPr>
          <w:rFonts w:eastAsia="Arial Unicode MS"/>
          <w:bCs/>
          <w:lang w:eastAsia="fr-FR" w:bidi="he-IL"/>
        </w:rPr>
        <w:t>’</w:t>
      </w:r>
      <w:r w:rsidRPr="00C8701B">
        <w:rPr>
          <w:rFonts w:eastAsia="Arial Unicode MS"/>
          <w:bCs/>
          <w:lang w:eastAsia="fr-FR" w:bidi="he-IL"/>
        </w:rPr>
        <w:t>après la croyance de l</w:t>
      </w:r>
      <w:r w:rsidR="00557DE0">
        <w:rPr>
          <w:rFonts w:eastAsia="Arial Unicode MS"/>
          <w:bCs/>
          <w:lang w:eastAsia="fr-FR" w:bidi="he-IL"/>
        </w:rPr>
        <w:t>’</w:t>
      </w:r>
      <w:r w:rsidR="00C8701B">
        <w:rPr>
          <w:rFonts w:eastAsia="Arial Unicode MS"/>
          <w:bCs/>
          <w:lang w:eastAsia="fr-FR" w:bidi="he-IL"/>
        </w:rPr>
        <w:t>Église</w:t>
      </w:r>
      <w:r w:rsidR="00E65435">
        <w:rPr>
          <w:rFonts w:eastAsia="Arial Unicode MS"/>
          <w:bCs/>
          <w:lang w:eastAsia="fr-FR" w:bidi="he-IL"/>
        </w:rPr>
        <w:t xml:space="preserve">, </w:t>
      </w:r>
      <w:r w:rsidRPr="00C8701B">
        <w:rPr>
          <w:rFonts w:eastAsia="Arial Unicode MS"/>
          <w:bCs/>
          <w:lang w:eastAsia="fr-FR" w:bidi="he-IL"/>
        </w:rPr>
        <w:t>Jésus est revenu miraculeusement à la vie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après l</w:t>
      </w:r>
      <w:r w:rsidR="00557DE0">
        <w:rPr>
          <w:rFonts w:eastAsia="Arial Unicode MS"/>
          <w:bCs/>
          <w:lang w:eastAsia="fr-FR" w:bidi="he-IL"/>
        </w:rPr>
        <w:t>’</w:t>
      </w:r>
      <w:r w:rsidRPr="00C8701B">
        <w:rPr>
          <w:rFonts w:eastAsia="Arial Unicode MS"/>
          <w:bCs/>
          <w:lang w:eastAsia="fr-FR" w:bidi="he-IL"/>
        </w:rPr>
        <w:t>opinion des déistes</w:t>
      </w:r>
      <w:r w:rsidR="00E65435">
        <w:rPr>
          <w:rFonts w:eastAsia="Arial Unicode MS"/>
          <w:bCs/>
          <w:lang w:eastAsia="fr-FR" w:bidi="he-IL"/>
        </w:rPr>
        <w:t xml:space="preserve">, </w:t>
      </w:r>
      <w:r w:rsidRPr="00C8701B">
        <w:rPr>
          <w:rFonts w:eastAsia="Arial Unicode MS"/>
          <w:bCs/>
          <w:lang w:eastAsia="fr-FR" w:bidi="he-IL"/>
        </w:rPr>
        <w:t>comme Reimarus</w:t>
      </w:r>
      <w:r w:rsidR="00E65435">
        <w:rPr>
          <w:rFonts w:eastAsia="Arial Unicode MS"/>
          <w:bCs/>
          <w:lang w:eastAsia="fr-FR" w:bidi="he-IL"/>
        </w:rPr>
        <w:t xml:space="preserve">, </w:t>
      </w:r>
      <w:r w:rsidRPr="00C8701B">
        <w:rPr>
          <w:rFonts w:eastAsia="Arial Unicode MS"/>
          <w:bCs/>
          <w:lang w:eastAsia="fr-FR" w:bidi="he-IL"/>
        </w:rPr>
        <w:t>son cadavre a été dérobé par les disciples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après l</w:t>
      </w:r>
      <w:r w:rsidR="00557DE0">
        <w:rPr>
          <w:rFonts w:eastAsia="Arial Unicode MS"/>
          <w:bCs/>
          <w:lang w:eastAsia="fr-FR" w:bidi="he-IL"/>
        </w:rPr>
        <w:t>’</w:t>
      </w:r>
      <w:r w:rsidRPr="00C8701B">
        <w:rPr>
          <w:rFonts w:eastAsia="Arial Unicode MS"/>
          <w:bCs/>
          <w:lang w:eastAsia="fr-FR" w:bidi="he-IL"/>
        </w:rPr>
        <w:t>exégèse des rationalistes</w:t>
      </w:r>
      <w:r w:rsidR="00E65435">
        <w:rPr>
          <w:rFonts w:eastAsia="Arial Unicode MS"/>
          <w:bCs/>
          <w:lang w:eastAsia="fr-FR" w:bidi="he-IL"/>
        </w:rPr>
        <w:t xml:space="preserve">, </w:t>
      </w:r>
      <w:r w:rsidRPr="00C8701B">
        <w:rPr>
          <w:rFonts w:eastAsia="Arial Unicode MS"/>
          <w:bCs/>
          <w:lang w:eastAsia="fr-FR" w:bidi="he-IL"/>
        </w:rPr>
        <w:t>comme Paulus</w:t>
      </w:r>
      <w:r w:rsidR="00E65435">
        <w:rPr>
          <w:rFonts w:eastAsia="Arial Unicode MS"/>
          <w:bCs/>
          <w:lang w:eastAsia="fr-FR" w:bidi="he-IL"/>
        </w:rPr>
        <w:t xml:space="preserve">, </w:t>
      </w:r>
      <w:r w:rsidRPr="00C8701B">
        <w:rPr>
          <w:rFonts w:eastAsia="Arial Unicode MS"/>
          <w:bCs/>
          <w:lang w:eastAsia="fr-FR" w:bidi="he-IL"/>
        </w:rPr>
        <w:t>Jésus n</w:t>
      </w:r>
      <w:r w:rsidR="00557DE0">
        <w:rPr>
          <w:rFonts w:eastAsia="Arial Unicode MS"/>
          <w:bCs/>
          <w:lang w:eastAsia="fr-FR" w:bidi="he-IL"/>
        </w:rPr>
        <w:t>’</w:t>
      </w:r>
      <w:r w:rsidRPr="00C8701B">
        <w:rPr>
          <w:rFonts w:eastAsia="Arial Unicode MS"/>
          <w:bCs/>
          <w:lang w:eastAsia="fr-FR" w:bidi="he-IL"/>
        </w:rPr>
        <w:t>était mort qu</w:t>
      </w:r>
      <w:r w:rsidR="00557DE0">
        <w:rPr>
          <w:rFonts w:eastAsia="Arial Unicode MS"/>
          <w:bCs/>
          <w:lang w:eastAsia="fr-FR" w:bidi="he-IL"/>
        </w:rPr>
        <w:t>’</w:t>
      </w:r>
      <w:r w:rsidRPr="00C8701B">
        <w:rPr>
          <w:rFonts w:eastAsia="Arial Unicode MS"/>
          <w:bCs/>
          <w:lang w:eastAsia="fr-FR" w:bidi="he-IL"/>
        </w:rPr>
        <w:t>en apparence</w:t>
      </w:r>
      <w:r w:rsidR="00E65435">
        <w:rPr>
          <w:rFonts w:eastAsia="Arial Unicode MS"/>
          <w:bCs/>
          <w:lang w:eastAsia="fr-FR" w:bidi="he-IL"/>
        </w:rPr>
        <w:t xml:space="preserve">, </w:t>
      </w:r>
      <w:r w:rsidRPr="00C8701B">
        <w:rPr>
          <w:rFonts w:eastAsia="Arial Unicode MS"/>
          <w:bCs/>
          <w:lang w:eastAsia="fr-FR" w:bidi="he-IL"/>
        </w:rPr>
        <w:t>et il est revenu naturellement à la vie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après Strauss</w:t>
      </w:r>
      <w:r w:rsidR="00E65435">
        <w:rPr>
          <w:rFonts w:eastAsia="Arial Unicode MS"/>
          <w:bCs/>
          <w:lang w:eastAsia="fr-FR" w:bidi="he-IL"/>
        </w:rPr>
        <w:t xml:space="preserve">, </w:t>
      </w:r>
      <w:r w:rsidRPr="00DC4586">
        <w:rPr>
          <w:rStyle w:val="italicus"/>
        </w:rPr>
        <w:t>c</w:t>
      </w:r>
      <w:r w:rsidR="00557DE0">
        <w:rPr>
          <w:rStyle w:val="italicus"/>
        </w:rPr>
        <w:t>’</w:t>
      </w:r>
      <w:r w:rsidR="00F3476E">
        <w:rPr>
          <w:rStyle w:val="italicus"/>
        </w:rPr>
        <w:t>est l</w:t>
      </w:r>
      <w:r w:rsidR="00557DE0">
        <w:rPr>
          <w:rStyle w:val="italicus"/>
        </w:rPr>
        <w:t>’</w:t>
      </w:r>
      <w:r w:rsidRPr="00DC4586">
        <w:rPr>
          <w:rStyle w:val="italicus"/>
        </w:rPr>
        <w:t>imagination des disciples qui</w:t>
      </w:r>
      <w:r w:rsidR="00E65435">
        <w:rPr>
          <w:rStyle w:val="italicus"/>
        </w:rPr>
        <w:t xml:space="preserve">, </w:t>
      </w:r>
      <w:r w:rsidR="00F3476E">
        <w:rPr>
          <w:rStyle w:val="italicus"/>
        </w:rPr>
        <w:t>sollicitée</w:t>
      </w:r>
      <w:r w:rsidRPr="00DC4586">
        <w:rPr>
          <w:rStyle w:val="italicus"/>
        </w:rPr>
        <w:t xml:space="preserve"> par leur cœur ému</w:t>
      </w:r>
      <w:r w:rsidR="00E65435">
        <w:rPr>
          <w:rStyle w:val="italicus"/>
        </w:rPr>
        <w:t xml:space="preserve">, </w:t>
      </w:r>
      <w:r w:rsidRPr="00DC4586">
        <w:rPr>
          <w:rStyle w:val="italicus"/>
        </w:rPr>
        <w:t>leur a</w:t>
      </w:r>
      <w:r w:rsidR="00F3476E">
        <w:rPr>
          <w:rStyle w:val="italicus"/>
        </w:rPr>
        <w:t xml:space="preserve"> représenté comme revenu à la vie le Mait</w:t>
      </w:r>
      <w:r w:rsidRPr="00DC4586">
        <w:rPr>
          <w:rStyle w:val="italicus"/>
        </w:rPr>
        <w:t>re qu</w:t>
      </w:r>
      <w:r w:rsidR="00557DE0">
        <w:rPr>
          <w:rStyle w:val="italicus"/>
        </w:rPr>
        <w:t>’</w:t>
      </w:r>
      <w:r w:rsidRPr="00DC4586">
        <w:rPr>
          <w:rStyle w:val="italicus"/>
        </w:rPr>
        <w:t>ils ne pouvaient se résoudre à croire mort. Ce qui</w:t>
      </w:r>
      <w:r w:rsidR="00E65435">
        <w:rPr>
          <w:rStyle w:val="italicus"/>
        </w:rPr>
        <w:t xml:space="preserve">, </w:t>
      </w:r>
      <w:r w:rsidRPr="00DC4586">
        <w:rPr>
          <w:rStyle w:val="italicus"/>
        </w:rPr>
        <w:t>pendant des siècles</w:t>
      </w:r>
      <w:r w:rsidR="00E65435">
        <w:rPr>
          <w:rStyle w:val="italicus"/>
        </w:rPr>
        <w:t xml:space="preserve">, </w:t>
      </w:r>
      <w:r w:rsidRPr="00DC4586">
        <w:rPr>
          <w:rStyle w:val="italicus"/>
        </w:rPr>
        <w:t>avait passé pour un fait extérieur</w:t>
      </w:r>
      <w:r w:rsidR="00E65435">
        <w:rPr>
          <w:rStyle w:val="italicus"/>
        </w:rPr>
        <w:t xml:space="preserve">, </w:t>
      </w:r>
      <w:r w:rsidR="00DF496C">
        <w:rPr>
          <w:rStyle w:val="italicus"/>
        </w:rPr>
        <w:t>envisagé comme</w:t>
      </w:r>
      <w:r w:rsidRPr="00DC4586">
        <w:rPr>
          <w:rStyle w:val="italicus"/>
        </w:rPr>
        <w:t xml:space="preserve"> merveilleux d</w:t>
      </w:r>
      <w:r w:rsidR="00557DE0">
        <w:rPr>
          <w:rStyle w:val="italicus"/>
        </w:rPr>
        <w:t>’</w:t>
      </w:r>
      <w:r w:rsidRPr="00DC4586">
        <w:rPr>
          <w:rStyle w:val="italicus"/>
        </w:rPr>
        <w:t>abord</w:t>
      </w:r>
      <w:r w:rsidR="00E65435">
        <w:rPr>
          <w:rStyle w:val="italicus"/>
        </w:rPr>
        <w:t xml:space="preserve">, </w:t>
      </w:r>
      <w:r w:rsidRPr="00DC4586">
        <w:rPr>
          <w:rStyle w:val="italicus"/>
        </w:rPr>
        <w:t>puis comme frauduleux</w:t>
      </w:r>
      <w:r w:rsidR="00E65435">
        <w:rPr>
          <w:rStyle w:val="italicus"/>
        </w:rPr>
        <w:t xml:space="preserve">, </w:t>
      </w:r>
      <w:r w:rsidRPr="00DC4586">
        <w:rPr>
          <w:rStyle w:val="italicus"/>
        </w:rPr>
        <w:t>et enfin comme simplement naturel</w:t>
      </w:r>
      <w:r w:rsidR="00E65435">
        <w:rPr>
          <w:rStyle w:val="italicus"/>
        </w:rPr>
        <w:t xml:space="preserve">, </w:t>
      </w:r>
      <w:r w:rsidRPr="00DC4586">
        <w:rPr>
          <w:rStyle w:val="italicus"/>
        </w:rPr>
        <w:t>est aujourd</w:t>
      </w:r>
      <w:r w:rsidR="00557DE0">
        <w:rPr>
          <w:rStyle w:val="italicus"/>
        </w:rPr>
        <w:t>’</w:t>
      </w:r>
      <w:r w:rsidRPr="00DC4586">
        <w:rPr>
          <w:rStyle w:val="italicus"/>
        </w:rPr>
        <w:t>hui rangé parmi les phénomènes de la vie de l</w:t>
      </w:r>
      <w:r w:rsidR="00557DE0">
        <w:rPr>
          <w:rStyle w:val="italicus"/>
        </w:rPr>
        <w:t>’</w:t>
      </w:r>
      <w:r w:rsidRPr="00DC4586">
        <w:rPr>
          <w:rStyle w:val="italicus"/>
        </w:rPr>
        <w:t>âme</w:t>
      </w:r>
      <w:r w:rsidR="00E65435">
        <w:rPr>
          <w:rStyle w:val="italicus"/>
        </w:rPr>
        <w:t xml:space="preserve">, </w:t>
      </w:r>
      <w:r w:rsidRPr="00DC4586">
        <w:rPr>
          <w:rStyle w:val="italicus"/>
        </w:rPr>
        <w:t>redevient un fait purement psychologique</w:t>
      </w:r>
      <w:r w:rsidR="00933C60" w:rsidRPr="00C406FF">
        <w:rPr>
          <w:rStyle w:val="Appelnotedebasdep"/>
        </w:rPr>
        <w:footnoteReference w:id="437"/>
      </w:r>
      <w:r w:rsidR="00E65435">
        <w:rPr>
          <w:rFonts w:eastAsia="Arial Unicode MS"/>
          <w:bCs/>
          <w:lang w:eastAsia="fr-FR" w:bidi="he-IL"/>
        </w:rPr>
        <w:t xml:space="preserve">, </w:t>
      </w:r>
      <w:r w:rsidRPr="00C8701B">
        <w:rPr>
          <w:rFonts w:eastAsia="Arial Unicode MS"/>
          <w:bCs/>
          <w:lang w:eastAsia="fr-FR" w:bidi="he-IL"/>
        </w:rPr>
        <w:t>le produit de l</w:t>
      </w:r>
      <w:r w:rsidR="00557DE0">
        <w:rPr>
          <w:rFonts w:eastAsia="Arial Unicode MS"/>
          <w:bCs/>
          <w:lang w:eastAsia="fr-FR" w:bidi="he-IL"/>
        </w:rPr>
        <w:t>’</w:t>
      </w:r>
      <w:r w:rsidRPr="00C8701B">
        <w:rPr>
          <w:rFonts w:eastAsia="Arial Unicode MS"/>
          <w:bCs/>
          <w:lang w:eastAsia="fr-FR" w:bidi="he-IL"/>
        </w:rPr>
        <w:t>imagination populaire</w:t>
      </w:r>
      <w:r w:rsidR="00E65435">
        <w:rPr>
          <w:rFonts w:eastAsia="Arial Unicode MS"/>
          <w:bCs/>
          <w:lang w:eastAsia="fr-FR" w:bidi="he-IL"/>
        </w:rPr>
        <w:t xml:space="preserve">, </w:t>
      </w:r>
      <w:r w:rsidRPr="00C8701B">
        <w:rPr>
          <w:rFonts w:eastAsia="Arial Unicode MS"/>
          <w:bCs/>
          <w:lang w:eastAsia="fr-FR" w:bidi="he-IL"/>
        </w:rPr>
        <w:t>un mythe</w:t>
      </w:r>
      <w:r w:rsidR="00F3476E">
        <w:rPr>
          <w:rFonts w:eastAsia="Arial Unicode MS"/>
          <w:bCs/>
          <w:lang w:eastAsia="fr-FR" w:bidi="he-IL"/>
        </w:rPr>
        <w:t> »</w:t>
      </w:r>
      <w:r w:rsidR="00933C60" w:rsidRPr="00C406FF">
        <w:rPr>
          <w:rStyle w:val="Appelnotedebasdep"/>
        </w:rPr>
        <w:footnoteReference w:id="438"/>
      </w:r>
      <w:r w:rsidR="00F3476E">
        <w:rPr>
          <w:rFonts w:eastAsia="Arial Unicode MS"/>
          <w:bCs/>
          <w:lang w:eastAsia="fr-FR" w:bidi="he-IL"/>
        </w:rPr>
        <w:t>.</w:t>
      </w:r>
    </w:p>
    <w:p w:rsidR="00C2602D" w:rsidRPr="00C8701B" w:rsidRDefault="00B704AD" w:rsidP="00C2602D">
      <w:pPr>
        <w:rPr>
          <w:rFonts w:eastAsia="Arial Unicode MS"/>
          <w:bCs/>
          <w:lang w:eastAsia="fr-FR" w:bidi="he-IL"/>
        </w:rPr>
      </w:pPr>
      <w:r w:rsidRPr="00C8701B">
        <w:rPr>
          <w:rFonts w:eastAsia="Arial Unicode MS"/>
          <w:bCs/>
          <w:lang w:eastAsia="fr-FR" w:bidi="he-IL"/>
        </w:rPr>
        <w:t>Pour tout résumer en quelques mots</w:t>
      </w:r>
      <w:r w:rsidR="00E65435">
        <w:rPr>
          <w:rFonts w:eastAsia="Arial Unicode MS"/>
          <w:bCs/>
          <w:lang w:eastAsia="fr-FR" w:bidi="he-IL"/>
        </w:rPr>
        <w:t xml:space="preserve">, </w:t>
      </w:r>
      <w:r w:rsidRPr="00C8701B">
        <w:rPr>
          <w:rFonts w:eastAsia="Arial Unicode MS"/>
          <w:bCs/>
          <w:lang w:eastAsia="fr-FR" w:bidi="he-IL"/>
        </w:rPr>
        <w:t>les espérances et les désirs des hommes</w:t>
      </w:r>
      <w:r w:rsidR="00E65435">
        <w:rPr>
          <w:rFonts w:eastAsia="Arial Unicode MS"/>
          <w:bCs/>
          <w:lang w:eastAsia="fr-FR" w:bidi="he-IL"/>
        </w:rPr>
        <w:t xml:space="preserve">, </w:t>
      </w:r>
      <w:r w:rsidRPr="00C8701B">
        <w:rPr>
          <w:rFonts w:eastAsia="Arial Unicode MS"/>
          <w:bCs/>
          <w:lang w:eastAsia="fr-FR" w:bidi="he-IL"/>
        </w:rPr>
        <w:t>leur respect comme leurs craintes</w:t>
      </w:r>
      <w:r w:rsidR="00E65435">
        <w:rPr>
          <w:rFonts w:eastAsia="Arial Unicode MS"/>
          <w:bCs/>
          <w:lang w:eastAsia="fr-FR" w:bidi="he-IL"/>
        </w:rPr>
        <w:t xml:space="preserve">, </w:t>
      </w:r>
      <w:r w:rsidRPr="00C8701B">
        <w:rPr>
          <w:rFonts w:eastAsia="Arial Unicode MS"/>
          <w:bCs/>
          <w:lang w:eastAsia="fr-FR" w:bidi="he-IL"/>
        </w:rPr>
        <w:t xml:space="preserve">ont toujours eu une </w:t>
      </w:r>
      <w:r w:rsidR="00DF496C" w:rsidRPr="00C8701B">
        <w:rPr>
          <w:rFonts w:eastAsia="Arial Unicode MS"/>
          <w:bCs/>
          <w:lang w:eastAsia="fr-FR" w:bidi="he-IL"/>
        </w:rPr>
        <w:t>tendance</w:t>
      </w:r>
      <w:r w:rsidRPr="00C8701B">
        <w:rPr>
          <w:rFonts w:eastAsia="Arial Unicode MS"/>
          <w:bCs/>
          <w:lang w:eastAsia="fr-FR" w:bidi="he-IL"/>
        </w:rPr>
        <w:t xml:space="preserve"> à se transformer en mythes. Ainsi</w:t>
      </w:r>
      <w:r w:rsidR="00E65435">
        <w:rPr>
          <w:rFonts w:eastAsia="Arial Unicode MS"/>
          <w:bCs/>
          <w:lang w:eastAsia="fr-FR" w:bidi="he-IL"/>
        </w:rPr>
        <w:t xml:space="preserve">, </w:t>
      </w:r>
      <w:r w:rsidRPr="00C8701B">
        <w:rPr>
          <w:rFonts w:eastAsia="Arial Unicode MS"/>
          <w:bCs/>
          <w:lang w:eastAsia="fr-FR" w:bidi="he-IL"/>
        </w:rPr>
        <w:t>au premier siècle de notre ère</w:t>
      </w:r>
      <w:r w:rsidR="00E65435">
        <w:rPr>
          <w:rFonts w:eastAsia="Arial Unicode MS"/>
          <w:bCs/>
          <w:lang w:eastAsia="fr-FR" w:bidi="he-IL"/>
        </w:rPr>
        <w:t xml:space="preserve">, </w:t>
      </w:r>
      <w:r w:rsidRPr="00C8701B">
        <w:rPr>
          <w:rFonts w:eastAsia="Arial Unicode MS"/>
          <w:bCs/>
          <w:lang w:eastAsia="fr-FR" w:bidi="he-IL"/>
        </w:rPr>
        <w:t>les juifs attendaient un Messie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vers ce même temps apparut un maître</w:t>
      </w:r>
      <w:r w:rsidR="00E65435">
        <w:rPr>
          <w:rFonts w:eastAsia="Arial Unicode MS"/>
          <w:bCs/>
          <w:lang w:eastAsia="fr-FR" w:bidi="he-IL"/>
        </w:rPr>
        <w:t xml:space="preserve">, </w:t>
      </w:r>
      <w:r w:rsidRPr="00C8701B">
        <w:rPr>
          <w:rFonts w:eastAsia="Arial Unicode MS"/>
          <w:bCs/>
          <w:lang w:eastAsia="fr-FR" w:bidi="he-IL"/>
        </w:rPr>
        <w:t>Jésus</w:t>
      </w:r>
      <w:r w:rsidR="00E65435">
        <w:rPr>
          <w:rFonts w:eastAsia="Arial Unicode MS"/>
          <w:bCs/>
          <w:lang w:eastAsia="fr-FR" w:bidi="he-IL"/>
        </w:rPr>
        <w:t xml:space="preserve">, </w:t>
      </w:r>
      <w:r w:rsidRPr="00C8701B">
        <w:rPr>
          <w:rFonts w:eastAsia="Arial Unicode MS"/>
          <w:bCs/>
          <w:lang w:eastAsia="fr-FR" w:bidi="he-IL"/>
        </w:rPr>
        <w:t xml:space="preserve">qui semblait réaliser tous </w:t>
      </w:r>
      <w:r w:rsidR="005475D8">
        <w:rPr>
          <w:rFonts w:eastAsia="Arial Unicode MS"/>
          <w:bCs/>
          <w:lang w:eastAsia="fr-FR" w:bidi="he-IL"/>
        </w:rPr>
        <w:t xml:space="preserve">leurs souhaits. Son nom devint </w:t>
      </w:r>
      <w:r w:rsidRPr="00C8701B">
        <w:rPr>
          <w:rFonts w:eastAsia="Arial Unicode MS"/>
          <w:bCs/>
          <w:lang w:eastAsia="fr-FR" w:bidi="he-IL"/>
        </w:rPr>
        <w:t>aussitôt le centre autour duquel se groupèrent tous les désirs</w:t>
      </w:r>
      <w:r w:rsidR="00E65435">
        <w:rPr>
          <w:rFonts w:eastAsia="Arial Unicode MS"/>
          <w:bCs/>
          <w:lang w:eastAsia="fr-FR" w:bidi="he-IL"/>
        </w:rPr>
        <w:t xml:space="preserve">, </w:t>
      </w:r>
      <w:r w:rsidRPr="00C8701B">
        <w:rPr>
          <w:rFonts w:eastAsia="Arial Unicode MS"/>
          <w:bCs/>
          <w:lang w:eastAsia="fr-FR" w:bidi="he-IL"/>
        </w:rPr>
        <w:t>toutes les imaginations</w:t>
      </w:r>
      <w:r w:rsidR="00C2602D" w:rsidRPr="00C8701B">
        <w:rPr>
          <w:rFonts w:eastAsia="Arial Unicode MS"/>
          <w:bCs/>
          <w:lang w:eastAsia="fr-FR" w:bidi="he-IL"/>
        </w:rPr>
        <w:t> :</w:t>
      </w:r>
      <w:r w:rsidRPr="00C8701B">
        <w:rPr>
          <w:rFonts w:eastAsia="Arial Unicode MS"/>
          <w:bCs/>
          <w:lang w:eastAsia="fr-FR" w:bidi="he-IL"/>
        </w:rPr>
        <w:t xml:space="preserve"> désirs et imaginations qui ne tardèrent pas à prendre la forme sous laquelle· ils nous été conservés dans les </w:t>
      </w:r>
      <w:r w:rsidR="000439E9">
        <w:rPr>
          <w:rFonts w:eastAsia="Arial Unicode MS"/>
          <w:bCs/>
          <w:lang w:eastAsia="fr-FR" w:bidi="he-IL"/>
        </w:rPr>
        <w:t>Évangile</w:t>
      </w:r>
      <w:r w:rsidRPr="00C8701B">
        <w:rPr>
          <w:rFonts w:eastAsia="Arial Unicode MS"/>
          <w:bCs/>
          <w:lang w:eastAsia="fr-FR" w:bidi="he-IL"/>
        </w:rPr>
        <w:t>s</w:t>
      </w:r>
      <w:r w:rsidR="00933C60" w:rsidRPr="00C406FF">
        <w:rPr>
          <w:rStyle w:val="Appelnotedebasdep"/>
        </w:rPr>
        <w:footnoteReference w:id="439"/>
      </w:r>
      <w:r w:rsidRPr="00C8701B">
        <w:rPr>
          <w:rFonts w:eastAsia="Arial Unicode MS"/>
          <w:bCs/>
          <w:lang w:eastAsia="fr-FR" w:bidi="he-IL"/>
        </w:rPr>
        <w:t>.</w:t>
      </w:r>
      <w:r w:rsidR="00C2602D" w:rsidRPr="00C8701B">
        <w:rPr>
          <w:rFonts w:eastAsia="Arial Unicode MS"/>
          <w:bCs/>
          <w:lang w:eastAsia="fr-FR" w:bidi="he-IL"/>
        </w:rPr>
        <w:t xml:space="preserve"> </w:t>
      </w:r>
    </w:p>
    <w:p w:rsidR="005475D8" w:rsidRDefault="005475D8" w:rsidP="005475D8">
      <w:pPr>
        <w:rPr>
          <w:rFonts w:eastAsia="Arial Unicode MS"/>
          <w:bCs/>
          <w:lang w:eastAsia="fr-FR" w:bidi="he-IL"/>
        </w:rPr>
      </w:pPr>
      <w:r>
        <w:rPr>
          <w:rFonts w:eastAsia="Arial Unicode MS"/>
          <w:bCs/>
          <w:lang w:eastAsia="fr-FR" w:bidi="he-IL"/>
        </w:rPr>
        <w:t>{81</w:t>
      </w:r>
      <w:bookmarkStart w:id="130" w:name="pag081"/>
      <w:bookmarkEnd w:id="130"/>
      <w:r>
        <w:rPr>
          <w:rFonts w:eastAsia="Arial Unicode MS"/>
          <w:bCs/>
          <w:lang w:eastAsia="fr-FR" w:bidi="he-IL"/>
        </w:rPr>
        <w:t xml:space="preserve">} </w:t>
      </w:r>
      <w:r w:rsidR="00B704AD" w:rsidRPr="00C8701B">
        <w:rPr>
          <w:rFonts w:eastAsia="Arial Unicode MS"/>
          <w:bCs/>
          <w:lang w:eastAsia="fr-FR" w:bidi="he-IL"/>
        </w:rPr>
        <w:t>Monstrueux système</w:t>
      </w:r>
      <w:r w:rsidR="00E65435">
        <w:rPr>
          <w:rFonts w:eastAsia="Arial Unicode MS"/>
          <w:bCs/>
          <w:lang w:eastAsia="fr-FR" w:bidi="he-IL"/>
        </w:rPr>
        <w:t xml:space="preserve">, </w:t>
      </w:r>
      <w:r w:rsidR="00B704AD" w:rsidRPr="00C8701B">
        <w:rPr>
          <w:rFonts w:eastAsia="Arial Unicode MS"/>
          <w:bCs/>
          <w:lang w:eastAsia="fr-FR" w:bidi="he-IL"/>
        </w:rPr>
        <w:t>en vérité</w:t>
      </w:r>
      <w:r w:rsidR="00E65435">
        <w:rPr>
          <w:rFonts w:eastAsia="Arial Unicode MS"/>
          <w:bCs/>
          <w:lang w:eastAsia="fr-FR" w:bidi="he-IL"/>
        </w:rPr>
        <w:t xml:space="preserve">, </w:t>
      </w:r>
      <w:r w:rsidR="00B704AD" w:rsidRPr="00C8701B">
        <w:rPr>
          <w:rFonts w:eastAsia="Arial Unicode MS"/>
          <w:bCs/>
          <w:lang w:eastAsia="fr-FR" w:bidi="he-IL"/>
        </w:rPr>
        <w:t>qui souleva de tous côtés des protestations</w:t>
      </w:r>
      <w:r w:rsidR="00E65435">
        <w:rPr>
          <w:rFonts w:eastAsia="Arial Unicode MS"/>
          <w:bCs/>
          <w:lang w:eastAsia="fr-FR" w:bidi="he-IL"/>
        </w:rPr>
        <w:t xml:space="preserve">, </w:t>
      </w:r>
      <w:r w:rsidR="00B704AD" w:rsidRPr="00C8701B">
        <w:rPr>
          <w:rFonts w:eastAsia="Arial Unicode MS"/>
          <w:bCs/>
          <w:lang w:eastAsia="fr-FR" w:bidi="he-IL"/>
        </w:rPr>
        <w:t>même dan</w:t>
      </w:r>
      <w:r>
        <w:rPr>
          <w:rFonts w:eastAsia="Arial Unicode MS"/>
          <w:bCs/>
          <w:lang w:eastAsia="fr-FR" w:bidi="he-IL"/>
        </w:rPr>
        <w:t>s l</w:t>
      </w:r>
      <w:r w:rsidR="00557DE0">
        <w:rPr>
          <w:rFonts w:eastAsia="Arial Unicode MS"/>
          <w:bCs/>
          <w:lang w:eastAsia="fr-FR" w:bidi="he-IL"/>
        </w:rPr>
        <w:t>’</w:t>
      </w:r>
      <w:r>
        <w:rPr>
          <w:rFonts w:eastAsia="Arial Unicode MS"/>
          <w:bCs/>
          <w:lang w:eastAsia="fr-FR" w:bidi="he-IL"/>
        </w:rPr>
        <w:t>A</w:t>
      </w:r>
      <w:r w:rsidR="00B704AD" w:rsidRPr="00C8701B">
        <w:rPr>
          <w:rFonts w:eastAsia="Arial Unicode MS"/>
          <w:bCs/>
          <w:lang w:eastAsia="fr-FR" w:bidi="he-IL"/>
        </w:rPr>
        <w:t xml:space="preserve">llemagne protestante et rationaliste. Nous lui devons les beaux ouvrages de </w:t>
      </w:r>
      <w:r w:rsidR="00DF496C" w:rsidRPr="00C8701B">
        <w:rPr>
          <w:rFonts w:eastAsia="Arial Unicode MS"/>
          <w:bCs/>
          <w:lang w:eastAsia="fr-FR" w:bidi="he-IL"/>
        </w:rPr>
        <w:t>Neander</w:t>
      </w:r>
      <w:r w:rsidR="00933C60" w:rsidRPr="00C406FF">
        <w:rPr>
          <w:rStyle w:val="Appelnotedebasdep"/>
        </w:rPr>
        <w:footnoteReference w:id="440"/>
      </w:r>
      <w:r w:rsidR="00E65435">
        <w:rPr>
          <w:rFonts w:eastAsia="Arial Unicode MS"/>
          <w:bCs/>
          <w:lang w:eastAsia="fr-FR" w:bidi="he-IL"/>
        </w:rPr>
        <w:t xml:space="preserve">, </w:t>
      </w:r>
      <w:r w:rsidR="00B704AD" w:rsidRPr="00C8701B">
        <w:rPr>
          <w:rFonts w:eastAsia="Arial Unicode MS"/>
          <w:bCs/>
          <w:lang w:eastAsia="fr-FR" w:bidi="he-IL"/>
        </w:rPr>
        <w:t>de J.-P. Lange</w:t>
      </w:r>
      <w:r w:rsidR="00933C60" w:rsidRPr="00C406FF">
        <w:rPr>
          <w:rStyle w:val="Appelnotedebasdep"/>
        </w:rPr>
        <w:footnoteReference w:id="441"/>
      </w:r>
      <w:r w:rsidR="00E65435">
        <w:rPr>
          <w:rFonts w:eastAsia="Arial Unicode MS"/>
          <w:bCs/>
          <w:lang w:eastAsia="fr-FR" w:bidi="he-IL"/>
        </w:rPr>
        <w:t xml:space="preserve">, </w:t>
      </w:r>
      <w:r w:rsidR="00B704AD" w:rsidRPr="00C8701B">
        <w:rPr>
          <w:rFonts w:eastAsia="Arial Unicode MS"/>
          <w:bCs/>
          <w:lang w:eastAsia="fr-FR" w:bidi="he-IL"/>
        </w:rPr>
        <w:t>d</w:t>
      </w:r>
      <w:r w:rsidR="00557DE0">
        <w:rPr>
          <w:rFonts w:eastAsia="Arial Unicode MS"/>
          <w:bCs/>
          <w:lang w:eastAsia="fr-FR" w:bidi="he-IL"/>
        </w:rPr>
        <w:t>’</w:t>
      </w:r>
      <w:r w:rsidR="00B704AD" w:rsidRPr="00C8701B">
        <w:rPr>
          <w:rFonts w:eastAsia="Arial Unicode MS"/>
          <w:bCs/>
          <w:lang w:eastAsia="fr-FR" w:bidi="he-IL"/>
        </w:rPr>
        <w:t>Ebrard</w:t>
      </w:r>
      <w:r w:rsidR="00933C60" w:rsidRPr="00C406FF">
        <w:rPr>
          <w:rStyle w:val="Appelnotedebasdep"/>
        </w:rPr>
        <w:footnoteReference w:id="442"/>
      </w:r>
      <w:r w:rsidR="00E65435">
        <w:rPr>
          <w:rFonts w:eastAsia="Arial Unicode MS"/>
          <w:bCs/>
          <w:lang w:eastAsia="fr-FR" w:bidi="he-IL"/>
        </w:rPr>
        <w:t xml:space="preserve">, </w:t>
      </w:r>
      <w:r w:rsidR="00B704AD" w:rsidRPr="00C8701B">
        <w:rPr>
          <w:rFonts w:eastAsia="Arial Unicode MS"/>
          <w:bCs/>
          <w:lang w:eastAsia="fr-FR" w:bidi="he-IL"/>
        </w:rPr>
        <w:t>de Tholuck</w:t>
      </w:r>
      <w:r w:rsidR="00933C60" w:rsidRPr="00C406FF">
        <w:rPr>
          <w:rStyle w:val="Appelnotedebasdep"/>
        </w:rPr>
        <w:footnoteReference w:id="443"/>
      </w:r>
      <w:r w:rsidR="00E65435">
        <w:rPr>
          <w:rFonts w:eastAsia="Arial Unicode MS"/>
          <w:bCs/>
          <w:lang w:eastAsia="fr-FR" w:bidi="he-IL"/>
        </w:rPr>
        <w:t xml:space="preserve">, </w:t>
      </w:r>
      <w:r w:rsidR="00B704AD" w:rsidRPr="00C8701B">
        <w:rPr>
          <w:rFonts w:eastAsia="Arial Unicode MS"/>
          <w:bCs/>
          <w:lang w:eastAsia="fr-FR" w:bidi="he-IL"/>
        </w:rPr>
        <w:t xml:space="preserve">sur les saints </w:t>
      </w:r>
      <w:r w:rsidR="000439E9">
        <w:rPr>
          <w:rFonts w:eastAsia="Arial Unicode MS"/>
          <w:bCs/>
          <w:lang w:eastAsia="fr-FR" w:bidi="he-IL"/>
        </w:rPr>
        <w:t>Évangile</w:t>
      </w:r>
      <w:r w:rsidR="00B704AD" w:rsidRPr="00C8701B">
        <w:rPr>
          <w:rFonts w:eastAsia="Arial Unicode MS"/>
          <w:bCs/>
          <w:lang w:eastAsia="fr-FR" w:bidi="he-IL"/>
        </w:rPr>
        <w:t>s. Mais on frémit vraiment</w:t>
      </w:r>
      <w:r w:rsidR="00E65435">
        <w:rPr>
          <w:rFonts w:eastAsia="Arial Unicode MS"/>
          <w:bCs/>
          <w:lang w:eastAsia="fr-FR" w:bidi="he-IL"/>
        </w:rPr>
        <w:t xml:space="preserve">, </w:t>
      </w:r>
      <w:r w:rsidR="00B704AD" w:rsidRPr="00C8701B">
        <w:rPr>
          <w:rFonts w:eastAsia="Arial Unicode MS"/>
          <w:bCs/>
          <w:lang w:eastAsia="fr-FR" w:bidi="he-IL"/>
        </w:rPr>
        <w:t>quand on pense à tout ce qu</w:t>
      </w:r>
      <w:r w:rsidR="00557DE0">
        <w:rPr>
          <w:rFonts w:eastAsia="Arial Unicode MS"/>
          <w:bCs/>
          <w:lang w:eastAsia="fr-FR" w:bidi="he-IL"/>
        </w:rPr>
        <w:t>’</w:t>
      </w:r>
      <w:r w:rsidR="00B704AD" w:rsidRPr="00C8701B">
        <w:rPr>
          <w:rFonts w:eastAsia="Arial Unicode MS"/>
          <w:bCs/>
          <w:lang w:eastAsia="fr-FR" w:bidi="he-IL"/>
        </w:rPr>
        <w:t>il y a d</w:t>
      </w:r>
      <w:r w:rsidR="00557DE0">
        <w:rPr>
          <w:rFonts w:eastAsia="Arial Unicode MS"/>
          <w:bCs/>
          <w:lang w:eastAsia="fr-FR" w:bidi="he-IL"/>
        </w:rPr>
        <w:t>’</w:t>
      </w:r>
      <w:r w:rsidR="00B704AD" w:rsidRPr="00C8701B">
        <w:rPr>
          <w:rFonts w:eastAsia="Arial Unicode MS"/>
          <w:bCs/>
          <w:lang w:eastAsia="fr-FR" w:bidi="he-IL"/>
        </w:rPr>
        <w:t>habilement satanique dans les attaques de Strauss</w:t>
      </w:r>
      <w:r w:rsidR="00E65435">
        <w:rPr>
          <w:rFonts w:eastAsia="Arial Unicode MS"/>
          <w:bCs/>
          <w:lang w:eastAsia="fr-FR" w:bidi="he-IL"/>
        </w:rPr>
        <w:t xml:space="preserve">, </w:t>
      </w:r>
      <w:r w:rsidR="00B704AD" w:rsidRPr="00C8701B">
        <w:rPr>
          <w:rFonts w:eastAsia="Arial Unicode MS"/>
          <w:bCs/>
          <w:lang w:eastAsia="fr-FR" w:bidi="he-IL"/>
        </w:rPr>
        <w:t>et au mal qu</w:t>
      </w:r>
      <w:r w:rsidR="00557DE0">
        <w:rPr>
          <w:rFonts w:eastAsia="Arial Unicode MS"/>
          <w:bCs/>
          <w:lang w:eastAsia="fr-FR" w:bidi="he-IL"/>
        </w:rPr>
        <w:t>’</w:t>
      </w:r>
      <w:r>
        <w:rPr>
          <w:rFonts w:eastAsia="Arial Unicode MS"/>
          <w:bCs/>
          <w:lang w:eastAsia="fr-FR" w:bidi="he-IL"/>
        </w:rPr>
        <w:t xml:space="preserve">elles auraient pu produire sur </w:t>
      </w:r>
      <w:r w:rsidR="00B704AD" w:rsidRPr="00C8701B">
        <w:rPr>
          <w:rFonts w:eastAsia="Arial Unicode MS"/>
          <w:bCs/>
          <w:lang w:eastAsia="fr-FR" w:bidi="he-IL"/>
        </w:rPr>
        <w:t>des esprits légers ou mal disposés</w:t>
      </w:r>
      <w:r>
        <w:rPr>
          <w:rFonts w:eastAsia="Arial Unicode MS"/>
          <w:bCs/>
          <w:lang w:eastAsia="fr-FR" w:bidi="he-IL"/>
        </w:rPr>
        <w:t>.</w:t>
      </w:r>
    </w:p>
    <w:p w:rsidR="00C2602D" w:rsidRPr="00C8701B" w:rsidRDefault="005475D8" w:rsidP="005475D8">
      <w:pPr>
        <w:rPr>
          <w:rFonts w:eastAsia="Arial Unicode MS"/>
          <w:bCs/>
          <w:lang w:eastAsia="fr-FR" w:bidi="he-IL"/>
        </w:rPr>
      </w:pPr>
      <w:r>
        <w:rPr>
          <w:rFonts w:eastAsia="Arial Unicode MS"/>
          <w:bCs/>
          <w:lang w:eastAsia="fr-FR" w:bidi="he-IL"/>
        </w:rPr>
        <w:t>5</w:t>
      </w:r>
      <w:r w:rsidR="00B704AD" w:rsidRPr="00C8701B">
        <w:rPr>
          <w:rFonts w:eastAsia="Arial Unicode MS"/>
          <w:bCs/>
          <w:lang w:eastAsia="fr-FR" w:bidi="he-IL"/>
        </w:rPr>
        <w:t>° L</w:t>
      </w:r>
      <w:r w:rsidR="00557DE0">
        <w:rPr>
          <w:rFonts w:eastAsia="Arial Unicode MS"/>
          <w:bCs/>
          <w:lang w:eastAsia="fr-FR" w:bidi="he-IL"/>
        </w:rPr>
        <w:t>’</w:t>
      </w:r>
      <w:r w:rsidR="00B704AD" w:rsidRPr="00C8701B">
        <w:rPr>
          <w:rFonts w:eastAsia="Arial Unicode MS"/>
          <w:bCs/>
          <w:lang w:eastAsia="fr-FR" w:bidi="he-IL"/>
        </w:rPr>
        <w:t>hypothèse dite des</w:t>
      </w:r>
      <w:r w:rsidR="00B704AD" w:rsidRPr="00DC4586">
        <w:rPr>
          <w:rStyle w:val="italicus"/>
        </w:rPr>
        <w:t xml:space="preserve"> tendances</w:t>
      </w:r>
      <w:r w:rsidR="00B704AD" w:rsidRPr="00C8701B">
        <w:rPr>
          <w:rFonts w:eastAsia="Arial Unicode MS"/>
          <w:bCs/>
          <w:lang w:eastAsia="fr-FR" w:bidi="he-IL"/>
        </w:rPr>
        <w:t xml:space="preserve"> apparut quelque temps après Strauss avec son contingent spécial de négations et son nouveau mode d</w:t>
      </w:r>
      <w:r w:rsidR="00557DE0">
        <w:rPr>
          <w:rFonts w:eastAsia="Arial Unicode MS"/>
          <w:bCs/>
          <w:lang w:eastAsia="fr-FR" w:bidi="he-IL"/>
        </w:rPr>
        <w:t>’</w:t>
      </w:r>
      <w:r w:rsidR="00B704AD" w:rsidRPr="00C8701B">
        <w:rPr>
          <w:rFonts w:eastAsia="Arial Unicode MS"/>
          <w:bCs/>
          <w:lang w:eastAsia="fr-FR" w:bidi="he-IL"/>
        </w:rPr>
        <w:t>attaque</w:t>
      </w:r>
      <w:r w:rsidR="006914B9">
        <w:rPr>
          <w:rFonts w:eastAsia="Arial Unicode MS"/>
          <w:bCs/>
          <w:lang w:eastAsia="fr-FR" w:bidi="he-IL"/>
        </w:rPr>
        <w:t>.</w:t>
      </w:r>
      <w:r w:rsidR="00B704AD" w:rsidRPr="00C8701B">
        <w:rPr>
          <w:rFonts w:eastAsia="Arial Unicode MS"/>
          <w:bCs/>
          <w:lang w:eastAsia="fr-FR" w:bidi="he-IL"/>
        </w:rPr>
        <w:t xml:space="preserve"> Elle eut pour principal auteur Ferdinand-Christian Baur</w:t>
      </w:r>
      <w:r w:rsidR="00933C60" w:rsidRPr="00C406FF">
        <w:rPr>
          <w:rStyle w:val="Appelnotedebasdep"/>
        </w:rPr>
        <w:footnoteReference w:id="444"/>
      </w:r>
      <w:r w:rsidR="00E65435">
        <w:rPr>
          <w:rFonts w:eastAsia="Arial Unicode MS"/>
          <w:bCs/>
          <w:lang w:eastAsia="fr-FR" w:bidi="he-IL"/>
        </w:rPr>
        <w:t xml:space="preserve">, </w:t>
      </w:r>
      <w:r w:rsidR="00B704AD" w:rsidRPr="00C8701B">
        <w:rPr>
          <w:rFonts w:eastAsia="Arial Unicode MS"/>
          <w:bCs/>
          <w:lang w:eastAsia="fr-FR" w:bidi="he-IL"/>
        </w:rPr>
        <w:t>chef de la fameuse école de Tubingue</w:t>
      </w:r>
      <w:r w:rsidR="00E65435">
        <w:rPr>
          <w:rFonts w:eastAsia="Arial Unicode MS"/>
          <w:bCs/>
          <w:lang w:eastAsia="fr-FR" w:bidi="he-IL"/>
        </w:rPr>
        <w:t xml:space="preserve">, </w:t>
      </w:r>
      <w:r w:rsidR="00B704AD" w:rsidRPr="00C8701B">
        <w:rPr>
          <w:rFonts w:eastAsia="Arial Unicode MS"/>
          <w:bCs/>
          <w:lang w:eastAsia="fr-FR" w:bidi="he-IL"/>
        </w:rPr>
        <w:t>et</w:t>
      </w:r>
      <w:r w:rsidR="00E65435">
        <w:rPr>
          <w:rFonts w:eastAsia="Arial Unicode MS"/>
          <w:bCs/>
          <w:lang w:eastAsia="fr-FR" w:bidi="he-IL"/>
        </w:rPr>
        <w:t xml:space="preserve">, </w:t>
      </w:r>
      <w:r w:rsidR="00B704AD" w:rsidRPr="00C8701B">
        <w:rPr>
          <w:rFonts w:eastAsia="Arial Unicode MS"/>
          <w:bCs/>
          <w:lang w:eastAsia="fr-FR" w:bidi="he-IL"/>
        </w:rPr>
        <w:t>pour principaux adeptes</w:t>
      </w:r>
      <w:r w:rsidR="00E65435">
        <w:rPr>
          <w:rFonts w:eastAsia="Arial Unicode MS"/>
          <w:bCs/>
          <w:lang w:eastAsia="fr-FR" w:bidi="he-IL"/>
        </w:rPr>
        <w:t xml:space="preserve">, </w:t>
      </w:r>
      <w:r w:rsidR="00B704AD" w:rsidRPr="00C8701B">
        <w:rPr>
          <w:rFonts w:eastAsia="Arial Unicode MS"/>
          <w:bCs/>
          <w:lang w:eastAsia="fr-FR" w:bidi="he-IL"/>
        </w:rPr>
        <w:t>quelques-uns des disciples du maître</w:t>
      </w:r>
      <w:r w:rsidR="00E65435">
        <w:rPr>
          <w:rFonts w:eastAsia="Arial Unicode MS"/>
          <w:bCs/>
          <w:lang w:eastAsia="fr-FR" w:bidi="he-IL"/>
        </w:rPr>
        <w:t xml:space="preserve">, </w:t>
      </w:r>
      <w:r w:rsidR="00B704AD" w:rsidRPr="00C8701B">
        <w:rPr>
          <w:rFonts w:eastAsia="Arial Unicode MS"/>
          <w:bCs/>
          <w:lang w:eastAsia="fr-FR" w:bidi="he-IL"/>
        </w:rPr>
        <w:t>tels que Schwegler</w:t>
      </w:r>
      <w:r w:rsidR="00E65435">
        <w:rPr>
          <w:rFonts w:eastAsia="Arial Unicode MS"/>
          <w:bCs/>
          <w:lang w:eastAsia="fr-FR" w:bidi="he-IL"/>
        </w:rPr>
        <w:t xml:space="preserve">, </w:t>
      </w:r>
      <w:r w:rsidR="00B704AD" w:rsidRPr="00C8701B">
        <w:rPr>
          <w:rFonts w:eastAsia="Arial Unicode MS"/>
          <w:bCs/>
          <w:lang w:eastAsia="fr-FR" w:bidi="he-IL"/>
        </w:rPr>
        <w:t>Zeller</w:t>
      </w:r>
      <w:r w:rsidR="00E65435">
        <w:rPr>
          <w:rFonts w:eastAsia="Arial Unicode MS"/>
          <w:bCs/>
          <w:lang w:eastAsia="fr-FR" w:bidi="he-IL"/>
        </w:rPr>
        <w:t xml:space="preserve">, </w:t>
      </w:r>
      <w:r w:rsidR="00B704AD" w:rsidRPr="00C8701B">
        <w:rPr>
          <w:rFonts w:eastAsia="Arial Unicode MS"/>
          <w:bCs/>
          <w:lang w:eastAsia="fr-FR" w:bidi="he-IL"/>
        </w:rPr>
        <w:t>Ritschl</w:t>
      </w:r>
      <w:r w:rsidR="00E65435">
        <w:rPr>
          <w:rFonts w:eastAsia="Arial Unicode MS"/>
          <w:bCs/>
          <w:lang w:eastAsia="fr-FR" w:bidi="he-IL"/>
        </w:rPr>
        <w:t xml:space="preserve">, </w:t>
      </w:r>
      <w:r w:rsidR="00B704AD" w:rsidRPr="00C8701B">
        <w:rPr>
          <w:rFonts w:eastAsia="Arial Unicode MS"/>
          <w:bCs/>
          <w:lang w:eastAsia="fr-FR" w:bidi="he-IL"/>
        </w:rPr>
        <w:t>Hilgenfeld Volkmar</w:t>
      </w:r>
      <w:r w:rsidR="00E65435">
        <w:rPr>
          <w:rFonts w:eastAsia="Arial Unicode MS"/>
          <w:bCs/>
          <w:lang w:eastAsia="fr-FR" w:bidi="he-IL"/>
        </w:rPr>
        <w:t xml:space="preserve">, </w:t>
      </w:r>
      <w:r w:rsidR="00B704AD" w:rsidRPr="00C8701B">
        <w:rPr>
          <w:rFonts w:eastAsia="Arial Unicode MS"/>
          <w:bCs/>
          <w:lang w:eastAsia="fr-FR" w:bidi="he-IL"/>
        </w:rPr>
        <w:t>Kœstlin</w:t>
      </w:r>
      <w:r w:rsidR="00E65435">
        <w:rPr>
          <w:rFonts w:eastAsia="Arial Unicode MS"/>
          <w:bCs/>
          <w:lang w:eastAsia="fr-FR" w:bidi="he-IL"/>
        </w:rPr>
        <w:t xml:space="preserve">, </w:t>
      </w:r>
      <w:r w:rsidR="00B704AD" w:rsidRPr="00C8701B">
        <w:rPr>
          <w:rFonts w:eastAsia="Arial Unicode MS"/>
          <w:bCs/>
          <w:lang w:eastAsia="fr-FR" w:bidi="he-IL"/>
        </w:rPr>
        <w:t>etc.</w:t>
      </w:r>
      <w:r w:rsidR="00933C60" w:rsidRPr="00C406FF">
        <w:rPr>
          <w:rStyle w:val="Appelnotedebasdep"/>
        </w:rPr>
        <w:footnoteReference w:id="445"/>
      </w:r>
      <w:r w:rsidR="00B704AD" w:rsidRPr="00C8701B">
        <w:rPr>
          <w:rFonts w:eastAsia="Arial Unicode MS"/>
          <w:bCs/>
          <w:lang w:eastAsia="fr-FR" w:bidi="he-IL"/>
        </w:rPr>
        <w:t>. Ils admettent</w:t>
      </w:r>
      <w:r w:rsidR="00E65435">
        <w:rPr>
          <w:rFonts w:eastAsia="Arial Unicode MS"/>
          <w:bCs/>
          <w:lang w:eastAsia="fr-FR" w:bidi="he-IL"/>
        </w:rPr>
        <w:t xml:space="preserve">, </w:t>
      </w:r>
      <w:r w:rsidR="00B704AD" w:rsidRPr="00C8701B">
        <w:rPr>
          <w:rFonts w:eastAsia="Arial Unicode MS"/>
          <w:bCs/>
          <w:lang w:eastAsia="fr-FR" w:bidi="he-IL"/>
        </w:rPr>
        <w:t>à part les miracles</w:t>
      </w:r>
      <w:r w:rsidR="00E65435">
        <w:rPr>
          <w:rFonts w:eastAsia="Arial Unicode MS"/>
          <w:bCs/>
          <w:lang w:eastAsia="fr-FR" w:bidi="he-IL"/>
        </w:rPr>
        <w:t xml:space="preserve">, </w:t>
      </w:r>
      <w:r w:rsidR="006914B9">
        <w:rPr>
          <w:rFonts w:eastAsia="Arial Unicode MS"/>
          <w:bCs/>
          <w:lang w:eastAsia="fr-FR" w:bidi="he-IL"/>
        </w:rPr>
        <w:t xml:space="preserve">le </w:t>
      </w:r>
      <w:r w:rsidR="00DF496C">
        <w:rPr>
          <w:rFonts w:eastAsia="Arial Unicode MS"/>
          <w:bCs/>
          <w:lang w:eastAsia="fr-FR" w:bidi="he-IL"/>
        </w:rPr>
        <w:t>caract</w:t>
      </w:r>
      <w:r w:rsidR="00DF496C" w:rsidRPr="00C8701B">
        <w:rPr>
          <w:rFonts w:eastAsia="Arial Unicode MS"/>
          <w:bCs/>
          <w:lang w:eastAsia="fr-FR" w:bidi="he-IL"/>
        </w:rPr>
        <w:t>ère</w:t>
      </w:r>
      <w:r w:rsidR="00B704AD" w:rsidRPr="00C8701B">
        <w:rPr>
          <w:rFonts w:eastAsia="Arial Unicode MS"/>
          <w:bCs/>
          <w:lang w:eastAsia="fr-FR" w:bidi="he-IL"/>
        </w:rPr>
        <w:t xml:space="preserve"> historique de la plupart des faits racontés dans l</w:t>
      </w:r>
      <w:r w:rsidR="00557DE0">
        <w:rPr>
          <w:rFonts w:eastAsia="Arial Unicode MS"/>
          <w:bCs/>
          <w:lang w:eastAsia="fr-FR" w:bidi="he-IL"/>
        </w:rPr>
        <w:t>’</w:t>
      </w:r>
      <w:r w:rsidR="00B704AD" w:rsidRPr="00C8701B">
        <w:rPr>
          <w:rFonts w:eastAsia="Arial Unicode MS"/>
          <w:bCs/>
          <w:lang w:eastAsia="fr-FR" w:bidi="he-IL"/>
        </w:rPr>
        <w:t>évangile</w:t>
      </w:r>
      <w:r w:rsidR="00E65435">
        <w:rPr>
          <w:rFonts w:eastAsia="Arial Unicode MS"/>
          <w:bCs/>
          <w:lang w:eastAsia="fr-FR" w:bidi="he-IL"/>
        </w:rPr>
        <w:t xml:space="preserve">, </w:t>
      </w:r>
      <w:r w:rsidR="00B704AD" w:rsidRPr="00C8701B">
        <w:rPr>
          <w:rFonts w:eastAsia="Arial Unicode MS"/>
          <w:bCs/>
          <w:lang w:eastAsia="fr-FR" w:bidi="he-IL"/>
        </w:rPr>
        <w:t>et la réalité de l</w:t>
      </w:r>
      <w:r w:rsidR="00557DE0">
        <w:rPr>
          <w:rFonts w:eastAsia="Arial Unicode MS"/>
          <w:bCs/>
          <w:lang w:eastAsia="fr-FR" w:bidi="he-IL"/>
        </w:rPr>
        <w:t>’</w:t>
      </w:r>
      <w:r w:rsidR="00B704AD" w:rsidRPr="00C8701B">
        <w:rPr>
          <w:rFonts w:eastAsia="Arial Unicode MS"/>
          <w:bCs/>
          <w:lang w:eastAsia="fr-FR" w:bidi="he-IL"/>
        </w:rPr>
        <w:t>enseignement de Jésus</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mais</w:t>
      </w:r>
      <w:r w:rsidR="00E65435">
        <w:rPr>
          <w:rFonts w:eastAsia="Arial Unicode MS"/>
          <w:bCs/>
          <w:lang w:eastAsia="fr-FR" w:bidi="he-IL"/>
        </w:rPr>
        <w:t xml:space="preserve">, </w:t>
      </w:r>
      <w:r w:rsidR="00B704AD" w:rsidRPr="00C8701B">
        <w:rPr>
          <w:rFonts w:eastAsia="Arial Unicode MS"/>
          <w:bCs/>
          <w:lang w:eastAsia="fr-FR" w:bidi="he-IL"/>
        </w:rPr>
        <w:t>suivant eux</w:t>
      </w:r>
      <w:r w:rsidR="00E65435">
        <w:rPr>
          <w:rFonts w:eastAsia="Arial Unicode MS"/>
          <w:bCs/>
          <w:lang w:eastAsia="fr-FR" w:bidi="he-IL"/>
        </w:rPr>
        <w:t xml:space="preserve">, </w:t>
      </w:r>
      <w:r w:rsidR="00B704AD" w:rsidRPr="00C8701B">
        <w:rPr>
          <w:rFonts w:eastAsia="Arial Unicode MS"/>
          <w:bCs/>
          <w:lang w:eastAsia="fr-FR" w:bidi="he-IL"/>
        </w:rPr>
        <w:t>les évangiles doivent leur origine</w:t>
      </w:r>
      <w:r w:rsidR="00E65435">
        <w:rPr>
          <w:rFonts w:eastAsia="Arial Unicode MS"/>
          <w:bCs/>
          <w:lang w:eastAsia="fr-FR" w:bidi="he-IL"/>
        </w:rPr>
        <w:t xml:space="preserve">, </w:t>
      </w:r>
      <w:r w:rsidR="00B704AD" w:rsidRPr="00C8701B">
        <w:rPr>
          <w:rFonts w:eastAsia="Arial Unicode MS"/>
          <w:bCs/>
          <w:lang w:eastAsia="fr-FR" w:bidi="he-IL"/>
        </w:rPr>
        <w:t>comme la plupart des autres écrits du Nouveau Testament</w:t>
      </w:r>
      <w:r w:rsidR="00E65435">
        <w:rPr>
          <w:rFonts w:eastAsia="Arial Unicode MS"/>
          <w:bCs/>
          <w:lang w:eastAsia="fr-FR" w:bidi="he-IL"/>
        </w:rPr>
        <w:t xml:space="preserve">, </w:t>
      </w:r>
      <w:r w:rsidR="00B704AD" w:rsidRPr="00C8701B">
        <w:rPr>
          <w:rFonts w:eastAsia="Arial Unicode MS"/>
          <w:bCs/>
          <w:lang w:eastAsia="fr-FR" w:bidi="he-IL"/>
        </w:rPr>
        <w:t>à des luttes intestines qui auraient mis l</w:t>
      </w:r>
      <w:r w:rsidR="00557DE0">
        <w:rPr>
          <w:rFonts w:eastAsia="Arial Unicode MS"/>
          <w:bCs/>
          <w:lang w:eastAsia="fr-FR" w:bidi="he-IL"/>
        </w:rPr>
        <w:t>’</w:t>
      </w:r>
      <w:r w:rsidR="00C8701B">
        <w:rPr>
          <w:rFonts w:eastAsia="Arial Unicode MS"/>
          <w:bCs/>
          <w:lang w:eastAsia="fr-FR" w:bidi="he-IL"/>
        </w:rPr>
        <w:t>Église</w:t>
      </w:r>
      <w:r w:rsidR="00B704AD" w:rsidRPr="00C8701B">
        <w:rPr>
          <w:rFonts w:eastAsia="Arial Unicode MS"/>
          <w:bCs/>
          <w:lang w:eastAsia="fr-FR" w:bidi="he-IL"/>
        </w:rPr>
        <w:t xml:space="preserve"> naissante à deux doigts de sa perte.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Laissons encore la parole à M. Vigouroux</w:t>
      </w:r>
      <w:r w:rsidR="00C2602D" w:rsidRPr="00C8701B">
        <w:rPr>
          <w:rFonts w:eastAsia="Arial Unicode MS"/>
          <w:bCs/>
          <w:lang w:eastAsia="fr-FR" w:bidi="he-IL"/>
        </w:rPr>
        <w:t> :</w:t>
      </w:r>
      <w:r w:rsidR="00CE11E9">
        <w:rPr>
          <w:rFonts w:eastAsia="Arial Unicode MS"/>
          <w:bCs/>
          <w:lang w:eastAsia="fr-FR" w:bidi="he-IL"/>
        </w:rPr>
        <w:t xml:space="preserve"> </w:t>
      </w:r>
      <w:r w:rsidR="00F12048" w:rsidRPr="00C8701B">
        <w:rPr>
          <w:rFonts w:eastAsia="Arial Unicode MS"/>
          <w:bCs/>
          <w:lang w:eastAsia="fr-FR" w:bidi="he-IL"/>
        </w:rPr>
        <w:t>«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idée fondamentale de la critique de Baur</w:t>
      </w:r>
      <w:r w:rsidR="00E65435">
        <w:rPr>
          <w:rFonts w:eastAsia="Arial Unicode MS"/>
          <w:bCs/>
          <w:lang w:eastAsia="fr-FR" w:bidi="he-IL"/>
        </w:rPr>
        <w:t xml:space="preserve">, </w:t>
      </w:r>
      <w:r w:rsidRPr="00C8701B">
        <w:rPr>
          <w:rFonts w:eastAsia="Arial Unicode MS"/>
          <w:bCs/>
          <w:lang w:eastAsia="fr-FR" w:bidi="he-IL"/>
        </w:rPr>
        <w:t>celle qui lui a fait son nom</w:t>
      </w:r>
      <w:r w:rsidR="00E65435">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 qu</w:t>
      </w:r>
      <w:r w:rsidR="00557DE0">
        <w:rPr>
          <w:rFonts w:eastAsia="Arial Unicode MS"/>
          <w:bCs/>
          <w:lang w:eastAsia="fr-FR" w:bidi="he-IL"/>
        </w:rPr>
        <w:t>’</w:t>
      </w:r>
      <w:r w:rsidRPr="00C8701B">
        <w:rPr>
          <w:rFonts w:eastAsia="Arial Unicode MS"/>
          <w:bCs/>
          <w:lang w:eastAsia="fr-FR" w:bidi="he-IL"/>
        </w:rPr>
        <w:t>il a existé deux partis opposés au sein du christianisme primitif</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ébionitisme</w:t>
      </w:r>
      <w:r w:rsidR="00E65435">
        <w:rPr>
          <w:rFonts w:eastAsia="Arial Unicode MS"/>
          <w:bCs/>
          <w:lang w:eastAsia="fr-FR" w:bidi="he-IL"/>
        </w:rPr>
        <w:t xml:space="preserve">, </w:t>
      </w:r>
      <w:r w:rsidRPr="00C8701B">
        <w:rPr>
          <w:rFonts w:eastAsia="Arial Unicode MS"/>
          <w:bCs/>
          <w:lang w:eastAsia="fr-FR" w:bidi="he-IL"/>
        </w:rPr>
        <w:t xml:space="preserve">ou </w:t>
      </w:r>
      <w:r w:rsidRPr="00DC4586">
        <w:rPr>
          <w:rStyle w:val="italicus"/>
        </w:rPr>
        <w:t>pétrinisme</w:t>
      </w:r>
      <w:r w:rsidR="00E65435">
        <w:rPr>
          <w:rStyle w:val="italicus"/>
        </w:rPr>
        <w:t xml:space="preserve">, </w:t>
      </w:r>
      <w:r w:rsidRPr="00C8701B">
        <w:rPr>
          <w:rFonts w:eastAsia="Arial Unicode MS"/>
          <w:bCs/>
          <w:lang w:eastAsia="fr-FR" w:bidi="he-IL"/>
        </w:rPr>
        <w:t>dérivé de l</w:t>
      </w:r>
      <w:r w:rsidR="00557DE0">
        <w:rPr>
          <w:rFonts w:eastAsia="Arial Unicode MS"/>
          <w:bCs/>
          <w:lang w:eastAsia="fr-FR" w:bidi="he-IL"/>
        </w:rPr>
        <w:t>’</w:t>
      </w:r>
      <w:r w:rsidRPr="00C8701B">
        <w:rPr>
          <w:rFonts w:eastAsia="Arial Unicode MS"/>
          <w:bCs/>
          <w:lang w:eastAsia="fr-FR" w:bidi="he-IL"/>
        </w:rPr>
        <w:t>essénisme</w:t>
      </w:r>
      <w:r w:rsidR="00E65435">
        <w:rPr>
          <w:rFonts w:eastAsia="Arial Unicode MS"/>
          <w:bCs/>
          <w:lang w:eastAsia="fr-FR" w:bidi="he-IL"/>
        </w:rPr>
        <w:t xml:space="preserve">, </w:t>
      </w:r>
      <w:r w:rsidRPr="00C8701B">
        <w:rPr>
          <w:rFonts w:eastAsia="Arial Unicode MS"/>
          <w:bCs/>
          <w:lang w:eastAsia="fr-FR" w:bidi="he-IL"/>
        </w:rPr>
        <w:t>et le</w:t>
      </w:r>
      <w:r w:rsidRPr="00DC4586">
        <w:rPr>
          <w:rStyle w:val="italicus"/>
        </w:rPr>
        <w:t xml:space="preserve"> paulinisme.</w:t>
      </w:r>
      <w:r w:rsidRPr="00C8701B">
        <w:rPr>
          <w:rFonts w:eastAsia="Arial Unicode MS"/>
          <w:bCs/>
          <w:lang w:eastAsia="fr-FR" w:bidi="he-IL"/>
        </w:rPr>
        <w:t xml:space="preserve"> L</w:t>
      </w:r>
      <w:r w:rsidR="00557DE0">
        <w:rPr>
          <w:rFonts w:eastAsia="Arial Unicode MS"/>
          <w:bCs/>
          <w:lang w:eastAsia="fr-FR" w:bidi="he-IL"/>
        </w:rPr>
        <w:t>’</w:t>
      </w:r>
      <w:r w:rsidRPr="00C8701B">
        <w:rPr>
          <w:rFonts w:eastAsia="Arial Unicode MS"/>
          <w:bCs/>
          <w:lang w:eastAsia="fr-FR" w:bidi="he-IL"/>
        </w:rPr>
        <w:t>antagonisme entre les partisans de Pierre et les partisans de Paul</w:t>
      </w:r>
      <w:r w:rsidR="00E65435">
        <w:rPr>
          <w:rFonts w:eastAsia="Arial Unicode MS"/>
          <w:bCs/>
          <w:lang w:eastAsia="fr-FR" w:bidi="he-IL"/>
        </w:rPr>
        <w:t xml:space="preserve">, </w:t>
      </w:r>
      <w:r w:rsidR="006914B9">
        <w:rPr>
          <w:rFonts w:eastAsia="Arial Unicode MS"/>
          <w:bCs/>
          <w:lang w:eastAsia="fr-FR" w:bidi="he-IL"/>
        </w:rPr>
        <w:t xml:space="preserve">voilà la clef qui </w:t>
      </w:r>
      <w:r w:rsidRPr="00C8701B">
        <w:rPr>
          <w:rFonts w:eastAsia="Arial Unicode MS"/>
          <w:bCs/>
          <w:lang w:eastAsia="fr-FR" w:bidi="he-IL"/>
        </w:rPr>
        <w:t>ouvre toutes les portes fermées</w:t>
      </w:r>
      <w:r w:rsidR="00E65435">
        <w:rPr>
          <w:rFonts w:eastAsia="Arial Unicode MS"/>
          <w:bCs/>
          <w:lang w:eastAsia="fr-FR" w:bidi="he-IL"/>
        </w:rPr>
        <w:t xml:space="preserve">, </w:t>
      </w:r>
      <w:r w:rsidRPr="00C8701B">
        <w:rPr>
          <w:rFonts w:eastAsia="Arial Unicode MS"/>
          <w:bCs/>
          <w:lang w:eastAsia="fr-FR" w:bidi="he-IL"/>
        </w:rPr>
        <w:t>jusque-là à l</w:t>
      </w:r>
      <w:r w:rsidR="00557DE0">
        <w:rPr>
          <w:rFonts w:eastAsia="Arial Unicode MS"/>
          <w:bCs/>
          <w:lang w:eastAsia="fr-FR" w:bidi="he-IL"/>
        </w:rPr>
        <w:t>’</w:t>
      </w:r>
      <w:r w:rsidRPr="00C8701B">
        <w:rPr>
          <w:rFonts w:eastAsia="Arial Unicode MS"/>
          <w:bCs/>
          <w:lang w:eastAsia="fr-FR" w:bidi="he-IL"/>
        </w:rPr>
        <w:t>intelligence critique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voilà la solution de tous les problèmes des origines chrétiennes.... Les évangiles sont le reflet</w:t>
      </w:r>
      <w:r w:rsidR="00E65435">
        <w:rPr>
          <w:rFonts w:eastAsia="Arial Unicode MS"/>
          <w:bCs/>
          <w:lang w:eastAsia="fr-FR" w:bidi="he-IL"/>
        </w:rPr>
        <w:t xml:space="preserve">, </w:t>
      </w:r>
      <w:r w:rsidRPr="00C8701B">
        <w:rPr>
          <w:rFonts w:eastAsia="Arial Unicode MS"/>
          <w:bCs/>
          <w:lang w:eastAsia="fr-FR" w:bidi="he-IL"/>
        </w:rPr>
        <w:t>non pas de l</w:t>
      </w:r>
      <w:r w:rsidR="00557DE0">
        <w:rPr>
          <w:rFonts w:eastAsia="Arial Unicode MS"/>
          <w:bCs/>
          <w:lang w:eastAsia="fr-FR" w:bidi="he-IL"/>
        </w:rPr>
        <w:t>’</w:t>
      </w:r>
      <w:r w:rsidRPr="00C8701B">
        <w:rPr>
          <w:rFonts w:eastAsia="Arial Unicode MS"/>
          <w:bCs/>
          <w:lang w:eastAsia="fr-FR" w:bidi="he-IL"/>
        </w:rPr>
        <w:t>objet qu</w:t>
      </w:r>
      <w:r w:rsidR="00557DE0">
        <w:rPr>
          <w:rFonts w:eastAsia="Arial Unicode MS"/>
          <w:bCs/>
          <w:lang w:eastAsia="fr-FR" w:bidi="he-IL"/>
        </w:rPr>
        <w:t>’</w:t>
      </w:r>
      <w:r w:rsidRPr="00C8701B">
        <w:rPr>
          <w:rFonts w:eastAsia="Arial Unicode MS"/>
          <w:bCs/>
          <w:lang w:eastAsia="fr-FR" w:bidi="he-IL"/>
        </w:rPr>
        <w:t>ils retracent</w:t>
      </w:r>
      <w:r w:rsidR="00E65435">
        <w:rPr>
          <w:rFonts w:eastAsia="Arial Unicode MS"/>
          <w:bCs/>
          <w:lang w:eastAsia="fr-FR" w:bidi="he-IL"/>
        </w:rPr>
        <w:t xml:space="preserve">, </w:t>
      </w:r>
      <w:r w:rsidRPr="00C8701B">
        <w:rPr>
          <w:rFonts w:eastAsia="Arial Unicode MS"/>
          <w:bCs/>
          <w:lang w:eastAsia="fr-FR" w:bidi="he-IL"/>
        </w:rPr>
        <w:t>mais des</w:t>
      </w:r>
      <w:r w:rsidRPr="00DC4586">
        <w:rPr>
          <w:rStyle w:val="italicus"/>
        </w:rPr>
        <w:t xml:space="preserve"> tendances</w:t>
      </w:r>
      <w:r w:rsidRPr="00C8701B">
        <w:rPr>
          <w:rFonts w:eastAsia="Arial Unicode MS"/>
          <w:bCs/>
          <w:lang w:eastAsia="fr-FR" w:bidi="he-IL"/>
        </w:rPr>
        <w:t xml:space="preserve"> belliqueuses ou conciliatrices de leurs auteurs. Ils nous racontent moins l</w:t>
      </w:r>
      <w:r w:rsidR="00557DE0">
        <w:rPr>
          <w:rFonts w:eastAsia="Arial Unicode MS"/>
          <w:bCs/>
          <w:lang w:eastAsia="fr-FR" w:bidi="he-IL"/>
        </w:rPr>
        <w:t>’</w:t>
      </w:r>
      <w:r w:rsidRPr="00C8701B">
        <w:rPr>
          <w:rFonts w:eastAsia="Arial Unicode MS"/>
          <w:bCs/>
          <w:lang w:eastAsia="fr-FR" w:bidi="he-IL"/>
        </w:rPr>
        <w:t>histoire de Jésus que celle de l</w:t>
      </w:r>
      <w:r w:rsidR="00557DE0">
        <w:rPr>
          <w:rFonts w:eastAsia="Arial Unicode MS"/>
          <w:bCs/>
          <w:lang w:eastAsia="fr-FR" w:bidi="he-IL"/>
        </w:rPr>
        <w:t>’</w:t>
      </w:r>
      <w:r w:rsidR="00C8701B">
        <w:rPr>
          <w:rFonts w:eastAsia="Arial Unicode MS"/>
          <w:bCs/>
          <w:lang w:eastAsia="fr-FR" w:bidi="he-IL"/>
        </w:rPr>
        <w:t>Église</w:t>
      </w:r>
      <w:r w:rsidRPr="00C8701B">
        <w:rPr>
          <w:rFonts w:eastAsia="Arial Unicode MS"/>
          <w:bCs/>
          <w:lang w:eastAsia="fr-FR" w:bidi="he-IL"/>
        </w:rPr>
        <w:t xml:space="preserve"> et des théories diverses de chaque fraction de l</w:t>
      </w:r>
      <w:r w:rsidR="00557DE0">
        <w:rPr>
          <w:rFonts w:eastAsia="Arial Unicode MS"/>
          <w:bCs/>
          <w:lang w:eastAsia="fr-FR" w:bidi="he-IL"/>
        </w:rPr>
        <w:t>’</w:t>
      </w:r>
      <w:r w:rsidR="00C8701B">
        <w:rPr>
          <w:rFonts w:eastAsia="Arial Unicode MS"/>
          <w:bCs/>
          <w:lang w:eastAsia="fr-FR" w:bidi="he-IL"/>
        </w:rPr>
        <w:t>Église</w:t>
      </w:r>
      <w:r w:rsidRPr="00C8701B">
        <w:rPr>
          <w:rFonts w:eastAsia="Arial Unicode MS"/>
          <w:bCs/>
          <w:lang w:eastAsia="fr-FR" w:bidi="he-IL"/>
        </w:rPr>
        <w:t xml:space="preserve"> sur son fondateur</w:t>
      </w:r>
      <w:r w:rsidR="006914B9">
        <w:rPr>
          <w:rFonts w:eastAsia="Arial Unicode MS"/>
          <w:bCs/>
          <w:lang w:eastAsia="fr-FR" w:bidi="he-IL"/>
        </w:rPr>
        <w:t> »</w:t>
      </w:r>
      <w:r w:rsidR="00933C60" w:rsidRPr="00C406FF">
        <w:rPr>
          <w:rStyle w:val="Appelnotedebasdep"/>
        </w:rPr>
        <w:footnoteReference w:id="446"/>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Ainsi</w:t>
      </w:r>
      <w:r w:rsidR="00E65435">
        <w:rPr>
          <w:rFonts w:eastAsia="Arial Unicode MS"/>
          <w:bCs/>
          <w:lang w:eastAsia="fr-FR" w:bidi="he-IL"/>
        </w:rPr>
        <w:t xml:space="preserve">, </w:t>
      </w:r>
      <w:r w:rsidRPr="00C8701B">
        <w:rPr>
          <w:rFonts w:eastAsia="Arial Unicode MS"/>
          <w:bCs/>
          <w:lang w:eastAsia="fr-FR" w:bidi="he-IL"/>
        </w:rPr>
        <w:t>comme nous l</w:t>
      </w:r>
      <w:r w:rsidR="00557DE0">
        <w:rPr>
          <w:rFonts w:eastAsia="Arial Unicode MS"/>
          <w:bCs/>
          <w:lang w:eastAsia="fr-FR" w:bidi="he-IL"/>
        </w:rPr>
        <w:t>’</w:t>
      </w:r>
      <w:r w:rsidRPr="00C8701B">
        <w:rPr>
          <w:rFonts w:eastAsia="Arial Unicode MS"/>
          <w:bCs/>
          <w:lang w:eastAsia="fr-FR" w:bidi="he-IL"/>
        </w:rPr>
        <w:t>avons dit ailleurs</w:t>
      </w:r>
      <w:r w:rsidR="00933C60" w:rsidRPr="00C406FF">
        <w:rPr>
          <w:rStyle w:val="Appelnotedebasdep"/>
        </w:rPr>
        <w:footnoteReference w:id="447"/>
      </w:r>
      <w:r w:rsidR="00E65435">
        <w:rPr>
          <w:rFonts w:eastAsia="Arial Unicode MS"/>
          <w:bCs/>
          <w:lang w:eastAsia="fr-FR" w:bidi="he-IL"/>
        </w:rPr>
        <w:t xml:space="preserve">, </w:t>
      </w:r>
      <w:r w:rsidRPr="00C8701B">
        <w:rPr>
          <w:rFonts w:eastAsia="Arial Unicode MS"/>
          <w:bCs/>
          <w:lang w:eastAsia="fr-FR" w:bidi="he-IL"/>
        </w:rPr>
        <w:t>S. Matthieu</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après ce système</w:t>
      </w:r>
      <w:r w:rsidR="00E65435">
        <w:rPr>
          <w:rFonts w:eastAsia="Arial Unicode MS"/>
          <w:bCs/>
          <w:lang w:eastAsia="fr-FR" w:bidi="he-IL"/>
        </w:rPr>
        <w:t xml:space="preserve">, </w:t>
      </w:r>
      <w:r w:rsidRPr="00C8701B">
        <w:rPr>
          <w:rFonts w:eastAsia="Arial Unicode MS"/>
          <w:bCs/>
          <w:lang w:eastAsia="fr-FR" w:bidi="he-IL"/>
        </w:rPr>
        <w:t>aurait écrit un évangile pour soutenir la faction judaïsante</w:t>
      </w:r>
      <w:r w:rsidR="00E65435">
        <w:rPr>
          <w:rFonts w:eastAsia="Arial Unicode MS"/>
          <w:bCs/>
          <w:lang w:eastAsia="fr-FR" w:bidi="he-IL"/>
        </w:rPr>
        <w:t xml:space="preserve">, </w:t>
      </w:r>
      <w:r w:rsidRPr="00C8701B">
        <w:rPr>
          <w:rFonts w:eastAsia="Arial Unicode MS"/>
          <w:bCs/>
          <w:lang w:eastAsia="fr-FR" w:bidi="he-IL"/>
        </w:rPr>
        <w:t xml:space="preserve">ou le </w:t>
      </w:r>
      <w:r w:rsidR="006914B9">
        <w:rPr>
          <w:rFonts w:eastAsia="Arial Unicode MS"/>
          <w:bCs/>
          <w:lang w:eastAsia="fr-FR" w:bidi="he-IL"/>
        </w:rPr>
        <w:t>{82</w:t>
      </w:r>
      <w:bookmarkStart w:id="131" w:name="pag082"/>
      <w:bookmarkEnd w:id="131"/>
      <w:r w:rsidR="006914B9">
        <w:rPr>
          <w:rFonts w:eastAsia="Arial Unicode MS"/>
          <w:bCs/>
          <w:lang w:eastAsia="fr-FR" w:bidi="he-IL"/>
        </w:rPr>
        <w:t xml:space="preserve">} </w:t>
      </w:r>
      <w:r w:rsidRPr="00C8701B">
        <w:rPr>
          <w:rFonts w:eastAsia="Arial Unicode MS"/>
          <w:bCs/>
          <w:lang w:eastAsia="fr-FR" w:bidi="he-IL"/>
        </w:rPr>
        <w:t>parti des</w:t>
      </w:r>
      <w:r w:rsidR="006914B9">
        <w:rPr>
          <w:rStyle w:val="italicus"/>
        </w:rPr>
        <w:t xml:space="preserve"> Pé</w:t>
      </w:r>
      <w:r w:rsidRPr="00DC4586">
        <w:rPr>
          <w:rStyle w:val="italicus"/>
        </w:rPr>
        <w:t>triniens</w:t>
      </w:r>
      <w:r w:rsidR="00C2602D" w:rsidRPr="00DC4586">
        <w:rPr>
          <w:rStyle w:val="italicus"/>
        </w:rPr>
        <w:t> </w:t>
      </w:r>
      <w:r w:rsidR="007F6508">
        <w:rPr>
          <w:rStyle w:val="italicus"/>
        </w:rPr>
        <w:t xml:space="preserve">; </w:t>
      </w:r>
      <w:r w:rsidRPr="00C8701B">
        <w:rPr>
          <w:rFonts w:eastAsia="Arial Unicode MS"/>
          <w:bCs/>
          <w:lang w:eastAsia="fr-FR" w:bidi="he-IL"/>
        </w:rPr>
        <w:t>un autre</w:t>
      </w:r>
      <w:r w:rsidR="00E65435">
        <w:rPr>
          <w:rFonts w:eastAsia="Arial Unicode MS"/>
          <w:bCs/>
          <w:lang w:eastAsia="fr-FR" w:bidi="he-IL"/>
        </w:rPr>
        <w:t xml:space="preserve">, </w:t>
      </w:r>
      <w:r w:rsidRPr="00C8701B">
        <w:rPr>
          <w:rFonts w:eastAsia="Arial Unicode MS"/>
          <w:bCs/>
          <w:lang w:eastAsia="fr-FR" w:bidi="he-IL"/>
        </w:rPr>
        <w:t>un peu plus tard</w:t>
      </w:r>
      <w:r w:rsidR="00E65435">
        <w:rPr>
          <w:rFonts w:eastAsia="Arial Unicode MS"/>
          <w:bCs/>
          <w:lang w:eastAsia="fr-FR" w:bidi="he-IL"/>
        </w:rPr>
        <w:t xml:space="preserve">, </w:t>
      </w:r>
      <w:r w:rsidRPr="00C8701B">
        <w:rPr>
          <w:rFonts w:eastAsia="Arial Unicode MS"/>
          <w:bCs/>
          <w:lang w:eastAsia="fr-FR" w:bidi="he-IL"/>
        </w:rPr>
        <w:t>se serait jeté dans la mêlée avec l</w:t>
      </w:r>
      <w:r w:rsidR="00557DE0">
        <w:rPr>
          <w:rFonts w:eastAsia="Arial Unicode MS"/>
          <w:bCs/>
          <w:lang w:eastAsia="fr-FR" w:bidi="he-IL"/>
        </w:rPr>
        <w:t>’</w:t>
      </w:r>
      <w:r w:rsidRPr="00C8701B">
        <w:rPr>
          <w:rFonts w:eastAsia="Arial Unicode MS"/>
          <w:bCs/>
          <w:lang w:eastAsia="fr-FR" w:bidi="he-IL"/>
        </w:rPr>
        <w:t>évangile qui porte le nom de S. Luc</w:t>
      </w:r>
      <w:r w:rsidR="00E65435">
        <w:rPr>
          <w:rFonts w:eastAsia="Arial Unicode MS"/>
          <w:bCs/>
          <w:lang w:eastAsia="fr-FR" w:bidi="he-IL"/>
        </w:rPr>
        <w:t xml:space="preserve">, </w:t>
      </w:r>
      <w:r w:rsidR="006914B9">
        <w:rPr>
          <w:rFonts w:eastAsia="Arial Unicode MS"/>
          <w:bCs/>
          <w:lang w:eastAsia="fr-FR" w:bidi="he-IL"/>
        </w:rPr>
        <w:t>en Vue de défendre la f</w:t>
      </w:r>
      <w:r w:rsidRPr="00C8701B">
        <w:rPr>
          <w:rFonts w:eastAsia="Arial Unicode MS"/>
          <w:bCs/>
          <w:lang w:eastAsia="fr-FR" w:bidi="he-IL"/>
        </w:rPr>
        <w:t>action libérale ou</w:t>
      </w:r>
      <w:r w:rsidRPr="00DC4586">
        <w:rPr>
          <w:rStyle w:val="italicus"/>
        </w:rPr>
        <w:t xml:space="preserve"> paulinienne.</w:t>
      </w:r>
      <w:r w:rsidRPr="00C8701B">
        <w:rPr>
          <w:rFonts w:eastAsia="Arial Unicode MS"/>
          <w:bCs/>
          <w:lang w:eastAsia="fr-FR" w:bidi="he-IL"/>
        </w:rPr>
        <w:t xml:space="preserve"> L</w:t>
      </w:r>
      <w:r w:rsidR="00557DE0">
        <w:rPr>
          <w:rFonts w:eastAsia="Arial Unicode MS"/>
          <w:bCs/>
          <w:lang w:eastAsia="fr-FR" w:bidi="he-IL"/>
        </w:rPr>
        <w:t>’</w:t>
      </w:r>
      <w:r w:rsidR="006914B9">
        <w:rPr>
          <w:rFonts w:eastAsia="Arial Unicode MS"/>
          <w:bCs/>
          <w:lang w:eastAsia="fr-FR" w:bidi="he-IL"/>
        </w:rPr>
        <w:t>évangile selo</w:t>
      </w:r>
      <w:r w:rsidRPr="00C8701B">
        <w:rPr>
          <w:rFonts w:eastAsia="Arial Unicode MS"/>
          <w:bCs/>
          <w:lang w:eastAsia="fr-FR" w:bidi="he-IL"/>
        </w:rPr>
        <w:t>n S. Marc tendait la main aux deux partis hostiles</w:t>
      </w:r>
      <w:r w:rsidR="00E65435">
        <w:rPr>
          <w:rFonts w:eastAsia="Arial Unicode MS"/>
          <w:bCs/>
          <w:lang w:eastAsia="fr-FR" w:bidi="he-IL"/>
        </w:rPr>
        <w:t xml:space="preserve">, </w:t>
      </w:r>
      <w:r w:rsidRPr="00C8701B">
        <w:rPr>
          <w:rFonts w:eastAsia="Arial Unicode MS"/>
          <w:bCs/>
          <w:lang w:eastAsia="fr-FR" w:bidi="he-IL"/>
        </w:rPr>
        <w:t xml:space="preserve">afin de </w:t>
      </w:r>
      <w:r w:rsidR="00DF496C" w:rsidRPr="00C8701B">
        <w:rPr>
          <w:rFonts w:eastAsia="Arial Unicode MS"/>
          <w:bCs/>
          <w:lang w:eastAsia="fr-FR" w:bidi="he-IL"/>
        </w:rPr>
        <w:t>ménager</w:t>
      </w:r>
      <w:r w:rsidRPr="00C8701B">
        <w:rPr>
          <w:rFonts w:eastAsia="Arial Unicode MS"/>
          <w:bCs/>
          <w:lang w:eastAsia="fr-FR" w:bidi="he-IL"/>
        </w:rPr>
        <w:t xml:space="preserve"> entre eux une réconciliation.</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Voilà dans son essence le système des</w:t>
      </w:r>
      <w:r w:rsidRPr="00DC4586">
        <w:rPr>
          <w:rStyle w:val="italicus"/>
        </w:rPr>
        <w:t xml:space="preserve"> tendances</w:t>
      </w:r>
      <w:r w:rsidR="00E65435">
        <w:rPr>
          <w:rStyle w:val="italicus"/>
        </w:rPr>
        <w:t xml:space="preserve">, </w:t>
      </w:r>
      <w:r w:rsidRPr="00C8701B">
        <w:rPr>
          <w:rFonts w:eastAsia="Arial Unicode MS"/>
          <w:bCs/>
          <w:lang w:eastAsia="fr-FR" w:bidi="he-IL"/>
        </w:rPr>
        <w:t>qui n</w:t>
      </w:r>
      <w:r w:rsidR="00557DE0">
        <w:rPr>
          <w:rFonts w:eastAsia="Arial Unicode MS"/>
          <w:bCs/>
          <w:lang w:eastAsia="fr-FR" w:bidi="he-IL"/>
        </w:rPr>
        <w:t>’</w:t>
      </w:r>
      <w:r w:rsidRPr="00C8701B">
        <w:rPr>
          <w:rFonts w:eastAsia="Arial Unicode MS"/>
          <w:bCs/>
          <w:lang w:eastAsia="fr-FR" w:bidi="he-IL"/>
        </w:rPr>
        <w:t>est pas moins en contradiction avec l</w:t>
      </w:r>
      <w:r w:rsidR="00557DE0">
        <w:rPr>
          <w:rFonts w:eastAsia="Arial Unicode MS"/>
          <w:bCs/>
          <w:lang w:eastAsia="fr-FR" w:bidi="he-IL"/>
        </w:rPr>
        <w:t>’</w:t>
      </w:r>
      <w:r w:rsidRPr="00C8701B">
        <w:rPr>
          <w:rFonts w:eastAsia="Arial Unicode MS"/>
          <w:bCs/>
          <w:lang w:eastAsia="fr-FR" w:bidi="he-IL"/>
        </w:rPr>
        <w:t>histoire que tous ceux qui l</w:t>
      </w:r>
      <w:r w:rsidR="00557DE0">
        <w:rPr>
          <w:rFonts w:eastAsia="Arial Unicode MS"/>
          <w:bCs/>
          <w:lang w:eastAsia="fr-FR" w:bidi="he-IL"/>
        </w:rPr>
        <w:t>’</w:t>
      </w:r>
      <w:r w:rsidRPr="00C8701B">
        <w:rPr>
          <w:rFonts w:eastAsia="Arial Unicode MS"/>
          <w:bCs/>
          <w:lang w:eastAsia="fr-FR" w:bidi="he-IL"/>
        </w:rPr>
        <w:t>avaient précédé.</w:t>
      </w:r>
      <w:r w:rsidR="00C2602D" w:rsidRPr="00C8701B">
        <w:rPr>
          <w:rFonts w:eastAsia="Arial Unicode MS"/>
          <w:bCs/>
          <w:lang w:eastAsia="fr-FR" w:bidi="he-IL"/>
        </w:rPr>
        <w:t xml:space="preserve"> </w:t>
      </w:r>
    </w:p>
    <w:p w:rsidR="00C2602D" w:rsidRPr="006914B9" w:rsidRDefault="00B704AD" w:rsidP="00C2602D">
      <w:r w:rsidRPr="00C8701B">
        <w:rPr>
          <w:rFonts w:eastAsia="Arial Unicode MS"/>
          <w:bCs/>
          <w:lang w:eastAsia="fr-FR" w:bidi="he-IL"/>
        </w:rPr>
        <w:t>6° Ce ne sont plus des écoles proprement dites</w:t>
      </w:r>
      <w:r w:rsidR="00E65435">
        <w:rPr>
          <w:rFonts w:eastAsia="Arial Unicode MS"/>
          <w:bCs/>
          <w:lang w:eastAsia="fr-FR" w:bidi="he-IL"/>
        </w:rPr>
        <w:t xml:space="preserve">, </w:t>
      </w:r>
      <w:r w:rsidRPr="00C8701B">
        <w:rPr>
          <w:rFonts w:eastAsia="Arial Unicode MS"/>
          <w:bCs/>
          <w:lang w:eastAsia="fr-FR" w:bidi="he-IL"/>
        </w:rPr>
        <w:t>mais de simples nuances divergentes</w:t>
      </w:r>
      <w:r w:rsidR="00E65435">
        <w:rPr>
          <w:rFonts w:eastAsia="Arial Unicode MS"/>
          <w:bCs/>
          <w:lang w:eastAsia="fr-FR" w:bidi="he-IL"/>
        </w:rPr>
        <w:t xml:space="preserve">, </w:t>
      </w:r>
      <w:r w:rsidRPr="00C8701B">
        <w:rPr>
          <w:rFonts w:eastAsia="Arial Unicode MS"/>
          <w:bCs/>
          <w:lang w:eastAsia="fr-FR" w:bidi="he-IL"/>
        </w:rPr>
        <w:t>que représentent les noms d</w:t>
      </w:r>
      <w:r w:rsidR="00557DE0">
        <w:rPr>
          <w:rFonts w:eastAsia="Arial Unicode MS"/>
          <w:bCs/>
          <w:lang w:eastAsia="fr-FR" w:bidi="he-IL"/>
        </w:rPr>
        <w:t>’</w:t>
      </w:r>
      <w:r w:rsidRPr="00C8701B">
        <w:rPr>
          <w:rFonts w:eastAsia="Arial Unicode MS"/>
          <w:bCs/>
          <w:lang w:eastAsia="fr-FR" w:bidi="he-IL"/>
        </w:rPr>
        <w:t>Ewald</w:t>
      </w:r>
      <w:r w:rsidR="00E65435">
        <w:rPr>
          <w:rFonts w:eastAsia="Arial Unicode MS"/>
          <w:bCs/>
          <w:lang w:eastAsia="fr-FR" w:bidi="he-IL"/>
        </w:rPr>
        <w:t xml:space="preserve">, </w:t>
      </w:r>
      <w:r w:rsidRPr="00C8701B">
        <w:rPr>
          <w:rFonts w:eastAsia="Arial Unicode MS"/>
          <w:bCs/>
          <w:lang w:eastAsia="fr-FR" w:bidi="he-IL"/>
        </w:rPr>
        <w:t>de M. Renan</w:t>
      </w:r>
      <w:r w:rsidR="00E65435">
        <w:rPr>
          <w:rFonts w:eastAsia="Arial Unicode MS"/>
          <w:bCs/>
          <w:lang w:eastAsia="fr-FR" w:bidi="he-IL"/>
        </w:rPr>
        <w:t xml:space="preserve">, </w:t>
      </w:r>
      <w:r w:rsidRPr="00C8701B">
        <w:rPr>
          <w:rFonts w:eastAsia="Arial Unicode MS"/>
          <w:bCs/>
          <w:lang w:eastAsia="fr-FR" w:bidi="he-IL"/>
        </w:rPr>
        <w:t>de Schenkel</w:t>
      </w:r>
      <w:r w:rsidR="00E65435">
        <w:rPr>
          <w:rFonts w:eastAsia="Arial Unicode MS"/>
          <w:bCs/>
          <w:lang w:eastAsia="fr-FR" w:bidi="he-IL"/>
        </w:rPr>
        <w:t xml:space="preserve">, </w:t>
      </w:r>
      <w:r w:rsidR="006914B9">
        <w:rPr>
          <w:rFonts w:eastAsia="Arial Unicode MS"/>
          <w:bCs/>
          <w:lang w:eastAsia="fr-FR" w:bidi="he-IL"/>
        </w:rPr>
        <w:t>de Keim</w:t>
      </w:r>
      <w:r w:rsidR="00E65435">
        <w:rPr>
          <w:rFonts w:eastAsia="Arial Unicode MS"/>
          <w:bCs/>
          <w:lang w:eastAsia="fr-FR" w:bidi="he-IL"/>
        </w:rPr>
        <w:t xml:space="preserve">, </w:t>
      </w:r>
      <w:r w:rsidRPr="00C8701B">
        <w:rPr>
          <w:rFonts w:eastAsia="Arial Unicode MS"/>
          <w:bCs/>
          <w:lang w:eastAsia="fr-FR" w:bidi="he-IL"/>
        </w:rPr>
        <w:t>de l</w:t>
      </w:r>
      <w:r w:rsidR="00557DE0">
        <w:rPr>
          <w:rFonts w:eastAsia="Arial Unicode MS"/>
          <w:bCs/>
          <w:lang w:eastAsia="fr-FR" w:bidi="he-IL"/>
        </w:rPr>
        <w:t>’</w:t>
      </w:r>
      <w:r w:rsidRPr="00C8701B">
        <w:rPr>
          <w:rFonts w:eastAsia="Arial Unicode MS"/>
          <w:bCs/>
          <w:lang w:eastAsia="fr-FR" w:bidi="he-IL"/>
        </w:rPr>
        <w:t>auteur de</w:t>
      </w:r>
      <w:r w:rsidR="006914B9">
        <w:rPr>
          <w:rFonts w:eastAsia="Arial Unicode MS"/>
          <w:bCs/>
          <w:lang w:eastAsia="fr-FR" w:bidi="he-IL"/>
        </w:rPr>
        <w:t xml:space="preserve"> l</w:t>
      </w:r>
      <w:r w:rsidR="00557DE0">
        <w:rPr>
          <w:rFonts w:eastAsia="Arial Unicode MS"/>
          <w:bCs/>
          <w:lang w:eastAsia="fr-FR" w:bidi="he-IL"/>
        </w:rPr>
        <w:t>’</w:t>
      </w:r>
      <w:r w:rsidRPr="00DC4586">
        <w:rPr>
          <w:rStyle w:val="italicus"/>
        </w:rPr>
        <w:t>Ecce homo</w:t>
      </w:r>
      <w:r w:rsidR="00E65435">
        <w:rPr>
          <w:rStyle w:val="italicus"/>
        </w:rPr>
        <w:t xml:space="preserve">, </w:t>
      </w:r>
      <w:r w:rsidRPr="00C8701B">
        <w:rPr>
          <w:rFonts w:eastAsia="Arial Unicode MS"/>
          <w:bCs/>
          <w:lang w:eastAsia="fr-FR" w:bidi="he-IL"/>
        </w:rPr>
        <w:t>de Volkmar</w:t>
      </w:r>
      <w:r w:rsidR="00E65435">
        <w:rPr>
          <w:rFonts w:eastAsia="Arial Unicode MS"/>
          <w:bCs/>
          <w:lang w:eastAsia="fr-FR" w:bidi="he-IL"/>
        </w:rPr>
        <w:t xml:space="preserve">, </w:t>
      </w:r>
      <w:r w:rsidRPr="00C8701B">
        <w:rPr>
          <w:rFonts w:eastAsia="Arial Unicode MS"/>
          <w:bCs/>
          <w:lang w:eastAsia="fr-FR" w:bidi="he-IL"/>
        </w:rPr>
        <w:t>etc.</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Le D</w:t>
      </w:r>
      <w:r w:rsidRPr="00C8701B">
        <w:rPr>
          <w:rFonts w:eastAsia="Arial Unicode MS"/>
          <w:bCs/>
          <w:vertAlign w:val="superscript"/>
          <w:lang w:eastAsia="fr-FR" w:bidi="he-IL"/>
        </w:rPr>
        <w:t>r</w:t>
      </w:r>
      <w:r w:rsidRPr="00C8701B">
        <w:rPr>
          <w:rFonts w:eastAsia="Arial Unicode MS"/>
          <w:bCs/>
          <w:lang w:eastAsia="fr-FR" w:bidi="he-IL"/>
        </w:rPr>
        <w:t xml:space="preserve"> Ewald</w:t>
      </w:r>
      <w:r w:rsidR="00933C60" w:rsidRPr="00C406FF">
        <w:rPr>
          <w:rStyle w:val="Appelnotedebasdep"/>
        </w:rPr>
        <w:footnoteReference w:id="448"/>
      </w:r>
      <w:r w:rsidR="00E65435">
        <w:rPr>
          <w:rFonts w:eastAsia="Arial Unicode MS"/>
          <w:bCs/>
          <w:lang w:eastAsia="fr-FR" w:bidi="he-IL"/>
        </w:rPr>
        <w:t xml:space="preserve">, </w:t>
      </w:r>
      <w:r w:rsidRPr="00C8701B">
        <w:rPr>
          <w:rFonts w:eastAsia="Arial Unicode MS"/>
          <w:bCs/>
          <w:lang w:eastAsia="fr-FR" w:bidi="he-IL"/>
        </w:rPr>
        <w:t>si heureusement doué sous le rapport exégétique</w:t>
      </w:r>
      <w:r w:rsidR="00E65435">
        <w:rPr>
          <w:rFonts w:eastAsia="Arial Unicode MS"/>
          <w:bCs/>
          <w:lang w:eastAsia="fr-FR" w:bidi="he-IL"/>
        </w:rPr>
        <w:t xml:space="preserve">, </w:t>
      </w:r>
      <w:r w:rsidRPr="00C8701B">
        <w:rPr>
          <w:rFonts w:eastAsia="Arial Unicode MS"/>
          <w:bCs/>
          <w:lang w:eastAsia="fr-FR" w:bidi="he-IL"/>
        </w:rPr>
        <w:t>mais dont la hardiesse et les idées rationalistes ont gâté en grande partie le talent</w:t>
      </w:r>
      <w:r w:rsidR="00E65435">
        <w:rPr>
          <w:rFonts w:eastAsia="Arial Unicode MS"/>
          <w:bCs/>
          <w:lang w:eastAsia="fr-FR" w:bidi="he-IL"/>
        </w:rPr>
        <w:t xml:space="preserve">, </w:t>
      </w:r>
      <w:r w:rsidRPr="00C8701B">
        <w:rPr>
          <w:rFonts w:eastAsia="Arial Unicode MS"/>
          <w:bCs/>
          <w:lang w:eastAsia="fr-FR" w:bidi="he-IL"/>
        </w:rPr>
        <w:t>s</w:t>
      </w:r>
      <w:r w:rsidR="00557DE0">
        <w:rPr>
          <w:rFonts w:eastAsia="Arial Unicode MS"/>
          <w:bCs/>
          <w:lang w:eastAsia="fr-FR" w:bidi="he-IL"/>
        </w:rPr>
        <w:t>’</w:t>
      </w:r>
      <w:r w:rsidRPr="00C8701B">
        <w:rPr>
          <w:rFonts w:eastAsia="Arial Unicode MS"/>
          <w:bCs/>
          <w:lang w:eastAsia="fr-FR" w:bidi="he-IL"/>
        </w:rPr>
        <w:t>est surtout occupé de l</w:t>
      </w:r>
      <w:r w:rsidR="00557DE0">
        <w:rPr>
          <w:rFonts w:eastAsia="Arial Unicode MS"/>
          <w:bCs/>
          <w:lang w:eastAsia="fr-FR" w:bidi="he-IL"/>
        </w:rPr>
        <w:t>’</w:t>
      </w:r>
      <w:r w:rsidRPr="00C8701B">
        <w:rPr>
          <w:rFonts w:eastAsia="Arial Unicode MS"/>
          <w:bCs/>
          <w:lang w:eastAsia="fr-FR" w:bidi="he-IL"/>
        </w:rPr>
        <w:t>Ancien Testament. Néanmoins</w:t>
      </w:r>
      <w:r w:rsidR="00E65435">
        <w:rPr>
          <w:rFonts w:eastAsia="Arial Unicode MS"/>
          <w:bCs/>
          <w:lang w:eastAsia="fr-FR" w:bidi="he-IL"/>
        </w:rPr>
        <w:t xml:space="preserve">, </w:t>
      </w:r>
      <w:r w:rsidRPr="00C8701B">
        <w:rPr>
          <w:rFonts w:eastAsia="Arial Unicode MS"/>
          <w:bCs/>
          <w:lang w:eastAsia="fr-FR" w:bidi="he-IL"/>
        </w:rPr>
        <w:t xml:space="preserve">son </w:t>
      </w:r>
      <w:r w:rsidRPr="00DC4586">
        <w:rPr>
          <w:rStyle w:val="italicus"/>
        </w:rPr>
        <w:t>Histoire du peuple d</w:t>
      </w:r>
      <w:r w:rsidR="00557DE0">
        <w:rPr>
          <w:rStyle w:val="italicus"/>
        </w:rPr>
        <w:t>’</w:t>
      </w:r>
      <w:r w:rsidRPr="00DC4586">
        <w:rPr>
          <w:rStyle w:val="italicus"/>
        </w:rPr>
        <w:t>Israël</w:t>
      </w:r>
      <w:r w:rsidRPr="00C8701B">
        <w:rPr>
          <w:rFonts w:eastAsia="Arial Unicode MS"/>
          <w:bCs/>
          <w:lang w:eastAsia="fr-FR" w:bidi="he-IL"/>
        </w:rPr>
        <w:t xml:space="preserve"> l</w:t>
      </w:r>
      <w:r w:rsidR="00557DE0">
        <w:rPr>
          <w:rFonts w:eastAsia="Arial Unicode MS"/>
          <w:bCs/>
          <w:lang w:eastAsia="fr-FR" w:bidi="he-IL"/>
        </w:rPr>
        <w:t>’</w:t>
      </w:r>
      <w:r w:rsidRPr="00C8701B">
        <w:rPr>
          <w:rFonts w:eastAsia="Arial Unicode MS"/>
          <w:bCs/>
          <w:lang w:eastAsia="fr-FR" w:bidi="he-IL"/>
        </w:rPr>
        <w:t>amena plus tard à s</w:t>
      </w:r>
      <w:r w:rsidR="00557DE0">
        <w:rPr>
          <w:rFonts w:eastAsia="Arial Unicode MS"/>
          <w:bCs/>
          <w:lang w:eastAsia="fr-FR" w:bidi="he-IL"/>
        </w:rPr>
        <w:t>’</w:t>
      </w:r>
      <w:r w:rsidRPr="00C8701B">
        <w:rPr>
          <w:rFonts w:eastAsia="Arial Unicode MS"/>
          <w:bCs/>
          <w:lang w:eastAsia="fr-FR" w:bidi="he-IL"/>
        </w:rPr>
        <w:t>occuper de la vie de Jésus</w:t>
      </w:r>
      <w:r w:rsidR="00E65435">
        <w:rPr>
          <w:rFonts w:eastAsia="Arial Unicode MS"/>
          <w:bCs/>
          <w:lang w:eastAsia="fr-FR" w:bidi="he-IL"/>
        </w:rPr>
        <w:t xml:space="preserve">, </w:t>
      </w:r>
      <w:r w:rsidRPr="00C8701B">
        <w:rPr>
          <w:rFonts w:eastAsia="Arial Unicode MS"/>
          <w:bCs/>
          <w:lang w:eastAsia="fr-FR" w:bidi="he-IL"/>
        </w:rPr>
        <w:t>à laquelle il a consacré un volume entier</w:t>
      </w:r>
      <w:r w:rsidR="00933C60" w:rsidRPr="00C406FF">
        <w:rPr>
          <w:rStyle w:val="Appelnotedebasdep"/>
        </w:rPr>
        <w:footnoteReference w:id="449"/>
      </w:r>
      <w:r w:rsidR="00E65435">
        <w:rPr>
          <w:rFonts w:eastAsia="Arial Unicode MS"/>
          <w:bCs/>
          <w:lang w:eastAsia="fr-FR" w:bidi="he-IL"/>
        </w:rPr>
        <w:t xml:space="preserve">, </w:t>
      </w:r>
      <w:r w:rsidRPr="00C8701B">
        <w:rPr>
          <w:rFonts w:eastAsia="Arial Unicode MS"/>
          <w:bCs/>
          <w:lang w:eastAsia="fr-FR" w:bidi="he-IL"/>
        </w:rPr>
        <w:t>indépendamment du livre sur les évangiles dont il a été question plus haut</w:t>
      </w:r>
      <w:r w:rsidR="00933C60" w:rsidRPr="00C406FF">
        <w:rPr>
          <w:rStyle w:val="Appelnotedebasdep"/>
        </w:rPr>
        <w:footnoteReference w:id="450"/>
      </w:r>
      <w:r w:rsidRPr="00C8701B">
        <w:rPr>
          <w:rFonts w:eastAsia="Arial Unicode MS"/>
          <w:bCs/>
          <w:lang w:eastAsia="fr-FR" w:bidi="he-IL"/>
        </w:rPr>
        <w:t>. Naissance tout humaine de son héros</w:t>
      </w:r>
      <w:r w:rsidR="00E65435">
        <w:rPr>
          <w:rFonts w:eastAsia="Arial Unicode MS"/>
          <w:bCs/>
          <w:lang w:eastAsia="fr-FR" w:bidi="he-IL"/>
        </w:rPr>
        <w:t xml:space="preserve">, </w:t>
      </w:r>
      <w:r w:rsidRPr="00C8701B">
        <w:rPr>
          <w:rFonts w:eastAsia="Arial Unicode MS"/>
          <w:bCs/>
          <w:lang w:eastAsia="fr-FR" w:bidi="he-IL"/>
        </w:rPr>
        <w:t>et</w:t>
      </w:r>
      <w:r w:rsidR="00E65435">
        <w:rPr>
          <w:rFonts w:eastAsia="Arial Unicode MS"/>
          <w:bCs/>
          <w:lang w:eastAsia="fr-FR" w:bidi="he-IL"/>
        </w:rPr>
        <w:t xml:space="preserve">, </w:t>
      </w:r>
      <w:r w:rsidRPr="00C8701B">
        <w:rPr>
          <w:rFonts w:eastAsia="Arial Unicode MS"/>
          <w:bCs/>
          <w:lang w:eastAsia="fr-FR" w:bidi="he-IL"/>
        </w:rPr>
        <w:t>néanmoins</w:t>
      </w:r>
      <w:r w:rsidR="00E65435">
        <w:rPr>
          <w:rFonts w:eastAsia="Arial Unicode MS"/>
          <w:bCs/>
          <w:lang w:eastAsia="fr-FR" w:bidi="he-IL"/>
        </w:rPr>
        <w:t xml:space="preserve">, </w:t>
      </w:r>
      <w:r w:rsidRPr="00C8701B">
        <w:rPr>
          <w:rFonts w:eastAsia="Arial Unicode MS"/>
          <w:bCs/>
          <w:lang w:eastAsia="fr-FR" w:bidi="he-IL"/>
        </w:rPr>
        <w:t>la résurrection jusqu</w:t>
      </w:r>
      <w:r w:rsidR="00557DE0">
        <w:rPr>
          <w:rFonts w:eastAsia="Arial Unicode MS"/>
          <w:bCs/>
          <w:lang w:eastAsia="fr-FR" w:bidi="he-IL"/>
        </w:rPr>
        <w:t>’</w:t>
      </w:r>
      <w:r w:rsidRPr="00C8701B">
        <w:rPr>
          <w:rFonts w:eastAsia="Arial Unicode MS"/>
          <w:bCs/>
          <w:lang w:eastAsia="fr-FR" w:bidi="he-IL"/>
        </w:rPr>
        <w:t>à un certain point</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réalité du miracle de Cana</w:t>
      </w:r>
      <w:r w:rsidR="00E65435">
        <w:rPr>
          <w:rFonts w:eastAsia="Arial Unicode MS"/>
          <w:bCs/>
          <w:lang w:eastAsia="fr-FR" w:bidi="he-IL"/>
        </w:rPr>
        <w:t xml:space="preserve">, </w:t>
      </w:r>
      <w:r w:rsidRPr="00C8701B">
        <w:rPr>
          <w:rFonts w:eastAsia="Arial Unicode MS"/>
          <w:bCs/>
          <w:lang w:eastAsia="fr-FR" w:bidi="he-IL"/>
        </w:rPr>
        <w:t>de plusieurs des guérisons évangéliques</w:t>
      </w:r>
      <w:r w:rsidR="00E65435">
        <w:rPr>
          <w:rFonts w:eastAsia="Arial Unicode MS"/>
          <w:bCs/>
          <w:lang w:eastAsia="fr-FR" w:bidi="he-IL"/>
        </w:rPr>
        <w:t xml:space="preserve">, </w:t>
      </w:r>
      <w:r w:rsidRPr="00C8701B">
        <w:rPr>
          <w:rFonts w:eastAsia="Arial Unicode MS"/>
          <w:bCs/>
          <w:lang w:eastAsia="fr-FR" w:bidi="he-IL"/>
        </w:rPr>
        <w:t>etc.</w:t>
      </w:r>
      <w:r w:rsidR="00C2602D" w:rsidRPr="00C8701B">
        <w:rPr>
          <w:rFonts w:eastAsia="Arial Unicode MS"/>
          <w:bCs/>
          <w:lang w:eastAsia="fr-FR" w:bidi="he-IL"/>
        </w:rPr>
        <w:t> :</w:t>
      </w:r>
      <w:r w:rsidRPr="00C8701B">
        <w:rPr>
          <w:rFonts w:eastAsia="Arial Unicode MS"/>
          <w:bCs/>
          <w:lang w:eastAsia="fr-FR" w:bidi="he-IL"/>
        </w:rPr>
        <w:t xml:space="preserve"> on le voit</w:t>
      </w:r>
      <w:r w:rsidR="00E65435">
        <w:rPr>
          <w:rFonts w:eastAsia="Arial Unicode MS"/>
          <w:bCs/>
          <w:lang w:eastAsia="fr-FR" w:bidi="he-IL"/>
        </w:rPr>
        <w:t xml:space="preserve">, </w:t>
      </w:r>
      <w:r w:rsidRPr="00C8701B">
        <w:rPr>
          <w:rFonts w:eastAsia="Arial Unicode MS"/>
          <w:bCs/>
          <w:lang w:eastAsia="fr-FR" w:bidi="he-IL"/>
        </w:rPr>
        <w:t>singulier mélange du divin et de l</w:t>
      </w:r>
      <w:r w:rsidR="00557DE0">
        <w:rPr>
          <w:rFonts w:eastAsia="Arial Unicode MS"/>
          <w:bCs/>
          <w:lang w:eastAsia="fr-FR" w:bidi="he-IL"/>
        </w:rPr>
        <w:t>’</w:t>
      </w:r>
      <w:r w:rsidRPr="00C8701B">
        <w:rPr>
          <w:rFonts w:eastAsia="Arial Unicode MS"/>
          <w:bCs/>
          <w:lang w:eastAsia="fr-FR" w:bidi="he-IL"/>
        </w:rPr>
        <w:t xml:space="preserve">humain dans N.-S. </w:t>
      </w:r>
      <w:r w:rsidR="00234B88">
        <w:rPr>
          <w:rFonts w:eastAsia="Arial Unicode MS"/>
          <w:bCs/>
          <w:lang w:eastAsia="fr-FR" w:bidi="he-IL"/>
        </w:rPr>
        <w:t>Jésus-Christ</w:t>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 xml:space="preserve">M. E. Renan a été jugé depuis longtemps comme critique. Simple </w:t>
      </w:r>
      <w:r w:rsidR="00C2602D" w:rsidRPr="00C8701B">
        <w:rPr>
          <w:rFonts w:eastAsia="Arial Unicode MS"/>
          <w:bCs/>
          <w:lang w:eastAsia="fr-FR" w:bidi="he-IL"/>
        </w:rPr>
        <w:t>« </w:t>
      </w:r>
      <w:r w:rsidRPr="00C8701B">
        <w:rPr>
          <w:rFonts w:eastAsia="Arial Unicode MS"/>
          <w:bCs/>
          <w:lang w:eastAsia="fr-FR" w:bidi="he-IL"/>
        </w:rPr>
        <w:t>écho</w:t>
      </w:r>
      <w:r w:rsidR="00C2602D" w:rsidRPr="00C8701B">
        <w:rPr>
          <w:rFonts w:eastAsia="Arial Unicode MS"/>
          <w:bCs/>
          <w:lang w:eastAsia="fr-FR" w:bidi="he-IL"/>
        </w:rPr>
        <w:t> »</w:t>
      </w:r>
      <w:r w:rsidRPr="00C8701B">
        <w:rPr>
          <w:rFonts w:eastAsia="Arial Unicode MS"/>
          <w:bCs/>
          <w:lang w:eastAsia="fr-FR" w:bidi="he-IL"/>
        </w:rPr>
        <w:t xml:space="preserve"> de la </w:t>
      </w:r>
      <w:r w:rsidR="00C2602D" w:rsidRPr="00C8701B">
        <w:rPr>
          <w:rFonts w:eastAsia="Arial Unicode MS"/>
          <w:bCs/>
          <w:lang w:eastAsia="fr-FR" w:bidi="he-IL"/>
        </w:rPr>
        <w:t>« </w:t>
      </w:r>
      <w:r w:rsidR="006914B9">
        <w:rPr>
          <w:rFonts w:eastAsia="Arial Unicode MS"/>
          <w:bCs/>
          <w:lang w:eastAsia="fr-FR" w:bidi="he-IL"/>
        </w:rPr>
        <w:t>voix »</w:t>
      </w:r>
      <w:r w:rsidRPr="00C8701B">
        <w:rPr>
          <w:rFonts w:eastAsia="Arial Unicode MS"/>
          <w:bCs/>
          <w:lang w:eastAsia="fr-FR" w:bidi="he-IL"/>
        </w:rPr>
        <w:t xml:space="preserve"> allemande</w:t>
      </w:r>
      <w:r w:rsidR="00933C60" w:rsidRPr="00C406FF">
        <w:rPr>
          <w:rStyle w:val="Appelnotedebasdep"/>
        </w:rPr>
        <w:footnoteReference w:id="451"/>
      </w:r>
      <w:r w:rsidR="00E65435">
        <w:rPr>
          <w:rFonts w:eastAsia="Arial Unicode MS"/>
          <w:bCs/>
          <w:lang w:eastAsia="fr-FR" w:bidi="he-IL"/>
        </w:rPr>
        <w:t xml:space="preserve">, </w:t>
      </w:r>
      <w:r w:rsidRPr="00C8701B">
        <w:rPr>
          <w:rFonts w:eastAsia="Arial Unicode MS"/>
          <w:bCs/>
          <w:lang w:eastAsia="fr-FR" w:bidi="he-IL"/>
        </w:rPr>
        <w:t>et cependant maltraité par ses bons amis d</w:t>
      </w:r>
      <w:r w:rsidR="00557DE0">
        <w:rPr>
          <w:rFonts w:eastAsia="Arial Unicode MS"/>
          <w:bCs/>
          <w:lang w:eastAsia="fr-FR" w:bidi="he-IL"/>
        </w:rPr>
        <w:t>’</w:t>
      </w:r>
      <w:r w:rsidRPr="00C8701B">
        <w:rPr>
          <w:rFonts w:eastAsia="Arial Unicode MS"/>
          <w:bCs/>
          <w:lang w:eastAsia="fr-FR" w:bidi="he-IL"/>
        </w:rPr>
        <w:t>Allemagne</w:t>
      </w:r>
      <w:r w:rsidR="00E65435">
        <w:rPr>
          <w:rFonts w:eastAsia="Arial Unicode MS"/>
          <w:bCs/>
          <w:lang w:eastAsia="fr-FR" w:bidi="he-IL"/>
        </w:rPr>
        <w:t xml:space="preserve">, </w:t>
      </w:r>
      <w:r w:rsidRPr="00C8701B">
        <w:rPr>
          <w:rFonts w:eastAsia="Arial Unicode MS"/>
          <w:bCs/>
          <w:lang w:eastAsia="fr-FR" w:bidi="he-IL"/>
        </w:rPr>
        <w:t xml:space="preserve">aux inventions desquels il avait </w:t>
      </w:r>
      <w:r w:rsidR="00C2602D" w:rsidRPr="00C8701B">
        <w:rPr>
          <w:rFonts w:eastAsia="Arial Unicode MS"/>
          <w:bCs/>
          <w:lang w:eastAsia="fr-FR" w:bidi="he-IL"/>
        </w:rPr>
        <w:t>« </w:t>
      </w:r>
      <w:r w:rsidRPr="00C8701B">
        <w:rPr>
          <w:rFonts w:eastAsia="Arial Unicode MS"/>
          <w:bCs/>
          <w:lang w:eastAsia="fr-FR" w:bidi="he-IL"/>
        </w:rPr>
        <w:t>donné quelque lustre</w:t>
      </w:r>
      <w:r w:rsidR="00C2602D" w:rsidRPr="00C8701B">
        <w:rPr>
          <w:rFonts w:eastAsia="Arial Unicode MS"/>
          <w:bCs/>
          <w:lang w:eastAsia="fr-FR" w:bidi="he-IL"/>
        </w:rPr>
        <w:t> »</w:t>
      </w:r>
      <w:r w:rsidR="00933C60" w:rsidRPr="00C406FF">
        <w:rPr>
          <w:rStyle w:val="Appelnotedebasdep"/>
        </w:rPr>
        <w:footnoteReference w:id="452"/>
      </w:r>
      <w:r w:rsidR="00E65435">
        <w:rPr>
          <w:rFonts w:eastAsia="Arial Unicode MS"/>
          <w:bCs/>
          <w:lang w:eastAsia="fr-FR" w:bidi="he-IL"/>
        </w:rPr>
        <w:t xml:space="preserve">, </w:t>
      </w:r>
      <w:r w:rsidRPr="00C8701B">
        <w:rPr>
          <w:rFonts w:eastAsia="Arial Unicode MS"/>
          <w:bCs/>
          <w:lang w:eastAsia="fr-FR" w:bidi="he-IL"/>
        </w:rPr>
        <w:t>grâce à la souplesse</w:t>
      </w:r>
      <w:r w:rsidR="00C87A2B">
        <w:rPr>
          <w:rFonts w:eastAsia="Arial Unicode MS"/>
          <w:bCs/>
          <w:lang w:eastAsia="fr-FR" w:bidi="he-IL"/>
        </w:rPr>
        <w:t>,</w:t>
      </w:r>
      <w:r w:rsidR="00E65435">
        <w:rPr>
          <w:rFonts w:eastAsia="Arial Unicode MS"/>
          <w:bCs/>
          <w:lang w:eastAsia="fr-FR" w:bidi="he-IL"/>
        </w:rPr>
        <w:t xml:space="preserve"> </w:t>
      </w:r>
      <w:r w:rsidRPr="00C8701B">
        <w:rPr>
          <w:rFonts w:eastAsia="Arial Unicode MS"/>
          <w:bCs/>
          <w:lang w:eastAsia="fr-FR" w:bidi="he-IL"/>
        </w:rPr>
        <w:t>et au coloris de son langage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traité par eux de</w:t>
      </w:r>
      <w:r w:rsidR="00CE11E9">
        <w:rPr>
          <w:rFonts w:eastAsia="Arial Unicode MS"/>
          <w:bCs/>
          <w:lang w:eastAsia="fr-FR" w:bidi="he-IL"/>
        </w:rPr>
        <w:t xml:space="preserve"> </w:t>
      </w:r>
      <w:r w:rsidR="00F12048" w:rsidRPr="00C8701B">
        <w:rPr>
          <w:rFonts w:eastAsia="Arial Unicode MS"/>
          <w:bCs/>
          <w:lang w:eastAsia="fr-FR" w:bidi="he-IL"/>
        </w:rPr>
        <w:t>« </w:t>
      </w:r>
      <w:r w:rsidRPr="00C8701B">
        <w:rPr>
          <w:rFonts w:eastAsia="Arial Unicode MS"/>
          <w:bCs/>
          <w:lang w:eastAsia="fr-FR" w:bidi="he-IL"/>
        </w:rPr>
        <w:t>dilettante sentimental</w:t>
      </w:r>
      <w:r w:rsidR="00C2602D" w:rsidRPr="00C8701B">
        <w:rPr>
          <w:rFonts w:eastAsia="Arial Unicode MS"/>
          <w:bCs/>
          <w:lang w:eastAsia="fr-FR" w:bidi="he-IL"/>
        </w:rPr>
        <w:t> »</w:t>
      </w:r>
      <w:r w:rsidR="00933C60" w:rsidRPr="00C406FF">
        <w:rPr>
          <w:rStyle w:val="Appelnotedebasdep"/>
        </w:rPr>
        <w:footnoteReference w:id="453"/>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à la remorque de tous et en contradiction avec tous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poussant la mobilité et la </w:t>
      </w:r>
      <w:r w:rsidR="006914B9">
        <w:rPr>
          <w:rFonts w:eastAsia="Arial Unicode MS"/>
          <w:bCs/>
          <w:lang w:eastAsia="fr-FR" w:bidi="he-IL"/>
        </w:rPr>
        <w:t>versatilité au point de ne pouvo</w:t>
      </w:r>
      <w:r w:rsidRPr="00C8701B">
        <w:rPr>
          <w:rFonts w:eastAsia="Arial Unicode MS"/>
          <w:bCs/>
          <w:lang w:eastAsia="fr-FR" w:bidi="he-IL"/>
        </w:rPr>
        <w:t>ir se mettre d</w:t>
      </w:r>
      <w:r w:rsidR="00557DE0">
        <w:rPr>
          <w:rFonts w:eastAsia="Arial Unicode MS"/>
          <w:bCs/>
          <w:lang w:eastAsia="fr-FR" w:bidi="he-IL"/>
        </w:rPr>
        <w:t>’</w:t>
      </w:r>
      <w:r w:rsidRPr="00C8701B">
        <w:rPr>
          <w:rFonts w:eastAsia="Arial Unicode MS"/>
          <w:bCs/>
          <w:lang w:eastAsia="fr-FR" w:bidi="he-IL"/>
        </w:rPr>
        <w:t>accord avec lui-même.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Les rationalistes l</w:t>
      </w:r>
      <w:r w:rsidR="00557DE0">
        <w:rPr>
          <w:rFonts w:eastAsia="Arial Unicode MS"/>
          <w:bCs/>
          <w:lang w:eastAsia="fr-FR" w:bidi="he-IL"/>
        </w:rPr>
        <w:t>’</w:t>
      </w:r>
      <w:r w:rsidRPr="00C8701B">
        <w:rPr>
          <w:rFonts w:eastAsia="Arial Unicode MS"/>
          <w:bCs/>
          <w:lang w:eastAsia="fr-FR" w:bidi="he-IL"/>
        </w:rPr>
        <w:t>ont jugé avec plus de sévérité peut-être que les catholiques.</w:t>
      </w:r>
      <w:r w:rsidR="00CE11E9">
        <w:rPr>
          <w:rFonts w:eastAsia="Arial Unicode MS"/>
          <w:bCs/>
          <w:lang w:eastAsia="fr-FR" w:bidi="he-IL"/>
        </w:rPr>
        <w:t xml:space="preserve"> </w:t>
      </w:r>
      <w:r w:rsidR="00F12048" w:rsidRPr="00C8701B">
        <w:rPr>
          <w:rFonts w:eastAsia="Arial Unicode MS"/>
          <w:bCs/>
          <w:lang w:eastAsia="fr-FR" w:bidi="he-IL"/>
        </w:rPr>
        <w:t>«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ouvrage</w:t>
      </w:r>
      <w:r w:rsidR="00933C60" w:rsidRPr="00C406FF">
        <w:rPr>
          <w:rStyle w:val="Appelnotedebasdep"/>
        </w:rPr>
        <w:footnoteReference w:id="454"/>
      </w:r>
      <w:r w:rsidR="00E65435">
        <w:rPr>
          <w:rFonts w:eastAsia="Arial Unicode MS"/>
          <w:bCs/>
          <w:lang w:eastAsia="fr-FR" w:bidi="he-IL"/>
        </w:rPr>
        <w:t xml:space="preserve">, </w:t>
      </w:r>
      <w:r w:rsidRPr="00C8701B">
        <w:rPr>
          <w:rFonts w:eastAsia="Arial Unicode MS"/>
          <w:bCs/>
          <w:lang w:eastAsia="fr-FR" w:bidi="he-IL"/>
        </w:rPr>
        <w:t>tel qu</w:t>
      </w:r>
      <w:r w:rsidR="00557DE0">
        <w:rPr>
          <w:rFonts w:eastAsia="Arial Unicode MS"/>
          <w:bCs/>
          <w:lang w:eastAsia="fr-FR" w:bidi="he-IL"/>
        </w:rPr>
        <w:t>’</w:t>
      </w:r>
      <w:r w:rsidRPr="00C8701B">
        <w:rPr>
          <w:rFonts w:eastAsia="Arial Unicode MS"/>
          <w:bCs/>
          <w:lang w:eastAsia="fr-FR" w:bidi="he-IL"/>
        </w:rPr>
        <w:t>il est composé</w:t>
      </w:r>
      <w:r w:rsidR="00E65435">
        <w:rPr>
          <w:rFonts w:eastAsia="Arial Unicode MS"/>
          <w:bCs/>
          <w:lang w:eastAsia="fr-FR" w:bidi="he-IL"/>
        </w:rPr>
        <w:t xml:space="preserve">, </w:t>
      </w:r>
      <w:r w:rsidRPr="00C8701B">
        <w:rPr>
          <w:rFonts w:eastAsia="Arial Unicode MS"/>
          <w:bCs/>
          <w:lang w:eastAsia="fr-FR" w:bidi="he-IL"/>
        </w:rPr>
        <w:t>fait peu d</w:t>
      </w:r>
      <w:r w:rsidR="00557DE0">
        <w:rPr>
          <w:rFonts w:eastAsia="Arial Unicode MS"/>
          <w:bCs/>
          <w:lang w:eastAsia="fr-FR" w:bidi="he-IL"/>
        </w:rPr>
        <w:t>’</w:t>
      </w:r>
      <w:r w:rsidRPr="00C8701B">
        <w:rPr>
          <w:rFonts w:eastAsia="Arial Unicode MS"/>
          <w:bCs/>
          <w:lang w:eastAsia="fr-FR" w:bidi="he-IL"/>
        </w:rPr>
        <w:t>honneur au pays qui l</w:t>
      </w:r>
      <w:r w:rsidR="00557DE0">
        <w:rPr>
          <w:rFonts w:eastAsia="Arial Unicode MS"/>
          <w:bCs/>
          <w:lang w:eastAsia="fr-FR" w:bidi="he-IL"/>
        </w:rPr>
        <w:t>’</w:t>
      </w:r>
      <w:r w:rsidRPr="00C8701B">
        <w:rPr>
          <w:rFonts w:eastAsia="Arial Unicode MS"/>
          <w:bCs/>
          <w:lang w:eastAsia="fr-FR" w:bidi="he-IL"/>
        </w:rPr>
        <w:t>a produit</w:t>
      </w:r>
      <w:r w:rsidR="00E65435">
        <w:rPr>
          <w:rFonts w:eastAsia="Arial Unicode MS"/>
          <w:bCs/>
          <w:lang w:eastAsia="fr-FR" w:bidi="he-IL"/>
        </w:rPr>
        <w:t xml:space="preserve">, </w:t>
      </w:r>
      <w:r w:rsidRPr="00C8701B">
        <w:rPr>
          <w:rFonts w:eastAsia="Arial Unicode MS"/>
          <w:bCs/>
          <w:lang w:eastAsia="fr-FR" w:bidi="he-IL"/>
        </w:rPr>
        <w:t>et il ne pouvait guère sortir autre chose du milieu où il a été conçu</w:t>
      </w:r>
      <w:r w:rsidR="00C2602D" w:rsidRPr="00C8701B">
        <w:rPr>
          <w:rFonts w:eastAsia="Arial Unicode MS"/>
          <w:bCs/>
          <w:lang w:eastAsia="fr-FR" w:bidi="he-IL"/>
        </w:rPr>
        <w:t> »</w:t>
      </w:r>
      <w:r w:rsidRPr="00C8701B">
        <w:rPr>
          <w:rFonts w:eastAsia="Arial Unicode MS"/>
          <w:bCs/>
          <w:lang w:eastAsia="fr-FR" w:bidi="he-IL"/>
        </w:rPr>
        <w:t>. Ces paroles d</w:t>
      </w:r>
      <w:r w:rsidR="00557DE0">
        <w:rPr>
          <w:rFonts w:eastAsia="Arial Unicode MS"/>
          <w:bCs/>
          <w:lang w:eastAsia="fr-FR" w:bidi="he-IL"/>
        </w:rPr>
        <w:t>’</w:t>
      </w:r>
      <w:r w:rsidRPr="00C8701B">
        <w:rPr>
          <w:rFonts w:eastAsia="Arial Unicode MS"/>
          <w:bCs/>
          <w:lang w:eastAsia="fr-FR" w:bidi="he-IL"/>
        </w:rPr>
        <w:t>Ewald sont peu flatteuses pour la science française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elles sont moins flatteuses encore pour M. Renan. Keim frappe plus fort et moins délicatement</w:t>
      </w:r>
      <w:r w:rsidR="00E65435">
        <w:rPr>
          <w:rFonts w:eastAsia="Arial Unicode MS"/>
          <w:bCs/>
          <w:lang w:eastAsia="fr-FR" w:bidi="he-IL"/>
        </w:rPr>
        <w:t xml:space="preserve">, </w:t>
      </w:r>
      <w:r w:rsidRPr="00C8701B">
        <w:rPr>
          <w:rFonts w:eastAsia="Arial Unicode MS"/>
          <w:bCs/>
          <w:lang w:eastAsia="fr-FR" w:bidi="he-IL"/>
        </w:rPr>
        <w:t>s</w:t>
      </w:r>
      <w:r w:rsidR="00557DE0">
        <w:rPr>
          <w:rFonts w:eastAsia="Arial Unicode MS"/>
          <w:bCs/>
          <w:lang w:eastAsia="fr-FR" w:bidi="he-IL"/>
        </w:rPr>
        <w:t>’</w:t>
      </w:r>
      <w:r w:rsidRPr="00C8701B">
        <w:rPr>
          <w:rFonts w:eastAsia="Arial Unicode MS"/>
          <w:bCs/>
          <w:lang w:eastAsia="fr-FR" w:bidi="he-IL"/>
        </w:rPr>
        <w:t>il est possible</w:t>
      </w:r>
      <w:r w:rsidR="00C2602D" w:rsidRPr="00C8701B">
        <w:rPr>
          <w:rFonts w:eastAsia="Arial Unicode MS"/>
          <w:bCs/>
          <w:lang w:eastAsia="fr-FR" w:bidi="he-IL"/>
        </w:rPr>
        <w:t> :</w:t>
      </w:r>
      <w:r w:rsidRPr="00C8701B">
        <w:rPr>
          <w:rFonts w:eastAsia="Arial Unicode MS"/>
          <w:bCs/>
          <w:lang w:eastAsia="fr-FR" w:bidi="he-IL"/>
        </w:rPr>
        <w:t xml:space="preserve"> </w:t>
      </w:r>
      <w:r w:rsidR="00C2602D" w:rsidRPr="00C8701B">
        <w:rPr>
          <w:rFonts w:eastAsia="Arial Unicode MS"/>
          <w:bCs/>
          <w:lang w:eastAsia="fr-FR" w:bidi="he-IL"/>
        </w:rPr>
        <w:t>« </w:t>
      </w:r>
      <w:r w:rsidRPr="00C8701B">
        <w:rPr>
          <w:rFonts w:eastAsia="Arial Unicode MS"/>
          <w:bCs/>
          <w:lang w:eastAsia="fr-FR" w:bidi="he-IL"/>
        </w:rPr>
        <w:t>Le livre de M. Renan est avant tout un livre parisien</w:t>
      </w:r>
      <w:r w:rsidR="00E65435">
        <w:rPr>
          <w:rFonts w:eastAsia="Arial Unicode MS"/>
          <w:bCs/>
          <w:lang w:eastAsia="fr-FR" w:bidi="he-IL"/>
        </w:rPr>
        <w:t xml:space="preserve">, </w:t>
      </w:r>
      <w:r w:rsidRPr="00C8701B">
        <w:rPr>
          <w:rFonts w:eastAsia="Arial Unicode MS"/>
          <w:bCs/>
          <w:lang w:eastAsia="fr-FR" w:bidi="he-IL"/>
        </w:rPr>
        <w:t>un produit superficiel</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il est nul pour le savant</w:t>
      </w:r>
      <w:r w:rsidR="00E65435">
        <w:rPr>
          <w:rFonts w:eastAsia="Arial Unicode MS"/>
          <w:bCs/>
          <w:lang w:eastAsia="fr-FR" w:bidi="he-IL"/>
        </w:rPr>
        <w:t xml:space="preserve">, </w:t>
      </w:r>
      <w:r w:rsidRPr="00C8701B">
        <w:rPr>
          <w:rFonts w:eastAsia="Arial Unicode MS"/>
          <w:bCs/>
          <w:lang w:eastAsia="fr-FR" w:bidi="he-IL"/>
        </w:rPr>
        <w:t>qui ne saurait rien y trouver à son usage</w:t>
      </w:r>
      <w:r w:rsidR="00C2602D" w:rsidRPr="00C8701B">
        <w:rPr>
          <w:rFonts w:eastAsia="Arial Unicode MS"/>
          <w:bCs/>
          <w:lang w:eastAsia="fr-FR" w:bidi="he-IL"/>
        </w:rPr>
        <w:t> »</w:t>
      </w:r>
      <w:r w:rsidR="00933C60" w:rsidRPr="00C406FF">
        <w:rPr>
          <w:rStyle w:val="Appelnotedebasdep"/>
        </w:rPr>
        <w:footnoteReference w:id="455"/>
      </w:r>
      <w:r w:rsidRPr="00C8701B">
        <w:rPr>
          <w:rFonts w:eastAsia="Arial Unicode MS"/>
          <w:bCs/>
          <w:lang w:eastAsia="fr-FR" w:bidi="he-IL"/>
        </w:rPr>
        <w:t>. Sans doute</w:t>
      </w:r>
      <w:r w:rsidR="00E65435">
        <w:rPr>
          <w:rFonts w:eastAsia="Arial Unicode MS"/>
          <w:bCs/>
          <w:lang w:eastAsia="fr-FR" w:bidi="he-IL"/>
        </w:rPr>
        <w:t xml:space="preserve">, </w:t>
      </w:r>
      <w:r w:rsidRPr="00C8701B">
        <w:rPr>
          <w:rFonts w:eastAsia="Arial Unicode MS"/>
          <w:bCs/>
          <w:lang w:eastAsia="fr-FR" w:bidi="he-IL"/>
        </w:rPr>
        <w:t>un grand scandale a été produit</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mais il y a eu aussi</w:t>
      </w:r>
      <w:r w:rsidR="00E65435">
        <w:rPr>
          <w:rFonts w:eastAsia="Arial Unicode MS"/>
          <w:bCs/>
          <w:lang w:eastAsia="fr-FR" w:bidi="he-IL"/>
        </w:rPr>
        <w:t xml:space="preserve">, </w:t>
      </w:r>
      <w:r w:rsidR="006914B9">
        <w:rPr>
          <w:rFonts w:eastAsia="Arial Unicode MS"/>
          <w:bCs/>
          <w:lang w:eastAsia="fr-FR" w:bidi="he-IL"/>
        </w:rPr>
        <w:t>en raison même de l</w:t>
      </w:r>
      <w:r w:rsidR="00557DE0">
        <w:rPr>
          <w:rFonts w:eastAsia="Arial Unicode MS"/>
          <w:bCs/>
          <w:lang w:eastAsia="fr-FR" w:bidi="he-IL"/>
        </w:rPr>
        <w:t>’</w:t>
      </w:r>
      <w:r w:rsidRPr="00C8701B">
        <w:rPr>
          <w:rFonts w:eastAsia="Arial Unicode MS"/>
          <w:bCs/>
          <w:lang w:eastAsia="fr-FR" w:bidi="he-IL"/>
        </w:rPr>
        <w:t>énormité du scandale</w:t>
      </w:r>
      <w:r w:rsidR="00E65435">
        <w:rPr>
          <w:rFonts w:eastAsia="Arial Unicode MS"/>
          <w:bCs/>
          <w:lang w:eastAsia="fr-FR" w:bidi="he-IL"/>
        </w:rPr>
        <w:t xml:space="preserve">, </w:t>
      </w:r>
      <w:r w:rsidRPr="00C8701B">
        <w:rPr>
          <w:rFonts w:eastAsia="Arial Unicode MS"/>
          <w:bCs/>
          <w:lang w:eastAsia="fr-FR" w:bidi="he-IL"/>
        </w:rPr>
        <w:t>un heureux mouvement de réaction</w:t>
      </w:r>
      <w:r w:rsidR="00E65435">
        <w:rPr>
          <w:rFonts w:eastAsia="Arial Unicode MS"/>
          <w:bCs/>
          <w:lang w:eastAsia="fr-FR" w:bidi="he-IL"/>
        </w:rPr>
        <w:t xml:space="preserve">, </w:t>
      </w:r>
      <w:r w:rsidRPr="00C8701B">
        <w:rPr>
          <w:rFonts w:eastAsia="Arial Unicode MS"/>
          <w:bCs/>
          <w:lang w:eastAsia="fr-FR" w:bidi="he-IL"/>
        </w:rPr>
        <w:t>qui a donné naissance</w:t>
      </w:r>
      <w:r w:rsidR="00E65435">
        <w:rPr>
          <w:rFonts w:eastAsia="Arial Unicode MS"/>
          <w:bCs/>
          <w:lang w:eastAsia="fr-FR" w:bidi="he-IL"/>
        </w:rPr>
        <w:t xml:space="preserve">, </w:t>
      </w:r>
      <w:r w:rsidRPr="00C8701B">
        <w:rPr>
          <w:rFonts w:eastAsia="Arial Unicode MS"/>
          <w:bCs/>
          <w:lang w:eastAsia="fr-FR" w:bidi="he-IL"/>
        </w:rPr>
        <w:t>non seulement à de nombreuses brochures</w:t>
      </w:r>
      <w:r w:rsidR="00E65435">
        <w:rPr>
          <w:rFonts w:eastAsia="Arial Unicode MS"/>
          <w:bCs/>
          <w:lang w:eastAsia="fr-FR" w:bidi="he-IL"/>
        </w:rPr>
        <w:t xml:space="preserve">, </w:t>
      </w:r>
      <w:r w:rsidRPr="00C8701B">
        <w:rPr>
          <w:rFonts w:eastAsia="Arial Unicode MS"/>
          <w:bCs/>
          <w:lang w:eastAsia="fr-FR" w:bidi="he-IL"/>
        </w:rPr>
        <w:t xml:space="preserve">auxquelles on a dû de voir </w:t>
      </w:r>
      <w:r w:rsidR="006914B9">
        <w:rPr>
          <w:rFonts w:eastAsia="Arial Unicode MS"/>
          <w:bCs/>
          <w:lang w:eastAsia="fr-FR" w:bidi="he-IL"/>
        </w:rPr>
        <w:t>{83</w:t>
      </w:r>
      <w:bookmarkStart w:id="132" w:name="pag083"/>
      <w:bookmarkEnd w:id="132"/>
      <w:r w:rsidR="006914B9">
        <w:rPr>
          <w:rFonts w:eastAsia="Arial Unicode MS"/>
          <w:bCs/>
          <w:lang w:eastAsia="fr-FR" w:bidi="he-IL"/>
        </w:rPr>
        <w:t xml:space="preserve">} </w:t>
      </w:r>
      <w:r w:rsidRPr="00C8701B">
        <w:rPr>
          <w:rFonts w:eastAsia="Arial Unicode MS"/>
          <w:bCs/>
          <w:lang w:eastAsia="fr-FR" w:bidi="he-IL"/>
        </w:rPr>
        <w:t>immédiatement la faiblesse de cette</w:t>
      </w:r>
      <w:r w:rsidRPr="00DC4586">
        <w:rPr>
          <w:rStyle w:val="italicus"/>
        </w:rPr>
        <w:t xml:space="preserve"> Vie</w:t>
      </w:r>
      <w:r w:rsidRPr="00C8701B">
        <w:rPr>
          <w:rFonts w:eastAsia="Arial Unicode MS"/>
          <w:bCs/>
          <w:lang w:eastAsia="fr-FR" w:bidi="he-IL"/>
        </w:rPr>
        <w:t xml:space="preserve"> fantaisiste</w:t>
      </w:r>
      <w:r w:rsidR="00933C60" w:rsidRPr="00C406FF">
        <w:rPr>
          <w:rStyle w:val="Appelnotedebasdep"/>
        </w:rPr>
        <w:footnoteReference w:id="456"/>
      </w:r>
      <w:r w:rsidR="00E65435">
        <w:rPr>
          <w:rFonts w:eastAsia="Arial Unicode MS"/>
          <w:bCs/>
          <w:lang w:eastAsia="fr-FR" w:bidi="he-IL"/>
        </w:rPr>
        <w:t xml:space="preserve">, </w:t>
      </w:r>
      <w:r w:rsidRPr="00C8701B">
        <w:rPr>
          <w:rFonts w:eastAsia="Arial Unicode MS"/>
          <w:bCs/>
          <w:lang w:eastAsia="fr-FR" w:bidi="he-IL"/>
        </w:rPr>
        <w:t>mais à des ouvrages de longue haleine</w:t>
      </w:r>
      <w:r w:rsidR="00E65435">
        <w:rPr>
          <w:rFonts w:eastAsia="Arial Unicode MS"/>
          <w:bCs/>
          <w:lang w:eastAsia="fr-FR" w:bidi="he-IL"/>
        </w:rPr>
        <w:t xml:space="preserve">, </w:t>
      </w:r>
      <w:r w:rsidRPr="00C8701B">
        <w:rPr>
          <w:rFonts w:eastAsia="Arial Unicode MS"/>
          <w:bCs/>
          <w:lang w:eastAsia="fr-FR" w:bidi="he-IL"/>
        </w:rPr>
        <w:t>attrayants et solides tout ensemble</w:t>
      </w:r>
      <w:r w:rsidR="00E65435">
        <w:rPr>
          <w:rFonts w:eastAsia="Arial Unicode MS"/>
          <w:bCs/>
          <w:lang w:eastAsia="fr-FR" w:bidi="he-IL"/>
        </w:rPr>
        <w:t xml:space="preserve">, </w:t>
      </w:r>
      <w:r w:rsidRPr="00C8701B">
        <w:rPr>
          <w:rFonts w:eastAsia="Arial Unicode MS"/>
          <w:bCs/>
          <w:lang w:eastAsia="fr-FR" w:bidi="he-IL"/>
        </w:rPr>
        <w:t xml:space="preserve">qui </w:t>
      </w:r>
      <w:r w:rsidR="006914B9">
        <w:rPr>
          <w:rFonts w:eastAsia="Arial Unicode MS"/>
          <w:bCs/>
          <w:lang w:eastAsia="fr-FR" w:bidi="he-IL"/>
        </w:rPr>
        <w:t>c</w:t>
      </w:r>
      <w:r w:rsidRPr="00C8701B">
        <w:rPr>
          <w:rFonts w:eastAsia="Arial Unicode MS"/>
          <w:bCs/>
          <w:lang w:eastAsia="fr-FR" w:bidi="he-IL"/>
        </w:rPr>
        <w:t>ontribueront longtemps à faire connaître et aimer Notre-Seigneur Jésus-Christ</w:t>
      </w:r>
      <w:r w:rsidR="00E65435">
        <w:rPr>
          <w:rFonts w:eastAsia="Arial Unicode MS"/>
          <w:bCs/>
          <w:lang w:eastAsia="fr-FR" w:bidi="he-IL"/>
        </w:rPr>
        <w:t xml:space="preserve">, </w:t>
      </w:r>
      <w:r w:rsidRPr="00C8701B">
        <w:rPr>
          <w:rFonts w:eastAsia="Arial Unicode MS"/>
          <w:bCs/>
          <w:lang w:eastAsia="fr-FR" w:bidi="he-IL"/>
        </w:rPr>
        <w:t>beaucoup plus que M. Renan n</w:t>
      </w:r>
      <w:r w:rsidR="00557DE0">
        <w:rPr>
          <w:rFonts w:eastAsia="Arial Unicode MS"/>
          <w:bCs/>
          <w:lang w:eastAsia="fr-FR" w:bidi="he-IL"/>
        </w:rPr>
        <w:t>’</w:t>
      </w:r>
      <w:r w:rsidRPr="00C8701B">
        <w:rPr>
          <w:rFonts w:eastAsia="Arial Unicode MS"/>
          <w:bCs/>
          <w:lang w:eastAsia="fr-FR" w:bidi="he-IL"/>
        </w:rPr>
        <w:t>a réussi à le faire blasphémer</w:t>
      </w:r>
      <w:r w:rsidR="00933C60" w:rsidRPr="00C406FF">
        <w:rPr>
          <w:rStyle w:val="Appelnotedebasdep"/>
        </w:rPr>
        <w:footnoteReference w:id="457"/>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Qu</w:t>
      </w:r>
      <w:r w:rsidR="00557DE0">
        <w:rPr>
          <w:rFonts w:eastAsia="Arial Unicode MS"/>
          <w:bCs/>
          <w:lang w:eastAsia="fr-FR" w:bidi="he-IL"/>
        </w:rPr>
        <w:t>’</w:t>
      </w:r>
      <w:r w:rsidRPr="00C8701B">
        <w:rPr>
          <w:rFonts w:eastAsia="Arial Unicode MS"/>
          <w:bCs/>
          <w:lang w:eastAsia="fr-FR" w:bidi="he-IL"/>
        </w:rPr>
        <w:t>il suffise de citer les titres des ouvrages des D</w:t>
      </w:r>
      <w:r w:rsidRPr="00C8701B">
        <w:rPr>
          <w:rFonts w:eastAsia="Arial Unicode MS"/>
          <w:bCs/>
          <w:vertAlign w:val="superscript"/>
          <w:lang w:eastAsia="fr-FR" w:bidi="he-IL"/>
        </w:rPr>
        <w:t>r</w:t>
      </w:r>
      <w:r w:rsidR="006914B9">
        <w:rPr>
          <w:rFonts w:eastAsia="Arial Unicode MS"/>
          <w:bCs/>
          <w:vertAlign w:val="superscript"/>
          <w:lang w:eastAsia="fr-FR" w:bidi="he-IL"/>
        </w:rPr>
        <w:t>s</w:t>
      </w:r>
      <w:r w:rsidRPr="00C8701B">
        <w:rPr>
          <w:rFonts w:eastAsia="Arial Unicode MS"/>
          <w:bCs/>
          <w:lang w:eastAsia="fr-FR" w:bidi="he-IL"/>
        </w:rPr>
        <w:t xml:space="preserve"> Schenkel</w:t>
      </w:r>
      <w:r w:rsidR="00E65435">
        <w:rPr>
          <w:rFonts w:eastAsia="Arial Unicode MS"/>
          <w:bCs/>
          <w:lang w:eastAsia="fr-FR" w:bidi="he-IL"/>
        </w:rPr>
        <w:t xml:space="preserve">, </w:t>
      </w:r>
      <w:r w:rsidRPr="00C8701B">
        <w:rPr>
          <w:rFonts w:eastAsia="Arial Unicode MS"/>
          <w:bCs/>
          <w:lang w:eastAsia="fr-FR" w:bidi="he-IL"/>
        </w:rPr>
        <w:t>Seeley</w:t>
      </w:r>
      <w:r w:rsidR="00E65435">
        <w:rPr>
          <w:rFonts w:eastAsia="Arial Unicode MS"/>
          <w:bCs/>
          <w:lang w:eastAsia="fr-FR" w:bidi="he-IL"/>
        </w:rPr>
        <w:t xml:space="preserve">, </w:t>
      </w:r>
      <w:r w:rsidRPr="00C8701B">
        <w:rPr>
          <w:rFonts w:eastAsia="Arial Unicode MS"/>
          <w:bCs/>
          <w:lang w:eastAsia="fr-FR" w:bidi="he-IL"/>
        </w:rPr>
        <w:t>Keim</w:t>
      </w:r>
      <w:r w:rsidR="00E65435">
        <w:rPr>
          <w:rFonts w:eastAsia="Arial Unicode MS"/>
          <w:bCs/>
          <w:lang w:eastAsia="fr-FR" w:bidi="he-IL"/>
        </w:rPr>
        <w:t xml:space="preserve">, </w:t>
      </w:r>
      <w:r w:rsidRPr="00C8701B">
        <w:rPr>
          <w:rFonts w:eastAsia="Arial Unicode MS"/>
          <w:bCs/>
          <w:lang w:eastAsia="fr-FR" w:bidi="he-IL"/>
        </w:rPr>
        <w:t>dont il faudrait parler trop longuement</w:t>
      </w:r>
      <w:r w:rsidR="00E65435">
        <w:rPr>
          <w:rFonts w:eastAsia="Arial Unicode MS"/>
          <w:bCs/>
          <w:lang w:eastAsia="fr-FR" w:bidi="he-IL"/>
        </w:rPr>
        <w:t xml:space="preserve">, </w:t>
      </w:r>
      <w:r w:rsidRPr="00C8701B">
        <w:rPr>
          <w:rFonts w:eastAsia="Arial Unicode MS"/>
          <w:bCs/>
          <w:lang w:eastAsia="fr-FR" w:bidi="he-IL"/>
        </w:rPr>
        <w:t>si nous voulions analyser ce qu</w:t>
      </w:r>
      <w:r w:rsidR="00557DE0">
        <w:rPr>
          <w:rFonts w:eastAsia="Arial Unicode MS"/>
          <w:bCs/>
          <w:lang w:eastAsia="fr-FR" w:bidi="he-IL"/>
        </w:rPr>
        <w:t>’</w:t>
      </w:r>
      <w:r w:rsidRPr="00C8701B">
        <w:rPr>
          <w:rFonts w:eastAsia="Arial Unicode MS"/>
          <w:bCs/>
          <w:lang w:eastAsia="fr-FR" w:bidi="he-IL"/>
        </w:rPr>
        <w:t>ils contiennent de spécial en fait d</w:t>
      </w:r>
      <w:r w:rsidR="00557DE0">
        <w:rPr>
          <w:rFonts w:eastAsia="Arial Unicode MS"/>
          <w:bCs/>
          <w:lang w:eastAsia="fr-FR" w:bidi="he-IL"/>
        </w:rPr>
        <w:t>’</w:t>
      </w:r>
      <w:r w:rsidRPr="00C8701B">
        <w:rPr>
          <w:rFonts w:eastAsia="Arial Unicode MS"/>
          <w:bCs/>
          <w:lang w:eastAsia="fr-FR" w:bidi="he-IL"/>
        </w:rPr>
        <w:t>erreur</w:t>
      </w:r>
      <w:r w:rsidR="00933C60" w:rsidRPr="00C406FF">
        <w:rPr>
          <w:rStyle w:val="Appelnotedebasdep"/>
        </w:rPr>
        <w:footnoteReference w:id="458"/>
      </w:r>
      <w:r w:rsidR="007D3F5A">
        <w:rPr>
          <w:rFonts w:eastAsia="Arial Unicode MS"/>
          <w:bCs/>
          <w:lang w:eastAsia="fr-FR" w:bidi="he-IL"/>
        </w:rPr>
        <w:t xml:space="preserve">. </w:t>
      </w:r>
      <w:r w:rsidR="007D3F5A" w:rsidRPr="00C8701B">
        <w:rPr>
          <w:rFonts w:eastAsia="Arial Unicode MS"/>
          <w:bCs/>
          <w:lang w:eastAsia="fr-FR" w:bidi="he-IL"/>
        </w:rPr>
        <w:t>A</w:t>
      </w:r>
      <w:r w:rsidRPr="00C8701B">
        <w:rPr>
          <w:rFonts w:eastAsia="Arial Unicode MS"/>
          <w:bCs/>
          <w:lang w:eastAsia="fr-FR" w:bidi="he-IL"/>
        </w:rPr>
        <w:t>u surplus</w:t>
      </w:r>
      <w:r w:rsidR="00E65435">
        <w:rPr>
          <w:rFonts w:eastAsia="Arial Unicode MS"/>
          <w:bCs/>
          <w:lang w:eastAsia="fr-FR" w:bidi="he-IL"/>
        </w:rPr>
        <w:t xml:space="preserve">, </w:t>
      </w:r>
      <w:r w:rsidRPr="00C8701B">
        <w:rPr>
          <w:rFonts w:eastAsia="Arial Unicode MS"/>
          <w:bCs/>
          <w:lang w:eastAsia="fr-FR" w:bidi="he-IL"/>
        </w:rPr>
        <w:t>rien de bien nouveau</w:t>
      </w:r>
      <w:r w:rsidR="00E65435">
        <w:rPr>
          <w:rFonts w:eastAsia="Arial Unicode MS"/>
          <w:bCs/>
          <w:lang w:eastAsia="fr-FR" w:bidi="he-IL"/>
        </w:rPr>
        <w:t xml:space="preserve">, </w:t>
      </w:r>
      <w:r w:rsidRPr="00C8701B">
        <w:rPr>
          <w:rFonts w:eastAsia="Arial Unicode MS"/>
          <w:bCs/>
          <w:lang w:eastAsia="fr-FR" w:bidi="he-IL"/>
        </w:rPr>
        <w:t>rien de caractéristique</w:t>
      </w:r>
      <w:r w:rsidR="00C2602D" w:rsidRPr="00C8701B">
        <w:rPr>
          <w:rFonts w:eastAsia="Arial Unicode MS"/>
          <w:bCs/>
          <w:lang w:eastAsia="fr-FR" w:bidi="he-IL"/>
        </w:rPr>
        <w:t> :</w:t>
      </w:r>
      <w:r w:rsidRPr="00C8701B">
        <w:rPr>
          <w:rFonts w:eastAsia="Arial Unicode MS"/>
          <w:bCs/>
          <w:lang w:eastAsia="fr-FR" w:bidi="he-IL"/>
        </w:rPr>
        <w:t xml:space="preserve"> c</w:t>
      </w:r>
      <w:r w:rsidR="00557DE0">
        <w:rPr>
          <w:rFonts w:eastAsia="Arial Unicode MS"/>
          <w:bCs/>
          <w:lang w:eastAsia="fr-FR" w:bidi="he-IL"/>
        </w:rPr>
        <w:t>’</w:t>
      </w:r>
      <w:r w:rsidRPr="00C8701B">
        <w:rPr>
          <w:rFonts w:eastAsia="Arial Unicode MS"/>
          <w:bCs/>
          <w:lang w:eastAsia="fr-FR" w:bidi="he-IL"/>
        </w:rPr>
        <w:t>est plutôt de l</w:t>
      </w:r>
      <w:r w:rsidR="00557DE0">
        <w:rPr>
          <w:rFonts w:eastAsia="Arial Unicode MS"/>
          <w:bCs/>
          <w:lang w:eastAsia="fr-FR" w:bidi="he-IL"/>
        </w:rPr>
        <w:t>’</w:t>
      </w:r>
      <w:r w:rsidRPr="00C8701B">
        <w:rPr>
          <w:rFonts w:eastAsia="Arial Unicode MS"/>
          <w:bCs/>
          <w:lang w:eastAsia="fr-FR" w:bidi="he-IL"/>
        </w:rPr>
        <w:t>éclectisme</w:t>
      </w:r>
      <w:r w:rsidR="00E65435">
        <w:rPr>
          <w:rFonts w:eastAsia="Arial Unicode MS"/>
          <w:bCs/>
          <w:lang w:eastAsia="fr-FR" w:bidi="he-IL"/>
        </w:rPr>
        <w:t xml:space="preserve">, </w:t>
      </w:r>
      <w:r w:rsidRPr="00C8701B">
        <w:rPr>
          <w:rFonts w:eastAsia="Arial Unicode MS"/>
          <w:bCs/>
          <w:lang w:eastAsia="fr-FR" w:bidi="he-IL"/>
        </w:rPr>
        <w:t>formé d</w:t>
      </w:r>
      <w:r w:rsidR="00557DE0">
        <w:rPr>
          <w:rFonts w:eastAsia="Arial Unicode MS"/>
          <w:bCs/>
          <w:lang w:eastAsia="fr-FR" w:bidi="he-IL"/>
        </w:rPr>
        <w:t>’</w:t>
      </w:r>
      <w:r w:rsidRPr="00C8701B">
        <w:rPr>
          <w:rFonts w:eastAsia="Arial Unicode MS"/>
          <w:bCs/>
          <w:lang w:eastAsia="fr-FR" w:bidi="he-IL"/>
        </w:rPr>
        <w:t>emprunts aux quatre grands systèmes qui ont été décrits plus haut</w:t>
      </w:r>
      <w:r w:rsidR="00C2602D" w:rsidRPr="00C8701B">
        <w:rPr>
          <w:rFonts w:eastAsia="Arial Unicode MS"/>
          <w:bCs/>
          <w:lang w:eastAsia="fr-FR" w:bidi="he-IL"/>
        </w:rPr>
        <w:t> :</w:t>
      </w:r>
      <w:r w:rsidRPr="00C8701B">
        <w:rPr>
          <w:rFonts w:eastAsia="Arial Unicode MS"/>
          <w:bCs/>
          <w:lang w:eastAsia="fr-FR" w:bidi="he-IL"/>
        </w:rPr>
        <w:t xml:space="preserve"> système du grossier blasphème</w:t>
      </w:r>
      <w:r w:rsidR="00E65435">
        <w:rPr>
          <w:rFonts w:eastAsia="Arial Unicode MS"/>
          <w:bCs/>
          <w:lang w:eastAsia="fr-FR" w:bidi="he-IL"/>
        </w:rPr>
        <w:t xml:space="preserve">, </w:t>
      </w:r>
      <w:r w:rsidRPr="00C8701B">
        <w:rPr>
          <w:rFonts w:eastAsia="Arial Unicode MS"/>
          <w:bCs/>
          <w:lang w:eastAsia="fr-FR" w:bidi="he-IL"/>
        </w:rPr>
        <w:t>système de l</w:t>
      </w:r>
      <w:r w:rsidR="00557DE0">
        <w:rPr>
          <w:rFonts w:eastAsia="Arial Unicode MS"/>
          <w:bCs/>
          <w:lang w:eastAsia="fr-FR" w:bidi="he-IL"/>
        </w:rPr>
        <w:t>’</w:t>
      </w:r>
      <w:r w:rsidRPr="00C8701B">
        <w:rPr>
          <w:rFonts w:eastAsia="Arial Unicode MS"/>
          <w:bCs/>
          <w:lang w:eastAsia="fr-FR" w:bidi="he-IL"/>
        </w:rPr>
        <w:t>explication naturelle</w:t>
      </w:r>
      <w:r w:rsidR="00E65435">
        <w:rPr>
          <w:rFonts w:eastAsia="Arial Unicode MS"/>
          <w:bCs/>
          <w:lang w:eastAsia="fr-FR" w:bidi="he-IL"/>
        </w:rPr>
        <w:t xml:space="preserve">, </w:t>
      </w:r>
      <w:r w:rsidRPr="00C8701B">
        <w:rPr>
          <w:rFonts w:eastAsia="Arial Unicode MS"/>
          <w:bCs/>
          <w:lang w:eastAsia="fr-FR" w:bidi="he-IL"/>
        </w:rPr>
        <w:t>système du mythe</w:t>
      </w:r>
      <w:r w:rsidR="00E65435">
        <w:rPr>
          <w:rFonts w:eastAsia="Arial Unicode MS"/>
          <w:bCs/>
          <w:lang w:eastAsia="fr-FR" w:bidi="he-IL"/>
        </w:rPr>
        <w:t xml:space="preserve">, </w:t>
      </w:r>
      <w:r w:rsidRPr="00C8701B">
        <w:rPr>
          <w:rFonts w:eastAsia="Arial Unicode MS"/>
          <w:bCs/>
          <w:lang w:eastAsia="fr-FR" w:bidi="he-IL"/>
        </w:rPr>
        <w:t>système des tendances</w:t>
      </w:r>
      <w:r w:rsidR="00933C60" w:rsidRPr="00C406FF">
        <w:rPr>
          <w:rStyle w:val="Appelnotedebasdep"/>
        </w:rPr>
        <w:footnoteReference w:id="459"/>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 xml:space="preserve">7° </w:t>
      </w:r>
      <w:r w:rsidR="00DF496C" w:rsidRPr="00C8701B">
        <w:rPr>
          <w:rFonts w:eastAsia="Arial Unicode MS"/>
          <w:bCs/>
          <w:lang w:eastAsia="fr-FR" w:bidi="he-IL"/>
        </w:rPr>
        <w:t>Évidemment</w:t>
      </w:r>
      <w:r w:rsidR="00E65435">
        <w:rPr>
          <w:rFonts w:eastAsia="Arial Unicode MS"/>
          <w:bCs/>
          <w:lang w:eastAsia="fr-FR" w:bidi="he-IL"/>
        </w:rPr>
        <w:t xml:space="preserve">, </w:t>
      </w:r>
      <w:r w:rsidRPr="00C8701B">
        <w:rPr>
          <w:rFonts w:eastAsia="Arial Unicode MS"/>
          <w:bCs/>
          <w:lang w:eastAsia="fr-FR" w:bidi="he-IL"/>
        </w:rPr>
        <w:t>ce n</w:t>
      </w:r>
      <w:r w:rsidR="00557DE0">
        <w:rPr>
          <w:rFonts w:eastAsia="Arial Unicode MS"/>
          <w:bCs/>
          <w:lang w:eastAsia="fr-FR" w:bidi="he-IL"/>
        </w:rPr>
        <w:t>’</w:t>
      </w:r>
      <w:r w:rsidRPr="00C8701B">
        <w:rPr>
          <w:rFonts w:eastAsia="Arial Unicode MS"/>
          <w:bCs/>
          <w:lang w:eastAsia="fr-FR" w:bidi="he-IL"/>
        </w:rPr>
        <w:t>est pas ici le lieu de réfuter en détail toutes les attaques dirigées contre les évangiles</w:t>
      </w:r>
      <w:r w:rsidR="00933C60" w:rsidRPr="00C406FF">
        <w:rPr>
          <w:rStyle w:val="Appelnotedebasdep"/>
        </w:rPr>
        <w:footnoteReference w:id="460"/>
      </w:r>
      <w:r w:rsidRPr="00C8701B">
        <w:rPr>
          <w:rFonts w:eastAsia="Arial Unicode MS"/>
          <w:bCs/>
          <w:lang w:eastAsia="fr-FR" w:bidi="he-IL"/>
        </w:rPr>
        <w:t>. Nous nous bornerons donc</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une part</w:t>
      </w:r>
      <w:r w:rsidR="00E65435">
        <w:rPr>
          <w:rFonts w:eastAsia="Arial Unicode MS"/>
          <w:bCs/>
          <w:lang w:eastAsia="fr-FR" w:bidi="he-IL"/>
        </w:rPr>
        <w:t xml:space="preserve">, </w:t>
      </w:r>
      <w:r w:rsidRPr="00C8701B">
        <w:rPr>
          <w:rFonts w:eastAsia="Arial Unicode MS"/>
          <w:bCs/>
          <w:lang w:eastAsia="fr-FR" w:bidi="he-IL"/>
        </w:rPr>
        <w:t>à rappeler quelques principes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autre part</w:t>
      </w:r>
      <w:r w:rsidR="00E65435">
        <w:rPr>
          <w:rFonts w:eastAsia="Arial Unicode MS"/>
          <w:bCs/>
          <w:lang w:eastAsia="fr-FR" w:bidi="he-IL"/>
        </w:rPr>
        <w:t xml:space="preserve">, </w:t>
      </w:r>
      <w:r w:rsidRPr="00C8701B">
        <w:rPr>
          <w:rFonts w:eastAsia="Arial Unicode MS"/>
          <w:bCs/>
          <w:lang w:eastAsia="fr-FR" w:bidi="he-IL"/>
        </w:rPr>
        <w:t>à insérer quelques bonnes et belles citations qui développeront les principes.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a) Ces divers systèmes sont psychologiquement impossibles. Ils mettent tous un roman quelconque à la place de l</w:t>
      </w:r>
      <w:r w:rsidR="00557DE0">
        <w:rPr>
          <w:rFonts w:eastAsia="Arial Unicode MS"/>
          <w:bCs/>
          <w:lang w:eastAsia="fr-FR" w:bidi="he-IL"/>
        </w:rPr>
        <w:t>’</w:t>
      </w:r>
      <w:r w:rsidRPr="00C8701B">
        <w:rPr>
          <w:rFonts w:eastAsia="Arial Unicode MS"/>
          <w:bCs/>
          <w:lang w:eastAsia="fr-FR" w:bidi="he-IL"/>
        </w:rPr>
        <w:t>histoire véritable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car comment expliquer</w:t>
      </w:r>
      <w:r w:rsidR="00E65435">
        <w:rPr>
          <w:rFonts w:eastAsia="Arial Unicode MS"/>
          <w:bCs/>
          <w:lang w:eastAsia="fr-FR" w:bidi="he-IL"/>
        </w:rPr>
        <w:t xml:space="preserve">, </w:t>
      </w:r>
      <w:r w:rsidRPr="00C8701B">
        <w:rPr>
          <w:rFonts w:eastAsia="Arial Unicode MS"/>
          <w:bCs/>
          <w:lang w:eastAsia="fr-FR" w:bidi="he-IL"/>
        </w:rPr>
        <w:t>si les évangiles sont d</w:t>
      </w:r>
      <w:r w:rsidR="00557DE0">
        <w:rPr>
          <w:rFonts w:eastAsia="Arial Unicode MS"/>
          <w:bCs/>
          <w:lang w:eastAsia="fr-FR" w:bidi="he-IL"/>
        </w:rPr>
        <w:t>’</w:t>
      </w:r>
      <w:r w:rsidRPr="00C8701B">
        <w:rPr>
          <w:rFonts w:eastAsia="Arial Unicode MS"/>
          <w:bCs/>
          <w:lang w:eastAsia="fr-FR" w:bidi="he-IL"/>
        </w:rPr>
        <w:t>une manière ou de l</w:t>
      </w:r>
      <w:r w:rsidR="00557DE0">
        <w:rPr>
          <w:rFonts w:eastAsia="Arial Unicode MS"/>
          <w:bCs/>
          <w:lang w:eastAsia="fr-FR" w:bidi="he-IL"/>
        </w:rPr>
        <w:t>’</w:t>
      </w:r>
      <w:r w:rsidRPr="00C8701B">
        <w:rPr>
          <w:rFonts w:eastAsia="Arial Unicode MS"/>
          <w:bCs/>
          <w:lang w:eastAsia="fr-FR" w:bidi="he-IL"/>
        </w:rPr>
        <w:t>autre remplis de faussetés</w:t>
      </w:r>
      <w:r w:rsidR="00E65435">
        <w:rPr>
          <w:rFonts w:eastAsia="Arial Unicode MS"/>
          <w:bCs/>
          <w:lang w:eastAsia="fr-FR" w:bidi="he-IL"/>
        </w:rPr>
        <w:t xml:space="preserve">, </w:t>
      </w:r>
      <w:r w:rsidRPr="00C8701B">
        <w:rPr>
          <w:rFonts w:eastAsia="Arial Unicode MS"/>
          <w:bCs/>
          <w:lang w:eastAsia="fr-FR" w:bidi="he-IL"/>
        </w:rPr>
        <w:t>le prompt et universel établissement de l</w:t>
      </w:r>
      <w:r w:rsidR="00557DE0">
        <w:rPr>
          <w:rFonts w:eastAsia="Arial Unicode MS"/>
          <w:bCs/>
          <w:lang w:eastAsia="fr-FR" w:bidi="he-IL"/>
        </w:rPr>
        <w:t>’</w:t>
      </w:r>
      <w:r w:rsidR="00C8701B">
        <w:rPr>
          <w:rFonts w:eastAsia="Arial Unicode MS"/>
          <w:bCs/>
          <w:lang w:eastAsia="fr-FR" w:bidi="he-IL"/>
        </w:rPr>
        <w:t>Église</w:t>
      </w:r>
      <w:r w:rsidR="00E65435">
        <w:rPr>
          <w:rFonts w:eastAsia="Arial Unicode MS"/>
          <w:bCs/>
          <w:lang w:eastAsia="fr-FR" w:bidi="he-IL"/>
        </w:rPr>
        <w:t xml:space="preserve">, </w:t>
      </w:r>
      <w:r w:rsidRPr="00C8701B">
        <w:rPr>
          <w:rFonts w:eastAsia="Arial Unicode MS"/>
          <w:bCs/>
          <w:lang w:eastAsia="fr-FR" w:bidi="he-IL"/>
        </w:rPr>
        <w:t>sa durée</w:t>
      </w:r>
      <w:r w:rsidR="00E65435">
        <w:rPr>
          <w:rFonts w:eastAsia="Arial Unicode MS"/>
          <w:bCs/>
          <w:lang w:eastAsia="fr-FR" w:bidi="he-IL"/>
        </w:rPr>
        <w:t xml:space="preserve">, </w:t>
      </w:r>
      <w:r w:rsidRPr="00C8701B">
        <w:rPr>
          <w:rFonts w:eastAsia="Arial Unicode MS"/>
          <w:bCs/>
          <w:lang w:eastAsia="fr-FR" w:bidi="he-IL"/>
        </w:rPr>
        <w:t>le témoignage des martyrs</w:t>
      </w:r>
      <w:r w:rsidR="00C2602D" w:rsidRPr="00C8701B">
        <w:rPr>
          <w:rFonts w:eastAsia="Arial Unicode MS"/>
          <w:bCs/>
          <w:lang w:eastAsia="fr-FR" w:bidi="he-IL"/>
        </w:rPr>
        <w:t xml:space="preserve"> ? </w:t>
      </w:r>
    </w:p>
    <w:p w:rsidR="00C2602D" w:rsidRPr="00C8701B" w:rsidRDefault="00B704AD" w:rsidP="00C2602D">
      <w:pPr>
        <w:rPr>
          <w:rFonts w:eastAsia="Arial Unicode MS"/>
          <w:bCs/>
          <w:lang w:eastAsia="fr-FR" w:bidi="he-IL"/>
        </w:rPr>
      </w:pPr>
      <w:r w:rsidRPr="00C8701B">
        <w:rPr>
          <w:rFonts w:eastAsia="Arial Unicode MS"/>
          <w:bCs/>
          <w:lang w:eastAsia="fr-FR" w:bidi="he-IL"/>
        </w:rPr>
        <w:t>Ces divers systèmes se contredisent</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un l</w:t>
      </w:r>
      <w:r w:rsidR="00557DE0">
        <w:rPr>
          <w:rFonts w:eastAsia="Arial Unicode MS"/>
          <w:bCs/>
          <w:lang w:eastAsia="fr-FR" w:bidi="he-IL"/>
        </w:rPr>
        <w:t>’</w:t>
      </w:r>
      <w:r w:rsidRPr="00C8701B">
        <w:rPr>
          <w:rFonts w:eastAsia="Arial Unicode MS"/>
          <w:bCs/>
          <w:lang w:eastAsia="fr-FR" w:bidi="he-IL"/>
        </w:rPr>
        <w:t>autre</w:t>
      </w:r>
      <w:r w:rsidR="00E65435">
        <w:rPr>
          <w:rFonts w:eastAsia="Arial Unicode MS"/>
          <w:bCs/>
          <w:lang w:eastAsia="fr-FR" w:bidi="he-IL"/>
        </w:rPr>
        <w:t xml:space="preserve">, </w:t>
      </w:r>
      <w:r w:rsidRPr="00C8701B">
        <w:rPr>
          <w:rFonts w:eastAsia="Arial Unicode MS"/>
          <w:bCs/>
          <w:lang w:eastAsia="fr-FR" w:bidi="he-IL"/>
        </w:rPr>
        <w:t>et ils ont réussi merveilleusement à se renverser l</w:t>
      </w:r>
      <w:r w:rsidR="00557DE0">
        <w:rPr>
          <w:rFonts w:eastAsia="Arial Unicode MS"/>
          <w:bCs/>
          <w:lang w:eastAsia="fr-FR" w:bidi="he-IL"/>
        </w:rPr>
        <w:t>’</w:t>
      </w:r>
      <w:r w:rsidRPr="00C8701B">
        <w:rPr>
          <w:rFonts w:eastAsia="Arial Unicode MS"/>
          <w:bCs/>
          <w:lang w:eastAsia="fr-FR" w:bidi="he-IL"/>
        </w:rPr>
        <w:t>un l</w:t>
      </w:r>
      <w:r w:rsidR="00557DE0">
        <w:rPr>
          <w:rFonts w:eastAsia="Arial Unicode MS"/>
          <w:bCs/>
          <w:lang w:eastAsia="fr-FR" w:bidi="he-IL"/>
        </w:rPr>
        <w:t>’</w:t>
      </w:r>
      <w:r w:rsidRPr="00C8701B">
        <w:rPr>
          <w:rFonts w:eastAsia="Arial Unicode MS"/>
          <w:bCs/>
          <w:lang w:eastAsia="fr-FR" w:bidi="he-IL"/>
        </w:rPr>
        <w:t>autre</w:t>
      </w:r>
      <w:r w:rsidR="00E65435">
        <w:rPr>
          <w:rFonts w:eastAsia="Arial Unicode MS"/>
          <w:bCs/>
          <w:lang w:eastAsia="fr-FR" w:bidi="he-IL"/>
        </w:rPr>
        <w:t xml:space="preserve">, </w:t>
      </w:r>
      <w:r w:rsidRPr="00C8701B">
        <w:rPr>
          <w:rFonts w:eastAsia="Arial Unicode MS"/>
          <w:bCs/>
          <w:lang w:eastAsia="fr-FR" w:bidi="he-IL"/>
        </w:rPr>
        <w:t>tandis que les évangiles demeureront à tout jamais.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Ces divers systèmes ont l</w:t>
      </w:r>
      <w:r w:rsidR="00557DE0">
        <w:rPr>
          <w:rFonts w:eastAsia="Arial Unicode MS"/>
          <w:bCs/>
          <w:lang w:eastAsia="fr-FR" w:bidi="he-IL"/>
        </w:rPr>
        <w:t>’</w:t>
      </w:r>
      <w:r w:rsidR="00DF496C" w:rsidRPr="00C8701B">
        <w:rPr>
          <w:rFonts w:eastAsia="Arial Unicode MS"/>
          <w:bCs/>
          <w:lang w:eastAsia="fr-FR" w:bidi="he-IL"/>
        </w:rPr>
        <w:t>arbitraire</w:t>
      </w:r>
      <w:r w:rsidRPr="00C8701B">
        <w:rPr>
          <w:rFonts w:eastAsia="Arial Unicode MS"/>
          <w:bCs/>
          <w:lang w:eastAsia="fr-FR" w:bidi="he-IL"/>
        </w:rPr>
        <w:t xml:space="preserve"> pour base</w:t>
      </w:r>
      <w:r w:rsidR="00E65435">
        <w:rPr>
          <w:rFonts w:eastAsia="Arial Unicode MS"/>
          <w:bCs/>
          <w:lang w:eastAsia="fr-FR" w:bidi="he-IL"/>
        </w:rPr>
        <w:t xml:space="preserve">, </w:t>
      </w:r>
      <w:r w:rsidRPr="00C8701B">
        <w:rPr>
          <w:rFonts w:eastAsia="Arial Unicode MS"/>
          <w:bCs/>
          <w:lang w:eastAsia="fr-FR" w:bidi="he-IL"/>
        </w:rPr>
        <w:t>et ils ont tous un point de départ absolument opposé à la vraie science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nous voulons dire</w:t>
      </w:r>
      <w:r w:rsidR="00E65435">
        <w:rPr>
          <w:rFonts w:eastAsia="Arial Unicode MS"/>
          <w:bCs/>
          <w:lang w:eastAsia="fr-FR" w:bidi="he-IL"/>
        </w:rPr>
        <w:t xml:space="preserve">, </w:t>
      </w:r>
      <w:r w:rsidRPr="00C8701B">
        <w:rPr>
          <w:rFonts w:eastAsia="Arial Unicode MS"/>
          <w:bCs/>
          <w:lang w:eastAsia="fr-FR" w:bidi="he-IL"/>
        </w:rPr>
        <w:t>la négation absolue</w:t>
      </w:r>
      <w:r w:rsidR="00E65435">
        <w:rPr>
          <w:rFonts w:eastAsia="Arial Unicode MS"/>
          <w:bCs/>
          <w:lang w:eastAsia="fr-FR" w:bidi="he-IL"/>
        </w:rPr>
        <w:t xml:space="preserve">, </w:t>
      </w:r>
      <w:r w:rsidRPr="00DC4586">
        <w:rPr>
          <w:rStyle w:val="italicus"/>
        </w:rPr>
        <w:t>a priori</w:t>
      </w:r>
      <w:r w:rsidR="00E65435">
        <w:rPr>
          <w:rStyle w:val="italicus"/>
        </w:rPr>
        <w:t xml:space="preserve">, </w:t>
      </w:r>
      <w:r w:rsidRPr="00C8701B">
        <w:rPr>
          <w:rFonts w:eastAsia="Arial Unicode MS"/>
          <w:bCs/>
          <w:lang w:eastAsia="fr-FR" w:bidi="he-IL"/>
        </w:rPr>
        <w:t>du surnaturel.</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 xml:space="preserve">Ces divers systèmes ne tiennent </w:t>
      </w:r>
      <w:r w:rsidR="006914B9">
        <w:rPr>
          <w:rFonts w:eastAsia="Arial Unicode MS"/>
          <w:bCs/>
          <w:lang w:eastAsia="fr-FR" w:bidi="he-IL"/>
        </w:rPr>
        <w:t>aucun compte de la saisissan</w:t>
      </w:r>
      <w:r w:rsidRPr="00C8701B">
        <w:rPr>
          <w:rFonts w:eastAsia="Arial Unicode MS"/>
          <w:bCs/>
          <w:lang w:eastAsia="fr-FR" w:bidi="he-IL"/>
        </w:rPr>
        <w:t>te harmonie qui règne entre les évangiles et les prophéties de l</w:t>
      </w:r>
      <w:r w:rsidR="00557DE0">
        <w:rPr>
          <w:rFonts w:eastAsia="Arial Unicode MS"/>
          <w:bCs/>
          <w:lang w:eastAsia="fr-FR" w:bidi="he-IL"/>
        </w:rPr>
        <w:t>’</w:t>
      </w:r>
      <w:r w:rsidRPr="00C8701B">
        <w:rPr>
          <w:rFonts w:eastAsia="Arial Unicode MS"/>
          <w:bCs/>
          <w:lang w:eastAsia="fr-FR" w:bidi="he-IL"/>
        </w:rPr>
        <w:t>Ancien Testament</w:t>
      </w:r>
      <w:r w:rsidR="00C2602D" w:rsidRPr="00C8701B">
        <w:rPr>
          <w:rFonts w:eastAsia="Arial Unicode MS"/>
          <w:bCs/>
          <w:lang w:eastAsia="fr-FR" w:bidi="he-IL"/>
        </w:rPr>
        <w:t xml:space="preserve"> </w:t>
      </w:r>
      <w:r w:rsidR="006914B9">
        <w:rPr>
          <w:rFonts w:eastAsia="Arial Unicode MS"/>
          <w:bCs/>
          <w:lang w:eastAsia="fr-FR" w:bidi="he-IL"/>
        </w:rPr>
        <w:t>{84</w:t>
      </w:r>
      <w:bookmarkStart w:id="133" w:name="pag084"/>
      <w:bookmarkEnd w:id="133"/>
      <w:r w:rsidR="006914B9">
        <w:rPr>
          <w:rFonts w:eastAsia="Arial Unicode MS"/>
          <w:bCs/>
          <w:lang w:eastAsia="fr-FR" w:bidi="he-IL"/>
        </w:rPr>
        <w:t xml:space="preserve">} </w:t>
      </w:r>
      <w:r w:rsidRPr="00C8701B">
        <w:rPr>
          <w:rFonts w:eastAsia="Arial Unicode MS"/>
          <w:bCs/>
          <w:lang w:eastAsia="fr-FR" w:bidi="he-IL"/>
        </w:rPr>
        <w:t>relatives au Messie</w:t>
      </w:r>
      <w:r w:rsidR="00E65435">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est-à-dire</w:t>
      </w:r>
      <w:r w:rsidR="00E65435">
        <w:rPr>
          <w:rFonts w:eastAsia="Arial Unicode MS"/>
          <w:bCs/>
          <w:lang w:eastAsia="fr-FR" w:bidi="he-IL"/>
        </w:rPr>
        <w:t xml:space="preserve">, </w:t>
      </w:r>
      <w:r w:rsidR="006914B9">
        <w:rPr>
          <w:rFonts w:eastAsia="Arial Unicode MS"/>
          <w:bCs/>
          <w:lang w:eastAsia="fr-FR" w:bidi="he-IL"/>
        </w:rPr>
        <w:t>entre l</w:t>
      </w:r>
      <w:r w:rsidRPr="00C8701B">
        <w:rPr>
          <w:rFonts w:eastAsia="Arial Unicode MS"/>
          <w:bCs/>
          <w:lang w:eastAsia="fr-FR" w:bidi="he-IL"/>
        </w:rPr>
        <w:t>a période d</w:t>
      </w:r>
      <w:r w:rsidR="00557DE0">
        <w:rPr>
          <w:rFonts w:eastAsia="Arial Unicode MS"/>
          <w:bCs/>
          <w:lang w:eastAsia="fr-FR" w:bidi="he-IL"/>
        </w:rPr>
        <w:t>’</w:t>
      </w:r>
      <w:r w:rsidRPr="00C8701B">
        <w:rPr>
          <w:rFonts w:eastAsia="Arial Unicode MS"/>
          <w:bCs/>
          <w:lang w:eastAsia="fr-FR" w:bidi="he-IL"/>
        </w:rPr>
        <w:t>accomplissement et la période de préparation</w:t>
      </w:r>
      <w:r w:rsidR="00E65435">
        <w:rPr>
          <w:rFonts w:eastAsia="Arial Unicode MS"/>
          <w:bCs/>
          <w:lang w:eastAsia="fr-FR" w:bidi="he-IL"/>
        </w:rPr>
        <w:t xml:space="preserve">, </w:t>
      </w:r>
      <w:r w:rsidRPr="00C8701B">
        <w:rPr>
          <w:rFonts w:eastAsia="Arial Unicode MS"/>
          <w:bCs/>
          <w:lang w:eastAsia="fr-FR" w:bidi="he-IL"/>
        </w:rPr>
        <w:t>entre la réalité et la figure</w:t>
      </w:r>
      <w:r w:rsidR="00933C60" w:rsidRPr="00C406FF">
        <w:rPr>
          <w:rStyle w:val="Appelnotedebasdep"/>
        </w:rPr>
        <w:footnoteReference w:id="461"/>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6914B9" w:rsidP="00C2602D">
      <w:pPr>
        <w:rPr>
          <w:rFonts w:eastAsia="Arial Unicode MS"/>
          <w:bCs/>
          <w:lang w:eastAsia="fr-FR" w:bidi="he-IL"/>
        </w:rPr>
      </w:pPr>
      <w:r>
        <w:rPr>
          <w:rFonts w:eastAsia="Arial Unicode MS"/>
          <w:bCs/>
          <w:lang w:eastAsia="fr-FR" w:bidi="he-IL"/>
        </w:rPr>
        <w:t>b</w:t>
      </w:r>
      <w:r w:rsidR="00B704AD" w:rsidRPr="00C8701B">
        <w:rPr>
          <w:rFonts w:eastAsia="Arial Unicode MS"/>
          <w:bCs/>
          <w:lang w:eastAsia="fr-FR" w:bidi="he-IL"/>
        </w:rPr>
        <w:t>) Maintenant écoutons. Les porte-parole appartiendront à toutes les catégories religieuses</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leur accord surprenant n</w:t>
      </w:r>
      <w:r w:rsidR="00557DE0">
        <w:rPr>
          <w:rFonts w:eastAsia="Arial Unicode MS"/>
          <w:bCs/>
          <w:lang w:eastAsia="fr-FR" w:bidi="he-IL"/>
        </w:rPr>
        <w:t>’</w:t>
      </w:r>
      <w:r w:rsidR="00B704AD" w:rsidRPr="00C8701B">
        <w:rPr>
          <w:rFonts w:eastAsia="Arial Unicode MS"/>
          <w:bCs/>
          <w:lang w:eastAsia="fr-FR" w:bidi="he-IL"/>
        </w:rPr>
        <w:t>en aura que plus de force.</w:t>
      </w:r>
      <w:r w:rsidR="00C2602D" w:rsidRPr="00C8701B">
        <w:rPr>
          <w:rFonts w:eastAsia="Arial Unicode MS"/>
          <w:bCs/>
          <w:lang w:eastAsia="fr-FR" w:bidi="he-IL"/>
        </w:rPr>
        <w:t xml:space="preserve"> </w:t>
      </w:r>
    </w:p>
    <w:p w:rsidR="00C2602D" w:rsidRPr="00C8701B" w:rsidRDefault="00C2602D" w:rsidP="00C2602D">
      <w:pPr>
        <w:rPr>
          <w:rFonts w:eastAsia="Arial Unicode MS"/>
          <w:bCs/>
          <w:lang w:eastAsia="fr-FR" w:bidi="he-IL"/>
        </w:rPr>
      </w:pPr>
      <w:r w:rsidRPr="00C8701B">
        <w:rPr>
          <w:rFonts w:eastAsia="Arial Unicode MS"/>
          <w:bCs/>
          <w:lang w:eastAsia="fr-FR" w:bidi="he-IL"/>
        </w:rPr>
        <w:t>« </w:t>
      </w:r>
      <w:r w:rsidR="00B704AD" w:rsidRPr="00C8701B">
        <w:rPr>
          <w:rFonts w:eastAsia="Arial Unicode MS"/>
          <w:bCs/>
          <w:lang w:eastAsia="fr-FR" w:bidi="he-IL"/>
        </w:rPr>
        <w:t>Que peuvent importer à l</w:t>
      </w:r>
      <w:r w:rsidR="00557DE0">
        <w:rPr>
          <w:rFonts w:eastAsia="Arial Unicode MS"/>
          <w:bCs/>
          <w:lang w:eastAsia="fr-FR" w:bidi="he-IL"/>
        </w:rPr>
        <w:t>’</w:t>
      </w:r>
      <w:r w:rsidR="00B704AD" w:rsidRPr="00C8701B">
        <w:rPr>
          <w:rFonts w:eastAsia="Arial Unicode MS"/>
          <w:bCs/>
          <w:lang w:eastAsia="fr-FR" w:bidi="he-IL"/>
        </w:rPr>
        <w:t>homme sérieux le Christ selon Seeley</w:t>
      </w:r>
      <w:r w:rsidR="00E65435">
        <w:rPr>
          <w:rFonts w:eastAsia="Arial Unicode MS"/>
          <w:bCs/>
          <w:lang w:eastAsia="fr-FR" w:bidi="he-IL"/>
        </w:rPr>
        <w:t xml:space="preserve">, </w:t>
      </w:r>
      <w:r w:rsidR="00B704AD" w:rsidRPr="00C8701B">
        <w:rPr>
          <w:rFonts w:eastAsia="Arial Unicode MS"/>
          <w:bCs/>
          <w:lang w:eastAsia="fr-FR" w:bidi="he-IL"/>
        </w:rPr>
        <w:t>Keim</w:t>
      </w:r>
      <w:r w:rsidR="00E65435">
        <w:rPr>
          <w:rFonts w:eastAsia="Arial Unicode MS"/>
          <w:bCs/>
          <w:lang w:eastAsia="fr-FR" w:bidi="he-IL"/>
        </w:rPr>
        <w:t xml:space="preserve">, </w:t>
      </w:r>
      <w:r w:rsidR="00B704AD" w:rsidRPr="00C8701B">
        <w:rPr>
          <w:rFonts w:eastAsia="Arial Unicode MS"/>
          <w:bCs/>
          <w:lang w:eastAsia="fr-FR" w:bidi="he-IL"/>
        </w:rPr>
        <w:t>Renan</w:t>
      </w:r>
      <w:r w:rsidR="00E65435">
        <w:rPr>
          <w:rFonts w:eastAsia="Arial Unicode MS"/>
          <w:bCs/>
          <w:lang w:eastAsia="fr-FR" w:bidi="he-IL"/>
        </w:rPr>
        <w:t xml:space="preserve">, </w:t>
      </w:r>
      <w:r w:rsidR="00B704AD" w:rsidRPr="00C8701B">
        <w:rPr>
          <w:rFonts w:eastAsia="Arial Unicode MS"/>
          <w:bCs/>
          <w:lang w:eastAsia="fr-FR" w:bidi="he-IL"/>
        </w:rPr>
        <w:t>Schleiermacher</w:t>
      </w:r>
      <w:r w:rsidR="00E65435">
        <w:rPr>
          <w:rFonts w:eastAsia="Arial Unicode MS"/>
          <w:bCs/>
          <w:lang w:eastAsia="fr-FR" w:bidi="he-IL"/>
        </w:rPr>
        <w:t xml:space="preserve">, </w:t>
      </w:r>
      <w:r w:rsidR="00B704AD" w:rsidRPr="00C8701B">
        <w:rPr>
          <w:rFonts w:eastAsia="Arial Unicode MS"/>
          <w:bCs/>
          <w:lang w:eastAsia="fr-FR" w:bidi="he-IL"/>
        </w:rPr>
        <w:t>Strauss et Paulus</w:t>
      </w:r>
      <w:r w:rsidR="00E65435">
        <w:rPr>
          <w:rFonts w:eastAsia="Arial Unicode MS"/>
          <w:bCs/>
          <w:lang w:eastAsia="fr-FR" w:bidi="he-IL"/>
        </w:rPr>
        <w:t xml:space="preserve">, </w:t>
      </w:r>
      <w:r w:rsidR="00B704AD" w:rsidRPr="00C8701B">
        <w:rPr>
          <w:rFonts w:eastAsia="Arial Unicode MS"/>
          <w:bCs/>
          <w:lang w:eastAsia="fr-FR" w:bidi="he-IL"/>
        </w:rPr>
        <w:t>quand nous avons le Christ selon l</w:t>
      </w:r>
      <w:r w:rsidR="00557DE0">
        <w:rPr>
          <w:rFonts w:eastAsia="Arial Unicode MS"/>
          <w:bCs/>
          <w:lang w:eastAsia="fr-FR" w:bidi="he-IL"/>
        </w:rPr>
        <w:t>’</w:t>
      </w:r>
      <w:r w:rsidR="000439E9">
        <w:rPr>
          <w:rFonts w:eastAsia="Arial Unicode MS"/>
          <w:bCs/>
          <w:lang w:eastAsia="fr-FR" w:bidi="he-IL"/>
        </w:rPr>
        <w:t>Évangile</w:t>
      </w:r>
      <w:r w:rsidRPr="00C8701B">
        <w:rPr>
          <w:rFonts w:eastAsia="Arial Unicode MS"/>
          <w:bCs/>
          <w:lang w:eastAsia="fr-FR" w:bidi="he-IL"/>
        </w:rPr>
        <w:t> ?</w:t>
      </w:r>
      <w:r w:rsidR="00B704AD" w:rsidRPr="00C8701B">
        <w:rPr>
          <w:rFonts w:eastAsia="Arial Unicode MS"/>
          <w:bCs/>
          <w:lang w:eastAsia="fr-FR" w:bidi="he-IL"/>
        </w:rPr>
        <w:t xml:space="preserve"> Il en est d</w:t>
      </w:r>
      <w:r w:rsidR="00557DE0">
        <w:rPr>
          <w:rFonts w:eastAsia="Arial Unicode MS"/>
          <w:bCs/>
          <w:lang w:eastAsia="fr-FR" w:bidi="he-IL"/>
        </w:rPr>
        <w:t>’</w:t>
      </w:r>
      <w:r w:rsidR="00B704AD" w:rsidRPr="00C8701B">
        <w:rPr>
          <w:rFonts w:eastAsia="Arial Unicode MS"/>
          <w:bCs/>
          <w:lang w:eastAsia="fr-FR" w:bidi="he-IL"/>
        </w:rPr>
        <w:t>une biographie comme d</w:t>
      </w:r>
      <w:r w:rsidR="00557DE0">
        <w:rPr>
          <w:rFonts w:eastAsia="Arial Unicode MS"/>
          <w:bCs/>
          <w:lang w:eastAsia="fr-FR" w:bidi="he-IL"/>
        </w:rPr>
        <w:t>’</w:t>
      </w:r>
      <w:r w:rsidR="00B704AD" w:rsidRPr="00C8701B">
        <w:rPr>
          <w:rFonts w:eastAsia="Arial Unicode MS"/>
          <w:bCs/>
          <w:lang w:eastAsia="fr-FR" w:bidi="he-IL"/>
        </w:rPr>
        <w:t>une peinture. La mieux venue pour la famille et pour le public est</w:t>
      </w:r>
      <w:r w:rsidR="00E65435">
        <w:rPr>
          <w:rFonts w:eastAsia="Arial Unicode MS"/>
          <w:bCs/>
          <w:lang w:eastAsia="fr-FR" w:bidi="he-IL"/>
        </w:rPr>
        <w:t xml:space="preserve">, </w:t>
      </w:r>
      <w:r w:rsidR="00B704AD" w:rsidRPr="00C8701B">
        <w:rPr>
          <w:rFonts w:eastAsia="Arial Unicode MS"/>
          <w:bCs/>
          <w:lang w:eastAsia="fr-FR" w:bidi="he-IL"/>
        </w:rPr>
        <w:t>non pas celle où l</w:t>
      </w:r>
      <w:r w:rsidR="00557DE0">
        <w:rPr>
          <w:rFonts w:eastAsia="Arial Unicode MS"/>
          <w:bCs/>
          <w:lang w:eastAsia="fr-FR" w:bidi="he-IL"/>
        </w:rPr>
        <w:t>’</w:t>
      </w:r>
      <w:r w:rsidR="00B704AD" w:rsidRPr="00C8701B">
        <w:rPr>
          <w:rFonts w:eastAsia="Arial Unicode MS"/>
          <w:bCs/>
          <w:lang w:eastAsia="fr-FR" w:bidi="he-IL"/>
        </w:rPr>
        <w:t>homme de génie met une idée personnelle</w:t>
      </w:r>
      <w:r w:rsidR="00E65435">
        <w:rPr>
          <w:rFonts w:eastAsia="Arial Unicode MS"/>
          <w:bCs/>
          <w:lang w:eastAsia="fr-FR" w:bidi="he-IL"/>
        </w:rPr>
        <w:t xml:space="preserve">, </w:t>
      </w:r>
      <w:r w:rsidR="00B704AD" w:rsidRPr="00C8701B">
        <w:rPr>
          <w:rFonts w:eastAsia="Arial Unicode MS"/>
          <w:bCs/>
          <w:lang w:eastAsia="fr-FR" w:bidi="he-IL"/>
        </w:rPr>
        <w:t>mais celle où la vérité et l</w:t>
      </w:r>
      <w:r w:rsidR="00557DE0">
        <w:rPr>
          <w:rFonts w:eastAsia="Arial Unicode MS"/>
          <w:bCs/>
          <w:lang w:eastAsia="fr-FR" w:bidi="he-IL"/>
        </w:rPr>
        <w:t>’</w:t>
      </w:r>
      <w:r w:rsidR="00B704AD" w:rsidRPr="00C8701B">
        <w:rPr>
          <w:rFonts w:eastAsia="Arial Unicode MS"/>
          <w:bCs/>
          <w:lang w:eastAsia="fr-FR" w:bidi="he-IL"/>
        </w:rPr>
        <w:t>exactitude créent la ressemblance. En somme</w:t>
      </w:r>
      <w:r w:rsidR="00E65435">
        <w:rPr>
          <w:rFonts w:eastAsia="Arial Unicode MS"/>
          <w:bCs/>
          <w:lang w:eastAsia="fr-FR" w:bidi="he-IL"/>
        </w:rPr>
        <w:t xml:space="preserve">, </w:t>
      </w:r>
      <w:r w:rsidR="00B704AD" w:rsidRPr="00C8701B">
        <w:rPr>
          <w:rFonts w:eastAsia="Arial Unicode MS"/>
          <w:bCs/>
          <w:lang w:eastAsia="fr-FR" w:bidi="he-IL"/>
        </w:rPr>
        <w:t>après tant d</w:t>
      </w:r>
      <w:r w:rsidR="00557DE0">
        <w:rPr>
          <w:rFonts w:eastAsia="Arial Unicode MS"/>
          <w:bCs/>
          <w:lang w:eastAsia="fr-FR" w:bidi="he-IL"/>
        </w:rPr>
        <w:t>’</w:t>
      </w:r>
      <w:r w:rsidR="00B704AD" w:rsidRPr="00C8701B">
        <w:rPr>
          <w:rFonts w:eastAsia="Arial Unicode MS"/>
          <w:bCs/>
          <w:lang w:eastAsia="fr-FR" w:bidi="he-IL"/>
        </w:rPr>
        <w:t>efforts de la science au service de la libre pensée</w:t>
      </w:r>
      <w:r w:rsidR="00E65435">
        <w:rPr>
          <w:rFonts w:eastAsia="Arial Unicode MS"/>
          <w:bCs/>
          <w:lang w:eastAsia="fr-FR" w:bidi="he-IL"/>
        </w:rPr>
        <w:t xml:space="preserve">, </w:t>
      </w:r>
      <w:r w:rsidR="00B704AD" w:rsidRPr="00C8701B">
        <w:rPr>
          <w:rFonts w:eastAsia="Arial Unicode MS"/>
          <w:bCs/>
          <w:lang w:eastAsia="fr-FR" w:bidi="he-IL"/>
        </w:rPr>
        <w:t>quels sont les résultats acquis par la critique négative</w:t>
      </w:r>
      <w:r w:rsidRPr="00C8701B">
        <w:rPr>
          <w:rFonts w:eastAsia="Arial Unicode MS"/>
          <w:bCs/>
          <w:lang w:eastAsia="fr-FR" w:bidi="he-IL"/>
        </w:rPr>
        <w:t> ?</w:t>
      </w:r>
      <w:r w:rsidR="00B704AD" w:rsidRPr="00C8701B">
        <w:rPr>
          <w:rFonts w:eastAsia="Arial Unicode MS"/>
          <w:bCs/>
          <w:lang w:eastAsia="fr-FR" w:bidi="he-IL"/>
        </w:rPr>
        <w:t xml:space="preserve"> Remontez à un siècle d</w:t>
      </w:r>
      <w:r w:rsidR="00557DE0">
        <w:rPr>
          <w:rFonts w:eastAsia="Arial Unicode MS"/>
          <w:bCs/>
          <w:lang w:eastAsia="fr-FR" w:bidi="he-IL"/>
        </w:rPr>
        <w:t>’</w:t>
      </w:r>
      <w:r w:rsidR="00B704AD" w:rsidRPr="00C8701B">
        <w:rPr>
          <w:rFonts w:eastAsia="Arial Unicode MS"/>
          <w:bCs/>
          <w:lang w:eastAsia="fr-FR" w:bidi="he-IL"/>
        </w:rPr>
        <w:t>ici</w:t>
      </w:r>
      <w:r w:rsidR="00E65435">
        <w:rPr>
          <w:rFonts w:eastAsia="Arial Unicode MS"/>
          <w:bCs/>
          <w:lang w:eastAsia="fr-FR" w:bidi="he-IL"/>
        </w:rPr>
        <w:t xml:space="preserve">, </w:t>
      </w:r>
      <w:r w:rsidR="00B704AD" w:rsidRPr="00C8701B">
        <w:rPr>
          <w:rFonts w:eastAsia="Arial Unicode MS"/>
          <w:bCs/>
          <w:lang w:eastAsia="fr-FR" w:bidi="he-IL"/>
        </w:rPr>
        <w:t xml:space="preserve">et voyez. </w:t>
      </w:r>
      <w:r w:rsidR="00D7320E" w:rsidRPr="00C8701B">
        <w:rPr>
          <w:rFonts w:eastAsia="Arial Unicode MS"/>
          <w:bCs/>
          <w:lang w:eastAsia="fr-FR" w:bidi="he-IL"/>
        </w:rPr>
        <w:t>Eichhorn</w:t>
      </w:r>
      <w:r w:rsidR="00B704AD" w:rsidRPr="00C8701B">
        <w:rPr>
          <w:rFonts w:eastAsia="Arial Unicode MS"/>
          <w:bCs/>
          <w:lang w:eastAsia="fr-FR" w:bidi="he-IL"/>
        </w:rPr>
        <w:t xml:space="preserve"> a tué Reimarus</w:t>
      </w:r>
      <w:r w:rsidR="00E65435">
        <w:rPr>
          <w:rFonts w:eastAsia="Arial Unicode MS"/>
          <w:bCs/>
          <w:lang w:eastAsia="fr-FR" w:bidi="he-IL"/>
        </w:rPr>
        <w:t xml:space="preserve">, </w:t>
      </w:r>
      <w:r w:rsidR="00B704AD" w:rsidRPr="00C8701B">
        <w:rPr>
          <w:rFonts w:eastAsia="Arial Unicode MS"/>
          <w:bCs/>
          <w:lang w:eastAsia="fr-FR" w:bidi="he-IL"/>
        </w:rPr>
        <w:t>l</w:t>
      </w:r>
      <w:r w:rsidR="00557DE0">
        <w:rPr>
          <w:rFonts w:eastAsia="Arial Unicode MS"/>
          <w:bCs/>
          <w:lang w:eastAsia="fr-FR" w:bidi="he-IL"/>
        </w:rPr>
        <w:t>’</w:t>
      </w:r>
      <w:r w:rsidR="00B704AD" w:rsidRPr="00C8701B">
        <w:rPr>
          <w:rFonts w:eastAsia="Arial Unicode MS"/>
          <w:bCs/>
          <w:lang w:eastAsia="fr-FR" w:bidi="he-IL"/>
        </w:rPr>
        <w:t>inconnu des</w:t>
      </w:r>
      <w:r w:rsidR="00B704AD" w:rsidRPr="00DC4586">
        <w:rPr>
          <w:rStyle w:val="italicus"/>
        </w:rPr>
        <w:t xml:space="preserve"> Fragments de </w:t>
      </w:r>
      <w:r w:rsidR="00D7320E" w:rsidRPr="00DC4586">
        <w:rPr>
          <w:rStyle w:val="italicus"/>
        </w:rPr>
        <w:t>Wolfe</w:t>
      </w:r>
      <w:r w:rsidR="00D7320E">
        <w:rPr>
          <w:rStyle w:val="italicus"/>
        </w:rPr>
        <w:t>nbü</w:t>
      </w:r>
      <w:r w:rsidR="00D7320E" w:rsidRPr="00DC4586">
        <w:rPr>
          <w:rStyle w:val="italicus"/>
        </w:rPr>
        <w:t>ttel</w:t>
      </w:r>
      <w:r w:rsidRPr="00DC4586">
        <w:rPr>
          <w:rStyle w:val="italicus"/>
        </w:rPr>
        <w:t> </w:t>
      </w:r>
      <w:r w:rsidR="007F6508">
        <w:rPr>
          <w:rStyle w:val="italicus"/>
        </w:rPr>
        <w:t xml:space="preserve">; </w:t>
      </w:r>
      <w:r w:rsidR="00B704AD" w:rsidRPr="00C8701B">
        <w:rPr>
          <w:rFonts w:eastAsia="Arial Unicode MS"/>
          <w:bCs/>
          <w:lang w:eastAsia="fr-FR" w:bidi="he-IL"/>
        </w:rPr>
        <w:t>Paulus a tué Eichhorn</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Strauss a tué Paulus</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Baur a tué Strauss</w:t>
      </w:r>
      <w:r w:rsidR="00E65435">
        <w:rPr>
          <w:rFonts w:eastAsia="Arial Unicode MS"/>
          <w:bCs/>
          <w:lang w:eastAsia="fr-FR" w:bidi="he-IL"/>
        </w:rPr>
        <w:t xml:space="preserve">, </w:t>
      </w:r>
      <w:r w:rsidR="00B704AD" w:rsidRPr="00C8701B">
        <w:rPr>
          <w:rFonts w:eastAsia="Arial Unicode MS"/>
          <w:bCs/>
          <w:lang w:eastAsia="fr-FR" w:bidi="he-IL"/>
        </w:rPr>
        <w:t>laissant à Renan et à Keim le soin d</w:t>
      </w:r>
      <w:r w:rsidR="00557DE0">
        <w:rPr>
          <w:rFonts w:eastAsia="Arial Unicode MS"/>
          <w:bCs/>
          <w:lang w:eastAsia="fr-FR" w:bidi="he-IL"/>
        </w:rPr>
        <w:t>’</w:t>
      </w:r>
      <w:r w:rsidR="00B704AD" w:rsidRPr="00C8701B">
        <w:rPr>
          <w:rFonts w:eastAsia="Arial Unicode MS"/>
          <w:bCs/>
          <w:lang w:eastAsia="fr-FR" w:bidi="he-IL"/>
        </w:rPr>
        <w:t>achever sa sépulture. Depuis</w:t>
      </w:r>
      <w:r w:rsidR="00E65435">
        <w:rPr>
          <w:rFonts w:eastAsia="Arial Unicode MS"/>
          <w:bCs/>
          <w:lang w:eastAsia="fr-FR" w:bidi="he-IL"/>
        </w:rPr>
        <w:t xml:space="preserve">, </w:t>
      </w:r>
      <w:r w:rsidR="00B704AD" w:rsidRPr="00C8701B">
        <w:rPr>
          <w:rFonts w:eastAsia="Arial Unicode MS"/>
          <w:bCs/>
          <w:lang w:eastAsia="fr-FR" w:bidi="he-IL"/>
        </w:rPr>
        <w:t>tant d</w:t>
      </w:r>
      <w:r w:rsidR="00557DE0">
        <w:rPr>
          <w:rFonts w:eastAsia="Arial Unicode MS"/>
          <w:bCs/>
          <w:lang w:eastAsia="fr-FR" w:bidi="he-IL"/>
        </w:rPr>
        <w:t>’</w:t>
      </w:r>
      <w:r w:rsidR="00B704AD" w:rsidRPr="00C8701B">
        <w:rPr>
          <w:rFonts w:eastAsia="Arial Unicode MS"/>
          <w:bCs/>
          <w:lang w:eastAsia="fr-FR" w:bidi="he-IL"/>
        </w:rPr>
        <w:t>autres ont tué M. Renan</w:t>
      </w:r>
      <w:r w:rsidR="00E65435">
        <w:rPr>
          <w:rFonts w:eastAsia="Arial Unicode MS"/>
          <w:bCs/>
          <w:lang w:eastAsia="fr-FR" w:bidi="he-IL"/>
        </w:rPr>
        <w:t xml:space="preserve">, </w:t>
      </w:r>
      <w:r w:rsidR="00B704AD" w:rsidRPr="00C8701B">
        <w:rPr>
          <w:rFonts w:eastAsia="Arial Unicode MS"/>
          <w:bCs/>
          <w:lang w:eastAsia="fr-FR" w:bidi="he-IL"/>
        </w:rPr>
        <w:t>et la chaîne se déroulera dans l</w:t>
      </w:r>
      <w:r w:rsidR="00557DE0">
        <w:rPr>
          <w:rFonts w:eastAsia="Arial Unicode MS"/>
          <w:bCs/>
          <w:lang w:eastAsia="fr-FR" w:bidi="he-IL"/>
        </w:rPr>
        <w:t>’</w:t>
      </w:r>
      <w:r w:rsidR="00B704AD" w:rsidRPr="00C8701B">
        <w:rPr>
          <w:rFonts w:eastAsia="Arial Unicode MS"/>
          <w:bCs/>
          <w:lang w:eastAsia="fr-FR" w:bidi="he-IL"/>
        </w:rPr>
        <w:t>avenir comme dans le passé</w:t>
      </w:r>
      <w:r w:rsidR="00E65435">
        <w:rPr>
          <w:rFonts w:eastAsia="Arial Unicode MS"/>
          <w:bCs/>
          <w:lang w:eastAsia="fr-FR" w:bidi="he-IL"/>
        </w:rPr>
        <w:t xml:space="preserve">, </w:t>
      </w:r>
      <w:r w:rsidR="00B704AD" w:rsidRPr="00C8701B">
        <w:rPr>
          <w:rFonts w:eastAsia="Arial Unicode MS"/>
          <w:bCs/>
          <w:lang w:eastAsia="fr-FR" w:bidi="he-IL"/>
        </w:rPr>
        <w:t>sans autres variantes. C</w:t>
      </w:r>
      <w:r w:rsidR="00557DE0">
        <w:rPr>
          <w:rFonts w:eastAsia="Arial Unicode MS"/>
          <w:bCs/>
          <w:lang w:eastAsia="fr-FR" w:bidi="he-IL"/>
        </w:rPr>
        <w:t>’</w:t>
      </w:r>
      <w:r w:rsidR="00B704AD" w:rsidRPr="00C8701B">
        <w:rPr>
          <w:rFonts w:eastAsia="Arial Unicode MS"/>
          <w:bCs/>
          <w:lang w:eastAsia="fr-FR" w:bidi="he-IL"/>
        </w:rPr>
        <w:t>est l</w:t>
      </w:r>
      <w:r w:rsidR="00557DE0">
        <w:rPr>
          <w:rFonts w:eastAsia="Arial Unicode MS"/>
          <w:bCs/>
          <w:lang w:eastAsia="fr-FR" w:bidi="he-IL"/>
        </w:rPr>
        <w:t>’</w:t>
      </w:r>
      <w:r w:rsidR="00B704AD" w:rsidRPr="00C8701B">
        <w:rPr>
          <w:rFonts w:eastAsia="Arial Unicode MS"/>
          <w:bCs/>
          <w:lang w:eastAsia="fr-FR" w:bidi="he-IL"/>
        </w:rPr>
        <w:t>histoire des faux témoins qui se contredisaient au tribunal de Caïphe</w:t>
      </w:r>
      <w:r w:rsidRPr="00C8701B">
        <w:rPr>
          <w:rFonts w:eastAsia="Arial Unicode MS"/>
          <w:bCs/>
          <w:lang w:eastAsia="fr-FR" w:bidi="he-IL"/>
        </w:rPr>
        <w:t> :</w:t>
      </w:r>
      <w:r w:rsidR="00D7320E">
        <w:rPr>
          <w:rStyle w:val="italicus"/>
        </w:rPr>
        <w:t xml:space="preserve"> </w:t>
      </w:r>
      <w:r w:rsidR="00D7320E" w:rsidRPr="00D7320E">
        <w:rPr>
          <w:rStyle w:val="italicus"/>
        </w:rPr>
        <w:t xml:space="preserve">Multi </w:t>
      </w:r>
      <w:r w:rsidR="00DF496C" w:rsidRPr="00D7320E">
        <w:rPr>
          <w:rStyle w:val="italicus"/>
        </w:rPr>
        <w:t>testimónium</w:t>
      </w:r>
      <w:r w:rsidR="00B704AD" w:rsidRPr="00D7320E">
        <w:rPr>
          <w:rStyle w:val="italicus"/>
        </w:rPr>
        <w:t xml:space="preserve"> falsum </w:t>
      </w:r>
      <w:r w:rsidR="00356A5E" w:rsidRPr="00D7320E">
        <w:rPr>
          <w:rStyle w:val="italicus"/>
        </w:rPr>
        <w:t>dicébant</w:t>
      </w:r>
      <w:r w:rsidR="00D7320E" w:rsidRPr="00D7320E">
        <w:rPr>
          <w:rStyle w:val="italicus"/>
        </w:rPr>
        <w:t xml:space="preserve"> </w:t>
      </w:r>
      <w:r w:rsidR="00DF496C" w:rsidRPr="00D7320E">
        <w:rPr>
          <w:rStyle w:val="italicus"/>
        </w:rPr>
        <w:t>advérsus</w:t>
      </w:r>
      <w:r w:rsidR="00B704AD" w:rsidRPr="00D7320E">
        <w:rPr>
          <w:rStyle w:val="italicus"/>
        </w:rPr>
        <w:t xml:space="preserve"> eum</w:t>
      </w:r>
      <w:r w:rsidR="00E65435" w:rsidRPr="00D7320E">
        <w:rPr>
          <w:rStyle w:val="italicus"/>
        </w:rPr>
        <w:t xml:space="preserve">, </w:t>
      </w:r>
      <w:r w:rsidR="00B704AD" w:rsidRPr="00D7320E">
        <w:rPr>
          <w:rStyle w:val="italicus"/>
        </w:rPr>
        <w:t>e</w:t>
      </w:r>
      <w:r w:rsidR="00D7320E" w:rsidRPr="00D7320E">
        <w:rPr>
          <w:rStyle w:val="italicus"/>
        </w:rPr>
        <w:t xml:space="preserve">t </w:t>
      </w:r>
      <w:r w:rsidR="00B704AD" w:rsidRPr="00D7320E">
        <w:rPr>
          <w:rStyle w:val="italicus"/>
        </w:rPr>
        <w:t>conveni</w:t>
      </w:r>
      <w:r w:rsidR="00652B4F" w:rsidRPr="00D7320E">
        <w:rPr>
          <w:rStyle w:val="italicus"/>
        </w:rPr>
        <w:t>éntia</w:t>
      </w:r>
      <w:r w:rsidR="00D7320E" w:rsidRPr="00D7320E">
        <w:rPr>
          <w:rStyle w:val="italicus"/>
        </w:rPr>
        <w:t xml:space="preserve"> </w:t>
      </w:r>
      <w:r w:rsidR="00DF496C" w:rsidRPr="00D7320E">
        <w:rPr>
          <w:rStyle w:val="italicus"/>
        </w:rPr>
        <w:t>testimónia</w:t>
      </w:r>
      <w:r w:rsidR="00B704AD" w:rsidRPr="00D7320E">
        <w:rPr>
          <w:rStyle w:val="italicus"/>
        </w:rPr>
        <w:t xml:space="preserve"> non erant</w:t>
      </w:r>
      <w:r w:rsidR="00D7320E">
        <w:t> »</w:t>
      </w:r>
      <w:r w:rsidR="00933C60" w:rsidRPr="00C406FF">
        <w:rPr>
          <w:rStyle w:val="Appelnotedebasdep"/>
        </w:rPr>
        <w:footnoteReference w:id="462"/>
      </w:r>
      <w:r w:rsidR="00B704AD" w:rsidRPr="00C8701B">
        <w:rPr>
          <w:rFonts w:eastAsia="Arial Unicode MS"/>
          <w:bCs/>
          <w:lang w:eastAsia="fr-FR" w:bidi="he-IL"/>
        </w:rPr>
        <w:t>.</w:t>
      </w:r>
      <w:r w:rsidRPr="00C8701B">
        <w:rPr>
          <w:rFonts w:eastAsia="Arial Unicode MS"/>
          <w:bCs/>
          <w:lang w:eastAsia="fr-FR" w:bidi="he-IL"/>
        </w:rPr>
        <w:t xml:space="preserve"> </w:t>
      </w:r>
    </w:p>
    <w:p w:rsidR="00C2602D" w:rsidRPr="00C8701B" w:rsidRDefault="00C2602D" w:rsidP="00C2602D">
      <w:pPr>
        <w:rPr>
          <w:rFonts w:eastAsia="Arial Unicode MS"/>
          <w:bCs/>
          <w:lang w:eastAsia="fr-FR" w:bidi="he-IL"/>
        </w:rPr>
      </w:pPr>
      <w:r w:rsidRPr="00C8701B">
        <w:rPr>
          <w:rFonts w:eastAsia="Arial Unicode MS"/>
          <w:bCs/>
          <w:lang w:eastAsia="fr-FR" w:bidi="he-IL"/>
        </w:rPr>
        <w:t>« </w:t>
      </w:r>
      <w:r w:rsidR="00B704AD" w:rsidRPr="00C8701B">
        <w:rPr>
          <w:rFonts w:eastAsia="Arial Unicode MS"/>
          <w:bCs/>
          <w:lang w:eastAsia="fr-FR" w:bidi="he-IL"/>
        </w:rPr>
        <w:t>Oui le caractère du Christ dépasse absolument le domaine de ses apôtres</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et c</w:t>
      </w:r>
      <w:r w:rsidR="00557DE0">
        <w:rPr>
          <w:rFonts w:eastAsia="Arial Unicode MS"/>
          <w:bCs/>
          <w:lang w:eastAsia="fr-FR" w:bidi="he-IL"/>
        </w:rPr>
        <w:t>’</w:t>
      </w:r>
      <w:r w:rsidR="00D7320E">
        <w:rPr>
          <w:rFonts w:eastAsia="Arial Unicode MS"/>
          <w:bCs/>
          <w:lang w:eastAsia="fr-FR" w:bidi="he-IL"/>
        </w:rPr>
        <w:t>est pourquoi je le cro</w:t>
      </w:r>
      <w:r w:rsidR="00B704AD" w:rsidRPr="00C8701B">
        <w:rPr>
          <w:rFonts w:eastAsia="Arial Unicode MS"/>
          <w:bCs/>
          <w:lang w:eastAsia="fr-FR" w:bidi="he-IL"/>
        </w:rPr>
        <w:t>is vrai</w:t>
      </w:r>
      <w:r w:rsidRPr="00C8701B">
        <w:rPr>
          <w:rFonts w:eastAsia="Arial Unicode MS"/>
          <w:bCs/>
          <w:lang w:eastAsia="fr-FR" w:bidi="he-IL"/>
        </w:rPr>
        <w:t> »</w:t>
      </w:r>
      <w:r w:rsidR="00933C60" w:rsidRPr="00C406FF">
        <w:rPr>
          <w:rStyle w:val="Appelnotedebasdep"/>
        </w:rPr>
        <w:footnoteReference w:id="463"/>
      </w:r>
      <w:r w:rsidR="00B704AD" w:rsidRPr="00C8701B">
        <w:rPr>
          <w:rFonts w:eastAsia="Arial Unicode MS"/>
          <w:bCs/>
          <w:lang w:eastAsia="fr-FR" w:bidi="he-IL"/>
        </w:rPr>
        <w:t>.</w:t>
      </w:r>
      <w:r w:rsidRPr="00C8701B">
        <w:rPr>
          <w:rFonts w:eastAsia="Arial Unicode MS"/>
          <w:bCs/>
          <w:lang w:eastAsia="fr-FR" w:bidi="he-IL"/>
        </w:rPr>
        <w:t xml:space="preserve"> </w:t>
      </w:r>
    </w:p>
    <w:p w:rsidR="00D7320E" w:rsidRDefault="00C2602D" w:rsidP="00C2602D">
      <w:pPr>
        <w:rPr>
          <w:rFonts w:eastAsia="Arial Unicode MS"/>
          <w:bCs/>
          <w:lang w:eastAsia="fr-FR" w:bidi="he-IL"/>
        </w:rPr>
      </w:pPr>
      <w:r w:rsidRPr="00C8701B">
        <w:rPr>
          <w:rFonts w:eastAsia="Arial Unicode MS"/>
          <w:bCs/>
          <w:lang w:eastAsia="fr-FR" w:bidi="he-IL"/>
        </w:rPr>
        <w:t>« </w:t>
      </w:r>
      <w:r w:rsidR="00B704AD" w:rsidRPr="00C8701B">
        <w:rPr>
          <w:rFonts w:eastAsia="Arial Unicode MS"/>
          <w:bCs/>
          <w:lang w:eastAsia="fr-FR" w:bidi="he-IL"/>
        </w:rPr>
        <w:t xml:space="preserve">Je tiens les </w:t>
      </w:r>
      <w:r w:rsidR="000439E9">
        <w:rPr>
          <w:rFonts w:eastAsia="Arial Unicode MS"/>
          <w:bCs/>
          <w:lang w:eastAsia="fr-FR" w:bidi="he-IL"/>
        </w:rPr>
        <w:t>Évangile</w:t>
      </w:r>
      <w:r w:rsidR="00B704AD" w:rsidRPr="00C8701B">
        <w:rPr>
          <w:rFonts w:eastAsia="Arial Unicode MS"/>
          <w:bCs/>
          <w:lang w:eastAsia="fr-FR" w:bidi="he-IL"/>
        </w:rPr>
        <w:t>s pour authentiques</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car il s</w:t>
      </w:r>
      <w:r w:rsidR="00557DE0">
        <w:rPr>
          <w:rFonts w:eastAsia="Arial Unicode MS"/>
          <w:bCs/>
          <w:lang w:eastAsia="fr-FR" w:bidi="he-IL"/>
        </w:rPr>
        <w:t>’</w:t>
      </w:r>
      <w:r w:rsidR="00B704AD" w:rsidRPr="00C8701B">
        <w:rPr>
          <w:rFonts w:eastAsia="Arial Unicode MS"/>
          <w:bCs/>
          <w:lang w:eastAsia="fr-FR" w:bidi="he-IL"/>
        </w:rPr>
        <w:t>y fait sentir l</w:t>
      </w:r>
      <w:r w:rsidR="00557DE0">
        <w:rPr>
          <w:rFonts w:eastAsia="Arial Unicode MS"/>
          <w:bCs/>
          <w:lang w:eastAsia="fr-FR" w:bidi="he-IL"/>
        </w:rPr>
        <w:t>’</w:t>
      </w:r>
      <w:r w:rsidR="00B704AD" w:rsidRPr="00C8701B">
        <w:rPr>
          <w:rFonts w:eastAsia="Arial Unicode MS"/>
          <w:bCs/>
          <w:lang w:eastAsia="fr-FR" w:bidi="he-IL"/>
        </w:rPr>
        <w:t>éclat d</w:t>
      </w:r>
      <w:r w:rsidR="00557DE0">
        <w:rPr>
          <w:rFonts w:eastAsia="Arial Unicode MS"/>
          <w:bCs/>
          <w:lang w:eastAsia="fr-FR" w:bidi="he-IL"/>
        </w:rPr>
        <w:t>’</w:t>
      </w:r>
      <w:r w:rsidR="00B704AD" w:rsidRPr="00C8701B">
        <w:rPr>
          <w:rFonts w:eastAsia="Arial Unicode MS"/>
          <w:bCs/>
          <w:lang w:eastAsia="fr-FR" w:bidi="he-IL"/>
        </w:rPr>
        <w:t>une grandeur qui émanait de la personne du Christ</w:t>
      </w:r>
      <w:r w:rsidR="00E65435">
        <w:rPr>
          <w:rFonts w:eastAsia="Arial Unicode MS"/>
          <w:bCs/>
          <w:lang w:eastAsia="fr-FR" w:bidi="he-IL"/>
        </w:rPr>
        <w:t xml:space="preserve">, </w:t>
      </w:r>
      <w:r w:rsidR="00B704AD" w:rsidRPr="00C8701B">
        <w:rPr>
          <w:rFonts w:eastAsia="Arial Unicode MS"/>
          <w:bCs/>
          <w:lang w:eastAsia="fr-FR" w:bidi="he-IL"/>
        </w:rPr>
        <w:t>et qui est d</w:t>
      </w:r>
      <w:r w:rsidR="00557DE0">
        <w:rPr>
          <w:rFonts w:eastAsia="Arial Unicode MS"/>
          <w:bCs/>
          <w:lang w:eastAsia="fr-FR" w:bidi="he-IL"/>
        </w:rPr>
        <w:t>’</w:t>
      </w:r>
      <w:r w:rsidR="00B704AD" w:rsidRPr="00C8701B">
        <w:rPr>
          <w:rFonts w:eastAsia="Arial Unicode MS"/>
          <w:bCs/>
          <w:lang w:eastAsia="fr-FR" w:bidi="he-IL"/>
        </w:rPr>
        <w:t>un genre divin comme jamais le divin n</w:t>
      </w:r>
      <w:r w:rsidR="00557DE0">
        <w:rPr>
          <w:rFonts w:eastAsia="Arial Unicode MS"/>
          <w:bCs/>
          <w:lang w:eastAsia="fr-FR" w:bidi="he-IL"/>
        </w:rPr>
        <w:t>’</w:t>
      </w:r>
      <w:r w:rsidR="00B704AD" w:rsidRPr="00C8701B">
        <w:rPr>
          <w:rFonts w:eastAsia="Arial Unicode MS"/>
          <w:bCs/>
          <w:lang w:eastAsia="fr-FR" w:bidi="he-IL"/>
        </w:rPr>
        <w:t>est apparu sur la terre</w:t>
      </w:r>
      <w:r w:rsidRPr="00C8701B">
        <w:rPr>
          <w:rFonts w:eastAsia="Arial Unicode MS"/>
          <w:bCs/>
          <w:lang w:eastAsia="fr-FR" w:bidi="he-IL"/>
        </w:rPr>
        <w:t> »</w:t>
      </w:r>
      <w:r w:rsidR="00933C60" w:rsidRPr="00C406FF">
        <w:rPr>
          <w:rStyle w:val="Appelnotedebasdep"/>
        </w:rPr>
        <w:footnoteReference w:id="464"/>
      </w:r>
      <w:r w:rsidR="00B704AD" w:rsidRPr="00C8701B">
        <w:rPr>
          <w:rFonts w:eastAsia="Arial Unicode MS"/>
          <w:bCs/>
          <w:lang w:eastAsia="fr-FR" w:bidi="he-IL"/>
        </w:rPr>
        <w:t>.</w:t>
      </w:r>
      <w:r w:rsidR="00D7320E">
        <w:rPr>
          <w:rFonts w:eastAsia="Arial Unicode MS"/>
          <w:bCs/>
          <w:lang w:eastAsia="fr-FR" w:bidi="he-IL"/>
        </w:rPr>
        <w:t xml:space="preserve"> </w:t>
      </w:r>
    </w:p>
    <w:p w:rsidR="00C2602D" w:rsidRPr="00C8701B" w:rsidRDefault="00D7320E" w:rsidP="00C2602D">
      <w:pPr>
        <w:rPr>
          <w:rFonts w:eastAsia="Arial Unicode MS"/>
          <w:bCs/>
          <w:lang w:eastAsia="fr-FR" w:bidi="he-IL"/>
        </w:rPr>
      </w:pPr>
      <w:r>
        <w:rPr>
          <w:rFonts w:eastAsia="Arial Unicode MS"/>
          <w:bCs/>
          <w:lang w:eastAsia="fr-FR" w:bidi="he-IL"/>
        </w:rPr>
        <w:t>« </w:t>
      </w:r>
      <w:r w:rsidR="00B704AD" w:rsidRPr="00C8701B">
        <w:rPr>
          <w:rFonts w:eastAsia="Arial Unicode MS"/>
          <w:bCs/>
          <w:lang w:eastAsia="fr-FR" w:bidi="he-IL"/>
        </w:rPr>
        <w:t xml:space="preserve">Je me fais fort de montrer que le caractère du Christ des </w:t>
      </w:r>
      <w:r w:rsidR="000439E9">
        <w:rPr>
          <w:rFonts w:eastAsia="Arial Unicode MS"/>
          <w:bCs/>
          <w:lang w:eastAsia="fr-FR" w:bidi="he-IL"/>
        </w:rPr>
        <w:t>Évangile</w:t>
      </w:r>
      <w:r w:rsidR="00B704AD" w:rsidRPr="00C8701B">
        <w:rPr>
          <w:rFonts w:eastAsia="Arial Unicode MS"/>
          <w:bCs/>
          <w:lang w:eastAsia="fr-FR" w:bidi="he-IL"/>
        </w:rPr>
        <w:t>s est parfaitement réel et constant dans tous ses traits essentiels</w:t>
      </w:r>
      <w:r w:rsidR="00E65435">
        <w:rPr>
          <w:rFonts w:eastAsia="Arial Unicode MS"/>
          <w:bCs/>
          <w:lang w:eastAsia="fr-FR" w:bidi="he-IL"/>
        </w:rPr>
        <w:t xml:space="preserve">, </w:t>
      </w:r>
      <w:r w:rsidR="00B704AD" w:rsidRPr="00C8701B">
        <w:rPr>
          <w:rFonts w:eastAsia="Arial Unicode MS"/>
          <w:bCs/>
          <w:lang w:eastAsia="fr-FR" w:bidi="he-IL"/>
        </w:rPr>
        <w:t>et qu</w:t>
      </w:r>
      <w:r w:rsidR="00557DE0">
        <w:rPr>
          <w:rFonts w:eastAsia="Arial Unicode MS"/>
          <w:bCs/>
          <w:lang w:eastAsia="fr-FR" w:bidi="he-IL"/>
        </w:rPr>
        <w:t>’</w:t>
      </w:r>
      <w:r w:rsidR="00B704AD" w:rsidRPr="00C8701B">
        <w:rPr>
          <w:rFonts w:eastAsia="Arial Unicode MS"/>
          <w:bCs/>
          <w:lang w:eastAsia="fr-FR" w:bidi="he-IL"/>
        </w:rPr>
        <w:t>en même temps c</w:t>
      </w:r>
      <w:r w:rsidR="00557DE0">
        <w:rPr>
          <w:rFonts w:eastAsia="Arial Unicode MS"/>
          <w:bCs/>
          <w:lang w:eastAsia="fr-FR" w:bidi="he-IL"/>
        </w:rPr>
        <w:t>’</w:t>
      </w:r>
      <w:r w:rsidR="00B704AD" w:rsidRPr="00C8701B">
        <w:rPr>
          <w:rFonts w:eastAsia="Arial Unicode MS"/>
          <w:bCs/>
          <w:lang w:eastAsia="fr-FR" w:bidi="he-IL"/>
        </w:rPr>
        <w:t>est un caractère si particulier</w:t>
      </w:r>
      <w:r w:rsidR="00E65435">
        <w:rPr>
          <w:rFonts w:eastAsia="Arial Unicode MS"/>
          <w:bCs/>
          <w:lang w:eastAsia="fr-FR" w:bidi="he-IL"/>
        </w:rPr>
        <w:t xml:space="preserve">, </w:t>
      </w:r>
      <w:r w:rsidR="00B704AD" w:rsidRPr="00C8701B">
        <w:rPr>
          <w:rFonts w:eastAsia="Arial Unicode MS"/>
          <w:bCs/>
          <w:lang w:eastAsia="fr-FR" w:bidi="he-IL"/>
        </w:rPr>
        <w:t>si individuel</w:t>
      </w:r>
      <w:r w:rsidR="00E65435">
        <w:rPr>
          <w:rFonts w:eastAsia="Arial Unicode MS"/>
          <w:bCs/>
          <w:lang w:eastAsia="fr-FR" w:bidi="he-IL"/>
        </w:rPr>
        <w:t xml:space="preserve">, </w:t>
      </w:r>
      <w:r w:rsidR="00B704AD" w:rsidRPr="00C8701B">
        <w:rPr>
          <w:rFonts w:eastAsia="Arial Unicode MS"/>
          <w:bCs/>
          <w:lang w:eastAsia="fr-FR" w:bidi="he-IL"/>
        </w:rPr>
        <w:t>qu</w:t>
      </w:r>
      <w:r w:rsidR="00557DE0">
        <w:rPr>
          <w:rFonts w:eastAsia="Arial Unicode MS"/>
          <w:bCs/>
          <w:lang w:eastAsia="fr-FR" w:bidi="he-IL"/>
        </w:rPr>
        <w:t>’</w:t>
      </w:r>
      <w:r>
        <w:rPr>
          <w:rFonts w:eastAsia="Arial Unicode MS"/>
          <w:bCs/>
          <w:lang w:eastAsia="fr-FR" w:bidi="he-IL"/>
        </w:rPr>
        <w:t>il ne saurait avoi</w:t>
      </w:r>
      <w:r w:rsidR="00B704AD" w:rsidRPr="00C8701B">
        <w:rPr>
          <w:rFonts w:eastAsia="Arial Unicode MS"/>
          <w:bCs/>
          <w:lang w:eastAsia="fr-FR" w:bidi="he-IL"/>
        </w:rPr>
        <w:t>r été inventé par le génie d</w:t>
      </w:r>
      <w:r w:rsidR="00557DE0">
        <w:rPr>
          <w:rFonts w:eastAsia="Arial Unicode MS"/>
          <w:bCs/>
          <w:lang w:eastAsia="fr-FR" w:bidi="he-IL"/>
        </w:rPr>
        <w:t>’</w:t>
      </w:r>
      <w:r w:rsidR="00B704AD" w:rsidRPr="00C8701B">
        <w:rPr>
          <w:rFonts w:eastAsia="Arial Unicode MS"/>
          <w:bCs/>
          <w:lang w:eastAsia="fr-FR" w:bidi="he-IL"/>
        </w:rPr>
        <w:t>aucun auteur</w:t>
      </w:r>
      <w:r w:rsidR="00E65435">
        <w:rPr>
          <w:rFonts w:eastAsia="Arial Unicode MS"/>
          <w:bCs/>
          <w:lang w:eastAsia="fr-FR" w:bidi="he-IL"/>
        </w:rPr>
        <w:t xml:space="preserve">, </w:t>
      </w:r>
      <w:r w:rsidR="00B704AD" w:rsidRPr="00C8701B">
        <w:rPr>
          <w:rFonts w:eastAsia="Arial Unicode MS"/>
          <w:bCs/>
          <w:lang w:eastAsia="fr-FR" w:bidi="he-IL"/>
        </w:rPr>
        <w:t>encore moins par ce qu</w:t>
      </w:r>
      <w:r w:rsidR="00557DE0">
        <w:rPr>
          <w:rFonts w:eastAsia="Arial Unicode MS"/>
          <w:bCs/>
          <w:lang w:eastAsia="fr-FR" w:bidi="he-IL"/>
        </w:rPr>
        <w:t>’</w:t>
      </w:r>
      <w:r w:rsidR="00B704AD" w:rsidRPr="00C8701B">
        <w:rPr>
          <w:rFonts w:eastAsia="Arial Unicode MS"/>
          <w:bCs/>
          <w:lang w:eastAsia="fr-FR" w:bidi="he-IL"/>
        </w:rPr>
        <w:t>on appelle la conscience d</w:t>
      </w:r>
      <w:r w:rsidR="00557DE0">
        <w:rPr>
          <w:rFonts w:eastAsia="Arial Unicode MS"/>
          <w:bCs/>
          <w:lang w:eastAsia="fr-FR" w:bidi="he-IL"/>
        </w:rPr>
        <w:t>’</w:t>
      </w:r>
      <w:r w:rsidR="00B704AD" w:rsidRPr="00C8701B">
        <w:rPr>
          <w:rFonts w:eastAsia="Arial Unicode MS"/>
          <w:bCs/>
          <w:lang w:eastAsia="fr-FR" w:bidi="he-IL"/>
        </w:rPr>
        <w:t xml:space="preserve">un siècle. Et si le caractère peint dans les </w:t>
      </w:r>
      <w:r w:rsidR="000439E9">
        <w:rPr>
          <w:rFonts w:eastAsia="Arial Unicode MS"/>
          <w:bCs/>
          <w:lang w:eastAsia="fr-FR" w:bidi="he-IL"/>
        </w:rPr>
        <w:t>Évangile</w:t>
      </w:r>
      <w:r w:rsidR="00B704AD" w:rsidRPr="00C8701B">
        <w:rPr>
          <w:rFonts w:eastAsia="Arial Unicode MS"/>
          <w:bCs/>
          <w:lang w:eastAsia="fr-FR" w:bidi="he-IL"/>
        </w:rPr>
        <w:t>s est réel et historique</w:t>
      </w:r>
      <w:r w:rsidR="00E65435">
        <w:rPr>
          <w:rFonts w:eastAsia="Arial Unicode MS"/>
          <w:bCs/>
          <w:lang w:eastAsia="fr-FR" w:bidi="he-IL"/>
        </w:rPr>
        <w:t xml:space="preserve">, </w:t>
      </w:r>
      <w:r w:rsidR="00B704AD" w:rsidRPr="00C8701B">
        <w:rPr>
          <w:rFonts w:eastAsia="Arial Unicode MS"/>
          <w:bCs/>
          <w:lang w:eastAsia="fr-FR" w:bidi="he-IL"/>
        </w:rPr>
        <w:t xml:space="preserve">comment pourrait-on ne pas admettre que les </w:t>
      </w:r>
      <w:r w:rsidR="000439E9">
        <w:rPr>
          <w:rFonts w:eastAsia="Arial Unicode MS"/>
          <w:bCs/>
          <w:lang w:eastAsia="fr-FR" w:bidi="he-IL"/>
        </w:rPr>
        <w:t>Évangile</w:t>
      </w:r>
      <w:r w:rsidR="00B704AD" w:rsidRPr="00C8701B">
        <w:rPr>
          <w:rFonts w:eastAsia="Arial Unicode MS"/>
          <w:bCs/>
          <w:lang w:eastAsia="fr-FR" w:bidi="he-IL"/>
        </w:rPr>
        <w:t>s sont dignes de foi</w:t>
      </w:r>
      <w:r>
        <w:rPr>
          <w:rFonts w:eastAsia="Arial Unicode MS"/>
          <w:bCs/>
          <w:lang w:eastAsia="fr-FR" w:bidi="he-IL"/>
        </w:rPr>
        <w:t> »</w:t>
      </w:r>
      <w:r w:rsidR="00933C60" w:rsidRPr="00C406FF">
        <w:rPr>
          <w:rStyle w:val="Appelnotedebasdep"/>
        </w:rPr>
        <w:footnoteReference w:id="465"/>
      </w:r>
      <w:r w:rsidR="00C2602D" w:rsidRPr="00C8701B">
        <w:rPr>
          <w:rFonts w:eastAsia="Arial Unicode MS"/>
          <w:bCs/>
          <w:lang w:eastAsia="fr-FR" w:bidi="he-IL"/>
        </w:rPr>
        <w:t xml:space="preserve"> ? </w:t>
      </w:r>
    </w:p>
    <w:p w:rsidR="00C2602D" w:rsidRPr="00C8701B" w:rsidRDefault="00C2602D" w:rsidP="00C2602D">
      <w:pPr>
        <w:rPr>
          <w:rFonts w:eastAsia="Arial Unicode MS"/>
          <w:bCs/>
          <w:lang w:eastAsia="fr-FR" w:bidi="he-IL"/>
        </w:rPr>
      </w:pPr>
      <w:r w:rsidRPr="00C8701B">
        <w:rPr>
          <w:rFonts w:eastAsia="Arial Unicode MS"/>
          <w:bCs/>
          <w:lang w:eastAsia="fr-FR" w:bidi="he-IL"/>
        </w:rPr>
        <w:t>« </w:t>
      </w:r>
      <w:r w:rsidR="00B704AD" w:rsidRPr="00C8701B">
        <w:rPr>
          <w:rFonts w:eastAsia="Arial Unicode MS"/>
          <w:bCs/>
          <w:lang w:eastAsia="fr-FR" w:bidi="he-IL"/>
        </w:rPr>
        <w:t>Cela n</w:t>
      </w:r>
      <w:r w:rsidR="00557DE0">
        <w:rPr>
          <w:rFonts w:eastAsia="Arial Unicode MS"/>
          <w:bCs/>
          <w:lang w:eastAsia="fr-FR" w:bidi="he-IL"/>
        </w:rPr>
        <w:t>’</w:t>
      </w:r>
      <w:r w:rsidR="00B704AD" w:rsidRPr="00C8701B">
        <w:rPr>
          <w:rFonts w:eastAsia="Arial Unicode MS"/>
          <w:bCs/>
          <w:lang w:eastAsia="fr-FR" w:bidi="he-IL"/>
        </w:rPr>
        <w:t>a</w:t>
      </w:r>
      <w:r w:rsidR="00D7320E">
        <w:rPr>
          <w:rFonts w:eastAsia="Arial Unicode MS"/>
          <w:bCs/>
          <w:lang w:eastAsia="fr-FR" w:bidi="he-IL"/>
        </w:rPr>
        <w:t xml:space="preserve"> </w:t>
      </w:r>
      <w:r w:rsidR="00B704AD" w:rsidRPr="00C8701B">
        <w:rPr>
          <w:rFonts w:eastAsia="Arial Unicode MS"/>
          <w:bCs/>
          <w:lang w:eastAsia="fr-FR" w:bidi="he-IL"/>
        </w:rPr>
        <w:t>pas pu être inventé</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aucun homme naturel n</w:t>
      </w:r>
      <w:r w:rsidR="00557DE0">
        <w:rPr>
          <w:rFonts w:eastAsia="Arial Unicode MS"/>
          <w:bCs/>
          <w:lang w:eastAsia="fr-FR" w:bidi="he-IL"/>
        </w:rPr>
        <w:t>’</w:t>
      </w:r>
      <w:r w:rsidR="00B704AD" w:rsidRPr="00C8701B">
        <w:rPr>
          <w:rFonts w:eastAsia="Arial Unicode MS"/>
          <w:bCs/>
          <w:lang w:eastAsia="fr-FR" w:bidi="he-IL"/>
        </w:rPr>
        <w:t>en était capable</w:t>
      </w:r>
      <w:r w:rsidRPr="00C8701B">
        <w:rPr>
          <w:rFonts w:eastAsia="Arial Unicode MS"/>
          <w:bCs/>
          <w:lang w:eastAsia="fr-FR" w:bidi="he-IL"/>
        </w:rPr>
        <w:t> »</w:t>
      </w:r>
      <w:r w:rsidR="00933C60" w:rsidRPr="00C406FF">
        <w:rPr>
          <w:rStyle w:val="Appelnotedebasdep"/>
        </w:rPr>
        <w:footnoteReference w:id="466"/>
      </w:r>
      <w:r w:rsidR="00B704AD" w:rsidRPr="00C8701B">
        <w:rPr>
          <w:rFonts w:eastAsia="Arial Unicode MS"/>
          <w:bCs/>
          <w:lang w:eastAsia="fr-FR" w:bidi="he-IL"/>
        </w:rPr>
        <w:t>.</w:t>
      </w:r>
      <w:r w:rsidRPr="00C8701B">
        <w:rPr>
          <w:rFonts w:eastAsia="Arial Unicode MS"/>
          <w:bCs/>
          <w:lang w:eastAsia="fr-FR" w:bidi="he-IL"/>
        </w:rPr>
        <w:t xml:space="preserve"> </w:t>
      </w:r>
    </w:p>
    <w:p w:rsidR="00C2602D" w:rsidRPr="00C8701B" w:rsidRDefault="00F12048" w:rsidP="00C2602D">
      <w:pPr>
        <w:rPr>
          <w:rFonts w:eastAsia="Arial Unicode MS"/>
          <w:bCs/>
          <w:lang w:eastAsia="fr-FR" w:bidi="he-IL"/>
        </w:rPr>
      </w:pPr>
      <w:r w:rsidRPr="00C8701B">
        <w:rPr>
          <w:rFonts w:eastAsia="Arial Unicode MS"/>
          <w:bCs/>
          <w:lang w:eastAsia="fr-FR" w:bidi="he-IL"/>
        </w:rPr>
        <w:t>« </w:t>
      </w:r>
      <w:r w:rsidR="00D7320E">
        <w:rPr>
          <w:rFonts w:eastAsia="Arial Unicode MS"/>
          <w:bCs/>
          <w:lang w:eastAsia="fr-FR" w:bidi="he-IL"/>
        </w:rPr>
        <w:t>Quand</w:t>
      </w:r>
      <w:r w:rsidR="00B704AD" w:rsidRPr="00C8701B">
        <w:rPr>
          <w:rFonts w:eastAsia="Arial Unicode MS"/>
          <w:bCs/>
          <w:lang w:eastAsia="fr-FR" w:bidi="he-IL"/>
        </w:rPr>
        <w:t xml:space="preserve"> un si grand nombre de théologiens libres-penseurs me certifient qu</w:t>
      </w:r>
      <w:r w:rsidR="00557DE0">
        <w:rPr>
          <w:rFonts w:eastAsia="Arial Unicode MS"/>
          <w:bCs/>
          <w:lang w:eastAsia="fr-FR" w:bidi="he-IL"/>
        </w:rPr>
        <w:t>’</w:t>
      </w:r>
      <w:r w:rsidR="00B704AD" w:rsidRPr="00C8701B">
        <w:rPr>
          <w:rFonts w:eastAsia="Arial Unicode MS"/>
          <w:bCs/>
          <w:lang w:eastAsia="fr-FR" w:bidi="he-IL"/>
        </w:rPr>
        <w:t>ils ne sont mus que par l</w:t>
      </w:r>
      <w:r w:rsidR="00557DE0">
        <w:rPr>
          <w:rFonts w:eastAsia="Arial Unicode MS"/>
          <w:bCs/>
          <w:lang w:eastAsia="fr-FR" w:bidi="he-IL"/>
        </w:rPr>
        <w:t>’</w:t>
      </w:r>
      <w:r w:rsidR="00B704AD" w:rsidRPr="00C8701B">
        <w:rPr>
          <w:rFonts w:eastAsia="Arial Unicode MS"/>
          <w:bCs/>
          <w:lang w:eastAsia="fr-FR" w:bidi="he-IL"/>
        </w:rPr>
        <w:t>intérêt historique</w:t>
      </w:r>
      <w:r w:rsidR="00E65435">
        <w:rPr>
          <w:rFonts w:eastAsia="Arial Unicode MS"/>
          <w:bCs/>
          <w:lang w:eastAsia="fr-FR" w:bidi="he-IL"/>
        </w:rPr>
        <w:t xml:space="preserve">, </w:t>
      </w:r>
      <w:r w:rsidR="00B704AD" w:rsidRPr="00C8701B">
        <w:rPr>
          <w:rFonts w:eastAsia="Arial Unicode MS"/>
          <w:bCs/>
          <w:lang w:eastAsia="fr-FR" w:bidi="he-IL"/>
        </w:rPr>
        <w:t>je me garde bien de les croire</w:t>
      </w:r>
      <w:r w:rsidR="00E65435">
        <w:rPr>
          <w:rFonts w:eastAsia="Arial Unicode MS"/>
          <w:bCs/>
          <w:lang w:eastAsia="fr-FR" w:bidi="he-IL"/>
        </w:rPr>
        <w:t xml:space="preserve">, </w:t>
      </w:r>
      <w:r w:rsidR="00B704AD" w:rsidRPr="00C8701B">
        <w:rPr>
          <w:rFonts w:eastAsia="Arial Unicode MS"/>
          <w:bCs/>
          <w:lang w:eastAsia="fr-FR" w:bidi="he-IL"/>
        </w:rPr>
        <w:t>attendu que cette position n</w:t>
      </w:r>
      <w:r w:rsidR="00557DE0">
        <w:rPr>
          <w:rFonts w:eastAsia="Arial Unicode MS"/>
          <w:bCs/>
          <w:lang w:eastAsia="fr-FR" w:bidi="he-IL"/>
        </w:rPr>
        <w:t>’</w:t>
      </w:r>
      <w:r w:rsidR="00B704AD" w:rsidRPr="00C8701B">
        <w:rPr>
          <w:rFonts w:eastAsia="Arial Unicode MS"/>
          <w:bCs/>
          <w:lang w:eastAsia="fr-FR" w:bidi="he-IL"/>
        </w:rPr>
        <w:t>est ni louable</w:t>
      </w:r>
      <w:r w:rsidR="00E65435">
        <w:rPr>
          <w:rFonts w:eastAsia="Arial Unicode MS"/>
          <w:bCs/>
          <w:lang w:eastAsia="fr-FR" w:bidi="he-IL"/>
        </w:rPr>
        <w:t xml:space="preserve">, </w:t>
      </w:r>
      <w:r w:rsidR="00B704AD" w:rsidRPr="00C8701B">
        <w:rPr>
          <w:rFonts w:eastAsia="Arial Unicode MS"/>
          <w:bCs/>
          <w:lang w:eastAsia="fr-FR" w:bidi="he-IL"/>
        </w:rPr>
        <w:t>ni mê</w:t>
      </w:r>
      <w:r w:rsidR="00D7320E">
        <w:rPr>
          <w:rFonts w:eastAsia="Arial Unicode MS"/>
          <w:bCs/>
          <w:lang w:eastAsia="fr-FR" w:bidi="he-IL"/>
        </w:rPr>
        <w:t>me possib</w:t>
      </w:r>
      <w:r w:rsidR="00B704AD" w:rsidRPr="00C8701B">
        <w:rPr>
          <w:rFonts w:eastAsia="Arial Unicode MS"/>
          <w:bCs/>
          <w:lang w:eastAsia="fr-FR" w:bidi="he-IL"/>
        </w:rPr>
        <w:t>le. Quand on écrit sur les pharaons</w:t>
      </w:r>
      <w:r w:rsidR="00E65435">
        <w:rPr>
          <w:rFonts w:eastAsia="Arial Unicode MS"/>
          <w:bCs/>
          <w:lang w:eastAsia="fr-FR" w:bidi="he-IL"/>
        </w:rPr>
        <w:t xml:space="preserve">, </w:t>
      </w:r>
      <w:r w:rsidR="00B704AD" w:rsidRPr="00C8701B">
        <w:rPr>
          <w:rFonts w:eastAsia="Arial Unicode MS"/>
          <w:bCs/>
          <w:lang w:eastAsia="fr-FR" w:bidi="he-IL"/>
        </w:rPr>
        <w:t>on peut être mu par un intérêt historique</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mais le christianisme est une force tellement vivante</w:t>
      </w:r>
      <w:r w:rsidR="00E65435">
        <w:rPr>
          <w:rFonts w:eastAsia="Arial Unicode MS"/>
          <w:bCs/>
          <w:lang w:eastAsia="fr-FR" w:bidi="he-IL"/>
        </w:rPr>
        <w:t xml:space="preserve">, </w:t>
      </w:r>
      <w:r w:rsidR="00B704AD" w:rsidRPr="00C8701B">
        <w:rPr>
          <w:rFonts w:eastAsia="Arial Unicode MS"/>
          <w:bCs/>
          <w:lang w:eastAsia="fr-FR" w:bidi="he-IL"/>
        </w:rPr>
        <w:t>il renferme de telles conséquences pour les temps présents</w:t>
      </w:r>
      <w:r w:rsidR="00E65435">
        <w:rPr>
          <w:rFonts w:eastAsia="Arial Unicode MS"/>
          <w:bCs/>
          <w:lang w:eastAsia="fr-FR" w:bidi="he-IL"/>
        </w:rPr>
        <w:t xml:space="preserve">, </w:t>
      </w:r>
      <w:r w:rsidR="00B704AD" w:rsidRPr="00C8701B">
        <w:rPr>
          <w:rFonts w:eastAsia="Arial Unicode MS"/>
          <w:bCs/>
          <w:lang w:eastAsia="fr-FR" w:bidi="he-IL"/>
        </w:rPr>
        <w:t>qu</w:t>
      </w:r>
      <w:r w:rsidR="00557DE0">
        <w:rPr>
          <w:rFonts w:eastAsia="Arial Unicode MS"/>
          <w:bCs/>
          <w:lang w:eastAsia="fr-FR" w:bidi="he-IL"/>
        </w:rPr>
        <w:t>’</w:t>
      </w:r>
      <w:r w:rsidR="00B704AD" w:rsidRPr="00C8701B">
        <w:rPr>
          <w:rFonts w:eastAsia="Arial Unicode MS"/>
          <w:bCs/>
          <w:lang w:eastAsia="fr-FR" w:bidi="he-IL"/>
        </w:rPr>
        <w:t>il faudrait n</w:t>
      </w:r>
      <w:r w:rsidR="00557DE0">
        <w:rPr>
          <w:rFonts w:eastAsia="Arial Unicode MS"/>
          <w:bCs/>
          <w:lang w:eastAsia="fr-FR" w:bidi="he-IL"/>
        </w:rPr>
        <w:t>’</w:t>
      </w:r>
      <w:r w:rsidR="00B704AD" w:rsidRPr="00C8701B">
        <w:rPr>
          <w:rFonts w:eastAsia="Arial Unicode MS"/>
          <w:bCs/>
          <w:lang w:eastAsia="fr-FR" w:bidi="he-IL"/>
        </w:rPr>
        <w:t>être</w:t>
      </w:r>
      <w:r w:rsidR="00C2602D" w:rsidRPr="00C8701B">
        <w:rPr>
          <w:rFonts w:eastAsia="Arial Unicode MS"/>
          <w:bCs/>
          <w:lang w:eastAsia="fr-FR" w:bidi="he-IL"/>
        </w:rPr>
        <w:t xml:space="preserve"> </w:t>
      </w:r>
      <w:r w:rsidR="00D7320E">
        <w:rPr>
          <w:rFonts w:eastAsia="Arial Unicode MS"/>
          <w:bCs/>
          <w:lang w:eastAsia="fr-FR" w:bidi="he-IL"/>
        </w:rPr>
        <w:t>{85</w:t>
      </w:r>
      <w:bookmarkStart w:id="134" w:name="pag085"/>
      <w:bookmarkEnd w:id="134"/>
      <w:r w:rsidR="00D7320E">
        <w:rPr>
          <w:rFonts w:eastAsia="Arial Unicode MS"/>
          <w:bCs/>
          <w:lang w:eastAsia="fr-FR" w:bidi="he-IL"/>
        </w:rPr>
        <w:t xml:space="preserve">} </w:t>
      </w:r>
      <w:r w:rsidR="00B704AD" w:rsidRPr="00C8701B">
        <w:rPr>
          <w:rFonts w:eastAsia="Arial Unicode MS"/>
          <w:bCs/>
          <w:lang w:eastAsia="fr-FR" w:bidi="he-IL"/>
        </w:rPr>
        <w:t>qu</w:t>
      </w:r>
      <w:r w:rsidR="00557DE0">
        <w:rPr>
          <w:rFonts w:eastAsia="Arial Unicode MS"/>
          <w:bCs/>
          <w:lang w:eastAsia="fr-FR" w:bidi="he-IL"/>
        </w:rPr>
        <w:t>’</w:t>
      </w:r>
      <w:r w:rsidR="00B704AD" w:rsidRPr="00C8701B">
        <w:rPr>
          <w:rFonts w:eastAsia="Arial Unicode MS"/>
          <w:bCs/>
          <w:lang w:eastAsia="fr-FR" w:bidi="he-IL"/>
        </w:rPr>
        <w:t>un chercheur idiot</w:t>
      </w:r>
      <w:r w:rsidR="00B704AD" w:rsidRPr="00DC4586">
        <w:rPr>
          <w:rStyle w:val="italicus"/>
        </w:rPr>
        <w:t xml:space="preserve"> </w:t>
      </w:r>
      <w:r w:rsidR="00B704AD" w:rsidRPr="00C8701B">
        <w:rPr>
          <w:rFonts w:eastAsia="Arial Unicode MS"/>
          <w:bCs/>
          <w:iCs/>
          <w:lang w:eastAsia="fr-FR" w:bidi="he-IL"/>
        </w:rPr>
        <w:t>(</w:t>
      </w:r>
      <w:r w:rsidR="00B704AD" w:rsidRPr="00DC4586">
        <w:rPr>
          <w:rStyle w:val="italicus"/>
        </w:rPr>
        <w:t>sic</w:t>
      </w:r>
      <w:r w:rsidR="00B704AD" w:rsidRPr="00C8701B">
        <w:rPr>
          <w:rFonts w:eastAsia="Arial Unicode MS"/>
          <w:bCs/>
          <w:iCs/>
          <w:lang w:eastAsia="fr-FR" w:bidi="he-IL"/>
        </w:rPr>
        <w:t>)</w:t>
      </w:r>
      <w:r w:rsidR="00D7320E">
        <w:rPr>
          <w:rFonts w:eastAsia="Arial Unicode MS"/>
          <w:bCs/>
          <w:lang w:eastAsia="fr-FR" w:bidi="he-IL"/>
        </w:rPr>
        <w:t xml:space="preserve"> pour ne décider</w:t>
      </w:r>
      <w:r w:rsidR="00B704AD" w:rsidRPr="00C8701B">
        <w:rPr>
          <w:rFonts w:eastAsia="Arial Unicode MS"/>
          <w:bCs/>
          <w:lang w:eastAsia="fr-FR" w:bidi="he-IL"/>
        </w:rPr>
        <w:t xml:space="preserve"> cette question qu</w:t>
      </w:r>
      <w:r w:rsidR="00557DE0">
        <w:rPr>
          <w:rFonts w:eastAsia="Arial Unicode MS"/>
          <w:bCs/>
          <w:lang w:eastAsia="fr-FR" w:bidi="he-IL"/>
        </w:rPr>
        <w:t>’</w:t>
      </w:r>
      <w:r w:rsidR="00B704AD" w:rsidRPr="00C8701B">
        <w:rPr>
          <w:rFonts w:eastAsia="Arial Unicode MS"/>
          <w:bCs/>
          <w:lang w:eastAsia="fr-FR" w:bidi="he-IL"/>
        </w:rPr>
        <w:t>au point de</w:t>
      </w:r>
      <w:r w:rsidR="00C2602D" w:rsidRPr="00C8701B">
        <w:rPr>
          <w:rFonts w:eastAsia="Arial Unicode MS"/>
          <w:bCs/>
          <w:lang w:eastAsia="fr-FR" w:bidi="he-IL"/>
        </w:rPr>
        <w:t xml:space="preserve"> </w:t>
      </w:r>
      <w:r w:rsidR="00B704AD" w:rsidRPr="00C8701B">
        <w:rPr>
          <w:rFonts w:eastAsia="Arial Unicode MS"/>
          <w:bCs/>
          <w:lang w:eastAsia="fr-FR" w:bidi="he-IL"/>
        </w:rPr>
        <w:t>vue de l</w:t>
      </w:r>
      <w:r w:rsidR="00557DE0">
        <w:rPr>
          <w:rFonts w:eastAsia="Arial Unicode MS"/>
          <w:bCs/>
          <w:lang w:eastAsia="fr-FR" w:bidi="he-IL"/>
        </w:rPr>
        <w:t>’</w:t>
      </w:r>
      <w:r w:rsidR="00D7320E">
        <w:rPr>
          <w:rFonts w:eastAsia="Arial Unicode MS"/>
          <w:bCs/>
          <w:lang w:eastAsia="fr-FR" w:bidi="he-IL"/>
        </w:rPr>
        <w:t>histoire »</w:t>
      </w:r>
      <w:r w:rsidR="00933C60" w:rsidRPr="00C406FF">
        <w:rPr>
          <w:rStyle w:val="Appelnotedebasdep"/>
        </w:rPr>
        <w:footnoteReference w:id="467"/>
      </w:r>
      <w:r w:rsidR="00B704AD" w:rsidRPr="00C8701B">
        <w:rPr>
          <w:rFonts w:eastAsia="Arial Unicode MS"/>
          <w:bCs/>
          <w:lang w:eastAsia="fr-FR" w:bidi="he-IL"/>
        </w:rPr>
        <w:t>.</w:t>
      </w:r>
      <w:r w:rsidR="00C2602D" w:rsidRPr="00C8701B">
        <w:rPr>
          <w:rFonts w:eastAsia="Arial Unicode MS"/>
          <w:bCs/>
          <w:lang w:eastAsia="fr-FR" w:bidi="he-IL"/>
        </w:rPr>
        <w:t xml:space="preserve"> </w:t>
      </w:r>
    </w:p>
    <w:p w:rsidR="001E41D1" w:rsidRDefault="00C2602D" w:rsidP="00C2602D">
      <w:pPr>
        <w:rPr>
          <w:rFonts w:eastAsia="Arial Unicode MS"/>
          <w:bCs/>
          <w:lang w:eastAsia="fr-FR" w:bidi="he-IL"/>
        </w:rPr>
      </w:pPr>
      <w:r w:rsidRPr="00C8701B">
        <w:rPr>
          <w:rFonts w:eastAsia="Arial Unicode MS"/>
          <w:bCs/>
          <w:lang w:eastAsia="fr-FR" w:bidi="he-IL"/>
        </w:rPr>
        <w:t>« </w:t>
      </w:r>
      <w:r w:rsidR="00B704AD" w:rsidRPr="00C8701B">
        <w:rPr>
          <w:rFonts w:eastAsia="Arial Unicode MS"/>
          <w:bCs/>
          <w:lang w:eastAsia="fr-FR" w:bidi="he-IL"/>
        </w:rPr>
        <w:t>Ni un écrivain</w:t>
      </w:r>
      <w:r w:rsidR="00E65435">
        <w:rPr>
          <w:rFonts w:eastAsia="Arial Unicode MS"/>
          <w:bCs/>
          <w:lang w:eastAsia="fr-FR" w:bidi="he-IL"/>
        </w:rPr>
        <w:t xml:space="preserve">, </w:t>
      </w:r>
      <w:r w:rsidR="00B704AD" w:rsidRPr="00D7320E">
        <w:t>ni</w:t>
      </w:r>
      <w:r w:rsidR="00B704AD" w:rsidRPr="00C8701B">
        <w:rPr>
          <w:rFonts w:eastAsia="Arial Unicode MS"/>
          <w:bCs/>
          <w:lang w:eastAsia="fr-FR" w:bidi="he-IL"/>
        </w:rPr>
        <w:t xml:space="preserve"> plusieurs</w:t>
      </w:r>
      <w:r w:rsidR="00E65435">
        <w:rPr>
          <w:rFonts w:eastAsia="Arial Unicode MS"/>
          <w:bCs/>
          <w:lang w:eastAsia="fr-FR" w:bidi="he-IL"/>
        </w:rPr>
        <w:t xml:space="preserve">, </w:t>
      </w:r>
      <w:r w:rsidR="00B704AD" w:rsidRPr="00C8701B">
        <w:rPr>
          <w:rFonts w:eastAsia="Arial Unicode MS"/>
          <w:bCs/>
          <w:lang w:eastAsia="fr-FR" w:bidi="he-IL"/>
        </w:rPr>
        <w:t>s</w:t>
      </w:r>
      <w:r w:rsidR="00557DE0">
        <w:rPr>
          <w:rFonts w:eastAsia="Arial Unicode MS"/>
          <w:bCs/>
          <w:lang w:eastAsia="fr-FR" w:bidi="he-IL"/>
        </w:rPr>
        <w:t>’</w:t>
      </w:r>
      <w:r w:rsidR="00D7320E">
        <w:rPr>
          <w:rFonts w:eastAsia="Arial Unicode MS"/>
          <w:bCs/>
          <w:lang w:eastAsia="fr-FR" w:bidi="he-IL"/>
        </w:rPr>
        <w:t>entendant ou ne s</w:t>
      </w:r>
      <w:r w:rsidR="00557DE0">
        <w:rPr>
          <w:rFonts w:eastAsia="Arial Unicode MS"/>
          <w:bCs/>
          <w:lang w:eastAsia="fr-FR" w:bidi="he-IL"/>
        </w:rPr>
        <w:t>’</w:t>
      </w:r>
      <w:r w:rsidR="00B704AD" w:rsidRPr="00C8701B">
        <w:rPr>
          <w:rFonts w:eastAsia="Arial Unicode MS"/>
          <w:bCs/>
          <w:lang w:eastAsia="fr-FR" w:bidi="he-IL"/>
        </w:rPr>
        <w:t>entendant pas</w:t>
      </w:r>
      <w:r w:rsidR="00E65435">
        <w:rPr>
          <w:rFonts w:eastAsia="Arial Unicode MS"/>
          <w:bCs/>
          <w:lang w:eastAsia="fr-FR" w:bidi="he-IL"/>
        </w:rPr>
        <w:t xml:space="preserve">, </w:t>
      </w:r>
      <w:r w:rsidR="00B704AD" w:rsidRPr="00C8701B">
        <w:rPr>
          <w:rFonts w:eastAsia="Arial Unicode MS"/>
          <w:bCs/>
          <w:lang w:eastAsia="fr-FR" w:bidi="he-IL"/>
        </w:rPr>
        <w:t>n</w:t>
      </w:r>
      <w:r w:rsidR="00557DE0">
        <w:rPr>
          <w:rFonts w:eastAsia="Arial Unicode MS"/>
          <w:bCs/>
          <w:lang w:eastAsia="fr-FR" w:bidi="he-IL"/>
        </w:rPr>
        <w:t>’</w:t>
      </w:r>
      <w:r w:rsidR="00B704AD" w:rsidRPr="00C8701B">
        <w:rPr>
          <w:rFonts w:eastAsia="Arial Unicode MS"/>
          <w:bCs/>
          <w:lang w:eastAsia="fr-FR" w:bidi="he-IL"/>
        </w:rPr>
        <w:t>auraient pu créer un caractère qui dépasse si complètement et si absolument les données de l</w:t>
      </w:r>
      <w:r w:rsidR="00557DE0">
        <w:rPr>
          <w:rFonts w:eastAsia="Arial Unicode MS"/>
          <w:bCs/>
          <w:lang w:eastAsia="fr-FR" w:bidi="he-IL"/>
        </w:rPr>
        <w:t>’</w:t>
      </w:r>
      <w:r w:rsidR="00B704AD" w:rsidRPr="00C8701B">
        <w:rPr>
          <w:rFonts w:eastAsia="Arial Unicode MS"/>
          <w:bCs/>
          <w:lang w:eastAsia="fr-FR" w:bidi="he-IL"/>
        </w:rPr>
        <w:t>esprit humain</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et on veut qu</w:t>
      </w:r>
      <w:r w:rsidR="00557DE0">
        <w:rPr>
          <w:rFonts w:eastAsia="Arial Unicode MS"/>
          <w:bCs/>
          <w:lang w:eastAsia="fr-FR" w:bidi="he-IL"/>
        </w:rPr>
        <w:t>’</w:t>
      </w:r>
      <w:r w:rsidR="00D7320E">
        <w:rPr>
          <w:rFonts w:eastAsia="Arial Unicode MS"/>
          <w:bCs/>
          <w:lang w:eastAsia="fr-FR" w:bidi="he-IL"/>
        </w:rPr>
        <w:t>il soit sorti de l</w:t>
      </w:r>
      <w:r w:rsidR="00557DE0">
        <w:rPr>
          <w:rFonts w:eastAsia="Arial Unicode MS"/>
          <w:bCs/>
          <w:lang w:eastAsia="fr-FR" w:bidi="he-IL"/>
        </w:rPr>
        <w:t>’</w:t>
      </w:r>
      <w:r w:rsidR="00D7320E">
        <w:rPr>
          <w:rFonts w:eastAsia="Arial Unicode MS"/>
          <w:bCs/>
          <w:lang w:eastAsia="fr-FR" w:bidi="he-IL"/>
        </w:rPr>
        <w:t>in</w:t>
      </w:r>
      <w:r w:rsidR="00B704AD" w:rsidRPr="00C8701B">
        <w:rPr>
          <w:rFonts w:eastAsia="Arial Unicode MS"/>
          <w:bCs/>
          <w:lang w:eastAsia="fr-FR" w:bidi="he-IL"/>
        </w:rPr>
        <w:t>cubation lente</w:t>
      </w:r>
      <w:r w:rsidR="00E65435">
        <w:rPr>
          <w:rFonts w:eastAsia="Arial Unicode MS"/>
          <w:bCs/>
          <w:lang w:eastAsia="fr-FR" w:bidi="he-IL"/>
        </w:rPr>
        <w:t xml:space="preserve">, </w:t>
      </w:r>
      <w:r w:rsidR="00B704AD" w:rsidRPr="00C8701B">
        <w:rPr>
          <w:rFonts w:eastAsia="Arial Unicode MS"/>
          <w:bCs/>
          <w:lang w:eastAsia="fr-FR" w:bidi="he-IL"/>
        </w:rPr>
        <w:t>profonde</w:t>
      </w:r>
      <w:r w:rsidR="00E65435">
        <w:rPr>
          <w:rFonts w:eastAsia="Arial Unicode MS"/>
          <w:bCs/>
          <w:lang w:eastAsia="fr-FR" w:bidi="he-IL"/>
        </w:rPr>
        <w:t xml:space="preserve">, </w:t>
      </w:r>
      <w:r w:rsidR="00B704AD" w:rsidRPr="00C8701B">
        <w:rPr>
          <w:rFonts w:eastAsia="Arial Unicode MS"/>
          <w:bCs/>
          <w:lang w:eastAsia="fr-FR" w:bidi="he-IL"/>
        </w:rPr>
        <w:t>inconsciente du peuple</w:t>
      </w:r>
      <w:r w:rsidRPr="00C8701B">
        <w:rPr>
          <w:rFonts w:eastAsia="Arial Unicode MS"/>
          <w:bCs/>
          <w:lang w:eastAsia="fr-FR" w:bidi="he-IL"/>
        </w:rPr>
        <w:t> !</w:t>
      </w:r>
      <w:r w:rsidR="00B704AD" w:rsidRPr="00C8701B">
        <w:rPr>
          <w:rFonts w:eastAsia="Arial Unicode MS"/>
          <w:bCs/>
          <w:lang w:eastAsia="fr-FR" w:bidi="he-IL"/>
        </w:rPr>
        <w:t xml:space="preserve"> Le plus beau livre qui ait jamais éclairé</w:t>
      </w:r>
      <w:r w:rsidR="00E65435">
        <w:rPr>
          <w:rFonts w:eastAsia="Arial Unicode MS"/>
          <w:bCs/>
          <w:lang w:eastAsia="fr-FR" w:bidi="he-IL"/>
        </w:rPr>
        <w:t xml:space="preserve">, </w:t>
      </w:r>
      <w:r w:rsidR="00B704AD" w:rsidRPr="00C8701B">
        <w:rPr>
          <w:rFonts w:eastAsia="Arial Unicode MS"/>
          <w:bCs/>
          <w:lang w:eastAsia="fr-FR" w:bidi="he-IL"/>
        </w:rPr>
        <w:t>consolé</w:t>
      </w:r>
      <w:r w:rsidR="00E65435">
        <w:rPr>
          <w:rFonts w:eastAsia="Arial Unicode MS"/>
          <w:bCs/>
          <w:lang w:eastAsia="fr-FR" w:bidi="he-IL"/>
        </w:rPr>
        <w:t xml:space="preserve">, </w:t>
      </w:r>
      <w:r w:rsidR="00B704AD" w:rsidRPr="00C8701B">
        <w:rPr>
          <w:rFonts w:eastAsia="Arial Unicode MS"/>
          <w:bCs/>
          <w:lang w:eastAsia="fr-FR" w:bidi="he-IL"/>
        </w:rPr>
        <w:t>enchanté l</w:t>
      </w:r>
      <w:r w:rsidR="00557DE0">
        <w:rPr>
          <w:rFonts w:eastAsia="Arial Unicode MS"/>
          <w:bCs/>
          <w:lang w:eastAsia="fr-FR" w:bidi="he-IL"/>
        </w:rPr>
        <w:t>’</w:t>
      </w:r>
      <w:r w:rsidR="00B704AD" w:rsidRPr="00C8701B">
        <w:rPr>
          <w:rFonts w:eastAsia="Arial Unicode MS"/>
          <w:bCs/>
          <w:lang w:eastAsia="fr-FR" w:bidi="he-IL"/>
        </w:rPr>
        <w:t>humanité</w:t>
      </w:r>
      <w:r w:rsidR="00E65435">
        <w:rPr>
          <w:rFonts w:eastAsia="Arial Unicode MS"/>
          <w:bCs/>
          <w:lang w:eastAsia="fr-FR" w:bidi="he-IL"/>
        </w:rPr>
        <w:t xml:space="preserve">, </w:t>
      </w:r>
      <w:r w:rsidR="00B704AD" w:rsidRPr="00C8701B">
        <w:rPr>
          <w:rFonts w:eastAsia="Arial Unicode MS"/>
          <w:bCs/>
          <w:lang w:eastAsia="fr-FR" w:bidi="he-IL"/>
        </w:rPr>
        <w:t xml:space="preserve">aurait été </w:t>
      </w:r>
      <w:r w:rsidR="00DF496C" w:rsidRPr="00C8701B">
        <w:rPr>
          <w:rFonts w:eastAsia="Arial Unicode MS"/>
          <w:bCs/>
          <w:lang w:eastAsia="fr-FR" w:bidi="he-IL"/>
        </w:rPr>
        <w:t>créé</w:t>
      </w:r>
      <w:r w:rsidR="00B704AD" w:rsidRPr="00C8701B">
        <w:rPr>
          <w:rFonts w:eastAsia="Arial Unicode MS"/>
          <w:bCs/>
          <w:lang w:eastAsia="fr-FR" w:bidi="he-IL"/>
        </w:rPr>
        <w:t xml:space="preserve"> par tout le monde</w:t>
      </w:r>
      <w:r w:rsidR="00E65435">
        <w:rPr>
          <w:rFonts w:eastAsia="Arial Unicode MS"/>
          <w:bCs/>
          <w:lang w:eastAsia="fr-FR" w:bidi="he-IL"/>
        </w:rPr>
        <w:t xml:space="preserve">, </w:t>
      </w:r>
      <w:r w:rsidR="00B704AD" w:rsidRPr="00C8701B">
        <w:rPr>
          <w:rFonts w:eastAsia="Arial Unicode MS"/>
          <w:bCs/>
          <w:lang w:eastAsia="fr-FR" w:bidi="he-IL"/>
        </w:rPr>
        <w:t>c</w:t>
      </w:r>
      <w:r w:rsidR="00557DE0">
        <w:rPr>
          <w:rFonts w:eastAsia="Arial Unicode MS"/>
          <w:bCs/>
          <w:lang w:eastAsia="fr-FR" w:bidi="he-IL"/>
        </w:rPr>
        <w:t>’</w:t>
      </w:r>
      <w:r w:rsidR="00B704AD" w:rsidRPr="00C8701B">
        <w:rPr>
          <w:rFonts w:eastAsia="Arial Unicode MS"/>
          <w:bCs/>
          <w:lang w:eastAsia="fr-FR" w:bidi="he-IL"/>
        </w:rPr>
        <w:t>est-à-dire par personne</w:t>
      </w:r>
      <w:r w:rsidRPr="00C8701B">
        <w:rPr>
          <w:rFonts w:eastAsia="Arial Unicode MS"/>
          <w:bCs/>
          <w:lang w:eastAsia="fr-FR" w:bidi="he-IL"/>
        </w:rPr>
        <w:t> !</w:t>
      </w:r>
      <w:r w:rsidR="00B704AD" w:rsidRPr="00C8701B">
        <w:rPr>
          <w:rFonts w:eastAsia="Arial Unicode MS"/>
          <w:bCs/>
          <w:lang w:eastAsia="fr-FR" w:bidi="he-IL"/>
        </w:rPr>
        <w:t xml:space="preserve"> Cette figure que nul pinceau</w:t>
      </w:r>
      <w:r w:rsidR="00E65435">
        <w:rPr>
          <w:rFonts w:eastAsia="Arial Unicode MS"/>
          <w:bCs/>
          <w:lang w:eastAsia="fr-FR" w:bidi="he-IL"/>
        </w:rPr>
        <w:t xml:space="preserve">, </w:t>
      </w:r>
      <w:r w:rsidR="00D7320E">
        <w:rPr>
          <w:rFonts w:eastAsia="Arial Unicode MS"/>
          <w:bCs/>
          <w:lang w:eastAsia="fr-FR" w:bidi="he-IL"/>
        </w:rPr>
        <w:t>fut-il</w:t>
      </w:r>
      <w:r w:rsidR="00B704AD" w:rsidRPr="00C8701B">
        <w:rPr>
          <w:rFonts w:eastAsia="Arial Unicode MS"/>
          <w:bCs/>
          <w:lang w:eastAsia="fr-FR" w:bidi="he-IL"/>
        </w:rPr>
        <w:t xml:space="preserve"> tenu par la main magistrale d</w:t>
      </w:r>
      <w:r w:rsidR="00557DE0">
        <w:rPr>
          <w:rFonts w:eastAsia="Arial Unicode MS"/>
          <w:bCs/>
          <w:lang w:eastAsia="fr-FR" w:bidi="he-IL"/>
        </w:rPr>
        <w:t>’</w:t>
      </w:r>
      <w:r w:rsidR="00B704AD" w:rsidRPr="00C8701B">
        <w:rPr>
          <w:rFonts w:eastAsia="Arial Unicode MS"/>
          <w:bCs/>
          <w:lang w:eastAsia="fr-FR" w:bidi="he-IL"/>
        </w:rPr>
        <w:t>un Raphaël</w:t>
      </w:r>
      <w:r w:rsidR="00E65435">
        <w:rPr>
          <w:rFonts w:eastAsia="Arial Unicode MS"/>
          <w:bCs/>
          <w:lang w:eastAsia="fr-FR" w:bidi="he-IL"/>
        </w:rPr>
        <w:t xml:space="preserve">, </w:t>
      </w:r>
      <w:r w:rsidR="00B704AD" w:rsidRPr="00C8701B">
        <w:rPr>
          <w:rFonts w:eastAsia="Arial Unicode MS"/>
          <w:bCs/>
          <w:lang w:eastAsia="fr-FR" w:bidi="he-IL"/>
        </w:rPr>
        <w:t>d</w:t>
      </w:r>
      <w:r w:rsidR="00557DE0">
        <w:rPr>
          <w:rFonts w:eastAsia="Arial Unicode MS"/>
          <w:bCs/>
          <w:lang w:eastAsia="fr-FR" w:bidi="he-IL"/>
        </w:rPr>
        <w:t>’</w:t>
      </w:r>
      <w:r w:rsidR="00B704AD" w:rsidRPr="00C8701B">
        <w:rPr>
          <w:rFonts w:eastAsia="Arial Unicode MS"/>
          <w:bCs/>
          <w:lang w:eastAsia="fr-FR" w:bidi="he-IL"/>
        </w:rPr>
        <w:t>un fra Angelico</w:t>
      </w:r>
      <w:r w:rsidR="00E65435">
        <w:rPr>
          <w:rFonts w:eastAsia="Arial Unicode MS"/>
          <w:bCs/>
          <w:lang w:eastAsia="fr-FR" w:bidi="he-IL"/>
        </w:rPr>
        <w:t xml:space="preserve">, </w:t>
      </w:r>
      <w:r w:rsidR="00D7320E">
        <w:rPr>
          <w:rFonts w:eastAsia="Arial Unicode MS"/>
          <w:bCs/>
          <w:lang w:eastAsia="fr-FR" w:bidi="he-IL"/>
        </w:rPr>
        <w:t>d</w:t>
      </w:r>
      <w:r w:rsidR="00557DE0">
        <w:rPr>
          <w:rFonts w:eastAsia="Arial Unicode MS"/>
          <w:bCs/>
          <w:lang w:eastAsia="fr-FR" w:bidi="he-IL"/>
        </w:rPr>
        <w:t>’</w:t>
      </w:r>
      <w:r w:rsidR="00B704AD" w:rsidRPr="00C8701B">
        <w:rPr>
          <w:rFonts w:eastAsia="Arial Unicode MS"/>
          <w:bCs/>
          <w:lang w:eastAsia="fr-FR" w:bidi="he-IL"/>
        </w:rPr>
        <w:t>un Léonard de Vinci</w:t>
      </w:r>
      <w:r w:rsidR="00E65435">
        <w:rPr>
          <w:rFonts w:eastAsia="Arial Unicode MS"/>
          <w:bCs/>
          <w:lang w:eastAsia="fr-FR" w:bidi="he-IL"/>
        </w:rPr>
        <w:t xml:space="preserve">, </w:t>
      </w:r>
      <w:r w:rsidR="00B704AD" w:rsidRPr="00C8701B">
        <w:rPr>
          <w:rFonts w:eastAsia="Arial Unicode MS"/>
          <w:bCs/>
          <w:lang w:eastAsia="fr-FR" w:bidi="he-IL"/>
        </w:rPr>
        <w:t>d</w:t>
      </w:r>
      <w:r w:rsidR="00557DE0">
        <w:rPr>
          <w:rFonts w:eastAsia="Arial Unicode MS"/>
          <w:bCs/>
          <w:lang w:eastAsia="fr-FR" w:bidi="he-IL"/>
        </w:rPr>
        <w:t>’</w:t>
      </w:r>
      <w:r w:rsidR="00B704AD" w:rsidRPr="00C8701B">
        <w:rPr>
          <w:rFonts w:eastAsia="Arial Unicode MS"/>
          <w:bCs/>
          <w:lang w:eastAsia="fr-FR" w:bidi="he-IL"/>
        </w:rPr>
        <w:t>un Van Eyck</w:t>
      </w:r>
      <w:r w:rsidR="00E65435">
        <w:rPr>
          <w:rFonts w:eastAsia="Arial Unicode MS"/>
          <w:bCs/>
          <w:lang w:eastAsia="fr-FR" w:bidi="he-IL"/>
        </w:rPr>
        <w:t xml:space="preserve">, </w:t>
      </w:r>
      <w:r w:rsidR="00B704AD" w:rsidRPr="00C8701B">
        <w:rPr>
          <w:rFonts w:eastAsia="Arial Unicode MS"/>
          <w:bCs/>
          <w:lang w:eastAsia="fr-FR" w:bidi="he-IL"/>
        </w:rPr>
        <w:t>n</w:t>
      </w:r>
      <w:r w:rsidR="00557DE0">
        <w:rPr>
          <w:rFonts w:eastAsia="Arial Unicode MS"/>
          <w:bCs/>
          <w:lang w:eastAsia="fr-FR" w:bidi="he-IL"/>
        </w:rPr>
        <w:t>’</w:t>
      </w:r>
      <w:r w:rsidR="00B704AD" w:rsidRPr="00C8701B">
        <w:rPr>
          <w:rFonts w:eastAsia="Arial Unicode MS"/>
          <w:bCs/>
          <w:lang w:eastAsia="fr-FR" w:bidi="he-IL"/>
        </w:rPr>
        <w:t>a pu embellir</w:t>
      </w:r>
      <w:r w:rsidR="00E65435">
        <w:rPr>
          <w:rFonts w:eastAsia="Arial Unicode MS"/>
          <w:bCs/>
          <w:lang w:eastAsia="fr-FR" w:bidi="he-IL"/>
        </w:rPr>
        <w:t xml:space="preserve">, </w:t>
      </w:r>
      <w:r w:rsidR="00D7320E">
        <w:rPr>
          <w:rFonts w:eastAsia="Arial Unicode MS"/>
          <w:bCs/>
          <w:lang w:eastAsia="fr-FR" w:bidi="he-IL"/>
        </w:rPr>
        <w:t>qui reste plus bell</w:t>
      </w:r>
      <w:r w:rsidR="00B704AD" w:rsidRPr="00C8701B">
        <w:rPr>
          <w:rFonts w:eastAsia="Arial Unicode MS"/>
          <w:bCs/>
          <w:lang w:eastAsia="fr-FR" w:bidi="he-IL"/>
        </w:rPr>
        <w:t>e que la beauté</w:t>
      </w:r>
      <w:r w:rsidR="00E65435">
        <w:rPr>
          <w:rFonts w:eastAsia="Arial Unicode MS"/>
          <w:bCs/>
          <w:lang w:eastAsia="fr-FR" w:bidi="he-IL"/>
        </w:rPr>
        <w:t xml:space="preserve">, </w:t>
      </w:r>
      <w:r w:rsidR="00B704AD" w:rsidRPr="00C8701B">
        <w:rPr>
          <w:rFonts w:eastAsia="Arial Unicode MS"/>
          <w:bCs/>
          <w:lang w:eastAsia="fr-FR" w:bidi="he-IL"/>
        </w:rPr>
        <w:t>se serait faite toute seule</w:t>
      </w:r>
      <w:r w:rsidRPr="00C8701B">
        <w:rPr>
          <w:rFonts w:eastAsia="Arial Unicode MS"/>
          <w:bCs/>
          <w:lang w:eastAsia="fr-FR" w:bidi="he-IL"/>
        </w:rPr>
        <w:t> !</w:t>
      </w:r>
      <w:r w:rsidR="00B704AD" w:rsidRPr="00C8701B">
        <w:rPr>
          <w:rFonts w:eastAsia="Arial Unicode MS"/>
          <w:bCs/>
          <w:lang w:eastAsia="fr-FR" w:bidi="he-IL"/>
        </w:rPr>
        <w:t xml:space="preserve"> Elle serait sortie</w:t>
      </w:r>
      <w:r w:rsidR="00E65435">
        <w:rPr>
          <w:rFonts w:eastAsia="Arial Unicode MS"/>
          <w:bCs/>
          <w:lang w:eastAsia="fr-FR" w:bidi="he-IL"/>
        </w:rPr>
        <w:t xml:space="preserve">, </w:t>
      </w:r>
      <w:r w:rsidR="00B704AD" w:rsidRPr="00C8701B">
        <w:rPr>
          <w:rFonts w:eastAsia="Arial Unicode MS"/>
          <w:bCs/>
          <w:lang w:eastAsia="fr-FR" w:bidi="he-IL"/>
        </w:rPr>
        <w:t>par embellissements successifs</w:t>
      </w:r>
      <w:r w:rsidR="00E65435">
        <w:rPr>
          <w:rFonts w:eastAsia="Arial Unicode MS"/>
          <w:bCs/>
          <w:lang w:eastAsia="fr-FR" w:bidi="he-IL"/>
        </w:rPr>
        <w:t xml:space="preserve">, </w:t>
      </w:r>
      <w:r w:rsidR="00B704AD" w:rsidRPr="00C8701B">
        <w:rPr>
          <w:rFonts w:eastAsia="Arial Unicode MS"/>
          <w:bCs/>
          <w:lang w:eastAsia="fr-FR" w:bidi="he-IL"/>
        </w:rPr>
        <w:t>du cœur et des entrailles des premières communautés chrétiennes</w:t>
      </w:r>
      <w:r w:rsidRPr="00C8701B">
        <w:rPr>
          <w:rFonts w:eastAsia="Arial Unicode MS"/>
          <w:bCs/>
          <w:lang w:eastAsia="fr-FR" w:bidi="he-IL"/>
        </w:rPr>
        <w:t> !</w:t>
      </w:r>
      <w:r w:rsidR="00B704AD" w:rsidRPr="00C8701B">
        <w:rPr>
          <w:rFonts w:eastAsia="Arial Unicode MS"/>
          <w:bCs/>
          <w:lang w:eastAsia="fr-FR" w:bidi="he-IL"/>
        </w:rPr>
        <w:t xml:space="preserve"> Mais on me permettra de poser ici une seule question</w:t>
      </w:r>
      <w:r w:rsidRPr="00C8701B">
        <w:rPr>
          <w:rFonts w:eastAsia="Arial Unicode MS"/>
          <w:bCs/>
          <w:lang w:eastAsia="fr-FR" w:bidi="he-IL"/>
        </w:rPr>
        <w:t> :</w:t>
      </w:r>
      <w:r w:rsidR="00B704AD" w:rsidRPr="00C8701B">
        <w:rPr>
          <w:rFonts w:eastAsia="Arial Unicode MS"/>
          <w:bCs/>
          <w:lang w:eastAsia="fr-FR" w:bidi="he-IL"/>
        </w:rPr>
        <w:t xml:space="preserve"> Ces communautés</w:t>
      </w:r>
      <w:r w:rsidR="00E65435">
        <w:rPr>
          <w:rFonts w:eastAsia="Arial Unicode MS"/>
          <w:bCs/>
          <w:lang w:eastAsia="fr-FR" w:bidi="he-IL"/>
        </w:rPr>
        <w:t xml:space="preserve">, </w:t>
      </w:r>
      <w:r w:rsidR="00B704AD" w:rsidRPr="00C8701B">
        <w:rPr>
          <w:rFonts w:eastAsia="Arial Unicode MS"/>
          <w:bCs/>
          <w:lang w:eastAsia="fr-FR" w:bidi="he-IL"/>
        </w:rPr>
        <w:t>qui les a faites</w:t>
      </w:r>
      <w:r w:rsidRPr="00C8701B">
        <w:rPr>
          <w:rFonts w:eastAsia="Arial Unicode MS"/>
          <w:bCs/>
          <w:lang w:eastAsia="fr-FR" w:bidi="he-IL"/>
        </w:rPr>
        <w:t> ?</w:t>
      </w:r>
      <w:r w:rsidR="00B704AD" w:rsidRPr="00C8701B">
        <w:rPr>
          <w:rFonts w:eastAsia="Arial Unicode MS"/>
          <w:bCs/>
          <w:lang w:eastAsia="fr-FR" w:bidi="he-IL"/>
        </w:rPr>
        <w:t xml:space="preserve"> Comment sont-elles devenues </w:t>
      </w:r>
      <w:r w:rsidR="00DF496C" w:rsidRPr="00C8701B">
        <w:rPr>
          <w:rFonts w:eastAsia="Arial Unicode MS"/>
          <w:bCs/>
          <w:lang w:eastAsia="fr-FR" w:bidi="he-IL"/>
        </w:rPr>
        <w:t>chrétiennes</w:t>
      </w:r>
      <w:r w:rsidRPr="00C8701B">
        <w:rPr>
          <w:rFonts w:eastAsia="Arial Unicode MS"/>
          <w:bCs/>
          <w:lang w:eastAsia="fr-FR" w:bidi="he-IL"/>
        </w:rPr>
        <w:t> ?</w:t>
      </w:r>
      <w:r w:rsidR="00B704AD" w:rsidRPr="00C8701B">
        <w:rPr>
          <w:rFonts w:eastAsia="Arial Unicode MS"/>
          <w:bCs/>
          <w:lang w:eastAsia="fr-FR" w:bidi="he-IL"/>
        </w:rPr>
        <w:t xml:space="preserve"> N</w:t>
      </w:r>
      <w:r w:rsidR="00557DE0">
        <w:rPr>
          <w:rFonts w:eastAsia="Arial Unicode MS"/>
          <w:bCs/>
          <w:lang w:eastAsia="fr-FR" w:bidi="he-IL"/>
        </w:rPr>
        <w:t>’</w:t>
      </w:r>
      <w:r w:rsidR="00B704AD" w:rsidRPr="00C8701B">
        <w:rPr>
          <w:rFonts w:eastAsia="Arial Unicode MS"/>
          <w:bCs/>
          <w:lang w:eastAsia="fr-FR" w:bidi="he-IL"/>
        </w:rPr>
        <w:t>est-ce pas le Christ connu</w:t>
      </w:r>
      <w:r w:rsidR="00E65435">
        <w:rPr>
          <w:rFonts w:eastAsia="Arial Unicode MS"/>
          <w:bCs/>
          <w:lang w:eastAsia="fr-FR" w:bidi="he-IL"/>
        </w:rPr>
        <w:t xml:space="preserve">, </w:t>
      </w:r>
      <w:r w:rsidR="00B704AD" w:rsidRPr="00C8701B">
        <w:rPr>
          <w:rFonts w:eastAsia="Arial Unicode MS"/>
          <w:bCs/>
          <w:lang w:eastAsia="fr-FR" w:bidi="he-IL"/>
        </w:rPr>
        <w:t>aimé</w:t>
      </w:r>
      <w:r w:rsidR="00E65435">
        <w:rPr>
          <w:rFonts w:eastAsia="Arial Unicode MS"/>
          <w:bCs/>
          <w:lang w:eastAsia="fr-FR" w:bidi="he-IL"/>
        </w:rPr>
        <w:t xml:space="preserve">, </w:t>
      </w:r>
      <w:r w:rsidR="00B704AD" w:rsidRPr="00C8701B">
        <w:rPr>
          <w:rFonts w:eastAsia="Arial Unicode MS"/>
          <w:bCs/>
          <w:lang w:eastAsia="fr-FR" w:bidi="he-IL"/>
        </w:rPr>
        <w:t>adoré comme Dieu et comme homme</w:t>
      </w:r>
      <w:r w:rsidR="00E65435">
        <w:rPr>
          <w:rFonts w:eastAsia="Arial Unicode MS"/>
          <w:bCs/>
          <w:lang w:eastAsia="fr-FR" w:bidi="he-IL"/>
        </w:rPr>
        <w:t xml:space="preserve">, </w:t>
      </w:r>
      <w:r w:rsidR="00B704AD" w:rsidRPr="00C8701B">
        <w:rPr>
          <w:rFonts w:eastAsia="Arial Unicode MS"/>
          <w:bCs/>
          <w:lang w:eastAsia="fr-FR" w:bidi="he-IL"/>
        </w:rPr>
        <w:t>qui a fait le peuple chrétien</w:t>
      </w:r>
      <w:r w:rsidRPr="00C8701B">
        <w:rPr>
          <w:rFonts w:eastAsia="Arial Unicode MS"/>
          <w:bCs/>
          <w:lang w:eastAsia="fr-FR" w:bidi="he-IL"/>
        </w:rPr>
        <w:t> ?</w:t>
      </w:r>
      <w:r w:rsidR="00B704AD" w:rsidRPr="00C8701B">
        <w:rPr>
          <w:rFonts w:eastAsia="Arial Unicode MS"/>
          <w:bCs/>
          <w:lang w:eastAsia="fr-FR" w:bidi="he-IL"/>
        </w:rPr>
        <w:t xml:space="preserve"> Alors</w:t>
      </w:r>
      <w:r w:rsidR="00E65435">
        <w:rPr>
          <w:rFonts w:eastAsia="Arial Unicode MS"/>
          <w:bCs/>
          <w:lang w:eastAsia="fr-FR" w:bidi="he-IL"/>
        </w:rPr>
        <w:t xml:space="preserve">, </w:t>
      </w:r>
      <w:r w:rsidR="00B704AD" w:rsidRPr="00C8701B">
        <w:rPr>
          <w:rFonts w:eastAsia="Arial Unicode MS"/>
          <w:bCs/>
          <w:lang w:eastAsia="fr-FR" w:bidi="he-IL"/>
        </w:rPr>
        <w:t>comment est-ce donc le peu</w:t>
      </w:r>
      <w:r w:rsidR="00D7320E">
        <w:rPr>
          <w:rFonts w:eastAsia="Arial Unicode MS"/>
          <w:bCs/>
          <w:lang w:eastAsia="fr-FR" w:bidi="he-IL"/>
        </w:rPr>
        <w:t>pl</w:t>
      </w:r>
      <w:r w:rsidR="00B704AD" w:rsidRPr="00C8701B">
        <w:rPr>
          <w:rFonts w:eastAsia="Arial Unicode MS"/>
          <w:bCs/>
          <w:lang w:eastAsia="fr-FR" w:bidi="he-IL"/>
        </w:rPr>
        <w:t>e qui a fait le Christ</w:t>
      </w:r>
      <w:r w:rsidR="00D7320E">
        <w:rPr>
          <w:rFonts w:eastAsia="Arial Unicode MS"/>
          <w:bCs/>
          <w:lang w:eastAsia="fr-FR" w:bidi="he-IL"/>
        </w:rPr>
        <w:t> »</w:t>
      </w:r>
      <w:r w:rsidR="00933C60" w:rsidRPr="00C406FF">
        <w:rPr>
          <w:rStyle w:val="Appelnotedebasdep"/>
        </w:rPr>
        <w:footnoteReference w:id="468"/>
      </w:r>
      <w:r w:rsidRPr="00C8701B">
        <w:rPr>
          <w:rFonts w:eastAsia="Arial Unicode MS"/>
          <w:bCs/>
          <w:lang w:eastAsia="fr-FR" w:bidi="he-IL"/>
        </w:rPr>
        <w:t> ?</w:t>
      </w:r>
    </w:p>
    <w:p w:rsidR="00D7320E" w:rsidRDefault="00C2602D" w:rsidP="00D7320E">
      <w:pPr>
        <w:rPr>
          <w:rFonts w:eastAsia="Arial Unicode MS"/>
          <w:bCs/>
          <w:lang w:eastAsia="fr-FR" w:bidi="he-IL"/>
        </w:rPr>
      </w:pPr>
      <w:r w:rsidRPr="00C8701B">
        <w:rPr>
          <w:rFonts w:eastAsia="Arial Unicode MS"/>
          <w:bCs/>
          <w:lang w:eastAsia="fr-FR" w:bidi="he-IL"/>
        </w:rPr>
        <w:t>« </w:t>
      </w:r>
      <w:r w:rsidR="00B704AD" w:rsidRPr="00C8701B">
        <w:rPr>
          <w:rFonts w:eastAsia="Arial Unicode MS"/>
          <w:bCs/>
          <w:lang w:eastAsia="fr-FR" w:bidi="he-IL"/>
        </w:rPr>
        <w:t>Nous disons</w:t>
      </w:r>
      <w:r w:rsidR="00933C60" w:rsidRPr="00C406FF">
        <w:rPr>
          <w:rStyle w:val="Appelnotedebasdep"/>
        </w:rPr>
        <w:footnoteReference w:id="469"/>
      </w:r>
      <w:r w:rsidR="00B704AD" w:rsidRPr="00C8701B">
        <w:rPr>
          <w:rFonts w:eastAsia="Arial Unicode MS"/>
          <w:bCs/>
          <w:lang w:eastAsia="fr-FR" w:bidi="he-IL"/>
        </w:rPr>
        <w:t xml:space="preserve"> que si</w:t>
      </w:r>
      <w:r w:rsidR="00E65435">
        <w:rPr>
          <w:rFonts w:eastAsia="Arial Unicode MS"/>
          <w:bCs/>
          <w:lang w:eastAsia="fr-FR" w:bidi="he-IL"/>
        </w:rPr>
        <w:t xml:space="preserve">, </w:t>
      </w:r>
      <w:r w:rsidR="00B704AD" w:rsidRPr="00C8701B">
        <w:rPr>
          <w:rFonts w:eastAsia="Arial Unicode MS"/>
          <w:bCs/>
          <w:lang w:eastAsia="fr-FR" w:bidi="he-IL"/>
        </w:rPr>
        <w:t>dans les actes de Jésus</w:t>
      </w:r>
      <w:r w:rsidR="00E65435">
        <w:rPr>
          <w:rFonts w:eastAsia="Arial Unicode MS"/>
          <w:bCs/>
          <w:lang w:eastAsia="fr-FR" w:bidi="he-IL"/>
        </w:rPr>
        <w:t xml:space="preserve">, </w:t>
      </w:r>
      <w:r w:rsidR="00D7320E">
        <w:rPr>
          <w:rFonts w:eastAsia="Arial Unicode MS"/>
          <w:bCs/>
          <w:lang w:eastAsia="fr-FR" w:bidi="he-IL"/>
        </w:rPr>
        <w:t>il</w:t>
      </w:r>
      <w:r w:rsidR="00B704AD" w:rsidRPr="00C8701B">
        <w:rPr>
          <w:rFonts w:eastAsia="Arial Unicode MS"/>
          <w:bCs/>
          <w:lang w:eastAsia="fr-FR" w:bidi="he-IL"/>
        </w:rPr>
        <w:t xml:space="preserve"> n y avait rien eu qui dépassât l</w:t>
      </w:r>
      <w:r w:rsidR="00557DE0">
        <w:rPr>
          <w:rFonts w:eastAsia="Arial Unicode MS"/>
          <w:bCs/>
          <w:lang w:eastAsia="fr-FR" w:bidi="he-IL"/>
        </w:rPr>
        <w:t>’</w:t>
      </w:r>
      <w:r w:rsidR="00B704AD" w:rsidRPr="00C8701B">
        <w:rPr>
          <w:rFonts w:eastAsia="Arial Unicode MS"/>
          <w:bCs/>
          <w:lang w:eastAsia="fr-FR" w:bidi="he-IL"/>
        </w:rPr>
        <w:t>expérience de tous les jours</w:t>
      </w:r>
      <w:r w:rsidR="00E65435">
        <w:rPr>
          <w:rFonts w:eastAsia="Arial Unicode MS"/>
          <w:bCs/>
          <w:lang w:eastAsia="fr-FR" w:bidi="he-IL"/>
        </w:rPr>
        <w:t xml:space="preserve">, </w:t>
      </w:r>
      <w:r w:rsidR="00D7320E">
        <w:rPr>
          <w:rFonts w:eastAsia="Arial Unicode MS"/>
          <w:bCs/>
          <w:lang w:eastAsia="fr-FR" w:bidi="he-IL"/>
        </w:rPr>
        <w:t>son histoire n</w:t>
      </w:r>
      <w:r w:rsidR="00557DE0">
        <w:rPr>
          <w:rFonts w:eastAsia="Arial Unicode MS"/>
          <w:bCs/>
          <w:lang w:eastAsia="fr-FR" w:bidi="he-IL"/>
        </w:rPr>
        <w:t>’</w:t>
      </w:r>
      <w:r w:rsidR="00B704AD" w:rsidRPr="00C8701B">
        <w:rPr>
          <w:rFonts w:eastAsia="Arial Unicode MS"/>
          <w:bCs/>
          <w:lang w:eastAsia="fr-FR" w:bidi="he-IL"/>
        </w:rPr>
        <w:t>en deviendrait que plus incompréhensible. Ses prédic</w:t>
      </w:r>
      <w:r w:rsidR="00D7320E">
        <w:rPr>
          <w:rFonts w:eastAsia="Arial Unicode MS"/>
          <w:bCs/>
          <w:lang w:eastAsia="fr-FR" w:bidi="he-IL"/>
        </w:rPr>
        <w:t>ations morales eussent-elles été</w:t>
      </w:r>
      <w:r w:rsidR="00E65435">
        <w:rPr>
          <w:rFonts w:eastAsia="Arial Unicode MS"/>
          <w:bCs/>
          <w:lang w:eastAsia="fr-FR" w:bidi="he-IL"/>
        </w:rPr>
        <w:t xml:space="preserve">, </w:t>
      </w:r>
      <w:r w:rsidR="00B704AD" w:rsidRPr="00C8701B">
        <w:rPr>
          <w:rFonts w:eastAsia="Arial Unicode MS"/>
          <w:bCs/>
          <w:lang w:eastAsia="fr-FR" w:bidi="he-IL"/>
        </w:rPr>
        <w:t>par impossible</w:t>
      </w:r>
      <w:r w:rsidR="00E65435">
        <w:rPr>
          <w:rFonts w:eastAsia="Arial Unicode MS"/>
          <w:bCs/>
          <w:lang w:eastAsia="fr-FR" w:bidi="he-IL"/>
        </w:rPr>
        <w:t xml:space="preserve">, </w:t>
      </w:r>
      <w:r w:rsidR="00B704AD" w:rsidRPr="00C8701B">
        <w:rPr>
          <w:rFonts w:eastAsia="Arial Unicode MS"/>
          <w:bCs/>
          <w:lang w:eastAsia="fr-FR" w:bidi="he-IL"/>
        </w:rPr>
        <w:t>dix fois plus saisissantes et plus sublimes quelles ne le sont en effet</w:t>
      </w:r>
      <w:r w:rsidR="00E65435">
        <w:rPr>
          <w:rFonts w:eastAsia="Arial Unicode MS"/>
          <w:bCs/>
          <w:lang w:eastAsia="fr-FR" w:bidi="he-IL"/>
        </w:rPr>
        <w:t xml:space="preserve">, </w:t>
      </w:r>
      <w:r w:rsidR="00B704AD" w:rsidRPr="00C8701B">
        <w:rPr>
          <w:rFonts w:eastAsia="Arial Unicode MS"/>
          <w:bCs/>
          <w:lang w:eastAsia="fr-FR" w:bidi="he-IL"/>
        </w:rPr>
        <w:t>elles n</w:t>
      </w:r>
      <w:r w:rsidR="00557DE0">
        <w:rPr>
          <w:rFonts w:eastAsia="Arial Unicode MS"/>
          <w:bCs/>
          <w:lang w:eastAsia="fr-FR" w:bidi="he-IL"/>
        </w:rPr>
        <w:t>’</w:t>
      </w:r>
      <w:r w:rsidR="00B704AD" w:rsidRPr="00C8701B">
        <w:rPr>
          <w:rFonts w:eastAsia="Arial Unicode MS"/>
          <w:bCs/>
          <w:lang w:eastAsia="fr-FR" w:bidi="he-IL"/>
        </w:rPr>
        <w:t>auraient certainement pas produit à elles seules ce mouvement extraordinaire</w:t>
      </w:r>
      <w:r w:rsidR="00E65435">
        <w:rPr>
          <w:rFonts w:eastAsia="Arial Unicode MS"/>
          <w:bCs/>
          <w:lang w:eastAsia="fr-FR" w:bidi="he-IL"/>
        </w:rPr>
        <w:t xml:space="preserve">, </w:t>
      </w:r>
      <w:r w:rsidR="00B704AD" w:rsidRPr="00C8701B">
        <w:rPr>
          <w:rFonts w:eastAsia="Arial Unicode MS"/>
          <w:bCs/>
          <w:lang w:eastAsia="fr-FR" w:bidi="he-IL"/>
        </w:rPr>
        <w:t xml:space="preserve">dans une population si peu </w:t>
      </w:r>
      <w:r w:rsidR="00DF496C" w:rsidRPr="00C8701B">
        <w:rPr>
          <w:rFonts w:eastAsia="Arial Unicode MS"/>
          <w:bCs/>
          <w:lang w:eastAsia="fr-FR" w:bidi="he-IL"/>
        </w:rPr>
        <w:t>pré</w:t>
      </w:r>
      <w:r w:rsidR="00DF496C">
        <w:rPr>
          <w:rFonts w:eastAsia="Arial Unicode MS"/>
          <w:bCs/>
          <w:lang w:eastAsia="fr-FR" w:bidi="he-IL"/>
        </w:rPr>
        <w:t>parée</w:t>
      </w:r>
      <w:r w:rsidR="00D7320E">
        <w:rPr>
          <w:rFonts w:eastAsia="Arial Unicode MS"/>
          <w:bCs/>
          <w:lang w:eastAsia="fr-FR" w:bidi="he-IL"/>
        </w:rPr>
        <w:t xml:space="preserve"> à s</w:t>
      </w:r>
      <w:r w:rsidR="00557DE0">
        <w:rPr>
          <w:rFonts w:eastAsia="Arial Unicode MS"/>
          <w:bCs/>
          <w:lang w:eastAsia="fr-FR" w:bidi="he-IL"/>
        </w:rPr>
        <w:t>’</w:t>
      </w:r>
      <w:r w:rsidR="00B704AD" w:rsidRPr="00C8701B">
        <w:rPr>
          <w:rFonts w:eastAsia="Arial Unicode MS"/>
          <w:bCs/>
          <w:lang w:eastAsia="fr-FR" w:bidi="he-IL"/>
        </w:rPr>
        <w:t>en pénétrer</w:t>
      </w:r>
      <w:r w:rsidR="00E65435">
        <w:rPr>
          <w:rFonts w:eastAsia="Arial Unicode MS"/>
          <w:bCs/>
          <w:lang w:eastAsia="fr-FR" w:bidi="he-IL"/>
        </w:rPr>
        <w:t xml:space="preserve">, </w:t>
      </w:r>
      <w:r w:rsidR="00B704AD" w:rsidRPr="00C8701B">
        <w:rPr>
          <w:rFonts w:eastAsia="Arial Unicode MS"/>
          <w:bCs/>
          <w:lang w:eastAsia="fr-FR" w:bidi="he-IL"/>
        </w:rPr>
        <w:t>si peu à même de les apprécier à leur juste valeur</w:t>
      </w:r>
      <w:r w:rsidR="00E65435">
        <w:rPr>
          <w:rFonts w:eastAsia="Arial Unicode MS"/>
          <w:bCs/>
          <w:lang w:eastAsia="fr-FR" w:bidi="he-IL"/>
        </w:rPr>
        <w:t xml:space="preserve">, </w:t>
      </w:r>
      <w:r w:rsidR="00D7320E">
        <w:rPr>
          <w:rFonts w:eastAsia="Arial Unicode MS"/>
          <w:bCs/>
          <w:lang w:eastAsia="fr-FR" w:bidi="he-IL"/>
        </w:rPr>
        <w:t>si incapable d</w:t>
      </w:r>
      <w:r w:rsidR="00557DE0">
        <w:rPr>
          <w:rFonts w:eastAsia="Arial Unicode MS"/>
          <w:bCs/>
          <w:lang w:eastAsia="fr-FR" w:bidi="he-IL"/>
        </w:rPr>
        <w:t>’</w:t>
      </w:r>
      <w:r w:rsidR="00B704AD" w:rsidRPr="00C8701B">
        <w:rPr>
          <w:rFonts w:eastAsia="Arial Unicode MS"/>
          <w:bCs/>
          <w:lang w:eastAsia="fr-FR" w:bidi="he-IL"/>
        </w:rPr>
        <w:t>en mesurer la portée. Il fallait bien à ces masses quelque autre chose qui les soulevât</w:t>
      </w:r>
      <w:r w:rsidR="00E65435">
        <w:rPr>
          <w:rFonts w:eastAsia="Arial Unicode MS"/>
          <w:bCs/>
          <w:lang w:eastAsia="fr-FR" w:bidi="he-IL"/>
        </w:rPr>
        <w:t xml:space="preserve">, </w:t>
      </w:r>
      <w:r w:rsidR="00B704AD" w:rsidRPr="00C8701B">
        <w:rPr>
          <w:rFonts w:eastAsia="Arial Unicode MS"/>
          <w:bCs/>
          <w:lang w:eastAsia="fr-FR" w:bidi="he-IL"/>
        </w:rPr>
        <w:t>qui les entraînât</w:t>
      </w:r>
      <w:r w:rsidR="00E65435">
        <w:rPr>
          <w:rFonts w:eastAsia="Arial Unicode MS"/>
          <w:bCs/>
          <w:lang w:eastAsia="fr-FR" w:bidi="he-IL"/>
        </w:rPr>
        <w:t xml:space="preserve">, </w:t>
      </w:r>
      <w:r w:rsidR="00D7320E">
        <w:rPr>
          <w:rFonts w:eastAsia="Arial Unicode MS"/>
          <w:bCs/>
          <w:lang w:eastAsia="fr-FR" w:bidi="he-IL"/>
        </w:rPr>
        <w:t>qui ne risquât pas de s</w:t>
      </w:r>
      <w:r w:rsidR="00557DE0">
        <w:rPr>
          <w:rFonts w:eastAsia="Arial Unicode MS"/>
          <w:bCs/>
          <w:lang w:eastAsia="fr-FR" w:bidi="he-IL"/>
        </w:rPr>
        <w:t>’</w:t>
      </w:r>
      <w:r w:rsidR="00D7320E">
        <w:rPr>
          <w:rFonts w:eastAsia="Arial Unicode MS"/>
          <w:bCs/>
          <w:lang w:eastAsia="fr-FR" w:bidi="he-IL"/>
        </w:rPr>
        <w:t>évanouir dans l</w:t>
      </w:r>
      <w:r w:rsidR="00B704AD" w:rsidRPr="00C8701B">
        <w:rPr>
          <w:rFonts w:eastAsia="Arial Unicode MS"/>
          <w:bCs/>
          <w:lang w:eastAsia="fr-FR" w:bidi="he-IL"/>
        </w:rPr>
        <w:t>eur esprit mal affermi encore</w:t>
      </w:r>
      <w:r w:rsidR="00E65435">
        <w:rPr>
          <w:rFonts w:eastAsia="Arial Unicode MS"/>
          <w:bCs/>
          <w:lang w:eastAsia="fr-FR" w:bidi="he-IL"/>
        </w:rPr>
        <w:t xml:space="preserve">, </w:t>
      </w:r>
      <w:r w:rsidR="00D7320E">
        <w:rPr>
          <w:rFonts w:eastAsia="Arial Unicode MS"/>
          <w:bCs/>
          <w:lang w:eastAsia="fr-FR" w:bidi="he-IL"/>
        </w:rPr>
        <w:t>lorsqu</w:t>
      </w:r>
      <w:r w:rsidR="00557DE0">
        <w:rPr>
          <w:rFonts w:eastAsia="Arial Unicode MS"/>
          <w:bCs/>
          <w:lang w:eastAsia="fr-FR" w:bidi="he-IL"/>
        </w:rPr>
        <w:t>’</w:t>
      </w:r>
      <w:r w:rsidR="00B704AD" w:rsidRPr="00C8701B">
        <w:rPr>
          <w:rFonts w:eastAsia="Arial Unicode MS"/>
          <w:bCs/>
          <w:lang w:eastAsia="fr-FR" w:bidi="he-IL"/>
        </w:rPr>
        <w:t>une catastrophe inattendue semblait devoir provoquer une réaction funeste et définitive</w:t>
      </w:r>
      <w:r w:rsidR="00D7320E">
        <w:rPr>
          <w:rFonts w:eastAsia="Arial Unicode MS"/>
          <w:bCs/>
          <w:lang w:eastAsia="fr-FR" w:bidi="he-IL"/>
        </w:rPr>
        <w:t>.</w:t>
      </w:r>
    </w:p>
    <w:p w:rsidR="00C2602D" w:rsidRPr="00C8701B" w:rsidRDefault="00D7320E" w:rsidP="00C2602D">
      <w:pPr>
        <w:rPr>
          <w:rFonts w:eastAsia="Arial Unicode MS"/>
          <w:bCs/>
          <w:lang w:eastAsia="fr-FR" w:bidi="he-IL"/>
        </w:rPr>
      </w:pPr>
      <w:r w:rsidRPr="00C8701B">
        <w:rPr>
          <w:rFonts w:eastAsia="Arial Unicode MS"/>
          <w:bCs/>
          <w:lang w:eastAsia="fr-FR" w:bidi="he-IL"/>
        </w:rPr>
        <w:t>»</w:t>
      </w:r>
      <w:r>
        <w:rPr>
          <w:rFonts w:eastAsia="Arial Unicode MS"/>
          <w:bCs/>
          <w:lang w:eastAsia="fr-FR" w:bidi="he-IL"/>
        </w:rPr>
        <w:t> À moins de dir</w:t>
      </w:r>
      <w:r w:rsidR="00B704AD" w:rsidRPr="00C8701B">
        <w:rPr>
          <w:rFonts w:eastAsia="Arial Unicode MS"/>
          <w:bCs/>
          <w:lang w:eastAsia="fr-FR" w:bidi="he-IL"/>
        </w:rPr>
        <w:t xml:space="preserve">e que tout ce que nos </w:t>
      </w:r>
      <w:r w:rsidR="000439E9">
        <w:rPr>
          <w:rFonts w:eastAsia="Arial Unicode MS"/>
          <w:bCs/>
          <w:lang w:eastAsia="fr-FR" w:bidi="he-IL"/>
        </w:rPr>
        <w:t>Évangile</w:t>
      </w:r>
      <w:r>
        <w:rPr>
          <w:rFonts w:eastAsia="Arial Unicode MS"/>
          <w:bCs/>
          <w:lang w:eastAsia="fr-FR" w:bidi="he-IL"/>
        </w:rPr>
        <w:t>s racontent de l</w:t>
      </w:r>
      <w:r w:rsidR="00557DE0">
        <w:rPr>
          <w:rFonts w:eastAsia="Arial Unicode MS"/>
          <w:bCs/>
          <w:lang w:eastAsia="fr-FR" w:bidi="he-IL"/>
        </w:rPr>
        <w:t>’</w:t>
      </w:r>
      <w:r w:rsidR="00B704AD" w:rsidRPr="00C8701B">
        <w:rPr>
          <w:rFonts w:eastAsia="Arial Unicode MS"/>
          <w:bCs/>
          <w:lang w:eastAsia="fr-FR" w:bidi="he-IL"/>
        </w:rPr>
        <w:t>enthousiasme du peuple</w:t>
      </w:r>
      <w:r w:rsidR="00E65435">
        <w:rPr>
          <w:rFonts w:eastAsia="Arial Unicode MS"/>
          <w:bCs/>
          <w:lang w:eastAsia="fr-FR" w:bidi="he-IL"/>
        </w:rPr>
        <w:t xml:space="preserve">, </w:t>
      </w:r>
      <w:r w:rsidR="00B704AD" w:rsidRPr="00C8701B">
        <w:rPr>
          <w:rFonts w:eastAsia="Arial Unicode MS"/>
          <w:bCs/>
          <w:lang w:eastAsia="fr-FR" w:bidi="he-IL"/>
        </w:rPr>
        <w:t>d</w:t>
      </w:r>
      <w:r>
        <w:rPr>
          <w:rFonts w:eastAsia="Arial Unicode MS"/>
          <w:bCs/>
          <w:lang w:eastAsia="fr-FR" w:bidi="he-IL"/>
        </w:rPr>
        <w:t>e</w:t>
      </w:r>
      <w:r w:rsidR="00CE11E9">
        <w:rPr>
          <w:rFonts w:eastAsia="Arial Unicode MS"/>
          <w:bCs/>
          <w:lang w:eastAsia="fr-FR" w:bidi="he-IL"/>
        </w:rPr>
        <w:t xml:space="preserve"> </w:t>
      </w:r>
      <w:r w:rsidR="00B704AD" w:rsidRPr="00C8701B">
        <w:rPr>
          <w:rFonts w:eastAsia="Arial Unicode MS"/>
          <w:bCs/>
          <w:lang w:eastAsia="fr-FR" w:bidi="he-IL"/>
        </w:rPr>
        <w:t>ses jugements</w:t>
      </w:r>
      <w:r w:rsidR="00E65435">
        <w:rPr>
          <w:rFonts w:eastAsia="Arial Unicode MS"/>
          <w:bCs/>
          <w:lang w:eastAsia="fr-FR" w:bidi="he-IL"/>
        </w:rPr>
        <w:t xml:space="preserve">, </w:t>
      </w:r>
      <w:r w:rsidR="00B704AD" w:rsidRPr="00C8701B">
        <w:rPr>
          <w:rFonts w:eastAsia="Arial Unicode MS"/>
          <w:bCs/>
          <w:lang w:eastAsia="fr-FR" w:bidi="he-IL"/>
        </w:rPr>
        <w:t>de ses velléités politiques surtout</w:t>
      </w:r>
      <w:r w:rsidR="00E65435">
        <w:rPr>
          <w:rFonts w:eastAsia="Arial Unicode MS"/>
          <w:bCs/>
          <w:lang w:eastAsia="fr-FR" w:bidi="he-IL"/>
        </w:rPr>
        <w:t xml:space="preserve">, </w:t>
      </w:r>
      <w:r>
        <w:rPr>
          <w:rFonts w:eastAsia="Arial Unicode MS"/>
          <w:bCs/>
          <w:lang w:eastAsia="fr-FR" w:bidi="he-IL"/>
        </w:rPr>
        <w:t>à</w:t>
      </w:r>
      <w:r w:rsidR="00B704AD" w:rsidRPr="00C8701B">
        <w:rPr>
          <w:rFonts w:eastAsia="Arial Unicode MS"/>
          <w:bCs/>
          <w:lang w:eastAsia="fr-FR" w:bidi="he-IL"/>
        </w:rPr>
        <w:t xml:space="preserve"> propos de la personne du prophète de Nazareth</w:t>
      </w:r>
      <w:r w:rsidR="00E65435">
        <w:rPr>
          <w:rFonts w:eastAsia="Arial Unicode MS"/>
          <w:bCs/>
          <w:lang w:eastAsia="fr-FR" w:bidi="he-IL"/>
        </w:rPr>
        <w:t xml:space="preserve">, </w:t>
      </w:r>
      <w:r w:rsidR="00B704AD" w:rsidRPr="00C8701B">
        <w:rPr>
          <w:rFonts w:eastAsia="Arial Unicode MS"/>
          <w:bCs/>
          <w:lang w:eastAsia="fr-FR" w:bidi="he-IL"/>
        </w:rPr>
        <w:t>n</w:t>
      </w:r>
      <w:r w:rsidR="00557DE0">
        <w:rPr>
          <w:rFonts w:eastAsia="Arial Unicode MS"/>
          <w:bCs/>
          <w:lang w:eastAsia="fr-FR" w:bidi="he-IL"/>
        </w:rPr>
        <w:t>’</w:t>
      </w:r>
      <w:r w:rsidR="00B704AD" w:rsidRPr="00C8701B">
        <w:rPr>
          <w:rFonts w:eastAsia="Arial Unicode MS"/>
          <w:bCs/>
          <w:lang w:eastAsia="fr-FR" w:bidi="he-IL"/>
        </w:rPr>
        <w:t>est que fable et mensonge</w:t>
      </w:r>
      <w:r w:rsidR="00E65435">
        <w:rPr>
          <w:rFonts w:eastAsia="Arial Unicode MS"/>
          <w:bCs/>
          <w:lang w:eastAsia="fr-FR" w:bidi="he-IL"/>
        </w:rPr>
        <w:t xml:space="preserve">, </w:t>
      </w:r>
      <w:r w:rsidR="00B704AD" w:rsidRPr="00C8701B">
        <w:rPr>
          <w:rFonts w:eastAsia="Arial Unicode MS"/>
          <w:bCs/>
          <w:lang w:eastAsia="fr-FR" w:bidi="he-IL"/>
        </w:rPr>
        <w:t>il faut bien qu</w:t>
      </w:r>
      <w:r w:rsidR="00557DE0">
        <w:rPr>
          <w:rFonts w:eastAsia="Arial Unicode MS"/>
          <w:bCs/>
          <w:lang w:eastAsia="fr-FR" w:bidi="he-IL"/>
        </w:rPr>
        <w:t>’</w:t>
      </w:r>
      <w:r w:rsidR="00B704AD" w:rsidRPr="00C8701B">
        <w:rPr>
          <w:rFonts w:eastAsia="Arial Unicode MS"/>
          <w:bCs/>
          <w:lang w:eastAsia="fr-FR" w:bidi="he-IL"/>
        </w:rPr>
        <w:t>il y ait eu là un autre élément encore</w:t>
      </w:r>
      <w:r w:rsidR="00E65435">
        <w:rPr>
          <w:rFonts w:eastAsia="Arial Unicode MS"/>
          <w:bCs/>
          <w:lang w:eastAsia="fr-FR" w:bidi="he-IL"/>
        </w:rPr>
        <w:t xml:space="preserve">, </w:t>
      </w:r>
      <w:r w:rsidR="00B704AD" w:rsidRPr="00C8701B">
        <w:rPr>
          <w:rFonts w:eastAsia="Arial Unicode MS"/>
          <w:bCs/>
          <w:lang w:eastAsia="fr-FR" w:bidi="he-IL"/>
        </w:rPr>
        <w:t>un mobile tout nouveau</w:t>
      </w:r>
      <w:r w:rsidR="00E65435">
        <w:rPr>
          <w:rFonts w:eastAsia="Arial Unicode MS"/>
          <w:bCs/>
          <w:lang w:eastAsia="fr-FR" w:bidi="he-IL"/>
        </w:rPr>
        <w:t xml:space="preserve">, </w:t>
      </w:r>
      <w:r w:rsidR="00B704AD" w:rsidRPr="00C8701B">
        <w:rPr>
          <w:rFonts w:eastAsia="Arial Unicode MS"/>
          <w:bCs/>
          <w:lang w:eastAsia="fr-FR" w:bidi="he-IL"/>
        </w:rPr>
        <w:t>nous voudrions dire un ressort palpable</w:t>
      </w:r>
      <w:r w:rsidR="00E65435">
        <w:rPr>
          <w:rFonts w:eastAsia="Arial Unicode MS"/>
          <w:bCs/>
          <w:lang w:eastAsia="fr-FR" w:bidi="he-IL"/>
        </w:rPr>
        <w:t xml:space="preserve">, </w:t>
      </w:r>
      <w:r w:rsidR="00B704AD" w:rsidRPr="00C8701B">
        <w:rPr>
          <w:rFonts w:eastAsia="Arial Unicode MS"/>
          <w:bCs/>
          <w:lang w:eastAsia="fr-FR" w:bidi="he-IL"/>
        </w:rPr>
        <w:t>qui ait donne l</w:t>
      </w:r>
      <w:r w:rsidR="00557DE0">
        <w:rPr>
          <w:rFonts w:eastAsia="Arial Unicode MS"/>
          <w:bCs/>
          <w:lang w:eastAsia="fr-FR" w:bidi="he-IL"/>
        </w:rPr>
        <w:t>’</w:t>
      </w:r>
      <w:r w:rsidR="00B704AD" w:rsidRPr="00C8701B">
        <w:rPr>
          <w:rFonts w:eastAsia="Arial Unicode MS"/>
          <w:bCs/>
          <w:lang w:eastAsia="fr-FR" w:bidi="he-IL"/>
        </w:rPr>
        <w:t xml:space="preserve">impulsion dans une sphère où la puissance </w:t>
      </w:r>
      <w:r>
        <w:rPr>
          <w:rFonts w:eastAsia="Arial Unicode MS"/>
          <w:bCs/>
          <w:lang w:eastAsia="fr-FR" w:bidi="he-IL"/>
        </w:rPr>
        <w:t xml:space="preserve">des </w:t>
      </w:r>
      <w:r w:rsidR="00DF496C">
        <w:rPr>
          <w:rFonts w:eastAsia="Arial Unicode MS"/>
          <w:bCs/>
          <w:lang w:eastAsia="fr-FR" w:bidi="he-IL"/>
        </w:rPr>
        <w:t>idées</w:t>
      </w:r>
      <w:r>
        <w:rPr>
          <w:rFonts w:eastAsia="Arial Unicode MS"/>
          <w:bCs/>
          <w:lang w:eastAsia="fr-FR" w:bidi="he-IL"/>
        </w:rPr>
        <w:t xml:space="preserve"> n</w:t>
      </w:r>
      <w:r w:rsidR="00557DE0">
        <w:rPr>
          <w:rFonts w:eastAsia="Arial Unicode MS"/>
          <w:bCs/>
          <w:lang w:eastAsia="fr-FR" w:bidi="he-IL"/>
        </w:rPr>
        <w:t>’</w:t>
      </w:r>
      <w:r w:rsidR="00B704AD" w:rsidRPr="00C8701B">
        <w:rPr>
          <w:rFonts w:eastAsia="Arial Unicode MS"/>
          <w:bCs/>
          <w:lang w:eastAsia="fr-FR" w:bidi="he-IL"/>
        </w:rPr>
        <w:t xml:space="preserve">est pas </w:t>
      </w:r>
      <w:r w:rsidR="00DF496C" w:rsidRPr="00C8701B">
        <w:rPr>
          <w:rFonts w:eastAsia="Arial Unicode MS"/>
          <w:bCs/>
          <w:lang w:eastAsia="fr-FR" w:bidi="he-IL"/>
        </w:rPr>
        <w:t>ordinairement</w:t>
      </w:r>
      <w:r w:rsidR="00B704AD" w:rsidRPr="00C8701B">
        <w:rPr>
          <w:rFonts w:eastAsia="Arial Unicode MS"/>
          <w:bCs/>
          <w:lang w:eastAsia="fr-FR" w:bidi="he-IL"/>
        </w:rPr>
        <w:t xml:space="preserve"> la plus grande. Qui ne songerait ici tout d</w:t>
      </w:r>
      <w:r w:rsidR="00557DE0">
        <w:rPr>
          <w:rFonts w:eastAsia="Arial Unicode MS"/>
          <w:bCs/>
          <w:lang w:eastAsia="fr-FR" w:bidi="he-IL"/>
        </w:rPr>
        <w:t>’</w:t>
      </w:r>
      <w:r w:rsidR="00B704AD" w:rsidRPr="00C8701B">
        <w:rPr>
          <w:rFonts w:eastAsia="Arial Unicode MS"/>
          <w:bCs/>
          <w:lang w:eastAsia="fr-FR" w:bidi="he-IL"/>
        </w:rPr>
        <w:t xml:space="preserve">abord a ces </w:t>
      </w:r>
      <w:r w:rsidR="00DF496C" w:rsidRPr="00C8701B">
        <w:rPr>
          <w:rFonts w:eastAsia="Arial Unicode MS"/>
          <w:bCs/>
          <w:lang w:eastAsia="fr-FR" w:bidi="he-IL"/>
        </w:rPr>
        <w:t>guérisons</w:t>
      </w:r>
      <w:r w:rsidR="00B704AD" w:rsidRPr="00C8701B">
        <w:rPr>
          <w:rFonts w:eastAsia="Arial Unicode MS"/>
          <w:bCs/>
          <w:lang w:eastAsia="fr-FR" w:bidi="he-IL"/>
        </w:rPr>
        <w:t xml:space="preserve"> nombreuses qui forment</w:t>
      </w:r>
      <w:r w:rsidR="00E65435">
        <w:rPr>
          <w:rFonts w:eastAsia="Arial Unicode MS"/>
          <w:bCs/>
          <w:lang w:eastAsia="fr-FR" w:bidi="he-IL"/>
        </w:rPr>
        <w:t xml:space="preserve">, </w:t>
      </w:r>
      <w:r w:rsidR="00B704AD" w:rsidRPr="00C8701B">
        <w:rPr>
          <w:rFonts w:eastAsia="Arial Unicode MS"/>
          <w:bCs/>
          <w:lang w:eastAsia="fr-FR" w:bidi="he-IL"/>
        </w:rPr>
        <w:t>à côté de la partie didactique</w:t>
      </w:r>
      <w:r w:rsidR="00E65435">
        <w:rPr>
          <w:rFonts w:eastAsia="Arial Unicode MS"/>
          <w:bCs/>
          <w:lang w:eastAsia="fr-FR" w:bidi="he-IL"/>
        </w:rPr>
        <w:t xml:space="preserve">, </w:t>
      </w:r>
      <w:r w:rsidR="00B704AD" w:rsidRPr="00C8701B">
        <w:rPr>
          <w:rFonts w:eastAsia="Arial Unicode MS"/>
          <w:bCs/>
          <w:lang w:eastAsia="fr-FR" w:bidi="he-IL"/>
        </w:rPr>
        <w:t>le vrai fonds de l</w:t>
      </w:r>
      <w:r w:rsidR="00557DE0">
        <w:rPr>
          <w:rFonts w:eastAsia="Arial Unicode MS"/>
          <w:bCs/>
          <w:lang w:eastAsia="fr-FR" w:bidi="he-IL"/>
        </w:rPr>
        <w:t>’</w:t>
      </w:r>
      <w:r w:rsidR="00B704AD" w:rsidRPr="00C8701B">
        <w:rPr>
          <w:rFonts w:eastAsia="Arial Unicode MS"/>
          <w:bCs/>
          <w:lang w:eastAsia="fr-FR" w:bidi="he-IL"/>
        </w:rPr>
        <w:t>histoire de Jésus</w:t>
      </w:r>
      <w:r w:rsidR="00C2602D" w:rsidRPr="00C8701B">
        <w:rPr>
          <w:rFonts w:eastAsia="Arial Unicode MS"/>
          <w:bCs/>
          <w:lang w:eastAsia="fr-FR" w:bidi="he-IL"/>
        </w:rPr>
        <w:t> ?</w:t>
      </w:r>
      <w:r w:rsidR="00B704AD" w:rsidRPr="00C8701B">
        <w:rPr>
          <w:rFonts w:eastAsia="Arial Unicode MS"/>
          <w:bCs/>
          <w:lang w:eastAsia="fr-FR" w:bidi="he-IL"/>
        </w:rPr>
        <w:t xml:space="preserve"> Oserait-on dire qu</w:t>
      </w:r>
      <w:r w:rsidR="00557DE0">
        <w:rPr>
          <w:rFonts w:eastAsia="Arial Unicode MS"/>
          <w:bCs/>
          <w:lang w:eastAsia="fr-FR" w:bidi="he-IL"/>
        </w:rPr>
        <w:t>’</w:t>
      </w:r>
      <w:r w:rsidR="00B704AD" w:rsidRPr="00C8701B">
        <w:rPr>
          <w:rFonts w:eastAsia="Arial Unicode MS"/>
          <w:bCs/>
          <w:lang w:eastAsia="fr-FR" w:bidi="he-IL"/>
        </w:rPr>
        <w:t>il a pu</w:t>
      </w:r>
      <w:r w:rsidR="00E65435">
        <w:rPr>
          <w:rFonts w:eastAsia="Arial Unicode MS"/>
          <w:bCs/>
          <w:lang w:eastAsia="fr-FR" w:bidi="he-IL"/>
        </w:rPr>
        <w:t xml:space="preserve">, </w:t>
      </w:r>
      <w:r>
        <w:rPr>
          <w:rFonts w:eastAsia="Arial Unicode MS"/>
          <w:bCs/>
          <w:lang w:eastAsia="fr-FR" w:bidi="he-IL"/>
        </w:rPr>
        <w:t>en se donnant de son chef</w:t>
      </w:r>
      <w:r w:rsidR="00B704AD" w:rsidRPr="00C8701B">
        <w:rPr>
          <w:rFonts w:eastAsia="Arial Unicode MS"/>
          <w:bCs/>
          <w:lang w:eastAsia="fr-FR" w:bidi="he-IL"/>
        </w:rPr>
        <w:t xml:space="preserve"> des airs de thaumaturge</w:t>
      </w:r>
      <w:r w:rsidR="00E65435">
        <w:rPr>
          <w:rFonts w:eastAsia="Arial Unicode MS"/>
          <w:bCs/>
          <w:lang w:eastAsia="fr-FR" w:bidi="he-IL"/>
        </w:rPr>
        <w:t xml:space="preserve">, </w:t>
      </w:r>
      <w:r w:rsidR="00B704AD" w:rsidRPr="00C8701B">
        <w:rPr>
          <w:rFonts w:eastAsia="Arial Unicode MS"/>
          <w:bCs/>
          <w:lang w:eastAsia="fr-FR" w:bidi="he-IL"/>
        </w:rPr>
        <w:t>au</w:t>
      </w:r>
      <w:r>
        <w:rPr>
          <w:rFonts w:eastAsia="Arial Unicode MS"/>
          <w:bCs/>
          <w:lang w:eastAsia="fr-FR" w:bidi="he-IL"/>
        </w:rPr>
        <w:t xml:space="preserve">dacieusement abuser de la </w:t>
      </w:r>
      <w:r w:rsidR="00DF496C">
        <w:rPr>
          <w:rFonts w:eastAsia="Arial Unicode MS"/>
          <w:bCs/>
          <w:lang w:eastAsia="fr-FR" w:bidi="he-IL"/>
        </w:rPr>
        <w:t>crédul</w:t>
      </w:r>
      <w:r w:rsidR="00DF496C" w:rsidRPr="00C8701B">
        <w:rPr>
          <w:rFonts w:eastAsia="Arial Unicode MS"/>
          <w:bCs/>
          <w:lang w:eastAsia="fr-FR" w:bidi="he-IL"/>
        </w:rPr>
        <w:t>ité</w:t>
      </w:r>
      <w:r w:rsidR="00B704AD" w:rsidRPr="00C8701B">
        <w:rPr>
          <w:rFonts w:eastAsia="Arial Unicode MS"/>
          <w:bCs/>
          <w:lang w:eastAsia="fr-FR" w:bidi="he-IL"/>
        </w:rPr>
        <w:t xml:space="preserve"> de son entourage</w:t>
      </w:r>
      <w:r w:rsidR="00C2602D" w:rsidRPr="00C8701B">
        <w:rPr>
          <w:rFonts w:eastAsia="Arial Unicode MS"/>
          <w:bCs/>
          <w:lang w:eastAsia="fr-FR" w:bidi="he-IL"/>
        </w:rPr>
        <w:t> ?</w:t>
      </w:r>
      <w:r>
        <w:rPr>
          <w:rFonts w:eastAsia="Arial Unicode MS"/>
          <w:bCs/>
          <w:lang w:eastAsia="fr-FR" w:bidi="he-IL"/>
        </w:rPr>
        <w:t xml:space="preserve"> Pour des moy</w:t>
      </w:r>
      <w:r w:rsidR="00B704AD" w:rsidRPr="00C8701B">
        <w:rPr>
          <w:rFonts w:eastAsia="Arial Unicode MS"/>
          <w:bCs/>
          <w:lang w:eastAsia="fr-FR" w:bidi="he-IL"/>
        </w:rPr>
        <w:t>ens si mesquins</w:t>
      </w:r>
      <w:r w:rsidR="00E65435">
        <w:rPr>
          <w:rFonts w:eastAsia="Arial Unicode MS"/>
          <w:bCs/>
          <w:lang w:eastAsia="fr-FR" w:bidi="he-IL"/>
        </w:rPr>
        <w:t xml:space="preserve">, </w:t>
      </w:r>
      <w:r w:rsidR="00B704AD" w:rsidRPr="00C8701B">
        <w:rPr>
          <w:rFonts w:eastAsia="Arial Unicode MS"/>
          <w:bCs/>
          <w:lang w:eastAsia="fr-FR" w:bidi="he-IL"/>
        </w:rPr>
        <w:t>si indignes</w:t>
      </w:r>
      <w:r w:rsidR="00E65435">
        <w:rPr>
          <w:rFonts w:eastAsia="Arial Unicode MS"/>
          <w:bCs/>
          <w:lang w:eastAsia="fr-FR" w:bidi="he-IL"/>
        </w:rPr>
        <w:t xml:space="preserve">, </w:t>
      </w:r>
      <w:r>
        <w:rPr>
          <w:rFonts w:eastAsia="Arial Unicode MS"/>
          <w:bCs/>
          <w:lang w:eastAsia="fr-FR" w:bidi="he-IL"/>
        </w:rPr>
        <w:t>son but était bi</w:t>
      </w:r>
      <w:r w:rsidR="00B704AD" w:rsidRPr="00C8701B">
        <w:rPr>
          <w:rFonts w:eastAsia="Arial Unicode MS"/>
          <w:bCs/>
          <w:lang w:eastAsia="fr-FR" w:bidi="he-IL"/>
        </w:rPr>
        <w:t>en trop grand et trop pur. Et si</w:t>
      </w:r>
      <w:r w:rsidR="00E65435">
        <w:rPr>
          <w:rFonts w:eastAsia="Arial Unicode MS"/>
          <w:bCs/>
          <w:lang w:eastAsia="fr-FR" w:bidi="he-IL"/>
        </w:rPr>
        <w:t xml:space="preserve">, </w:t>
      </w:r>
      <w:r w:rsidR="00B704AD" w:rsidRPr="00C8701B">
        <w:rPr>
          <w:rFonts w:eastAsia="Arial Unicode MS"/>
          <w:bCs/>
          <w:lang w:eastAsia="fr-FR" w:bidi="he-IL"/>
        </w:rPr>
        <w:t>d</w:t>
      </w:r>
      <w:r w:rsidR="00557DE0">
        <w:rPr>
          <w:rFonts w:eastAsia="Arial Unicode MS"/>
          <w:bCs/>
          <w:lang w:eastAsia="fr-FR" w:bidi="he-IL"/>
        </w:rPr>
        <w:t>’</w:t>
      </w:r>
      <w:r w:rsidR="00B704AD" w:rsidRPr="00C8701B">
        <w:rPr>
          <w:rFonts w:eastAsia="Arial Unicode MS"/>
          <w:bCs/>
          <w:lang w:eastAsia="fr-FR" w:bidi="he-IL"/>
        </w:rPr>
        <w:t>autre part</w:t>
      </w:r>
      <w:r w:rsidR="00E65435">
        <w:rPr>
          <w:rFonts w:eastAsia="Arial Unicode MS"/>
          <w:bCs/>
          <w:lang w:eastAsia="fr-FR" w:bidi="he-IL"/>
        </w:rPr>
        <w:t xml:space="preserve">, </w:t>
      </w:r>
      <w:r w:rsidR="00B704AD" w:rsidRPr="00C8701B">
        <w:rPr>
          <w:rFonts w:eastAsia="Arial Unicode MS"/>
          <w:bCs/>
          <w:lang w:eastAsia="fr-FR" w:bidi="he-IL"/>
        </w:rPr>
        <w:t xml:space="preserve">on voulait se retrancher derrière la supposition que cette même crédulité a pu se </w:t>
      </w:r>
      <w:r w:rsidR="00DF496C" w:rsidRPr="00C8701B">
        <w:rPr>
          <w:rFonts w:eastAsia="Arial Unicode MS"/>
          <w:bCs/>
          <w:lang w:eastAsia="fr-FR" w:bidi="he-IL"/>
        </w:rPr>
        <w:t>méprendre</w:t>
      </w:r>
      <w:r w:rsidR="00B704AD" w:rsidRPr="00C8701B">
        <w:rPr>
          <w:rFonts w:eastAsia="Arial Unicode MS"/>
          <w:bCs/>
          <w:lang w:eastAsia="fr-FR" w:bidi="he-IL"/>
        </w:rPr>
        <w:t xml:space="preserve"> sur la nature des effets produits</w:t>
      </w:r>
      <w:r w:rsidR="00E65435">
        <w:rPr>
          <w:rFonts w:eastAsia="Arial Unicode MS"/>
          <w:bCs/>
          <w:lang w:eastAsia="fr-FR" w:bidi="he-IL"/>
        </w:rPr>
        <w:t xml:space="preserve">, </w:t>
      </w:r>
      <w:r w:rsidR="00B704AD" w:rsidRPr="00C8701B">
        <w:rPr>
          <w:rFonts w:eastAsia="Arial Unicode MS"/>
          <w:bCs/>
          <w:lang w:eastAsia="fr-FR" w:bidi="he-IL"/>
        </w:rPr>
        <w:t>ou que la renommée a pu en exagérer les</w:t>
      </w:r>
      <w:r w:rsidR="00C2602D" w:rsidRPr="00C8701B">
        <w:rPr>
          <w:rFonts w:eastAsia="Arial Unicode MS"/>
          <w:bCs/>
          <w:lang w:eastAsia="fr-FR" w:bidi="he-IL"/>
        </w:rPr>
        <w:t xml:space="preserve"> </w:t>
      </w:r>
      <w:r w:rsidR="00B704AD" w:rsidRPr="00C8701B">
        <w:rPr>
          <w:rFonts w:eastAsia="Arial Unicode MS"/>
          <w:bCs/>
          <w:lang w:eastAsia="fr-FR" w:bidi="he-IL"/>
        </w:rPr>
        <w:t>proportions</w:t>
      </w:r>
      <w:r w:rsidR="00E65435">
        <w:rPr>
          <w:rFonts w:eastAsia="Arial Unicode MS"/>
          <w:bCs/>
          <w:lang w:eastAsia="fr-FR" w:bidi="he-IL"/>
        </w:rPr>
        <w:t xml:space="preserve">, </w:t>
      </w:r>
      <w:r w:rsidR="005F2711">
        <w:rPr>
          <w:rFonts w:eastAsia="Arial Unicode MS"/>
          <w:bCs/>
          <w:lang w:eastAsia="fr-FR" w:bidi="he-IL"/>
        </w:rPr>
        <w:t>{86</w:t>
      </w:r>
      <w:bookmarkStart w:id="135" w:name="pag086"/>
      <w:bookmarkEnd w:id="135"/>
      <w:r w:rsidR="005F2711">
        <w:rPr>
          <w:rFonts w:eastAsia="Arial Unicode MS"/>
          <w:bCs/>
          <w:lang w:eastAsia="fr-FR" w:bidi="he-IL"/>
        </w:rPr>
        <w:t xml:space="preserve">} </w:t>
      </w:r>
      <w:r w:rsidR="00B704AD" w:rsidRPr="00C8701B">
        <w:rPr>
          <w:rFonts w:eastAsia="Arial Unicode MS"/>
          <w:bCs/>
          <w:lang w:eastAsia="fr-FR" w:bidi="he-IL"/>
        </w:rPr>
        <w:t>il ne faut pas perdre de vue qu</w:t>
      </w:r>
      <w:r w:rsidR="00557DE0">
        <w:rPr>
          <w:rFonts w:eastAsia="Arial Unicode MS"/>
          <w:bCs/>
          <w:lang w:eastAsia="fr-FR" w:bidi="he-IL"/>
        </w:rPr>
        <w:t>’</w:t>
      </w:r>
      <w:r w:rsidR="00B704AD" w:rsidRPr="00C8701B">
        <w:rPr>
          <w:rFonts w:eastAsia="Arial Unicode MS"/>
          <w:bCs/>
          <w:lang w:eastAsia="fr-FR" w:bidi="he-IL"/>
        </w:rPr>
        <w:t>à mainte époque de l</w:t>
      </w:r>
      <w:r w:rsidR="00557DE0">
        <w:rPr>
          <w:rFonts w:eastAsia="Arial Unicode MS"/>
          <w:bCs/>
          <w:lang w:eastAsia="fr-FR" w:bidi="he-IL"/>
        </w:rPr>
        <w:t>’</w:t>
      </w:r>
      <w:r w:rsidR="00B704AD" w:rsidRPr="00C8701B">
        <w:rPr>
          <w:rFonts w:eastAsia="Arial Unicode MS"/>
          <w:bCs/>
          <w:lang w:eastAsia="fr-FR" w:bidi="he-IL"/>
        </w:rPr>
        <w:t>histoire chrétienne</w:t>
      </w:r>
      <w:r w:rsidR="00E65435">
        <w:rPr>
          <w:rFonts w:eastAsia="Arial Unicode MS"/>
          <w:bCs/>
          <w:lang w:eastAsia="fr-FR" w:bidi="he-IL"/>
        </w:rPr>
        <w:t xml:space="preserve">, </w:t>
      </w:r>
      <w:r w:rsidR="00B704AD" w:rsidRPr="00C8701B">
        <w:rPr>
          <w:rFonts w:eastAsia="Arial Unicode MS"/>
          <w:bCs/>
          <w:lang w:eastAsia="fr-FR" w:bidi="he-IL"/>
        </w:rPr>
        <w:t>des phénomènes analogues se sont produits</w:t>
      </w:r>
      <w:r w:rsidR="00C87A2B">
        <w:rPr>
          <w:rFonts w:eastAsia="Arial Unicode MS"/>
          <w:bCs/>
          <w:lang w:eastAsia="fr-FR" w:bidi="he-IL"/>
        </w:rPr>
        <w:t>,</w:t>
      </w:r>
      <w:r w:rsidR="00E65435">
        <w:rPr>
          <w:rFonts w:eastAsia="Arial Unicode MS"/>
          <w:bCs/>
          <w:lang w:eastAsia="fr-FR" w:bidi="he-IL"/>
        </w:rPr>
        <w:t xml:space="preserve"> </w:t>
      </w:r>
      <w:r w:rsidR="00B704AD" w:rsidRPr="00C8701B">
        <w:rPr>
          <w:rFonts w:eastAsia="Arial Unicode MS"/>
          <w:bCs/>
          <w:lang w:eastAsia="fr-FR" w:bidi="he-IL"/>
        </w:rPr>
        <w:t>en relation intime avec de grands mouvements religieux</w:t>
      </w:r>
      <w:r w:rsidR="00E65435">
        <w:rPr>
          <w:rFonts w:eastAsia="Arial Unicode MS"/>
          <w:bCs/>
          <w:lang w:eastAsia="fr-FR" w:bidi="he-IL"/>
        </w:rPr>
        <w:t xml:space="preserve">, </w:t>
      </w:r>
      <w:r w:rsidR="00B704AD" w:rsidRPr="00C8701B">
        <w:rPr>
          <w:rFonts w:eastAsia="Arial Unicode MS"/>
          <w:bCs/>
          <w:lang w:eastAsia="fr-FR" w:bidi="he-IL"/>
        </w:rPr>
        <w:t>et dans des circonstances où les témoignages des contemporains ne sauraient être écartés par la question préalable...</w:t>
      </w:r>
      <w:r w:rsidR="00C2602D" w:rsidRPr="00C8701B">
        <w:rPr>
          <w:rFonts w:eastAsia="Arial Unicode MS"/>
          <w:bCs/>
          <w:lang w:eastAsia="fr-FR" w:bidi="he-IL"/>
        </w:rPr>
        <w:t xml:space="preserve"> </w:t>
      </w:r>
    </w:p>
    <w:p w:rsidR="00C2602D" w:rsidRPr="00C8701B" w:rsidRDefault="00C2602D" w:rsidP="00C2602D">
      <w:pPr>
        <w:rPr>
          <w:rFonts w:eastAsia="Arial Unicode MS"/>
          <w:bCs/>
          <w:lang w:eastAsia="fr-FR" w:bidi="he-IL"/>
        </w:rPr>
      </w:pPr>
      <w:r w:rsidRPr="00C8701B">
        <w:rPr>
          <w:rFonts w:eastAsia="Arial Unicode MS"/>
          <w:bCs/>
          <w:lang w:eastAsia="fr-FR" w:bidi="he-IL"/>
        </w:rPr>
        <w:t>»</w:t>
      </w:r>
      <w:r w:rsidR="00D7320E">
        <w:rPr>
          <w:rFonts w:eastAsia="Arial Unicode MS"/>
          <w:bCs/>
          <w:lang w:eastAsia="fr-FR" w:bidi="he-IL"/>
        </w:rPr>
        <w:t> </w:t>
      </w:r>
      <w:r w:rsidR="00B704AD" w:rsidRPr="00C8701B">
        <w:rPr>
          <w:rFonts w:eastAsia="Arial Unicode MS"/>
          <w:bCs/>
          <w:lang w:eastAsia="fr-FR" w:bidi="he-IL"/>
        </w:rPr>
        <w:t>Mais il y a encore à faire valoir une autre considération en faveur de nos écrivains</w:t>
      </w:r>
      <w:r w:rsidR="00B46FDF">
        <w:rPr>
          <w:rFonts w:eastAsia="Arial Unicode MS"/>
          <w:bCs/>
          <w:lang w:eastAsia="fr-FR" w:bidi="he-IL"/>
        </w:rPr>
        <w:t xml:space="preserve">. Il </w:t>
      </w:r>
      <w:r w:rsidR="00B46FDF" w:rsidRPr="00C8701B">
        <w:rPr>
          <w:rFonts w:eastAsia="Arial Unicode MS"/>
          <w:bCs/>
          <w:lang w:eastAsia="fr-FR" w:bidi="he-IL"/>
        </w:rPr>
        <w:t>e</w:t>
      </w:r>
      <w:r w:rsidR="00B704AD" w:rsidRPr="00C8701B">
        <w:rPr>
          <w:rFonts w:eastAsia="Arial Unicode MS"/>
          <w:bCs/>
          <w:lang w:eastAsia="fr-FR" w:bidi="he-IL"/>
        </w:rPr>
        <w:t>st de toute évidence qu</w:t>
      </w:r>
      <w:r w:rsidR="00557DE0">
        <w:rPr>
          <w:rFonts w:eastAsia="Arial Unicode MS"/>
          <w:bCs/>
          <w:lang w:eastAsia="fr-FR" w:bidi="he-IL"/>
        </w:rPr>
        <w:t>’</w:t>
      </w:r>
      <w:r w:rsidR="00B704AD" w:rsidRPr="00C8701B">
        <w:rPr>
          <w:rFonts w:eastAsia="Arial Unicode MS"/>
          <w:bCs/>
          <w:lang w:eastAsia="fr-FR" w:bidi="he-IL"/>
        </w:rPr>
        <w:t>ils ne racontent que ce qu</w:t>
      </w:r>
      <w:r w:rsidR="00557DE0">
        <w:rPr>
          <w:rFonts w:eastAsia="Arial Unicode MS"/>
          <w:bCs/>
          <w:lang w:eastAsia="fr-FR" w:bidi="he-IL"/>
        </w:rPr>
        <w:t>’</w:t>
      </w:r>
      <w:r w:rsidR="00B704AD" w:rsidRPr="00C8701B">
        <w:rPr>
          <w:rFonts w:eastAsia="Arial Unicode MS"/>
          <w:bCs/>
          <w:lang w:eastAsia="fr-FR" w:bidi="he-IL"/>
        </w:rPr>
        <w:t>on croyait de leur temps. Ils n</w:t>
      </w:r>
      <w:r w:rsidR="00557DE0">
        <w:rPr>
          <w:rFonts w:eastAsia="Arial Unicode MS"/>
          <w:bCs/>
          <w:lang w:eastAsia="fr-FR" w:bidi="he-IL"/>
        </w:rPr>
        <w:t>’</w:t>
      </w:r>
      <w:r w:rsidR="00B704AD" w:rsidRPr="00C8701B">
        <w:rPr>
          <w:rFonts w:eastAsia="Arial Unicode MS"/>
          <w:bCs/>
          <w:lang w:eastAsia="fr-FR" w:bidi="he-IL"/>
        </w:rPr>
        <w:t>ont pas inventé les faits qu</w:t>
      </w:r>
      <w:r w:rsidR="00557DE0">
        <w:rPr>
          <w:rFonts w:eastAsia="Arial Unicode MS"/>
          <w:bCs/>
          <w:lang w:eastAsia="fr-FR" w:bidi="he-IL"/>
        </w:rPr>
        <w:t>’</w:t>
      </w:r>
      <w:r w:rsidR="00B704AD" w:rsidRPr="00C8701B">
        <w:rPr>
          <w:rFonts w:eastAsia="Arial Unicode MS"/>
          <w:bCs/>
          <w:lang w:eastAsia="fr-FR" w:bidi="he-IL"/>
        </w:rPr>
        <w:t>ils relatent. Ce ne sont point eux qui ont pris l</w:t>
      </w:r>
      <w:r w:rsidR="00557DE0">
        <w:rPr>
          <w:rFonts w:eastAsia="Arial Unicode MS"/>
          <w:bCs/>
          <w:lang w:eastAsia="fr-FR" w:bidi="he-IL"/>
        </w:rPr>
        <w:t>’</w:t>
      </w:r>
      <w:r w:rsidR="00B704AD" w:rsidRPr="00C8701B">
        <w:rPr>
          <w:rFonts w:eastAsia="Arial Unicode MS"/>
          <w:bCs/>
          <w:lang w:eastAsia="fr-FR" w:bidi="he-IL"/>
        </w:rPr>
        <w:t>initiative de la foi et de la tradition de l</w:t>
      </w:r>
      <w:r w:rsidR="00557DE0">
        <w:rPr>
          <w:rFonts w:eastAsia="Arial Unicode MS"/>
          <w:bCs/>
          <w:lang w:eastAsia="fr-FR" w:bidi="he-IL"/>
        </w:rPr>
        <w:t>’</w:t>
      </w:r>
      <w:r w:rsidR="00C8701B">
        <w:rPr>
          <w:rFonts w:eastAsia="Arial Unicode MS"/>
          <w:bCs/>
          <w:lang w:eastAsia="fr-FR" w:bidi="he-IL"/>
        </w:rPr>
        <w:t>Église</w:t>
      </w:r>
      <w:r w:rsidR="00B704AD" w:rsidRPr="00C8701B">
        <w:rPr>
          <w:rFonts w:eastAsia="Arial Unicode MS"/>
          <w:bCs/>
          <w:lang w:eastAsia="fr-FR" w:bidi="he-IL"/>
        </w:rPr>
        <w:t>. Celle-ci a existé avant leurs écrits</w:t>
      </w:r>
      <w:r w:rsidR="00E65435">
        <w:rPr>
          <w:rFonts w:eastAsia="Arial Unicode MS"/>
          <w:bCs/>
          <w:lang w:eastAsia="fr-FR" w:bidi="he-IL"/>
        </w:rPr>
        <w:t xml:space="preserve">, </w:t>
      </w:r>
      <w:r w:rsidR="00B704AD" w:rsidRPr="00C8701B">
        <w:rPr>
          <w:rFonts w:eastAsia="Arial Unicode MS"/>
          <w:bCs/>
          <w:lang w:eastAsia="fr-FR" w:bidi="he-IL"/>
        </w:rPr>
        <w:t>et elle a existé</w:t>
      </w:r>
      <w:r w:rsidR="00E65435">
        <w:rPr>
          <w:rFonts w:eastAsia="Arial Unicode MS"/>
          <w:bCs/>
          <w:lang w:eastAsia="fr-FR" w:bidi="he-IL"/>
        </w:rPr>
        <w:t xml:space="preserve">, </w:t>
      </w:r>
      <w:r w:rsidR="00B704AD" w:rsidRPr="00C8701B">
        <w:rPr>
          <w:rFonts w:eastAsia="Arial Unicode MS"/>
          <w:bCs/>
          <w:lang w:eastAsia="fr-FR" w:bidi="he-IL"/>
        </w:rPr>
        <w:t>en partie du moins</w:t>
      </w:r>
      <w:r w:rsidR="00E65435">
        <w:rPr>
          <w:rFonts w:eastAsia="Arial Unicode MS"/>
          <w:bCs/>
          <w:lang w:eastAsia="fr-FR" w:bidi="he-IL"/>
        </w:rPr>
        <w:t xml:space="preserve">, </w:t>
      </w:r>
      <w:r w:rsidR="00B704AD" w:rsidRPr="00C8701B">
        <w:rPr>
          <w:rFonts w:eastAsia="Arial Unicode MS"/>
          <w:bCs/>
          <w:lang w:eastAsia="fr-FR" w:bidi="he-IL"/>
        </w:rPr>
        <w:t>parce qu</w:t>
      </w:r>
      <w:r w:rsidR="00557DE0">
        <w:rPr>
          <w:rFonts w:eastAsia="Arial Unicode MS"/>
          <w:bCs/>
          <w:lang w:eastAsia="fr-FR" w:bidi="he-IL"/>
        </w:rPr>
        <w:t>’</w:t>
      </w:r>
      <w:r w:rsidR="00B704AD" w:rsidRPr="00C8701B">
        <w:rPr>
          <w:rFonts w:eastAsia="Arial Unicode MS"/>
          <w:bCs/>
          <w:lang w:eastAsia="fr-FR" w:bidi="he-IL"/>
        </w:rPr>
        <w:t>elle croyait à ces faits. Or une institution comme l</w:t>
      </w:r>
      <w:r w:rsidR="00557DE0">
        <w:rPr>
          <w:rFonts w:eastAsia="Arial Unicode MS"/>
          <w:bCs/>
          <w:lang w:eastAsia="fr-FR" w:bidi="he-IL"/>
        </w:rPr>
        <w:t>’</w:t>
      </w:r>
      <w:r w:rsidR="00C8701B">
        <w:rPr>
          <w:rFonts w:eastAsia="Arial Unicode MS"/>
          <w:bCs/>
          <w:lang w:eastAsia="fr-FR" w:bidi="he-IL"/>
        </w:rPr>
        <w:t>Église</w:t>
      </w:r>
      <w:r w:rsidR="00B704AD" w:rsidRPr="00C8701B">
        <w:rPr>
          <w:rFonts w:eastAsia="Arial Unicode MS"/>
          <w:bCs/>
          <w:lang w:eastAsia="fr-FR" w:bidi="he-IL"/>
        </w:rPr>
        <w:t xml:space="preserve"> ne peut pas avoir pour base une simple illusion. Nous pourrions dire que nos </w:t>
      </w:r>
      <w:r w:rsidR="000439E9">
        <w:rPr>
          <w:rFonts w:eastAsia="Arial Unicode MS"/>
          <w:bCs/>
          <w:lang w:eastAsia="fr-FR" w:bidi="he-IL"/>
        </w:rPr>
        <w:t>Évangile</w:t>
      </w:r>
      <w:r w:rsidR="00B704AD" w:rsidRPr="00C8701B">
        <w:rPr>
          <w:rFonts w:eastAsia="Arial Unicode MS"/>
          <w:bCs/>
          <w:lang w:eastAsia="fr-FR" w:bidi="he-IL"/>
        </w:rPr>
        <w:t>s</w:t>
      </w:r>
      <w:r w:rsidR="00E65435">
        <w:rPr>
          <w:rFonts w:eastAsia="Arial Unicode MS"/>
          <w:bCs/>
          <w:lang w:eastAsia="fr-FR" w:bidi="he-IL"/>
        </w:rPr>
        <w:t xml:space="preserve">, </w:t>
      </w:r>
      <w:r w:rsidR="00B704AD" w:rsidRPr="00C8701B">
        <w:rPr>
          <w:rFonts w:eastAsia="Arial Unicode MS"/>
          <w:bCs/>
          <w:lang w:eastAsia="fr-FR" w:bidi="he-IL"/>
        </w:rPr>
        <w:t>dans leurs premières ébauches</w:t>
      </w:r>
      <w:r w:rsidR="00E65435">
        <w:rPr>
          <w:rFonts w:eastAsia="Arial Unicode MS"/>
          <w:bCs/>
          <w:lang w:eastAsia="fr-FR" w:bidi="he-IL"/>
        </w:rPr>
        <w:t xml:space="preserve">, </w:t>
      </w:r>
      <w:r w:rsidR="00B704AD" w:rsidRPr="00C8701B">
        <w:rPr>
          <w:rFonts w:eastAsia="Arial Unicode MS"/>
          <w:bCs/>
          <w:lang w:eastAsia="fr-FR" w:bidi="he-IL"/>
        </w:rPr>
        <w:t>sont trop rapprochés de l</w:t>
      </w:r>
      <w:r w:rsidR="00557DE0">
        <w:rPr>
          <w:rFonts w:eastAsia="Arial Unicode MS"/>
          <w:bCs/>
          <w:lang w:eastAsia="fr-FR" w:bidi="he-IL"/>
        </w:rPr>
        <w:t>’</w:t>
      </w:r>
      <w:r w:rsidR="00B704AD" w:rsidRPr="00C8701B">
        <w:rPr>
          <w:rFonts w:eastAsia="Arial Unicode MS"/>
          <w:bCs/>
          <w:lang w:eastAsia="fr-FR" w:bidi="he-IL"/>
        </w:rPr>
        <w:t>époque de Jésus</w:t>
      </w:r>
      <w:r w:rsidR="00E65435">
        <w:rPr>
          <w:rFonts w:eastAsia="Arial Unicode MS"/>
          <w:bCs/>
          <w:lang w:eastAsia="fr-FR" w:bidi="he-IL"/>
        </w:rPr>
        <w:t xml:space="preserve">, </w:t>
      </w:r>
      <w:r w:rsidR="00B704AD" w:rsidRPr="00C8701B">
        <w:rPr>
          <w:rFonts w:eastAsia="Arial Unicode MS"/>
          <w:bCs/>
          <w:lang w:eastAsia="fr-FR" w:bidi="he-IL"/>
        </w:rPr>
        <w:t>pour qu</w:t>
      </w:r>
      <w:r w:rsidR="00557DE0">
        <w:rPr>
          <w:rFonts w:eastAsia="Arial Unicode MS"/>
          <w:bCs/>
          <w:lang w:eastAsia="fr-FR" w:bidi="he-IL"/>
        </w:rPr>
        <w:t>’</w:t>
      </w:r>
      <w:r w:rsidR="00B704AD" w:rsidRPr="00C8701B">
        <w:rPr>
          <w:rFonts w:eastAsia="Arial Unicode MS"/>
          <w:bCs/>
          <w:lang w:eastAsia="fr-FR" w:bidi="he-IL"/>
        </w:rPr>
        <w:t>il y ait de la marge pour une transformation complète</w:t>
      </w:r>
      <w:r w:rsidR="00E65435">
        <w:rPr>
          <w:rFonts w:eastAsia="Arial Unicode MS"/>
          <w:bCs/>
          <w:lang w:eastAsia="fr-FR" w:bidi="he-IL"/>
        </w:rPr>
        <w:t xml:space="preserve">, </w:t>
      </w:r>
      <w:r w:rsidR="00B704AD" w:rsidRPr="00C8701B">
        <w:rPr>
          <w:rFonts w:eastAsia="Arial Unicode MS"/>
          <w:bCs/>
          <w:lang w:eastAsia="fr-FR" w:bidi="he-IL"/>
        </w:rPr>
        <w:t>fabuleuse</w:t>
      </w:r>
      <w:r w:rsidR="00E65435">
        <w:rPr>
          <w:rFonts w:eastAsia="Arial Unicode MS"/>
          <w:bCs/>
          <w:lang w:eastAsia="fr-FR" w:bidi="he-IL"/>
        </w:rPr>
        <w:t xml:space="preserve">, </w:t>
      </w:r>
      <w:r w:rsidR="00B704AD" w:rsidRPr="00C8701B">
        <w:rPr>
          <w:rFonts w:eastAsia="Arial Unicode MS"/>
          <w:bCs/>
          <w:lang w:eastAsia="fr-FR" w:bidi="he-IL"/>
        </w:rPr>
        <w:t>mythique de son histoire</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mais nous irons bien plus loin</w:t>
      </w:r>
      <w:r w:rsidRPr="00C8701B">
        <w:rPr>
          <w:rFonts w:eastAsia="Arial Unicode MS"/>
          <w:bCs/>
          <w:lang w:eastAsia="fr-FR" w:bidi="he-IL"/>
        </w:rPr>
        <w:t> :</w:t>
      </w:r>
      <w:r w:rsidR="00B704AD" w:rsidRPr="00C8701B">
        <w:rPr>
          <w:rFonts w:eastAsia="Arial Unicode MS"/>
          <w:bCs/>
          <w:lang w:eastAsia="fr-FR" w:bidi="he-IL"/>
        </w:rPr>
        <w:t xml:space="preserve"> nous dirons que lors même que nous posséderions des livres plus anciens</w:t>
      </w:r>
      <w:r w:rsidR="00E65435">
        <w:rPr>
          <w:rFonts w:eastAsia="Arial Unicode MS"/>
          <w:bCs/>
          <w:lang w:eastAsia="fr-FR" w:bidi="he-IL"/>
        </w:rPr>
        <w:t xml:space="preserve">, </w:t>
      </w:r>
      <w:r w:rsidR="00B704AD" w:rsidRPr="00C8701B">
        <w:rPr>
          <w:rFonts w:eastAsia="Arial Unicode MS"/>
          <w:bCs/>
          <w:lang w:eastAsia="fr-FR" w:bidi="he-IL"/>
        </w:rPr>
        <w:t>plus rapprochés encore des événements</w:t>
      </w:r>
      <w:r w:rsidR="00E65435">
        <w:rPr>
          <w:rFonts w:eastAsia="Arial Unicode MS"/>
          <w:bCs/>
          <w:lang w:eastAsia="fr-FR" w:bidi="he-IL"/>
        </w:rPr>
        <w:t xml:space="preserve">, </w:t>
      </w:r>
      <w:r w:rsidR="00B704AD" w:rsidRPr="00C8701B">
        <w:rPr>
          <w:rFonts w:eastAsia="Arial Unicode MS"/>
          <w:bCs/>
          <w:lang w:eastAsia="fr-FR" w:bidi="he-IL"/>
        </w:rPr>
        <w:t>il n</w:t>
      </w:r>
      <w:r w:rsidR="00557DE0">
        <w:rPr>
          <w:rFonts w:eastAsia="Arial Unicode MS"/>
          <w:bCs/>
          <w:lang w:eastAsia="fr-FR" w:bidi="he-IL"/>
        </w:rPr>
        <w:t>’</w:t>
      </w:r>
      <w:r w:rsidR="00B704AD" w:rsidRPr="00C8701B">
        <w:rPr>
          <w:rFonts w:eastAsia="Arial Unicode MS"/>
          <w:bCs/>
          <w:lang w:eastAsia="fr-FR" w:bidi="he-IL"/>
        </w:rPr>
        <w:t>est pas probable qu</w:t>
      </w:r>
      <w:r w:rsidR="00557DE0">
        <w:rPr>
          <w:rFonts w:eastAsia="Arial Unicode MS"/>
          <w:bCs/>
          <w:lang w:eastAsia="fr-FR" w:bidi="he-IL"/>
        </w:rPr>
        <w:t>’</w:t>
      </w:r>
      <w:r w:rsidR="00B704AD" w:rsidRPr="00C8701B">
        <w:rPr>
          <w:rFonts w:eastAsia="Arial Unicode MS"/>
          <w:bCs/>
          <w:lang w:eastAsia="fr-FR" w:bidi="he-IL"/>
        </w:rPr>
        <w:t>il nous les représentassent sous un autre jour. De prime abord</w:t>
      </w:r>
      <w:r w:rsidR="00E65435">
        <w:rPr>
          <w:rFonts w:eastAsia="Arial Unicode MS"/>
          <w:bCs/>
          <w:lang w:eastAsia="fr-FR" w:bidi="he-IL"/>
        </w:rPr>
        <w:t xml:space="preserve">, </w:t>
      </w:r>
      <w:r w:rsidR="00B704AD" w:rsidRPr="00C8701B">
        <w:rPr>
          <w:rFonts w:eastAsia="Arial Unicode MS"/>
          <w:bCs/>
          <w:lang w:eastAsia="fr-FR" w:bidi="he-IL"/>
        </w:rPr>
        <w:t>la foi des</w:t>
      </w:r>
      <w:r w:rsidR="00B52FA3">
        <w:rPr>
          <w:rFonts w:eastAsia="Arial Unicode MS"/>
          <w:bCs/>
          <w:lang w:eastAsia="fr-FR" w:bidi="he-IL"/>
        </w:rPr>
        <w:t xml:space="preserve"> </w:t>
      </w:r>
      <w:r w:rsidR="00B704AD" w:rsidRPr="00C8701B">
        <w:rPr>
          <w:rFonts w:eastAsia="Arial Unicode MS"/>
          <w:bCs/>
          <w:lang w:eastAsia="fr-FR" w:bidi="he-IL"/>
        </w:rPr>
        <w:t>individus</w:t>
      </w:r>
      <w:r w:rsidR="00E65435">
        <w:rPr>
          <w:rFonts w:eastAsia="Arial Unicode MS"/>
          <w:bCs/>
          <w:lang w:eastAsia="fr-FR" w:bidi="he-IL"/>
        </w:rPr>
        <w:t xml:space="preserve">, </w:t>
      </w:r>
      <w:r w:rsidR="00B704AD" w:rsidRPr="00C8701B">
        <w:rPr>
          <w:rFonts w:eastAsia="Arial Unicode MS"/>
          <w:bCs/>
          <w:lang w:eastAsia="fr-FR" w:bidi="he-IL"/>
        </w:rPr>
        <w:t>comme celle de la communauté</w:t>
      </w:r>
      <w:r w:rsidR="00E65435">
        <w:rPr>
          <w:rFonts w:eastAsia="Arial Unicode MS"/>
          <w:bCs/>
          <w:lang w:eastAsia="fr-FR" w:bidi="he-IL"/>
        </w:rPr>
        <w:t xml:space="preserve">, </w:t>
      </w:r>
      <w:r w:rsidR="00B704AD" w:rsidRPr="00C8701B">
        <w:rPr>
          <w:rFonts w:eastAsia="Arial Unicode MS"/>
          <w:bCs/>
          <w:lang w:eastAsia="fr-FR" w:bidi="he-IL"/>
        </w:rPr>
        <w:t>tout en conservant religieusement ce qui constituait l</w:t>
      </w:r>
      <w:r w:rsidR="00557DE0">
        <w:rPr>
          <w:rFonts w:eastAsia="Arial Unicode MS"/>
          <w:bCs/>
          <w:lang w:eastAsia="fr-FR" w:bidi="he-IL"/>
        </w:rPr>
        <w:t>’</w:t>
      </w:r>
      <w:r w:rsidR="00B704AD" w:rsidRPr="00C8701B">
        <w:rPr>
          <w:rFonts w:eastAsia="Arial Unicode MS"/>
          <w:bCs/>
          <w:lang w:eastAsia="fr-FR" w:bidi="he-IL"/>
        </w:rPr>
        <w:t>essence de l</w:t>
      </w:r>
      <w:r w:rsidR="00557DE0">
        <w:rPr>
          <w:rFonts w:eastAsia="Arial Unicode MS"/>
          <w:bCs/>
          <w:lang w:eastAsia="fr-FR" w:bidi="he-IL"/>
        </w:rPr>
        <w:t>’</w:t>
      </w:r>
      <w:r w:rsidR="00B704AD" w:rsidRPr="00C8701B">
        <w:rPr>
          <w:rFonts w:eastAsia="Arial Unicode MS"/>
          <w:bCs/>
          <w:lang w:eastAsia="fr-FR" w:bidi="he-IL"/>
        </w:rPr>
        <w:t>enseignement du Maître</w:t>
      </w:r>
      <w:r w:rsidR="00E65435">
        <w:rPr>
          <w:rFonts w:eastAsia="Arial Unicode MS"/>
          <w:bCs/>
          <w:lang w:eastAsia="fr-FR" w:bidi="he-IL"/>
        </w:rPr>
        <w:t xml:space="preserve">, </w:t>
      </w:r>
      <w:r w:rsidR="00B704AD" w:rsidRPr="00C8701B">
        <w:rPr>
          <w:rFonts w:eastAsia="Arial Unicode MS"/>
          <w:bCs/>
          <w:lang w:eastAsia="fr-FR" w:bidi="he-IL"/>
        </w:rPr>
        <w:t>s</w:t>
      </w:r>
      <w:r w:rsidR="00557DE0">
        <w:rPr>
          <w:rFonts w:eastAsia="Arial Unicode MS"/>
          <w:bCs/>
          <w:lang w:eastAsia="fr-FR" w:bidi="he-IL"/>
        </w:rPr>
        <w:t>’</w:t>
      </w:r>
      <w:r w:rsidR="00B704AD" w:rsidRPr="00C8701B">
        <w:rPr>
          <w:rFonts w:eastAsia="Arial Unicode MS"/>
          <w:bCs/>
          <w:lang w:eastAsia="fr-FR" w:bidi="he-IL"/>
        </w:rPr>
        <w:t>est appuyée sur autre chose encore</w:t>
      </w:r>
      <w:r w:rsidR="00E65435">
        <w:rPr>
          <w:rFonts w:eastAsia="Arial Unicode MS"/>
          <w:bCs/>
          <w:lang w:eastAsia="fr-FR" w:bidi="he-IL"/>
        </w:rPr>
        <w:t xml:space="preserve">, </w:t>
      </w:r>
      <w:r w:rsidR="00B704AD" w:rsidRPr="00C8701B">
        <w:rPr>
          <w:rFonts w:eastAsia="Arial Unicode MS"/>
          <w:bCs/>
          <w:lang w:eastAsia="fr-FR" w:bidi="he-IL"/>
        </w:rPr>
        <w:t>sur des faits matériels qui ne risquaient pas de se dissoudre en fumée au contact d</w:t>
      </w:r>
      <w:r w:rsidR="00557DE0">
        <w:rPr>
          <w:rFonts w:eastAsia="Arial Unicode MS"/>
          <w:bCs/>
          <w:lang w:eastAsia="fr-FR" w:bidi="he-IL"/>
        </w:rPr>
        <w:t>’</w:t>
      </w:r>
      <w:r w:rsidR="00B704AD" w:rsidRPr="00C8701B">
        <w:rPr>
          <w:rFonts w:eastAsia="Arial Unicode MS"/>
          <w:bCs/>
          <w:lang w:eastAsia="fr-FR" w:bidi="he-IL"/>
        </w:rPr>
        <w:t>une discussion contradictoire avec ces premiers témoins... Le commentateur n</w:t>
      </w:r>
      <w:r w:rsidR="00557DE0">
        <w:rPr>
          <w:rFonts w:eastAsia="Arial Unicode MS"/>
          <w:bCs/>
          <w:lang w:eastAsia="fr-FR" w:bidi="he-IL"/>
        </w:rPr>
        <w:t>’</w:t>
      </w:r>
      <w:r w:rsidR="00B704AD" w:rsidRPr="00C8701B">
        <w:rPr>
          <w:rFonts w:eastAsia="Arial Unicode MS"/>
          <w:bCs/>
          <w:lang w:eastAsia="fr-FR" w:bidi="he-IL"/>
        </w:rPr>
        <w:t>a donc point la mission</w:t>
      </w:r>
      <w:r w:rsidR="00E65435">
        <w:rPr>
          <w:rFonts w:eastAsia="Arial Unicode MS"/>
          <w:bCs/>
          <w:lang w:eastAsia="fr-FR" w:bidi="he-IL"/>
        </w:rPr>
        <w:t xml:space="preserve">, </w:t>
      </w:r>
      <w:r w:rsidR="00B704AD" w:rsidRPr="00C8701B">
        <w:rPr>
          <w:rFonts w:eastAsia="Arial Unicode MS"/>
          <w:bCs/>
          <w:lang w:eastAsia="fr-FR" w:bidi="he-IL"/>
        </w:rPr>
        <w:t>tout aussi peu qu</w:t>
      </w:r>
      <w:r w:rsidR="00557DE0">
        <w:rPr>
          <w:rFonts w:eastAsia="Arial Unicode MS"/>
          <w:bCs/>
          <w:lang w:eastAsia="fr-FR" w:bidi="he-IL"/>
        </w:rPr>
        <w:t>’</w:t>
      </w:r>
      <w:r w:rsidR="00B704AD" w:rsidRPr="00C8701B">
        <w:rPr>
          <w:rFonts w:eastAsia="Arial Unicode MS"/>
          <w:bCs/>
          <w:lang w:eastAsia="fr-FR" w:bidi="he-IL"/>
        </w:rPr>
        <w:t>il en aurait les moyens</w:t>
      </w:r>
      <w:r w:rsidR="00E65435">
        <w:rPr>
          <w:rFonts w:eastAsia="Arial Unicode MS"/>
          <w:bCs/>
          <w:lang w:eastAsia="fr-FR" w:bidi="he-IL"/>
        </w:rPr>
        <w:t xml:space="preserve">, </w:t>
      </w:r>
      <w:r w:rsidR="00B704AD" w:rsidRPr="00C8701B">
        <w:rPr>
          <w:rFonts w:eastAsia="Arial Unicode MS"/>
          <w:bCs/>
          <w:lang w:eastAsia="fr-FR" w:bidi="he-IL"/>
        </w:rPr>
        <w:t>de réduire leurs récits à des proportions plus simples</w:t>
      </w:r>
      <w:r w:rsidR="00E65435">
        <w:rPr>
          <w:rFonts w:eastAsia="Arial Unicode MS"/>
          <w:bCs/>
          <w:lang w:eastAsia="fr-FR" w:bidi="he-IL"/>
        </w:rPr>
        <w:t xml:space="preserve">, </w:t>
      </w:r>
      <w:r w:rsidR="00B704AD" w:rsidRPr="00C8701B">
        <w:rPr>
          <w:rFonts w:eastAsia="Arial Unicode MS"/>
          <w:bCs/>
          <w:lang w:eastAsia="fr-FR" w:bidi="he-IL"/>
        </w:rPr>
        <w:t>ou</w:t>
      </w:r>
      <w:r w:rsidR="00E65435">
        <w:rPr>
          <w:rFonts w:eastAsia="Arial Unicode MS"/>
          <w:bCs/>
          <w:lang w:eastAsia="fr-FR" w:bidi="he-IL"/>
        </w:rPr>
        <w:t xml:space="preserve">, </w:t>
      </w:r>
      <w:r w:rsidR="00B704AD" w:rsidRPr="00C8701B">
        <w:rPr>
          <w:rFonts w:eastAsia="Arial Unicode MS"/>
          <w:bCs/>
          <w:lang w:eastAsia="fr-FR" w:bidi="he-IL"/>
        </w:rPr>
        <w:t>comme on dit</w:t>
      </w:r>
      <w:r w:rsidR="00E65435">
        <w:rPr>
          <w:rFonts w:eastAsia="Arial Unicode MS"/>
          <w:bCs/>
          <w:lang w:eastAsia="fr-FR" w:bidi="he-IL"/>
        </w:rPr>
        <w:t xml:space="preserve">, </w:t>
      </w:r>
      <w:r w:rsidR="00B704AD" w:rsidRPr="00C8701B">
        <w:rPr>
          <w:rFonts w:eastAsia="Arial Unicode MS"/>
          <w:bCs/>
          <w:lang w:eastAsia="fr-FR" w:bidi="he-IL"/>
        </w:rPr>
        <w:t>plus naturelles. L</w:t>
      </w:r>
      <w:r w:rsidR="00557DE0">
        <w:rPr>
          <w:rFonts w:eastAsia="Arial Unicode MS"/>
          <w:bCs/>
          <w:lang w:eastAsia="fr-FR" w:bidi="he-IL"/>
        </w:rPr>
        <w:t>’</w:t>
      </w:r>
      <w:r w:rsidR="00B704AD" w:rsidRPr="00C8701B">
        <w:rPr>
          <w:rFonts w:eastAsia="Arial Unicode MS"/>
          <w:bCs/>
          <w:lang w:eastAsia="fr-FR" w:bidi="he-IL"/>
        </w:rPr>
        <w:t>expérience a prouvé que toutes les tentatives de ce genre aboutissent fatalement à des résultat</w:t>
      </w:r>
      <w:r w:rsidR="00B52FA3">
        <w:rPr>
          <w:rFonts w:eastAsia="Arial Unicode MS"/>
          <w:bCs/>
          <w:lang w:eastAsia="fr-FR" w:bidi="he-IL"/>
        </w:rPr>
        <w:t>s mesquins et invraisemblables »</w:t>
      </w:r>
      <w:r w:rsidR="00933C60" w:rsidRPr="00C406FF">
        <w:rPr>
          <w:rStyle w:val="Appelnotedebasdep"/>
        </w:rPr>
        <w:footnoteReference w:id="470"/>
      </w:r>
      <w:r w:rsidR="00B704AD" w:rsidRPr="00C8701B">
        <w:rPr>
          <w:rFonts w:eastAsia="Arial Unicode MS"/>
          <w:bCs/>
          <w:lang w:eastAsia="fr-FR" w:bidi="he-IL"/>
        </w:rPr>
        <w:t>.</w:t>
      </w:r>
      <w:r w:rsidRPr="00C8701B">
        <w:rPr>
          <w:rFonts w:eastAsia="Arial Unicode MS"/>
          <w:bCs/>
          <w:lang w:eastAsia="fr-FR" w:bidi="he-IL"/>
        </w:rPr>
        <w:t xml:space="preserve"> </w:t>
      </w:r>
      <w:r w:rsidR="00B52FA3">
        <w:rPr>
          <w:rFonts w:eastAsia="Arial Unicode MS"/>
          <w:bCs/>
          <w:lang w:eastAsia="fr-FR" w:bidi="he-IL"/>
        </w:rPr>
        <w:t>{87</w:t>
      </w:r>
      <w:bookmarkStart w:id="136" w:name="pag087"/>
      <w:bookmarkEnd w:id="136"/>
      <w:r w:rsidR="00B52FA3">
        <w:rPr>
          <w:rFonts w:eastAsia="Arial Unicode MS"/>
          <w:bCs/>
          <w:lang w:eastAsia="fr-FR" w:bidi="he-IL"/>
        </w:rPr>
        <w:t>}</w:t>
      </w:r>
    </w:p>
    <w:p w:rsidR="00C2602D" w:rsidRPr="00C8701B" w:rsidRDefault="00B704AD" w:rsidP="003A68DB">
      <w:pPr>
        <w:pStyle w:val="Titre4"/>
        <w:rPr>
          <w:lang w:eastAsia="fr-FR" w:bidi="he-IL"/>
        </w:rPr>
      </w:pPr>
      <w:bookmarkStart w:id="137" w:name="_Toc526755725"/>
      <w:r w:rsidRPr="00C8701B">
        <w:rPr>
          <w:rFonts w:eastAsia="Arial Unicode MS"/>
          <w:bCs/>
          <w:lang w:eastAsia="fr-FR" w:bidi="he-IL"/>
        </w:rPr>
        <w:t>§ XI.</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DIVINITÉ DES ÉVANGILES</w:t>
      </w:r>
      <w:r w:rsidR="00933C60" w:rsidRPr="00C406FF">
        <w:rPr>
          <w:rStyle w:val="Appelnotedebasdep"/>
        </w:rPr>
        <w:footnoteReference w:id="471"/>
      </w:r>
      <w:bookmarkStart w:id="138" w:name="evin11"/>
      <w:bookmarkEnd w:id="137"/>
      <w:bookmarkEnd w:id="138"/>
      <w:r w:rsidR="00C2602D" w:rsidRPr="00C8701B">
        <w:rPr>
          <w:rFonts w:eastAsia="Arial Unicode MS"/>
          <w:bCs/>
          <w:lang w:eastAsia="fr-FR" w:bidi="he-IL"/>
        </w:rPr>
        <w:t xml:space="preserve"> </w:t>
      </w:r>
    </w:p>
    <w:p w:rsidR="00C2602D" w:rsidRPr="00DC4586" w:rsidRDefault="00B704AD" w:rsidP="00C2602D">
      <w:pPr>
        <w:rPr>
          <w:rStyle w:val="italicus"/>
        </w:rPr>
      </w:pPr>
      <w:r w:rsidRPr="00C8701B">
        <w:rPr>
          <w:rFonts w:eastAsia="Arial Unicode MS"/>
          <w:bCs/>
          <w:lang w:eastAsia="fr-FR" w:bidi="he-IL"/>
        </w:rPr>
        <w:t>Comme les autres parties de</w:t>
      </w:r>
      <w:r w:rsidR="005F36ED">
        <w:rPr>
          <w:rFonts w:eastAsia="Arial Unicode MS"/>
          <w:bCs/>
          <w:lang w:eastAsia="fr-FR" w:bidi="he-IL"/>
        </w:rPr>
        <w:t xml:space="preserve"> l</w:t>
      </w:r>
      <w:r w:rsidR="00557DE0">
        <w:rPr>
          <w:rFonts w:eastAsia="Arial Unicode MS"/>
          <w:bCs/>
          <w:lang w:eastAsia="fr-FR" w:bidi="he-IL"/>
        </w:rPr>
        <w:t>’</w:t>
      </w:r>
      <w:r w:rsidRPr="00C8701B">
        <w:rPr>
          <w:rFonts w:eastAsia="Arial Unicode MS"/>
          <w:bCs/>
          <w:lang w:eastAsia="fr-FR" w:bidi="he-IL"/>
        </w:rPr>
        <w:t>Ancien et du Nouveau Testament</w:t>
      </w:r>
      <w:r w:rsidR="00E65435">
        <w:rPr>
          <w:rFonts w:eastAsia="Arial Unicode MS"/>
          <w:bCs/>
          <w:lang w:eastAsia="fr-FR" w:bidi="he-IL"/>
        </w:rPr>
        <w:t xml:space="preserve">, </w:t>
      </w:r>
      <w:r w:rsidRPr="00C8701B">
        <w:rPr>
          <w:rFonts w:eastAsia="Arial Unicode MS"/>
          <w:bCs/>
          <w:lang w:eastAsia="fr-FR" w:bidi="he-IL"/>
        </w:rPr>
        <w:t xml:space="preserve">les </w:t>
      </w:r>
      <w:r w:rsidR="000439E9">
        <w:rPr>
          <w:rFonts w:eastAsia="Arial Unicode MS"/>
          <w:bCs/>
          <w:lang w:eastAsia="fr-FR" w:bidi="he-IL"/>
        </w:rPr>
        <w:t>Évangile</w:t>
      </w:r>
      <w:r w:rsidRPr="00C8701B">
        <w:rPr>
          <w:rFonts w:eastAsia="Arial Unicode MS"/>
          <w:bCs/>
          <w:lang w:eastAsia="fr-FR" w:bidi="he-IL"/>
        </w:rPr>
        <w:t>s sont divins parce qu</w:t>
      </w:r>
      <w:r w:rsidR="00557DE0">
        <w:rPr>
          <w:rFonts w:eastAsia="Arial Unicode MS"/>
          <w:bCs/>
          <w:lang w:eastAsia="fr-FR" w:bidi="he-IL"/>
        </w:rPr>
        <w:t>’</w:t>
      </w:r>
      <w:r w:rsidRPr="00C8701B">
        <w:rPr>
          <w:rFonts w:eastAsia="Arial Unicode MS"/>
          <w:bCs/>
          <w:lang w:eastAsia="fr-FR" w:bidi="he-IL"/>
        </w:rPr>
        <w:t>ils sont inspirés</w:t>
      </w:r>
      <w:r w:rsidR="00C2602D" w:rsidRPr="00C8701B">
        <w:rPr>
          <w:rFonts w:eastAsia="Arial Unicode MS"/>
          <w:bCs/>
          <w:lang w:eastAsia="fr-FR" w:bidi="he-IL"/>
        </w:rPr>
        <w:t> :</w:t>
      </w:r>
      <w:r w:rsidR="00B52FA3">
        <w:rPr>
          <w:rStyle w:val="italicus"/>
        </w:rPr>
        <w:t xml:space="preserve"> Deum habent au</w:t>
      </w:r>
      <w:r w:rsidR="00B52FA3" w:rsidRPr="00DC4586">
        <w:rPr>
          <w:rStyle w:val="italicus"/>
        </w:rPr>
        <w:t>ctórem</w:t>
      </w:r>
      <w:r w:rsidR="00E65435">
        <w:rPr>
          <w:rStyle w:val="italicus"/>
        </w:rPr>
        <w:t xml:space="preserve">, </w:t>
      </w:r>
      <w:r w:rsidRPr="00C8701B">
        <w:rPr>
          <w:rFonts w:eastAsia="Arial Unicode MS"/>
          <w:bCs/>
          <w:lang w:eastAsia="fr-FR" w:bidi="he-IL"/>
        </w:rPr>
        <w:t>ainsi que s</w:t>
      </w:r>
      <w:r w:rsidR="00557DE0">
        <w:rPr>
          <w:rFonts w:eastAsia="Arial Unicode MS"/>
          <w:bCs/>
          <w:lang w:eastAsia="fr-FR" w:bidi="he-IL"/>
        </w:rPr>
        <w:t>’</w:t>
      </w:r>
      <w:r w:rsidR="00B52FA3">
        <w:rPr>
          <w:rFonts w:eastAsia="Arial Unicode MS"/>
          <w:bCs/>
          <w:lang w:eastAsia="fr-FR" w:bidi="he-IL"/>
        </w:rPr>
        <w:t xml:space="preserve">exprime </w:t>
      </w:r>
      <w:r w:rsidRPr="00C8701B">
        <w:rPr>
          <w:rFonts w:eastAsia="Arial Unicode MS"/>
          <w:bCs/>
          <w:lang w:eastAsia="fr-FR" w:bidi="he-IL"/>
        </w:rPr>
        <w:t>le Concile du Vatican</w:t>
      </w:r>
      <w:r w:rsidR="00933C60" w:rsidRPr="00C406FF">
        <w:rPr>
          <w:rStyle w:val="Appelnotedebasdep"/>
        </w:rPr>
        <w:footnoteReference w:id="472"/>
      </w:r>
      <w:r w:rsidRPr="00C8701B">
        <w:rPr>
          <w:rFonts w:eastAsia="Arial Unicode MS"/>
          <w:bCs/>
          <w:lang w:eastAsia="fr-FR" w:bidi="he-IL"/>
        </w:rPr>
        <w:t>. Le Concile de Florence avait dit avec moins de concision</w:t>
      </w:r>
      <w:r w:rsidR="00C2602D" w:rsidRPr="00C8701B">
        <w:rPr>
          <w:rFonts w:eastAsia="Arial Unicode MS"/>
          <w:bCs/>
          <w:lang w:eastAsia="fr-FR" w:bidi="he-IL"/>
        </w:rPr>
        <w:t> :</w:t>
      </w:r>
      <w:r w:rsidRPr="00DC4586">
        <w:rPr>
          <w:rStyle w:val="italicus"/>
        </w:rPr>
        <w:t xml:space="preserve"> </w:t>
      </w:r>
      <w:r w:rsidR="00B52FA3" w:rsidRPr="00DC4586">
        <w:rPr>
          <w:rStyle w:val="italicus"/>
        </w:rPr>
        <w:t>Firmíssime</w:t>
      </w:r>
      <w:r w:rsidR="00B52FA3">
        <w:rPr>
          <w:rStyle w:val="italicus"/>
        </w:rPr>
        <w:t xml:space="preserve"> cre</w:t>
      </w:r>
      <w:r w:rsidRPr="00DC4586">
        <w:rPr>
          <w:rStyle w:val="italicus"/>
        </w:rPr>
        <w:t>dit</w:t>
      </w:r>
      <w:r w:rsidR="00E65435">
        <w:rPr>
          <w:rStyle w:val="italicus"/>
        </w:rPr>
        <w:t xml:space="preserve">, </w:t>
      </w:r>
      <w:r w:rsidR="00B52FA3" w:rsidRPr="00DC4586">
        <w:rPr>
          <w:rStyle w:val="italicus"/>
        </w:rPr>
        <w:t>profitétur</w:t>
      </w:r>
      <w:r w:rsidRPr="00DC4586">
        <w:rPr>
          <w:rStyle w:val="italicus"/>
        </w:rPr>
        <w:t xml:space="preserve"> et </w:t>
      </w:r>
      <w:r w:rsidR="00B52FA3">
        <w:rPr>
          <w:rStyle w:val="italicus"/>
        </w:rPr>
        <w:t>prǽ</w:t>
      </w:r>
      <w:r w:rsidR="00B52FA3" w:rsidRPr="00DC4586">
        <w:rPr>
          <w:rStyle w:val="italicus"/>
        </w:rPr>
        <w:t>dicat</w:t>
      </w:r>
      <w:r w:rsidRPr="00C8701B">
        <w:rPr>
          <w:rFonts w:eastAsia="Arial Unicode MS"/>
          <w:bCs/>
          <w:lang w:eastAsia="fr-FR" w:bidi="he-IL"/>
        </w:rPr>
        <w:t xml:space="preserve"> (</w:t>
      </w:r>
      <w:r w:rsidR="00B52FA3" w:rsidRPr="00C8701B">
        <w:rPr>
          <w:rFonts w:eastAsia="Arial Unicode MS"/>
          <w:bCs/>
          <w:lang w:eastAsia="fr-FR" w:bidi="he-IL"/>
        </w:rPr>
        <w:t>Sacrosáncta</w:t>
      </w:r>
      <w:r w:rsidRPr="00C8701B">
        <w:rPr>
          <w:rFonts w:eastAsia="Arial Unicode MS"/>
          <w:bCs/>
          <w:lang w:eastAsia="fr-FR" w:bidi="he-IL"/>
        </w:rPr>
        <w:t xml:space="preserve"> </w:t>
      </w:r>
      <w:r w:rsidR="00B52FA3" w:rsidRPr="00C8701B">
        <w:rPr>
          <w:rFonts w:eastAsia="Arial Unicode MS"/>
          <w:bCs/>
          <w:lang w:eastAsia="fr-FR" w:bidi="he-IL"/>
        </w:rPr>
        <w:t>Romána</w:t>
      </w:r>
      <w:r w:rsidRPr="00C8701B">
        <w:rPr>
          <w:rFonts w:eastAsia="Arial Unicode MS"/>
          <w:bCs/>
          <w:lang w:eastAsia="fr-FR" w:bidi="he-IL"/>
        </w:rPr>
        <w:t xml:space="preserve"> </w:t>
      </w:r>
      <w:r w:rsidR="002E2757">
        <w:rPr>
          <w:rFonts w:eastAsia="Arial Unicode MS"/>
          <w:bCs/>
          <w:lang w:eastAsia="fr-FR" w:bidi="he-IL"/>
        </w:rPr>
        <w:t>Ecclésia</w:t>
      </w:r>
      <w:r w:rsidRPr="00C8701B">
        <w:rPr>
          <w:rFonts w:eastAsia="Arial Unicode MS"/>
          <w:bCs/>
          <w:lang w:eastAsia="fr-FR" w:bidi="he-IL"/>
        </w:rPr>
        <w:t>)</w:t>
      </w:r>
      <w:r w:rsidR="00B52FA3">
        <w:rPr>
          <w:rStyle w:val="italicus"/>
        </w:rPr>
        <w:t xml:space="preserve"> unum</w:t>
      </w:r>
      <w:r w:rsidRPr="00DC4586">
        <w:rPr>
          <w:rStyle w:val="italicus"/>
        </w:rPr>
        <w:t xml:space="preserve"> verum Deum</w:t>
      </w:r>
      <w:r w:rsidR="00E65435">
        <w:rPr>
          <w:rStyle w:val="italicus"/>
        </w:rPr>
        <w:t xml:space="preserve">, </w:t>
      </w:r>
      <w:r w:rsidR="00B52FA3" w:rsidRPr="00DC4586">
        <w:rPr>
          <w:rStyle w:val="italicus"/>
        </w:rPr>
        <w:t>Patrem</w:t>
      </w:r>
      <w:r w:rsidRPr="00DC4586">
        <w:rPr>
          <w:rStyle w:val="italicus"/>
        </w:rPr>
        <w:t xml:space="preserve"> et</w:t>
      </w:r>
      <w:r w:rsidR="00B52FA3">
        <w:rPr>
          <w:rStyle w:val="italicus"/>
        </w:rPr>
        <w:t xml:space="preserve"> </w:t>
      </w:r>
      <w:r w:rsidRPr="00DC4586">
        <w:rPr>
          <w:rStyle w:val="italicus"/>
        </w:rPr>
        <w:t>F</w:t>
      </w:r>
      <w:r w:rsidR="00C21120">
        <w:rPr>
          <w:rStyle w:val="italicus"/>
        </w:rPr>
        <w:t>íli</w:t>
      </w:r>
      <w:r w:rsidR="00C21120" w:rsidRPr="00DC4586">
        <w:rPr>
          <w:rStyle w:val="italicus"/>
        </w:rPr>
        <w:t>um</w:t>
      </w:r>
      <w:r w:rsidR="00B52FA3">
        <w:rPr>
          <w:rStyle w:val="italicus"/>
        </w:rPr>
        <w:t xml:space="preserve"> et Spíritum Sanctu</w:t>
      </w:r>
      <w:r w:rsidRPr="00DC4586">
        <w:rPr>
          <w:rStyle w:val="italicus"/>
        </w:rPr>
        <w:t>m</w:t>
      </w:r>
      <w:r w:rsidR="00E65435">
        <w:rPr>
          <w:rStyle w:val="italicus"/>
        </w:rPr>
        <w:t xml:space="preserve">, </w:t>
      </w:r>
      <w:r w:rsidRPr="00DC4586">
        <w:rPr>
          <w:rStyle w:val="italicus"/>
        </w:rPr>
        <w:t xml:space="preserve">esse </w:t>
      </w:r>
      <w:r w:rsidR="00B52FA3">
        <w:rPr>
          <w:rStyle w:val="italicus"/>
        </w:rPr>
        <w:t>ómnium</w:t>
      </w:r>
      <w:r w:rsidRPr="00DC4586">
        <w:rPr>
          <w:rStyle w:val="italicus"/>
        </w:rPr>
        <w:t xml:space="preserve"> visib</w:t>
      </w:r>
      <w:r w:rsidR="00C21120">
        <w:rPr>
          <w:rStyle w:val="italicus"/>
        </w:rPr>
        <w:t>íli</w:t>
      </w:r>
      <w:r w:rsidR="00C21120" w:rsidRPr="00DC4586">
        <w:rPr>
          <w:rStyle w:val="italicus"/>
        </w:rPr>
        <w:t>um</w:t>
      </w:r>
      <w:r w:rsidRPr="00DC4586">
        <w:rPr>
          <w:rStyle w:val="italicus"/>
        </w:rPr>
        <w:t xml:space="preserve"> et invisib</w:t>
      </w:r>
      <w:r w:rsidR="00C21120">
        <w:rPr>
          <w:rStyle w:val="italicus"/>
        </w:rPr>
        <w:t>íli</w:t>
      </w:r>
      <w:r w:rsidR="00C21120" w:rsidRPr="00DC4586">
        <w:rPr>
          <w:rStyle w:val="italicus"/>
        </w:rPr>
        <w:t>um</w:t>
      </w:r>
      <w:r w:rsidRPr="00DC4586">
        <w:rPr>
          <w:rStyle w:val="italicus"/>
        </w:rPr>
        <w:t xml:space="preserve"> </w:t>
      </w:r>
      <w:r w:rsidR="00B52FA3" w:rsidRPr="00DC4586">
        <w:rPr>
          <w:rStyle w:val="italicus"/>
        </w:rPr>
        <w:t>creatórem</w:t>
      </w:r>
      <w:r w:rsidRPr="00DC4586">
        <w:rPr>
          <w:rStyle w:val="italicus"/>
        </w:rPr>
        <w:t xml:space="preserve">... Unum atque </w:t>
      </w:r>
      <w:r w:rsidR="00B52FA3" w:rsidRPr="00DC4586">
        <w:rPr>
          <w:rStyle w:val="italicus"/>
        </w:rPr>
        <w:t>eúmdem</w:t>
      </w:r>
      <w:r w:rsidRPr="00DC4586">
        <w:rPr>
          <w:rStyle w:val="italicus"/>
        </w:rPr>
        <w:t xml:space="preserve"> Deum </w:t>
      </w:r>
      <w:r w:rsidR="00B52FA3" w:rsidRPr="00DC4586">
        <w:rPr>
          <w:rStyle w:val="italicus"/>
        </w:rPr>
        <w:t>Véteris</w:t>
      </w:r>
      <w:r w:rsidRPr="00DC4586">
        <w:rPr>
          <w:rStyle w:val="italicus"/>
        </w:rPr>
        <w:t xml:space="preserve"> et Novi Te</w:t>
      </w:r>
      <w:r w:rsidR="003A07A7">
        <w:rPr>
          <w:rStyle w:val="italicus"/>
        </w:rPr>
        <w:t>staménti</w:t>
      </w:r>
      <w:r w:rsidR="00E65435">
        <w:rPr>
          <w:rStyle w:val="italicus"/>
        </w:rPr>
        <w:t xml:space="preserve">, </w:t>
      </w:r>
      <w:r w:rsidRPr="00DC4586">
        <w:rPr>
          <w:rStyle w:val="italicus"/>
        </w:rPr>
        <w:t>hoc est Legis</w:t>
      </w:r>
      <w:r w:rsidR="00E65435">
        <w:rPr>
          <w:rStyle w:val="italicus"/>
        </w:rPr>
        <w:t xml:space="preserve">, </w:t>
      </w:r>
      <w:r w:rsidRPr="00DC4586">
        <w:rPr>
          <w:rStyle w:val="italicus"/>
        </w:rPr>
        <w:t>et Proph</w:t>
      </w:r>
      <w:r w:rsidR="00C21120" w:rsidRPr="00DC4586">
        <w:rPr>
          <w:rStyle w:val="italicus"/>
        </w:rPr>
        <w:t>et</w:t>
      </w:r>
      <w:r w:rsidR="00C21120">
        <w:rPr>
          <w:rStyle w:val="italicus"/>
        </w:rPr>
        <w:t>árum</w:t>
      </w:r>
      <w:r w:rsidR="00E65435">
        <w:rPr>
          <w:rStyle w:val="italicus"/>
        </w:rPr>
        <w:t xml:space="preserve">, </w:t>
      </w:r>
      <w:r w:rsidRPr="00DC4586">
        <w:rPr>
          <w:rStyle w:val="italicus"/>
        </w:rPr>
        <w:t>atque</w:t>
      </w:r>
      <w:r w:rsidRPr="00C8701B">
        <w:rPr>
          <w:rFonts w:eastAsia="Arial Unicode MS"/>
          <w:bCs/>
          <w:lang w:eastAsia="fr-FR" w:bidi="he-IL"/>
        </w:rPr>
        <w:t xml:space="preserve"> </w:t>
      </w:r>
      <w:r w:rsidR="00B52FA3" w:rsidRPr="00B52FA3">
        <w:rPr>
          <w:rFonts w:eastAsia="Arial Unicode MS"/>
          <w:bCs/>
          <w:smallCaps/>
          <w:lang w:eastAsia="fr-FR" w:bidi="he-IL"/>
        </w:rPr>
        <w:t>Evangélii</w:t>
      </w:r>
      <w:r w:rsidRPr="00DC4586">
        <w:rPr>
          <w:rStyle w:val="italicus"/>
        </w:rPr>
        <w:t xml:space="preserve"> </w:t>
      </w:r>
      <w:r w:rsidR="00B52FA3" w:rsidRPr="00DC4586">
        <w:rPr>
          <w:rStyle w:val="italicus"/>
        </w:rPr>
        <w:t>profitémur</w:t>
      </w:r>
      <w:r w:rsidRPr="00DC4586">
        <w:rPr>
          <w:rStyle w:val="italicus"/>
        </w:rPr>
        <w:t xml:space="preserve"> </w:t>
      </w:r>
      <w:r w:rsidR="00B52FA3" w:rsidRPr="00DC4586">
        <w:rPr>
          <w:rStyle w:val="italicus"/>
        </w:rPr>
        <w:t>auctórem</w:t>
      </w:r>
      <w:r w:rsidR="00933C60" w:rsidRPr="00C406FF">
        <w:rPr>
          <w:rStyle w:val="Appelnotedebasdep"/>
        </w:rPr>
        <w:footnoteReference w:id="473"/>
      </w:r>
      <w:r w:rsidRPr="00C8701B">
        <w:rPr>
          <w:rFonts w:eastAsia="Arial Unicode MS"/>
          <w:bCs/>
          <w:lang w:eastAsia="fr-FR" w:bidi="he-IL"/>
        </w:rPr>
        <w:t>.</w:t>
      </w:r>
      <w:r w:rsidR="00C2602D" w:rsidRPr="00DC4586">
        <w:rPr>
          <w:rStyle w:val="italicus"/>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Nous n</w:t>
      </w:r>
      <w:r w:rsidR="00557DE0">
        <w:rPr>
          <w:rFonts w:eastAsia="Arial Unicode MS"/>
          <w:bCs/>
          <w:lang w:eastAsia="fr-FR" w:bidi="he-IL"/>
        </w:rPr>
        <w:t>’</w:t>
      </w:r>
      <w:r w:rsidRPr="00C8701B">
        <w:rPr>
          <w:rFonts w:eastAsia="Arial Unicode MS"/>
          <w:bCs/>
          <w:lang w:eastAsia="fr-FR" w:bidi="he-IL"/>
        </w:rPr>
        <w:t>avons pas</w:t>
      </w:r>
      <w:r w:rsidR="00E65435">
        <w:rPr>
          <w:rFonts w:eastAsia="Arial Unicode MS"/>
          <w:bCs/>
          <w:lang w:eastAsia="fr-FR" w:bidi="he-IL"/>
        </w:rPr>
        <w:t xml:space="preserve">, </w:t>
      </w:r>
      <w:r w:rsidRPr="00C8701B">
        <w:rPr>
          <w:rFonts w:eastAsia="Arial Unicode MS"/>
          <w:bCs/>
          <w:lang w:eastAsia="fr-FR" w:bidi="he-IL"/>
        </w:rPr>
        <w:t>ici</w:t>
      </w:r>
      <w:r w:rsidR="00E65435">
        <w:rPr>
          <w:rFonts w:eastAsia="Arial Unicode MS"/>
          <w:bCs/>
          <w:lang w:eastAsia="fr-FR" w:bidi="he-IL"/>
        </w:rPr>
        <w:t xml:space="preserve">, </w:t>
      </w:r>
      <w:r w:rsidRPr="00C8701B">
        <w:rPr>
          <w:rFonts w:eastAsia="Arial Unicode MS"/>
          <w:bCs/>
          <w:lang w:eastAsia="fr-FR" w:bidi="he-IL"/>
        </w:rPr>
        <w:t>à insister sur cette thèse</w:t>
      </w:r>
      <w:r w:rsidR="00E65435">
        <w:rPr>
          <w:rFonts w:eastAsia="Arial Unicode MS"/>
          <w:bCs/>
          <w:lang w:eastAsia="fr-FR" w:bidi="he-IL"/>
        </w:rPr>
        <w:t xml:space="preserve">, </w:t>
      </w:r>
      <w:r w:rsidRPr="00C8701B">
        <w:rPr>
          <w:rFonts w:eastAsia="Arial Unicode MS"/>
          <w:bCs/>
          <w:lang w:eastAsia="fr-FR" w:bidi="he-IL"/>
        </w:rPr>
        <w:t>qui est avant tout dogmatique. Il nous a paru bon</w:t>
      </w:r>
      <w:r w:rsidR="00E65435">
        <w:rPr>
          <w:rFonts w:eastAsia="Arial Unicode MS"/>
          <w:bCs/>
          <w:lang w:eastAsia="fr-FR" w:bidi="he-IL"/>
        </w:rPr>
        <w:t xml:space="preserve">, </w:t>
      </w:r>
      <w:r w:rsidRPr="00C8701B">
        <w:rPr>
          <w:rFonts w:eastAsia="Arial Unicode MS"/>
          <w:bCs/>
          <w:lang w:eastAsia="fr-FR" w:bidi="he-IL"/>
        </w:rPr>
        <w:t>néanmoins</w:t>
      </w:r>
      <w:r w:rsidR="00E65435">
        <w:rPr>
          <w:rFonts w:eastAsia="Arial Unicode MS"/>
          <w:bCs/>
          <w:lang w:eastAsia="fr-FR" w:bidi="he-IL"/>
        </w:rPr>
        <w:t xml:space="preserve">, </w:t>
      </w:r>
      <w:r w:rsidRPr="00C8701B">
        <w:rPr>
          <w:rFonts w:eastAsia="Arial Unicode MS"/>
          <w:bCs/>
          <w:lang w:eastAsia="fr-FR" w:bidi="he-IL"/>
        </w:rPr>
        <w:t>surtout à cause de l</w:t>
      </w:r>
      <w:r w:rsidR="00557DE0">
        <w:rPr>
          <w:rFonts w:eastAsia="Arial Unicode MS"/>
          <w:bCs/>
          <w:lang w:eastAsia="fr-FR" w:bidi="he-IL"/>
        </w:rPr>
        <w:t>’</w:t>
      </w:r>
      <w:r w:rsidRPr="00C8701B">
        <w:rPr>
          <w:rFonts w:eastAsia="Arial Unicode MS"/>
          <w:bCs/>
          <w:lang w:eastAsia="fr-FR" w:bidi="he-IL"/>
        </w:rPr>
        <w:t>importance spéciale qui s</w:t>
      </w:r>
      <w:r w:rsidR="00557DE0">
        <w:rPr>
          <w:rFonts w:eastAsia="Arial Unicode MS"/>
          <w:bCs/>
          <w:lang w:eastAsia="fr-FR" w:bidi="he-IL"/>
        </w:rPr>
        <w:t>’</w:t>
      </w:r>
      <w:r w:rsidRPr="00C8701B">
        <w:rPr>
          <w:rFonts w:eastAsia="Arial Unicode MS"/>
          <w:bCs/>
          <w:lang w:eastAsia="fr-FR" w:bidi="he-IL"/>
        </w:rPr>
        <w:t>attache à l</w:t>
      </w:r>
      <w:r w:rsidR="00557DE0">
        <w:rPr>
          <w:rFonts w:eastAsia="Arial Unicode MS"/>
          <w:bCs/>
          <w:lang w:eastAsia="fr-FR" w:bidi="he-IL"/>
        </w:rPr>
        <w:t>’</w:t>
      </w:r>
      <w:r w:rsidRPr="00C8701B">
        <w:rPr>
          <w:rFonts w:eastAsia="Arial Unicode MS"/>
          <w:bCs/>
          <w:lang w:eastAsia="fr-FR" w:bidi="he-IL"/>
        </w:rPr>
        <w:t>histoire évangélique</w:t>
      </w:r>
      <w:r w:rsidR="00E65435">
        <w:rPr>
          <w:rFonts w:eastAsia="Arial Unicode MS"/>
          <w:bCs/>
          <w:lang w:eastAsia="fr-FR" w:bidi="he-IL"/>
        </w:rPr>
        <w:t xml:space="preserve">, </w:t>
      </w:r>
      <w:r w:rsidRPr="00C8701B">
        <w:rPr>
          <w:rFonts w:eastAsia="Arial Unicode MS"/>
          <w:bCs/>
          <w:lang w:eastAsia="fr-FR" w:bidi="he-IL"/>
        </w:rPr>
        <w:t>et aussi à cause des attaques du rationalisme</w:t>
      </w:r>
      <w:r w:rsidR="00E65435">
        <w:rPr>
          <w:rFonts w:eastAsia="Arial Unicode MS"/>
          <w:bCs/>
          <w:lang w:eastAsia="fr-FR" w:bidi="he-IL"/>
        </w:rPr>
        <w:t xml:space="preserve">, </w:t>
      </w:r>
      <w:r w:rsidRPr="00C8701B">
        <w:rPr>
          <w:rFonts w:eastAsia="Arial Unicode MS"/>
          <w:bCs/>
          <w:lang w:eastAsia="fr-FR" w:bidi="he-IL"/>
        </w:rPr>
        <w:t>de rappeler sur</w:t>
      </w:r>
      <w:r w:rsidR="00A52BCA">
        <w:rPr>
          <w:rFonts w:eastAsia="Arial Unicode MS"/>
          <w:bCs/>
          <w:lang w:eastAsia="fr-FR" w:bidi="he-IL"/>
        </w:rPr>
        <w:t xml:space="preserve"> de </w:t>
      </w:r>
      <w:r w:rsidRPr="00C8701B">
        <w:rPr>
          <w:rFonts w:eastAsia="Arial Unicode MS"/>
          <w:bCs/>
          <w:lang w:eastAsia="fr-FR" w:bidi="he-IL"/>
        </w:rPr>
        <w:t>point quelques-uns des vrais principes.</w:t>
      </w:r>
      <w:r w:rsidR="00C2602D" w:rsidRPr="00C8701B">
        <w:rPr>
          <w:rFonts w:eastAsia="Arial Unicode MS"/>
          <w:bCs/>
          <w:lang w:eastAsia="fr-FR" w:bidi="he-IL"/>
        </w:rPr>
        <w:t xml:space="preserve"> </w:t>
      </w:r>
    </w:p>
    <w:p w:rsidR="00C2602D" w:rsidRPr="00890677" w:rsidRDefault="00B704AD" w:rsidP="00C2602D">
      <w:r w:rsidRPr="00C8701B">
        <w:rPr>
          <w:rFonts w:eastAsia="Arial Unicode MS"/>
          <w:bCs/>
          <w:lang w:eastAsia="fr-FR" w:bidi="he-IL"/>
        </w:rPr>
        <w:t>1° Tout le monde connaît la célèbre parole de S. Augustin</w:t>
      </w:r>
      <w:r w:rsidR="00933C60" w:rsidRPr="00C406FF">
        <w:rPr>
          <w:rStyle w:val="Appelnotedebasdep"/>
        </w:rPr>
        <w:footnoteReference w:id="474"/>
      </w:r>
      <w:r w:rsidR="00C2602D" w:rsidRPr="00C8701B">
        <w:rPr>
          <w:rFonts w:eastAsia="Arial Unicode MS"/>
          <w:bCs/>
          <w:lang w:eastAsia="fr-FR" w:bidi="he-IL"/>
        </w:rPr>
        <w:t> :</w:t>
      </w:r>
      <w:r w:rsidRPr="00DC4586">
        <w:rPr>
          <w:rStyle w:val="italicus"/>
        </w:rPr>
        <w:t xml:space="preserve"> Ego... </w:t>
      </w:r>
      <w:r w:rsidR="00B52FA3" w:rsidRPr="00DC4586">
        <w:rPr>
          <w:rStyle w:val="italicus"/>
        </w:rPr>
        <w:t>evangélio</w:t>
      </w:r>
      <w:r w:rsidRPr="00DC4586">
        <w:rPr>
          <w:rStyle w:val="italicus"/>
        </w:rPr>
        <w:t xml:space="preserve"> non </w:t>
      </w:r>
      <w:r w:rsidR="00B52FA3" w:rsidRPr="00DC4586">
        <w:rPr>
          <w:rStyle w:val="italicus"/>
        </w:rPr>
        <w:t>crédere</w:t>
      </w:r>
      <w:r w:rsidR="00B52FA3">
        <w:rPr>
          <w:rStyle w:val="italicus"/>
        </w:rPr>
        <w:t>m</w:t>
      </w:r>
      <w:r w:rsidR="00E65435">
        <w:rPr>
          <w:rStyle w:val="italicus"/>
        </w:rPr>
        <w:t xml:space="preserve">, </w:t>
      </w:r>
      <w:r w:rsidRPr="00DC4586">
        <w:rPr>
          <w:rStyle w:val="italicus"/>
        </w:rPr>
        <w:t xml:space="preserve">nisi me </w:t>
      </w:r>
      <w:r w:rsidR="00B52FA3" w:rsidRPr="00DC4586">
        <w:rPr>
          <w:rStyle w:val="italicus"/>
        </w:rPr>
        <w:t>cathólic</w:t>
      </w:r>
      <w:r w:rsidR="00B52FA3">
        <w:rPr>
          <w:rStyle w:val="italicus"/>
        </w:rPr>
        <w:t>æ Ecclésiæ commové</w:t>
      </w:r>
      <w:r w:rsidRPr="00DC4586">
        <w:rPr>
          <w:rStyle w:val="italicus"/>
        </w:rPr>
        <w:t xml:space="preserve">ret </w:t>
      </w:r>
      <w:r w:rsidR="00B52FA3" w:rsidRPr="00DC4586">
        <w:rPr>
          <w:rStyle w:val="italicus"/>
        </w:rPr>
        <w:t>auctóritas</w:t>
      </w:r>
      <w:r w:rsidRPr="00DC4586">
        <w:rPr>
          <w:rStyle w:val="italicus"/>
        </w:rPr>
        <w:t>.</w:t>
      </w:r>
      <w:r w:rsidR="00C2602D" w:rsidRPr="00DC4586">
        <w:rPr>
          <w:rStyle w:val="italicus"/>
        </w:rPr>
        <w:t xml:space="preserve"> </w:t>
      </w:r>
      <w:r w:rsidR="00DF496C">
        <w:t>[Moi, je ne croirais</w:t>
      </w:r>
      <w:r w:rsidR="00890677">
        <w:t xml:space="preserve"> pas à l</w:t>
      </w:r>
      <w:r w:rsidR="00557DE0">
        <w:t>’</w:t>
      </w:r>
      <w:r w:rsidR="00890677">
        <w:t>évangile, si l</w:t>
      </w:r>
      <w:r w:rsidR="00557DE0">
        <w:t>’</w:t>
      </w:r>
      <w:r w:rsidR="00890677">
        <w:t>autorité de l</w:t>
      </w:r>
      <w:r w:rsidR="00557DE0">
        <w:t>’</w:t>
      </w:r>
      <w:r w:rsidR="00890677">
        <w:t>Église ne m</w:t>
      </w:r>
      <w:r w:rsidR="00557DE0">
        <w:t>’</w:t>
      </w:r>
      <w:r w:rsidR="00890677">
        <w:t>y poussait.]</w:t>
      </w:r>
    </w:p>
    <w:p w:rsidR="00C2602D" w:rsidRPr="00C8701B" w:rsidRDefault="00B52FA3" w:rsidP="00C2602D">
      <w:pPr>
        <w:rPr>
          <w:rFonts w:eastAsia="Arial Unicode MS"/>
          <w:bCs/>
          <w:lang w:eastAsia="fr-FR" w:bidi="he-IL"/>
        </w:rPr>
      </w:pPr>
      <w:r>
        <w:rPr>
          <w:rFonts w:eastAsia="Arial Unicode MS"/>
          <w:bCs/>
          <w:lang w:eastAsia="fr-FR" w:bidi="he-IL"/>
        </w:rPr>
        <w:t>R</w:t>
      </w:r>
      <w:r w:rsidR="00B704AD" w:rsidRPr="00C8701B">
        <w:rPr>
          <w:rFonts w:eastAsia="Arial Unicode MS"/>
          <w:bCs/>
          <w:lang w:eastAsia="fr-FR" w:bidi="he-IL"/>
        </w:rPr>
        <w:t>ien de plus fondé que ce paradoxe apparent.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Qui me dira</w:t>
      </w:r>
      <w:r w:rsidR="00E65435">
        <w:rPr>
          <w:rFonts w:eastAsia="Arial Unicode MS"/>
          <w:bCs/>
          <w:lang w:eastAsia="fr-FR" w:bidi="he-IL"/>
        </w:rPr>
        <w:t xml:space="preserve">, </w:t>
      </w:r>
      <w:r w:rsidRPr="00C8701B">
        <w:rPr>
          <w:rFonts w:eastAsia="Arial Unicode MS"/>
          <w:bCs/>
          <w:lang w:eastAsia="fr-FR" w:bidi="he-IL"/>
        </w:rPr>
        <w:t>en effet</w:t>
      </w:r>
      <w:r w:rsidR="00E65435">
        <w:rPr>
          <w:rFonts w:eastAsia="Arial Unicode MS"/>
          <w:bCs/>
          <w:lang w:eastAsia="fr-FR" w:bidi="he-IL"/>
        </w:rPr>
        <w:t xml:space="preserve">, </w:t>
      </w:r>
      <w:r w:rsidRPr="00C8701B">
        <w:rPr>
          <w:rFonts w:eastAsia="Arial Unicode MS"/>
          <w:bCs/>
          <w:lang w:eastAsia="fr-FR" w:bidi="he-IL"/>
        </w:rPr>
        <w:t>que tel ou tel livre est inspiré</w:t>
      </w:r>
      <w:r w:rsidR="00E65435">
        <w:rPr>
          <w:rFonts w:eastAsia="Arial Unicode MS"/>
          <w:bCs/>
          <w:lang w:eastAsia="fr-FR" w:bidi="he-IL"/>
        </w:rPr>
        <w:t xml:space="preserve">, </w:t>
      </w:r>
      <w:r w:rsidRPr="00C8701B">
        <w:rPr>
          <w:rFonts w:eastAsia="Arial Unicode MS"/>
          <w:bCs/>
          <w:lang w:eastAsia="fr-FR" w:bidi="he-IL"/>
        </w:rPr>
        <w:t>par conséquent divin</w:t>
      </w:r>
      <w:r w:rsidR="00E65435">
        <w:rPr>
          <w:rFonts w:eastAsia="Arial Unicode MS"/>
          <w:bCs/>
          <w:lang w:eastAsia="fr-FR" w:bidi="he-IL"/>
        </w:rPr>
        <w:t xml:space="preserve">, </w:t>
      </w:r>
      <w:r w:rsidRPr="00C8701B">
        <w:rPr>
          <w:rFonts w:eastAsia="Arial Unicode MS"/>
          <w:bCs/>
          <w:lang w:eastAsia="fr-FR" w:bidi="he-IL"/>
        </w:rPr>
        <w:t>sinon une autorité infaillible</w:t>
      </w:r>
      <w:r w:rsidR="00E65435">
        <w:rPr>
          <w:rFonts w:eastAsia="Arial Unicode MS"/>
          <w:bCs/>
          <w:lang w:eastAsia="fr-FR" w:bidi="he-IL"/>
        </w:rPr>
        <w:t xml:space="preserve">, </w:t>
      </w:r>
      <w:r w:rsidRPr="00C8701B">
        <w:rPr>
          <w:rFonts w:eastAsia="Arial Unicode MS"/>
          <w:bCs/>
          <w:lang w:eastAsia="fr-FR" w:bidi="he-IL"/>
        </w:rPr>
        <w:t>qui ne saurait ni se tromper</w:t>
      </w:r>
      <w:r w:rsidR="00E65435">
        <w:rPr>
          <w:rFonts w:eastAsia="Arial Unicode MS"/>
          <w:bCs/>
          <w:lang w:eastAsia="fr-FR" w:bidi="he-IL"/>
        </w:rPr>
        <w:t xml:space="preserve">, </w:t>
      </w:r>
      <w:r w:rsidRPr="00C8701B">
        <w:rPr>
          <w:rFonts w:eastAsia="Arial Unicode MS"/>
          <w:bCs/>
          <w:lang w:eastAsia="fr-FR" w:bidi="he-IL"/>
        </w:rPr>
        <w:t>ni me tromper</w:t>
      </w:r>
      <w:r w:rsidR="00C2602D" w:rsidRPr="00C8701B">
        <w:rPr>
          <w:rFonts w:eastAsia="Arial Unicode MS"/>
          <w:bCs/>
          <w:lang w:eastAsia="fr-FR" w:bidi="he-IL"/>
        </w:rPr>
        <w:t> ?</w:t>
      </w:r>
      <w:r w:rsidRPr="00C8701B">
        <w:rPr>
          <w:rFonts w:eastAsia="Arial Unicode MS"/>
          <w:bCs/>
          <w:lang w:eastAsia="fr-FR" w:bidi="he-IL"/>
        </w:rPr>
        <w:t xml:space="preserve"> Et cette autorité</w:t>
      </w:r>
      <w:r w:rsidR="00E65435">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 l</w:t>
      </w:r>
      <w:r w:rsidR="00557DE0">
        <w:rPr>
          <w:rFonts w:eastAsia="Arial Unicode MS"/>
          <w:bCs/>
          <w:lang w:eastAsia="fr-FR" w:bidi="he-IL"/>
        </w:rPr>
        <w:t>’</w:t>
      </w:r>
      <w:r w:rsidR="00C8701B">
        <w:rPr>
          <w:rFonts w:eastAsia="Arial Unicode MS"/>
          <w:bCs/>
          <w:lang w:eastAsia="fr-FR" w:bidi="he-IL"/>
        </w:rPr>
        <w:t>Église</w:t>
      </w:r>
      <w:r w:rsidR="00E65435">
        <w:rPr>
          <w:rFonts w:eastAsia="Arial Unicode MS"/>
          <w:bCs/>
          <w:lang w:eastAsia="fr-FR" w:bidi="he-IL"/>
        </w:rPr>
        <w:t xml:space="preserve">, </w:t>
      </w:r>
      <w:r w:rsidRPr="00C8701B">
        <w:rPr>
          <w:rFonts w:eastAsia="Arial Unicode MS"/>
          <w:bCs/>
          <w:lang w:eastAsia="fr-FR" w:bidi="he-IL"/>
        </w:rPr>
        <w:t>ainsi que l</w:t>
      </w:r>
      <w:r w:rsidR="00557DE0">
        <w:rPr>
          <w:rFonts w:eastAsia="Arial Unicode MS"/>
          <w:bCs/>
          <w:lang w:eastAsia="fr-FR" w:bidi="he-IL"/>
        </w:rPr>
        <w:t>’</w:t>
      </w:r>
      <w:r w:rsidRPr="00C8701B">
        <w:rPr>
          <w:rFonts w:eastAsia="Arial Unicode MS"/>
          <w:bCs/>
          <w:lang w:eastAsia="fr-FR" w:bidi="he-IL"/>
        </w:rPr>
        <w:t>ont enseigné tous les siècles chrétiens</w:t>
      </w:r>
      <w:r w:rsidR="00933C60" w:rsidRPr="00C406FF">
        <w:rPr>
          <w:rStyle w:val="Appelnotedebasdep"/>
        </w:rPr>
        <w:footnoteReference w:id="475"/>
      </w:r>
      <w:r w:rsidRPr="00C8701B">
        <w:rPr>
          <w:rFonts w:eastAsia="Arial Unicode MS"/>
          <w:bCs/>
          <w:lang w:eastAsia="fr-FR" w:bidi="he-IL"/>
        </w:rPr>
        <w:t>.</w:t>
      </w:r>
      <w:r w:rsidR="00C2602D" w:rsidRPr="00C8701B">
        <w:rPr>
          <w:rFonts w:eastAsia="Arial Unicode MS"/>
          <w:bCs/>
          <w:lang w:eastAsia="fr-FR" w:bidi="he-IL"/>
        </w:rPr>
        <w:t xml:space="preserve"> </w:t>
      </w:r>
    </w:p>
    <w:p w:rsidR="00C2602D" w:rsidRDefault="00B704AD" w:rsidP="00C2602D">
      <w:pPr>
        <w:rPr>
          <w:rFonts w:eastAsia="Arial Unicode MS"/>
          <w:bCs/>
          <w:lang w:eastAsia="fr-FR" w:bidi="he-IL"/>
        </w:rPr>
      </w:pPr>
      <w:r w:rsidRPr="00C8701B">
        <w:rPr>
          <w:rFonts w:eastAsia="Arial Unicode MS"/>
          <w:bCs/>
          <w:lang w:eastAsia="fr-FR" w:bidi="he-IL"/>
        </w:rPr>
        <w:t>Et rien de plus naturel</w:t>
      </w:r>
      <w:r w:rsidR="00E65435">
        <w:rPr>
          <w:rFonts w:eastAsia="Arial Unicode MS"/>
          <w:bCs/>
          <w:lang w:eastAsia="fr-FR" w:bidi="he-IL"/>
        </w:rPr>
        <w:t xml:space="preserve">, </w:t>
      </w:r>
      <w:r w:rsidRPr="00C8701B">
        <w:rPr>
          <w:rFonts w:eastAsia="Arial Unicode MS"/>
          <w:bCs/>
          <w:lang w:eastAsia="fr-FR" w:bidi="he-IL"/>
        </w:rPr>
        <w:t>puisque l</w:t>
      </w:r>
      <w:r w:rsidR="00557DE0">
        <w:rPr>
          <w:rFonts w:eastAsia="Arial Unicode MS"/>
          <w:bCs/>
          <w:lang w:eastAsia="fr-FR" w:bidi="he-IL"/>
        </w:rPr>
        <w:t>’</w:t>
      </w:r>
      <w:r w:rsidR="00C8701B">
        <w:rPr>
          <w:rFonts w:eastAsia="Arial Unicode MS"/>
          <w:bCs/>
          <w:lang w:eastAsia="fr-FR" w:bidi="he-IL"/>
        </w:rPr>
        <w:t>Église</w:t>
      </w:r>
      <w:r w:rsidRPr="00C8701B">
        <w:rPr>
          <w:rFonts w:eastAsia="Arial Unicode MS"/>
          <w:bCs/>
          <w:lang w:eastAsia="fr-FR" w:bidi="he-IL"/>
        </w:rPr>
        <w:t xml:space="preserve"> est</w:t>
      </w:r>
      <w:r w:rsidR="00E65435">
        <w:rPr>
          <w:rFonts w:eastAsia="Arial Unicode MS"/>
          <w:bCs/>
          <w:lang w:eastAsia="fr-FR" w:bidi="he-IL"/>
        </w:rPr>
        <w:t xml:space="preserve">, </w:t>
      </w:r>
      <w:r w:rsidRPr="00C8701B">
        <w:rPr>
          <w:rFonts w:eastAsia="Arial Unicode MS"/>
          <w:bCs/>
          <w:lang w:eastAsia="fr-FR" w:bidi="he-IL"/>
        </w:rPr>
        <w:t>soit au point de vue du temps</w:t>
      </w:r>
      <w:r w:rsidR="00E65435">
        <w:rPr>
          <w:rFonts w:eastAsia="Arial Unicode MS"/>
          <w:bCs/>
          <w:lang w:eastAsia="fr-FR" w:bidi="he-IL"/>
        </w:rPr>
        <w:t xml:space="preserve">, </w:t>
      </w:r>
      <w:r w:rsidRPr="00C8701B">
        <w:rPr>
          <w:rFonts w:eastAsia="Arial Unicode MS"/>
          <w:bCs/>
          <w:lang w:eastAsia="fr-FR" w:bidi="he-IL"/>
        </w:rPr>
        <w:t>soit sous le rapport de l</w:t>
      </w:r>
      <w:r w:rsidR="00557DE0">
        <w:rPr>
          <w:rFonts w:eastAsia="Arial Unicode MS"/>
          <w:bCs/>
          <w:lang w:eastAsia="fr-FR" w:bidi="he-IL"/>
        </w:rPr>
        <w:t>’</w:t>
      </w:r>
      <w:r w:rsidRPr="00C8701B">
        <w:rPr>
          <w:rFonts w:eastAsia="Arial Unicode MS"/>
          <w:bCs/>
          <w:lang w:eastAsia="fr-FR" w:bidi="he-IL"/>
        </w:rPr>
        <w:t>autorité</w:t>
      </w:r>
      <w:r w:rsidR="00E65435">
        <w:rPr>
          <w:rFonts w:eastAsia="Arial Unicode MS"/>
          <w:bCs/>
          <w:lang w:eastAsia="fr-FR" w:bidi="he-IL"/>
        </w:rPr>
        <w:t xml:space="preserve">, </w:t>
      </w:r>
      <w:r w:rsidRPr="00C8701B">
        <w:rPr>
          <w:rFonts w:eastAsia="Arial Unicode MS"/>
          <w:bCs/>
          <w:lang w:eastAsia="fr-FR" w:bidi="he-IL"/>
        </w:rPr>
        <w:t>antérieure et supérieure aux évangiles. Elle était fondée et constituée d</w:t>
      </w:r>
      <w:r w:rsidR="00557DE0">
        <w:rPr>
          <w:rFonts w:eastAsia="Arial Unicode MS"/>
          <w:bCs/>
          <w:lang w:eastAsia="fr-FR" w:bidi="he-IL"/>
        </w:rPr>
        <w:t>’</w:t>
      </w:r>
      <w:r w:rsidRPr="00C8701B">
        <w:rPr>
          <w:rFonts w:eastAsia="Arial Unicode MS"/>
          <w:bCs/>
          <w:lang w:eastAsia="fr-FR" w:bidi="he-IL"/>
        </w:rPr>
        <w:t>assez nombreuses années avant leur apparition</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 elle qui les a reçus et conservés comme un dépôt sacré</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elle qui leur a donné et maintenu leur véritable interprétation</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elle qui</w:t>
      </w:r>
      <w:r w:rsidR="00E65435">
        <w:rPr>
          <w:rFonts w:eastAsia="Arial Unicode MS"/>
          <w:bCs/>
          <w:lang w:eastAsia="fr-FR" w:bidi="he-IL"/>
        </w:rPr>
        <w:t xml:space="preserve">, </w:t>
      </w:r>
      <w:r w:rsidRPr="00C8701B">
        <w:rPr>
          <w:rFonts w:eastAsia="Arial Unicode MS"/>
          <w:bCs/>
          <w:lang w:eastAsia="fr-FR" w:bidi="he-IL"/>
        </w:rPr>
        <w:t xml:space="preserve">en les insérant dans le canon des saintes </w:t>
      </w:r>
      <w:r w:rsidR="0058100E">
        <w:rPr>
          <w:rFonts w:eastAsia="Arial Unicode MS"/>
          <w:bCs/>
          <w:lang w:eastAsia="fr-FR" w:bidi="he-IL"/>
        </w:rPr>
        <w:t>Écriture</w:t>
      </w:r>
      <w:r w:rsidRPr="00C8701B">
        <w:rPr>
          <w:rFonts w:eastAsia="Arial Unicode MS"/>
          <w:bCs/>
          <w:lang w:eastAsia="fr-FR" w:bidi="he-IL"/>
        </w:rPr>
        <w:t>s</w:t>
      </w:r>
      <w:r w:rsidR="00E65435">
        <w:rPr>
          <w:rFonts w:eastAsia="Arial Unicode MS"/>
          <w:bCs/>
          <w:lang w:eastAsia="fr-FR" w:bidi="he-IL"/>
        </w:rPr>
        <w:t xml:space="preserve">, </w:t>
      </w:r>
      <w:r w:rsidRPr="00C8701B">
        <w:rPr>
          <w:rFonts w:eastAsia="Arial Unicode MS"/>
          <w:bCs/>
          <w:lang w:eastAsia="fr-FR" w:bidi="he-IL"/>
        </w:rPr>
        <w:t>a proclamé leur inspiration et leur divinité. Et ce fait</w:t>
      </w:r>
      <w:r w:rsidR="00E65435">
        <w:rPr>
          <w:rFonts w:eastAsia="Arial Unicode MS"/>
          <w:bCs/>
          <w:lang w:eastAsia="fr-FR" w:bidi="he-IL"/>
        </w:rPr>
        <w:t xml:space="preserve">, </w:t>
      </w:r>
      <w:r w:rsidRPr="00C8701B">
        <w:rPr>
          <w:rFonts w:eastAsia="Arial Unicode MS"/>
          <w:bCs/>
          <w:lang w:eastAsia="fr-FR" w:bidi="he-IL"/>
        </w:rPr>
        <w:t>tout historique</w:t>
      </w:r>
      <w:r w:rsidR="00E65435">
        <w:rPr>
          <w:rFonts w:eastAsia="Arial Unicode MS"/>
          <w:bCs/>
          <w:lang w:eastAsia="fr-FR" w:bidi="he-IL"/>
        </w:rPr>
        <w:t xml:space="preserve">, </w:t>
      </w:r>
      <w:r w:rsidRPr="00C8701B">
        <w:rPr>
          <w:rFonts w:eastAsia="Arial Unicode MS"/>
          <w:bCs/>
          <w:lang w:eastAsia="fr-FR" w:bidi="he-IL"/>
        </w:rPr>
        <w:t xml:space="preserve">devient encore </w:t>
      </w:r>
      <w:r w:rsidR="00B52FA3">
        <w:rPr>
          <w:rFonts w:eastAsia="Arial Unicode MS"/>
          <w:bCs/>
          <w:lang w:eastAsia="fr-FR" w:bidi="he-IL"/>
        </w:rPr>
        <w:t>{88</w:t>
      </w:r>
      <w:bookmarkStart w:id="139" w:name="pag088"/>
      <w:bookmarkEnd w:id="139"/>
      <w:r w:rsidR="00B52FA3">
        <w:rPr>
          <w:rFonts w:eastAsia="Arial Unicode MS"/>
          <w:bCs/>
          <w:lang w:eastAsia="fr-FR" w:bidi="he-IL"/>
        </w:rPr>
        <w:t xml:space="preserve">} </w:t>
      </w:r>
      <w:r w:rsidRPr="00C8701B">
        <w:rPr>
          <w:rFonts w:eastAsia="Arial Unicode MS"/>
          <w:bCs/>
          <w:lang w:eastAsia="fr-FR" w:bidi="he-IL"/>
        </w:rPr>
        <w:t>beaucoup plus facile à comprendre</w:t>
      </w:r>
      <w:r w:rsidR="00E65435">
        <w:rPr>
          <w:rFonts w:eastAsia="Arial Unicode MS"/>
          <w:bCs/>
          <w:lang w:eastAsia="fr-FR" w:bidi="he-IL"/>
        </w:rPr>
        <w:t xml:space="preserve">, </w:t>
      </w:r>
      <w:r w:rsidRPr="00C8701B">
        <w:rPr>
          <w:rFonts w:eastAsia="Arial Unicode MS"/>
          <w:bCs/>
          <w:lang w:eastAsia="fr-FR" w:bidi="he-IL"/>
        </w:rPr>
        <w:t>si l</w:t>
      </w:r>
      <w:r w:rsidR="00557DE0">
        <w:rPr>
          <w:rFonts w:eastAsia="Arial Unicode MS"/>
          <w:bCs/>
          <w:lang w:eastAsia="fr-FR" w:bidi="he-IL"/>
        </w:rPr>
        <w:t>’</w:t>
      </w:r>
      <w:r w:rsidRPr="00C8701B">
        <w:rPr>
          <w:rFonts w:eastAsia="Arial Unicode MS"/>
          <w:bCs/>
          <w:lang w:eastAsia="fr-FR" w:bidi="he-IL"/>
        </w:rPr>
        <w:t>on se souvient que les auteurs mêmes</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après Dieu</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 xml:space="preserve">des </w:t>
      </w:r>
      <w:r w:rsidR="000439E9">
        <w:rPr>
          <w:rFonts w:eastAsia="Arial Unicode MS"/>
          <w:bCs/>
          <w:lang w:eastAsia="fr-FR" w:bidi="he-IL"/>
        </w:rPr>
        <w:t>Évangile</w:t>
      </w:r>
      <w:r w:rsidRPr="00C8701B">
        <w:rPr>
          <w:rFonts w:eastAsia="Arial Unicode MS"/>
          <w:bCs/>
          <w:lang w:eastAsia="fr-FR" w:bidi="he-IL"/>
        </w:rPr>
        <w:t>s</w:t>
      </w:r>
      <w:r w:rsidR="00E65435">
        <w:rPr>
          <w:rFonts w:eastAsia="Arial Unicode MS"/>
          <w:bCs/>
          <w:lang w:eastAsia="fr-FR" w:bidi="he-IL"/>
        </w:rPr>
        <w:t xml:space="preserve">, </w:t>
      </w:r>
      <w:r w:rsidRPr="00C8701B">
        <w:rPr>
          <w:rFonts w:eastAsia="Arial Unicode MS"/>
          <w:bCs/>
          <w:lang w:eastAsia="fr-FR" w:bidi="he-IL"/>
        </w:rPr>
        <w:t>ava</w:t>
      </w:r>
      <w:r w:rsidR="00B52FA3">
        <w:rPr>
          <w:rFonts w:eastAsia="Arial Unicode MS"/>
          <w:bCs/>
          <w:lang w:eastAsia="fr-FR" w:bidi="he-IL"/>
        </w:rPr>
        <w:t>ient directement travaillé à fon</w:t>
      </w:r>
      <w:r w:rsidRPr="00C8701B">
        <w:rPr>
          <w:rFonts w:eastAsia="Arial Unicode MS"/>
          <w:bCs/>
          <w:lang w:eastAsia="fr-FR" w:bidi="he-IL"/>
        </w:rPr>
        <w:t>der l</w:t>
      </w:r>
      <w:r w:rsidR="00557DE0">
        <w:rPr>
          <w:rFonts w:eastAsia="Arial Unicode MS"/>
          <w:bCs/>
          <w:lang w:eastAsia="fr-FR" w:bidi="he-IL"/>
        </w:rPr>
        <w:t>’</w:t>
      </w:r>
      <w:r w:rsidR="00C8701B">
        <w:rPr>
          <w:rFonts w:eastAsia="Arial Unicode MS"/>
          <w:bCs/>
          <w:lang w:eastAsia="fr-FR" w:bidi="he-IL"/>
        </w:rPr>
        <w:t>Église</w:t>
      </w:r>
      <w:r w:rsidRPr="00C8701B">
        <w:rPr>
          <w:rFonts w:eastAsia="Arial Unicode MS"/>
          <w:bCs/>
          <w:lang w:eastAsia="fr-FR" w:bidi="he-IL"/>
        </w:rPr>
        <w:t xml:space="preserve"> par leur prédication</w:t>
      </w:r>
      <w:r w:rsidR="00E65435">
        <w:rPr>
          <w:rFonts w:eastAsia="Arial Unicode MS"/>
          <w:bCs/>
          <w:lang w:eastAsia="fr-FR" w:bidi="he-IL"/>
        </w:rPr>
        <w:t xml:space="preserve">, </w:t>
      </w:r>
      <w:r w:rsidRPr="00C8701B">
        <w:rPr>
          <w:rFonts w:eastAsia="Arial Unicode MS"/>
          <w:bCs/>
          <w:lang w:eastAsia="fr-FR" w:bidi="he-IL"/>
        </w:rPr>
        <w:t xml:space="preserve">avant de consigner la vie de Jésus par écrit. </w:t>
      </w:r>
      <w:r w:rsidR="00C2602D" w:rsidRPr="00C8701B">
        <w:rPr>
          <w:rFonts w:eastAsia="Arial Unicode MS"/>
          <w:bCs/>
          <w:lang w:eastAsia="fr-FR" w:bidi="he-IL"/>
        </w:rPr>
        <w:t>« </w:t>
      </w:r>
      <w:r w:rsidRPr="00C8701B">
        <w:rPr>
          <w:rFonts w:eastAsia="Arial Unicode MS"/>
          <w:bCs/>
          <w:lang w:eastAsia="fr-FR" w:bidi="he-IL"/>
        </w:rPr>
        <w:t>Ceux-là même</w:t>
      </w:r>
      <w:r w:rsidR="00E65435">
        <w:rPr>
          <w:rFonts w:eastAsia="Arial Unicode MS"/>
          <w:bCs/>
          <w:lang w:eastAsia="fr-FR" w:bidi="he-IL"/>
        </w:rPr>
        <w:t xml:space="preserve">, </w:t>
      </w:r>
      <w:r w:rsidRPr="00C8701B">
        <w:rPr>
          <w:rFonts w:eastAsia="Arial Unicode MS"/>
          <w:bCs/>
          <w:lang w:eastAsia="fr-FR" w:bidi="he-IL"/>
        </w:rPr>
        <w:t>dit S. Irénée</w:t>
      </w:r>
      <w:r w:rsidR="00933C60" w:rsidRPr="00C406FF">
        <w:rPr>
          <w:rStyle w:val="Appelnotedebasdep"/>
        </w:rPr>
        <w:footnoteReference w:id="476"/>
      </w:r>
      <w:r w:rsidR="00E65435">
        <w:rPr>
          <w:rFonts w:eastAsia="Arial Unicode MS"/>
          <w:bCs/>
          <w:lang w:eastAsia="fr-FR" w:bidi="he-IL"/>
        </w:rPr>
        <w:t xml:space="preserve">, </w:t>
      </w:r>
      <w:r w:rsidRPr="00C8701B">
        <w:rPr>
          <w:rFonts w:eastAsia="Arial Unicode MS"/>
          <w:bCs/>
          <w:lang w:eastAsia="fr-FR" w:bidi="he-IL"/>
        </w:rPr>
        <w:t>qui nous ont fait connaître l</w:t>
      </w:r>
      <w:r w:rsidR="00557DE0">
        <w:rPr>
          <w:rFonts w:eastAsia="Arial Unicode MS"/>
          <w:bCs/>
          <w:lang w:eastAsia="fr-FR" w:bidi="he-IL"/>
        </w:rPr>
        <w:t>’</w:t>
      </w:r>
      <w:r w:rsidRPr="00C8701B">
        <w:rPr>
          <w:rFonts w:eastAsia="Arial Unicode MS"/>
          <w:bCs/>
          <w:lang w:eastAsia="fr-FR" w:bidi="he-IL"/>
        </w:rPr>
        <w:t>évangile</w:t>
      </w:r>
      <w:r w:rsidR="00E65435">
        <w:rPr>
          <w:rFonts w:eastAsia="Arial Unicode MS"/>
          <w:bCs/>
          <w:lang w:eastAsia="fr-FR" w:bidi="he-IL"/>
        </w:rPr>
        <w:t xml:space="preserve">, </w:t>
      </w:r>
      <w:r w:rsidRPr="00C8701B">
        <w:rPr>
          <w:rFonts w:eastAsia="Arial Unicode MS"/>
          <w:bCs/>
          <w:lang w:eastAsia="fr-FR" w:bidi="he-IL"/>
        </w:rPr>
        <w:t>ont d</w:t>
      </w:r>
      <w:r w:rsidR="00557DE0">
        <w:rPr>
          <w:rFonts w:eastAsia="Arial Unicode MS"/>
          <w:bCs/>
          <w:lang w:eastAsia="fr-FR" w:bidi="he-IL"/>
        </w:rPr>
        <w:t>’</w:t>
      </w:r>
      <w:r w:rsidRPr="00C8701B">
        <w:rPr>
          <w:rFonts w:eastAsia="Arial Unicode MS"/>
          <w:bCs/>
          <w:lang w:eastAsia="fr-FR" w:bidi="he-IL"/>
        </w:rPr>
        <w:t>abord prêché</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ensuite</w:t>
      </w:r>
      <w:r w:rsidR="00E65435">
        <w:rPr>
          <w:rFonts w:eastAsia="Arial Unicode MS"/>
          <w:bCs/>
          <w:lang w:eastAsia="fr-FR" w:bidi="he-IL"/>
        </w:rPr>
        <w:t xml:space="preserve">, </w:t>
      </w:r>
      <w:r w:rsidRPr="00C8701B">
        <w:rPr>
          <w:rFonts w:eastAsia="Arial Unicode MS"/>
          <w:bCs/>
          <w:lang w:eastAsia="fr-FR" w:bidi="he-IL"/>
        </w:rPr>
        <w:t>par la volonté de Dieu</w:t>
      </w:r>
      <w:r w:rsidR="00E65435">
        <w:rPr>
          <w:rFonts w:eastAsia="Arial Unicode MS"/>
          <w:bCs/>
          <w:lang w:eastAsia="fr-FR" w:bidi="he-IL"/>
        </w:rPr>
        <w:t xml:space="preserve">, </w:t>
      </w:r>
      <w:r w:rsidRPr="00C8701B">
        <w:rPr>
          <w:rFonts w:eastAsia="Arial Unicode MS"/>
          <w:bCs/>
          <w:lang w:eastAsia="fr-FR" w:bidi="he-IL"/>
        </w:rPr>
        <w:t xml:space="preserve">ils ont déposé dans les </w:t>
      </w:r>
      <w:r w:rsidR="0058100E">
        <w:rPr>
          <w:rFonts w:eastAsia="Arial Unicode MS"/>
          <w:bCs/>
          <w:lang w:eastAsia="fr-FR" w:bidi="he-IL"/>
        </w:rPr>
        <w:t>Écriture</w:t>
      </w:r>
      <w:r w:rsidRPr="00C8701B">
        <w:rPr>
          <w:rFonts w:eastAsia="Arial Unicode MS"/>
          <w:bCs/>
          <w:lang w:eastAsia="fr-FR" w:bidi="he-IL"/>
        </w:rPr>
        <w:t>s le fondement futur et la colonne de notre foi</w:t>
      </w:r>
      <w:r w:rsidR="00C2602D" w:rsidRPr="00C8701B">
        <w:rPr>
          <w:rFonts w:eastAsia="Arial Unicode MS"/>
          <w:bCs/>
          <w:lang w:eastAsia="fr-FR" w:bidi="he-IL"/>
        </w:rPr>
        <w:t> »</w:t>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2° Le témoignage général de l</w:t>
      </w:r>
      <w:r w:rsidR="00557DE0">
        <w:rPr>
          <w:rFonts w:eastAsia="Arial Unicode MS"/>
          <w:bCs/>
          <w:lang w:eastAsia="fr-FR" w:bidi="he-IL"/>
        </w:rPr>
        <w:t>’</w:t>
      </w:r>
      <w:r w:rsidR="00C8701B">
        <w:rPr>
          <w:rFonts w:eastAsia="Arial Unicode MS"/>
          <w:bCs/>
          <w:lang w:eastAsia="fr-FR" w:bidi="he-IL"/>
        </w:rPr>
        <w:t>Église</w:t>
      </w:r>
      <w:r w:rsidRPr="00C8701B">
        <w:rPr>
          <w:rFonts w:eastAsia="Arial Unicode MS"/>
          <w:bCs/>
          <w:lang w:eastAsia="fr-FR" w:bidi="he-IL"/>
        </w:rPr>
        <w:t xml:space="preserve"> en faveur de la divinité des </w:t>
      </w:r>
      <w:r w:rsidR="000439E9">
        <w:rPr>
          <w:rFonts w:eastAsia="Arial Unicode MS"/>
          <w:bCs/>
          <w:lang w:eastAsia="fr-FR" w:bidi="he-IL"/>
        </w:rPr>
        <w:t>Évangile</w:t>
      </w:r>
      <w:r w:rsidRPr="00C8701B">
        <w:rPr>
          <w:rFonts w:eastAsia="Arial Unicode MS"/>
          <w:bCs/>
          <w:lang w:eastAsia="fr-FR" w:bidi="he-IL"/>
        </w:rPr>
        <w:t>s se décompose</w:t>
      </w:r>
      <w:r w:rsidR="00E65435">
        <w:rPr>
          <w:rFonts w:eastAsia="Arial Unicode MS"/>
          <w:bCs/>
          <w:lang w:eastAsia="fr-FR" w:bidi="he-IL"/>
        </w:rPr>
        <w:t xml:space="preserve">, </w:t>
      </w:r>
      <w:r w:rsidR="00A21B49">
        <w:rPr>
          <w:rFonts w:eastAsia="Arial Unicode MS"/>
          <w:bCs/>
          <w:lang w:eastAsia="fr-FR" w:bidi="he-IL"/>
        </w:rPr>
        <w:t>dans le détails</w:t>
      </w:r>
      <w:r w:rsidRPr="00C8701B">
        <w:rPr>
          <w:rFonts w:eastAsia="Arial Unicode MS"/>
          <w:bCs/>
          <w:lang w:eastAsia="fr-FR" w:bidi="he-IL"/>
        </w:rPr>
        <w:t xml:space="preserve"> en des milliers d</w:t>
      </w:r>
      <w:r w:rsidR="00557DE0">
        <w:rPr>
          <w:rFonts w:eastAsia="Arial Unicode MS"/>
          <w:bCs/>
          <w:lang w:eastAsia="fr-FR" w:bidi="he-IL"/>
        </w:rPr>
        <w:t>’</w:t>
      </w:r>
      <w:r w:rsidRPr="00C8701B">
        <w:rPr>
          <w:rFonts w:eastAsia="Arial Unicode MS"/>
          <w:bCs/>
          <w:lang w:eastAsia="fr-FR" w:bidi="he-IL"/>
        </w:rPr>
        <w:t>attestations privées</w:t>
      </w:r>
      <w:r w:rsidR="00E65435">
        <w:rPr>
          <w:rFonts w:eastAsia="Arial Unicode MS"/>
          <w:bCs/>
          <w:lang w:eastAsia="fr-FR" w:bidi="he-IL"/>
        </w:rPr>
        <w:t xml:space="preserve">, </w:t>
      </w:r>
      <w:r w:rsidRPr="00C8701B">
        <w:rPr>
          <w:rFonts w:eastAsia="Arial Unicode MS"/>
          <w:bCs/>
          <w:lang w:eastAsia="fr-FR" w:bidi="he-IL"/>
        </w:rPr>
        <w:t>qui forment l</w:t>
      </w:r>
      <w:r w:rsidR="00557DE0">
        <w:rPr>
          <w:rFonts w:eastAsia="Arial Unicode MS"/>
          <w:bCs/>
          <w:lang w:eastAsia="fr-FR" w:bidi="he-IL"/>
        </w:rPr>
        <w:t>’</w:t>
      </w:r>
      <w:r w:rsidRPr="00C8701B">
        <w:rPr>
          <w:rFonts w:eastAsia="Arial Unicode MS"/>
          <w:bCs/>
          <w:lang w:eastAsia="fr-FR" w:bidi="he-IL"/>
        </w:rPr>
        <w:t>admirable et solide faisceau de la tradition</w:t>
      </w:r>
      <w:r w:rsidR="00933C60" w:rsidRPr="00C406FF">
        <w:rPr>
          <w:rStyle w:val="Appelnotedebasdep"/>
        </w:rPr>
        <w:footnoteReference w:id="477"/>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Les textes que nous avons allégués</w:t>
      </w:r>
      <w:r w:rsidR="00E65435">
        <w:rPr>
          <w:rFonts w:eastAsia="Arial Unicode MS"/>
          <w:bCs/>
          <w:lang w:eastAsia="fr-FR" w:bidi="he-IL"/>
        </w:rPr>
        <w:t xml:space="preserve">, </w:t>
      </w:r>
      <w:r w:rsidRPr="00C8701B">
        <w:rPr>
          <w:rFonts w:eastAsia="Arial Unicode MS"/>
          <w:bCs/>
          <w:lang w:eastAsia="fr-FR" w:bidi="he-IL"/>
        </w:rPr>
        <w:t>dans nos précédents volumes</w:t>
      </w:r>
      <w:r w:rsidR="00933C60" w:rsidRPr="00C406FF">
        <w:rPr>
          <w:rStyle w:val="Appelnotedebasdep"/>
        </w:rPr>
        <w:footnoteReference w:id="478"/>
      </w:r>
      <w:r w:rsidR="00E65435">
        <w:rPr>
          <w:rFonts w:eastAsia="Arial Unicode MS"/>
          <w:bCs/>
          <w:lang w:eastAsia="fr-FR" w:bidi="he-IL"/>
        </w:rPr>
        <w:t xml:space="preserve">, </w:t>
      </w:r>
      <w:r w:rsidRPr="00C8701B">
        <w:rPr>
          <w:rFonts w:eastAsia="Arial Unicode MS"/>
          <w:bCs/>
          <w:lang w:eastAsia="fr-FR" w:bidi="he-IL"/>
        </w:rPr>
        <w:t>pour démontrer l</w:t>
      </w:r>
      <w:r w:rsidR="00557DE0">
        <w:rPr>
          <w:rFonts w:eastAsia="Arial Unicode MS"/>
          <w:bCs/>
          <w:lang w:eastAsia="fr-FR" w:bidi="he-IL"/>
        </w:rPr>
        <w:t>’</w:t>
      </w:r>
      <w:r w:rsidRPr="00C8701B">
        <w:rPr>
          <w:rFonts w:eastAsia="Arial Unicode MS"/>
          <w:bCs/>
          <w:lang w:eastAsia="fr-FR" w:bidi="he-IL"/>
        </w:rPr>
        <w:t>authenticité de chacun des évangiles prie à part</w:t>
      </w:r>
      <w:r w:rsidR="00E65435">
        <w:rPr>
          <w:rFonts w:eastAsia="Arial Unicode MS"/>
          <w:bCs/>
          <w:lang w:eastAsia="fr-FR" w:bidi="he-IL"/>
        </w:rPr>
        <w:t xml:space="preserve">, </w:t>
      </w:r>
      <w:r w:rsidRPr="00C8701B">
        <w:rPr>
          <w:rFonts w:eastAsia="Arial Unicode MS"/>
          <w:bCs/>
          <w:lang w:eastAsia="fr-FR" w:bidi="he-IL"/>
        </w:rPr>
        <w:t>prouvent en même temps leur canonicité</w:t>
      </w:r>
      <w:r w:rsidR="00E65435">
        <w:rPr>
          <w:rFonts w:eastAsia="Arial Unicode MS"/>
          <w:bCs/>
          <w:lang w:eastAsia="fr-FR" w:bidi="he-IL"/>
        </w:rPr>
        <w:t xml:space="preserve">, </w:t>
      </w:r>
      <w:r w:rsidRPr="00C8701B">
        <w:rPr>
          <w:rFonts w:eastAsia="Arial Unicode MS"/>
          <w:bCs/>
          <w:lang w:eastAsia="fr-FR" w:bidi="he-IL"/>
        </w:rPr>
        <w:t>conséquemment leur inspiration. Mais nous en citerons quelques autres encore</w:t>
      </w:r>
      <w:r w:rsidR="00E65435">
        <w:rPr>
          <w:rFonts w:eastAsia="Arial Unicode MS"/>
          <w:bCs/>
          <w:lang w:eastAsia="fr-FR" w:bidi="he-IL"/>
        </w:rPr>
        <w:t xml:space="preserve">, </w:t>
      </w:r>
      <w:r w:rsidRPr="00C8701B">
        <w:rPr>
          <w:rFonts w:eastAsia="Arial Unicode MS"/>
          <w:bCs/>
          <w:lang w:eastAsia="fr-FR" w:bidi="he-IL"/>
        </w:rPr>
        <w:t>qui se rapportent très directement à notre sujet actuel</w:t>
      </w:r>
      <w:r w:rsidR="00933C60" w:rsidRPr="00C406FF">
        <w:rPr>
          <w:rStyle w:val="Appelnotedebasdep"/>
        </w:rPr>
        <w:footnoteReference w:id="479"/>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DC4586">
        <w:rPr>
          <w:rStyle w:val="italicus"/>
        </w:rPr>
        <w:t>L</w:t>
      </w:r>
      <w:r w:rsidR="00557DE0">
        <w:rPr>
          <w:rStyle w:val="italicus"/>
        </w:rPr>
        <w:t>’</w:t>
      </w:r>
      <w:r w:rsidR="00DF496C">
        <w:rPr>
          <w:rStyle w:val="italicus"/>
        </w:rPr>
        <w:t>Épit</w:t>
      </w:r>
      <w:r w:rsidR="00DF496C" w:rsidRPr="00DC4586">
        <w:rPr>
          <w:rStyle w:val="italicus"/>
        </w:rPr>
        <w:t>re</w:t>
      </w:r>
      <w:r w:rsidRPr="00DC4586">
        <w:rPr>
          <w:rStyle w:val="italicus"/>
        </w:rPr>
        <w:t xml:space="preserve"> de S. Barnabé</w:t>
      </w:r>
      <w:r w:rsidR="00933C60" w:rsidRPr="00C406FF">
        <w:rPr>
          <w:rStyle w:val="Appelnotedebasdep"/>
        </w:rPr>
        <w:footnoteReference w:id="480"/>
      </w:r>
      <w:r w:rsidR="00A21B49">
        <w:rPr>
          <w:rFonts w:eastAsia="Arial Unicode MS"/>
          <w:bCs/>
          <w:lang w:eastAsia="fr-FR" w:bidi="he-IL"/>
        </w:rPr>
        <w:t> :</w:t>
      </w:r>
      <w:r w:rsidRPr="00C8701B">
        <w:rPr>
          <w:rFonts w:eastAsia="Arial Unicode MS"/>
          <w:bCs/>
          <w:lang w:eastAsia="fr-FR" w:bidi="he-IL"/>
        </w:rPr>
        <w:t xml:space="preserve"> </w:t>
      </w:r>
      <w:r w:rsidR="00C2602D" w:rsidRPr="00C8701B">
        <w:rPr>
          <w:rFonts w:eastAsia="Arial Unicode MS"/>
          <w:bCs/>
          <w:lang w:eastAsia="fr-FR" w:bidi="he-IL"/>
        </w:rPr>
        <w:t>« </w:t>
      </w:r>
      <w:r w:rsidRPr="00C8701B">
        <w:rPr>
          <w:rFonts w:eastAsia="Arial Unicode MS"/>
          <w:bCs/>
          <w:lang w:eastAsia="fr-FR" w:bidi="he-IL"/>
        </w:rPr>
        <w:t>Attend</w:t>
      </w:r>
      <w:r w:rsidR="00795B48">
        <w:rPr>
          <w:rFonts w:eastAsia="Arial Unicode MS"/>
          <w:bCs/>
          <w:lang w:eastAsia="fr-FR" w:bidi="he-IL"/>
        </w:rPr>
        <w:t>ámus</w:t>
      </w:r>
      <w:r w:rsidRPr="00C8701B">
        <w:rPr>
          <w:rFonts w:eastAsia="Arial Unicode MS"/>
          <w:bCs/>
          <w:lang w:eastAsia="fr-FR" w:bidi="he-IL"/>
        </w:rPr>
        <w:t xml:space="preserve"> ne forte</w:t>
      </w:r>
      <w:r w:rsidR="00E65435">
        <w:rPr>
          <w:rFonts w:eastAsia="Arial Unicode MS"/>
          <w:bCs/>
          <w:lang w:eastAsia="fr-FR" w:bidi="he-IL"/>
        </w:rPr>
        <w:t xml:space="preserve">, </w:t>
      </w:r>
      <w:r w:rsidRPr="00DC4586">
        <w:rPr>
          <w:rStyle w:val="italicus"/>
        </w:rPr>
        <w:t>sicut scriptum est</w:t>
      </w:r>
      <w:r w:rsidR="00E65435">
        <w:rPr>
          <w:rStyle w:val="italicus"/>
        </w:rPr>
        <w:t xml:space="preserve">, </w:t>
      </w:r>
      <w:r w:rsidRPr="00C8701B">
        <w:rPr>
          <w:rFonts w:eastAsia="Arial Unicode MS"/>
          <w:bCs/>
          <w:lang w:eastAsia="fr-FR" w:bidi="he-IL"/>
        </w:rPr>
        <w:t xml:space="preserve">multi </w:t>
      </w:r>
      <w:r w:rsidR="00A21B49" w:rsidRPr="00C8701B">
        <w:rPr>
          <w:rFonts w:eastAsia="Arial Unicode MS"/>
          <w:bCs/>
          <w:lang w:eastAsia="fr-FR" w:bidi="he-IL"/>
        </w:rPr>
        <w:t>vocáti</w:t>
      </w:r>
      <w:r w:rsidR="00E65435">
        <w:rPr>
          <w:rFonts w:eastAsia="Arial Unicode MS"/>
          <w:bCs/>
          <w:lang w:eastAsia="fr-FR" w:bidi="he-IL"/>
        </w:rPr>
        <w:t xml:space="preserve">, </w:t>
      </w:r>
      <w:r w:rsidRPr="00C8701B">
        <w:rPr>
          <w:rFonts w:eastAsia="Arial Unicode MS"/>
          <w:bCs/>
          <w:lang w:eastAsia="fr-FR" w:bidi="he-IL"/>
        </w:rPr>
        <w:t xml:space="preserve">pauci </w:t>
      </w:r>
      <w:r w:rsidR="00A21B49" w:rsidRPr="00C8701B">
        <w:rPr>
          <w:rFonts w:eastAsia="Arial Unicode MS"/>
          <w:bCs/>
          <w:lang w:eastAsia="fr-FR" w:bidi="he-IL"/>
        </w:rPr>
        <w:t>elécti</w:t>
      </w:r>
      <w:r w:rsidRPr="00C8701B">
        <w:rPr>
          <w:rFonts w:eastAsia="Arial Unicode MS"/>
          <w:bCs/>
          <w:lang w:eastAsia="fr-FR" w:bidi="he-IL"/>
        </w:rPr>
        <w:t xml:space="preserve"> inv</w:t>
      </w:r>
      <w:r w:rsidR="00C21120" w:rsidRPr="00C8701B">
        <w:rPr>
          <w:rFonts w:eastAsia="Arial Unicode MS"/>
          <w:bCs/>
          <w:lang w:eastAsia="fr-FR" w:bidi="he-IL"/>
        </w:rPr>
        <w:t>eni</w:t>
      </w:r>
      <w:r w:rsidR="00C21120">
        <w:rPr>
          <w:rFonts w:eastAsia="Arial Unicode MS"/>
          <w:bCs/>
          <w:lang w:eastAsia="fr-FR" w:bidi="he-IL"/>
        </w:rPr>
        <w:t>á</w:t>
      </w:r>
      <w:r w:rsidR="00C21120" w:rsidRPr="00C8701B">
        <w:rPr>
          <w:rFonts w:eastAsia="Arial Unicode MS"/>
          <w:bCs/>
          <w:lang w:eastAsia="fr-FR" w:bidi="he-IL"/>
        </w:rPr>
        <w:t>ntur</w:t>
      </w:r>
      <w:r w:rsidR="00C2602D" w:rsidRPr="00C8701B">
        <w:rPr>
          <w:rFonts w:eastAsia="Arial Unicode MS"/>
          <w:bCs/>
          <w:lang w:eastAsia="fr-FR" w:bidi="he-IL"/>
        </w:rPr>
        <w:t> »</w:t>
      </w:r>
      <w:r w:rsidRPr="00C8701B">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 xml:space="preserve">Les mots </w:t>
      </w:r>
      <w:r w:rsidR="00A21B49" w:rsidRPr="00A21B49">
        <w:t>ὡς</w:t>
      </w:r>
      <w:r w:rsidR="007F6508" w:rsidRPr="00A21B49">
        <w:t xml:space="preserve"> </w:t>
      </w:r>
      <w:r w:rsidRPr="00A21B49">
        <w:t>γ</w:t>
      </w:r>
      <w:r w:rsidR="00C771BF" w:rsidRPr="00A21B49">
        <w:t>έ</w:t>
      </w:r>
      <w:r w:rsidRPr="00A21B49">
        <w:t>γρ</w:t>
      </w:r>
      <w:r w:rsidR="00A21B49" w:rsidRPr="00A21B49">
        <w:t>απται</w:t>
      </w:r>
      <w:r w:rsidRPr="00C8701B">
        <w:rPr>
          <w:rFonts w:eastAsia="Arial Unicode MS"/>
          <w:bCs/>
          <w:lang w:val="el-GR" w:eastAsia="fr-FR" w:bidi="he-IL"/>
        </w:rPr>
        <w:t xml:space="preserve"> </w:t>
      </w:r>
      <w:r w:rsidRPr="00C8701B">
        <w:rPr>
          <w:rFonts w:eastAsia="Arial Unicode MS"/>
          <w:bCs/>
          <w:lang w:eastAsia="fr-FR" w:bidi="he-IL"/>
        </w:rPr>
        <w:t>rattachent de la façon la plus évidente le passage emprunté à S. Matthieu</w:t>
      </w:r>
      <w:r w:rsidR="00E65435">
        <w:rPr>
          <w:rFonts w:eastAsia="Arial Unicode MS"/>
          <w:bCs/>
          <w:lang w:eastAsia="fr-FR" w:bidi="he-IL"/>
        </w:rPr>
        <w:t xml:space="preserve">, </w:t>
      </w:r>
      <w:r w:rsidRPr="00C8701B">
        <w:rPr>
          <w:rFonts w:eastAsia="Arial Unicode MS"/>
          <w:bCs/>
          <w:lang w:eastAsia="fr-FR" w:bidi="he-IL"/>
        </w:rPr>
        <w:t>et</w:t>
      </w:r>
      <w:r w:rsidR="00E65435">
        <w:rPr>
          <w:rFonts w:eastAsia="Arial Unicode MS"/>
          <w:bCs/>
          <w:lang w:eastAsia="fr-FR" w:bidi="he-IL"/>
        </w:rPr>
        <w:t xml:space="preserve">, </w:t>
      </w:r>
      <w:r w:rsidRPr="00C8701B">
        <w:rPr>
          <w:rFonts w:eastAsia="Arial Unicode MS"/>
          <w:bCs/>
          <w:lang w:eastAsia="fr-FR" w:bidi="he-IL"/>
        </w:rPr>
        <w:t>par suite</w:t>
      </w:r>
      <w:r w:rsidR="00E65435">
        <w:rPr>
          <w:rFonts w:eastAsia="Arial Unicode MS"/>
          <w:bCs/>
          <w:lang w:eastAsia="fr-FR" w:bidi="he-IL"/>
        </w:rPr>
        <w:t xml:space="preserve">, </w:t>
      </w:r>
      <w:r w:rsidRPr="00C8701B">
        <w:rPr>
          <w:rFonts w:eastAsia="Arial Unicode MS"/>
          <w:bCs/>
          <w:lang w:eastAsia="fr-FR" w:bidi="he-IL"/>
        </w:rPr>
        <w:t>le premier évangile tout entier</w:t>
      </w:r>
      <w:r w:rsidR="00E65435">
        <w:rPr>
          <w:rFonts w:eastAsia="Arial Unicode MS"/>
          <w:bCs/>
          <w:lang w:eastAsia="fr-FR" w:bidi="he-IL"/>
        </w:rPr>
        <w:t xml:space="preserve">, </w:t>
      </w:r>
      <w:r w:rsidRPr="00C8701B">
        <w:rPr>
          <w:rFonts w:eastAsia="Arial Unicode MS"/>
          <w:bCs/>
          <w:lang w:eastAsia="fr-FR" w:bidi="he-IL"/>
        </w:rPr>
        <w:t>aux livres inspirés et divins.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S. Ignace d</w:t>
      </w:r>
      <w:r w:rsidR="00557DE0">
        <w:rPr>
          <w:rFonts w:eastAsia="Arial Unicode MS"/>
          <w:bCs/>
          <w:lang w:eastAsia="fr-FR" w:bidi="he-IL"/>
        </w:rPr>
        <w:t>’</w:t>
      </w:r>
      <w:r w:rsidRPr="00C8701B">
        <w:rPr>
          <w:rFonts w:eastAsia="Arial Unicode MS"/>
          <w:bCs/>
          <w:lang w:eastAsia="fr-FR" w:bidi="he-IL"/>
        </w:rPr>
        <w:t>Antioche</w:t>
      </w:r>
      <w:r w:rsidR="00933C60" w:rsidRPr="00C406FF">
        <w:rPr>
          <w:rStyle w:val="Appelnotedebasdep"/>
        </w:rPr>
        <w:footnoteReference w:id="481"/>
      </w:r>
      <w:r w:rsidR="00C2602D" w:rsidRPr="00C8701B">
        <w:rPr>
          <w:rFonts w:eastAsia="Arial Unicode MS"/>
          <w:bCs/>
          <w:lang w:eastAsia="fr-FR" w:bidi="he-IL"/>
        </w:rPr>
        <w:t> :</w:t>
      </w:r>
      <w:r w:rsidR="00A21B49">
        <w:rPr>
          <w:rFonts w:eastAsia="Arial Unicode MS"/>
          <w:bCs/>
          <w:lang w:eastAsia="fr-FR" w:bidi="he-IL"/>
        </w:rPr>
        <w:t xml:space="preserve"> « Opórtet atténdere Prophétis</w:t>
      </w:r>
      <w:r w:rsidR="00E65435">
        <w:rPr>
          <w:rFonts w:eastAsia="Arial Unicode MS"/>
          <w:bCs/>
          <w:lang w:eastAsia="fr-FR" w:bidi="he-IL"/>
        </w:rPr>
        <w:t xml:space="preserve">, </w:t>
      </w:r>
      <w:r w:rsidR="00A21B49">
        <w:rPr>
          <w:rStyle w:val="italicus"/>
        </w:rPr>
        <w:t>præcípue autem Evangé</w:t>
      </w:r>
      <w:r w:rsidR="00A21B49" w:rsidRPr="00DC4586">
        <w:rPr>
          <w:rStyle w:val="italicus"/>
        </w:rPr>
        <w:t>lio</w:t>
      </w:r>
      <w:r w:rsidR="00E65435">
        <w:rPr>
          <w:rStyle w:val="italicus"/>
        </w:rPr>
        <w:t xml:space="preserve">, </w:t>
      </w:r>
      <w:r w:rsidRPr="00C8701B">
        <w:rPr>
          <w:rFonts w:eastAsia="Arial Unicode MS"/>
          <w:bCs/>
          <w:lang w:eastAsia="fr-FR" w:bidi="he-IL"/>
        </w:rPr>
        <w:t xml:space="preserve">in quo </w:t>
      </w:r>
      <w:r w:rsidR="00A21B49" w:rsidRPr="00C8701B">
        <w:rPr>
          <w:rFonts w:eastAsia="Arial Unicode MS"/>
          <w:bCs/>
          <w:lang w:eastAsia="fr-FR" w:bidi="he-IL"/>
        </w:rPr>
        <w:t>pássio</w:t>
      </w:r>
      <w:r w:rsidRPr="00C8701B">
        <w:rPr>
          <w:rFonts w:eastAsia="Arial Unicode MS"/>
          <w:bCs/>
          <w:lang w:eastAsia="fr-FR" w:bidi="he-IL"/>
        </w:rPr>
        <w:t xml:space="preserve"> nobis </w:t>
      </w:r>
      <w:r w:rsidR="00A21B49" w:rsidRPr="00C8701B">
        <w:rPr>
          <w:rFonts w:eastAsia="Arial Unicode MS"/>
          <w:bCs/>
          <w:lang w:eastAsia="fr-FR" w:bidi="he-IL"/>
        </w:rPr>
        <w:t>osténsa</w:t>
      </w:r>
      <w:r w:rsidRPr="00C8701B">
        <w:rPr>
          <w:rFonts w:eastAsia="Arial Unicode MS"/>
          <w:bCs/>
          <w:lang w:eastAsia="fr-FR" w:bidi="he-IL"/>
        </w:rPr>
        <w:t xml:space="preserve"> et </w:t>
      </w:r>
      <w:r w:rsidR="00A21B49" w:rsidRPr="00C8701B">
        <w:rPr>
          <w:rFonts w:eastAsia="Arial Unicode MS"/>
          <w:bCs/>
          <w:lang w:eastAsia="fr-FR" w:bidi="he-IL"/>
        </w:rPr>
        <w:t>resurréctio</w:t>
      </w:r>
      <w:r w:rsidRPr="00C8701B">
        <w:rPr>
          <w:rFonts w:eastAsia="Arial Unicode MS"/>
          <w:bCs/>
          <w:lang w:eastAsia="fr-FR" w:bidi="he-IL"/>
        </w:rPr>
        <w:t xml:space="preserve"> </w:t>
      </w:r>
      <w:r w:rsidR="00A21B49" w:rsidRPr="00C8701B">
        <w:rPr>
          <w:rFonts w:eastAsia="Arial Unicode MS"/>
          <w:bCs/>
          <w:lang w:eastAsia="fr-FR" w:bidi="he-IL"/>
        </w:rPr>
        <w:t>perfécte</w:t>
      </w:r>
      <w:r w:rsidRPr="00C8701B">
        <w:rPr>
          <w:rFonts w:eastAsia="Arial Unicode MS"/>
          <w:bCs/>
          <w:lang w:eastAsia="fr-FR" w:bidi="he-IL"/>
        </w:rPr>
        <w:t xml:space="preserve"> </w:t>
      </w:r>
      <w:r w:rsidR="00A21B49" w:rsidRPr="00C8701B">
        <w:rPr>
          <w:rFonts w:eastAsia="Arial Unicode MS"/>
          <w:bCs/>
          <w:lang w:eastAsia="fr-FR" w:bidi="he-IL"/>
        </w:rPr>
        <w:t>demonstráta</w:t>
      </w:r>
      <w:r w:rsidRPr="00C8701B">
        <w:rPr>
          <w:rFonts w:eastAsia="Arial Unicode MS"/>
          <w:bCs/>
          <w:lang w:eastAsia="fr-FR" w:bidi="he-IL"/>
        </w:rPr>
        <w:t xml:space="preserve"> est</w:t>
      </w:r>
      <w:r w:rsidR="00C2602D" w:rsidRPr="00C8701B">
        <w:rPr>
          <w:rFonts w:eastAsia="Arial Unicode MS"/>
          <w:bCs/>
          <w:lang w:eastAsia="fr-FR" w:bidi="he-IL"/>
        </w:rPr>
        <w:t> »</w:t>
      </w:r>
      <w:r w:rsidRPr="00C8701B">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Voilà les évangiles assimilés aux prophètes</w:t>
      </w:r>
      <w:r w:rsidR="00E65435">
        <w:rPr>
          <w:rFonts w:eastAsia="Arial Unicode MS"/>
          <w:bCs/>
          <w:lang w:eastAsia="fr-FR" w:bidi="he-IL"/>
        </w:rPr>
        <w:t xml:space="preserve">, </w:t>
      </w:r>
      <w:r w:rsidRPr="00C8701B">
        <w:rPr>
          <w:rFonts w:eastAsia="Arial Unicode MS"/>
          <w:bCs/>
          <w:lang w:eastAsia="fr-FR" w:bidi="he-IL"/>
        </w:rPr>
        <w:t>ou plutôt</w:t>
      </w:r>
      <w:r w:rsidR="00E65435">
        <w:rPr>
          <w:rFonts w:eastAsia="Arial Unicode MS"/>
          <w:bCs/>
          <w:lang w:eastAsia="fr-FR" w:bidi="he-IL"/>
        </w:rPr>
        <w:t xml:space="preserve">, </w:t>
      </w:r>
      <w:r w:rsidRPr="00C8701B">
        <w:rPr>
          <w:rFonts w:eastAsia="Arial Unicode MS"/>
          <w:bCs/>
          <w:lang w:eastAsia="fr-FR" w:bidi="he-IL"/>
        </w:rPr>
        <w:t>placés au-dessus des prophètes</w:t>
      </w:r>
      <w:r w:rsidR="00E65435">
        <w:rPr>
          <w:rFonts w:eastAsia="Arial Unicode MS"/>
          <w:bCs/>
          <w:lang w:eastAsia="fr-FR" w:bidi="he-IL"/>
        </w:rPr>
        <w:t xml:space="preserve">, </w:t>
      </w:r>
      <w:r w:rsidRPr="00C8701B">
        <w:rPr>
          <w:rFonts w:eastAsia="Arial Unicode MS"/>
          <w:bCs/>
          <w:lang w:eastAsia="fr-FR" w:bidi="he-IL"/>
        </w:rPr>
        <w:t>dont les écrits étaient regardés comme certainement divins</w:t>
      </w:r>
      <w:r w:rsidR="00933C60" w:rsidRPr="00C406FF">
        <w:rPr>
          <w:rStyle w:val="Appelnotedebasdep"/>
        </w:rPr>
        <w:footnoteReference w:id="482"/>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S. Clément Romain</w:t>
      </w:r>
      <w:r w:rsidR="00E65435">
        <w:rPr>
          <w:rFonts w:eastAsia="Arial Unicode MS"/>
          <w:bCs/>
          <w:lang w:eastAsia="fr-FR" w:bidi="he-IL"/>
        </w:rPr>
        <w:t xml:space="preserve">, </w:t>
      </w:r>
      <w:r w:rsidRPr="00C8701B">
        <w:rPr>
          <w:rFonts w:eastAsia="Arial Unicode MS"/>
          <w:bCs/>
          <w:lang w:eastAsia="fr-FR" w:bidi="he-IL"/>
        </w:rPr>
        <w:t>Basilide</w:t>
      </w:r>
      <w:r w:rsidR="00E65435">
        <w:rPr>
          <w:rFonts w:eastAsia="Arial Unicode MS"/>
          <w:bCs/>
          <w:lang w:eastAsia="fr-FR" w:bidi="he-IL"/>
        </w:rPr>
        <w:t xml:space="preserve">, </w:t>
      </w:r>
      <w:r w:rsidRPr="00C8701B">
        <w:rPr>
          <w:rFonts w:eastAsia="Arial Unicode MS"/>
          <w:bCs/>
          <w:lang w:eastAsia="fr-FR" w:bidi="he-IL"/>
        </w:rPr>
        <w:t>etc.</w:t>
      </w:r>
      <w:r w:rsidR="00E65435">
        <w:rPr>
          <w:rFonts w:eastAsia="Arial Unicode MS"/>
          <w:bCs/>
          <w:lang w:eastAsia="fr-FR" w:bidi="he-IL"/>
        </w:rPr>
        <w:t xml:space="preserve">, </w:t>
      </w:r>
      <w:r w:rsidRPr="00C8701B">
        <w:rPr>
          <w:rFonts w:eastAsia="Arial Unicode MS"/>
          <w:bCs/>
          <w:lang w:eastAsia="fr-FR" w:bidi="he-IL"/>
        </w:rPr>
        <w:t>citent çà et là des passages empruntés aux évangiles</w:t>
      </w:r>
      <w:r w:rsidR="00E65435">
        <w:rPr>
          <w:rFonts w:eastAsia="Arial Unicode MS"/>
          <w:bCs/>
          <w:lang w:eastAsia="fr-FR" w:bidi="he-IL"/>
        </w:rPr>
        <w:t xml:space="preserve">, </w:t>
      </w:r>
      <w:r w:rsidR="00A21B49">
        <w:rPr>
          <w:rFonts w:eastAsia="Arial Unicode MS"/>
          <w:bCs/>
          <w:lang w:eastAsia="fr-FR" w:bidi="he-IL"/>
        </w:rPr>
        <w:t>avec l</w:t>
      </w:r>
      <w:r w:rsidRPr="00C8701B">
        <w:rPr>
          <w:rFonts w:eastAsia="Arial Unicode MS"/>
          <w:bCs/>
          <w:lang w:eastAsia="fr-FR" w:bidi="he-IL"/>
        </w:rPr>
        <w:t>a mention expresse</w:t>
      </w:r>
      <w:r w:rsidR="00C2602D" w:rsidRPr="00C8701B">
        <w:rPr>
          <w:rFonts w:eastAsia="Arial Unicode MS"/>
          <w:bCs/>
          <w:lang w:eastAsia="fr-FR" w:bidi="he-IL"/>
        </w:rPr>
        <w:t> :</w:t>
      </w:r>
      <w:r w:rsidRPr="00DC4586">
        <w:rPr>
          <w:rStyle w:val="italicus"/>
        </w:rPr>
        <w:t xml:space="preserve"> </w:t>
      </w:r>
      <w:r w:rsidR="00A21B49" w:rsidRPr="00DC4586">
        <w:rPr>
          <w:rStyle w:val="italicus"/>
        </w:rPr>
        <w:t>Scriptúra</w:t>
      </w:r>
      <w:r w:rsidRPr="00DC4586">
        <w:rPr>
          <w:rStyle w:val="italicus"/>
        </w:rPr>
        <w:t xml:space="preserve"> dicit</w:t>
      </w:r>
      <w:r w:rsidR="00E65435">
        <w:rPr>
          <w:rStyle w:val="italicus"/>
        </w:rPr>
        <w:t xml:space="preserve">, </w:t>
      </w:r>
      <w:r w:rsidRPr="00DC4586">
        <w:rPr>
          <w:rStyle w:val="italicus"/>
        </w:rPr>
        <w:t>scriptum est.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Dans le fragment antique attribué</w:t>
      </w:r>
      <w:r w:rsidR="00E65435">
        <w:rPr>
          <w:rFonts w:eastAsia="Arial Unicode MS"/>
          <w:bCs/>
          <w:lang w:eastAsia="fr-FR" w:bidi="he-IL"/>
        </w:rPr>
        <w:t xml:space="preserve">, </w:t>
      </w:r>
      <w:r w:rsidRPr="00C8701B">
        <w:rPr>
          <w:rFonts w:eastAsia="Arial Unicode MS"/>
          <w:bCs/>
          <w:lang w:eastAsia="fr-FR" w:bidi="he-IL"/>
        </w:rPr>
        <w:t>quoique faussement</w:t>
      </w:r>
      <w:r w:rsidR="00E65435">
        <w:rPr>
          <w:rFonts w:eastAsia="Arial Unicode MS"/>
          <w:bCs/>
          <w:lang w:eastAsia="fr-FR" w:bidi="he-IL"/>
        </w:rPr>
        <w:t xml:space="preserve">, </w:t>
      </w:r>
      <w:r w:rsidRPr="00C8701B">
        <w:rPr>
          <w:rFonts w:eastAsia="Arial Unicode MS"/>
          <w:bCs/>
          <w:lang w:eastAsia="fr-FR" w:bidi="he-IL"/>
        </w:rPr>
        <w:t>au prêtre Caius</w:t>
      </w:r>
      <w:r w:rsidR="00E65435">
        <w:rPr>
          <w:rFonts w:eastAsia="Arial Unicode MS"/>
          <w:bCs/>
          <w:lang w:eastAsia="fr-FR" w:bidi="he-IL"/>
        </w:rPr>
        <w:t xml:space="preserve">, </w:t>
      </w:r>
      <w:r w:rsidRPr="00C8701B">
        <w:rPr>
          <w:rFonts w:eastAsia="Arial Unicode MS"/>
          <w:bCs/>
          <w:lang w:eastAsia="fr-FR" w:bidi="he-IL"/>
        </w:rPr>
        <w:t>nous lisons</w:t>
      </w:r>
      <w:r w:rsidR="00933C60" w:rsidRPr="00C406FF">
        <w:rPr>
          <w:rStyle w:val="Appelnotedebasdep"/>
        </w:rPr>
        <w:footnoteReference w:id="483"/>
      </w:r>
      <w:r w:rsidR="00C2602D" w:rsidRPr="00C8701B">
        <w:rPr>
          <w:rFonts w:eastAsia="Arial Unicode MS"/>
          <w:bCs/>
          <w:lang w:eastAsia="fr-FR" w:bidi="he-IL"/>
        </w:rPr>
        <w:t> :</w:t>
      </w:r>
      <w:r w:rsidR="00A21B49">
        <w:rPr>
          <w:rFonts w:eastAsia="Arial Unicode MS"/>
          <w:bCs/>
          <w:lang w:eastAsia="fr-FR" w:bidi="he-IL"/>
        </w:rPr>
        <w:t xml:space="preserve"> « </w:t>
      </w:r>
      <w:r w:rsidRPr="00C8701B">
        <w:rPr>
          <w:rFonts w:eastAsia="Arial Unicode MS"/>
          <w:bCs/>
          <w:lang w:eastAsia="fr-FR" w:bidi="he-IL"/>
        </w:rPr>
        <w:t>Quoique divers principes soient inculqués dans chaque évangile</w:t>
      </w:r>
      <w:r w:rsidR="00E65435">
        <w:rPr>
          <w:rFonts w:eastAsia="Arial Unicode MS"/>
          <w:bCs/>
          <w:lang w:eastAsia="fr-FR" w:bidi="he-IL"/>
        </w:rPr>
        <w:t xml:space="preserve">, </w:t>
      </w:r>
      <w:r w:rsidRPr="00C8701B">
        <w:rPr>
          <w:rFonts w:eastAsia="Arial Unicode MS"/>
          <w:bCs/>
          <w:lang w:eastAsia="fr-FR" w:bidi="he-IL"/>
        </w:rPr>
        <w:t>néanmoins</w:t>
      </w:r>
      <w:r w:rsidR="00E65435">
        <w:rPr>
          <w:rFonts w:eastAsia="Arial Unicode MS"/>
          <w:bCs/>
          <w:lang w:eastAsia="fr-FR" w:bidi="he-IL"/>
        </w:rPr>
        <w:t xml:space="preserve">, </w:t>
      </w:r>
      <w:r w:rsidRPr="00C8701B">
        <w:rPr>
          <w:rFonts w:eastAsia="Arial Unicode MS"/>
          <w:bCs/>
          <w:lang w:eastAsia="fr-FR" w:bidi="he-IL"/>
        </w:rPr>
        <w:t>la foi des croyants demeure la même</w:t>
      </w:r>
      <w:r w:rsidR="00E65435">
        <w:rPr>
          <w:rFonts w:eastAsia="Arial Unicode MS"/>
          <w:bCs/>
          <w:lang w:eastAsia="fr-FR" w:bidi="he-IL"/>
        </w:rPr>
        <w:t xml:space="preserve">, </w:t>
      </w:r>
      <w:r w:rsidRPr="00C8701B">
        <w:rPr>
          <w:rFonts w:eastAsia="Arial Unicode MS"/>
          <w:bCs/>
          <w:lang w:eastAsia="fr-FR" w:bidi="he-IL"/>
        </w:rPr>
        <w:t>puisque tout ce qui concerne la nativité</w:t>
      </w:r>
      <w:r w:rsidR="00E65435">
        <w:rPr>
          <w:rFonts w:eastAsia="Arial Unicode MS"/>
          <w:bCs/>
          <w:lang w:eastAsia="fr-FR" w:bidi="he-IL"/>
        </w:rPr>
        <w:t xml:space="preserve">, </w:t>
      </w:r>
      <w:r w:rsidRPr="00C8701B">
        <w:rPr>
          <w:rFonts w:eastAsia="Arial Unicode MS"/>
          <w:bCs/>
          <w:lang w:eastAsia="fr-FR" w:bidi="he-IL"/>
        </w:rPr>
        <w:t>la passion et la vie (du Sauveur) est raconté par eux tous</w:t>
      </w:r>
      <w:r w:rsidR="00A21B49">
        <w:rPr>
          <w:rStyle w:val="italicus"/>
        </w:rPr>
        <w:t xml:space="preserve"> uno et principál</w:t>
      </w:r>
      <w:r w:rsidR="00A21B49" w:rsidRPr="00DC4586">
        <w:rPr>
          <w:rStyle w:val="italicus"/>
        </w:rPr>
        <w:t>i</w:t>
      </w:r>
      <w:r w:rsidRPr="00DC4586">
        <w:rPr>
          <w:rStyle w:val="italicus"/>
        </w:rPr>
        <w:t xml:space="preserve"> </w:t>
      </w:r>
      <w:r w:rsidR="00A21B49" w:rsidRPr="00DC4586">
        <w:rPr>
          <w:rStyle w:val="italicus"/>
        </w:rPr>
        <w:t>Spíritu</w:t>
      </w:r>
      <w:r w:rsidR="00C2602D" w:rsidRPr="00C8701B">
        <w:rPr>
          <w:rFonts w:eastAsia="Arial Unicode MS"/>
          <w:bCs/>
          <w:lang w:eastAsia="fr-FR" w:bidi="he-IL"/>
        </w:rPr>
        <w:t> »</w:t>
      </w:r>
      <w:r w:rsidR="00933C60" w:rsidRPr="00C406FF">
        <w:rPr>
          <w:rStyle w:val="Appelnotedebasdep"/>
        </w:rPr>
        <w:footnoteReference w:id="484"/>
      </w:r>
      <w:r w:rsidRPr="00C8701B">
        <w:rPr>
          <w:rFonts w:eastAsia="Arial Unicode MS"/>
          <w:bCs/>
          <w:lang w:eastAsia="fr-FR" w:bidi="he-IL"/>
        </w:rPr>
        <w:t>.</w:t>
      </w:r>
      <w:r w:rsidR="00C2602D" w:rsidRPr="00C8701B">
        <w:rPr>
          <w:rFonts w:eastAsia="Arial Unicode MS"/>
          <w:bCs/>
          <w:lang w:eastAsia="fr-FR" w:bidi="he-IL"/>
        </w:rPr>
        <w:t xml:space="preserve"> </w:t>
      </w:r>
    </w:p>
    <w:p w:rsidR="00DF5BCD" w:rsidRPr="00C8701B" w:rsidRDefault="00A21B49" w:rsidP="00C2602D">
      <w:pPr>
        <w:rPr>
          <w:rFonts w:eastAsia="Arial Unicode MS"/>
          <w:bCs/>
          <w:lang w:eastAsia="fr-FR" w:bidi="he-IL"/>
        </w:rPr>
      </w:pPr>
      <w:r>
        <w:rPr>
          <w:rFonts w:eastAsia="Arial Unicode MS"/>
          <w:bCs/>
          <w:lang w:eastAsia="fr-FR" w:bidi="he-IL"/>
        </w:rPr>
        <w:t>Theóna</w:t>
      </w:r>
      <w:r w:rsidRPr="00C8701B">
        <w:rPr>
          <w:rFonts w:eastAsia="Arial Unicode MS"/>
          <w:bCs/>
          <w:lang w:eastAsia="fr-FR" w:bidi="he-IL"/>
        </w:rPr>
        <w:t>s</w:t>
      </w:r>
      <w:r w:rsidR="00B704AD" w:rsidRPr="00C8701B">
        <w:rPr>
          <w:rFonts w:eastAsia="Arial Unicode MS"/>
          <w:bCs/>
          <w:lang w:eastAsia="fr-FR" w:bidi="he-IL"/>
        </w:rPr>
        <w:t xml:space="preserve"> d</w:t>
      </w:r>
      <w:r w:rsidR="00557DE0">
        <w:rPr>
          <w:rFonts w:eastAsia="Arial Unicode MS"/>
          <w:bCs/>
          <w:lang w:eastAsia="fr-FR" w:bidi="he-IL"/>
        </w:rPr>
        <w:t>’</w:t>
      </w:r>
      <w:r w:rsidR="00B704AD" w:rsidRPr="00C8701B">
        <w:rPr>
          <w:rFonts w:eastAsia="Arial Unicode MS"/>
          <w:bCs/>
          <w:lang w:eastAsia="fr-FR" w:bidi="he-IL"/>
        </w:rPr>
        <w:t>Alexandrie</w:t>
      </w:r>
      <w:r w:rsidR="00933C60" w:rsidRPr="00C406FF">
        <w:rPr>
          <w:rStyle w:val="Appelnotedebasdep"/>
        </w:rPr>
        <w:footnoteReference w:id="485"/>
      </w:r>
      <w:r w:rsidR="00C2602D" w:rsidRPr="00C8701B">
        <w:rPr>
          <w:rFonts w:eastAsia="Arial Unicode MS"/>
          <w:bCs/>
          <w:lang w:eastAsia="fr-FR" w:bidi="he-IL"/>
        </w:rPr>
        <w:t> :</w:t>
      </w:r>
      <w:r w:rsidR="00B704AD" w:rsidRPr="00C8701B">
        <w:rPr>
          <w:rFonts w:eastAsia="Arial Unicode MS"/>
          <w:bCs/>
          <w:lang w:eastAsia="fr-FR" w:bidi="he-IL"/>
        </w:rPr>
        <w:t xml:space="preserve"> </w:t>
      </w:r>
      <w:r w:rsidR="00C2602D" w:rsidRPr="00C8701B">
        <w:rPr>
          <w:rFonts w:eastAsia="Arial Unicode MS"/>
          <w:bCs/>
          <w:lang w:eastAsia="fr-FR" w:bidi="he-IL"/>
        </w:rPr>
        <w:t>« </w:t>
      </w:r>
      <w:r w:rsidR="00B704AD" w:rsidRPr="00C8701B">
        <w:rPr>
          <w:rFonts w:eastAsia="Arial Unicode MS"/>
          <w:bCs/>
          <w:lang w:eastAsia="fr-FR" w:bidi="he-IL"/>
        </w:rPr>
        <w:t>L</w:t>
      </w:r>
      <w:r w:rsidR="0096412E" w:rsidRPr="00C8701B">
        <w:rPr>
          <w:rFonts w:eastAsia="Arial Unicode MS"/>
          <w:bCs/>
          <w:lang w:eastAsia="fr-FR" w:bidi="he-IL"/>
        </w:rPr>
        <w:t>aud</w:t>
      </w:r>
      <w:r w:rsidR="0096412E">
        <w:rPr>
          <w:rFonts w:eastAsia="Arial Unicode MS"/>
          <w:bCs/>
          <w:lang w:eastAsia="fr-FR" w:bidi="he-IL"/>
        </w:rPr>
        <w:t>á</w:t>
      </w:r>
      <w:r w:rsidR="0096412E" w:rsidRPr="00C8701B">
        <w:rPr>
          <w:rFonts w:eastAsia="Arial Unicode MS"/>
          <w:bCs/>
          <w:lang w:eastAsia="fr-FR" w:bidi="he-IL"/>
        </w:rPr>
        <w:t>bitur</w:t>
      </w:r>
      <w:r w:rsidR="00B704AD" w:rsidRPr="00C8701B">
        <w:rPr>
          <w:rFonts w:eastAsia="Arial Unicode MS"/>
          <w:bCs/>
          <w:lang w:eastAsia="fr-FR" w:bidi="he-IL"/>
        </w:rPr>
        <w:t xml:space="preserve"> </w:t>
      </w:r>
      <w:r>
        <w:rPr>
          <w:rFonts w:eastAsia="Arial Unicode MS"/>
          <w:bCs/>
          <w:lang w:eastAsia="fr-FR" w:bidi="he-IL"/>
        </w:rPr>
        <w:t>ínterim</w:t>
      </w:r>
      <w:r w:rsidR="00B704AD" w:rsidRPr="00DC4586">
        <w:rPr>
          <w:rStyle w:val="italicus"/>
        </w:rPr>
        <w:t xml:space="preserve"> E</w:t>
      </w:r>
      <w:r w:rsidR="00736374">
        <w:rPr>
          <w:rStyle w:val="italicus"/>
        </w:rPr>
        <w:t>vangélium</w:t>
      </w:r>
      <w:r w:rsidR="00B704AD" w:rsidRPr="00C8701B">
        <w:rPr>
          <w:rFonts w:eastAsia="Arial Unicode MS"/>
          <w:bCs/>
          <w:lang w:eastAsia="fr-FR" w:bidi="he-IL"/>
        </w:rPr>
        <w:t xml:space="preserve"> et </w:t>
      </w:r>
      <w:r w:rsidRPr="00C8701B">
        <w:rPr>
          <w:rFonts w:eastAsia="Arial Unicode MS"/>
          <w:bCs/>
          <w:lang w:eastAsia="fr-FR" w:bidi="he-IL"/>
        </w:rPr>
        <w:t>apóstolus</w:t>
      </w:r>
      <w:r w:rsidR="00B704AD" w:rsidRPr="00C8701B">
        <w:rPr>
          <w:rFonts w:eastAsia="Arial Unicode MS"/>
          <w:bCs/>
          <w:lang w:eastAsia="fr-FR" w:bidi="he-IL"/>
        </w:rPr>
        <w:t xml:space="preserve"> (c</w:t>
      </w:r>
      <w:r w:rsidR="00557DE0">
        <w:rPr>
          <w:rFonts w:eastAsia="Arial Unicode MS"/>
          <w:bCs/>
          <w:lang w:eastAsia="fr-FR" w:bidi="he-IL"/>
        </w:rPr>
        <w:t>’</w:t>
      </w:r>
      <w:r w:rsidR="00B704AD" w:rsidRPr="00C8701B">
        <w:rPr>
          <w:rFonts w:eastAsia="Arial Unicode MS"/>
          <w:bCs/>
          <w:lang w:eastAsia="fr-FR" w:bidi="he-IL"/>
        </w:rPr>
        <w:t>est-à-dire</w:t>
      </w:r>
      <w:r w:rsidR="00E65435">
        <w:rPr>
          <w:rFonts w:eastAsia="Arial Unicode MS"/>
          <w:bCs/>
          <w:lang w:eastAsia="fr-FR" w:bidi="he-IL"/>
        </w:rPr>
        <w:t xml:space="preserve">, </w:t>
      </w:r>
      <w:r w:rsidR="00B704AD" w:rsidRPr="00C8701B">
        <w:rPr>
          <w:rFonts w:eastAsia="Arial Unicode MS"/>
          <w:bCs/>
          <w:lang w:eastAsia="fr-FR" w:bidi="he-IL"/>
        </w:rPr>
        <w:t xml:space="preserve">le reste </w:t>
      </w:r>
      <w:r>
        <w:rPr>
          <w:rFonts w:eastAsia="Arial Unicode MS"/>
          <w:bCs/>
          <w:lang w:eastAsia="fr-FR" w:bidi="he-IL"/>
        </w:rPr>
        <w:t>du N</w:t>
      </w:r>
      <w:r w:rsidR="00B704AD" w:rsidRPr="00C8701B">
        <w:rPr>
          <w:rFonts w:eastAsia="Arial Unicode MS"/>
          <w:bCs/>
          <w:lang w:eastAsia="fr-FR" w:bidi="he-IL"/>
        </w:rPr>
        <w:t>ouveau Testament)</w:t>
      </w:r>
      <w:r w:rsidR="00B704AD" w:rsidRPr="00DC4586">
        <w:rPr>
          <w:rStyle w:val="italicus"/>
        </w:rPr>
        <w:t xml:space="preserve"> pro </w:t>
      </w:r>
      <w:r w:rsidR="00356A5E">
        <w:rPr>
          <w:rStyle w:val="italicus"/>
        </w:rPr>
        <w:t>divín</w:t>
      </w:r>
      <w:r w:rsidR="00356A5E" w:rsidRPr="00DC4586">
        <w:rPr>
          <w:rStyle w:val="italicus"/>
        </w:rPr>
        <w:t>is</w:t>
      </w:r>
      <w:r>
        <w:rPr>
          <w:rStyle w:val="italicus"/>
        </w:rPr>
        <w:t xml:space="preserve"> oráculi</w:t>
      </w:r>
      <w:r w:rsidRPr="00DC4586">
        <w:rPr>
          <w:rStyle w:val="italicus"/>
        </w:rPr>
        <w:t>s</w:t>
      </w:r>
      <w:r w:rsidR="00C2602D" w:rsidRPr="00DC4586">
        <w:rPr>
          <w:rStyle w:val="italicus"/>
        </w:rPr>
        <w:t> »</w:t>
      </w:r>
      <w:r w:rsidR="00B704AD" w:rsidRPr="00DC4586">
        <w:rPr>
          <w:rStyle w:val="italicus"/>
        </w:rPr>
        <w:t>.</w:t>
      </w:r>
      <w:r w:rsidR="00C2602D" w:rsidRPr="00C8701B">
        <w:rPr>
          <w:rFonts w:eastAsia="Arial Unicode MS"/>
          <w:bCs/>
          <w:lang w:eastAsia="fr-FR" w:bidi="he-IL"/>
        </w:rPr>
        <w:t xml:space="preserve"> </w:t>
      </w:r>
      <w:r w:rsidR="00B52FA3">
        <w:rPr>
          <w:rFonts w:eastAsia="Arial Unicode MS"/>
          <w:bCs/>
          <w:lang w:eastAsia="fr-FR" w:bidi="he-IL"/>
        </w:rPr>
        <w:t>{</w:t>
      </w:r>
      <w:r w:rsidR="00DF5BCD">
        <w:rPr>
          <w:rFonts w:eastAsia="Arial Unicode MS"/>
          <w:bCs/>
          <w:lang w:eastAsia="fr-FR" w:bidi="he-IL"/>
        </w:rPr>
        <w:t>89</w:t>
      </w:r>
      <w:bookmarkStart w:id="140" w:name="pag089"/>
      <w:bookmarkEnd w:id="140"/>
      <w:r w:rsidR="00B52FA3">
        <w:rPr>
          <w:rFonts w:eastAsia="Arial Unicode MS"/>
          <w:bCs/>
          <w:lang w:eastAsia="fr-FR" w:bidi="he-IL"/>
        </w:rPr>
        <w:t>}</w:t>
      </w:r>
    </w:p>
    <w:p w:rsidR="00C2602D" w:rsidRPr="00C8701B" w:rsidRDefault="00B704AD" w:rsidP="00C2602D">
      <w:pPr>
        <w:rPr>
          <w:rFonts w:eastAsia="Arial Unicode MS"/>
          <w:bCs/>
          <w:lang w:eastAsia="fr-FR" w:bidi="he-IL"/>
        </w:rPr>
      </w:pPr>
      <w:r w:rsidRPr="00C8701B">
        <w:rPr>
          <w:rFonts w:eastAsia="Arial Unicode MS"/>
          <w:bCs/>
          <w:lang w:eastAsia="fr-FR" w:bidi="he-IL"/>
        </w:rPr>
        <w:t>Théophile d</w:t>
      </w:r>
      <w:r w:rsidR="00557DE0">
        <w:rPr>
          <w:rFonts w:eastAsia="Arial Unicode MS"/>
          <w:bCs/>
          <w:lang w:eastAsia="fr-FR" w:bidi="he-IL"/>
        </w:rPr>
        <w:t>’</w:t>
      </w:r>
      <w:r w:rsidRPr="00C8701B">
        <w:rPr>
          <w:rFonts w:eastAsia="Arial Unicode MS"/>
          <w:bCs/>
          <w:lang w:eastAsia="fr-FR" w:bidi="he-IL"/>
        </w:rPr>
        <w:t>Antioche</w:t>
      </w:r>
      <w:r w:rsidR="00933C60" w:rsidRPr="00C406FF">
        <w:rPr>
          <w:rStyle w:val="Appelnotedebasdep"/>
        </w:rPr>
        <w:footnoteReference w:id="486"/>
      </w:r>
      <w:r w:rsidR="00C2602D" w:rsidRPr="00C8701B">
        <w:rPr>
          <w:rFonts w:eastAsia="Arial Unicode MS"/>
          <w:bCs/>
          <w:lang w:eastAsia="fr-FR" w:bidi="he-IL"/>
        </w:rPr>
        <w:t> :</w:t>
      </w:r>
      <w:r w:rsidRPr="00C8701B">
        <w:rPr>
          <w:rFonts w:eastAsia="Arial Unicode MS"/>
          <w:bCs/>
          <w:lang w:eastAsia="fr-FR" w:bidi="he-IL"/>
        </w:rPr>
        <w:t xml:space="preserve"> </w:t>
      </w:r>
      <w:r w:rsidR="00C2602D" w:rsidRPr="00C8701B">
        <w:rPr>
          <w:rFonts w:eastAsia="Arial Unicode MS"/>
          <w:bCs/>
          <w:lang w:eastAsia="fr-FR" w:bidi="he-IL"/>
        </w:rPr>
        <w:t>« </w:t>
      </w:r>
      <w:r w:rsidR="007C5674">
        <w:rPr>
          <w:rFonts w:eastAsia="Arial Unicode MS"/>
          <w:bCs/>
          <w:lang w:eastAsia="fr-FR" w:bidi="he-IL"/>
        </w:rPr>
        <w:t>Etiam</w:t>
      </w:r>
      <w:r w:rsidRPr="00C8701B">
        <w:rPr>
          <w:rFonts w:eastAsia="Arial Unicode MS"/>
          <w:bCs/>
          <w:lang w:eastAsia="fr-FR" w:bidi="he-IL"/>
        </w:rPr>
        <w:t xml:space="preserve"> de just</w:t>
      </w:r>
      <w:r w:rsidR="00776C8C">
        <w:rPr>
          <w:rFonts w:eastAsia="Arial Unicode MS"/>
          <w:bCs/>
          <w:lang w:eastAsia="fr-FR" w:bidi="he-IL"/>
        </w:rPr>
        <w:t>í</w:t>
      </w:r>
      <w:r w:rsidR="00776C8C" w:rsidRPr="00C8701B">
        <w:rPr>
          <w:rFonts w:eastAsia="Arial Unicode MS"/>
          <w:bCs/>
          <w:lang w:eastAsia="fr-FR" w:bidi="he-IL"/>
        </w:rPr>
        <w:t>tia</w:t>
      </w:r>
      <w:r w:rsidR="00E65435">
        <w:rPr>
          <w:rFonts w:eastAsia="Arial Unicode MS"/>
          <w:bCs/>
          <w:lang w:eastAsia="fr-FR" w:bidi="he-IL"/>
        </w:rPr>
        <w:t xml:space="preserve">, </w:t>
      </w:r>
      <w:r w:rsidRPr="00C8701B">
        <w:rPr>
          <w:rFonts w:eastAsia="Arial Unicode MS"/>
          <w:bCs/>
          <w:lang w:eastAsia="fr-FR" w:bidi="he-IL"/>
        </w:rPr>
        <w:t xml:space="preserve">quam lex </w:t>
      </w:r>
      <w:r w:rsidR="00A21B49">
        <w:rPr>
          <w:rFonts w:eastAsia="Arial Unicode MS"/>
          <w:bCs/>
          <w:lang w:eastAsia="fr-FR" w:bidi="he-IL"/>
        </w:rPr>
        <w:t>prǽcipit</w:t>
      </w:r>
      <w:r w:rsidR="00E65435">
        <w:rPr>
          <w:rFonts w:eastAsia="Arial Unicode MS"/>
          <w:bCs/>
          <w:lang w:eastAsia="fr-FR" w:bidi="he-IL"/>
        </w:rPr>
        <w:t xml:space="preserve">, </w:t>
      </w:r>
      <w:r w:rsidR="007C5674">
        <w:rPr>
          <w:rFonts w:eastAsia="Arial Unicode MS"/>
          <w:bCs/>
          <w:lang w:eastAsia="fr-FR" w:bidi="he-IL"/>
        </w:rPr>
        <w:t>consentá</w:t>
      </w:r>
      <w:r w:rsidRPr="00C8701B">
        <w:rPr>
          <w:rFonts w:eastAsia="Arial Unicode MS"/>
          <w:bCs/>
          <w:lang w:eastAsia="fr-FR" w:bidi="he-IL"/>
        </w:rPr>
        <w:t>ne</w:t>
      </w:r>
      <w:r w:rsidR="0037178C">
        <w:rPr>
          <w:rFonts w:eastAsia="Arial Unicode MS"/>
          <w:bCs/>
          <w:lang w:eastAsia="fr-FR" w:bidi="he-IL"/>
        </w:rPr>
        <w:t>æ</w:t>
      </w:r>
      <w:r w:rsidRPr="00C8701B">
        <w:rPr>
          <w:rFonts w:eastAsia="Arial Unicode MS"/>
          <w:bCs/>
          <w:lang w:eastAsia="fr-FR" w:bidi="he-IL"/>
        </w:rPr>
        <w:t xml:space="preserve"> </w:t>
      </w:r>
      <w:r w:rsidR="007C5674" w:rsidRPr="00C8701B">
        <w:rPr>
          <w:rFonts w:eastAsia="Arial Unicode MS"/>
          <w:bCs/>
          <w:lang w:eastAsia="fr-FR" w:bidi="he-IL"/>
        </w:rPr>
        <w:t>inveniúntur</w:t>
      </w:r>
      <w:r w:rsidRPr="00DC4586">
        <w:rPr>
          <w:rStyle w:val="italicus"/>
        </w:rPr>
        <w:t xml:space="preserve"> Proph</w:t>
      </w:r>
      <w:r w:rsidR="00C21120" w:rsidRPr="00DC4586">
        <w:rPr>
          <w:rStyle w:val="italicus"/>
        </w:rPr>
        <w:t>et</w:t>
      </w:r>
      <w:r w:rsidR="00C21120">
        <w:rPr>
          <w:rStyle w:val="italicus"/>
        </w:rPr>
        <w:t>árum</w:t>
      </w:r>
      <w:r w:rsidRPr="00DC4586">
        <w:rPr>
          <w:rStyle w:val="italicus"/>
        </w:rPr>
        <w:t xml:space="preserve"> et Evangeli</w:t>
      </w:r>
      <w:r w:rsidR="003A07A7">
        <w:rPr>
          <w:rStyle w:val="italicus"/>
        </w:rPr>
        <w:t>órum</w:t>
      </w:r>
      <w:r w:rsidR="007C5674">
        <w:rPr>
          <w:rFonts w:eastAsia="Arial Unicode MS"/>
          <w:bCs/>
          <w:lang w:eastAsia="fr-FR" w:bidi="he-IL"/>
        </w:rPr>
        <w:t xml:space="preserve"> senténtiæ</w:t>
      </w:r>
      <w:r w:rsidR="00E65435">
        <w:rPr>
          <w:rFonts w:eastAsia="Arial Unicode MS"/>
          <w:bCs/>
          <w:lang w:eastAsia="fr-FR" w:bidi="he-IL"/>
        </w:rPr>
        <w:t xml:space="preserve">, </w:t>
      </w:r>
      <w:r w:rsidR="007C5674">
        <w:rPr>
          <w:rStyle w:val="italicus"/>
        </w:rPr>
        <w:t>quia omnes uno Dei Spíritu pleni locút</w:t>
      </w:r>
      <w:r w:rsidR="007C5674" w:rsidRPr="00DC4586">
        <w:rPr>
          <w:rStyle w:val="italicus"/>
        </w:rPr>
        <w:t>i</w:t>
      </w:r>
      <w:r w:rsidRPr="00DC4586">
        <w:rPr>
          <w:rStyle w:val="italicus"/>
        </w:rPr>
        <w:t xml:space="preserve"> sunt</w:t>
      </w:r>
      <w:r w:rsidR="00C2602D" w:rsidRPr="00DC4586">
        <w:rPr>
          <w:rStyle w:val="italicus"/>
        </w:rPr>
        <w:t> »</w:t>
      </w:r>
      <w:r w:rsidRPr="00DC4586">
        <w:rPr>
          <w:rStyle w:val="italicus"/>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Clément d</w:t>
      </w:r>
      <w:r w:rsidR="00557DE0">
        <w:rPr>
          <w:rFonts w:eastAsia="Arial Unicode MS"/>
          <w:bCs/>
          <w:lang w:eastAsia="fr-FR" w:bidi="he-IL"/>
        </w:rPr>
        <w:t>’</w:t>
      </w:r>
      <w:r w:rsidRPr="00C8701B">
        <w:rPr>
          <w:rFonts w:eastAsia="Arial Unicode MS"/>
          <w:bCs/>
          <w:lang w:eastAsia="fr-FR" w:bidi="he-IL"/>
        </w:rPr>
        <w:t>Alexandrie</w:t>
      </w:r>
      <w:r w:rsidR="00933C60" w:rsidRPr="00C406FF">
        <w:rPr>
          <w:rStyle w:val="Appelnotedebasdep"/>
        </w:rPr>
        <w:footnoteReference w:id="487"/>
      </w:r>
      <w:r w:rsidR="00C2602D" w:rsidRPr="00C8701B">
        <w:rPr>
          <w:rFonts w:eastAsia="Arial Unicode MS"/>
          <w:bCs/>
          <w:lang w:eastAsia="fr-FR" w:bidi="he-IL"/>
        </w:rPr>
        <w:t> :</w:t>
      </w:r>
      <w:r w:rsidRPr="00C8701B">
        <w:rPr>
          <w:rFonts w:eastAsia="Arial Unicode MS"/>
          <w:bCs/>
          <w:lang w:eastAsia="fr-FR" w:bidi="he-IL"/>
        </w:rPr>
        <w:t xml:space="preserve"> </w:t>
      </w:r>
      <w:r w:rsidR="00C2602D" w:rsidRPr="00C8701B">
        <w:rPr>
          <w:rFonts w:eastAsia="Arial Unicode MS"/>
          <w:bCs/>
          <w:lang w:eastAsia="fr-FR" w:bidi="he-IL"/>
        </w:rPr>
        <w:t>« </w:t>
      </w:r>
      <w:r w:rsidR="007C5674">
        <w:rPr>
          <w:rFonts w:eastAsia="Arial Unicode MS"/>
          <w:bCs/>
          <w:lang w:eastAsia="fr-FR" w:bidi="he-IL"/>
        </w:rPr>
        <w:t>Il</w:t>
      </w:r>
      <w:r w:rsidRPr="00C8701B">
        <w:rPr>
          <w:rFonts w:eastAsia="Arial Unicode MS"/>
          <w:bCs/>
          <w:lang w:eastAsia="fr-FR" w:bidi="he-IL"/>
        </w:rPr>
        <w:t xml:space="preserve"> n</w:t>
      </w:r>
      <w:r w:rsidR="00557DE0">
        <w:rPr>
          <w:rFonts w:eastAsia="Arial Unicode MS"/>
          <w:bCs/>
          <w:lang w:eastAsia="fr-FR" w:bidi="he-IL"/>
        </w:rPr>
        <w:t>’</w:t>
      </w:r>
      <w:r w:rsidRPr="00C8701B">
        <w:rPr>
          <w:rFonts w:eastAsia="Arial Unicode MS"/>
          <w:bCs/>
          <w:lang w:eastAsia="fr-FR" w:bidi="he-IL"/>
        </w:rPr>
        <w:t xml:space="preserve">y a pas de </w:t>
      </w:r>
      <w:r w:rsidR="007C5674" w:rsidRPr="00C8701B">
        <w:rPr>
          <w:rFonts w:eastAsia="Arial Unicode MS"/>
          <w:bCs/>
          <w:lang w:eastAsia="fr-FR" w:bidi="he-IL"/>
        </w:rPr>
        <w:t>dissonance</w:t>
      </w:r>
      <w:r w:rsidR="00E65435">
        <w:rPr>
          <w:rFonts w:eastAsia="Arial Unicode MS"/>
          <w:bCs/>
          <w:lang w:eastAsia="fr-FR" w:bidi="he-IL"/>
        </w:rPr>
        <w:t xml:space="preserve">, </w:t>
      </w:r>
      <w:r w:rsidRPr="00C8701B">
        <w:rPr>
          <w:rFonts w:eastAsia="Arial Unicode MS"/>
          <w:bCs/>
          <w:lang w:eastAsia="fr-FR" w:bidi="he-IL"/>
        </w:rPr>
        <w:t>mais une</w:t>
      </w:r>
      <w:r w:rsidR="007C5674">
        <w:rPr>
          <w:rFonts w:eastAsia="Arial Unicode MS"/>
          <w:bCs/>
          <w:lang w:eastAsia="fr-FR" w:bidi="he-IL"/>
        </w:rPr>
        <w:t xml:space="preserve"> </w:t>
      </w:r>
      <w:r w:rsidRPr="00C8701B">
        <w:rPr>
          <w:rFonts w:eastAsia="Arial Unicode MS"/>
          <w:bCs/>
          <w:lang w:eastAsia="fr-FR" w:bidi="he-IL"/>
        </w:rPr>
        <w:t>parfaite harmonie</w:t>
      </w:r>
      <w:r w:rsidR="00E65435">
        <w:rPr>
          <w:rFonts w:eastAsia="Arial Unicode MS"/>
          <w:bCs/>
          <w:lang w:eastAsia="fr-FR" w:bidi="he-IL"/>
        </w:rPr>
        <w:t xml:space="preserve">, </w:t>
      </w:r>
      <w:r w:rsidRPr="00C8701B">
        <w:rPr>
          <w:rFonts w:eastAsia="Arial Unicode MS"/>
          <w:bCs/>
          <w:lang w:eastAsia="fr-FR" w:bidi="he-IL"/>
        </w:rPr>
        <w:t>entre la Loi et l</w:t>
      </w:r>
      <w:r w:rsidR="00557DE0">
        <w:rPr>
          <w:rFonts w:eastAsia="Arial Unicode MS"/>
          <w:bCs/>
          <w:lang w:eastAsia="fr-FR" w:bidi="he-IL"/>
        </w:rPr>
        <w:t>’</w:t>
      </w:r>
      <w:r w:rsidR="000439E9">
        <w:rPr>
          <w:rFonts w:eastAsia="Arial Unicode MS"/>
          <w:bCs/>
          <w:lang w:eastAsia="fr-FR" w:bidi="he-IL"/>
        </w:rPr>
        <w:t>Évangile</w:t>
      </w:r>
      <w:r w:rsidR="00E65435">
        <w:rPr>
          <w:rFonts w:eastAsia="Arial Unicode MS"/>
          <w:bCs/>
          <w:lang w:eastAsia="fr-FR" w:bidi="he-IL"/>
        </w:rPr>
        <w:t xml:space="preserve">, </w:t>
      </w:r>
      <w:r w:rsidRPr="00C8701B">
        <w:rPr>
          <w:rFonts w:eastAsia="Arial Unicode MS"/>
          <w:bCs/>
          <w:lang w:eastAsia="fr-FR" w:bidi="he-IL"/>
        </w:rPr>
        <w:t>car ils procèdent d</w:t>
      </w:r>
      <w:r w:rsidR="00557DE0">
        <w:rPr>
          <w:rFonts w:eastAsia="Arial Unicode MS"/>
          <w:bCs/>
          <w:lang w:eastAsia="fr-FR" w:bidi="he-IL"/>
        </w:rPr>
        <w:t>’</w:t>
      </w:r>
      <w:r w:rsidRPr="00C8701B">
        <w:rPr>
          <w:rFonts w:eastAsia="Arial Unicode MS"/>
          <w:bCs/>
          <w:lang w:eastAsia="fr-FR" w:bidi="he-IL"/>
        </w:rPr>
        <w:t>un seul et même auteur</w:t>
      </w:r>
      <w:r w:rsidR="00E65435">
        <w:rPr>
          <w:rFonts w:eastAsia="Arial Unicode MS"/>
          <w:bCs/>
          <w:lang w:eastAsia="fr-FR" w:bidi="he-IL"/>
        </w:rPr>
        <w:t xml:space="preserve">, </w:t>
      </w:r>
      <w:r w:rsidRPr="00C8701B">
        <w:rPr>
          <w:rFonts w:eastAsia="Arial Unicode MS"/>
          <w:bCs/>
          <w:lang w:eastAsia="fr-FR" w:bidi="he-IL"/>
        </w:rPr>
        <w:t>Jésus-Christ</w:t>
      </w:r>
      <w:r w:rsidR="00C2602D" w:rsidRPr="00C8701B">
        <w:rPr>
          <w:rFonts w:eastAsia="Arial Unicode MS"/>
          <w:bCs/>
          <w:lang w:eastAsia="fr-FR" w:bidi="he-IL"/>
        </w:rPr>
        <w:t> »</w:t>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Origène</w:t>
      </w:r>
      <w:r w:rsidR="00933C60" w:rsidRPr="00C406FF">
        <w:rPr>
          <w:rStyle w:val="Appelnotedebasdep"/>
        </w:rPr>
        <w:footnoteReference w:id="488"/>
      </w:r>
      <w:r w:rsidR="00C2602D" w:rsidRPr="00C8701B">
        <w:rPr>
          <w:rFonts w:eastAsia="Arial Unicode MS"/>
          <w:bCs/>
          <w:lang w:eastAsia="fr-FR" w:bidi="he-IL"/>
        </w:rPr>
        <w:t> :</w:t>
      </w:r>
      <w:r w:rsidRPr="00C8701B">
        <w:rPr>
          <w:rFonts w:eastAsia="Arial Unicode MS"/>
          <w:bCs/>
          <w:lang w:eastAsia="fr-FR" w:bidi="he-IL"/>
        </w:rPr>
        <w:t xml:space="preserve"> </w:t>
      </w:r>
      <w:r w:rsidR="00C2602D" w:rsidRPr="00C8701B">
        <w:rPr>
          <w:rFonts w:eastAsia="Arial Unicode MS"/>
          <w:bCs/>
          <w:lang w:eastAsia="fr-FR" w:bidi="he-IL"/>
        </w:rPr>
        <w:t>« </w:t>
      </w:r>
      <w:r w:rsidRPr="00C8701B">
        <w:rPr>
          <w:rFonts w:eastAsia="Arial Unicode MS"/>
          <w:bCs/>
          <w:lang w:eastAsia="fr-FR" w:bidi="he-IL"/>
        </w:rPr>
        <w:t>Les récits des évangiles</w:t>
      </w:r>
      <w:r w:rsidRPr="00DC4586">
        <w:rPr>
          <w:rStyle w:val="italicus"/>
        </w:rPr>
        <w:t xml:space="preserve"> sont des oracles du Seigneur</w:t>
      </w:r>
      <w:r w:rsidR="00E65435">
        <w:rPr>
          <w:rStyle w:val="italicus"/>
        </w:rPr>
        <w:t xml:space="preserve">, </w:t>
      </w:r>
      <w:r w:rsidRPr="00C8701B">
        <w:rPr>
          <w:rFonts w:eastAsia="Arial Unicode MS"/>
          <w:bCs/>
          <w:lang w:eastAsia="fr-FR" w:bidi="he-IL"/>
        </w:rPr>
        <w:t>des oracles très purs</w:t>
      </w:r>
      <w:r w:rsidR="00E65435">
        <w:rPr>
          <w:rFonts w:eastAsia="Arial Unicode MS"/>
          <w:bCs/>
          <w:lang w:eastAsia="fr-FR" w:bidi="he-IL"/>
        </w:rPr>
        <w:t xml:space="preserve">, </w:t>
      </w:r>
      <w:r w:rsidRPr="00C8701B">
        <w:rPr>
          <w:rFonts w:eastAsia="Arial Unicode MS"/>
          <w:bCs/>
          <w:lang w:eastAsia="fr-FR" w:bidi="he-IL"/>
        </w:rPr>
        <w:t>comme l</w:t>
      </w:r>
      <w:r w:rsidR="00557DE0">
        <w:rPr>
          <w:rFonts w:eastAsia="Arial Unicode MS"/>
          <w:bCs/>
          <w:lang w:eastAsia="fr-FR" w:bidi="he-IL"/>
        </w:rPr>
        <w:t>’</w:t>
      </w:r>
      <w:r w:rsidRPr="00C8701B">
        <w:rPr>
          <w:rFonts w:eastAsia="Arial Unicode MS"/>
          <w:bCs/>
          <w:lang w:eastAsia="fr-FR" w:bidi="he-IL"/>
        </w:rPr>
        <w:t>argent qui a été purifié sept fois au feu</w:t>
      </w:r>
      <w:r w:rsidR="007C5674">
        <w:rPr>
          <w:rFonts w:eastAsia="Arial Unicode MS"/>
          <w:bCs/>
          <w:lang w:eastAsia="fr-FR" w:bidi="he-IL"/>
        </w:rPr>
        <w:t> »</w:t>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7C5674" w:rsidRDefault="007C5674" w:rsidP="00C2602D">
      <w:r>
        <w:rPr>
          <w:rFonts w:eastAsia="Arial Unicode MS"/>
          <w:bCs/>
          <w:lang w:eastAsia="fr-FR" w:bidi="he-IL"/>
        </w:rPr>
        <w:t>D</w:t>
      </w:r>
      <w:r w:rsidR="00B704AD" w:rsidRPr="00C8701B">
        <w:rPr>
          <w:rFonts w:eastAsia="Arial Unicode MS"/>
          <w:bCs/>
          <w:lang w:eastAsia="fr-FR" w:bidi="he-IL"/>
        </w:rPr>
        <w:t>u premier et du second siècle</w:t>
      </w:r>
      <w:r w:rsidR="00E65435">
        <w:rPr>
          <w:rFonts w:eastAsia="Arial Unicode MS"/>
          <w:bCs/>
          <w:lang w:eastAsia="fr-FR" w:bidi="he-IL"/>
        </w:rPr>
        <w:t xml:space="preserve">, </w:t>
      </w:r>
      <w:r w:rsidR="00B704AD" w:rsidRPr="00C8701B">
        <w:rPr>
          <w:rFonts w:eastAsia="Arial Unicode MS"/>
          <w:bCs/>
          <w:lang w:eastAsia="fr-FR" w:bidi="he-IL"/>
        </w:rPr>
        <w:t>nous passons tout à coup à ce beau texte de S. Augustin</w:t>
      </w:r>
      <w:r w:rsidR="00933C60" w:rsidRPr="00C406FF">
        <w:rPr>
          <w:rStyle w:val="Appelnotedebasdep"/>
        </w:rPr>
        <w:footnoteReference w:id="489"/>
      </w:r>
      <w:r w:rsidR="00E65435">
        <w:rPr>
          <w:rFonts w:eastAsia="Arial Unicode MS"/>
          <w:bCs/>
          <w:lang w:eastAsia="fr-FR" w:bidi="he-IL"/>
        </w:rPr>
        <w:t xml:space="preserve">, </w:t>
      </w:r>
      <w:r w:rsidR="00B704AD" w:rsidRPr="00C8701B">
        <w:rPr>
          <w:rFonts w:eastAsia="Arial Unicode MS"/>
          <w:bCs/>
          <w:lang w:eastAsia="fr-FR" w:bidi="he-IL"/>
        </w:rPr>
        <w:t>qui est comme un résumé des croyances de la tradition entière</w:t>
      </w:r>
      <w:r w:rsidR="00C2602D" w:rsidRPr="00C8701B">
        <w:rPr>
          <w:rFonts w:eastAsia="Arial Unicode MS"/>
          <w:bCs/>
          <w:lang w:eastAsia="fr-FR" w:bidi="he-IL"/>
        </w:rPr>
        <w:t> :</w:t>
      </w:r>
      <w:r w:rsidR="00B704AD" w:rsidRPr="00C8701B">
        <w:rPr>
          <w:rFonts w:eastAsia="Arial Unicode MS"/>
          <w:bCs/>
          <w:lang w:eastAsia="fr-FR" w:bidi="he-IL"/>
        </w:rPr>
        <w:t xml:space="preserve"> </w:t>
      </w:r>
      <w:r w:rsidR="00C2602D" w:rsidRPr="00C8701B">
        <w:rPr>
          <w:rFonts w:eastAsia="Arial Unicode MS"/>
          <w:bCs/>
          <w:lang w:eastAsia="fr-FR" w:bidi="he-IL"/>
        </w:rPr>
        <w:t>« </w:t>
      </w:r>
      <w:r w:rsidR="00B704AD" w:rsidRPr="00C8701B">
        <w:rPr>
          <w:rFonts w:eastAsia="Arial Unicode MS"/>
          <w:bCs/>
          <w:lang w:eastAsia="fr-FR" w:bidi="he-IL"/>
        </w:rPr>
        <w:t>Cum isti (les prophètes et les apôtres) scr</w:t>
      </w:r>
      <w:r w:rsidR="00473B23" w:rsidRPr="00C8701B">
        <w:rPr>
          <w:rFonts w:eastAsia="Arial Unicode MS"/>
          <w:bCs/>
          <w:lang w:eastAsia="fr-FR" w:bidi="he-IL"/>
        </w:rPr>
        <w:t>ips</w:t>
      </w:r>
      <w:r w:rsidR="00473B23">
        <w:rPr>
          <w:rFonts w:eastAsia="Arial Unicode MS"/>
          <w:bCs/>
          <w:lang w:eastAsia="fr-FR" w:bidi="he-IL"/>
        </w:rPr>
        <w:t>érunt</w:t>
      </w:r>
      <w:r w:rsidR="00B704AD" w:rsidRPr="00C8701B">
        <w:rPr>
          <w:rFonts w:eastAsia="Arial Unicode MS"/>
          <w:bCs/>
          <w:lang w:eastAsia="fr-FR" w:bidi="he-IL"/>
        </w:rPr>
        <w:t xml:space="preserve"> </w:t>
      </w:r>
      <w:r w:rsidR="008911B0">
        <w:rPr>
          <w:rFonts w:eastAsia="Arial Unicode MS"/>
          <w:bCs/>
          <w:lang w:eastAsia="fr-FR" w:bidi="he-IL"/>
        </w:rPr>
        <w:t>quæ</w:t>
      </w:r>
      <w:r w:rsidR="00B704AD" w:rsidRPr="00C8701B">
        <w:rPr>
          <w:rFonts w:eastAsia="Arial Unicode MS"/>
          <w:bCs/>
          <w:lang w:eastAsia="fr-FR" w:bidi="he-IL"/>
        </w:rPr>
        <w:t xml:space="preserve"> ille (Christus) </w:t>
      </w:r>
      <w:r w:rsidRPr="00C8701B">
        <w:rPr>
          <w:rFonts w:eastAsia="Arial Unicode MS"/>
          <w:bCs/>
          <w:lang w:eastAsia="fr-FR" w:bidi="he-IL"/>
        </w:rPr>
        <w:t>osténdit</w:t>
      </w:r>
      <w:r w:rsidR="00B704AD" w:rsidRPr="00C8701B">
        <w:rPr>
          <w:rFonts w:eastAsia="Arial Unicode MS"/>
          <w:bCs/>
          <w:lang w:eastAsia="fr-FR" w:bidi="he-IL"/>
        </w:rPr>
        <w:t xml:space="preserve"> ac dixit</w:t>
      </w:r>
      <w:r w:rsidR="00E65435">
        <w:rPr>
          <w:rFonts w:eastAsia="Arial Unicode MS"/>
          <w:bCs/>
          <w:lang w:eastAsia="fr-FR" w:bidi="he-IL"/>
        </w:rPr>
        <w:t xml:space="preserve">, </w:t>
      </w:r>
      <w:r w:rsidRPr="00C8701B">
        <w:rPr>
          <w:rFonts w:eastAsia="Arial Unicode MS"/>
          <w:bCs/>
          <w:lang w:eastAsia="fr-FR" w:bidi="he-IL"/>
        </w:rPr>
        <w:t>nequáquam</w:t>
      </w:r>
      <w:r w:rsidR="00B704AD" w:rsidRPr="00C8701B">
        <w:rPr>
          <w:rFonts w:eastAsia="Arial Unicode MS"/>
          <w:bCs/>
          <w:lang w:eastAsia="fr-FR" w:bidi="he-IL"/>
        </w:rPr>
        <w:t xml:space="preserve"> </w:t>
      </w:r>
      <w:r w:rsidR="00E939E7" w:rsidRPr="00C8701B">
        <w:rPr>
          <w:rFonts w:eastAsia="Arial Unicode MS"/>
          <w:bCs/>
          <w:lang w:eastAsia="fr-FR" w:bidi="he-IL"/>
        </w:rPr>
        <w:t>dic</w:t>
      </w:r>
      <w:r w:rsidR="00E939E7">
        <w:rPr>
          <w:rFonts w:eastAsia="Arial Unicode MS"/>
          <w:bCs/>
          <w:lang w:eastAsia="fr-FR" w:bidi="he-IL"/>
        </w:rPr>
        <w:t>é</w:t>
      </w:r>
      <w:r w:rsidR="00E939E7" w:rsidRPr="00C8701B">
        <w:rPr>
          <w:rFonts w:eastAsia="Arial Unicode MS"/>
          <w:bCs/>
          <w:lang w:eastAsia="fr-FR" w:bidi="he-IL"/>
        </w:rPr>
        <w:t>ndum</w:t>
      </w:r>
      <w:r w:rsidR="00B704AD" w:rsidRPr="00C8701B">
        <w:rPr>
          <w:rFonts w:eastAsia="Arial Unicode MS"/>
          <w:bCs/>
          <w:lang w:eastAsia="fr-FR" w:bidi="he-IL"/>
        </w:rPr>
        <w:t xml:space="preserve"> est quod ipse non </w:t>
      </w:r>
      <w:r w:rsidRPr="00C8701B">
        <w:rPr>
          <w:rFonts w:eastAsia="Arial Unicode MS"/>
          <w:bCs/>
          <w:lang w:eastAsia="fr-FR" w:bidi="he-IL"/>
        </w:rPr>
        <w:t>scrípserit</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quandóquidem</w:t>
      </w:r>
      <w:r w:rsidR="00B704AD" w:rsidRPr="00C8701B">
        <w:rPr>
          <w:rFonts w:eastAsia="Arial Unicode MS"/>
          <w:bCs/>
          <w:lang w:eastAsia="fr-FR" w:bidi="he-IL"/>
        </w:rPr>
        <w:t xml:space="preserve"> membra ejus id </w:t>
      </w:r>
      <w:r w:rsidRPr="00C8701B">
        <w:rPr>
          <w:rFonts w:eastAsia="Arial Unicode MS"/>
          <w:bCs/>
          <w:lang w:eastAsia="fr-FR" w:bidi="he-IL"/>
        </w:rPr>
        <w:t>operáta</w:t>
      </w:r>
      <w:r w:rsidR="00B704AD" w:rsidRPr="00C8701B">
        <w:rPr>
          <w:rFonts w:eastAsia="Arial Unicode MS"/>
          <w:bCs/>
          <w:lang w:eastAsia="fr-FR" w:bidi="he-IL"/>
        </w:rPr>
        <w:t xml:space="preserve"> sunt</w:t>
      </w:r>
      <w:r w:rsidR="00E65435">
        <w:rPr>
          <w:rFonts w:eastAsia="Arial Unicode MS"/>
          <w:bCs/>
          <w:lang w:eastAsia="fr-FR" w:bidi="he-IL"/>
        </w:rPr>
        <w:t xml:space="preserve">, </w:t>
      </w:r>
      <w:r w:rsidR="00B704AD" w:rsidRPr="00C8701B">
        <w:rPr>
          <w:rFonts w:eastAsia="Arial Unicode MS"/>
          <w:bCs/>
          <w:lang w:eastAsia="fr-FR" w:bidi="he-IL"/>
        </w:rPr>
        <w:t xml:space="preserve">quod </w:t>
      </w:r>
      <w:r w:rsidRPr="00C8701B">
        <w:rPr>
          <w:rFonts w:eastAsia="Arial Unicode MS"/>
          <w:bCs/>
          <w:lang w:eastAsia="fr-FR" w:bidi="he-IL"/>
        </w:rPr>
        <w:t>dictánte</w:t>
      </w:r>
      <w:r w:rsidR="00B704AD" w:rsidRPr="00C8701B">
        <w:rPr>
          <w:rFonts w:eastAsia="Arial Unicode MS"/>
          <w:bCs/>
          <w:lang w:eastAsia="fr-FR" w:bidi="he-IL"/>
        </w:rPr>
        <w:t xml:space="preserve"> </w:t>
      </w:r>
      <w:r w:rsidRPr="00C8701B">
        <w:rPr>
          <w:rFonts w:eastAsia="Arial Unicode MS"/>
          <w:bCs/>
          <w:lang w:eastAsia="fr-FR" w:bidi="he-IL"/>
        </w:rPr>
        <w:t>cápite</w:t>
      </w:r>
      <w:r w:rsidR="00B704AD" w:rsidRPr="00C8701B">
        <w:rPr>
          <w:rFonts w:eastAsia="Arial Unicode MS"/>
          <w:bCs/>
          <w:lang w:eastAsia="fr-FR" w:bidi="he-IL"/>
        </w:rPr>
        <w:t xml:space="preserve"> cog</w:t>
      </w:r>
      <w:r w:rsidR="00473B23" w:rsidRPr="00C8701B">
        <w:rPr>
          <w:rFonts w:eastAsia="Arial Unicode MS"/>
          <w:bCs/>
          <w:lang w:eastAsia="fr-FR" w:bidi="he-IL"/>
        </w:rPr>
        <w:t>nov</w:t>
      </w:r>
      <w:r w:rsidR="00473B23">
        <w:rPr>
          <w:rFonts w:eastAsia="Arial Unicode MS"/>
          <w:bCs/>
          <w:lang w:eastAsia="fr-FR" w:bidi="he-IL"/>
        </w:rPr>
        <w:t>érunt</w:t>
      </w:r>
      <w:r w:rsidR="00B704AD" w:rsidRPr="00C8701B">
        <w:rPr>
          <w:rFonts w:eastAsia="Arial Unicode MS"/>
          <w:bCs/>
          <w:lang w:eastAsia="fr-FR" w:bidi="he-IL"/>
        </w:rPr>
        <w:t xml:space="preserve">. Quidquid enim ille de factis suis et dictis nos </w:t>
      </w:r>
      <w:r w:rsidRPr="00C8701B">
        <w:rPr>
          <w:rFonts w:eastAsia="Arial Unicode MS"/>
          <w:bCs/>
          <w:lang w:eastAsia="fr-FR" w:bidi="he-IL"/>
        </w:rPr>
        <w:t>légere</w:t>
      </w:r>
      <w:r w:rsidR="00B704AD" w:rsidRPr="00C8701B">
        <w:rPr>
          <w:rFonts w:eastAsia="Arial Unicode MS"/>
          <w:bCs/>
          <w:lang w:eastAsia="fr-FR" w:bidi="he-IL"/>
        </w:rPr>
        <w:t xml:space="preserve"> </w:t>
      </w:r>
      <w:r w:rsidRPr="00C8701B">
        <w:rPr>
          <w:rFonts w:eastAsia="Arial Unicode MS"/>
          <w:bCs/>
          <w:lang w:eastAsia="fr-FR" w:bidi="he-IL"/>
        </w:rPr>
        <w:t>vóluit</w:t>
      </w:r>
      <w:r w:rsidR="00E65435">
        <w:rPr>
          <w:rFonts w:eastAsia="Arial Unicode MS"/>
          <w:bCs/>
          <w:lang w:eastAsia="fr-FR" w:bidi="he-IL"/>
        </w:rPr>
        <w:t xml:space="preserve">, </w:t>
      </w:r>
      <w:r w:rsidR="00B704AD" w:rsidRPr="00C8701B">
        <w:rPr>
          <w:rFonts w:eastAsia="Arial Unicode MS"/>
          <w:bCs/>
          <w:lang w:eastAsia="fr-FR" w:bidi="he-IL"/>
        </w:rPr>
        <w:t>hoc sc</w:t>
      </w:r>
      <w:r w:rsidR="00E939E7" w:rsidRPr="00C8701B">
        <w:rPr>
          <w:rFonts w:eastAsia="Arial Unicode MS"/>
          <w:bCs/>
          <w:lang w:eastAsia="fr-FR" w:bidi="he-IL"/>
        </w:rPr>
        <w:t>rib</w:t>
      </w:r>
      <w:r w:rsidR="00E939E7">
        <w:rPr>
          <w:rFonts w:eastAsia="Arial Unicode MS"/>
          <w:bCs/>
          <w:lang w:eastAsia="fr-FR" w:bidi="he-IL"/>
        </w:rPr>
        <w:t>é</w:t>
      </w:r>
      <w:r w:rsidR="00E939E7" w:rsidRPr="00C8701B">
        <w:rPr>
          <w:rFonts w:eastAsia="Arial Unicode MS"/>
          <w:bCs/>
          <w:lang w:eastAsia="fr-FR" w:bidi="he-IL"/>
        </w:rPr>
        <w:t>ndum</w:t>
      </w:r>
      <w:r w:rsidR="00B704AD" w:rsidRPr="00C8701B">
        <w:rPr>
          <w:rFonts w:eastAsia="Arial Unicode MS"/>
          <w:bCs/>
          <w:lang w:eastAsia="fr-FR" w:bidi="he-IL"/>
        </w:rPr>
        <w:t xml:space="preserve"> illis</w:t>
      </w:r>
      <w:r w:rsidR="00E65435">
        <w:rPr>
          <w:rFonts w:eastAsia="Arial Unicode MS"/>
          <w:bCs/>
          <w:lang w:eastAsia="fr-FR" w:bidi="he-IL"/>
        </w:rPr>
        <w:t xml:space="preserve">, </w:t>
      </w:r>
      <w:r w:rsidR="00B704AD" w:rsidRPr="00C8701B">
        <w:rPr>
          <w:rFonts w:eastAsia="Arial Unicode MS"/>
          <w:bCs/>
          <w:lang w:eastAsia="fr-FR" w:bidi="he-IL"/>
        </w:rPr>
        <w:t>tanquam suis m</w:t>
      </w:r>
      <w:r w:rsidR="00356A5E">
        <w:rPr>
          <w:rFonts w:eastAsia="Arial Unicode MS"/>
          <w:bCs/>
          <w:lang w:eastAsia="fr-FR" w:bidi="he-IL"/>
        </w:rPr>
        <w:t>á</w:t>
      </w:r>
      <w:r w:rsidR="00356A5E" w:rsidRPr="00C8701B">
        <w:rPr>
          <w:rFonts w:eastAsia="Arial Unicode MS"/>
          <w:bCs/>
          <w:lang w:eastAsia="fr-FR" w:bidi="he-IL"/>
        </w:rPr>
        <w:t>nibus</w:t>
      </w:r>
      <w:r w:rsidR="00E65435">
        <w:rPr>
          <w:rFonts w:eastAsia="Arial Unicode MS"/>
          <w:bCs/>
          <w:lang w:eastAsia="fr-FR" w:bidi="he-IL"/>
        </w:rPr>
        <w:t xml:space="preserve">, </w:t>
      </w:r>
      <w:r w:rsidR="00B704AD" w:rsidRPr="00C8701B">
        <w:rPr>
          <w:rFonts w:eastAsia="Arial Unicode MS"/>
          <w:bCs/>
          <w:lang w:eastAsia="fr-FR" w:bidi="he-IL"/>
        </w:rPr>
        <w:t>ins</w:t>
      </w:r>
      <w:r w:rsidR="00473B23" w:rsidRPr="00C8701B">
        <w:rPr>
          <w:rFonts w:eastAsia="Arial Unicode MS"/>
          <w:bCs/>
          <w:lang w:eastAsia="fr-FR" w:bidi="he-IL"/>
        </w:rPr>
        <w:t>pir</w:t>
      </w:r>
      <w:r w:rsidR="00473B23">
        <w:rPr>
          <w:rFonts w:eastAsia="Arial Unicode MS"/>
          <w:bCs/>
          <w:lang w:eastAsia="fr-FR" w:bidi="he-IL"/>
        </w:rPr>
        <w:t>á</w:t>
      </w:r>
      <w:r w:rsidR="00473B23" w:rsidRPr="00C8701B">
        <w:rPr>
          <w:rFonts w:eastAsia="Arial Unicode MS"/>
          <w:bCs/>
          <w:lang w:eastAsia="fr-FR" w:bidi="he-IL"/>
        </w:rPr>
        <w:t>vit</w:t>
      </w:r>
      <w:r w:rsidR="00B704AD" w:rsidRPr="00C8701B">
        <w:rPr>
          <w:rFonts w:eastAsia="Arial Unicode MS"/>
          <w:bCs/>
          <w:lang w:eastAsia="fr-FR" w:bidi="he-IL"/>
        </w:rPr>
        <w:t>.</w:t>
      </w:r>
      <w:r w:rsidR="00B704AD" w:rsidRPr="00DC4586">
        <w:rPr>
          <w:rStyle w:val="italicus"/>
        </w:rPr>
        <w:t xml:space="preserve"> Hoc </w:t>
      </w:r>
      <w:r w:rsidRPr="00DC4586">
        <w:rPr>
          <w:rStyle w:val="italicus"/>
        </w:rPr>
        <w:t>unitátis</w:t>
      </w:r>
      <w:r>
        <w:rPr>
          <w:rStyle w:val="italicus"/>
        </w:rPr>
        <w:t xml:space="preserve"> consórtium quisqui</w:t>
      </w:r>
      <w:r w:rsidR="00B704AD" w:rsidRPr="00DC4586">
        <w:rPr>
          <w:rStyle w:val="italicus"/>
        </w:rPr>
        <w:t xml:space="preserve">s </w:t>
      </w:r>
      <w:r w:rsidRPr="00DC4586">
        <w:rPr>
          <w:rStyle w:val="italicus"/>
        </w:rPr>
        <w:t>intelléxerit</w:t>
      </w:r>
      <w:r w:rsidR="00E65435">
        <w:rPr>
          <w:rStyle w:val="italicus"/>
        </w:rPr>
        <w:t xml:space="preserve">, </w:t>
      </w:r>
      <w:r>
        <w:rPr>
          <w:rStyle w:val="italicus"/>
        </w:rPr>
        <w:t xml:space="preserve">non </w:t>
      </w:r>
      <w:r w:rsidR="0096412E">
        <w:rPr>
          <w:rStyle w:val="italicus"/>
        </w:rPr>
        <w:t>áliter</w:t>
      </w:r>
      <w:r w:rsidR="00B704AD" w:rsidRPr="00DC4586">
        <w:rPr>
          <w:rStyle w:val="italicus"/>
        </w:rPr>
        <w:t xml:space="preserve"> </w:t>
      </w:r>
      <w:r w:rsidRPr="00DC4586">
        <w:rPr>
          <w:rStyle w:val="italicus"/>
        </w:rPr>
        <w:t>accípiet</w:t>
      </w:r>
      <w:r w:rsidR="00B704AD" w:rsidRPr="00DC4586">
        <w:rPr>
          <w:rStyle w:val="italicus"/>
        </w:rPr>
        <w:t xml:space="preserve"> quod narr</w:t>
      </w:r>
      <w:r w:rsidR="00356A5E">
        <w:rPr>
          <w:rStyle w:val="italicus"/>
        </w:rPr>
        <w:t>á</w:t>
      </w:r>
      <w:r w:rsidR="00356A5E" w:rsidRPr="00DC4586">
        <w:rPr>
          <w:rStyle w:val="italicus"/>
        </w:rPr>
        <w:t>ntibus</w:t>
      </w:r>
      <w:r w:rsidR="00B704AD" w:rsidRPr="00DC4586">
        <w:rPr>
          <w:rStyle w:val="italicus"/>
        </w:rPr>
        <w:t xml:space="preserve"> </w:t>
      </w:r>
      <w:r w:rsidRPr="00DC4586">
        <w:rPr>
          <w:rStyle w:val="italicus"/>
        </w:rPr>
        <w:t>discípulis</w:t>
      </w:r>
      <w:r w:rsidR="00B704AD" w:rsidRPr="00DC4586">
        <w:rPr>
          <w:rStyle w:val="italicus"/>
        </w:rPr>
        <w:t xml:space="preserve"> Christi in </w:t>
      </w:r>
      <w:r w:rsidRPr="00DC4586">
        <w:rPr>
          <w:rStyle w:val="italicus"/>
        </w:rPr>
        <w:t>evangélio</w:t>
      </w:r>
      <w:r w:rsidR="00B704AD" w:rsidRPr="00DC4586">
        <w:rPr>
          <w:rStyle w:val="italicus"/>
        </w:rPr>
        <w:t xml:space="preserve"> léger il</w:t>
      </w:r>
      <w:r w:rsidR="00E65435">
        <w:rPr>
          <w:rStyle w:val="italicus"/>
        </w:rPr>
        <w:t xml:space="preserve">, </w:t>
      </w:r>
      <w:r w:rsidR="00B704AD" w:rsidRPr="00DC4586">
        <w:rPr>
          <w:rStyle w:val="italicus"/>
        </w:rPr>
        <w:t>quam si ipsam manum Dei</w:t>
      </w:r>
      <w:r w:rsidR="00E65435">
        <w:rPr>
          <w:rStyle w:val="italicus"/>
        </w:rPr>
        <w:t xml:space="preserve">, </w:t>
      </w:r>
      <w:r>
        <w:rPr>
          <w:rStyle w:val="italicus"/>
        </w:rPr>
        <w:t>quam in proprio córpore</w:t>
      </w:r>
      <w:r w:rsidR="00B704AD" w:rsidRPr="00DC4586">
        <w:rPr>
          <w:rStyle w:val="italicus"/>
        </w:rPr>
        <w:t xml:space="preserve"> g</w:t>
      </w:r>
      <w:r w:rsidR="00206793" w:rsidRPr="00DC4586">
        <w:rPr>
          <w:rStyle w:val="italicus"/>
        </w:rPr>
        <w:t>est</w:t>
      </w:r>
      <w:r w:rsidR="00206793">
        <w:rPr>
          <w:rStyle w:val="italicus"/>
        </w:rPr>
        <w:t>á</w:t>
      </w:r>
      <w:r w:rsidR="00206793" w:rsidRPr="00DC4586">
        <w:rPr>
          <w:rStyle w:val="italicus"/>
        </w:rPr>
        <w:t>bat</w:t>
      </w:r>
      <w:r w:rsidR="00E65435">
        <w:rPr>
          <w:rStyle w:val="italicus"/>
        </w:rPr>
        <w:t xml:space="preserve">, </w:t>
      </w:r>
      <w:r w:rsidRPr="00DC4586">
        <w:rPr>
          <w:rStyle w:val="italicus"/>
        </w:rPr>
        <w:t>scribéntem</w:t>
      </w:r>
      <w:r w:rsidR="00B704AD" w:rsidRPr="00DC4586">
        <w:rPr>
          <w:rStyle w:val="italicus"/>
        </w:rPr>
        <w:t xml:space="preserve"> consp</w:t>
      </w:r>
      <w:r>
        <w:rPr>
          <w:rStyle w:val="italicus"/>
        </w:rPr>
        <w:t>éxerit</w:t>
      </w:r>
      <w:r w:rsidRPr="007C5674">
        <w:t> ».</w:t>
      </w:r>
      <w:r w:rsidR="00C2602D" w:rsidRPr="007C5674">
        <w:t xml:space="preserve"> </w:t>
      </w:r>
      <w:r w:rsidR="003905B5">
        <w:t>[</w:t>
      </w:r>
      <w:r w:rsidR="003905B5">
        <w:rPr>
          <w:rFonts w:eastAsia="Arial Unicode MS"/>
          <w:bCs/>
          <w:lang w:eastAsia="fr-FR" w:bidi="he-IL"/>
        </w:rPr>
        <w:t xml:space="preserve">Trad. </w:t>
      </w:r>
      <w:r w:rsidR="003905B5" w:rsidRPr="007400FC">
        <w:rPr>
          <w:szCs w:val="24"/>
        </w:rPr>
        <w:t>Poujoulat</w:t>
      </w:r>
      <w:r w:rsidR="003905B5">
        <w:rPr>
          <w:szCs w:val="24"/>
        </w:rPr>
        <w:t>-</w:t>
      </w:r>
      <w:r w:rsidR="003905B5" w:rsidRPr="007400FC">
        <w:rPr>
          <w:szCs w:val="24"/>
        </w:rPr>
        <w:t>Raulx</w:t>
      </w:r>
      <w:r w:rsidR="003905B5">
        <w:rPr>
          <w:szCs w:val="24"/>
        </w:rPr>
        <w:t> :</w:t>
      </w:r>
      <w:r w:rsidR="003905B5">
        <w:t xml:space="preserve"> </w:t>
      </w:r>
      <w:r w:rsidR="003905B5" w:rsidRPr="004247D2">
        <w:rPr>
          <w:szCs w:val="24"/>
        </w:rPr>
        <w:t>Par conséquent, quand les disciples ont écrit sa vie et ses discours, on ne peut prétendre que lui-même n</w:t>
      </w:r>
      <w:r w:rsidR="00557DE0">
        <w:rPr>
          <w:szCs w:val="24"/>
        </w:rPr>
        <w:t>’</w:t>
      </w:r>
      <w:r w:rsidR="003905B5" w:rsidRPr="004247D2">
        <w:rPr>
          <w:szCs w:val="24"/>
        </w:rPr>
        <w:t>a rien écrit, puisque les membres n</w:t>
      </w:r>
      <w:r w:rsidR="00557DE0">
        <w:rPr>
          <w:szCs w:val="24"/>
        </w:rPr>
        <w:t>’</w:t>
      </w:r>
      <w:r w:rsidR="003905B5" w:rsidRPr="004247D2">
        <w:rPr>
          <w:szCs w:val="24"/>
        </w:rPr>
        <w:t>ont agi en cela que sous l</w:t>
      </w:r>
      <w:r w:rsidR="00557DE0">
        <w:rPr>
          <w:szCs w:val="24"/>
        </w:rPr>
        <w:t>’</w:t>
      </w:r>
      <w:r w:rsidR="003905B5" w:rsidRPr="004247D2">
        <w:rPr>
          <w:szCs w:val="24"/>
        </w:rPr>
        <w:t>inspiration et suivant la volonté du chef. Car il leur a commandé comme à ses mains d</w:t>
      </w:r>
      <w:r w:rsidR="00557DE0">
        <w:rPr>
          <w:szCs w:val="24"/>
        </w:rPr>
        <w:t>’</w:t>
      </w:r>
      <w:r w:rsidR="003905B5" w:rsidRPr="004247D2">
        <w:rPr>
          <w:szCs w:val="24"/>
        </w:rPr>
        <w:t>écrire ce qu</w:t>
      </w:r>
      <w:r w:rsidR="00557DE0">
        <w:rPr>
          <w:szCs w:val="24"/>
        </w:rPr>
        <w:t>’</w:t>
      </w:r>
      <w:r w:rsidR="003905B5" w:rsidRPr="004247D2">
        <w:rPr>
          <w:szCs w:val="24"/>
        </w:rPr>
        <w:t>il a voulu nous faire lire de ses actes et de ses paroles. Quiconque saura ainsi comprendre le ministère des Apôtres, et considérer les disciples du divin maître comme des membres qui gardent l</w:t>
      </w:r>
      <w:r w:rsidR="00557DE0">
        <w:rPr>
          <w:szCs w:val="24"/>
        </w:rPr>
        <w:t>’</w:t>
      </w:r>
      <w:r w:rsidR="003905B5" w:rsidRPr="004247D2">
        <w:rPr>
          <w:szCs w:val="24"/>
        </w:rPr>
        <w:t>unité et une harmonie parfaite en exécutant différentes fonctions sous un seul et même chef,</w:t>
      </w:r>
      <w:r w:rsidR="003905B5">
        <w:rPr>
          <w:szCs w:val="24"/>
        </w:rPr>
        <w:t xml:space="preserve"> </w:t>
      </w:r>
      <w:r w:rsidR="003905B5" w:rsidRPr="004247D2">
        <w:rPr>
          <w:szCs w:val="24"/>
        </w:rPr>
        <w:t>recevra tout ce que leurs récits lui présentent dans l</w:t>
      </w:r>
      <w:r w:rsidR="00557DE0">
        <w:rPr>
          <w:szCs w:val="24"/>
        </w:rPr>
        <w:t>’</w:t>
      </w:r>
      <w:r w:rsidR="003905B5">
        <w:rPr>
          <w:szCs w:val="24"/>
        </w:rPr>
        <w:t>Évangile</w:t>
      </w:r>
      <w:r w:rsidR="003905B5" w:rsidRPr="004247D2">
        <w:rPr>
          <w:szCs w:val="24"/>
        </w:rPr>
        <w:t>, comme si la main même du Seigneur l</w:t>
      </w:r>
      <w:r w:rsidR="00557DE0">
        <w:rPr>
          <w:szCs w:val="24"/>
        </w:rPr>
        <w:t>’</w:t>
      </w:r>
      <w:r w:rsidR="003905B5" w:rsidRPr="004247D2">
        <w:rPr>
          <w:szCs w:val="24"/>
        </w:rPr>
        <w:t>écrivait devant lui.</w:t>
      </w:r>
      <w:r w:rsidR="003905B5">
        <w:t>]</w:t>
      </w:r>
    </w:p>
    <w:p w:rsidR="00C2602D" w:rsidRPr="00C8701B" w:rsidRDefault="00B704AD" w:rsidP="00C2602D">
      <w:pPr>
        <w:rPr>
          <w:rFonts w:eastAsia="Arial Unicode MS"/>
          <w:bCs/>
          <w:lang w:eastAsia="fr-FR" w:bidi="he-IL"/>
        </w:rPr>
      </w:pPr>
      <w:r w:rsidRPr="00C8701B">
        <w:rPr>
          <w:rFonts w:eastAsia="Arial Unicode MS"/>
          <w:bCs/>
          <w:lang w:eastAsia="fr-FR" w:bidi="he-IL"/>
        </w:rPr>
        <w:t>Au reste</w:t>
      </w:r>
      <w:r w:rsidR="00E65435">
        <w:rPr>
          <w:rFonts w:eastAsia="Arial Unicode MS"/>
          <w:bCs/>
          <w:lang w:eastAsia="fr-FR" w:bidi="he-IL"/>
        </w:rPr>
        <w:t xml:space="preserve">, </w:t>
      </w:r>
      <w:r w:rsidRPr="00C8701B">
        <w:rPr>
          <w:rFonts w:eastAsia="Arial Unicode MS"/>
          <w:bCs/>
          <w:lang w:eastAsia="fr-FR" w:bidi="he-IL"/>
        </w:rPr>
        <w:t>N.-S. Jésus-Christ n</w:t>
      </w:r>
      <w:r w:rsidR="00557DE0">
        <w:rPr>
          <w:rFonts w:eastAsia="Arial Unicode MS"/>
          <w:bCs/>
          <w:lang w:eastAsia="fr-FR" w:bidi="he-IL"/>
        </w:rPr>
        <w:t>’</w:t>
      </w:r>
      <w:r w:rsidRPr="00C8701B">
        <w:rPr>
          <w:rFonts w:eastAsia="Arial Unicode MS"/>
          <w:bCs/>
          <w:lang w:eastAsia="fr-FR" w:bidi="he-IL"/>
        </w:rPr>
        <w:t>avait-il pas</w:t>
      </w:r>
      <w:r w:rsidR="00E65435">
        <w:rPr>
          <w:rFonts w:eastAsia="Arial Unicode MS"/>
          <w:bCs/>
          <w:lang w:eastAsia="fr-FR" w:bidi="he-IL"/>
        </w:rPr>
        <w:t xml:space="preserve">, </w:t>
      </w:r>
      <w:r w:rsidRPr="00C8701B">
        <w:rPr>
          <w:rFonts w:eastAsia="Arial Unicode MS"/>
          <w:bCs/>
          <w:lang w:eastAsia="fr-FR" w:bidi="he-IL"/>
        </w:rPr>
        <w:t>dans les termes les plus solennels</w:t>
      </w:r>
      <w:r w:rsidR="00E65435">
        <w:rPr>
          <w:rFonts w:eastAsia="Arial Unicode MS"/>
          <w:bCs/>
          <w:lang w:eastAsia="fr-FR" w:bidi="he-IL"/>
        </w:rPr>
        <w:t xml:space="preserve">, </w:t>
      </w:r>
      <w:r w:rsidRPr="00C8701B">
        <w:rPr>
          <w:rFonts w:eastAsia="Arial Unicode MS"/>
          <w:bCs/>
          <w:lang w:eastAsia="fr-FR" w:bidi="he-IL"/>
        </w:rPr>
        <w:t>promis une inspiration spéciale à ses apôtres</w:t>
      </w:r>
      <w:r w:rsidR="003905B5">
        <w:rPr>
          <w:rFonts w:eastAsia="Arial Unicode MS"/>
          <w:bCs/>
          <w:lang w:eastAsia="fr-FR" w:bidi="he-IL"/>
        </w:rPr>
        <w:t xml:space="preserve"> et à ses</w:t>
      </w:r>
      <w:r w:rsidRPr="00C8701B">
        <w:rPr>
          <w:rFonts w:eastAsia="Arial Unicode MS"/>
          <w:bCs/>
          <w:lang w:eastAsia="fr-FR" w:bidi="he-IL"/>
        </w:rPr>
        <w:t xml:space="preserve"> </w:t>
      </w:r>
      <w:r w:rsidR="00DF496C" w:rsidRPr="00C8701B">
        <w:rPr>
          <w:rFonts w:eastAsia="Arial Unicode MS"/>
          <w:bCs/>
          <w:lang w:eastAsia="fr-FR" w:bidi="he-IL"/>
        </w:rPr>
        <w:t>disciples</w:t>
      </w:r>
      <w:r w:rsidRPr="00C8701B">
        <w:rPr>
          <w:rFonts w:eastAsia="Arial Unicode MS"/>
          <w:bCs/>
          <w:lang w:eastAsia="fr-FR" w:bidi="he-IL"/>
        </w:rPr>
        <w:t xml:space="preserve"> pour leur prédication</w:t>
      </w:r>
      <w:r w:rsidR="00E65435">
        <w:rPr>
          <w:rFonts w:eastAsia="Arial Unicode MS"/>
          <w:bCs/>
          <w:lang w:eastAsia="fr-FR" w:bidi="he-IL"/>
        </w:rPr>
        <w:t xml:space="preserve">, </w:t>
      </w:r>
      <w:r w:rsidR="003905B5">
        <w:rPr>
          <w:rFonts w:eastAsia="Arial Unicode MS"/>
          <w:bCs/>
          <w:lang w:eastAsia="fr-FR" w:bidi="he-IL"/>
        </w:rPr>
        <w:t>toutes les f</w:t>
      </w:r>
      <w:r w:rsidRPr="00C8701B">
        <w:rPr>
          <w:rFonts w:eastAsia="Arial Unicode MS"/>
          <w:bCs/>
          <w:lang w:eastAsia="fr-FR" w:bidi="he-IL"/>
        </w:rPr>
        <w:t>ois qu</w:t>
      </w:r>
      <w:r w:rsidR="00557DE0">
        <w:rPr>
          <w:rFonts w:eastAsia="Arial Unicode MS"/>
          <w:bCs/>
          <w:lang w:eastAsia="fr-FR" w:bidi="he-IL"/>
        </w:rPr>
        <w:t>’</w:t>
      </w:r>
      <w:r w:rsidRPr="00C8701B">
        <w:rPr>
          <w:rFonts w:eastAsia="Arial Unicode MS"/>
          <w:bCs/>
          <w:lang w:eastAsia="fr-FR" w:bidi="he-IL"/>
        </w:rPr>
        <w:t>ils auraient à lui rendre témoignage</w:t>
      </w:r>
      <w:r w:rsidR="00C2602D" w:rsidRPr="00C8701B">
        <w:rPr>
          <w:rFonts w:eastAsia="Arial Unicode MS"/>
          <w:bCs/>
          <w:lang w:eastAsia="fr-FR" w:bidi="he-IL"/>
        </w:rPr>
        <w:t> ?</w:t>
      </w:r>
      <w:r w:rsidRPr="00C8701B">
        <w:rPr>
          <w:rFonts w:eastAsia="Arial Unicode MS"/>
          <w:bCs/>
          <w:lang w:eastAsia="fr-FR" w:bidi="he-IL"/>
        </w:rPr>
        <w:t xml:space="preserve"> Matth. </w:t>
      </w:r>
      <w:r w:rsidR="001157C4">
        <w:rPr>
          <w:rFonts w:eastAsia="Arial Unicode MS"/>
          <w:bCs/>
          <w:lang w:eastAsia="fr-FR" w:bidi="he-IL"/>
        </w:rPr>
        <w:t>X</w:t>
      </w:r>
      <w:r w:rsidR="00E65435">
        <w:rPr>
          <w:rFonts w:eastAsia="Arial Unicode MS"/>
          <w:bCs/>
          <w:lang w:eastAsia="fr-FR" w:bidi="he-IL"/>
        </w:rPr>
        <w:t xml:space="preserve">, </w:t>
      </w:r>
      <w:r w:rsidRPr="00C8701B">
        <w:rPr>
          <w:rFonts w:eastAsia="Arial Unicode MS"/>
          <w:bCs/>
          <w:lang w:eastAsia="fr-FR" w:bidi="he-IL"/>
        </w:rPr>
        <w:t>19-20</w:t>
      </w:r>
      <w:r w:rsidR="00C2602D" w:rsidRPr="00C8701B">
        <w:rPr>
          <w:rFonts w:eastAsia="Arial Unicode MS"/>
          <w:bCs/>
          <w:lang w:eastAsia="fr-FR" w:bidi="he-IL"/>
        </w:rPr>
        <w:t> :</w:t>
      </w:r>
      <w:r w:rsidR="003905B5">
        <w:rPr>
          <w:rStyle w:val="italicus"/>
        </w:rPr>
        <w:t xml:space="preserve"> Cum autem t</w:t>
      </w:r>
      <w:r w:rsidRPr="00DC4586">
        <w:rPr>
          <w:rStyle w:val="italicus"/>
        </w:rPr>
        <w:t>radent</w:t>
      </w:r>
      <w:r w:rsidR="003905B5">
        <w:rPr>
          <w:rStyle w:val="italicus"/>
        </w:rPr>
        <w:t xml:space="preserve"> </w:t>
      </w:r>
      <w:r w:rsidRPr="00DC4586">
        <w:rPr>
          <w:rStyle w:val="italicus"/>
        </w:rPr>
        <w:t>vos</w:t>
      </w:r>
      <w:r w:rsidR="00E65435">
        <w:rPr>
          <w:rStyle w:val="italicus"/>
        </w:rPr>
        <w:t xml:space="preserve">, </w:t>
      </w:r>
      <w:r w:rsidR="003905B5">
        <w:rPr>
          <w:rStyle w:val="italicus"/>
        </w:rPr>
        <w:t>nolíte</w:t>
      </w:r>
      <w:r w:rsidRPr="00DC4586">
        <w:rPr>
          <w:rStyle w:val="italicus"/>
        </w:rPr>
        <w:t xml:space="preserve"> </w:t>
      </w:r>
      <w:r w:rsidR="003905B5" w:rsidRPr="00DC4586">
        <w:rPr>
          <w:rStyle w:val="italicus"/>
        </w:rPr>
        <w:t>cogitáre</w:t>
      </w:r>
      <w:r w:rsidRPr="00DC4586">
        <w:rPr>
          <w:rStyle w:val="italicus"/>
        </w:rPr>
        <w:t xml:space="preserve"> </w:t>
      </w:r>
      <w:r w:rsidR="00A05DB8">
        <w:rPr>
          <w:rStyle w:val="italicus"/>
        </w:rPr>
        <w:t>quómodo</w:t>
      </w:r>
      <w:r w:rsidR="003905B5">
        <w:rPr>
          <w:rStyle w:val="italicus"/>
        </w:rPr>
        <w:t xml:space="preserve"> aut quid loquá</w:t>
      </w:r>
      <w:r w:rsidR="003905B5" w:rsidRPr="00DC4586">
        <w:rPr>
          <w:rStyle w:val="italicus"/>
        </w:rPr>
        <w:t>mini</w:t>
      </w:r>
      <w:r w:rsidR="00C2602D" w:rsidRPr="00DC4586">
        <w:rPr>
          <w:rStyle w:val="italicus"/>
        </w:rPr>
        <w:t> </w:t>
      </w:r>
      <w:r w:rsidR="007F6508">
        <w:rPr>
          <w:rStyle w:val="italicus"/>
        </w:rPr>
        <w:t xml:space="preserve">; </w:t>
      </w:r>
      <w:r w:rsidR="003905B5" w:rsidRPr="00DC4586">
        <w:rPr>
          <w:rStyle w:val="italicus"/>
        </w:rPr>
        <w:t>dábitur</w:t>
      </w:r>
      <w:r w:rsidR="003905B5">
        <w:rPr>
          <w:rStyle w:val="italicus"/>
        </w:rPr>
        <w:t xml:space="preserve"> enim v</w:t>
      </w:r>
      <w:r w:rsidRPr="00DC4586">
        <w:rPr>
          <w:rStyle w:val="italicus"/>
        </w:rPr>
        <w:t>obis in illa hora quid loqu</w:t>
      </w:r>
      <w:r w:rsidR="0095332B">
        <w:rPr>
          <w:rStyle w:val="italicus"/>
        </w:rPr>
        <w:t>ámini</w:t>
      </w:r>
      <w:r w:rsidRPr="00DC4586">
        <w:rPr>
          <w:rStyle w:val="italicus"/>
        </w:rPr>
        <w:t xml:space="preserve">. Non enim vos estis qui </w:t>
      </w:r>
      <w:r w:rsidR="003905B5" w:rsidRPr="00DC4586">
        <w:rPr>
          <w:rStyle w:val="italicus"/>
        </w:rPr>
        <w:t>loquímini</w:t>
      </w:r>
      <w:r w:rsidR="00E65435">
        <w:rPr>
          <w:rStyle w:val="italicus"/>
        </w:rPr>
        <w:t xml:space="preserve">, </w:t>
      </w:r>
      <w:r w:rsidR="003905B5">
        <w:rPr>
          <w:rStyle w:val="italicus"/>
        </w:rPr>
        <w:t>sed Spíritus</w:t>
      </w:r>
      <w:r w:rsidRPr="00DC4586">
        <w:rPr>
          <w:rStyle w:val="italicus"/>
        </w:rPr>
        <w:t xml:space="preserve"> Patris ve</w:t>
      </w:r>
      <w:r w:rsidR="0004306D" w:rsidRPr="00DC4586">
        <w:rPr>
          <w:rStyle w:val="italicus"/>
        </w:rPr>
        <w:t>s</w:t>
      </w:r>
      <w:r w:rsidR="003905B5">
        <w:rPr>
          <w:rStyle w:val="italicus"/>
        </w:rPr>
        <w:t>t</w:t>
      </w:r>
      <w:r w:rsidR="0004306D" w:rsidRPr="00DC4586">
        <w:rPr>
          <w:rStyle w:val="italicus"/>
        </w:rPr>
        <w:t>r</w:t>
      </w:r>
      <w:r w:rsidRPr="00DC4586">
        <w:rPr>
          <w:rStyle w:val="italicus"/>
        </w:rPr>
        <w:t xml:space="preserve">i qui </w:t>
      </w:r>
      <w:r w:rsidR="003905B5" w:rsidRPr="00DC4586">
        <w:rPr>
          <w:rStyle w:val="italicus"/>
        </w:rPr>
        <w:t>lóquitur</w:t>
      </w:r>
      <w:r w:rsidRPr="00DC4586">
        <w:rPr>
          <w:rStyle w:val="italicus"/>
        </w:rPr>
        <w:t xml:space="preserve"> in vobis.</w:t>
      </w:r>
      <w:r w:rsidRPr="00C8701B">
        <w:rPr>
          <w:rFonts w:eastAsia="Arial Unicode MS"/>
          <w:bCs/>
          <w:lang w:eastAsia="fr-FR" w:bidi="he-IL"/>
        </w:rPr>
        <w:t xml:space="preserve"> Matth. </w:t>
      </w:r>
      <w:r w:rsidR="0042479B">
        <w:rPr>
          <w:rFonts w:eastAsia="Arial Unicode MS"/>
          <w:bCs/>
          <w:lang w:eastAsia="fr-FR" w:bidi="he-IL"/>
        </w:rPr>
        <w:t>X</w:t>
      </w:r>
      <w:r w:rsidR="00CA083D">
        <w:rPr>
          <w:rFonts w:eastAsia="Arial Unicode MS"/>
          <w:bCs/>
          <w:lang w:eastAsia="fr-FR" w:bidi="he-IL"/>
        </w:rPr>
        <w:t>XV</w:t>
      </w:r>
      <w:r w:rsidR="003905B5">
        <w:rPr>
          <w:rFonts w:eastAsia="Arial Unicode MS"/>
          <w:bCs/>
          <w:lang w:eastAsia="fr-FR" w:bidi="he-IL"/>
        </w:rPr>
        <w:t>III</w:t>
      </w:r>
      <w:r w:rsidR="00E65435">
        <w:rPr>
          <w:rFonts w:eastAsia="Arial Unicode MS"/>
          <w:bCs/>
          <w:lang w:eastAsia="fr-FR" w:bidi="he-IL"/>
        </w:rPr>
        <w:t xml:space="preserve">, </w:t>
      </w:r>
      <w:r w:rsidRPr="00C8701B">
        <w:rPr>
          <w:rFonts w:eastAsia="Arial Unicode MS"/>
          <w:bCs/>
          <w:lang w:eastAsia="fr-FR" w:bidi="he-IL"/>
        </w:rPr>
        <w:t>18-20</w:t>
      </w:r>
      <w:r w:rsidR="00C2602D" w:rsidRPr="00C8701B">
        <w:rPr>
          <w:rFonts w:eastAsia="Arial Unicode MS"/>
          <w:bCs/>
          <w:lang w:eastAsia="fr-FR" w:bidi="he-IL"/>
        </w:rPr>
        <w:t> :</w:t>
      </w:r>
      <w:r w:rsidRPr="00DC4586">
        <w:rPr>
          <w:rStyle w:val="italicus"/>
        </w:rPr>
        <w:t xml:space="preserve"> </w:t>
      </w:r>
      <w:r w:rsidR="003905B5" w:rsidRPr="00DC4586">
        <w:rPr>
          <w:rStyle w:val="italicus"/>
        </w:rPr>
        <w:t>E</w:t>
      </w:r>
      <w:r w:rsidR="003905B5">
        <w:rPr>
          <w:rStyle w:val="italicus"/>
        </w:rPr>
        <w:t>úntes</w:t>
      </w:r>
      <w:r w:rsidRPr="00DC4586">
        <w:rPr>
          <w:rStyle w:val="italicus"/>
        </w:rPr>
        <w:t xml:space="preserve"> </w:t>
      </w:r>
      <w:r w:rsidR="003905B5" w:rsidRPr="00DC4586">
        <w:rPr>
          <w:rStyle w:val="italicus"/>
        </w:rPr>
        <w:t>docéte</w:t>
      </w:r>
      <w:r w:rsidRPr="00DC4586">
        <w:rPr>
          <w:rStyle w:val="italicus"/>
        </w:rPr>
        <w:t xml:space="preserve"> omnes g</w:t>
      </w:r>
      <w:r w:rsidR="00330E60">
        <w:rPr>
          <w:rStyle w:val="italicus"/>
        </w:rPr>
        <w:t>entes</w:t>
      </w:r>
      <w:r w:rsidRPr="00DC4586">
        <w:rPr>
          <w:rStyle w:val="italicus"/>
        </w:rPr>
        <w:t xml:space="preserve">... Et ecce ego </w:t>
      </w:r>
      <w:r w:rsidR="005371AA">
        <w:rPr>
          <w:rStyle w:val="italicus"/>
        </w:rPr>
        <w:t>vobíscum</w:t>
      </w:r>
      <w:r w:rsidRPr="00DC4586">
        <w:rPr>
          <w:rStyle w:val="italicus"/>
        </w:rPr>
        <w:t xml:space="preserve"> sum </w:t>
      </w:r>
      <w:r w:rsidR="00695548">
        <w:rPr>
          <w:rStyle w:val="italicus"/>
        </w:rPr>
        <w:t>ómnibus</w:t>
      </w:r>
      <w:r w:rsidRPr="00DC4586">
        <w:rPr>
          <w:rStyle w:val="italicus"/>
        </w:rPr>
        <w:t xml:space="preserve"> di</w:t>
      </w:r>
      <w:r w:rsidR="0094118D">
        <w:rPr>
          <w:rStyle w:val="italicus"/>
        </w:rPr>
        <w:t>ébus</w:t>
      </w:r>
      <w:r w:rsidRPr="00DC4586">
        <w:rPr>
          <w:rStyle w:val="italicus"/>
        </w:rPr>
        <w:t>.</w:t>
      </w:r>
      <w:r w:rsidRPr="00C8701B">
        <w:rPr>
          <w:rFonts w:eastAsia="Arial Unicode MS"/>
          <w:bCs/>
          <w:lang w:eastAsia="fr-FR" w:bidi="he-IL"/>
        </w:rPr>
        <w:t xml:space="preserve"> Joan. </w:t>
      </w:r>
      <w:r w:rsidR="00CB43AA">
        <w:rPr>
          <w:rFonts w:eastAsia="Arial Unicode MS"/>
          <w:bCs/>
          <w:lang w:eastAsia="fr-FR" w:bidi="he-IL"/>
        </w:rPr>
        <w:t>XIV</w:t>
      </w:r>
      <w:r w:rsidR="00E65435">
        <w:rPr>
          <w:rFonts w:eastAsia="Arial Unicode MS"/>
          <w:bCs/>
          <w:lang w:eastAsia="fr-FR" w:bidi="he-IL"/>
        </w:rPr>
        <w:t xml:space="preserve">, </w:t>
      </w:r>
      <w:r w:rsidRPr="00C8701B">
        <w:rPr>
          <w:rFonts w:eastAsia="Arial Unicode MS"/>
          <w:bCs/>
          <w:lang w:eastAsia="fr-FR" w:bidi="he-IL"/>
        </w:rPr>
        <w:t>26</w:t>
      </w:r>
      <w:r w:rsidR="00C2602D" w:rsidRPr="00C8701B">
        <w:rPr>
          <w:rFonts w:eastAsia="Arial Unicode MS"/>
          <w:bCs/>
          <w:lang w:eastAsia="fr-FR" w:bidi="he-IL"/>
        </w:rPr>
        <w:t> :</w:t>
      </w:r>
      <w:r w:rsidRPr="00DC4586">
        <w:rPr>
          <w:rStyle w:val="italicus"/>
        </w:rPr>
        <w:t xml:space="preserve"> </w:t>
      </w:r>
      <w:r w:rsidR="003905B5" w:rsidRPr="00DC4586">
        <w:rPr>
          <w:rStyle w:val="italicus"/>
        </w:rPr>
        <w:t>Paráclitus</w:t>
      </w:r>
      <w:r w:rsidR="003905B5">
        <w:rPr>
          <w:rStyle w:val="italicus"/>
        </w:rPr>
        <w:t>…</w:t>
      </w:r>
      <w:r w:rsidRPr="00DC4586">
        <w:rPr>
          <w:rStyle w:val="italicus"/>
        </w:rPr>
        <w:t xml:space="preserve"> S</w:t>
      </w:r>
      <w:r w:rsidR="006E0209">
        <w:rPr>
          <w:rStyle w:val="italicus"/>
        </w:rPr>
        <w:t>píritus</w:t>
      </w:r>
      <w:r w:rsidRPr="00DC4586">
        <w:rPr>
          <w:rStyle w:val="italicus"/>
        </w:rPr>
        <w:t xml:space="preserve"> sanctus</w:t>
      </w:r>
      <w:r w:rsidR="00C87A2B">
        <w:rPr>
          <w:rStyle w:val="italicus"/>
        </w:rPr>
        <w:t>...</w:t>
      </w:r>
      <w:r w:rsidRPr="00DC4586">
        <w:rPr>
          <w:rStyle w:val="italicus"/>
        </w:rPr>
        <w:t xml:space="preserve"> ille vos </w:t>
      </w:r>
      <w:r w:rsidR="00473B23" w:rsidRPr="00DC4586">
        <w:rPr>
          <w:rStyle w:val="italicus"/>
        </w:rPr>
        <w:t>doc</w:t>
      </w:r>
      <w:r w:rsidR="00473B23">
        <w:rPr>
          <w:rStyle w:val="italicus"/>
        </w:rPr>
        <w:t>é</w:t>
      </w:r>
      <w:r w:rsidR="00473B23" w:rsidRPr="00DC4586">
        <w:rPr>
          <w:rStyle w:val="italicus"/>
        </w:rPr>
        <w:t>bit</w:t>
      </w:r>
      <w:r w:rsidRPr="00DC4586">
        <w:rPr>
          <w:rStyle w:val="italicus"/>
        </w:rPr>
        <w:t xml:space="preserve"> </w:t>
      </w:r>
      <w:r w:rsidR="00992D87">
        <w:rPr>
          <w:rStyle w:val="italicus"/>
        </w:rPr>
        <w:t>ómnia</w:t>
      </w:r>
      <w:r w:rsidR="00E65435">
        <w:rPr>
          <w:rStyle w:val="italicus"/>
        </w:rPr>
        <w:t xml:space="preserve">, </w:t>
      </w:r>
      <w:r w:rsidRPr="00DC4586">
        <w:rPr>
          <w:rStyle w:val="italicus"/>
        </w:rPr>
        <w:t xml:space="preserve">et </w:t>
      </w:r>
      <w:r w:rsidR="003905B5" w:rsidRPr="00DC4586">
        <w:rPr>
          <w:rStyle w:val="italicus"/>
        </w:rPr>
        <w:t>súggeret</w:t>
      </w:r>
      <w:r w:rsidRPr="00DC4586">
        <w:rPr>
          <w:rStyle w:val="italicus"/>
        </w:rPr>
        <w:t xml:space="preserve"> vobis </w:t>
      </w:r>
      <w:r w:rsidR="00992D87">
        <w:rPr>
          <w:rStyle w:val="italicus"/>
        </w:rPr>
        <w:t>ómnia</w:t>
      </w:r>
      <w:r w:rsidRPr="00DC4586">
        <w:rPr>
          <w:rStyle w:val="italicus"/>
        </w:rPr>
        <w:t xml:space="preserve"> q</w:t>
      </w:r>
      <w:r w:rsidR="00776C8C">
        <w:rPr>
          <w:rStyle w:val="italicus"/>
        </w:rPr>
        <w:t>uæ</w:t>
      </w:r>
      <w:r w:rsidR="00776C8C" w:rsidRPr="00DC4586">
        <w:rPr>
          <w:rStyle w:val="italicus"/>
        </w:rPr>
        <w:t>c</w:t>
      </w:r>
      <w:r w:rsidR="00776C8C">
        <w:rPr>
          <w:rStyle w:val="italicus"/>
        </w:rPr>
        <w:t>ú</w:t>
      </w:r>
      <w:r w:rsidR="00776C8C" w:rsidRPr="00DC4586">
        <w:rPr>
          <w:rStyle w:val="italicus"/>
        </w:rPr>
        <w:t>m</w:t>
      </w:r>
      <w:r w:rsidR="00776C8C">
        <w:rPr>
          <w:rStyle w:val="italicus"/>
        </w:rPr>
        <w:t>qu</w:t>
      </w:r>
      <w:r w:rsidR="00776C8C" w:rsidRPr="00DC4586">
        <w:rPr>
          <w:rStyle w:val="italicus"/>
        </w:rPr>
        <w:t>e</w:t>
      </w:r>
      <w:r w:rsidRPr="00DC4586">
        <w:rPr>
          <w:rStyle w:val="italicus"/>
        </w:rPr>
        <w:t xml:space="preserve"> </w:t>
      </w:r>
      <w:r w:rsidR="003905B5" w:rsidRPr="00DC4586">
        <w:rPr>
          <w:rStyle w:val="italicus"/>
        </w:rPr>
        <w:t>díxero</w:t>
      </w:r>
      <w:r w:rsidRPr="00DC4586">
        <w:rPr>
          <w:rStyle w:val="italicus"/>
        </w:rPr>
        <w:t xml:space="preserve"> vobis</w:t>
      </w:r>
      <w:r w:rsidR="00933C60" w:rsidRPr="00C406FF">
        <w:rPr>
          <w:rStyle w:val="Appelnotedebasdep"/>
        </w:rPr>
        <w:footnoteReference w:id="490"/>
      </w:r>
      <w:r w:rsidRPr="00DC4586">
        <w:rPr>
          <w:rStyle w:val="italicus"/>
        </w:rPr>
        <w:t xml:space="preserve">. </w:t>
      </w:r>
      <w:r w:rsidRPr="00C8701B">
        <w:rPr>
          <w:rFonts w:eastAsia="Arial Unicode MS"/>
          <w:bCs/>
          <w:lang w:eastAsia="fr-FR" w:bidi="he-IL"/>
        </w:rPr>
        <w:t>Cette inspiration ne pouvait manquer aux évangélistes</w:t>
      </w:r>
      <w:r w:rsidR="00E65435">
        <w:rPr>
          <w:rFonts w:eastAsia="Arial Unicode MS"/>
          <w:bCs/>
          <w:lang w:eastAsia="fr-FR" w:bidi="he-IL"/>
        </w:rPr>
        <w:t xml:space="preserve">, </w:t>
      </w:r>
      <w:r w:rsidRPr="00C8701B">
        <w:rPr>
          <w:rFonts w:eastAsia="Arial Unicode MS"/>
          <w:bCs/>
          <w:lang w:eastAsia="fr-FR" w:bidi="he-IL"/>
        </w:rPr>
        <w:t>pour le genre le plus relevé</w:t>
      </w:r>
      <w:r w:rsidR="00E65435">
        <w:rPr>
          <w:rFonts w:eastAsia="Arial Unicode MS"/>
          <w:bCs/>
          <w:lang w:eastAsia="fr-FR" w:bidi="he-IL"/>
        </w:rPr>
        <w:t xml:space="preserve">, </w:t>
      </w:r>
      <w:r w:rsidRPr="00C8701B">
        <w:rPr>
          <w:rFonts w:eastAsia="Arial Unicode MS"/>
          <w:bCs/>
          <w:lang w:eastAsia="fr-FR" w:bidi="he-IL"/>
        </w:rPr>
        <w:t>le plus important de leur ministère.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3° Le culte soit public soit privé des évangiles</w:t>
      </w:r>
      <w:r w:rsidR="00E65435">
        <w:rPr>
          <w:rFonts w:eastAsia="Arial Unicode MS"/>
          <w:bCs/>
          <w:lang w:eastAsia="fr-FR" w:bidi="he-IL"/>
        </w:rPr>
        <w:t xml:space="preserve">, </w:t>
      </w:r>
      <w:r w:rsidRPr="00C8701B">
        <w:rPr>
          <w:rFonts w:eastAsia="Arial Unicode MS"/>
          <w:bCs/>
          <w:lang w:eastAsia="fr-FR" w:bidi="he-IL"/>
        </w:rPr>
        <w:t>depuis les premiers siècles de l</w:t>
      </w:r>
      <w:r w:rsidR="00557DE0">
        <w:rPr>
          <w:rFonts w:eastAsia="Arial Unicode MS"/>
          <w:bCs/>
          <w:lang w:eastAsia="fr-FR" w:bidi="he-IL"/>
        </w:rPr>
        <w:t>’</w:t>
      </w:r>
      <w:r w:rsidR="00C8701B">
        <w:rPr>
          <w:rFonts w:eastAsia="Arial Unicode MS"/>
          <w:bCs/>
          <w:lang w:eastAsia="fr-FR" w:bidi="he-IL"/>
        </w:rPr>
        <w:t>Église</w:t>
      </w:r>
      <w:r w:rsidR="00E65435">
        <w:rPr>
          <w:rFonts w:eastAsia="Arial Unicode MS"/>
          <w:bCs/>
          <w:lang w:eastAsia="fr-FR" w:bidi="he-IL"/>
        </w:rPr>
        <w:t xml:space="preserve">, </w:t>
      </w:r>
      <w:r w:rsidRPr="00C8701B">
        <w:rPr>
          <w:rFonts w:eastAsia="Arial Unicode MS"/>
          <w:bCs/>
          <w:lang w:eastAsia="fr-FR" w:bidi="he-IL"/>
        </w:rPr>
        <w:t>est encore une preuve de la croyance à leur inspiration</w:t>
      </w:r>
      <w:r w:rsidR="00E65435">
        <w:rPr>
          <w:rFonts w:eastAsia="Arial Unicode MS"/>
          <w:bCs/>
          <w:lang w:eastAsia="fr-FR" w:bidi="he-IL"/>
        </w:rPr>
        <w:t xml:space="preserve">, </w:t>
      </w:r>
      <w:r w:rsidRPr="00C8701B">
        <w:rPr>
          <w:rFonts w:eastAsia="Arial Unicode MS"/>
          <w:bCs/>
          <w:lang w:eastAsia="fr-FR" w:bidi="he-IL"/>
        </w:rPr>
        <w:t>par conséquent une preuve de leur divinité.</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Nous avions relevé à ce sujet un certai</w:t>
      </w:r>
      <w:r w:rsidR="003905B5">
        <w:rPr>
          <w:rFonts w:eastAsia="Arial Unicode MS"/>
          <w:bCs/>
          <w:lang w:eastAsia="fr-FR" w:bidi="he-IL"/>
        </w:rPr>
        <w:t>n nombre de traits archéologiqu</w:t>
      </w:r>
      <w:r w:rsidRPr="00C8701B">
        <w:rPr>
          <w:rFonts w:eastAsia="Arial Unicode MS"/>
          <w:bCs/>
          <w:lang w:eastAsia="fr-FR" w:bidi="he-IL"/>
        </w:rPr>
        <w:t>es. Les trouvant ensuite fort bien groupés par M. Martigny</w:t>
      </w:r>
      <w:r w:rsidR="00E65435">
        <w:rPr>
          <w:rFonts w:eastAsia="Arial Unicode MS"/>
          <w:bCs/>
          <w:lang w:eastAsia="fr-FR" w:bidi="he-IL"/>
        </w:rPr>
        <w:t xml:space="preserve">, </w:t>
      </w:r>
      <w:r w:rsidRPr="00C8701B">
        <w:rPr>
          <w:rFonts w:eastAsia="Arial Unicode MS"/>
          <w:bCs/>
          <w:lang w:eastAsia="fr-FR" w:bidi="he-IL"/>
        </w:rPr>
        <w:t>dans son célèbre</w:t>
      </w:r>
      <w:r w:rsidRPr="00DC4586">
        <w:rPr>
          <w:rStyle w:val="italicus"/>
        </w:rPr>
        <w:t xml:space="preserve"> Dictionnaire des antiquités chrétiennes</w:t>
      </w:r>
      <w:r w:rsidR="00E65435">
        <w:rPr>
          <w:rStyle w:val="italicus"/>
        </w:rPr>
        <w:t xml:space="preserve">, </w:t>
      </w:r>
      <w:r w:rsidRPr="00C8701B">
        <w:rPr>
          <w:rFonts w:eastAsia="Arial Unicode MS"/>
          <w:bCs/>
          <w:lang w:eastAsia="fr-FR" w:bidi="he-IL"/>
        </w:rPr>
        <w:t>nous avons voulu rendre un humble hommage à la mémoire de ce savant vénéré</w:t>
      </w:r>
      <w:r w:rsidR="00E65435">
        <w:rPr>
          <w:rFonts w:eastAsia="Arial Unicode MS"/>
          <w:bCs/>
          <w:lang w:eastAsia="fr-FR" w:bidi="he-IL"/>
        </w:rPr>
        <w:t xml:space="preserve">, </w:t>
      </w:r>
      <w:r w:rsidRPr="00C8701B">
        <w:rPr>
          <w:rFonts w:eastAsia="Arial Unicode MS"/>
          <w:bCs/>
          <w:lang w:eastAsia="fr-FR" w:bidi="he-IL"/>
        </w:rPr>
        <w:t>en citant intégralement deux de ses pages</w:t>
      </w:r>
      <w:r w:rsidR="00933C60" w:rsidRPr="00C406FF">
        <w:rPr>
          <w:rStyle w:val="Appelnotedebasdep"/>
        </w:rPr>
        <w:footnoteReference w:id="491"/>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DC4586" w:rsidRDefault="00B704AD" w:rsidP="00EA28F4">
      <w:pPr>
        <w:rPr>
          <w:rStyle w:val="italicus"/>
        </w:rPr>
      </w:pPr>
      <w:r w:rsidRPr="00C8701B">
        <w:rPr>
          <w:rFonts w:eastAsia="Arial Unicode MS"/>
          <w:bCs/>
          <w:lang w:eastAsia="fr-FR" w:bidi="he-IL"/>
        </w:rPr>
        <w:t>A.</w:t>
      </w:r>
      <w:r w:rsidR="00DF496C">
        <w:rPr>
          <w:rStyle w:val="italicus"/>
        </w:rPr>
        <w:t xml:space="preserve"> Cult</w:t>
      </w:r>
      <w:r w:rsidRPr="00DC4586">
        <w:rPr>
          <w:rStyle w:val="italicus"/>
        </w:rPr>
        <w:t>e public.</w:t>
      </w:r>
      <w:r w:rsidRPr="00C8701B">
        <w:rPr>
          <w:rFonts w:eastAsia="Arial Unicode MS"/>
          <w:bCs/>
          <w:lang w:eastAsia="fr-FR" w:bidi="he-IL"/>
        </w:rPr>
        <w:t xml:space="preserve"> </w:t>
      </w:r>
      <w:r w:rsidR="00C2602D" w:rsidRPr="00C8701B">
        <w:rPr>
          <w:rFonts w:eastAsia="Arial Unicode MS"/>
          <w:bCs/>
          <w:lang w:eastAsia="fr-FR" w:bidi="he-IL"/>
        </w:rPr>
        <w:t>« </w:t>
      </w:r>
      <w:r w:rsidRPr="00C8701B">
        <w:rPr>
          <w:rFonts w:eastAsia="Arial Unicode MS"/>
          <w:bCs/>
          <w:lang w:eastAsia="fr-FR" w:bidi="he-IL"/>
        </w:rPr>
        <w:t xml:space="preserve">Le livre des saints </w:t>
      </w:r>
      <w:r w:rsidR="000439E9">
        <w:rPr>
          <w:rFonts w:eastAsia="Arial Unicode MS"/>
          <w:bCs/>
          <w:lang w:eastAsia="fr-FR" w:bidi="he-IL"/>
        </w:rPr>
        <w:t>Évangile</w:t>
      </w:r>
      <w:r w:rsidRPr="00C8701B">
        <w:rPr>
          <w:rFonts w:eastAsia="Arial Unicode MS"/>
          <w:bCs/>
          <w:lang w:eastAsia="fr-FR" w:bidi="he-IL"/>
        </w:rPr>
        <w:t>s fut de tout temps dans l</w:t>
      </w:r>
      <w:r w:rsidR="00557DE0">
        <w:rPr>
          <w:rFonts w:eastAsia="Arial Unicode MS"/>
          <w:bCs/>
          <w:lang w:eastAsia="fr-FR" w:bidi="he-IL"/>
        </w:rPr>
        <w:t>’</w:t>
      </w:r>
      <w:r w:rsidR="00C8701B">
        <w:rPr>
          <w:rFonts w:eastAsia="Arial Unicode MS"/>
          <w:bCs/>
          <w:lang w:eastAsia="fr-FR" w:bidi="he-IL"/>
        </w:rPr>
        <w:t>Église</w:t>
      </w:r>
      <w:r w:rsidRPr="00C8701B">
        <w:rPr>
          <w:rFonts w:eastAsia="Arial Unicode MS"/>
          <w:bCs/>
          <w:lang w:eastAsia="fr-FR" w:bidi="he-IL"/>
        </w:rPr>
        <w:t xml:space="preserve"> l</w:t>
      </w:r>
      <w:r w:rsidR="00557DE0">
        <w:rPr>
          <w:rFonts w:eastAsia="Arial Unicode MS"/>
          <w:bCs/>
          <w:lang w:eastAsia="fr-FR" w:bidi="he-IL"/>
        </w:rPr>
        <w:t>’</w:t>
      </w:r>
      <w:r w:rsidRPr="00C8701B">
        <w:rPr>
          <w:rFonts w:eastAsia="Arial Unicode MS"/>
          <w:bCs/>
          <w:lang w:eastAsia="fr-FR" w:bidi="he-IL"/>
        </w:rPr>
        <w:t>objet d</w:t>
      </w:r>
      <w:r w:rsidR="00557DE0">
        <w:rPr>
          <w:rFonts w:eastAsia="Arial Unicode MS"/>
          <w:bCs/>
          <w:lang w:eastAsia="fr-FR" w:bidi="he-IL"/>
        </w:rPr>
        <w:t>’</w:t>
      </w:r>
      <w:r w:rsidRPr="00C8701B">
        <w:rPr>
          <w:rFonts w:eastAsia="Arial Unicode MS"/>
          <w:bCs/>
          <w:lang w:eastAsia="fr-FR" w:bidi="he-IL"/>
        </w:rPr>
        <w:t>un culte religieux</w:t>
      </w:r>
      <w:r w:rsidR="007D3F5A">
        <w:rPr>
          <w:rFonts w:eastAsia="Arial Unicode MS"/>
          <w:bCs/>
          <w:lang w:eastAsia="fr-FR" w:bidi="he-IL"/>
        </w:rPr>
        <w:t xml:space="preserve">. </w:t>
      </w:r>
      <w:r w:rsidR="007D3F5A" w:rsidRPr="00C8701B">
        <w:rPr>
          <w:rFonts w:eastAsia="Arial Unicode MS"/>
          <w:bCs/>
          <w:lang w:eastAsia="fr-FR" w:bidi="he-IL"/>
        </w:rPr>
        <w:t>L</w:t>
      </w:r>
      <w:r w:rsidRPr="00C8701B">
        <w:rPr>
          <w:rFonts w:eastAsia="Arial Unicode MS"/>
          <w:bCs/>
          <w:lang w:eastAsia="fr-FR" w:bidi="he-IL"/>
        </w:rPr>
        <w:t>e quatrième concile de Constantinople</w:t>
      </w:r>
      <w:r w:rsidR="00E65435">
        <w:rPr>
          <w:rFonts w:eastAsia="Arial Unicode MS"/>
          <w:bCs/>
          <w:lang w:eastAsia="fr-FR" w:bidi="he-IL"/>
        </w:rPr>
        <w:t xml:space="preserve">, </w:t>
      </w:r>
      <w:r w:rsidRPr="00C8701B">
        <w:rPr>
          <w:rFonts w:eastAsia="Arial Unicode MS"/>
          <w:bCs/>
          <w:lang w:eastAsia="fr-FR" w:bidi="he-IL"/>
        </w:rPr>
        <w:t>Ac</w:t>
      </w:r>
      <w:r w:rsidR="00E26FC6">
        <w:rPr>
          <w:rFonts w:eastAsia="Arial Unicode MS"/>
          <w:bCs/>
          <w:lang w:eastAsia="fr-FR" w:bidi="he-IL"/>
        </w:rPr>
        <w:t>t. X</w:t>
      </w:r>
      <w:r w:rsidR="00E65435">
        <w:rPr>
          <w:rFonts w:eastAsia="Arial Unicode MS"/>
          <w:bCs/>
          <w:lang w:eastAsia="fr-FR" w:bidi="he-IL"/>
        </w:rPr>
        <w:t xml:space="preserve">, </w:t>
      </w:r>
      <w:r w:rsidRPr="00C8701B">
        <w:rPr>
          <w:rFonts w:eastAsia="Arial Unicode MS"/>
          <w:bCs/>
          <w:lang w:eastAsia="fr-FR" w:bidi="he-IL"/>
        </w:rPr>
        <w:t>can. 3</w:t>
      </w:r>
      <w:r w:rsidR="00E65435">
        <w:rPr>
          <w:rFonts w:eastAsia="Arial Unicode MS"/>
          <w:bCs/>
          <w:lang w:eastAsia="fr-FR" w:bidi="he-IL"/>
        </w:rPr>
        <w:t xml:space="preserve">, </w:t>
      </w:r>
      <w:r w:rsidRPr="00C8701B">
        <w:rPr>
          <w:rFonts w:eastAsia="Arial Unicode MS"/>
          <w:bCs/>
          <w:lang w:eastAsia="fr-FR" w:bidi="he-IL"/>
        </w:rPr>
        <w:t>ap. Labbe</w:t>
      </w:r>
      <w:r w:rsidR="00E65435">
        <w:rPr>
          <w:rFonts w:eastAsia="Arial Unicode MS"/>
          <w:bCs/>
          <w:lang w:eastAsia="fr-FR" w:bidi="he-IL"/>
        </w:rPr>
        <w:t xml:space="preserve">, </w:t>
      </w:r>
      <w:r w:rsidRPr="00C8701B">
        <w:rPr>
          <w:rFonts w:eastAsia="Arial Unicode MS"/>
          <w:bCs/>
          <w:lang w:eastAsia="fr-FR" w:bidi="he-IL"/>
        </w:rPr>
        <w:t xml:space="preserve">t. </w:t>
      </w:r>
      <w:r w:rsidR="001157C4">
        <w:rPr>
          <w:rFonts w:eastAsia="Arial Unicode MS"/>
          <w:bCs/>
          <w:lang w:eastAsia="fr-FR" w:bidi="he-IL"/>
        </w:rPr>
        <w:t>X</w:t>
      </w:r>
      <w:r w:rsidR="00E65435">
        <w:rPr>
          <w:rFonts w:eastAsia="Arial Unicode MS"/>
          <w:bCs/>
          <w:lang w:eastAsia="fr-FR" w:bidi="he-IL"/>
        </w:rPr>
        <w:t xml:space="preserve">, </w:t>
      </w:r>
      <w:r w:rsidRPr="00C8701B">
        <w:rPr>
          <w:rFonts w:eastAsia="Arial Unicode MS"/>
          <w:bCs/>
          <w:lang w:eastAsia="fr-FR" w:bidi="he-IL"/>
        </w:rPr>
        <w:t>p. 634</w:t>
      </w:r>
      <w:r w:rsidR="00E65435">
        <w:rPr>
          <w:rFonts w:eastAsia="Arial Unicode MS"/>
          <w:bCs/>
          <w:lang w:eastAsia="fr-FR" w:bidi="he-IL"/>
        </w:rPr>
        <w:t xml:space="preserve">, </w:t>
      </w:r>
      <w:r w:rsidRPr="00C8701B">
        <w:rPr>
          <w:rFonts w:eastAsia="Arial Unicode MS"/>
          <w:bCs/>
          <w:lang w:eastAsia="fr-FR" w:bidi="he-IL"/>
        </w:rPr>
        <w:t>ne fit que renouveler la doctrine du deuxième de Nicée</w:t>
      </w:r>
      <w:r w:rsidR="00E65435">
        <w:rPr>
          <w:rFonts w:eastAsia="Arial Unicode MS"/>
          <w:bCs/>
          <w:lang w:eastAsia="fr-FR" w:bidi="he-IL"/>
        </w:rPr>
        <w:t xml:space="preserve">, </w:t>
      </w:r>
      <w:r w:rsidRPr="00C8701B">
        <w:rPr>
          <w:rFonts w:eastAsia="Arial Unicode MS"/>
          <w:bCs/>
          <w:lang w:eastAsia="fr-FR" w:bidi="he-IL"/>
        </w:rPr>
        <w:t>qui elle-même n</w:t>
      </w:r>
      <w:r w:rsidR="00557DE0">
        <w:rPr>
          <w:rFonts w:eastAsia="Arial Unicode MS"/>
          <w:bCs/>
          <w:lang w:eastAsia="fr-FR" w:bidi="he-IL"/>
        </w:rPr>
        <w:t>’</w:t>
      </w:r>
      <w:r w:rsidRPr="00C8701B">
        <w:rPr>
          <w:rFonts w:eastAsia="Arial Unicode MS"/>
          <w:bCs/>
          <w:lang w:eastAsia="fr-FR" w:bidi="he-IL"/>
        </w:rPr>
        <w:t>était que l</w:t>
      </w:r>
      <w:r w:rsidR="00557DE0">
        <w:rPr>
          <w:rFonts w:eastAsia="Arial Unicode MS"/>
          <w:bCs/>
          <w:lang w:eastAsia="fr-FR" w:bidi="he-IL"/>
        </w:rPr>
        <w:t>’</w:t>
      </w:r>
      <w:r w:rsidRPr="00C8701B">
        <w:rPr>
          <w:rFonts w:eastAsia="Arial Unicode MS"/>
          <w:bCs/>
          <w:lang w:eastAsia="fr-FR" w:bidi="he-IL"/>
        </w:rPr>
        <w:t>expression de l</w:t>
      </w:r>
      <w:r w:rsidR="00557DE0">
        <w:rPr>
          <w:rFonts w:eastAsia="Arial Unicode MS"/>
          <w:bCs/>
          <w:lang w:eastAsia="fr-FR" w:bidi="he-IL"/>
        </w:rPr>
        <w:t>’</w:t>
      </w:r>
      <w:r w:rsidRPr="00C8701B">
        <w:rPr>
          <w:rFonts w:eastAsia="Arial Unicode MS"/>
          <w:bCs/>
          <w:lang w:eastAsia="fr-FR" w:bidi="he-IL"/>
        </w:rPr>
        <w:t xml:space="preserve">esprit primitif </w:t>
      </w:r>
      <w:r w:rsidR="00B52FA3">
        <w:rPr>
          <w:rFonts w:eastAsia="Arial Unicode MS"/>
          <w:bCs/>
          <w:lang w:eastAsia="fr-FR" w:bidi="he-IL"/>
        </w:rPr>
        <w:t>{90</w:t>
      </w:r>
      <w:bookmarkStart w:id="141" w:name="pag090"/>
      <w:bookmarkEnd w:id="141"/>
      <w:r w:rsidR="00B52FA3">
        <w:rPr>
          <w:rFonts w:eastAsia="Arial Unicode MS"/>
          <w:bCs/>
          <w:lang w:eastAsia="fr-FR" w:bidi="he-IL"/>
        </w:rPr>
        <w:t xml:space="preserve">} </w:t>
      </w:r>
      <w:r w:rsidRPr="00C8701B">
        <w:rPr>
          <w:rFonts w:eastAsia="Arial Unicode MS"/>
          <w:bCs/>
          <w:lang w:eastAsia="fr-FR" w:bidi="he-IL"/>
        </w:rPr>
        <w:t>du christianisme</w:t>
      </w:r>
      <w:r w:rsidR="00E65435">
        <w:rPr>
          <w:rFonts w:eastAsia="Arial Unicode MS"/>
          <w:bCs/>
          <w:lang w:eastAsia="fr-FR" w:bidi="he-IL"/>
        </w:rPr>
        <w:t xml:space="preserve">, </w:t>
      </w:r>
      <w:r w:rsidRPr="00C8701B">
        <w:rPr>
          <w:rFonts w:eastAsia="Arial Unicode MS"/>
          <w:bCs/>
          <w:lang w:eastAsia="fr-FR" w:bidi="he-IL"/>
        </w:rPr>
        <w:t>en décrétant qu</w:t>
      </w:r>
      <w:r w:rsidR="00557DE0">
        <w:rPr>
          <w:rFonts w:eastAsia="Arial Unicode MS"/>
          <w:bCs/>
          <w:lang w:eastAsia="fr-FR" w:bidi="he-IL"/>
        </w:rPr>
        <w:t>’</w:t>
      </w:r>
      <w:r w:rsidRPr="00C8701B">
        <w:rPr>
          <w:rFonts w:eastAsia="Arial Unicode MS"/>
          <w:bCs/>
          <w:lang w:eastAsia="fr-FR" w:bidi="he-IL"/>
        </w:rPr>
        <w:t>on devait rendre au livre de l</w:t>
      </w:r>
      <w:r w:rsidR="00557DE0">
        <w:rPr>
          <w:rFonts w:eastAsia="Arial Unicode MS"/>
          <w:bCs/>
          <w:lang w:eastAsia="fr-FR" w:bidi="he-IL"/>
        </w:rPr>
        <w:t>’</w:t>
      </w:r>
      <w:r w:rsidRPr="00C8701B">
        <w:rPr>
          <w:rFonts w:eastAsia="Arial Unicode MS"/>
          <w:bCs/>
          <w:lang w:eastAsia="fr-FR" w:bidi="he-IL"/>
        </w:rPr>
        <w:t>évangile le même culte qu</w:t>
      </w:r>
      <w:r w:rsidR="00557DE0">
        <w:rPr>
          <w:rFonts w:eastAsia="Arial Unicode MS"/>
          <w:bCs/>
          <w:lang w:eastAsia="fr-FR" w:bidi="he-IL"/>
        </w:rPr>
        <w:t>’</w:t>
      </w:r>
      <w:r w:rsidRPr="00C8701B">
        <w:rPr>
          <w:rFonts w:eastAsia="Arial Unicode MS"/>
          <w:bCs/>
          <w:lang w:eastAsia="fr-FR" w:bidi="he-IL"/>
        </w:rPr>
        <w:t>à l</w:t>
      </w:r>
      <w:r w:rsidR="00557DE0">
        <w:rPr>
          <w:rFonts w:eastAsia="Arial Unicode MS"/>
          <w:bCs/>
          <w:lang w:eastAsia="fr-FR" w:bidi="he-IL"/>
        </w:rPr>
        <w:t>’</w:t>
      </w:r>
      <w:r w:rsidRPr="00C8701B">
        <w:rPr>
          <w:rFonts w:eastAsia="Arial Unicode MS"/>
          <w:bCs/>
          <w:lang w:eastAsia="fr-FR" w:bidi="he-IL"/>
        </w:rPr>
        <w:t>image même de Jésus-Christ. Les Pères mettaient un zèle infini à en conserver le te</w:t>
      </w:r>
      <w:r w:rsidR="00E26FC6">
        <w:rPr>
          <w:rFonts w:eastAsia="Arial Unicode MS"/>
          <w:bCs/>
          <w:lang w:eastAsia="fr-FR" w:bidi="he-IL"/>
        </w:rPr>
        <w:t xml:space="preserve">xte dans toute sa pureté et </w:t>
      </w:r>
      <w:r w:rsidR="00DF496C">
        <w:rPr>
          <w:rFonts w:eastAsia="Arial Unicode MS"/>
          <w:bCs/>
          <w:lang w:eastAsia="fr-FR" w:bidi="he-IL"/>
        </w:rPr>
        <w:t>inté</w:t>
      </w:r>
      <w:r w:rsidR="00DF496C" w:rsidRPr="00C8701B">
        <w:rPr>
          <w:rFonts w:eastAsia="Arial Unicode MS"/>
          <w:bCs/>
          <w:lang w:eastAsia="fr-FR" w:bidi="he-IL"/>
        </w:rPr>
        <w:t>grité</w:t>
      </w:r>
      <w:r w:rsidR="00E65435">
        <w:rPr>
          <w:rFonts w:eastAsia="Arial Unicode MS"/>
          <w:bCs/>
          <w:lang w:eastAsia="fr-FR" w:bidi="he-IL"/>
        </w:rPr>
        <w:t xml:space="preserve">, </w:t>
      </w:r>
      <w:r w:rsidRPr="00C8701B">
        <w:rPr>
          <w:rFonts w:eastAsia="Arial Unicode MS"/>
          <w:bCs/>
          <w:lang w:eastAsia="fr-FR" w:bidi="he-IL"/>
        </w:rPr>
        <w:t>et ils en écrivaient souvent des copies de leur propre main. C</w:t>
      </w:r>
      <w:r w:rsidR="00557DE0">
        <w:rPr>
          <w:rFonts w:eastAsia="Arial Unicode MS"/>
          <w:bCs/>
          <w:lang w:eastAsia="fr-FR" w:bidi="he-IL"/>
        </w:rPr>
        <w:t>’</w:t>
      </w:r>
      <w:r w:rsidRPr="00C8701B">
        <w:rPr>
          <w:rFonts w:eastAsia="Arial Unicode MS"/>
          <w:bCs/>
          <w:lang w:eastAsia="fr-FR" w:bidi="he-IL"/>
        </w:rPr>
        <w:t xml:space="preserve">est </w:t>
      </w:r>
      <w:r w:rsidR="00EA28F4">
        <w:rPr>
          <w:rFonts w:eastAsia="Arial Unicode MS"/>
          <w:bCs/>
          <w:lang w:eastAsia="fr-FR" w:bidi="he-IL"/>
        </w:rPr>
        <w:t xml:space="preserve">ce </w:t>
      </w:r>
      <w:r w:rsidRPr="00C8701B">
        <w:rPr>
          <w:rFonts w:eastAsia="Arial Unicode MS"/>
          <w:bCs/>
          <w:lang w:eastAsia="fr-FR" w:bidi="he-IL"/>
        </w:rPr>
        <w:t>qu</w:t>
      </w:r>
      <w:r w:rsidR="00EA28F4">
        <w:rPr>
          <w:rFonts w:eastAsia="Arial Unicode MS"/>
          <w:bCs/>
          <w:lang w:eastAsia="fr-FR" w:bidi="he-IL"/>
        </w:rPr>
        <w:t>’</w:t>
      </w:r>
      <w:r w:rsidRPr="00C8701B">
        <w:rPr>
          <w:rFonts w:eastAsia="Arial Unicode MS"/>
          <w:bCs/>
          <w:lang w:eastAsia="fr-FR" w:bidi="he-IL"/>
        </w:rPr>
        <w:t>on sait en particulier de S. Pamphile (Hier.</w:t>
      </w:r>
      <w:r w:rsidR="00E65435">
        <w:rPr>
          <w:rFonts w:eastAsia="Arial Unicode MS"/>
          <w:bCs/>
          <w:lang w:eastAsia="fr-FR" w:bidi="he-IL"/>
        </w:rPr>
        <w:t xml:space="preserve">, </w:t>
      </w:r>
      <w:r w:rsidRPr="00DC4586">
        <w:rPr>
          <w:rStyle w:val="italicus"/>
        </w:rPr>
        <w:t>De vir. illustr.</w:t>
      </w:r>
      <w:r w:rsidRPr="00C8701B">
        <w:rPr>
          <w:rFonts w:eastAsia="Arial Unicode MS"/>
          <w:bCs/>
          <w:lang w:eastAsia="fr-FR" w:bidi="he-IL"/>
        </w:rPr>
        <w:t xml:space="preserve"> </w:t>
      </w:r>
      <w:r w:rsidR="0004306D">
        <w:rPr>
          <w:rFonts w:eastAsia="Arial Unicode MS"/>
          <w:bCs/>
          <w:lang w:eastAsia="fr-FR" w:bidi="he-IL"/>
        </w:rPr>
        <w:t>L</w:t>
      </w:r>
      <w:r w:rsidR="0042479B">
        <w:rPr>
          <w:rFonts w:eastAsia="Arial Unicode MS"/>
          <w:bCs/>
          <w:lang w:eastAsia="fr-FR" w:bidi="he-IL"/>
        </w:rPr>
        <w:t>XXV</w:t>
      </w:r>
      <w:r w:rsidRPr="00C8701B">
        <w:rPr>
          <w:rFonts w:eastAsia="Arial Unicode MS"/>
          <w:bCs/>
          <w:lang w:eastAsia="fr-FR" w:bidi="he-IL"/>
        </w:rPr>
        <w:t>) d</w:t>
      </w:r>
      <w:r w:rsidR="00557DE0">
        <w:rPr>
          <w:rFonts w:eastAsia="Arial Unicode MS"/>
          <w:bCs/>
          <w:lang w:eastAsia="fr-FR" w:bidi="he-IL"/>
        </w:rPr>
        <w:t>’</w:t>
      </w:r>
      <w:r w:rsidR="00EA28F4" w:rsidRPr="00C8701B">
        <w:rPr>
          <w:rFonts w:eastAsia="Arial Unicode MS"/>
          <w:bCs/>
          <w:lang w:eastAsia="fr-FR" w:bidi="he-IL"/>
        </w:rPr>
        <w:t>Eusèbe</w:t>
      </w:r>
      <w:r w:rsidRPr="00DC4586">
        <w:rPr>
          <w:rStyle w:val="italicus"/>
        </w:rPr>
        <w:t xml:space="preserve"> </w:t>
      </w:r>
      <w:r w:rsidRPr="00C8701B">
        <w:rPr>
          <w:rFonts w:eastAsia="Arial Unicode MS"/>
          <w:bCs/>
          <w:iCs/>
          <w:lang w:eastAsia="fr-FR" w:bidi="he-IL"/>
        </w:rPr>
        <w:t>(</w:t>
      </w:r>
      <w:r w:rsidRPr="00DC4586">
        <w:rPr>
          <w:rStyle w:val="italicus"/>
        </w:rPr>
        <w:t>ibid.</w:t>
      </w:r>
      <w:r w:rsidR="00E65435">
        <w:rPr>
          <w:rStyle w:val="italicus"/>
        </w:rPr>
        <w:t xml:space="preserve">, </w:t>
      </w:r>
      <w:r w:rsidR="0004306D">
        <w:rPr>
          <w:rFonts w:eastAsia="Arial Unicode MS"/>
          <w:bCs/>
          <w:lang w:eastAsia="fr-FR" w:bidi="he-IL"/>
        </w:rPr>
        <w:t>LX</w:t>
      </w:r>
      <w:r w:rsidR="00C2681A">
        <w:rPr>
          <w:rFonts w:eastAsia="Arial Unicode MS"/>
          <w:bCs/>
          <w:lang w:eastAsia="fr-FR" w:bidi="he-IL"/>
        </w:rPr>
        <w:t>X</w:t>
      </w:r>
      <w:r w:rsidR="00CD0109">
        <w:rPr>
          <w:rFonts w:eastAsia="Arial Unicode MS"/>
          <w:bCs/>
          <w:lang w:eastAsia="fr-FR" w:bidi="he-IL"/>
        </w:rPr>
        <w:t>XI</w:t>
      </w:r>
      <w:r w:rsidRPr="00C8701B">
        <w:rPr>
          <w:rFonts w:eastAsia="Arial Unicode MS"/>
          <w:bCs/>
          <w:lang w:eastAsia="fr-FR" w:bidi="he-IL"/>
        </w:rPr>
        <w:t>)</w:t>
      </w:r>
      <w:r w:rsidR="00E65435">
        <w:rPr>
          <w:rFonts w:eastAsia="Arial Unicode MS"/>
          <w:bCs/>
          <w:lang w:eastAsia="fr-FR" w:bidi="he-IL"/>
        </w:rPr>
        <w:t xml:space="preserve">, </w:t>
      </w:r>
      <w:r w:rsidRPr="00C8701B">
        <w:rPr>
          <w:rFonts w:eastAsia="Arial Unicode MS"/>
          <w:bCs/>
          <w:lang w:eastAsia="fr-FR" w:bidi="he-IL"/>
        </w:rPr>
        <w:t>de S. Jérôme</w:t>
      </w:r>
      <w:r w:rsidRPr="00DC4586">
        <w:rPr>
          <w:rStyle w:val="italicus"/>
        </w:rPr>
        <w:t xml:space="preserve"> </w:t>
      </w:r>
      <w:r w:rsidRPr="00C8701B">
        <w:rPr>
          <w:rFonts w:eastAsia="Arial Unicode MS"/>
          <w:bCs/>
          <w:iCs/>
          <w:lang w:eastAsia="fr-FR" w:bidi="he-IL"/>
        </w:rPr>
        <w:t>(</w:t>
      </w:r>
      <w:r w:rsidRPr="00DC4586">
        <w:rPr>
          <w:rStyle w:val="italicus"/>
        </w:rPr>
        <w:t>Epist.</w:t>
      </w:r>
      <w:r w:rsidRPr="00C8701B">
        <w:rPr>
          <w:rFonts w:eastAsia="Arial Unicode MS"/>
          <w:bCs/>
          <w:lang w:eastAsia="fr-FR" w:bidi="he-IL"/>
        </w:rPr>
        <w:t xml:space="preserve"> </w:t>
      </w:r>
      <w:r w:rsidR="00A319EA">
        <w:rPr>
          <w:rFonts w:eastAsia="Arial Unicode MS"/>
          <w:bCs/>
          <w:lang w:eastAsia="fr-FR" w:bidi="he-IL"/>
        </w:rPr>
        <w:t>VI</w:t>
      </w:r>
      <w:r w:rsidRPr="00C8701B">
        <w:rPr>
          <w:rFonts w:eastAsia="Arial Unicode MS"/>
          <w:bCs/>
          <w:lang w:eastAsia="fr-FR" w:bidi="he-IL"/>
        </w:rPr>
        <w:t>). Les deux premiers unis</w:t>
      </w:r>
      <w:r w:rsidR="00E65435">
        <w:rPr>
          <w:rFonts w:eastAsia="Arial Unicode MS"/>
          <w:bCs/>
          <w:lang w:eastAsia="fr-FR" w:bidi="he-IL"/>
        </w:rPr>
        <w:t xml:space="preserve">, </w:t>
      </w:r>
      <w:r w:rsidRPr="00C8701B">
        <w:rPr>
          <w:rFonts w:eastAsia="Arial Unicode MS"/>
          <w:bCs/>
          <w:lang w:eastAsia="fr-FR" w:bidi="he-IL"/>
        </w:rPr>
        <w:t>comme on sait</w:t>
      </w:r>
      <w:r w:rsidR="00E65435">
        <w:rPr>
          <w:rFonts w:eastAsia="Arial Unicode MS"/>
          <w:bCs/>
          <w:lang w:eastAsia="fr-FR" w:bidi="he-IL"/>
        </w:rPr>
        <w:t xml:space="preserve">, </w:t>
      </w:r>
      <w:r w:rsidRPr="00C8701B">
        <w:rPr>
          <w:rFonts w:eastAsia="Arial Unicode MS"/>
          <w:bCs/>
          <w:lang w:eastAsia="fr-FR" w:bidi="he-IL"/>
        </w:rPr>
        <w:t>par les liens d</w:t>
      </w:r>
      <w:r w:rsidR="00557DE0">
        <w:rPr>
          <w:rFonts w:eastAsia="Arial Unicode MS"/>
          <w:bCs/>
          <w:lang w:eastAsia="fr-FR" w:bidi="he-IL"/>
        </w:rPr>
        <w:t>’</w:t>
      </w:r>
      <w:r w:rsidRPr="00C8701B">
        <w:rPr>
          <w:rFonts w:eastAsia="Arial Unicode MS"/>
          <w:bCs/>
          <w:lang w:eastAsia="fr-FR" w:bidi="he-IL"/>
        </w:rPr>
        <w:t>une étroite amitié</w:t>
      </w:r>
      <w:r w:rsidR="00E65435">
        <w:rPr>
          <w:rFonts w:eastAsia="Arial Unicode MS"/>
          <w:bCs/>
          <w:lang w:eastAsia="fr-FR" w:bidi="he-IL"/>
        </w:rPr>
        <w:t xml:space="preserve">, </w:t>
      </w:r>
      <w:r w:rsidRPr="00C8701B">
        <w:rPr>
          <w:rFonts w:eastAsia="Arial Unicode MS"/>
          <w:bCs/>
          <w:lang w:eastAsia="fr-FR" w:bidi="he-IL"/>
        </w:rPr>
        <w:t>s</w:t>
      </w:r>
      <w:r w:rsidR="00557DE0">
        <w:rPr>
          <w:rFonts w:eastAsia="Arial Unicode MS"/>
          <w:bCs/>
          <w:lang w:eastAsia="fr-FR" w:bidi="he-IL"/>
        </w:rPr>
        <w:t>’</w:t>
      </w:r>
      <w:r w:rsidRPr="00C8701B">
        <w:rPr>
          <w:rFonts w:eastAsia="Arial Unicode MS"/>
          <w:bCs/>
          <w:lang w:eastAsia="fr-FR" w:bidi="he-IL"/>
        </w:rPr>
        <w:t>associèrent plusieurs fois dans un zèle pieux pour cette œuvre importante</w:t>
      </w:r>
      <w:r w:rsidR="00B46FDF">
        <w:rPr>
          <w:rFonts w:eastAsia="Arial Unicode MS"/>
          <w:bCs/>
          <w:lang w:eastAsia="fr-FR" w:bidi="he-IL"/>
        </w:rPr>
        <w:t xml:space="preserve">. Il </w:t>
      </w:r>
      <w:r w:rsidR="00B46FDF" w:rsidRPr="00C8701B">
        <w:rPr>
          <w:rFonts w:eastAsia="Arial Unicode MS"/>
          <w:bCs/>
          <w:lang w:eastAsia="fr-FR" w:bidi="he-IL"/>
        </w:rPr>
        <w:t>n</w:t>
      </w:r>
      <w:r w:rsidRPr="00C8701B">
        <w:rPr>
          <w:rFonts w:eastAsia="Arial Unicode MS"/>
          <w:bCs/>
          <w:lang w:eastAsia="fr-FR" w:bidi="he-IL"/>
        </w:rPr>
        <w:t>ous reste encore aujourd</w:t>
      </w:r>
      <w:r w:rsidR="00EA28F4">
        <w:rPr>
          <w:rFonts w:eastAsia="Arial Unicode MS"/>
          <w:bCs/>
          <w:lang w:eastAsia="fr-FR" w:bidi="he-IL"/>
        </w:rPr>
        <w:t>’</w:t>
      </w:r>
      <w:r w:rsidRPr="00C8701B">
        <w:rPr>
          <w:rFonts w:eastAsia="Arial Unicode MS"/>
          <w:bCs/>
          <w:lang w:eastAsia="fr-FR" w:bidi="he-IL"/>
        </w:rPr>
        <w:t>hui plusieurs manuscrits syriaques et grecs</w:t>
      </w:r>
      <w:r w:rsidR="00E65435">
        <w:rPr>
          <w:rFonts w:eastAsia="Arial Unicode MS"/>
          <w:bCs/>
          <w:lang w:eastAsia="fr-FR" w:bidi="he-IL"/>
        </w:rPr>
        <w:t xml:space="preserve">, </w:t>
      </w:r>
      <w:r w:rsidRPr="00C8701B">
        <w:rPr>
          <w:rFonts w:eastAsia="Arial Unicode MS"/>
          <w:bCs/>
          <w:lang w:eastAsia="fr-FR" w:bidi="he-IL"/>
        </w:rPr>
        <w:t>où sont fidèlement reproduites les souscriptions qu</w:t>
      </w:r>
      <w:r w:rsidR="00557DE0">
        <w:rPr>
          <w:rFonts w:eastAsia="Arial Unicode MS"/>
          <w:bCs/>
          <w:lang w:eastAsia="fr-FR" w:bidi="he-IL"/>
        </w:rPr>
        <w:t>’</w:t>
      </w:r>
      <w:r w:rsidRPr="00C8701B">
        <w:rPr>
          <w:rFonts w:eastAsia="Arial Unicode MS"/>
          <w:bCs/>
          <w:lang w:eastAsia="fr-FR" w:bidi="he-IL"/>
        </w:rPr>
        <w:t>avaien</w:t>
      </w:r>
      <w:r w:rsidR="00E26FC6">
        <w:rPr>
          <w:rFonts w:eastAsia="Arial Unicode MS"/>
          <w:bCs/>
          <w:lang w:eastAsia="fr-FR" w:bidi="he-IL"/>
        </w:rPr>
        <w:t>t mises ces deux grands hommes à</w:t>
      </w:r>
      <w:r w:rsidRPr="00C8701B">
        <w:rPr>
          <w:rFonts w:eastAsia="Arial Unicode MS"/>
          <w:bCs/>
          <w:lang w:eastAsia="fr-FR" w:bidi="he-IL"/>
        </w:rPr>
        <w:t xml:space="preserve"> la fin des exempl</w:t>
      </w:r>
      <w:r w:rsidR="00E26FC6">
        <w:rPr>
          <w:rFonts w:eastAsia="Arial Unicode MS"/>
          <w:bCs/>
          <w:lang w:eastAsia="fr-FR" w:bidi="he-IL"/>
        </w:rPr>
        <w:t>aires corrigés par leurs soins</w:t>
      </w:r>
      <w:r w:rsidR="001B4203">
        <w:rPr>
          <w:rFonts w:eastAsia="Arial Unicode MS"/>
          <w:bCs/>
          <w:lang w:eastAsia="fr-FR" w:bidi="he-IL"/>
        </w:rPr>
        <w:t xml:space="preserve"> </w:t>
      </w:r>
      <w:r w:rsidRPr="00C8701B">
        <w:rPr>
          <w:rFonts w:eastAsia="Arial Unicode MS"/>
          <w:bCs/>
          <w:lang w:eastAsia="fr-FR" w:bidi="he-IL"/>
        </w:rPr>
        <w:t>(voyez de Rossi</w:t>
      </w:r>
      <w:r w:rsidR="00E65435">
        <w:rPr>
          <w:rFonts w:eastAsia="Arial Unicode MS"/>
          <w:bCs/>
          <w:lang w:eastAsia="fr-FR" w:bidi="he-IL"/>
        </w:rPr>
        <w:t xml:space="preserve">, </w:t>
      </w:r>
      <w:r w:rsidR="00EA28F4" w:rsidRPr="00DC4586">
        <w:rPr>
          <w:rStyle w:val="italicus"/>
        </w:rPr>
        <w:t>Bollettino</w:t>
      </w:r>
      <w:r w:rsidR="00E65435">
        <w:rPr>
          <w:rStyle w:val="italicus"/>
        </w:rPr>
        <w:t xml:space="preserve">, </w:t>
      </w:r>
      <w:r w:rsidRPr="00C8701B">
        <w:rPr>
          <w:rFonts w:eastAsia="Arial Unicode MS"/>
          <w:bCs/>
          <w:lang w:eastAsia="fr-FR" w:bidi="he-IL"/>
        </w:rPr>
        <w:t>ann. 1</w:t>
      </w:r>
      <w:r w:rsidR="00E65435">
        <w:rPr>
          <w:rFonts w:eastAsia="Arial Unicode MS"/>
          <w:bCs/>
          <w:lang w:eastAsia="fr-FR" w:bidi="he-IL"/>
        </w:rPr>
        <w:t xml:space="preserve">, </w:t>
      </w:r>
      <w:r w:rsidRPr="00C8701B">
        <w:rPr>
          <w:rFonts w:eastAsia="Arial Unicode MS"/>
          <w:bCs/>
          <w:lang w:eastAsia="fr-FR" w:bidi="he-IL"/>
        </w:rPr>
        <w:t>p. 67)</w:t>
      </w:r>
      <w:r w:rsidR="00C2602D" w:rsidRPr="00C8701B">
        <w:rPr>
          <w:rFonts w:eastAsia="Arial Unicode MS"/>
          <w:bCs/>
          <w:lang w:eastAsia="fr-FR" w:bidi="he-IL"/>
        </w:rPr>
        <w:t> :</w:t>
      </w:r>
      <w:r w:rsidRPr="00DC4586">
        <w:rPr>
          <w:rStyle w:val="italicus"/>
        </w:rPr>
        <w:t xml:space="preserve"> </w:t>
      </w:r>
      <w:r w:rsidR="00E26FC6">
        <w:rPr>
          <w:rStyle w:val="italicus"/>
        </w:rPr>
        <w:t>corrigé</w:t>
      </w:r>
      <w:r w:rsidR="00E26FC6" w:rsidRPr="00DC4586">
        <w:rPr>
          <w:rStyle w:val="italicus"/>
        </w:rPr>
        <w:t>ndo accuráte</w:t>
      </w:r>
      <w:r w:rsidRPr="00DC4586">
        <w:rPr>
          <w:rStyle w:val="italicus"/>
        </w:rPr>
        <w:t xml:space="preserve"> ego </w:t>
      </w:r>
      <w:r w:rsidR="00E26FC6" w:rsidRPr="00DC4586">
        <w:rPr>
          <w:rStyle w:val="italicus"/>
        </w:rPr>
        <w:t>Eusébius</w:t>
      </w:r>
      <w:r w:rsidR="00E26FC6">
        <w:rPr>
          <w:rStyle w:val="italicus"/>
        </w:rPr>
        <w:t xml:space="preserve"> corré</w:t>
      </w:r>
      <w:r w:rsidRPr="00DC4586">
        <w:rPr>
          <w:rStyle w:val="italicus"/>
        </w:rPr>
        <w:t>xi</w:t>
      </w:r>
      <w:r w:rsidR="00E65435">
        <w:rPr>
          <w:rStyle w:val="italicus"/>
        </w:rPr>
        <w:t xml:space="preserve">, </w:t>
      </w:r>
      <w:r w:rsidR="00E26FC6">
        <w:rPr>
          <w:rStyle w:val="italicus"/>
        </w:rPr>
        <w:t>Pá</w:t>
      </w:r>
      <w:r w:rsidRPr="00DC4586">
        <w:rPr>
          <w:rStyle w:val="italicus"/>
        </w:rPr>
        <w:t>mphilo collat</w:t>
      </w:r>
      <w:r w:rsidR="000B732C">
        <w:rPr>
          <w:rStyle w:val="italicus"/>
        </w:rPr>
        <w:t>iónem</w:t>
      </w:r>
      <w:r w:rsidR="00E26FC6">
        <w:rPr>
          <w:rStyle w:val="italicus"/>
        </w:rPr>
        <w:t xml:space="preserve"> instituént</w:t>
      </w:r>
      <w:r w:rsidRPr="00DC4586">
        <w:rPr>
          <w:rStyle w:val="italicus"/>
        </w:rPr>
        <w:t>e</w:t>
      </w:r>
      <w:r w:rsidR="00C2602D" w:rsidRPr="00DC4586">
        <w:rPr>
          <w:rStyle w:val="italicus"/>
        </w:rPr>
        <w:t> </w:t>
      </w:r>
      <w:r w:rsidR="007F6508">
        <w:rPr>
          <w:rStyle w:val="italicus"/>
        </w:rPr>
        <w:t xml:space="preserve">; </w:t>
      </w:r>
      <w:r w:rsidR="00E26FC6">
        <w:rPr>
          <w:rStyle w:val="italicus"/>
        </w:rPr>
        <w:t>Pá</w:t>
      </w:r>
      <w:r w:rsidRPr="00DC4586">
        <w:rPr>
          <w:rStyle w:val="italicus"/>
        </w:rPr>
        <w:t xml:space="preserve">mphilus et </w:t>
      </w:r>
      <w:r w:rsidR="00E26FC6" w:rsidRPr="00DC4586">
        <w:rPr>
          <w:rStyle w:val="italicus"/>
        </w:rPr>
        <w:t>Eusébius</w:t>
      </w:r>
      <w:r w:rsidRPr="00DC4586">
        <w:rPr>
          <w:rStyle w:val="italicus"/>
        </w:rPr>
        <w:t xml:space="preserve"> </w:t>
      </w:r>
      <w:r w:rsidR="00E26FC6" w:rsidRPr="00DC4586">
        <w:rPr>
          <w:rStyle w:val="italicus"/>
        </w:rPr>
        <w:t>sédulo</w:t>
      </w:r>
      <w:r w:rsidRPr="00DC4586">
        <w:rPr>
          <w:rStyle w:val="italicus"/>
        </w:rPr>
        <w:t xml:space="preserve"> cor</w:t>
      </w:r>
      <w:r w:rsidR="00473B23" w:rsidRPr="00DC4586">
        <w:rPr>
          <w:rStyle w:val="italicus"/>
        </w:rPr>
        <w:t>rex</w:t>
      </w:r>
      <w:r w:rsidR="00473B23">
        <w:rPr>
          <w:rStyle w:val="italicus"/>
        </w:rPr>
        <w:t>érunt</w:t>
      </w:r>
      <w:r w:rsidR="00C2602D" w:rsidRPr="00DC4586">
        <w:rPr>
          <w:rStyle w:val="italicus"/>
        </w:rPr>
        <w:t> </w:t>
      </w:r>
      <w:r w:rsidR="007F6508">
        <w:rPr>
          <w:rStyle w:val="italicus"/>
        </w:rPr>
        <w:t xml:space="preserve">; </w:t>
      </w:r>
      <w:r w:rsidRPr="00DC4586">
        <w:rPr>
          <w:rStyle w:val="italicus"/>
        </w:rPr>
        <w:t xml:space="preserve">manu </w:t>
      </w:r>
      <w:r w:rsidR="00E26FC6" w:rsidRPr="00DC4586">
        <w:rPr>
          <w:rStyle w:val="italicus"/>
        </w:rPr>
        <w:t>própria</w:t>
      </w:r>
      <w:r w:rsidRPr="00DC4586">
        <w:rPr>
          <w:rStyle w:val="italicus"/>
        </w:rPr>
        <w:t xml:space="preserve"> sua </w:t>
      </w:r>
      <w:r w:rsidR="00E26FC6" w:rsidRPr="00DC4586">
        <w:rPr>
          <w:rStyle w:val="italicus"/>
        </w:rPr>
        <w:t>Pámphilus</w:t>
      </w:r>
      <w:r w:rsidRPr="00DC4586">
        <w:rPr>
          <w:rStyle w:val="italicus"/>
        </w:rPr>
        <w:t xml:space="preserve"> et </w:t>
      </w:r>
      <w:r w:rsidR="00E26FC6" w:rsidRPr="00DC4586">
        <w:rPr>
          <w:rStyle w:val="italicus"/>
        </w:rPr>
        <w:t>Eusébius</w:t>
      </w:r>
      <w:r w:rsidRPr="00DC4586">
        <w:rPr>
          <w:rStyle w:val="italicus"/>
        </w:rPr>
        <w:t xml:space="preserve"> cor</w:t>
      </w:r>
      <w:r w:rsidR="00473B23" w:rsidRPr="00DC4586">
        <w:rPr>
          <w:rStyle w:val="italicus"/>
        </w:rPr>
        <w:t>rex</w:t>
      </w:r>
      <w:r w:rsidR="00473B23">
        <w:rPr>
          <w:rStyle w:val="italicus"/>
        </w:rPr>
        <w:t>érunt</w:t>
      </w:r>
      <w:r w:rsidR="00C2602D" w:rsidRPr="00DC4586">
        <w:rPr>
          <w:rStyle w:val="italicus"/>
        </w:rPr>
        <w:t> </w:t>
      </w:r>
      <w:r w:rsidR="007F6508">
        <w:rPr>
          <w:rStyle w:val="italicus"/>
        </w:rPr>
        <w:t xml:space="preserve">; </w:t>
      </w:r>
      <w:r w:rsidR="00E26FC6" w:rsidRPr="00DC4586">
        <w:rPr>
          <w:rStyle w:val="italicus"/>
        </w:rPr>
        <w:t>íterum</w:t>
      </w:r>
      <w:r w:rsidRPr="00DC4586">
        <w:rPr>
          <w:rStyle w:val="italicus"/>
        </w:rPr>
        <w:t xml:space="preserve"> manu</w:t>
      </w:r>
      <w:r w:rsidR="00C2602D" w:rsidRPr="00C8701B">
        <w:rPr>
          <w:rFonts w:eastAsia="Arial Unicode MS"/>
          <w:bCs/>
          <w:lang w:eastAsia="fr-FR" w:bidi="he-IL"/>
        </w:rPr>
        <w:t xml:space="preserve"> </w:t>
      </w:r>
      <w:r w:rsidRPr="00DC4586">
        <w:rPr>
          <w:rStyle w:val="italicus"/>
        </w:rPr>
        <w:t xml:space="preserve">nostra nosmet </w:t>
      </w:r>
      <w:r w:rsidR="00E26FC6" w:rsidRPr="00DC4586">
        <w:rPr>
          <w:rStyle w:val="italicus"/>
        </w:rPr>
        <w:t>Pámphilus</w:t>
      </w:r>
      <w:r w:rsidRPr="00DC4586">
        <w:rPr>
          <w:rStyle w:val="italicus"/>
        </w:rPr>
        <w:t xml:space="preserve"> et </w:t>
      </w:r>
      <w:r w:rsidR="00E26FC6" w:rsidRPr="00DC4586">
        <w:rPr>
          <w:rStyle w:val="italicus"/>
        </w:rPr>
        <w:t>Eusébius</w:t>
      </w:r>
      <w:r w:rsidR="00E26FC6">
        <w:rPr>
          <w:rStyle w:val="italicus"/>
        </w:rPr>
        <w:t xml:space="preserve"> corré</w:t>
      </w:r>
      <w:r w:rsidRPr="00DC4586">
        <w:rPr>
          <w:rStyle w:val="italicus"/>
        </w:rPr>
        <w:t>ximus</w:t>
      </w:r>
      <w:r w:rsidR="00E65435">
        <w:rPr>
          <w:rStyle w:val="italicus"/>
        </w:rPr>
        <w:t xml:space="preserve">, </w:t>
      </w:r>
      <w:r w:rsidRPr="00C8701B">
        <w:rPr>
          <w:rFonts w:eastAsia="Arial Unicode MS"/>
          <w:bCs/>
          <w:lang w:eastAsia="fr-FR" w:bidi="he-IL"/>
        </w:rPr>
        <w:t>etc</w:t>
      </w:r>
      <w:r w:rsidR="00E26FC6">
        <w:rPr>
          <w:rFonts w:eastAsia="Arial Unicode MS"/>
          <w:bCs/>
          <w:lang w:eastAsia="fr-FR" w:bidi="he-IL"/>
        </w:rPr>
        <w:t>…</w:t>
      </w:r>
    </w:p>
    <w:p w:rsidR="00C2602D" w:rsidRPr="00C8701B" w:rsidRDefault="00B704AD" w:rsidP="00C2602D">
      <w:pPr>
        <w:rPr>
          <w:rFonts w:eastAsia="Arial Unicode MS"/>
          <w:bCs/>
          <w:lang w:eastAsia="fr-FR" w:bidi="he-IL"/>
        </w:rPr>
      </w:pPr>
      <w:r w:rsidRPr="00C8701B">
        <w:rPr>
          <w:rFonts w:eastAsia="Arial Unicode MS"/>
          <w:bCs/>
          <w:lang w:eastAsia="fr-FR" w:bidi="he-IL"/>
        </w:rPr>
        <w:t>Pour obtenir la correction des copies</w:t>
      </w:r>
      <w:r w:rsidR="00E65435">
        <w:rPr>
          <w:rFonts w:eastAsia="Arial Unicode MS"/>
          <w:bCs/>
          <w:lang w:eastAsia="fr-FR" w:bidi="he-IL"/>
        </w:rPr>
        <w:t xml:space="preserve">, </w:t>
      </w:r>
      <w:r w:rsidRPr="00C8701B">
        <w:rPr>
          <w:rFonts w:eastAsia="Arial Unicode MS"/>
          <w:bCs/>
          <w:lang w:eastAsia="fr-FR" w:bidi="he-IL"/>
        </w:rPr>
        <w:t xml:space="preserve">on ne reculait devant aucune </w:t>
      </w:r>
      <w:r w:rsidR="00E26FC6" w:rsidRPr="00C8701B">
        <w:rPr>
          <w:rFonts w:eastAsia="Arial Unicode MS"/>
          <w:bCs/>
          <w:lang w:eastAsia="fr-FR" w:bidi="he-IL"/>
        </w:rPr>
        <w:t>dépense</w:t>
      </w:r>
      <w:r w:rsidR="00E65435">
        <w:rPr>
          <w:rFonts w:eastAsia="Arial Unicode MS"/>
          <w:bCs/>
          <w:lang w:eastAsia="fr-FR" w:bidi="he-IL"/>
        </w:rPr>
        <w:t xml:space="preserve">, </w:t>
      </w:r>
      <w:r w:rsidRPr="00C8701B">
        <w:rPr>
          <w:rFonts w:eastAsia="Arial Unicode MS"/>
          <w:bCs/>
          <w:lang w:eastAsia="fr-FR" w:bidi="he-IL"/>
        </w:rPr>
        <w:t>ainsi que nous le voyons par les prix marqués à la fin de certains manuscrits plus remarquables (Borgia</w:t>
      </w:r>
      <w:r w:rsidR="00E65435">
        <w:rPr>
          <w:rFonts w:eastAsia="Arial Unicode MS"/>
          <w:bCs/>
          <w:lang w:eastAsia="fr-FR" w:bidi="he-IL"/>
        </w:rPr>
        <w:t xml:space="preserve">, </w:t>
      </w:r>
      <w:r w:rsidR="00E26FC6">
        <w:rPr>
          <w:rStyle w:val="italicus"/>
        </w:rPr>
        <w:t>De c</w:t>
      </w:r>
      <w:r w:rsidRPr="00DC4586">
        <w:rPr>
          <w:rStyle w:val="italicus"/>
        </w:rPr>
        <w:t>ruce Velit.</w:t>
      </w:r>
      <w:r w:rsidR="00E65435">
        <w:rPr>
          <w:rStyle w:val="italicus"/>
        </w:rPr>
        <w:t xml:space="preserve">, </w:t>
      </w:r>
      <w:r w:rsidRPr="00C8701B">
        <w:rPr>
          <w:rFonts w:eastAsia="Arial Unicode MS"/>
          <w:bCs/>
          <w:lang w:eastAsia="fr-FR" w:bidi="he-IL"/>
        </w:rPr>
        <w:t>183). Dans le principe</w:t>
      </w:r>
      <w:r w:rsidR="00E65435">
        <w:rPr>
          <w:rFonts w:eastAsia="Arial Unicode MS"/>
          <w:bCs/>
          <w:lang w:eastAsia="fr-FR" w:bidi="he-IL"/>
        </w:rPr>
        <w:t xml:space="preserve">, </w:t>
      </w:r>
      <w:r w:rsidRPr="00C8701B">
        <w:rPr>
          <w:rFonts w:eastAsia="Arial Unicode MS"/>
          <w:bCs/>
          <w:lang w:eastAsia="fr-FR" w:bidi="he-IL"/>
        </w:rPr>
        <w:t>chaque évangile était écrit dans un volume à part. S. Jérôme (Honor. Augustod.</w:t>
      </w:r>
      <w:r w:rsidR="00E65435">
        <w:rPr>
          <w:rFonts w:eastAsia="Arial Unicode MS"/>
          <w:bCs/>
          <w:lang w:eastAsia="fr-FR" w:bidi="he-IL"/>
        </w:rPr>
        <w:t xml:space="preserve">, </w:t>
      </w:r>
      <w:r w:rsidRPr="00DC4586">
        <w:rPr>
          <w:rStyle w:val="italicus"/>
        </w:rPr>
        <w:t>Gemm. anim.</w:t>
      </w:r>
      <w:r w:rsidRPr="00C8701B">
        <w:rPr>
          <w:rFonts w:eastAsia="Arial Unicode MS"/>
          <w:bCs/>
          <w:lang w:eastAsia="fr-FR" w:bidi="he-IL"/>
        </w:rPr>
        <w:t xml:space="preserve"> lib. II</w:t>
      </w:r>
      <w:r w:rsidR="00E65435">
        <w:rPr>
          <w:rFonts w:eastAsia="Arial Unicode MS"/>
          <w:bCs/>
          <w:lang w:eastAsia="fr-FR" w:bidi="he-IL"/>
        </w:rPr>
        <w:t xml:space="preserve">, </w:t>
      </w:r>
      <w:r w:rsidRPr="00C8701B">
        <w:rPr>
          <w:rFonts w:eastAsia="Arial Unicode MS"/>
          <w:bCs/>
          <w:lang w:eastAsia="fr-FR" w:bidi="he-IL"/>
        </w:rPr>
        <w:t xml:space="preserve">c. </w:t>
      </w:r>
      <w:r w:rsidR="00E26FC6">
        <w:rPr>
          <w:rFonts w:eastAsia="Arial Unicode MS"/>
          <w:bCs/>
          <w:lang w:eastAsia="fr-FR" w:bidi="he-IL"/>
        </w:rPr>
        <w:t>88) est le premier qui ait formé</w:t>
      </w:r>
      <w:r w:rsidRPr="00C8701B">
        <w:rPr>
          <w:rFonts w:eastAsia="Arial Unicode MS"/>
          <w:bCs/>
          <w:lang w:eastAsia="fr-FR" w:bidi="he-IL"/>
        </w:rPr>
        <w:t xml:space="preserve"> ce qu</w:t>
      </w:r>
      <w:r w:rsidR="00557DE0">
        <w:rPr>
          <w:rFonts w:eastAsia="Arial Unicode MS"/>
          <w:bCs/>
          <w:lang w:eastAsia="fr-FR" w:bidi="he-IL"/>
        </w:rPr>
        <w:t>’</w:t>
      </w:r>
      <w:r w:rsidRPr="00C8701B">
        <w:rPr>
          <w:rFonts w:eastAsia="Arial Unicode MS"/>
          <w:bCs/>
          <w:lang w:eastAsia="fr-FR" w:bidi="he-IL"/>
        </w:rPr>
        <w:t>on a appelé depuis un</w:t>
      </w:r>
      <w:r w:rsidRPr="00DC4586">
        <w:rPr>
          <w:rStyle w:val="italicus"/>
        </w:rPr>
        <w:t xml:space="preserve"> lectionnaire</w:t>
      </w:r>
      <w:r w:rsidRPr="00C8701B">
        <w:rPr>
          <w:rFonts w:eastAsia="Arial Unicode MS"/>
          <w:bCs/>
          <w:lang w:eastAsia="fr-FR" w:bidi="he-IL"/>
        </w:rPr>
        <w:t xml:space="preserve"> et un</w:t>
      </w:r>
      <w:r w:rsidRPr="00DC4586">
        <w:rPr>
          <w:rStyle w:val="italicus"/>
        </w:rPr>
        <w:t xml:space="preserve"> évangéliaire</w:t>
      </w:r>
      <w:r w:rsidR="00E65435">
        <w:rPr>
          <w:rStyle w:val="italicus"/>
        </w:rPr>
        <w:t xml:space="preserve">, </w:t>
      </w:r>
      <w:r w:rsidRPr="00C8701B">
        <w:rPr>
          <w:rFonts w:eastAsia="Arial Unicode MS"/>
          <w:bCs/>
          <w:lang w:eastAsia="fr-FR" w:bidi="he-IL"/>
        </w:rPr>
        <w:t>et le pape Damase en prescrivit la lecture pendant la liturgie. Cette lecture se faisait dans toutes les langues parlées par les différentes personnes présentes</w:t>
      </w:r>
      <w:r w:rsidR="00C2602D" w:rsidRPr="00C8701B">
        <w:rPr>
          <w:rFonts w:eastAsia="Arial Unicode MS"/>
          <w:bCs/>
          <w:lang w:eastAsia="fr-FR" w:bidi="he-IL"/>
        </w:rPr>
        <w:t> </w:t>
      </w:r>
      <w:r w:rsidR="007F6508">
        <w:rPr>
          <w:rFonts w:eastAsia="Arial Unicode MS"/>
          <w:bCs/>
          <w:lang w:eastAsia="fr-FR" w:bidi="he-IL"/>
        </w:rPr>
        <w:t xml:space="preserve">; </w:t>
      </w:r>
      <w:r w:rsidR="00E26FC6">
        <w:rPr>
          <w:rFonts w:eastAsia="Arial Unicode MS"/>
          <w:bCs/>
          <w:lang w:eastAsia="fr-FR" w:bidi="he-IL"/>
        </w:rPr>
        <w:t xml:space="preserve">à </w:t>
      </w:r>
      <w:r w:rsidR="00EA28F4">
        <w:rPr>
          <w:rFonts w:eastAsia="Arial Unicode MS"/>
          <w:bCs/>
          <w:lang w:eastAsia="fr-FR" w:bidi="he-IL"/>
        </w:rPr>
        <w:t>Scythópoli</w:t>
      </w:r>
      <w:r w:rsidR="00EA28F4" w:rsidRPr="00C8701B">
        <w:rPr>
          <w:rFonts w:eastAsia="Arial Unicode MS"/>
          <w:bCs/>
          <w:lang w:eastAsia="fr-FR" w:bidi="he-IL"/>
        </w:rPr>
        <w:t>s</w:t>
      </w:r>
      <w:r w:rsidR="00E65435">
        <w:rPr>
          <w:rFonts w:eastAsia="Arial Unicode MS"/>
          <w:bCs/>
          <w:lang w:eastAsia="fr-FR" w:bidi="he-IL"/>
        </w:rPr>
        <w:t xml:space="preserve">, </w:t>
      </w:r>
      <w:r w:rsidRPr="00C8701B">
        <w:rPr>
          <w:rFonts w:eastAsia="Arial Unicode MS"/>
          <w:bCs/>
          <w:lang w:eastAsia="fr-FR" w:bidi="he-IL"/>
        </w:rPr>
        <w:t>Procope</w:t>
      </w:r>
      <w:r w:rsidR="00E65435">
        <w:rPr>
          <w:rFonts w:eastAsia="Arial Unicode MS"/>
          <w:bCs/>
          <w:lang w:eastAsia="fr-FR" w:bidi="he-IL"/>
        </w:rPr>
        <w:t xml:space="preserve">, </w:t>
      </w:r>
      <w:r w:rsidRPr="00C8701B">
        <w:rPr>
          <w:rFonts w:eastAsia="Arial Unicode MS"/>
          <w:bCs/>
          <w:lang w:eastAsia="fr-FR" w:bidi="he-IL"/>
        </w:rPr>
        <w:t>qui était lecteur et exorciste (Ruinart</w:t>
      </w:r>
      <w:r w:rsidR="00E65435">
        <w:rPr>
          <w:rFonts w:eastAsia="Arial Unicode MS"/>
          <w:bCs/>
          <w:lang w:eastAsia="fr-FR" w:bidi="he-IL"/>
        </w:rPr>
        <w:t xml:space="preserve">, </w:t>
      </w:r>
      <w:r w:rsidRPr="00C8701B">
        <w:rPr>
          <w:rFonts w:eastAsia="Arial Unicode MS"/>
          <w:bCs/>
          <w:lang w:eastAsia="fr-FR" w:bidi="he-IL"/>
        </w:rPr>
        <w:t>édit. Veron.</w:t>
      </w:r>
      <w:r w:rsidR="00E65435">
        <w:rPr>
          <w:rFonts w:eastAsia="Arial Unicode MS"/>
          <w:bCs/>
          <w:lang w:eastAsia="fr-FR" w:bidi="he-IL"/>
        </w:rPr>
        <w:t xml:space="preserve">, </w:t>
      </w:r>
      <w:r w:rsidRPr="00C8701B">
        <w:rPr>
          <w:rFonts w:eastAsia="Arial Unicode MS"/>
          <w:bCs/>
          <w:lang w:eastAsia="fr-FR" w:bidi="he-IL"/>
        </w:rPr>
        <w:t>p. 311)</w:t>
      </w:r>
      <w:r w:rsidR="00E65435">
        <w:rPr>
          <w:rFonts w:eastAsia="Arial Unicode MS"/>
          <w:bCs/>
          <w:lang w:eastAsia="fr-FR" w:bidi="he-IL"/>
        </w:rPr>
        <w:t xml:space="preserve">, </w:t>
      </w:r>
      <w:r w:rsidR="00E26FC6">
        <w:rPr>
          <w:rFonts w:eastAsia="Arial Unicode MS"/>
          <w:bCs/>
          <w:lang w:eastAsia="fr-FR" w:bidi="he-IL"/>
        </w:rPr>
        <w:t>lisait l</w:t>
      </w:r>
      <w:r w:rsidR="00557DE0">
        <w:rPr>
          <w:rFonts w:eastAsia="Arial Unicode MS"/>
          <w:bCs/>
          <w:lang w:eastAsia="fr-FR" w:bidi="he-IL"/>
        </w:rPr>
        <w:t>’</w:t>
      </w:r>
      <w:r w:rsidRPr="00C8701B">
        <w:rPr>
          <w:rFonts w:eastAsia="Arial Unicode MS"/>
          <w:bCs/>
          <w:lang w:eastAsia="fr-FR" w:bidi="he-IL"/>
        </w:rPr>
        <w:t>évangile en grec et l</w:t>
      </w:r>
      <w:r w:rsidR="00557DE0">
        <w:rPr>
          <w:rFonts w:eastAsia="Arial Unicode MS"/>
          <w:bCs/>
          <w:lang w:eastAsia="fr-FR" w:bidi="he-IL"/>
        </w:rPr>
        <w:t>’</w:t>
      </w:r>
      <w:r w:rsidRPr="00C8701B">
        <w:rPr>
          <w:rFonts w:eastAsia="Arial Unicode MS"/>
          <w:bCs/>
          <w:lang w:eastAsia="fr-FR" w:bidi="he-IL"/>
        </w:rPr>
        <w:t>expliquait en langue syro-chaldaïque.</w:t>
      </w:r>
      <w:r w:rsidR="00C2602D" w:rsidRPr="00C8701B">
        <w:rPr>
          <w:rFonts w:eastAsia="Arial Unicode MS"/>
          <w:bCs/>
          <w:lang w:eastAsia="fr-FR" w:bidi="he-IL"/>
        </w:rPr>
        <w:t xml:space="preserve"> </w:t>
      </w:r>
    </w:p>
    <w:p w:rsidR="00C2602D" w:rsidRPr="00C8701B" w:rsidRDefault="00C2602D" w:rsidP="00C2602D">
      <w:pPr>
        <w:rPr>
          <w:rFonts w:eastAsia="Arial Unicode MS"/>
          <w:bCs/>
          <w:lang w:eastAsia="fr-FR" w:bidi="he-IL"/>
        </w:rPr>
      </w:pPr>
      <w:r w:rsidRPr="00C8701B">
        <w:rPr>
          <w:rFonts w:eastAsia="Arial Unicode MS"/>
          <w:bCs/>
          <w:lang w:eastAsia="fr-FR" w:bidi="he-IL"/>
        </w:rPr>
        <w:t>»</w:t>
      </w:r>
      <w:r w:rsidR="00E26FC6" w:rsidRPr="00C8701B">
        <w:rPr>
          <w:rFonts w:eastAsia="Arial Unicode MS"/>
          <w:bCs/>
          <w:lang w:eastAsia="fr-FR" w:bidi="he-IL"/>
        </w:rPr>
        <w:t> </w:t>
      </w:r>
      <w:r w:rsidR="00B704AD" w:rsidRPr="00C8701B">
        <w:rPr>
          <w:rFonts w:eastAsia="Arial Unicode MS"/>
          <w:bCs/>
          <w:lang w:eastAsia="fr-FR" w:bidi="he-IL"/>
        </w:rPr>
        <w:t>Le plus souvent</w:t>
      </w:r>
      <w:r w:rsidR="00E65435">
        <w:rPr>
          <w:rFonts w:eastAsia="Arial Unicode MS"/>
          <w:bCs/>
          <w:lang w:eastAsia="fr-FR" w:bidi="he-IL"/>
        </w:rPr>
        <w:t xml:space="preserve">, </w:t>
      </w:r>
      <w:r w:rsidR="00B704AD" w:rsidRPr="00C8701B">
        <w:rPr>
          <w:rFonts w:eastAsia="Arial Unicode MS"/>
          <w:bCs/>
          <w:lang w:eastAsia="fr-FR" w:bidi="he-IL"/>
        </w:rPr>
        <w:t>on tenait ces livres sacrés dans des bibliothèques spécialement destinées à cet usage</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plus tard</w:t>
      </w:r>
      <w:r w:rsidR="00E65435">
        <w:rPr>
          <w:rFonts w:eastAsia="Arial Unicode MS"/>
          <w:bCs/>
          <w:lang w:eastAsia="fr-FR" w:bidi="he-IL"/>
        </w:rPr>
        <w:t xml:space="preserve">, </w:t>
      </w:r>
      <w:r w:rsidR="00B704AD" w:rsidRPr="00C8701B">
        <w:rPr>
          <w:rFonts w:eastAsia="Arial Unicode MS"/>
          <w:bCs/>
          <w:lang w:eastAsia="fr-FR" w:bidi="he-IL"/>
        </w:rPr>
        <w:t xml:space="preserve">on les plaça dans un des </w:t>
      </w:r>
      <w:r w:rsidR="00EA28F4" w:rsidRPr="00DC4586">
        <w:rPr>
          <w:rStyle w:val="italicus"/>
        </w:rPr>
        <w:t>secretária</w:t>
      </w:r>
      <w:r w:rsidR="00B704AD" w:rsidRPr="00C8701B">
        <w:rPr>
          <w:rFonts w:eastAsia="Arial Unicode MS"/>
          <w:bCs/>
          <w:lang w:eastAsia="fr-FR" w:bidi="he-IL"/>
        </w:rPr>
        <w:t xml:space="preserve"> qui s</w:t>
      </w:r>
      <w:r w:rsidR="00557DE0">
        <w:rPr>
          <w:rFonts w:eastAsia="Arial Unicode MS"/>
          <w:bCs/>
          <w:lang w:eastAsia="fr-FR" w:bidi="he-IL"/>
        </w:rPr>
        <w:t>’</w:t>
      </w:r>
      <w:r w:rsidR="00B704AD" w:rsidRPr="00C8701B">
        <w:rPr>
          <w:rFonts w:eastAsia="Arial Unicode MS"/>
          <w:bCs/>
          <w:lang w:eastAsia="fr-FR" w:bidi="he-IL"/>
        </w:rPr>
        <w:t>ouvraient des deux côtés de l</w:t>
      </w:r>
      <w:r w:rsidR="00557DE0">
        <w:rPr>
          <w:rFonts w:eastAsia="Arial Unicode MS"/>
          <w:bCs/>
          <w:lang w:eastAsia="fr-FR" w:bidi="he-IL"/>
        </w:rPr>
        <w:t>’</w:t>
      </w:r>
      <w:r w:rsidR="00B704AD" w:rsidRPr="00C8701B">
        <w:rPr>
          <w:rFonts w:eastAsia="Arial Unicode MS"/>
          <w:bCs/>
          <w:lang w:eastAsia="fr-FR" w:bidi="he-IL"/>
        </w:rPr>
        <w:t>autel</w:t>
      </w:r>
      <w:r w:rsidR="00E65435">
        <w:rPr>
          <w:rFonts w:eastAsia="Arial Unicode MS"/>
          <w:bCs/>
          <w:lang w:eastAsia="fr-FR" w:bidi="he-IL"/>
        </w:rPr>
        <w:t xml:space="preserve">, </w:t>
      </w:r>
      <w:r w:rsidR="00B704AD" w:rsidRPr="00C8701B">
        <w:rPr>
          <w:rFonts w:eastAsia="Arial Unicode MS"/>
          <w:bCs/>
          <w:lang w:eastAsia="fr-FR" w:bidi="he-IL"/>
        </w:rPr>
        <w:t>dans l</w:t>
      </w:r>
      <w:r w:rsidR="00557DE0">
        <w:rPr>
          <w:rFonts w:eastAsia="Arial Unicode MS"/>
          <w:bCs/>
          <w:lang w:eastAsia="fr-FR" w:bidi="he-IL"/>
        </w:rPr>
        <w:t>’</w:t>
      </w:r>
      <w:r w:rsidR="00B704AD" w:rsidRPr="00C8701B">
        <w:rPr>
          <w:rFonts w:eastAsia="Arial Unicode MS"/>
          <w:bCs/>
          <w:lang w:eastAsia="fr-FR" w:bidi="he-IL"/>
        </w:rPr>
        <w:t>abside (Paulin.</w:t>
      </w:r>
      <w:r w:rsidR="00E65435">
        <w:rPr>
          <w:rFonts w:eastAsia="Arial Unicode MS"/>
          <w:bCs/>
          <w:lang w:eastAsia="fr-FR" w:bidi="he-IL"/>
        </w:rPr>
        <w:t xml:space="preserve">, </w:t>
      </w:r>
      <w:r w:rsidR="00B704AD" w:rsidRPr="00DC4586">
        <w:rPr>
          <w:rStyle w:val="italicus"/>
        </w:rPr>
        <w:t>Ep. ad</w:t>
      </w:r>
      <w:r w:rsidR="00623A37">
        <w:rPr>
          <w:rStyle w:val="italicus"/>
        </w:rPr>
        <w:t xml:space="preserve"> </w:t>
      </w:r>
      <w:r w:rsidR="00B704AD" w:rsidRPr="00DC4586">
        <w:rPr>
          <w:rStyle w:val="italicus"/>
        </w:rPr>
        <w:t>Sev.</w:t>
      </w:r>
      <w:r w:rsidR="00E65435">
        <w:rPr>
          <w:rStyle w:val="italicus"/>
        </w:rPr>
        <w:t xml:space="preserve">, </w:t>
      </w:r>
      <w:r w:rsidR="00CB43AA">
        <w:rPr>
          <w:rFonts w:eastAsia="Arial Unicode MS"/>
          <w:bCs/>
          <w:lang w:eastAsia="fr-FR" w:bidi="he-IL"/>
        </w:rPr>
        <w:t>XII</w:t>
      </w:r>
      <w:r w:rsidR="00B704AD" w:rsidRPr="00C8701B">
        <w:rPr>
          <w:rFonts w:eastAsia="Arial Unicode MS"/>
          <w:bCs/>
          <w:lang w:eastAsia="fr-FR" w:bidi="he-IL"/>
        </w:rPr>
        <w:t>). S</w:t>
      </w:r>
      <w:r w:rsidR="00E26FC6">
        <w:rPr>
          <w:rFonts w:eastAsia="Arial Unicode MS"/>
          <w:bCs/>
          <w:lang w:eastAsia="fr-FR" w:bidi="he-IL"/>
        </w:rPr>
        <w:t xml:space="preserve">. </w:t>
      </w:r>
      <w:r w:rsidR="00B704AD" w:rsidRPr="00C8701B">
        <w:rPr>
          <w:rFonts w:eastAsia="Arial Unicode MS"/>
          <w:bCs/>
          <w:lang w:eastAsia="fr-FR" w:bidi="he-IL"/>
        </w:rPr>
        <w:t>Ambroise nous apprend</w:t>
      </w:r>
      <w:r w:rsidR="00B704AD" w:rsidRPr="00DC4586">
        <w:rPr>
          <w:rStyle w:val="italicus"/>
        </w:rPr>
        <w:t xml:space="preserve"> </w:t>
      </w:r>
      <w:r w:rsidR="00B704AD" w:rsidRPr="00C8701B">
        <w:rPr>
          <w:rFonts w:eastAsia="Arial Unicode MS"/>
          <w:bCs/>
          <w:iCs/>
          <w:lang w:eastAsia="fr-FR" w:bidi="he-IL"/>
        </w:rPr>
        <w:t>(</w:t>
      </w:r>
      <w:r w:rsidR="00B704AD" w:rsidRPr="00DC4586">
        <w:rPr>
          <w:rStyle w:val="italicus"/>
        </w:rPr>
        <w:t>Epist</w:t>
      </w:r>
      <w:r w:rsidR="001157C4">
        <w:rPr>
          <w:rStyle w:val="italicus"/>
        </w:rPr>
        <w:t xml:space="preserve">. </w:t>
      </w:r>
      <w:r w:rsidR="0096281A" w:rsidRPr="00DB2B7F">
        <w:t>IV</w:t>
      </w:r>
      <w:r w:rsidR="001157C4" w:rsidRPr="00DB2B7F">
        <w:t>,</w:t>
      </w:r>
      <w:r w:rsidR="00E65435" w:rsidRPr="00DB2B7F">
        <w:t xml:space="preserve"> </w:t>
      </w:r>
      <w:r w:rsidR="00B704AD" w:rsidRPr="00DB2B7F">
        <w:t>class. 1)</w:t>
      </w:r>
      <w:r w:rsidR="00E65435" w:rsidRPr="00DB2B7F">
        <w:t xml:space="preserve">, </w:t>
      </w:r>
      <w:r w:rsidR="00B704AD" w:rsidRPr="00DB2B7F">
        <w:t>qu</w:t>
      </w:r>
      <w:r w:rsidR="00557DE0">
        <w:t>’</w:t>
      </w:r>
      <w:r w:rsidR="00B704AD" w:rsidRPr="00DB2B7F">
        <w:t xml:space="preserve">à Milan on les </w:t>
      </w:r>
      <w:r w:rsidR="00B704AD" w:rsidRPr="00C8701B">
        <w:rPr>
          <w:rFonts w:eastAsia="Arial Unicode MS"/>
          <w:bCs/>
          <w:lang w:eastAsia="fr-FR" w:bidi="he-IL"/>
        </w:rPr>
        <w:t>renfermait dans une châsse ornée d</w:t>
      </w:r>
      <w:r w:rsidR="00557DE0">
        <w:rPr>
          <w:rFonts w:eastAsia="Arial Unicode MS"/>
          <w:bCs/>
          <w:lang w:eastAsia="fr-FR" w:bidi="he-IL"/>
        </w:rPr>
        <w:t>’</w:t>
      </w:r>
      <w:r w:rsidR="00B704AD" w:rsidRPr="00C8701B">
        <w:rPr>
          <w:rFonts w:eastAsia="Arial Unicode MS"/>
          <w:bCs/>
          <w:lang w:eastAsia="fr-FR" w:bidi="he-IL"/>
        </w:rPr>
        <w:t>or</w:t>
      </w:r>
      <w:r w:rsidRPr="00C8701B">
        <w:rPr>
          <w:rFonts w:eastAsia="Arial Unicode MS"/>
          <w:bCs/>
          <w:lang w:eastAsia="fr-FR" w:bidi="he-IL"/>
        </w:rPr>
        <w:t> :</w:t>
      </w:r>
      <w:r w:rsidR="00B704AD" w:rsidRPr="00DC4586">
        <w:rPr>
          <w:rStyle w:val="italicus"/>
        </w:rPr>
        <w:t xml:space="preserve"> ibi arca Te</w:t>
      </w:r>
      <w:r w:rsidR="003A07A7">
        <w:rPr>
          <w:rStyle w:val="italicus"/>
        </w:rPr>
        <w:t>staménti</w:t>
      </w:r>
      <w:r w:rsidR="00B704AD" w:rsidRPr="00DC4586">
        <w:rPr>
          <w:rStyle w:val="italicus"/>
        </w:rPr>
        <w:t xml:space="preserve"> </w:t>
      </w:r>
      <w:r w:rsidR="00DB2B7F" w:rsidRPr="00DC4586">
        <w:rPr>
          <w:rStyle w:val="italicus"/>
        </w:rPr>
        <w:t>úndique</w:t>
      </w:r>
      <w:r w:rsidR="00B704AD" w:rsidRPr="00DC4586">
        <w:rPr>
          <w:rStyle w:val="italicus"/>
        </w:rPr>
        <w:t xml:space="preserve"> auro tecta</w:t>
      </w:r>
      <w:r w:rsidR="00E65435">
        <w:rPr>
          <w:rStyle w:val="italicus"/>
        </w:rPr>
        <w:t xml:space="preserve">, </w:t>
      </w:r>
      <w:r w:rsidR="00B704AD" w:rsidRPr="00DC4586">
        <w:rPr>
          <w:rStyle w:val="italicus"/>
        </w:rPr>
        <w:t xml:space="preserve">id est </w:t>
      </w:r>
      <w:r w:rsidR="00E26FC6">
        <w:rPr>
          <w:rStyle w:val="italicus"/>
        </w:rPr>
        <w:t>doctrína</w:t>
      </w:r>
      <w:r w:rsidR="00B704AD" w:rsidRPr="00DC4586">
        <w:rPr>
          <w:rStyle w:val="italicus"/>
        </w:rPr>
        <w:t xml:space="preserve"> Christi.</w:t>
      </w:r>
      <w:r w:rsidR="00B704AD" w:rsidRPr="00C8701B">
        <w:rPr>
          <w:rFonts w:eastAsia="Arial Unicode MS"/>
          <w:bCs/>
          <w:lang w:eastAsia="fr-FR" w:bidi="he-IL"/>
        </w:rPr>
        <w:t xml:space="preserve"> Parmi les richesses que le roi Childebert avait apportées d</w:t>
      </w:r>
      <w:r w:rsidR="00557DE0">
        <w:rPr>
          <w:rFonts w:eastAsia="Arial Unicode MS"/>
          <w:bCs/>
          <w:lang w:eastAsia="fr-FR" w:bidi="he-IL"/>
        </w:rPr>
        <w:t>’</w:t>
      </w:r>
      <w:r w:rsidR="00B704AD" w:rsidRPr="00C8701B">
        <w:rPr>
          <w:rFonts w:eastAsia="Arial Unicode MS"/>
          <w:bCs/>
          <w:lang w:eastAsia="fr-FR" w:bidi="he-IL"/>
        </w:rPr>
        <w:t>Espagne</w:t>
      </w:r>
      <w:r w:rsidR="00E65435">
        <w:rPr>
          <w:rFonts w:eastAsia="Arial Unicode MS"/>
          <w:bCs/>
          <w:lang w:eastAsia="fr-FR" w:bidi="he-IL"/>
        </w:rPr>
        <w:t xml:space="preserve">, </w:t>
      </w:r>
      <w:r w:rsidR="00B704AD" w:rsidRPr="00C8701B">
        <w:rPr>
          <w:rFonts w:eastAsia="Arial Unicode MS"/>
          <w:bCs/>
          <w:lang w:eastAsia="fr-FR" w:bidi="he-IL"/>
        </w:rPr>
        <w:t>S. Grégoire</w:t>
      </w:r>
      <w:r w:rsidR="00E65435">
        <w:rPr>
          <w:rFonts w:eastAsia="Arial Unicode MS"/>
          <w:bCs/>
          <w:lang w:eastAsia="fr-FR" w:bidi="he-IL"/>
        </w:rPr>
        <w:t xml:space="preserve"> </w:t>
      </w:r>
      <w:r w:rsidR="00B704AD" w:rsidRPr="00C8701B">
        <w:rPr>
          <w:rFonts w:eastAsia="Arial Unicode MS"/>
          <w:bCs/>
          <w:lang w:eastAsia="fr-FR" w:bidi="he-IL"/>
        </w:rPr>
        <w:t>de Tours (</w:t>
      </w:r>
      <w:r w:rsidR="00B704AD" w:rsidRPr="00DC4586">
        <w:rPr>
          <w:rStyle w:val="italicus"/>
        </w:rPr>
        <w:t>Hist. Franc.</w:t>
      </w:r>
      <w:r w:rsidR="00E65435">
        <w:rPr>
          <w:rStyle w:val="italicus"/>
        </w:rPr>
        <w:t xml:space="preserve">, </w:t>
      </w:r>
      <w:r w:rsidR="00DB2B7F">
        <w:rPr>
          <w:rFonts w:eastAsia="Arial Unicode MS"/>
          <w:bCs/>
          <w:lang w:eastAsia="fr-FR" w:bidi="he-IL"/>
        </w:rPr>
        <w:t xml:space="preserve">l. </w:t>
      </w:r>
      <w:r w:rsidR="00DB2B7F" w:rsidRPr="00C8701B">
        <w:rPr>
          <w:rFonts w:eastAsia="Arial Unicode MS"/>
          <w:bCs/>
          <w:lang w:eastAsia="fr-FR" w:bidi="he-IL"/>
        </w:rPr>
        <w:t>I</w:t>
      </w:r>
      <w:r w:rsidR="0017332F" w:rsidRPr="00C8701B">
        <w:rPr>
          <w:rFonts w:eastAsia="Arial Unicode MS"/>
          <w:bCs/>
          <w:lang w:eastAsia="fr-FR" w:bidi="he-IL"/>
        </w:rPr>
        <w:t>II</w:t>
      </w:r>
      <w:r w:rsidR="00E65435">
        <w:rPr>
          <w:rFonts w:eastAsia="Arial Unicode MS"/>
          <w:bCs/>
          <w:lang w:eastAsia="fr-FR" w:bidi="he-IL"/>
        </w:rPr>
        <w:t xml:space="preserve">, </w:t>
      </w:r>
      <w:r w:rsidR="00B704AD" w:rsidRPr="00C8701B">
        <w:rPr>
          <w:rFonts w:eastAsia="Arial Unicode MS"/>
          <w:bCs/>
          <w:lang w:eastAsia="fr-FR" w:bidi="he-IL"/>
        </w:rPr>
        <w:t>c. 10) compte vingt châsses d</w:t>
      </w:r>
      <w:r w:rsidR="00557DE0">
        <w:rPr>
          <w:rFonts w:eastAsia="Arial Unicode MS"/>
          <w:bCs/>
          <w:lang w:eastAsia="fr-FR" w:bidi="he-IL"/>
        </w:rPr>
        <w:t>’</w:t>
      </w:r>
      <w:r w:rsidR="00B704AD" w:rsidRPr="00C8701B">
        <w:rPr>
          <w:rFonts w:eastAsia="Arial Unicode MS"/>
          <w:bCs/>
          <w:lang w:eastAsia="fr-FR" w:bidi="he-IL"/>
        </w:rPr>
        <w:t>or pur</w:t>
      </w:r>
      <w:r w:rsidR="00E65435">
        <w:rPr>
          <w:rFonts w:eastAsia="Arial Unicode MS"/>
          <w:bCs/>
          <w:lang w:eastAsia="fr-FR" w:bidi="he-IL"/>
        </w:rPr>
        <w:t xml:space="preserve">, </w:t>
      </w:r>
      <w:r w:rsidR="00B704AD" w:rsidRPr="00C8701B">
        <w:rPr>
          <w:rFonts w:eastAsia="Arial Unicode MS"/>
          <w:bCs/>
          <w:lang w:eastAsia="fr-FR" w:bidi="he-IL"/>
        </w:rPr>
        <w:t>ornées de perles</w:t>
      </w:r>
      <w:r w:rsidR="00E65435">
        <w:rPr>
          <w:rFonts w:eastAsia="Arial Unicode MS"/>
          <w:bCs/>
          <w:lang w:eastAsia="fr-FR" w:bidi="he-IL"/>
        </w:rPr>
        <w:t xml:space="preserve">, </w:t>
      </w:r>
      <w:r w:rsidR="00DB2B7F">
        <w:rPr>
          <w:rFonts w:eastAsia="Arial Unicode MS"/>
          <w:bCs/>
          <w:lang w:eastAsia="fr-FR" w:bidi="he-IL"/>
        </w:rPr>
        <w:t>et destinées à</w:t>
      </w:r>
      <w:r w:rsidR="00B704AD" w:rsidRPr="00C8701B">
        <w:rPr>
          <w:rFonts w:eastAsia="Arial Unicode MS"/>
          <w:bCs/>
          <w:lang w:eastAsia="fr-FR" w:bidi="he-IL"/>
        </w:rPr>
        <w:t xml:space="preserve"> contenir le livre des </w:t>
      </w:r>
      <w:r w:rsidR="000439E9">
        <w:rPr>
          <w:rFonts w:eastAsia="Arial Unicode MS"/>
          <w:bCs/>
          <w:lang w:eastAsia="fr-FR" w:bidi="he-IL"/>
        </w:rPr>
        <w:t>Évangile</w:t>
      </w:r>
      <w:r w:rsidR="00B704AD" w:rsidRPr="00C8701B">
        <w:rPr>
          <w:rFonts w:eastAsia="Arial Unicode MS"/>
          <w:bCs/>
          <w:lang w:eastAsia="fr-FR" w:bidi="he-IL"/>
        </w:rPr>
        <w:t>s</w:t>
      </w:r>
      <w:r w:rsidRPr="00C8701B">
        <w:rPr>
          <w:rFonts w:eastAsia="Arial Unicode MS"/>
          <w:bCs/>
          <w:lang w:eastAsia="fr-FR" w:bidi="he-IL"/>
        </w:rPr>
        <w:t> :</w:t>
      </w:r>
      <w:r w:rsidR="00DB2B7F">
        <w:rPr>
          <w:rStyle w:val="italicus"/>
        </w:rPr>
        <w:t xml:space="preserve"> vigínti</w:t>
      </w:r>
      <w:r w:rsidR="00B704AD" w:rsidRPr="00DC4586">
        <w:rPr>
          <w:rStyle w:val="italicus"/>
        </w:rPr>
        <w:t xml:space="preserve"> Evangeli</w:t>
      </w:r>
      <w:r w:rsidR="003A07A7">
        <w:rPr>
          <w:rStyle w:val="italicus"/>
        </w:rPr>
        <w:t>órum</w:t>
      </w:r>
      <w:r w:rsidR="00DB2B7F">
        <w:rPr>
          <w:rStyle w:val="italicus"/>
        </w:rPr>
        <w:t xml:space="preserve"> capsas dé</w:t>
      </w:r>
      <w:r w:rsidR="00DB2B7F" w:rsidRPr="00DC4586">
        <w:rPr>
          <w:rStyle w:val="italicus"/>
        </w:rPr>
        <w:t>tuli</w:t>
      </w:r>
      <w:r w:rsidR="00DB2B7F">
        <w:rPr>
          <w:rStyle w:val="italicus"/>
        </w:rPr>
        <w:t>t ex auro puro ac gemmis orná</w:t>
      </w:r>
      <w:r w:rsidR="00B704AD" w:rsidRPr="00DC4586">
        <w:rPr>
          <w:rStyle w:val="italicus"/>
        </w:rPr>
        <w:t>tas.</w:t>
      </w:r>
      <w:r w:rsidR="00B704AD" w:rsidRPr="00C8701B">
        <w:rPr>
          <w:rFonts w:eastAsia="Arial Unicode MS"/>
          <w:bCs/>
          <w:lang w:eastAsia="fr-FR" w:bidi="he-IL"/>
        </w:rPr>
        <w:t xml:space="preserve"> Telle est aussi la description qu</w:t>
      </w:r>
      <w:r w:rsidR="00557DE0">
        <w:rPr>
          <w:rFonts w:eastAsia="Arial Unicode MS"/>
          <w:bCs/>
          <w:lang w:eastAsia="fr-FR" w:bidi="he-IL"/>
        </w:rPr>
        <w:t>’</w:t>
      </w:r>
      <w:r w:rsidR="00B704AD" w:rsidRPr="00C8701B">
        <w:rPr>
          <w:rFonts w:eastAsia="Arial Unicode MS"/>
          <w:bCs/>
          <w:lang w:eastAsia="fr-FR" w:bidi="he-IL"/>
        </w:rPr>
        <w:t>il donne d</w:t>
      </w:r>
      <w:r w:rsidR="00557DE0">
        <w:rPr>
          <w:rFonts w:eastAsia="Arial Unicode MS"/>
          <w:bCs/>
          <w:lang w:eastAsia="fr-FR" w:bidi="he-IL"/>
        </w:rPr>
        <w:t>’</w:t>
      </w:r>
      <w:r w:rsidR="00B704AD" w:rsidRPr="00C8701B">
        <w:rPr>
          <w:rFonts w:eastAsia="Arial Unicode MS"/>
          <w:bCs/>
          <w:lang w:eastAsia="fr-FR" w:bidi="he-IL"/>
        </w:rPr>
        <w:t>une cassette du même genre</w:t>
      </w:r>
      <w:r w:rsidR="00E65435">
        <w:rPr>
          <w:rFonts w:eastAsia="Arial Unicode MS"/>
          <w:bCs/>
          <w:lang w:eastAsia="fr-FR" w:bidi="he-IL"/>
        </w:rPr>
        <w:t xml:space="preserve">, </w:t>
      </w:r>
      <w:r w:rsidR="00B704AD" w:rsidRPr="00C8701B">
        <w:rPr>
          <w:rFonts w:eastAsia="Arial Unicode MS"/>
          <w:bCs/>
          <w:lang w:eastAsia="fr-FR" w:bidi="he-IL"/>
        </w:rPr>
        <w:t>exécutée par les ordres de la fille de l</w:t>
      </w:r>
      <w:r w:rsidR="00557DE0">
        <w:rPr>
          <w:rFonts w:eastAsia="Arial Unicode MS"/>
          <w:bCs/>
          <w:lang w:eastAsia="fr-FR" w:bidi="he-IL"/>
        </w:rPr>
        <w:t>’</w:t>
      </w:r>
      <w:r w:rsidR="00B704AD" w:rsidRPr="00C8701B">
        <w:rPr>
          <w:rFonts w:eastAsia="Arial Unicode MS"/>
          <w:bCs/>
          <w:lang w:eastAsia="fr-FR" w:bidi="he-IL"/>
        </w:rPr>
        <w:t>empereur Léon</w:t>
      </w:r>
      <w:r w:rsidRPr="00C8701B">
        <w:rPr>
          <w:rFonts w:eastAsia="Arial Unicode MS"/>
          <w:bCs/>
          <w:lang w:eastAsia="fr-FR" w:bidi="he-IL"/>
        </w:rPr>
        <w:t> :</w:t>
      </w:r>
      <w:r w:rsidR="00B704AD" w:rsidRPr="00DC4586">
        <w:rPr>
          <w:rStyle w:val="italicus"/>
        </w:rPr>
        <w:t xml:space="preserve"> capsam ad sancta E</w:t>
      </w:r>
      <w:r w:rsidR="00736374">
        <w:rPr>
          <w:rStyle w:val="italicus"/>
        </w:rPr>
        <w:t>vangélia</w:t>
      </w:r>
      <w:r w:rsidR="00DB2B7F">
        <w:rPr>
          <w:rStyle w:val="italicus"/>
        </w:rPr>
        <w:t xml:space="preserve"> recludé</w:t>
      </w:r>
      <w:r w:rsidR="00B704AD" w:rsidRPr="00DC4586">
        <w:rPr>
          <w:rStyle w:val="italicus"/>
        </w:rPr>
        <w:t>nda ex auro puro pret</w:t>
      </w:r>
      <w:r w:rsidR="00DB2B7F">
        <w:rPr>
          <w:rStyle w:val="italicus"/>
        </w:rPr>
        <w:t>iosí</w:t>
      </w:r>
      <w:r w:rsidR="00B704AD" w:rsidRPr="00DC4586">
        <w:rPr>
          <w:rStyle w:val="italicus"/>
        </w:rPr>
        <w:t>sque lap</w:t>
      </w:r>
      <w:r w:rsidR="00356A5E">
        <w:rPr>
          <w:rStyle w:val="italicus"/>
        </w:rPr>
        <w:t>í</w:t>
      </w:r>
      <w:r w:rsidR="00356A5E" w:rsidRPr="00DC4586">
        <w:rPr>
          <w:rStyle w:val="italicus"/>
        </w:rPr>
        <w:t>dibus</w:t>
      </w:r>
      <w:r w:rsidR="00B704AD" w:rsidRPr="00DC4586">
        <w:rPr>
          <w:rStyle w:val="italicus"/>
        </w:rPr>
        <w:t xml:space="preserve"> </w:t>
      </w:r>
      <w:r w:rsidR="00DB2B7F">
        <w:rPr>
          <w:rStyle w:val="italicus"/>
        </w:rPr>
        <w:t>præ</w:t>
      </w:r>
      <w:r w:rsidR="00DB2B7F" w:rsidRPr="00DC4586">
        <w:rPr>
          <w:rStyle w:val="italicus"/>
        </w:rPr>
        <w:t>cépit</w:t>
      </w:r>
      <w:r w:rsidR="00DB2B7F">
        <w:rPr>
          <w:rStyle w:val="italicus"/>
        </w:rPr>
        <w:t xml:space="preserve"> fabricá</w:t>
      </w:r>
      <w:r w:rsidR="00B704AD" w:rsidRPr="00DC4586">
        <w:rPr>
          <w:rStyle w:val="italicus"/>
        </w:rPr>
        <w:t xml:space="preserve">ri </w:t>
      </w:r>
      <w:r w:rsidR="00B704AD" w:rsidRPr="00C8701B">
        <w:rPr>
          <w:rFonts w:eastAsia="Arial Unicode MS"/>
          <w:bCs/>
          <w:iCs/>
          <w:lang w:eastAsia="fr-FR" w:bidi="he-IL"/>
        </w:rPr>
        <w:t>(</w:t>
      </w:r>
      <w:r w:rsidR="00B704AD" w:rsidRPr="00DC4586">
        <w:rPr>
          <w:rStyle w:val="italicus"/>
        </w:rPr>
        <w:t>De glor. confess.</w:t>
      </w:r>
      <w:r w:rsidR="00E65435">
        <w:rPr>
          <w:rStyle w:val="italicus"/>
        </w:rPr>
        <w:t xml:space="preserve">, </w:t>
      </w:r>
      <w:r w:rsidR="00B704AD" w:rsidRPr="00C8701B">
        <w:rPr>
          <w:rFonts w:eastAsia="Arial Unicode MS"/>
          <w:bCs/>
          <w:lang w:eastAsia="fr-FR" w:bidi="he-IL"/>
        </w:rPr>
        <w:t xml:space="preserve">c. </w:t>
      </w:r>
      <w:r w:rsidR="0004306D">
        <w:rPr>
          <w:rFonts w:eastAsia="Arial Unicode MS"/>
          <w:bCs/>
          <w:lang w:eastAsia="fr-FR" w:bidi="he-IL"/>
        </w:rPr>
        <w:t>LX</w:t>
      </w:r>
      <w:r w:rsidR="003A247F">
        <w:rPr>
          <w:rFonts w:eastAsia="Arial Unicode MS"/>
          <w:bCs/>
          <w:lang w:eastAsia="fr-FR" w:bidi="he-IL"/>
        </w:rPr>
        <w:t>III</w:t>
      </w:r>
      <w:r w:rsidR="00B704AD" w:rsidRPr="00C8701B">
        <w:rPr>
          <w:rFonts w:eastAsia="Arial Unicode MS"/>
          <w:bCs/>
          <w:lang w:eastAsia="fr-FR" w:bidi="he-IL"/>
        </w:rPr>
        <w:t>). Le même usage existait à Rome</w:t>
      </w:r>
      <w:r w:rsidR="00E65435">
        <w:rPr>
          <w:rFonts w:eastAsia="Arial Unicode MS"/>
          <w:bCs/>
          <w:lang w:eastAsia="fr-FR" w:bidi="he-IL"/>
        </w:rPr>
        <w:t xml:space="preserve">, </w:t>
      </w:r>
      <w:r w:rsidR="00B704AD" w:rsidRPr="00C8701B">
        <w:rPr>
          <w:rFonts w:eastAsia="Arial Unicode MS"/>
          <w:bCs/>
          <w:lang w:eastAsia="fr-FR" w:bidi="he-IL"/>
        </w:rPr>
        <w:t>car il est dit dans l</w:t>
      </w:r>
      <w:r w:rsidR="00557DE0">
        <w:rPr>
          <w:rFonts w:eastAsia="Arial Unicode MS"/>
          <w:bCs/>
          <w:lang w:eastAsia="fr-FR" w:bidi="he-IL"/>
        </w:rPr>
        <w:t>’</w:t>
      </w:r>
      <w:r w:rsidR="00B704AD" w:rsidRPr="00C8701B">
        <w:rPr>
          <w:rFonts w:eastAsia="Arial Unicode MS"/>
          <w:bCs/>
          <w:lang w:eastAsia="fr-FR" w:bidi="he-IL"/>
        </w:rPr>
        <w:t>Ordre romain (p. 7) que le sous-diacre</w:t>
      </w:r>
      <w:r w:rsidR="00E65435">
        <w:rPr>
          <w:rFonts w:eastAsia="Arial Unicode MS"/>
          <w:bCs/>
          <w:lang w:eastAsia="fr-FR" w:bidi="he-IL"/>
        </w:rPr>
        <w:t xml:space="preserve">, </w:t>
      </w:r>
      <w:r w:rsidR="00B704AD" w:rsidRPr="00C8701B">
        <w:rPr>
          <w:rFonts w:eastAsia="Arial Unicode MS"/>
          <w:bCs/>
          <w:lang w:eastAsia="fr-FR" w:bidi="he-IL"/>
        </w:rPr>
        <w:t>ayant fait baiser l</w:t>
      </w:r>
      <w:r w:rsidR="00557DE0">
        <w:rPr>
          <w:rFonts w:eastAsia="Arial Unicode MS"/>
          <w:bCs/>
          <w:lang w:eastAsia="fr-FR" w:bidi="he-IL"/>
        </w:rPr>
        <w:t>’</w:t>
      </w:r>
      <w:r w:rsidR="00B704AD" w:rsidRPr="00C8701B">
        <w:rPr>
          <w:rFonts w:eastAsia="Arial Unicode MS"/>
          <w:bCs/>
          <w:lang w:eastAsia="fr-FR" w:bidi="he-IL"/>
        </w:rPr>
        <w:t>Évangile au clergé et au peuple</w:t>
      </w:r>
      <w:r w:rsidR="00E65435">
        <w:rPr>
          <w:rFonts w:eastAsia="Arial Unicode MS"/>
          <w:bCs/>
          <w:lang w:eastAsia="fr-FR" w:bidi="he-IL"/>
        </w:rPr>
        <w:t xml:space="preserve">, </w:t>
      </w:r>
      <w:r w:rsidR="00B704AD" w:rsidRPr="00C8701B">
        <w:rPr>
          <w:rFonts w:eastAsia="Arial Unicode MS"/>
          <w:bCs/>
          <w:lang w:eastAsia="fr-FR" w:bidi="he-IL"/>
        </w:rPr>
        <w:t>le renfermait dans la cassette précieuse que tenait l</w:t>
      </w:r>
      <w:r w:rsidR="00557DE0">
        <w:rPr>
          <w:rFonts w:eastAsia="Arial Unicode MS"/>
          <w:bCs/>
          <w:lang w:eastAsia="fr-FR" w:bidi="he-IL"/>
        </w:rPr>
        <w:t>’</w:t>
      </w:r>
      <w:r w:rsidR="00B704AD" w:rsidRPr="00C8701B">
        <w:rPr>
          <w:rFonts w:eastAsia="Arial Unicode MS"/>
          <w:bCs/>
          <w:lang w:eastAsia="fr-FR" w:bidi="he-IL"/>
        </w:rPr>
        <w:t>acolythe.</w:t>
      </w:r>
      <w:r w:rsidRPr="00C8701B">
        <w:rPr>
          <w:rFonts w:eastAsia="Arial Unicode MS"/>
          <w:bCs/>
          <w:lang w:eastAsia="fr-FR" w:bidi="he-IL"/>
        </w:rPr>
        <w:t xml:space="preserve"> </w:t>
      </w:r>
    </w:p>
    <w:p w:rsidR="00C2602D" w:rsidRPr="00C8701B" w:rsidRDefault="00DB2B7F" w:rsidP="00C2602D">
      <w:pPr>
        <w:rPr>
          <w:rFonts w:eastAsia="Arial Unicode MS"/>
          <w:bCs/>
          <w:lang w:eastAsia="fr-FR" w:bidi="he-IL"/>
        </w:rPr>
      </w:pPr>
      <w:r w:rsidRPr="00C8701B">
        <w:rPr>
          <w:rFonts w:eastAsia="Arial Unicode MS"/>
          <w:bCs/>
          <w:lang w:eastAsia="fr-FR" w:bidi="he-IL"/>
        </w:rPr>
        <w:t>»</w:t>
      </w:r>
      <w:r>
        <w:rPr>
          <w:rFonts w:eastAsia="Arial Unicode MS"/>
          <w:bCs/>
          <w:lang w:eastAsia="fr-FR" w:bidi="he-IL"/>
        </w:rPr>
        <w:t> </w:t>
      </w:r>
      <w:r w:rsidR="00B704AD" w:rsidRPr="00C8701B">
        <w:rPr>
          <w:rFonts w:eastAsia="Arial Unicode MS"/>
          <w:bCs/>
          <w:lang w:eastAsia="fr-FR" w:bidi="he-IL"/>
        </w:rPr>
        <w:t xml:space="preserve">On peut voir dans les monuments liturgiques de tous les rites les </w:t>
      </w:r>
      <w:r w:rsidRPr="00C8701B">
        <w:rPr>
          <w:rFonts w:eastAsia="Arial Unicode MS"/>
          <w:bCs/>
          <w:lang w:eastAsia="fr-FR" w:bidi="he-IL"/>
        </w:rPr>
        <w:t>cérémonies</w:t>
      </w:r>
      <w:r w:rsidR="00B704AD" w:rsidRPr="00C8701B">
        <w:rPr>
          <w:rFonts w:eastAsia="Arial Unicode MS"/>
          <w:bCs/>
          <w:lang w:eastAsia="fr-FR" w:bidi="he-IL"/>
        </w:rPr>
        <w:t xml:space="preserve"> pleines de respect et de solennité qu</w:t>
      </w:r>
      <w:r>
        <w:rPr>
          <w:rFonts w:eastAsia="Arial Unicode MS"/>
          <w:bCs/>
          <w:lang w:eastAsia="fr-FR" w:bidi="he-IL"/>
        </w:rPr>
        <w:t>i présidaient à la lecture de l</w:t>
      </w:r>
      <w:r w:rsidR="00557DE0">
        <w:rPr>
          <w:rFonts w:eastAsia="Arial Unicode MS"/>
          <w:bCs/>
          <w:lang w:eastAsia="fr-FR" w:bidi="he-IL"/>
        </w:rPr>
        <w:t>’</w:t>
      </w:r>
      <w:r w:rsidR="000439E9">
        <w:rPr>
          <w:rFonts w:eastAsia="Arial Unicode MS"/>
          <w:bCs/>
          <w:lang w:eastAsia="fr-FR" w:bidi="he-IL"/>
        </w:rPr>
        <w:t>Évangile</w:t>
      </w:r>
      <w:r w:rsidR="00B704AD" w:rsidRPr="00C8701B">
        <w:rPr>
          <w:rFonts w:eastAsia="Arial Unicode MS"/>
          <w:bCs/>
          <w:lang w:eastAsia="fr-FR" w:bidi="he-IL"/>
        </w:rPr>
        <w:t xml:space="preserve"> dans la liturgie sacrée. Il nous est impossible d</w:t>
      </w:r>
      <w:r w:rsidR="00557DE0">
        <w:rPr>
          <w:rFonts w:eastAsia="Arial Unicode MS"/>
          <w:bCs/>
          <w:lang w:eastAsia="fr-FR" w:bidi="he-IL"/>
        </w:rPr>
        <w:t>’</w:t>
      </w:r>
      <w:r w:rsidR="00B704AD" w:rsidRPr="00C8701B">
        <w:rPr>
          <w:rFonts w:eastAsia="Arial Unicode MS"/>
          <w:bCs/>
          <w:lang w:eastAsia="fr-FR" w:bidi="he-IL"/>
        </w:rPr>
        <w:t>entrer dans ce détail</w:t>
      </w:r>
      <w:r w:rsidR="00E65435">
        <w:rPr>
          <w:rFonts w:eastAsia="Arial Unicode MS"/>
          <w:bCs/>
          <w:lang w:eastAsia="fr-FR" w:bidi="he-IL"/>
        </w:rPr>
        <w:t xml:space="preserve">, </w:t>
      </w:r>
      <w:r w:rsidR="00B704AD" w:rsidRPr="00C8701B">
        <w:rPr>
          <w:rFonts w:eastAsia="Arial Unicode MS"/>
          <w:bCs/>
          <w:lang w:eastAsia="fr-FR" w:bidi="he-IL"/>
        </w:rPr>
        <w:t>si intéressant qu</w:t>
      </w:r>
      <w:r w:rsidR="00557DE0">
        <w:rPr>
          <w:rFonts w:eastAsia="Arial Unicode MS"/>
          <w:bCs/>
          <w:lang w:eastAsia="fr-FR" w:bidi="he-IL"/>
        </w:rPr>
        <w:t>’</w:t>
      </w:r>
      <w:r w:rsidR="00B704AD" w:rsidRPr="00C8701B">
        <w:rPr>
          <w:rFonts w:eastAsia="Arial Unicode MS"/>
          <w:bCs/>
          <w:lang w:eastAsia="fr-FR" w:bidi="he-IL"/>
        </w:rPr>
        <w:t>il soit.</w:t>
      </w:r>
      <w:r w:rsidR="00C2602D" w:rsidRPr="00C8701B">
        <w:rPr>
          <w:rFonts w:eastAsia="Arial Unicode MS"/>
          <w:bCs/>
          <w:lang w:eastAsia="fr-FR" w:bidi="he-IL"/>
        </w:rPr>
        <w:t xml:space="preserve"> </w:t>
      </w:r>
    </w:p>
    <w:p w:rsidR="00C2602D" w:rsidRPr="00C8701B" w:rsidRDefault="00C2602D" w:rsidP="00C2602D">
      <w:pPr>
        <w:rPr>
          <w:rFonts w:eastAsia="Arial Unicode MS"/>
          <w:bCs/>
          <w:lang w:eastAsia="fr-FR" w:bidi="he-IL"/>
        </w:rPr>
      </w:pPr>
      <w:r w:rsidRPr="00C8701B">
        <w:rPr>
          <w:rFonts w:eastAsia="Arial Unicode MS"/>
          <w:bCs/>
          <w:lang w:eastAsia="fr-FR" w:bidi="he-IL"/>
        </w:rPr>
        <w:t>»</w:t>
      </w:r>
      <w:r w:rsidR="00DB2B7F">
        <w:rPr>
          <w:rFonts w:eastAsia="Arial Unicode MS"/>
          <w:bCs/>
          <w:lang w:eastAsia="fr-FR" w:bidi="he-IL"/>
        </w:rPr>
        <w:t> </w:t>
      </w:r>
      <w:r w:rsidR="00B704AD" w:rsidRPr="00C8701B">
        <w:rPr>
          <w:rFonts w:eastAsia="Arial Unicode MS"/>
          <w:bCs/>
          <w:lang w:eastAsia="fr-FR" w:bidi="he-IL"/>
        </w:rPr>
        <w:t>Dans les conciles</w:t>
      </w:r>
      <w:r w:rsidR="00E65435">
        <w:rPr>
          <w:rFonts w:eastAsia="Arial Unicode MS"/>
          <w:bCs/>
          <w:lang w:eastAsia="fr-FR" w:bidi="he-IL"/>
        </w:rPr>
        <w:t xml:space="preserve">, </w:t>
      </w:r>
      <w:r w:rsidR="00B704AD" w:rsidRPr="00C8701B">
        <w:rPr>
          <w:rFonts w:eastAsia="Arial Unicode MS"/>
          <w:bCs/>
          <w:lang w:eastAsia="fr-FR" w:bidi="he-IL"/>
        </w:rPr>
        <w:t>on plaçait l</w:t>
      </w:r>
      <w:r w:rsidR="00557DE0">
        <w:rPr>
          <w:rFonts w:eastAsia="Arial Unicode MS"/>
          <w:bCs/>
          <w:lang w:eastAsia="fr-FR" w:bidi="he-IL"/>
        </w:rPr>
        <w:t>’</w:t>
      </w:r>
      <w:r w:rsidR="00B704AD" w:rsidRPr="00C8701B">
        <w:rPr>
          <w:rFonts w:eastAsia="Arial Unicode MS"/>
          <w:bCs/>
          <w:lang w:eastAsia="fr-FR" w:bidi="he-IL"/>
        </w:rPr>
        <w:t>Évangile sur un trône élevé</w:t>
      </w:r>
      <w:r w:rsidR="00E65435">
        <w:rPr>
          <w:rFonts w:eastAsia="Arial Unicode MS"/>
          <w:bCs/>
          <w:lang w:eastAsia="fr-FR" w:bidi="he-IL"/>
        </w:rPr>
        <w:t xml:space="preserve">, </w:t>
      </w:r>
      <w:r w:rsidR="00B704AD" w:rsidRPr="00C8701B">
        <w:rPr>
          <w:rFonts w:eastAsia="Arial Unicode MS"/>
          <w:bCs/>
          <w:lang w:eastAsia="fr-FR" w:bidi="he-IL"/>
        </w:rPr>
        <w:t>couvert de riches draperies</w:t>
      </w:r>
      <w:r w:rsidR="00E65435">
        <w:rPr>
          <w:rFonts w:eastAsia="Arial Unicode MS"/>
          <w:bCs/>
          <w:lang w:eastAsia="fr-FR" w:bidi="he-IL"/>
        </w:rPr>
        <w:t xml:space="preserve">, </w:t>
      </w:r>
      <w:r w:rsidR="00B704AD" w:rsidRPr="00C8701B">
        <w:rPr>
          <w:rFonts w:eastAsia="Arial Unicode MS"/>
          <w:bCs/>
          <w:lang w:eastAsia="fr-FR" w:bidi="he-IL"/>
        </w:rPr>
        <w:t>d</w:t>
      </w:r>
      <w:r w:rsidR="00557DE0">
        <w:rPr>
          <w:rFonts w:eastAsia="Arial Unicode MS"/>
          <w:bCs/>
          <w:lang w:eastAsia="fr-FR" w:bidi="he-IL"/>
        </w:rPr>
        <w:t>’</w:t>
      </w:r>
      <w:r w:rsidR="00B704AD" w:rsidRPr="00C8701B">
        <w:rPr>
          <w:rFonts w:eastAsia="Arial Unicode MS"/>
          <w:bCs/>
          <w:lang w:eastAsia="fr-FR" w:bidi="he-IL"/>
        </w:rPr>
        <w:t>où il semblait présider ces saintes assemblées (voyez Martène</w:t>
      </w:r>
      <w:r w:rsidR="00E65435">
        <w:rPr>
          <w:rFonts w:eastAsia="Arial Unicode MS"/>
          <w:bCs/>
          <w:lang w:eastAsia="fr-FR" w:bidi="he-IL"/>
        </w:rPr>
        <w:t xml:space="preserve">, </w:t>
      </w:r>
      <w:r w:rsidR="00B704AD" w:rsidRPr="00DC4586">
        <w:rPr>
          <w:rStyle w:val="italicus"/>
        </w:rPr>
        <w:t>De antiq. Eccl. rit.</w:t>
      </w:r>
      <w:r w:rsidR="00E65435">
        <w:rPr>
          <w:rStyle w:val="italicus"/>
        </w:rPr>
        <w:t>,</w:t>
      </w:r>
      <w:r w:rsidR="00DB2B7F">
        <w:rPr>
          <w:rStyle w:val="italicus"/>
        </w:rPr>
        <w:t xml:space="preserve"> </w:t>
      </w:r>
      <w:r w:rsidR="00DB2B7F" w:rsidRPr="00DB2B7F">
        <w:t>l.</w:t>
      </w:r>
      <w:r w:rsidR="00C21120" w:rsidRPr="00DB2B7F">
        <w:t xml:space="preserve"> </w:t>
      </w:r>
      <w:r w:rsidR="00DB2B7F" w:rsidRPr="00DB2B7F">
        <w:t>II</w:t>
      </w:r>
      <w:r w:rsidR="00E65435" w:rsidRPr="00DB2B7F">
        <w:t xml:space="preserve">, </w:t>
      </w:r>
      <w:r w:rsidR="00B704AD" w:rsidRPr="00DB2B7F">
        <w:t>c. 1</w:t>
      </w:r>
      <w:r w:rsidR="00E65435" w:rsidRPr="00DB2B7F">
        <w:t xml:space="preserve">, </w:t>
      </w:r>
      <w:r w:rsidR="00B704AD" w:rsidRPr="00DB2B7F">
        <w:t xml:space="preserve">§ 9). Une </w:t>
      </w:r>
      <w:r w:rsidR="00B704AD" w:rsidRPr="00C8701B">
        <w:rPr>
          <w:rFonts w:eastAsia="Arial Unicode MS"/>
          <w:bCs/>
          <w:lang w:eastAsia="fr-FR" w:bidi="he-IL"/>
        </w:rPr>
        <w:t xml:space="preserve">mosaïque du baptistère de Ravenne nous a conservé la représentation de ce solennel usage. </w:t>
      </w:r>
      <w:r w:rsidR="00AC1A55">
        <w:rPr>
          <w:rFonts w:eastAsia="Arial Unicode MS"/>
          <w:bCs/>
          <w:lang w:eastAsia="fr-FR" w:bidi="he-IL"/>
        </w:rPr>
        <w:t>{91</w:t>
      </w:r>
      <w:bookmarkStart w:id="142" w:name="pag091"/>
      <w:bookmarkEnd w:id="142"/>
      <w:r w:rsidR="00AC1A55">
        <w:rPr>
          <w:rFonts w:eastAsia="Arial Unicode MS"/>
          <w:bCs/>
          <w:lang w:eastAsia="fr-FR" w:bidi="he-IL"/>
        </w:rPr>
        <w:t xml:space="preserve">} </w:t>
      </w:r>
      <w:r w:rsidR="00B704AD" w:rsidRPr="00C8701B">
        <w:rPr>
          <w:rFonts w:eastAsia="Arial Unicode MS"/>
          <w:bCs/>
          <w:lang w:eastAsia="fr-FR" w:bidi="he-IL"/>
        </w:rPr>
        <w:t>On y voit l</w:t>
      </w:r>
      <w:r w:rsidR="00557DE0">
        <w:rPr>
          <w:rFonts w:eastAsia="Arial Unicode MS"/>
          <w:bCs/>
          <w:lang w:eastAsia="fr-FR" w:bidi="he-IL"/>
        </w:rPr>
        <w:t>’</w:t>
      </w:r>
      <w:r w:rsidR="000439E9">
        <w:rPr>
          <w:rFonts w:eastAsia="Arial Unicode MS"/>
          <w:bCs/>
          <w:lang w:eastAsia="fr-FR" w:bidi="he-IL"/>
        </w:rPr>
        <w:t>Évangile</w:t>
      </w:r>
      <w:r w:rsidR="00B704AD" w:rsidRPr="00C8701B">
        <w:rPr>
          <w:rFonts w:eastAsia="Arial Unicode MS"/>
          <w:bCs/>
          <w:lang w:eastAsia="fr-FR" w:bidi="he-IL"/>
        </w:rPr>
        <w:t xml:space="preserve"> ouvert</w:t>
      </w:r>
      <w:r w:rsidR="00E65435">
        <w:rPr>
          <w:rFonts w:eastAsia="Arial Unicode MS"/>
          <w:bCs/>
          <w:lang w:eastAsia="fr-FR" w:bidi="he-IL"/>
        </w:rPr>
        <w:t xml:space="preserve">, </w:t>
      </w:r>
      <w:r w:rsidR="00B704AD" w:rsidRPr="00C8701B">
        <w:rPr>
          <w:rFonts w:eastAsia="Arial Unicode MS"/>
          <w:bCs/>
          <w:lang w:eastAsia="fr-FR" w:bidi="he-IL"/>
        </w:rPr>
        <w:t>déposé sur un</w:t>
      </w:r>
      <w:r w:rsidR="00DB2B7F">
        <w:rPr>
          <w:rStyle w:val="italicus"/>
        </w:rPr>
        <w:t xml:space="preserve"> suggést</w:t>
      </w:r>
      <w:r w:rsidR="00B704AD" w:rsidRPr="00DC4586">
        <w:rPr>
          <w:rStyle w:val="italicus"/>
        </w:rPr>
        <w:t>us</w:t>
      </w:r>
      <w:r w:rsidR="00B704AD" w:rsidRPr="00C8701B">
        <w:rPr>
          <w:rFonts w:eastAsia="Arial Unicode MS"/>
          <w:bCs/>
          <w:lang w:eastAsia="fr-FR" w:bidi="he-IL"/>
        </w:rPr>
        <w:t xml:space="preserve"> soutenu par quatre colonnes</w:t>
      </w:r>
      <w:r w:rsidR="00E65435">
        <w:rPr>
          <w:rFonts w:eastAsia="Arial Unicode MS"/>
          <w:bCs/>
          <w:lang w:eastAsia="fr-FR" w:bidi="he-IL"/>
        </w:rPr>
        <w:t xml:space="preserve">, </w:t>
      </w:r>
      <w:r w:rsidR="00B704AD" w:rsidRPr="00C8701B">
        <w:rPr>
          <w:rFonts w:eastAsia="Arial Unicode MS"/>
          <w:bCs/>
          <w:lang w:eastAsia="fr-FR" w:bidi="he-IL"/>
        </w:rPr>
        <w:t>et de chaque côté</w:t>
      </w:r>
      <w:r w:rsidR="00E65435">
        <w:rPr>
          <w:rFonts w:eastAsia="Arial Unicode MS"/>
          <w:bCs/>
          <w:lang w:eastAsia="fr-FR" w:bidi="he-IL"/>
        </w:rPr>
        <w:t xml:space="preserve">, </w:t>
      </w:r>
      <w:r w:rsidR="00B704AD" w:rsidRPr="00C8701B">
        <w:rPr>
          <w:rFonts w:eastAsia="Arial Unicode MS"/>
          <w:bCs/>
          <w:lang w:eastAsia="fr-FR" w:bidi="he-IL"/>
        </w:rPr>
        <w:t>dans une niche absidale</w:t>
      </w:r>
      <w:r w:rsidR="00E65435">
        <w:rPr>
          <w:rFonts w:eastAsia="Arial Unicode MS"/>
          <w:bCs/>
          <w:lang w:eastAsia="fr-FR" w:bidi="he-IL"/>
        </w:rPr>
        <w:t xml:space="preserve">, </w:t>
      </w:r>
      <w:r w:rsidR="00B704AD" w:rsidRPr="00C8701B">
        <w:rPr>
          <w:rFonts w:eastAsia="Arial Unicode MS"/>
          <w:bCs/>
          <w:lang w:eastAsia="fr-FR" w:bidi="he-IL"/>
        </w:rPr>
        <w:t>est figurée une chaire épiscopale</w:t>
      </w:r>
      <w:r w:rsidRPr="00C8701B">
        <w:rPr>
          <w:rFonts w:eastAsia="Arial Unicode MS"/>
          <w:bCs/>
          <w:lang w:eastAsia="fr-FR" w:bidi="he-IL"/>
        </w:rPr>
        <w:t> :</w:t>
      </w:r>
      <w:r w:rsidR="00B704AD" w:rsidRPr="00C8701B">
        <w:rPr>
          <w:rFonts w:eastAsia="Arial Unicode MS"/>
          <w:bCs/>
          <w:lang w:eastAsia="fr-FR" w:bidi="he-IL"/>
        </w:rPr>
        <w:t xml:space="preserve"> c</w:t>
      </w:r>
      <w:r w:rsidR="00557DE0">
        <w:rPr>
          <w:rFonts w:eastAsia="Arial Unicode MS"/>
          <w:bCs/>
          <w:lang w:eastAsia="fr-FR" w:bidi="he-IL"/>
        </w:rPr>
        <w:t>’</w:t>
      </w:r>
      <w:r w:rsidR="00B704AD" w:rsidRPr="00C8701B">
        <w:rPr>
          <w:rFonts w:eastAsia="Arial Unicode MS"/>
          <w:bCs/>
          <w:lang w:eastAsia="fr-FR" w:bidi="he-IL"/>
        </w:rPr>
        <w:t>est l</w:t>
      </w:r>
      <w:r w:rsidR="00557DE0">
        <w:rPr>
          <w:rFonts w:eastAsia="Arial Unicode MS"/>
          <w:bCs/>
          <w:lang w:eastAsia="fr-FR" w:bidi="he-IL"/>
        </w:rPr>
        <w:t>’</w:t>
      </w:r>
      <w:r w:rsidR="00B704AD" w:rsidRPr="00C8701B">
        <w:rPr>
          <w:rFonts w:eastAsia="Arial Unicode MS"/>
          <w:bCs/>
          <w:lang w:eastAsia="fr-FR" w:bidi="he-IL"/>
        </w:rPr>
        <w:t>image abrégée d</w:t>
      </w:r>
      <w:r w:rsidR="00557DE0">
        <w:rPr>
          <w:rFonts w:eastAsia="Arial Unicode MS"/>
          <w:bCs/>
          <w:lang w:eastAsia="fr-FR" w:bidi="he-IL"/>
        </w:rPr>
        <w:t>’</w:t>
      </w:r>
      <w:r w:rsidR="00B704AD" w:rsidRPr="00C8701B">
        <w:rPr>
          <w:rFonts w:eastAsia="Arial Unicode MS"/>
          <w:bCs/>
          <w:lang w:eastAsia="fr-FR" w:bidi="he-IL"/>
        </w:rPr>
        <w:t>un concile (voyez Ciampini</w:t>
      </w:r>
      <w:r w:rsidR="00E65435">
        <w:rPr>
          <w:rFonts w:eastAsia="Arial Unicode MS"/>
          <w:bCs/>
          <w:lang w:eastAsia="fr-FR" w:bidi="he-IL"/>
        </w:rPr>
        <w:t xml:space="preserve">, </w:t>
      </w:r>
      <w:r w:rsidR="00B704AD" w:rsidRPr="00DC4586">
        <w:rPr>
          <w:rStyle w:val="italicus"/>
        </w:rPr>
        <w:t>Vet. mon.</w:t>
      </w:r>
      <w:r w:rsidR="00E65435">
        <w:rPr>
          <w:rStyle w:val="italicus"/>
        </w:rPr>
        <w:t xml:space="preserve">, </w:t>
      </w:r>
      <w:r w:rsidR="00B704AD" w:rsidRPr="00C8701B">
        <w:rPr>
          <w:rFonts w:eastAsia="Arial Unicode MS"/>
          <w:bCs/>
          <w:lang w:eastAsia="fr-FR" w:bidi="he-IL"/>
        </w:rPr>
        <w:t>I</w:t>
      </w:r>
      <w:r w:rsidR="00E65435">
        <w:rPr>
          <w:rFonts w:eastAsia="Arial Unicode MS"/>
          <w:bCs/>
          <w:lang w:eastAsia="fr-FR" w:bidi="he-IL"/>
        </w:rPr>
        <w:t xml:space="preserve">, </w:t>
      </w:r>
      <w:r w:rsidR="00B704AD" w:rsidRPr="00C8701B">
        <w:rPr>
          <w:rFonts w:eastAsia="Arial Unicode MS"/>
          <w:bCs/>
          <w:lang w:eastAsia="fr-FR" w:bidi="he-IL"/>
        </w:rPr>
        <w:t xml:space="preserve">tab. </w:t>
      </w:r>
      <w:r w:rsidR="005069E2">
        <w:rPr>
          <w:rFonts w:eastAsia="Arial Unicode MS"/>
          <w:bCs/>
          <w:lang w:eastAsia="fr-FR" w:bidi="he-IL"/>
        </w:rPr>
        <w:t>X</w:t>
      </w:r>
      <w:r w:rsidR="0042479B">
        <w:rPr>
          <w:rFonts w:eastAsia="Arial Unicode MS"/>
          <w:bCs/>
          <w:lang w:eastAsia="fr-FR" w:bidi="he-IL"/>
        </w:rPr>
        <w:t>X</w:t>
      </w:r>
      <w:r w:rsidR="00CA083D">
        <w:rPr>
          <w:rFonts w:eastAsia="Arial Unicode MS"/>
          <w:bCs/>
          <w:lang w:eastAsia="fr-FR" w:bidi="he-IL"/>
        </w:rPr>
        <w:t>XVII</w:t>
      </w:r>
      <w:r w:rsidR="00B704AD" w:rsidRPr="00C8701B">
        <w:rPr>
          <w:rFonts w:eastAsia="Arial Unicode MS"/>
          <w:bCs/>
          <w:lang w:eastAsia="fr-FR" w:bidi="he-IL"/>
        </w:rPr>
        <w:t>).</w:t>
      </w:r>
      <w:r w:rsidRPr="00C8701B">
        <w:rPr>
          <w:rFonts w:eastAsia="Arial Unicode MS"/>
          <w:bCs/>
          <w:lang w:eastAsia="fr-FR" w:bidi="he-IL"/>
        </w:rPr>
        <w:t xml:space="preserve"> </w:t>
      </w:r>
    </w:p>
    <w:p w:rsidR="00C2602D" w:rsidRPr="00C8701B" w:rsidRDefault="00C2602D" w:rsidP="00C2602D">
      <w:pPr>
        <w:rPr>
          <w:rFonts w:eastAsia="Arial Unicode MS"/>
          <w:bCs/>
          <w:lang w:eastAsia="fr-FR" w:bidi="he-IL"/>
        </w:rPr>
      </w:pPr>
      <w:r w:rsidRPr="00C8701B">
        <w:rPr>
          <w:rFonts w:eastAsia="Arial Unicode MS"/>
          <w:bCs/>
          <w:lang w:eastAsia="fr-FR" w:bidi="he-IL"/>
        </w:rPr>
        <w:t>»</w:t>
      </w:r>
      <w:r w:rsidR="00B544BE">
        <w:rPr>
          <w:rFonts w:eastAsia="Arial Unicode MS"/>
          <w:bCs/>
          <w:lang w:eastAsia="fr-FR" w:bidi="he-IL"/>
        </w:rPr>
        <w:t> </w:t>
      </w:r>
      <w:r w:rsidR="00B704AD" w:rsidRPr="00C8701B">
        <w:rPr>
          <w:rFonts w:eastAsia="Arial Unicode MS"/>
          <w:bCs/>
          <w:lang w:eastAsia="fr-FR" w:bidi="he-IL"/>
        </w:rPr>
        <w:t xml:space="preserve">Les empereurs chrétiens faisaient placer de même le livre des </w:t>
      </w:r>
      <w:r w:rsidR="000439E9">
        <w:rPr>
          <w:rFonts w:eastAsia="Arial Unicode MS"/>
          <w:bCs/>
          <w:lang w:eastAsia="fr-FR" w:bidi="he-IL"/>
        </w:rPr>
        <w:t>Évangile</w:t>
      </w:r>
      <w:r w:rsidR="00B704AD" w:rsidRPr="00C8701B">
        <w:rPr>
          <w:rFonts w:eastAsia="Arial Unicode MS"/>
          <w:bCs/>
          <w:lang w:eastAsia="fr-FR" w:bidi="he-IL"/>
        </w:rPr>
        <w:t>s dans les tribunaux</w:t>
      </w:r>
      <w:r w:rsidR="00E65435">
        <w:rPr>
          <w:rFonts w:eastAsia="Arial Unicode MS"/>
          <w:bCs/>
          <w:lang w:eastAsia="fr-FR" w:bidi="he-IL"/>
        </w:rPr>
        <w:t xml:space="preserve">, </w:t>
      </w:r>
      <w:r w:rsidR="00B704AD" w:rsidRPr="00C8701B">
        <w:rPr>
          <w:rFonts w:eastAsia="Arial Unicode MS"/>
          <w:bCs/>
          <w:lang w:eastAsia="fr-FR" w:bidi="he-IL"/>
        </w:rPr>
        <w:t>pour rappeler sans cesse aux juges la loi divine</w:t>
      </w:r>
      <w:r w:rsidR="00E65435">
        <w:rPr>
          <w:rFonts w:eastAsia="Arial Unicode MS"/>
          <w:bCs/>
          <w:lang w:eastAsia="fr-FR" w:bidi="he-IL"/>
        </w:rPr>
        <w:t xml:space="preserve">, </w:t>
      </w:r>
      <w:r w:rsidR="00B704AD" w:rsidRPr="00C8701B">
        <w:rPr>
          <w:rFonts w:eastAsia="Arial Unicode MS"/>
          <w:bCs/>
          <w:lang w:eastAsia="fr-FR" w:bidi="he-IL"/>
        </w:rPr>
        <w:t>qui est la source et le type de la loi humaine. Les premiers chrétiens avaient coutume de jurer sur les saints Évangiles</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et on connaît la célèbre formule d</w:t>
      </w:r>
      <w:r w:rsidR="00557DE0">
        <w:rPr>
          <w:rFonts w:eastAsia="Arial Unicode MS"/>
          <w:bCs/>
          <w:lang w:eastAsia="fr-FR" w:bidi="he-IL"/>
        </w:rPr>
        <w:t>’</w:t>
      </w:r>
      <w:r w:rsidR="00B704AD" w:rsidRPr="00C8701B">
        <w:rPr>
          <w:rFonts w:eastAsia="Arial Unicode MS"/>
          <w:bCs/>
          <w:lang w:eastAsia="fr-FR" w:bidi="he-IL"/>
        </w:rPr>
        <w:t xml:space="preserve">anathème DA SCA XPI </w:t>
      </w:r>
      <w:r w:rsidR="00E939E7">
        <w:rPr>
          <w:rFonts w:eastAsia="Arial Unicode MS"/>
          <w:bCs/>
          <w:lang w:eastAsia="fr-FR" w:bidi="he-IL"/>
        </w:rPr>
        <w:t>Quátuor</w:t>
      </w:r>
      <w:r w:rsidR="00B704AD" w:rsidRPr="00C8701B">
        <w:rPr>
          <w:rFonts w:eastAsia="Arial Unicode MS"/>
          <w:bCs/>
          <w:lang w:eastAsia="fr-FR" w:bidi="he-IL"/>
        </w:rPr>
        <w:t xml:space="preserve"> E</w:t>
      </w:r>
      <w:r w:rsidR="00736374">
        <w:rPr>
          <w:rFonts w:eastAsia="Arial Unicode MS"/>
          <w:bCs/>
          <w:lang w:eastAsia="fr-FR" w:bidi="he-IL"/>
        </w:rPr>
        <w:t>vangélia</w:t>
      </w:r>
      <w:r w:rsidR="00933C60" w:rsidRPr="00C406FF">
        <w:rPr>
          <w:rStyle w:val="Appelnotedebasdep"/>
        </w:rPr>
        <w:footnoteReference w:id="492"/>
      </w:r>
      <w:r w:rsidR="00E65435">
        <w:rPr>
          <w:rFonts w:eastAsia="Arial Unicode MS"/>
          <w:bCs/>
          <w:lang w:eastAsia="fr-FR" w:bidi="he-IL"/>
        </w:rPr>
        <w:t xml:space="preserve">, </w:t>
      </w:r>
      <w:r w:rsidR="00B704AD" w:rsidRPr="00C8701B">
        <w:rPr>
          <w:rFonts w:eastAsia="Arial Unicode MS"/>
          <w:bCs/>
          <w:lang w:eastAsia="fr-FR" w:bidi="he-IL"/>
        </w:rPr>
        <w:t>qui se lit sur le</w:t>
      </w:r>
      <w:r w:rsidR="00B704AD" w:rsidRPr="00DC4586">
        <w:rPr>
          <w:rStyle w:val="italicus"/>
        </w:rPr>
        <w:t xml:space="preserve"> </w:t>
      </w:r>
      <w:r w:rsidR="00EA28F4" w:rsidRPr="00DC4586">
        <w:rPr>
          <w:rStyle w:val="italicus"/>
        </w:rPr>
        <w:t>títulus</w:t>
      </w:r>
      <w:r w:rsidR="00B704AD" w:rsidRPr="00C8701B">
        <w:rPr>
          <w:rFonts w:eastAsia="Arial Unicode MS"/>
          <w:bCs/>
          <w:lang w:eastAsia="fr-FR" w:bidi="he-IL"/>
        </w:rPr>
        <w:t xml:space="preserve"> de Bonusa et de Menna illustré par Jacutius (Rome</w:t>
      </w:r>
      <w:r w:rsidR="00E65435">
        <w:rPr>
          <w:rFonts w:eastAsia="Arial Unicode MS"/>
          <w:bCs/>
          <w:lang w:eastAsia="fr-FR" w:bidi="he-IL"/>
        </w:rPr>
        <w:t xml:space="preserve">, </w:t>
      </w:r>
      <w:r w:rsidR="00B704AD" w:rsidRPr="00C8701B">
        <w:rPr>
          <w:rFonts w:eastAsia="Arial Unicode MS"/>
          <w:bCs/>
          <w:lang w:eastAsia="fr-FR" w:bidi="he-IL"/>
        </w:rPr>
        <w:t>1758).</w:t>
      </w:r>
      <w:r w:rsidRPr="00C8701B">
        <w:rPr>
          <w:rFonts w:eastAsia="Arial Unicode MS"/>
          <w:bCs/>
          <w:lang w:eastAsia="fr-FR" w:bidi="he-IL"/>
        </w:rPr>
        <w:t xml:space="preserve"> </w:t>
      </w:r>
    </w:p>
    <w:p w:rsidR="00B544BE" w:rsidRDefault="00B544BE" w:rsidP="00B544BE">
      <w:pPr>
        <w:rPr>
          <w:rFonts w:eastAsia="Arial Unicode MS"/>
          <w:bCs/>
          <w:lang w:eastAsia="fr-FR" w:bidi="he-IL"/>
        </w:rPr>
      </w:pPr>
      <w:r w:rsidRPr="00C8701B">
        <w:rPr>
          <w:rFonts w:eastAsia="Arial Unicode MS"/>
          <w:bCs/>
          <w:lang w:eastAsia="fr-FR" w:bidi="he-IL"/>
        </w:rPr>
        <w:t>»</w:t>
      </w:r>
      <w:r>
        <w:rPr>
          <w:rFonts w:eastAsia="Arial Unicode MS"/>
          <w:bCs/>
          <w:lang w:eastAsia="fr-FR" w:bidi="he-IL"/>
        </w:rPr>
        <w:t> </w:t>
      </w:r>
      <w:r w:rsidR="00B704AD" w:rsidRPr="00C8701B">
        <w:rPr>
          <w:rFonts w:eastAsia="Arial Unicode MS"/>
          <w:bCs/>
          <w:lang w:eastAsia="fr-FR" w:bidi="he-IL"/>
        </w:rPr>
        <w:t>Avec la paix de l</w:t>
      </w:r>
      <w:r w:rsidR="00557DE0">
        <w:rPr>
          <w:rFonts w:eastAsia="Arial Unicode MS"/>
          <w:bCs/>
          <w:lang w:eastAsia="fr-FR" w:bidi="he-IL"/>
        </w:rPr>
        <w:t>’</w:t>
      </w:r>
      <w:r w:rsidR="00C8701B">
        <w:rPr>
          <w:rFonts w:eastAsia="Arial Unicode MS"/>
          <w:bCs/>
          <w:lang w:eastAsia="fr-FR" w:bidi="he-IL"/>
        </w:rPr>
        <w:t>Église</w:t>
      </w:r>
      <w:r w:rsidR="00B704AD" w:rsidRPr="00C8701B">
        <w:rPr>
          <w:rFonts w:eastAsia="Arial Unicode MS"/>
          <w:bCs/>
          <w:lang w:eastAsia="fr-FR" w:bidi="he-IL"/>
        </w:rPr>
        <w:t xml:space="preserve"> arriva le luxe des manuscrits et des couvertures</w:t>
      </w:r>
      <w:r w:rsidR="00E65435">
        <w:rPr>
          <w:rFonts w:eastAsia="Arial Unicode MS"/>
          <w:bCs/>
          <w:lang w:eastAsia="fr-FR" w:bidi="he-IL"/>
        </w:rPr>
        <w:t xml:space="preserve">, </w:t>
      </w:r>
      <w:r w:rsidR="00B704AD" w:rsidRPr="00C8701B">
        <w:rPr>
          <w:rFonts w:eastAsia="Arial Unicode MS"/>
          <w:bCs/>
          <w:lang w:eastAsia="fr-FR" w:bidi="he-IL"/>
        </w:rPr>
        <w:t>nouvelle manière de témoigner la vénération qu</w:t>
      </w:r>
      <w:r w:rsidR="00557DE0">
        <w:rPr>
          <w:rFonts w:eastAsia="Arial Unicode MS"/>
          <w:bCs/>
          <w:lang w:eastAsia="fr-FR" w:bidi="he-IL"/>
        </w:rPr>
        <w:t>’</w:t>
      </w:r>
      <w:r w:rsidR="00B704AD" w:rsidRPr="00C8701B">
        <w:rPr>
          <w:rFonts w:eastAsia="Arial Unicode MS"/>
          <w:bCs/>
          <w:lang w:eastAsia="fr-FR" w:bidi="he-IL"/>
        </w:rPr>
        <w:t>on professait pour la parole du Sauveu</w:t>
      </w:r>
      <w:r>
        <w:rPr>
          <w:rFonts w:eastAsia="Arial Unicode MS"/>
          <w:bCs/>
          <w:lang w:eastAsia="fr-FR" w:bidi="he-IL"/>
        </w:rPr>
        <w:t>r. O</w:t>
      </w:r>
      <w:r w:rsidR="00B704AD" w:rsidRPr="00C8701B">
        <w:rPr>
          <w:rFonts w:eastAsia="Arial Unicode MS"/>
          <w:bCs/>
          <w:lang w:eastAsia="fr-FR" w:bidi="he-IL"/>
        </w:rPr>
        <w:t>n l</w:t>
      </w:r>
      <w:r w:rsidR="00557DE0">
        <w:rPr>
          <w:rFonts w:eastAsia="Arial Unicode MS"/>
          <w:bCs/>
          <w:lang w:eastAsia="fr-FR" w:bidi="he-IL"/>
        </w:rPr>
        <w:t>’</w:t>
      </w:r>
      <w:r w:rsidR="00B704AD" w:rsidRPr="00C8701B">
        <w:rPr>
          <w:rFonts w:eastAsia="Arial Unicode MS"/>
          <w:bCs/>
          <w:lang w:eastAsia="fr-FR" w:bidi="he-IL"/>
        </w:rPr>
        <w:t>écrivit en lettres d</w:t>
      </w:r>
      <w:r w:rsidR="00557DE0">
        <w:rPr>
          <w:rFonts w:eastAsia="Arial Unicode MS"/>
          <w:bCs/>
          <w:lang w:eastAsia="fr-FR" w:bidi="he-IL"/>
        </w:rPr>
        <w:t>’</w:t>
      </w:r>
      <w:r w:rsidR="00B704AD" w:rsidRPr="00C8701B">
        <w:rPr>
          <w:rFonts w:eastAsia="Arial Unicode MS"/>
          <w:bCs/>
          <w:lang w:eastAsia="fr-FR" w:bidi="he-IL"/>
        </w:rPr>
        <w:t>or et sur des membranes teintes en pourpre</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 xml:space="preserve">S. Jérôme et S. </w:t>
      </w:r>
      <w:r w:rsidR="00116664">
        <w:rPr>
          <w:rFonts w:eastAsia="Arial Unicode MS"/>
          <w:bCs/>
          <w:lang w:eastAsia="fr-FR" w:bidi="he-IL"/>
        </w:rPr>
        <w:t>Ephrém</w:t>
      </w:r>
      <w:r w:rsidR="00B704AD" w:rsidRPr="00C8701B">
        <w:rPr>
          <w:rFonts w:eastAsia="Arial Unicode MS"/>
          <w:bCs/>
          <w:lang w:eastAsia="fr-FR" w:bidi="he-IL"/>
        </w:rPr>
        <w:t xml:space="preserve"> attestent que les moines du quatrième siècle occupaient leurs loisirs à faire de ces riches copies. Le monastère de S. Dimitri</w:t>
      </w:r>
      <w:r w:rsidR="00E65435">
        <w:rPr>
          <w:rFonts w:eastAsia="Arial Unicode MS"/>
          <w:bCs/>
          <w:lang w:eastAsia="fr-FR" w:bidi="he-IL"/>
        </w:rPr>
        <w:t xml:space="preserve">, </w:t>
      </w:r>
      <w:r w:rsidR="00B704AD" w:rsidRPr="00C8701B">
        <w:rPr>
          <w:rFonts w:eastAsia="Arial Unicode MS"/>
          <w:bCs/>
          <w:lang w:eastAsia="fr-FR" w:bidi="he-IL"/>
        </w:rPr>
        <w:t>sur le mont Ossa (ancienne Magnésie)</w:t>
      </w:r>
      <w:r w:rsidR="00E65435">
        <w:rPr>
          <w:rFonts w:eastAsia="Arial Unicode MS"/>
          <w:bCs/>
          <w:lang w:eastAsia="fr-FR" w:bidi="he-IL"/>
        </w:rPr>
        <w:t xml:space="preserve">, </w:t>
      </w:r>
      <w:r w:rsidR="00B704AD" w:rsidRPr="00C8701B">
        <w:rPr>
          <w:rFonts w:eastAsia="Arial Unicode MS"/>
          <w:bCs/>
          <w:lang w:eastAsia="fr-FR" w:bidi="he-IL"/>
        </w:rPr>
        <w:t>possède un magnifique manuscrit</w:t>
      </w:r>
      <w:r w:rsidR="00E65435">
        <w:rPr>
          <w:rFonts w:eastAsia="Arial Unicode MS"/>
          <w:bCs/>
          <w:lang w:eastAsia="fr-FR" w:bidi="he-IL"/>
        </w:rPr>
        <w:t xml:space="preserve">, </w:t>
      </w:r>
      <w:r w:rsidR="00B704AD" w:rsidRPr="00C8701B">
        <w:rPr>
          <w:rFonts w:eastAsia="Arial Unicode MS"/>
          <w:bCs/>
          <w:lang w:eastAsia="fr-FR" w:bidi="he-IL"/>
        </w:rPr>
        <w:t>contenant les quatre Évangiles écrits en lettres d</w:t>
      </w:r>
      <w:r w:rsidR="00557DE0">
        <w:rPr>
          <w:rFonts w:eastAsia="Arial Unicode MS"/>
          <w:bCs/>
          <w:lang w:eastAsia="fr-FR" w:bidi="he-IL"/>
        </w:rPr>
        <w:t>’</w:t>
      </w:r>
      <w:r w:rsidR="00B704AD" w:rsidRPr="00C8701B">
        <w:rPr>
          <w:rFonts w:eastAsia="Arial Unicode MS"/>
          <w:bCs/>
          <w:lang w:eastAsia="fr-FR" w:bidi="he-IL"/>
        </w:rPr>
        <w:t>or sur parchemin</w:t>
      </w:r>
      <w:r w:rsidR="00E65435">
        <w:rPr>
          <w:rFonts w:eastAsia="Arial Unicode MS"/>
          <w:bCs/>
          <w:lang w:eastAsia="fr-FR" w:bidi="he-IL"/>
        </w:rPr>
        <w:t xml:space="preserve">, </w:t>
      </w:r>
      <w:r w:rsidR="00B704AD" w:rsidRPr="00C8701B">
        <w:rPr>
          <w:rFonts w:eastAsia="Arial Unicode MS"/>
          <w:bCs/>
          <w:lang w:eastAsia="fr-FR" w:bidi="he-IL"/>
        </w:rPr>
        <w:t xml:space="preserve">et avec </w:t>
      </w:r>
      <w:r w:rsidR="00EA28F4" w:rsidRPr="00C8701B">
        <w:rPr>
          <w:rFonts w:eastAsia="Arial Unicode MS"/>
          <w:bCs/>
          <w:lang w:eastAsia="fr-FR" w:bidi="he-IL"/>
        </w:rPr>
        <w:t>une</w:t>
      </w:r>
      <w:r w:rsidR="00B704AD" w:rsidRPr="00C8701B">
        <w:rPr>
          <w:rFonts w:eastAsia="Arial Unicode MS"/>
          <w:bCs/>
          <w:lang w:eastAsia="fr-FR" w:bidi="he-IL"/>
        </w:rPr>
        <w:t xml:space="preserve"> admirable finesse</w:t>
      </w:r>
      <w:r w:rsidR="00E65435">
        <w:rPr>
          <w:rFonts w:eastAsia="Arial Unicode MS"/>
          <w:bCs/>
          <w:lang w:eastAsia="fr-FR" w:bidi="he-IL"/>
        </w:rPr>
        <w:t xml:space="preserve">, </w:t>
      </w:r>
      <w:r w:rsidR="00B704AD" w:rsidRPr="00C8701B">
        <w:rPr>
          <w:rFonts w:eastAsia="Arial Unicode MS"/>
          <w:bCs/>
          <w:lang w:eastAsia="fr-FR" w:bidi="he-IL"/>
        </w:rPr>
        <w:t xml:space="preserve">orné de miniatures </w:t>
      </w:r>
      <w:r w:rsidR="00EA28F4" w:rsidRPr="00C8701B">
        <w:rPr>
          <w:rFonts w:eastAsia="Arial Unicode MS"/>
          <w:bCs/>
          <w:lang w:eastAsia="fr-FR" w:bidi="he-IL"/>
        </w:rPr>
        <w:t>représentant</w:t>
      </w:r>
      <w:r w:rsidR="00B704AD" w:rsidRPr="00C8701B">
        <w:rPr>
          <w:rFonts w:eastAsia="Arial Unicode MS"/>
          <w:bCs/>
          <w:lang w:eastAsia="fr-FR" w:bidi="he-IL"/>
        </w:rPr>
        <w:t xml:space="preserve"> les quatre </w:t>
      </w:r>
      <w:r w:rsidR="00EA28F4" w:rsidRPr="00C8701B">
        <w:rPr>
          <w:rFonts w:eastAsia="Arial Unicode MS"/>
          <w:bCs/>
          <w:lang w:eastAsia="fr-FR" w:bidi="he-IL"/>
        </w:rPr>
        <w:t>évangélistes</w:t>
      </w:r>
      <w:r w:rsidR="00E65435">
        <w:rPr>
          <w:rFonts w:eastAsia="Arial Unicode MS"/>
          <w:bCs/>
          <w:lang w:eastAsia="fr-FR" w:bidi="he-IL"/>
        </w:rPr>
        <w:t xml:space="preserve">, </w:t>
      </w:r>
      <w:r w:rsidR="00B704AD" w:rsidRPr="00C8701B">
        <w:rPr>
          <w:rFonts w:eastAsia="Arial Unicode MS"/>
          <w:bCs/>
          <w:lang w:eastAsia="fr-FR" w:bidi="he-IL"/>
        </w:rPr>
        <w:t>et e</w:t>
      </w:r>
      <w:r>
        <w:rPr>
          <w:rFonts w:eastAsia="Arial Unicode MS"/>
          <w:bCs/>
          <w:lang w:eastAsia="fr-FR" w:bidi="he-IL"/>
        </w:rPr>
        <w:t>nrichi de notes marginales que l</w:t>
      </w:r>
      <w:r w:rsidR="00B704AD" w:rsidRPr="00C8701B">
        <w:rPr>
          <w:rFonts w:eastAsia="Arial Unicode MS"/>
          <w:bCs/>
          <w:lang w:eastAsia="fr-FR" w:bidi="he-IL"/>
        </w:rPr>
        <w:t>a tradition attribue à S. Achillios</w:t>
      </w:r>
      <w:r w:rsidR="00E65435">
        <w:rPr>
          <w:rFonts w:eastAsia="Arial Unicode MS"/>
          <w:bCs/>
          <w:lang w:eastAsia="fr-FR" w:bidi="he-IL"/>
        </w:rPr>
        <w:t xml:space="preserve">, </w:t>
      </w:r>
      <w:r w:rsidR="00B704AD" w:rsidRPr="00C8701B">
        <w:rPr>
          <w:rFonts w:eastAsia="Arial Unicode MS"/>
          <w:bCs/>
          <w:lang w:eastAsia="fr-FR" w:bidi="he-IL"/>
        </w:rPr>
        <w:t>évêque de Larisse</w:t>
      </w:r>
      <w:r w:rsidR="00E65435">
        <w:rPr>
          <w:rFonts w:eastAsia="Arial Unicode MS"/>
          <w:bCs/>
          <w:lang w:eastAsia="fr-FR" w:bidi="he-IL"/>
        </w:rPr>
        <w:t xml:space="preserve">, </w:t>
      </w:r>
      <w:r w:rsidR="00B704AD" w:rsidRPr="00C8701B">
        <w:rPr>
          <w:rFonts w:eastAsia="Arial Unicode MS"/>
          <w:bCs/>
          <w:lang w:eastAsia="fr-FR" w:bidi="he-IL"/>
        </w:rPr>
        <w:t>et l</w:t>
      </w:r>
      <w:r w:rsidR="00557DE0">
        <w:rPr>
          <w:rFonts w:eastAsia="Arial Unicode MS"/>
          <w:bCs/>
          <w:lang w:eastAsia="fr-FR" w:bidi="he-IL"/>
        </w:rPr>
        <w:t>’</w:t>
      </w:r>
      <w:r>
        <w:rPr>
          <w:rFonts w:eastAsia="Arial Unicode MS"/>
          <w:bCs/>
          <w:lang w:eastAsia="fr-FR" w:bidi="he-IL"/>
        </w:rPr>
        <w:t>une des lumières du c</w:t>
      </w:r>
      <w:r w:rsidR="00B704AD" w:rsidRPr="00C8701B">
        <w:rPr>
          <w:rFonts w:eastAsia="Arial Unicode MS"/>
          <w:bCs/>
          <w:lang w:eastAsia="fr-FR" w:bidi="he-IL"/>
        </w:rPr>
        <w:t>oncile de Nicée (</w:t>
      </w:r>
      <w:r w:rsidR="00835131">
        <w:rPr>
          <w:rFonts w:eastAsia="Arial Unicode MS"/>
          <w:bCs/>
          <w:lang w:eastAsia="fr-FR" w:bidi="he-IL"/>
        </w:rPr>
        <w:t>V</w:t>
      </w:r>
      <w:r w:rsidR="00B704AD" w:rsidRPr="00C8701B">
        <w:rPr>
          <w:rFonts w:eastAsia="Arial Unicode MS"/>
          <w:bCs/>
          <w:lang w:eastAsia="fr-FR" w:bidi="he-IL"/>
        </w:rPr>
        <w:t>.</w:t>
      </w:r>
      <w:r w:rsidR="00B704AD" w:rsidRPr="00DC4586">
        <w:rPr>
          <w:rStyle w:val="italicus"/>
        </w:rPr>
        <w:t xml:space="preserve"> Archives des miss</w:t>
      </w:r>
      <w:r>
        <w:rPr>
          <w:rStyle w:val="italicus"/>
        </w:rPr>
        <w:t>.</w:t>
      </w:r>
      <w:r w:rsidR="00E65435">
        <w:rPr>
          <w:rStyle w:val="italicus"/>
        </w:rPr>
        <w:t xml:space="preserve"> </w:t>
      </w:r>
      <w:r w:rsidR="00B704AD" w:rsidRPr="00DC4586">
        <w:rPr>
          <w:rStyle w:val="italicus"/>
        </w:rPr>
        <w:t>scient</w:t>
      </w:r>
      <w:r>
        <w:rPr>
          <w:rStyle w:val="italicus"/>
        </w:rPr>
        <w:t>.</w:t>
      </w:r>
      <w:r w:rsidR="00E65435">
        <w:rPr>
          <w:rStyle w:val="italicus"/>
        </w:rPr>
        <w:t xml:space="preserve"> </w:t>
      </w:r>
      <w:r w:rsidR="00B704AD" w:rsidRPr="00DC4586">
        <w:rPr>
          <w:rStyle w:val="italicus"/>
        </w:rPr>
        <w:t>et litt.</w:t>
      </w:r>
      <w:r w:rsidR="00E65435">
        <w:rPr>
          <w:rStyle w:val="italicus"/>
        </w:rPr>
        <w:t xml:space="preserve">, </w:t>
      </w:r>
      <w:r w:rsidR="00B704AD" w:rsidRPr="00C8701B">
        <w:rPr>
          <w:rFonts w:eastAsia="Arial Unicode MS"/>
          <w:bCs/>
          <w:lang w:eastAsia="fr-FR" w:bidi="he-IL"/>
        </w:rPr>
        <w:t>t. III</w:t>
      </w:r>
      <w:r w:rsidR="00E65435">
        <w:rPr>
          <w:rFonts w:eastAsia="Arial Unicode MS"/>
          <w:bCs/>
          <w:lang w:eastAsia="fr-FR" w:bidi="he-IL"/>
        </w:rPr>
        <w:t xml:space="preserve">, </w:t>
      </w:r>
      <w:r w:rsidR="00B704AD" w:rsidRPr="00C8701B">
        <w:rPr>
          <w:rFonts w:eastAsia="Arial Unicode MS"/>
          <w:bCs/>
          <w:lang w:eastAsia="fr-FR" w:bidi="he-IL"/>
        </w:rPr>
        <w:t>p. 250). On montre</w:t>
      </w:r>
      <w:r w:rsidR="00E65435">
        <w:rPr>
          <w:rFonts w:eastAsia="Arial Unicode MS"/>
          <w:bCs/>
          <w:lang w:eastAsia="fr-FR" w:bidi="he-IL"/>
        </w:rPr>
        <w:t xml:space="preserve">, </w:t>
      </w:r>
      <w:r w:rsidR="00B704AD" w:rsidRPr="00C8701B">
        <w:rPr>
          <w:rFonts w:eastAsia="Arial Unicode MS"/>
          <w:bCs/>
          <w:lang w:eastAsia="fr-FR" w:bidi="he-IL"/>
        </w:rPr>
        <w:t>aussi à la bibliothèque de Munich un évangéliaire latin du neuvième siècle</w:t>
      </w:r>
      <w:r w:rsidR="00E65435">
        <w:rPr>
          <w:rFonts w:eastAsia="Arial Unicode MS"/>
          <w:bCs/>
          <w:lang w:eastAsia="fr-FR" w:bidi="he-IL"/>
        </w:rPr>
        <w:t xml:space="preserve">, </w:t>
      </w:r>
      <w:r>
        <w:rPr>
          <w:rFonts w:eastAsia="Arial Unicode MS"/>
          <w:bCs/>
          <w:lang w:eastAsia="fr-FR" w:bidi="he-IL"/>
        </w:rPr>
        <w:t>écrit en lettres d</w:t>
      </w:r>
      <w:r w:rsidR="00557DE0">
        <w:rPr>
          <w:rFonts w:eastAsia="Arial Unicode MS"/>
          <w:bCs/>
          <w:lang w:eastAsia="fr-FR" w:bidi="he-IL"/>
        </w:rPr>
        <w:t>’</w:t>
      </w:r>
      <w:r w:rsidR="00B704AD" w:rsidRPr="00C8701B">
        <w:rPr>
          <w:rFonts w:eastAsia="Arial Unicode MS"/>
          <w:bCs/>
          <w:lang w:eastAsia="fr-FR" w:bidi="he-IL"/>
        </w:rPr>
        <w:t>argent sur vélin pourpre</w:t>
      </w:r>
      <w:r>
        <w:rPr>
          <w:rFonts w:eastAsia="Arial Unicode MS"/>
          <w:bCs/>
          <w:lang w:eastAsia="fr-FR" w:bidi="he-IL"/>
        </w:rPr>
        <w:t xml:space="preserve">. </w:t>
      </w:r>
    </w:p>
    <w:p w:rsidR="00B544BE" w:rsidRDefault="00B544BE" w:rsidP="00B544BE">
      <w:pPr>
        <w:rPr>
          <w:rFonts w:eastAsia="Arial Unicode MS"/>
          <w:bCs/>
          <w:lang w:eastAsia="fr-FR" w:bidi="he-IL"/>
        </w:rPr>
      </w:pPr>
      <w:r w:rsidRPr="00C8701B">
        <w:rPr>
          <w:rFonts w:eastAsia="Arial Unicode MS"/>
          <w:bCs/>
          <w:lang w:eastAsia="fr-FR" w:bidi="he-IL"/>
        </w:rPr>
        <w:t>»</w:t>
      </w:r>
      <w:r>
        <w:rPr>
          <w:rFonts w:eastAsia="Arial Unicode MS"/>
          <w:bCs/>
          <w:lang w:eastAsia="fr-FR" w:bidi="he-IL"/>
        </w:rPr>
        <w:t> O</w:t>
      </w:r>
      <w:r w:rsidR="00B704AD" w:rsidRPr="00C8701B">
        <w:rPr>
          <w:rFonts w:eastAsia="Arial Unicode MS"/>
          <w:bCs/>
          <w:lang w:eastAsia="fr-FR" w:bidi="he-IL"/>
        </w:rPr>
        <w:t>n vit des évangéliaires revêtus de couvertures où brillaient l</w:t>
      </w:r>
      <w:r w:rsidR="00557DE0">
        <w:rPr>
          <w:rFonts w:eastAsia="Arial Unicode MS"/>
          <w:bCs/>
          <w:lang w:eastAsia="fr-FR" w:bidi="he-IL"/>
        </w:rPr>
        <w:t>’</w:t>
      </w:r>
      <w:r w:rsidR="00B704AD" w:rsidRPr="00C8701B">
        <w:rPr>
          <w:rFonts w:eastAsia="Arial Unicode MS"/>
          <w:bCs/>
          <w:lang w:eastAsia="fr-FR" w:bidi="he-IL"/>
        </w:rPr>
        <w:t>argent</w:t>
      </w:r>
      <w:r w:rsidR="00E65435">
        <w:rPr>
          <w:rFonts w:eastAsia="Arial Unicode MS"/>
          <w:bCs/>
          <w:lang w:eastAsia="fr-FR" w:bidi="he-IL"/>
        </w:rPr>
        <w:t xml:space="preserve">, </w:t>
      </w:r>
      <w:r w:rsidR="00B704AD" w:rsidRPr="00C8701B">
        <w:rPr>
          <w:rFonts w:eastAsia="Arial Unicode MS"/>
          <w:bCs/>
          <w:lang w:eastAsia="fr-FR" w:bidi="he-IL"/>
        </w:rPr>
        <w:t>l</w:t>
      </w:r>
      <w:r w:rsidR="00557DE0">
        <w:rPr>
          <w:rFonts w:eastAsia="Arial Unicode MS"/>
          <w:bCs/>
          <w:lang w:eastAsia="fr-FR" w:bidi="he-IL"/>
        </w:rPr>
        <w:t>’</w:t>
      </w:r>
      <w:r w:rsidR="00B704AD" w:rsidRPr="00C8701B">
        <w:rPr>
          <w:rFonts w:eastAsia="Arial Unicode MS"/>
          <w:bCs/>
          <w:lang w:eastAsia="fr-FR" w:bidi="he-IL"/>
        </w:rPr>
        <w:t>or</w:t>
      </w:r>
      <w:r w:rsidR="00E65435">
        <w:rPr>
          <w:rFonts w:eastAsia="Arial Unicode MS"/>
          <w:bCs/>
          <w:lang w:eastAsia="fr-FR" w:bidi="he-IL"/>
        </w:rPr>
        <w:t xml:space="preserve">, </w:t>
      </w:r>
      <w:r w:rsidR="00B704AD" w:rsidRPr="00C8701B">
        <w:rPr>
          <w:rFonts w:eastAsia="Arial Unicode MS"/>
          <w:bCs/>
          <w:lang w:eastAsia="fr-FR" w:bidi="he-IL"/>
        </w:rPr>
        <w:t>les pierres précieuses</w:t>
      </w:r>
      <w:r w:rsidR="00E65435">
        <w:rPr>
          <w:rFonts w:eastAsia="Arial Unicode MS"/>
          <w:bCs/>
          <w:lang w:eastAsia="fr-FR" w:bidi="he-IL"/>
        </w:rPr>
        <w:t xml:space="preserve">, </w:t>
      </w:r>
      <w:r w:rsidR="00B704AD" w:rsidRPr="00C8701B">
        <w:rPr>
          <w:rFonts w:eastAsia="Arial Unicode MS"/>
          <w:bCs/>
          <w:lang w:eastAsia="fr-FR" w:bidi="he-IL"/>
        </w:rPr>
        <w:t>et d</w:t>
      </w:r>
      <w:r w:rsidR="00557DE0">
        <w:rPr>
          <w:rFonts w:eastAsia="Arial Unicode MS"/>
          <w:bCs/>
          <w:lang w:eastAsia="fr-FR" w:bidi="he-IL"/>
        </w:rPr>
        <w:t>’</w:t>
      </w:r>
      <w:r w:rsidR="00B704AD" w:rsidRPr="00C8701B">
        <w:rPr>
          <w:rFonts w:eastAsia="Arial Unicode MS"/>
          <w:bCs/>
          <w:lang w:eastAsia="fr-FR" w:bidi="he-IL"/>
        </w:rPr>
        <w:t>autres ornés de saintes images sculptées par les plus habiles artistes sur des tablettes d</w:t>
      </w:r>
      <w:r w:rsidR="00557DE0">
        <w:rPr>
          <w:rFonts w:eastAsia="Arial Unicode MS"/>
          <w:bCs/>
          <w:lang w:eastAsia="fr-FR" w:bidi="he-IL"/>
        </w:rPr>
        <w:t>’</w:t>
      </w:r>
      <w:r w:rsidR="00B704AD" w:rsidRPr="00C8701B">
        <w:rPr>
          <w:rFonts w:eastAsia="Arial Unicode MS"/>
          <w:bCs/>
          <w:lang w:eastAsia="fr-FR" w:bidi="he-IL"/>
        </w:rPr>
        <w:t>ivoire ou de bronze. Constantin (Gedren.</w:t>
      </w:r>
      <w:r w:rsidR="00E65435">
        <w:rPr>
          <w:rFonts w:eastAsia="Arial Unicode MS"/>
          <w:bCs/>
          <w:lang w:eastAsia="fr-FR" w:bidi="he-IL"/>
        </w:rPr>
        <w:t xml:space="preserve">, </w:t>
      </w:r>
      <w:r w:rsidR="00B704AD" w:rsidRPr="00DC4586">
        <w:rPr>
          <w:rStyle w:val="italicus"/>
        </w:rPr>
        <w:t>In Constantin.</w:t>
      </w:r>
      <w:r w:rsidR="00E65435">
        <w:rPr>
          <w:rStyle w:val="italicus"/>
        </w:rPr>
        <w:t xml:space="preserve">, </w:t>
      </w:r>
      <w:r w:rsidR="00B704AD" w:rsidRPr="00C8701B">
        <w:rPr>
          <w:rFonts w:eastAsia="Arial Unicode MS"/>
          <w:bCs/>
          <w:lang w:eastAsia="fr-FR" w:bidi="he-IL"/>
        </w:rPr>
        <w:t xml:space="preserve">ann. 21) avait offert à la basilique de Latran les volumes des </w:t>
      </w:r>
      <w:r w:rsidR="000439E9">
        <w:rPr>
          <w:rFonts w:eastAsia="Arial Unicode MS"/>
          <w:bCs/>
          <w:lang w:eastAsia="fr-FR" w:bidi="he-IL"/>
        </w:rPr>
        <w:t>Évangile</w:t>
      </w:r>
      <w:r w:rsidR="00B704AD" w:rsidRPr="00C8701B">
        <w:rPr>
          <w:rFonts w:eastAsia="Arial Unicode MS"/>
          <w:bCs/>
          <w:lang w:eastAsia="fr-FR" w:bidi="he-IL"/>
        </w:rPr>
        <w:t>s reliés avec une magnificence extraordinaire. La reine Théodelinde fit un don de même natu</w:t>
      </w:r>
      <w:r>
        <w:rPr>
          <w:rFonts w:eastAsia="Arial Unicode MS"/>
          <w:bCs/>
          <w:lang w:eastAsia="fr-FR" w:bidi="he-IL"/>
        </w:rPr>
        <w:t>re à la basilique de Monza (Maff</w:t>
      </w:r>
      <w:r w:rsidR="00B704AD" w:rsidRPr="00C8701B">
        <w:rPr>
          <w:rFonts w:eastAsia="Arial Unicode MS"/>
          <w:bCs/>
          <w:lang w:eastAsia="fr-FR" w:bidi="he-IL"/>
        </w:rPr>
        <w:t>ei</w:t>
      </w:r>
      <w:r w:rsidR="00E65435">
        <w:rPr>
          <w:rFonts w:eastAsia="Arial Unicode MS"/>
          <w:bCs/>
          <w:lang w:eastAsia="fr-FR" w:bidi="he-IL"/>
        </w:rPr>
        <w:t xml:space="preserve">, </w:t>
      </w:r>
      <w:r w:rsidR="00B704AD" w:rsidRPr="00DC4586">
        <w:rPr>
          <w:rStyle w:val="italicus"/>
        </w:rPr>
        <w:t>Storia diplom.</w:t>
      </w:r>
      <w:r w:rsidR="00E65435">
        <w:rPr>
          <w:rStyle w:val="italicus"/>
        </w:rPr>
        <w:t xml:space="preserve">, </w:t>
      </w:r>
      <w:r w:rsidR="00B704AD" w:rsidRPr="00C8701B">
        <w:rPr>
          <w:rFonts w:eastAsia="Arial Unicode MS"/>
          <w:bCs/>
          <w:lang w:eastAsia="fr-FR" w:bidi="he-IL"/>
        </w:rPr>
        <w:t>p. 319). On voit dans l</w:t>
      </w:r>
      <w:r w:rsidR="00557DE0">
        <w:rPr>
          <w:rFonts w:eastAsia="Arial Unicode MS"/>
          <w:bCs/>
          <w:lang w:eastAsia="fr-FR" w:bidi="he-IL"/>
        </w:rPr>
        <w:t>’</w:t>
      </w:r>
      <w:r w:rsidR="00B704AD" w:rsidRPr="00C8701B">
        <w:rPr>
          <w:rFonts w:eastAsia="Arial Unicode MS"/>
          <w:bCs/>
          <w:lang w:eastAsia="fr-FR" w:bidi="he-IL"/>
        </w:rPr>
        <w:t xml:space="preserve">ouvrage de Gori </w:t>
      </w:r>
      <w:r w:rsidR="00B704AD" w:rsidRPr="00C8701B">
        <w:rPr>
          <w:rFonts w:eastAsia="Arial Unicode MS"/>
          <w:bCs/>
          <w:iCs/>
          <w:lang w:eastAsia="fr-FR" w:bidi="he-IL"/>
        </w:rPr>
        <w:t>(</w:t>
      </w:r>
      <w:r>
        <w:rPr>
          <w:rStyle w:val="italicus"/>
        </w:rPr>
        <w:t>The</w:t>
      </w:r>
      <w:r w:rsidR="00B704AD" w:rsidRPr="00DC4586">
        <w:rPr>
          <w:rStyle w:val="italicus"/>
        </w:rPr>
        <w:t>s</w:t>
      </w:r>
      <w:r>
        <w:rPr>
          <w:rStyle w:val="italicus"/>
        </w:rPr>
        <w:t>.</w:t>
      </w:r>
      <w:r w:rsidR="00E65435">
        <w:rPr>
          <w:rStyle w:val="italicus"/>
        </w:rPr>
        <w:t xml:space="preserve"> </w:t>
      </w:r>
      <w:r w:rsidR="00B704AD" w:rsidRPr="00DC4586">
        <w:rPr>
          <w:rStyle w:val="italicus"/>
        </w:rPr>
        <w:t>diptych.</w:t>
      </w:r>
      <w:r w:rsidR="00E65435">
        <w:rPr>
          <w:rStyle w:val="italicus"/>
        </w:rPr>
        <w:t xml:space="preserve">, </w:t>
      </w:r>
      <w:r w:rsidR="00B704AD" w:rsidRPr="00C8701B">
        <w:rPr>
          <w:rFonts w:eastAsia="Arial Unicode MS"/>
          <w:bCs/>
          <w:lang w:eastAsia="fr-FR" w:bidi="he-IL"/>
        </w:rPr>
        <w:t>t. III et passim) un grand nombre d</w:t>
      </w:r>
      <w:r w:rsidR="00557DE0">
        <w:rPr>
          <w:rFonts w:eastAsia="Arial Unicode MS"/>
          <w:bCs/>
          <w:lang w:eastAsia="fr-FR" w:bidi="he-IL"/>
        </w:rPr>
        <w:t>’</w:t>
      </w:r>
      <w:r w:rsidR="00B704AD" w:rsidRPr="00C8701B">
        <w:rPr>
          <w:rFonts w:eastAsia="Arial Unicode MS"/>
          <w:bCs/>
          <w:lang w:eastAsia="fr-FR" w:bidi="he-IL"/>
        </w:rPr>
        <w:t>ivoires du cinquième et du sixième siècle</w:t>
      </w:r>
      <w:r w:rsidR="00E65435">
        <w:rPr>
          <w:rFonts w:eastAsia="Arial Unicode MS"/>
          <w:bCs/>
          <w:lang w:eastAsia="fr-FR" w:bidi="he-IL"/>
        </w:rPr>
        <w:t xml:space="preserve">, </w:t>
      </w:r>
      <w:r w:rsidR="00B704AD" w:rsidRPr="00C8701B">
        <w:rPr>
          <w:rFonts w:eastAsia="Arial Unicode MS"/>
          <w:bCs/>
          <w:lang w:eastAsia="fr-FR" w:bidi="he-IL"/>
        </w:rPr>
        <w:t>couverts de sculptures chrétiennes</w:t>
      </w:r>
      <w:r w:rsidR="00E65435">
        <w:rPr>
          <w:rFonts w:eastAsia="Arial Unicode MS"/>
          <w:bCs/>
          <w:lang w:eastAsia="fr-FR" w:bidi="he-IL"/>
        </w:rPr>
        <w:t xml:space="preserve">, </w:t>
      </w:r>
      <w:r w:rsidR="00B704AD" w:rsidRPr="00C8701B">
        <w:rPr>
          <w:rFonts w:eastAsia="Arial Unicode MS"/>
          <w:bCs/>
          <w:lang w:eastAsia="fr-FR" w:bidi="he-IL"/>
        </w:rPr>
        <w:t>et qui ont servi de couvertures à des évangéliaires. On se servit même souvent pour cet objet de diptyques consulaires (</w:t>
      </w:r>
      <w:r w:rsidR="00835131">
        <w:rPr>
          <w:rFonts w:eastAsia="Arial Unicode MS"/>
          <w:bCs/>
          <w:lang w:eastAsia="fr-FR" w:bidi="he-IL"/>
        </w:rPr>
        <w:t>V</w:t>
      </w:r>
      <w:r w:rsidR="00B704AD" w:rsidRPr="00C8701B">
        <w:rPr>
          <w:rFonts w:eastAsia="Arial Unicode MS"/>
          <w:bCs/>
          <w:lang w:eastAsia="fr-FR" w:bidi="he-IL"/>
        </w:rPr>
        <w:t>. Ciamp.</w:t>
      </w:r>
      <w:r w:rsidR="00E65435">
        <w:rPr>
          <w:rFonts w:eastAsia="Arial Unicode MS"/>
          <w:bCs/>
          <w:lang w:eastAsia="fr-FR" w:bidi="he-IL"/>
        </w:rPr>
        <w:t xml:space="preserve">, </w:t>
      </w:r>
      <w:r w:rsidR="00B704AD" w:rsidRPr="00DC4586">
        <w:rPr>
          <w:rStyle w:val="italicus"/>
        </w:rPr>
        <w:t>Vet. mon.</w:t>
      </w:r>
      <w:r w:rsidR="00E65435">
        <w:rPr>
          <w:rStyle w:val="italicus"/>
        </w:rPr>
        <w:t xml:space="preserve">, </w:t>
      </w:r>
      <w:r w:rsidR="00B704AD" w:rsidRPr="00C8701B">
        <w:rPr>
          <w:rFonts w:eastAsia="Arial Unicode MS"/>
          <w:bCs/>
          <w:lang w:eastAsia="fr-FR" w:bidi="he-IL"/>
        </w:rPr>
        <w:t>I</w:t>
      </w:r>
      <w:r w:rsidR="00E65435">
        <w:rPr>
          <w:rFonts w:eastAsia="Arial Unicode MS"/>
          <w:bCs/>
          <w:lang w:eastAsia="fr-FR" w:bidi="he-IL"/>
        </w:rPr>
        <w:t xml:space="preserve">, </w:t>
      </w:r>
      <w:r w:rsidR="00B704AD" w:rsidRPr="00C8701B">
        <w:rPr>
          <w:rFonts w:eastAsia="Arial Unicode MS"/>
          <w:bCs/>
          <w:lang w:eastAsia="fr-FR" w:bidi="he-IL"/>
        </w:rPr>
        <w:t>p. 132)</w:t>
      </w:r>
      <w:r w:rsidR="00E65435">
        <w:rPr>
          <w:rFonts w:eastAsia="Arial Unicode MS"/>
          <w:bCs/>
          <w:lang w:eastAsia="fr-FR" w:bidi="he-IL"/>
        </w:rPr>
        <w:t xml:space="preserve">, </w:t>
      </w:r>
      <w:r w:rsidR="00B704AD" w:rsidRPr="00C8701B">
        <w:rPr>
          <w:rFonts w:eastAsia="Arial Unicode MS"/>
          <w:bCs/>
          <w:lang w:eastAsia="fr-FR" w:bidi="he-IL"/>
        </w:rPr>
        <w:t xml:space="preserve">et on employa pour ornement des saints Livres des pierres antiques </w:t>
      </w:r>
      <w:r w:rsidR="00EA28F4" w:rsidRPr="00C8701B">
        <w:rPr>
          <w:rFonts w:eastAsia="Arial Unicode MS"/>
          <w:bCs/>
          <w:lang w:eastAsia="fr-FR" w:bidi="he-IL"/>
        </w:rPr>
        <w:t>représentant</w:t>
      </w:r>
      <w:r w:rsidR="00B704AD" w:rsidRPr="00C8701B">
        <w:rPr>
          <w:rFonts w:eastAsia="Arial Unicode MS"/>
          <w:bCs/>
          <w:lang w:eastAsia="fr-FR" w:bidi="he-IL"/>
        </w:rPr>
        <w:t xml:space="preserve"> des sujets profanes (Marangoni</w:t>
      </w:r>
      <w:r w:rsidR="00E65435">
        <w:rPr>
          <w:rFonts w:eastAsia="Arial Unicode MS"/>
          <w:bCs/>
          <w:lang w:eastAsia="fr-FR" w:bidi="he-IL"/>
        </w:rPr>
        <w:t xml:space="preserve">, </w:t>
      </w:r>
      <w:r w:rsidR="00B704AD" w:rsidRPr="00DC4586">
        <w:rPr>
          <w:rStyle w:val="italicus"/>
        </w:rPr>
        <w:t>Cose gent.</w:t>
      </w:r>
      <w:r w:rsidR="00E65435">
        <w:rPr>
          <w:rStyle w:val="italicus"/>
        </w:rPr>
        <w:t xml:space="preserve">, </w:t>
      </w:r>
      <w:r w:rsidR="00B704AD" w:rsidRPr="00C8701B">
        <w:rPr>
          <w:rFonts w:eastAsia="Arial Unicode MS"/>
          <w:bCs/>
          <w:lang w:eastAsia="fr-FR" w:bidi="he-IL"/>
        </w:rPr>
        <w:t>p. 70)</w:t>
      </w:r>
      <w:r>
        <w:rPr>
          <w:rFonts w:eastAsia="Arial Unicode MS"/>
          <w:bCs/>
          <w:lang w:eastAsia="fr-FR" w:bidi="he-IL"/>
        </w:rPr>
        <w:t xml:space="preserve">. </w:t>
      </w:r>
    </w:p>
    <w:p w:rsidR="00C2602D" w:rsidRPr="00C8701B" w:rsidRDefault="00B544BE" w:rsidP="00B544BE">
      <w:pPr>
        <w:rPr>
          <w:rFonts w:eastAsia="Arial Unicode MS"/>
          <w:bCs/>
          <w:lang w:eastAsia="fr-FR" w:bidi="he-IL"/>
        </w:rPr>
      </w:pPr>
      <w:r w:rsidRPr="00C8701B">
        <w:rPr>
          <w:rFonts w:eastAsia="Arial Unicode MS"/>
          <w:bCs/>
          <w:lang w:eastAsia="fr-FR" w:bidi="he-IL"/>
        </w:rPr>
        <w:t>»</w:t>
      </w:r>
      <w:r>
        <w:rPr>
          <w:rFonts w:eastAsia="Arial Unicode MS"/>
          <w:bCs/>
          <w:lang w:eastAsia="fr-FR" w:bidi="he-IL"/>
        </w:rPr>
        <w:t> Q</w:t>
      </w:r>
      <w:r w:rsidR="00B704AD" w:rsidRPr="00C8701B">
        <w:rPr>
          <w:rFonts w:eastAsia="Arial Unicode MS"/>
          <w:bCs/>
          <w:lang w:eastAsia="fr-FR" w:bidi="he-IL"/>
        </w:rPr>
        <w:t>ui ne connaît le dessin de M. Albert</w:t>
      </w:r>
      <w:r w:rsidR="00B704AD" w:rsidRPr="00DC4586">
        <w:rPr>
          <w:rStyle w:val="italicus"/>
        </w:rPr>
        <w:t xml:space="preserve"> </w:t>
      </w:r>
      <w:r w:rsidR="00B704AD" w:rsidRPr="00C8701B">
        <w:rPr>
          <w:rFonts w:eastAsia="Arial Unicode MS"/>
          <w:bCs/>
          <w:iCs/>
          <w:lang w:eastAsia="fr-FR" w:bidi="he-IL"/>
        </w:rPr>
        <w:t>(</w:t>
      </w:r>
      <w:r w:rsidR="00B704AD" w:rsidRPr="00DC4586">
        <w:rPr>
          <w:rStyle w:val="italicus"/>
        </w:rPr>
        <w:t>Mém. de la Société nation</w:t>
      </w:r>
      <w:r>
        <w:rPr>
          <w:rStyle w:val="italicus"/>
        </w:rPr>
        <w:t>.</w:t>
      </w:r>
      <w:r w:rsidR="00E65435">
        <w:rPr>
          <w:rStyle w:val="italicus"/>
        </w:rPr>
        <w:t xml:space="preserve"> </w:t>
      </w:r>
      <w:r w:rsidR="00B704AD" w:rsidRPr="00DC4586">
        <w:rPr>
          <w:rStyle w:val="italicus"/>
        </w:rPr>
        <w:t>des antiquaires de France</w:t>
      </w:r>
      <w:r w:rsidR="00E65435">
        <w:rPr>
          <w:rStyle w:val="italicus"/>
        </w:rPr>
        <w:t xml:space="preserve">, </w:t>
      </w:r>
      <w:r w:rsidR="00B704AD" w:rsidRPr="00C8701B">
        <w:rPr>
          <w:rFonts w:eastAsia="Arial Unicode MS"/>
          <w:bCs/>
          <w:lang w:eastAsia="fr-FR" w:bidi="he-IL"/>
        </w:rPr>
        <w:t>t. X</w:t>
      </w:r>
      <w:r w:rsidR="0042479B">
        <w:rPr>
          <w:rFonts w:eastAsia="Arial Unicode MS"/>
          <w:bCs/>
          <w:lang w:eastAsia="fr-FR" w:bidi="he-IL"/>
        </w:rPr>
        <w:t>XXV</w:t>
      </w:r>
      <w:r w:rsidR="00E65435">
        <w:rPr>
          <w:rFonts w:eastAsia="Arial Unicode MS"/>
          <w:bCs/>
          <w:lang w:eastAsia="fr-FR" w:bidi="he-IL"/>
        </w:rPr>
        <w:t xml:space="preserve">, </w:t>
      </w:r>
      <w:r w:rsidR="00B704AD" w:rsidRPr="00C8701B">
        <w:rPr>
          <w:rFonts w:eastAsia="Arial Unicode MS"/>
          <w:bCs/>
          <w:lang w:eastAsia="fr-FR" w:bidi="he-IL"/>
        </w:rPr>
        <w:t>4</w:t>
      </w:r>
      <w:r w:rsidR="00B704AD" w:rsidRPr="00C8701B">
        <w:rPr>
          <w:rFonts w:eastAsia="Arial Unicode MS"/>
          <w:bCs/>
          <w:vertAlign w:val="superscript"/>
          <w:lang w:eastAsia="fr-FR" w:bidi="he-IL"/>
        </w:rPr>
        <w:t>e</w:t>
      </w:r>
      <w:r w:rsidR="00B704AD" w:rsidRPr="00C8701B">
        <w:rPr>
          <w:rFonts w:eastAsia="Arial Unicode MS"/>
          <w:bCs/>
          <w:lang w:eastAsia="fr-FR" w:bidi="he-IL"/>
        </w:rPr>
        <w:t xml:space="preserve"> série</w:t>
      </w:r>
      <w:r w:rsidR="00E65435">
        <w:rPr>
          <w:rFonts w:eastAsia="Arial Unicode MS"/>
          <w:bCs/>
          <w:lang w:eastAsia="fr-FR" w:bidi="he-IL"/>
        </w:rPr>
        <w:t xml:space="preserve">, </w:t>
      </w:r>
      <w:r w:rsidR="00B704AD" w:rsidRPr="00C8701B">
        <w:rPr>
          <w:rFonts w:eastAsia="Arial Unicode MS"/>
          <w:bCs/>
          <w:lang w:eastAsia="fr-FR" w:bidi="he-IL"/>
        </w:rPr>
        <w:t xml:space="preserve">t. </w:t>
      </w:r>
      <w:r w:rsidR="00835131">
        <w:rPr>
          <w:rFonts w:eastAsia="Arial Unicode MS"/>
          <w:bCs/>
          <w:lang w:eastAsia="fr-FR" w:bidi="he-IL"/>
        </w:rPr>
        <w:t>V</w:t>
      </w:r>
      <w:r w:rsidR="00B704AD" w:rsidRPr="00C8701B">
        <w:rPr>
          <w:rFonts w:eastAsia="Arial Unicode MS"/>
          <w:bCs/>
          <w:lang w:eastAsia="fr-FR" w:bidi="he-IL"/>
        </w:rPr>
        <w:t>)</w:t>
      </w:r>
      <w:r w:rsidR="00E65435">
        <w:rPr>
          <w:rFonts w:eastAsia="Arial Unicode MS"/>
          <w:bCs/>
          <w:lang w:eastAsia="fr-FR" w:bidi="he-IL"/>
        </w:rPr>
        <w:t xml:space="preserve">, </w:t>
      </w:r>
      <w:r w:rsidR="00B704AD" w:rsidRPr="00C8701B">
        <w:rPr>
          <w:rFonts w:eastAsia="Arial Unicode MS"/>
          <w:bCs/>
          <w:lang w:eastAsia="fr-FR" w:bidi="he-IL"/>
        </w:rPr>
        <w:t>représentant la couverture d</w:t>
      </w:r>
      <w:r w:rsidR="00557DE0">
        <w:rPr>
          <w:rFonts w:eastAsia="Arial Unicode MS"/>
          <w:bCs/>
          <w:lang w:eastAsia="fr-FR" w:bidi="he-IL"/>
        </w:rPr>
        <w:t>’</w:t>
      </w:r>
      <w:r w:rsidR="00B704AD" w:rsidRPr="00C8701B">
        <w:rPr>
          <w:rFonts w:eastAsia="Arial Unicode MS"/>
          <w:bCs/>
          <w:lang w:eastAsia="fr-FR" w:bidi="he-IL"/>
        </w:rPr>
        <w:t>un évangéliaire manuscrit attribué à Charlemagne</w:t>
      </w:r>
      <w:r w:rsidR="00C2602D" w:rsidRPr="00C8701B">
        <w:rPr>
          <w:rFonts w:eastAsia="Arial Unicode MS"/>
          <w:bCs/>
          <w:lang w:eastAsia="fr-FR" w:bidi="he-IL"/>
        </w:rPr>
        <w:t> ?</w:t>
      </w:r>
      <w:r w:rsidR="00B704AD" w:rsidRPr="00C8701B">
        <w:rPr>
          <w:rFonts w:eastAsia="Arial Unicode MS"/>
          <w:bCs/>
          <w:lang w:eastAsia="fr-FR" w:bidi="he-IL"/>
        </w:rPr>
        <w:t xml:space="preserve"> Les ornements d</w:t>
      </w:r>
      <w:r w:rsidR="00557DE0">
        <w:rPr>
          <w:rFonts w:eastAsia="Arial Unicode MS"/>
          <w:bCs/>
          <w:lang w:eastAsia="fr-FR" w:bidi="he-IL"/>
        </w:rPr>
        <w:t>’</w:t>
      </w:r>
      <w:r w:rsidR="00EA28F4" w:rsidRPr="00C8701B">
        <w:rPr>
          <w:rFonts w:eastAsia="Arial Unicode MS"/>
          <w:bCs/>
          <w:lang w:eastAsia="fr-FR" w:bidi="he-IL"/>
        </w:rPr>
        <w:t>orfèvrerie</w:t>
      </w:r>
      <w:r w:rsidR="00B704AD" w:rsidRPr="00C8701B">
        <w:rPr>
          <w:rFonts w:eastAsia="Arial Unicode MS"/>
          <w:bCs/>
          <w:lang w:eastAsia="fr-FR" w:bidi="he-IL"/>
        </w:rPr>
        <w:t xml:space="preserve"> dont il est couvert sont c</w:t>
      </w:r>
      <w:r>
        <w:rPr>
          <w:rFonts w:eastAsia="Arial Unicode MS"/>
          <w:bCs/>
          <w:lang w:eastAsia="fr-FR" w:bidi="he-IL"/>
        </w:rPr>
        <w:t>loués sur un ais de bois dur. A</w:t>
      </w:r>
      <w:r w:rsidR="00B704AD" w:rsidRPr="00C8701B">
        <w:rPr>
          <w:rFonts w:eastAsia="Arial Unicode MS"/>
          <w:bCs/>
          <w:lang w:eastAsia="fr-FR" w:bidi="he-IL"/>
        </w:rPr>
        <w:t>u centre de la</w:t>
      </w:r>
      <w:r>
        <w:rPr>
          <w:rFonts w:eastAsia="Arial Unicode MS"/>
          <w:bCs/>
          <w:lang w:eastAsia="fr-FR" w:bidi="he-IL"/>
        </w:rPr>
        <w:t xml:space="preserve"> composition se voit le Christ </w:t>
      </w:r>
      <w:r w:rsidR="00B704AD" w:rsidRPr="00C8701B">
        <w:rPr>
          <w:rFonts w:eastAsia="Arial Unicode MS"/>
          <w:bCs/>
          <w:lang w:eastAsia="fr-FR" w:bidi="he-IL"/>
        </w:rPr>
        <w:t>assis sur un trône</w:t>
      </w:r>
      <w:r w:rsidR="00E65435">
        <w:rPr>
          <w:rFonts w:eastAsia="Arial Unicode MS"/>
          <w:bCs/>
          <w:lang w:eastAsia="fr-FR" w:bidi="he-IL"/>
        </w:rPr>
        <w:t xml:space="preserve">, </w:t>
      </w:r>
      <w:r w:rsidR="00B704AD" w:rsidRPr="00C8701B">
        <w:rPr>
          <w:rFonts w:eastAsia="Arial Unicode MS"/>
          <w:bCs/>
          <w:lang w:eastAsia="fr-FR" w:bidi="he-IL"/>
        </w:rPr>
        <w:t>la tête entourée du nimbe crucifère bordé d</w:t>
      </w:r>
      <w:r w:rsidR="00557DE0">
        <w:rPr>
          <w:rFonts w:eastAsia="Arial Unicode MS"/>
          <w:bCs/>
          <w:lang w:eastAsia="fr-FR" w:bidi="he-IL"/>
        </w:rPr>
        <w:t>’</w:t>
      </w:r>
      <w:r w:rsidR="00B704AD" w:rsidRPr="00C8701B">
        <w:rPr>
          <w:rFonts w:eastAsia="Arial Unicode MS"/>
          <w:bCs/>
          <w:lang w:eastAsia="fr-FR" w:bidi="he-IL"/>
        </w:rPr>
        <w:t>un rang de perles</w:t>
      </w:r>
      <w:r w:rsidR="00E65435">
        <w:rPr>
          <w:rFonts w:eastAsia="Arial Unicode MS"/>
          <w:bCs/>
          <w:lang w:eastAsia="fr-FR" w:bidi="he-IL"/>
        </w:rPr>
        <w:t xml:space="preserve">, </w:t>
      </w:r>
      <w:r w:rsidR="00B704AD" w:rsidRPr="00C8701B">
        <w:rPr>
          <w:rFonts w:eastAsia="Arial Unicode MS"/>
          <w:bCs/>
          <w:lang w:eastAsia="fr-FR" w:bidi="he-IL"/>
        </w:rPr>
        <w:t>bénissant à la manière latine</w:t>
      </w:r>
      <w:r w:rsidR="00E65435">
        <w:rPr>
          <w:rFonts w:eastAsia="Arial Unicode MS"/>
          <w:bCs/>
          <w:lang w:eastAsia="fr-FR" w:bidi="he-IL"/>
        </w:rPr>
        <w:t xml:space="preserve">, </w:t>
      </w:r>
      <w:r w:rsidR="00B704AD" w:rsidRPr="00C8701B">
        <w:rPr>
          <w:rFonts w:eastAsia="Arial Unicode MS"/>
          <w:bCs/>
          <w:lang w:eastAsia="fr-FR" w:bidi="he-IL"/>
        </w:rPr>
        <w:t>et tenant de la main gauche le livre des évangiles. La figure est exécutée au repoussé dans une plaque d</w:t>
      </w:r>
      <w:r w:rsidR="00557DE0">
        <w:rPr>
          <w:rFonts w:eastAsia="Arial Unicode MS"/>
          <w:bCs/>
          <w:lang w:eastAsia="fr-FR" w:bidi="he-IL"/>
        </w:rPr>
        <w:t>’</w:t>
      </w:r>
      <w:r w:rsidR="00B704AD" w:rsidRPr="00C8701B">
        <w:rPr>
          <w:rFonts w:eastAsia="Arial Unicode MS"/>
          <w:bCs/>
          <w:lang w:eastAsia="fr-FR" w:bidi="he-IL"/>
        </w:rPr>
        <w:t>or fin. Le trône est décoré d</w:t>
      </w:r>
      <w:r w:rsidR="00557DE0">
        <w:rPr>
          <w:rFonts w:eastAsia="Arial Unicode MS"/>
          <w:bCs/>
          <w:lang w:eastAsia="fr-FR" w:bidi="he-IL"/>
        </w:rPr>
        <w:t>’</w:t>
      </w:r>
      <w:r w:rsidR="00B704AD" w:rsidRPr="00C8701B">
        <w:rPr>
          <w:rFonts w:eastAsia="Arial Unicode MS"/>
          <w:bCs/>
          <w:lang w:eastAsia="fr-FR" w:bidi="he-IL"/>
        </w:rPr>
        <w:t>arcatures</w:t>
      </w:r>
      <w:r w:rsidR="00E65435">
        <w:rPr>
          <w:rFonts w:eastAsia="Arial Unicode MS"/>
          <w:bCs/>
          <w:lang w:eastAsia="fr-FR" w:bidi="he-IL"/>
        </w:rPr>
        <w:t xml:space="preserve">, </w:t>
      </w:r>
      <w:r w:rsidR="00B704AD" w:rsidRPr="00C8701B">
        <w:rPr>
          <w:rFonts w:eastAsia="Arial Unicode MS"/>
          <w:bCs/>
          <w:lang w:eastAsia="fr-FR" w:bidi="he-IL"/>
        </w:rPr>
        <w:t>et à double bague</w:t>
      </w:r>
      <w:r w:rsidR="00B52FA3">
        <w:rPr>
          <w:rFonts w:eastAsia="Arial Unicode MS"/>
          <w:bCs/>
          <w:lang w:eastAsia="fr-FR" w:bidi="he-IL"/>
        </w:rPr>
        <w:t>tte. Une inscription en émail cl</w:t>
      </w:r>
      <w:r w:rsidR="00B704AD" w:rsidRPr="00C8701B">
        <w:rPr>
          <w:rFonts w:eastAsia="Arial Unicode MS"/>
          <w:bCs/>
          <w:lang w:eastAsia="fr-FR" w:bidi="he-IL"/>
        </w:rPr>
        <w:t xml:space="preserve">oisonné </w:t>
      </w:r>
      <w:r w:rsidR="00B52FA3">
        <w:rPr>
          <w:rFonts w:eastAsia="Arial Unicode MS"/>
          <w:bCs/>
          <w:lang w:eastAsia="fr-FR" w:bidi="he-IL"/>
        </w:rPr>
        <w:t>{92</w:t>
      </w:r>
      <w:bookmarkStart w:id="143" w:name="pag092"/>
      <w:bookmarkEnd w:id="143"/>
      <w:r w:rsidR="00B52FA3">
        <w:rPr>
          <w:rFonts w:eastAsia="Arial Unicode MS"/>
          <w:bCs/>
          <w:lang w:eastAsia="fr-FR" w:bidi="he-IL"/>
        </w:rPr>
        <w:t xml:space="preserve">} </w:t>
      </w:r>
      <w:r w:rsidR="00B704AD" w:rsidRPr="00C8701B">
        <w:rPr>
          <w:rFonts w:eastAsia="Arial Unicode MS"/>
          <w:bCs/>
          <w:lang w:eastAsia="fr-FR" w:bidi="he-IL"/>
        </w:rPr>
        <w:t>borde les quatre côtés du tableau central</w:t>
      </w:r>
      <w:r>
        <w:rPr>
          <w:rFonts w:eastAsia="Arial Unicode MS"/>
          <w:bCs/>
          <w:lang w:eastAsia="fr-FR" w:bidi="he-IL"/>
        </w:rPr>
        <w:t>.</w:t>
      </w:r>
      <w:r w:rsidR="00B704AD" w:rsidRPr="00C8701B">
        <w:rPr>
          <w:rFonts w:eastAsia="Arial Unicode MS"/>
          <w:bCs/>
          <w:lang w:eastAsia="fr-FR" w:bidi="he-IL"/>
        </w:rPr>
        <w:t xml:space="preserve"> Les caractères qui la composent sont des majuscules latines d</w:t>
      </w:r>
      <w:r w:rsidR="00557DE0">
        <w:rPr>
          <w:rFonts w:eastAsia="Arial Unicode MS"/>
          <w:bCs/>
          <w:lang w:eastAsia="fr-FR" w:bidi="he-IL"/>
        </w:rPr>
        <w:t>’</w:t>
      </w:r>
      <w:r w:rsidR="00B704AD" w:rsidRPr="00C8701B">
        <w:rPr>
          <w:rFonts w:eastAsia="Arial Unicode MS"/>
          <w:bCs/>
          <w:lang w:eastAsia="fr-FR" w:bidi="he-IL"/>
        </w:rPr>
        <w:t>un blanc opaque</w:t>
      </w:r>
      <w:r w:rsidR="00E65435">
        <w:rPr>
          <w:rFonts w:eastAsia="Arial Unicode MS"/>
          <w:bCs/>
          <w:lang w:eastAsia="fr-FR" w:bidi="he-IL"/>
        </w:rPr>
        <w:t xml:space="preserve">, </w:t>
      </w:r>
      <w:r w:rsidR="00B704AD" w:rsidRPr="00C8701B">
        <w:rPr>
          <w:rFonts w:eastAsia="Arial Unicode MS"/>
          <w:bCs/>
          <w:lang w:eastAsia="fr-FR" w:bidi="he-IL"/>
        </w:rPr>
        <w:t>se détachant sur un fond d</w:t>
      </w:r>
      <w:r w:rsidR="00557DE0">
        <w:rPr>
          <w:rFonts w:eastAsia="Arial Unicode MS"/>
          <w:bCs/>
          <w:lang w:eastAsia="fr-FR" w:bidi="he-IL"/>
        </w:rPr>
        <w:t>’</w:t>
      </w:r>
      <w:r w:rsidR="00B704AD" w:rsidRPr="00C8701B">
        <w:rPr>
          <w:rFonts w:eastAsia="Arial Unicode MS"/>
          <w:bCs/>
          <w:lang w:eastAsia="fr-FR" w:bidi="he-IL"/>
        </w:rPr>
        <w:t>émail bleu translucide</w:t>
      </w:r>
      <w:r w:rsidR="00E65435">
        <w:rPr>
          <w:rFonts w:eastAsia="Arial Unicode MS"/>
          <w:bCs/>
          <w:lang w:eastAsia="fr-FR" w:bidi="he-IL"/>
        </w:rPr>
        <w:t xml:space="preserve">, </w:t>
      </w:r>
      <w:r w:rsidR="00B704AD" w:rsidRPr="00C8701B">
        <w:rPr>
          <w:rFonts w:eastAsia="Arial Unicode MS"/>
          <w:bCs/>
          <w:lang w:eastAsia="fr-FR" w:bidi="he-IL"/>
        </w:rPr>
        <w:t>entouré lui-même d</w:t>
      </w:r>
      <w:r w:rsidR="00557DE0">
        <w:rPr>
          <w:rFonts w:eastAsia="Arial Unicode MS"/>
          <w:bCs/>
          <w:lang w:eastAsia="fr-FR" w:bidi="he-IL"/>
        </w:rPr>
        <w:t>’</w:t>
      </w:r>
      <w:r w:rsidR="00B704AD" w:rsidRPr="00C8701B">
        <w:rPr>
          <w:rFonts w:eastAsia="Arial Unicode MS"/>
          <w:bCs/>
          <w:lang w:eastAsia="fr-FR" w:bidi="he-IL"/>
        </w:rPr>
        <w:t>un filet vert opaque semé de points jaunes ré</w:t>
      </w:r>
      <w:r>
        <w:rPr>
          <w:rFonts w:eastAsia="Arial Unicode MS"/>
          <w:bCs/>
          <w:lang w:eastAsia="fr-FR" w:bidi="he-IL"/>
        </w:rPr>
        <w:t>gulièrement espacés. La bande d</w:t>
      </w:r>
      <w:r w:rsidR="00557DE0">
        <w:rPr>
          <w:rFonts w:eastAsia="Arial Unicode MS"/>
          <w:bCs/>
          <w:lang w:eastAsia="fr-FR" w:bidi="he-IL"/>
        </w:rPr>
        <w:t>’</w:t>
      </w:r>
      <w:r w:rsidR="00B704AD" w:rsidRPr="00C8701B">
        <w:rPr>
          <w:rFonts w:eastAsia="Arial Unicode MS"/>
          <w:bCs/>
          <w:lang w:eastAsia="fr-FR" w:bidi="he-IL"/>
        </w:rPr>
        <w:t>inscription est brisée en plusieurs endroits</w:t>
      </w:r>
      <w:r w:rsidR="00E65435">
        <w:rPr>
          <w:rFonts w:eastAsia="Arial Unicode MS"/>
          <w:bCs/>
          <w:lang w:eastAsia="fr-FR" w:bidi="he-IL"/>
        </w:rPr>
        <w:t xml:space="preserve">, </w:t>
      </w:r>
      <w:r w:rsidR="00B704AD" w:rsidRPr="00C8701B">
        <w:rPr>
          <w:rFonts w:eastAsia="Arial Unicode MS"/>
          <w:bCs/>
          <w:lang w:eastAsia="fr-FR" w:bidi="he-IL"/>
        </w:rPr>
        <w:t>surtout au-dessus de la tête du Christ</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 xml:space="preserve">mais il est facile de reconstituer les deux </w:t>
      </w:r>
      <w:r w:rsidR="00EA28F4" w:rsidRPr="00C8701B">
        <w:rPr>
          <w:rFonts w:eastAsia="Arial Unicode MS"/>
          <w:bCs/>
          <w:lang w:eastAsia="fr-FR" w:bidi="he-IL"/>
        </w:rPr>
        <w:t>hexamètres</w:t>
      </w:r>
      <w:r w:rsidR="00B704AD" w:rsidRPr="00C8701B">
        <w:rPr>
          <w:rFonts w:eastAsia="Arial Unicode MS"/>
          <w:bCs/>
          <w:lang w:eastAsia="fr-FR" w:bidi="he-IL"/>
        </w:rPr>
        <w:t xml:space="preserve"> dont elle se compose. Les voici d</w:t>
      </w:r>
      <w:r w:rsidR="00557DE0">
        <w:rPr>
          <w:rFonts w:eastAsia="Arial Unicode MS"/>
          <w:bCs/>
          <w:lang w:eastAsia="fr-FR" w:bidi="he-IL"/>
        </w:rPr>
        <w:t>’</w:t>
      </w:r>
      <w:r w:rsidR="00B704AD" w:rsidRPr="00C8701B">
        <w:rPr>
          <w:rFonts w:eastAsia="Arial Unicode MS"/>
          <w:bCs/>
          <w:lang w:eastAsia="fr-FR" w:bidi="he-IL"/>
        </w:rPr>
        <w:t>après M. Albert</w:t>
      </w:r>
      <w:r w:rsidR="00E65435">
        <w:rPr>
          <w:rFonts w:eastAsia="Arial Unicode MS"/>
          <w:bCs/>
          <w:lang w:eastAsia="fr-FR" w:bidi="he-IL"/>
        </w:rPr>
        <w:t xml:space="preserve">, </w:t>
      </w:r>
      <w:r w:rsidR="00B704AD" w:rsidRPr="00C8701B">
        <w:rPr>
          <w:rFonts w:eastAsia="Arial Unicode MS"/>
          <w:bCs/>
          <w:lang w:eastAsia="fr-FR" w:bidi="he-IL"/>
        </w:rPr>
        <w:t xml:space="preserve">à qui nous empruntons également la </w:t>
      </w:r>
      <w:r w:rsidR="00EA28F4" w:rsidRPr="00C8701B">
        <w:rPr>
          <w:rFonts w:eastAsia="Arial Unicode MS"/>
          <w:bCs/>
          <w:lang w:eastAsia="fr-FR" w:bidi="he-IL"/>
        </w:rPr>
        <w:t>substance</w:t>
      </w:r>
      <w:r w:rsidR="00B704AD" w:rsidRPr="00C8701B">
        <w:rPr>
          <w:rFonts w:eastAsia="Arial Unicode MS"/>
          <w:bCs/>
          <w:lang w:eastAsia="fr-FR" w:bidi="he-IL"/>
        </w:rPr>
        <w:t xml:space="preserve"> de la description qui précède</w:t>
      </w:r>
      <w:r w:rsidR="00C2602D" w:rsidRPr="00C8701B">
        <w:rPr>
          <w:rFonts w:eastAsia="Arial Unicode MS"/>
          <w:bCs/>
          <w:lang w:eastAsia="fr-FR" w:bidi="he-IL"/>
        </w:rPr>
        <w:t xml:space="preserve"> : </w:t>
      </w:r>
    </w:p>
    <w:p w:rsidR="00C2602D" w:rsidRPr="00C8701B" w:rsidRDefault="00B704AD" w:rsidP="00B544BE">
      <w:pPr>
        <w:pStyle w:val="locus"/>
        <w:rPr>
          <w:lang w:eastAsia="fr-FR" w:bidi="he-IL"/>
        </w:rPr>
      </w:pPr>
      <w:r w:rsidRPr="00C8701B">
        <w:rPr>
          <w:lang w:eastAsia="fr-FR" w:bidi="he-IL"/>
        </w:rPr>
        <w:t>Matheus et Marcus</w:t>
      </w:r>
      <w:r w:rsidR="00E65435">
        <w:rPr>
          <w:lang w:eastAsia="fr-FR" w:bidi="he-IL"/>
        </w:rPr>
        <w:t xml:space="preserve">, </w:t>
      </w:r>
      <w:r w:rsidRPr="00C8701B">
        <w:rPr>
          <w:lang w:eastAsia="fr-FR" w:bidi="he-IL"/>
        </w:rPr>
        <w:t>Lucas</w:t>
      </w:r>
      <w:r w:rsidR="00E65435">
        <w:rPr>
          <w:lang w:eastAsia="fr-FR" w:bidi="he-IL"/>
        </w:rPr>
        <w:t xml:space="preserve">, </w:t>
      </w:r>
      <w:r w:rsidRPr="00C8701B">
        <w:rPr>
          <w:lang w:eastAsia="fr-FR" w:bidi="he-IL"/>
        </w:rPr>
        <w:t>sa</w:t>
      </w:r>
      <w:r w:rsidR="00776C8C" w:rsidRPr="00C8701B">
        <w:rPr>
          <w:lang w:eastAsia="fr-FR" w:bidi="he-IL"/>
        </w:rPr>
        <w:t>nct</w:t>
      </w:r>
      <w:r w:rsidR="00776C8C">
        <w:rPr>
          <w:lang w:eastAsia="fr-FR" w:bidi="he-IL"/>
        </w:rPr>
        <w:t>ú</w:t>
      </w:r>
      <w:r w:rsidR="00776C8C" w:rsidRPr="00C8701B">
        <w:rPr>
          <w:lang w:eastAsia="fr-FR" w:bidi="he-IL"/>
        </w:rPr>
        <w:t>sque</w:t>
      </w:r>
      <w:r w:rsidRPr="00C8701B">
        <w:rPr>
          <w:lang w:eastAsia="fr-FR" w:bidi="he-IL"/>
        </w:rPr>
        <w:t xml:space="preserve"> Joannes</w:t>
      </w:r>
      <w:r w:rsidR="00E65435">
        <w:rPr>
          <w:lang w:eastAsia="fr-FR" w:bidi="he-IL"/>
        </w:rPr>
        <w:t xml:space="preserve">, </w:t>
      </w:r>
    </w:p>
    <w:p w:rsidR="00C14040" w:rsidRDefault="00B704AD" w:rsidP="00B544BE">
      <w:pPr>
        <w:pStyle w:val="locus"/>
        <w:rPr>
          <w:lang w:eastAsia="fr-FR" w:bidi="he-IL"/>
        </w:rPr>
      </w:pPr>
      <w:r w:rsidRPr="00C8701B">
        <w:rPr>
          <w:lang w:eastAsia="fr-FR" w:bidi="he-IL"/>
        </w:rPr>
        <w:t xml:space="preserve">Vox </w:t>
      </w:r>
      <w:r w:rsidR="00B544BE">
        <w:rPr>
          <w:lang w:eastAsia="fr-FR" w:bidi="he-IL"/>
        </w:rPr>
        <w:t>horum</w:t>
      </w:r>
      <w:r w:rsidRPr="00C8701B">
        <w:rPr>
          <w:lang w:eastAsia="fr-FR" w:bidi="he-IL"/>
        </w:rPr>
        <w:t xml:space="preserve"> </w:t>
      </w:r>
      <w:r w:rsidR="00E939E7">
        <w:rPr>
          <w:lang w:eastAsia="fr-FR" w:bidi="he-IL"/>
        </w:rPr>
        <w:t>quátuor</w:t>
      </w:r>
      <w:r w:rsidR="00B544BE">
        <w:rPr>
          <w:lang w:eastAsia="fr-FR" w:bidi="he-IL"/>
        </w:rPr>
        <w:t xml:space="preserve"> réb</w:t>
      </w:r>
      <w:r w:rsidR="00B544BE" w:rsidRPr="00C8701B">
        <w:rPr>
          <w:lang w:eastAsia="fr-FR" w:bidi="he-IL"/>
        </w:rPr>
        <w:t>oat</w:t>
      </w:r>
      <w:r w:rsidRPr="00C8701B">
        <w:rPr>
          <w:lang w:eastAsia="fr-FR" w:bidi="he-IL"/>
        </w:rPr>
        <w:t xml:space="preserve"> te</w:t>
      </w:r>
      <w:r w:rsidR="00E65435">
        <w:rPr>
          <w:lang w:eastAsia="fr-FR" w:bidi="he-IL"/>
        </w:rPr>
        <w:t xml:space="preserve">, </w:t>
      </w:r>
      <w:r w:rsidRPr="00C8701B">
        <w:rPr>
          <w:lang w:eastAsia="fr-FR" w:bidi="he-IL"/>
        </w:rPr>
        <w:t>Christe Redemtor</w:t>
      </w:r>
      <w:r w:rsidR="00C14040">
        <w:rPr>
          <w:lang w:eastAsia="fr-FR" w:bidi="he-IL"/>
        </w:rPr>
        <w:t>.</w:t>
      </w:r>
    </w:p>
    <w:p w:rsidR="00C2602D" w:rsidRPr="00C8701B" w:rsidRDefault="00C14040" w:rsidP="00C14040">
      <w:pPr>
        <w:rPr>
          <w:rFonts w:eastAsia="Arial Unicode MS"/>
          <w:bCs/>
          <w:lang w:eastAsia="fr-FR" w:bidi="he-IL"/>
        </w:rPr>
      </w:pPr>
      <w:r>
        <w:rPr>
          <w:rFonts w:eastAsia="Arial Unicode MS"/>
          <w:bCs/>
          <w:lang w:eastAsia="fr-FR" w:bidi="he-IL"/>
        </w:rPr>
        <w:t>» B.</w:t>
      </w:r>
      <w:r w:rsidR="00B704AD" w:rsidRPr="00DC4586">
        <w:rPr>
          <w:rStyle w:val="italicus"/>
        </w:rPr>
        <w:t xml:space="preserve"> Culte privé.</w:t>
      </w:r>
      <w:r w:rsidR="00B704AD" w:rsidRPr="00C8701B">
        <w:rPr>
          <w:rFonts w:eastAsia="Arial Unicode MS"/>
          <w:bCs/>
          <w:lang w:eastAsia="fr-FR" w:bidi="he-IL"/>
        </w:rPr>
        <w:t xml:space="preserve"> Les premiers chrétiens montraient surtout leur respect pour les saints évangiles par leur assiduité à les lire et à se pénétrer de la divine doctrine qu</w:t>
      </w:r>
      <w:r w:rsidR="00557DE0">
        <w:rPr>
          <w:rFonts w:eastAsia="Arial Unicode MS"/>
          <w:bCs/>
          <w:lang w:eastAsia="fr-FR" w:bidi="he-IL"/>
        </w:rPr>
        <w:t>’</w:t>
      </w:r>
      <w:r w:rsidR="00B704AD" w:rsidRPr="00C8701B">
        <w:rPr>
          <w:rFonts w:eastAsia="Arial Unicode MS"/>
          <w:bCs/>
          <w:lang w:eastAsia="fr-FR" w:bidi="he-IL"/>
        </w:rPr>
        <w:t>ils renferment. Les SS. Pères ne cessaient de leur conseiller cette lecture</w:t>
      </w:r>
      <w:r w:rsidR="00E65435">
        <w:rPr>
          <w:rFonts w:eastAsia="Arial Unicode MS"/>
          <w:bCs/>
          <w:lang w:eastAsia="fr-FR" w:bidi="he-IL"/>
        </w:rPr>
        <w:t xml:space="preserve">, </w:t>
      </w:r>
      <w:r w:rsidR="00B704AD" w:rsidRPr="00C8701B">
        <w:rPr>
          <w:rFonts w:eastAsia="Arial Unicode MS"/>
          <w:bCs/>
          <w:lang w:eastAsia="fr-FR" w:bidi="he-IL"/>
        </w:rPr>
        <w:t>et la leur faisaient envisage</w:t>
      </w:r>
      <w:r w:rsidR="0064584C">
        <w:rPr>
          <w:rFonts w:eastAsia="Arial Unicode MS"/>
          <w:bCs/>
          <w:lang w:eastAsia="fr-FR" w:bidi="he-IL"/>
        </w:rPr>
        <w:t>r comme la meilleure préparation</w:t>
      </w:r>
      <w:r w:rsidR="00B704AD" w:rsidRPr="00C8701B">
        <w:rPr>
          <w:rFonts w:eastAsia="Arial Unicode MS"/>
          <w:bCs/>
          <w:lang w:eastAsia="fr-FR" w:bidi="he-IL"/>
        </w:rPr>
        <w:t xml:space="preserve"> à l</w:t>
      </w:r>
      <w:r w:rsidR="00557DE0">
        <w:rPr>
          <w:rFonts w:eastAsia="Arial Unicode MS"/>
          <w:bCs/>
          <w:lang w:eastAsia="fr-FR" w:bidi="he-IL"/>
        </w:rPr>
        <w:t>’</w:t>
      </w:r>
      <w:r w:rsidR="00B704AD" w:rsidRPr="00C8701B">
        <w:rPr>
          <w:rFonts w:eastAsia="Arial Unicode MS"/>
          <w:bCs/>
          <w:lang w:eastAsia="fr-FR" w:bidi="he-IL"/>
        </w:rPr>
        <w:t>accomplissement de tous les devoirs de la vie (Gregor. Magn.</w:t>
      </w:r>
      <w:r w:rsidR="00E65435">
        <w:rPr>
          <w:rFonts w:eastAsia="Arial Unicode MS"/>
          <w:bCs/>
          <w:lang w:eastAsia="fr-FR" w:bidi="he-IL"/>
        </w:rPr>
        <w:t xml:space="preserve">, </w:t>
      </w:r>
      <w:r w:rsidR="00B704AD" w:rsidRPr="00DC4586">
        <w:rPr>
          <w:rStyle w:val="italicus"/>
        </w:rPr>
        <w:t>Epist.</w:t>
      </w:r>
      <w:r w:rsidR="00B704AD" w:rsidRPr="00C8701B">
        <w:rPr>
          <w:rFonts w:eastAsia="Arial Unicode MS"/>
          <w:bCs/>
          <w:lang w:eastAsia="fr-FR" w:bidi="he-IL"/>
        </w:rPr>
        <w:t xml:space="preserve"> </w:t>
      </w:r>
      <w:r w:rsidR="0064584C" w:rsidRPr="00C8701B">
        <w:rPr>
          <w:rFonts w:eastAsia="Arial Unicode MS"/>
          <w:bCs/>
          <w:lang w:eastAsia="fr-FR" w:bidi="he-IL"/>
        </w:rPr>
        <w:t>L</w:t>
      </w:r>
      <w:r w:rsidR="0064584C">
        <w:rPr>
          <w:rFonts w:eastAsia="Arial Unicode MS"/>
          <w:bCs/>
          <w:lang w:eastAsia="fr-FR" w:bidi="he-IL"/>
        </w:rPr>
        <w:t>XXVIII</w:t>
      </w:r>
      <w:r w:rsidR="00B704AD" w:rsidRPr="00C8701B">
        <w:rPr>
          <w:rFonts w:eastAsia="Arial Unicode MS"/>
          <w:bCs/>
          <w:lang w:eastAsia="fr-FR" w:bidi="he-IL"/>
        </w:rPr>
        <w:t>). S. Jérôme</w:t>
      </w:r>
      <w:r w:rsidR="00B704AD" w:rsidRPr="00DC4586">
        <w:rPr>
          <w:rStyle w:val="italicus"/>
        </w:rPr>
        <w:t xml:space="preserve"> </w:t>
      </w:r>
      <w:r w:rsidR="00B704AD" w:rsidRPr="00C8701B">
        <w:rPr>
          <w:rFonts w:eastAsia="Arial Unicode MS"/>
          <w:bCs/>
          <w:iCs/>
          <w:lang w:eastAsia="fr-FR" w:bidi="he-IL"/>
        </w:rPr>
        <w:t>(</w:t>
      </w:r>
      <w:r w:rsidR="00B704AD" w:rsidRPr="00DC4586">
        <w:rPr>
          <w:rStyle w:val="italicus"/>
        </w:rPr>
        <w:t>Epist.</w:t>
      </w:r>
      <w:r w:rsidR="00B704AD" w:rsidRPr="00C8701B">
        <w:rPr>
          <w:rFonts w:eastAsia="Arial Unicode MS"/>
          <w:bCs/>
          <w:lang w:eastAsia="fr-FR" w:bidi="he-IL"/>
        </w:rPr>
        <w:t xml:space="preserve"> </w:t>
      </w:r>
      <w:r w:rsidR="003A247F">
        <w:rPr>
          <w:rFonts w:eastAsia="Arial Unicode MS"/>
          <w:bCs/>
          <w:lang w:eastAsia="fr-FR" w:bidi="he-IL"/>
        </w:rPr>
        <w:t>XXII</w:t>
      </w:r>
      <w:r w:rsidR="00B704AD" w:rsidRPr="00C8701B">
        <w:rPr>
          <w:rFonts w:eastAsia="Arial Unicode MS"/>
          <w:bCs/>
          <w:lang w:eastAsia="fr-FR" w:bidi="he-IL"/>
        </w:rPr>
        <w:t>)</w:t>
      </w:r>
      <w:r w:rsidR="00E65435">
        <w:rPr>
          <w:rFonts w:eastAsia="Arial Unicode MS"/>
          <w:bCs/>
          <w:lang w:eastAsia="fr-FR" w:bidi="he-IL"/>
        </w:rPr>
        <w:t xml:space="preserve">, </w:t>
      </w:r>
      <w:r w:rsidR="00B704AD" w:rsidRPr="00C8701B">
        <w:rPr>
          <w:rFonts w:eastAsia="Arial Unicode MS"/>
          <w:bCs/>
          <w:lang w:eastAsia="fr-FR" w:bidi="he-IL"/>
        </w:rPr>
        <w:t xml:space="preserve">dans ses conseils à </w:t>
      </w:r>
      <w:r w:rsidR="00EA28F4" w:rsidRPr="00C8701B">
        <w:rPr>
          <w:rFonts w:eastAsia="Arial Unicode MS"/>
          <w:bCs/>
          <w:lang w:eastAsia="fr-FR" w:bidi="he-IL"/>
        </w:rPr>
        <w:t>Eustóchium</w:t>
      </w:r>
      <w:r w:rsidR="00E65435">
        <w:rPr>
          <w:rFonts w:eastAsia="Arial Unicode MS"/>
          <w:bCs/>
          <w:lang w:eastAsia="fr-FR" w:bidi="he-IL"/>
        </w:rPr>
        <w:t xml:space="preserve">, </w:t>
      </w:r>
      <w:r w:rsidR="00B704AD" w:rsidRPr="00C8701B">
        <w:rPr>
          <w:rFonts w:eastAsia="Arial Unicode MS"/>
          <w:bCs/>
          <w:lang w:eastAsia="fr-FR" w:bidi="he-IL"/>
        </w:rPr>
        <w:t xml:space="preserve">veut que </w:t>
      </w:r>
      <w:r w:rsidR="00C2602D" w:rsidRPr="00C8701B">
        <w:rPr>
          <w:rFonts w:eastAsia="Arial Unicode MS"/>
          <w:bCs/>
          <w:lang w:eastAsia="fr-FR" w:bidi="he-IL"/>
        </w:rPr>
        <w:t>« </w:t>
      </w:r>
      <w:r w:rsidR="00B704AD" w:rsidRPr="00C8701B">
        <w:rPr>
          <w:rFonts w:eastAsia="Arial Unicode MS"/>
          <w:bCs/>
          <w:lang w:eastAsia="fr-FR" w:bidi="he-IL"/>
        </w:rPr>
        <w:t>le sommeil la surprenne avec ce livre à la main</w:t>
      </w:r>
      <w:r w:rsidR="00E65435">
        <w:rPr>
          <w:rFonts w:eastAsia="Arial Unicode MS"/>
          <w:bCs/>
          <w:lang w:eastAsia="fr-FR" w:bidi="he-IL"/>
        </w:rPr>
        <w:t xml:space="preserve">, </w:t>
      </w:r>
      <w:r w:rsidR="00B704AD" w:rsidRPr="00C8701B">
        <w:rPr>
          <w:rFonts w:eastAsia="Arial Unicode MS"/>
          <w:bCs/>
          <w:lang w:eastAsia="fr-FR" w:bidi="he-IL"/>
        </w:rPr>
        <w:t>et que sa tête appesantie par la</w:t>
      </w:r>
      <w:r w:rsidR="0064584C">
        <w:rPr>
          <w:rFonts w:eastAsia="Arial Unicode MS"/>
          <w:bCs/>
          <w:lang w:eastAsia="fr-FR" w:bidi="he-IL"/>
        </w:rPr>
        <w:t xml:space="preserve"> fatigue ne tombe que sur une pa</w:t>
      </w:r>
      <w:r w:rsidR="00B704AD" w:rsidRPr="00C8701B">
        <w:rPr>
          <w:rFonts w:eastAsia="Arial Unicode MS"/>
          <w:bCs/>
          <w:lang w:eastAsia="fr-FR" w:bidi="he-IL"/>
        </w:rPr>
        <w:t>ge sainte</w:t>
      </w:r>
      <w:r w:rsidR="00C2602D" w:rsidRPr="00C8701B">
        <w:rPr>
          <w:rFonts w:eastAsia="Arial Unicode MS"/>
          <w:bCs/>
          <w:lang w:eastAsia="fr-FR" w:bidi="he-IL"/>
        </w:rPr>
        <w:t> »</w:t>
      </w:r>
      <w:r w:rsidR="00B704AD" w:rsidRPr="00C8701B">
        <w:rPr>
          <w:rFonts w:eastAsia="Arial Unicode MS"/>
          <w:bCs/>
          <w:lang w:eastAsia="fr-FR" w:bidi="he-IL"/>
        </w:rPr>
        <w:t>. Et le plus bel éloge qu</w:t>
      </w:r>
      <w:r w:rsidR="00557DE0">
        <w:rPr>
          <w:rFonts w:eastAsia="Arial Unicode MS"/>
          <w:bCs/>
          <w:lang w:eastAsia="fr-FR" w:bidi="he-IL"/>
        </w:rPr>
        <w:t>’</w:t>
      </w:r>
      <w:r w:rsidR="00B704AD" w:rsidRPr="00C8701B">
        <w:rPr>
          <w:rFonts w:eastAsia="Arial Unicode MS"/>
          <w:bCs/>
          <w:lang w:eastAsia="fr-FR" w:bidi="he-IL"/>
        </w:rPr>
        <w:t>il croit pouvoir faire du prêtre Népotien</w:t>
      </w:r>
      <w:r w:rsidR="00B704AD" w:rsidRPr="00DC4586">
        <w:rPr>
          <w:rStyle w:val="italicus"/>
        </w:rPr>
        <w:t xml:space="preserve"> </w:t>
      </w:r>
      <w:r w:rsidR="00B704AD" w:rsidRPr="00C8701B">
        <w:rPr>
          <w:rFonts w:eastAsia="Arial Unicode MS"/>
          <w:bCs/>
          <w:iCs/>
          <w:lang w:eastAsia="fr-FR" w:bidi="he-IL"/>
        </w:rPr>
        <w:t>(</w:t>
      </w:r>
      <w:r w:rsidR="00EA28F4">
        <w:rPr>
          <w:rStyle w:val="italicus"/>
        </w:rPr>
        <w:t>Epitaph. Nepotiá</w:t>
      </w:r>
      <w:r w:rsidR="00B704AD" w:rsidRPr="00DC4586">
        <w:rPr>
          <w:rStyle w:val="italicus"/>
        </w:rPr>
        <w:t>ni ad Heliodor.</w:t>
      </w:r>
      <w:r w:rsidR="00E65435">
        <w:rPr>
          <w:rStyle w:val="italicus"/>
        </w:rPr>
        <w:t xml:space="preserve">, </w:t>
      </w:r>
      <w:r w:rsidR="00B704AD" w:rsidRPr="00C8701B">
        <w:rPr>
          <w:rFonts w:eastAsia="Arial Unicode MS"/>
          <w:bCs/>
          <w:lang w:eastAsia="fr-FR" w:bidi="he-IL"/>
        </w:rPr>
        <w:t xml:space="preserve">ep. </w:t>
      </w:r>
      <w:r w:rsidR="0064584C" w:rsidRPr="00C8701B">
        <w:rPr>
          <w:rFonts w:eastAsia="Arial Unicode MS"/>
          <w:bCs/>
          <w:lang w:eastAsia="fr-FR" w:bidi="he-IL"/>
        </w:rPr>
        <w:t>LX</w:t>
      </w:r>
      <w:r w:rsidR="00E65435">
        <w:rPr>
          <w:rFonts w:eastAsia="Arial Unicode MS"/>
          <w:bCs/>
          <w:lang w:eastAsia="fr-FR" w:bidi="he-IL"/>
        </w:rPr>
        <w:t xml:space="preserve">, </w:t>
      </w:r>
      <w:r w:rsidR="00B704AD" w:rsidRPr="00C8701B">
        <w:rPr>
          <w:rFonts w:eastAsia="Arial Unicode MS"/>
          <w:bCs/>
          <w:lang w:eastAsia="fr-FR" w:bidi="he-IL"/>
        </w:rPr>
        <w:t>n. 2)</w:t>
      </w:r>
      <w:r w:rsidR="00E65435">
        <w:rPr>
          <w:rFonts w:eastAsia="Arial Unicode MS"/>
          <w:bCs/>
          <w:lang w:eastAsia="fr-FR" w:bidi="he-IL"/>
        </w:rPr>
        <w:t xml:space="preserve">, </w:t>
      </w:r>
      <w:r w:rsidR="00B704AD" w:rsidRPr="00C8701B">
        <w:rPr>
          <w:rFonts w:eastAsia="Arial Unicode MS"/>
          <w:bCs/>
          <w:lang w:eastAsia="fr-FR" w:bidi="he-IL"/>
        </w:rPr>
        <w:t>c</w:t>
      </w:r>
      <w:r w:rsidR="00557DE0">
        <w:rPr>
          <w:rFonts w:eastAsia="Arial Unicode MS"/>
          <w:bCs/>
          <w:lang w:eastAsia="fr-FR" w:bidi="he-IL"/>
        </w:rPr>
        <w:t>’</w:t>
      </w:r>
      <w:r w:rsidR="00B704AD" w:rsidRPr="00C8701B">
        <w:rPr>
          <w:rFonts w:eastAsia="Arial Unicode MS"/>
          <w:bCs/>
          <w:lang w:eastAsia="fr-FR" w:bidi="he-IL"/>
        </w:rPr>
        <w:t>est de dire que</w:t>
      </w:r>
      <w:r w:rsidR="00E65435">
        <w:rPr>
          <w:rFonts w:eastAsia="Arial Unicode MS"/>
          <w:bCs/>
          <w:lang w:eastAsia="fr-FR" w:bidi="he-IL"/>
        </w:rPr>
        <w:t xml:space="preserve">, </w:t>
      </w:r>
      <w:r w:rsidR="0064584C">
        <w:rPr>
          <w:rFonts w:eastAsia="Arial Unicode MS"/>
          <w:bCs/>
          <w:lang w:eastAsia="fr-FR" w:bidi="he-IL"/>
        </w:rPr>
        <w:t>à force</w:t>
      </w:r>
      <w:r w:rsidR="00B704AD" w:rsidRPr="00C8701B">
        <w:rPr>
          <w:rFonts w:eastAsia="Arial Unicode MS"/>
          <w:bCs/>
          <w:lang w:eastAsia="fr-FR" w:bidi="he-IL"/>
        </w:rPr>
        <w:t xml:space="preserve"> de lire et de méditer les saints évangiles</w:t>
      </w:r>
      <w:r w:rsidR="00E65435">
        <w:rPr>
          <w:rFonts w:eastAsia="Arial Unicode MS"/>
          <w:bCs/>
          <w:lang w:eastAsia="fr-FR" w:bidi="he-IL"/>
        </w:rPr>
        <w:t xml:space="preserve">, </w:t>
      </w:r>
      <w:r w:rsidR="00B704AD" w:rsidRPr="00C8701B">
        <w:rPr>
          <w:rFonts w:eastAsia="Arial Unicode MS"/>
          <w:bCs/>
          <w:lang w:eastAsia="fr-FR" w:bidi="he-IL"/>
        </w:rPr>
        <w:t xml:space="preserve">ce </w:t>
      </w:r>
      <w:r w:rsidR="0064584C">
        <w:rPr>
          <w:rFonts w:eastAsia="Arial Unicode MS"/>
          <w:bCs/>
          <w:lang w:eastAsia="fr-FR" w:bidi="he-IL"/>
        </w:rPr>
        <w:t xml:space="preserve">saint prêtre avait fait de son </w:t>
      </w:r>
      <w:r w:rsidR="00B704AD" w:rsidRPr="00C8701B">
        <w:rPr>
          <w:rFonts w:eastAsia="Arial Unicode MS"/>
          <w:bCs/>
          <w:lang w:eastAsia="fr-FR" w:bidi="he-IL"/>
        </w:rPr>
        <w:t>cœur la bibliothèque du Christ</w:t>
      </w:r>
      <w:r w:rsidR="00C2602D" w:rsidRPr="00C8701B">
        <w:rPr>
          <w:rFonts w:eastAsia="Arial Unicode MS"/>
          <w:bCs/>
          <w:lang w:eastAsia="fr-FR" w:bidi="he-IL"/>
        </w:rPr>
        <w:t> :</w:t>
      </w:r>
      <w:r w:rsidR="0064584C">
        <w:rPr>
          <w:rStyle w:val="italicus"/>
        </w:rPr>
        <w:t xml:space="preserve"> pectus suum fécerat</w:t>
      </w:r>
      <w:r w:rsidR="00B704AD" w:rsidRPr="00DC4586">
        <w:rPr>
          <w:rStyle w:val="italicus"/>
        </w:rPr>
        <w:t xml:space="preserve"> </w:t>
      </w:r>
      <w:r w:rsidR="0064584C" w:rsidRPr="00DC4586">
        <w:rPr>
          <w:rStyle w:val="italicus"/>
        </w:rPr>
        <w:t>bibliothécam</w:t>
      </w:r>
      <w:r w:rsidR="0064584C">
        <w:rPr>
          <w:rStyle w:val="italicus"/>
        </w:rPr>
        <w:t xml:space="preserve"> Christ</w:t>
      </w:r>
      <w:r w:rsidR="00B704AD" w:rsidRPr="00DC4586">
        <w:rPr>
          <w:rStyle w:val="italicus"/>
        </w:rPr>
        <w:t>i.</w:t>
      </w:r>
      <w:r w:rsidR="00C2602D" w:rsidRPr="00C8701B">
        <w:rPr>
          <w:rFonts w:eastAsia="Arial Unicode MS"/>
          <w:bCs/>
          <w:lang w:eastAsia="fr-FR" w:bidi="he-IL"/>
        </w:rPr>
        <w:t xml:space="preserve"> </w:t>
      </w:r>
    </w:p>
    <w:p w:rsidR="00C2602D" w:rsidRPr="00C8701B" w:rsidRDefault="0064584C" w:rsidP="00C2602D">
      <w:pPr>
        <w:rPr>
          <w:rFonts w:eastAsia="Arial Unicode MS"/>
          <w:bCs/>
          <w:lang w:eastAsia="fr-FR" w:bidi="he-IL"/>
        </w:rPr>
      </w:pPr>
      <w:r>
        <w:rPr>
          <w:rFonts w:eastAsia="Arial Unicode MS"/>
          <w:bCs/>
          <w:lang w:eastAsia="fr-FR" w:bidi="he-IL"/>
        </w:rPr>
        <w:t>» </w:t>
      </w:r>
      <w:r w:rsidR="00B704AD" w:rsidRPr="00C8701B">
        <w:rPr>
          <w:rFonts w:eastAsia="Arial Unicode MS"/>
          <w:bCs/>
          <w:lang w:eastAsia="fr-FR" w:bidi="he-IL"/>
        </w:rPr>
        <w:t>La dévotion des fidèles pour ces livres sacrés se manifestait sous toutes les formes. Ils les portaient s</w:t>
      </w:r>
      <w:r w:rsidR="00E939E7" w:rsidRPr="00C8701B">
        <w:rPr>
          <w:rFonts w:eastAsia="Arial Unicode MS"/>
          <w:bCs/>
          <w:lang w:eastAsia="fr-FR" w:bidi="he-IL"/>
        </w:rPr>
        <w:t>usp</w:t>
      </w:r>
      <w:r>
        <w:rPr>
          <w:rFonts w:eastAsia="Arial Unicode MS"/>
          <w:bCs/>
          <w:lang w:eastAsia="fr-FR" w:bidi="he-IL"/>
        </w:rPr>
        <w:t>e</w:t>
      </w:r>
      <w:r w:rsidR="00E939E7" w:rsidRPr="00C8701B">
        <w:rPr>
          <w:rFonts w:eastAsia="Arial Unicode MS"/>
          <w:bCs/>
          <w:lang w:eastAsia="fr-FR" w:bidi="he-IL"/>
        </w:rPr>
        <w:t>ndus</w:t>
      </w:r>
      <w:r w:rsidR="00B704AD" w:rsidRPr="00C8701B">
        <w:rPr>
          <w:rFonts w:eastAsia="Arial Unicode MS"/>
          <w:bCs/>
          <w:lang w:eastAsia="fr-FR" w:bidi="he-IL"/>
        </w:rPr>
        <w:t xml:space="preserve"> à leur cou dans leurs voyages</w:t>
      </w:r>
      <w:r w:rsidR="00E65435">
        <w:rPr>
          <w:rFonts w:eastAsia="Arial Unicode MS"/>
          <w:bCs/>
          <w:lang w:eastAsia="fr-FR" w:bidi="he-IL"/>
        </w:rPr>
        <w:t xml:space="preserve">, </w:t>
      </w:r>
      <w:r w:rsidR="00B704AD" w:rsidRPr="00C8701B">
        <w:rPr>
          <w:rFonts w:eastAsia="Arial Unicode MS"/>
          <w:bCs/>
          <w:lang w:eastAsia="fr-FR" w:bidi="he-IL"/>
        </w:rPr>
        <w:t>et même dans la vie ordinaire. Le diacre Euplius</w:t>
      </w:r>
      <w:r w:rsidR="00E65435">
        <w:rPr>
          <w:rFonts w:eastAsia="Arial Unicode MS"/>
          <w:bCs/>
          <w:lang w:eastAsia="fr-FR" w:bidi="he-IL"/>
        </w:rPr>
        <w:t xml:space="preserve">, </w:t>
      </w:r>
      <w:r w:rsidR="00B704AD" w:rsidRPr="00C8701B">
        <w:rPr>
          <w:rFonts w:eastAsia="Arial Unicode MS"/>
          <w:bCs/>
          <w:lang w:eastAsia="fr-FR" w:bidi="he-IL"/>
        </w:rPr>
        <w:t>qui souffrit en 304</w:t>
      </w:r>
      <w:r w:rsidR="00E65435">
        <w:rPr>
          <w:rFonts w:eastAsia="Arial Unicode MS"/>
          <w:bCs/>
          <w:lang w:eastAsia="fr-FR" w:bidi="he-IL"/>
        </w:rPr>
        <w:t xml:space="preserve">, </w:t>
      </w:r>
      <w:r w:rsidR="00B704AD" w:rsidRPr="00C8701B">
        <w:rPr>
          <w:rFonts w:eastAsia="Arial Unicode MS"/>
          <w:bCs/>
          <w:lang w:eastAsia="fr-FR" w:bidi="he-IL"/>
        </w:rPr>
        <w:t xml:space="preserve">fut martyrisé avec </w:t>
      </w:r>
      <w:r>
        <w:rPr>
          <w:rFonts w:eastAsia="Arial Unicode MS"/>
          <w:bCs/>
          <w:lang w:eastAsia="fr-FR" w:bidi="he-IL"/>
        </w:rPr>
        <w:t>son</w:t>
      </w:r>
      <w:r w:rsidR="00B704AD" w:rsidRPr="00C8701B">
        <w:rPr>
          <w:rFonts w:eastAsia="Arial Unicode MS"/>
          <w:bCs/>
          <w:lang w:val="el-GR" w:eastAsia="fr-FR" w:bidi="he-IL"/>
        </w:rPr>
        <w:t xml:space="preserve"> </w:t>
      </w:r>
      <w:r w:rsidR="00B704AD" w:rsidRPr="00C8701B">
        <w:rPr>
          <w:rFonts w:eastAsia="Arial Unicode MS"/>
          <w:bCs/>
          <w:lang w:eastAsia="fr-FR" w:bidi="he-IL"/>
        </w:rPr>
        <w:t>Évangile suspendu au cou (Ruinart</w:t>
      </w:r>
      <w:r w:rsidR="00E65435">
        <w:rPr>
          <w:rFonts w:eastAsia="Arial Unicode MS"/>
          <w:bCs/>
          <w:lang w:eastAsia="fr-FR" w:bidi="he-IL"/>
        </w:rPr>
        <w:t xml:space="preserve">, </w:t>
      </w:r>
      <w:r>
        <w:rPr>
          <w:rFonts w:eastAsia="Arial Unicode MS"/>
          <w:bCs/>
          <w:lang w:eastAsia="fr-FR" w:bidi="he-IL"/>
        </w:rPr>
        <w:t>édit.</w:t>
      </w:r>
      <w:r w:rsidR="00B704AD" w:rsidRPr="00C8701B">
        <w:rPr>
          <w:rFonts w:eastAsia="Arial Unicode MS"/>
          <w:bCs/>
          <w:lang w:eastAsia="fr-FR" w:bidi="he-IL"/>
        </w:rPr>
        <w:t xml:space="preserve"> Ver.</w:t>
      </w:r>
      <w:r w:rsidR="00E65435">
        <w:rPr>
          <w:rFonts w:eastAsia="Arial Unicode MS"/>
          <w:bCs/>
          <w:lang w:eastAsia="fr-FR" w:bidi="he-IL"/>
        </w:rPr>
        <w:t xml:space="preserve">, </w:t>
      </w:r>
      <w:r w:rsidR="00B704AD" w:rsidRPr="00C8701B">
        <w:rPr>
          <w:rFonts w:eastAsia="Arial Unicode MS"/>
          <w:bCs/>
          <w:lang w:eastAsia="fr-FR" w:bidi="he-IL"/>
        </w:rPr>
        <w:t>p. 371). Ils le portaient en guise d</w:t>
      </w:r>
      <w:r w:rsidR="00557DE0">
        <w:rPr>
          <w:rFonts w:eastAsia="Arial Unicode MS"/>
          <w:bCs/>
          <w:lang w:eastAsia="fr-FR" w:bidi="he-IL"/>
        </w:rPr>
        <w:t>’</w:t>
      </w:r>
      <w:r w:rsidR="00B704AD" w:rsidRPr="00C8701B">
        <w:rPr>
          <w:rFonts w:eastAsia="Arial Unicode MS"/>
          <w:bCs/>
          <w:lang w:eastAsia="fr-FR" w:bidi="he-IL"/>
        </w:rPr>
        <w:t>amulettes ou de phylactères</w:t>
      </w:r>
      <w:r w:rsidR="00E65435">
        <w:rPr>
          <w:rFonts w:eastAsia="Arial Unicode MS"/>
          <w:bCs/>
          <w:lang w:eastAsia="fr-FR" w:bidi="he-IL"/>
        </w:rPr>
        <w:t xml:space="preserve">, </w:t>
      </w:r>
      <w:r w:rsidR="00B704AD" w:rsidRPr="00C8701B">
        <w:rPr>
          <w:rFonts w:eastAsia="Arial Unicode MS"/>
          <w:bCs/>
          <w:lang w:eastAsia="fr-FR" w:bidi="he-IL"/>
        </w:rPr>
        <w:t>pour écarter les maladies (S. J. Chrys.</w:t>
      </w:r>
      <w:r w:rsidR="00E65435">
        <w:rPr>
          <w:rFonts w:eastAsia="Arial Unicode MS"/>
          <w:bCs/>
          <w:lang w:eastAsia="fr-FR" w:bidi="he-IL"/>
        </w:rPr>
        <w:t xml:space="preserve">, </w:t>
      </w:r>
      <w:r w:rsidR="00B704AD" w:rsidRPr="00DC4586">
        <w:rPr>
          <w:rStyle w:val="italicus"/>
        </w:rPr>
        <w:t>Homil.</w:t>
      </w:r>
      <w:r w:rsidR="00B704AD" w:rsidRPr="00C8701B">
        <w:rPr>
          <w:rFonts w:eastAsia="Arial Unicode MS"/>
          <w:bCs/>
          <w:lang w:eastAsia="fr-FR" w:bidi="he-IL"/>
        </w:rPr>
        <w:t xml:space="preserve"> </w:t>
      </w:r>
      <w:r w:rsidR="00FC445E">
        <w:rPr>
          <w:rFonts w:eastAsia="Arial Unicode MS"/>
          <w:bCs/>
          <w:lang w:eastAsia="fr-FR" w:bidi="he-IL"/>
        </w:rPr>
        <w:t>XIX</w:t>
      </w:r>
      <w:r w:rsidR="00B704AD" w:rsidRPr="00C8701B">
        <w:rPr>
          <w:rFonts w:eastAsia="Arial Unicode MS"/>
          <w:bCs/>
          <w:lang w:eastAsia="fr-FR" w:bidi="he-IL"/>
        </w:rPr>
        <w:t>)</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on voit dans les catacombes (</w:t>
      </w:r>
      <w:r w:rsidR="00835131">
        <w:rPr>
          <w:rFonts w:eastAsia="Arial Unicode MS"/>
          <w:bCs/>
          <w:lang w:eastAsia="fr-FR" w:bidi="he-IL"/>
        </w:rPr>
        <w:t>V</w:t>
      </w:r>
      <w:r w:rsidR="00B704AD" w:rsidRPr="00C8701B">
        <w:rPr>
          <w:rFonts w:eastAsia="Arial Unicode MS"/>
          <w:bCs/>
          <w:lang w:eastAsia="fr-FR" w:bidi="he-IL"/>
        </w:rPr>
        <w:t>. Bottari</w:t>
      </w:r>
      <w:r w:rsidR="00E65435">
        <w:rPr>
          <w:rFonts w:eastAsia="Arial Unicode MS"/>
          <w:bCs/>
          <w:lang w:eastAsia="fr-FR" w:bidi="he-IL"/>
        </w:rPr>
        <w:t xml:space="preserve">, </w:t>
      </w:r>
      <w:r>
        <w:rPr>
          <w:rFonts w:eastAsia="Arial Unicode MS"/>
          <w:bCs/>
          <w:lang w:eastAsia="fr-FR" w:bidi="he-IL"/>
        </w:rPr>
        <w:t>XCII</w:t>
      </w:r>
      <w:r w:rsidRPr="00C8701B">
        <w:rPr>
          <w:rFonts w:eastAsia="Arial Unicode MS"/>
          <w:bCs/>
          <w:lang w:eastAsia="fr-FR" w:bidi="he-IL"/>
        </w:rPr>
        <w:t>I</w:t>
      </w:r>
      <w:r w:rsidR="00E65435">
        <w:rPr>
          <w:rFonts w:eastAsia="Arial Unicode MS"/>
          <w:bCs/>
          <w:lang w:eastAsia="fr-FR" w:bidi="he-IL"/>
        </w:rPr>
        <w:t xml:space="preserve">, </w:t>
      </w:r>
      <w:r w:rsidR="00B704AD" w:rsidRPr="00C8701B">
        <w:rPr>
          <w:rFonts w:eastAsia="Arial Unicode MS"/>
          <w:bCs/>
          <w:lang w:eastAsia="fr-FR" w:bidi="he-IL"/>
        </w:rPr>
        <w:t>2)</w:t>
      </w:r>
      <w:r w:rsidR="00E65435">
        <w:rPr>
          <w:rFonts w:eastAsia="Arial Unicode MS"/>
          <w:bCs/>
          <w:lang w:eastAsia="fr-FR" w:bidi="he-IL"/>
        </w:rPr>
        <w:t xml:space="preserve">, </w:t>
      </w:r>
      <w:r w:rsidR="00B704AD" w:rsidRPr="00C8701B">
        <w:rPr>
          <w:rFonts w:eastAsia="Arial Unicode MS"/>
          <w:bCs/>
          <w:lang w:eastAsia="fr-FR" w:bidi="he-IL"/>
        </w:rPr>
        <w:t>aux pieds de certaines</w:t>
      </w:r>
      <w:r>
        <w:rPr>
          <w:rStyle w:val="italicus"/>
        </w:rPr>
        <w:t xml:space="preserve"> orán</w:t>
      </w:r>
      <w:r w:rsidR="00B704AD" w:rsidRPr="00DC4586">
        <w:rPr>
          <w:rStyle w:val="italicus"/>
        </w:rPr>
        <w:t>tes</w:t>
      </w:r>
      <w:r w:rsidR="00E65435">
        <w:rPr>
          <w:rStyle w:val="italicus"/>
        </w:rPr>
        <w:t xml:space="preserve">, </w:t>
      </w:r>
      <w:r w:rsidR="00B704AD" w:rsidRPr="00C8701B">
        <w:rPr>
          <w:rFonts w:eastAsia="Arial Unicode MS"/>
          <w:bCs/>
          <w:lang w:eastAsia="fr-FR" w:bidi="he-IL"/>
        </w:rPr>
        <w:t>de petits coffrets</w:t>
      </w:r>
      <w:r w:rsidR="00E65435">
        <w:rPr>
          <w:rFonts w:eastAsia="Arial Unicode MS"/>
          <w:bCs/>
          <w:lang w:eastAsia="fr-FR" w:bidi="he-IL"/>
        </w:rPr>
        <w:t xml:space="preserve">, </w:t>
      </w:r>
      <w:r>
        <w:rPr>
          <w:rStyle w:val="italicus"/>
        </w:rPr>
        <w:t>scrí</w:t>
      </w:r>
      <w:r w:rsidR="00B704AD" w:rsidRPr="00DC4586">
        <w:rPr>
          <w:rStyle w:val="italicus"/>
        </w:rPr>
        <w:t>nia sacra</w:t>
      </w:r>
      <w:r w:rsidR="00B704AD" w:rsidRPr="00C8701B">
        <w:rPr>
          <w:rFonts w:eastAsia="Arial Unicode MS"/>
          <w:bCs/>
          <w:lang w:eastAsia="fr-FR" w:bidi="he-IL"/>
        </w:rPr>
        <w:t xml:space="preserve"> (Prudent.</w:t>
      </w:r>
      <w:r w:rsidR="00E65435">
        <w:rPr>
          <w:rFonts w:eastAsia="Arial Unicode MS"/>
          <w:bCs/>
          <w:lang w:eastAsia="fr-FR" w:bidi="he-IL"/>
        </w:rPr>
        <w:t xml:space="preserve">, </w:t>
      </w:r>
      <w:r w:rsidR="00B704AD" w:rsidRPr="00DC4586">
        <w:rPr>
          <w:rStyle w:val="italicus"/>
        </w:rPr>
        <w:t>Perist.</w:t>
      </w:r>
      <w:r w:rsidR="00E65435">
        <w:rPr>
          <w:rStyle w:val="italicus"/>
        </w:rPr>
        <w:t xml:space="preserve">, </w:t>
      </w:r>
      <w:r w:rsidR="00206537">
        <w:rPr>
          <w:rFonts w:eastAsia="Arial Unicode MS"/>
          <w:bCs/>
          <w:lang w:eastAsia="fr-FR" w:bidi="he-IL"/>
        </w:rPr>
        <w:t>à</w:t>
      </w:r>
      <w:r w:rsidR="00B704AD" w:rsidRPr="00C8701B">
        <w:rPr>
          <w:rFonts w:eastAsia="Arial Unicode MS"/>
          <w:bCs/>
          <w:lang w:eastAsia="fr-FR" w:bidi="he-IL"/>
        </w:rPr>
        <w:t xml:space="preserve">. </w:t>
      </w:r>
      <w:r w:rsidR="003A247F">
        <w:rPr>
          <w:rFonts w:eastAsia="Arial Unicode MS"/>
          <w:bCs/>
          <w:lang w:eastAsia="fr-FR" w:bidi="he-IL"/>
        </w:rPr>
        <w:t>XIII</w:t>
      </w:r>
      <w:r w:rsidR="00E65435">
        <w:rPr>
          <w:rFonts w:eastAsia="Arial Unicode MS"/>
          <w:bCs/>
          <w:lang w:eastAsia="fr-FR" w:bidi="he-IL"/>
        </w:rPr>
        <w:t xml:space="preserve">, </w:t>
      </w:r>
      <w:r w:rsidR="00B704AD" w:rsidRPr="00C8701B">
        <w:rPr>
          <w:rFonts w:eastAsia="Arial Unicode MS"/>
          <w:bCs/>
          <w:lang w:eastAsia="fr-FR" w:bidi="he-IL"/>
        </w:rPr>
        <w:t>7)</w:t>
      </w:r>
      <w:r w:rsidR="00E65435">
        <w:rPr>
          <w:rFonts w:eastAsia="Arial Unicode MS"/>
          <w:bCs/>
          <w:lang w:eastAsia="fr-FR" w:bidi="he-IL"/>
        </w:rPr>
        <w:t xml:space="preserve">, </w:t>
      </w:r>
      <w:r w:rsidR="00B704AD" w:rsidRPr="00C8701B">
        <w:rPr>
          <w:rFonts w:eastAsia="Arial Unicode MS"/>
          <w:bCs/>
          <w:lang w:eastAsia="fr-FR" w:bidi="he-IL"/>
        </w:rPr>
        <w:t>munis d</w:t>
      </w:r>
      <w:r w:rsidR="00557DE0">
        <w:rPr>
          <w:rFonts w:eastAsia="Arial Unicode MS"/>
          <w:bCs/>
          <w:lang w:eastAsia="fr-FR" w:bidi="he-IL"/>
        </w:rPr>
        <w:t>’</w:t>
      </w:r>
      <w:r>
        <w:rPr>
          <w:rFonts w:eastAsia="Arial Unicode MS"/>
          <w:bCs/>
          <w:lang w:eastAsia="fr-FR" w:bidi="he-IL"/>
        </w:rPr>
        <w:t>une ban</w:t>
      </w:r>
      <w:r w:rsidR="00B704AD" w:rsidRPr="00C8701B">
        <w:rPr>
          <w:rFonts w:eastAsia="Arial Unicode MS"/>
          <w:bCs/>
          <w:lang w:eastAsia="fr-FR" w:bidi="he-IL"/>
        </w:rPr>
        <w:t>delette servant à les suspendre au cou</w:t>
      </w:r>
      <w:r w:rsidR="00E65435">
        <w:rPr>
          <w:rFonts w:eastAsia="Arial Unicode MS"/>
          <w:bCs/>
          <w:lang w:eastAsia="fr-FR" w:bidi="he-IL"/>
        </w:rPr>
        <w:t xml:space="preserve">, </w:t>
      </w:r>
      <w:r w:rsidR="00B704AD" w:rsidRPr="00C8701B">
        <w:rPr>
          <w:rFonts w:eastAsia="Arial Unicode MS"/>
          <w:bCs/>
          <w:lang w:eastAsia="fr-FR" w:bidi="he-IL"/>
        </w:rPr>
        <w:t xml:space="preserve">et qui contenaient quelques parties des saints </w:t>
      </w:r>
      <w:r w:rsidR="000439E9">
        <w:rPr>
          <w:rFonts w:eastAsia="Arial Unicode MS"/>
          <w:bCs/>
          <w:lang w:eastAsia="fr-FR" w:bidi="he-IL"/>
        </w:rPr>
        <w:t>Évangile</w:t>
      </w:r>
      <w:r w:rsidR="00B704AD" w:rsidRPr="00C8701B">
        <w:rPr>
          <w:rFonts w:eastAsia="Arial Unicode MS"/>
          <w:bCs/>
          <w:lang w:eastAsia="fr-FR" w:bidi="he-IL"/>
        </w:rPr>
        <w:t>s. S. Grégoire-le-Grand avait envoyé à la reine Théodelinde</w:t>
      </w:r>
      <w:r w:rsidR="00E65435">
        <w:rPr>
          <w:rFonts w:eastAsia="Arial Unicode MS"/>
          <w:bCs/>
          <w:lang w:eastAsia="fr-FR" w:bidi="he-IL"/>
        </w:rPr>
        <w:t xml:space="preserve">, </w:t>
      </w:r>
      <w:r w:rsidR="00B704AD" w:rsidRPr="00C8701B">
        <w:rPr>
          <w:rFonts w:eastAsia="Arial Unicode MS"/>
          <w:bCs/>
          <w:lang w:eastAsia="fr-FR" w:bidi="he-IL"/>
        </w:rPr>
        <w:t>pour ses enfants</w:t>
      </w:r>
      <w:r w:rsidR="00E65435">
        <w:rPr>
          <w:rFonts w:eastAsia="Arial Unicode MS"/>
          <w:bCs/>
          <w:lang w:eastAsia="fr-FR" w:bidi="he-IL"/>
        </w:rPr>
        <w:t xml:space="preserve">, </w:t>
      </w:r>
      <w:r w:rsidR="00B704AD" w:rsidRPr="00C8701B">
        <w:rPr>
          <w:rFonts w:eastAsia="Arial Unicode MS"/>
          <w:bCs/>
          <w:lang w:eastAsia="fr-FR" w:bidi="he-IL"/>
        </w:rPr>
        <w:t>deux reliquaires de bois précieux renfermant</w:t>
      </w:r>
      <w:r w:rsidR="00E65435">
        <w:rPr>
          <w:rFonts w:eastAsia="Arial Unicode MS"/>
          <w:bCs/>
          <w:lang w:eastAsia="fr-FR" w:bidi="he-IL"/>
        </w:rPr>
        <w:t xml:space="preserve">, </w:t>
      </w:r>
      <w:r w:rsidR="00B704AD" w:rsidRPr="00C8701B">
        <w:rPr>
          <w:rFonts w:eastAsia="Arial Unicode MS"/>
          <w:bCs/>
          <w:lang w:eastAsia="fr-FR" w:bidi="he-IL"/>
        </w:rPr>
        <w:t>l</w:t>
      </w:r>
      <w:r w:rsidR="00557DE0">
        <w:rPr>
          <w:rFonts w:eastAsia="Arial Unicode MS"/>
          <w:bCs/>
          <w:lang w:eastAsia="fr-FR" w:bidi="he-IL"/>
        </w:rPr>
        <w:t>’</w:t>
      </w:r>
      <w:r w:rsidR="00B704AD" w:rsidRPr="00C8701B">
        <w:rPr>
          <w:rFonts w:eastAsia="Arial Unicode MS"/>
          <w:bCs/>
          <w:lang w:eastAsia="fr-FR" w:bidi="he-IL"/>
        </w:rPr>
        <w:t>un un fragment de la vraie croix</w:t>
      </w:r>
      <w:r w:rsidR="00E65435">
        <w:rPr>
          <w:rFonts w:eastAsia="Arial Unicode MS"/>
          <w:bCs/>
          <w:lang w:eastAsia="fr-FR" w:bidi="he-IL"/>
        </w:rPr>
        <w:t xml:space="preserve">, </w:t>
      </w:r>
      <w:r>
        <w:rPr>
          <w:rFonts w:eastAsia="Arial Unicode MS"/>
          <w:bCs/>
          <w:lang w:eastAsia="fr-FR" w:bidi="he-IL"/>
        </w:rPr>
        <w:t>et l</w:t>
      </w:r>
      <w:r w:rsidR="00557DE0">
        <w:rPr>
          <w:rFonts w:eastAsia="Arial Unicode MS"/>
          <w:bCs/>
          <w:lang w:eastAsia="fr-FR" w:bidi="he-IL"/>
        </w:rPr>
        <w:t>’</w:t>
      </w:r>
      <w:r>
        <w:rPr>
          <w:rFonts w:eastAsia="Arial Unicode MS"/>
          <w:bCs/>
          <w:lang w:eastAsia="fr-FR" w:bidi="he-IL"/>
        </w:rPr>
        <w:t>autre un</w:t>
      </w:r>
      <w:r w:rsidR="00B704AD" w:rsidRPr="00C8701B">
        <w:rPr>
          <w:rFonts w:eastAsia="Arial Unicode MS"/>
          <w:bCs/>
          <w:lang w:eastAsia="fr-FR" w:bidi="he-IL"/>
        </w:rPr>
        <w:t xml:space="preserve"> morceau de l</w:t>
      </w:r>
      <w:r w:rsidR="00557DE0">
        <w:rPr>
          <w:rFonts w:eastAsia="Arial Unicode MS"/>
          <w:bCs/>
          <w:lang w:eastAsia="fr-FR" w:bidi="he-IL"/>
        </w:rPr>
        <w:t>’</w:t>
      </w:r>
      <w:r w:rsidR="000439E9">
        <w:rPr>
          <w:rFonts w:eastAsia="Arial Unicode MS"/>
          <w:bCs/>
          <w:lang w:eastAsia="fr-FR" w:bidi="he-IL"/>
        </w:rPr>
        <w:t>Évangile</w:t>
      </w:r>
      <w:r w:rsidR="00B704AD" w:rsidRPr="00C8701B">
        <w:rPr>
          <w:rFonts w:eastAsia="Arial Unicode MS"/>
          <w:bCs/>
          <w:lang w:eastAsia="fr-FR" w:bidi="he-IL"/>
        </w:rPr>
        <w:t>. On peut voir un fac-similé de ces petits monuments dans les</w:t>
      </w:r>
      <w:r>
        <w:rPr>
          <w:rStyle w:val="italicus"/>
        </w:rPr>
        <w:t xml:space="preserve"> Tavole dell</w:t>
      </w:r>
      <w:r w:rsidR="00B704AD" w:rsidRPr="00DC4586">
        <w:rPr>
          <w:rStyle w:val="italicus"/>
        </w:rPr>
        <w:t>a storia ecc</w:t>
      </w:r>
      <w:r>
        <w:rPr>
          <w:rStyle w:val="italicus"/>
        </w:rPr>
        <w:t>l.</w:t>
      </w:r>
      <w:r w:rsidR="00B704AD" w:rsidRPr="00C8701B">
        <w:rPr>
          <w:rFonts w:eastAsia="Arial Unicode MS"/>
          <w:bCs/>
          <w:lang w:eastAsia="fr-FR" w:bidi="he-IL"/>
        </w:rPr>
        <w:t xml:space="preserve"> de Mozzoni</w:t>
      </w:r>
      <w:r w:rsidR="00E65435">
        <w:rPr>
          <w:rFonts w:eastAsia="Arial Unicode MS"/>
          <w:bCs/>
          <w:lang w:eastAsia="fr-FR" w:bidi="he-IL"/>
        </w:rPr>
        <w:t xml:space="preserve">, </w:t>
      </w:r>
      <w:r w:rsidR="00B704AD" w:rsidRPr="00C8701B">
        <w:rPr>
          <w:rFonts w:eastAsia="Arial Unicode MS"/>
          <w:bCs/>
          <w:lang w:eastAsia="fr-FR" w:bidi="he-IL"/>
        </w:rPr>
        <w:t>t</w:t>
      </w:r>
      <w:r w:rsidR="001157C4">
        <w:rPr>
          <w:rFonts w:eastAsia="Arial Unicode MS"/>
          <w:bCs/>
          <w:lang w:eastAsia="fr-FR" w:bidi="he-IL"/>
        </w:rPr>
        <w:t>. VII,</w:t>
      </w:r>
      <w:r w:rsidR="00E65435">
        <w:rPr>
          <w:rFonts w:eastAsia="Arial Unicode MS"/>
          <w:bCs/>
          <w:lang w:eastAsia="fr-FR" w:bidi="he-IL"/>
        </w:rPr>
        <w:t xml:space="preserve"> </w:t>
      </w:r>
      <w:r w:rsidR="00B704AD" w:rsidRPr="00C8701B">
        <w:rPr>
          <w:rFonts w:eastAsia="Arial Unicode MS"/>
          <w:bCs/>
          <w:lang w:eastAsia="fr-FR" w:bidi="he-IL"/>
        </w:rPr>
        <w:t>p. 79. On plaçait ce livre divin dans les sépultures</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témoin cet exemplaire de S. Matthieu qui fut trou</w:t>
      </w:r>
      <w:r>
        <w:rPr>
          <w:rFonts w:eastAsia="Arial Unicode MS"/>
          <w:bCs/>
          <w:lang w:eastAsia="fr-FR" w:bidi="he-IL"/>
        </w:rPr>
        <w:t>vé sur la poitrine de S. Barnabé</w:t>
      </w:r>
      <w:r w:rsidR="00B704AD" w:rsidRPr="00C8701B">
        <w:rPr>
          <w:rFonts w:eastAsia="Arial Unicode MS"/>
          <w:bCs/>
          <w:lang w:eastAsia="fr-FR" w:bidi="he-IL"/>
        </w:rPr>
        <w:t xml:space="preserve"> au sein du tombeau de cet apôtre</w:t>
      </w:r>
      <w:r w:rsidR="00E65435">
        <w:rPr>
          <w:rFonts w:eastAsia="Arial Unicode MS"/>
          <w:bCs/>
          <w:lang w:eastAsia="fr-FR" w:bidi="he-IL"/>
        </w:rPr>
        <w:t xml:space="preserve">, </w:t>
      </w:r>
      <w:r w:rsidR="00B704AD" w:rsidRPr="00C8701B">
        <w:rPr>
          <w:rFonts w:eastAsia="Arial Unicode MS"/>
          <w:bCs/>
          <w:lang w:eastAsia="fr-FR" w:bidi="he-IL"/>
        </w:rPr>
        <w:t>découvert dans l</w:t>
      </w:r>
      <w:r w:rsidR="00557DE0">
        <w:rPr>
          <w:rFonts w:eastAsia="Arial Unicode MS"/>
          <w:bCs/>
          <w:lang w:eastAsia="fr-FR" w:bidi="he-IL"/>
        </w:rPr>
        <w:t>’</w:t>
      </w:r>
      <w:r w:rsidR="00B704AD" w:rsidRPr="00C8701B">
        <w:rPr>
          <w:rFonts w:eastAsia="Arial Unicode MS"/>
          <w:bCs/>
          <w:lang w:eastAsia="fr-FR" w:bidi="he-IL"/>
        </w:rPr>
        <w:t>île de Chypre (Baron.</w:t>
      </w:r>
      <w:r w:rsidR="00E65435">
        <w:rPr>
          <w:rFonts w:eastAsia="Arial Unicode MS"/>
          <w:bCs/>
          <w:lang w:eastAsia="fr-FR" w:bidi="he-IL"/>
        </w:rPr>
        <w:t xml:space="preserve">, </w:t>
      </w:r>
      <w:r w:rsidR="00B704AD" w:rsidRPr="00C8701B">
        <w:rPr>
          <w:rFonts w:eastAsia="Arial Unicode MS"/>
          <w:bCs/>
          <w:lang w:eastAsia="fr-FR" w:bidi="he-IL"/>
        </w:rPr>
        <w:t>ad ann. 485). On le conservait dans les maisons pour écarter les démons (S. Chrysost.</w:t>
      </w:r>
      <w:r w:rsidR="00E65435">
        <w:rPr>
          <w:rFonts w:eastAsia="Arial Unicode MS"/>
          <w:bCs/>
          <w:lang w:eastAsia="fr-FR" w:bidi="he-IL"/>
        </w:rPr>
        <w:t xml:space="preserve">, </w:t>
      </w:r>
      <w:r w:rsidR="00B704AD" w:rsidRPr="00DC4586">
        <w:rPr>
          <w:rStyle w:val="italicus"/>
        </w:rPr>
        <w:t>In Joan.</w:t>
      </w:r>
      <w:r w:rsidR="00B704AD" w:rsidRPr="00C8701B">
        <w:rPr>
          <w:rFonts w:eastAsia="Arial Unicode MS"/>
          <w:bCs/>
          <w:lang w:eastAsia="fr-FR" w:bidi="he-IL"/>
        </w:rPr>
        <w:t xml:space="preserve"> hom. </w:t>
      </w:r>
      <w:r w:rsidR="005069E2">
        <w:rPr>
          <w:rFonts w:eastAsia="Arial Unicode MS"/>
          <w:bCs/>
          <w:lang w:eastAsia="fr-FR" w:bidi="he-IL"/>
        </w:rPr>
        <w:t>X</w:t>
      </w:r>
      <w:r w:rsidR="0004306D">
        <w:rPr>
          <w:rFonts w:eastAsia="Arial Unicode MS"/>
          <w:bCs/>
          <w:lang w:eastAsia="fr-FR" w:bidi="he-IL"/>
        </w:rPr>
        <w:t>XX</w:t>
      </w:r>
      <w:r>
        <w:rPr>
          <w:rFonts w:eastAsia="Arial Unicode MS"/>
          <w:bCs/>
          <w:lang w:eastAsia="fr-FR" w:bidi="he-IL"/>
        </w:rPr>
        <w:t>I</w:t>
      </w:r>
      <w:r w:rsidR="00B704AD" w:rsidRPr="00C8701B">
        <w:rPr>
          <w:rFonts w:eastAsia="Arial Unicode MS"/>
          <w:bCs/>
          <w:lang w:eastAsia="fr-FR" w:bidi="he-IL"/>
        </w:rPr>
        <w:t>)</w:t>
      </w:r>
      <w:r w:rsidR="00E65435">
        <w:rPr>
          <w:rFonts w:eastAsia="Arial Unicode MS"/>
          <w:bCs/>
          <w:lang w:eastAsia="fr-FR" w:bidi="he-IL"/>
        </w:rPr>
        <w:t xml:space="preserve">, </w:t>
      </w:r>
      <w:r w:rsidR="00B704AD" w:rsidRPr="00C8701B">
        <w:rPr>
          <w:rFonts w:eastAsia="Arial Unicode MS"/>
          <w:bCs/>
          <w:lang w:eastAsia="fr-FR" w:bidi="he-IL"/>
        </w:rPr>
        <w:t>pour apaiser les incendies (Greg. Turon.</w:t>
      </w:r>
      <w:r w:rsidR="00E65435">
        <w:rPr>
          <w:rFonts w:eastAsia="Arial Unicode MS"/>
          <w:bCs/>
          <w:lang w:eastAsia="fr-FR" w:bidi="he-IL"/>
        </w:rPr>
        <w:t xml:space="preserve">, </w:t>
      </w:r>
      <w:r w:rsidR="00B704AD" w:rsidRPr="00DC4586">
        <w:rPr>
          <w:rStyle w:val="italicus"/>
        </w:rPr>
        <w:t>Vit. Patr.</w:t>
      </w:r>
      <w:r w:rsidR="00E65435">
        <w:rPr>
          <w:rStyle w:val="italicus"/>
        </w:rPr>
        <w:t xml:space="preserve">, </w:t>
      </w:r>
      <w:r w:rsidR="00A319EA">
        <w:rPr>
          <w:rFonts w:eastAsia="Arial Unicode MS"/>
          <w:bCs/>
          <w:lang w:eastAsia="fr-FR" w:bidi="he-IL"/>
        </w:rPr>
        <w:t>VI</w:t>
      </w:r>
      <w:r w:rsidR="00B704AD" w:rsidRPr="00C8701B">
        <w:rPr>
          <w:rFonts w:eastAsia="Arial Unicode MS"/>
          <w:bCs/>
          <w:lang w:eastAsia="fr-FR" w:bidi="he-IL"/>
        </w:rPr>
        <w:t>)</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plus tard</w:t>
      </w:r>
      <w:r w:rsidR="00E65435">
        <w:rPr>
          <w:rFonts w:eastAsia="Arial Unicode MS"/>
          <w:bCs/>
          <w:lang w:eastAsia="fr-FR" w:bidi="he-IL"/>
        </w:rPr>
        <w:t xml:space="preserve">, </w:t>
      </w:r>
      <w:r w:rsidR="00B704AD" w:rsidRPr="00C8701B">
        <w:rPr>
          <w:rFonts w:eastAsia="Arial Unicode MS"/>
          <w:bCs/>
          <w:lang w:eastAsia="fr-FR" w:bidi="he-IL"/>
        </w:rPr>
        <w:t>l</w:t>
      </w:r>
      <w:r w:rsidR="00557DE0">
        <w:rPr>
          <w:rFonts w:eastAsia="Arial Unicode MS"/>
          <w:bCs/>
          <w:lang w:eastAsia="fr-FR" w:bidi="he-IL"/>
        </w:rPr>
        <w:t>’</w:t>
      </w:r>
      <w:r w:rsidR="000439E9">
        <w:rPr>
          <w:rFonts w:eastAsia="Arial Unicode MS"/>
          <w:bCs/>
          <w:lang w:eastAsia="fr-FR" w:bidi="he-IL"/>
        </w:rPr>
        <w:t>Évangile</w:t>
      </w:r>
      <w:r w:rsidR="00B704AD" w:rsidRPr="00C8701B">
        <w:rPr>
          <w:rFonts w:eastAsia="Arial Unicode MS"/>
          <w:bCs/>
          <w:lang w:eastAsia="fr-FR" w:bidi="he-IL"/>
        </w:rPr>
        <w:t xml:space="preserve"> fut mis au nombre des insignes de l</w:t>
      </w:r>
      <w:r w:rsidR="00557DE0">
        <w:rPr>
          <w:rFonts w:eastAsia="Arial Unicode MS"/>
          <w:bCs/>
          <w:lang w:eastAsia="fr-FR" w:bidi="he-IL"/>
        </w:rPr>
        <w:t>’</w:t>
      </w:r>
      <w:r w:rsidR="00B704AD" w:rsidRPr="00C8701B">
        <w:rPr>
          <w:rFonts w:eastAsia="Arial Unicode MS"/>
          <w:bCs/>
          <w:lang w:eastAsia="fr-FR" w:bidi="he-IL"/>
        </w:rPr>
        <w:t>empire</w:t>
      </w:r>
      <w:r w:rsidR="00C2602D" w:rsidRPr="00C8701B">
        <w:rPr>
          <w:rFonts w:eastAsia="Arial Unicode MS"/>
          <w:bCs/>
          <w:lang w:eastAsia="fr-FR" w:bidi="he-IL"/>
        </w:rPr>
        <w:t> :</w:t>
      </w:r>
      <w:r w:rsidR="00B704AD" w:rsidRPr="00C8701B">
        <w:rPr>
          <w:rFonts w:eastAsia="Arial Unicode MS"/>
          <w:bCs/>
          <w:lang w:eastAsia="fr-FR" w:bidi="he-IL"/>
        </w:rPr>
        <w:t xml:space="preserve"> Lothaire désigna son fils Louis le Débonnaire pour son successeur</w:t>
      </w:r>
      <w:r w:rsidR="00E65435">
        <w:rPr>
          <w:rFonts w:eastAsia="Arial Unicode MS"/>
          <w:bCs/>
          <w:lang w:eastAsia="fr-FR" w:bidi="he-IL"/>
        </w:rPr>
        <w:t xml:space="preserve">, </w:t>
      </w:r>
      <w:r w:rsidR="00B704AD" w:rsidRPr="00C8701B">
        <w:rPr>
          <w:rFonts w:eastAsia="Arial Unicode MS"/>
          <w:bCs/>
          <w:lang w:eastAsia="fr-FR" w:bidi="he-IL"/>
        </w:rPr>
        <w:t>en lui remettant la couronne</w:t>
      </w:r>
      <w:r w:rsidR="00E65435">
        <w:rPr>
          <w:rFonts w:eastAsia="Arial Unicode MS"/>
          <w:bCs/>
          <w:lang w:eastAsia="fr-FR" w:bidi="he-IL"/>
        </w:rPr>
        <w:t xml:space="preserve">, </w:t>
      </w:r>
      <w:r w:rsidR="00B704AD" w:rsidRPr="00C8701B">
        <w:rPr>
          <w:rFonts w:eastAsia="Arial Unicode MS"/>
          <w:bCs/>
          <w:lang w:eastAsia="fr-FR" w:bidi="he-IL"/>
        </w:rPr>
        <w:t>le glaive et l</w:t>
      </w:r>
      <w:r w:rsidR="00557DE0">
        <w:rPr>
          <w:rFonts w:eastAsia="Arial Unicode MS"/>
          <w:bCs/>
          <w:lang w:eastAsia="fr-FR" w:bidi="he-IL"/>
        </w:rPr>
        <w:t>’</w:t>
      </w:r>
      <w:r w:rsidR="000439E9">
        <w:rPr>
          <w:rFonts w:eastAsia="Arial Unicode MS"/>
          <w:bCs/>
          <w:lang w:eastAsia="fr-FR" w:bidi="he-IL"/>
        </w:rPr>
        <w:t>Évangile</w:t>
      </w:r>
      <w:r w:rsidR="00C2602D" w:rsidRPr="00C8701B">
        <w:rPr>
          <w:rFonts w:eastAsia="Arial Unicode MS"/>
          <w:bCs/>
          <w:lang w:eastAsia="fr-FR" w:bidi="he-IL"/>
        </w:rPr>
        <w:t> »</w:t>
      </w:r>
      <w:r w:rsidR="00B704AD" w:rsidRPr="00C8701B">
        <w:rPr>
          <w:rFonts w:eastAsia="Arial Unicode MS"/>
          <w:bCs/>
          <w:lang w:eastAsia="fr-FR" w:bidi="he-IL"/>
        </w:rPr>
        <w:t xml:space="preserve"> (Lami</w:t>
      </w:r>
      <w:r w:rsidR="00E65435">
        <w:rPr>
          <w:rFonts w:eastAsia="Arial Unicode MS"/>
          <w:bCs/>
          <w:lang w:eastAsia="fr-FR" w:bidi="he-IL"/>
        </w:rPr>
        <w:t xml:space="preserve">, </w:t>
      </w:r>
      <w:r w:rsidR="00B704AD" w:rsidRPr="00DC4586">
        <w:rPr>
          <w:rStyle w:val="italicus"/>
        </w:rPr>
        <w:t>De erudit. apostol</w:t>
      </w:r>
      <w:r>
        <w:rPr>
          <w:rStyle w:val="italicus"/>
        </w:rPr>
        <w:t xml:space="preserve">. </w:t>
      </w:r>
      <w:r w:rsidR="00B704AD" w:rsidRPr="00C8701B">
        <w:rPr>
          <w:rFonts w:eastAsia="Arial Unicode MS"/>
          <w:bCs/>
          <w:lang w:eastAsia="fr-FR" w:bidi="he-IL"/>
        </w:rPr>
        <w:t>p. 530)</w:t>
      </w:r>
      <w:r w:rsidR="00C2602D" w:rsidRPr="00C8701B">
        <w:rPr>
          <w:rFonts w:eastAsia="Arial Unicode MS"/>
          <w:bCs/>
          <w:lang w:eastAsia="fr-FR" w:bidi="he-IL"/>
        </w:rPr>
        <w:t xml:space="preserve"> : </w:t>
      </w:r>
    </w:p>
    <w:p w:rsidR="00C2602D" w:rsidRPr="00C8701B" w:rsidRDefault="0064584C" w:rsidP="00C2602D">
      <w:pPr>
        <w:rPr>
          <w:rFonts w:eastAsia="Arial Unicode MS"/>
          <w:bCs/>
          <w:lang w:eastAsia="fr-FR" w:bidi="he-IL"/>
        </w:rPr>
      </w:pPr>
      <w:r>
        <w:rPr>
          <w:rFonts w:eastAsia="Arial Unicode MS"/>
          <w:bCs/>
          <w:lang w:eastAsia="fr-FR" w:bidi="he-IL"/>
        </w:rPr>
        <w:t>4° À</w:t>
      </w:r>
      <w:r w:rsidR="00B704AD" w:rsidRPr="00C8701B">
        <w:rPr>
          <w:rFonts w:eastAsia="Arial Unicode MS"/>
          <w:bCs/>
          <w:lang w:eastAsia="fr-FR" w:bidi="he-IL"/>
        </w:rPr>
        <w:t xml:space="preserve"> toutes ces preuves extrinsèques</w:t>
      </w:r>
      <w:r w:rsidR="00E65435">
        <w:rPr>
          <w:rFonts w:eastAsia="Arial Unicode MS"/>
          <w:bCs/>
          <w:lang w:eastAsia="fr-FR" w:bidi="he-IL"/>
        </w:rPr>
        <w:t xml:space="preserve">, </w:t>
      </w:r>
      <w:r w:rsidR="00B704AD" w:rsidRPr="00C8701B">
        <w:rPr>
          <w:rFonts w:eastAsia="Arial Unicode MS"/>
          <w:bCs/>
          <w:lang w:eastAsia="fr-FR" w:bidi="he-IL"/>
        </w:rPr>
        <w:t>qui démontrent si bien la divinité des saints Évangiles</w:t>
      </w:r>
      <w:r w:rsidR="00E65435">
        <w:rPr>
          <w:rFonts w:eastAsia="Arial Unicode MS"/>
          <w:bCs/>
          <w:lang w:eastAsia="fr-FR" w:bidi="he-IL"/>
        </w:rPr>
        <w:t xml:space="preserve">, </w:t>
      </w:r>
      <w:r w:rsidR="00B704AD" w:rsidRPr="00C8701B">
        <w:rPr>
          <w:rFonts w:eastAsia="Arial Unicode MS"/>
          <w:bCs/>
          <w:lang w:eastAsia="fr-FR" w:bidi="he-IL"/>
        </w:rPr>
        <w:t>ajouterons-nous ce qu</w:t>
      </w:r>
      <w:r w:rsidR="00557DE0">
        <w:rPr>
          <w:rFonts w:eastAsia="Arial Unicode MS"/>
          <w:bCs/>
          <w:lang w:eastAsia="fr-FR" w:bidi="he-IL"/>
        </w:rPr>
        <w:t>’</w:t>
      </w:r>
      <w:r w:rsidR="00B704AD" w:rsidRPr="00C8701B">
        <w:rPr>
          <w:rFonts w:eastAsia="Arial Unicode MS"/>
          <w:bCs/>
          <w:lang w:eastAsia="fr-FR" w:bidi="he-IL"/>
        </w:rPr>
        <w:t xml:space="preserve">on nomme </w:t>
      </w:r>
      <w:r w:rsidR="00C2602D" w:rsidRPr="00C8701B">
        <w:rPr>
          <w:rFonts w:eastAsia="Arial Unicode MS"/>
          <w:bCs/>
          <w:lang w:eastAsia="fr-FR" w:bidi="he-IL"/>
        </w:rPr>
        <w:t>« </w:t>
      </w:r>
      <w:r w:rsidR="00B704AD" w:rsidRPr="00C8701B">
        <w:rPr>
          <w:rFonts w:eastAsia="Arial Unicode MS"/>
          <w:bCs/>
          <w:lang w:eastAsia="fr-FR" w:bidi="he-IL"/>
        </w:rPr>
        <w:t>l</w:t>
      </w:r>
      <w:r w:rsidR="00557DE0">
        <w:rPr>
          <w:rFonts w:eastAsia="Arial Unicode MS"/>
          <w:bCs/>
          <w:lang w:eastAsia="fr-FR" w:bidi="he-IL"/>
        </w:rPr>
        <w:t>’</w:t>
      </w:r>
      <w:r w:rsidR="00B704AD" w:rsidRPr="00C8701B">
        <w:rPr>
          <w:rFonts w:eastAsia="Arial Unicode MS"/>
          <w:bCs/>
          <w:lang w:eastAsia="fr-FR" w:bidi="he-IL"/>
        </w:rPr>
        <w:t>évidence interne</w:t>
      </w:r>
      <w:r w:rsidR="00C2602D" w:rsidRPr="00C8701B">
        <w:rPr>
          <w:rFonts w:eastAsia="Arial Unicode MS"/>
          <w:bCs/>
          <w:lang w:eastAsia="fr-FR" w:bidi="he-IL"/>
        </w:rPr>
        <w:t> »</w:t>
      </w:r>
      <w:r w:rsidR="00E65435">
        <w:rPr>
          <w:rFonts w:eastAsia="Arial Unicode MS"/>
          <w:bCs/>
          <w:lang w:eastAsia="fr-FR" w:bidi="he-IL"/>
        </w:rPr>
        <w:t xml:space="preserve">, </w:t>
      </w:r>
      <w:r w:rsidR="00B704AD" w:rsidRPr="00C8701B">
        <w:rPr>
          <w:rFonts w:eastAsia="Arial Unicode MS"/>
          <w:bCs/>
          <w:lang w:eastAsia="fr-FR" w:bidi="he-IL"/>
        </w:rPr>
        <w:t>c</w:t>
      </w:r>
      <w:r w:rsidR="00557DE0">
        <w:rPr>
          <w:rFonts w:eastAsia="Arial Unicode MS"/>
          <w:bCs/>
          <w:lang w:eastAsia="fr-FR" w:bidi="he-IL"/>
        </w:rPr>
        <w:t>’</w:t>
      </w:r>
      <w:r w:rsidR="00B704AD" w:rsidRPr="00C8701B">
        <w:rPr>
          <w:rFonts w:eastAsia="Arial Unicode MS"/>
          <w:bCs/>
          <w:lang w:eastAsia="fr-FR" w:bidi="he-IL"/>
        </w:rPr>
        <w:t>est-à-dire quelques preuves intrinsèques</w:t>
      </w:r>
      <w:r w:rsidR="00C2602D" w:rsidRPr="00C8701B">
        <w:rPr>
          <w:rFonts w:eastAsia="Arial Unicode MS"/>
          <w:bCs/>
          <w:lang w:eastAsia="fr-FR" w:bidi="he-IL"/>
        </w:rPr>
        <w:t xml:space="preserve"> ? </w:t>
      </w:r>
      <w:r w:rsidR="00C14040" w:rsidRPr="000716BB">
        <w:rPr>
          <w:rFonts w:eastAsia="Arial Unicode MS"/>
          <w:bCs/>
          <w:lang w:eastAsia="fr-FR" w:bidi="he-IL"/>
        </w:rPr>
        <w:t>{</w:t>
      </w:r>
      <w:r w:rsidR="00C14040">
        <w:rPr>
          <w:rFonts w:eastAsia="Arial Unicode MS"/>
          <w:bCs/>
          <w:lang w:eastAsia="fr-FR" w:bidi="he-IL"/>
        </w:rPr>
        <w:t>93</w:t>
      </w:r>
      <w:bookmarkStart w:id="144" w:name="pag093"/>
      <w:bookmarkEnd w:id="144"/>
      <w:r w:rsidR="00C14040" w:rsidRPr="000716BB">
        <w:rPr>
          <w:rFonts w:eastAsia="Arial Unicode MS"/>
          <w:bCs/>
          <w:lang w:eastAsia="fr-FR" w:bidi="he-IL"/>
        </w:rPr>
        <w:t>}</w:t>
      </w:r>
    </w:p>
    <w:p w:rsidR="00C2602D" w:rsidRDefault="00B704AD" w:rsidP="00C2602D">
      <w:pPr>
        <w:rPr>
          <w:rFonts w:eastAsia="Arial Unicode MS"/>
          <w:bCs/>
          <w:lang w:eastAsia="fr-FR" w:bidi="he-IL"/>
        </w:rPr>
      </w:pPr>
      <w:r w:rsidRPr="00C8701B">
        <w:rPr>
          <w:rFonts w:eastAsia="Arial Unicode MS"/>
          <w:bCs/>
          <w:lang w:eastAsia="fr-FR" w:bidi="he-IL"/>
        </w:rPr>
        <w:t>En soi</w:t>
      </w:r>
      <w:r w:rsidR="00E65435">
        <w:rPr>
          <w:rFonts w:eastAsia="Arial Unicode MS"/>
          <w:bCs/>
          <w:lang w:eastAsia="fr-FR" w:bidi="he-IL"/>
        </w:rPr>
        <w:t xml:space="preserve">, </w:t>
      </w:r>
      <w:r w:rsidRPr="00C8701B">
        <w:rPr>
          <w:rFonts w:eastAsia="Arial Unicode MS"/>
          <w:bCs/>
          <w:lang w:eastAsia="fr-FR" w:bidi="he-IL"/>
        </w:rPr>
        <w:t>ce n</w:t>
      </w:r>
      <w:r w:rsidR="00557DE0">
        <w:rPr>
          <w:rFonts w:eastAsia="Arial Unicode MS"/>
          <w:bCs/>
          <w:lang w:eastAsia="fr-FR" w:bidi="he-IL"/>
        </w:rPr>
        <w:t>’</w:t>
      </w:r>
      <w:r w:rsidRPr="00C8701B">
        <w:rPr>
          <w:rFonts w:eastAsia="Arial Unicode MS"/>
          <w:bCs/>
          <w:lang w:eastAsia="fr-FR" w:bidi="he-IL"/>
        </w:rPr>
        <w:t>est pas nécessaire</w:t>
      </w:r>
      <w:r w:rsidR="00E65435">
        <w:rPr>
          <w:rFonts w:eastAsia="Arial Unicode MS"/>
          <w:bCs/>
          <w:lang w:eastAsia="fr-FR" w:bidi="he-IL"/>
        </w:rPr>
        <w:t xml:space="preserve">, </w:t>
      </w:r>
      <w:r w:rsidRPr="00C8701B">
        <w:rPr>
          <w:rFonts w:eastAsia="Arial Unicode MS"/>
          <w:bCs/>
          <w:lang w:eastAsia="fr-FR" w:bidi="he-IL"/>
        </w:rPr>
        <w:t>puisque les premiers arguments suffisent</w:t>
      </w:r>
      <w:r w:rsidR="00E65435">
        <w:rPr>
          <w:rFonts w:eastAsia="Arial Unicode MS"/>
          <w:bCs/>
          <w:lang w:eastAsia="fr-FR" w:bidi="he-IL"/>
        </w:rPr>
        <w:t xml:space="preserve">, </w:t>
      </w:r>
      <w:r w:rsidRPr="00C8701B">
        <w:rPr>
          <w:rFonts w:eastAsia="Arial Unicode MS"/>
          <w:bCs/>
          <w:lang w:eastAsia="fr-FR" w:bidi="he-IL"/>
        </w:rPr>
        <w:t>et qu</w:t>
      </w:r>
      <w:r w:rsidR="00557DE0">
        <w:rPr>
          <w:rFonts w:eastAsia="Arial Unicode MS"/>
          <w:bCs/>
          <w:lang w:eastAsia="fr-FR" w:bidi="he-IL"/>
        </w:rPr>
        <w:t>’</w:t>
      </w:r>
      <w:r w:rsidRPr="00C8701B">
        <w:rPr>
          <w:rFonts w:eastAsia="Arial Unicode MS"/>
          <w:bCs/>
          <w:lang w:eastAsia="fr-FR" w:bidi="he-IL"/>
        </w:rPr>
        <w:t>ils sont en réalité les seuls convaincants. Cependant</w:t>
      </w:r>
      <w:r w:rsidR="00E65435">
        <w:rPr>
          <w:rFonts w:eastAsia="Arial Unicode MS"/>
          <w:bCs/>
          <w:lang w:eastAsia="fr-FR" w:bidi="he-IL"/>
        </w:rPr>
        <w:t xml:space="preserve">, </w:t>
      </w:r>
      <w:r w:rsidR="0064584C">
        <w:rPr>
          <w:rFonts w:eastAsia="Arial Unicode MS"/>
          <w:bCs/>
          <w:lang w:eastAsia="fr-FR" w:bidi="he-IL"/>
        </w:rPr>
        <w:t>on peut au moin</w:t>
      </w:r>
      <w:r w:rsidRPr="00C8701B">
        <w:rPr>
          <w:rFonts w:eastAsia="Arial Unicode MS"/>
          <w:bCs/>
          <w:lang w:eastAsia="fr-FR" w:bidi="he-IL"/>
        </w:rPr>
        <w:t>s indiquer rapidement quelques-unes de ces preuves intrinsèques</w:t>
      </w:r>
      <w:r w:rsidR="00E65435">
        <w:rPr>
          <w:rFonts w:eastAsia="Arial Unicode MS"/>
          <w:bCs/>
          <w:lang w:eastAsia="fr-FR" w:bidi="he-IL"/>
        </w:rPr>
        <w:t xml:space="preserve">, </w:t>
      </w:r>
      <w:r w:rsidRPr="00C8701B">
        <w:rPr>
          <w:rFonts w:eastAsia="Arial Unicode MS"/>
          <w:bCs/>
          <w:lang w:eastAsia="fr-FR" w:bidi="he-IL"/>
        </w:rPr>
        <w:t>à condition de leur laisser leur caractère accessoire.</w:t>
      </w:r>
      <w:r w:rsidR="00C2602D" w:rsidRPr="00C8701B">
        <w:rPr>
          <w:rFonts w:eastAsia="Arial Unicode MS"/>
          <w:bCs/>
          <w:lang w:eastAsia="fr-FR" w:bidi="he-IL"/>
        </w:rPr>
        <w:t xml:space="preserve"> </w:t>
      </w:r>
    </w:p>
    <w:p w:rsidR="00C2602D" w:rsidRPr="00C8701B" w:rsidRDefault="0064584C" w:rsidP="00C2602D">
      <w:pPr>
        <w:rPr>
          <w:rFonts w:eastAsia="Arial Unicode MS"/>
          <w:bCs/>
          <w:lang w:eastAsia="fr-FR" w:bidi="he-IL"/>
        </w:rPr>
      </w:pPr>
      <w:r>
        <w:rPr>
          <w:rFonts w:eastAsia="Arial Unicode MS"/>
          <w:bCs/>
          <w:lang w:eastAsia="fr-FR" w:bidi="he-IL"/>
        </w:rPr>
        <w:t>α</w:t>
      </w:r>
      <w:r w:rsidR="00517F11">
        <w:rPr>
          <w:rFonts w:eastAsia="Arial Unicode MS"/>
          <w:bCs/>
          <w:lang w:eastAsia="fr-FR" w:bidi="he-IL"/>
        </w:rPr>
        <w:t>.</w:t>
      </w:r>
      <w:r w:rsidR="00B704AD" w:rsidRPr="00C8701B">
        <w:rPr>
          <w:rFonts w:eastAsia="Arial Unicode MS"/>
          <w:bCs/>
          <w:lang w:eastAsia="fr-FR" w:bidi="he-IL"/>
        </w:rPr>
        <w:t xml:space="preserve"> Nous l</w:t>
      </w:r>
      <w:r w:rsidR="00557DE0">
        <w:rPr>
          <w:rFonts w:eastAsia="Arial Unicode MS"/>
          <w:bCs/>
          <w:lang w:eastAsia="fr-FR" w:bidi="he-IL"/>
        </w:rPr>
        <w:t>’</w:t>
      </w:r>
      <w:r w:rsidR="00B704AD" w:rsidRPr="00C8701B">
        <w:rPr>
          <w:rFonts w:eastAsia="Arial Unicode MS"/>
          <w:bCs/>
          <w:lang w:eastAsia="fr-FR" w:bidi="he-IL"/>
        </w:rPr>
        <w:t>avons dit à une autre occasion</w:t>
      </w:r>
      <w:r w:rsidR="00933C60" w:rsidRPr="00C406FF">
        <w:rPr>
          <w:rStyle w:val="Appelnotedebasdep"/>
        </w:rPr>
        <w:footnoteReference w:id="493"/>
      </w:r>
      <w:r w:rsidR="00E65435">
        <w:rPr>
          <w:rFonts w:eastAsia="Arial Unicode MS"/>
          <w:bCs/>
          <w:lang w:eastAsia="fr-FR" w:bidi="he-IL"/>
        </w:rPr>
        <w:t xml:space="preserve">, </w:t>
      </w:r>
      <w:r w:rsidR="00B704AD" w:rsidRPr="00C8701B">
        <w:rPr>
          <w:rFonts w:eastAsia="Arial Unicode MS"/>
          <w:bCs/>
          <w:lang w:eastAsia="fr-FR" w:bidi="he-IL"/>
        </w:rPr>
        <w:t>quoique très incomplets dans leurs narrations</w:t>
      </w:r>
      <w:r w:rsidR="00E65435">
        <w:rPr>
          <w:rFonts w:eastAsia="Arial Unicode MS"/>
          <w:bCs/>
          <w:lang w:eastAsia="fr-FR" w:bidi="he-IL"/>
        </w:rPr>
        <w:t xml:space="preserve">, </w:t>
      </w:r>
      <w:r w:rsidR="00B704AD" w:rsidRPr="00C8701B">
        <w:rPr>
          <w:rFonts w:eastAsia="Arial Unicode MS"/>
          <w:bCs/>
          <w:lang w:eastAsia="fr-FR" w:bidi="he-IL"/>
        </w:rPr>
        <w:t>les évangiles nous tracent de Jésus le portrait le plus parfait et le plus ressemblant qu</w:t>
      </w:r>
      <w:r w:rsidR="00557DE0">
        <w:rPr>
          <w:rFonts w:eastAsia="Arial Unicode MS"/>
          <w:bCs/>
          <w:lang w:eastAsia="fr-FR" w:bidi="he-IL"/>
        </w:rPr>
        <w:t>’</w:t>
      </w:r>
      <w:r w:rsidR="00B704AD" w:rsidRPr="00C8701B">
        <w:rPr>
          <w:rFonts w:eastAsia="Arial Unicode MS"/>
          <w:bCs/>
          <w:lang w:eastAsia="fr-FR" w:bidi="he-IL"/>
        </w:rPr>
        <w:t>il nous fût permis de souhaiter. On a trouvé</w:t>
      </w:r>
      <w:r w:rsidR="00E65435">
        <w:rPr>
          <w:rFonts w:eastAsia="Arial Unicode MS"/>
          <w:bCs/>
          <w:lang w:eastAsia="fr-FR" w:bidi="he-IL"/>
        </w:rPr>
        <w:t xml:space="preserve">, </w:t>
      </w:r>
      <w:r w:rsidR="00B704AD" w:rsidRPr="00C8701B">
        <w:rPr>
          <w:rFonts w:eastAsia="Arial Unicode MS"/>
          <w:bCs/>
          <w:lang w:eastAsia="fr-FR" w:bidi="he-IL"/>
        </w:rPr>
        <w:t>et non sans fondement</w:t>
      </w:r>
      <w:r w:rsidR="00E65435">
        <w:rPr>
          <w:rFonts w:eastAsia="Arial Unicode MS"/>
          <w:bCs/>
          <w:lang w:eastAsia="fr-FR" w:bidi="he-IL"/>
        </w:rPr>
        <w:t xml:space="preserve">, </w:t>
      </w:r>
      <w:r w:rsidR="00B704AD" w:rsidRPr="00C8701B">
        <w:rPr>
          <w:rFonts w:eastAsia="Arial Unicode MS"/>
          <w:bCs/>
          <w:lang w:eastAsia="fr-FR" w:bidi="he-IL"/>
        </w:rPr>
        <w:t>que</w:t>
      </w:r>
      <w:r w:rsidR="00B704AD" w:rsidRPr="00C8701B">
        <w:rPr>
          <w:rFonts w:eastAsia="Arial Unicode MS"/>
          <w:lang w:eastAsia="fr-FR" w:bidi="he-IL"/>
        </w:rPr>
        <w:t xml:space="preserve"> c</w:t>
      </w:r>
      <w:r w:rsidR="00557DE0">
        <w:rPr>
          <w:rFonts w:eastAsia="Arial Unicode MS"/>
          <w:bCs/>
          <w:lang w:eastAsia="fr-FR" w:bidi="he-IL"/>
        </w:rPr>
        <w:t>’</w:t>
      </w:r>
      <w:r w:rsidR="00B704AD" w:rsidRPr="00C8701B">
        <w:rPr>
          <w:rFonts w:eastAsia="Arial Unicode MS"/>
          <w:bCs/>
          <w:lang w:eastAsia="fr-FR" w:bidi="he-IL"/>
        </w:rPr>
        <w:t>est là quelque chose de surhumain. Jamais</w:t>
      </w:r>
      <w:r w:rsidR="00E65435">
        <w:rPr>
          <w:rFonts w:eastAsia="Arial Unicode MS"/>
          <w:bCs/>
          <w:lang w:eastAsia="fr-FR" w:bidi="he-IL"/>
        </w:rPr>
        <w:t xml:space="preserve">, </w:t>
      </w:r>
      <w:r w:rsidR="00B704AD" w:rsidRPr="00C8701B">
        <w:rPr>
          <w:rFonts w:eastAsia="Arial Unicode MS"/>
          <w:bCs/>
          <w:lang w:eastAsia="fr-FR" w:bidi="he-IL"/>
        </w:rPr>
        <w:t>ce semble</w:t>
      </w:r>
      <w:r w:rsidR="00E65435">
        <w:rPr>
          <w:rFonts w:eastAsia="Arial Unicode MS"/>
          <w:bCs/>
          <w:lang w:eastAsia="fr-FR" w:bidi="he-IL"/>
        </w:rPr>
        <w:t xml:space="preserve">, </w:t>
      </w:r>
      <w:r w:rsidR="00B704AD" w:rsidRPr="00C8701B">
        <w:rPr>
          <w:rFonts w:eastAsia="Arial Unicode MS"/>
          <w:bCs/>
          <w:lang w:eastAsia="fr-FR" w:bidi="he-IL"/>
        </w:rPr>
        <w:t>les écrivains doués de ressources purement naturelles n</w:t>
      </w:r>
      <w:r w:rsidR="00557DE0">
        <w:rPr>
          <w:rFonts w:eastAsia="Arial Unicode MS"/>
          <w:bCs/>
          <w:lang w:eastAsia="fr-FR" w:bidi="he-IL"/>
        </w:rPr>
        <w:t>’</w:t>
      </w:r>
      <w:r w:rsidR="00B704AD" w:rsidRPr="00C8701B">
        <w:rPr>
          <w:rFonts w:eastAsia="Arial Unicode MS"/>
          <w:bCs/>
          <w:lang w:eastAsia="fr-FR" w:bidi="he-IL"/>
        </w:rPr>
        <w:t>ont si bien atteint leur but</w:t>
      </w:r>
      <w:r w:rsidR="00933C60" w:rsidRPr="00C406FF">
        <w:rPr>
          <w:rStyle w:val="Appelnotedebasdep"/>
        </w:rPr>
        <w:footnoteReference w:id="494"/>
      </w:r>
      <w:r w:rsidR="00B704AD" w:rsidRPr="00C8701B">
        <w:rPr>
          <w:rFonts w:eastAsia="Arial Unicode MS"/>
          <w:bCs/>
          <w:lang w:eastAsia="fr-FR" w:bidi="he-IL"/>
        </w:rPr>
        <w:t>.</w:t>
      </w:r>
      <w:r w:rsidR="00C2602D" w:rsidRPr="00C8701B">
        <w:rPr>
          <w:rFonts w:eastAsia="Arial Unicode MS"/>
          <w:bCs/>
          <w:lang w:eastAsia="fr-FR" w:bidi="he-IL"/>
        </w:rPr>
        <w:t xml:space="preserve"> </w:t>
      </w:r>
    </w:p>
    <w:p w:rsidR="00C2602D" w:rsidRDefault="007475F7" w:rsidP="00C2602D">
      <w:pPr>
        <w:rPr>
          <w:rFonts w:eastAsia="Arial Unicode MS"/>
          <w:bCs/>
          <w:lang w:eastAsia="fr-FR" w:bidi="he-IL"/>
        </w:rPr>
      </w:pPr>
      <w:r>
        <w:rPr>
          <w:rFonts w:eastAsia="Arial Unicode MS"/>
          <w:bCs/>
          <w:lang w:eastAsia="fr-FR" w:bidi="he-IL"/>
        </w:rPr>
        <w:t>β</w:t>
      </w:r>
      <w:r w:rsidR="00B704AD" w:rsidRPr="00C8701B">
        <w:rPr>
          <w:rFonts w:eastAsia="Arial Unicode MS"/>
          <w:bCs/>
          <w:lang w:val="el-GR" w:eastAsia="fr-FR" w:bidi="he-IL"/>
        </w:rPr>
        <w:t xml:space="preserve">. </w:t>
      </w:r>
      <w:r w:rsidR="00B704AD" w:rsidRPr="00C8701B">
        <w:rPr>
          <w:rFonts w:eastAsia="Arial Unicode MS"/>
          <w:bCs/>
          <w:lang w:eastAsia="fr-FR" w:bidi="he-IL"/>
        </w:rPr>
        <w:t>Comparez les évangiles apocryphes</w:t>
      </w:r>
      <w:r w:rsidR="00933C60" w:rsidRPr="00C406FF">
        <w:rPr>
          <w:rStyle w:val="Appelnotedebasdep"/>
        </w:rPr>
        <w:footnoteReference w:id="495"/>
      </w:r>
      <w:r w:rsidR="00B704AD" w:rsidRPr="00C8701B">
        <w:rPr>
          <w:rFonts w:eastAsia="Arial Unicode MS"/>
          <w:bCs/>
          <w:lang w:eastAsia="fr-FR" w:bidi="he-IL"/>
        </w:rPr>
        <w:t xml:space="preserve"> aux évangiles canoniques</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c</w:t>
      </w:r>
      <w:r w:rsidR="00557DE0">
        <w:rPr>
          <w:rFonts w:eastAsia="Arial Unicode MS"/>
          <w:bCs/>
          <w:lang w:eastAsia="fr-FR" w:bidi="he-IL"/>
        </w:rPr>
        <w:t>’</w:t>
      </w:r>
      <w:r w:rsidR="00B704AD" w:rsidRPr="00C8701B">
        <w:rPr>
          <w:rFonts w:eastAsia="Arial Unicode MS"/>
          <w:bCs/>
          <w:lang w:eastAsia="fr-FR" w:bidi="he-IL"/>
        </w:rPr>
        <w:t>est alors que vous verrez</w:t>
      </w:r>
      <w:r w:rsidR="00E65435">
        <w:rPr>
          <w:rFonts w:eastAsia="Arial Unicode MS"/>
          <w:bCs/>
          <w:lang w:eastAsia="fr-FR" w:bidi="he-IL"/>
        </w:rPr>
        <w:t xml:space="preserve">, </w:t>
      </w:r>
      <w:r w:rsidR="00B704AD" w:rsidRPr="00C8701B">
        <w:rPr>
          <w:rFonts w:eastAsia="Arial Unicode MS"/>
          <w:bCs/>
          <w:lang w:eastAsia="fr-FR" w:bidi="he-IL"/>
        </w:rPr>
        <w:t>dans les détails comme dans l</w:t>
      </w:r>
      <w:r w:rsidR="00557DE0">
        <w:rPr>
          <w:rFonts w:eastAsia="Arial Unicode MS"/>
          <w:bCs/>
          <w:lang w:eastAsia="fr-FR" w:bidi="he-IL"/>
        </w:rPr>
        <w:t>’</w:t>
      </w:r>
      <w:r w:rsidR="00B704AD" w:rsidRPr="00C8701B">
        <w:rPr>
          <w:rFonts w:eastAsia="Arial Unicode MS"/>
          <w:bCs/>
          <w:lang w:eastAsia="fr-FR" w:bidi="he-IL"/>
        </w:rPr>
        <w:t>ensemble</w:t>
      </w:r>
      <w:r w:rsidR="00E65435">
        <w:rPr>
          <w:rFonts w:eastAsia="Arial Unicode MS"/>
          <w:bCs/>
          <w:lang w:eastAsia="fr-FR" w:bidi="he-IL"/>
        </w:rPr>
        <w:t xml:space="preserve">, </w:t>
      </w:r>
      <w:r w:rsidR="00B704AD" w:rsidRPr="00C8701B">
        <w:rPr>
          <w:rFonts w:eastAsia="Arial Unicode MS"/>
          <w:bCs/>
          <w:lang w:eastAsia="fr-FR" w:bidi="he-IL"/>
        </w:rPr>
        <w:t>la différence qui sépare le divin de l</w:t>
      </w:r>
      <w:r w:rsidR="00557DE0">
        <w:rPr>
          <w:rFonts w:eastAsia="Arial Unicode MS"/>
          <w:bCs/>
          <w:lang w:eastAsia="fr-FR" w:bidi="he-IL"/>
        </w:rPr>
        <w:t>’</w:t>
      </w:r>
      <w:r w:rsidR="00B704AD" w:rsidRPr="00C8701B">
        <w:rPr>
          <w:rFonts w:eastAsia="Arial Unicode MS"/>
          <w:bCs/>
          <w:lang w:eastAsia="fr-FR" w:bidi="he-IL"/>
        </w:rPr>
        <w:t>humain. Mais n</w:t>
      </w:r>
      <w:r w:rsidR="00557DE0">
        <w:rPr>
          <w:rFonts w:eastAsia="Arial Unicode MS"/>
          <w:bCs/>
          <w:lang w:eastAsia="fr-FR" w:bidi="he-IL"/>
        </w:rPr>
        <w:t>’</w:t>
      </w:r>
      <w:r w:rsidR="00B704AD" w:rsidRPr="00C8701B">
        <w:rPr>
          <w:rFonts w:eastAsia="Arial Unicode MS"/>
          <w:bCs/>
          <w:lang w:eastAsia="fr-FR" w:bidi="he-IL"/>
        </w:rPr>
        <w:t>anticipons pas.</w:t>
      </w:r>
      <w:r w:rsidR="00C2602D" w:rsidRPr="00C8701B">
        <w:rPr>
          <w:rFonts w:eastAsia="Arial Unicode MS"/>
          <w:bCs/>
          <w:lang w:eastAsia="fr-FR" w:bidi="he-IL"/>
        </w:rPr>
        <w:t xml:space="preserve"> </w:t>
      </w:r>
    </w:p>
    <w:p w:rsidR="00C2602D" w:rsidRPr="00C8701B" w:rsidRDefault="00B704AD" w:rsidP="00C406FF">
      <w:pPr>
        <w:rPr>
          <w:rFonts w:eastAsia="Arial Unicode MS"/>
          <w:bCs/>
          <w:lang w:eastAsia="fr-FR" w:bidi="he-IL"/>
        </w:rPr>
      </w:pPr>
      <w:r w:rsidRPr="00C8701B">
        <w:rPr>
          <w:rFonts w:eastAsia="Arial Unicode MS"/>
          <w:bCs/>
          <w:lang w:val="el-GR" w:eastAsia="fr-FR" w:bidi="he-IL"/>
        </w:rPr>
        <w:t xml:space="preserve">γ. </w:t>
      </w:r>
      <w:r w:rsidRPr="00C8701B">
        <w:rPr>
          <w:rFonts w:eastAsia="Arial Unicode MS"/>
          <w:bCs/>
          <w:lang w:eastAsia="fr-FR" w:bidi="he-IL"/>
        </w:rPr>
        <w:t>La variété dans l</w:t>
      </w:r>
      <w:r w:rsidR="00557DE0">
        <w:rPr>
          <w:rFonts w:eastAsia="Arial Unicode MS"/>
          <w:bCs/>
          <w:lang w:eastAsia="fr-FR" w:bidi="he-IL"/>
        </w:rPr>
        <w:t>’</w:t>
      </w:r>
      <w:r w:rsidRPr="00C8701B">
        <w:rPr>
          <w:rFonts w:eastAsia="Arial Unicode MS"/>
          <w:bCs/>
          <w:lang w:eastAsia="fr-FR" w:bidi="he-IL"/>
        </w:rPr>
        <w:t>unité</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admirable adaptation des évangiles canoniques à tous les temps et à tous les pays</w:t>
      </w:r>
      <w:r w:rsidR="00E65435">
        <w:rPr>
          <w:rFonts w:eastAsia="Arial Unicode MS"/>
          <w:bCs/>
          <w:lang w:eastAsia="fr-FR" w:bidi="he-IL"/>
        </w:rPr>
        <w:t xml:space="preserve">, </w:t>
      </w:r>
      <w:r w:rsidRPr="00C8701B">
        <w:rPr>
          <w:rFonts w:eastAsia="Arial Unicode MS"/>
          <w:bCs/>
          <w:lang w:eastAsia="fr-FR" w:bidi="he-IL"/>
        </w:rPr>
        <w:t>cela encore n</w:t>
      </w:r>
      <w:r w:rsidR="00557DE0">
        <w:rPr>
          <w:rFonts w:eastAsia="Arial Unicode MS"/>
          <w:bCs/>
          <w:lang w:eastAsia="fr-FR" w:bidi="he-IL"/>
        </w:rPr>
        <w:t>’</w:t>
      </w:r>
      <w:r w:rsidRPr="00C8701B">
        <w:rPr>
          <w:rFonts w:eastAsia="Arial Unicode MS"/>
          <w:bCs/>
          <w:lang w:eastAsia="fr-FR" w:bidi="he-IL"/>
        </w:rPr>
        <w:t>est</w:t>
      </w:r>
      <w:r w:rsidR="007475F7">
        <w:rPr>
          <w:rFonts w:eastAsia="Arial Unicode MS"/>
          <w:bCs/>
          <w:lang w:eastAsia="fr-FR" w:bidi="he-IL"/>
        </w:rPr>
        <w:t>-</w:t>
      </w:r>
      <w:r w:rsidRPr="00C8701B">
        <w:rPr>
          <w:rFonts w:eastAsia="Arial Unicode MS"/>
          <w:bCs/>
          <w:lang w:eastAsia="fr-FR" w:bidi="he-IL"/>
        </w:rPr>
        <w:t>il pas du</w:t>
      </w:r>
      <w:r w:rsidR="00C2602D" w:rsidRPr="00C8701B">
        <w:rPr>
          <w:rFonts w:eastAsia="Arial Unicode MS"/>
          <w:bCs/>
          <w:lang w:eastAsia="fr-FR" w:bidi="he-IL"/>
        </w:rPr>
        <w:t xml:space="preserve"> </w:t>
      </w:r>
      <w:r w:rsidRPr="00C8701B">
        <w:rPr>
          <w:rFonts w:eastAsia="Arial Unicode MS"/>
          <w:bCs/>
          <w:lang w:eastAsia="fr-FR" w:bidi="he-IL"/>
        </w:rPr>
        <w:t>divin</w:t>
      </w:r>
      <w:r w:rsidR="00C2602D" w:rsidRPr="00C8701B">
        <w:rPr>
          <w:rFonts w:eastAsia="Arial Unicode MS"/>
          <w:bCs/>
          <w:lang w:eastAsia="fr-FR" w:bidi="he-IL"/>
        </w:rPr>
        <w:t> ?</w:t>
      </w:r>
      <w:r w:rsidR="00E65435">
        <w:rPr>
          <w:rFonts w:eastAsia="Arial Unicode MS"/>
          <w:bCs/>
          <w:lang w:eastAsia="fr-FR" w:bidi="he-IL"/>
        </w:rPr>
        <w:t xml:space="preserve"> </w:t>
      </w:r>
    </w:p>
    <w:p w:rsidR="00C2602D" w:rsidRPr="00C8701B" w:rsidRDefault="00B704AD" w:rsidP="00C406FF">
      <w:pPr>
        <w:rPr>
          <w:rFonts w:eastAsia="Arial Unicode MS"/>
          <w:bCs/>
          <w:lang w:eastAsia="fr-FR" w:bidi="he-IL"/>
        </w:rPr>
      </w:pPr>
      <w:r w:rsidRPr="00C8701B">
        <w:rPr>
          <w:rFonts w:eastAsia="Arial Unicode MS"/>
          <w:bCs/>
          <w:lang w:val="el-GR" w:eastAsia="fr-FR" w:bidi="he-IL"/>
        </w:rPr>
        <w:t xml:space="preserve">δ. </w:t>
      </w:r>
      <w:r w:rsidRPr="00C8701B">
        <w:rPr>
          <w:rFonts w:eastAsia="Arial Unicode MS"/>
          <w:bCs/>
          <w:lang w:eastAsia="fr-FR" w:bidi="he-IL"/>
        </w:rPr>
        <w:t>Ajoutez l</w:t>
      </w:r>
      <w:r w:rsidR="00557DE0">
        <w:rPr>
          <w:rFonts w:eastAsia="Arial Unicode MS"/>
          <w:bCs/>
          <w:lang w:eastAsia="fr-FR" w:bidi="he-IL"/>
        </w:rPr>
        <w:t>’</w:t>
      </w:r>
      <w:r w:rsidRPr="00C8701B">
        <w:rPr>
          <w:rFonts w:eastAsia="Arial Unicode MS"/>
          <w:bCs/>
          <w:lang w:eastAsia="fr-FR" w:bidi="he-IL"/>
        </w:rPr>
        <w:t>absence complète de toute erreur</w:t>
      </w:r>
      <w:r w:rsidR="00E65435">
        <w:rPr>
          <w:rFonts w:eastAsia="Arial Unicode MS"/>
          <w:bCs/>
          <w:lang w:eastAsia="fr-FR" w:bidi="he-IL"/>
        </w:rPr>
        <w:t xml:space="preserve">, </w:t>
      </w:r>
      <w:r w:rsidR="00C406FF">
        <w:rPr>
          <w:rFonts w:eastAsia="Arial Unicode MS"/>
          <w:bCs/>
          <w:lang w:eastAsia="fr-FR" w:bidi="he-IL"/>
        </w:rPr>
        <w:t>malgré</w:t>
      </w:r>
      <w:r w:rsidRPr="00C8701B">
        <w:rPr>
          <w:rFonts w:eastAsia="Arial Unicode MS"/>
          <w:bCs/>
          <w:lang w:eastAsia="fr-FR" w:bidi="he-IL"/>
        </w:rPr>
        <w:t xml:space="preserve"> les apparences de flagrantes contradictions. L</w:t>
      </w:r>
      <w:r w:rsidR="00557DE0">
        <w:rPr>
          <w:rFonts w:eastAsia="Arial Unicode MS"/>
          <w:bCs/>
          <w:lang w:eastAsia="fr-FR" w:bidi="he-IL"/>
        </w:rPr>
        <w:t>’</w:t>
      </w:r>
      <w:r w:rsidRPr="00C8701B">
        <w:rPr>
          <w:rFonts w:eastAsia="Arial Unicode MS"/>
          <w:bCs/>
          <w:lang w:eastAsia="fr-FR" w:bidi="he-IL"/>
        </w:rPr>
        <w:t>histoire</w:t>
      </w:r>
      <w:r w:rsidR="00E65435">
        <w:rPr>
          <w:rFonts w:eastAsia="Arial Unicode MS"/>
          <w:bCs/>
          <w:lang w:eastAsia="fr-FR" w:bidi="he-IL"/>
        </w:rPr>
        <w:t xml:space="preserve">, </w:t>
      </w:r>
      <w:r w:rsidRPr="00C8701B">
        <w:rPr>
          <w:rFonts w:eastAsia="Arial Unicode MS"/>
          <w:bCs/>
          <w:lang w:eastAsia="fr-FR" w:bidi="he-IL"/>
        </w:rPr>
        <w:t>la géographie</w:t>
      </w:r>
      <w:r w:rsidR="00E65435">
        <w:rPr>
          <w:rFonts w:eastAsia="Arial Unicode MS"/>
          <w:bCs/>
          <w:lang w:eastAsia="fr-FR" w:bidi="he-IL"/>
        </w:rPr>
        <w:t xml:space="preserve">, </w:t>
      </w:r>
      <w:r w:rsidRPr="00C8701B">
        <w:rPr>
          <w:rFonts w:eastAsia="Arial Unicode MS"/>
          <w:bCs/>
          <w:lang w:eastAsia="fr-FR" w:bidi="he-IL"/>
        </w:rPr>
        <w:t>la numismatique</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archéologie</w:t>
      </w:r>
      <w:r w:rsidR="00E65435">
        <w:rPr>
          <w:rFonts w:eastAsia="Arial Unicode MS"/>
          <w:bCs/>
          <w:lang w:eastAsia="fr-FR" w:bidi="he-IL"/>
        </w:rPr>
        <w:t xml:space="preserve">, </w:t>
      </w:r>
      <w:r w:rsidRPr="00C8701B">
        <w:rPr>
          <w:rFonts w:eastAsia="Arial Unicode MS"/>
          <w:bCs/>
          <w:lang w:eastAsia="fr-FR" w:bidi="he-IL"/>
        </w:rPr>
        <w:t>tout confirme la véracité</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authenticité</w:t>
      </w:r>
      <w:r w:rsidR="00E65435">
        <w:rPr>
          <w:rFonts w:eastAsia="Arial Unicode MS"/>
          <w:bCs/>
          <w:lang w:eastAsia="fr-FR" w:bidi="he-IL"/>
        </w:rPr>
        <w:t xml:space="preserve">, </w:t>
      </w:r>
      <w:r w:rsidRPr="00C8701B">
        <w:rPr>
          <w:rFonts w:eastAsia="Arial Unicode MS"/>
          <w:bCs/>
          <w:lang w:eastAsia="fr-FR" w:bidi="he-IL"/>
        </w:rPr>
        <w:t>la divinité des</w:t>
      </w:r>
      <w:r w:rsidR="00C2602D" w:rsidRPr="00C8701B">
        <w:rPr>
          <w:rFonts w:eastAsia="Arial Unicode MS"/>
          <w:bCs/>
          <w:lang w:eastAsia="fr-FR" w:bidi="he-IL"/>
        </w:rPr>
        <w:t xml:space="preserve"> </w:t>
      </w:r>
      <w:r w:rsidR="000439E9">
        <w:rPr>
          <w:rFonts w:eastAsia="Arial Unicode MS"/>
          <w:bCs/>
          <w:lang w:eastAsia="fr-FR" w:bidi="he-IL"/>
        </w:rPr>
        <w:t>Évangile</w:t>
      </w:r>
      <w:r w:rsidRPr="00C8701B">
        <w:rPr>
          <w:rFonts w:eastAsia="Arial Unicode MS"/>
          <w:bCs/>
          <w:lang w:eastAsia="fr-FR" w:bidi="he-IL"/>
        </w:rPr>
        <w:t>s</w:t>
      </w:r>
      <w:r w:rsidR="00933C60" w:rsidRPr="00C406FF">
        <w:rPr>
          <w:rStyle w:val="Appelnotedebasdep"/>
        </w:rPr>
        <w:footnoteReference w:id="496"/>
      </w:r>
      <w:r w:rsidRPr="00C8701B">
        <w:rPr>
          <w:rFonts w:eastAsia="Arial Unicode MS"/>
          <w:bCs/>
          <w:lang w:eastAsia="fr-FR" w:bidi="he-IL"/>
        </w:rPr>
        <w:t>.</w:t>
      </w:r>
      <w:r w:rsidR="00C2602D" w:rsidRPr="00C8701B">
        <w:rPr>
          <w:rFonts w:eastAsia="Arial Unicode MS"/>
          <w:bCs/>
          <w:lang w:eastAsia="fr-FR" w:bidi="he-IL"/>
        </w:rPr>
        <w:t xml:space="preserve"> </w:t>
      </w:r>
    </w:p>
    <w:p w:rsidR="00F414C0" w:rsidRDefault="00C406FF" w:rsidP="00C2602D">
      <w:pPr>
        <w:rPr>
          <w:rFonts w:eastAsia="Arial Unicode MS"/>
          <w:bCs/>
          <w:lang w:eastAsia="fr-FR" w:bidi="he-IL"/>
        </w:rPr>
      </w:pPr>
      <w:r>
        <w:rPr>
          <w:rFonts w:eastAsia="Arial Unicode MS"/>
          <w:bCs/>
          <w:lang w:eastAsia="fr-FR" w:bidi="he-IL"/>
        </w:rPr>
        <w:t>ε</w:t>
      </w:r>
      <w:r w:rsidR="00B704AD" w:rsidRPr="00C8701B">
        <w:rPr>
          <w:rFonts w:eastAsia="Arial Unicode MS"/>
          <w:bCs/>
          <w:lang w:eastAsia="fr-FR" w:bidi="he-IL"/>
        </w:rPr>
        <w:t>. Ajoutez enfin la beauté du fond et de la forme</w:t>
      </w:r>
      <w:r w:rsidR="00E65435">
        <w:rPr>
          <w:rFonts w:eastAsia="Arial Unicode MS"/>
          <w:bCs/>
          <w:lang w:eastAsia="fr-FR" w:bidi="he-IL"/>
        </w:rPr>
        <w:t xml:space="preserve">, </w:t>
      </w:r>
      <w:r w:rsidR="00B704AD" w:rsidRPr="00C8701B">
        <w:rPr>
          <w:rFonts w:eastAsia="Arial Unicode MS"/>
          <w:bCs/>
          <w:lang w:eastAsia="fr-FR" w:bidi="he-IL"/>
        </w:rPr>
        <w:t>don</w:t>
      </w:r>
      <w:r w:rsidR="005069E2" w:rsidRPr="00C8701B">
        <w:rPr>
          <w:rFonts w:eastAsia="Arial Unicode MS"/>
          <w:bCs/>
          <w:lang w:eastAsia="fr-FR" w:bidi="he-IL"/>
        </w:rPr>
        <w:t>t</w:t>
      </w:r>
      <w:r w:rsidR="005069E2">
        <w:rPr>
          <w:rFonts w:eastAsia="Arial Unicode MS"/>
          <w:bCs/>
          <w:lang w:eastAsia="fr-FR" w:bidi="he-IL"/>
        </w:rPr>
        <w:t xml:space="preserve"> il </w:t>
      </w:r>
      <w:r w:rsidR="005069E2" w:rsidRPr="00C8701B">
        <w:rPr>
          <w:rFonts w:eastAsia="Arial Unicode MS"/>
          <w:bCs/>
          <w:lang w:eastAsia="fr-FR" w:bidi="he-IL"/>
        </w:rPr>
        <w:t>v</w:t>
      </w:r>
      <w:r>
        <w:rPr>
          <w:rFonts w:eastAsia="Arial Unicode MS"/>
          <w:bCs/>
          <w:lang w:eastAsia="fr-FR" w:bidi="he-IL"/>
        </w:rPr>
        <w:t>a être i</w:t>
      </w:r>
      <w:r w:rsidR="00B704AD" w:rsidRPr="00C8701B">
        <w:rPr>
          <w:rFonts w:eastAsia="Arial Unicode MS"/>
          <w:bCs/>
          <w:lang w:eastAsia="fr-FR" w:bidi="he-IL"/>
        </w:rPr>
        <w:t>mmédiatement question</w:t>
      </w:r>
      <w:r w:rsidR="00E65435">
        <w:rPr>
          <w:rFonts w:eastAsia="Arial Unicode MS"/>
          <w:bCs/>
          <w:lang w:eastAsia="fr-FR" w:bidi="he-IL"/>
        </w:rPr>
        <w:t xml:space="preserve">, </w:t>
      </w:r>
      <w:r w:rsidR="00B704AD" w:rsidRPr="00C8701B">
        <w:rPr>
          <w:rFonts w:eastAsia="Arial Unicode MS"/>
          <w:bCs/>
          <w:lang w:eastAsia="fr-FR" w:bidi="he-IL"/>
        </w:rPr>
        <w:t>et vous serez tenté d</w:t>
      </w:r>
      <w:r w:rsidR="00557DE0">
        <w:rPr>
          <w:rFonts w:eastAsia="Arial Unicode MS"/>
          <w:bCs/>
          <w:lang w:eastAsia="fr-FR" w:bidi="he-IL"/>
        </w:rPr>
        <w:t>’</w:t>
      </w:r>
      <w:r w:rsidR="00B704AD" w:rsidRPr="00C8701B">
        <w:rPr>
          <w:rFonts w:eastAsia="Arial Unicode MS"/>
          <w:bCs/>
          <w:lang w:eastAsia="fr-FR" w:bidi="he-IL"/>
        </w:rPr>
        <w:t>appliquer aux évangélistes ce que l</w:t>
      </w:r>
      <w:r w:rsidR="00557DE0">
        <w:rPr>
          <w:rFonts w:eastAsia="Arial Unicode MS"/>
          <w:bCs/>
          <w:lang w:eastAsia="fr-FR" w:bidi="he-IL"/>
        </w:rPr>
        <w:t>’</w:t>
      </w:r>
      <w:r w:rsidR="00B704AD" w:rsidRPr="00C8701B">
        <w:rPr>
          <w:rFonts w:eastAsia="Arial Unicode MS"/>
          <w:bCs/>
          <w:lang w:eastAsia="fr-FR" w:bidi="he-IL"/>
        </w:rPr>
        <w:t>on</w:t>
      </w:r>
      <w:r w:rsidR="00E65435">
        <w:rPr>
          <w:rFonts w:eastAsia="Arial Unicode MS"/>
          <w:bCs/>
          <w:lang w:eastAsia="fr-FR" w:bidi="he-IL"/>
        </w:rPr>
        <w:t xml:space="preserve">, </w:t>
      </w:r>
      <w:r w:rsidR="00B704AD" w:rsidRPr="00C8701B">
        <w:rPr>
          <w:rFonts w:eastAsia="Arial Unicode MS"/>
          <w:bCs/>
          <w:lang w:eastAsia="fr-FR" w:bidi="he-IL"/>
        </w:rPr>
        <w:t>disait autrefois de Jésus</w:t>
      </w:r>
      <w:r w:rsidR="00C2602D" w:rsidRPr="00C8701B">
        <w:rPr>
          <w:rFonts w:eastAsia="Arial Unicode MS"/>
          <w:bCs/>
          <w:lang w:eastAsia="fr-FR" w:bidi="he-IL"/>
        </w:rPr>
        <w:t> :</w:t>
      </w:r>
      <w:r w:rsidR="00B704AD" w:rsidRPr="00DC4586">
        <w:rPr>
          <w:rStyle w:val="italicus"/>
        </w:rPr>
        <w:t xml:space="preserve"> Nunquam sic </w:t>
      </w:r>
      <w:r>
        <w:rPr>
          <w:rStyle w:val="italicus"/>
        </w:rPr>
        <w:t>locútus</w:t>
      </w:r>
      <w:r w:rsidR="00B704AD" w:rsidRPr="00DC4586">
        <w:rPr>
          <w:rStyle w:val="italicus"/>
        </w:rPr>
        <w:t xml:space="preserve"> est homo </w:t>
      </w:r>
      <w:r>
        <w:rPr>
          <w:rStyle w:val="italicus"/>
        </w:rPr>
        <w:t>sicut</w:t>
      </w:r>
      <w:r w:rsidR="00B704AD" w:rsidRPr="00DC4586">
        <w:rPr>
          <w:rStyle w:val="italicus"/>
        </w:rPr>
        <w:t xml:space="preserve"> hic homo</w:t>
      </w:r>
      <w:r w:rsidR="00933C60" w:rsidRPr="00C406FF">
        <w:rPr>
          <w:rStyle w:val="Appelnotedebasdep"/>
        </w:rPr>
        <w:footnoteReference w:id="497"/>
      </w:r>
      <w:r w:rsidR="00B704AD" w:rsidRPr="00C8701B">
        <w:rPr>
          <w:rFonts w:eastAsia="Arial Unicode MS"/>
          <w:bCs/>
          <w:lang w:eastAsia="fr-FR" w:bidi="he-IL"/>
        </w:rPr>
        <w:t>.</w:t>
      </w:r>
      <w:r w:rsidR="00C2602D" w:rsidRPr="00C8701B">
        <w:rPr>
          <w:rFonts w:eastAsia="Arial Unicode MS"/>
          <w:bCs/>
          <w:lang w:eastAsia="fr-FR" w:bidi="he-IL"/>
        </w:rPr>
        <w:t xml:space="preserve"> </w:t>
      </w:r>
      <w:r w:rsidR="00B52FA3">
        <w:rPr>
          <w:rFonts w:eastAsia="Arial Unicode MS"/>
          <w:bCs/>
          <w:lang w:eastAsia="fr-FR" w:bidi="he-IL"/>
        </w:rPr>
        <w:t>{94</w:t>
      </w:r>
      <w:bookmarkStart w:id="145" w:name="pag094"/>
      <w:bookmarkEnd w:id="145"/>
      <w:r w:rsidR="00B52FA3">
        <w:rPr>
          <w:rFonts w:eastAsia="Arial Unicode MS"/>
          <w:bCs/>
          <w:lang w:eastAsia="fr-FR" w:bidi="he-IL"/>
        </w:rPr>
        <w:t>}</w:t>
      </w:r>
    </w:p>
    <w:p w:rsidR="00C2602D" w:rsidRDefault="00B704AD" w:rsidP="003A68DB">
      <w:pPr>
        <w:pStyle w:val="Titre4"/>
        <w:rPr>
          <w:rFonts w:eastAsia="Arial Unicode MS"/>
          <w:bCs/>
          <w:lang w:eastAsia="fr-FR" w:bidi="he-IL"/>
        </w:rPr>
      </w:pPr>
      <w:bookmarkStart w:id="146" w:name="_Toc526755726"/>
      <w:r w:rsidRPr="00C8701B">
        <w:rPr>
          <w:rFonts w:eastAsia="Arial Unicode MS"/>
          <w:bCs/>
          <w:lang w:eastAsia="fr-FR" w:bidi="he-IL"/>
        </w:rPr>
        <w:t>§ XII.</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BEAUTÉ DES ÉVANGILES</w:t>
      </w:r>
      <w:r w:rsidR="00933C60" w:rsidRPr="00C406FF">
        <w:rPr>
          <w:rStyle w:val="Appelnotedebasdep"/>
        </w:rPr>
        <w:footnoteReference w:id="498"/>
      </w:r>
      <w:r w:rsidRPr="00C8701B">
        <w:rPr>
          <w:rFonts w:eastAsia="Arial Unicode MS"/>
          <w:bCs/>
          <w:lang w:eastAsia="fr-FR" w:bidi="he-IL"/>
        </w:rPr>
        <w:t>.</w:t>
      </w:r>
      <w:bookmarkStart w:id="147" w:name="evin12"/>
      <w:bookmarkEnd w:id="146"/>
      <w:bookmarkEnd w:id="147"/>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 ici surtout que nous aimerons nous-même à écouter</w:t>
      </w:r>
      <w:r w:rsidR="00E65435">
        <w:rPr>
          <w:rFonts w:eastAsia="Arial Unicode MS"/>
          <w:bCs/>
          <w:lang w:eastAsia="fr-FR" w:bidi="he-IL"/>
        </w:rPr>
        <w:t xml:space="preserve">, </w:t>
      </w:r>
      <w:r w:rsidRPr="00C8701B">
        <w:rPr>
          <w:rFonts w:eastAsia="Arial Unicode MS"/>
          <w:bCs/>
          <w:lang w:eastAsia="fr-FR" w:bidi="he-IL"/>
        </w:rPr>
        <w:t>plutôt qu</w:t>
      </w:r>
      <w:r w:rsidR="00557DE0">
        <w:rPr>
          <w:rFonts w:eastAsia="Arial Unicode MS"/>
          <w:bCs/>
          <w:lang w:eastAsia="fr-FR" w:bidi="he-IL"/>
        </w:rPr>
        <w:t>’</w:t>
      </w:r>
      <w:r w:rsidRPr="00C8701B">
        <w:rPr>
          <w:rFonts w:eastAsia="Arial Unicode MS"/>
          <w:bCs/>
          <w:lang w:eastAsia="fr-FR" w:bidi="he-IL"/>
        </w:rPr>
        <w:t>à prendre la parole. Tant d</w:t>
      </w:r>
      <w:r w:rsidR="00557DE0">
        <w:rPr>
          <w:rFonts w:eastAsia="Arial Unicode MS"/>
          <w:bCs/>
          <w:lang w:eastAsia="fr-FR" w:bidi="he-IL"/>
        </w:rPr>
        <w:t>’</w:t>
      </w:r>
      <w:r w:rsidRPr="00C8701B">
        <w:rPr>
          <w:rFonts w:eastAsia="Arial Unicode MS"/>
          <w:bCs/>
          <w:lang w:eastAsia="fr-FR" w:bidi="he-IL"/>
        </w:rPr>
        <w:t>hommes célèbres se sont justement extasiés</w:t>
      </w:r>
      <w:r w:rsidR="00C2602D" w:rsidRPr="00C8701B">
        <w:rPr>
          <w:rFonts w:eastAsia="Arial Unicode MS"/>
          <w:bCs/>
          <w:lang w:eastAsia="fr-FR" w:bidi="he-IL"/>
        </w:rPr>
        <w:t> !</w:t>
      </w:r>
      <w:r w:rsidRPr="00C8701B">
        <w:rPr>
          <w:rFonts w:eastAsia="Arial Unicode MS"/>
          <w:bCs/>
          <w:lang w:eastAsia="fr-FR" w:bidi="he-IL"/>
        </w:rPr>
        <w:t xml:space="preserve"> Leurs dires auront cent fois plus de force que nos expressions personnelles. Comme en maint autre endroit de nos commentaires</w:t>
      </w:r>
      <w:r w:rsidR="00E65435">
        <w:rPr>
          <w:rFonts w:eastAsia="Arial Unicode MS"/>
          <w:bCs/>
          <w:lang w:eastAsia="fr-FR" w:bidi="he-IL"/>
        </w:rPr>
        <w:t xml:space="preserve">, </w:t>
      </w:r>
      <w:r w:rsidRPr="00C8701B">
        <w:rPr>
          <w:rFonts w:eastAsia="Arial Unicode MS"/>
          <w:bCs/>
          <w:lang w:eastAsia="fr-FR" w:bidi="he-IL"/>
        </w:rPr>
        <w:t>nous donnerons simplement une Chrestomathie</w:t>
      </w:r>
      <w:r w:rsidR="00E65435">
        <w:rPr>
          <w:rFonts w:eastAsia="Arial Unicode MS"/>
          <w:bCs/>
          <w:lang w:eastAsia="fr-FR" w:bidi="he-IL"/>
        </w:rPr>
        <w:t xml:space="preserve">, </w:t>
      </w:r>
      <w:r w:rsidRPr="00C8701B">
        <w:rPr>
          <w:rFonts w:eastAsia="Arial Unicode MS"/>
          <w:bCs/>
          <w:lang w:eastAsia="fr-FR" w:bidi="he-IL"/>
        </w:rPr>
        <w:t>dont les matériaux seront fournis par des écrivains de tous les partis</w:t>
      </w:r>
      <w:r w:rsidR="00933C60" w:rsidRPr="00C406FF">
        <w:rPr>
          <w:rStyle w:val="Appelnotedebasdep"/>
        </w:rPr>
        <w:footnoteReference w:id="499"/>
      </w:r>
      <w:r w:rsidRPr="00C8701B">
        <w:rPr>
          <w:rFonts w:eastAsia="Arial Unicode MS"/>
          <w:bCs/>
          <w:lang w:eastAsia="fr-FR" w:bidi="he-IL"/>
        </w:rPr>
        <w:t>. Pour les questions de cette sorte</w:t>
      </w:r>
      <w:r w:rsidR="00E65435">
        <w:rPr>
          <w:rFonts w:eastAsia="Arial Unicode MS"/>
          <w:bCs/>
          <w:lang w:eastAsia="fr-FR" w:bidi="he-IL"/>
        </w:rPr>
        <w:t xml:space="preserve">, </w:t>
      </w:r>
      <w:r w:rsidRPr="00C8701B">
        <w:rPr>
          <w:rFonts w:eastAsia="Arial Unicode MS"/>
          <w:bCs/>
          <w:lang w:eastAsia="fr-FR" w:bidi="he-IL"/>
        </w:rPr>
        <w:t>les citations empruntées aux incrédules n</w:t>
      </w:r>
      <w:r w:rsidR="00557DE0">
        <w:rPr>
          <w:rFonts w:eastAsia="Arial Unicode MS"/>
          <w:bCs/>
          <w:lang w:eastAsia="fr-FR" w:bidi="he-IL"/>
        </w:rPr>
        <w:t>’</w:t>
      </w:r>
      <w:r w:rsidRPr="00C8701B">
        <w:rPr>
          <w:rFonts w:eastAsia="Arial Unicode MS"/>
          <w:bCs/>
          <w:lang w:eastAsia="fr-FR" w:bidi="he-IL"/>
        </w:rPr>
        <w:t>ont pas moins de force que les paroles des écrivains croyants. C</w:t>
      </w:r>
      <w:r w:rsidR="00557DE0">
        <w:rPr>
          <w:rFonts w:eastAsia="Arial Unicode MS"/>
          <w:bCs/>
          <w:lang w:eastAsia="fr-FR" w:bidi="he-IL"/>
        </w:rPr>
        <w:t>’</w:t>
      </w:r>
      <w:r w:rsidRPr="00C8701B">
        <w:rPr>
          <w:rFonts w:eastAsia="Arial Unicode MS"/>
          <w:bCs/>
          <w:lang w:eastAsia="fr-FR" w:bidi="he-IL"/>
        </w:rPr>
        <w:t>est à dessein que nous négligerons les plus connues</w:t>
      </w:r>
      <w:r w:rsidR="00E65435">
        <w:rPr>
          <w:rFonts w:eastAsia="Arial Unicode MS"/>
          <w:bCs/>
          <w:lang w:eastAsia="fr-FR" w:bidi="he-IL"/>
        </w:rPr>
        <w:t xml:space="preserve">, </w:t>
      </w:r>
      <w:r w:rsidR="0040307B">
        <w:rPr>
          <w:rFonts w:eastAsia="Arial Unicode MS"/>
          <w:bCs/>
          <w:lang w:eastAsia="fr-FR" w:bidi="he-IL"/>
        </w:rPr>
        <w:t xml:space="preserve">pour en signaler de </w:t>
      </w:r>
      <w:r w:rsidRPr="00C8701B">
        <w:rPr>
          <w:rFonts w:eastAsia="Arial Unicode MS"/>
          <w:bCs/>
          <w:lang w:eastAsia="fr-FR" w:bidi="he-IL"/>
        </w:rPr>
        <w:t>plus neuves.</w:t>
      </w:r>
      <w:r w:rsidR="00C2602D" w:rsidRPr="00C8701B">
        <w:rPr>
          <w:rFonts w:eastAsia="Arial Unicode MS"/>
          <w:bCs/>
          <w:lang w:eastAsia="fr-FR" w:bidi="he-IL"/>
        </w:rPr>
        <w:t xml:space="preserve"> </w:t>
      </w:r>
    </w:p>
    <w:p w:rsidR="00C2602D" w:rsidRPr="00C8701B" w:rsidRDefault="00EA28F4" w:rsidP="00C2602D">
      <w:pPr>
        <w:rPr>
          <w:rFonts w:eastAsia="Arial Unicode MS"/>
          <w:bCs/>
          <w:lang w:eastAsia="fr-FR" w:bidi="he-IL"/>
        </w:rPr>
      </w:pPr>
      <w:r w:rsidRPr="00DC4586">
        <w:rPr>
          <w:rStyle w:val="italicus"/>
        </w:rPr>
        <w:t>Leg</w:t>
      </w:r>
      <w:r>
        <w:rPr>
          <w:rStyle w:val="italicus"/>
        </w:rPr>
        <w:t>é</w:t>
      </w:r>
      <w:r w:rsidRPr="00DC4586">
        <w:rPr>
          <w:rStyle w:val="italicus"/>
        </w:rPr>
        <w:t>bam</w:t>
      </w:r>
      <w:r w:rsidR="00E65435">
        <w:rPr>
          <w:rStyle w:val="italicus"/>
        </w:rPr>
        <w:t xml:space="preserve">, </w:t>
      </w:r>
      <w:r w:rsidR="00B704AD" w:rsidRPr="00DC4586">
        <w:rPr>
          <w:rStyle w:val="italicus"/>
        </w:rPr>
        <w:t xml:space="preserve">et </w:t>
      </w:r>
      <w:r w:rsidR="00473B23" w:rsidRPr="00DC4586">
        <w:rPr>
          <w:rStyle w:val="italicus"/>
        </w:rPr>
        <w:t>ard</w:t>
      </w:r>
      <w:r w:rsidR="00473B23">
        <w:rPr>
          <w:rStyle w:val="italicus"/>
        </w:rPr>
        <w:t>é</w:t>
      </w:r>
      <w:r w:rsidR="00473B23" w:rsidRPr="00DC4586">
        <w:rPr>
          <w:rStyle w:val="italicus"/>
        </w:rPr>
        <w:t>bam</w:t>
      </w:r>
      <w:r w:rsidR="00B704AD" w:rsidRPr="00DC4586">
        <w:rPr>
          <w:rStyle w:val="italicus"/>
        </w:rPr>
        <w:t>.</w:t>
      </w:r>
      <w:r w:rsidR="00B704AD" w:rsidRPr="00C8701B">
        <w:rPr>
          <w:rFonts w:eastAsia="Arial Unicode MS"/>
          <w:bCs/>
          <w:lang w:eastAsia="fr-FR" w:bidi="he-IL"/>
        </w:rPr>
        <w:t xml:space="preserve"> Tout n</w:t>
      </w:r>
      <w:r w:rsidR="00557DE0">
        <w:rPr>
          <w:rFonts w:eastAsia="Arial Unicode MS"/>
          <w:bCs/>
          <w:lang w:eastAsia="fr-FR" w:bidi="he-IL"/>
        </w:rPr>
        <w:t>’</w:t>
      </w:r>
      <w:r w:rsidR="00B704AD" w:rsidRPr="00C8701B">
        <w:rPr>
          <w:rFonts w:eastAsia="Arial Unicode MS"/>
          <w:bCs/>
          <w:lang w:eastAsia="fr-FR" w:bidi="he-IL"/>
        </w:rPr>
        <w:t>est-il pas déjà dans ce mot si simple de S. Augustin</w:t>
      </w:r>
      <w:r w:rsidR="00933C60" w:rsidRPr="00C406FF">
        <w:rPr>
          <w:rStyle w:val="Appelnotedebasdep"/>
        </w:rPr>
        <w:footnoteReference w:id="500"/>
      </w:r>
      <w:r w:rsidR="00B704AD" w:rsidRPr="00C8701B">
        <w:rPr>
          <w:rFonts w:eastAsia="Arial Unicode MS"/>
          <w:bCs/>
          <w:lang w:eastAsia="fr-FR" w:bidi="he-IL"/>
        </w:rPr>
        <w:t>.</w:t>
      </w:r>
      <w:r w:rsidR="00C2602D" w:rsidRPr="00C8701B">
        <w:rPr>
          <w:rFonts w:eastAsia="Arial Unicode MS"/>
          <w:bCs/>
          <w:lang w:eastAsia="fr-FR" w:bidi="he-IL"/>
        </w:rPr>
        <w:t xml:space="preserve"> </w:t>
      </w:r>
    </w:p>
    <w:p w:rsidR="00C2602D" w:rsidRPr="00DC4586" w:rsidRDefault="00B704AD" w:rsidP="00C2602D">
      <w:pPr>
        <w:rPr>
          <w:rStyle w:val="italicus"/>
        </w:rPr>
      </w:pPr>
      <w:r w:rsidRPr="00C8701B">
        <w:rPr>
          <w:rFonts w:eastAsia="Arial Unicode MS"/>
          <w:bCs/>
          <w:lang w:eastAsia="fr-FR" w:bidi="he-IL"/>
        </w:rPr>
        <w:t>Encore un beau résumé</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après Hugues de S. Victor</w:t>
      </w:r>
      <w:r w:rsidR="00933C60" w:rsidRPr="00C406FF">
        <w:rPr>
          <w:rStyle w:val="Appelnotedebasdep"/>
        </w:rPr>
        <w:footnoteReference w:id="501"/>
      </w:r>
      <w:r w:rsidR="00C2602D" w:rsidRPr="00C8701B">
        <w:rPr>
          <w:rFonts w:eastAsia="Arial Unicode MS"/>
          <w:bCs/>
          <w:lang w:eastAsia="fr-FR" w:bidi="he-IL"/>
        </w:rPr>
        <w:t> :</w:t>
      </w:r>
      <w:r w:rsidR="0040307B">
        <w:rPr>
          <w:rStyle w:val="italicus"/>
        </w:rPr>
        <w:t xml:space="preserve"> In iis quidquid docét</w:t>
      </w:r>
      <w:r w:rsidR="0040307B" w:rsidRPr="00DC4586">
        <w:rPr>
          <w:rStyle w:val="italicus"/>
        </w:rPr>
        <w:t>ur</w:t>
      </w:r>
      <w:r w:rsidR="00E65435">
        <w:rPr>
          <w:rStyle w:val="italicus"/>
        </w:rPr>
        <w:t xml:space="preserve">, </w:t>
      </w:r>
      <w:r w:rsidR="0040307B">
        <w:rPr>
          <w:rStyle w:val="italicus"/>
        </w:rPr>
        <w:t>véritas</w:t>
      </w:r>
      <w:r w:rsidR="00C2602D" w:rsidRPr="00DC4586">
        <w:rPr>
          <w:rStyle w:val="italicus"/>
        </w:rPr>
        <w:t> </w:t>
      </w:r>
      <w:r w:rsidR="007F6508">
        <w:rPr>
          <w:rStyle w:val="italicus"/>
        </w:rPr>
        <w:t xml:space="preserve">; </w:t>
      </w:r>
      <w:r w:rsidRPr="00DC4586">
        <w:rPr>
          <w:rStyle w:val="italicus"/>
        </w:rPr>
        <w:t xml:space="preserve">quidquid </w:t>
      </w:r>
      <w:r w:rsidR="0040307B">
        <w:rPr>
          <w:rStyle w:val="italicus"/>
        </w:rPr>
        <w:t>præ</w:t>
      </w:r>
      <w:r w:rsidR="0040307B" w:rsidRPr="00DC4586">
        <w:rPr>
          <w:rStyle w:val="italicus"/>
        </w:rPr>
        <w:t>cípitur</w:t>
      </w:r>
      <w:r w:rsidR="00E65435">
        <w:rPr>
          <w:rStyle w:val="italicus"/>
        </w:rPr>
        <w:t xml:space="preserve">, </w:t>
      </w:r>
      <w:r w:rsidR="0040307B" w:rsidRPr="00DC4586">
        <w:rPr>
          <w:rStyle w:val="italicus"/>
        </w:rPr>
        <w:t>bónitas</w:t>
      </w:r>
      <w:r w:rsidR="00C2602D" w:rsidRPr="00DC4586">
        <w:rPr>
          <w:rStyle w:val="italicus"/>
        </w:rPr>
        <w:t> </w:t>
      </w:r>
      <w:r w:rsidR="007F6508">
        <w:rPr>
          <w:rStyle w:val="italicus"/>
        </w:rPr>
        <w:t xml:space="preserve">; </w:t>
      </w:r>
      <w:r w:rsidRPr="00DC4586">
        <w:rPr>
          <w:rStyle w:val="italicus"/>
        </w:rPr>
        <w:t xml:space="preserve">quidquid </w:t>
      </w:r>
      <w:r w:rsidR="0040307B" w:rsidRPr="00DC4586">
        <w:rPr>
          <w:rStyle w:val="italicus"/>
        </w:rPr>
        <w:t>promíttitur</w:t>
      </w:r>
      <w:r w:rsidR="00E65435">
        <w:rPr>
          <w:rStyle w:val="italicus"/>
        </w:rPr>
        <w:t xml:space="preserve">, </w:t>
      </w:r>
      <w:r w:rsidR="0040307B">
        <w:rPr>
          <w:rStyle w:val="italicus"/>
        </w:rPr>
        <w:t>felícitas</w:t>
      </w:r>
      <w:r w:rsidRPr="00DC4586">
        <w:rPr>
          <w:rStyle w:val="italicus"/>
        </w:rPr>
        <w:t xml:space="preserve"> est.</w:t>
      </w:r>
      <w:r w:rsidR="00C2602D" w:rsidRPr="00DC4586">
        <w:rPr>
          <w:rStyle w:val="italicus"/>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Laissons maintenant la parole aux contemporains.</w:t>
      </w:r>
      <w:r w:rsidR="00C2602D" w:rsidRPr="00C8701B">
        <w:rPr>
          <w:rFonts w:eastAsia="Arial Unicode MS"/>
          <w:bCs/>
          <w:lang w:eastAsia="fr-FR" w:bidi="he-IL"/>
        </w:rPr>
        <w:t xml:space="preserve"> </w:t>
      </w:r>
    </w:p>
    <w:p w:rsidR="00C2602D" w:rsidRPr="00C8701B" w:rsidRDefault="00C2602D" w:rsidP="0040307B">
      <w:pPr>
        <w:rPr>
          <w:rFonts w:eastAsia="Arial Unicode MS"/>
          <w:bCs/>
          <w:lang w:eastAsia="fr-FR" w:bidi="he-IL"/>
        </w:rPr>
      </w:pPr>
      <w:r w:rsidRPr="00C8701B">
        <w:rPr>
          <w:rFonts w:eastAsia="Arial Unicode MS"/>
          <w:bCs/>
          <w:lang w:eastAsia="fr-FR" w:bidi="he-IL"/>
        </w:rPr>
        <w:t>« </w:t>
      </w:r>
      <w:r w:rsidR="00B704AD" w:rsidRPr="00C8701B">
        <w:rPr>
          <w:rFonts w:eastAsia="Arial Unicode MS"/>
          <w:bCs/>
          <w:lang w:eastAsia="fr-FR" w:bidi="he-IL"/>
        </w:rPr>
        <w:t>Quoique je ne sois pas aussi ennemi de la matière que je devrais l</w:t>
      </w:r>
      <w:r w:rsidR="00557DE0">
        <w:rPr>
          <w:rFonts w:eastAsia="Arial Unicode MS"/>
          <w:bCs/>
          <w:lang w:eastAsia="fr-FR" w:bidi="he-IL"/>
        </w:rPr>
        <w:t>’</w:t>
      </w:r>
      <w:r w:rsidR="00B704AD" w:rsidRPr="00C8701B">
        <w:rPr>
          <w:rFonts w:eastAsia="Arial Unicode MS"/>
          <w:bCs/>
          <w:lang w:eastAsia="fr-FR" w:bidi="he-IL"/>
        </w:rPr>
        <w:t>être pour mon salut</w:t>
      </w:r>
      <w:r w:rsidR="00E65435">
        <w:rPr>
          <w:rFonts w:eastAsia="Arial Unicode MS"/>
          <w:bCs/>
          <w:lang w:eastAsia="fr-FR" w:bidi="he-IL"/>
        </w:rPr>
        <w:t xml:space="preserve">, </w:t>
      </w:r>
      <w:r w:rsidR="00B704AD" w:rsidRPr="00C8701B">
        <w:rPr>
          <w:rFonts w:eastAsia="Arial Unicode MS"/>
          <w:bCs/>
          <w:lang w:eastAsia="fr-FR" w:bidi="he-IL"/>
        </w:rPr>
        <w:t>j</w:t>
      </w:r>
      <w:r w:rsidR="00557DE0">
        <w:rPr>
          <w:rFonts w:eastAsia="Arial Unicode MS"/>
          <w:bCs/>
          <w:lang w:eastAsia="fr-FR" w:bidi="he-IL"/>
        </w:rPr>
        <w:t>’</w:t>
      </w:r>
      <w:r w:rsidR="00B704AD" w:rsidRPr="00C8701B">
        <w:rPr>
          <w:rFonts w:eastAsia="Arial Unicode MS"/>
          <w:bCs/>
          <w:lang w:eastAsia="fr-FR" w:bidi="he-IL"/>
        </w:rPr>
        <w:t>ai toujours aimé l</w:t>
      </w:r>
      <w:r w:rsidR="00557DE0">
        <w:rPr>
          <w:rFonts w:eastAsia="Arial Unicode MS"/>
          <w:bCs/>
          <w:lang w:eastAsia="fr-FR" w:bidi="he-IL"/>
        </w:rPr>
        <w:t>’</w:t>
      </w:r>
      <w:r w:rsidR="00B704AD" w:rsidRPr="00C8701B">
        <w:rPr>
          <w:rFonts w:eastAsia="Arial Unicode MS"/>
          <w:bCs/>
          <w:lang w:eastAsia="fr-FR" w:bidi="he-IL"/>
        </w:rPr>
        <w:t>idéal. Je l</w:t>
      </w:r>
      <w:r w:rsidR="00557DE0">
        <w:rPr>
          <w:rFonts w:eastAsia="Arial Unicode MS"/>
          <w:bCs/>
          <w:lang w:eastAsia="fr-FR" w:bidi="he-IL"/>
        </w:rPr>
        <w:t>’</w:t>
      </w:r>
      <w:r w:rsidR="00B704AD" w:rsidRPr="00C8701B">
        <w:rPr>
          <w:rFonts w:eastAsia="Arial Unicode MS"/>
          <w:bCs/>
          <w:lang w:eastAsia="fr-FR" w:bidi="he-IL"/>
        </w:rPr>
        <w:t>ai cherché longtemps dans les rêves des poètes et dans mes propres songeries</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je le poursuis encore à travers les enchantements de la nature</w:t>
      </w:r>
      <w:r w:rsidRPr="00C8701B">
        <w:rPr>
          <w:rFonts w:eastAsia="Arial Unicode MS"/>
          <w:bCs/>
          <w:lang w:eastAsia="fr-FR" w:bidi="he-IL"/>
        </w:rPr>
        <w:t> :</w:t>
      </w:r>
      <w:r w:rsidR="00B704AD" w:rsidRPr="00C8701B">
        <w:rPr>
          <w:rFonts w:eastAsia="Arial Unicode MS"/>
          <w:bCs/>
          <w:lang w:eastAsia="fr-FR" w:bidi="he-IL"/>
        </w:rPr>
        <w:t xml:space="preserve"> jamais il ne m</w:t>
      </w:r>
      <w:r w:rsidR="00557DE0">
        <w:rPr>
          <w:rFonts w:eastAsia="Arial Unicode MS"/>
          <w:bCs/>
          <w:lang w:eastAsia="fr-FR" w:bidi="he-IL"/>
        </w:rPr>
        <w:t>’</w:t>
      </w:r>
      <w:r w:rsidR="00B704AD" w:rsidRPr="00C8701B">
        <w:rPr>
          <w:rFonts w:eastAsia="Arial Unicode MS"/>
          <w:bCs/>
          <w:lang w:eastAsia="fr-FR" w:bidi="he-IL"/>
        </w:rPr>
        <w:t xml:space="preserve">est </w:t>
      </w:r>
      <w:r w:rsidR="00EA28F4" w:rsidRPr="00C8701B">
        <w:rPr>
          <w:rFonts w:eastAsia="Arial Unicode MS"/>
          <w:bCs/>
          <w:lang w:eastAsia="fr-FR" w:bidi="he-IL"/>
        </w:rPr>
        <w:t>apparu</w:t>
      </w:r>
      <w:r w:rsidR="00B704AD" w:rsidRPr="00C8701B">
        <w:rPr>
          <w:rFonts w:eastAsia="Arial Unicode MS"/>
          <w:bCs/>
          <w:lang w:eastAsia="fr-FR" w:bidi="he-IL"/>
        </w:rPr>
        <w:t xml:space="preserve"> comme à travers les pages de l</w:t>
      </w:r>
      <w:r w:rsidR="00557DE0">
        <w:rPr>
          <w:rFonts w:eastAsia="Arial Unicode MS"/>
          <w:bCs/>
          <w:lang w:eastAsia="fr-FR" w:bidi="he-IL"/>
        </w:rPr>
        <w:t>’</w:t>
      </w:r>
      <w:r w:rsidR="000439E9">
        <w:rPr>
          <w:rFonts w:eastAsia="Arial Unicode MS"/>
          <w:bCs/>
          <w:lang w:eastAsia="fr-FR" w:bidi="he-IL"/>
        </w:rPr>
        <w:t>Évangile</w:t>
      </w:r>
      <w:r w:rsidR="00B704AD" w:rsidRPr="00C8701B">
        <w:rPr>
          <w:rFonts w:eastAsia="Arial Unicode MS"/>
          <w:bCs/>
          <w:lang w:eastAsia="fr-FR" w:bidi="he-IL"/>
        </w:rPr>
        <w:t>. C</w:t>
      </w:r>
      <w:r w:rsidR="00557DE0">
        <w:rPr>
          <w:rFonts w:eastAsia="Arial Unicode MS"/>
          <w:bCs/>
          <w:lang w:eastAsia="fr-FR" w:bidi="he-IL"/>
        </w:rPr>
        <w:t>’</w:t>
      </w:r>
      <w:r w:rsidR="0040307B">
        <w:rPr>
          <w:rFonts w:eastAsia="Arial Unicode MS"/>
          <w:bCs/>
          <w:lang w:eastAsia="fr-FR" w:bidi="he-IL"/>
        </w:rPr>
        <w:t xml:space="preserve">est dans ce </w:t>
      </w:r>
      <w:r w:rsidR="00B704AD" w:rsidRPr="00C8701B">
        <w:rPr>
          <w:rFonts w:eastAsia="Arial Unicode MS"/>
          <w:bCs/>
          <w:lang w:eastAsia="fr-FR" w:bidi="he-IL"/>
        </w:rPr>
        <w:t>livre</w:t>
      </w:r>
      <w:r w:rsidR="0040307B">
        <w:rPr>
          <w:rFonts w:eastAsia="Arial Unicode MS"/>
          <w:bCs/>
          <w:lang w:eastAsia="fr-FR" w:bidi="he-IL"/>
        </w:rPr>
        <w:t xml:space="preserve"> </w:t>
      </w:r>
      <w:r w:rsidR="00B704AD" w:rsidRPr="00C8701B">
        <w:rPr>
          <w:rFonts w:eastAsia="Arial Unicode MS"/>
          <w:bCs/>
          <w:lang w:eastAsia="fr-FR" w:bidi="he-IL"/>
        </w:rPr>
        <w:t>sacré que j</w:t>
      </w:r>
      <w:r w:rsidR="00557DE0">
        <w:rPr>
          <w:rFonts w:eastAsia="Arial Unicode MS"/>
          <w:bCs/>
          <w:lang w:eastAsia="fr-FR" w:bidi="he-IL"/>
        </w:rPr>
        <w:t>’</w:t>
      </w:r>
      <w:r w:rsidR="00B704AD" w:rsidRPr="00C8701B">
        <w:rPr>
          <w:rFonts w:eastAsia="Arial Unicode MS"/>
          <w:bCs/>
          <w:lang w:eastAsia="fr-FR" w:bidi="he-IL"/>
        </w:rPr>
        <w:t>ai vu le divin fantôme</w:t>
      </w:r>
      <w:r w:rsidRPr="00C8701B">
        <w:rPr>
          <w:rFonts w:eastAsia="Arial Unicode MS"/>
          <w:bCs/>
          <w:lang w:eastAsia="fr-FR" w:bidi="he-IL"/>
        </w:rPr>
        <w:t> »</w:t>
      </w:r>
      <w:r w:rsidR="00933C60" w:rsidRPr="00C406FF">
        <w:rPr>
          <w:rStyle w:val="Appelnotedebasdep"/>
        </w:rPr>
        <w:footnoteReference w:id="502"/>
      </w:r>
      <w:r w:rsidR="00B704AD" w:rsidRPr="00C8701B">
        <w:rPr>
          <w:rFonts w:eastAsia="Arial Unicode MS"/>
          <w:bCs/>
          <w:lang w:eastAsia="fr-FR" w:bidi="he-IL"/>
        </w:rPr>
        <w:t>.</w:t>
      </w:r>
      <w:r w:rsidRPr="00C8701B">
        <w:rPr>
          <w:rFonts w:eastAsia="Arial Unicode MS"/>
          <w:bCs/>
          <w:lang w:eastAsia="fr-FR" w:bidi="he-IL"/>
        </w:rPr>
        <w:t xml:space="preserve"> </w:t>
      </w:r>
    </w:p>
    <w:p w:rsidR="00C2602D" w:rsidRPr="00C8701B" w:rsidRDefault="0040307B" w:rsidP="0040307B">
      <w:pPr>
        <w:rPr>
          <w:rFonts w:eastAsia="Arial Unicode MS"/>
          <w:bCs/>
          <w:lang w:eastAsia="fr-FR" w:bidi="he-IL"/>
        </w:rPr>
      </w:pPr>
      <w:r>
        <w:rPr>
          <w:rFonts w:eastAsia="Arial Unicode MS"/>
          <w:bCs/>
          <w:lang w:eastAsia="fr-FR" w:bidi="he-IL"/>
        </w:rPr>
        <w:t>« </w:t>
      </w:r>
      <w:r w:rsidR="00B704AD" w:rsidRPr="00C8701B">
        <w:rPr>
          <w:rFonts w:eastAsia="Arial Unicode MS"/>
          <w:bCs/>
          <w:lang w:eastAsia="fr-FR" w:bidi="he-IL"/>
        </w:rPr>
        <w:t>Tout se tient en Jésus</w:t>
      </w:r>
      <w:r w:rsidR="00E65435">
        <w:rPr>
          <w:rFonts w:eastAsia="Arial Unicode MS"/>
          <w:bCs/>
          <w:lang w:eastAsia="fr-FR" w:bidi="he-IL"/>
        </w:rPr>
        <w:t xml:space="preserve">, </w:t>
      </w:r>
      <w:r w:rsidR="00B704AD" w:rsidRPr="00C8701B">
        <w:rPr>
          <w:rFonts w:eastAsia="Arial Unicode MS"/>
          <w:bCs/>
          <w:lang w:eastAsia="fr-FR" w:bidi="he-IL"/>
        </w:rPr>
        <w:t>dit Bossuet</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sa vie</w:t>
      </w:r>
      <w:r w:rsidR="00E65435">
        <w:rPr>
          <w:rFonts w:eastAsia="Arial Unicode MS"/>
          <w:bCs/>
          <w:lang w:eastAsia="fr-FR" w:bidi="he-IL"/>
        </w:rPr>
        <w:t xml:space="preserve">, </w:t>
      </w:r>
      <w:r w:rsidR="00B704AD" w:rsidRPr="00C8701B">
        <w:rPr>
          <w:rFonts w:eastAsia="Arial Unicode MS"/>
          <w:bCs/>
          <w:lang w:eastAsia="fr-FR" w:bidi="he-IL"/>
        </w:rPr>
        <w:t>sa doctrine</w:t>
      </w:r>
      <w:r w:rsidR="00E65435">
        <w:rPr>
          <w:rFonts w:eastAsia="Arial Unicode MS"/>
          <w:bCs/>
          <w:lang w:eastAsia="fr-FR" w:bidi="he-IL"/>
        </w:rPr>
        <w:t xml:space="preserve">, </w:t>
      </w:r>
      <w:r w:rsidR="00B704AD" w:rsidRPr="00C8701B">
        <w:rPr>
          <w:rFonts w:eastAsia="Arial Unicode MS"/>
          <w:bCs/>
          <w:lang w:eastAsia="fr-FR" w:bidi="he-IL"/>
        </w:rPr>
        <w:t>ses miracles. L</w:t>
      </w:r>
      <w:r w:rsidR="00557DE0">
        <w:rPr>
          <w:rFonts w:eastAsia="Arial Unicode MS"/>
          <w:bCs/>
          <w:lang w:eastAsia="fr-FR" w:bidi="he-IL"/>
        </w:rPr>
        <w:t>’</w:t>
      </w:r>
      <w:r w:rsidR="000439E9">
        <w:rPr>
          <w:rFonts w:eastAsia="Arial Unicode MS"/>
          <w:bCs/>
          <w:lang w:eastAsia="fr-FR" w:bidi="he-IL"/>
        </w:rPr>
        <w:t>Évangile</w:t>
      </w:r>
      <w:r w:rsidR="00B704AD" w:rsidRPr="00C8701B">
        <w:rPr>
          <w:rFonts w:eastAsia="Arial Unicode MS"/>
          <w:bCs/>
          <w:lang w:eastAsia="fr-FR" w:bidi="he-IL"/>
        </w:rPr>
        <w:t xml:space="preserve"> est un tissu serré dont on ne peut détacher un fil</w:t>
      </w:r>
      <w:r w:rsidR="00E65435">
        <w:rPr>
          <w:rFonts w:eastAsia="Arial Unicode MS"/>
          <w:bCs/>
          <w:lang w:eastAsia="fr-FR" w:bidi="he-IL"/>
        </w:rPr>
        <w:t xml:space="preserve">, </w:t>
      </w:r>
      <w:r w:rsidR="00B704AD" w:rsidRPr="00C8701B">
        <w:rPr>
          <w:rFonts w:eastAsia="Arial Unicode MS"/>
          <w:bCs/>
          <w:lang w:eastAsia="fr-FR" w:bidi="he-IL"/>
        </w:rPr>
        <w:t>un iota. La morale</w:t>
      </w:r>
      <w:r w:rsidR="00E65435">
        <w:rPr>
          <w:rFonts w:eastAsia="Arial Unicode MS"/>
          <w:bCs/>
          <w:lang w:eastAsia="fr-FR" w:bidi="he-IL"/>
        </w:rPr>
        <w:t xml:space="preserve">, </w:t>
      </w:r>
      <w:r w:rsidR="00B704AD" w:rsidRPr="00C8701B">
        <w:rPr>
          <w:rFonts w:eastAsia="Arial Unicode MS"/>
          <w:bCs/>
          <w:lang w:eastAsia="fr-FR" w:bidi="he-IL"/>
        </w:rPr>
        <w:t>la doctrine et le récit s</w:t>
      </w:r>
      <w:r w:rsidR="00557DE0">
        <w:rPr>
          <w:rFonts w:eastAsia="Arial Unicode MS"/>
          <w:bCs/>
          <w:lang w:eastAsia="fr-FR" w:bidi="he-IL"/>
        </w:rPr>
        <w:t>’</w:t>
      </w:r>
      <w:r w:rsidR="00B704AD" w:rsidRPr="00C8701B">
        <w:rPr>
          <w:rFonts w:eastAsia="Arial Unicode MS"/>
          <w:bCs/>
          <w:lang w:eastAsia="fr-FR" w:bidi="he-IL"/>
        </w:rPr>
        <w:t>y entrelacent d</w:t>
      </w:r>
      <w:r w:rsidR="00557DE0">
        <w:rPr>
          <w:rFonts w:eastAsia="Arial Unicode MS"/>
          <w:bCs/>
          <w:lang w:eastAsia="fr-FR" w:bidi="he-IL"/>
        </w:rPr>
        <w:t>’</w:t>
      </w:r>
      <w:r w:rsidR="00B704AD" w:rsidRPr="00C8701B">
        <w:rPr>
          <w:rFonts w:eastAsia="Arial Unicode MS"/>
          <w:bCs/>
          <w:lang w:eastAsia="fr-FR" w:bidi="he-IL"/>
        </w:rPr>
        <w:t>une manière indissoluble. Le miracle y est le plus souvent l</w:t>
      </w:r>
      <w:r w:rsidR="00557DE0">
        <w:rPr>
          <w:rFonts w:eastAsia="Arial Unicode MS"/>
          <w:bCs/>
          <w:lang w:eastAsia="fr-FR" w:bidi="he-IL"/>
        </w:rPr>
        <w:t>’</w:t>
      </w:r>
      <w:r w:rsidR="00B704AD" w:rsidRPr="00C8701B">
        <w:rPr>
          <w:rFonts w:eastAsia="Arial Unicode MS"/>
          <w:bCs/>
          <w:lang w:eastAsia="fr-FR" w:bidi="he-IL"/>
        </w:rPr>
        <w:t>occasion du précepte</w:t>
      </w:r>
      <w:r w:rsidR="00E65435">
        <w:rPr>
          <w:rFonts w:eastAsia="Arial Unicode MS"/>
          <w:bCs/>
          <w:lang w:eastAsia="fr-FR" w:bidi="he-IL"/>
        </w:rPr>
        <w:t xml:space="preserve">, </w:t>
      </w:r>
      <w:r w:rsidR="00B704AD" w:rsidRPr="00C8701B">
        <w:rPr>
          <w:rFonts w:eastAsia="Arial Unicode MS"/>
          <w:bCs/>
          <w:lang w:eastAsia="fr-FR" w:bidi="he-IL"/>
        </w:rPr>
        <w:t>et le précepte</w:t>
      </w:r>
      <w:r w:rsidR="00E65435">
        <w:rPr>
          <w:rFonts w:eastAsia="Arial Unicode MS"/>
          <w:bCs/>
          <w:lang w:eastAsia="fr-FR" w:bidi="he-IL"/>
        </w:rPr>
        <w:t xml:space="preserve">, </w:t>
      </w:r>
      <w:r w:rsidR="00B704AD" w:rsidRPr="00C8701B">
        <w:rPr>
          <w:rFonts w:eastAsia="Arial Unicode MS"/>
          <w:bCs/>
          <w:lang w:eastAsia="fr-FR" w:bidi="he-IL"/>
        </w:rPr>
        <w:t>l</w:t>
      </w:r>
      <w:r w:rsidR="00557DE0">
        <w:rPr>
          <w:rFonts w:eastAsia="Arial Unicode MS"/>
          <w:bCs/>
          <w:lang w:eastAsia="fr-FR" w:bidi="he-IL"/>
        </w:rPr>
        <w:t>’</w:t>
      </w:r>
      <w:r w:rsidR="00B704AD" w:rsidRPr="00C8701B">
        <w:rPr>
          <w:rFonts w:eastAsia="Arial Unicode MS"/>
          <w:bCs/>
          <w:lang w:eastAsia="fr-FR" w:bidi="he-IL"/>
        </w:rPr>
        <w:t>intention du miracle</w:t>
      </w:r>
      <w:r w:rsidR="00C2602D" w:rsidRPr="00C8701B">
        <w:rPr>
          <w:rFonts w:eastAsia="Arial Unicode MS"/>
          <w:bCs/>
          <w:lang w:eastAsia="fr-FR" w:bidi="he-IL"/>
        </w:rPr>
        <w:t> :</w:t>
      </w:r>
      <w:r w:rsidR="00B704AD" w:rsidRPr="00C8701B">
        <w:rPr>
          <w:rFonts w:eastAsia="Arial Unicode MS"/>
          <w:bCs/>
          <w:lang w:eastAsia="fr-FR" w:bidi="he-IL"/>
        </w:rPr>
        <w:t xml:space="preserve"> pour tout dire</w:t>
      </w:r>
      <w:r w:rsidR="00E65435">
        <w:rPr>
          <w:rFonts w:eastAsia="Arial Unicode MS"/>
          <w:bCs/>
          <w:lang w:eastAsia="fr-FR" w:bidi="he-IL"/>
        </w:rPr>
        <w:t xml:space="preserve">, </w:t>
      </w:r>
      <w:r w:rsidR="00B704AD" w:rsidRPr="00C8701B">
        <w:rPr>
          <w:rFonts w:eastAsia="Arial Unicode MS"/>
          <w:bCs/>
          <w:lang w:eastAsia="fr-FR" w:bidi="he-IL"/>
        </w:rPr>
        <w:t>le fait n</w:t>
      </w:r>
      <w:r w:rsidR="00557DE0">
        <w:rPr>
          <w:rFonts w:eastAsia="Arial Unicode MS"/>
          <w:bCs/>
          <w:lang w:eastAsia="fr-FR" w:bidi="he-IL"/>
        </w:rPr>
        <w:t>’</w:t>
      </w:r>
      <w:r w:rsidR="00B704AD" w:rsidRPr="00C8701B">
        <w:rPr>
          <w:rFonts w:eastAsia="Arial Unicode MS"/>
          <w:bCs/>
          <w:lang w:eastAsia="fr-FR" w:bidi="he-IL"/>
        </w:rPr>
        <w:t>y est autre chose</w:t>
      </w:r>
      <w:r w:rsidR="00C2602D" w:rsidRPr="00C8701B">
        <w:rPr>
          <w:rFonts w:eastAsia="Arial Unicode MS"/>
          <w:bCs/>
          <w:lang w:eastAsia="fr-FR" w:bidi="he-IL"/>
        </w:rPr>
        <w:t xml:space="preserve"> </w:t>
      </w:r>
      <w:r w:rsidR="00B704AD" w:rsidRPr="00C8701B">
        <w:rPr>
          <w:rFonts w:eastAsia="Arial Unicode MS"/>
          <w:bCs/>
          <w:lang w:eastAsia="fr-FR" w:bidi="he-IL"/>
        </w:rPr>
        <w:t>que la morale en action et la doctrine en résultat</w:t>
      </w:r>
      <w:r>
        <w:rPr>
          <w:rFonts w:eastAsia="Arial Unicode MS"/>
          <w:bCs/>
          <w:lang w:eastAsia="fr-FR" w:bidi="he-IL"/>
        </w:rPr>
        <w:t xml:space="preserve">… </w:t>
      </w:r>
      <w:r w:rsidR="00B704AD" w:rsidRPr="00C8701B">
        <w:rPr>
          <w:rFonts w:eastAsia="Arial Unicode MS"/>
          <w:bCs/>
          <w:lang w:eastAsia="fr-FR" w:bidi="he-IL"/>
        </w:rPr>
        <w:t>L</w:t>
      </w:r>
      <w:r w:rsidR="00557DE0">
        <w:rPr>
          <w:rFonts w:eastAsia="Arial Unicode MS"/>
          <w:bCs/>
          <w:lang w:eastAsia="fr-FR" w:bidi="he-IL"/>
        </w:rPr>
        <w:t>’</w:t>
      </w:r>
      <w:r w:rsidR="000439E9">
        <w:rPr>
          <w:rFonts w:eastAsia="Arial Unicode MS"/>
          <w:bCs/>
          <w:lang w:eastAsia="fr-FR" w:bidi="he-IL"/>
        </w:rPr>
        <w:t>Évangile</w:t>
      </w:r>
      <w:r w:rsidR="00B704AD" w:rsidRPr="00C8701B">
        <w:rPr>
          <w:rFonts w:eastAsia="Arial Unicode MS"/>
          <w:bCs/>
          <w:lang w:eastAsia="fr-FR" w:bidi="he-IL"/>
        </w:rPr>
        <w:t xml:space="preserve"> est</w:t>
      </w:r>
      <w:r w:rsidR="00C2602D" w:rsidRPr="00C8701B">
        <w:rPr>
          <w:rFonts w:eastAsia="Arial Unicode MS"/>
          <w:bCs/>
          <w:lang w:eastAsia="fr-FR" w:bidi="he-IL"/>
        </w:rPr>
        <w:t xml:space="preserve"> </w:t>
      </w:r>
      <w:r w:rsidR="00B704AD" w:rsidRPr="00C8701B">
        <w:rPr>
          <w:rFonts w:eastAsia="Arial Unicode MS"/>
          <w:bCs/>
          <w:lang w:eastAsia="fr-FR" w:bidi="he-IL"/>
        </w:rPr>
        <w:t>comme la robe du Christ</w:t>
      </w:r>
      <w:r w:rsidR="00E65435">
        <w:rPr>
          <w:rFonts w:eastAsia="Arial Unicode MS"/>
          <w:bCs/>
          <w:lang w:eastAsia="fr-FR" w:bidi="he-IL"/>
        </w:rPr>
        <w:t xml:space="preserve">, </w:t>
      </w:r>
      <w:r w:rsidR="00B704AD" w:rsidRPr="00C8701B">
        <w:rPr>
          <w:rFonts w:eastAsia="Arial Unicode MS"/>
          <w:bCs/>
          <w:lang w:eastAsia="fr-FR" w:bidi="he-IL"/>
        </w:rPr>
        <w:t>sans couture</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on ne saurait le partager</w:t>
      </w:r>
      <w:r w:rsidR="00933C60" w:rsidRPr="00C406FF">
        <w:rPr>
          <w:rStyle w:val="Appelnotedebasdep"/>
        </w:rPr>
        <w:footnoteReference w:id="503"/>
      </w:r>
      <w:r w:rsidR="00B704AD" w:rsidRPr="00C8701B">
        <w:rPr>
          <w:rFonts w:eastAsia="Arial Unicode MS"/>
          <w:bCs/>
          <w:lang w:eastAsia="fr-FR" w:bidi="he-IL"/>
        </w:rPr>
        <w:t>.</w:t>
      </w:r>
      <w:r>
        <w:rPr>
          <w:rFonts w:eastAsia="Arial Unicode MS"/>
          <w:bCs/>
          <w:lang w:eastAsia="fr-FR" w:bidi="he-IL"/>
        </w:rPr>
        <w:t> »</w:t>
      </w:r>
      <w:r w:rsidR="00EE1C95" w:rsidRPr="00C8701B">
        <w:rPr>
          <w:rFonts w:eastAsia="Arial Unicode MS"/>
          <w:bCs/>
          <w:lang w:eastAsia="fr-FR" w:bidi="he-IL"/>
        </w:rPr>
        <w:t xml:space="preserve"> </w:t>
      </w:r>
    </w:p>
    <w:p w:rsidR="00C2602D" w:rsidRPr="00C8701B" w:rsidRDefault="0040307B" w:rsidP="00EA28F4">
      <w:pPr>
        <w:rPr>
          <w:rFonts w:eastAsia="Arial Unicode MS"/>
          <w:bCs/>
          <w:lang w:eastAsia="fr-FR" w:bidi="he-IL"/>
        </w:rPr>
      </w:pPr>
      <w:r>
        <w:rPr>
          <w:rFonts w:eastAsia="Arial Unicode MS"/>
          <w:bCs/>
          <w:lang w:eastAsia="fr-FR" w:bidi="he-IL"/>
        </w:rPr>
        <w:t>« I</w:t>
      </w:r>
      <w:r w:rsidR="00C21120">
        <w:rPr>
          <w:rFonts w:eastAsia="Arial Unicode MS"/>
          <w:bCs/>
          <w:lang w:eastAsia="fr-FR" w:bidi="he-IL"/>
        </w:rPr>
        <w:t xml:space="preserve">l </w:t>
      </w:r>
      <w:r w:rsidR="00C21120" w:rsidRPr="00C8701B">
        <w:rPr>
          <w:rFonts w:eastAsia="Arial Unicode MS"/>
          <w:bCs/>
          <w:lang w:eastAsia="fr-FR" w:bidi="he-IL"/>
        </w:rPr>
        <w:t>e</w:t>
      </w:r>
      <w:r w:rsidR="00B704AD" w:rsidRPr="00C8701B">
        <w:rPr>
          <w:rFonts w:eastAsia="Arial Unicode MS"/>
          <w:bCs/>
          <w:lang w:eastAsia="fr-FR" w:bidi="he-IL"/>
        </w:rPr>
        <w:t>n est de l</w:t>
      </w:r>
      <w:r w:rsidR="00557DE0">
        <w:rPr>
          <w:rFonts w:eastAsia="Arial Unicode MS"/>
          <w:bCs/>
          <w:lang w:eastAsia="fr-FR" w:bidi="he-IL"/>
        </w:rPr>
        <w:t>’</w:t>
      </w:r>
      <w:r w:rsidR="00B704AD" w:rsidRPr="00C8701B">
        <w:rPr>
          <w:rFonts w:eastAsia="Arial Unicode MS"/>
          <w:bCs/>
          <w:lang w:eastAsia="fr-FR" w:bidi="he-IL"/>
        </w:rPr>
        <w:t>effet que l</w:t>
      </w:r>
      <w:r w:rsidR="00557DE0">
        <w:rPr>
          <w:rFonts w:eastAsia="Arial Unicode MS"/>
          <w:bCs/>
          <w:lang w:eastAsia="fr-FR" w:bidi="he-IL"/>
        </w:rPr>
        <w:t>’</w:t>
      </w:r>
      <w:r w:rsidR="000439E9">
        <w:rPr>
          <w:rFonts w:eastAsia="Arial Unicode MS"/>
          <w:bCs/>
          <w:lang w:eastAsia="fr-FR" w:bidi="he-IL"/>
        </w:rPr>
        <w:t>Évangile</w:t>
      </w:r>
      <w:r w:rsidR="00B704AD" w:rsidRPr="00C8701B">
        <w:rPr>
          <w:rFonts w:eastAsia="Arial Unicode MS"/>
          <w:bCs/>
          <w:lang w:eastAsia="fr-FR" w:bidi="he-IL"/>
        </w:rPr>
        <w:t xml:space="preserve"> produit d</w:t>
      </w:r>
      <w:r w:rsidR="00557DE0">
        <w:rPr>
          <w:rFonts w:eastAsia="Arial Unicode MS"/>
          <w:bCs/>
          <w:lang w:eastAsia="fr-FR" w:bidi="he-IL"/>
        </w:rPr>
        <w:t>’</w:t>
      </w:r>
      <w:r w:rsidR="00B704AD" w:rsidRPr="00C8701B">
        <w:rPr>
          <w:rFonts w:eastAsia="Arial Unicode MS"/>
          <w:bCs/>
          <w:lang w:eastAsia="fr-FR" w:bidi="he-IL"/>
        </w:rPr>
        <w:t>abord sur nous</w:t>
      </w:r>
      <w:r w:rsidR="00E65435">
        <w:rPr>
          <w:rFonts w:eastAsia="Arial Unicode MS"/>
          <w:bCs/>
          <w:lang w:eastAsia="fr-FR" w:bidi="he-IL"/>
        </w:rPr>
        <w:t xml:space="preserve">, </w:t>
      </w:r>
      <w:r w:rsidR="00B704AD" w:rsidRPr="00C8701B">
        <w:rPr>
          <w:rFonts w:eastAsia="Arial Unicode MS"/>
          <w:bCs/>
          <w:lang w:eastAsia="fr-FR" w:bidi="he-IL"/>
        </w:rPr>
        <w:t>quand nous passons de toute autre lecture à celle-là</w:t>
      </w:r>
      <w:r w:rsidR="00E65435">
        <w:rPr>
          <w:rFonts w:eastAsia="Arial Unicode MS"/>
          <w:bCs/>
          <w:lang w:eastAsia="fr-FR" w:bidi="he-IL"/>
        </w:rPr>
        <w:t xml:space="preserve">, </w:t>
      </w:r>
      <w:r w:rsidR="00B704AD" w:rsidRPr="00C8701B">
        <w:rPr>
          <w:rFonts w:eastAsia="Arial Unicode MS"/>
          <w:bCs/>
          <w:lang w:eastAsia="fr-FR" w:bidi="he-IL"/>
        </w:rPr>
        <w:t>comme de l</w:t>
      </w:r>
      <w:r w:rsidR="00557DE0">
        <w:rPr>
          <w:rFonts w:eastAsia="Arial Unicode MS"/>
          <w:bCs/>
          <w:lang w:eastAsia="fr-FR" w:bidi="he-IL"/>
        </w:rPr>
        <w:t>’</w:t>
      </w:r>
      <w:r w:rsidR="00B704AD" w:rsidRPr="00C8701B">
        <w:rPr>
          <w:rFonts w:eastAsia="Arial Unicode MS"/>
          <w:bCs/>
          <w:lang w:eastAsia="fr-FR" w:bidi="he-IL"/>
        </w:rPr>
        <w:t>air raréfié des hauteurs à celui qui s</w:t>
      </w:r>
      <w:r w:rsidR="00557DE0">
        <w:rPr>
          <w:rFonts w:eastAsia="Arial Unicode MS"/>
          <w:bCs/>
          <w:lang w:eastAsia="fr-FR" w:bidi="he-IL"/>
        </w:rPr>
        <w:t>’</w:t>
      </w:r>
      <w:r w:rsidR="00B704AD" w:rsidRPr="00C8701B">
        <w:rPr>
          <w:rFonts w:eastAsia="Arial Unicode MS"/>
          <w:bCs/>
          <w:lang w:eastAsia="fr-FR" w:bidi="he-IL"/>
        </w:rPr>
        <w:t>y élèverait de la plaine</w:t>
      </w:r>
      <w:r w:rsidR="00C2602D" w:rsidRPr="00C8701B">
        <w:rPr>
          <w:rFonts w:eastAsia="Arial Unicode MS"/>
          <w:bCs/>
          <w:lang w:eastAsia="fr-FR" w:bidi="he-IL"/>
        </w:rPr>
        <w:t> :</w:t>
      </w:r>
      <w:r w:rsidR="00B704AD" w:rsidRPr="00C8701B">
        <w:rPr>
          <w:rFonts w:eastAsia="Arial Unicode MS"/>
          <w:bCs/>
          <w:lang w:eastAsia="fr-FR" w:bidi="he-IL"/>
        </w:rPr>
        <w:t xml:space="preserve"> plus il est pur</w:t>
      </w:r>
      <w:r w:rsidR="00E65435">
        <w:rPr>
          <w:rFonts w:eastAsia="Arial Unicode MS"/>
          <w:bCs/>
          <w:lang w:eastAsia="fr-FR" w:bidi="he-IL"/>
        </w:rPr>
        <w:t xml:space="preserve">, </w:t>
      </w:r>
      <w:r w:rsidR="00B704AD" w:rsidRPr="00C8701B">
        <w:rPr>
          <w:rFonts w:eastAsia="Arial Unicode MS"/>
          <w:bCs/>
          <w:lang w:eastAsia="fr-FR" w:bidi="he-IL"/>
        </w:rPr>
        <w:t>plus il est vital</w:t>
      </w:r>
      <w:r w:rsidR="00E65435">
        <w:rPr>
          <w:rFonts w:eastAsia="Arial Unicode MS"/>
          <w:bCs/>
          <w:lang w:eastAsia="fr-FR" w:bidi="he-IL"/>
        </w:rPr>
        <w:t xml:space="preserve">, </w:t>
      </w:r>
      <w:r w:rsidR="00B704AD" w:rsidRPr="00C8701B">
        <w:rPr>
          <w:rFonts w:eastAsia="Arial Unicode MS"/>
          <w:bCs/>
          <w:lang w:eastAsia="fr-FR" w:bidi="he-IL"/>
        </w:rPr>
        <w:t>et moins il satisfait des organes habitués aux</w:t>
      </w:r>
      <w:r>
        <w:rPr>
          <w:rFonts w:eastAsia="Arial Unicode MS"/>
          <w:bCs/>
          <w:lang w:eastAsia="fr-FR" w:bidi="he-IL"/>
        </w:rPr>
        <w:t xml:space="preserve"> </w:t>
      </w:r>
      <w:r w:rsidR="00B704AD" w:rsidRPr="00C8701B">
        <w:rPr>
          <w:rFonts w:eastAsia="Arial Unicode MS"/>
          <w:bCs/>
          <w:lang w:eastAsia="fr-FR" w:bidi="he-IL"/>
        </w:rPr>
        <w:t>miasmes de la terre. Mais on se fait à cette simplicité incomparable</w:t>
      </w:r>
      <w:r w:rsidR="00E65435">
        <w:rPr>
          <w:rFonts w:eastAsia="Arial Unicode MS"/>
          <w:bCs/>
          <w:lang w:eastAsia="fr-FR" w:bidi="he-IL"/>
        </w:rPr>
        <w:t xml:space="preserve">, </w:t>
      </w:r>
      <w:r>
        <w:rPr>
          <w:rFonts w:eastAsia="Arial Unicode MS"/>
          <w:bCs/>
          <w:lang w:eastAsia="fr-FR" w:bidi="he-IL"/>
        </w:rPr>
        <w:t>et on finit par reconnaî</w:t>
      </w:r>
      <w:r w:rsidR="00B704AD" w:rsidRPr="00C8701B">
        <w:rPr>
          <w:rFonts w:eastAsia="Arial Unicode MS"/>
          <w:bCs/>
          <w:lang w:eastAsia="fr-FR" w:bidi="he-IL"/>
        </w:rPr>
        <w:t>tre qu</w:t>
      </w:r>
      <w:r w:rsidR="00557DE0">
        <w:rPr>
          <w:rFonts w:eastAsia="Arial Unicode MS"/>
          <w:bCs/>
          <w:lang w:eastAsia="fr-FR" w:bidi="he-IL"/>
        </w:rPr>
        <w:t>’</w:t>
      </w:r>
      <w:r w:rsidR="00B704AD" w:rsidRPr="00C8701B">
        <w:rPr>
          <w:rFonts w:eastAsia="Arial Unicode MS"/>
          <w:bCs/>
          <w:lang w:eastAsia="fr-FR" w:bidi="he-IL"/>
        </w:rPr>
        <w:t>il ne manque à son effet</w:t>
      </w:r>
      <w:r w:rsidR="00E65435">
        <w:rPr>
          <w:rFonts w:eastAsia="Arial Unicode MS"/>
          <w:bCs/>
          <w:lang w:eastAsia="fr-FR" w:bidi="he-IL"/>
        </w:rPr>
        <w:t xml:space="preserve">, </w:t>
      </w:r>
      <w:r w:rsidR="00B704AD" w:rsidRPr="00C8701B">
        <w:rPr>
          <w:rFonts w:eastAsia="Arial Unicode MS"/>
          <w:bCs/>
          <w:lang w:eastAsia="fr-FR" w:bidi="he-IL"/>
        </w:rPr>
        <w:t>pour paraître sublime</w:t>
      </w:r>
      <w:r w:rsidR="00E65435">
        <w:rPr>
          <w:rFonts w:eastAsia="Arial Unicode MS"/>
          <w:bCs/>
          <w:lang w:eastAsia="fr-FR" w:bidi="he-IL"/>
        </w:rPr>
        <w:t xml:space="preserve">, </w:t>
      </w:r>
      <w:r w:rsidR="00B704AD" w:rsidRPr="00C8701B">
        <w:rPr>
          <w:rFonts w:eastAsia="Arial Unicode MS"/>
          <w:bCs/>
          <w:lang w:eastAsia="fr-FR" w:bidi="he-IL"/>
        </w:rPr>
        <w:t>que de ne pas être continu</w:t>
      </w:r>
      <w:r w:rsidR="00E65435">
        <w:rPr>
          <w:rFonts w:eastAsia="Arial Unicode MS"/>
          <w:bCs/>
          <w:lang w:eastAsia="fr-FR" w:bidi="he-IL"/>
        </w:rPr>
        <w:t xml:space="preserve">, </w:t>
      </w:r>
      <w:r w:rsidR="00B704AD" w:rsidRPr="00C8701B">
        <w:rPr>
          <w:rFonts w:eastAsia="Arial Unicode MS"/>
          <w:bCs/>
          <w:lang w:eastAsia="fr-FR" w:bidi="he-IL"/>
        </w:rPr>
        <w:t>c</w:t>
      </w:r>
      <w:r w:rsidR="00557DE0">
        <w:rPr>
          <w:rFonts w:eastAsia="Arial Unicode MS"/>
          <w:bCs/>
          <w:lang w:eastAsia="fr-FR" w:bidi="he-IL"/>
        </w:rPr>
        <w:t>’</w:t>
      </w:r>
      <w:r w:rsidR="00B704AD" w:rsidRPr="00C8701B">
        <w:rPr>
          <w:rFonts w:eastAsia="Arial Unicode MS"/>
          <w:bCs/>
          <w:lang w:eastAsia="fr-FR" w:bidi="he-IL"/>
        </w:rPr>
        <w:t>est-à-dire qu</w:t>
      </w:r>
      <w:r w:rsidR="00557DE0">
        <w:rPr>
          <w:rFonts w:eastAsia="Arial Unicode MS"/>
          <w:bCs/>
          <w:lang w:eastAsia="fr-FR" w:bidi="he-IL"/>
        </w:rPr>
        <w:t>’</w:t>
      </w:r>
      <w:r w:rsidR="00B704AD" w:rsidRPr="00C8701B">
        <w:rPr>
          <w:rFonts w:eastAsia="Arial Unicode MS"/>
          <w:bCs/>
          <w:lang w:eastAsia="fr-FR" w:bidi="he-IL"/>
        </w:rPr>
        <w:t>on est dans la région même du sublime. Le sublime humain est une échappée vers l</w:t>
      </w:r>
      <w:r w:rsidR="00557DE0">
        <w:rPr>
          <w:rFonts w:eastAsia="Arial Unicode MS"/>
          <w:bCs/>
          <w:lang w:eastAsia="fr-FR" w:bidi="he-IL"/>
        </w:rPr>
        <w:t>’</w:t>
      </w:r>
      <w:r w:rsidR="00B704AD" w:rsidRPr="00C8701B">
        <w:rPr>
          <w:rFonts w:eastAsia="Arial Unicode MS"/>
          <w:bCs/>
          <w:lang w:eastAsia="fr-FR" w:bidi="he-IL"/>
        </w:rPr>
        <w:t>infini</w:t>
      </w:r>
      <w:r w:rsidR="00E65435">
        <w:rPr>
          <w:rFonts w:eastAsia="Arial Unicode MS"/>
          <w:bCs/>
          <w:lang w:eastAsia="fr-FR" w:bidi="he-IL"/>
        </w:rPr>
        <w:t xml:space="preserve">, </w:t>
      </w:r>
      <w:r w:rsidR="00B704AD" w:rsidRPr="00C8701B">
        <w:rPr>
          <w:rFonts w:eastAsia="Arial Unicode MS"/>
          <w:bCs/>
          <w:lang w:eastAsia="fr-FR" w:bidi="he-IL"/>
        </w:rPr>
        <w:t>un éclair qui le découvre</w:t>
      </w:r>
      <w:r w:rsidR="00C2602D" w:rsidRPr="00C8701B">
        <w:rPr>
          <w:rFonts w:eastAsia="Arial Unicode MS"/>
          <w:bCs/>
          <w:lang w:eastAsia="fr-FR" w:bidi="he-IL"/>
        </w:rPr>
        <w:t xml:space="preserve"> : </w:t>
      </w:r>
      <w:r w:rsidR="00B52FA3">
        <w:rPr>
          <w:rFonts w:eastAsia="Arial Unicode MS"/>
          <w:bCs/>
          <w:lang w:eastAsia="fr-FR" w:bidi="he-IL"/>
        </w:rPr>
        <w:t>{95</w:t>
      </w:r>
      <w:bookmarkStart w:id="148" w:name="pag095"/>
      <w:bookmarkEnd w:id="148"/>
      <w:r w:rsidR="00B52FA3">
        <w:rPr>
          <w:rFonts w:eastAsia="Arial Unicode MS"/>
          <w:bCs/>
          <w:lang w:eastAsia="fr-FR" w:bidi="he-IL"/>
        </w:rPr>
        <w:t xml:space="preserve">} </w:t>
      </w:r>
      <w:r w:rsidR="00B704AD" w:rsidRPr="00C8701B">
        <w:rPr>
          <w:rFonts w:eastAsia="Arial Unicode MS"/>
          <w:bCs/>
          <w:lang w:eastAsia="fr-FR" w:bidi="he-IL"/>
        </w:rPr>
        <w:t>de là vient que l</w:t>
      </w:r>
      <w:r w:rsidR="00557DE0">
        <w:rPr>
          <w:rFonts w:eastAsia="Arial Unicode MS"/>
          <w:bCs/>
          <w:lang w:eastAsia="fr-FR" w:bidi="he-IL"/>
        </w:rPr>
        <w:t>’</w:t>
      </w:r>
      <w:r w:rsidR="00B704AD" w:rsidRPr="00C8701B">
        <w:rPr>
          <w:rFonts w:eastAsia="Arial Unicode MS"/>
          <w:bCs/>
          <w:lang w:eastAsia="fr-FR" w:bidi="he-IL"/>
        </w:rPr>
        <w:t>expression en est toujours simple</w:t>
      </w:r>
      <w:r w:rsidR="00E65435">
        <w:rPr>
          <w:rFonts w:eastAsia="Arial Unicode MS"/>
          <w:bCs/>
          <w:lang w:eastAsia="fr-FR" w:bidi="he-IL"/>
        </w:rPr>
        <w:t xml:space="preserve">, </w:t>
      </w:r>
      <w:r w:rsidR="00B704AD" w:rsidRPr="00C8701B">
        <w:rPr>
          <w:rFonts w:eastAsia="Arial Unicode MS"/>
          <w:bCs/>
          <w:lang w:eastAsia="fr-FR" w:bidi="he-IL"/>
        </w:rPr>
        <w:t>parce qu</w:t>
      </w:r>
      <w:r w:rsidR="00557DE0">
        <w:rPr>
          <w:rFonts w:eastAsia="Arial Unicode MS"/>
          <w:bCs/>
          <w:lang w:eastAsia="fr-FR" w:bidi="he-IL"/>
        </w:rPr>
        <w:t>’</w:t>
      </w:r>
      <w:r w:rsidR="00B704AD" w:rsidRPr="00C8701B">
        <w:rPr>
          <w:rFonts w:eastAsia="Arial Unicode MS"/>
          <w:bCs/>
          <w:lang w:eastAsia="fr-FR" w:bidi="he-IL"/>
        </w:rPr>
        <w:t>il ne saurait être cherché et q</w:t>
      </w:r>
      <w:r w:rsidR="005069E2" w:rsidRPr="00C8701B">
        <w:rPr>
          <w:rFonts w:eastAsia="Arial Unicode MS"/>
          <w:bCs/>
          <w:lang w:eastAsia="fr-FR" w:bidi="he-IL"/>
        </w:rPr>
        <w:t>u</w:t>
      </w:r>
      <w:r w:rsidR="00EA28F4">
        <w:rPr>
          <w:rFonts w:eastAsia="Arial Unicode MS"/>
          <w:bCs/>
          <w:lang w:eastAsia="fr-FR" w:bidi="he-IL"/>
        </w:rPr>
        <w:t>’</w:t>
      </w:r>
      <w:r w:rsidR="005069E2">
        <w:rPr>
          <w:rFonts w:eastAsia="Arial Unicode MS"/>
          <w:bCs/>
          <w:lang w:eastAsia="fr-FR" w:bidi="he-IL"/>
        </w:rPr>
        <w:t xml:space="preserve">il </w:t>
      </w:r>
      <w:r w:rsidR="005069E2" w:rsidRPr="00C8701B">
        <w:rPr>
          <w:rFonts w:eastAsia="Arial Unicode MS"/>
          <w:bCs/>
          <w:lang w:eastAsia="fr-FR" w:bidi="he-IL"/>
        </w:rPr>
        <w:t>s</w:t>
      </w:r>
      <w:r w:rsidR="00B704AD" w:rsidRPr="00C8701B">
        <w:rPr>
          <w:rFonts w:eastAsia="Arial Unicode MS"/>
          <w:bCs/>
          <w:lang w:eastAsia="fr-FR" w:bidi="he-IL"/>
        </w:rPr>
        <w:t>e suffit à lui-même. L</w:t>
      </w:r>
      <w:r w:rsidR="00557DE0">
        <w:rPr>
          <w:rFonts w:eastAsia="Arial Unicode MS"/>
          <w:bCs/>
          <w:lang w:eastAsia="fr-FR" w:bidi="he-IL"/>
        </w:rPr>
        <w:t>’</w:t>
      </w:r>
      <w:r w:rsidR="000439E9">
        <w:rPr>
          <w:rFonts w:eastAsia="Arial Unicode MS"/>
          <w:bCs/>
          <w:lang w:eastAsia="fr-FR" w:bidi="he-IL"/>
        </w:rPr>
        <w:t>Évangile</w:t>
      </w:r>
      <w:r w:rsidR="00B704AD" w:rsidRPr="00C8701B">
        <w:rPr>
          <w:rFonts w:eastAsia="Arial Unicode MS"/>
          <w:bCs/>
          <w:lang w:eastAsia="fr-FR" w:bidi="he-IL"/>
        </w:rPr>
        <w:t xml:space="preserve"> est le sublime à ciel ouvert</w:t>
      </w:r>
      <w:r w:rsidR="00E65435">
        <w:rPr>
          <w:rFonts w:eastAsia="Arial Unicode MS"/>
          <w:bCs/>
          <w:lang w:eastAsia="fr-FR" w:bidi="he-IL"/>
        </w:rPr>
        <w:t xml:space="preserve">, </w:t>
      </w:r>
      <w:r w:rsidR="00B704AD" w:rsidRPr="00C8701B">
        <w:rPr>
          <w:rFonts w:eastAsia="Arial Unicode MS"/>
          <w:bCs/>
          <w:lang w:eastAsia="fr-FR" w:bidi="he-IL"/>
        </w:rPr>
        <w:t>le surnaturel dans son naturel</w:t>
      </w:r>
      <w:r w:rsidR="00C2602D" w:rsidRPr="00C8701B">
        <w:rPr>
          <w:rFonts w:eastAsia="Arial Unicode MS"/>
          <w:bCs/>
          <w:lang w:eastAsia="fr-FR" w:bidi="he-IL"/>
        </w:rPr>
        <w:t> »</w:t>
      </w:r>
      <w:r w:rsidR="00933C60" w:rsidRPr="00C406FF">
        <w:rPr>
          <w:rStyle w:val="Appelnotedebasdep"/>
        </w:rPr>
        <w:footnoteReference w:id="504"/>
      </w:r>
      <w:r w:rsidR="00B704AD" w:rsidRPr="00C8701B">
        <w:rPr>
          <w:rFonts w:eastAsia="Arial Unicode MS"/>
          <w:bCs/>
          <w:lang w:eastAsia="fr-FR" w:bidi="he-IL"/>
        </w:rPr>
        <w:t>.</w:t>
      </w:r>
      <w:r w:rsidR="00C2602D" w:rsidRPr="00C8701B">
        <w:rPr>
          <w:rFonts w:eastAsia="Arial Unicode MS"/>
          <w:bCs/>
          <w:lang w:eastAsia="fr-FR" w:bidi="he-IL"/>
        </w:rPr>
        <w:t xml:space="preserve"> </w:t>
      </w:r>
    </w:p>
    <w:p w:rsidR="00C2602D" w:rsidRDefault="0040307B" w:rsidP="0040307B">
      <w:pPr>
        <w:rPr>
          <w:rFonts w:eastAsia="Arial Unicode MS"/>
          <w:bCs/>
          <w:lang w:eastAsia="fr-FR" w:bidi="he-IL"/>
        </w:rPr>
      </w:pPr>
      <w:r>
        <w:rPr>
          <w:rFonts w:eastAsia="Arial Unicode MS"/>
          <w:bCs/>
          <w:lang w:eastAsia="fr-FR" w:bidi="he-IL"/>
        </w:rPr>
        <w:t>« </w:t>
      </w:r>
      <w:r w:rsidR="00B704AD" w:rsidRPr="00C8701B">
        <w:rPr>
          <w:rFonts w:eastAsia="Arial Unicode MS"/>
          <w:bCs/>
          <w:lang w:eastAsia="fr-FR" w:bidi="he-IL"/>
        </w:rPr>
        <w:t>L</w:t>
      </w:r>
      <w:r w:rsidR="00557DE0">
        <w:rPr>
          <w:rFonts w:eastAsia="Arial Unicode MS"/>
          <w:bCs/>
          <w:lang w:eastAsia="fr-FR" w:bidi="he-IL"/>
        </w:rPr>
        <w:t>’</w:t>
      </w:r>
      <w:r w:rsidR="00B704AD" w:rsidRPr="00C8701B">
        <w:rPr>
          <w:rFonts w:eastAsia="Arial Unicode MS"/>
          <w:bCs/>
          <w:lang w:eastAsia="fr-FR" w:bidi="he-IL"/>
        </w:rPr>
        <w:t>avouerai-je</w:t>
      </w:r>
      <w:r w:rsidR="00C2602D" w:rsidRPr="00C8701B">
        <w:rPr>
          <w:rFonts w:eastAsia="Arial Unicode MS"/>
          <w:bCs/>
          <w:lang w:eastAsia="fr-FR" w:bidi="he-IL"/>
        </w:rPr>
        <w:t> ?</w:t>
      </w:r>
      <w:r w:rsidR="00B704AD" w:rsidRPr="00C8701B">
        <w:rPr>
          <w:rFonts w:eastAsia="Arial Unicode MS"/>
          <w:bCs/>
          <w:lang w:eastAsia="fr-FR" w:bidi="he-IL"/>
        </w:rPr>
        <w:t>dit</w:t>
      </w:r>
      <w:r>
        <w:rPr>
          <w:rFonts w:eastAsia="Arial Unicode MS"/>
          <w:bCs/>
          <w:lang w:eastAsia="fr-FR" w:bidi="he-IL"/>
        </w:rPr>
        <w:t xml:space="preserve"> </w:t>
      </w:r>
      <w:r w:rsidR="00B704AD" w:rsidRPr="00C8701B">
        <w:rPr>
          <w:rFonts w:eastAsia="Arial Unicode MS"/>
          <w:bCs/>
          <w:lang w:eastAsia="fr-FR" w:bidi="he-IL"/>
        </w:rPr>
        <w:t>M. Laboulaye</w:t>
      </w:r>
      <w:r w:rsidR="00933C60" w:rsidRPr="00C406FF">
        <w:rPr>
          <w:rStyle w:val="Appelnotedebasdep"/>
        </w:rPr>
        <w:footnoteReference w:id="505"/>
      </w:r>
      <w:r w:rsidR="00B704AD" w:rsidRPr="00C8701B">
        <w:rPr>
          <w:rFonts w:eastAsia="Arial Unicode MS"/>
          <w:bCs/>
          <w:lang w:eastAsia="fr-FR" w:bidi="he-IL"/>
        </w:rPr>
        <w:t>. Quand</w:t>
      </w:r>
      <w:r w:rsidR="00E65435">
        <w:rPr>
          <w:rFonts w:eastAsia="Arial Unicode MS"/>
          <w:bCs/>
          <w:lang w:eastAsia="fr-FR" w:bidi="he-IL"/>
        </w:rPr>
        <w:t xml:space="preserve">, </w:t>
      </w:r>
      <w:r w:rsidR="00B704AD" w:rsidRPr="00C8701B">
        <w:rPr>
          <w:rFonts w:eastAsia="Arial Unicode MS"/>
          <w:bCs/>
          <w:lang w:eastAsia="fr-FR" w:bidi="he-IL"/>
        </w:rPr>
        <w:t>à la suite de guides aussi savants</w:t>
      </w:r>
      <w:r w:rsidR="00E65435">
        <w:rPr>
          <w:rFonts w:eastAsia="Arial Unicode MS"/>
          <w:bCs/>
          <w:lang w:eastAsia="fr-FR" w:bidi="he-IL"/>
        </w:rPr>
        <w:t xml:space="preserve">, </w:t>
      </w:r>
      <w:r w:rsidR="00B704AD" w:rsidRPr="00C8701B">
        <w:rPr>
          <w:rFonts w:eastAsia="Arial Unicode MS"/>
          <w:bCs/>
          <w:lang w:eastAsia="fr-FR" w:bidi="he-IL"/>
        </w:rPr>
        <w:t>j</w:t>
      </w:r>
      <w:r w:rsidR="00557DE0">
        <w:rPr>
          <w:rFonts w:eastAsia="Arial Unicode MS"/>
          <w:bCs/>
          <w:lang w:eastAsia="fr-FR" w:bidi="he-IL"/>
        </w:rPr>
        <w:t>’</w:t>
      </w:r>
      <w:r w:rsidR="00B704AD" w:rsidRPr="00C8701B">
        <w:rPr>
          <w:rFonts w:eastAsia="Arial Unicode MS"/>
          <w:bCs/>
          <w:lang w:eastAsia="fr-FR" w:bidi="he-IL"/>
        </w:rPr>
        <w:t>ai traversé cette mêlée de doctrines</w:t>
      </w:r>
      <w:r w:rsidR="00933C60" w:rsidRPr="00C406FF">
        <w:rPr>
          <w:rStyle w:val="Appelnotedebasdep"/>
        </w:rPr>
        <w:footnoteReference w:id="506"/>
      </w:r>
      <w:r w:rsidR="00E65435">
        <w:rPr>
          <w:rFonts w:eastAsia="Arial Unicode MS"/>
          <w:bCs/>
          <w:lang w:eastAsia="fr-FR" w:bidi="he-IL"/>
        </w:rPr>
        <w:t xml:space="preserve">, </w:t>
      </w:r>
      <w:r w:rsidR="00B704AD" w:rsidRPr="00C8701B">
        <w:rPr>
          <w:rFonts w:eastAsia="Arial Unicode MS"/>
          <w:bCs/>
          <w:lang w:eastAsia="fr-FR" w:bidi="he-IL"/>
        </w:rPr>
        <w:t>au sortir de ce bruit et de cette poussière</w:t>
      </w:r>
      <w:r w:rsidR="00E65435">
        <w:rPr>
          <w:rFonts w:eastAsia="Arial Unicode MS"/>
          <w:bCs/>
          <w:lang w:eastAsia="fr-FR" w:bidi="he-IL"/>
        </w:rPr>
        <w:t xml:space="preserve">, </w:t>
      </w:r>
      <w:r w:rsidR="00B704AD" w:rsidRPr="00C8701B">
        <w:rPr>
          <w:rFonts w:eastAsia="Arial Unicode MS"/>
          <w:bCs/>
          <w:lang w:eastAsia="fr-FR" w:bidi="he-IL"/>
        </w:rPr>
        <w:t>je me trouve plus instruit sans doute</w:t>
      </w:r>
      <w:r w:rsidR="00E65435">
        <w:rPr>
          <w:rFonts w:eastAsia="Arial Unicode MS"/>
          <w:bCs/>
          <w:lang w:eastAsia="fr-FR" w:bidi="he-IL"/>
        </w:rPr>
        <w:t xml:space="preserve">, </w:t>
      </w:r>
      <w:r w:rsidR="00B704AD" w:rsidRPr="00C8701B">
        <w:rPr>
          <w:rFonts w:eastAsia="Arial Unicode MS"/>
          <w:bCs/>
          <w:lang w:eastAsia="fr-FR" w:bidi="he-IL"/>
        </w:rPr>
        <w:t>et cependant je me sens triste et découragé. Involontairement</w:t>
      </w:r>
      <w:r w:rsidR="00E65435">
        <w:rPr>
          <w:rFonts w:eastAsia="Arial Unicode MS"/>
          <w:bCs/>
          <w:lang w:eastAsia="fr-FR" w:bidi="he-IL"/>
        </w:rPr>
        <w:t xml:space="preserve">, </w:t>
      </w:r>
      <w:r w:rsidR="00B704AD" w:rsidRPr="00C8701B">
        <w:rPr>
          <w:rFonts w:eastAsia="Arial Unicode MS"/>
          <w:bCs/>
          <w:lang w:eastAsia="fr-FR" w:bidi="he-IL"/>
        </w:rPr>
        <w:t xml:space="preserve">je pense à Faust et à cette </w:t>
      </w:r>
      <w:r>
        <w:rPr>
          <w:rFonts w:eastAsia="Arial Unicode MS"/>
          <w:bCs/>
          <w:lang w:eastAsia="fr-FR" w:bidi="he-IL"/>
        </w:rPr>
        <w:t>s</w:t>
      </w:r>
      <w:r w:rsidR="00B704AD" w:rsidRPr="00C8701B">
        <w:rPr>
          <w:rFonts w:eastAsia="Arial Unicode MS"/>
          <w:bCs/>
          <w:lang w:eastAsia="fr-FR" w:bidi="he-IL"/>
        </w:rPr>
        <w:t>cience qui</w:t>
      </w:r>
      <w:r w:rsidR="00E65435">
        <w:rPr>
          <w:rFonts w:eastAsia="Arial Unicode MS"/>
          <w:bCs/>
          <w:lang w:eastAsia="fr-FR" w:bidi="he-IL"/>
        </w:rPr>
        <w:t xml:space="preserve">, </w:t>
      </w:r>
      <w:r>
        <w:rPr>
          <w:rFonts w:eastAsia="Arial Unicode MS"/>
          <w:bCs/>
          <w:lang w:eastAsia="fr-FR" w:bidi="he-IL"/>
        </w:rPr>
        <w:t>en nous enseignant que nous ne</w:t>
      </w:r>
      <w:r w:rsidR="00B704AD" w:rsidRPr="00C8701B">
        <w:rPr>
          <w:rFonts w:eastAsia="Arial Unicode MS"/>
          <w:bCs/>
          <w:lang w:eastAsia="fr-FR" w:bidi="he-IL"/>
        </w:rPr>
        <w:t xml:space="preserve"> pouvons rien savoir</w:t>
      </w:r>
      <w:r w:rsidR="00E65435">
        <w:rPr>
          <w:rFonts w:eastAsia="Arial Unicode MS"/>
          <w:bCs/>
          <w:lang w:eastAsia="fr-FR" w:bidi="he-IL"/>
        </w:rPr>
        <w:t xml:space="preserve">, </w:t>
      </w:r>
      <w:r w:rsidR="00B704AD" w:rsidRPr="00C8701B">
        <w:rPr>
          <w:rFonts w:eastAsia="Arial Unicode MS"/>
          <w:bCs/>
          <w:lang w:eastAsia="fr-FR" w:bidi="he-IL"/>
        </w:rPr>
        <w:t>nous ôte toute croyance</w:t>
      </w:r>
      <w:r w:rsidR="00E65435">
        <w:rPr>
          <w:rFonts w:eastAsia="Arial Unicode MS"/>
          <w:bCs/>
          <w:lang w:eastAsia="fr-FR" w:bidi="he-IL"/>
        </w:rPr>
        <w:t xml:space="preserve">, </w:t>
      </w:r>
      <w:r w:rsidR="00B704AD" w:rsidRPr="00C8701B">
        <w:rPr>
          <w:rFonts w:eastAsia="Arial Unicode MS"/>
          <w:bCs/>
          <w:lang w:eastAsia="fr-FR" w:bidi="he-IL"/>
        </w:rPr>
        <w:t>toute joie</w:t>
      </w:r>
      <w:r w:rsidR="00E65435">
        <w:rPr>
          <w:rFonts w:eastAsia="Arial Unicode MS"/>
          <w:bCs/>
          <w:lang w:eastAsia="fr-FR" w:bidi="he-IL"/>
        </w:rPr>
        <w:t xml:space="preserve">, </w:t>
      </w:r>
      <w:r w:rsidR="00B704AD" w:rsidRPr="00C8701B">
        <w:rPr>
          <w:rFonts w:eastAsia="Arial Unicode MS"/>
          <w:bCs/>
          <w:lang w:eastAsia="fr-FR" w:bidi="he-IL"/>
        </w:rPr>
        <w:t>tout amour. Las et abattu comme un homme accablé par un rêve pénible</w:t>
      </w:r>
      <w:r w:rsidR="00E65435">
        <w:rPr>
          <w:rFonts w:eastAsia="Arial Unicode MS"/>
          <w:bCs/>
          <w:lang w:eastAsia="fr-FR" w:bidi="he-IL"/>
        </w:rPr>
        <w:t xml:space="preserve">, </w:t>
      </w:r>
      <w:r w:rsidR="00B704AD" w:rsidRPr="00C8701B">
        <w:rPr>
          <w:rFonts w:eastAsia="Arial Unicode MS"/>
          <w:bCs/>
          <w:lang w:eastAsia="fr-FR" w:bidi="he-IL"/>
        </w:rPr>
        <w:t>j</w:t>
      </w:r>
      <w:r w:rsidR="00557DE0">
        <w:rPr>
          <w:rFonts w:eastAsia="Arial Unicode MS"/>
          <w:bCs/>
          <w:lang w:eastAsia="fr-FR" w:bidi="he-IL"/>
        </w:rPr>
        <w:t>’</w:t>
      </w:r>
      <w:r w:rsidR="00B704AD" w:rsidRPr="00C8701B">
        <w:rPr>
          <w:rFonts w:eastAsia="Arial Unicode MS"/>
          <w:bCs/>
          <w:lang w:eastAsia="fr-FR" w:bidi="he-IL"/>
        </w:rPr>
        <w:t>ouvre l</w:t>
      </w:r>
      <w:r w:rsidR="00557DE0">
        <w:rPr>
          <w:rFonts w:eastAsia="Arial Unicode MS"/>
          <w:bCs/>
          <w:lang w:eastAsia="fr-FR" w:bidi="he-IL"/>
        </w:rPr>
        <w:t>’</w:t>
      </w:r>
      <w:r w:rsidR="000439E9">
        <w:rPr>
          <w:rFonts w:eastAsia="Arial Unicode MS"/>
          <w:bCs/>
          <w:lang w:eastAsia="fr-FR" w:bidi="he-IL"/>
        </w:rPr>
        <w:t>Évangile</w:t>
      </w:r>
      <w:r w:rsidR="00C2602D" w:rsidRPr="00C8701B">
        <w:rPr>
          <w:rFonts w:eastAsia="Arial Unicode MS"/>
          <w:bCs/>
          <w:lang w:eastAsia="fr-FR" w:bidi="he-IL"/>
        </w:rPr>
        <w:t> </w:t>
      </w:r>
      <w:r w:rsidR="007F6508">
        <w:rPr>
          <w:rFonts w:eastAsia="Arial Unicode MS"/>
          <w:bCs/>
          <w:lang w:eastAsia="fr-FR" w:bidi="he-IL"/>
        </w:rPr>
        <w:t xml:space="preserve">; </w:t>
      </w:r>
      <w:r>
        <w:rPr>
          <w:rFonts w:eastAsia="Arial Unicode MS"/>
          <w:bCs/>
          <w:lang w:eastAsia="fr-FR" w:bidi="he-IL"/>
        </w:rPr>
        <w:t>il me semble que je sors</w:t>
      </w:r>
      <w:r w:rsidR="00B704AD" w:rsidRPr="00C8701B">
        <w:rPr>
          <w:rFonts w:eastAsia="Arial Unicode MS"/>
          <w:bCs/>
          <w:lang w:eastAsia="fr-FR" w:bidi="he-IL"/>
        </w:rPr>
        <w:t xml:space="preserve"> de l</w:t>
      </w:r>
      <w:r w:rsidR="00557DE0">
        <w:rPr>
          <w:rFonts w:eastAsia="Arial Unicode MS"/>
          <w:bCs/>
          <w:lang w:eastAsia="fr-FR" w:bidi="he-IL"/>
        </w:rPr>
        <w:t>’</w:t>
      </w:r>
      <w:r w:rsidR="00B704AD" w:rsidRPr="00C8701B">
        <w:rPr>
          <w:rFonts w:eastAsia="Arial Unicode MS"/>
          <w:bCs/>
          <w:lang w:eastAsia="fr-FR" w:bidi="he-IL"/>
        </w:rPr>
        <w:t>empire des ombres</w:t>
      </w:r>
      <w:r w:rsidR="00E65435">
        <w:rPr>
          <w:rFonts w:eastAsia="Arial Unicode MS"/>
          <w:bCs/>
          <w:lang w:eastAsia="fr-FR" w:bidi="he-IL"/>
        </w:rPr>
        <w:t xml:space="preserve">, </w:t>
      </w:r>
      <w:r w:rsidR="00B704AD" w:rsidRPr="00C8701B">
        <w:rPr>
          <w:rFonts w:eastAsia="Arial Unicode MS"/>
          <w:bCs/>
          <w:lang w:eastAsia="fr-FR" w:bidi="he-IL"/>
        </w:rPr>
        <w:t>pour entrer dans le royaume de la vérité. Ce langage familier qui a charmé mon enfance m</w:t>
      </w:r>
      <w:r w:rsidR="00557DE0">
        <w:rPr>
          <w:rFonts w:eastAsia="Arial Unicode MS"/>
          <w:bCs/>
          <w:lang w:eastAsia="fr-FR" w:bidi="he-IL"/>
        </w:rPr>
        <w:t>’</w:t>
      </w:r>
      <w:r w:rsidR="00B704AD" w:rsidRPr="00C8701B">
        <w:rPr>
          <w:rFonts w:eastAsia="Arial Unicode MS"/>
          <w:bCs/>
          <w:lang w:eastAsia="fr-FR" w:bidi="he-IL"/>
        </w:rPr>
        <w:t>étonne par sa profondeur</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j</w:t>
      </w:r>
      <w:r w:rsidR="00557DE0">
        <w:rPr>
          <w:rFonts w:eastAsia="Arial Unicode MS"/>
          <w:bCs/>
          <w:lang w:eastAsia="fr-FR" w:bidi="he-IL"/>
        </w:rPr>
        <w:t>’</w:t>
      </w:r>
      <w:r w:rsidR="00B704AD" w:rsidRPr="00C8701B">
        <w:rPr>
          <w:rFonts w:eastAsia="Arial Unicode MS"/>
          <w:bCs/>
          <w:lang w:eastAsia="fr-FR" w:bidi="he-IL"/>
        </w:rPr>
        <w:t>y vois</w:t>
      </w:r>
      <w:r w:rsidR="00E65435">
        <w:rPr>
          <w:rFonts w:eastAsia="Arial Unicode MS"/>
          <w:bCs/>
          <w:lang w:eastAsia="fr-FR" w:bidi="he-IL"/>
        </w:rPr>
        <w:t xml:space="preserve">, </w:t>
      </w:r>
      <w:r w:rsidR="00B704AD" w:rsidRPr="00C8701B">
        <w:rPr>
          <w:rFonts w:eastAsia="Arial Unicode MS"/>
          <w:bCs/>
          <w:lang w:eastAsia="fr-FR" w:bidi="he-IL"/>
        </w:rPr>
        <w:t>j</w:t>
      </w:r>
      <w:r w:rsidR="00557DE0">
        <w:rPr>
          <w:rFonts w:eastAsia="Arial Unicode MS"/>
          <w:bCs/>
          <w:lang w:eastAsia="fr-FR" w:bidi="he-IL"/>
        </w:rPr>
        <w:t>’</w:t>
      </w:r>
      <w:r w:rsidR="00B704AD" w:rsidRPr="00C8701B">
        <w:rPr>
          <w:rFonts w:eastAsia="Arial Unicode MS"/>
          <w:bCs/>
          <w:lang w:eastAsia="fr-FR" w:bidi="he-IL"/>
        </w:rPr>
        <w:t>y sens une science qui dépasse de bien loin toutes les conceptions humaines. Après dix-huit siècles</w:t>
      </w:r>
      <w:r w:rsidR="00E65435">
        <w:rPr>
          <w:rFonts w:eastAsia="Arial Unicode MS"/>
          <w:bCs/>
          <w:lang w:eastAsia="fr-FR" w:bidi="he-IL"/>
        </w:rPr>
        <w:t xml:space="preserve">, </w:t>
      </w:r>
      <w:r w:rsidR="00B704AD" w:rsidRPr="00C8701B">
        <w:rPr>
          <w:rFonts w:eastAsia="Arial Unicode MS"/>
          <w:bCs/>
          <w:lang w:eastAsia="fr-FR" w:bidi="he-IL"/>
        </w:rPr>
        <w:t>la sagesse du siècle nous ramène aux doutes d</w:t>
      </w:r>
      <w:r w:rsidR="00557DE0">
        <w:rPr>
          <w:rFonts w:eastAsia="Arial Unicode MS"/>
          <w:bCs/>
          <w:lang w:eastAsia="fr-FR" w:bidi="he-IL"/>
        </w:rPr>
        <w:t>’</w:t>
      </w:r>
      <w:r w:rsidR="00B704AD" w:rsidRPr="00C8701B">
        <w:rPr>
          <w:rFonts w:eastAsia="Arial Unicode MS"/>
          <w:bCs/>
          <w:lang w:eastAsia="fr-FR" w:bidi="he-IL"/>
        </w:rPr>
        <w:t>un monde expirant</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après dix-huit siècles</w:t>
      </w:r>
      <w:r w:rsidR="00E65435">
        <w:rPr>
          <w:rFonts w:eastAsia="Arial Unicode MS"/>
          <w:bCs/>
          <w:lang w:eastAsia="fr-FR" w:bidi="he-IL"/>
        </w:rPr>
        <w:t xml:space="preserve">, </w:t>
      </w:r>
      <w:r w:rsidR="00B704AD" w:rsidRPr="00C8701B">
        <w:rPr>
          <w:rFonts w:eastAsia="Arial Unicode MS"/>
          <w:bCs/>
          <w:lang w:eastAsia="fr-FR" w:bidi="he-IL"/>
        </w:rPr>
        <w:t>le Christ nous parle de Dieu</w:t>
      </w:r>
      <w:r w:rsidR="00E65435">
        <w:rPr>
          <w:rFonts w:eastAsia="Arial Unicode MS"/>
          <w:bCs/>
          <w:lang w:eastAsia="fr-FR" w:bidi="he-IL"/>
        </w:rPr>
        <w:t xml:space="preserve">, </w:t>
      </w:r>
      <w:r w:rsidR="00B704AD" w:rsidRPr="00C8701B">
        <w:rPr>
          <w:rFonts w:eastAsia="Arial Unicode MS"/>
          <w:bCs/>
          <w:lang w:eastAsia="fr-FR" w:bidi="he-IL"/>
        </w:rPr>
        <w:t>de notre âme</w:t>
      </w:r>
      <w:r w:rsidR="00E65435">
        <w:rPr>
          <w:rFonts w:eastAsia="Arial Unicode MS"/>
          <w:bCs/>
          <w:lang w:eastAsia="fr-FR" w:bidi="he-IL"/>
        </w:rPr>
        <w:t xml:space="preserve">, </w:t>
      </w:r>
      <w:r w:rsidR="00B704AD" w:rsidRPr="00C8701B">
        <w:rPr>
          <w:rFonts w:eastAsia="Arial Unicode MS"/>
          <w:bCs/>
          <w:lang w:eastAsia="fr-FR" w:bidi="he-IL"/>
        </w:rPr>
        <w:t>du salut</w:t>
      </w:r>
      <w:r w:rsidR="00E65435">
        <w:rPr>
          <w:rFonts w:eastAsia="Arial Unicode MS"/>
          <w:bCs/>
          <w:lang w:eastAsia="fr-FR" w:bidi="he-IL"/>
        </w:rPr>
        <w:t xml:space="preserve">, </w:t>
      </w:r>
      <w:r w:rsidR="00B704AD" w:rsidRPr="00C8701B">
        <w:rPr>
          <w:rFonts w:eastAsia="Arial Unicode MS"/>
          <w:bCs/>
          <w:lang w:eastAsia="fr-FR" w:bidi="he-IL"/>
        </w:rPr>
        <w:t>de la liberté</w:t>
      </w:r>
      <w:r w:rsidR="00E65435">
        <w:rPr>
          <w:rFonts w:eastAsia="Arial Unicode MS"/>
          <w:bCs/>
          <w:lang w:eastAsia="fr-FR" w:bidi="he-IL"/>
        </w:rPr>
        <w:t xml:space="preserve">, </w:t>
      </w:r>
      <w:r w:rsidR="00B704AD" w:rsidRPr="00C8701B">
        <w:rPr>
          <w:rFonts w:eastAsia="Arial Unicode MS"/>
          <w:bCs/>
          <w:lang w:eastAsia="fr-FR" w:bidi="he-IL"/>
        </w:rPr>
        <w:t>du devoir</w:t>
      </w:r>
      <w:r w:rsidR="00E65435">
        <w:rPr>
          <w:rFonts w:eastAsia="Arial Unicode MS"/>
          <w:bCs/>
          <w:lang w:eastAsia="fr-FR" w:bidi="he-IL"/>
        </w:rPr>
        <w:t xml:space="preserve">, </w:t>
      </w:r>
      <w:r w:rsidR="00B704AD" w:rsidRPr="00C8701B">
        <w:rPr>
          <w:rFonts w:eastAsia="Arial Unicode MS"/>
          <w:bCs/>
          <w:lang w:eastAsia="fr-FR" w:bidi="he-IL"/>
        </w:rPr>
        <w:t>de la justi</w:t>
      </w:r>
      <w:r>
        <w:rPr>
          <w:rFonts w:eastAsia="Arial Unicode MS"/>
          <w:bCs/>
          <w:lang w:eastAsia="fr-FR" w:bidi="he-IL"/>
        </w:rPr>
        <w:t>ce</w:t>
      </w:r>
      <w:r w:rsidR="00E65435">
        <w:rPr>
          <w:rFonts w:eastAsia="Arial Unicode MS"/>
          <w:bCs/>
          <w:lang w:eastAsia="fr-FR" w:bidi="he-IL"/>
        </w:rPr>
        <w:t xml:space="preserve">, </w:t>
      </w:r>
      <w:r w:rsidR="00B704AD" w:rsidRPr="00C8701B">
        <w:rPr>
          <w:rFonts w:eastAsia="Arial Unicode MS"/>
          <w:bCs/>
          <w:lang w:eastAsia="fr-FR" w:bidi="he-IL"/>
        </w:rPr>
        <w:t>comme s</w:t>
      </w:r>
      <w:r w:rsidR="00557DE0">
        <w:rPr>
          <w:rFonts w:eastAsia="Arial Unicode MS"/>
          <w:bCs/>
          <w:lang w:eastAsia="fr-FR" w:bidi="he-IL"/>
        </w:rPr>
        <w:t>’</w:t>
      </w:r>
      <w:r w:rsidR="00B704AD" w:rsidRPr="00C8701B">
        <w:rPr>
          <w:rFonts w:eastAsia="Arial Unicode MS"/>
          <w:bCs/>
          <w:lang w:eastAsia="fr-FR" w:bidi="he-IL"/>
        </w:rPr>
        <w:t>il venait d</w:t>
      </w:r>
      <w:r w:rsidR="00557DE0">
        <w:rPr>
          <w:rFonts w:eastAsia="Arial Unicode MS"/>
          <w:bCs/>
          <w:lang w:eastAsia="fr-FR" w:bidi="he-IL"/>
        </w:rPr>
        <w:t>’</w:t>
      </w:r>
      <w:r w:rsidR="00B704AD" w:rsidRPr="00C8701B">
        <w:rPr>
          <w:rFonts w:eastAsia="Arial Unicode MS"/>
          <w:bCs/>
          <w:lang w:eastAsia="fr-FR" w:bidi="he-IL"/>
        </w:rPr>
        <w:t>entendre notre voix émue</w:t>
      </w:r>
      <w:r w:rsidR="00E65435">
        <w:rPr>
          <w:rFonts w:eastAsia="Arial Unicode MS"/>
          <w:bCs/>
          <w:lang w:eastAsia="fr-FR" w:bidi="he-IL"/>
        </w:rPr>
        <w:t xml:space="preserve">, </w:t>
      </w:r>
      <w:r w:rsidR="00B704AD" w:rsidRPr="00C8701B">
        <w:rPr>
          <w:rFonts w:eastAsia="Arial Unicode MS"/>
          <w:bCs/>
          <w:lang w:eastAsia="fr-FR" w:bidi="he-IL"/>
        </w:rPr>
        <w:t>comme s</w:t>
      </w:r>
      <w:r w:rsidR="00557DE0">
        <w:rPr>
          <w:rFonts w:eastAsia="Arial Unicode MS"/>
          <w:bCs/>
          <w:lang w:eastAsia="fr-FR" w:bidi="he-IL"/>
        </w:rPr>
        <w:t>’</w:t>
      </w:r>
      <w:r>
        <w:rPr>
          <w:rFonts w:eastAsia="Arial Unicode MS"/>
          <w:bCs/>
          <w:lang w:eastAsia="fr-FR" w:bidi="he-IL"/>
        </w:rPr>
        <w:t>il répondait au cri de notre cœ</w:t>
      </w:r>
      <w:r w:rsidR="00B704AD" w:rsidRPr="00C8701B">
        <w:rPr>
          <w:rFonts w:eastAsia="Arial Unicode MS"/>
          <w:bCs/>
          <w:lang w:eastAsia="fr-FR" w:bidi="he-IL"/>
        </w:rPr>
        <w:t>ur troublé</w:t>
      </w:r>
      <w:r w:rsidR="00C2602D" w:rsidRPr="00C8701B">
        <w:rPr>
          <w:rFonts w:eastAsia="Arial Unicode MS"/>
          <w:bCs/>
          <w:lang w:eastAsia="fr-FR" w:bidi="he-IL"/>
        </w:rPr>
        <w:t> !</w:t>
      </w:r>
      <w:r w:rsidR="00B704AD" w:rsidRPr="00C8701B">
        <w:rPr>
          <w:rFonts w:eastAsia="Arial Unicode MS"/>
          <w:bCs/>
          <w:lang w:eastAsia="fr-FR" w:bidi="he-IL"/>
        </w:rPr>
        <w:t xml:space="preserve"> Voyez ce que </w:t>
      </w:r>
      <w:r w:rsidR="00EA28F4" w:rsidRPr="00C8701B">
        <w:rPr>
          <w:rFonts w:eastAsia="Arial Unicode MS"/>
          <w:bCs/>
          <w:lang w:eastAsia="fr-FR" w:bidi="he-IL"/>
        </w:rPr>
        <w:t>Hegel</w:t>
      </w:r>
      <w:r w:rsidR="00B704AD" w:rsidRPr="00C8701B">
        <w:rPr>
          <w:rFonts w:eastAsia="Arial Unicode MS"/>
          <w:bCs/>
          <w:lang w:eastAsia="fr-FR" w:bidi="he-IL"/>
        </w:rPr>
        <w:t xml:space="preserve"> a péniblement enfanté après une vie de méditations et de recherches</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étudiez ces constructions tourmentées</w:t>
      </w:r>
      <w:r w:rsidR="00E65435">
        <w:rPr>
          <w:rFonts w:eastAsia="Arial Unicode MS"/>
          <w:bCs/>
          <w:lang w:eastAsia="fr-FR" w:bidi="he-IL"/>
        </w:rPr>
        <w:t xml:space="preserve">, </w:t>
      </w:r>
      <w:r w:rsidR="00B704AD" w:rsidRPr="00C8701B">
        <w:rPr>
          <w:rFonts w:eastAsia="Arial Unicode MS"/>
          <w:bCs/>
          <w:lang w:eastAsia="fr-FR" w:bidi="he-IL"/>
        </w:rPr>
        <w:t>suivez la subtilité de ces raisonnements où les mots</w:t>
      </w:r>
      <w:r w:rsidR="00E65435">
        <w:rPr>
          <w:rFonts w:eastAsia="Arial Unicode MS"/>
          <w:bCs/>
          <w:lang w:eastAsia="fr-FR" w:bidi="he-IL"/>
        </w:rPr>
        <w:t xml:space="preserve">, </w:t>
      </w:r>
      <w:r>
        <w:rPr>
          <w:rFonts w:eastAsia="Arial Unicode MS"/>
          <w:bCs/>
          <w:lang w:eastAsia="fr-FR" w:bidi="he-IL"/>
        </w:rPr>
        <w:t>prennent là place des c</w:t>
      </w:r>
      <w:r w:rsidR="00B704AD" w:rsidRPr="00C8701B">
        <w:rPr>
          <w:rFonts w:eastAsia="Arial Unicode MS"/>
          <w:bCs/>
          <w:lang w:eastAsia="fr-FR" w:bidi="he-IL"/>
        </w:rPr>
        <w:t>hoses</w:t>
      </w:r>
      <w:r w:rsidR="00C2602D" w:rsidRPr="00C8701B">
        <w:rPr>
          <w:rFonts w:eastAsia="Arial Unicode MS"/>
          <w:bCs/>
          <w:lang w:eastAsia="fr-FR" w:bidi="he-IL"/>
        </w:rPr>
        <w:t> </w:t>
      </w:r>
      <w:r w:rsidR="007F6508">
        <w:rPr>
          <w:rFonts w:eastAsia="Arial Unicode MS"/>
          <w:bCs/>
          <w:lang w:eastAsia="fr-FR" w:bidi="he-IL"/>
        </w:rPr>
        <w:t xml:space="preserve">; </w:t>
      </w:r>
      <w:r>
        <w:rPr>
          <w:rFonts w:eastAsia="Arial Unicode MS"/>
          <w:bCs/>
          <w:lang w:eastAsia="fr-FR" w:bidi="he-IL"/>
        </w:rPr>
        <w:t>e</w:t>
      </w:r>
      <w:r w:rsidR="00B704AD" w:rsidRPr="00C8701B">
        <w:rPr>
          <w:rFonts w:eastAsia="Arial Unicode MS"/>
          <w:bCs/>
          <w:lang w:eastAsia="fr-FR" w:bidi="he-IL"/>
        </w:rPr>
        <w:t>t maintenant</w:t>
      </w:r>
      <w:r w:rsidR="00E65435">
        <w:rPr>
          <w:rFonts w:eastAsia="Arial Unicode MS"/>
          <w:bCs/>
          <w:lang w:eastAsia="fr-FR" w:bidi="he-IL"/>
        </w:rPr>
        <w:t xml:space="preserve">, </w:t>
      </w:r>
      <w:r w:rsidR="00B704AD" w:rsidRPr="00C8701B">
        <w:rPr>
          <w:rFonts w:eastAsia="Arial Unicode MS"/>
          <w:bCs/>
          <w:lang w:eastAsia="fr-FR" w:bidi="he-IL"/>
        </w:rPr>
        <w:t>prenez l</w:t>
      </w:r>
      <w:r w:rsidR="00557DE0">
        <w:rPr>
          <w:rFonts w:eastAsia="Arial Unicode MS"/>
          <w:bCs/>
          <w:lang w:eastAsia="fr-FR" w:bidi="he-IL"/>
        </w:rPr>
        <w:t>’</w:t>
      </w:r>
      <w:r w:rsidR="000439E9">
        <w:rPr>
          <w:rFonts w:eastAsia="Arial Unicode MS"/>
          <w:bCs/>
          <w:lang w:eastAsia="fr-FR" w:bidi="he-IL"/>
        </w:rPr>
        <w:t>Évangile</w:t>
      </w:r>
      <w:r w:rsidR="00E65435">
        <w:rPr>
          <w:rFonts w:eastAsia="Arial Unicode MS"/>
          <w:bCs/>
          <w:lang w:eastAsia="fr-FR" w:bidi="he-IL"/>
        </w:rPr>
        <w:t xml:space="preserve">, </w:t>
      </w:r>
      <w:r w:rsidR="00B704AD" w:rsidRPr="00C8701B">
        <w:rPr>
          <w:rFonts w:eastAsia="Arial Unicode MS"/>
          <w:bCs/>
          <w:lang w:eastAsia="fr-FR" w:bidi="he-IL"/>
        </w:rPr>
        <w:t>et lisez au hasard un discours du Christ</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 xml:space="preserve">mettez sans crainte à côté de </w:t>
      </w:r>
      <w:r w:rsidR="00EA28F4" w:rsidRPr="00C8701B">
        <w:rPr>
          <w:rFonts w:eastAsia="Arial Unicode MS"/>
          <w:bCs/>
          <w:lang w:eastAsia="fr-FR" w:bidi="he-IL"/>
        </w:rPr>
        <w:t>Spinoza</w:t>
      </w:r>
      <w:r w:rsidR="00B704AD" w:rsidRPr="00C8701B">
        <w:rPr>
          <w:rFonts w:eastAsia="Arial Unicode MS"/>
          <w:bCs/>
          <w:lang w:eastAsia="fr-FR" w:bidi="he-IL"/>
        </w:rPr>
        <w:t xml:space="preserve"> et de </w:t>
      </w:r>
      <w:r w:rsidR="00EA28F4" w:rsidRPr="00C8701B">
        <w:rPr>
          <w:rFonts w:eastAsia="Arial Unicode MS"/>
          <w:bCs/>
          <w:lang w:eastAsia="fr-FR" w:bidi="he-IL"/>
        </w:rPr>
        <w:t>Hegel</w:t>
      </w:r>
      <w:r w:rsidR="00B704AD" w:rsidRPr="00C8701B">
        <w:rPr>
          <w:rFonts w:eastAsia="Arial Unicode MS"/>
          <w:bCs/>
          <w:lang w:eastAsia="fr-FR" w:bidi="he-IL"/>
        </w:rPr>
        <w:t xml:space="preserve"> la douce et sereine figure de Jésus. Où est l</w:t>
      </w:r>
      <w:r w:rsidR="00557DE0">
        <w:rPr>
          <w:rFonts w:eastAsia="Arial Unicode MS"/>
          <w:bCs/>
          <w:lang w:eastAsia="fr-FR" w:bidi="he-IL"/>
        </w:rPr>
        <w:t>’</w:t>
      </w:r>
      <w:r w:rsidR="00B704AD" w:rsidRPr="00C8701B">
        <w:rPr>
          <w:rFonts w:eastAsia="Arial Unicode MS"/>
          <w:bCs/>
          <w:lang w:eastAsia="fr-FR" w:bidi="he-IL"/>
        </w:rPr>
        <w:t>idéal du beau</w:t>
      </w:r>
      <w:r w:rsidR="00E65435">
        <w:rPr>
          <w:rFonts w:eastAsia="Arial Unicode MS"/>
          <w:bCs/>
          <w:lang w:eastAsia="fr-FR" w:bidi="he-IL"/>
        </w:rPr>
        <w:t xml:space="preserve">, </w:t>
      </w:r>
      <w:r w:rsidR="00B704AD" w:rsidRPr="00C8701B">
        <w:rPr>
          <w:rFonts w:eastAsia="Arial Unicode MS"/>
          <w:bCs/>
          <w:lang w:eastAsia="fr-FR" w:bidi="he-IL"/>
        </w:rPr>
        <w:t>du vrai</w:t>
      </w:r>
      <w:r>
        <w:rPr>
          <w:rFonts w:eastAsia="Arial Unicode MS"/>
          <w:bCs/>
          <w:lang w:eastAsia="fr-FR" w:bidi="he-IL"/>
        </w:rPr>
        <w:t xml:space="preserve">, </w:t>
      </w:r>
      <w:r w:rsidR="00B704AD" w:rsidRPr="00C8701B">
        <w:rPr>
          <w:rFonts w:eastAsia="Arial Unicode MS"/>
          <w:bCs/>
          <w:lang w:eastAsia="fr-FR" w:bidi="he-IL"/>
        </w:rPr>
        <w:t>du bien</w:t>
      </w:r>
      <w:r w:rsidR="00C2602D" w:rsidRPr="00C8701B">
        <w:rPr>
          <w:rFonts w:eastAsia="Arial Unicode MS"/>
          <w:bCs/>
          <w:lang w:eastAsia="fr-FR" w:bidi="he-IL"/>
        </w:rPr>
        <w:t> ?</w:t>
      </w:r>
      <w:r w:rsidR="00B704AD" w:rsidRPr="00C8701B">
        <w:rPr>
          <w:rFonts w:eastAsia="Arial Unicode MS"/>
          <w:bCs/>
          <w:lang w:eastAsia="fr-FR" w:bidi="he-IL"/>
        </w:rPr>
        <w:t xml:space="preserve"> Où est la doctrine qui </w:t>
      </w:r>
      <w:r w:rsidR="00257FD6">
        <w:rPr>
          <w:rFonts w:eastAsia="Arial Unicode MS"/>
          <w:bCs/>
          <w:lang w:eastAsia="fr-FR" w:bidi="he-IL"/>
        </w:rPr>
        <w:t>puisse</w:t>
      </w:r>
      <w:r w:rsidR="00B704AD" w:rsidRPr="00C8701B">
        <w:rPr>
          <w:rFonts w:eastAsia="Arial Unicode MS"/>
          <w:bCs/>
          <w:lang w:eastAsia="fr-FR" w:bidi="he-IL"/>
        </w:rPr>
        <w:t xml:space="preserve"> charmer les plus grands</w:t>
      </w:r>
      <w:r w:rsidR="007475F7" w:rsidRPr="00C8701B">
        <w:rPr>
          <w:rFonts w:eastAsia="Arial Unicode MS"/>
          <w:bCs/>
          <w:lang w:eastAsia="fr-FR" w:bidi="he-IL"/>
        </w:rPr>
        <w:t xml:space="preserve"> </w:t>
      </w:r>
      <w:r w:rsidR="00B704AD" w:rsidRPr="00C8701B">
        <w:rPr>
          <w:rFonts w:eastAsia="Arial Unicode MS"/>
          <w:bCs/>
          <w:lang w:eastAsia="fr-FR" w:bidi="he-IL"/>
        </w:rPr>
        <w:t>esprits et consoler les plus petits</w:t>
      </w:r>
      <w:r w:rsidR="00C2602D" w:rsidRPr="00C8701B">
        <w:rPr>
          <w:rFonts w:eastAsia="Arial Unicode MS"/>
          <w:bCs/>
          <w:lang w:eastAsia="fr-FR" w:bidi="he-IL"/>
        </w:rPr>
        <w:t> ?</w:t>
      </w:r>
      <w:r w:rsidR="00B704AD" w:rsidRPr="00C8701B">
        <w:rPr>
          <w:rFonts w:eastAsia="Arial Unicode MS"/>
          <w:bCs/>
          <w:lang w:eastAsia="fr-FR" w:bidi="he-IL"/>
        </w:rPr>
        <w:t xml:space="preserve"> Où trouve-t-on la règle des mœurs pour l</w:t>
      </w:r>
      <w:r w:rsidR="00557DE0">
        <w:rPr>
          <w:rFonts w:eastAsia="Arial Unicode MS"/>
          <w:bCs/>
          <w:lang w:eastAsia="fr-FR" w:bidi="he-IL"/>
        </w:rPr>
        <w:t>’</w:t>
      </w:r>
      <w:r w:rsidR="00B704AD" w:rsidRPr="00C8701B">
        <w:rPr>
          <w:rFonts w:eastAsia="Arial Unicode MS"/>
          <w:bCs/>
          <w:lang w:eastAsia="fr-FR" w:bidi="he-IL"/>
        </w:rPr>
        <w:t>homme</w:t>
      </w:r>
      <w:r w:rsidR="00E65435">
        <w:rPr>
          <w:rFonts w:eastAsia="Arial Unicode MS"/>
          <w:bCs/>
          <w:lang w:eastAsia="fr-FR" w:bidi="he-IL"/>
        </w:rPr>
        <w:t xml:space="preserve">, </w:t>
      </w:r>
      <w:r w:rsidR="00B704AD" w:rsidRPr="00C8701B">
        <w:rPr>
          <w:rFonts w:eastAsia="Arial Unicode MS"/>
          <w:bCs/>
          <w:lang w:eastAsia="fr-FR" w:bidi="he-IL"/>
        </w:rPr>
        <w:t>la règle du devoir et de la justice pour le citoyen</w:t>
      </w:r>
      <w:r w:rsidR="00C2602D" w:rsidRPr="00C8701B">
        <w:rPr>
          <w:rFonts w:eastAsia="Arial Unicode MS"/>
          <w:bCs/>
          <w:lang w:eastAsia="fr-FR" w:bidi="he-IL"/>
        </w:rPr>
        <w:t> ?</w:t>
      </w:r>
      <w:r w:rsidR="00B704AD" w:rsidRPr="00C8701B">
        <w:rPr>
          <w:rFonts w:eastAsia="Arial Unicode MS"/>
          <w:bCs/>
          <w:lang w:eastAsia="fr-FR" w:bidi="he-IL"/>
        </w:rPr>
        <w:t xml:space="preserve"> Où est la vie</w:t>
      </w:r>
      <w:r w:rsidR="00E65435">
        <w:rPr>
          <w:rFonts w:eastAsia="Arial Unicode MS"/>
          <w:bCs/>
          <w:lang w:eastAsia="fr-FR" w:bidi="he-IL"/>
        </w:rPr>
        <w:t xml:space="preserve">, </w:t>
      </w:r>
      <w:r w:rsidR="00B704AD" w:rsidRPr="00C8701B">
        <w:rPr>
          <w:rFonts w:eastAsia="Arial Unicode MS"/>
          <w:bCs/>
          <w:lang w:eastAsia="fr-FR" w:bidi="he-IL"/>
        </w:rPr>
        <w:t>où est l</w:t>
      </w:r>
      <w:r w:rsidR="00557DE0">
        <w:rPr>
          <w:rFonts w:eastAsia="Arial Unicode MS"/>
          <w:bCs/>
          <w:lang w:eastAsia="fr-FR" w:bidi="he-IL"/>
        </w:rPr>
        <w:t>’</w:t>
      </w:r>
      <w:r w:rsidR="00B704AD" w:rsidRPr="00C8701B">
        <w:rPr>
          <w:rFonts w:eastAsia="Arial Unicode MS"/>
          <w:bCs/>
          <w:lang w:eastAsia="fr-FR" w:bidi="he-IL"/>
        </w:rPr>
        <w:t>espoir</w:t>
      </w:r>
      <w:r w:rsidR="00C2602D" w:rsidRPr="00C8701B">
        <w:rPr>
          <w:rFonts w:eastAsia="Arial Unicode MS"/>
          <w:bCs/>
          <w:lang w:eastAsia="fr-FR" w:bidi="he-IL"/>
        </w:rPr>
        <w:t> ?</w:t>
      </w:r>
      <w:r w:rsidR="00B704AD" w:rsidRPr="00C8701B">
        <w:rPr>
          <w:rFonts w:eastAsia="Arial Unicode MS"/>
          <w:bCs/>
          <w:lang w:eastAsia="fr-FR" w:bidi="he-IL"/>
        </w:rPr>
        <w:t xml:space="preserve"> Encore une fois</w:t>
      </w:r>
      <w:r w:rsidR="00E65435">
        <w:rPr>
          <w:rFonts w:eastAsia="Arial Unicode MS"/>
          <w:bCs/>
          <w:lang w:eastAsia="fr-FR" w:bidi="he-IL"/>
        </w:rPr>
        <w:t xml:space="preserve">, </w:t>
      </w:r>
      <w:r w:rsidR="00B704AD" w:rsidRPr="00C8701B">
        <w:rPr>
          <w:rFonts w:eastAsia="Arial Unicode MS"/>
          <w:bCs/>
          <w:lang w:eastAsia="fr-FR" w:bidi="he-IL"/>
        </w:rPr>
        <w:t>oubliez votre église</w:t>
      </w:r>
      <w:r w:rsidR="00E65435">
        <w:rPr>
          <w:rFonts w:eastAsia="Arial Unicode MS"/>
          <w:bCs/>
          <w:lang w:eastAsia="fr-FR" w:bidi="he-IL"/>
        </w:rPr>
        <w:t xml:space="preserve">, </w:t>
      </w:r>
      <w:r>
        <w:rPr>
          <w:rFonts w:eastAsia="Arial Unicode MS"/>
          <w:bCs/>
          <w:lang w:eastAsia="fr-FR" w:bidi="he-IL"/>
        </w:rPr>
        <w:t>ou vo</w:t>
      </w:r>
      <w:r w:rsidR="00B704AD" w:rsidRPr="00C8701B">
        <w:rPr>
          <w:rFonts w:eastAsia="Arial Unicode MS"/>
          <w:bCs/>
          <w:lang w:eastAsia="fr-FR" w:bidi="he-IL"/>
        </w:rPr>
        <w:t>tre école</w:t>
      </w:r>
      <w:r w:rsidR="00E65435">
        <w:rPr>
          <w:rFonts w:eastAsia="Arial Unicode MS"/>
          <w:bCs/>
          <w:lang w:eastAsia="fr-FR" w:bidi="he-IL"/>
        </w:rPr>
        <w:t xml:space="preserve">, </w:t>
      </w:r>
      <w:r w:rsidR="00B704AD" w:rsidRPr="00C8701B">
        <w:rPr>
          <w:rFonts w:eastAsia="Arial Unicode MS"/>
          <w:bCs/>
          <w:lang w:eastAsia="fr-FR" w:bidi="he-IL"/>
        </w:rPr>
        <w:t xml:space="preserve">et regardez froidement. Les systèmes de </w:t>
      </w:r>
      <w:r w:rsidR="00EA28F4" w:rsidRPr="00C8701B">
        <w:rPr>
          <w:rFonts w:eastAsia="Arial Unicode MS"/>
          <w:bCs/>
          <w:lang w:eastAsia="fr-FR" w:bidi="he-IL"/>
        </w:rPr>
        <w:t>Spinoza</w:t>
      </w:r>
      <w:r w:rsidR="00B704AD" w:rsidRPr="00C8701B">
        <w:rPr>
          <w:rFonts w:eastAsia="Arial Unicode MS"/>
          <w:bCs/>
          <w:lang w:eastAsia="fr-FR" w:bidi="he-IL"/>
        </w:rPr>
        <w:t xml:space="preserve"> n</w:t>
      </w:r>
      <w:r w:rsidR="00557DE0">
        <w:rPr>
          <w:rFonts w:eastAsia="Arial Unicode MS"/>
          <w:bCs/>
          <w:lang w:eastAsia="fr-FR" w:bidi="he-IL"/>
        </w:rPr>
        <w:t>’</w:t>
      </w:r>
      <w:r w:rsidR="00B704AD" w:rsidRPr="00C8701B">
        <w:rPr>
          <w:rFonts w:eastAsia="Arial Unicode MS"/>
          <w:bCs/>
          <w:lang w:eastAsia="fr-FR" w:bidi="he-IL"/>
        </w:rPr>
        <w:t xml:space="preserve">ont pas survécu à leur maître. Le système de </w:t>
      </w:r>
      <w:r w:rsidR="00EA28F4" w:rsidRPr="00C8701B">
        <w:rPr>
          <w:rFonts w:eastAsia="Arial Unicode MS"/>
          <w:bCs/>
          <w:lang w:eastAsia="fr-FR" w:bidi="he-IL"/>
        </w:rPr>
        <w:t>Hegel</w:t>
      </w:r>
      <w:r w:rsidR="00B704AD" w:rsidRPr="00C8701B">
        <w:rPr>
          <w:rFonts w:eastAsia="Arial Unicode MS"/>
          <w:bCs/>
          <w:lang w:eastAsia="fr-FR" w:bidi="he-IL"/>
        </w:rPr>
        <w:t xml:space="preserve"> est mort et ruiné</w:t>
      </w:r>
      <w:r w:rsidR="00E65435">
        <w:rPr>
          <w:rFonts w:eastAsia="Arial Unicode MS"/>
          <w:bCs/>
          <w:lang w:eastAsia="fr-FR" w:bidi="he-IL"/>
        </w:rPr>
        <w:t xml:space="preserve">, </w:t>
      </w:r>
      <w:r w:rsidR="00B704AD" w:rsidRPr="00C8701B">
        <w:rPr>
          <w:rFonts w:eastAsia="Arial Unicode MS"/>
          <w:bCs/>
          <w:lang w:eastAsia="fr-FR" w:bidi="he-IL"/>
        </w:rPr>
        <w:t>comm</w:t>
      </w:r>
      <w:r>
        <w:rPr>
          <w:rFonts w:eastAsia="Arial Unicode MS"/>
          <w:bCs/>
          <w:lang w:eastAsia="fr-FR" w:bidi="he-IL"/>
        </w:rPr>
        <w:t>e toutes les œuvres humaines. U</w:t>
      </w:r>
      <w:r w:rsidR="00B704AD" w:rsidRPr="00C8701B">
        <w:rPr>
          <w:rFonts w:eastAsia="Arial Unicode MS"/>
          <w:bCs/>
          <w:lang w:eastAsia="fr-FR" w:bidi="he-IL"/>
        </w:rPr>
        <w:t>ne seule philosophie est debout</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dix-huit siècles l</w:t>
      </w:r>
      <w:r w:rsidR="00557DE0">
        <w:rPr>
          <w:rFonts w:eastAsia="Arial Unicode MS"/>
          <w:bCs/>
          <w:lang w:eastAsia="fr-FR" w:bidi="he-IL"/>
        </w:rPr>
        <w:t>’</w:t>
      </w:r>
      <w:r w:rsidR="00B704AD" w:rsidRPr="00C8701B">
        <w:rPr>
          <w:rFonts w:eastAsia="Arial Unicode MS"/>
          <w:bCs/>
          <w:lang w:eastAsia="fr-FR" w:bidi="he-IL"/>
        </w:rPr>
        <w:t>ont si peu usée</w:t>
      </w:r>
      <w:r w:rsidR="00E65435">
        <w:rPr>
          <w:rFonts w:eastAsia="Arial Unicode MS"/>
          <w:bCs/>
          <w:lang w:eastAsia="fr-FR" w:bidi="he-IL"/>
        </w:rPr>
        <w:t xml:space="preserve">, </w:t>
      </w:r>
      <w:r w:rsidR="00B704AD" w:rsidRPr="00C8701B">
        <w:rPr>
          <w:rFonts w:eastAsia="Arial Unicode MS"/>
          <w:bCs/>
          <w:lang w:eastAsia="fr-FR" w:bidi="he-IL"/>
        </w:rPr>
        <w:t>que c</w:t>
      </w:r>
      <w:r w:rsidR="00557DE0">
        <w:rPr>
          <w:rFonts w:eastAsia="Arial Unicode MS"/>
          <w:bCs/>
          <w:lang w:eastAsia="fr-FR" w:bidi="he-IL"/>
        </w:rPr>
        <w:t>’</w:t>
      </w:r>
      <w:r w:rsidR="00B704AD" w:rsidRPr="00C8701B">
        <w:rPr>
          <w:rFonts w:eastAsia="Arial Unicode MS"/>
          <w:bCs/>
          <w:lang w:eastAsia="fr-FR" w:bidi="he-IL"/>
        </w:rPr>
        <w:t>est à peine si l</w:t>
      </w:r>
      <w:r w:rsidR="00557DE0">
        <w:rPr>
          <w:rFonts w:eastAsia="Arial Unicode MS"/>
          <w:bCs/>
          <w:lang w:eastAsia="fr-FR" w:bidi="he-IL"/>
        </w:rPr>
        <w:t>’</w:t>
      </w:r>
      <w:r w:rsidR="00B704AD" w:rsidRPr="00C8701B">
        <w:rPr>
          <w:rFonts w:eastAsia="Arial Unicode MS"/>
          <w:bCs/>
          <w:lang w:eastAsia="fr-FR" w:bidi="he-IL"/>
        </w:rPr>
        <w:t>humanité commence à la comprendre. C</w:t>
      </w:r>
      <w:r w:rsidR="00557DE0">
        <w:rPr>
          <w:rFonts w:eastAsia="Arial Unicode MS"/>
          <w:bCs/>
          <w:lang w:eastAsia="fr-FR" w:bidi="he-IL"/>
        </w:rPr>
        <w:t>’</w:t>
      </w:r>
      <w:r w:rsidR="00B704AD" w:rsidRPr="00C8701B">
        <w:rPr>
          <w:rFonts w:eastAsia="Arial Unicode MS"/>
          <w:bCs/>
          <w:lang w:eastAsia="fr-FR" w:bidi="he-IL"/>
        </w:rPr>
        <w:t>est la doctrine</w:t>
      </w:r>
      <w:r w:rsidR="001B4203">
        <w:rPr>
          <w:rFonts w:eastAsia="Arial Unicode MS"/>
          <w:bCs/>
          <w:lang w:eastAsia="fr-FR" w:bidi="he-IL"/>
        </w:rPr>
        <w:t xml:space="preserve"> </w:t>
      </w:r>
      <w:r w:rsidR="00B704AD" w:rsidRPr="00C8701B">
        <w:rPr>
          <w:rFonts w:eastAsia="Arial Unicode MS"/>
          <w:bCs/>
          <w:lang w:eastAsia="fr-FR" w:bidi="he-IL"/>
        </w:rPr>
        <w:t>de celui qui seul a pu dire aux hommes</w:t>
      </w:r>
      <w:r w:rsidR="00C2602D" w:rsidRPr="00C8701B">
        <w:rPr>
          <w:rFonts w:eastAsia="Arial Unicode MS"/>
          <w:bCs/>
          <w:lang w:eastAsia="fr-FR" w:bidi="he-IL"/>
        </w:rPr>
        <w:t> :</w:t>
      </w:r>
      <w:r w:rsidR="00CE11E9">
        <w:rPr>
          <w:rFonts w:eastAsia="Arial Unicode MS"/>
          <w:bCs/>
          <w:lang w:eastAsia="fr-FR" w:bidi="he-IL"/>
        </w:rPr>
        <w:t xml:space="preserve"> </w:t>
      </w:r>
      <w:r>
        <w:rPr>
          <w:rFonts w:eastAsia="Arial Unicode MS"/>
          <w:bCs/>
          <w:lang w:eastAsia="fr-FR" w:bidi="he-IL"/>
        </w:rPr>
        <w:t>“</w:t>
      </w:r>
      <w:r w:rsidR="00B704AD" w:rsidRPr="00C8701B">
        <w:rPr>
          <w:rFonts w:eastAsia="Arial Unicode MS"/>
          <w:bCs/>
          <w:lang w:eastAsia="fr-FR" w:bidi="he-IL"/>
        </w:rPr>
        <w:t>Si vous tenez à ma parole</w:t>
      </w:r>
      <w:r w:rsidR="00E65435">
        <w:rPr>
          <w:rFonts w:eastAsia="Arial Unicode MS"/>
          <w:bCs/>
          <w:lang w:eastAsia="fr-FR" w:bidi="he-IL"/>
        </w:rPr>
        <w:t xml:space="preserve">, </w:t>
      </w:r>
      <w:r w:rsidR="00B704AD" w:rsidRPr="00C8701B">
        <w:rPr>
          <w:rFonts w:eastAsia="Arial Unicode MS"/>
          <w:bCs/>
          <w:lang w:eastAsia="fr-FR" w:bidi="he-IL"/>
        </w:rPr>
        <w:t>vous connaîtrez la vérité</w:t>
      </w:r>
      <w:r w:rsidR="00E65435">
        <w:rPr>
          <w:rFonts w:eastAsia="Arial Unicode MS"/>
          <w:bCs/>
          <w:lang w:eastAsia="fr-FR" w:bidi="he-IL"/>
        </w:rPr>
        <w:t xml:space="preserve">, </w:t>
      </w:r>
      <w:r w:rsidR="00B704AD" w:rsidRPr="00C8701B">
        <w:rPr>
          <w:rFonts w:eastAsia="Arial Unicode MS"/>
          <w:bCs/>
          <w:lang w:eastAsia="fr-FR" w:bidi="he-IL"/>
        </w:rPr>
        <w:t>et la vérité vous affranchira</w:t>
      </w:r>
      <w:r>
        <w:rPr>
          <w:rFonts w:eastAsia="Arial Unicode MS"/>
          <w:bCs/>
          <w:lang w:eastAsia="fr-FR" w:bidi="he-IL"/>
        </w:rPr>
        <w:t>”</w:t>
      </w:r>
      <w:r w:rsidR="00D7320E">
        <w:rPr>
          <w:rFonts w:eastAsia="Arial Unicode MS"/>
          <w:bCs/>
          <w:lang w:eastAsia="fr-FR" w:bidi="he-IL"/>
        </w:rPr>
        <w:t> »</w:t>
      </w:r>
      <w:r w:rsidR="00933C60" w:rsidRPr="00C406FF">
        <w:rPr>
          <w:rStyle w:val="Appelnotedebasdep"/>
        </w:rPr>
        <w:footnoteReference w:id="507"/>
      </w:r>
      <w:r w:rsidR="00B704AD"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40307B" w:rsidP="007475F7">
      <w:pPr>
        <w:rPr>
          <w:rFonts w:eastAsia="Arial Unicode MS"/>
          <w:bCs/>
          <w:lang w:eastAsia="fr-FR" w:bidi="he-IL"/>
        </w:rPr>
      </w:pPr>
      <w:r w:rsidRPr="00C8701B">
        <w:rPr>
          <w:rFonts w:eastAsia="Arial Unicode MS"/>
          <w:bCs/>
          <w:lang w:eastAsia="fr-FR" w:bidi="he-IL"/>
        </w:rPr>
        <w:t xml:space="preserve"> </w:t>
      </w:r>
      <w:r w:rsidR="00C2602D" w:rsidRPr="00C8701B">
        <w:rPr>
          <w:rFonts w:eastAsia="Arial Unicode MS"/>
          <w:bCs/>
          <w:lang w:eastAsia="fr-FR" w:bidi="he-IL"/>
        </w:rPr>
        <w:t>« </w:t>
      </w:r>
      <w:r w:rsidR="00B704AD" w:rsidRPr="00C8701B">
        <w:rPr>
          <w:rFonts w:eastAsia="Arial Unicode MS"/>
          <w:bCs/>
          <w:lang w:eastAsia="fr-FR" w:bidi="he-IL"/>
        </w:rPr>
        <w:t>La divinité de Jésus-Christ... transparaît partout dans l</w:t>
      </w:r>
      <w:r w:rsidR="00557DE0">
        <w:rPr>
          <w:rFonts w:eastAsia="Arial Unicode MS"/>
          <w:bCs/>
          <w:lang w:eastAsia="fr-FR" w:bidi="he-IL"/>
        </w:rPr>
        <w:t>’</w:t>
      </w:r>
      <w:r w:rsidR="000439E9">
        <w:rPr>
          <w:rFonts w:eastAsia="Arial Unicode MS"/>
          <w:bCs/>
          <w:lang w:eastAsia="fr-FR" w:bidi="he-IL"/>
        </w:rPr>
        <w:t>Évangile</w:t>
      </w:r>
      <w:r w:rsidR="00B704AD" w:rsidRPr="00C8701B">
        <w:rPr>
          <w:rFonts w:eastAsia="Arial Unicode MS"/>
          <w:bCs/>
          <w:lang w:eastAsia="fr-FR" w:bidi="he-IL"/>
        </w:rPr>
        <w:t>. Il en est tout rayonnant</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et</w:t>
      </w:r>
      <w:r w:rsidR="00E65435">
        <w:rPr>
          <w:rFonts w:eastAsia="Arial Unicode MS"/>
          <w:bCs/>
          <w:lang w:eastAsia="fr-FR" w:bidi="he-IL"/>
        </w:rPr>
        <w:t xml:space="preserve">, </w:t>
      </w:r>
      <w:r w:rsidR="00B704AD" w:rsidRPr="00C8701B">
        <w:rPr>
          <w:rFonts w:eastAsia="Arial Unicode MS"/>
          <w:bCs/>
          <w:lang w:eastAsia="fr-FR" w:bidi="he-IL"/>
        </w:rPr>
        <w:t>ce qui est admirable et vraiment divin</w:t>
      </w:r>
      <w:r w:rsidR="00E65435">
        <w:rPr>
          <w:rFonts w:eastAsia="Arial Unicode MS"/>
          <w:bCs/>
          <w:lang w:eastAsia="fr-FR" w:bidi="he-IL"/>
        </w:rPr>
        <w:t xml:space="preserve">, </w:t>
      </w:r>
      <w:r w:rsidR="00B704AD" w:rsidRPr="00C8701B">
        <w:rPr>
          <w:rFonts w:eastAsia="Arial Unicode MS"/>
          <w:bCs/>
          <w:lang w:eastAsia="fr-FR" w:bidi="he-IL"/>
        </w:rPr>
        <w:t>c</w:t>
      </w:r>
      <w:r w:rsidR="00557DE0">
        <w:rPr>
          <w:rFonts w:eastAsia="Arial Unicode MS"/>
          <w:bCs/>
          <w:lang w:eastAsia="fr-FR" w:bidi="he-IL"/>
        </w:rPr>
        <w:t>’</w:t>
      </w:r>
      <w:r w:rsidR="00B704AD" w:rsidRPr="00C8701B">
        <w:rPr>
          <w:rFonts w:eastAsia="Arial Unicode MS"/>
          <w:bCs/>
          <w:lang w:eastAsia="fr-FR" w:bidi="he-IL"/>
        </w:rPr>
        <w:t>est que</w:t>
      </w:r>
      <w:r w:rsidR="00E65435">
        <w:rPr>
          <w:rFonts w:eastAsia="Arial Unicode MS"/>
          <w:bCs/>
          <w:lang w:eastAsia="fr-FR" w:bidi="he-IL"/>
        </w:rPr>
        <w:t xml:space="preserve">, </w:t>
      </w:r>
      <w:r w:rsidR="00B704AD" w:rsidRPr="00C8701B">
        <w:rPr>
          <w:rFonts w:eastAsia="Arial Unicode MS"/>
          <w:bCs/>
          <w:lang w:eastAsia="fr-FR" w:bidi="he-IL"/>
        </w:rPr>
        <w:t>selon l</w:t>
      </w:r>
      <w:r w:rsidR="00557DE0">
        <w:rPr>
          <w:rFonts w:eastAsia="Arial Unicode MS"/>
          <w:bCs/>
          <w:lang w:eastAsia="fr-FR" w:bidi="he-IL"/>
        </w:rPr>
        <w:t>’</w:t>
      </w:r>
      <w:r w:rsidR="00B704AD" w:rsidRPr="00C8701B">
        <w:rPr>
          <w:rFonts w:eastAsia="Arial Unicode MS"/>
          <w:bCs/>
          <w:lang w:eastAsia="fr-FR" w:bidi="he-IL"/>
        </w:rPr>
        <w:t>état et les dispositions de l</w:t>
      </w:r>
      <w:r w:rsidR="00557DE0">
        <w:rPr>
          <w:rFonts w:eastAsia="Arial Unicode MS"/>
          <w:bCs/>
          <w:lang w:eastAsia="fr-FR" w:bidi="he-IL"/>
        </w:rPr>
        <w:t>’</w:t>
      </w:r>
      <w:r w:rsidR="00B704AD" w:rsidRPr="00C8701B">
        <w:rPr>
          <w:rFonts w:eastAsia="Arial Unicode MS"/>
          <w:bCs/>
          <w:lang w:eastAsia="fr-FR" w:bidi="he-IL"/>
        </w:rPr>
        <w:t>âme</w:t>
      </w:r>
      <w:r w:rsidR="00E65435">
        <w:rPr>
          <w:rFonts w:eastAsia="Arial Unicode MS"/>
          <w:bCs/>
          <w:lang w:eastAsia="fr-FR" w:bidi="he-IL"/>
        </w:rPr>
        <w:t xml:space="preserve">, </w:t>
      </w:r>
      <w:r w:rsidR="00B704AD" w:rsidRPr="00C8701B">
        <w:rPr>
          <w:rFonts w:eastAsia="Arial Unicode MS"/>
          <w:bCs/>
          <w:lang w:eastAsia="fr-FR" w:bidi="he-IL"/>
        </w:rPr>
        <w:t>on y découvre toujours de nouveaux aspects</w:t>
      </w:r>
      <w:r w:rsidR="00E65435">
        <w:rPr>
          <w:rFonts w:eastAsia="Arial Unicode MS"/>
          <w:bCs/>
          <w:lang w:eastAsia="fr-FR" w:bidi="he-IL"/>
        </w:rPr>
        <w:t xml:space="preserve">, </w:t>
      </w:r>
      <w:r w:rsidR="00B704AD" w:rsidRPr="00C8701B">
        <w:rPr>
          <w:rFonts w:eastAsia="Arial Unicode MS"/>
          <w:bCs/>
          <w:lang w:eastAsia="fr-FR" w:bidi="he-IL"/>
        </w:rPr>
        <w:t>de nouveaux sens</w:t>
      </w:r>
      <w:r w:rsidR="00E65435">
        <w:rPr>
          <w:rFonts w:eastAsia="Arial Unicode MS"/>
          <w:bCs/>
          <w:lang w:eastAsia="fr-FR" w:bidi="he-IL"/>
        </w:rPr>
        <w:t xml:space="preserve">, </w:t>
      </w:r>
      <w:r w:rsidR="00B704AD" w:rsidRPr="00C8701B">
        <w:rPr>
          <w:rFonts w:eastAsia="Arial Unicode MS"/>
          <w:bCs/>
          <w:lang w:eastAsia="fr-FR" w:bidi="he-IL"/>
        </w:rPr>
        <w:t>de nouvelles lumières</w:t>
      </w:r>
      <w:r w:rsidR="00E65435">
        <w:rPr>
          <w:rFonts w:eastAsia="Arial Unicode MS"/>
          <w:bCs/>
          <w:lang w:eastAsia="fr-FR" w:bidi="he-IL"/>
        </w:rPr>
        <w:t xml:space="preserve">, </w:t>
      </w:r>
      <w:r w:rsidR="00B704AD" w:rsidRPr="00C8701B">
        <w:rPr>
          <w:rFonts w:eastAsia="Arial Unicode MS"/>
          <w:bCs/>
          <w:lang w:eastAsia="fr-FR" w:bidi="he-IL"/>
        </w:rPr>
        <w:t>on en ressent de nouvelles effluves de force</w:t>
      </w:r>
      <w:r w:rsidR="00E65435">
        <w:rPr>
          <w:rFonts w:eastAsia="Arial Unicode MS"/>
          <w:bCs/>
          <w:lang w:eastAsia="fr-FR" w:bidi="he-IL"/>
        </w:rPr>
        <w:t xml:space="preserve">, </w:t>
      </w:r>
      <w:r w:rsidR="00B704AD" w:rsidRPr="00C8701B">
        <w:rPr>
          <w:rFonts w:eastAsia="Arial Unicode MS"/>
          <w:bCs/>
          <w:lang w:eastAsia="fr-FR" w:bidi="he-IL"/>
        </w:rPr>
        <w:t>de beauté</w:t>
      </w:r>
      <w:r w:rsidR="00E65435">
        <w:rPr>
          <w:rFonts w:eastAsia="Arial Unicode MS"/>
          <w:bCs/>
          <w:lang w:eastAsia="fr-FR" w:bidi="he-IL"/>
        </w:rPr>
        <w:t xml:space="preserve">, </w:t>
      </w:r>
      <w:r w:rsidR="00B704AD" w:rsidRPr="00C8701B">
        <w:rPr>
          <w:rFonts w:eastAsia="Arial Unicode MS"/>
          <w:bCs/>
          <w:lang w:eastAsia="fr-FR" w:bidi="he-IL"/>
        </w:rPr>
        <w:t xml:space="preserve">de </w:t>
      </w:r>
      <w:r w:rsidR="00EA28F4" w:rsidRPr="00C8701B">
        <w:rPr>
          <w:rFonts w:eastAsia="Arial Unicode MS"/>
          <w:bCs/>
          <w:lang w:eastAsia="fr-FR" w:bidi="he-IL"/>
        </w:rPr>
        <w:t>baume</w:t>
      </w:r>
      <w:r w:rsidR="00E65435">
        <w:rPr>
          <w:rFonts w:eastAsia="Arial Unicode MS"/>
          <w:bCs/>
          <w:lang w:eastAsia="fr-FR" w:bidi="he-IL"/>
        </w:rPr>
        <w:t xml:space="preserve">, </w:t>
      </w:r>
      <w:r w:rsidR="00B704AD" w:rsidRPr="00C8701B">
        <w:rPr>
          <w:rFonts w:eastAsia="Arial Unicode MS"/>
          <w:bCs/>
          <w:lang w:eastAsia="fr-FR" w:bidi="he-IL"/>
        </w:rPr>
        <w:t>de parfums régénérateurs et consolateurs appropriés à nos besoins et à nos maux</w:t>
      </w:r>
      <w:r w:rsidR="007475F7" w:rsidRPr="00C8701B">
        <w:rPr>
          <w:rFonts w:eastAsia="Arial Unicode MS"/>
          <w:bCs/>
          <w:lang w:eastAsia="fr-FR" w:bidi="he-IL"/>
        </w:rPr>
        <w:t xml:space="preserve"> </w:t>
      </w:r>
      <w:r w:rsidR="00B704AD" w:rsidRPr="00C8701B">
        <w:rPr>
          <w:rFonts w:eastAsia="Arial Unicode MS"/>
          <w:bCs/>
          <w:lang w:eastAsia="fr-FR" w:bidi="he-IL"/>
        </w:rPr>
        <w:t>c</w:t>
      </w:r>
      <w:r w:rsidR="00557DE0">
        <w:rPr>
          <w:rFonts w:eastAsia="Arial Unicode MS"/>
          <w:bCs/>
          <w:lang w:eastAsia="fr-FR" w:bidi="he-IL"/>
        </w:rPr>
        <w:t>’</w:t>
      </w:r>
      <w:r w:rsidR="00B704AD" w:rsidRPr="00C8701B">
        <w:rPr>
          <w:rFonts w:eastAsia="Arial Unicode MS"/>
          <w:bCs/>
          <w:lang w:eastAsia="fr-FR" w:bidi="he-IL"/>
        </w:rPr>
        <w:t>est que</w:t>
      </w:r>
      <w:r w:rsidR="00E65435">
        <w:rPr>
          <w:rFonts w:eastAsia="Arial Unicode MS"/>
          <w:bCs/>
          <w:lang w:eastAsia="fr-FR" w:bidi="he-IL"/>
        </w:rPr>
        <w:t xml:space="preserve">, </w:t>
      </w:r>
      <w:r w:rsidR="00B704AD" w:rsidRPr="00C8701B">
        <w:rPr>
          <w:rFonts w:eastAsia="Arial Unicode MS"/>
          <w:bCs/>
          <w:lang w:eastAsia="fr-FR" w:bidi="he-IL"/>
        </w:rPr>
        <w:t>en son sobre style</w:t>
      </w:r>
      <w:r w:rsidR="00E65435">
        <w:rPr>
          <w:rFonts w:eastAsia="Arial Unicode MS"/>
          <w:bCs/>
          <w:lang w:eastAsia="fr-FR" w:bidi="he-IL"/>
        </w:rPr>
        <w:t xml:space="preserve">, </w:t>
      </w:r>
      <w:r w:rsidR="00B704AD" w:rsidRPr="00C8701B">
        <w:rPr>
          <w:rFonts w:eastAsia="Arial Unicode MS"/>
          <w:bCs/>
          <w:lang w:eastAsia="fr-FR" w:bidi="he-IL"/>
        </w:rPr>
        <w:t>ce livre miraculeux défraie d</w:t>
      </w:r>
      <w:r w:rsidR="00557DE0">
        <w:rPr>
          <w:rFonts w:eastAsia="Arial Unicode MS"/>
          <w:bCs/>
          <w:lang w:eastAsia="fr-FR" w:bidi="he-IL"/>
        </w:rPr>
        <w:t>’</w:t>
      </w:r>
      <w:r w:rsidR="00B704AD" w:rsidRPr="00C8701B">
        <w:rPr>
          <w:rFonts w:eastAsia="Arial Unicode MS"/>
          <w:bCs/>
          <w:lang w:eastAsia="fr-FR" w:bidi="he-IL"/>
        </w:rPr>
        <w:t>un seul de ses mots la science des plus grands orateurs</w:t>
      </w:r>
      <w:r w:rsidR="00E65435">
        <w:rPr>
          <w:rFonts w:eastAsia="Arial Unicode MS"/>
          <w:bCs/>
          <w:lang w:eastAsia="fr-FR" w:bidi="he-IL"/>
        </w:rPr>
        <w:t xml:space="preserve">, </w:t>
      </w:r>
      <w:r w:rsidR="00B704AD" w:rsidRPr="00C8701B">
        <w:rPr>
          <w:rFonts w:eastAsia="Arial Unicode MS"/>
          <w:bCs/>
          <w:lang w:eastAsia="fr-FR" w:bidi="he-IL"/>
        </w:rPr>
        <w:t>en même temps qu</w:t>
      </w:r>
      <w:r w:rsidR="00557DE0">
        <w:rPr>
          <w:rFonts w:eastAsia="Arial Unicode MS"/>
          <w:bCs/>
          <w:lang w:eastAsia="fr-FR" w:bidi="he-IL"/>
        </w:rPr>
        <w:t>’</w:t>
      </w:r>
      <w:r w:rsidR="00B704AD" w:rsidRPr="00C8701B">
        <w:rPr>
          <w:rFonts w:eastAsia="Arial Unicode MS"/>
          <w:bCs/>
          <w:lang w:eastAsia="fr-FR" w:bidi="he-IL"/>
        </w:rPr>
        <w:t>il semble n</w:t>
      </w:r>
      <w:r w:rsidR="00557DE0">
        <w:rPr>
          <w:rFonts w:eastAsia="Arial Unicode MS"/>
          <w:bCs/>
          <w:lang w:eastAsia="fr-FR" w:bidi="he-IL"/>
        </w:rPr>
        <w:t>’</w:t>
      </w:r>
      <w:r w:rsidR="00B704AD" w:rsidRPr="00C8701B">
        <w:rPr>
          <w:rFonts w:eastAsia="Arial Unicode MS"/>
          <w:bCs/>
          <w:lang w:eastAsia="fr-FR" w:bidi="he-IL"/>
        </w:rPr>
        <w:t>être fait que pour évangéliser les pauvres. Il en est de l</w:t>
      </w:r>
      <w:r w:rsidR="00557DE0">
        <w:rPr>
          <w:rFonts w:eastAsia="Arial Unicode MS"/>
          <w:bCs/>
          <w:lang w:eastAsia="fr-FR" w:bidi="he-IL"/>
        </w:rPr>
        <w:t>’</w:t>
      </w:r>
      <w:r w:rsidR="000439E9">
        <w:rPr>
          <w:rFonts w:eastAsia="Arial Unicode MS"/>
          <w:bCs/>
          <w:lang w:eastAsia="fr-FR" w:bidi="he-IL"/>
        </w:rPr>
        <w:t>Évangile</w:t>
      </w:r>
      <w:r w:rsidR="00B704AD" w:rsidRPr="00C8701B">
        <w:rPr>
          <w:rFonts w:eastAsia="Arial Unicode MS"/>
          <w:bCs/>
          <w:lang w:eastAsia="fr-FR" w:bidi="he-IL"/>
        </w:rPr>
        <w:t xml:space="preserve"> comme</w:t>
      </w:r>
      <w:r w:rsidR="00C2602D" w:rsidRPr="00C8701B">
        <w:rPr>
          <w:rFonts w:eastAsia="Arial Unicode MS"/>
          <w:bCs/>
          <w:lang w:eastAsia="fr-FR" w:bidi="he-IL"/>
        </w:rPr>
        <w:t xml:space="preserve"> </w:t>
      </w:r>
      <w:r w:rsidR="00B52FA3">
        <w:rPr>
          <w:rFonts w:eastAsia="Arial Unicode MS"/>
          <w:bCs/>
          <w:lang w:eastAsia="fr-FR" w:bidi="he-IL"/>
        </w:rPr>
        <w:t>{96</w:t>
      </w:r>
      <w:bookmarkStart w:id="149" w:name="pag096"/>
      <w:bookmarkEnd w:id="149"/>
      <w:r w:rsidR="00B52FA3">
        <w:rPr>
          <w:rFonts w:eastAsia="Arial Unicode MS"/>
          <w:bCs/>
          <w:lang w:eastAsia="fr-FR" w:bidi="he-IL"/>
        </w:rPr>
        <w:t xml:space="preserve">} </w:t>
      </w:r>
      <w:r w:rsidR="00B704AD" w:rsidRPr="00C8701B">
        <w:rPr>
          <w:rFonts w:eastAsia="Arial Unicode MS"/>
          <w:bCs/>
          <w:lang w:eastAsia="fr-FR" w:bidi="he-IL"/>
        </w:rPr>
        <w:t>des grands spectacles de la nature</w:t>
      </w:r>
      <w:r w:rsidR="00E65435">
        <w:rPr>
          <w:rFonts w:eastAsia="Arial Unicode MS"/>
          <w:bCs/>
          <w:lang w:eastAsia="fr-FR" w:bidi="he-IL"/>
        </w:rPr>
        <w:t xml:space="preserve">, </w:t>
      </w:r>
      <w:r w:rsidR="00B704AD" w:rsidRPr="00C8701B">
        <w:rPr>
          <w:rFonts w:eastAsia="Arial Unicode MS"/>
          <w:bCs/>
          <w:lang w:eastAsia="fr-FR" w:bidi="he-IL"/>
        </w:rPr>
        <w:t>dont on ne saurait se faire une idée</w:t>
      </w:r>
      <w:r w:rsidR="00E65435">
        <w:rPr>
          <w:rFonts w:eastAsia="Arial Unicode MS"/>
          <w:bCs/>
          <w:lang w:eastAsia="fr-FR" w:bidi="he-IL"/>
        </w:rPr>
        <w:t xml:space="preserve">, </w:t>
      </w:r>
      <w:r w:rsidR="00B704AD" w:rsidRPr="00C8701B">
        <w:rPr>
          <w:rFonts w:eastAsia="Arial Unicode MS"/>
          <w:bCs/>
          <w:lang w:eastAsia="fr-FR" w:bidi="he-IL"/>
        </w:rPr>
        <w:t>et qu</w:t>
      </w:r>
      <w:r w:rsidR="00557DE0">
        <w:rPr>
          <w:rFonts w:eastAsia="Arial Unicode MS"/>
          <w:bCs/>
          <w:lang w:eastAsia="fr-FR" w:bidi="he-IL"/>
        </w:rPr>
        <w:t>’</w:t>
      </w:r>
      <w:r w:rsidR="00B704AD" w:rsidRPr="00C8701B">
        <w:rPr>
          <w:rFonts w:eastAsia="Arial Unicode MS"/>
          <w:bCs/>
          <w:lang w:eastAsia="fr-FR" w:bidi="he-IL"/>
        </w:rPr>
        <w:t>elle seule se réserve de faire voir</w:t>
      </w:r>
      <w:r w:rsidR="00E65435">
        <w:rPr>
          <w:rFonts w:eastAsia="Arial Unicode MS"/>
          <w:bCs/>
          <w:lang w:eastAsia="fr-FR" w:bidi="he-IL"/>
        </w:rPr>
        <w:t xml:space="preserve">, </w:t>
      </w:r>
      <w:r w:rsidR="00B704AD" w:rsidRPr="00C8701B">
        <w:rPr>
          <w:rFonts w:eastAsia="Arial Unicode MS"/>
          <w:bCs/>
          <w:lang w:eastAsia="fr-FR" w:bidi="he-IL"/>
        </w:rPr>
        <w:t>de la mer</w:t>
      </w:r>
      <w:r w:rsidR="00E65435">
        <w:rPr>
          <w:rFonts w:eastAsia="Arial Unicode MS"/>
          <w:bCs/>
          <w:lang w:eastAsia="fr-FR" w:bidi="he-IL"/>
        </w:rPr>
        <w:t xml:space="preserve">, </w:t>
      </w:r>
      <w:r w:rsidR="00B704AD" w:rsidRPr="00C8701B">
        <w:rPr>
          <w:rFonts w:eastAsia="Arial Unicode MS"/>
          <w:bCs/>
          <w:lang w:eastAsia="fr-FR" w:bidi="he-IL"/>
        </w:rPr>
        <w:t>des montagnes. Quelle diversité de mouvements dans le changement général de la mer</w:t>
      </w:r>
      <w:r w:rsidR="00C2602D" w:rsidRPr="00C8701B">
        <w:rPr>
          <w:rFonts w:eastAsia="Arial Unicode MS"/>
          <w:bCs/>
          <w:lang w:eastAsia="fr-FR" w:bidi="he-IL"/>
        </w:rPr>
        <w:t> !</w:t>
      </w:r>
      <w:r w:rsidR="00B704AD" w:rsidRPr="00C8701B">
        <w:rPr>
          <w:rFonts w:eastAsia="Arial Unicode MS"/>
          <w:bCs/>
          <w:lang w:eastAsia="fr-FR" w:bidi="he-IL"/>
        </w:rPr>
        <w:t xml:space="preserve"> Quels changements à vue dans l</w:t>
      </w:r>
      <w:r w:rsidR="00557DE0">
        <w:rPr>
          <w:rFonts w:eastAsia="Arial Unicode MS"/>
          <w:bCs/>
          <w:lang w:eastAsia="fr-FR" w:bidi="he-IL"/>
        </w:rPr>
        <w:t>’</w:t>
      </w:r>
      <w:r w:rsidR="00B704AD" w:rsidRPr="00C8701B">
        <w:rPr>
          <w:rFonts w:eastAsia="Arial Unicode MS"/>
          <w:bCs/>
          <w:lang w:eastAsia="fr-FR" w:bidi="he-IL"/>
        </w:rPr>
        <w:t>immutabilité même des montagnes</w:t>
      </w:r>
      <w:r w:rsidR="00C2602D" w:rsidRPr="00C8701B">
        <w:rPr>
          <w:rFonts w:eastAsia="Arial Unicode MS"/>
          <w:bCs/>
          <w:lang w:eastAsia="fr-FR" w:bidi="he-IL"/>
        </w:rPr>
        <w:t> !</w:t>
      </w:r>
      <w:r w:rsidR="006A4C4C">
        <w:rPr>
          <w:rFonts w:eastAsia="Arial Unicode MS"/>
          <w:bCs/>
          <w:lang w:eastAsia="fr-FR" w:bidi="he-IL"/>
        </w:rPr>
        <w:t xml:space="preserve"> Ain</w:t>
      </w:r>
      <w:r w:rsidR="00B704AD" w:rsidRPr="00C8701B">
        <w:rPr>
          <w:rFonts w:eastAsia="Arial Unicode MS"/>
          <w:bCs/>
          <w:lang w:eastAsia="fr-FR" w:bidi="he-IL"/>
        </w:rPr>
        <w:t>si de l</w:t>
      </w:r>
      <w:r w:rsidR="00557DE0">
        <w:rPr>
          <w:rFonts w:eastAsia="Arial Unicode MS"/>
          <w:bCs/>
          <w:lang w:eastAsia="fr-FR" w:bidi="he-IL"/>
        </w:rPr>
        <w:t>’</w:t>
      </w:r>
      <w:r w:rsidR="000439E9">
        <w:rPr>
          <w:rFonts w:eastAsia="Arial Unicode MS"/>
          <w:bCs/>
          <w:lang w:eastAsia="fr-FR" w:bidi="he-IL"/>
        </w:rPr>
        <w:t>Évangile</w:t>
      </w:r>
      <w:r w:rsidR="006A4C4C">
        <w:rPr>
          <w:rFonts w:eastAsia="Arial Unicode MS"/>
          <w:bCs/>
          <w:lang w:eastAsia="fr-FR" w:bidi="he-IL"/>
        </w:rPr>
        <w:t> »</w:t>
      </w:r>
      <w:r w:rsidR="006A4C4C">
        <w:rPr>
          <w:rStyle w:val="Appelnotedebasdep"/>
          <w:rFonts w:eastAsia="Arial Unicode MS"/>
          <w:bCs/>
          <w:lang w:eastAsia="fr-FR" w:bidi="he-IL"/>
        </w:rPr>
        <w:footnoteReference w:id="508"/>
      </w:r>
      <w:r w:rsidR="00B704AD"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C2602D" w:rsidP="00C2602D">
      <w:pPr>
        <w:rPr>
          <w:rFonts w:eastAsia="Arial Unicode MS"/>
          <w:bCs/>
          <w:lang w:eastAsia="fr-FR" w:bidi="he-IL"/>
        </w:rPr>
      </w:pPr>
      <w:r w:rsidRPr="00C8701B">
        <w:rPr>
          <w:rFonts w:eastAsia="Arial Unicode MS"/>
          <w:bCs/>
          <w:lang w:eastAsia="fr-FR" w:bidi="he-IL"/>
        </w:rPr>
        <w:t>« </w:t>
      </w:r>
      <w:r w:rsidR="00B704AD" w:rsidRPr="00C8701B">
        <w:rPr>
          <w:rFonts w:eastAsia="Arial Unicode MS"/>
          <w:bCs/>
          <w:lang w:eastAsia="fr-FR" w:bidi="he-IL"/>
        </w:rPr>
        <w:t>Ouvrons l</w:t>
      </w:r>
      <w:r w:rsidR="00557DE0">
        <w:rPr>
          <w:rFonts w:eastAsia="Arial Unicode MS"/>
          <w:bCs/>
          <w:lang w:eastAsia="fr-FR" w:bidi="he-IL"/>
        </w:rPr>
        <w:t>’</w:t>
      </w:r>
      <w:r w:rsidR="000439E9">
        <w:rPr>
          <w:rFonts w:eastAsia="Arial Unicode MS"/>
          <w:bCs/>
          <w:lang w:eastAsia="fr-FR" w:bidi="he-IL"/>
        </w:rPr>
        <w:t>Évangile</w:t>
      </w:r>
      <w:r w:rsidR="00B704AD" w:rsidRPr="00C8701B">
        <w:rPr>
          <w:rFonts w:eastAsia="Arial Unicode MS"/>
          <w:bCs/>
          <w:lang w:eastAsia="fr-FR" w:bidi="he-IL"/>
        </w:rPr>
        <w:t>. Quel parfum de vérité</w:t>
      </w:r>
      <w:r w:rsidRPr="00C8701B">
        <w:rPr>
          <w:rFonts w:eastAsia="Arial Unicode MS"/>
          <w:bCs/>
          <w:lang w:eastAsia="fr-FR" w:bidi="he-IL"/>
        </w:rPr>
        <w:t> !</w:t>
      </w:r>
      <w:r w:rsidR="00B704AD" w:rsidRPr="00C8701B">
        <w:rPr>
          <w:rFonts w:eastAsia="Arial Unicode MS"/>
          <w:bCs/>
          <w:lang w:eastAsia="fr-FR" w:bidi="he-IL"/>
        </w:rPr>
        <w:t xml:space="preserve"> et comment la méconnaître à cette simplicité</w:t>
      </w:r>
      <w:r w:rsidR="00E65435">
        <w:rPr>
          <w:rFonts w:eastAsia="Arial Unicode MS"/>
          <w:bCs/>
          <w:lang w:eastAsia="fr-FR" w:bidi="he-IL"/>
        </w:rPr>
        <w:t xml:space="preserve">, </w:t>
      </w:r>
      <w:r w:rsidR="00B704AD" w:rsidRPr="00C8701B">
        <w:rPr>
          <w:rFonts w:eastAsia="Arial Unicode MS"/>
          <w:bCs/>
          <w:lang w:eastAsia="fr-FR" w:bidi="he-IL"/>
        </w:rPr>
        <w:t>à cette indigence</w:t>
      </w:r>
      <w:r w:rsidR="00E65435">
        <w:rPr>
          <w:rFonts w:eastAsia="Arial Unicode MS"/>
          <w:bCs/>
          <w:lang w:eastAsia="fr-FR" w:bidi="he-IL"/>
        </w:rPr>
        <w:t xml:space="preserve">, </w:t>
      </w:r>
      <w:r w:rsidR="00B704AD" w:rsidRPr="00C8701B">
        <w:rPr>
          <w:rFonts w:eastAsia="Arial Unicode MS"/>
          <w:bCs/>
          <w:lang w:eastAsia="fr-FR" w:bidi="he-IL"/>
        </w:rPr>
        <w:t>à cette nudité</w:t>
      </w:r>
      <w:r w:rsidR="00E65435">
        <w:rPr>
          <w:rFonts w:eastAsia="Arial Unicode MS"/>
          <w:bCs/>
          <w:lang w:eastAsia="fr-FR" w:bidi="he-IL"/>
        </w:rPr>
        <w:t xml:space="preserve">, </w:t>
      </w:r>
      <w:r w:rsidR="00B704AD" w:rsidRPr="00C8701B">
        <w:rPr>
          <w:rFonts w:eastAsia="Arial Unicode MS"/>
          <w:bCs/>
          <w:lang w:eastAsia="fr-FR" w:bidi="he-IL"/>
        </w:rPr>
        <w:t>si j</w:t>
      </w:r>
      <w:r w:rsidR="00557DE0">
        <w:rPr>
          <w:rFonts w:eastAsia="Arial Unicode MS"/>
          <w:bCs/>
          <w:lang w:eastAsia="fr-FR" w:bidi="he-IL"/>
        </w:rPr>
        <w:t>’</w:t>
      </w:r>
      <w:r w:rsidR="006A4C4C">
        <w:rPr>
          <w:rFonts w:eastAsia="Arial Unicode MS"/>
          <w:bCs/>
          <w:lang w:eastAsia="fr-FR" w:bidi="he-IL"/>
        </w:rPr>
        <w:t>ose ainsi parl</w:t>
      </w:r>
      <w:r w:rsidR="00B704AD" w:rsidRPr="00C8701B">
        <w:rPr>
          <w:rFonts w:eastAsia="Arial Unicode MS"/>
          <w:bCs/>
          <w:lang w:eastAsia="fr-FR" w:bidi="he-IL"/>
        </w:rPr>
        <w:t>er</w:t>
      </w:r>
      <w:r w:rsidR="00E65435">
        <w:rPr>
          <w:rFonts w:eastAsia="Arial Unicode MS"/>
          <w:bCs/>
          <w:lang w:eastAsia="fr-FR" w:bidi="he-IL"/>
        </w:rPr>
        <w:t xml:space="preserve">, </w:t>
      </w:r>
      <w:r w:rsidR="00B704AD" w:rsidRPr="00C8701B">
        <w:rPr>
          <w:rFonts w:eastAsia="Arial Unicode MS"/>
          <w:bCs/>
          <w:lang w:eastAsia="fr-FR" w:bidi="he-IL"/>
        </w:rPr>
        <w:t>du discours</w:t>
      </w:r>
      <w:r w:rsidRPr="00C8701B">
        <w:rPr>
          <w:rFonts w:eastAsia="Arial Unicode MS"/>
          <w:bCs/>
          <w:lang w:eastAsia="fr-FR" w:bidi="he-IL"/>
        </w:rPr>
        <w:t> ?</w:t>
      </w:r>
      <w:r w:rsidR="006A4C4C">
        <w:rPr>
          <w:rFonts w:eastAsia="Arial Unicode MS"/>
          <w:bCs/>
          <w:lang w:eastAsia="fr-FR" w:bidi="he-IL"/>
        </w:rPr>
        <w:t xml:space="preserve"> Pas le plus petit o</w:t>
      </w:r>
      <w:r w:rsidR="00B704AD" w:rsidRPr="00C8701B">
        <w:rPr>
          <w:rFonts w:eastAsia="Arial Unicode MS"/>
          <w:bCs/>
          <w:lang w:eastAsia="fr-FR" w:bidi="he-IL"/>
        </w:rPr>
        <w:t>rnement</w:t>
      </w:r>
      <w:r w:rsidR="00E65435">
        <w:rPr>
          <w:rFonts w:eastAsia="Arial Unicode MS"/>
          <w:bCs/>
          <w:lang w:eastAsia="fr-FR" w:bidi="he-IL"/>
        </w:rPr>
        <w:t xml:space="preserve">, </w:t>
      </w:r>
      <w:r w:rsidR="00B704AD" w:rsidRPr="00C8701B">
        <w:rPr>
          <w:rFonts w:eastAsia="Arial Unicode MS"/>
          <w:bCs/>
          <w:lang w:eastAsia="fr-FR" w:bidi="he-IL"/>
        </w:rPr>
        <w:t>pas la plus légère émotion</w:t>
      </w:r>
      <w:r w:rsidR="00E65435">
        <w:rPr>
          <w:rFonts w:eastAsia="Arial Unicode MS"/>
          <w:bCs/>
          <w:lang w:eastAsia="fr-FR" w:bidi="he-IL"/>
        </w:rPr>
        <w:t xml:space="preserve">, </w:t>
      </w:r>
      <w:r w:rsidR="00B704AD" w:rsidRPr="00C8701B">
        <w:rPr>
          <w:rFonts w:eastAsia="Arial Unicode MS"/>
          <w:bCs/>
          <w:lang w:eastAsia="fr-FR" w:bidi="he-IL"/>
        </w:rPr>
        <w:t>pas la plus courte réflexion. C</w:t>
      </w:r>
      <w:r w:rsidR="00557DE0">
        <w:rPr>
          <w:rFonts w:eastAsia="Arial Unicode MS"/>
          <w:bCs/>
          <w:lang w:eastAsia="fr-FR" w:bidi="he-IL"/>
        </w:rPr>
        <w:t>’</w:t>
      </w:r>
      <w:r w:rsidR="006A4C4C">
        <w:rPr>
          <w:rFonts w:eastAsia="Arial Unicode MS"/>
          <w:bCs/>
          <w:lang w:eastAsia="fr-FR" w:bidi="he-IL"/>
        </w:rPr>
        <w:t>est le fil</w:t>
      </w:r>
      <w:r w:rsidR="00B704AD" w:rsidRPr="00C8701B">
        <w:rPr>
          <w:rFonts w:eastAsia="Arial Unicode MS"/>
          <w:bCs/>
          <w:lang w:eastAsia="fr-FR" w:bidi="he-IL"/>
        </w:rPr>
        <w:t xml:space="preserve"> tout seul du récit. </w:t>
      </w:r>
      <w:r w:rsidR="006A4C4C">
        <w:rPr>
          <w:rFonts w:eastAsia="Arial Unicode MS"/>
          <w:bCs/>
          <w:lang w:eastAsia="fr-FR" w:bidi="he-IL"/>
        </w:rPr>
        <w:t>La main qui le déroule se dérobe</w:t>
      </w:r>
      <w:r w:rsidR="00B704AD" w:rsidRPr="00C8701B">
        <w:rPr>
          <w:rFonts w:eastAsia="Arial Unicode MS"/>
          <w:bCs/>
          <w:lang w:eastAsia="fr-FR" w:bidi="he-IL"/>
        </w:rPr>
        <w:t xml:space="preserve"> </w:t>
      </w:r>
      <w:r w:rsidR="00EA28F4" w:rsidRPr="00C8701B">
        <w:rPr>
          <w:rFonts w:eastAsia="Arial Unicode MS"/>
          <w:bCs/>
          <w:lang w:eastAsia="fr-FR" w:bidi="he-IL"/>
        </w:rPr>
        <w:t>entièrement</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on ne sait si elle est celle d</w:t>
      </w:r>
      <w:r w:rsidR="00557DE0">
        <w:rPr>
          <w:rFonts w:eastAsia="Arial Unicode MS"/>
          <w:bCs/>
          <w:lang w:eastAsia="fr-FR" w:bidi="he-IL"/>
        </w:rPr>
        <w:t>’</w:t>
      </w:r>
      <w:r w:rsidR="00B704AD" w:rsidRPr="00C8701B">
        <w:rPr>
          <w:rFonts w:eastAsia="Arial Unicode MS"/>
          <w:bCs/>
          <w:lang w:eastAsia="fr-FR" w:bidi="he-IL"/>
        </w:rPr>
        <w:t>un ami ou d</w:t>
      </w:r>
      <w:r w:rsidR="00557DE0">
        <w:rPr>
          <w:rFonts w:eastAsia="Arial Unicode MS"/>
          <w:bCs/>
          <w:lang w:eastAsia="fr-FR" w:bidi="he-IL"/>
        </w:rPr>
        <w:t>’</w:t>
      </w:r>
      <w:r w:rsidR="00B704AD" w:rsidRPr="00C8701B">
        <w:rPr>
          <w:rFonts w:eastAsia="Arial Unicode MS"/>
          <w:bCs/>
          <w:lang w:eastAsia="fr-FR" w:bidi="he-IL"/>
        </w:rPr>
        <w:t>un ennemi. Comme cela convenait bien au sujet</w:t>
      </w:r>
      <w:r w:rsidRPr="00C8701B">
        <w:rPr>
          <w:rFonts w:eastAsia="Arial Unicode MS"/>
          <w:bCs/>
          <w:lang w:eastAsia="fr-FR" w:bidi="he-IL"/>
        </w:rPr>
        <w:t> !</w:t>
      </w:r>
      <w:r w:rsidR="00B704AD" w:rsidRPr="00C8701B">
        <w:rPr>
          <w:rFonts w:eastAsia="Arial Unicode MS"/>
          <w:bCs/>
          <w:lang w:eastAsia="fr-FR" w:bidi="he-IL"/>
        </w:rPr>
        <w:t xml:space="preserve"> comme le Dieu se reconnaît bien là</w:t>
      </w:r>
      <w:r w:rsidR="00E65435">
        <w:rPr>
          <w:rFonts w:eastAsia="Arial Unicode MS"/>
          <w:bCs/>
          <w:lang w:eastAsia="fr-FR" w:bidi="he-IL"/>
        </w:rPr>
        <w:t xml:space="preserve">, </w:t>
      </w:r>
      <w:r w:rsidR="00B704AD" w:rsidRPr="00C8701B">
        <w:rPr>
          <w:rFonts w:eastAsia="Arial Unicode MS"/>
          <w:bCs/>
          <w:lang w:eastAsia="fr-FR" w:bidi="he-IL"/>
        </w:rPr>
        <w:t>à ce refus</w:t>
      </w:r>
      <w:r w:rsidR="00E65435">
        <w:rPr>
          <w:rFonts w:eastAsia="Arial Unicode MS"/>
          <w:bCs/>
          <w:lang w:eastAsia="fr-FR" w:bidi="he-IL"/>
        </w:rPr>
        <w:t xml:space="preserve">, </w:t>
      </w:r>
      <w:r w:rsidR="00B704AD" w:rsidRPr="00C8701B">
        <w:rPr>
          <w:rFonts w:eastAsia="Arial Unicode MS"/>
          <w:bCs/>
          <w:lang w:eastAsia="fr-FR" w:bidi="he-IL"/>
        </w:rPr>
        <w:t>à cette inutilité pour lui-même de tout ce luxe d</w:t>
      </w:r>
      <w:r w:rsidR="00557DE0">
        <w:rPr>
          <w:rFonts w:eastAsia="Arial Unicode MS"/>
          <w:bCs/>
          <w:lang w:eastAsia="fr-FR" w:bidi="he-IL"/>
        </w:rPr>
        <w:t>’</w:t>
      </w:r>
      <w:r w:rsidR="00B704AD" w:rsidRPr="00C8701B">
        <w:rPr>
          <w:rFonts w:eastAsia="Arial Unicode MS"/>
          <w:bCs/>
          <w:lang w:eastAsia="fr-FR" w:bidi="he-IL"/>
        </w:rPr>
        <w:t>éloquence et de poésie dont il a revêtu ses précurseurs</w:t>
      </w:r>
      <w:r w:rsidRPr="00C8701B">
        <w:rPr>
          <w:rFonts w:eastAsia="Arial Unicode MS"/>
          <w:bCs/>
          <w:lang w:eastAsia="fr-FR" w:bidi="he-IL"/>
        </w:rPr>
        <w:t> !</w:t>
      </w:r>
      <w:r w:rsidR="00B704AD" w:rsidRPr="00C8701B">
        <w:rPr>
          <w:rFonts w:eastAsia="Arial Unicode MS"/>
          <w:bCs/>
          <w:lang w:eastAsia="fr-FR" w:bidi="he-IL"/>
        </w:rPr>
        <w:t xml:space="preserve"> comme cette froide impartialité sied bien à la constatation que les évangélistes avaient à faire</w:t>
      </w:r>
      <w:r w:rsidR="00E65435">
        <w:rPr>
          <w:rFonts w:eastAsia="Arial Unicode MS"/>
          <w:bCs/>
          <w:lang w:eastAsia="fr-FR" w:bidi="he-IL"/>
        </w:rPr>
        <w:t xml:space="preserve">, </w:t>
      </w:r>
      <w:r w:rsidR="00B704AD" w:rsidRPr="00C8701B">
        <w:rPr>
          <w:rFonts w:eastAsia="Arial Unicode MS"/>
          <w:bCs/>
          <w:lang w:eastAsia="fr-FR" w:bidi="he-IL"/>
        </w:rPr>
        <w:t>ainsi qu</w:t>
      </w:r>
      <w:r w:rsidR="00557DE0">
        <w:rPr>
          <w:rFonts w:eastAsia="Arial Unicode MS"/>
          <w:bCs/>
          <w:lang w:eastAsia="fr-FR" w:bidi="he-IL"/>
        </w:rPr>
        <w:t>’</w:t>
      </w:r>
      <w:r w:rsidR="006A4C4C">
        <w:rPr>
          <w:rFonts w:eastAsia="Arial Unicode MS"/>
          <w:bCs/>
          <w:lang w:eastAsia="fr-FR" w:bidi="he-IL"/>
        </w:rPr>
        <w:t>en un</w:t>
      </w:r>
      <w:r w:rsidR="00B704AD" w:rsidRPr="00C8701B">
        <w:rPr>
          <w:rFonts w:eastAsia="Arial Unicode MS"/>
          <w:bCs/>
          <w:lang w:eastAsia="fr-FR" w:bidi="he-IL"/>
        </w:rPr>
        <w:t xml:space="preserve"> sublime procès-verbal</w:t>
      </w:r>
      <w:r w:rsidR="00E65435">
        <w:rPr>
          <w:rFonts w:eastAsia="Arial Unicode MS"/>
          <w:bCs/>
          <w:lang w:eastAsia="fr-FR" w:bidi="he-IL"/>
        </w:rPr>
        <w:t xml:space="preserve">, </w:t>
      </w:r>
      <w:r w:rsidR="00B704AD" w:rsidRPr="00C8701B">
        <w:rPr>
          <w:rFonts w:eastAsia="Arial Unicode MS"/>
          <w:bCs/>
          <w:lang w:eastAsia="fr-FR" w:bidi="he-IL"/>
        </w:rPr>
        <w:t>des grands événements sur lesquels devaient être contrôlées les prophéties</w:t>
      </w:r>
      <w:r w:rsidRPr="00C8701B">
        <w:rPr>
          <w:rFonts w:eastAsia="Arial Unicode MS"/>
          <w:bCs/>
          <w:lang w:eastAsia="fr-FR" w:bidi="he-IL"/>
        </w:rPr>
        <w:t> !</w:t>
      </w:r>
      <w:r w:rsidR="00B704AD" w:rsidRPr="00C8701B">
        <w:rPr>
          <w:rFonts w:eastAsia="Arial Unicode MS"/>
          <w:bCs/>
          <w:lang w:eastAsia="fr-FR" w:bidi="he-IL"/>
        </w:rPr>
        <w:t xml:space="preserve"> En même temps combien le tableau ressort par l</w:t>
      </w:r>
      <w:r w:rsidR="00557DE0">
        <w:rPr>
          <w:rFonts w:eastAsia="Arial Unicode MS"/>
          <w:bCs/>
          <w:lang w:eastAsia="fr-FR" w:bidi="he-IL"/>
        </w:rPr>
        <w:t>’</w:t>
      </w:r>
      <w:r w:rsidR="00B704AD" w:rsidRPr="00C8701B">
        <w:rPr>
          <w:rFonts w:eastAsia="Arial Unicode MS"/>
          <w:bCs/>
          <w:lang w:eastAsia="fr-FR" w:bidi="he-IL"/>
        </w:rPr>
        <w:t>absence même de tout artifice</w:t>
      </w:r>
      <w:r w:rsidRPr="00C8701B">
        <w:rPr>
          <w:rFonts w:eastAsia="Arial Unicode MS"/>
          <w:bCs/>
          <w:lang w:eastAsia="fr-FR" w:bidi="he-IL"/>
        </w:rPr>
        <w:t> !</w:t>
      </w:r>
      <w:r w:rsidR="00B704AD" w:rsidRPr="00C8701B">
        <w:rPr>
          <w:rFonts w:eastAsia="Arial Unicode MS"/>
          <w:bCs/>
          <w:lang w:eastAsia="fr-FR" w:bidi="he-IL"/>
        </w:rPr>
        <w:t xml:space="preserve"> et que cette ingénuité est imposante</w:t>
      </w:r>
      <w:r w:rsidRPr="00C8701B">
        <w:rPr>
          <w:rFonts w:eastAsia="Arial Unicode MS"/>
          <w:bCs/>
          <w:lang w:eastAsia="fr-FR" w:bidi="he-IL"/>
        </w:rPr>
        <w:t> »</w:t>
      </w:r>
      <w:r w:rsidR="00933C60" w:rsidRPr="00C406FF">
        <w:rPr>
          <w:rStyle w:val="Appelnotedebasdep"/>
        </w:rPr>
        <w:footnoteReference w:id="509"/>
      </w:r>
      <w:r w:rsidRPr="00C8701B">
        <w:rPr>
          <w:rFonts w:eastAsia="Arial Unicode MS"/>
          <w:bCs/>
          <w:lang w:eastAsia="fr-FR" w:bidi="he-IL"/>
        </w:rPr>
        <w:t xml:space="preserve"> ! </w:t>
      </w:r>
    </w:p>
    <w:p w:rsidR="00C2602D" w:rsidRPr="00C8701B" w:rsidRDefault="00C2602D" w:rsidP="006A4C4C">
      <w:pPr>
        <w:rPr>
          <w:rFonts w:eastAsia="Arial Unicode MS"/>
          <w:bCs/>
          <w:lang w:eastAsia="fr-FR" w:bidi="he-IL"/>
        </w:rPr>
      </w:pPr>
      <w:r w:rsidRPr="00C8701B">
        <w:rPr>
          <w:rFonts w:eastAsia="Arial Unicode MS"/>
          <w:bCs/>
          <w:lang w:eastAsia="fr-FR" w:bidi="he-IL"/>
        </w:rPr>
        <w:t>« </w:t>
      </w:r>
      <w:r w:rsidR="00B704AD" w:rsidRPr="00C8701B">
        <w:rPr>
          <w:rFonts w:eastAsia="Arial Unicode MS"/>
          <w:bCs/>
          <w:lang w:eastAsia="fr-FR" w:bidi="he-IL"/>
        </w:rPr>
        <w:t>J</w:t>
      </w:r>
      <w:r w:rsidR="00557DE0">
        <w:rPr>
          <w:rFonts w:eastAsia="Arial Unicode MS"/>
          <w:bCs/>
          <w:lang w:eastAsia="fr-FR" w:bidi="he-IL"/>
        </w:rPr>
        <w:t>’</w:t>
      </w:r>
      <w:r w:rsidR="00B704AD" w:rsidRPr="00C8701B">
        <w:rPr>
          <w:rFonts w:eastAsia="Arial Unicode MS"/>
          <w:bCs/>
          <w:lang w:eastAsia="fr-FR" w:bidi="he-IL"/>
        </w:rPr>
        <w:t>ai lu le livre de Strauss avec attention et labeur</w:t>
      </w:r>
      <w:r w:rsidR="00E65435">
        <w:rPr>
          <w:rFonts w:eastAsia="Arial Unicode MS"/>
          <w:bCs/>
          <w:lang w:eastAsia="fr-FR" w:bidi="he-IL"/>
        </w:rPr>
        <w:t xml:space="preserve">, </w:t>
      </w:r>
      <w:r w:rsidR="00B704AD" w:rsidRPr="00C8701B">
        <w:rPr>
          <w:rFonts w:eastAsia="Arial Unicode MS"/>
          <w:bCs/>
          <w:lang w:eastAsia="fr-FR" w:bidi="he-IL"/>
        </w:rPr>
        <w:t>et voici comment je m</w:t>
      </w:r>
      <w:r w:rsidR="00557DE0">
        <w:rPr>
          <w:rFonts w:eastAsia="Arial Unicode MS"/>
          <w:bCs/>
          <w:lang w:eastAsia="fr-FR" w:bidi="he-IL"/>
        </w:rPr>
        <w:t>’</w:t>
      </w:r>
      <w:r w:rsidR="00B704AD" w:rsidRPr="00C8701B">
        <w:rPr>
          <w:rFonts w:eastAsia="Arial Unicode MS"/>
          <w:bCs/>
          <w:lang w:eastAsia="fr-FR" w:bidi="he-IL"/>
        </w:rPr>
        <w:t>y prenais. Après avoir étudié un paragraphe</w:t>
      </w:r>
      <w:r w:rsidR="00E65435">
        <w:rPr>
          <w:rFonts w:eastAsia="Arial Unicode MS"/>
          <w:bCs/>
          <w:lang w:eastAsia="fr-FR" w:bidi="he-IL"/>
        </w:rPr>
        <w:t xml:space="preserve">, </w:t>
      </w:r>
      <w:r w:rsidR="00B704AD" w:rsidRPr="00C8701B">
        <w:rPr>
          <w:rFonts w:eastAsia="Arial Unicode MS"/>
          <w:bCs/>
          <w:lang w:eastAsia="fr-FR" w:bidi="he-IL"/>
        </w:rPr>
        <w:t>toujours fort long</w:t>
      </w:r>
      <w:r w:rsidR="00E65435">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00B704AD" w:rsidRPr="00C8701B">
        <w:rPr>
          <w:rFonts w:eastAsia="Arial Unicode MS"/>
          <w:bCs/>
          <w:lang w:eastAsia="fr-FR" w:bidi="he-IL"/>
        </w:rPr>
        <w:t>et il y en a cent-quarante-neuf distribués en quatre volumes</w:t>
      </w:r>
      <w:r w:rsidR="00E65435">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006A4C4C">
        <w:rPr>
          <w:rFonts w:eastAsia="Arial Unicode MS"/>
          <w:bCs/>
          <w:lang w:eastAsia="fr-FR" w:bidi="he-IL"/>
        </w:rPr>
        <w:t>je fermais le</w:t>
      </w:r>
      <w:r w:rsidR="00B704AD" w:rsidRPr="00C8701B">
        <w:rPr>
          <w:rFonts w:eastAsia="Arial Unicode MS"/>
          <w:bCs/>
          <w:lang w:eastAsia="fr-FR" w:bidi="he-IL"/>
        </w:rPr>
        <w:t xml:space="preserve"> livre pour me remettre un peu de la fatigue</w:t>
      </w:r>
      <w:r w:rsidR="00E65435">
        <w:rPr>
          <w:rFonts w:eastAsia="Arial Unicode MS"/>
          <w:bCs/>
          <w:lang w:eastAsia="fr-FR" w:bidi="he-IL"/>
        </w:rPr>
        <w:t xml:space="preserve">, </w:t>
      </w:r>
      <w:r w:rsidR="00B704AD" w:rsidRPr="00C8701B">
        <w:rPr>
          <w:rFonts w:eastAsia="Arial Unicode MS"/>
          <w:bCs/>
          <w:lang w:eastAsia="fr-FR" w:bidi="he-IL"/>
        </w:rPr>
        <w:t>et d</w:t>
      </w:r>
      <w:r w:rsidR="00557DE0">
        <w:rPr>
          <w:rFonts w:eastAsia="Arial Unicode MS"/>
          <w:bCs/>
          <w:lang w:eastAsia="fr-FR" w:bidi="he-IL"/>
        </w:rPr>
        <w:t>’</w:t>
      </w:r>
      <w:r w:rsidR="00B704AD" w:rsidRPr="00C8701B">
        <w:rPr>
          <w:rFonts w:eastAsia="Arial Unicode MS"/>
          <w:bCs/>
          <w:lang w:eastAsia="fr-FR" w:bidi="he-IL"/>
        </w:rPr>
        <w:t>une sorte de</w:t>
      </w:r>
      <w:r w:rsidR="00E65435">
        <w:rPr>
          <w:rFonts w:eastAsia="Arial Unicode MS"/>
          <w:bCs/>
          <w:lang w:eastAsia="fr-FR" w:bidi="he-IL"/>
        </w:rPr>
        <w:t xml:space="preserve"> </w:t>
      </w:r>
      <w:r w:rsidR="00B704AD" w:rsidRPr="00C8701B">
        <w:rPr>
          <w:rFonts w:eastAsia="Arial Unicode MS"/>
          <w:bCs/>
          <w:lang w:eastAsia="fr-FR" w:bidi="he-IL"/>
        </w:rPr>
        <w:t>frayeur involontaire</w:t>
      </w:r>
      <w:r w:rsidR="00E65435">
        <w:rPr>
          <w:rFonts w:eastAsia="Arial Unicode MS"/>
          <w:bCs/>
          <w:lang w:eastAsia="fr-FR" w:bidi="he-IL"/>
        </w:rPr>
        <w:t xml:space="preserve">, </w:t>
      </w:r>
      <w:r w:rsidR="00B704AD" w:rsidRPr="00C8701B">
        <w:rPr>
          <w:rFonts w:eastAsia="Arial Unicode MS"/>
          <w:bCs/>
          <w:lang w:eastAsia="fr-FR" w:bidi="he-IL"/>
        </w:rPr>
        <w:t>causée par l</w:t>
      </w:r>
      <w:r w:rsidR="00557DE0">
        <w:rPr>
          <w:rFonts w:eastAsia="Arial Unicode MS"/>
          <w:bCs/>
          <w:lang w:eastAsia="fr-FR" w:bidi="he-IL"/>
        </w:rPr>
        <w:t>’</w:t>
      </w:r>
      <w:r w:rsidR="00B704AD" w:rsidRPr="00C8701B">
        <w:rPr>
          <w:rFonts w:eastAsia="Arial Unicode MS"/>
          <w:bCs/>
          <w:lang w:eastAsia="fr-FR" w:bidi="he-IL"/>
        </w:rPr>
        <w:t>abondance de l</w:t>
      </w:r>
      <w:r w:rsidR="00557DE0">
        <w:rPr>
          <w:rFonts w:eastAsia="Arial Unicode MS"/>
          <w:bCs/>
          <w:lang w:eastAsia="fr-FR" w:bidi="he-IL"/>
        </w:rPr>
        <w:t>’</w:t>
      </w:r>
      <w:r w:rsidR="00B704AD" w:rsidRPr="00C8701B">
        <w:rPr>
          <w:rFonts w:eastAsia="Arial Unicode MS"/>
          <w:bCs/>
          <w:lang w:eastAsia="fr-FR" w:bidi="he-IL"/>
        </w:rPr>
        <w:t>érudition. Puis</w:t>
      </w:r>
      <w:r w:rsidR="00E65435">
        <w:rPr>
          <w:rFonts w:eastAsia="Arial Unicode MS"/>
          <w:bCs/>
          <w:lang w:eastAsia="fr-FR" w:bidi="he-IL"/>
        </w:rPr>
        <w:t xml:space="preserve">, </w:t>
      </w:r>
      <w:r w:rsidR="00B704AD" w:rsidRPr="00C8701B">
        <w:rPr>
          <w:rFonts w:eastAsia="Arial Unicode MS"/>
          <w:bCs/>
          <w:lang w:eastAsia="fr-FR" w:bidi="he-IL"/>
        </w:rPr>
        <w:t>ouvrant</w:t>
      </w:r>
      <w:r w:rsidR="006A4C4C">
        <w:rPr>
          <w:rFonts w:eastAsia="Arial Unicode MS"/>
          <w:bCs/>
          <w:lang w:eastAsia="fr-FR" w:bidi="he-IL"/>
        </w:rPr>
        <w:t xml:space="preserve"> l</w:t>
      </w:r>
      <w:r w:rsidR="00557DE0">
        <w:rPr>
          <w:rFonts w:eastAsia="Arial Unicode MS"/>
          <w:bCs/>
          <w:lang w:eastAsia="fr-FR" w:bidi="he-IL"/>
        </w:rPr>
        <w:t>’</w:t>
      </w:r>
      <w:r w:rsidR="00B704AD" w:rsidRPr="00C8701B">
        <w:rPr>
          <w:rFonts w:eastAsia="Arial Unicode MS"/>
          <w:bCs/>
          <w:lang w:eastAsia="fr-FR" w:bidi="he-IL"/>
        </w:rPr>
        <w:t>Évangile</w:t>
      </w:r>
      <w:r w:rsidR="00E65435">
        <w:rPr>
          <w:rFonts w:eastAsia="Arial Unicode MS"/>
          <w:bCs/>
          <w:lang w:eastAsia="fr-FR" w:bidi="he-IL"/>
        </w:rPr>
        <w:t xml:space="preserve">, </w:t>
      </w:r>
      <w:r w:rsidR="00B704AD" w:rsidRPr="00C8701B">
        <w:rPr>
          <w:rFonts w:eastAsia="Arial Unicode MS"/>
          <w:bCs/>
          <w:lang w:eastAsia="fr-FR" w:bidi="he-IL"/>
        </w:rPr>
        <w:t>que je baisais respectueusement</w:t>
      </w:r>
      <w:r w:rsidR="00E65435">
        <w:rPr>
          <w:rFonts w:eastAsia="Arial Unicode MS"/>
          <w:bCs/>
          <w:lang w:eastAsia="fr-FR" w:bidi="he-IL"/>
        </w:rPr>
        <w:t xml:space="preserve">, </w:t>
      </w:r>
      <w:r w:rsidR="00B704AD" w:rsidRPr="00C8701B">
        <w:rPr>
          <w:rFonts w:eastAsia="Arial Unicode MS"/>
          <w:bCs/>
          <w:lang w:eastAsia="fr-FR" w:bidi="he-IL"/>
        </w:rPr>
        <w:t>je lisais les textes qui avaient été l</w:t>
      </w:r>
      <w:r w:rsidR="00557DE0">
        <w:rPr>
          <w:rFonts w:eastAsia="Arial Unicode MS"/>
          <w:bCs/>
          <w:lang w:eastAsia="fr-FR" w:bidi="he-IL"/>
        </w:rPr>
        <w:t>’</w:t>
      </w:r>
      <w:r w:rsidR="00B704AD" w:rsidRPr="00C8701B">
        <w:rPr>
          <w:rFonts w:eastAsia="Arial Unicode MS"/>
          <w:bCs/>
          <w:lang w:eastAsia="fr-FR" w:bidi="he-IL"/>
        </w:rPr>
        <w:t>objet de la discussion</w:t>
      </w:r>
      <w:r w:rsidR="00E65435">
        <w:rPr>
          <w:rFonts w:eastAsia="Arial Unicode MS"/>
          <w:bCs/>
          <w:lang w:eastAsia="fr-FR" w:bidi="he-IL"/>
        </w:rPr>
        <w:t xml:space="preserve">, </w:t>
      </w:r>
      <w:r w:rsidR="00B704AD" w:rsidRPr="00C8701B">
        <w:rPr>
          <w:rFonts w:eastAsia="Arial Unicode MS"/>
          <w:bCs/>
          <w:lang w:eastAsia="fr-FR" w:bidi="he-IL"/>
        </w:rPr>
        <w:t>pour voir si</w:t>
      </w:r>
      <w:r w:rsidR="00E65435">
        <w:rPr>
          <w:rFonts w:eastAsia="Arial Unicode MS"/>
          <w:bCs/>
          <w:lang w:eastAsia="fr-FR" w:bidi="he-IL"/>
        </w:rPr>
        <w:t xml:space="preserve">, </w:t>
      </w:r>
      <w:r w:rsidR="00B704AD" w:rsidRPr="00C8701B">
        <w:rPr>
          <w:rFonts w:eastAsia="Arial Unicode MS"/>
          <w:bCs/>
          <w:lang w:eastAsia="fr-FR" w:bidi="he-IL"/>
        </w:rPr>
        <w:t>par les seules lumières d</w:t>
      </w:r>
      <w:r w:rsidR="00557DE0">
        <w:rPr>
          <w:rFonts w:eastAsia="Arial Unicode MS"/>
          <w:bCs/>
          <w:lang w:eastAsia="fr-FR" w:bidi="he-IL"/>
        </w:rPr>
        <w:t>’</w:t>
      </w:r>
      <w:r w:rsidR="00B704AD" w:rsidRPr="00C8701B">
        <w:rPr>
          <w:rFonts w:eastAsia="Arial Unicode MS"/>
          <w:bCs/>
          <w:lang w:eastAsia="fr-FR" w:bidi="he-IL"/>
        </w:rPr>
        <w:t>une littérature commune</w:t>
      </w:r>
      <w:r w:rsidR="00E65435">
        <w:rPr>
          <w:rFonts w:eastAsia="Arial Unicode MS"/>
          <w:bCs/>
          <w:lang w:eastAsia="fr-FR" w:bidi="he-IL"/>
        </w:rPr>
        <w:t xml:space="preserve">, </w:t>
      </w:r>
      <w:r w:rsidR="00B704AD" w:rsidRPr="00C8701B">
        <w:rPr>
          <w:rFonts w:eastAsia="Arial Unicode MS"/>
          <w:bCs/>
          <w:lang w:eastAsia="fr-FR" w:bidi="he-IL"/>
        </w:rPr>
        <w:t>et sans le secours d</w:t>
      </w:r>
      <w:r w:rsidR="00557DE0">
        <w:rPr>
          <w:rFonts w:eastAsia="Arial Unicode MS"/>
          <w:bCs/>
          <w:lang w:eastAsia="fr-FR" w:bidi="he-IL"/>
        </w:rPr>
        <w:t>’</w:t>
      </w:r>
      <w:r w:rsidR="00B704AD" w:rsidRPr="00C8701B">
        <w:rPr>
          <w:rFonts w:eastAsia="Arial Unicode MS"/>
          <w:bCs/>
          <w:lang w:eastAsia="fr-FR" w:bidi="he-IL"/>
        </w:rPr>
        <w:t>aucun commentaire</w:t>
      </w:r>
      <w:r w:rsidR="00E65435">
        <w:rPr>
          <w:rFonts w:eastAsia="Arial Unicode MS"/>
          <w:bCs/>
          <w:lang w:eastAsia="fr-FR" w:bidi="he-IL"/>
        </w:rPr>
        <w:t xml:space="preserve">, </w:t>
      </w:r>
      <w:r w:rsidR="00B704AD" w:rsidRPr="00C8701B">
        <w:rPr>
          <w:rFonts w:eastAsia="Arial Unicode MS"/>
          <w:bCs/>
          <w:lang w:eastAsia="fr-FR" w:bidi="he-IL"/>
        </w:rPr>
        <w:t>je ne parviendrais pas</w:t>
      </w:r>
      <w:r w:rsidR="00E65435">
        <w:rPr>
          <w:rFonts w:eastAsia="Arial Unicode MS"/>
          <w:bCs/>
          <w:lang w:eastAsia="fr-FR" w:bidi="he-IL"/>
        </w:rPr>
        <w:t xml:space="preserve">, </w:t>
      </w:r>
      <w:r w:rsidR="00B704AD" w:rsidRPr="00C8701B">
        <w:rPr>
          <w:rFonts w:eastAsia="Arial Unicode MS"/>
          <w:bCs/>
          <w:lang w:eastAsia="fr-FR" w:bidi="he-IL"/>
        </w:rPr>
        <w:t>à rompre le nœud de la difficulté. Eh Bien</w:t>
      </w:r>
      <w:r w:rsidRPr="00C8701B">
        <w:rPr>
          <w:rFonts w:eastAsia="Arial Unicode MS"/>
          <w:bCs/>
          <w:lang w:eastAsia="fr-FR" w:bidi="he-IL"/>
        </w:rPr>
        <w:t> !</w:t>
      </w:r>
      <w:r w:rsidR="00B704AD" w:rsidRPr="00C8701B">
        <w:rPr>
          <w:rFonts w:eastAsia="Arial Unicode MS"/>
          <w:bCs/>
          <w:lang w:eastAsia="fr-FR" w:bidi="he-IL"/>
        </w:rPr>
        <w:t xml:space="preserve"> à part trois ou quatre passages</w:t>
      </w:r>
      <w:r w:rsidR="00E65435">
        <w:rPr>
          <w:rFonts w:eastAsia="Arial Unicode MS"/>
          <w:bCs/>
          <w:lang w:eastAsia="fr-FR" w:bidi="he-IL"/>
        </w:rPr>
        <w:t xml:space="preserve">, </w:t>
      </w:r>
      <w:r w:rsidR="00B704AD" w:rsidRPr="00C8701B">
        <w:rPr>
          <w:rFonts w:eastAsia="Arial Unicode MS"/>
          <w:bCs/>
          <w:lang w:eastAsia="fr-FR" w:bidi="he-IL"/>
        </w:rPr>
        <w:t>il ne m</w:t>
      </w:r>
      <w:r w:rsidR="00557DE0">
        <w:rPr>
          <w:rFonts w:eastAsia="Arial Unicode MS"/>
          <w:bCs/>
          <w:lang w:eastAsia="fr-FR" w:bidi="he-IL"/>
        </w:rPr>
        <w:t>’</w:t>
      </w:r>
      <w:r w:rsidR="00B704AD" w:rsidRPr="00C8701B">
        <w:rPr>
          <w:rFonts w:eastAsia="Arial Unicode MS"/>
          <w:bCs/>
          <w:lang w:eastAsia="fr-FR" w:bidi="he-IL"/>
        </w:rPr>
        <w:t>a jamais fallu plus de dix minutes pour dissiper le charme d</w:t>
      </w:r>
      <w:r w:rsidR="00557DE0">
        <w:rPr>
          <w:rFonts w:eastAsia="Arial Unicode MS"/>
          <w:bCs/>
          <w:lang w:eastAsia="fr-FR" w:bidi="he-IL"/>
        </w:rPr>
        <w:t>’</w:t>
      </w:r>
      <w:r w:rsidR="00B704AD" w:rsidRPr="00C8701B">
        <w:rPr>
          <w:rFonts w:eastAsia="Arial Unicode MS"/>
          <w:bCs/>
          <w:lang w:eastAsia="fr-FR" w:bidi="he-IL"/>
        </w:rPr>
        <w:t>une vaine science</w:t>
      </w:r>
      <w:r w:rsidR="00E65435">
        <w:rPr>
          <w:rFonts w:eastAsia="Arial Unicode MS"/>
          <w:bCs/>
          <w:lang w:eastAsia="fr-FR" w:bidi="he-IL"/>
        </w:rPr>
        <w:t xml:space="preserve">, </w:t>
      </w:r>
      <w:r w:rsidR="00B704AD" w:rsidRPr="00C8701B">
        <w:rPr>
          <w:rFonts w:eastAsia="Arial Unicode MS"/>
          <w:bCs/>
          <w:lang w:eastAsia="fr-FR" w:bidi="he-IL"/>
        </w:rPr>
        <w:t>et sourire au-dedans de moi de l</w:t>
      </w:r>
      <w:r w:rsidR="00557DE0">
        <w:rPr>
          <w:rFonts w:eastAsia="Arial Unicode MS"/>
          <w:bCs/>
          <w:lang w:eastAsia="fr-FR" w:bidi="he-IL"/>
        </w:rPr>
        <w:t>’</w:t>
      </w:r>
      <w:r w:rsidR="00B704AD" w:rsidRPr="00C8701B">
        <w:rPr>
          <w:rFonts w:eastAsia="Arial Unicode MS"/>
          <w:bCs/>
          <w:lang w:eastAsia="fr-FR" w:bidi="he-IL"/>
        </w:rPr>
        <w:t>impuissance à laquelle Dieu a condamné l</w:t>
      </w:r>
      <w:r w:rsidR="00557DE0">
        <w:rPr>
          <w:rFonts w:eastAsia="Arial Unicode MS"/>
          <w:bCs/>
          <w:lang w:eastAsia="fr-FR" w:bidi="he-IL"/>
        </w:rPr>
        <w:t>’</w:t>
      </w:r>
      <w:r w:rsidR="00B704AD" w:rsidRPr="00C8701B">
        <w:rPr>
          <w:rFonts w:eastAsia="Arial Unicode MS"/>
          <w:bCs/>
          <w:lang w:eastAsia="fr-FR" w:bidi="he-IL"/>
        </w:rPr>
        <w:t>erreur</w:t>
      </w:r>
      <w:r w:rsidRPr="00C8701B">
        <w:rPr>
          <w:rFonts w:eastAsia="Arial Unicode MS"/>
          <w:bCs/>
          <w:lang w:eastAsia="fr-FR" w:bidi="he-IL"/>
        </w:rPr>
        <w:t> »</w:t>
      </w:r>
      <w:r w:rsidR="00933C60" w:rsidRPr="00C406FF">
        <w:rPr>
          <w:rStyle w:val="Appelnotedebasdep"/>
        </w:rPr>
        <w:footnoteReference w:id="510"/>
      </w:r>
      <w:r w:rsidR="00B704AD" w:rsidRPr="00C8701B">
        <w:rPr>
          <w:rFonts w:eastAsia="Arial Unicode MS"/>
          <w:bCs/>
          <w:lang w:eastAsia="fr-FR" w:bidi="he-IL"/>
        </w:rPr>
        <w:t>.</w:t>
      </w:r>
      <w:r w:rsidRPr="00C8701B">
        <w:rPr>
          <w:rFonts w:eastAsia="Arial Unicode MS"/>
          <w:bCs/>
          <w:lang w:eastAsia="fr-FR" w:bidi="he-IL"/>
        </w:rPr>
        <w:t xml:space="preserve"> </w:t>
      </w:r>
    </w:p>
    <w:p w:rsidR="00C2602D" w:rsidRPr="00C8701B" w:rsidRDefault="00C2602D" w:rsidP="00C2602D">
      <w:pPr>
        <w:rPr>
          <w:rFonts w:eastAsia="Arial Unicode MS"/>
          <w:bCs/>
          <w:lang w:eastAsia="fr-FR" w:bidi="he-IL"/>
        </w:rPr>
      </w:pPr>
      <w:r w:rsidRPr="00C8701B">
        <w:rPr>
          <w:rFonts w:eastAsia="Arial Unicode MS"/>
          <w:bCs/>
          <w:lang w:eastAsia="fr-FR" w:bidi="he-IL"/>
        </w:rPr>
        <w:t>« </w:t>
      </w:r>
      <w:r w:rsidR="00B704AD" w:rsidRPr="00C8701B">
        <w:rPr>
          <w:rFonts w:eastAsia="Arial Unicode MS"/>
          <w:bCs/>
          <w:lang w:eastAsia="fr-FR" w:bidi="he-IL"/>
        </w:rPr>
        <w:t>Je me rappelle le moment où</w:t>
      </w:r>
      <w:r w:rsidR="00E65435">
        <w:rPr>
          <w:rFonts w:eastAsia="Arial Unicode MS"/>
          <w:bCs/>
          <w:lang w:eastAsia="fr-FR" w:bidi="he-IL"/>
        </w:rPr>
        <w:t xml:space="preserve">, </w:t>
      </w:r>
      <w:r w:rsidR="00B704AD" w:rsidRPr="00C8701B">
        <w:rPr>
          <w:rFonts w:eastAsia="Arial Unicode MS"/>
          <w:bCs/>
          <w:lang w:eastAsia="fr-FR" w:bidi="he-IL"/>
        </w:rPr>
        <w:t xml:space="preserve">après avoir lu les dernières pages des anciennes </w:t>
      </w:r>
      <w:r w:rsidR="0058100E">
        <w:rPr>
          <w:rFonts w:eastAsia="Arial Unicode MS"/>
          <w:bCs/>
          <w:lang w:eastAsia="fr-FR" w:bidi="he-IL"/>
        </w:rPr>
        <w:t>Écriture</w:t>
      </w:r>
      <w:r w:rsidR="00B704AD" w:rsidRPr="00C8701B">
        <w:rPr>
          <w:rFonts w:eastAsia="Arial Unicode MS"/>
          <w:bCs/>
          <w:lang w:eastAsia="fr-FR" w:bidi="he-IL"/>
        </w:rPr>
        <w:t>s</w:t>
      </w:r>
      <w:r w:rsidR="00E65435">
        <w:rPr>
          <w:rFonts w:eastAsia="Arial Unicode MS"/>
          <w:bCs/>
          <w:lang w:eastAsia="fr-FR" w:bidi="he-IL"/>
        </w:rPr>
        <w:t xml:space="preserve">, </w:t>
      </w:r>
      <w:r w:rsidR="00B704AD" w:rsidRPr="00C8701B">
        <w:rPr>
          <w:rFonts w:eastAsia="Arial Unicode MS"/>
          <w:bCs/>
          <w:lang w:eastAsia="fr-FR" w:bidi="he-IL"/>
        </w:rPr>
        <w:t>j</w:t>
      </w:r>
      <w:r w:rsidR="00557DE0">
        <w:rPr>
          <w:rFonts w:eastAsia="Arial Unicode MS"/>
          <w:bCs/>
          <w:lang w:eastAsia="fr-FR" w:bidi="he-IL"/>
        </w:rPr>
        <w:t>’</w:t>
      </w:r>
      <w:r w:rsidR="00B704AD" w:rsidRPr="00C8701B">
        <w:rPr>
          <w:rFonts w:eastAsia="Arial Unicode MS"/>
          <w:bCs/>
          <w:lang w:eastAsia="fr-FR" w:bidi="he-IL"/>
        </w:rPr>
        <w:t>ouvris pour la premiè</w:t>
      </w:r>
      <w:r w:rsidR="006A4C4C">
        <w:rPr>
          <w:rFonts w:eastAsia="Arial Unicode MS"/>
          <w:bCs/>
          <w:lang w:eastAsia="fr-FR" w:bidi="he-IL"/>
        </w:rPr>
        <w:t>re fois le Nouveau Testament. Il</w:t>
      </w:r>
      <w:r w:rsidR="00B704AD" w:rsidRPr="00C8701B">
        <w:rPr>
          <w:rFonts w:eastAsia="Arial Unicode MS"/>
          <w:bCs/>
          <w:lang w:eastAsia="fr-FR" w:bidi="he-IL"/>
        </w:rPr>
        <w:t xml:space="preserve"> était neuf heures du soir. Mon âme s</w:t>
      </w:r>
      <w:r w:rsidR="00557DE0">
        <w:rPr>
          <w:rFonts w:eastAsia="Arial Unicode MS"/>
          <w:bCs/>
          <w:lang w:eastAsia="fr-FR" w:bidi="he-IL"/>
        </w:rPr>
        <w:t>’</w:t>
      </w:r>
      <w:r w:rsidR="00B704AD" w:rsidRPr="00C8701B">
        <w:rPr>
          <w:rFonts w:eastAsia="Arial Unicode MS"/>
          <w:bCs/>
          <w:lang w:eastAsia="fr-FR" w:bidi="he-IL"/>
        </w:rPr>
        <w:t>attacha si fortement à cette lecture</w:t>
      </w:r>
      <w:r w:rsidR="00E65435">
        <w:rPr>
          <w:rFonts w:eastAsia="Arial Unicode MS"/>
          <w:bCs/>
          <w:lang w:eastAsia="fr-FR" w:bidi="he-IL"/>
        </w:rPr>
        <w:t xml:space="preserve">, </w:t>
      </w:r>
      <w:r w:rsidR="00B704AD" w:rsidRPr="00C8701B">
        <w:rPr>
          <w:rFonts w:eastAsia="Arial Unicode MS"/>
          <w:bCs/>
          <w:lang w:eastAsia="fr-FR" w:bidi="he-IL"/>
        </w:rPr>
        <w:t>que je ne pus la quitter durant une partie de la nuit</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et d</w:t>
      </w:r>
      <w:r w:rsidR="00557DE0">
        <w:rPr>
          <w:rFonts w:eastAsia="Arial Unicode MS"/>
          <w:bCs/>
          <w:lang w:eastAsia="fr-FR" w:bidi="he-IL"/>
        </w:rPr>
        <w:t>’</w:t>
      </w:r>
      <w:r w:rsidR="00B704AD" w:rsidRPr="00C8701B">
        <w:rPr>
          <w:rFonts w:eastAsia="Arial Unicode MS"/>
          <w:bCs/>
          <w:lang w:eastAsia="fr-FR" w:bidi="he-IL"/>
        </w:rPr>
        <w:t>un seul trait j</w:t>
      </w:r>
      <w:r w:rsidR="00557DE0">
        <w:rPr>
          <w:rFonts w:eastAsia="Arial Unicode MS"/>
          <w:bCs/>
          <w:lang w:eastAsia="fr-FR" w:bidi="he-IL"/>
        </w:rPr>
        <w:t>’</w:t>
      </w:r>
      <w:r w:rsidR="00B704AD" w:rsidRPr="00C8701B">
        <w:rPr>
          <w:rFonts w:eastAsia="Arial Unicode MS"/>
          <w:bCs/>
          <w:lang w:eastAsia="fr-FR" w:bidi="he-IL"/>
        </w:rPr>
        <w:t>avalai la coupe d</w:t>
      </w:r>
      <w:r w:rsidR="00557DE0">
        <w:rPr>
          <w:rFonts w:eastAsia="Arial Unicode MS"/>
          <w:bCs/>
          <w:lang w:eastAsia="fr-FR" w:bidi="he-IL"/>
        </w:rPr>
        <w:t>’</w:t>
      </w:r>
      <w:r w:rsidR="00B704AD" w:rsidRPr="00C8701B">
        <w:rPr>
          <w:rFonts w:eastAsia="Arial Unicode MS"/>
          <w:bCs/>
          <w:lang w:eastAsia="fr-FR" w:bidi="he-IL"/>
        </w:rPr>
        <w:t>eau vive de l</w:t>
      </w:r>
      <w:r w:rsidR="00557DE0">
        <w:rPr>
          <w:rFonts w:eastAsia="Arial Unicode MS"/>
          <w:bCs/>
          <w:lang w:eastAsia="fr-FR" w:bidi="he-IL"/>
        </w:rPr>
        <w:t>’</w:t>
      </w:r>
      <w:r w:rsidR="000439E9">
        <w:rPr>
          <w:rFonts w:eastAsia="Arial Unicode MS"/>
          <w:bCs/>
          <w:lang w:eastAsia="fr-FR" w:bidi="he-IL"/>
        </w:rPr>
        <w:t>Évangile</w:t>
      </w:r>
      <w:r w:rsidR="00B704AD" w:rsidRPr="00C8701B">
        <w:rPr>
          <w:rFonts w:eastAsia="Arial Unicode MS"/>
          <w:bCs/>
          <w:lang w:eastAsia="fr-FR" w:bidi="he-IL"/>
        </w:rPr>
        <w:t xml:space="preserve"> de saint Matthieu</w:t>
      </w:r>
      <w:r w:rsidR="00B46FDF">
        <w:rPr>
          <w:rFonts w:eastAsia="Arial Unicode MS"/>
          <w:bCs/>
          <w:lang w:eastAsia="fr-FR" w:bidi="he-IL"/>
        </w:rPr>
        <w:t xml:space="preserve">. Il </w:t>
      </w:r>
      <w:r w:rsidR="00B46FDF" w:rsidRPr="00C8701B">
        <w:rPr>
          <w:rFonts w:eastAsia="Arial Unicode MS"/>
          <w:bCs/>
          <w:lang w:eastAsia="fr-FR" w:bidi="he-IL"/>
        </w:rPr>
        <w:t>m</w:t>
      </w:r>
      <w:r w:rsidR="00557DE0">
        <w:rPr>
          <w:rFonts w:eastAsia="Arial Unicode MS"/>
          <w:bCs/>
          <w:lang w:eastAsia="fr-FR" w:bidi="he-IL"/>
        </w:rPr>
        <w:t>’</w:t>
      </w:r>
      <w:r w:rsidR="00B704AD" w:rsidRPr="00C8701B">
        <w:rPr>
          <w:rFonts w:eastAsia="Arial Unicode MS"/>
          <w:bCs/>
          <w:lang w:eastAsia="fr-FR" w:bidi="he-IL"/>
        </w:rPr>
        <w:t>en arriva de même avec l</w:t>
      </w:r>
      <w:r w:rsidR="00557DE0">
        <w:rPr>
          <w:rFonts w:eastAsia="Arial Unicode MS"/>
          <w:bCs/>
          <w:lang w:eastAsia="fr-FR" w:bidi="he-IL"/>
        </w:rPr>
        <w:t>’</w:t>
      </w:r>
      <w:r w:rsidR="000439E9">
        <w:rPr>
          <w:rFonts w:eastAsia="Arial Unicode MS"/>
          <w:bCs/>
          <w:lang w:eastAsia="fr-FR" w:bidi="he-IL"/>
        </w:rPr>
        <w:t>Évangile</w:t>
      </w:r>
      <w:r w:rsidR="00B704AD" w:rsidRPr="00C8701B">
        <w:rPr>
          <w:rFonts w:eastAsia="Arial Unicode MS"/>
          <w:bCs/>
          <w:lang w:eastAsia="fr-FR" w:bidi="he-IL"/>
        </w:rPr>
        <w:t xml:space="preserve"> de saint Jean</w:t>
      </w:r>
      <w:r w:rsidRPr="00C8701B">
        <w:rPr>
          <w:rFonts w:eastAsia="Arial Unicode MS"/>
          <w:bCs/>
          <w:lang w:eastAsia="fr-FR" w:bidi="he-IL"/>
        </w:rPr>
        <w:t> </w:t>
      </w:r>
      <w:r w:rsidR="007F6508">
        <w:rPr>
          <w:rFonts w:eastAsia="Arial Unicode MS"/>
          <w:bCs/>
          <w:lang w:eastAsia="fr-FR" w:bidi="he-IL"/>
        </w:rPr>
        <w:t xml:space="preserve">; </w:t>
      </w:r>
      <w:r w:rsidR="006A4C4C">
        <w:rPr>
          <w:rFonts w:eastAsia="Arial Unicode MS"/>
          <w:bCs/>
          <w:lang w:eastAsia="fr-FR" w:bidi="he-IL"/>
        </w:rPr>
        <w:t xml:space="preserve">et </w:t>
      </w:r>
      <w:r w:rsidR="00B704AD" w:rsidRPr="00C8701B">
        <w:rPr>
          <w:rFonts w:eastAsia="Arial Unicode MS"/>
          <w:bCs/>
          <w:lang w:eastAsia="fr-FR" w:bidi="he-IL"/>
        </w:rPr>
        <w:t>à deux reprises</w:t>
      </w:r>
      <w:r w:rsidR="00E65435">
        <w:rPr>
          <w:rFonts w:eastAsia="Arial Unicode MS"/>
          <w:bCs/>
          <w:lang w:eastAsia="fr-FR" w:bidi="he-IL"/>
        </w:rPr>
        <w:t xml:space="preserve">, </w:t>
      </w:r>
      <w:r w:rsidR="00B704AD" w:rsidRPr="00C8701B">
        <w:rPr>
          <w:rFonts w:eastAsia="Arial Unicode MS"/>
          <w:bCs/>
          <w:lang w:eastAsia="fr-FR" w:bidi="he-IL"/>
        </w:rPr>
        <w:t>je ne pus le laisser qu</w:t>
      </w:r>
      <w:r w:rsidR="00557DE0">
        <w:rPr>
          <w:rFonts w:eastAsia="Arial Unicode MS"/>
          <w:bCs/>
          <w:lang w:eastAsia="fr-FR" w:bidi="he-IL"/>
        </w:rPr>
        <w:t>’</w:t>
      </w:r>
      <w:r w:rsidR="00B704AD" w:rsidRPr="00C8701B">
        <w:rPr>
          <w:rFonts w:eastAsia="Arial Unicode MS"/>
          <w:bCs/>
          <w:lang w:eastAsia="fr-FR" w:bidi="he-IL"/>
        </w:rPr>
        <w:t>après l</w:t>
      </w:r>
      <w:r w:rsidR="00557DE0">
        <w:rPr>
          <w:rFonts w:eastAsia="Arial Unicode MS"/>
          <w:bCs/>
          <w:lang w:eastAsia="fr-FR" w:bidi="he-IL"/>
        </w:rPr>
        <w:t>’</w:t>
      </w:r>
      <w:r w:rsidR="00B704AD" w:rsidRPr="00C8701B">
        <w:rPr>
          <w:rFonts w:eastAsia="Arial Unicode MS"/>
          <w:bCs/>
          <w:lang w:eastAsia="fr-FR" w:bidi="he-IL"/>
        </w:rPr>
        <w:t>avoir lu tout entier</w:t>
      </w:r>
      <w:r w:rsidRPr="00C8701B">
        <w:rPr>
          <w:rFonts w:eastAsia="Arial Unicode MS"/>
          <w:bCs/>
          <w:lang w:eastAsia="fr-FR" w:bidi="he-IL"/>
        </w:rPr>
        <w:t> »</w:t>
      </w:r>
      <w:r w:rsidR="00933C60" w:rsidRPr="00C406FF">
        <w:rPr>
          <w:rStyle w:val="Appelnotedebasdep"/>
        </w:rPr>
        <w:footnoteReference w:id="511"/>
      </w:r>
      <w:r w:rsidR="00B704AD" w:rsidRPr="00C8701B">
        <w:rPr>
          <w:rFonts w:eastAsia="Arial Unicode MS"/>
          <w:bCs/>
          <w:lang w:eastAsia="fr-FR" w:bidi="he-IL"/>
        </w:rPr>
        <w:t>.</w:t>
      </w:r>
      <w:r w:rsidRPr="00C8701B">
        <w:rPr>
          <w:rFonts w:eastAsia="Arial Unicode MS"/>
          <w:bCs/>
          <w:lang w:eastAsia="fr-FR" w:bidi="he-IL"/>
        </w:rPr>
        <w:t xml:space="preserve"> </w:t>
      </w:r>
    </w:p>
    <w:p w:rsidR="00C2602D" w:rsidRPr="00C8701B" w:rsidRDefault="00C2602D" w:rsidP="006A4C4C">
      <w:pPr>
        <w:rPr>
          <w:rFonts w:eastAsia="Arial Unicode MS"/>
          <w:bCs/>
          <w:lang w:eastAsia="fr-FR" w:bidi="he-IL"/>
        </w:rPr>
      </w:pPr>
      <w:r w:rsidRPr="00C8701B">
        <w:rPr>
          <w:rFonts w:eastAsia="Arial Unicode MS"/>
          <w:bCs/>
          <w:lang w:eastAsia="fr-FR" w:bidi="he-IL"/>
        </w:rPr>
        <w:t>« </w:t>
      </w:r>
      <w:r w:rsidR="00B704AD" w:rsidRPr="00C8701B">
        <w:rPr>
          <w:rFonts w:eastAsia="Arial Unicode MS"/>
          <w:bCs/>
          <w:lang w:eastAsia="fr-FR" w:bidi="he-IL"/>
        </w:rPr>
        <w:t>Rappelez-vous l</w:t>
      </w:r>
      <w:r w:rsidR="00557DE0">
        <w:rPr>
          <w:rFonts w:eastAsia="Arial Unicode MS"/>
          <w:bCs/>
          <w:lang w:eastAsia="fr-FR" w:bidi="he-IL"/>
        </w:rPr>
        <w:t>’</w:t>
      </w:r>
      <w:r w:rsidR="000439E9">
        <w:rPr>
          <w:rFonts w:eastAsia="Arial Unicode MS"/>
          <w:bCs/>
          <w:lang w:eastAsia="fr-FR" w:bidi="he-IL"/>
        </w:rPr>
        <w:t>Évangile</w:t>
      </w:r>
      <w:r w:rsidR="00B704AD" w:rsidRPr="00C8701B">
        <w:rPr>
          <w:rFonts w:eastAsia="Arial Unicode MS"/>
          <w:bCs/>
          <w:lang w:eastAsia="fr-FR" w:bidi="he-IL"/>
        </w:rPr>
        <w:t xml:space="preserve"> véritable... Rien n</w:t>
      </w:r>
      <w:r w:rsidR="00557DE0">
        <w:rPr>
          <w:rFonts w:eastAsia="Arial Unicode MS"/>
          <w:bCs/>
          <w:lang w:eastAsia="fr-FR" w:bidi="he-IL"/>
        </w:rPr>
        <w:t>’</w:t>
      </w:r>
      <w:r w:rsidR="00B704AD" w:rsidRPr="00C8701B">
        <w:rPr>
          <w:rFonts w:eastAsia="Arial Unicode MS"/>
          <w:bCs/>
          <w:lang w:eastAsia="fr-FR" w:bidi="he-IL"/>
        </w:rPr>
        <w:t>est moins facile-à imiter</w:t>
      </w:r>
      <w:r w:rsidRPr="00C8701B">
        <w:rPr>
          <w:rFonts w:eastAsia="Arial Unicode MS"/>
          <w:bCs/>
          <w:lang w:eastAsia="fr-FR" w:bidi="he-IL"/>
        </w:rPr>
        <w:t xml:space="preserve"> </w:t>
      </w:r>
      <w:r w:rsidR="00B704AD" w:rsidRPr="00C8701B">
        <w:rPr>
          <w:rFonts w:eastAsia="Arial Unicode MS"/>
          <w:bCs/>
          <w:lang w:eastAsia="fr-FR" w:bidi="he-IL"/>
        </w:rPr>
        <w:t xml:space="preserve">que le divin. </w:t>
      </w:r>
      <w:r w:rsidR="006A4C4C">
        <w:rPr>
          <w:rFonts w:eastAsia="Arial Unicode MS"/>
          <w:bCs/>
          <w:lang w:eastAsia="fr-FR" w:bidi="he-IL"/>
        </w:rPr>
        <w:t>{97</w:t>
      </w:r>
      <w:bookmarkStart w:id="150" w:name="pag097"/>
      <w:bookmarkEnd w:id="150"/>
      <w:r w:rsidR="006A4C4C">
        <w:rPr>
          <w:rFonts w:eastAsia="Arial Unicode MS"/>
          <w:bCs/>
          <w:lang w:eastAsia="fr-FR" w:bidi="he-IL"/>
        </w:rPr>
        <w:t xml:space="preserve">} </w:t>
      </w:r>
      <w:r w:rsidR="00B704AD" w:rsidRPr="00C8701B">
        <w:rPr>
          <w:rFonts w:eastAsia="Arial Unicode MS"/>
          <w:bCs/>
          <w:lang w:eastAsia="fr-FR" w:bidi="he-IL"/>
        </w:rPr>
        <w:t>Les mythologues ont beau s</w:t>
      </w:r>
      <w:r w:rsidR="00557DE0">
        <w:rPr>
          <w:rFonts w:eastAsia="Arial Unicode MS"/>
          <w:bCs/>
          <w:lang w:eastAsia="fr-FR" w:bidi="he-IL"/>
        </w:rPr>
        <w:t>’</w:t>
      </w:r>
      <w:r w:rsidR="00B704AD" w:rsidRPr="00C8701B">
        <w:rPr>
          <w:rFonts w:eastAsia="Arial Unicode MS"/>
          <w:bCs/>
          <w:lang w:eastAsia="fr-FR" w:bidi="he-IL"/>
        </w:rPr>
        <w:t>y essayer</w:t>
      </w:r>
      <w:r w:rsidRPr="00C8701B">
        <w:rPr>
          <w:rFonts w:eastAsia="Arial Unicode MS"/>
          <w:bCs/>
          <w:lang w:eastAsia="fr-FR" w:bidi="he-IL"/>
        </w:rPr>
        <w:t> </w:t>
      </w:r>
      <w:r w:rsidR="007F6508">
        <w:rPr>
          <w:rFonts w:eastAsia="Arial Unicode MS"/>
          <w:bCs/>
          <w:lang w:eastAsia="fr-FR" w:bidi="he-IL"/>
        </w:rPr>
        <w:t xml:space="preserve">; </w:t>
      </w:r>
      <w:r w:rsidR="006A4C4C">
        <w:rPr>
          <w:rFonts w:eastAsia="Arial Unicode MS"/>
          <w:bCs/>
          <w:lang w:eastAsia="fr-FR" w:bidi="he-IL"/>
        </w:rPr>
        <w:t xml:space="preserve">il y aura </w:t>
      </w:r>
      <w:r w:rsidR="00B704AD" w:rsidRPr="00C8701B">
        <w:rPr>
          <w:rFonts w:eastAsia="Arial Unicode MS"/>
          <w:bCs/>
          <w:lang w:eastAsia="fr-FR" w:bidi="he-IL"/>
        </w:rPr>
        <w:t>toujours en celui-ci un arôme</w:t>
      </w:r>
      <w:r w:rsidR="00E65435">
        <w:rPr>
          <w:rFonts w:eastAsia="Arial Unicode MS"/>
          <w:bCs/>
          <w:lang w:eastAsia="fr-FR" w:bidi="he-IL"/>
        </w:rPr>
        <w:t xml:space="preserve">, </w:t>
      </w:r>
      <w:r w:rsidR="00B704AD" w:rsidRPr="00C8701B">
        <w:rPr>
          <w:rFonts w:eastAsia="Arial Unicode MS"/>
          <w:bCs/>
          <w:lang w:eastAsia="fr-FR" w:bidi="he-IL"/>
        </w:rPr>
        <w:t>une saveur goûtée de l</w:t>
      </w:r>
      <w:r w:rsidR="00557DE0">
        <w:rPr>
          <w:rFonts w:eastAsia="Arial Unicode MS"/>
          <w:bCs/>
          <w:lang w:eastAsia="fr-FR" w:bidi="he-IL"/>
        </w:rPr>
        <w:t>’</w:t>
      </w:r>
      <w:r w:rsidR="00B704AD" w:rsidRPr="00C8701B">
        <w:rPr>
          <w:rFonts w:eastAsia="Arial Unicode MS"/>
          <w:bCs/>
          <w:lang w:eastAsia="fr-FR" w:bidi="he-IL"/>
        </w:rPr>
        <w:t>âme</w:t>
      </w:r>
      <w:r w:rsidR="00E65435">
        <w:rPr>
          <w:rFonts w:eastAsia="Arial Unicode MS"/>
          <w:bCs/>
          <w:lang w:eastAsia="fr-FR" w:bidi="he-IL"/>
        </w:rPr>
        <w:t xml:space="preserve">, </w:t>
      </w:r>
      <w:r w:rsidR="00B704AD" w:rsidRPr="00C8701B">
        <w:rPr>
          <w:rFonts w:eastAsia="Arial Unicode MS"/>
          <w:bCs/>
          <w:lang w:eastAsia="fr-FR" w:bidi="he-IL"/>
        </w:rPr>
        <w:t>que leurs romans n</w:t>
      </w:r>
      <w:r w:rsidR="00557DE0">
        <w:rPr>
          <w:rFonts w:eastAsia="Arial Unicode MS"/>
          <w:bCs/>
          <w:lang w:eastAsia="fr-FR" w:bidi="he-IL"/>
        </w:rPr>
        <w:t>’</w:t>
      </w:r>
      <w:r w:rsidR="00B704AD" w:rsidRPr="00C8701B">
        <w:rPr>
          <w:rFonts w:eastAsia="Arial Unicode MS"/>
          <w:bCs/>
          <w:lang w:eastAsia="fr-FR" w:bidi="he-IL"/>
        </w:rPr>
        <w:t>exhaleront pas. Un des plus solides caractères de toute la vérité chrétienne</w:t>
      </w:r>
      <w:r w:rsidR="00E65435">
        <w:rPr>
          <w:rFonts w:eastAsia="Arial Unicode MS"/>
          <w:bCs/>
          <w:lang w:eastAsia="fr-FR" w:bidi="he-IL"/>
        </w:rPr>
        <w:t xml:space="preserve">, </w:t>
      </w:r>
      <w:r w:rsidR="00B704AD" w:rsidRPr="00C8701B">
        <w:rPr>
          <w:rFonts w:eastAsia="Arial Unicode MS"/>
          <w:bCs/>
          <w:lang w:eastAsia="fr-FR" w:bidi="he-IL"/>
        </w:rPr>
        <w:t>c</w:t>
      </w:r>
      <w:r w:rsidR="00557DE0">
        <w:rPr>
          <w:rFonts w:eastAsia="Arial Unicode MS"/>
          <w:bCs/>
          <w:lang w:eastAsia="fr-FR" w:bidi="he-IL"/>
        </w:rPr>
        <w:t>’</w:t>
      </w:r>
      <w:r w:rsidR="00B704AD" w:rsidRPr="00C8701B">
        <w:rPr>
          <w:rFonts w:eastAsia="Arial Unicode MS"/>
          <w:bCs/>
          <w:lang w:eastAsia="fr-FR" w:bidi="he-IL"/>
        </w:rPr>
        <w:t>est l</w:t>
      </w:r>
      <w:r w:rsidR="00557DE0">
        <w:rPr>
          <w:rFonts w:eastAsia="Arial Unicode MS"/>
          <w:bCs/>
          <w:lang w:eastAsia="fr-FR" w:bidi="he-IL"/>
        </w:rPr>
        <w:t>’</w:t>
      </w:r>
      <w:r w:rsidR="00B704AD" w:rsidRPr="00C8701B">
        <w:rPr>
          <w:rFonts w:eastAsia="Arial Unicode MS"/>
          <w:bCs/>
          <w:lang w:eastAsia="fr-FR" w:bidi="he-IL"/>
        </w:rPr>
        <w:t>impossibilité où était l</w:t>
      </w:r>
      <w:r w:rsidR="00557DE0">
        <w:rPr>
          <w:rFonts w:eastAsia="Arial Unicode MS"/>
          <w:bCs/>
          <w:lang w:eastAsia="fr-FR" w:bidi="he-IL"/>
        </w:rPr>
        <w:t>’</w:t>
      </w:r>
      <w:r w:rsidR="00B704AD" w:rsidRPr="00C8701B">
        <w:rPr>
          <w:rFonts w:eastAsia="Arial Unicode MS"/>
          <w:bCs/>
          <w:lang w:eastAsia="fr-FR" w:bidi="he-IL"/>
        </w:rPr>
        <w:t>homme de l</w:t>
      </w:r>
      <w:r w:rsidR="00557DE0">
        <w:rPr>
          <w:rFonts w:eastAsia="Arial Unicode MS"/>
          <w:bCs/>
          <w:lang w:eastAsia="fr-FR" w:bidi="he-IL"/>
        </w:rPr>
        <w:t>’</w:t>
      </w:r>
      <w:r w:rsidR="00B704AD" w:rsidRPr="00C8701B">
        <w:rPr>
          <w:rFonts w:eastAsia="Arial Unicode MS"/>
          <w:bCs/>
          <w:lang w:eastAsia="fr-FR" w:bidi="he-IL"/>
        </w:rPr>
        <w:t>inventer</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et ceci est</w:t>
      </w:r>
      <w:r w:rsidR="007475F7" w:rsidRPr="00C8701B">
        <w:rPr>
          <w:rFonts w:eastAsia="Arial Unicode MS"/>
          <w:bCs/>
          <w:lang w:eastAsia="fr-FR" w:bidi="he-IL"/>
        </w:rPr>
        <w:t xml:space="preserve"> </w:t>
      </w:r>
      <w:r w:rsidR="00B704AD" w:rsidRPr="00C8701B">
        <w:rPr>
          <w:rFonts w:eastAsia="Arial Unicode MS"/>
          <w:bCs/>
          <w:lang w:eastAsia="fr-FR" w:bidi="he-IL"/>
        </w:rPr>
        <w:t>applicable à l</w:t>
      </w:r>
      <w:r w:rsidR="00557DE0">
        <w:rPr>
          <w:rFonts w:eastAsia="Arial Unicode MS"/>
          <w:bCs/>
          <w:lang w:eastAsia="fr-FR" w:bidi="he-IL"/>
        </w:rPr>
        <w:t>’</w:t>
      </w:r>
      <w:r w:rsidR="00B704AD" w:rsidRPr="00C8701B">
        <w:rPr>
          <w:rFonts w:eastAsia="Arial Unicode MS"/>
          <w:bCs/>
          <w:lang w:eastAsia="fr-FR" w:bidi="he-IL"/>
        </w:rPr>
        <w:t>histoire de cette vérité</w:t>
      </w:r>
      <w:r w:rsidR="00E65435">
        <w:rPr>
          <w:rFonts w:eastAsia="Arial Unicode MS"/>
          <w:bCs/>
          <w:lang w:eastAsia="fr-FR" w:bidi="he-IL"/>
        </w:rPr>
        <w:t xml:space="preserve">, </w:t>
      </w:r>
      <w:r w:rsidR="00B704AD" w:rsidRPr="00C8701B">
        <w:rPr>
          <w:rFonts w:eastAsia="Arial Unicode MS"/>
          <w:bCs/>
          <w:lang w:eastAsia="fr-FR" w:bidi="he-IL"/>
        </w:rPr>
        <w:t>comme à ses dogmes et à sa morale</w:t>
      </w:r>
      <w:r w:rsidR="00E65435">
        <w:rPr>
          <w:rFonts w:eastAsia="Arial Unicode MS"/>
          <w:bCs/>
          <w:lang w:eastAsia="fr-FR" w:bidi="he-IL"/>
        </w:rPr>
        <w:t xml:space="preserve">, </w:t>
      </w:r>
      <w:r w:rsidR="00B704AD" w:rsidRPr="00C8701B">
        <w:rPr>
          <w:rFonts w:eastAsia="Arial Unicode MS"/>
          <w:bCs/>
          <w:lang w:eastAsia="fr-FR" w:bidi="he-IL"/>
        </w:rPr>
        <w:t>car les faits de l</w:t>
      </w:r>
      <w:r w:rsidR="00557DE0">
        <w:rPr>
          <w:rFonts w:eastAsia="Arial Unicode MS"/>
          <w:bCs/>
          <w:lang w:eastAsia="fr-FR" w:bidi="he-IL"/>
        </w:rPr>
        <w:t>’</w:t>
      </w:r>
      <w:r w:rsidR="000439E9">
        <w:rPr>
          <w:rFonts w:eastAsia="Arial Unicode MS"/>
          <w:bCs/>
          <w:lang w:eastAsia="fr-FR" w:bidi="he-IL"/>
        </w:rPr>
        <w:t>Évangile</w:t>
      </w:r>
      <w:r w:rsidR="00B704AD" w:rsidRPr="00C8701B">
        <w:rPr>
          <w:rFonts w:eastAsia="Arial Unicode MS"/>
          <w:bCs/>
          <w:lang w:eastAsia="fr-FR" w:bidi="he-IL"/>
        </w:rPr>
        <w:t xml:space="preserve"> sont aussi introuvables pour nous que ses maximes</w:t>
      </w:r>
      <w:r w:rsidR="00D7320E">
        <w:rPr>
          <w:rFonts w:eastAsia="Arial Unicode MS"/>
          <w:bCs/>
          <w:lang w:eastAsia="fr-FR" w:bidi="he-IL"/>
        </w:rPr>
        <w:t> »</w:t>
      </w:r>
      <w:r w:rsidR="00933C60" w:rsidRPr="00C406FF">
        <w:rPr>
          <w:rStyle w:val="Appelnotedebasdep"/>
        </w:rPr>
        <w:footnoteReference w:id="512"/>
      </w:r>
      <w:r w:rsidR="00B704AD" w:rsidRPr="00C8701B">
        <w:rPr>
          <w:rFonts w:eastAsia="Arial Unicode MS"/>
          <w:bCs/>
          <w:lang w:eastAsia="fr-FR" w:bidi="he-IL"/>
        </w:rPr>
        <w:t>.</w:t>
      </w:r>
      <w:r w:rsidRPr="00C8701B">
        <w:rPr>
          <w:rFonts w:eastAsia="Arial Unicode MS"/>
          <w:bCs/>
          <w:lang w:eastAsia="fr-FR" w:bidi="he-IL"/>
        </w:rPr>
        <w:t xml:space="preserve"> </w:t>
      </w:r>
    </w:p>
    <w:p w:rsidR="00C2602D" w:rsidRPr="00C8701B" w:rsidRDefault="00C2602D" w:rsidP="00C2602D">
      <w:pPr>
        <w:rPr>
          <w:rFonts w:eastAsia="Arial Unicode MS"/>
          <w:bCs/>
          <w:lang w:eastAsia="fr-FR" w:bidi="he-IL"/>
        </w:rPr>
      </w:pPr>
      <w:r w:rsidRPr="00C8701B">
        <w:rPr>
          <w:rFonts w:eastAsia="Arial Unicode MS"/>
          <w:bCs/>
          <w:lang w:eastAsia="fr-FR" w:bidi="he-IL"/>
        </w:rPr>
        <w:t>« </w:t>
      </w:r>
      <w:r w:rsidR="00B704AD" w:rsidRPr="00C8701B">
        <w:rPr>
          <w:rFonts w:eastAsia="Arial Unicode MS"/>
          <w:bCs/>
          <w:lang w:eastAsia="fr-FR" w:bidi="he-IL"/>
        </w:rPr>
        <w:t>Moi</w:t>
      </w:r>
      <w:r w:rsidR="00E65435">
        <w:rPr>
          <w:rFonts w:eastAsia="Arial Unicode MS"/>
          <w:bCs/>
          <w:lang w:eastAsia="fr-FR" w:bidi="he-IL"/>
        </w:rPr>
        <w:t xml:space="preserve">, </w:t>
      </w:r>
      <w:r w:rsidR="00B704AD" w:rsidRPr="00C8701B">
        <w:rPr>
          <w:rFonts w:eastAsia="Arial Unicode MS"/>
          <w:bCs/>
          <w:lang w:eastAsia="fr-FR" w:bidi="he-IL"/>
        </w:rPr>
        <w:t>disait Herder à Lavater</w:t>
      </w:r>
      <w:r w:rsidR="00933C60" w:rsidRPr="00C406FF">
        <w:rPr>
          <w:rStyle w:val="Appelnotedebasdep"/>
        </w:rPr>
        <w:footnoteReference w:id="513"/>
      </w:r>
      <w:r w:rsidR="00E65435">
        <w:rPr>
          <w:rFonts w:eastAsia="Arial Unicode MS"/>
          <w:bCs/>
          <w:lang w:eastAsia="fr-FR" w:bidi="he-IL"/>
        </w:rPr>
        <w:t xml:space="preserve">, </w:t>
      </w:r>
      <w:r w:rsidR="00B704AD" w:rsidRPr="00C8701B">
        <w:rPr>
          <w:rFonts w:eastAsia="Arial Unicode MS"/>
          <w:bCs/>
          <w:lang w:eastAsia="fr-FR" w:bidi="he-IL"/>
        </w:rPr>
        <w:t>moi écrire la vie de Jésus</w:t>
      </w:r>
      <w:r w:rsidRPr="00C8701B">
        <w:rPr>
          <w:rFonts w:eastAsia="Arial Unicode MS"/>
          <w:bCs/>
          <w:lang w:eastAsia="fr-FR" w:bidi="he-IL"/>
        </w:rPr>
        <w:t> !</w:t>
      </w:r>
      <w:r w:rsidR="00B704AD" w:rsidRPr="00C8701B">
        <w:rPr>
          <w:rFonts w:eastAsia="Arial Unicode MS"/>
          <w:bCs/>
          <w:lang w:eastAsia="fr-FR" w:bidi="he-IL"/>
        </w:rPr>
        <w:t>... Ne songeons pas à écrire</w:t>
      </w:r>
      <w:r w:rsidR="00E65435">
        <w:rPr>
          <w:rFonts w:eastAsia="Arial Unicode MS"/>
          <w:bCs/>
          <w:lang w:eastAsia="fr-FR" w:bidi="he-IL"/>
        </w:rPr>
        <w:t xml:space="preserve">, </w:t>
      </w:r>
      <w:r w:rsidR="00B704AD" w:rsidRPr="00C8701B">
        <w:rPr>
          <w:rFonts w:eastAsia="Arial Unicode MS"/>
          <w:bCs/>
          <w:lang w:eastAsia="fr-FR" w:bidi="he-IL"/>
        </w:rPr>
        <w:t>mais à pratiquer</w:t>
      </w:r>
      <w:r w:rsidR="00933C60" w:rsidRPr="00C406FF">
        <w:rPr>
          <w:rStyle w:val="Appelnotedebasdep"/>
        </w:rPr>
        <w:footnoteReference w:id="514"/>
      </w:r>
      <w:r w:rsidR="00B704AD" w:rsidRPr="00C8701B">
        <w:rPr>
          <w:rFonts w:eastAsia="Arial Unicode MS"/>
          <w:bCs/>
          <w:lang w:eastAsia="fr-FR" w:bidi="he-IL"/>
        </w:rPr>
        <w:t>. Et d</w:t>
      </w:r>
      <w:r w:rsidR="00557DE0">
        <w:rPr>
          <w:rFonts w:eastAsia="Arial Unicode MS"/>
          <w:bCs/>
          <w:lang w:eastAsia="fr-FR" w:bidi="he-IL"/>
        </w:rPr>
        <w:t>’</w:t>
      </w:r>
      <w:r w:rsidR="00B704AD" w:rsidRPr="00C8701B">
        <w:rPr>
          <w:rFonts w:eastAsia="Arial Unicode MS"/>
          <w:bCs/>
          <w:lang w:eastAsia="fr-FR" w:bidi="he-IL"/>
        </w:rPr>
        <w:t>ailleurs</w:t>
      </w:r>
      <w:r w:rsidR="00E65435">
        <w:rPr>
          <w:rFonts w:eastAsia="Arial Unicode MS"/>
          <w:bCs/>
          <w:lang w:eastAsia="fr-FR" w:bidi="he-IL"/>
        </w:rPr>
        <w:t xml:space="preserve">, </w:t>
      </w:r>
      <w:r w:rsidR="00B704AD" w:rsidRPr="00C8701B">
        <w:rPr>
          <w:rFonts w:eastAsia="Arial Unicode MS"/>
          <w:bCs/>
          <w:lang w:eastAsia="fr-FR" w:bidi="he-IL"/>
        </w:rPr>
        <w:t>qui oserait</w:t>
      </w:r>
      <w:r w:rsidR="00E65435">
        <w:rPr>
          <w:rFonts w:eastAsia="Arial Unicode MS"/>
          <w:bCs/>
          <w:lang w:eastAsia="fr-FR" w:bidi="he-IL"/>
        </w:rPr>
        <w:t xml:space="preserve">, </w:t>
      </w:r>
      <w:r w:rsidR="00B704AD" w:rsidRPr="00C8701B">
        <w:rPr>
          <w:rFonts w:eastAsia="Arial Unicode MS"/>
          <w:bCs/>
          <w:lang w:eastAsia="fr-FR" w:bidi="he-IL"/>
        </w:rPr>
        <w:t>après S</w:t>
      </w:r>
      <w:r w:rsidR="00E65435">
        <w:rPr>
          <w:rFonts w:eastAsia="Arial Unicode MS"/>
          <w:bCs/>
          <w:lang w:eastAsia="fr-FR" w:bidi="he-IL"/>
        </w:rPr>
        <w:t xml:space="preserve">, </w:t>
      </w:r>
      <w:r w:rsidR="00B704AD" w:rsidRPr="00C8701B">
        <w:rPr>
          <w:rFonts w:eastAsia="Arial Unicode MS"/>
          <w:bCs/>
          <w:lang w:eastAsia="fr-FR" w:bidi="he-IL"/>
        </w:rPr>
        <w:t>Jean</w:t>
      </w:r>
      <w:r w:rsidR="00E65435">
        <w:rPr>
          <w:rFonts w:eastAsia="Arial Unicode MS"/>
          <w:bCs/>
          <w:lang w:eastAsia="fr-FR" w:bidi="he-IL"/>
        </w:rPr>
        <w:t xml:space="preserve">, </w:t>
      </w:r>
      <w:r w:rsidR="00B704AD" w:rsidRPr="00C8701B">
        <w:rPr>
          <w:rFonts w:eastAsia="Arial Unicode MS"/>
          <w:bCs/>
          <w:lang w:eastAsia="fr-FR" w:bidi="he-IL"/>
        </w:rPr>
        <w:t>se charger d</w:t>
      </w:r>
      <w:r w:rsidR="00557DE0">
        <w:rPr>
          <w:rFonts w:eastAsia="Arial Unicode MS"/>
          <w:bCs/>
          <w:lang w:eastAsia="fr-FR" w:bidi="he-IL"/>
        </w:rPr>
        <w:t>’</w:t>
      </w:r>
      <w:r w:rsidR="006A4C4C">
        <w:rPr>
          <w:rFonts w:eastAsia="Arial Unicode MS"/>
          <w:bCs/>
          <w:lang w:eastAsia="fr-FR" w:bidi="he-IL"/>
        </w:rPr>
        <w:t>une pareille tâche</w:t>
      </w:r>
      <w:r w:rsidRPr="00C8701B">
        <w:rPr>
          <w:rFonts w:eastAsia="Arial Unicode MS"/>
          <w:bCs/>
          <w:lang w:eastAsia="fr-FR" w:bidi="he-IL"/>
        </w:rPr>
        <w:t> ?</w:t>
      </w:r>
      <w:r w:rsidR="006A4C4C">
        <w:rPr>
          <w:rFonts w:eastAsia="Arial Unicode MS"/>
          <w:bCs/>
          <w:lang w:eastAsia="fr-FR" w:bidi="he-IL"/>
        </w:rPr>
        <w:t> »</w:t>
      </w:r>
      <w:r w:rsidRPr="00C8701B">
        <w:rPr>
          <w:rFonts w:eastAsia="Arial Unicode MS"/>
          <w:bCs/>
          <w:lang w:eastAsia="fr-FR" w:bidi="he-IL"/>
        </w:rPr>
        <w:t xml:space="preserve"> </w:t>
      </w:r>
    </w:p>
    <w:p w:rsidR="00C2602D" w:rsidRDefault="00C2602D" w:rsidP="00C2602D">
      <w:pPr>
        <w:rPr>
          <w:rFonts w:eastAsia="Arial Unicode MS"/>
          <w:bCs/>
          <w:lang w:eastAsia="fr-FR" w:bidi="he-IL"/>
        </w:rPr>
      </w:pPr>
      <w:r w:rsidRPr="00C8701B">
        <w:rPr>
          <w:rFonts w:eastAsia="Arial Unicode MS"/>
          <w:bCs/>
          <w:lang w:eastAsia="fr-FR" w:bidi="he-IL"/>
        </w:rPr>
        <w:t>« </w:t>
      </w:r>
      <w:r w:rsidR="00B704AD" w:rsidRPr="00C8701B">
        <w:rPr>
          <w:rFonts w:eastAsia="Arial Unicode MS"/>
          <w:bCs/>
          <w:lang w:eastAsia="fr-FR" w:bidi="he-IL"/>
        </w:rPr>
        <w:t>La vie de Jésus s</w:t>
      </w:r>
      <w:r w:rsidR="00557DE0">
        <w:rPr>
          <w:rFonts w:eastAsia="Arial Unicode MS"/>
          <w:bCs/>
          <w:lang w:eastAsia="fr-FR" w:bidi="he-IL"/>
        </w:rPr>
        <w:t>’</w:t>
      </w:r>
      <w:r w:rsidR="00B704AD" w:rsidRPr="00C8701B">
        <w:rPr>
          <w:rFonts w:eastAsia="Arial Unicode MS"/>
          <w:bCs/>
          <w:lang w:eastAsia="fr-FR" w:bidi="he-IL"/>
        </w:rPr>
        <w:t xml:space="preserve">étale à nos yeux (dans les </w:t>
      </w:r>
      <w:r w:rsidR="000439E9">
        <w:rPr>
          <w:rFonts w:eastAsia="Arial Unicode MS"/>
          <w:bCs/>
          <w:lang w:eastAsia="fr-FR" w:bidi="he-IL"/>
        </w:rPr>
        <w:t>Évangile</w:t>
      </w:r>
      <w:r w:rsidR="00B704AD" w:rsidRPr="00C8701B">
        <w:rPr>
          <w:rFonts w:eastAsia="Arial Unicode MS"/>
          <w:bCs/>
          <w:lang w:eastAsia="fr-FR" w:bidi="he-IL"/>
        </w:rPr>
        <w:t>s)</w:t>
      </w:r>
      <w:r w:rsidR="00E65435">
        <w:rPr>
          <w:rFonts w:eastAsia="Arial Unicode MS"/>
          <w:bCs/>
          <w:lang w:eastAsia="fr-FR" w:bidi="he-IL"/>
        </w:rPr>
        <w:t xml:space="preserve">, </w:t>
      </w:r>
      <w:r w:rsidR="00B704AD" w:rsidRPr="00C8701B">
        <w:rPr>
          <w:rFonts w:eastAsia="Arial Unicode MS"/>
          <w:bCs/>
          <w:lang w:eastAsia="fr-FR" w:bidi="he-IL"/>
        </w:rPr>
        <w:t>toute grande ouverte comme une ravissante prairie</w:t>
      </w:r>
      <w:r w:rsidR="00E65435">
        <w:rPr>
          <w:rFonts w:eastAsia="Arial Unicode MS"/>
          <w:bCs/>
          <w:lang w:eastAsia="fr-FR" w:bidi="he-IL"/>
        </w:rPr>
        <w:t xml:space="preserve">, </w:t>
      </w:r>
      <w:r w:rsidR="00B704AD" w:rsidRPr="00C8701B">
        <w:rPr>
          <w:rFonts w:eastAsia="Arial Unicode MS"/>
          <w:bCs/>
          <w:lang w:eastAsia="fr-FR" w:bidi="he-IL"/>
        </w:rPr>
        <w:t>au-dessus de laquelle ne se montre pas le plus petit nuage pour</w:t>
      </w:r>
      <w:r w:rsidR="006A4C4C">
        <w:rPr>
          <w:rFonts w:eastAsia="Arial Unicode MS"/>
          <w:bCs/>
          <w:lang w:eastAsia="fr-FR" w:bidi="he-IL"/>
        </w:rPr>
        <w:t xml:space="preserve"> arrêter les rayons du soleil. À</w:t>
      </w:r>
      <w:r w:rsidR="00B704AD" w:rsidRPr="00C8701B">
        <w:rPr>
          <w:rFonts w:eastAsia="Arial Unicode MS"/>
          <w:bCs/>
          <w:lang w:eastAsia="fr-FR" w:bidi="he-IL"/>
        </w:rPr>
        <w:t xml:space="preserve"> chaque pas nous sentons</w:t>
      </w:r>
      <w:r w:rsidR="00E65435">
        <w:rPr>
          <w:rFonts w:eastAsia="Arial Unicode MS"/>
          <w:bCs/>
          <w:lang w:eastAsia="fr-FR" w:bidi="he-IL"/>
        </w:rPr>
        <w:t xml:space="preserve">, </w:t>
      </w:r>
      <w:r w:rsidR="00B704AD" w:rsidRPr="00C8701B">
        <w:rPr>
          <w:rFonts w:eastAsia="Arial Unicode MS"/>
          <w:bCs/>
          <w:lang w:eastAsia="fr-FR" w:bidi="he-IL"/>
        </w:rPr>
        <w:t>avec les plus vives et les plus saintes délices</w:t>
      </w:r>
      <w:r w:rsidR="00E65435">
        <w:rPr>
          <w:rFonts w:eastAsia="Arial Unicode MS"/>
          <w:bCs/>
          <w:lang w:eastAsia="fr-FR" w:bidi="he-IL"/>
        </w:rPr>
        <w:t xml:space="preserve">, </w:t>
      </w:r>
      <w:r w:rsidR="00B704AD" w:rsidRPr="00C8701B">
        <w:rPr>
          <w:rFonts w:eastAsia="Arial Unicode MS"/>
          <w:bCs/>
          <w:lang w:eastAsia="fr-FR" w:bidi="he-IL"/>
        </w:rPr>
        <w:t>que nous la découvrons davantage...</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nous nous promenons sur elle</w:t>
      </w:r>
      <w:r w:rsidR="00E65435">
        <w:rPr>
          <w:rFonts w:eastAsia="Arial Unicode MS"/>
          <w:bCs/>
          <w:lang w:eastAsia="fr-FR" w:bidi="he-IL"/>
        </w:rPr>
        <w:t xml:space="preserve">, </w:t>
      </w:r>
      <w:r w:rsidR="00B704AD" w:rsidRPr="00C8701B">
        <w:rPr>
          <w:rFonts w:eastAsia="Arial Unicode MS"/>
          <w:bCs/>
          <w:lang w:eastAsia="fr-FR" w:bidi="he-IL"/>
        </w:rPr>
        <w:t>le cœur doucement agité par des pressentiments sublimes</w:t>
      </w:r>
      <w:r w:rsidR="00E65435">
        <w:rPr>
          <w:rFonts w:eastAsia="Arial Unicode MS"/>
          <w:bCs/>
          <w:lang w:eastAsia="fr-FR" w:bidi="he-IL"/>
        </w:rPr>
        <w:t xml:space="preserve">, </w:t>
      </w:r>
      <w:r w:rsidR="00B704AD" w:rsidRPr="00C8701B">
        <w:rPr>
          <w:rFonts w:eastAsia="Arial Unicode MS"/>
          <w:bCs/>
          <w:lang w:eastAsia="fr-FR" w:bidi="he-IL"/>
        </w:rPr>
        <w:t>et</w:t>
      </w:r>
      <w:r w:rsidR="00E65435">
        <w:rPr>
          <w:rFonts w:eastAsia="Arial Unicode MS"/>
          <w:bCs/>
          <w:lang w:eastAsia="fr-FR" w:bidi="he-IL"/>
        </w:rPr>
        <w:t xml:space="preserve">, </w:t>
      </w:r>
      <w:r w:rsidR="00B704AD" w:rsidRPr="00C8701B">
        <w:rPr>
          <w:rFonts w:eastAsia="Arial Unicode MS"/>
          <w:bCs/>
          <w:lang w:eastAsia="fr-FR" w:bidi="he-IL"/>
        </w:rPr>
        <w:t>après peu d</w:t>
      </w:r>
      <w:r w:rsidR="00557DE0">
        <w:rPr>
          <w:rFonts w:eastAsia="Arial Unicode MS"/>
          <w:bCs/>
          <w:lang w:eastAsia="fr-FR" w:bidi="he-IL"/>
        </w:rPr>
        <w:t>’</w:t>
      </w:r>
      <w:r w:rsidR="00B704AD" w:rsidRPr="00C8701B">
        <w:rPr>
          <w:rFonts w:eastAsia="Arial Unicode MS"/>
          <w:bCs/>
          <w:lang w:eastAsia="fr-FR" w:bidi="he-IL"/>
        </w:rPr>
        <w:t>instants</w:t>
      </w:r>
      <w:r w:rsidR="00E65435">
        <w:rPr>
          <w:rFonts w:eastAsia="Arial Unicode MS"/>
          <w:bCs/>
          <w:lang w:eastAsia="fr-FR" w:bidi="he-IL"/>
        </w:rPr>
        <w:t xml:space="preserve">, </w:t>
      </w:r>
      <w:r w:rsidR="00B704AD" w:rsidRPr="00C8701B">
        <w:rPr>
          <w:rFonts w:eastAsia="Arial Unicode MS"/>
          <w:bCs/>
          <w:lang w:eastAsia="fr-FR" w:bidi="he-IL"/>
        </w:rPr>
        <w:t>elle devient comme notre patrie</w:t>
      </w:r>
      <w:r w:rsidR="00E65435">
        <w:rPr>
          <w:rFonts w:eastAsia="Arial Unicode MS"/>
          <w:bCs/>
          <w:lang w:eastAsia="fr-FR" w:bidi="he-IL"/>
        </w:rPr>
        <w:t xml:space="preserve">, </w:t>
      </w:r>
      <w:r w:rsidR="00B704AD" w:rsidRPr="00C8701B">
        <w:rPr>
          <w:rFonts w:eastAsia="Arial Unicode MS"/>
          <w:bCs/>
          <w:lang w:eastAsia="fr-FR" w:bidi="he-IL"/>
        </w:rPr>
        <w:t>dans laquelle il nous plairait</w:t>
      </w:r>
      <w:r w:rsidR="00E65435">
        <w:rPr>
          <w:rFonts w:eastAsia="Arial Unicode MS"/>
          <w:bCs/>
          <w:lang w:eastAsia="fr-FR" w:bidi="he-IL"/>
        </w:rPr>
        <w:t xml:space="preserve">, </w:t>
      </w:r>
      <w:r w:rsidR="00B704AD" w:rsidRPr="00C8701B">
        <w:rPr>
          <w:rFonts w:eastAsia="Arial Unicode MS"/>
          <w:bCs/>
          <w:lang w:eastAsia="fr-FR" w:bidi="he-IL"/>
        </w:rPr>
        <w:t>soit dans la joie</w:t>
      </w:r>
      <w:r w:rsidR="00E65435">
        <w:rPr>
          <w:rFonts w:eastAsia="Arial Unicode MS"/>
          <w:bCs/>
          <w:lang w:eastAsia="fr-FR" w:bidi="he-IL"/>
        </w:rPr>
        <w:t xml:space="preserve">, </w:t>
      </w:r>
      <w:r w:rsidR="00B704AD" w:rsidRPr="00C8701B">
        <w:rPr>
          <w:rFonts w:eastAsia="Arial Unicode MS"/>
          <w:bCs/>
          <w:lang w:eastAsia="fr-FR" w:bidi="he-IL"/>
        </w:rPr>
        <w:t>soit dans la tristesse</w:t>
      </w:r>
      <w:r w:rsidR="00E65435">
        <w:rPr>
          <w:rFonts w:eastAsia="Arial Unicode MS"/>
          <w:bCs/>
          <w:lang w:eastAsia="fr-FR" w:bidi="he-IL"/>
        </w:rPr>
        <w:t xml:space="preserve">, </w:t>
      </w:r>
      <w:r w:rsidR="00B704AD" w:rsidRPr="00C8701B">
        <w:rPr>
          <w:rFonts w:eastAsia="Arial Unicode MS"/>
          <w:bCs/>
          <w:lang w:eastAsia="fr-FR" w:bidi="he-IL"/>
        </w:rPr>
        <w:t>de vivre et de mourir</w:t>
      </w:r>
      <w:r w:rsidR="00D7320E">
        <w:rPr>
          <w:rFonts w:eastAsia="Arial Unicode MS"/>
          <w:bCs/>
          <w:lang w:eastAsia="fr-FR" w:bidi="he-IL"/>
        </w:rPr>
        <w:t> »</w:t>
      </w:r>
      <w:r w:rsidR="00933C60" w:rsidRPr="00C406FF">
        <w:rPr>
          <w:rStyle w:val="Appelnotedebasdep"/>
        </w:rPr>
        <w:footnoteReference w:id="515"/>
      </w:r>
      <w:r w:rsidR="00B704AD" w:rsidRPr="00C8701B">
        <w:rPr>
          <w:rFonts w:eastAsia="Arial Unicode MS"/>
          <w:bCs/>
          <w:lang w:eastAsia="fr-FR" w:bidi="he-IL"/>
        </w:rPr>
        <w:t>.</w:t>
      </w:r>
      <w:r w:rsidRPr="00C8701B">
        <w:rPr>
          <w:rFonts w:eastAsia="Arial Unicode MS"/>
          <w:bCs/>
          <w:lang w:eastAsia="fr-FR" w:bidi="he-IL"/>
        </w:rPr>
        <w:t xml:space="preserve"> </w:t>
      </w:r>
    </w:p>
    <w:p w:rsidR="00C2602D" w:rsidRPr="00C8701B" w:rsidRDefault="006A4C4C" w:rsidP="00CB052B">
      <w:pPr>
        <w:rPr>
          <w:rFonts w:eastAsia="Arial Unicode MS"/>
          <w:bCs/>
          <w:lang w:eastAsia="fr-FR" w:bidi="he-IL"/>
        </w:rPr>
      </w:pPr>
      <w:r>
        <w:rPr>
          <w:rFonts w:eastAsia="Arial Unicode MS"/>
          <w:bCs/>
          <w:lang w:eastAsia="fr-FR" w:bidi="he-IL"/>
        </w:rPr>
        <w:t>« </w:t>
      </w:r>
      <w:r w:rsidR="00B704AD" w:rsidRPr="00C8701B">
        <w:rPr>
          <w:rFonts w:eastAsia="Arial Unicode MS"/>
          <w:bCs/>
          <w:lang w:eastAsia="fr-FR" w:bidi="he-IL"/>
        </w:rPr>
        <w:t>L</w:t>
      </w:r>
      <w:r w:rsidR="00557DE0">
        <w:rPr>
          <w:rFonts w:eastAsia="Arial Unicode MS"/>
          <w:bCs/>
          <w:lang w:eastAsia="fr-FR" w:bidi="he-IL"/>
        </w:rPr>
        <w:t>’</w:t>
      </w:r>
      <w:r w:rsidR="000439E9">
        <w:rPr>
          <w:rFonts w:eastAsia="Arial Unicode MS"/>
          <w:bCs/>
          <w:lang w:eastAsia="fr-FR" w:bidi="he-IL"/>
        </w:rPr>
        <w:t>Évangile</w:t>
      </w:r>
      <w:r w:rsidR="00B704AD" w:rsidRPr="00C8701B">
        <w:rPr>
          <w:rFonts w:eastAsia="Arial Unicode MS"/>
          <w:bCs/>
          <w:lang w:eastAsia="fr-FR" w:bidi="he-IL"/>
        </w:rPr>
        <w:t xml:space="preserve"> n</w:t>
      </w:r>
      <w:r w:rsidR="00557DE0">
        <w:rPr>
          <w:rFonts w:eastAsia="Arial Unicode MS"/>
          <w:bCs/>
          <w:lang w:eastAsia="fr-FR" w:bidi="he-IL"/>
        </w:rPr>
        <w:t>’</w:t>
      </w:r>
      <w:r w:rsidR="00B704AD" w:rsidRPr="00C8701B">
        <w:rPr>
          <w:rFonts w:eastAsia="Arial Unicode MS"/>
          <w:bCs/>
          <w:lang w:eastAsia="fr-FR" w:bidi="he-IL"/>
        </w:rPr>
        <w:t>est pas un simple livre</w:t>
      </w:r>
      <w:r w:rsidR="00E65435">
        <w:rPr>
          <w:rFonts w:eastAsia="Arial Unicode MS"/>
          <w:bCs/>
          <w:lang w:eastAsia="fr-FR" w:bidi="he-IL"/>
        </w:rPr>
        <w:t xml:space="preserve">, </w:t>
      </w:r>
      <w:r w:rsidR="00B704AD" w:rsidRPr="00C8701B">
        <w:rPr>
          <w:rFonts w:eastAsia="Arial Unicode MS"/>
          <w:bCs/>
          <w:lang w:eastAsia="fr-FR" w:bidi="he-IL"/>
        </w:rPr>
        <w:t>c</w:t>
      </w:r>
      <w:r w:rsidR="00557DE0">
        <w:rPr>
          <w:rFonts w:eastAsia="Arial Unicode MS"/>
          <w:bCs/>
          <w:lang w:eastAsia="fr-FR" w:bidi="he-IL"/>
        </w:rPr>
        <w:t>’</w:t>
      </w:r>
      <w:r w:rsidR="00B704AD" w:rsidRPr="00C8701B">
        <w:rPr>
          <w:rFonts w:eastAsia="Arial Unicode MS"/>
          <w:bCs/>
          <w:lang w:eastAsia="fr-FR" w:bidi="he-IL"/>
        </w:rPr>
        <w:t>est une créature vivante</w:t>
      </w:r>
      <w:r w:rsidR="00E65435">
        <w:rPr>
          <w:rFonts w:eastAsia="Arial Unicode MS"/>
          <w:bCs/>
          <w:lang w:eastAsia="fr-FR" w:bidi="he-IL"/>
        </w:rPr>
        <w:t xml:space="preserve">, </w:t>
      </w:r>
      <w:r w:rsidR="00B704AD" w:rsidRPr="00C8701B">
        <w:rPr>
          <w:rFonts w:eastAsia="Arial Unicode MS"/>
          <w:bCs/>
          <w:lang w:eastAsia="fr-FR" w:bidi="he-IL"/>
        </w:rPr>
        <w:t>douée d</w:t>
      </w:r>
      <w:r w:rsidR="00557DE0">
        <w:rPr>
          <w:rFonts w:eastAsia="Arial Unicode MS"/>
          <w:bCs/>
          <w:lang w:eastAsia="fr-FR" w:bidi="he-IL"/>
        </w:rPr>
        <w:t>’</w:t>
      </w:r>
      <w:r w:rsidR="00B704AD" w:rsidRPr="00C8701B">
        <w:rPr>
          <w:rFonts w:eastAsia="Arial Unicode MS"/>
          <w:bCs/>
          <w:lang w:eastAsia="fr-FR" w:bidi="he-IL"/>
        </w:rPr>
        <w:t>une vigueur</w:t>
      </w:r>
      <w:r w:rsidR="00E65435">
        <w:rPr>
          <w:rFonts w:eastAsia="Arial Unicode MS"/>
          <w:bCs/>
          <w:lang w:eastAsia="fr-FR" w:bidi="he-IL"/>
        </w:rPr>
        <w:t xml:space="preserve">, </w:t>
      </w:r>
      <w:r w:rsidR="00B704AD" w:rsidRPr="00C8701B">
        <w:rPr>
          <w:rFonts w:eastAsia="Arial Unicode MS"/>
          <w:bCs/>
          <w:lang w:eastAsia="fr-FR" w:bidi="he-IL"/>
        </w:rPr>
        <w:t>d</w:t>
      </w:r>
      <w:r w:rsidR="00557DE0">
        <w:rPr>
          <w:rFonts w:eastAsia="Arial Unicode MS"/>
          <w:bCs/>
          <w:lang w:eastAsia="fr-FR" w:bidi="he-IL"/>
        </w:rPr>
        <w:t>’</w:t>
      </w:r>
      <w:r w:rsidR="00B704AD" w:rsidRPr="00C8701B">
        <w:rPr>
          <w:rFonts w:eastAsia="Arial Unicode MS"/>
          <w:bCs/>
          <w:lang w:eastAsia="fr-FR" w:bidi="he-IL"/>
        </w:rPr>
        <w:t>une puissance qui conquièrent tout ce qui s</w:t>
      </w:r>
      <w:r w:rsidR="00557DE0">
        <w:rPr>
          <w:rFonts w:eastAsia="Arial Unicode MS"/>
          <w:bCs/>
          <w:lang w:eastAsia="fr-FR" w:bidi="he-IL"/>
        </w:rPr>
        <w:t>’</w:t>
      </w:r>
      <w:r w:rsidR="00B704AD" w:rsidRPr="00C8701B">
        <w:rPr>
          <w:rFonts w:eastAsia="Arial Unicode MS"/>
          <w:bCs/>
          <w:lang w:eastAsia="fr-FR" w:bidi="he-IL"/>
        </w:rPr>
        <w:t>y oppose. Vous voyez sur cette table le livre des livres</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je ne me fatigue pas de le lire</w:t>
      </w:r>
      <w:r w:rsidR="00E65435">
        <w:rPr>
          <w:rFonts w:eastAsia="Arial Unicode MS"/>
          <w:bCs/>
          <w:lang w:eastAsia="fr-FR" w:bidi="he-IL"/>
        </w:rPr>
        <w:t xml:space="preserve">, </w:t>
      </w:r>
      <w:r w:rsidR="00B704AD" w:rsidRPr="00C8701B">
        <w:rPr>
          <w:rFonts w:eastAsia="Arial Unicode MS"/>
          <w:bCs/>
          <w:lang w:eastAsia="fr-FR" w:bidi="he-IL"/>
        </w:rPr>
        <w:t>et chaque jour je le lis avec un nouveau plaisir. L</w:t>
      </w:r>
      <w:r w:rsidR="00557DE0">
        <w:rPr>
          <w:rFonts w:eastAsia="Arial Unicode MS"/>
          <w:bCs/>
          <w:lang w:eastAsia="fr-FR" w:bidi="he-IL"/>
        </w:rPr>
        <w:t>’</w:t>
      </w:r>
      <w:r w:rsidR="00B704AD" w:rsidRPr="00C8701B">
        <w:rPr>
          <w:rFonts w:eastAsia="Arial Unicode MS"/>
          <w:bCs/>
          <w:lang w:eastAsia="fr-FR" w:bidi="he-IL"/>
        </w:rPr>
        <w:t>âme</w:t>
      </w:r>
      <w:r w:rsidR="00E65435">
        <w:rPr>
          <w:rFonts w:eastAsia="Arial Unicode MS"/>
          <w:bCs/>
          <w:lang w:eastAsia="fr-FR" w:bidi="he-IL"/>
        </w:rPr>
        <w:t xml:space="preserve">, </w:t>
      </w:r>
      <w:r w:rsidR="00B704AD" w:rsidRPr="00C8701B">
        <w:rPr>
          <w:rFonts w:eastAsia="Arial Unicode MS"/>
          <w:bCs/>
          <w:lang w:eastAsia="fr-FR" w:bidi="he-IL"/>
        </w:rPr>
        <w:t>charmée par la beauté de l</w:t>
      </w:r>
      <w:r w:rsidR="00557DE0">
        <w:rPr>
          <w:rFonts w:eastAsia="Arial Unicode MS"/>
          <w:bCs/>
          <w:lang w:eastAsia="fr-FR" w:bidi="he-IL"/>
        </w:rPr>
        <w:t>’</w:t>
      </w:r>
      <w:r w:rsidR="000439E9">
        <w:rPr>
          <w:rFonts w:eastAsia="Arial Unicode MS"/>
          <w:bCs/>
          <w:lang w:eastAsia="fr-FR" w:bidi="he-IL"/>
        </w:rPr>
        <w:t>Évangile</w:t>
      </w:r>
      <w:r w:rsidR="00E65435">
        <w:rPr>
          <w:rFonts w:eastAsia="Arial Unicode MS"/>
          <w:bCs/>
          <w:lang w:eastAsia="fr-FR" w:bidi="he-IL"/>
        </w:rPr>
        <w:t xml:space="preserve">, </w:t>
      </w:r>
      <w:r w:rsidR="00B704AD" w:rsidRPr="00C8701B">
        <w:rPr>
          <w:rFonts w:eastAsia="Arial Unicode MS"/>
          <w:bCs/>
          <w:lang w:eastAsia="fr-FR" w:bidi="he-IL"/>
        </w:rPr>
        <w:t>ne s</w:t>
      </w:r>
      <w:r w:rsidR="00557DE0">
        <w:rPr>
          <w:rFonts w:eastAsia="Arial Unicode MS"/>
          <w:bCs/>
          <w:lang w:eastAsia="fr-FR" w:bidi="he-IL"/>
        </w:rPr>
        <w:t>’</w:t>
      </w:r>
      <w:r w:rsidR="00B704AD" w:rsidRPr="00C8701B">
        <w:rPr>
          <w:rFonts w:eastAsia="Arial Unicode MS"/>
          <w:bCs/>
          <w:lang w:eastAsia="fr-FR" w:bidi="he-IL"/>
        </w:rPr>
        <w:t>appartient plus à elle-même</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Dieu la possède entièrement</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il en dirige les pensées et les facultés</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elle est à lui</w:t>
      </w:r>
      <w:r>
        <w:rPr>
          <w:rFonts w:eastAsia="Arial Unicode MS"/>
          <w:bCs/>
          <w:lang w:eastAsia="fr-FR" w:bidi="he-IL"/>
        </w:rPr>
        <w:t> »</w:t>
      </w:r>
      <w:r w:rsidR="00CB052B">
        <w:rPr>
          <w:rStyle w:val="Appelnotedebasdep"/>
          <w:rFonts w:eastAsia="Arial Unicode MS"/>
          <w:bCs/>
          <w:lang w:eastAsia="fr-FR" w:bidi="he-IL"/>
        </w:rPr>
        <w:footnoteReference w:id="516"/>
      </w:r>
      <w:r w:rsidR="00B704AD"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C2602D" w:rsidP="00C2602D">
      <w:pPr>
        <w:rPr>
          <w:rFonts w:eastAsia="Arial Unicode MS"/>
          <w:bCs/>
          <w:lang w:eastAsia="fr-FR" w:bidi="he-IL"/>
        </w:rPr>
      </w:pPr>
      <w:r w:rsidRPr="00C8701B">
        <w:rPr>
          <w:rFonts w:eastAsia="Arial Unicode MS"/>
          <w:bCs/>
          <w:lang w:eastAsia="fr-FR" w:bidi="he-IL"/>
        </w:rPr>
        <w:t>« </w:t>
      </w:r>
      <w:r w:rsidR="009769A0">
        <w:rPr>
          <w:rFonts w:eastAsia="Arial Unicode MS"/>
          <w:bCs/>
          <w:lang w:eastAsia="fr-FR" w:bidi="he-IL"/>
        </w:rPr>
        <w:t>De m</w:t>
      </w:r>
      <w:r w:rsidR="00B704AD" w:rsidRPr="00C8701B">
        <w:rPr>
          <w:rFonts w:eastAsia="Arial Unicode MS"/>
          <w:bCs/>
          <w:lang w:eastAsia="fr-FR" w:bidi="he-IL"/>
        </w:rPr>
        <w:t>ême que Dieu est la suprême réalité et le suprême idéal</w:t>
      </w:r>
      <w:r w:rsidR="00E65435">
        <w:rPr>
          <w:rFonts w:eastAsia="Arial Unicode MS"/>
          <w:bCs/>
          <w:lang w:eastAsia="fr-FR" w:bidi="he-IL"/>
        </w:rPr>
        <w:t xml:space="preserve">, </w:t>
      </w:r>
      <w:r w:rsidR="00B704AD" w:rsidRPr="00C8701B">
        <w:rPr>
          <w:rFonts w:eastAsia="Arial Unicode MS"/>
          <w:bCs/>
          <w:lang w:eastAsia="fr-FR" w:bidi="he-IL"/>
        </w:rPr>
        <w:t>l</w:t>
      </w:r>
      <w:r w:rsidR="00557DE0">
        <w:rPr>
          <w:rFonts w:eastAsia="Arial Unicode MS"/>
          <w:bCs/>
          <w:lang w:eastAsia="fr-FR" w:bidi="he-IL"/>
        </w:rPr>
        <w:t>’</w:t>
      </w:r>
      <w:r w:rsidR="000439E9">
        <w:rPr>
          <w:rFonts w:eastAsia="Arial Unicode MS"/>
          <w:bCs/>
          <w:lang w:eastAsia="fr-FR" w:bidi="he-IL"/>
        </w:rPr>
        <w:t>Évangile</w:t>
      </w:r>
      <w:r w:rsidR="00E65435">
        <w:rPr>
          <w:rFonts w:eastAsia="Arial Unicode MS"/>
          <w:bCs/>
          <w:lang w:eastAsia="fr-FR" w:bidi="he-IL"/>
        </w:rPr>
        <w:t xml:space="preserve">, </w:t>
      </w:r>
      <w:r w:rsidR="00B704AD" w:rsidRPr="00C8701B">
        <w:rPr>
          <w:rFonts w:eastAsia="Arial Unicode MS"/>
          <w:bCs/>
          <w:lang w:eastAsia="fr-FR" w:bidi="he-IL"/>
        </w:rPr>
        <w:t>cette histoire du Dieu fait homme traversant le monde en faisant le bien</w:t>
      </w:r>
      <w:r w:rsidR="00E65435">
        <w:rPr>
          <w:rFonts w:eastAsia="Arial Unicode MS"/>
          <w:bCs/>
          <w:lang w:eastAsia="fr-FR" w:bidi="he-IL"/>
        </w:rPr>
        <w:t xml:space="preserve">, </w:t>
      </w:r>
      <w:r w:rsidR="00B704AD" w:rsidRPr="00C8701B">
        <w:rPr>
          <w:rFonts w:eastAsia="Arial Unicode MS"/>
          <w:bCs/>
          <w:lang w:eastAsia="fr-FR" w:bidi="he-IL"/>
        </w:rPr>
        <w:t>est à la fois la plus vraie des histoires et le plus sublime des poèmes. L</w:t>
      </w:r>
      <w:r w:rsidR="00557DE0">
        <w:rPr>
          <w:rFonts w:eastAsia="Arial Unicode MS"/>
          <w:bCs/>
          <w:lang w:eastAsia="fr-FR" w:bidi="he-IL"/>
        </w:rPr>
        <w:t>’</w:t>
      </w:r>
      <w:r w:rsidR="00B704AD" w:rsidRPr="00C8701B">
        <w:rPr>
          <w:rFonts w:eastAsia="Arial Unicode MS"/>
          <w:bCs/>
          <w:lang w:eastAsia="fr-FR" w:bidi="he-IL"/>
        </w:rPr>
        <w:t>idéal divin respire à chaque page dans les récits évangéliques</w:t>
      </w:r>
      <w:r w:rsidRPr="00C8701B">
        <w:rPr>
          <w:rFonts w:eastAsia="Arial Unicode MS"/>
          <w:bCs/>
          <w:lang w:eastAsia="fr-FR" w:bidi="he-IL"/>
        </w:rPr>
        <w:t> »</w:t>
      </w:r>
      <w:r w:rsidR="00933C60" w:rsidRPr="00C406FF">
        <w:rPr>
          <w:rStyle w:val="Appelnotedebasdep"/>
        </w:rPr>
        <w:footnoteReference w:id="517"/>
      </w:r>
      <w:r w:rsidR="00B704AD" w:rsidRPr="00C8701B">
        <w:rPr>
          <w:rFonts w:eastAsia="Arial Unicode MS"/>
          <w:bCs/>
          <w:lang w:eastAsia="fr-FR" w:bidi="he-IL"/>
        </w:rPr>
        <w:t>.</w:t>
      </w:r>
      <w:r w:rsidRPr="00C8701B">
        <w:rPr>
          <w:rFonts w:eastAsia="Arial Unicode MS"/>
          <w:bCs/>
          <w:lang w:eastAsia="fr-FR" w:bidi="he-IL"/>
        </w:rPr>
        <w:t xml:space="preserve"> </w:t>
      </w:r>
    </w:p>
    <w:p w:rsidR="00C2602D" w:rsidRPr="00C8701B" w:rsidRDefault="00C2602D" w:rsidP="00C2602D">
      <w:pPr>
        <w:rPr>
          <w:rFonts w:eastAsia="Arial Unicode MS"/>
          <w:bCs/>
          <w:lang w:eastAsia="fr-FR" w:bidi="he-IL"/>
        </w:rPr>
      </w:pPr>
      <w:r w:rsidRPr="00C8701B">
        <w:rPr>
          <w:rFonts w:eastAsia="Arial Unicode MS"/>
          <w:bCs/>
          <w:lang w:eastAsia="fr-FR" w:bidi="he-IL"/>
        </w:rPr>
        <w:t>« </w:t>
      </w:r>
      <w:r w:rsidR="00B704AD" w:rsidRPr="00C8701B">
        <w:rPr>
          <w:rFonts w:eastAsia="Arial Unicode MS"/>
          <w:bCs/>
          <w:lang w:eastAsia="fr-FR" w:bidi="he-IL"/>
        </w:rPr>
        <w:t>Rien de plus facile</w:t>
      </w:r>
      <w:r w:rsidR="00E65435">
        <w:rPr>
          <w:rFonts w:eastAsia="Arial Unicode MS"/>
          <w:bCs/>
          <w:lang w:eastAsia="fr-FR" w:bidi="he-IL"/>
        </w:rPr>
        <w:t xml:space="preserve">, </w:t>
      </w:r>
      <w:r w:rsidR="00B704AD" w:rsidRPr="00C8701B">
        <w:rPr>
          <w:rFonts w:eastAsia="Arial Unicode MS"/>
          <w:bCs/>
          <w:lang w:eastAsia="fr-FR" w:bidi="he-IL"/>
        </w:rPr>
        <w:t>de plus varié</w:t>
      </w:r>
      <w:r w:rsidR="00E65435">
        <w:rPr>
          <w:rFonts w:eastAsia="Arial Unicode MS"/>
          <w:bCs/>
          <w:lang w:eastAsia="fr-FR" w:bidi="he-IL"/>
        </w:rPr>
        <w:t xml:space="preserve">, </w:t>
      </w:r>
      <w:r w:rsidR="00B704AD" w:rsidRPr="00C8701B">
        <w:rPr>
          <w:rFonts w:eastAsia="Arial Unicode MS"/>
          <w:bCs/>
          <w:lang w:eastAsia="fr-FR" w:bidi="he-IL"/>
        </w:rPr>
        <w:t>de plus reposant</w:t>
      </w:r>
      <w:r w:rsidR="00E65435">
        <w:rPr>
          <w:rFonts w:eastAsia="Arial Unicode MS"/>
          <w:bCs/>
          <w:lang w:eastAsia="fr-FR" w:bidi="he-IL"/>
        </w:rPr>
        <w:t xml:space="preserve">, </w:t>
      </w:r>
      <w:r w:rsidR="00B704AD" w:rsidRPr="00C8701B">
        <w:rPr>
          <w:rFonts w:eastAsia="Arial Unicode MS"/>
          <w:bCs/>
          <w:lang w:eastAsia="fr-FR" w:bidi="he-IL"/>
        </w:rPr>
        <w:t>de plus doux</w:t>
      </w:r>
      <w:r w:rsidR="00E65435">
        <w:rPr>
          <w:rFonts w:eastAsia="Arial Unicode MS"/>
          <w:bCs/>
          <w:lang w:eastAsia="fr-FR" w:bidi="he-IL"/>
        </w:rPr>
        <w:t xml:space="preserve">, </w:t>
      </w:r>
      <w:r w:rsidR="00B704AD" w:rsidRPr="00C8701B">
        <w:rPr>
          <w:rFonts w:eastAsia="Arial Unicode MS"/>
          <w:bCs/>
          <w:lang w:eastAsia="fr-FR" w:bidi="he-IL"/>
        </w:rPr>
        <w:t>mais aussi rien de plus grand et de plus fort que ce divin livre. Tout y marche dans un calme</w:t>
      </w:r>
      <w:r w:rsidR="00E65435">
        <w:rPr>
          <w:rFonts w:eastAsia="Arial Unicode MS"/>
          <w:bCs/>
          <w:lang w:eastAsia="fr-FR" w:bidi="he-IL"/>
        </w:rPr>
        <w:t xml:space="preserve">, </w:t>
      </w:r>
      <w:r w:rsidR="00B704AD" w:rsidRPr="00C8701B">
        <w:rPr>
          <w:rFonts w:eastAsia="Arial Unicode MS"/>
          <w:bCs/>
          <w:lang w:eastAsia="fr-FR" w:bidi="he-IL"/>
        </w:rPr>
        <w:t>dans un naturel</w:t>
      </w:r>
      <w:r w:rsidR="00E65435">
        <w:rPr>
          <w:rFonts w:eastAsia="Arial Unicode MS"/>
          <w:bCs/>
          <w:lang w:eastAsia="fr-FR" w:bidi="he-IL"/>
        </w:rPr>
        <w:t xml:space="preserve">, </w:t>
      </w:r>
      <w:r w:rsidR="00B704AD" w:rsidRPr="00C8701B">
        <w:rPr>
          <w:rFonts w:eastAsia="Arial Unicode MS"/>
          <w:bCs/>
          <w:lang w:eastAsia="fr-FR" w:bidi="he-IL"/>
        </w:rPr>
        <w:t>dans une sérénité qui pénètrent l</w:t>
      </w:r>
      <w:r w:rsidR="00557DE0">
        <w:rPr>
          <w:rFonts w:eastAsia="Arial Unicode MS"/>
          <w:bCs/>
          <w:lang w:eastAsia="fr-FR" w:bidi="he-IL"/>
        </w:rPr>
        <w:t>’</w:t>
      </w:r>
      <w:r w:rsidR="00B704AD" w:rsidRPr="00C8701B">
        <w:rPr>
          <w:rFonts w:eastAsia="Arial Unicode MS"/>
          <w:bCs/>
          <w:lang w:eastAsia="fr-FR" w:bidi="he-IL"/>
        </w:rPr>
        <w:t>âme et la sanctifient. Tout y est simple</w:t>
      </w:r>
      <w:r w:rsidR="00E65435">
        <w:rPr>
          <w:rFonts w:eastAsia="Arial Unicode MS"/>
          <w:bCs/>
          <w:lang w:eastAsia="fr-FR" w:bidi="he-IL"/>
        </w:rPr>
        <w:t xml:space="preserve">, </w:t>
      </w:r>
      <w:r w:rsidR="00B704AD" w:rsidRPr="00C8701B">
        <w:rPr>
          <w:rFonts w:eastAsia="Arial Unicode MS"/>
          <w:bCs/>
          <w:lang w:eastAsia="fr-FR" w:bidi="he-IL"/>
        </w:rPr>
        <w:t>et tout y est divin. Jésus-Christ n</w:t>
      </w:r>
      <w:r w:rsidR="00557DE0">
        <w:rPr>
          <w:rFonts w:eastAsia="Arial Unicode MS"/>
          <w:bCs/>
          <w:lang w:eastAsia="fr-FR" w:bidi="he-IL"/>
        </w:rPr>
        <w:t>’</w:t>
      </w:r>
      <w:r w:rsidR="00B704AD" w:rsidRPr="00C8701B">
        <w:rPr>
          <w:rFonts w:eastAsia="Arial Unicode MS"/>
          <w:bCs/>
          <w:lang w:eastAsia="fr-FR" w:bidi="he-IL"/>
        </w:rPr>
        <w:t>y est point défiguré</w:t>
      </w:r>
      <w:r w:rsidR="00E65435">
        <w:rPr>
          <w:rFonts w:eastAsia="Arial Unicode MS"/>
          <w:bCs/>
          <w:lang w:eastAsia="fr-FR" w:bidi="he-IL"/>
        </w:rPr>
        <w:t xml:space="preserve">, </w:t>
      </w:r>
      <w:r w:rsidR="00B704AD" w:rsidRPr="00C8701B">
        <w:rPr>
          <w:rFonts w:eastAsia="Arial Unicode MS"/>
          <w:bCs/>
          <w:lang w:eastAsia="fr-FR" w:bidi="he-IL"/>
        </w:rPr>
        <w:t>co</w:t>
      </w:r>
      <w:r w:rsidR="009769A0">
        <w:rPr>
          <w:rFonts w:eastAsia="Arial Unicode MS"/>
          <w:bCs/>
          <w:lang w:eastAsia="fr-FR" w:bidi="he-IL"/>
        </w:rPr>
        <w:t>mme tant de fois par la main des</w:t>
      </w:r>
      <w:r w:rsidR="00B704AD" w:rsidRPr="00C8701B">
        <w:rPr>
          <w:rFonts w:eastAsia="Arial Unicode MS"/>
          <w:bCs/>
          <w:lang w:eastAsia="fr-FR" w:bidi="he-IL"/>
        </w:rPr>
        <w:t xml:space="preserve"> hommes</w:t>
      </w:r>
      <w:r w:rsidRPr="00C8701B">
        <w:rPr>
          <w:rFonts w:eastAsia="Arial Unicode MS"/>
          <w:bCs/>
          <w:lang w:eastAsia="fr-FR" w:bidi="he-IL"/>
        </w:rPr>
        <w:t> :</w:t>
      </w:r>
      <w:r w:rsidR="00B704AD" w:rsidRPr="00C8701B">
        <w:rPr>
          <w:rFonts w:eastAsia="Arial Unicode MS"/>
          <w:bCs/>
          <w:lang w:eastAsia="fr-FR" w:bidi="he-IL"/>
        </w:rPr>
        <w:t xml:space="preserve"> ce que vous voyez de lui dans l</w:t>
      </w:r>
      <w:r w:rsidR="00557DE0">
        <w:rPr>
          <w:rFonts w:eastAsia="Arial Unicode MS"/>
          <w:bCs/>
          <w:lang w:eastAsia="fr-FR" w:bidi="he-IL"/>
        </w:rPr>
        <w:t>’</w:t>
      </w:r>
      <w:r w:rsidR="000439E9">
        <w:rPr>
          <w:rFonts w:eastAsia="Arial Unicode MS"/>
          <w:bCs/>
          <w:lang w:eastAsia="fr-FR" w:bidi="he-IL"/>
        </w:rPr>
        <w:t>Évangile</w:t>
      </w:r>
      <w:r w:rsidR="00E65435">
        <w:rPr>
          <w:rFonts w:eastAsia="Arial Unicode MS"/>
          <w:bCs/>
          <w:lang w:eastAsia="fr-FR" w:bidi="he-IL"/>
        </w:rPr>
        <w:t xml:space="preserve">, </w:t>
      </w:r>
      <w:r w:rsidR="00B704AD" w:rsidRPr="00C8701B">
        <w:rPr>
          <w:rFonts w:eastAsia="Arial Unicode MS"/>
          <w:bCs/>
          <w:lang w:eastAsia="fr-FR" w:bidi="he-IL"/>
        </w:rPr>
        <w:t>c</w:t>
      </w:r>
      <w:r w:rsidR="00557DE0">
        <w:rPr>
          <w:rFonts w:eastAsia="Arial Unicode MS"/>
          <w:bCs/>
          <w:lang w:eastAsia="fr-FR" w:bidi="he-IL"/>
        </w:rPr>
        <w:t>’</w:t>
      </w:r>
      <w:r w:rsidR="00B704AD" w:rsidRPr="00C8701B">
        <w:rPr>
          <w:rFonts w:eastAsia="Arial Unicode MS"/>
          <w:bCs/>
          <w:lang w:eastAsia="fr-FR" w:bidi="he-IL"/>
        </w:rPr>
        <w:t>est lui-même qui vous le montre</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c</w:t>
      </w:r>
      <w:r w:rsidR="00557DE0">
        <w:rPr>
          <w:rFonts w:eastAsia="Arial Unicode MS"/>
          <w:bCs/>
          <w:lang w:eastAsia="fr-FR" w:bidi="he-IL"/>
        </w:rPr>
        <w:t>’</w:t>
      </w:r>
      <w:r w:rsidR="00B704AD" w:rsidRPr="00C8701B">
        <w:rPr>
          <w:rFonts w:eastAsia="Arial Unicode MS"/>
          <w:bCs/>
          <w:lang w:eastAsia="fr-FR" w:bidi="he-IL"/>
        </w:rPr>
        <w:t>est de sa bouche adorable que tombe cette parole</w:t>
      </w:r>
      <w:r w:rsidR="00E65435">
        <w:rPr>
          <w:rFonts w:eastAsia="Arial Unicode MS"/>
          <w:bCs/>
          <w:lang w:eastAsia="fr-FR" w:bidi="he-IL"/>
        </w:rPr>
        <w:t xml:space="preserve">, </w:t>
      </w:r>
      <w:r w:rsidR="00B704AD" w:rsidRPr="00C8701B">
        <w:rPr>
          <w:rFonts w:eastAsia="Arial Unicode MS"/>
          <w:bCs/>
          <w:lang w:eastAsia="fr-FR" w:bidi="he-IL"/>
        </w:rPr>
        <w:t>qui</w:t>
      </w:r>
      <w:r w:rsidR="00E65435">
        <w:rPr>
          <w:rFonts w:eastAsia="Arial Unicode MS"/>
          <w:bCs/>
          <w:lang w:eastAsia="fr-FR" w:bidi="he-IL"/>
        </w:rPr>
        <w:t xml:space="preserve">, </w:t>
      </w:r>
      <w:r w:rsidR="00B704AD" w:rsidRPr="00C8701B">
        <w:rPr>
          <w:rFonts w:eastAsia="Arial Unicode MS"/>
          <w:bCs/>
          <w:lang w:eastAsia="fr-FR" w:bidi="he-IL"/>
        </w:rPr>
        <w:t>depuis dix</w:t>
      </w:r>
      <w:r w:rsidR="009769A0">
        <w:rPr>
          <w:rFonts w:eastAsia="Arial Unicode MS"/>
          <w:bCs/>
          <w:lang w:eastAsia="fr-FR" w:bidi="he-IL"/>
        </w:rPr>
        <w:t>-</w:t>
      </w:r>
      <w:r w:rsidR="00B704AD" w:rsidRPr="00C8701B">
        <w:rPr>
          <w:rFonts w:eastAsia="Arial Unicode MS"/>
          <w:bCs/>
          <w:lang w:eastAsia="fr-FR" w:bidi="he-IL"/>
        </w:rPr>
        <w:t>neuf siècles</w:t>
      </w:r>
      <w:r w:rsidR="00E65435">
        <w:rPr>
          <w:rFonts w:eastAsia="Arial Unicode MS"/>
          <w:bCs/>
          <w:lang w:eastAsia="fr-FR" w:bidi="he-IL"/>
        </w:rPr>
        <w:t xml:space="preserve">, </w:t>
      </w:r>
      <w:r w:rsidR="00B704AD" w:rsidRPr="00C8701B">
        <w:rPr>
          <w:rFonts w:eastAsia="Arial Unicode MS"/>
          <w:bCs/>
          <w:lang w:eastAsia="fr-FR" w:bidi="he-IL"/>
        </w:rPr>
        <w:t>sèche des larmes et relève des ruines</w:t>
      </w:r>
      <w:r w:rsidRPr="00C8701B">
        <w:rPr>
          <w:rFonts w:eastAsia="Arial Unicode MS"/>
          <w:bCs/>
          <w:lang w:eastAsia="fr-FR" w:bidi="he-IL"/>
        </w:rPr>
        <w:t> »</w:t>
      </w:r>
      <w:r w:rsidR="00933C60" w:rsidRPr="00C406FF">
        <w:rPr>
          <w:rStyle w:val="Appelnotedebasdep"/>
        </w:rPr>
        <w:footnoteReference w:id="518"/>
      </w:r>
      <w:r w:rsidR="00B704AD" w:rsidRPr="00C8701B">
        <w:rPr>
          <w:rFonts w:eastAsia="Arial Unicode MS"/>
          <w:bCs/>
          <w:lang w:eastAsia="fr-FR" w:bidi="he-IL"/>
        </w:rPr>
        <w:t>.</w:t>
      </w:r>
      <w:r w:rsidRPr="00C8701B">
        <w:rPr>
          <w:rFonts w:eastAsia="Arial Unicode MS"/>
          <w:bCs/>
          <w:lang w:eastAsia="fr-FR" w:bidi="he-IL"/>
        </w:rPr>
        <w:t xml:space="preserve"> </w:t>
      </w:r>
    </w:p>
    <w:p w:rsidR="00C2602D" w:rsidRPr="00C8701B" w:rsidRDefault="00C2602D" w:rsidP="006A4C4C">
      <w:pPr>
        <w:rPr>
          <w:bCs/>
          <w:lang w:eastAsia="fr-FR" w:bidi="he-IL"/>
        </w:rPr>
      </w:pPr>
      <w:r w:rsidRPr="00C8701B">
        <w:rPr>
          <w:rFonts w:eastAsia="Arial Unicode MS"/>
          <w:bCs/>
          <w:lang w:eastAsia="fr-FR" w:bidi="he-IL"/>
        </w:rPr>
        <w:t>« </w:t>
      </w:r>
      <w:r w:rsidR="00B704AD" w:rsidRPr="00C8701B">
        <w:rPr>
          <w:rFonts w:eastAsia="Arial Unicode MS"/>
          <w:bCs/>
          <w:lang w:eastAsia="fr-FR" w:bidi="he-IL"/>
        </w:rPr>
        <w:t>L</w:t>
      </w:r>
      <w:r w:rsidR="00557DE0">
        <w:rPr>
          <w:rFonts w:eastAsia="Arial Unicode MS"/>
          <w:bCs/>
          <w:lang w:eastAsia="fr-FR" w:bidi="he-IL"/>
        </w:rPr>
        <w:t>’</w:t>
      </w:r>
      <w:r w:rsidR="000439E9">
        <w:rPr>
          <w:rFonts w:eastAsia="Arial Unicode MS"/>
          <w:bCs/>
          <w:lang w:eastAsia="fr-FR" w:bidi="he-IL"/>
        </w:rPr>
        <w:t>Évangile</w:t>
      </w:r>
      <w:r w:rsidR="00B704AD" w:rsidRPr="00C8701B">
        <w:rPr>
          <w:rFonts w:eastAsia="Arial Unicode MS"/>
          <w:bCs/>
          <w:lang w:eastAsia="fr-FR" w:bidi="he-IL"/>
        </w:rPr>
        <w:t xml:space="preserve"> est au monde</w:t>
      </w:r>
      <w:r w:rsidR="00E65435">
        <w:rPr>
          <w:rFonts w:eastAsia="Arial Unicode MS"/>
          <w:bCs/>
          <w:lang w:eastAsia="fr-FR" w:bidi="he-IL"/>
        </w:rPr>
        <w:t xml:space="preserve">, </w:t>
      </w:r>
      <w:r w:rsidR="00B704AD" w:rsidRPr="00C8701B">
        <w:rPr>
          <w:rFonts w:eastAsia="Arial Unicode MS"/>
          <w:bCs/>
          <w:lang w:eastAsia="fr-FR" w:bidi="he-IL"/>
        </w:rPr>
        <w:t>immortel désormais</w:t>
      </w:r>
      <w:r w:rsidR="00E65435">
        <w:rPr>
          <w:rFonts w:eastAsia="Arial Unicode MS"/>
          <w:bCs/>
          <w:lang w:eastAsia="fr-FR" w:bidi="he-IL"/>
        </w:rPr>
        <w:t xml:space="preserve">, </w:t>
      </w:r>
      <w:r w:rsidR="00B704AD" w:rsidRPr="00C8701B">
        <w:rPr>
          <w:rFonts w:eastAsia="Arial Unicode MS"/>
          <w:bCs/>
          <w:lang w:eastAsia="fr-FR" w:bidi="he-IL"/>
        </w:rPr>
        <w:t>plus profond que les sages</w:t>
      </w:r>
      <w:r w:rsidR="00E65435">
        <w:rPr>
          <w:rFonts w:eastAsia="Arial Unicode MS"/>
          <w:bCs/>
          <w:lang w:eastAsia="fr-FR" w:bidi="he-IL"/>
        </w:rPr>
        <w:t xml:space="preserve">, </w:t>
      </w:r>
      <w:r w:rsidR="00B704AD" w:rsidRPr="00C8701B">
        <w:rPr>
          <w:rFonts w:eastAsia="Arial Unicode MS"/>
          <w:bCs/>
          <w:lang w:eastAsia="fr-FR" w:bidi="he-IL"/>
        </w:rPr>
        <w:t>plus pur que les vierges</w:t>
      </w:r>
      <w:r w:rsidR="00E65435">
        <w:rPr>
          <w:rFonts w:eastAsia="Arial Unicode MS"/>
          <w:bCs/>
          <w:lang w:eastAsia="fr-FR" w:bidi="he-IL"/>
        </w:rPr>
        <w:t xml:space="preserve">, </w:t>
      </w:r>
      <w:r w:rsidR="00B704AD" w:rsidRPr="00C8701B">
        <w:rPr>
          <w:rFonts w:eastAsia="Arial Unicode MS"/>
          <w:bCs/>
          <w:lang w:eastAsia="fr-FR" w:bidi="he-IL"/>
        </w:rPr>
        <w:t>plus fort que les rois... Oh</w:t>
      </w:r>
      <w:r w:rsidRPr="00C8701B">
        <w:rPr>
          <w:rFonts w:eastAsia="Arial Unicode MS"/>
          <w:bCs/>
          <w:lang w:eastAsia="fr-FR" w:bidi="he-IL"/>
        </w:rPr>
        <w:t> !</w:t>
      </w:r>
      <w:r w:rsidR="00B704AD" w:rsidRPr="00C8701B">
        <w:rPr>
          <w:rFonts w:eastAsia="Arial Unicode MS"/>
          <w:bCs/>
          <w:lang w:eastAsia="fr-FR" w:bidi="he-IL"/>
        </w:rPr>
        <w:t xml:space="preserve"> qu</w:t>
      </w:r>
      <w:r w:rsidR="00557DE0">
        <w:rPr>
          <w:rFonts w:eastAsia="Arial Unicode MS"/>
          <w:bCs/>
          <w:lang w:eastAsia="fr-FR" w:bidi="he-IL"/>
        </w:rPr>
        <w:t>’</w:t>
      </w:r>
      <w:r w:rsidR="00B704AD" w:rsidRPr="00C8701B">
        <w:rPr>
          <w:rFonts w:eastAsia="Arial Unicode MS"/>
          <w:bCs/>
          <w:lang w:eastAsia="fr-FR" w:bidi="he-IL"/>
        </w:rPr>
        <w:t>écrirai-je de l</w:t>
      </w:r>
      <w:r w:rsidR="00557DE0">
        <w:rPr>
          <w:rFonts w:eastAsia="Arial Unicode MS"/>
          <w:bCs/>
          <w:lang w:eastAsia="fr-FR" w:bidi="he-IL"/>
        </w:rPr>
        <w:t>’</w:t>
      </w:r>
      <w:r w:rsidR="00B704AD" w:rsidRPr="00C8701B">
        <w:rPr>
          <w:rFonts w:eastAsia="Arial Unicode MS"/>
          <w:bCs/>
          <w:lang w:eastAsia="fr-FR" w:bidi="he-IL"/>
        </w:rPr>
        <w:t>évangile</w:t>
      </w:r>
      <w:r w:rsidR="00E65435">
        <w:rPr>
          <w:rFonts w:eastAsia="Arial Unicode MS"/>
          <w:bCs/>
          <w:lang w:eastAsia="fr-FR" w:bidi="he-IL"/>
        </w:rPr>
        <w:t xml:space="preserve">, </w:t>
      </w:r>
      <w:r w:rsidR="00B704AD" w:rsidRPr="00C8701B">
        <w:rPr>
          <w:rFonts w:eastAsia="Arial Unicode MS"/>
          <w:bCs/>
          <w:lang w:eastAsia="fr-FR" w:bidi="he-IL"/>
        </w:rPr>
        <w:t>puisque l</w:t>
      </w:r>
      <w:r w:rsidR="00557DE0">
        <w:rPr>
          <w:rFonts w:eastAsia="Arial Unicode MS"/>
          <w:bCs/>
          <w:lang w:eastAsia="fr-FR" w:bidi="he-IL"/>
        </w:rPr>
        <w:t>’</w:t>
      </w:r>
      <w:r w:rsidR="00B704AD" w:rsidRPr="00C8701B">
        <w:rPr>
          <w:rFonts w:eastAsia="Arial Unicode MS"/>
          <w:bCs/>
          <w:lang w:eastAsia="fr-FR" w:bidi="he-IL"/>
        </w:rPr>
        <w:t>évangile est écrit</w:t>
      </w:r>
      <w:r w:rsidRPr="00C8701B">
        <w:rPr>
          <w:rFonts w:eastAsia="Arial Unicode MS"/>
          <w:bCs/>
          <w:lang w:eastAsia="fr-FR" w:bidi="he-IL"/>
        </w:rPr>
        <w:t> ?</w:t>
      </w:r>
      <w:r w:rsidR="00B704AD" w:rsidRPr="00C8701B">
        <w:rPr>
          <w:rFonts w:eastAsia="Arial Unicode MS"/>
          <w:bCs/>
          <w:lang w:eastAsia="fr-FR" w:bidi="he-IL"/>
        </w:rPr>
        <w:t xml:space="preserve"> Ouvrez-le</w:t>
      </w:r>
      <w:r w:rsidR="00C87A2B">
        <w:rPr>
          <w:rFonts w:eastAsia="Arial Unicode MS"/>
          <w:bCs/>
          <w:lang w:eastAsia="fr-FR" w:bidi="he-IL"/>
        </w:rPr>
        <w:t>...</w:t>
      </w:r>
      <w:r w:rsidR="00B704AD" w:rsidRPr="00C8701B">
        <w:rPr>
          <w:rFonts w:eastAsia="Arial Unicode MS"/>
          <w:bCs/>
          <w:lang w:eastAsia="fr-FR" w:bidi="he-IL"/>
        </w:rPr>
        <w:t>. et après y avoir</w:t>
      </w:r>
      <w:r w:rsidRPr="00C8701B">
        <w:rPr>
          <w:rFonts w:eastAsia="Arial Unicode MS"/>
          <w:bCs/>
          <w:lang w:eastAsia="fr-FR" w:bidi="he-IL"/>
        </w:rPr>
        <w:t xml:space="preserve"> </w:t>
      </w:r>
      <w:r w:rsidR="00B52FA3">
        <w:rPr>
          <w:rFonts w:eastAsia="Arial Unicode MS"/>
          <w:bCs/>
          <w:lang w:eastAsia="fr-FR" w:bidi="he-IL"/>
        </w:rPr>
        <w:t>{98</w:t>
      </w:r>
      <w:bookmarkStart w:id="151" w:name="pag098"/>
      <w:bookmarkEnd w:id="151"/>
      <w:r w:rsidR="00B52FA3">
        <w:rPr>
          <w:rFonts w:eastAsia="Arial Unicode MS"/>
          <w:bCs/>
          <w:lang w:eastAsia="fr-FR" w:bidi="he-IL"/>
        </w:rPr>
        <w:t xml:space="preserve">} </w:t>
      </w:r>
      <w:r w:rsidR="00B704AD" w:rsidRPr="00C8701B">
        <w:rPr>
          <w:bCs/>
          <w:lang w:eastAsia="fr-FR"/>
        </w:rPr>
        <w:t>imprimé vos lèvres</w:t>
      </w:r>
      <w:r w:rsidR="00C87A2B">
        <w:rPr>
          <w:bCs/>
          <w:lang w:eastAsia="fr-FR"/>
        </w:rPr>
        <w:t>...</w:t>
      </w:r>
      <w:r w:rsidR="009769A0">
        <w:rPr>
          <w:bCs/>
          <w:lang w:eastAsia="fr-FR"/>
        </w:rPr>
        <w:t>. livrez-vous à lui comme à l</w:t>
      </w:r>
      <w:r w:rsidR="00557DE0">
        <w:rPr>
          <w:bCs/>
          <w:lang w:eastAsia="fr-FR"/>
        </w:rPr>
        <w:t>’</w:t>
      </w:r>
      <w:r w:rsidR="009769A0">
        <w:rPr>
          <w:bCs/>
          <w:lang w:eastAsia="fr-FR"/>
        </w:rPr>
        <w:t>â</w:t>
      </w:r>
      <w:r w:rsidR="00B704AD" w:rsidRPr="00C8701B">
        <w:rPr>
          <w:bCs/>
          <w:lang w:eastAsia="fr-FR"/>
        </w:rPr>
        <w:t>me de votre mère. Votre mère venait de Dieu</w:t>
      </w:r>
      <w:r w:rsidR="00E65435">
        <w:rPr>
          <w:bCs/>
          <w:lang w:eastAsia="fr-FR"/>
        </w:rPr>
        <w:t xml:space="preserve">, </w:t>
      </w:r>
      <w:r w:rsidR="00B704AD" w:rsidRPr="00C8701B">
        <w:rPr>
          <w:bCs/>
          <w:lang w:eastAsia="fr-FR"/>
        </w:rPr>
        <w:t>et elle vous aimait</w:t>
      </w:r>
      <w:r w:rsidRPr="00C8701B">
        <w:rPr>
          <w:bCs/>
          <w:lang w:eastAsia="fr-FR"/>
        </w:rPr>
        <w:t> </w:t>
      </w:r>
      <w:r w:rsidR="007F6508">
        <w:rPr>
          <w:bCs/>
          <w:lang w:eastAsia="fr-FR"/>
        </w:rPr>
        <w:t xml:space="preserve">; </w:t>
      </w:r>
      <w:r w:rsidR="00B704AD" w:rsidRPr="00C8701B">
        <w:rPr>
          <w:bCs/>
          <w:lang w:eastAsia="fr-FR"/>
        </w:rPr>
        <w:t>l</w:t>
      </w:r>
      <w:r w:rsidR="00557DE0">
        <w:rPr>
          <w:bCs/>
          <w:lang w:eastAsia="fr-FR"/>
        </w:rPr>
        <w:t>’</w:t>
      </w:r>
      <w:r w:rsidR="00B704AD" w:rsidRPr="00C8701B">
        <w:rPr>
          <w:bCs/>
          <w:lang w:eastAsia="fr-FR"/>
        </w:rPr>
        <w:t>évangile aussi vient de Dieu</w:t>
      </w:r>
      <w:r w:rsidR="00E65435">
        <w:rPr>
          <w:bCs/>
          <w:lang w:eastAsia="fr-FR"/>
        </w:rPr>
        <w:t xml:space="preserve">, </w:t>
      </w:r>
      <w:r w:rsidR="00B704AD" w:rsidRPr="00C8701B">
        <w:rPr>
          <w:bCs/>
          <w:lang w:eastAsia="fr-FR"/>
        </w:rPr>
        <w:t>et c</w:t>
      </w:r>
      <w:r w:rsidR="00557DE0">
        <w:rPr>
          <w:bCs/>
          <w:lang w:eastAsia="fr-FR"/>
        </w:rPr>
        <w:t>’</w:t>
      </w:r>
      <w:r w:rsidR="00B704AD" w:rsidRPr="00C8701B">
        <w:rPr>
          <w:bCs/>
          <w:lang w:eastAsia="fr-FR"/>
        </w:rPr>
        <w:t>est le seul livre qui ait reçu le don d</w:t>
      </w:r>
      <w:r w:rsidR="00557DE0">
        <w:rPr>
          <w:bCs/>
          <w:lang w:eastAsia="fr-FR"/>
        </w:rPr>
        <w:t>’</w:t>
      </w:r>
      <w:r w:rsidR="00B704AD" w:rsidRPr="00C8701B">
        <w:rPr>
          <w:bCs/>
          <w:lang w:eastAsia="fr-FR"/>
        </w:rPr>
        <w:t>aimer</w:t>
      </w:r>
      <w:r w:rsidR="009769A0">
        <w:rPr>
          <w:bCs/>
          <w:lang w:eastAsia="fr-FR"/>
        </w:rPr>
        <w:t> »</w:t>
      </w:r>
      <w:r w:rsidR="009769A0">
        <w:rPr>
          <w:rStyle w:val="Appelnotedebasdep"/>
          <w:bCs/>
          <w:lang w:eastAsia="fr-FR"/>
        </w:rPr>
        <w:footnoteReference w:id="519"/>
      </w:r>
      <w:r w:rsidR="00B704AD" w:rsidRPr="00C8701B">
        <w:rPr>
          <w:bCs/>
          <w:lang w:eastAsia="fr-FR" w:bidi="he-IL"/>
        </w:rPr>
        <w:t>.</w:t>
      </w:r>
      <w:r w:rsidRPr="00C8701B">
        <w:rPr>
          <w:bCs/>
          <w:lang w:eastAsia="fr-FR" w:bidi="he-IL"/>
        </w:rPr>
        <w:t xml:space="preserve"> </w:t>
      </w:r>
    </w:p>
    <w:p w:rsidR="00C2602D" w:rsidRDefault="00C2602D" w:rsidP="009769A0">
      <w:pPr>
        <w:rPr>
          <w:bCs/>
          <w:lang w:eastAsia="fr-FR" w:bidi="he-IL"/>
        </w:rPr>
      </w:pPr>
      <w:r w:rsidRPr="00C8701B">
        <w:rPr>
          <w:bCs/>
          <w:lang w:eastAsia="fr-FR" w:bidi="he-IL"/>
        </w:rPr>
        <w:t>« </w:t>
      </w:r>
      <w:r w:rsidR="00B704AD" w:rsidRPr="00C8701B">
        <w:rPr>
          <w:bCs/>
          <w:lang w:eastAsia="fr-FR" w:bidi="he-IL"/>
        </w:rPr>
        <w:t>Plus on les regarde (les évangélistes)</w:t>
      </w:r>
      <w:r w:rsidR="00E65435">
        <w:rPr>
          <w:bCs/>
          <w:lang w:eastAsia="fr-FR" w:bidi="he-IL"/>
        </w:rPr>
        <w:t xml:space="preserve">, </w:t>
      </w:r>
      <w:r w:rsidR="00B704AD" w:rsidRPr="00C8701B">
        <w:rPr>
          <w:bCs/>
          <w:lang w:eastAsia="fr-FR" w:bidi="he-IL"/>
        </w:rPr>
        <w:t>plus ils nous apparaissent prosternés dans une admiration qui n</w:t>
      </w:r>
      <w:r w:rsidR="00557DE0">
        <w:rPr>
          <w:bCs/>
          <w:lang w:eastAsia="fr-FR" w:bidi="he-IL"/>
        </w:rPr>
        <w:t>’</w:t>
      </w:r>
      <w:r w:rsidR="00B704AD" w:rsidRPr="00C8701B">
        <w:rPr>
          <w:bCs/>
          <w:lang w:eastAsia="fr-FR" w:bidi="he-IL"/>
        </w:rPr>
        <w:t>a pas sa pareille dans le monde. Ils songent bien</w:t>
      </w:r>
      <w:r w:rsidR="00E65435">
        <w:rPr>
          <w:bCs/>
          <w:lang w:eastAsia="fr-FR" w:bidi="he-IL"/>
        </w:rPr>
        <w:t xml:space="preserve">, </w:t>
      </w:r>
      <w:r w:rsidR="00B704AD" w:rsidRPr="00C8701B">
        <w:rPr>
          <w:bCs/>
          <w:lang w:eastAsia="fr-FR" w:bidi="he-IL"/>
        </w:rPr>
        <w:t>vraiment</w:t>
      </w:r>
      <w:r w:rsidR="00E65435">
        <w:rPr>
          <w:bCs/>
          <w:lang w:eastAsia="fr-FR" w:bidi="he-IL"/>
        </w:rPr>
        <w:t xml:space="preserve">, </w:t>
      </w:r>
      <w:r w:rsidR="00B704AD" w:rsidRPr="00C8701B">
        <w:rPr>
          <w:bCs/>
          <w:lang w:eastAsia="fr-FR" w:bidi="he-IL"/>
        </w:rPr>
        <w:t>à créer ou à embellir la physionomie de leur Maître</w:t>
      </w:r>
      <w:r w:rsidRPr="00C8701B">
        <w:rPr>
          <w:bCs/>
          <w:lang w:eastAsia="fr-FR" w:bidi="he-IL"/>
        </w:rPr>
        <w:t> !</w:t>
      </w:r>
      <w:r w:rsidR="00B704AD" w:rsidRPr="00C8701B">
        <w:rPr>
          <w:bCs/>
          <w:lang w:eastAsia="fr-FR" w:bidi="he-IL"/>
        </w:rPr>
        <w:t xml:space="preserve"> Ils sont à genoux devant sa perfection morale</w:t>
      </w:r>
      <w:r w:rsidR="00E65435">
        <w:rPr>
          <w:bCs/>
          <w:lang w:eastAsia="fr-FR" w:bidi="he-IL"/>
        </w:rPr>
        <w:t xml:space="preserve">, </w:t>
      </w:r>
      <w:r w:rsidR="00B704AD" w:rsidRPr="00C8701B">
        <w:rPr>
          <w:bCs/>
          <w:lang w:eastAsia="fr-FR" w:bidi="he-IL"/>
        </w:rPr>
        <w:t>et ils y entrainent le monde avec eux. Ce n</w:t>
      </w:r>
      <w:r w:rsidR="00557DE0">
        <w:rPr>
          <w:bCs/>
          <w:lang w:eastAsia="fr-FR" w:bidi="he-IL"/>
        </w:rPr>
        <w:t>’</w:t>
      </w:r>
      <w:r w:rsidR="00B704AD" w:rsidRPr="00C8701B">
        <w:rPr>
          <w:bCs/>
          <w:lang w:eastAsia="fr-FR" w:bidi="he-IL"/>
        </w:rPr>
        <w:t>est pas</w:t>
      </w:r>
      <w:r w:rsidR="00E65435">
        <w:rPr>
          <w:bCs/>
          <w:lang w:eastAsia="fr-FR" w:bidi="he-IL"/>
        </w:rPr>
        <w:t xml:space="preserve">, </w:t>
      </w:r>
      <w:r w:rsidR="00B704AD" w:rsidRPr="00C8701B">
        <w:rPr>
          <w:bCs/>
          <w:lang w:eastAsia="fr-FR" w:bidi="he-IL"/>
        </w:rPr>
        <w:t>remarquez-le bien</w:t>
      </w:r>
      <w:r w:rsidR="00E65435">
        <w:rPr>
          <w:bCs/>
          <w:lang w:eastAsia="fr-FR" w:bidi="he-IL"/>
        </w:rPr>
        <w:t xml:space="preserve">, </w:t>
      </w:r>
      <w:r w:rsidR="00B704AD" w:rsidRPr="00C8701B">
        <w:rPr>
          <w:bCs/>
          <w:lang w:eastAsia="fr-FR" w:bidi="he-IL"/>
        </w:rPr>
        <w:t>qu</w:t>
      </w:r>
      <w:r w:rsidR="00557DE0">
        <w:rPr>
          <w:bCs/>
          <w:lang w:eastAsia="fr-FR" w:bidi="he-IL"/>
        </w:rPr>
        <w:t>’</w:t>
      </w:r>
      <w:r w:rsidR="00B704AD" w:rsidRPr="00C8701B">
        <w:rPr>
          <w:bCs/>
          <w:lang w:eastAsia="fr-FR" w:bidi="he-IL"/>
        </w:rPr>
        <w:t>ils se répandent en professions d</w:t>
      </w:r>
      <w:r w:rsidR="00557DE0">
        <w:rPr>
          <w:bCs/>
          <w:lang w:eastAsia="fr-FR" w:bidi="he-IL"/>
        </w:rPr>
        <w:t>’</w:t>
      </w:r>
      <w:r w:rsidR="00B704AD" w:rsidRPr="00C8701B">
        <w:rPr>
          <w:bCs/>
          <w:lang w:eastAsia="fr-FR" w:bidi="he-IL"/>
        </w:rPr>
        <w:t>enthousiasme</w:t>
      </w:r>
      <w:r w:rsidR="00E65435">
        <w:rPr>
          <w:bCs/>
          <w:lang w:eastAsia="fr-FR" w:bidi="he-IL"/>
        </w:rPr>
        <w:t xml:space="preserve">, </w:t>
      </w:r>
      <w:r w:rsidR="00B704AD" w:rsidRPr="00C8701B">
        <w:rPr>
          <w:bCs/>
          <w:lang w:eastAsia="fr-FR" w:bidi="he-IL"/>
        </w:rPr>
        <w:t>en cris d</w:t>
      </w:r>
      <w:r w:rsidR="00557DE0">
        <w:rPr>
          <w:bCs/>
          <w:lang w:eastAsia="fr-FR" w:bidi="he-IL"/>
        </w:rPr>
        <w:t>’</w:t>
      </w:r>
      <w:r w:rsidR="00B704AD" w:rsidRPr="00C8701B">
        <w:rPr>
          <w:bCs/>
          <w:lang w:eastAsia="fr-FR" w:bidi="he-IL"/>
        </w:rPr>
        <w:t>admiration. Ce n</w:t>
      </w:r>
      <w:r w:rsidR="00557DE0">
        <w:rPr>
          <w:bCs/>
          <w:lang w:eastAsia="fr-FR" w:bidi="he-IL"/>
        </w:rPr>
        <w:t>’</w:t>
      </w:r>
      <w:r w:rsidR="00B704AD" w:rsidRPr="00C8701B">
        <w:rPr>
          <w:bCs/>
          <w:lang w:eastAsia="fr-FR" w:bidi="he-IL"/>
        </w:rPr>
        <w:t>est pas que</w:t>
      </w:r>
      <w:r w:rsidR="00E65435">
        <w:rPr>
          <w:bCs/>
          <w:lang w:eastAsia="fr-FR" w:bidi="he-IL"/>
        </w:rPr>
        <w:t xml:space="preserve">, </w:t>
      </w:r>
      <w:r w:rsidR="00B704AD" w:rsidRPr="00C8701B">
        <w:rPr>
          <w:bCs/>
          <w:lang w:eastAsia="fr-FR" w:bidi="he-IL"/>
        </w:rPr>
        <w:t>par un art ingénieux</w:t>
      </w:r>
      <w:r w:rsidR="00E65435">
        <w:rPr>
          <w:bCs/>
          <w:lang w:eastAsia="fr-FR" w:bidi="he-IL"/>
        </w:rPr>
        <w:t xml:space="preserve">, </w:t>
      </w:r>
      <w:r w:rsidR="00B704AD" w:rsidRPr="00C8701B">
        <w:rPr>
          <w:bCs/>
          <w:lang w:eastAsia="fr-FR" w:bidi="he-IL"/>
        </w:rPr>
        <w:t>ils soulignent et notent du doigt les actes qui montrent la grandeur de leur Maître. Loin de là</w:t>
      </w:r>
      <w:r w:rsidR="00E65435">
        <w:rPr>
          <w:bCs/>
          <w:lang w:eastAsia="fr-FR" w:bidi="he-IL"/>
        </w:rPr>
        <w:t xml:space="preserve">, </w:t>
      </w:r>
      <w:r w:rsidR="00B704AD" w:rsidRPr="00C8701B">
        <w:rPr>
          <w:bCs/>
          <w:lang w:eastAsia="fr-FR" w:bidi="he-IL"/>
        </w:rPr>
        <w:t>ils croiraient faire injure à celui qu</w:t>
      </w:r>
      <w:r w:rsidR="00557DE0">
        <w:rPr>
          <w:bCs/>
          <w:lang w:eastAsia="fr-FR" w:bidi="he-IL"/>
        </w:rPr>
        <w:t>’</w:t>
      </w:r>
      <w:r w:rsidR="00B704AD" w:rsidRPr="00C8701B">
        <w:rPr>
          <w:bCs/>
          <w:lang w:eastAsia="fr-FR" w:bidi="he-IL"/>
        </w:rPr>
        <w:t>ils appellent le Seigneur</w:t>
      </w:r>
      <w:r w:rsidR="00E65435">
        <w:rPr>
          <w:bCs/>
          <w:lang w:eastAsia="fr-FR" w:bidi="he-IL"/>
        </w:rPr>
        <w:t xml:space="preserve">, </w:t>
      </w:r>
      <w:r w:rsidR="00B704AD" w:rsidRPr="00C8701B">
        <w:rPr>
          <w:bCs/>
          <w:lang w:eastAsia="fr-FR" w:bidi="he-IL"/>
        </w:rPr>
        <w:t>s</w:t>
      </w:r>
      <w:r w:rsidR="00557DE0">
        <w:rPr>
          <w:bCs/>
          <w:lang w:eastAsia="fr-FR" w:bidi="he-IL"/>
        </w:rPr>
        <w:t>’</w:t>
      </w:r>
      <w:r w:rsidR="00B704AD" w:rsidRPr="00C8701B">
        <w:rPr>
          <w:bCs/>
          <w:lang w:eastAsia="fr-FR" w:bidi="he-IL"/>
        </w:rPr>
        <w:t>ils hasardaient le moindre mot de louange. Ils écrivent avec une foi calme en Jésus</w:t>
      </w:r>
      <w:r w:rsidR="00E65435">
        <w:rPr>
          <w:bCs/>
          <w:lang w:eastAsia="fr-FR" w:bidi="he-IL"/>
        </w:rPr>
        <w:t xml:space="preserve">, </w:t>
      </w:r>
      <w:r w:rsidR="009769A0">
        <w:rPr>
          <w:bCs/>
          <w:lang w:eastAsia="fr-FR" w:bidi="he-IL"/>
        </w:rPr>
        <w:t>avec le senti</w:t>
      </w:r>
      <w:r w:rsidR="00B704AD" w:rsidRPr="00C8701B">
        <w:rPr>
          <w:bCs/>
          <w:lang w:eastAsia="fr-FR" w:bidi="he-IL"/>
        </w:rPr>
        <w:t>ment profond qu</w:t>
      </w:r>
      <w:r w:rsidR="00557DE0">
        <w:rPr>
          <w:bCs/>
          <w:lang w:eastAsia="fr-FR" w:bidi="he-IL"/>
        </w:rPr>
        <w:t>’</w:t>
      </w:r>
      <w:r w:rsidR="00B704AD" w:rsidRPr="00C8701B">
        <w:rPr>
          <w:bCs/>
          <w:lang w:eastAsia="fr-FR" w:bidi="he-IL"/>
        </w:rPr>
        <w:t>il n</w:t>
      </w:r>
      <w:r w:rsidR="00557DE0">
        <w:rPr>
          <w:bCs/>
          <w:lang w:eastAsia="fr-FR" w:bidi="he-IL"/>
        </w:rPr>
        <w:t>’</w:t>
      </w:r>
      <w:r w:rsidR="00B704AD" w:rsidRPr="00C8701B">
        <w:rPr>
          <w:bCs/>
          <w:lang w:eastAsia="fr-FR" w:bidi="he-IL"/>
        </w:rPr>
        <w:t>a nul besoin d</w:t>
      </w:r>
      <w:r w:rsidR="00557DE0">
        <w:rPr>
          <w:bCs/>
          <w:lang w:eastAsia="fr-FR" w:bidi="he-IL"/>
        </w:rPr>
        <w:t>’</w:t>
      </w:r>
      <w:r w:rsidR="00B704AD" w:rsidRPr="00C8701B">
        <w:rPr>
          <w:bCs/>
          <w:lang w:eastAsia="fr-FR" w:bidi="he-IL"/>
        </w:rPr>
        <w:t>eux</w:t>
      </w:r>
      <w:r w:rsidR="00E65435">
        <w:rPr>
          <w:bCs/>
          <w:lang w:eastAsia="fr-FR" w:bidi="he-IL"/>
        </w:rPr>
        <w:t xml:space="preserve">, </w:t>
      </w:r>
      <w:r w:rsidR="00B704AD" w:rsidRPr="00C8701B">
        <w:rPr>
          <w:bCs/>
          <w:lang w:eastAsia="fr-FR" w:bidi="he-IL"/>
        </w:rPr>
        <w:t>avec la certitude qu</w:t>
      </w:r>
      <w:r w:rsidR="00557DE0">
        <w:rPr>
          <w:bCs/>
          <w:lang w:eastAsia="fr-FR" w:bidi="he-IL"/>
        </w:rPr>
        <w:t>’</w:t>
      </w:r>
      <w:r w:rsidR="00B704AD" w:rsidRPr="00C8701B">
        <w:rPr>
          <w:bCs/>
          <w:lang w:eastAsia="fr-FR" w:bidi="he-IL"/>
        </w:rPr>
        <w:t>il est plus grand que toute louange. Et de là ce désintéressement de leur personne. Pas un mot sur eux</w:t>
      </w:r>
      <w:r w:rsidR="00E65435">
        <w:rPr>
          <w:bCs/>
          <w:lang w:eastAsia="fr-FR" w:bidi="he-IL"/>
        </w:rPr>
        <w:t xml:space="preserve">, </w:t>
      </w:r>
      <w:r w:rsidR="00B704AD" w:rsidRPr="00C8701B">
        <w:rPr>
          <w:bCs/>
          <w:lang w:eastAsia="fr-FR" w:bidi="he-IL"/>
        </w:rPr>
        <w:t>ou s</w:t>
      </w:r>
      <w:r w:rsidR="00557DE0">
        <w:rPr>
          <w:bCs/>
          <w:lang w:eastAsia="fr-FR" w:bidi="he-IL"/>
        </w:rPr>
        <w:t>’</w:t>
      </w:r>
      <w:r w:rsidR="00B704AD" w:rsidRPr="00C8701B">
        <w:rPr>
          <w:bCs/>
          <w:lang w:eastAsia="fr-FR" w:bidi="he-IL"/>
        </w:rPr>
        <w:t>ils en parlent</w:t>
      </w:r>
      <w:r w:rsidR="00E65435">
        <w:rPr>
          <w:bCs/>
          <w:lang w:eastAsia="fr-FR" w:bidi="he-IL"/>
        </w:rPr>
        <w:t xml:space="preserve">, </w:t>
      </w:r>
      <w:r w:rsidR="00B704AD" w:rsidRPr="00C8701B">
        <w:rPr>
          <w:bCs/>
          <w:lang w:eastAsia="fr-FR" w:bidi="he-IL"/>
        </w:rPr>
        <w:t>c</w:t>
      </w:r>
      <w:r w:rsidR="00557DE0">
        <w:rPr>
          <w:bCs/>
          <w:lang w:eastAsia="fr-FR" w:bidi="he-IL"/>
        </w:rPr>
        <w:t>’</w:t>
      </w:r>
      <w:r w:rsidR="00B704AD" w:rsidRPr="00C8701B">
        <w:rPr>
          <w:bCs/>
          <w:lang w:eastAsia="fr-FR" w:bidi="he-IL"/>
        </w:rPr>
        <w:t>est comme d</w:t>
      </w:r>
      <w:r w:rsidR="00557DE0">
        <w:rPr>
          <w:bCs/>
          <w:lang w:eastAsia="fr-FR" w:bidi="he-IL"/>
        </w:rPr>
        <w:t>’</w:t>
      </w:r>
      <w:r w:rsidR="00B704AD" w:rsidRPr="00C8701B">
        <w:rPr>
          <w:bCs/>
          <w:lang w:eastAsia="fr-FR" w:bidi="he-IL"/>
        </w:rPr>
        <w:t>un autre.... Et de là aussi ce mépris pour toute espèce d</w:t>
      </w:r>
      <w:r w:rsidR="00557DE0">
        <w:rPr>
          <w:bCs/>
          <w:lang w:eastAsia="fr-FR" w:bidi="he-IL"/>
        </w:rPr>
        <w:t>’</w:t>
      </w:r>
      <w:r w:rsidR="00B704AD" w:rsidRPr="00C8701B">
        <w:rPr>
          <w:bCs/>
          <w:lang w:eastAsia="fr-FR" w:bidi="he-IL"/>
        </w:rPr>
        <w:t>ar</w:t>
      </w:r>
      <w:r w:rsidR="009769A0">
        <w:rPr>
          <w:bCs/>
          <w:lang w:eastAsia="fr-FR" w:bidi="he-IL"/>
        </w:rPr>
        <w:t>t. Pas le plus petit ornement. À</w:t>
      </w:r>
      <w:r w:rsidR="00B704AD" w:rsidRPr="00C8701B">
        <w:rPr>
          <w:bCs/>
          <w:lang w:eastAsia="fr-FR" w:bidi="he-IL"/>
        </w:rPr>
        <w:t xml:space="preserve"> quoi bon</w:t>
      </w:r>
      <w:r w:rsidRPr="00C8701B">
        <w:rPr>
          <w:bCs/>
          <w:lang w:eastAsia="fr-FR" w:bidi="he-IL"/>
        </w:rPr>
        <w:t> ?</w:t>
      </w:r>
      <w:r w:rsidR="00B704AD" w:rsidRPr="00C8701B">
        <w:rPr>
          <w:bCs/>
          <w:lang w:eastAsia="fr-FR" w:bidi="he-IL"/>
        </w:rPr>
        <w:t xml:space="preserve"> Est-ce qu</w:t>
      </w:r>
      <w:r w:rsidR="00557DE0">
        <w:rPr>
          <w:bCs/>
          <w:lang w:eastAsia="fr-FR" w:bidi="he-IL"/>
        </w:rPr>
        <w:t>’</w:t>
      </w:r>
      <w:r w:rsidR="00B704AD" w:rsidRPr="00C8701B">
        <w:rPr>
          <w:bCs/>
          <w:lang w:eastAsia="fr-FR" w:bidi="he-IL"/>
        </w:rPr>
        <w:t>on peint l</w:t>
      </w:r>
      <w:r w:rsidR="00557DE0">
        <w:rPr>
          <w:bCs/>
          <w:lang w:eastAsia="fr-FR" w:bidi="he-IL"/>
        </w:rPr>
        <w:t>’</w:t>
      </w:r>
      <w:r w:rsidR="00B704AD" w:rsidRPr="00C8701B">
        <w:rPr>
          <w:bCs/>
          <w:lang w:eastAsia="fr-FR" w:bidi="he-IL"/>
        </w:rPr>
        <w:t>inexprimable</w:t>
      </w:r>
      <w:r w:rsidRPr="00C8701B">
        <w:rPr>
          <w:bCs/>
          <w:lang w:eastAsia="fr-FR" w:bidi="he-IL"/>
        </w:rPr>
        <w:t> ?</w:t>
      </w:r>
      <w:r w:rsidR="00B704AD" w:rsidRPr="00C8701B">
        <w:rPr>
          <w:bCs/>
          <w:lang w:eastAsia="fr-FR" w:bidi="he-IL"/>
        </w:rPr>
        <w:t xml:space="preserve"> Est-ce qu</w:t>
      </w:r>
      <w:r w:rsidR="00557DE0">
        <w:rPr>
          <w:bCs/>
          <w:lang w:eastAsia="fr-FR" w:bidi="he-IL"/>
        </w:rPr>
        <w:t>’</w:t>
      </w:r>
      <w:r w:rsidR="00B704AD" w:rsidRPr="00C8701B">
        <w:rPr>
          <w:bCs/>
          <w:lang w:eastAsia="fr-FR" w:bidi="he-IL"/>
        </w:rPr>
        <w:t>on peut grandir ce qui est divinement et absolument grand</w:t>
      </w:r>
      <w:r w:rsidRPr="00C8701B">
        <w:rPr>
          <w:bCs/>
          <w:lang w:eastAsia="fr-FR" w:bidi="he-IL"/>
        </w:rPr>
        <w:t> ?</w:t>
      </w:r>
      <w:r w:rsidR="00B704AD" w:rsidRPr="00C8701B">
        <w:rPr>
          <w:bCs/>
          <w:lang w:eastAsia="fr-FR" w:bidi="he-IL"/>
        </w:rPr>
        <w:t>..</w:t>
      </w:r>
      <w:r w:rsidR="009769A0">
        <w:rPr>
          <w:bCs/>
          <w:lang w:eastAsia="fr-FR" w:bidi="he-IL"/>
        </w:rPr>
        <w:t>.</w:t>
      </w:r>
      <w:r w:rsidR="00B704AD" w:rsidRPr="00C8701B">
        <w:rPr>
          <w:bCs/>
          <w:lang w:eastAsia="fr-FR" w:bidi="he-IL"/>
        </w:rPr>
        <w:t xml:space="preserve"> Absence d</w:t>
      </w:r>
      <w:r w:rsidR="00557DE0">
        <w:rPr>
          <w:bCs/>
          <w:lang w:eastAsia="fr-FR" w:bidi="he-IL"/>
        </w:rPr>
        <w:t>’</w:t>
      </w:r>
      <w:r w:rsidR="00B704AD" w:rsidRPr="00C8701B">
        <w:rPr>
          <w:bCs/>
          <w:lang w:eastAsia="fr-FR" w:bidi="he-IL"/>
        </w:rPr>
        <w:t>art</w:t>
      </w:r>
      <w:r w:rsidRPr="00C8701B">
        <w:rPr>
          <w:bCs/>
          <w:lang w:eastAsia="fr-FR" w:bidi="he-IL"/>
        </w:rPr>
        <w:t> !</w:t>
      </w:r>
      <w:r w:rsidR="00B704AD" w:rsidRPr="00C8701B">
        <w:rPr>
          <w:bCs/>
          <w:lang w:eastAsia="fr-FR" w:bidi="he-IL"/>
        </w:rPr>
        <w:t xml:space="preserve"> mais en apparence seulement</w:t>
      </w:r>
      <w:r w:rsidRPr="00C8701B">
        <w:rPr>
          <w:bCs/>
          <w:lang w:eastAsia="fr-FR" w:bidi="he-IL"/>
        </w:rPr>
        <w:t> </w:t>
      </w:r>
      <w:r w:rsidR="007F6508">
        <w:rPr>
          <w:bCs/>
          <w:lang w:eastAsia="fr-FR" w:bidi="he-IL"/>
        </w:rPr>
        <w:t xml:space="preserve">; </w:t>
      </w:r>
      <w:r w:rsidR="00B704AD" w:rsidRPr="00C8701B">
        <w:rPr>
          <w:bCs/>
          <w:lang w:eastAsia="fr-FR" w:bidi="he-IL"/>
        </w:rPr>
        <w:t>car au fond</w:t>
      </w:r>
      <w:r w:rsidR="00E65435">
        <w:rPr>
          <w:bCs/>
          <w:lang w:eastAsia="fr-FR" w:bidi="he-IL"/>
        </w:rPr>
        <w:t xml:space="preserve">, </w:t>
      </w:r>
      <w:r w:rsidR="00B704AD" w:rsidRPr="00C8701B">
        <w:rPr>
          <w:bCs/>
          <w:lang w:eastAsia="fr-FR" w:bidi="he-IL"/>
        </w:rPr>
        <w:t>et à l</w:t>
      </w:r>
      <w:r w:rsidR="00557DE0">
        <w:rPr>
          <w:bCs/>
          <w:lang w:eastAsia="fr-FR" w:bidi="he-IL"/>
        </w:rPr>
        <w:t>’</w:t>
      </w:r>
      <w:r w:rsidR="00B704AD" w:rsidRPr="00C8701B">
        <w:rPr>
          <w:bCs/>
          <w:lang w:eastAsia="fr-FR" w:bidi="he-IL"/>
        </w:rPr>
        <w:t>insu des évangélistes</w:t>
      </w:r>
      <w:r w:rsidR="00E65435">
        <w:rPr>
          <w:bCs/>
          <w:lang w:eastAsia="fr-FR" w:bidi="he-IL"/>
        </w:rPr>
        <w:t xml:space="preserve">, </w:t>
      </w:r>
      <w:r w:rsidR="00B704AD" w:rsidRPr="00C8701B">
        <w:rPr>
          <w:bCs/>
          <w:lang w:eastAsia="fr-FR" w:bidi="he-IL"/>
        </w:rPr>
        <w:t>il n</w:t>
      </w:r>
      <w:r w:rsidR="00557DE0">
        <w:rPr>
          <w:bCs/>
          <w:lang w:eastAsia="fr-FR" w:bidi="he-IL"/>
        </w:rPr>
        <w:t>’</w:t>
      </w:r>
      <w:r w:rsidR="00B704AD" w:rsidRPr="00C8701B">
        <w:rPr>
          <w:bCs/>
          <w:lang w:eastAsia="fr-FR" w:bidi="he-IL"/>
        </w:rPr>
        <w:t>y eut jamais de plus grand art... La figure adorable du Sauveur se montre à travers ce style</w:t>
      </w:r>
      <w:r w:rsidR="00E65435">
        <w:rPr>
          <w:bCs/>
          <w:lang w:eastAsia="fr-FR" w:bidi="he-IL"/>
        </w:rPr>
        <w:t xml:space="preserve">, </w:t>
      </w:r>
      <w:r w:rsidR="00B704AD" w:rsidRPr="00C8701B">
        <w:rPr>
          <w:bCs/>
          <w:lang w:eastAsia="fr-FR" w:bidi="he-IL"/>
        </w:rPr>
        <w:t>sans aucune atténuation de contour</w:t>
      </w:r>
      <w:r w:rsidR="00E65435">
        <w:rPr>
          <w:bCs/>
          <w:lang w:eastAsia="fr-FR" w:bidi="he-IL"/>
        </w:rPr>
        <w:t xml:space="preserve">, </w:t>
      </w:r>
      <w:r w:rsidR="00B704AD" w:rsidRPr="00C8701B">
        <w:rPr>
          <w:bCs/>
          <w:lang w:eastAsia="fr-FR" w:bidi="he-IL"/>
        </w:rPr>
        <w:t>comme au travers d</w:t>
      </w:r>
      <w:r w:rsidR="00557DE0">
        <w:rPr>
          <w:bCs/>
          <w:lang w:eastAsia="fr-FR" w:bidi="he-IL"/>
        </w:rPr>
        <w:t>’</w:t>
      </w:r>
      <w:r w:rsidR="00B704AD" w:rsidRPr="00C8701B">
        <w:rPr>
          <w:bCs/>
          <w:lang w:eastAsia="fr-FR" w:bidi="he-IL"/>
        </w:rPr>
        <w:t>une glace pure. C</w:t>
      </w:r>
      <w:r w:rsidR="00557DE0">
        <w:rPr>
          <w:bCs/>
          <w:lang w:eastAsia="fr-FR" w:bidi="he-IL"/>
        </w:rPr>
        <w:t>’</w:t>
      </w:r>
      <w:r w:rsidR="00B704AD" w:rsidRPr="00C8701B">
        <w:rPr>
          <w:bCs/>
          <w:lang w:eastAsia="fr-FR" w:bidi="he-IL"/>
        </w:rPr>
        <w:t>est plus qu</w:t>
      </w:r>
      <w:r w:rsidR="00557DE0">
        <w:rPr>
          <w:bCs/>
          <w:lang w:eastAsia="fr-FR" w:bidi="he-IL"/>
        </w:rPr>
        <w:t>’</w:t>
      </w:r>
      <w:r w:rsidR="00B704AD" w:rsidRPr="00C8701B">
        <w:rPr>
          <w:bCs/>
          <w:lang w:eastAsia="fr-FR" w:bidi="he-IL"/>
        </w:rPr>
        <w:t>une reproduction</w:t>
      </w:r>
      <w:r w:rsidR="00E65435">
        <w:rPr>
          <w:bCs/>
          <w:lang w:eastAsia="fr-FR" w:bidi="he-IL"/>
        </w:rPr>
        <w:t xml:space="preserve">, </w:t>
      </w:r>
      <w:r w:rsidR="00B704AD" w:rsidRPr="00C8701B">
        <w:rPr>
          <w:bCs/>
          <w:lang w:eastAsia="fr-FR" w:bidi="he-IL"/>
        </w:rPr>
        <w:t>c</w:t>
      </w:r>
      <w:r w:rsidR="00557DE0">
        <w:rPr>
          <w:bCs/>
          <w:lang w:eastAsia="fr-FR" w:bidi="he-IL"/>
        </w:rPr>
        <w:t>’</w:t>
      </w:r>
      <w:r w:rsidR="00B704AD" w:rsidRPr="00C8701B">
        <w:rPr>
          <w:bCs/>
          <w:lang w:eastAsia="fr-FR" w:bidi="he-IL"/>
        </w:rPr>
        <w:t>est quelque chose de la réalité</w:t>
      </w:r>
      <w:r w:rsidRPr="00C8701B">
        <w:rPr>
          <w:bCs/>
          <w:lang w:eastAsia="fr-FR" w:bidi="he-IL"/>
        </w:rPr>
        <w:t> </w:t>
      </w:r>
      <w:r w:rsidR="007F6508">
        <w:rPr>
          <w:bCs/>
          <w:lang w:eastAsia="fr-FR" w:bidi="he-IL"/>
        </w:rPr>
        <w:t xml:space="preserve">; </w:t>
      </w:r>
      <w:r w:rsidR="00B704AD" w:rsidRPr="00C8701B">
        <w:rPr>
          <w:bCs/>
          <w:lang w:eastAsia="fr-FR" w:bidi="he-IL"/>
        </w:rPr>
        <w:t>comme si les faits</w:t>
      </w:r>
      <w:r w:rsidR="00E65435">
        <w:rPr>
          <w:bCs/>
          <w:lang w:eastAsia="fr-FR" w:bidi="he-IL"/>
        </w:rPr>
        <w:t xml:space="preserve">, </w:t>
      </w:r>
      <w:r w:rsidR="00B704AD" w:rsidRPr="00C8701B">
        <w:rPr>
          <w:bCs/>
          <w:lang w:eastAsia="fr-FR" w:bidi="he-IL"/>
        </w:rPr>
        <w:t>les discours</w:t>
      </w:r>
      <w:r w:rsidR="00E65435">
        <w:rPr>
          <w:bCs/>
          <w:lang w:eastAsia="fr-FR" w:bidi="he-IL"/>
        </w:rPr>
        <w:t xml:space="preserve">, </w:t>
      </w:r>
      <w:r w:rsidR="00B704AD" w:rsidRPr="00C8701B">
        <w:rPr>
          <w:bCs/>
          <w:lang w:eastAsia="fr-FR" w:bidi="he-IL"/>
        </w:rPr>
        <w:t>les guérisons</w:t>
      </w:r>
      <w:r w:rsidR="00E65435">
        <w:rPr>
          <w:bCs/>
          <w:lang w:eastAsia="fr-FR" w:bidi="he-IL"/>
        </w:rPr>
        <w:t xml:space="preserve">, </w:t>
      </w:r>
      <w:r w:rsidR="00B704AD" w:rsidRPr="00C8701B">
        <w:rPr>
          <w:bCs/>
          <w:lang w:eastAsia="fr-FR" w:bidi="he-IL"/>
        </w:rPr>
        <w:t>les miracles</w:t>
      </w:r>
      <w:r w:rsidR="00E65435">
        <w:rPr>
          <w:bCs/>
          <w:lang w:eastAsia="fr-FR" w:bidi="he-IL"/>
        </w:rPr>
        <w:t xml:space="preserve">, </w:t>
      </w:r>
      <w:r w:rsidR="00B704AD" w:rsidRPr="00C8701B">
        <w:rPr>
          <w:bCs/>
          <w:lang w:eastAsia="fr-FR" w:bidi="he-IL"/>
        </w:rPr>
        <w:t>se renouvelaient sous nos yeux. Je vois</w:t>
      </w:r>
      <w:r w:rsidR="00E65435">
        <w:rPr>
          <w:bCs/>
          <w:lang w:eastAsia="fr-FR" w:bidi="he-IL"/>
        </w:rPr>
        <w:t xml:space="preserve">, </w:t>
      </w:r>
      <w:r w:rsidR="00B704AD" w:rsidRPr="00C8701B">
        <w:rPr>
          <w:bCs/>
          <w:lang w:eastAsia="fr-FR" w:bidi="he-IL"/>
        </w:rPr>
        <w:t>j</w:t>
      </w:r>
      <w:r w:rsidR="00557DE0">
        <w:rPr>
          <w:bCs/>
          <w:lang w:eastAsia="fr-FR" w:bidi="he-IL"/>
        </w:rPr>
        <w:t>’</w:t>
      </w:r>
      <w:r w:rsidR="009769A0">
        <w:rPr>
          <w:bCs/>
          <w:lang w:eastAsia="fr-FR" w:bidi="he-IL"/>
        </w:rPr>
        <w:t>entends Jésus-Christ. Nul</w:t>
      </w:r>
      <w:r w:rsidR="00B704AD" w:rsidRPr="00C8701B">
        <w:rPr>
          <w:bCs/>
          <w:lang w:eastAsia="fr-FR" w:bidi="he-IL"/>
        </w:rPr>
        <w:t xml:space="preserve"> intermédiaire entre lui et moi... Jésus-Christ est là</w:t>
      </w:r>
      <w:r w:rsidR="00E65435">
        <w:rPr>
          <w:bCs/>
          <w:lang w:eastAsia="fr-FR" w:bidi="he-IL"/>
        </w:rPr>
        <w:t xml:space="preserve">, </w:t>
      </w:r>
      <w:r w:rsidR="00B704AD" w:rsidRPr="00C8701B">
        <w:rPr>
          <w:bCs/>
          <w:lang w:eastAsia="fr-FR" w:bidi="he-IL"/>
        </w:rPr>
        <w:t>seul à seul avec moi</w:t>
      </w:r>
      <w:r w:rsidR="00E65435">
        <w:rPr>
          <w:bCs/>
          <w:lang w:eastAsia="fr-FR" w:bidi="he-IL"/>
        </w:rPr>
        <w:t xml:space="preserve">, </w:t>
      </w:r>
      <w:r w:rsidR="00B704AD" w:rsidRPr="00C8701B">
        <w:rPr>
          <w:bCs/>
          <w:lang w:eastAsia="fr-FR" w:bidi="he-IL"/>
        </w:rPr>
        <w:t>vivant</w:t>
      </w:r>
      <w:r w:rsidR="00E65435">
        <w:rPr>
          <w:bCs/>
          <w:lang w:eastAsia="fr-FR" w:bidi="he-IL"/>
        </w:rPr>
        <w:t xml:space="preserve">, </w:t>
      </w:r>
      <w:r w:rsidR="00B704AD" w:rsidRPr="00C8701B">
        <w:rPr>
          <w:bCs/>
          <w:lang w:eastAsia="fr-FR" w:bidi="he-IL"/>
        </w:rPr>
        <w:t>parlant</w:t>
      </w:r>
      <w:r w:rsidR="00E65435">
        <w:rPr>
          <w:bCs/>
          <w:lang w:eastAsia="fr-FR" w:bidi="he-IL"/>
        </w:rPr>
        <w:t xml:space="preserve">, </w:t>
      </w:r>
      <w:r w:rsidR="00B704AD" w:rsidRPr="00C8701B">
        <w:rPr>
          <w:bCs/>
          <w:lang w:eastAsia="fr-FR" w:bidi="he-IL"/>
        </w:rPr>
        <w:t>agissant... Livre admirable</w:t>
      </w:r>
      <w:r w:rsidR="00E65435">
        <w:rPr>
          <w:bCs/>
          <w:lang w:eastAsia="fr-FR" w:bidi="he-IL"/>
        </w:rPr>
        <w:t xml:space="preserve">, </w:t>
      </w:r>
      <w:r w:rsidR="00B704AD" w:rsidRPr="00C8701B">
        <w:rPr>
          <w:bCs/>
          <w:lang w:eastAsia="fr-FR" w:bidi="he-IL"/>
        </w:rPr>
        <w:t>fait pour être lu...</w:t>
      </w:r>
      <w:r w:rsidR="00E65435">
        <w:rPr>
          <w:bCs/>
          <w:lang w:eastAsia="fr-FR" w:bidi="he-IL"/>
        </w:rPr>
        <w:t xml:space="preserve">, </w:t>
      </w:r>
      <w:r w:rsidR="00B704AD" w:rsidRPr="00C8701B">
        <w:rPr>
          <w:bCs/>
          <w:lang w:eastAsia="fr-FR" w:bidi="he-IL"/>
        </w:rPr>
        <w:t>non par la curiosité qui se précipite et cherche un drame</w:t>
      </w:r>
      <w:r w:rsidR="00E65435">
        <w:rPr>
          <w:bCs/>
          <w:lang w:eastAsia="fr-FR" w:bidi="he-IL"/>
        </w:rPr>
        <w:t xml:space="preserve">, </w:t>
      </w:r>
      <w:r w:rsidR="00B704AD" w:rsidRPr="00C8701B">
        <w:rPr>
          <w:bCs/>
          <w:lang w:eastAsia="fr-FR" w:bidi="he-IL"/>
        </w:rPr>
        <w:t>mais par l</w:t>
      </w:r>
      <w:r w:rsidR="00557DE0">
        <w:rPr>
          <w:bCs/>
          <w:lang w:eastAsia="fr-FR" w:bidi="he-IL"/>
        </w:rPr>
        <w:t>’</w:t>
      </w:r>
      <w:r w:rsidR="00B704AD" w:rsidRPr="00C8701B">
        <w:rPr>
          <w:bCs/>
          <w:lang w:eastAsia="fr-FR" w:bidi="he-IL"/>
        </w:rPr>
        <w:t>amour qui contemple</w:t>
      </w:r>
      <w:r w:rsidR="00E65435">
        <w:rPr>
          <w:bCs/>
          <w:lang w:eastAsia="fr-FR" w:bidi="he-IL"/>
        </w:rPr>
        <w:t xml:space="preserve">, </w:t>
      </w:r>
      <w:r w:rsidR="00B704AD" w:rsidRPr="00C8701B">
        <w:rPr>
          <w:bCs/>
          <w:lang w:eastAsia="fr-FR" w:bidi="he-IL"/>
        </w:rPr>
        <w:t>et s</w:t>
      </w:r>
      <w:r w:rsidR="00557DE0">
        <w:rPr>
          <w:bCs/>
          <w:lang w:eastAsia="fr-FR" w:bidi="he-IL"/>
        </w:rPr>
        <w:t>’</w:t>
      </w:r>
      <w:r w:rsidR="009769A0">
        <w:rPr>
          <w:bCs/>
          <w:lang w:eastAsia="fr-FR" w:bidi="he-IL"/>
        </w:rPr>
        <w:t>oublie en adorant</w:t>
      </w:r>
      <w:r w:rsidR="009769A0">
        <w:rPr>
          <w:rFonts w:eastAsia="Arial Unicode MS"/>
          <w:bCs/>
          <w:lang w:eastAsia="fr-FR" w:bidi="he-IL"/>
        </w:rPr>
        <w:t> »</w:t>
      </w:r>
      <w:r w:rsidR="009769A0">
        <w:rPr>
          <w:rStyle w:val="Appelnotedebasdep"/>
          <w:rFonts w:eastAsia="Arial Unicode MS"/>
          <w:bCs/>
          <w:lang w:eastAsia="fr-FR" w:bidi="he-IL"/>
        </w:rPr>
        <w:footnoteReference w:id="520"/>
      </w:r>
      <w:r w:rsidR="00B704AD" w:rsidRPr="00C8701B">
        <w:rPr>
          <w:bCs/>
          <w:lang w:eastAsia="fr-FR" w:bidi="he-IL"/>
        </w:rPr>
        <w:t>.</w:t>
      </w:r>
      <w:r w:rsidRPr="00C8701B">
        <w:rPr>
          <w:bCs/>
          <w:lang w:eastAsia="fr-FR" w:bidi="he-IL"/>
        </w:rPr>
        <w:t xml:space="preserve"> </w:t>
      </w:r>
    </w:p>
    <w:p w:rsidR="00C2602D" w:rsidRPr="00C8701B" w:rsidRDefault="009769A0" w:rsidP="009769A0">
      <w:pPr>
        <w:rPr>
          <w:rFonts w:eastAsia="Arial Unicode MS"/>
          <w:bCs/>
          <w:lang w:eastAsia="fr-FR" w:bidi="he-IL"/>
        </w:rPr>
      </w:pPr>
      <w:r w:rsidRPr="00C8701B">
        <w:rPr>
          <w:bCs/>
          <w:lang w:eastAsia="fr-FR" w:bidi="he-IL"/>
        </w:rPr>
        <w:t xml:space="preserve"> </w:t>
      </w:r>
      <w:r w:rsidR="00C2602D" w:rsidRPr="00C8701B">
        <w:rPr>
          <w:bCs/>
          <w:lang w:eastAsia="fr-FR" w:bidi="he-IL"/>
        </w:rPr>
        <w:t>« </w:t>
      </w:r>
      <w:r w:rsidR="00B704AD" w:rsidRPr="00C8701B">
        <w:rPr>
          <w:bCs/>
          <w:lang w:eastAsia="fr-FR" w:bidi="he-IL"/>
        </w:rPr>
        <w:t>Si on considère attentivement ce recueil biographique</w:t>
      </w:r>
      <w:r w:rsidR="00E65435">
        <w:rPr>
          <w:bCs/>
          <w:lang w:eastAsia="fr-FR" w:bidi="he-IL"/>
        </w:rPr>
        <w:t xml:space="preserve">, </w:t>
      </w:r>
      <w:r>
        <w:rPr>
          <w:bCs/>
          <w:lang w:eastAsia="fr-FR" w:bidi="he-IL"/>
        </w:rPr>
        <w:t>rien n</w:t>
      </w:r>
      <w:r w:rsidR="00557DE0">
        <w:rPr>
          <w:bCs/>
          <w:lang w:eastAsia="fr-FR" w:bidi="he-IL"/>
        </w:rPr>
        <w:t>’</w:t>
      </w:r>
      <w:r w:rsidR="00B704AD" w:rsidRPr="00C8701B">
        <w:rPr>
          <w:bCs/>
          <w:lang w:eastAsia="fr-FR" w:bidi="he-IL"/>
        </w:rPr>
        <w:t>est plus surprenant que sa simplicité</w:t>
      </w:r>
      <w:r w:rsidR="00E65435">
        <w:rPr>
          <w:bCs/>
          <w:lang w:eastAsia="fr-FR" w:bidi="he-IL"/>
        </w:rPr>
        <w:t xml:space="preserve">, </w:t>
      </w:r>
      <w:r w:rsidR="00B704AD" w:rsidRPr="00C8701B">
        <w:rPr>
          <w:bCs/>
          <w:lang w:eastAsia="fr-FR" w:bidi="he-IL"/>
        </w:rPr>
        <w:t>ou même son insuffisance scientifique</w:t>
      </w:r>
      <w:r w:rsidR="00E65435">
        <w:rPr>
          <w:bCs/>
          <w:lang w:eastAsia="fr-FR" w:bidi="he-IL"/>
        </w:rPr>
        <w:t xml:space="preserve">, </w:t>
      </w:r>
      <w:r w:rsidR="00B704AD" w:rsidRPr="00C8701B">
        <w:rPr>
          <w:bCs/>
          <w:lang w:eastAsia="fr-FR" w:bidi="he-IL"/>
        </w:rPr>
        <w:t>en regard de l</w:t>
      </w:r>
      <w:r w:rsidR="00557DE0">
        <w:rPr>
          <w:bCs/>
          <w:lang w:eastAsia="fr-FR" w:bidi="he-IL"/>
        </w:rPr>
        <w:t>’</w:t>
      </w:r>
      <w:r w:rsidR="00B704AD" w:rsidRPr="00C8701B">
        <w:rPr>
          <w:bCs/>
          <w:lang w:eastAsia="fr-FR" w:bidi="he-IL"/>
        </w:rPr>
        <w:t>impression immense qu</w:t>
      </w:r>
      <w:r w:rsidR="00557DE0">
        <w:rPr>
          <w:bCs/>
          <w:lang w:eastAsia="fr-FR" w:bidi="he-IL"/>
        </w:rPr>
        <w:t>’</w:t>
      </w:r>
      <w:r w:rsidR="00B704AD" w:rsidRPr="00C8701B">
        <w:rPr>
          <w:bCs/>
          <w:lang w:eastAsia="fr-FR" w:bidi="he-IL"/>
        </w:rPr>
        <w:t>il a produite sur l</w:t>
      </w:r>
      <w:r w:rsidR="00557DE0">
        <w:rPr>
          <w:bCs/>
          <w:lang w:eastAsia="fr-FR" w:bidi="he-IL"/>
        </w:rPr>
        <w:t>’</w:t>
      </w:r>
      <w:r w:rsidR="00B704AD" w:rsidRPr="00C8701B">
        <w:rPr>
          <w:bCs/>
          <w:lang w:eastAsia="fr-FR" w:bidi="he-IL"/>
        </w:rPr>
        <w:t>humanité. Incomplet</w:t>
      </w:r>
      <w:r w:rsidR="00E65435">
        <w:rPr>
          <w:bCs/>
          <w:lang w:eastAsia="fr-FR" w:bidi="he-IL"/>
        </w:rPr>
        <w:t xml:space="preserve">, </w:t>
      </w:r>
      <w:r w:rsidR="00B704AD" w:rsidRPr="00C8701B">
        <w:rPr>
          <w:bCs/>
          <w:lang w:eastAsia="fr-FR" w:bidi="he-IL"/>
        </w:rPr>
        <w:t>sans prétentions</w:t>
      </w:r>
      <w:r w:rsidR="00E65435">
        <w:rPr>
          <w:bCs/>
          <w:lang w:eastAsia="fr-FR" w:bidi="he-IL"/>
        </w:rPr>
        <w:t xml:space="preserve">, </w:t>
      </w:r>
      <w:r w:rsidR="00B704AD" w:rsidRPr="00C8701B">
        <w:rPr>
          <w:bCs/>
          <w:lang w:eastAsia="fr-FR" w:bidi="he-IL"/>
        </w:rPr>
        <w:t>sans art</w:t>
      </w:r>
      <w:r w:rsidR="00E65435">
        <w:rPr>
          <w:bCs/>
          <w:lang w:eastAsia="fr-FR" w:bidi="he-IL"/>
        </w:rPr>
        <w:t xml:space="preserve">, </w:t>
      </w:r>
      <w:r w:rsidR="00B704AD" w:rsidRPr="00C8701B">
        <w:rPr>
          <w:bCs/>
          <w:lang w:eastAsia="fr-FR" w:bidi="he-IL"/>
        </w:rPr>
        <w:t>il semble rédigé au courant d</w:t>
      </w:r>
      <w:r w:rsidR="00557DE0">
        <w:rPr>
          <w:bCs/>
          <w:lang w:eastAsia="fr-FR" w:bidi="he-IL"/>
        </w:rPr>
        <w:t>’</w:t>
      </w:r>
      <w:r w:rsidR="00B704AD" w:rsidRPr="00C8701B">
        <w:rPr>
          <w:bCs/>
          <w:lang w:eastAsia="fr-FR" w:bidi="he-IL"/>
        </w:rPr>
        <w:t>une conversation familière. C</w:t>
      </w:r>
      <w:r w:rsidR="00557DE0">
        <w:rPr>
          <w:bCs/>
          <w:lang w:eastAsia="fr-FR" w:bidi="he-IL"/>
        </w:rPr>
        <w:t>’</w:t>
      </w:r>
      <w:r w:rsidR="00B704AD" w:rsidRPr="00C8701B">
        <w:rPr>
          <w:bCs/>
          <w:lang w:eastAsia="fr-FR" w:bidi="he-IL"/>
        </w:rPr>
        <w:t xml:space="preserve">est comme une </w:t>
      </w:r>
      <w:r w:rsidR="00EA28F4" w:rsidRPr="00C8701B">
        <w:rPr>
          <w:bCs/>
          <w:lang w:eastAsia="fr-FR" w:bidi="he-IL"/>
        </w:rPr>
        <w:t>esq</w:t>
      </w:r>
      <w:r w:rsidR="00EA28F4">
        <w:rPr>
          <w:bCs/>
          <w:lang w:eastAsia="fr-FR" w:bidi="he-IL"/>
        </w:rPr>
        <w:t>uisse</w:t>
      </w:r>
      <w:r w:rsidR="00B704AD" w:rsidRPr="00C8701B">
        <w:rPr>
          <w:bCs/>
          <w:lang w:eastAsia="fr-FR" w:bidi="he-IL"/>
        </w:rPr>
        <w:t xml:space="preserve"> crayonnée au hasard</w:t>
      </w:r>
      <w:r w:rsidR="00C2602D" w:rsidRPr="00C8701B">
        <w:rPr>
          <w:bCs/>
          <w:lang w:eastAsia="fr-FR" w:bidi="he-IL"/>
        </w:rPr>
        <w:t> </w:t>
      </w:r>
      <w:r w:rsidR="007F6508">
        <w:rPr>
          <w:bCs/>
          <w:lang w:eastAsia="fr-FR" w:bidi="he-IL"/>
        </w:rPr>
        <w:t xml:space="preserve">; </w:t>
      </w:r>
      <w:r w:rsidR="00B704AD" w:rsidRPr="00C8701B">
        <w:rPr>
          <w:bCs/>
          <w:lang w:eastAsia="fr-FR" w:bidi="he-IL"/>
        </w:rPr>
        <w:t>mais l</w:t>
      </w:r>
      <w:r w:rsidR="00557DE0">
        <w:rPr>
          <w:bCs/>
          <w:lang w:eastAsia="fr-FR" w:bidi="he-IL"/>
        </w:rPr>
        <w:t>’</w:t>
      </w:r>
      <w:r w:rsidR="00B704AD" w:rsidRPr="00C8701B">
        <w:rPr>
          <w:bCs/>
          <w:lang w:eastAsia="fr-FR" w:bidi="he-IL"/>
        </w:rPr>
        <w:t>effet obtenu est celui du tableau le plus grandiose et le plus saisissant. Elle ne s</w:t>
      </w:r>
      <w:r w:rsidR="00557DE0">
        <w:rPr>
          <w:bCs/>
          <w:lang w:eastAsia="fr-FR" w:bidi="he-IL"/>
        </w:rPr>
        <w:t>’</w:t>
      </w:r>
      <w:r w:rsidR="00B704AD" w:rsidRPr="00C8701B">
        <w:rPr>
          <w:bCs/>
          <w:lang w:eastAsia="fr-FR" w:bidi="he-IL"/>
        </w:rPr>
        <w:t>efface plus</w:t>
      </w:r>
      <w:r w:rsidR="00E65435">
        <w:rPr>
          <w:bCs/>
          <w:lang w:eastAsia="fr-FR" w:bidi="he-IL"/>
        </w:rPr>
        <w:t xml:space="preserve">, </w:t>
      </w:r>
      <w:r w:rsidR="00B704AD" w:rsidRPr="00C8701B">
        <w:rPr>
          <w:bCs/>
          <w:lang w:eastAsia="fr-FR" w:bidi="he-IL"/>
        </w:rPr>
        <w:t>l</w:t>
      </w:r>
      <w:r w:rsidR="00557DE0">
        <w:rPr>
          <w:bCs/>
          <w:lang w:eastAsia="fr-FR" w:bidi="he-IL"/>
        </w:rPr>
        <w:t>’</w:t>
      </w:r>
      <w:r w:rsidR="00B704AD" w:rsidRPr="00C8701B">
        <w:rPr>
          <w:bCs/>
          <w:lang w:eastAsia="fr-FR" w:bidi="he-IL"/>
        </w:rPr>
        <w:t>image qui surgit de ces lignes</w:t>
      </w:r>
      <w:r w:rsidR="00E65435">
        <w:rPr>
          <w:bCs/>
          <w:lang w:eastAsia="fr-FR" w:bidi="he-IL"/>
        </w:rPr>
        <w:t xml:space="preserve">, </w:t>
      </w:r>
      <w:r w:rsidR="00B704AD" w:rsidRPr="00C8701B">
        <w:rPr>
          <w:bCs/>
          <w:lang w:eastAsia="fr-FR" w:bidi="he-IL"/>
        </w:rPr>
        <w:t>où la chaleur court partout</w:t>
      </w:r>
      <w:r w:rsidR="00E65435">
        <w:rPr>
          <w:bCs/>
          <w:lang w:eastAsia="fr-FR" w:bidi="he-IL"/>
        </w:rPr>
        <w:t xml:space="preserve">, </w:t>
      </w:r>
      <w:r w:rsidR="00B704AD" w:rsidRPr="00C8701B">
        <w:rPr>
          <w:bCs/>
          <w:lang w:eastAsia="fr-FR" w:bidi="he-IL"/>
        </w:rPr>
        <w:t>à travers le calme du récit le plus simple</w:t>
      </w:r>
      <w:r w:rsidR="00C2602D" w:rsidRPr="00C8701B">
        <w:rPr>
          <w:bCs/>
          <w:lang w:eastAsia="fr-FR" w:bidi="he-IL"/>
        </w:rPr>
        <w:t> </w:t>
      </w:r>
      <w:r w:rsidR="007F6508">
        <w:rPr>
          <w:bCs/>
          <w:lang w:eastAsia="fr-FR" w:bidi="he-IL"/>
        </w:rPr>
        <w:t xml:space="preserve">; </w:t>
      </w:r>
      <w:r w:rsidR="00B704AD" w:rsidRPr="00C8701B">
        <w:rPr>
          <w:bCs/>
          <w:lang w:eastAsia="fr-FR" w:bidi="he-IL"/>
        </w:rPr>
        <w:t>où l</w:t>
      </w:r>
      <w:r w:rsidR="00557DE0">
        <w:rPr>
          <w:bCs/>
          <w:lang w:eastAsia="fr-FR" w:bidi="he-IL"/>
        </w:rPr>
        <w:t>’</w:t>
      </w:r>
      <w:r w:rsidR="00B704AD" w:rsidRPr="00C8701B">
        <w:rPr>
          <w:bCs/>
          <w:lang w:eastAsia="fr-FR" w:bidi="he-IL"/>
        </w:rPr>
        <w:t>admiration</w:t>
      </w:r>
      <w:r w:rsidR="00E65435">
        <w:rPr>
          <w:bCs/>
          <w:lang w:eastAsia="fr-FR" w:bidi="he-IL"/>
        </w:rPr>
        <w:t xml:space="preserve">, </w:t>
      </w:r>
      <w:r w:rsidR="00B704AD" w:rsidRPr="00C8701B">
        <w:rPr>
          <w:bCs/>
          <w:lang w:eastAsia="fr-FR" w:bidi="he-IL"/>
        </w:rPr>
        <w:t>en se laissant entrevoir</w:t>
      </w:r>
      <w:r w:rsidR="00E65435">
        <w:rPr>
          <w:bCs/>
          <w:lang w:eastAsia="fr-FR" w:bidi="he-IL"/>
        </w:rPr>
        <w:t xml:space="preserve">, </w:t>
      </w:r>
      <w:r w:rsidR="00B704AD" w:rsidRPr="00C8701B">
        <w:rPr>
          <w:bCs/>
          <w:lang w:eastAsia="fr-FR" w:bidi="he-IL"/>
        </w:rPr>
        <w:t>reste toujours pleine de réserve</w:t>
      </w:r>
      <w:r w:rsidR="00C2602D" w:rsidRPr="00C8701B">
        <w:rPr>
          <w:bCs/>
          <w:lang w:eastAsia="fr-FR" w:bidi="he-IL"/>
        </w:rPr>
        <w:t> </w:t>
      </w:r>
      <w:r w:rsidR="007F6508">
        <w:rPr>
          <w:bCs/>
          <w:lang w:eastAsia="fr-FR" w:bidi="he-IL"/>
        </w:rPr>
        <w:t xml:space="preserve">; </w:t>
      </w:r>
      <w:r w:rsidR="00B704AD" w:rsidRPr="00C8701B">
        <w:rPr>
          <w:bCs/>
          <w:lang w:eastAsia="fr-FR" w:bidi="he-IL"/>
        </w:rPr>
        <w:t>où enfin</w:t>
      </w:r>
      <w:r w:rsidR="00E65435">
        <w:rPr>
          <w:bCs/>
          <w:lang w:eastAsia="fr-FR" w:bidi="he-IL"/>
        </w:rPr>
        <w:t xml:space="preserve">, </w:t>
      </w:r>
      <w:r w:rsidR="00B704AD" w:rsidRPr="00C8701B">
        <w:rPr>
          <w:bCs/>
          <w:lang w:eastAsia="fr-FR" w:bidi="he-IL"/>
        </w:rPr>
        <w:t>dans un style ni concis ni diffus</w:t>
      </w:r>
      <w:r w:rsidR="00E65435">
        <w:rPr>
          <w:bCs/>
          <w:lang w:eastAsia="fr-FR" w:bidi="he-IL"/>
        </w:rPr>
        <w:t xml:space="preserve">, </w:t>
      </w:r>
      <w:r w:rsidR="00B704AD" w:rsidRPr="00C8701B">
        <w:rPr>
          <w:bCs/>
          <w:lang w:eastAsia="fr-FR" w:bidi="he-IL"/>
        </w:rPr>
        <w:t>les matières les plus ardues sont traitées avec une clarté et une délicatesse incomparables. On croit voir agir le Maître. Sa parole jaillit toute brûlante encore de sa bouche miséricordieuse et</w:t>
      </w:r>
      <w:r w:rsidR="00C2602D" w:rsidRPr="00C8701B">
        <w:rPr>
          <w:bCs/>
          <w:lang w:eastAsia="fr-FR" w:bidi="he-IL"/>
        </w:rPr>
        <w:t xml:space="preserve"> </w:t>
      </w:r>
      <w:r w:rsidR="00DF5BCD">
        <w:rPr>
          <w:rFonts w:eastAsia="Arial Unicode MS"/>
          <w:bCs/>
          <w:lang w:eastAsia="fr-FR" w:bidi="he-IL"/>
        </w:rPr>
        <w:t xml:space="preserve">persuasive. </w:t>
      </w:r>
      <w:r>
        <w:rPr>
          <w:rFonts w:eastAsia="Arial Unicode MS"/>
          <w:bCs/>
          <w:lang w:eastAsia="fr-FR" w:bidi="he-IL"/>
        </w:rPr>
        <w:t>{99</w:t>
      </w:r>
      <w:bookmarkStart w:id="152" w:name="pag099"/>
      <w:bookmarkEnd w:id="152"/>
      <w:r>
        <w:rPr>
          <w:rFonts w:eastAsia="Arial Unicode MS"/>
          <w:bCs/>
          <w:lang w:eastAsia="fr-FR" w:bidi="he-IL"/>
        </w:rPr>
        <w:t xml:space="preserve">} </w:t>
      </w:r>
      <w:r w:rsidR="00DF5BCD">
        <w:rPr>
          <w:rFonts w:eastAsia="Arial Unicode MS"/>
          <w:bCs/>
          <w:lang w:eastAsia="fr-FR" w:bidi="he-IL"/>
        </w:rPr>
        <w:t>Jamais ni artist</w:t>
      </w:r>
      <w:r w:rsidR="00B704AD" w:rsidRPr="00C8701B">
        <w:rPr>
          <w:rFonts w:eastAsia="Arial Unicode MS"/>
          <w:bCs/>
          <w:lang w:eastAsia="fr-FR" w:bidi="he-IL"/>
        </w:rPr>
        <w:t>es consommés</w:t>
      </w:r>
      <w:r w:rsidR="00E65435">
        <w:rPr>
          <w:rFonts w:eastAsia="Arial Unicode MS"/>
          <w:bCs/>
          <w:lang w:eastAsia="fr-FR" w:bidi="he-IL"/>
        </w:rPr>
        <w:t xml:space="preserve">, </w:t>
      </w:r>
      <w:r w:rsidR="00B704AD" w:rsidRPr="00C8701B">
        <w:rPr>
          <w:rFonts w:eastAsia="Arial Unicode MS"/>
          <w:bCs/>
          <w:lang w:eastAsia="fr-FR" w:bidi="he-IL"/>
        </w:rPr>
        <w:t>ni génies puissants n</w:t>
      </w:r>
      <w:r w:rsidR="00557DE0">
        <w:rPr>
          <w:rFonts w:eastAsia="Arial Unicode MS"/>
          <w:bCs/>
          <w:lang w:eastAsia="fr-FR" w:bidi="he-IL"/>
        </w:rPr>
        <w:t>’</w:t>
      </w:r>
      <w:r w:rsidR="00B704AD" w:rsidRPr="00C8701B">
        <w:rPr>
          <w:rFonts w:eastAsia="Arial Unicode MS"/>
          <w:bCs/>
          <w:lang w:eastAsia="fr-FR" w:bidi="he-IL"/>
        </w:rPr>
        <w:t>ont buriné si fortement le portrait de leurs héros. Une âme droite ne lit pas dix lignes de ce livre</w:t>
      </w:r>
      <w:r w:rsidR="00E65435">
        <w:rPr>
          <w:rFonts w:eastAsia="Arial Unicode MS"/>
          <w:bCs/>
          <w:lang w:eastAsia="fr-FR" w:bidi="he-IL"/>
        </w:rPr>
        <w:t xml:space="preserve">, </w:t>
      </w:r>
      <w:r w:rsidR="00B704AD" w:rsidRPr="00C8701B">
        <w:rPr>
          <w:rFonts w:eastAsia="Arial Unicode MS"/>
          <w:bCs/>
          <w:lang w:eastAsia="fr-FR" w:bidi="he-IL"/>
        </w:rPr>
        <w:t>sans être émue et travaillée du désir de devenir meilleure. On s</w:t>
      </w:r>
      <w:r w:rsidR="00557DE0">
        <w:rPr>
          <w:rFonts w:eastAsia="Arial Unicode MS"/>
          <w:bCs/>
          <w:lang w:eastAsia="fr-FR" w:bidi="he-IL"/>
        </w:rPr>
        <w:t>’</w:t>
      </w:r>
      <w:r w:rsidR="00B704AD" w:rsidRPr="00C8701B">
        <w:rPr>
          <w:rFonts w:eastAsia="Arial Unicode MS"/>
          <w:bCs/>
          <w:lang w:eastAsia="fr-FR" w:bidi="he-IL"/>
        </w:rPr>
        <w:t>y trouve s</w:t>
      </w:r>
      <w:r>
        <w:rPr>
          <w:rFonts w:eastAsia="Arial Unicode MS"/>
          <w:bCs/>
          <w:lang w:eastAsia="fr-FR" w:bidi="he-IL"/>
        </w:rPr>
        <w:t>ubitement transporté dans un mon</w:t>
      </w:r>
      <w:r w:rsidR="00B704AD" w:rsidRPr="00C8701B">
        <w:rPr>
          <w:rFonts w:eastAsia="Arial Unicode MS"/>
          <w:bCs/>
          <w:lang w:eastAsia="fr-FR" w:bidi="he-IL"/>
        </w:rPr>
        <w:t>de nouveau</w:t>
      </w:r>
      <w:r w:rsidR="00E65435">
        <w:rPr>
          <w:rFonts w:eastAsia="Arial Unicode MS"/>
          <w:bCs/>
          <w:lang w:eastAsia="fr-FR" w:bidi="he-IL"/>
        </w:rPr>
        <w:t xml:space="preserve">, </w:t>
      </w:r>
      <w:r w:rsidR="00B704AD" w:rsidRPr="00C8701B">
        <w:rPr>
          <w:rFonts w:eastAsia="Arial Unicode MS"/>
          <w:bCs/>
          <w:lang w:eastAsia="fr-FR" w:bidi="he-IL"/>
        </w:rPr>
        <w:t>avec des horizons plus larges</w:t>
      </w:r>
      <w:r w:rsidR="00E65435">
        <w:rPr>
          <w:rFonts w:eastAsia="Arial Unicode MS"/>
          <w:bCs/>
          <w:lang w:eastAsia="fr-FR" w:bidi="he-IL"/>
        </w:rPr>
        <w:t xml:space="preserve">, </w:t>
      </w:r>
      <w:r w:rsidR="00B704AD" w:rsidRPr="00C8701B">
        <w:rPr>
          <w:rFonts w:eastAsia="Arial Unicode MS"/>
          <w:bCs/>
          <w:lang w:eastAsia="fr-FR" w:bidi="he-IL"/>
        </w:rPr>
        <w:t>un ciel plus pur. D</w:t>
      </w:r>
      <w:r w:rsidR="00557DE0">
        <w:rPr>
          <w:rFonts w:eastAsia="Arial Unicode MS"/>
          <w:bCs/>
          <w:lang w:eastAsia="fr-FR" w:bidi="he-IL"/>
        </w:rPr>
        <w:t>’</w:t>
      </w:r>
      <w:r w:rsidR="00B704AD" w:rsidRPr="00C8701B">
        <w:rPr>
          <w:rFonts w:eastAsia="Arial Unicode MS"/>
          <w:bCs/>
          <w:lang w:eastAsia="fr-FR" w:bidi="he-IL"/>
        </w:rPr>
        <w:t>où peut venir un si étrange phénomène</w:t>
      </w:r>
      <w:r w:rsidR="00E65435">
        <w:rPr>
          <w:rFonts w:eastAsia="Arial Unicode MS"/>
          <w:bCs/>
          <w:lang w:eastAsia="fr-FR" w:bidi="he-IL"/>
        </w:rPr>
        <w:t xml:space="preserve">, </w:t>
      </w:r>
      <w:r w:rsidR="00B704AD" w:rsidRPr="00C8701B">
        <w:rPr>
          <w:rFonts w:eastAsia="Arial Unicode MS"/>
          <w:bCs/>
          <w:lang w:eastAsia="fr-FR" w:bidi="he-IL"/>
        </w:rPr>
        <w:t>sinon de la personnalité que ces pages mettent en lumière</w:t>
      </w:r>
      <w:r w:rsidR="00C2602D" w:rsidRPr="00C8701B">
        <w:rPr>
          <w:rFonts w:eastAsia="Arial Unicode MS"/>
          <w:bCs/>
          <w:lang w:eastAsia="fr-FR" w:bidi="he-IL"/>
        </w:rPr>
        <w:t> ?</w:t>
      </w:r>
      <w:r w:rsidR="00B704AD" w:rsidRPr="00C8701B">
        <w:rPr>
          <w:rFonts w:eastAsia="Arial Unicode MS"/>
          <w:bCs/>
          <w:lang w:eastAsia="fr-FR" w:bidi="he-IL"/>
        </w:rPr>
        <w:t xml:space="preserve"> S</w:t>
      </w:r>
      <w:r w:rsidR="00557DE0">
        <w:rPr>
          <w:rFonts w:eastAsia="Arial Unicode MS"/>
          <w:bCs/>
          <w:lang w:eastAsia="fr-FR" w:bidi="he-IL"/>
        </w:rPr>
        <w:t>’</w:t>
      </w:r>
      <w:r w:rsidR="00B704AD" w:rsidRPr="00C8701B">
        <w:rPr>
          <w:rFonts w:eastAsia="Arial Unicode MS"/>
          <w:bCs/>
          <w:lang w:eastAsia="fr-FR" w:bidi="he-IL"/>
        </w:rPr>
        <w:t>il n</w:t>
      </w:r>
      <w:r w:rsidR="00557DE0">
        <w:rPr>
          <w:rFonts w:eastAsia="Arial Unicode MS"/>
          <w:bCs/>
          <w:lang w:eastAsia="fr-FR" w:bidi="he-IL"/>
        </w:rPr>
        <w:t>’</w:t>
      </w:r>
      <w:r w:rsidR="00B704AD" w:rsidRPr="00C8701B">
        <w:rPr>
          <w:rFonts w:eastAsia="Arial Unicode MS"/>
          <w:bCs/>
          <w:lang w:eastAsia="fr-FR" w:bidi="he-IL"/>
        </w:rPr>
        <w:t>y avait qu</w:t>
      </w:r>
      <w:r w:rsidR="00557DE0">
        <w:rPr>
          <w:rFonts w:eastAsia="Arial Unicode MS"/>
          <w:bCs/>
          <w:lang w:eastAsia="fr-FR" w:bidi="he-IL"/>
        </w:rPr>
        <w:t>’</w:t>
      </w:r>
      <w:r w:rsidR="00B704AD" w:rsidRPr="00C8701B">
        <w:rPr>
          <w:rFonts w:eastAsia="Arial Unicode MS"/>
          <w:bCs/>
          <w:lang w:eastAsia="fr-FR" w:bidi="he-IL"/>
        </w:rPr>
        <w:t>une légende dans un si beau livre</w:t>
      </w:r>
      <w:r w:rsidR="00E65435">
        <w:rPr>
          <w:rFonts w:eastAsia="Arial Unicode MS"/>
          <w:bCs/>
          <w:lang w:eastAsia="fr-FR" w:bidi="he-IL"/>
        </w:rPr>
        <w:t xml:space="preserve">, </w:t>
      </w:r>
      <w:r w:rsidR="00B704AD" w:rsidRPr="00C8701B">
        <w:rPr>
          <w:rFonts w:eastAsia="Arial Unicode MS"/>
          <w:bCs/>
          <w:lang w:eastAsia="fr-FR" w:bidi="he-IL"/>
        </w:rPr>
        <w:t>l</w:t>
      </w:r>
      <w:r w:rsidR="00557DE0">
        <w:rPr>
          <w:rFonts w:eastAsia="Arial Unicode MS"/>
          <w:bCs/>
          <w:lang w:eastAsia="fr-FR" w:bidi="he-IL"/>
        </w:rPr>
        <w:t>’</w:t>
      </w:r>
      <w:r w:rsidR="00B704AD" w:rsidRPr="00C8701B">
        <w:rPr>
          <w:rFonts w:eastAsia="Arial Unicode MS"/>
          <w:bCs/>
          <w:lang w:eastAsia="fr-FR" w:bidi="he-IL"/>
        </w:rPr>
        <w:t>humanité l</w:t>
      </w:r>
      <w:r w:rsidR="00557DE0">
        <w:rPr>
          <w:rFonts w:eastAsia="Arial Unicode MS"/>
          <w:bCs/>
          <w:lang w:eastAsia="fr-FR" w:bidi="he-IL"/>
        </w:rPr>
        <w:t>’</w:t>
      </w:r>
      <w:r w:rsidR="00B704AD" w:rsidRPr="00C8701B">
        <w:rPr>
          <w:rFonts w:eastAsia="Arial Unicode MS"/>
          <w:bCs/>
          <w:lang w:eastAsia="fr-FR" w:bidi="he-IL"/>
        </w:rPr>
        <w:t>aurait-elle arrosé de tant de larmes</w:t>
      </w:r>
      <w:r>
        <w:rPr>
          <w:rFonts w:eastAsia="Arial Unicode MS"/>
          <w:bCs/>
          <w:lang w:eastAsia="fr-FR" w:bidi="he-IL"/>
        </w:rPr>
        <w:t>,</w:t>
      </w:r>
      <w:r w:rsidR="00B704AD" w:rsidRPr="00C8701B">
        <w:rPr>
          <w:rFonts w:eastAsia="Arial Unicode MS"/>
          <w:bCs/>
          <w:lang w:eastAsia="fr-FR" w:bidi="he-IL"/>
        </w:rPr>
        <w:t xml:space="preserve"> couvert de tant de baisers pieux</w:t>
      </w:r>
      <w:r w:rsidR="00E65435">
        <w:rPr>
          <w:rFonts w:eastAsia="Arial Unicode MS"/>
          <w:bCs/>
          <w:lang w:eastAsia="fr-FR" w:bidi="he-IL"/>
        </w:rPr>
        <w:t xml:space="preserve">, </w:t>
      </w:r>
      <w:r w:rsidR="00B704AD" w:rsidRPr="00C8701B">
        <w:rPr>
          <w:rFonts w:eastAsia="Arial Unicode MS"/>
          <w:bCs/>
          <w:lang w:eastAsia="fr-FR" w:bidi="he-IL"/>
        </w:rPr>
        <w:t>honoré de tant de vertueux transports</w:t>
      </w:r>
      <w:r w:rsidR="00C2602D" w:rsidRPr="00C8701B">
        <w:rPr>
          <w:rFonts w:eastAsia="Arial Unicode MS"/>
          <w:bCs/>
          <w:lang w:eastAsia="fr-FR" w:bidi="he-IL"/>
        </w:rPr>
        <w:t> ?</w:t>
      </w:r>
      <w:r w:rsidR="00B704AD" w:rsidRPr="00C8701B">
        <w:rPr>
          <w:rFonts w:eastAsia="Arial Unicode MS"/>
          <w:bCs/>
          <w:lang w:eastAsia="fr-FR" w:bidi="he-IL"/>
        </w:rPr>
        <w:t xml:space="preserve"> Non</w:t>
      </w:r>
      <w:r w:rsidR="00E65435">
        <w:rPr>
          <w:rFonts w:eastAsia="Arial Unicode MS"/>
          <w:bCs/>
          <w:lang w:eastAsia="fr-FR" w:bidi="he-IL"/>
        </w:rPr>
        <w:t xml:space="preserve">, </w:t>
      </w:r>
      <w:r w:rsidR="00B704AD" w:rsidRPr="00C8701B">
        <w:rPr>
          <w:rFonts w:eastAsia="Arial Unicode MS"/>
          <w:bCs/>
          <w:lang w:eastAsia="fr-FR" w:bidi="he-IL"/>
        </w:rPr>
        <w:t>assurément. Une œuvre de l</w:t>
      </w:r>
      <w:r w:rsidR="00557DE0">
        <w:rPr>
          <w:rFonts w:eastAsia="Arial Unicode MS"/>
          <w:bCs/>
          <w:lang w:eastAsia="fr-FR" w:bidi="he-IL"/>
        </w:rPr>
        <w:t>’</w:t>
      </w:r>
      <w:r w:rsidR="00B704AD" w:rsidRPr="00C8701B">
        <w:rPr>
          <w:rFonts w:eastAsia="Arial Unicode MS"/>
          <w:bCs/>
          <w:lang w:eastAsia="fr-FR" w:bidi="he-IL"/>
        </w:rPr>
        <w:t>esprit ou de l</w:t>
      </w:r>
      <w:r w:rsidR="00557DE0">
        <w:rPr>
          <w:rFonts w:eastAsia="Arial Unicode MS"/>
          <w:bCs/>
          <w:lang w:eastAsia="fr-FR" w:bidi="he-IL"/>
        </w:rPr>
        <w:t>’</w:t>
      </w:r>
      <w:r w:rsidR="00B704AD" w:rsidRPr="00C8701B">
        <w:rPr>
          <w:rFonts w:eastAsia="Arial Unicode MS"/>
          <w:bCs/>
          <w:lang w:eastAsia="fr-FR" w:bidi="he-IL"/>
        </w:rPr>
        <w:t>imagination n</w:t>
      </w:r>
      <w:r w:rsidR="00557DE0">
        <w:rPr>
          <w:rFonts w:eastAsia="Arial Unicode MS"/>
          <w:bCs/>
          <w:lang w:eastAsia="fr-FR" w:bidi="he-IL"/>
        </w:rPr>
        <w:t>’</w:t>
      </w:r>
      <w:r>
        <w:rPr>
          <w:rFonts w:eastAsia="Arial Unicode MS"/>
          <w:bCs/>
          <w:lang w:eastAsia="fr-FR" w:bidi="he-IL"/>
        </w:rPr>
        <w:t>irait pas droit au cœur de</w:t>
      </w:r>
      <w:r w:rsidR="00B704AD" w:rsidRPr="00C8701B">
        <w:rPr>
          <w:rFonts w:eastAsia="Arial Unicode MS"/>
          <w:bCs/>
          <w:lang w:eastAsia="fr-FR" w:bidi="he-IL"/>
        </w:rPr>
        <w:t xml:space="preserve"> tous les hommes</w:t>
      </w:r>
      <w:r w:rsidR="00E65435">
        <w:rPr>
          <w:rFonts w:eastAsia="Arial Unicode MS"/>
          <w:bCs/>
          <w:lang w:eastAsia="fr-FR" w:bidi="he-IL"/>
        </w:rPr>
        <w:t xml:space="preserve">, </w:t>
      </w:r>
      <w:r w:rsidR="00B704AD" w:rsidRPr="00C8701B">
        <w:rPr>
          <w:rFonts w:eastAsia="Arial Unicode MS"/>
          <w:bCs/>
          <w:lang w:eastAsia="fr-FR" w:bidi="he-IL"/>
        </w:rPr>
        <w:t>avec une telle sûret</w:t>
      </w:r>
      <w:r>
        <w:rPr>
          <w:rFonts w:eastAsia="Arial Unicode MS"/>
          <w:bCs/>
          <w:lang w:eastAsia="fr-FR" w:bidi="he-IL"/>
        </w:rPr>
        <w:t>é et une si longue persistance »</w:t>
      </w:r>
      <w:r>
        <w:rPr>
          <w:rStyle w:val="Appelnotedebasdep"/>
          <w:rFonts w:eastAsia="Arial Unicode MS"/>
          <w:bCs/>
          <w:lang w:eastAsia="fr-FR" w:bidi="he-IL"/>
        </w:rPr>
        <w:footnoteReference w:id="521"/>
      </w:r>
      <w:r>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9769A0" w:rsidP="009769A0">
      <w:pPr>
        <w:rPr>
          <w:rFonts w:eastAsia="Arial Unicode MS"/>
          <w:bCs/>
          <w:lang w:eastAsia="fr-FR" w:bidi="he-IL"/>
        </w:rPr>
      </w:pPr>
      <w:r>
        <w:rPr>
          <w:rFonts w:eastAsia="Arial Unicode MS"/>
          <w:bCs/>
          <w:lang w:eastAsia="fr-FR" w:bidi="he-IL"/>
        </w:rPr>
        <w:t>« I</w:t>
      </w:r>
      <w:r w:rsidR="00C21120">
        <w:rPr>
          <w:rFonts w:eastAsia="Arial Unicode MS"/>
          <w:bCs/>
          <w:lang w:eastAsia="fr-FR" w:bidi="he-IL"/>
        </w:rPr>
        <w:t xml:space="preserve">l </w:t>
      </w:r>
      <w:r w:rsidR="00C21120" w:rsidRPr="00C8701B">
        <w:rPr>
          <w:rFonts w:eastAsia="Arial Unicode MS"/>
          <w:bCs/>
          <w:lang w:eastAsia="fr-FR" w:bidi="he-IL"/>
        </w:rPr>
        <w:t>f</w:t>
      </w:r>
      <w:r w:rsidR="00B704AD" w:rsidRPr="00C8701B">
        <w:rPr>
          <w:rFonts w:eastAsia="Arial Unicode MS"/>
          <w:bCs/>
          <w:lang w:eastAsia="fr-FR" w:bidi="he-IL"/>
        </w:rPr>
        <w:t>aut étudier comme à genoux</w:t>
      </w:r>
      <w:r w:rsidR="00E65435">
        <w:rPr>
          <w:rFonts w:eastAsia="Arial Unicode MS"/>
          <w:bCs/>
          <w:lang w:eastAsia="fr-FR" w:bidi="he-IL"/>
        </w:rPr>
        <w:t xml:space="preserve">, </w:t>
      </w:r>
      <w:r w:rsidR="00B704AD" w:rsidRPr="00C8701B">
        <w:rPr>
          <w:rFonts w:eastAsia="Arial Unicode MS"/>
          <w:bCs/>
          <w:lang w:eastAsia="fr-FR" w:bidi="he-IL"/>
        </w:rPr>
        <w:t>et le cœur plein de prière</w:t>
      </w:r>
      <w:r w:rsidR="00E65435">
        <w:rPr>
          <w:rFonts w:eastAsia="Arial Unicode MS"/>
          <w:bCs/>
          <w:lang w:eastAsia="fr-FR" w:bidi="he-IL"/>
        </w:rPr>
        <w:t xml:space="preserve">, </w:t>
      </w:r>
      <w:r w:rsidR="00B704AD" w:rsidRPr="00C8701B">
        <w:rPr>
          <w:rFonts w:eastAsia="Arial Unicode MS"/>
          <w:bCs/>
          <w:lang w:eastAsia="fr-FR" w:bidi="he-IL"/>
        </w:rPr>
        <w:t>les annales qui racontent cette vie</w:t>
      </w:r>
      <w:r w:rsidR="00C2602D" w:rsidRPr="00C8701B">
        <w:rPr>
          <w:rFonts w:eastAsia="Arial Unicode MS"/>
          <w:bCs/>
          <w:lang w:eastAsia="fr-FR" w:bidi="he-IL"/>
        </w:rPr>
        <w:t> »</w:t>
      </w:r>
      <w:r w:rsidR="00933C60" w:rsidRPr="00C406FF">
        <w:rPr>
          <w:rStyle w:val="Appelnotedebasdep"/>
        </w:rPr>
        <w:footnoteReference w:id="522"/>
      </w:r>
      <w:r w:rsidR="00B704AD"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C2602D" w:rsidP="00AA5FB0">
      <w:pPr>
        <w:rPr>
          <w:rFonts w:eastAsia="Arial Unicode MS"/>
          <w:bCs/>
          <w:lang w:eastAsia="fr-FR" w:bidi="he-IL"/>
        </w:rPr>
      </w:pPr>
      <w:r w:rsidRPr="00C8701B">
        <w:rPr>
          <w:rFonts w:eastAsia="Arial Unicode MS"/>
          <w:bCs/>
          <w:lang w:eastAsia="fr-FR" w:bidi="he-IL"/>
        </w:rPr>
        <w:t>« </w:t>
      </w:r>
      <w:r w:rsidR="009769A0">
        <w:rPr>
          <w:rFonts w:eastAsia="Arial Unicode MS"/>
          <w:bCs/>
          <w:lang w:eastAsia="fr-FR" w:bidi="he-IL"/>
        </w:rPr>
        <w:t>C</w:t>
      </w:r>
      <w:r w:rsidR="00C6425D">
        <w:rPr>
          <w:rFonts w:eastAsia="Arial Unicode MS"/>
          <w:bCs/>
          <w:lang w:eastAsia="fr-FR" w:bidi="he-IL"/>
        </w:rPr>
        <w:t>ette</w:t>
      </w:r>
      <w:r w:rsidR="00B704AD" w:rsidRPr="00C8701B">
        <w:rPr>
          <w:rFonts w:eastAsia="Arial Unicode MS"/>
          <w:bCs/>
          <w:lang w:eastAsia="fr-FR" w:bidi="he-IL"/>
        </w:rPr>
        <w:t xml:space="preserve"> absence complète de réflexions et d</w:t>
      </w:r>
      <w:r w:rsidR="00557DE0">
        <w:rPr>
          <w:rFonts w:eastAsia="Arial Unicode MS"/>
          <w:bCs/>
          <w:lang w:eastAsia="fr-FR" w:bidi="he-IL"/>
        </w:rPr>
        <w:t>’</w:t>
      </w:r>
      <w:r w:rsidR="00B704AD" w:rsidRPr="00C8701B">
        <w:rPr>
          <w:rFonts w:eastAsia="Arial Unicode MS"/>
          <w:bCs/>
          <w:lang w:eastAsia="fr-FR" w:bidi="he-IL"/>
        </w:rPr>
        <w:t>ornements relève les faits</w:t>
      </w:r>
      <w:r w:rsidR="00E65435">
        <w:rPr>
          <w:rFonts w:eastAsia="Arial Unicode MS"/>
          <w:bCs/>
          <w:lang w:eastAsia="fr-FR" w:bidi="he-IL"/>
        </w:rPr>
        <w:t xml:space="preserve">, </w:t>
      </w:r>
      <w:r w:rsidR="00B704AD" w:rsidRPr="00C8701B">
        <w:rPr>
          <w:rFonts w:eastAsia="Arial Unicode MS"/>
          <w:bCs/>
          <w:lang w:eastAsia="fr-FR" w:bidi="he-IL"/>
        </w:rPr>
        <w:t xml:space="preserve">et leur donne un aspect </w:t>
      </w:r>
      <w:r w:rsidR="009769A0">
        <w:rPr>
          <w:rFonts w:eastAsia="Arial Unicode MS"/>
          <w:bCs/>
          <w:lang w:eastAsia="fr-FR" w:bidi="he-IL"/>
        </w:rPr>
        <w:t>f</w:t>
      </w:r>
      <w:r w:rsidR="00B704AD" w:rsidRPr="00C8701B">
        <w:rPr>
          <w:rFonts w:eastAsia="Arial Unicode MS"/>
          <w:bCs/>
          <w:lang w:eastAsia="fr-FR" w:bidi="he-IL"/>
        </w:rPr>
        <w:t>rappant de rigoureuse fidélité</w:t>
      </w:r>
      <w:r w:rsidRPr="00C8701B">
        <w:rPr>
          <w:rFonts w:eastAsia="Arial Unicode MS"/>
          <w:bCs/>
          <w:lang w:eastAsia="fr-FR" w:bidi="he-IL"/>
        </w:rPr>
        <w:t> :</w:t>
      </w:r>
      <w:r w:rsidR="00B704AD" w:rsidRPr="00C8701B">
        <w:rPr>
          <w:rFonts w:eastAsia="Arial Unicode MS"/>
          <w:bCs/>
          <w:lang w:eastAsia="fr-FR" w:bidi="he-IL"/>
        </w:rPr>
        <w:t xml:space="preserve"> c</w:t>
      </w:r>
      <w:r w:rsidR="00557DE0">
        <w:rPr>
          <w:rFonts w:eastAsia="Arial Unicode MS"/>
          <w:bCs/>
          <w:lang w:eastAsia="fr-FR" w:bidi="he-IL"/>
        </w:rPr>
        <w:t>’</w:t>
      </w:r>
      <w:r w:rsidR="00B704AD" w:rsidRPr="00C8701B">
        <w:rPr>
          <w:rFonts w:eastAsia="Arial Unicode MS"/>
          <w:bCs/>
          <w:lang w:eastAsia="fr-FR" w:bidi="he-IL"/>
        </w:rPr>
        <w:t>est plus qu</w:t>
      </w:r>
      <w:r w:rsidR="00557DE0">
        <w:rPr>
          <w:rFonts w:eastAsia="Arial Unicode MS"/>
          <w:bCs/>
          <w:lang w:eastAsia="fr-FR" w:bidi="he-IL"/>
        </w:rPr>
        <w:t>’</w:t>
      </w:r>
      <w:r w:rsidR="00B704AD" w:rsidRPr="00C8701B">
        <w:rPr>
          <w:rFonts w:eastAsia="Arial Unicode MS"/>
          <w:bCs/>
          <w:lang w:eastAsia="fr-FR" w:bidi="he-IL"/>
        </w:rPr>
        <w:t>une reproduction</w:t>
      </w:r>
      <w:r w:rsidR="00E65435">
        <w:rPr>
          <w:rFonts w:eastAsia="Arial Unicode MS"/>
          <w:bCs/>
          <w:lang w:eastAsia="fr-FR" w:bidi="he-IL"/>
        </w:rPr>
        <w:t xml:space="preserve">, </w:t>
      </w:r>
      <w:r w:rsidR="00B704AD" w:rsidRPr="00C8701B">
        <w:rPr>
          <w:rFonts w:eastAsia="Arial Unicode MS"/>
          <w:bCs/>
          <w:lang w:eastAsia="fr-FR" w:bidi="he-IL"/>
        </w:rPr>
        <w:t>c</w:t>
      </w:r>
      <w:r w:rsidR="00557DE0">
        <w:rPr>
          <w:rFonts w:eastAsia="Arial Unicode MS"/>
          <w:bCs/>
          <w:lang w:eastAsia="fr-FR" w:bidi="he-IL"/>
        </w:rPr>
        <w:t>’</w:t>
      </w:r>
      <w:r w:rsidR="00B704AD" w:rsidRPr="00C8701B">
        <w:rPr>
          <w:rFonts w:eastAsia="Arial Unicode MS"/>
          <w:bCs/>
          <w:lang w:eastAsia="fr-FR" w:bidi="he-IL"/>
        </w:rPr>
        <w:t>est quelque chose de la réalité</w:t>
      </w:r>
      <w:r w:rsidR="00E65435">
        <w:rPr>
          <w:rFonts w:eastAsia="Arial Unicode MS"/>
          <w:bCs/>
          <w:lang w:eastAsia="fr-FR" w:bidi="he-IL"/>
        </w:rPr>
        <w:t xml:space="preserve">, </w:t>
      </w:r>
      <w:r w:rsidR="00B704AD" w:rsidRPr="00C8701B">
        <w:rPr>
          <w:rFonts w:eastAsia="Arial Unicode MS"/>
          <w:bCs/>
          <w:lang w:eastAsia="fr-FR" w:bidi="he-IL"/>
        </w:rPr>
        <w:t xml:space="preserve">comme si les faits </w:t>
      </w:r>
      <w:r w:rsidR="00A25B88">
        <w:rPr>
          <w:rFonts w:eastAsia="Arial Unicode MS"/>
          <w:bCs/>
          <w:lang w:eastAsia="fr-FR" w:bidi="he-IL"/>
        </w:rPr>
        <w:t>eux-mêmes</w:t>
      </w:r>
      <w:r w:rsidR="00B704AD" w:rsidRPr="00C8701B">
        <w:rPr>
          <w:rFonts w:eastAsia="Arial Unicode MS"/>
          <w:bCs/>
          <w:lang w:eastAsia="fr-FR" w:bidi="he-IL"/>
        </w:rPr>
        <w:t xml:space="preserve"> étaient venus s</w:t>
      </w:r>
      <w:r w:rsidR="00557DE0">
        <w:rPr>
          <w:rFonts w:eastAsia="Arial Unicode MS"/>
          <w:bCs/>
          <w:lang w:eastAsia="fr-FR" w:bidi="he-IL"/>
        </w:rPr>
        <w:t>’</w:t>
      </w:r>
      <w:r w:rsidR="00B704AD" w:rsidRPr="00C8701B">
        <w:rPr>
          <w:rFonts w:eastAsia="Arial Unicode MS"/>
          <w:bCs/>
          <w:lang w:eastAsia="fr-FR" w:bidi="he-IL"/>
        </w:rPr>
        <w:t>imprimer sur ce fond de candeur inaltérable. Une pieuse tradition rapporte que lorsque Jésus-Christ allait au supplice</w:t>
      </w:r>
      <w:r w:rsidR="00E65435">
        <w:rPr>
          <w:rFonts w:eastAsia="Arial Unicode MS"/>
          <w:bCs/>
          <w:lang w:eastAsia="fr-FR" w:bidi="he-IL"/>
        </w:rPr>
        <w:t xml:space="preserve">, </w:t>
      </w:r>
      <w:r w:rsidR="00B704AD" w:rsidRPr="00C8701B">
        <w:rPr>
          <w:rFonts w:eastAsia="Arial Unicode MS"/>
          <w:bCs/>
          <w:lang w:eastAsia="fr-FR" w:bidi="he-IL"/>
        </w:rPr>
        <w:t>tombant sous le poids de sa croix</w:t>
      </w:r>
      <w:r w:rsidR="00E65435">
        <w:rPr>
          <w:rFonts w:eastAsia="Arial Unicode MS"/>
          <w:bCs/>
          <w:lang w:eastAsia="fr-FR" w:bidi="he-IL"/>
        </w:rPr>
        <w:t xml:space="preserve">, </w:t>
      </w:r>
      <w:r w:rsidR="009769A0">
        <w:rPr>
          <w:rFonts w:eastAsia="Arial Unicode MS"/>
          <w:bCs/>
          <w:lang w:eastAsia="fr-FR" w:bidi="he-IL"/>
        </w:rPr>
        <w:t>u</w:t>
      </w:r>
      <w:r w:rsidR="00B704AD" w:rsidRPr="00C8701B">
        <w:rPr>
          <w:rFonts w:eastAsia="Arial Unicode MS"/>
          <w:bCs/>
          <w:lang w:eastAsia="fr-FR" w:bidi="he-IL"/>
        </w:rPr>
        <w:t>ne sainte femme perça la foule acharnée de ses bourreaux</w:t>
      </w:r>
      <w:r w:rsidR="00E65435">
        <w:rPr>
          <w:rFonts w:eastAsia="Arial Unicode MS"/>
          <w:bCs/>
          <w:lang w:eastAsia="fr-FR" w:bidi="he-IL"/>
        </w:rPr>
        <w:t xml:space="preserve">, </w:t>
      </w:r>
      <w:r w:rsidR="00B704AD" w:rsidRPr="00C8701B">
        <w:rPr>
          <w:rFonts w:eastAsia="Arial Unicode MS"/>
          <w:bCs/>
          <w:lang w:eastAsia="fr-FR" w:bidi="he-IL"/>
        </w:rPr>
        <w:t>et</w:t>
      </w:r>
      <w:r w:rsidR="00E65435">
        <w:rPr>
          <w:rFonts w:eastAsia="Arial Unicode MS"/>
          <w:bCs/>
          <w:lang w:eastAsia="fr-FR" w:bidi="he-IL"/>
        </w:rPr>
        <w:t xml:space="preserve">, </w:t>
      </w:r>
      <w:r w:rsidR="00B704AD" w:rsidRPr="00C8701B">
        <w:rPr>
          <w:rFonts w:eastAsia="Arial Unicode MS"/>
          <w:bCs/>
          <w:lang w:eastAsia="fr-FR" w:bidi="he-IL"/>
        </w:rPr>
        <w:t>s</w:t>
      </w:r>
      <w:r w:rsidR="00557DE0">
        <w:rPr>
          <w:rFonts w:eastAsia="Arial Unicode MS"/>
          <w:bCs/>
          <w:lang w:eastAsia="fr-FR" w:bidi="he-IL"/>
        </w:rPr>
        <w:t>’</w:t>
      </w:r>
      <w:r w:rsidR="00B704AD" w:rsidRPr="00C8701B">
        <w:rPr>
          <w:rFonts w:eastAsia="Arial Unicode MS"/>
          <w:bCs/>
          <w:lang w:eastAsia="fr-FR" w:bidi="he-IL"/>
        </w:rPr>
        <w:t>approchant de sa personne</w:t>
      </w:r>
      <w:r w:rsidR="00E65435">
        <w:rPr>
          <w:rFonts w:eastAsia="Arial Unicode MS"/>
          <w:bCs/>
          <w:lang w:eastAsia="fr-FR" w:bidi="he-IL"/>
        </w:rPr>
        <w:t xml:space="preserve">, </w:t>
      </w:r>
      <w:r w:rsidR="00B704AD" w:rsidRPr="00C8701B">
        <w:rPr>
          <w:rFonts w:eastAsia="Arial Unicode MS"/>
          <w:bCs/>
          <w:lang w:eastAsia="fr-FR" w:bidi="he-IL"/>
        </w:rPr>
        <w:t xml:space="preserve">appliqua sur sa face adorable un linge blanc pour en essuyer la sueur et le sang dont elle était </w:t>
      </w:r>
      <w:r w:rsidR="00EA28F4" w:rsidRPr="00C8701B">
        <w:rPr>
          <w:rFonts w:eastAsia="Arial Unicode MS"/>
          <w:bCs/>
          <w:lang w:eastAsia="fr-FR" w:bidi="he-IL"/>
        </w:rPr>
        <w:t>dégoutante</w:t>
      </w:r>
      <w:r w:rsidR="00E65435">
        <w:rPr>
          <w:rFonts w:eastAsia="Arial Unicode MS"/>
          <w:bCs/>
          <w:lang w:eastAsia="fr-FR" w:bidi="he-IL"/>
        </w:rPr>
        <w:t xml:space="preserve">, </w:t>
      </w:r>
      <w:r w:rsidR="00B704AD" w:rsidRPr="00C8701B">
        <w:rPr>
          <w:rFonts w:eastAsia="Arial Unicode MS"/>
          <w:bCs/>
          <w:lang w:eastAsia="fr-FR" w:bidi="he-IL"/>
        </w:rPr>
        <w:t>et</w:t>
      </w:r>
      <w:r w:rsidR="00E65435">
        <w:rPr>
          <w:rFonts w:eastAsia="Arial Unicode MS"/>
          <w:bCs/>
          <w:lang w:eastAsia="fr-FR" w:bidi="he-IL"/>
        </w:rPr>
        <w:t xml:space="preserve">, </w:t>
      </w:r>
      <w:r w:rsidR="00B704AD" w:rsidRPr="00C8701B">
        <w:rPr>
          <w:rFonts w:eastAsia="Arial Unicode MS"/>
          <w:bCs/>
          <w:lang w:eastAsia="fr-FR" w:bidi="he-IL"/>
        </w:rPr>
        <w:t>qu</w:t>
      </w:r>
      <w:r w:rsidR="00557DE0">
        <w:rPr>
          <w:rFonts w:eastAsia="Arial Unicode MS"/>
          <w:bCs/>
          <w:lang w:eastAsia="fr-FR" w:bidi="he-IL"/>
        </w:rPr>
        <w:t>’</w:t>
      </w:r>
      <w:r w:rsidR="00B704AD" w:rsidRPr="00C8701B">
        <w:rPr>
          <w:rFonts w:eastAsia="Arial Unicode MS"/>
          <w:bCs/>
          <w:lang w:eastAsia="fr-FR" w:bidi="he-IL"/>
        </w:rPr>
        <w:t>en récompense de cette courageuse compassion</w:t>
      </w:r>
      <w:r w:rsidR="00E65435">
        <w:rPr>
          <w:rFonts w:eastAsia="Arial Unicode MS"/>
          <w:bCs/>
          <w:lang w:eastAsia="fr-FR" w:bidi="he-IL"/>
        </w:rPr>
        <w:t xml:space="preserve">, </w:t>
      </w:r>
      <w:r w:rsidR="00AA5FB0">
        <w:rPr>
          <w:rFonts w:eastAsia="Arial Unicode MS"/>
          <w:bCs/>
          <w:lang w:eastAsia="fr-FR" w:bidi="he-IL"/>
        </w:rPr>
        <w:t>il se fit un</w:t>
      </w:r>
      <w:r w:rsidR="00B704AD" w:rsidRPr="00C8701B">
        <w:rPr>
          <w:rFonts w:eastAsia="Arial Unicode MS"/>
          <w:bCs/>
          <w:lang w:eastAsia="fr-FR" w:bidi="he-IL"/>
        </w:rPr>
        <w:t xml:space="preserve"> miracle</w:t>
      </w:r>
      <w:r w:rsidRPr="00C8701B">
        <w:rPr>
          <w:rFonts w:eastAsia="Arial Unicode MS"/>
          <w:bCs/>
          <w:lang w:eastAsia="fr-FR" w:bidi="he-IL"/>
        </w:rPr>
        <w:t> :</w:t>
      </w:r>
      <w:r w:rsidR="00B704AD" w:rsidRPr="00C8701B">
        <w:rPr>
          <w:rFonts w:eastAsia="Arial Unicode MS"/>
          <w:bCs/>
          <w:lang w:eastAsia="fr-FR" w:bidi="he-IL"/>
        </w:rPr>
        <w:t xml:space="preserve"> les traits de l</w:t>
      </w:r>
      <w:r w:rsidR="00557DE0">
        <w:rPr>
          <w:rFonts w:eastAsia="Arial Unicode MS"/>
          <w:bCs/>
          <w:lang w:eastAsia="fr-FR" w:bidi="he-IL"/>
        </w:rPr>
        <w:t>’</w:t>
      </w:r>
      <w:r w:rsidR="00B704AD" w:rsidRPr="00C8701B">
        <w:rPr>
          <w:rFonts w:eastAsia="Arial Unicode MS"/>
          <w:bCs/>
          <w:lang w:eastAsia="fr-FR" w:bidi="he-IL"/>
        </w:rPr>
        <w:t>auguste Victime restèrent empreints sur le voile consolateur. Ainsi</w:t>
      </w:r>
      <w:r w:rsidR="00E65435">
        <w:rPr>
          <w:rFonts w:eastAsia="Arial Unicode MS"/>
          <w:bCs/>
          <w:lang w:eastAsia="fr-FR" w:bidi="he-IL"/>
        </w:rPr>
        <w:t xml:space="preserve">, </w:t>
      </w:r>
      <w:r w:rsidR="00B704AD" w:rsidRPr="00C8701B">
        <w:rPr>
          <w:rFonts w:eastAsia="Arial Unicode MS"/>
          <w:bCs/>
          <w:lang w:eastAsia="fr-FR" w:bidi="he-IL"/>
        </w:rPr>
        <w:t>peut-on dire</w:t>
      </w:r>
      <w:r w:rsidR="00E65435">
        <w:rPr>
          <w:rFonts w:eastAsia="Arial Unicode MS"/>
          <w:bCs/>
          <w:lang w:eastAsia="fr-FR" w:bidi="he-IL"/>
        </w:rPr>
        <w:t xml:space="preserve">, </w:t>
      </w:r>
      <w:r w:rsidR="00B704AD" w:rsidRPr="00C8701B">
        <w:rPr>
          <w:rFonts w:eastAsia="Arial Unicode MS"/>
          <w:bCs/>
          <w:lang w:eastAsia="fr-FR" w:bidi="he-IL"/>
        </w:rPr>
        <w:t>l</w:t>
      </w:r>
      <w:r w:rsidR="00557DE0">
        <w:rPr>
          <w:rFonts w:eastAsia="Arial Unicode MS"/>
          <w:bCs/>
          <w:lang w:eastAsia="fr-FR" w:bidi="he-IL"/>
        </w:rPr>
        <w:t>’</w:t>
      </w:r>
      <w:r w:rsidR="000439E9">
        <w:rPr>
          <w:rFonts w:eastAsia="Arial Unicode MS"/>
          <w:bCs/>
          <w:lang w:eastAsia="fr-FR" w:bidi="he-IL"/>
        </w:rPr>
        <w:t>Évangile</w:t>
      </w:r>
      <w:r w:rsidR="00B704AD" w:rsidRPr="00C8701B">
        <w:rPr>
          <w:rFonts w:eastAsia="Arial Unicode MS"/>
          <w:bCs/>
          <w:lang w:eastAsia="fr-FR" w:bidi="he-IL"/>
        </w:rPr>
        <w:t xml:space="preserve"> nous reproduit les traits de la vie de Jésus-Christ</w:t>
      </w:r>
      <w:r w:rsidR="00E65435">
        <w:rPr>
          <w:rFonts w:eastAsia="Arial Unicode MS"/>
          <w:bCs/>
          <w:lang w:eastAsia="fr-FR" w:bidi="he-IL"/>
        </w:rPr>
        <w:t xml:space="preserve">, </w:t>
      </w:r>
      <w:r w:rsidR="00B704AD" w:rsidRPr="00C8701B">
        <w:rPr>
          <w:rFonts w:eastAsia="Arial Unicode MS"/>
          <w:bCs/>
          <w:lang w:eastAsia="fr-FR" w:bidi="he-IL"/>
        </w:rPr>
        <w:t>et</w:t>
      </w:r>
      <w:r w:rsidR="00E65435">
        <w:rPr>
          <w:rFonts w:eastAsia="Arial Unicode MS"/>
          <w:bCs/>
          <w:lang w:eastAsia="fr-FR" w:bidi="he-IL"/>
        </w:rPr>
        <w:t xml:space="preserve">, </w:t>
      </w:r>
      <w:r w:rsidR="00B704AD" w:rsidRPr="00C8701B">
        <w:rPr>
          <w:rFonts w:eastAsia="Arial Unicode MS"/>
          <w:bCs/>
          <w:lang w:eastAsia="fr-FR" w:bidi="he-IL"/>
        </w:rPr>
        <w:t>dans</w:t>
      </w:r>
      <w:r w:rsidR="007475F7">
        <w:rPr>
          <w:rFonts w:eastAsia="Arial Unicode MS"/>
          <w:bCs/>
          <w:lang w:eastAsia="fr-FR" w:bidi="he-IL"/>
        </w:rPr>
        <w:t xml:space="preserve"> sa touchante et </w:t>
      </w:r>
      <w:r w:rsidR="00B704AD" w:rsidRPr="00C8701B">
        <w:rPr>
          <w:rFonts w:eastAsia="Arial Unicode MS"/>
          <w:bCs/>
          <w:lang w:eastAsia="fr-FR" w:bidi="he-IL"/>
        </w:rPr>
        <w:t>véridique simplicité</w:t>
      </w:r>
      <w:r w:rsidR="00E65435">
        <w:rPr>
          <w:rFonts w:eastAsia="Arial Unicode MS"/>
          <w:bCs/>
          <w:lang w:eastAsia="fr-FR" w:bidi="he-IL"/>
        </w:rPr>
        <w:t xml:space="preserve">, </w:t>
      </w:r>
      <w:r w:rsidR="00B704AD" w:rsidRPr="00C8701B">
        <w:rPr>
          <w:rFonts w:eastAsia="Arial Unicode MS"/>
          <w:bCs/>
          <w:lang w:eastAsia="fr-FR" w:bidi="he-IL"/>
        </w:rPr>
        <w:t>il est pour nous comme le voile de Véronique.... Le caractère de l</w:t>
      </w:r>
      <w:r w:rsidR="00557DE0">
        <w:rPr>
          <w:rFonts w:eastAsia="Arial Unicode MS"/>
          <w:bCs/>
          <w:lang w:eastAsia="fr-FR" w:bidi="he-IL"/>
        </w:rPr>
        <w:t>’</w:t>
      </w:r>
      <w:r w:rsidR="00EA28F4">
        <w:rPr>
          <w:rFonts w:eastAsia="Arial Unicode MS"/>
          <w:bCs/>
          <w:lang w:eastAsia="fr-FR" w:bidi="he-IL"/>
        </w:rPr>
        <w:t>Évan</w:t>
      </w:r>
      <w:r w:rsidR="00EA28F4" w:rsidRPr="00C8701B">
        <w:rPr>
          <w:rFonts w:eastAsia="Arial Unicode MS"/>
          <w:bCs/>
          <w:lang w:eastAsia="fr-FR" w:bidi="he-IL"/>
        </w:rPr>
        <w:t>gile</w:t>
      </w:r>
      <w:r w:rsidR="00B704AD" w:rsidRPr="00C8701B">
        <w:rPr>
          <w:rFonts w:eastAsia="Arial Unicode MS"/>
          <w:bCs/>
          <w:lang w:eastAsia="fr-FR" w:bidi="he-IL"/>
        </w:rPr>
        <w:t xml:space="preserve"> jure pour lui</w:t>
      </w:r>
      <w:r w:rsidRPr="00C8701B">
        <w:rPr>
          <w:rFonts w:eastAsia="Arial Unicode MS"/>
          <w:bCs/>
          <w:lang w:eastAsia="fr-FR" w:bidi="he-IL"/>
        </w:rPr>
        <w:t> »</w:t>
      </w:r>
      <w:r w:rsidR="00933C60" w:rsidRPr="00C406FF">
        <w:rPr>
          <w:rStyle w:val="Appelnotedebasdep"/>
        </w:rPr>
        <w:footnoteReference w:id="523"/>
      </w:r>
      <w:r w:rsidR="00B704AD" w:rsidRPr="00C8701B">
        <w:rPr>
          <w:rFonts w:eastAsia="Arial Unicode MS"/>
          <w:bCs/>
          <w:lang w:eastAsia="fr-FR" w:bidi="he-IL"/>
        </w:rPr>
        <w:t>.</w:t>
      </w:r>
      <w:r w:rsidRPr="00C8701B">
        <w:rPr>
          <w:rFonts w:eastAsia="Arial Unicode MS"/>
          <w:bCs/>
          <w:lang w:eastAsia="fr-FR" w:bidi="he-IL"/>
        </w:rPr>
        <w:t xml:space="preserve"> </w:t>
      </w:r>
    </w:p>
    <w:p w:rsidR="00C2602D" w:rsidRPr="00C8701B" w:rsidRDefault="00C2602D" w:rsidP="00C2602D">
      <w:pPr>
        <w:rPr>
          <w:rFonts w:eastAsia="Arial Unicode MS"/>
          <w:bCs/>
          <w:lang w:eastAsia="fr-FR" w:bidi="he-IL"/>
        </w:rPr>
      </w:pPr>
      <w:r w:rsidRPr="00C8701B">
        <w:rPr>
          <w:rFonts w:eastAsia="Arial Unicode MS"/>
          <w:bCs/>
          <w:lang w:eastAsia="fr-FR" w:bidi="he-IL"/>
        </w:rPr>
        <w:t>« </w:t>
      </w:r>
      <w:r w:rsidR="00B704AD" w:rsidRPr="00C8701B">
        <w:rPr>
          <w:rFonts w:eastAsia="Arial Unicode MS"/>
          <w:bCs/>
          <w:lang w:eastAsia="fr-FR" w:bidi="he-IL"/>
        </w:rPr>
        <w:t>Nous venons aujourd</w:t>
      </w:r>
      <w:r w:rsidR="00557DE0">
        <w:rPr>
          <w:rFonts w:eastAsia="Arial Unicode MS"/>
          <w:bCs/>
          <w:lang w:eastAsia="fr-FR" w:bidi="he-IL"/>
        </w:rPr>
        <w:t>’</w:t>
      </w:r>
      <w:r w:rsidR="00B704AD" w:rsidRPr="00C8701B">
        <w:rPr>
          <w:rFonts w:eastAsia="Arial Unicode MS"/>
          <w:bCs/>
          <w:lang w:eastAsia="fr-FR" w:bidi="he-IL"/>
        </w:rPr>
        <w:t>hui</w:t>
      </w:r>
      <w:r w:rsidR="00E65435">
        <w:rPr>
          <w:rFonts w:eastAsia="Arial Unicode MS"/>
          <w:bCs/>
          <w:lang w:eastAsia="fr-FR" w:bidi="he-IL"/>
        </w:rPr>
        <w:t xml:space="preserve">, </w:t>
      </w:r>
      <w:r w:rsidR="00B704AD" w:rsidRPr="00C8701B">
        <w:rPr>
          <w:rFonts w:eastAsia="Arial Unicode MS"/>
          <w:bCs/>
          <w:lang w:eastAsia="fr-FR" w:bidi="he-IL"/>
        </w:rPr>
        <w:t>Messieurs</w:t>
      </w:r>
      <w:r w:rsidR="00E65435">
        <w:rPr>
          <w:rFonts w:eastAsia="Arial Unicode MS"/>
          <w:bCs/>
          <w:lang w:eastAsia="fr-FR" w:bidi="he-IL"/>
        </w:rPr>
        <w:t xml:space="preserve">, </w:t>
      </w:r>
      <w:r w:rsidR="00B704AD" w:rsidRPr="00C8701B">
        <w:rPr>
          <w:rFonts w:eastAsia="Arial Unicode MS"/>
          <w:bCs/>
          <w:lang w:eastAsia="fr-FR" w:bidi="he-IL"/>
        </w:rPr>
        <w:t>appeler votre attention sur tout ce qu</w:t>
      </w:r>
      <w:r w:rsidR="00557DE0">
        <w:rPr>
          <w:rFonts w:eastAsia="Arial Unicode MS"/>
          <w:bCs/>
          <w:lang w:eastAsia="fr-FR" w:bidi="he-IL"/>
        </w:rPr>
        <w:t>’</w:t>
      </w:r>
      <w:r w:rsidR="00B704AD" w:rsidRPr="00C8701B">
        <w:rPr>
          <w:rFonts w:eastAsia="Arial Unicode MS"/>
          <w:bCs/>
          <w:lang w:eastAsia="fr-FR" w:bidi="he-IL"/>
        </w:rPr>
        <w:t>il y a de plus vénérable</w:t>
      </w:r>
      <w:r w:rsidR="00E65435">
        <w:rPr>
          <w:rFonts w:eastAsia="Arial Unicode MS"/>
          <w:bCs/>
          <w:lang w:eastAsia="fr-FR" w:bidi="he-IL"/>
        </w:rPr>
        <w:t xml:space="preserve">, </w:t>
      </w:r>
      <w:r w:rsidR="00B704AD" w:rsidRPr="00C8701B">
        <w:rPr>
          <w:rFonts w:eastAsia="Arial Unicode MS"/>
          <w:bCs/>
          <w:lang w:eastAsia="fr-FR" w:bidi="he-IL"/>
        </w:rPr>
        <w:t>de plus sacré pour le chrétien</w:t>
      </w:r>
      <w:r w:rsidR="00E65435">
        <w:rPr>
          <w:rFonts w:eastAsia="Arial Unicode MS"/>
          <w:bCs/>
          <w:lang w:eastAsia="fr-FR" w:bidi="he-IL"/>
        </w:rPr>
        <w:t xml:space="preserve">, </w:t>
      </w:r>
      <w:r w:rsidR="00B704AD" w:rsidRPr="00C8701B">
        <w:rPr>
          <w:rFonts w:eastAsia="Arial Unicode MS"/>
          <w:bCs/>
          <w:lang w:eastAsia="fr-FR" w:bidi="he-IL"/>
        </w:rPr>
        <w:t>et</w:t>
      </w:r>
      <w:r w:rsidR="00AA5FB0">
        <w:rPr>
          <w:rFonts w:eastAsia="Arial Unicode MS"/>
          <w:bCs/>
          <w:lang w:eastAsia="fr-FR" w:bidi="he-IL"/>
        </w:rPr>
        <w:t xml:space="preserve"> </w:t>
      </w:r>
      <w:r w:rsidR="00B704AD" w:rsidRPr="00C8701B">
        <w:rPr>
          <w:rFonts w:eastAsia="Arial Unicode MS"/>
          <w:bCs/>
          <w:lang w:eastAsia="fr-FR" w:bidi="he-IL"/>
        </w:rPr>
        <w:t>nous pouvons dire même</w:t>
      </w:r>
      <w:r w:rsidR="00E65435">
        <w:rPr>
          <w:rFonts w:eastAsia="Arial Unicode MS"/>
          <w:bCs/>
          <w:lang w:eastAsia="fr-FR" w:bidi="he-IL"/>
        </w:rPr>
        <w:t xml:space="preserve">, </w:t>
      </w:r>
      <w:r w:rsidR="00B704AD" w:rsidRPr="00C8701B">
        <w:rPr>
          <w:rFonts w:eastAsia="Arial Unicode MS"/>
          <w:bCs/>
          <w:lang w:eastAsia="fr-FR" w:bidi="he-IL"/>
        </w:rPr>
        <w:t>de plus digne des hommages de tout homme</w:t>
      </w:r>
      <w:r w:rsidR="00E65435">
        <w:rPr>
          <w:rFonts w:eastAsia="Arial Unicode MS"/>
          <w:bCs/>
          <w:lang w:eastAsia="fr-FR" w:bidi="he-IL"/>
        </w:rPr>
        <w:t xml:space="preserve">, </w:t>
      </w:r>
      <w:r w:rsidR="00B704AD" w:rsidRPr="00C8701B">
        <w:rPr>
          <w:rFonts w:eastAsia="Arial Unicode MS"/>
          <w:bCs/>
          <w:lang w:eastAsia="fr-FR" w:bidi="he-IL"/>
        </w:rPr>
        <w:t>qui</w:t>
      </w:r>
      <w:r w:rsidR="00E65435">
        <w:rPr>
          <w:rFonts w:eastAsia="Arial Unicode MS"/>
          <w:bCs/>
          <w:lang w:eastAsia="fr-FR" w:bidi="he-IL"/>
        </w:rPr>
        <w:t xml:space="preserve">, </w:t>
      </w:r>
      <w:r w:rsidR="00B704AD" w:rsidRPr="00C8701B">
        <w:rPr>
          <w:rFonts w:eastAsia="Arial Unicode MS"/>
          <w:bCs/>
          <w:lang w:eastAsia="fr-FR" w:bidi="he-IL"/>
        </w:rPr>
        <w:t>sans avoir le bonheur de professer le Christianisme</w:t>
      </w:r>
      <w:r w:rsidR="00E65435">
        <w:rPr>
          <w:rFonts w:eastAsia="Arial Unicode MS"/>
          <w:bCs/>
          <w:lang w:eastAsia="fr-FR" w:bidi="he-IL"/>
        </w:rPr>
        <w:t xml:space="preserve">, </w:t>
      </w:r>
      <w:r w:rsidR="00B704AD" w:rsidRPr="00C8701B">
        <w:rPr>
          <w:rFonts w:eastAsia="Arial Unicode MS"/>
          <w:bCs/>
          <w:lang w:eastAsia="fr-FR" w:bidi="he-IL"/>
        </w:rPr>
        <w:t>n</w:t>
      </w:r>
      <w:r w:rsidR="00557DE0">
        <w:rPr>
          <w:rFonts w:eastAsia="Arial Unicode MS"/>
          <w:bCs/>
          <w:lang w:eastAsia="fr-FR" w:bidi="he-IL"/>
        </w:rPr>
        <w:t>’</w:t>
      </w:r>
      <w:r w:rsidR="00B704AD" w:rsidRPr="00C8701B">
        <w:rPr>
          <w:rFonts w:eastAsia="Arial Unicode MS"/>
          <w:bCs/>
          <w:lang w:eastAsia="fr-FR" w:bidi="he-IL"/>
        </w:rPr>
        <w:t>est point insensible aux beautés d</w:t>
      </w:r>
      <w:r w:rsidR="00557DE0">
        <w:rPr>
          <w:rFonts w:eastAsia="Arial Unicode MS"/>
          <w:bCs/>
          <w:lang w:eastAsia="fr-FR" w:bidi="he-IL"/>
        </w:rPr>
        <w:t>’</w:t>
      </w:r>
      <w:r w:rsidR="00B704AD" w:rsidRPr="00C8701B">
        <w:rPr>
          <w:rFonts w:eastAsia="Arial Unicode MS"/>
          <w:bCs/>
          <w:lang w:eastAsia="fr-FR" w:bidi="he-IL"/>
        </w:rPr>
        <w:t>une morale pure</w:t>
      </w:r>
      <w:r w:rsidR="00E65435">
        <w:rPr>
          <w:rFonts w:eastAsia="Arial Unicode MS"/>
          <w:bCs/>
          <w:lang w:eastAsia="fr-FR" w:bidi="he-IL"/>
        </w:rPr>
        <w:t xml:space="preserve">, </w:t>
      </w:r>
      <w:r w:rsidR="00B704AD" w:rsidRPr="00C8701B">
        <w:rPr>
          <w:rFonts w:eastAsia="Arial Unicode MS"/>
          <w:bCs/>
          <w:lang w:eastAsia="fr-FR" w:bidi="he-IL"/>
        </w:rPr>
        <w:t>à l</w:t>
      </w:r>
      <w:r w:rsidR="00557DE0">
        <w:rPr>
          <w:rFonts w:eastAsia="Arial Unicode MS"/>
          <w:bCs/>
          <w:lang w:eastAsia="fr-FR" w:bidi="he-IL"/>
        </w:rPr>
        <w:t>’</w:t>
      </w:r>
      <w:r w:rsidR="00B704AD" w:rsidRPr="00C8701B">
        <w:rPr>
          <w:rFonts w:eastAsia="Arial Unicode MS"/>
          <w:bCs/>
          <w:lang w:eastAsia="fr-FR" w:bidi="he-IL"/>
        </w:rPr>
        <w:t>héroïsme de la vertu</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 xml:space="preserve">nous venons vous entretenir de nos </w:t>
      </w:r>
      <w:r w:rsidR="000439E9">
        <w:rPr>
          <w:rFonts w:eastAsia="Arial Unicode MS"/>
          <w:bCs/>
          <w:lang w:eastAsia="fr-FR" w:bidi="he-IL"/>
        </w:rPr>
        <w:t>Évangile</w:t>
      </w:r>
      <w:r w:rsidR="00B704AD" w:rsidRPr="00C8701B">
        <w:rPr>
          <w:rFonts w:eastAsia="Arial Unicode MS"/>
          <w:bCs/>
          <w:lang w:eastAsia="fr-FR" w:bidi="he-IL"/>
        </w:rPr>
        <w:t>s</w:t>
      </w:r>
      <w:r w:rsidR="00C87A2B">
        <w:rPr>
          <w:rFonts w:eastAsia="Arial Unicode MS"/>
          <w:bCs/>
          <w:lang w:eastAsia="fr-FR" w:bidi="he-IL"/>
        </w:rPr>
        <w:t>...</w:t>
      </w:r>
      <w:r w:rsidR="00B704AD" w:rsidRPr="00C8701B">
        <w:rPr>
          <w:rFonts w:eastAsia="Arial Unicode MS"/>
          <w:bCs/>
          <w:lang w:eastAsia="fr-FR" w:bidi="he-IL"/>
        </w:rPr>
        <w:t>. qui sont le code sacré</w:t>
      </w:r>
      <w:r w:rsidR="00E65435">
        <w:rPr>
          <w:rFonts w:eastAsia="Arial Unicode MS"/>
          <w:bCs/>
          <w:lang w:eastAsia="fr-FR" w:bidi="he-IL"/>
        </w:rPr>
        <w:t xml:space="preserve">, </w:t>
      </w:r>
      <w:r w:rsidR="00B704AD" w:rsidRPr="00C8701B">
        <w:rPr>
          <w:rFonts w:eastAsia="Arial Unicode MS"/>
          <w:bCs/>
          <w:lang w:eastAsia="fr-FR" w:bidi="he-IL"/>
        </w:rPr>
        <w:t>la règle inviolable de la foi</w:t>
      </w:r>
      <w:r w:rsidR="00E65435">
        <w:rPr>
          <w:rFonts w:eastAsia="Arial Unicode MS"/>
          <w:bCs/>
          <w:lang w:eastAsia="fr-FR" w:bidi="he-IL"/>
        </w:rPr>
        <w:t xml:space="preserve">, </w:t>
      </w:r>
      <w:r w:rsidR="00B704AD" w:rsidRPr="00C8701B">
        <w:rPr>
          <w:rFonts w:eastAsia="Arial Unicode MS"/>
          <w:bCs/>
          <w:lang w:eastAsia="fr-FR" w:bidi="he-IL"/>
        </w:rPr>
        <w:t>de la morale et du culte de Jésus-Christ.... Depuis dix-sept sièc</w:t>
      </w:r>
      <w:r w:rsidR="00AA5FB0">
        <w:rPr>
          <w:rFonts w:eastAsia="Arial Unicode MS"/>
          <w:bCs/>
          <w:lang w:eastAsia="fr-FR" w:bidi="he-IL"/>
        </w:rPr>
        <w:t>l</w:t>
      </w:r>
      <w:r w:rsidR="00B704AD" w:rsidRPr="00C8701B">
        <w:rPr>
          <w:rFonts w:eastAsia="Arial Unicode MS"/>
          <w:bCs/>
          <w:lang w:eastAsia="fr-FR" w:bidi="he-IL"/>
        </w:rPr>
        <w:t>es</w:t>
      </w:r>
      <w:r w:rsidR="00C87A2B">
        <w:rPr>
          <w:rFonts w:eastAsia="Arial Unicode MS"/>
          <w:bCs/>
          <w:lang w:eastAsia="fr-FR" w:bidi="he-IL"/>
        </w:rPr>
        <w:t>...</w:t>
      </w:r>
      <w:r w:rsidR="00B704AD" w:rsidRPr="00C8701B">
        <w:rPr>
          <w:rFonts w:eastAsia="Arial Unicode MS"/>
          <w:bCs/>
          <w:lang w:eastAsia="fr-FR" w:bidi="he-IL"/>
        </w:rPr>
        <w:t>. on voyait dans l</w:t>
      </w:r>
      <w:r w:rsidR="00557DE0">
        <w:rPr>
          <w:rFonts w:eastAsia="Arial Unicode MS"/>
          <w:bCs/>
          <w:lang w:eastAsia="fr-FR" w:bidi="he-IL"/>
        </w:rPr>
        <w:t>’</w:t>
      </w:r>
      <w:r w:rsidR="000439E9">
        <w:rPr>
          <w:rFonts w:eastAsia="Arial Unicode MS"/>
          <w:bCs/>
          <w:lang w:eastAsia="fr-FR" w:bidi="he-IL"/>
        </w:rPr>
        <w:t>Évangile</w:t>
      </w:r>
      <w:r w:rsidR="00B704AD" w:rsidRPr="00C8701B">
        <w:rPr>
          <w:rFonts w:eastAsia="Arial Unicode MS"/>
          <w:bCs/>
          <w:lang w:eastAsia="fr-FR" w:bidi="he-IL"/>
        </w:rPr>
        <w:t xml:space="preserve"> un livre admirable par la simplicité</w:t>
      </w:r>
      <w:r w:rsidR="00E65435">
        <w:rPr>
          <w:rFonts w:eastAsia="Arial Unicode MS"/>
          <w:bCs/>
          <w:lang w:eastAsia="fr-FR" w:bidi="he-IL"/>
        </w:rPr>
        <w:t xml:space="preserve">, </w:t>
      </w:r>
      <w:r w:rsidR="00B704AD" w:rsidRPr="00C8701B">
        <w:rPr>
          <w:rFonts w:eastAsia="Arial Unicode MS"/>
          <w:bCs/>
          <w:lang w:eastAsia="fr-FR" w:bidi="he-IL"/>
        </w:rPr>
        <w:t>la lumière</w:t>
      </w:r>
      <w:r w:rsidR="00E65435">
        <w:rPr>
          <w:rFonts w:eastAsia="Arial Unicode MS"/>
          <w:bCs/>
          <w:lang w:eastAsia="fr-FR" w:bidi="he-IL"/>
        </w:rPr>
        <w:t xml:space="preserve">, </w:t>
      </w:r>
      <w:r w:rsidR="00B704AD" w:rsidRPr="00C8701B">
        <w:rPr>
          <w:rFonts w:eastAsia="Arial Unicode MS"/>
          <w:bCs/>
          <w:lang w:eastAsia="fr-FR" w:bidi="he-IL"/>
        </w:rPr>
        <w:t>la perfection de ses maximes</w:t>
      </w:r>
      <w:r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et il n</w:t>
      </w:r>
      <w:r w:rsidR="00557DE0">
        <w:rPr>
          <w:rFonts w:eastAsia="Arial Unicode MS"/>
          <w:bCs/>
          <w:lang w:eastAsia="fr-FR" w:bidi="he-IL"/>
        </w:rPr>
        <w:t>’</w:t>
      </w:r>
      <w:r w:rsidR="00B704AD" w:rsidRPr="00C8701B">
        <w:rPr>
          <w:rFonts w:eastAsia="Arial Unicode MS"/>
          <w:bCs/>
          <w:lang w:eastAsia="fr-FR" w:bidi="he-IL"/>
        </w:rPr>
        <w:t>y a pas jusqu</w:t>
      </w:r>
      <w:r w:rsidR="00557DE0">
        <w:rPr>
          <w:rFonts w:eastAsia="Arial Unicode MS"/>
          <w:bCs/>
          <w:lang w:eastAsia="fr-FR" w:bidi="he-IL"/>
        </w:rPr>
        <w:t>’</w:t>
      </w:r>
      <w:r w:rsidR="00B704AD" w:rsidRPr="00C8701B">
        <w:rPr>
          <w:rFonts w:eastAsia="Arial Unicode MS"/>
          <w:bCs/>
          <w:lang w:eastAsia="fr-FR" w:bidi="he-IL"/>
        </w:rPr>
        <w:t>à Mahomet qui n</w:t>
      </w:r>
      <w:r w:rsidR="00557DE0">
        <w:rPr>
          <w:rFonts w:eastAsia="Arial Unicode MS"/>
          <w:bCs/>
          <w:lang w:eastAsia="fr-FR" w:bidi="he-IL"/>
        </w:rPr>
        <w:t>’</w:t>
      </w:r>
      <w:r w:rsidR="00B704AD" w:rsidRPr="00C8701B">
        <w:rPr>
          <w:rFonts w:eastAsia="Arial Unicode MS"/>
          <w:bCs/>
          <w:lang w:eastAsia="fr-FR" w:bidi="he-IL"/>
        </w:rPr>
        <w:t>en ait parlé dans les sentiments et les termes de la vénération la plus profonde</w:t>
      </w:r>
      <w:r w:rsidRPr="00C8701B">
        <w:rPr>
          <w:rFonts w:eastAsia="Arial Unicode MS"/>
          <w:bCs/>
          <w:lang w:eastAsia="fr-FR" w:bidi="he-IL"/>
        </w:rPr>
        <w:t> »</w:t>
      </w:r>
      <w:r w:rsidR="00933C60" w:rsidRPr="00C406FF">
        <w:rPr>
          <w:rStyle w:val="Appelnotedebasdep"/>
        </w:rPr>
        <w:footnoteReference w:id="524"/>
      </w:r>
      <w:r w:rsidR="00B704AD" w:rsidRPr="00C8701B">
        <w:rPr>
          <w:rFonts w:eastAsia="Arial Unicode MS"/>
          <w:bCs/>
          <w:lang w:eastAsia="fr-FR" w:bidi="he-IL"/>
        </w:rPr>
        <w:t>.</w:t>
      </w:r>
      <w:r w:rsidRPr="00C8701B">
        <w:rPr>
          <w:rFonts w:eastAsia="Arial Unicode MS"/>
          <w:bCs/>
          <w:lang w:eastAsia="fr-FR" w:bidi="he-IL"/>
        </w:rPr>
        <w:t xml:space="preserve"> </w:t>
      </w:r>
    </w:p>
    <w:p w:rsidR="00C2602D" w:rsidRPr="00C8701B" w:rsidRDefault="00AA5FB0" w:rsidP="00AA5FB0">
      <w:pPr>
        <w:rPr>
          <w:rFonts w:eastAsia="Arial Unicode MS"/>
          <w:bCs/>
          <w:lang w:eastAsia="fr-FR" w:bidi="he-IL"/>
        </w:rPr>
      </w:pPr>
      <w:r>
        <w:rPr>
          <w:rFonts w:eastAsia="Arial Unicode MS"/>
          <w:bCs/>
          <w:lang w:eastAsia="fr-FR" w:bidi="he-IL"/>
        </w:rPr>
        <w:t>« </w:t>
      </w:r>
      <w:r w:rsidR="00B704AD" w:rsidRPr="00C8701B">
        <w:rPr>
          <w:rFonts w:eastAsia="Arial Unicode MS"/>
          <w:bCs/>
          <w:lang w:eastAsia="fr-FR" w:bidi="he-IL"/>
        </w:rPr>
        <w:t>Depuis Valmiki et Homère</w:t>
      </w:r>
      <w:r w:rsidR="00E65435">
        <w:rPr>
          <w:rFonts w:eastAsia="Arial Unicode MS"/>
          <w:bCs/>
          <w:lang w:eastAsia="fr-FR" w:bidi="he-IL"/>
        </w:rPr>
        <w:t xml:space="preserve">, </w:t>
      </w:r>
      <w:r w:rsidR="00B704AD" w:rsidRPr="00C8701B">
        <w:rPr>
          <w:rFonts w:eastAsia="Arial Unicode MS"/>
          <w:bCs/>
          <w:lang w:eastAsia="fr-FR" w:bidi="he-IL"/>
        </w:rPr>
        <w:t>un fait extraordinaire et imprévu a eu lieu. Au milieu des poèmes orphiques et védiques</w:t>
      </w:r>
      <w:r w:rsidR="00E65435">
        <w:rPr>
          <w:rFonts w:eastAsia="Arial Unicode MS"/>
          <w:bCs/>
          <w:lang w:eastAsia="fr-FR" w:bidi="he-IL"/>
        </w:rPr>
        <w:t xml:space="preserve">, </w:t>
      </w:r>
      <w:r w:rsidR="00B704AD" w:rsidRPr="00C8701B">
        <w:rPr>
          <w:rFonts w:eastAsia="Arial Unicode MS"/>
          <w:bCs/>
          <w:lang w:eastAsia="fr-FR" w:bidi="he-IL"/>
        </w:rPr>
        <w:t>tout à coup</w:t>
      </w:r>
      <w:r w:rsidR="00E65435">
        <w:rPr>
          <w:rFonts w:eastAsia="Arial Unicode MS"/>
          <w:bCs/>
          <w:lang w:eastAsia="fr-FR" w:bidi="he-IL"/>
        </w:rPr>
        <w:t xml:space="preserve">, </w:t>
      </w:r>
      <w:r w:rsidR="00B704AD" w:rsidRPr="00C8701B">
        <w:rPr>
          <w:rFonts w:eastAsia="Arial Unicode MS"/>
          <w:bCs/>
          <w:lang w:eastAsia="fr-FR" w:bidi="he-IL"/>
        </w:rPr>
        <w:t>on a vu tomber du ciel... un petit livre</w:t>
      </w:r>
      <w:r w:rsidR="00E65435">
        <w:rPr>
          <w:rFonts w:eastAsia="Arial Unicode MS"/>
          <w:bCs/>
          <w:lang w:eastAsia="fr-FR" w:bidi="he-IL"/>
        </w:rPr>
        <w:t xml:space="preserve">, </w:t>
      </w:r>
      <w:r w:rsidR="00B704AD" w:rsidRPr="00C8701B">
        <w:rPr>
          <w:rFonts w:eastAsia="Arial Unicode MS"/>
          <w:bCs/>
          <w:lang w:eastAsia="fr-FR" w:bidi="he-IL"/>
        </w:rPr>
        <w:t>un tout petit livre</w:t>
      </w:r>
      <w:r w:rsidR="00E65435">
        <w:rPr>
          <w:rFonts w:eastAsia="Arial Unicode MS"/>
          <w:bCs/>
          <w:lang w:eastAsia="fr-FR" w:bidi="he-IL"/>
        </w:rPr>
        <w:t xml:space="preserve">, </w:t>
      </w:r>
      <w:r w:rsidR="00B704AD" w:rsidRPr="00C8701B">
        <w:rPr>
          <w:rFonts w:eastAsia="Arial Unicode MS"/>
          <w:bCs/>
          <w:lang w:eastAsia="fr-FR" w:bidi="he-IL"/>
        </w:rPr>
        <w:t>dont le contenu ne remplirait pas un chant de l</w:t>
      </w:r>
      <w:r w:rsidR="00557DE0">
        <w:rPr>
          <w:rFonts w:eastAsia="Arial Unicode MS"/>
          <w:bCs/>
          <w:lang w:eastAsia="fr-FR" w:bidi="he-IL"/>
        </w:rPr>
        <w:t>’</w:t>
      </w:r>
      <w:r w:rsidR="00B704AD" w:rsidRPr="00C8701B">
        <w:rPr>
          <w:rFonts w:eastAsia="Arial Unicode MS"/>
          <w:bCs/>
          <w:lang w:eastAsia="fr-FR" w:bidi="he-IL"/>
        </w:rPr>
        <w:t>Iliade ou du Ramayana</w:t>
      </w:r>
      <w:r w:rsidR="00E65435">
        <w:rPr>
          <w:rFonts w:eastAsia="Arial Unicode MS"/>
          <w:bCs/>
          <w:lang w:eastAsia="fr-FR" w:bidi="he-IL"/>
        </w:rPr>
        <w:t xml:space="preserve">, </w:t>
      </w:r>
      <w:r w:rsidR="00B704AD" w:rsidRPr="00C8701B">
        <w:rPr>
          <w:rFonts w:eastAsia="Arial Unicode MS"/>
          <w:bCs/>
          <w:lang w:eastAsia="fr-FR" w:bidi="he-IL"/>
        </w:rPr>
        <w:t>et ce petit livre racontait aux hommes la plus merveilleuse histoire qu</w:t>
      </w:r>
      <w:r w:rsidR="00557DE0">
        <w:rPr>
          <w:rFonts w:eastAsia="Arial Unicode MS"/>
          <w:bCs/>
          <w:lang w:eastAsia="fr-FR" w:bidi="he-IL"/>
        </w:rPr>
        <w:t>’</w:t>
      </w:r>
      <w:r w:rsidR="00B704AD" w:rsidRPr="00C8701B">
        <w:rPr>
          <w:rFonts w:eastAsia="Arial Unicode MS"/>
          <w:bCs/>
          <w:lang w:eastAsia="fr-FR" w:bidi="he-IL"/>
        </w:rPr>
        <w:t>ils eussent jamais</w:t>
      </w:r>
      <w:r w:rsidR="00C2602D" w:rsidRPr="00C8701B">
        <w:rPr>
          <w:rFonts w:eastAsia="Arial Unicode MS"/>
          <w:bCs/>
          <w:lang w:eastAsia="fr-FR" w:bidi="he-IL"/>
        </w:rPr>
        <w:t xml:space="preserve"> </w:t>
      </w:r>
      <w:r w:rsidR="00B704AD" w:rsidRPr="00C8701B">
        <w:rPr>
          <w:rFonts w:eastAsia="Arial Unicode MS"/>
          <w:bCs/>
          <w:lang w:eastAsia="fr-FR" w:bidi="he-IL"/>
        </w:rPr>
        <w:t>entendue</w:t>
      </w:r>
      <w:r w:rsidR="00E65435">
        <w:rPr>
          <w:rFonts w:eastAsia="Arial Unicode MS"/>
          <w:bCs/>
          <w:lang w:eastAsia="fr-FR" w:bidi="he-IL"/>
        </w:rPr>
        <w:t xml:space="preserve">, </w:t>
      </w:r>
      <w:r>
        <w:rPr>
          <w:rFonts w:eastAsia="Arial Unicode MS"/>
          <w:bCs/>
          <w:lang w:eastAsia="fr-FR" w:bidi="he-IL"/>
        </w:rPr>
        <w:t>{100</w:t>
      </w:r>
      <w:bookmarkStart w:id="153" w:name="pag100"/>
      <w:bookmarkEnd w:id="153"/>
      <w:r>
        <w:rPr>
          <w:rFonts w:eastAsia="Arial Unicode MS"/>
          <w:bCs/>
          <w:lang w:eastAsia="fr-FR" w:bidi="he-IL"/>
        </w:rPr>
        <w:t xml:space="preserve">} </w:t>
      </w:r>
      <w:r w:rsidR="00B704AD" w:rsidRPr="00C8701B">
        <w:rPr>
          <w:rFonts w:eastAsia="Arial Unicode MS"/>
          <w:bCs/>
          <w:lang w:eastAsia="fr-FR" w:bidi="he-IL"/>
        </w:rPr>
        <w:t>et leur proposait la morale la plus pure</w:t>
      </w:r>
      <w:r w:rsidR="00E65435">
        <w:rPr>
          <w:rFonts w:eastAsia="Arial Unicode MS"/>
          <w:bCs/>
          <w:lang w:eastAsia="fr-FR" w:bidi="he-IL"/>
        </w:rPr>
        <w:t xml:space="preserve">, </w:t>
      </w:r>
      <w:r w:rsidR="00B704AD" w:rsidRPr="00C8701B">
        <w:rPr>
          <w:rFonts w:eastAsia="Arial Unicode MS"/>
          <w:bCs/>
          <w:lang w:eastAsia="fr-FR" w:bidi="he-IL"/>
        </w:rPr>
        <w:t>la plus intelligible</w:t>
      </w:r>
      <w:r w:rsidR="00E65435">
        <w:rPr>
          <w:rFonts w:eastAsia="Arial Unicode MS"/>
          <w:bCs/>
          <w:lang w:eastAsia="fr-FR" w:bidi="he-IL"/>
        </w:rPr>
        <w:t xml:space="preserve">, </w:t>
      </w:r>
      <w:r w:rsidR="00B704AD" w:rsidRPr="00C8701B">
        <w:rPr>
          <w:rFonts w:eastAsia="Arial Unicode MS"/>
          <w:bCs/>
          <w:lang w:eastAsia="fr-FR" w:bidi="he-IL"/>
        </w:rPr>
        <w:t>la plus consolante et la plus profitable qui eût jamais été proclamée sur la terre. L</w:t>
      </w:r>
      <w:r w:rsidR="00557DE0">
        <w:rPr>
          <w:rFonts w:eastAsia="Arial Unicode MS"/>
          <w:bCs/>
          <w:lang w:eastAsia="fr-FR" w:bidi="he-IL"/>
        </w:rPr>
        <w:t>’</w:t>
      </w:r>
      <w:r w:rsidR="00B704AD" w:rsidRPr="00C8701B">
        <w:rPr>
          <w:rFonts w:eastAsia="Arial Unicode MS"/>
          <w:bCs/>
          <w:lang w:eastAsia="fr-FR" w:bidi="he-IL"/>
        </w:rPr>
        <w:t>humanité se sentit tout à coup une âme nouvelle</w:t>
      </w:r>
      <w:r w:rsidR="00E65435">
        <w:rPr>
          <w:rFonts w:eastAsia="Arial Unicode MS"/>
          <w:bCs/>
          <w:lang w:eastAsia="fr-FR" w:bidi="he-IL"/>
        </w:rPr>
        <w:t xml:space="preserve">, </w:t>
      </w:r>
      <w:r w:rsidR="00B704AD" w:rsidRPr="00C8701B">
        <w:rPr>
          <w:rFonts w:eastAsia="Arial Unicode MS"/>
          <w:bCs/>
          <w:lang w:eastAsia="fr-FR" w:bidi="he-IL"/>
        </w:rPr>
        <w:t>à la voix de certains rapso</w:t>
      </w:r>
      <w:r>
        <w:rPr>
          <w:rFonts w:eastAsia="Arial Unicode MS"/>
          <w:bCs/>
          <w:lang w:eastAsia="fr-FR" w:bidi="he-IL"/>
        </w:rPr>
        <w:t>des venus du petit pays de Judée</w:t>
      </w:r>
      <w:r w:rsidR="00E65435">
        <w:rPr>
          <w:rFonts w:eastAsia="Arial Unicode MS"/>
          <w:bCs/>
          <w:lang w:eastAsia="fr-FR" w:bidi="he-IL"/>
        </w:rPr>
        <w:t xml:space="preserve">, </w:t>
      </w:r>
      <w:r w:rsidR="00B704AD" w:rsidRPr="00C8701B">
        <w:rPr>
          <w:rFonts w:eastAsia="Arial Unicode MS"/>
          <w:bCs/>
          <w:lang w:eastAsia="fr-FR" w:bidi="he-IL"/>
        </w:rPr>
        <w:t>récitant et propageant par le monde leur poème qu</w:t>
      </w:r>
      <w:r w:rsidR="00557DE0">
        <w:rPr>
          <w:rFonts w:eastAsia="Arial Unicode MS"/>
          <w:bCs/>
          <w:lang w:eastAsia="fr-FR" w:bidi="he-IL"/>
        </w:rPr>
        <w:t>’</w:t>
      </w:r>
      <w:r w:rsidR="00B704AD" w:rsidRPr="00C8701B">
        <w:rPr>
          <w:rFonts w:eastAsia="Arial Unicode MS"/>
          <w:bCs/>
          <w:lang w:eastAsia="fr-FR" w:bidi="he-IL"/>
        </w:rPr>
        <w:t>ils déclaraient divin</w:t>
      </w:r>
      <w:r w:rsidR="00E65435">
        <w:rPr>
          <w:rFonts w:eastAsia="Arial Unicode MS"/>
          <w:bCs/>
          <w:lang w:eastAsia="fr-FR" w:bidi="he-IL"/>
        </w:rPr>
        <w:t xml:space="preserve">, </w:t>
      </w:r>
      <w:r w:rsidR="00B704AD" w:rsidRPr="00C8701B">
        <w:rPr>
          <w:rFonts w:eastAsia="Arial Unicode MS"/>
          <w:bCs/>
          <w:lang w:eastAsia="fr-FR" w:bidi="he-IL"/>
        </w:rPr>
        <w:t>avec tant de conviction et d</w:t>
      </w:r>
      <w:r w:rsidR="00557DE0">
        <w:rPr>
          <w:rFonts w:eastAsia="Arial Unicode MS"/>
          <w:bCs/>
          <w:lang w:eastAsia="fr-FR" w:bidi="he-IL"/>
        </w:rPr>
        <w:t>’</w:t>
      </w:r>
      <w:r w:rsidR="00B704AD" w:rsidRPr="00C8701B">
        <w:rPr>
          <w:rFonts w:eastAsia="Arial Unicode MS"/>
          <w:bCs/>
          <w:lang w:eastAsia="fr-FR" w:bidi="he-IL"/>
        </w:rPr>
        <w:t>enthousiasme qu</w:t>
      </w:r>
      <w:r w:rsidR="00557DE0">
        <w:rPr>
          <w:rFonts w:eastAsia="Arial Unicode MS"/>
          <w:bCs/>
          <w:lang w:eastAsia="fr-FR" w:bidi="he-IL"/>
        </w:rPr>
        <w:t>’</w:t>
      </w:r>
      <w:r w:rsidR="00B704AD" w:rsidRPr="00C8701B">
        <w:rPr>
          <w:rFonts w:eastAsia="Arial Unicode MS"/>
          <w:bCs/>
          <w:lang w:eastAsia="fr-FR" w:bidi="he-IL"/>
        </w:rPr>
        <w:t>ils se laissaient mettre</w:t>
      </w:r>
      <w:r>
        <w:rPr>
          <w:rFonts w:eastAsia="Arial Unicode MS"/>
          <w:bCs/>
          <w:lang w:eastAsia="fr-FR" w:bidi="he-IL"/>
        </w:rPr>
        <w:t xml:space="preserve"> </w:t>
      </w:r>
      <w:r w:rsidR="00B704AD" w:rsidRPr="00C8701B">
        <w:rPr>
          <w:rFonts w:eastAsia="Arial Unicode MS"/>
          <w:bCs/>
          <w:lang w:eastAsia="fr-FR" w:bidi="he-IL"/>
        </w:rPr>
        <w:t>en croix ou livrer aux bêtes plutôt que d</w:t>
      </w:r>
      <w:r w:rsidR="00557DE0">
        <w:rPr>
          <w:rFonts w:eastAsia="Arial Unicode MS"/>
          <w:bCs/>
          <w:lang w:eastAsia="fr-FR" w:bidi="he-IL"/>
        </w:rPr>
        <w:t>’</w:t>
      </w:r>
      <w:r>
        <w:rPr>
          <w:rFonts w:eastAsia="Arial Unicode MS"/>
          <w:bCs/>
          <w:lang w:eastAsia="fr-FR" w:bidi="he-IL"/>
        </w:rPr>
        <w:t>en dé</w:t>
      </w:r>
      <w:r w:rsidR="00B704AD" w:rsidRPr="00C8701B">
        <w:rPr>
          <w:rFonts w:eastAsia="Arial Unicode MS"/>
          <w:bCs/>
          <w:lang w:eastAsia="fr-FR" w:bidi="he-IL"/>
        </w:rPr>
        <w:t>savouer un mot. Les poèmes religieux de l</w:t>
      </w:r>
      <w:r w:rsidR="00557DE0">
        <w:rPr>
          <w:rFonts w:eastAsia="Arial Unicode MS"/>
          <w:bCs/>
          <w:lang w:eastAsia="fr-FR" w:bidi="he-IL"/>
        </w:rPr>
        <w:t>’</w:t>
      </w:r>
      <w:r w:rsidR="00B704AD" w:rsidRPr="00C8701B">
        <w:rPr>
          <w:rFonts w:eastAsia="Arial Unicode MS"/>
          <w:bCs/>
          <w:lang w:eastAsia="fr-FR" w:bidi="he-IL"/>
        </w:rPr>
        <w:t>antiquité s</w:t>
      </w:r>
      <w:r w:rsidR="00557DE0">
        <w:rPr>
          <w:rFonts w:eastAsia="Arial Unicode MS"/>
          <w:bCs/>
          <w:lang w:eastAsia="fr-FR" w:bidi="he-IL"/>
        </w:rPr>
        <w:t>’</w:t>
      </w:r>
      <w:r w:rsidR="00B704AD" w:rsidRPr="00C8701B">
        <w:rPr>
          <w:rFonts w:eastAsia="Arial Unicode MS"/>
          <w:bCs/>
          <w:lang w:eastAsia="fr-FR" w:bidi="he-IL"/>
        </w:rPr>
        <w:t>effacèrent alors</w:t>
      </w:r>
      <w:r w:rsidR="00E65435">
        <w:rPr>
          <w:rFonts w:eastAsia="Arial Unicode MS"/>
          <w:bCs/>
          <w:lang w:eastAsia="fr-FR" w:bidi="he-IL"/>
        </w:rPr>
        <w:t xml:space="preserve">, </w:t>
      </w:r>
      <w:r w:rsidR="00B704AD" w:rsidRPr="00C8701B">
        <w:rPr>
          <w:rFonts w:eastAsia="Arial Unicode MS"/>
          <w:bCs/>
          <w:lang w:eastAsia="fr-FR" w:bidi="he-IL"/>
        </w:rPr>
        <w:t>sinon de la mémoire</w:t>
      </w:r>
      <w:r w:rsidR="00E65435">
        <w:rPr>
          <w:rFonts w:eastAsia="Arial Unicode MS"/>
          <w:bCs/>
          <w:lang w:eastAsia="fr-FR" w:bidi="he-IL"/>
        </w:rPr>
        <w:t xml:space="preserve">, </w:t>
      </w:r>
      <w:r w:rsidR="00B704AD" w:rsidRPr="00C8701B">
        <w:rPr>
          <w:rFonts w:eastAsia="Arial Unicode MS"/>
          <w:bCs/>
          <w:lang w:eastAsia="fr-FR" w:bidi="he-IL"/>
        </w:rPr>
        <w:t>du moins de la conscience des hommes</w:t>
      </w:r>
      <w:r w:rsidR="00E65435">
        <w:rPr>
          <w:rFonts w:eastAsia="Arial Unicode MS"/>
          <w:bCs/>
          <w:lang w:eastAsia="fr-FR" w:bidi="he-IL"/>
        </w:rPr>
        <w:t xml:space="preserve">, </w:t>
      </w:r>
      <w:r w:rsidR="00B704AD" w:rsidRPr="00C8701B">
        <w:rPr>
          <w:rFonts w:eastAsia="Arial Unicode MS"/>
          <w:bCs/>
          <w:lang w:eastAsia="fr-FR" w:bidi="he-IL"/>
        </w:rPr>
        <w:t>comme au premier rayon de soleil s</w:t>
      </w:r>
      <w:r w:rsidR="00557DE0">
        <w:rPr>
          <w:rFonts w:eastAsia="Arial Unicode MS"/>
          <w:bCs/>
          <w:lang w:eastAsia="fr-FR" w:bidi="he-IL"/>
        </w:rPr>
        <w:t>’</w:t>
      </w:r>
      <w:r w:rsidR="00B704AD" w:rsidRPr="00C8701B">
        <w:rPr>
          <w:rFonts w:eastAsia="Arial Unicode MS"/>
          <w:bCs/>
          <w:lang w:eastAsia="fr-FR" w:bidi="he-IL"/>
        </w:rPr>
        <w:t>éteignent les étoiles qui ne sont lumière que pour la nuit</w:t>
      </w:r>
      <w:r w:rsidR="00D7320E">
        <w:rPr>
          <w:rFonts w:eastAsia="Arial Unicode MS"/>
          <w:bCs/>
          <w:lang w:eastAsia="fr-FR" w:bidi="he-IL"/>
        </w:rPr>
        <w:t> »</w:t>
      </w:r>
      <w:r w:rsidR="00933C60" w:rsidRPr="00C406FF">
        <w:rPr>
          <w:rStyle w:val="Appelnotedebasdep"/>
        </w:rPr>
        <w:footnoteReference w:id="525"/>
      </w:r>
      <w:r w:rsidR="00B704AD"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C2602D" w:rsidP="00AA5FB0">
      <w:pPr>
        <w:pStyle w:val="locus"/>
        <w:rPr>
          <w:lang w:eastAsia="fr-FR" w:bidi="he-IL"/>
        </w:rPr>
      </w:pPr>
      <w:r w:rsidRPr="00C8701B">
        <w:rPr>
          <w:lang w:eastAsia="fr-FR" w:bidi="he-IL"/>
        </w:rPr>
        <w:t>« </w:t>
      </w:r>
      <w:r w:rsidR="00AA5FB0">
        <w:rPr>
          <w:lang w:eastAsia="fr-FR" w:bidi="he-IL"/>
        </w:rPr>
        <w:t>Ce que la Cène v</w:t>
      </w:r>
      <w:r w:rsidR="00B704AD" w:rsidRPr="00C8701B">
        <w:rPr>
          <w:lang w:eastAsia="fr-FR" w:bidi="he-IL"/>
        </w:rPr>
        <w:t>it</w:t>
      </w:r>
      <w:r w:rsidR="00E65435">
        <w:rPr>
          <w:lang w:eastAsia="fr-FR" w:bidi="he-IL"/>
        </w:rPr>
        <w:t xml:space="preserve">, </w:t>
      </w:r>
      <w:r w:rsidR="00B704AD" w:rsidRPr="00C8701B">
        <w:rPr>
          <w:lang w:eastAsia="fr-FR" w:bidi="he-IL"/>
        </w:rPr>
        <w:t>et ce qu</w:t>
      </w:r>
      <w:r w:rsidR="00557DE0">
        <w:rPr>
          <w:lang w:eastAsia="fr-FR" w:bidi="he-IL"/>
        </w:rPr>
        <w:t>’</w:t>
      </w:r>
      <w:r w:rsidR="00B704AD" w:rsidRPr="00C8701B">
        <w:rPr>
          <w:lang w:eastAsia="fr-FR" w:bidi="he-IL"/>
        </w:rPr>
        <w:t>elle entendit</w:t>
      </w:r>
      <w:r w:rsidR="00E65435">
        <w:rPr>
          <w:lang w:eastAsia="fr-FR" w:bidi="he-IL"/>
        </w:rPr>
        <w:t xml:space="preserve">, </w:t>
      </w:r>
    </w:p>
    <w:p w:rsidR="00C2602D" w:rsidRPr="00C8701B" w:rsidRDefault="00B704AD" w:rsidP="00AA5FB0">
      <w:pPr>
        <w:pStyle w:val="locus"/>
        <w:rPr>
          <w:lang w:eastAsia="fr-FR" w:bidi="he-IL"/>
        </w:rPr>
      </w:pPr>
      <w:r w:rsidRPr="00C8701B">
        <w:rPr>
          <w:lang w:eastAsia="fr-FR" w:bidi="he-IL"/>
        </w:rPr>
        <w:t>Est écrit dans le livre où pas un mot ne change</w:t>
      </w:r>
      <w:r w:rsidR="00C2602D" w:rsidRPr="00C8701B">
        <w:rPr>
          <w:lang w:eastAsia="fr-FR" w:bidi="he-IL"/>
        </w:rPr>
        <w:t xml:space="preserve"> </w:t>
      </w:r>
    </w:p>
    <w:p w:rsidR="00C2602D" w:rsidRPr="00C8701B" w:rsidRDefault="00B704AD" w:rsidP="00AA5FB0">
      <w:pPr>
        <w:pStyle w:val="locus"/>
        <w:rPr>
          <w:lang w:eastAsia="fr-FR" w:bidi="he-IL"/>
        </w:rPr>
      </w:pPr>
      <w:r w:rsidRPr="00C8701B">
        <w:rPr>
          <w:lang w:eastAsia="fr-FR" w:bidi="he-IL"/>
        </w:rPr>
        <w:t>Par les quatre hommes purs</w:t>
      </w:r>
      <w:r w:rsidR="00E65435">
        <w:rPr>
          <w:lang w:eastAsia="fr-FR" w:bidi="he-IL"/>
        </w:rPr>
        <w:t xml:space="preserve">, </w:t>
      </w:r>
      <w:r w:rsidRPr="00C8701B">
        <w:rPr>
          <w:lang w:eastAsia="fr-FR" w:bidi="he-IL"/>
        </w:rPr>
        <w:t>près de qui l</w:t>
      </w:r>
      <w:r w:rsidR="00557DE0">
        <w:rPr>
          <w:lang w:eastAsia="fr-FR" w:bidi="he-IL"/>
        </w:rPr>
        <w:t>’</w:t>
      </w:r>
      <w:r w:rsidRPr="00C8701B">
        <w:rPr>
          <w:lang w:eastAsia="fr-FR" w:bidi="he-IL"/>
        </w:rPr>
        <w:t>ont voit l</w:t>
      </w:r>
      <w:r w:rsidR="00557DE0">
        <w:rPr>
          <w:lang w:eastAsia="fr-FR" w:bidi="he-IL"/>
        </w:rPr>
        <w:t>’</w:t>
      </w:r>
      <w:r w:rsidRPr="00C8701B">
        <w:rPr>
          <w:lang w:eastAsia="fr-FR" w:bidi="he-IL"/>
        </w:rPr>
        <w:t>ange</w:t>
      </w:r>
      <w:r w:rsidR="00E65435">
        <w:rPr>
          <w:lang w:eastAsia="fr-FR" w:bidi="he-IL"/>
        </w:rPr>
        <w:t xml:space="preserve">, </w:t>
      </w:r>
    </w:p>
    <w:p w:rsidR="00C2602D" w:rsidRPr="00C8701B" w:rsidRDefault="00B704AD" w:rsidP="00AA5FB0">
      <w:pPr>
        <w:pStyle w:val="locus"/>
        <w:rPr>
          <w:lang w:eastAsia="fr-FR" w:bidi="he-IL"/>
        </w:rPr>
      </w:pPr>
      <w:r w:rsidRPr="00C8701B">
        <w:rPr>
          <w:lang w:eastAsia="fr-FR" w:bidi="he-IL"/>
        </w:rPr>
        <w:t>Le lion et le bœuf</w:t>
      </w:r>
      <w:r w:rsidR="00E65435">
        <w:rPr>
          <w:lang w:eastAsia="fr-FR" w:bidi="he-IL"/>
        </w:rPr>
        <w:t xml:space="preserve">, </w:t>
      </w:r>
      <w:r w:rsidRPr="00C8701B">
        <w:rPr>
          <w:lang w:eastAsia="fr-FR" w:bidi="he-IL"/>
        </w:rPr>
        <w:t>et l</w:t>
      </w:r>
      <w:r w:rsidR="00557DE0">
        <w:rPr>
          <w:lang w:eastAsia="fr-FR" w:bidi="he-IL"/>
        </w:rPr>
        <w:t>’</w:t>
      </w:r>
      <w:r w:rsidRPr="00C8701B">
        <w:rPr>
          <w:lang w:eastAsia="fr-FR" w:bidi="he-IL"/>
        </w:rPr>
        <w:t>aigle et le ciel bleu.</w:t>
      </w:r>
      <w:r w:rsidR="00C2602D" w:rsidRPr="00C8701B">
        <w:rPr>
          <w:lang w:eastAsia="fr-FR" w:bidi="he-IL"/>
        </w:rPr>
        <w:t xml:space="preserve"> </w:t>
      </w:r>
    </w:p>
    <w:p w:rsidR="00C2602D" w:rsidRPr="00C8701B" w:rsidRDefault="00B704AD" w:rsidP="00AA5FB0">
      <w:pPr>
        <w:pStyle w:val="locus"/>
        <w:rPr>
          <w:lang w:eastAsia="fr-FR" w:bidi="he-IL"/>
        </w:rPr>
      </w:pPr>
      <w:r w:rsidRPr="00C8701B">
        <w:rPr>
          <w:lang w:eastAsia="fr-FR" w:bidi="he-IL"/>
        </w:rPr>
        <w:t>Cette histoire par eux semble ajoutée à Dieu</w:t>
      </w:r>
      <w:r w:rsidR="00E65435">
        <w:rPr>
          <w:lang w:eastAsia="fr-FR" w:bidi="he-IL"/>
        </w:rPr>
        <w:t xml:space="preserve">, </w:t>
      </w:r>
    </w:p>
    <w:p w:rsidR="00C2602D" w:rsidRPr="00C8701B" w:rsidRDefault="00B704AD" w:rsidP="00AA5FB0">
      <w:pPr>
        <w:pStyle w:val="locus"/>
        <w:rPr>
          <w:lang w:eastAsia="fr-FR" w:bidi="he-IL"/>
        </w:rPr>
      </w:pPr>
      <w:r w:rsidRPr="00C8701B">
        <w:rPr>
          <w:lang w:eastAsia="fr-FR" w:bidi="he-IL"/>
        </w:rPr>
        <w:t>Comme s</w:t>
      </w:r>
      <w:r w:rsidR="00557DE0">
        <w:rPr>
          <w:lang w:eastAsia="fr-FR" w:bidi="he-IL"/>
        </w:rPr>
        <w:t>’</w:t>
      </w:r>
      <w:r w:rsidRPr="00C8701B">
        <w:rPr>
          <w:lang w:eastAsia="fr-FR" w:bidi="he-IL"/>
        </w:rPr>
        <w:t>ils écrivaient en marge de l</w:t>
      </w:r>
      <w:r w:rsidR="00557DE0">
        <w:rPr>
          <w:lang w:eastAsia="fr-FR" w:bidi="he-IL"/>
        </w:rPr>
        <w:t>’</w:t>
      </w:r>
      <w:r w:rsidRPr="00C8701B">
        <w:rPr>
          <w:lang w:eastAsia="fr-FR" w:bidi="he-IL"/>
        </w:rPr>
        <w:t>abîme</w:t>
      </w:r>
      <w:r w:rsidR="00C2602D" w:rsidRPr="00C8701B">
        <w:rPr>
          <w:lang w:eastAsia="fr-FR" w:bidi="he-IL"/>
        </w:rPr>
        <w:t> </w:t>
      </w:r>
      <w:r w:rsidR="007F6508">
        <w:rPr>
          <w:lang w:eastAsia="fr-FR" w:bidi="he-IL"/>
        </w:rPr>
        <w:t xml:space="preserve">; </w:t>
      </w:r>
    </w:p>
    <w:p w:rsidR="00C2602D" w:rsidRPr="00C8701B" w:rsidRDefault="00B704AD" w:rsidP="00AA5FB0">
      <w:pPr>
        <w:pStyle w:val="locus"/>
        <w:rPr>
          <w:lang w:eastAsia="fr-FR" w:bidi="he-IL"/>
        </w:rPr>
      </w:pPr>
      <w:r w:rsidRPr="00C8701B">
        <w:rPr>
          <w:lang w:eastAsia="fr-FR" w:bidi="he-IL"/>
        </w:rPr>
        <w:t>Tout leur livre ressemble au rayon d</w:t>
      </w:r>
      <w:r w:rsidR="00557DE0">
        <w:rPr>
          <w:lang w:eastAsia="fr-FR" w:bidi="he-IL"/>
        </w:rPr>
        <w:t>’</w:t>
      </w:r>
      <w:r w:rsidRPr="00C8701B">
        <w:rPr>
          <w:lang w:eastAsia="fr-FR" w:bidi="he-IL"/>
        </w:rPr>
        <w:t>une cime.</w:t>
      </w:r>
      <w:r w:rsidR="00C2602D" w:rsidRPr="00C8701B">
        <w:rPr>
          <w:lang w:eastAsia="fr-FR" w:bidi="he-IL"/>
        </w:rPr>
        <w:t xml:space="preserve"> </w:t>
      </w:r>
    </w:p>
    <w:p w:rsidR="00C2602D" w:rsidRPr="00C8701B" w:rsidRDefault="00B704AD" w:rsidP="00AA5FB0">
      <w:pPr>
        <w:pStyle w:val="locus"/>
        <w:rPr>
          <w:lang w:eastAsia="fr-FR" w:bidi="he-IL"/>
        </w:rPr>
      </w:pPr>
      <w:r w:rsidRPr="00C8701B">
        <w:rPr>
          <w:lang w:eastAsia="fr-FR" w:bidi="he-IL"/>
        </w:rPr>
        <w:t>Chaque page y frémit sous le frisson sacré</w:t>
      </w:r>
      <w:r w:rsidR="00C2602D" w:rsidRPr="00C8701B">
        <w:rPr>
          <w:lang w:eastAsia="fr-FR" w:bidi="he-IL"/>
        </w:rPr>
        <w:t> </w:t>
      </w:r>
      <w:r w:rsidR="007F6508">
        <w:rPr>
          <w:lang w:eastAsia="fr-FR" w:bidi="he-IL"/>
        </w:rPr>
        <w:t xml:space="preserve">; </w:t>
      </w:r>
    </w:p>
    <w:p w:rsidR="00C2602D" w:rsidRPr="00C8701B" w:rsidRDefault="00B704AD" w:rsidP="00AA5FB0">
      <w:pPr>
        <w:pStyle w:val="locus"/>
        <w:rPr>
          <w:lang w:eastAsia="fr-FR" w:bidi="he-IL"/>
        </w:rPr>
      </w:pPr>
      <w:r w:rsidRPr="00C8701B">
        <w:rPr>
          <w:lang w:eastAsia="fr-FR" w:bidi="he-IL"/>
        </w:rPr>
        <w:t>Et c est pourquoi la terre a dit</w:t>
      </w:r>
      <w:r w:rsidR="00C2602D" w:rsidRPr="00C8701B">
        <w:rPr>
          <w:lang w:eastAsia="fr-FR" w:bidi="he-IL"/>
        </w:rPr>
        <w:t> :</w:t>
      </w:r>
      <w:r w:rsidR="00AA5FB0">
        <w:rPr>
          <w:lang w:eastAsia="fr-FR" w:bidi="he-IL"/>
        </w:rPr>
        <w:t xml:space="preserve"> Je le </w:t>
      </w:r>
      <w:r w:rsidRPr="00C8701B">
        <w:rPr>
          <w:lang w:eastAsia="fr-FR" w:bidi="he-IL"/>
        </w:rPr>
        <w:t>lirai</w:t>
      </w:r>
      <w:r w:rsidR="00E65435">
        <w:rPr>
          <w:lang w:eastAsia="fr-FR" w:bidi="he-IL"/>
        </w:rPr>
        <w:t xml:space="preserve">, </w:t>
      </w:r>
    </w:p>
    <w:p w:rsidR="00C2602D" w:rsidRPr="00C8701B" w:rsidRDefault="00B704AD" w:rsidP="00AA5FB0">
      <w:pPr>
        <w:pStyle w:val="locus"/>
        <w:rPr>
          <w:lang w:eastAsia="fr-FR" w:bidi="he-IL"/>
        </w:rPr>
      </w:pPr>
      <w:r w:rsidRPr="00C8701B">
        <w:rPr>
          <w:lang w:eastAsia="fr-FR" w:bidi="he-IL"/>
        </w:rPr>
        <w:t>Les peuples qui n</w:t>
      </w:r>
      <w:r w:rsidR="00557DE0">
        <w:rPr>
          <w:lang w:eastAsia="fr-FR" w:bidi="he-IL"/>
        </w:rPr>
        <w:t>’</w:t>
      </w:r>
      <w:r w:rsidRPr="00C8701B">
        <w:rPr>
          <w:lang w:eastAsia="fr-FR" w:bidi="he-IL"/>
        </w:rPr>
        <w:t>ont pas ce livre le mendient</w:t>
      </w:r>
      <w:r w:rsidR="00C2602D" w:rsidRPr="00C8701B">
        <w:rPr>
          <w:lang w:eastAsia="fr-FR" w:bidi="he-IL"/>
        </w:rPr>
        <w:t> </w:t>
      </w:r>
      <w:r w:rsidR="007F6508">
        <w:rPr>
          <w:lang w:eastAsia="fr-FR" w:bidi="he-IL"/>
        </w:rPr>
        <w:t xml:space="preserve">; </w:t>
      </w:r>
    </w:p>
    <w:p w:rsidR="00C2602D" w:rsidRPr="00C8701B" w:rsidRDefault="00B704AD" w:rsidP="00AA5FB0">
      <w:pPr>
        <w:pStyle w:val="locus"/>
        <w:rPr>
          <w:lang w:eastAsia="fr-FR" w:bidi="he-IL"/>
        </w:rPr>
      </w:pPr>
      <w:r w:rsidRPr="00C8701B">
        <w:rPr>
          <w:lang w:eastAsia="fr-FR" w:bidi="he-IL"/>
        </w:rPr>
        <w:t>Et vingt siècles penchés dans l</w:t>
      </w:r>
      <w:r w:rsidR="00557DE0">
        <w:rPr>
          <w:lang w:eastAsia="fr-FR" w:bidi="he-IL"/>
        </w:rPr>
        <w:t>’</w:t>
      </w:r>
      <w:r w:rsidRPr="00C8701B">
        <w:rPr>
          <w:lang w:eastAsia="fr-FR" w:bidi="he-IL"/>
        </w:rPr>
        <w:t>ombre l</w:t>
      </w:r>
      <w:r w:rsidR="00557DE0">
        <w:rPr>
          <w:lang w:eastAsia="fr-FR" w:bidi="he-IL"/>
        </w:rPr>
        <w:t>’</w:t>
      </w:r>
      <w:r w:rsidRPr="00C8701B">
        <w:rPr>
          <w:lang w:eastAsia="fr-FR" w:bidi="he-IL"/>
        </w:rPr>
        <w:t>étudient</w:t>
      </w:r>
      <w:r w:rsidR="00C2602D" w:rsidRPr="00C8701B">
        <w:rPr>
          <w:lang w:eastAsia="fr-FR" w:bidi="he-IL"/>
        </w:rPr>
        <w:t> »</w:t>
      </w:r>
      <w:r w:rsidR="00933C60" w:rsidRPr="00C406FF">
        <w:rPr>
          <w:rStyle w:val="Appelnotedebasdep"/>
        </w:rPr>
        <w:footnoteReference w:id="526"/>
      </w:r>
      <w:r w:rsidRPr="00C8701B">
        <w:rPr>
          <w:lang w:eastAsia="fr-FR" w:bidi="he-IL"/>
        </w:rPr>
        <w:t>.</w:t>
      </w:r>
      <w:r w:rsidR="00C2602D" w:rsidRPr="00C8701B">
        <w:rPr>
          <w:lang w:eastAsia="fr-FR" w:bidi="he-IL"/>
        </w:rPr>
        <w:t xml:space="preserve"> </w:t>
      </w:r>
    </w:p>
    <w:p w:rsidR="00C2602D" w:rsidRPr="00C8701B" w:rsidRDefault="00B704AD" w:rsidP="000E647E">
      <w:pPr>
        <w:pStyle w:val="Titre4"/>
        <w:rPr>
          <w:lang w:eastAsia="fr-FR" w:bidi="he-IL"/>
        </w:rPr>
      </w:pPr>
      <w:bookmarkStart w:id="154" w:name="_Toc526755727"/>
      <w:r w:rsidRPr="00C8701B">
        <w:rPr>
          <w:rFonts w:eastAsia="Arial Unicode MS"/>
          <w:bCs/>
          <w:lang w:eastAsia="fr-FR" w:bidi="he-IL"/>
        </w:rPr>
        <w:t>§ X</w:t>
      </w:r>
      <w:r w:rsidR="000E647E">
        <w:rPr>
          <w:rFonts w:eastAsia="Arial Unicode MS"/>
          <w:bCs/>
          <w:lang w:eastAsia="fr-FR" w:bidi="he-IL"/>
        </w:rPr>
        <w:t>III</w:t>
      </w:r>
      <w:r w:rsidRPr="00C8701B">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LA LITTÉRATURE</w:t>
      </w:r>
      <w:r w:rsidR="00E65435">
        <w:rPr>
          <w:rFonts w:eastAsia="Arial Unicode MS"/>
          <w:bCs/>
          <w:lang w:eastAsia="fr-FR" w:bidi="he-IL"/>
        </w:rPr>
        <w:t xml:space="preserve">, </w:t>
      </w:r>
      <w:r w:rsidRPr="00C8701B">
        <w:rPr>
          <w:rFonts w:eastAsia="Arial Unicode MS"/>
          <w:bCs/>
          <w:lang w:eastAsia="fr-FR" w:bidi="he-IL"/>
        </w:rPr>
        <w:t>LES ARTS ET L</w:t>
      </w:r>
      <w:r w:rsidR="00557DE0">
        <w:rPr>
          <w:rFonts w:eastAsia="Arial Unicode MS"/>
          <w:bCs/>
          <w:lang w:eastAsia="fr-FR" w:bidi="he-IL"/>
        </w:rPr>
        <w:t>’</w:t>
      </w:r>
      <w:r w:rsidRPr="00C8701B">
        <w:rPr>
          <w:rFonts w:eastAsia="Arial Unicode MS"/>
          <w:bCs/>
          <w:lang w:eastAsia="fr-FR" w:bidi="he-IL"/>
        </w:rPr>
        <w:t>ÉVANGILE.</w:t>
      </w:r>
      <w:bookmarkStart w:id="155" w:name="evin13"/>
      <w:bookmarkEnd w:id="154"/>
      <w:bookmarkEnd w:id="155"/>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Dans nos commentaires</w:t>
      </w:r>
      <w:r w:rsidR="00E65435">
        <w:rPr>
          <w:rFonts w:eastAsia="Arial Unicode MS"/>
          <w:bCs/>
          <w:lang w:eastAsia="fr-FR" w:bidi="he-IL"/>
        </w:rPr>
        <w:t xml:space="preserve">, </w:t>
      </w:r>
      <w:r w:rsidRPr="00C8701B">
        <w:rPr>
          <w:rFonts w:eastAsia="Arial Unicode MS"/>
          <w:bCs/>
          <w:lang w:eastAsia="fr-FR" w:bidi="he-IL"/>
        </w:rPr>
        <w:t>nous nous sommes procuré le plaisir</w:t>
      </w:r>
      <w:r w:rsidR="000F7DAA">
        <w:rPr>
          <w:rFonts w:eastAsia="Arial Unicode MS"/>
          <w:bCs/>
          <w:lang w:eastAsia="fr-FR" w:bidi="he-IL"/>
        </w:rPr>
        <w:t xml:space="preserve"> —</w:t>
      </w:r>
      <w:r w:rsidR="008D0642">
        <w:rPr>
          <w:rFonts w:eastAsia="Arial Unicode MS"/>
          <w:bCs/>
          <w:lang w:eastAsia="fr-FR" w:bidi="he-IL"/>
        </w:rPr>
        <w:t xml:space="preserve"> </w:t>
      </w:r>
      <w:r w:rsidR="00AA5FB0">
        <w:rPr>
          <w:rFonts w:eastAsia="Arial Unicode MS"/>
          <w:bCs/>
          <w:lang w:eastAsia="fr-FR" w:bidi="he-IL"/>
        </w:rPr>
        <w:t>et on</w:t>
      </w:r>
      <w:r w:rsidRPr="00C8701B">
        <w:rPr>
          <w:rFonts w:eastAsia="Arial Unicode MS"/>
          <w:bCs/>
          <w:lang w:eastAsia="fr-FR" w:bidi="he-IL"/>
        </w:rPr>
        <w:t xml:space="preserve"> a bien voulu nous dire que le plaisir n</w:t>
      </w:r>
      <w:r w:rsidR="00557DE0">
        <w:rPr>
          <w:rFonts w:eastAsia="Arial Unicode MS"/>
          <w:bCs/>
          <w:lang w:eastAsia="fr-FR" w:bidi="he-IL"/>
        </w:rPr>
        <w:t>’</w:t>
      </w:r>
      <w:r w:rsidRPr="00C8701B">
        <w:rPr>
          <w:rFonts w:eastAsia="Arial Unicode MS"/>
          <w:bCs/>
          <w:lang w:eastAsia="fr-FR" w:bidi="he-IL"/>
        </w:rPr>
        <w:t>avait pas été pour nous seul</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de signaler un à un les principaux chefs d</w:t>
      </w:r>
      <w:r w:rsidR="00557DE0">
        <w:rPr>
          <w:rFonts w:eastAsia="Arial Unicode MS"/>
          <w:bCs/>
          <w:lang w:eastAsia="fr-FR" w:bidi="he-IL"/>
        </w:rPr>
        <w:t>’</w:t>
      </w:r>
      <w:r w:rsidR="000819BA">
        <w:rPr>
          <w:rFonts w:eastAsia="Arial Unicode MS"/>
          <w:bCs/>
          <w:lang w:eastAsia="fr-FR" w:bidi="he-IL"/>
        </w:rPr>
        <w:t>œuvre</w:t>
      </w:r>
      <w:r w:rsidRPr="00C8701B">
        <w:rPr>
          <w:rFonts w:eastAsia="Arial Unicode MS"/>
          <w:bCs/>
          <w:lang w:eastAsia="fr-FR" w:bidi="he-IL"/>
        </w:rPr>
        <w:t xml:space="preserve"> littéraires et artistiques que les divers épisodes des saints </w:t>
      </w:r>
      <w:r w:rsidR="000439E9">
        <w:rPr>
          <w:rFonts w:eastAsia="Arial Unicode MS"/>
          <w:bCs/>
          <w:lang w:eastAsia="fr-FR" w:bidi="he-IL"/>
        </w:rPr>
        <w:t>Évangile</w:t>
      </w:r>
      <w:r w:rsidRPr="00C8701B">
        <w:rPr>
          <w:rFonts w:eastAsia="Arial Unicode MS"/>
          <w:bCs/>
          <w:lang w:eastAsia="fr-FR" w:bidi="he-IL"/>
        </w:rPr>
        <w:t>s ont suscités</w:t>
      </w:r>
      <w:r w:rsidR="00AA5FB0">
        <w:rPr>
          <w:rFonts w:eastAsia="Arial Unicode MS"/>
          <w:bCs/>
          <w:lang w:eastAsia="fr-FR" w:bidi="he-IL"/>
        </w:rPr>
        <w:t xml:space="preserve"> dans la suite des temps. Car c</w:t>
      </w:r>
      <w:r w:rsidR="00557DE0">
        <w:rPr>
          <w:rFonts w:eastAsia="Arial Unicode MS"/>
          <w:bCs/>
          <w:lang w:eastAsia="fr-FR" w:bidi="he-IL"/>
        </w:rPr>
        <w:t>’</w:t>
      </w:r>
      <w:r w:rsidRPr="00C8701B">
        <w:rPr>
          <w:rFonts w:eastAsia="Arial Unicode MS"/>
          <w:bCs/>
          <w:lang w:eastAsia="fr-FR" w:bidi="he-IL"/>
        </w:rPr>
        <w:t>est là aussi une exégèse</w:t>
      </w:r>
      <w:r w:rsidR="00AA5FB0">
        <w:rPr>
          <w:rStyle w:val="italicus"/>
        </w:rPr>
        <w:t xml:space="preserve"> su</w:t>
      </w:r>
      <w:r w:rsidRPr="00DC4586">
        <w:rPr>
          <w:rStyle w:val="italicus"/>
        </w:rPr>
        <w:t>i generis</w:t>
      </w:r>
      <w:r w:rsidR="00E65435">
        <w:rPr>
          <w:rStyle w:val="italicus"/>
        </w:rPr>
        <w:t xml:space="preserve">, </w:t>
      </w:r>
      <w:r w:rsidRPr="00C8701B">
        <w:rPr>
          <w:rFonts w:eastAsia="Arial Unicode MS"/>
          <w:bCs/>
          <w:lang w:eastAsia="fr-FR" w:bidi="he-IL"/>
        </w:rPr>
        <w:t>et il nous semblait que nous aurions été incomplet si nous n</w:t>
      </w:r>
      <w:r w:rsidR="00557DE0">
        <w:rPr>
          <w:rFonts w:eastAsia="Arial Unicode MS"/>
          <w:bCs/>
          <w:lang w:eastAsia="fr-FR" w:bidi="he-IL"/>
        </w:rPr>
        <w:t>’</w:t>
      </w:r>
      <w:r w:rsidR="00AA5FB0">
        <w:rPr>
          <w:rFonts w:eastAsia="Arial Unicode MS"/>
          <w:bCs/>
          <w:lang w:eastAsia="fr-FR" w:bidi="he-IL"/>
        </w:rPr>
        <w:t>en avions pas tenu compte</w:t>
      </w:r>
      <w:r w:rsidRPr="00C8701B">
        <w:rPr>
          <w:rFonts w:eastAsia="Arial Unicode MS"/>
          <w:bCs/>
          <w:lang w:eastAsia="fr-FR" w:bidi="he-IL"/>
        </w:rPr>
        <w:t>. Non qu</w:t>
      </w:r>
      <w:r w:rsidR="00557DE0">
        <w:rPr>
          <w:rFonts w:eastAsia="Arial Unicode MS"/>
          <w:bCs/>
          <w:lang w:eastAsia="fr-FR" w:bidi="he-IL"/>
        </w:rPr>
        <w:t>’</w:t>
      </w:r>
      <w:r w:rsidRPr="00C8701B">
        <w:rPr>
          <w:rFonts w:eastAsia="Arial Unicode MS"/>
          <w:bCs/>
          <w:lang w:eastAsia="fr-FR" w:bidi="he-IL"/>
        </w:rPr>
        <w:t>elle soit parfaite à tous égards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car</w:t>
      </w:r>
      <w:r w:rsidR="00E65435">
        <w:rPr>
          <w:rFonts w:eastAsia="Arial Unicode MS"/>
          <w:bCs/>
          <w:lang w:eastAsia="fr-FR" w:bidi="he-IL"/>
        </w:rPr>
        <w:t xml:space="preserve">, </w:t>
      </w:r>
      <w:r w:rsidRPr="00C8701B">
        <w:rPr>
          <w:rFonts w:eastAsia="Arial Unicode MS"/>
          <w:bCs/>
          <w:lang w:eastAsia="fr-FR" w:bidi="he-IL"/>
        </w:rPr>
        <w:t>plus d</w:t>
      </w:r>
      <w:r w:rsidR="00557DE0">
        <w:rPr>
          <w:rFonts w:eastAsia="Arial Unicode MS"/>
          <w:bCs/>
          <w:lang w:eastAsia="fr-FR" w:bidi="he-IL"/>
        </w:rPr>
        <w:t>’</w:t>
      </w:r>
      <w:r w:rsidRPr="00C8701B">
        <w:rPr>
          <w:rFonts w:eastAsia="Arial Unicode MS"/>
          <w:bCs/>
          <w:lang w:eastAsia="fr-FR" w:bidi="he-IL"/>
        </w:rPr>
        <w:t>une fois</w:t>
      </w:r>
      <w:r w:rsidR="00E65435">
        <w:rPr>
          <w:rFonts w:eastAsia="Arial Unicode MS"/>
          <w:bCs/>
          <w:lang w:eastAsia="fr-FR" w:bidi="he-IL"/>
        </w:rPr>
        <w:t xml:space="preserve">, </w:t>
      </w:r>
      <w:r w:rsidRPr="00C8701B">
        <w:rPr>
          <w:rFonts w:eastAsia="Arial Unicode MS"/>
          <w:bCs/>
          <w:lang w:eastAsia="fr-FR" w:bidi="he-IL"/>
        </w:rPr>
        <w:t>il est arrivé à l</w:t>
      </w:r>
      <w:r w:rsidR="00557DE0">
        <w:rPr>
          <w:rFonts w:eastAsia="Arial Unicode MS"/>
          <w:bCs/>
          <w:lang w:eastAsia="fr-FR" w:bidi="he-IL"/>
        </w:rPr>
        <w:t>’</w:t>
      </w:r>
      <w:r w:rsidRPr="00C8701B">
        <w:rPr>
          <w:rFonts w:eastAsia="Arial Unicode MS"/>
          <w:bCs/>
          <w:lang w:eastAsia="fr-FR" w:bidi="he-IL"/>
        </w:rPr>
        <w:t>artiste ou au littérateur de ne pas saisir le vrai sens d</w:t>
      </w:r>
      <w:r w:rsidR="00557DE0">
        <w:rPr>
          <w:rFonts w:eastAsia="Arial Unicode MS"/>
          <w:bCs/>
          <w:lang w:eastAsia="fr-FR" w:bidi="he-IL"/>
        </w:rPr>
        <w:t>’</w:t>
      </w:r>
      <w:r w:rsidRPr="00C8701B">
        <w:rPr>
          <w:rFonts w:eastAsia="Arial Unicode MS"/>
          <w:bCs/>
          <w:lang w:eastAsia="fr-FR" w:bidi="he-IL"/>
        </w:rPr>
        <w:t>un récit</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ou bien</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histoire et l</w:t>
      </w:r>
      <w:r w:rsidR="00557DE0">
        <w:rPr>
          <w:rFonts w:eastAsia="Arial Unicode MS"/>
          <w:bCs/>
          <w:lang w:eastAsia="fr-FR" w:bidi="he-IL"/>
        </w:rPr>
        <w:t>’</w:t>
      </w:r>
      <w:r w:rsidRPr="00C8701B">
        <w:rPr>
          <w:rFonts w:eastAsia="Arial Unicode MS"/>
          <w:bCs/>
          <w:lang w:eastAsia="fr-FR" w:bidi="he-IL"/>
        </w:rPr>
        <w:t>archéologie ont été souvent ignorées</w:t>
      </w:r>
      <w:r w:rsidR="00E65435">
        <w:rPr>
          <w:rFonts w:eastAsia="Arial Unicode MS"/>
          <w:bCs/>
          <w:lang w:eastAsia="fr-FR" w:bidi="he-IL"/>
        </w:rPr>
        <w:t xml:space="preserve">, </w:t>
      </w:r>
      <w:r w:rsidRPr="00C8701B">
        <w:rPr>
          <w:rFonts w:eastAsia="Arial Unicode MS"/>
          <w:bCs/>
          <w:lang w:eastAsia="fr-FR" w:bidi="he-IL"/>
        </w:rPr>
        <w:t>par conséquent blessées. Néanmoins</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ensemble demeure comme une magnifique couronne tressée par la littérature et par les arts en l</w:t>
      </w:r>
      <w:r w:rsidR="00557DE0">
        <w:rPr>
          <w:rFonts w:eastAsia="Arial Unicode MS"/>
          <w:bCs/>
          <w:lang w:eastAsia="fr-FR" w:bidi="he-IL"/>
        </w:rPr>
        <w:t>’</w:t>
      </w:r>
      <w:r w:rsidRPr="00C8701B">
        <w:rPr>
          <w:rFonts w:eastAsia="Arial Unicode MS"/>
          <w:bCs/>
          <w:lang w:eastAsia="fr-FR" w:bidi="he-IL"/>
        </w:rPr>
        <w:t>honneur des évangiles.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Ici</w:t>
      </w:r>
      <w:r w:rsidR="00E65435">
        <w:rPr>
          <w:rFonts w:eastAsia="Arial Unicode MS"/>
          <w:bCs/>
          <w:lang w:eastAsia="fr-FR" w:bidi="he-IL"/>
        </w:rPr>
        <w:t xml:space="preserve">, </w:t>
      </w:r>
      <w:r w:rsidRPr="00C8701B">
        <w:rPr>
          <w:rFonts w:eastAsia="Arial Unicode MS"/>
          <w:bCs/>
          <w:lang w:eastAsia="fr-FR" w:bidi="he-IL"/>
        </w:rPr>
        <w:t>nous avons à donner sur ce même po</w:t>
      </w:r>
      <w:r w:rsidR="00AA5FB0">
        <w:rPr>
          <w:rFonts w:eastAsia="Arial Unicode MS"/>
          <w:bCs/>
          <w:lang w:eastAsia="fr-FR" w:bidi="he-IL"/>
        </w:rPr>
        <w:t>int quelques indications général</w:t>
      </w:r>
      <w:r w:rsidRPr="00C8701B">
        <w:rPr>
          <w:rFonts w:eastAsia="Arial Unicode MS"/>
          <w:bCs/>
          <w:lang w:eastAsia="fr-FR" w:bidi="he-IL"/>
        </w:rPr>
        <w:t>es</w:t>
      </w:r>
      <w:r w:rsidR="00E65435">
        <w:rPr>
          <w:rFonts w:eastAsia="Arial Unicode MS"/>
          <w:bCs/>
          <w:lang w:eastAsia="fr-FR" w:bidi="he-IL"/>
        </w:rPr>
        <w:t xml:space="preserve">, </w:t>
      </w:r>
      <w:r w:rsidRPr="00C8701B">
        <w:rPr>
          <w:rFonts w:eastAsia="Arial Unicode MS"/>
          <w:bCs/>
          <w:lang w:eastAsia="fr-FR" w:bidi="he-IL"/>
        </w:rPr>
        <w:t>pour aider tant soit peu ceux de nos lecteurs qui auraient de l</w:t>
      </w:r>
      <w:r w:rsidR="00557DE0">
        <w:rPr>
          <w:rFonts w:eastAsia="Arial Unicode MS"/>
          <w:bCs/>
          <w:lang w:eastAsia="fr-FR" w:bidi="he-IL"/>
        </w:rPr>
        <w:t>’</w:t>
      </w:r>
      <w:r w:rsidRPr="00C8701B">
        <w:rPr>
          <w:rFonts w:eastAsia="Arial Unicode MS"/>
          <w:bCs/>
          <w:lang w:eastAsia="fr-FR" w:bidi="he-IL"/>
        </w:rPr>
        <w:t>attrait pour cette sorte d</w:t>
      </w:r>
      <w:r w:rsidR="00557DE0">
        <w:rPr>
          <w:rFonts w:eastAsia="Arial Unicode MS"/>
          <w:bCs/>
          <w:lang w:eastAsia="fr-FR" w:bidi="he-IL"/>
        </w:rPr>
        <w:t>’</w:t>
      </w:r>
      <w:r w:rsidRPr="00C8701B">
        <w:rPr>
          <w:rFonts w:eastAsia="Arial Unicode MS"/>
          <w:bCs/>
          <w:lang w:eastAsia="fr-FR" w:bidi="he-IL"/>
        </w:rPr>
        <w:t>étude.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1°</w:t>
      </w:r>
      <w:r w:rsidRPr="00DC4586">
        <w:rPr>
          <w:rStyle w:val="italicus"/>
        </w:rPr>
        <w:t xml:space="preserve"> La littérature et l</w:t>
      </w:r>
      <w:r w:rsidR="00557DE0">
        <w:rPr>
          <w:rStyle w:val="italicus"/>
        </w:rPr>
        <w:t>’</w:t>
      </w:r>
      <w:r w:rsidR="000439E9" w:rsidRPr="00DC4586">
        <w:rPr>
          <w:rStyle w:val="italicus"/>
        </w:rPr>
        <w:t>Évangile</w:t>
      </w:r>
      <w:r w:rsidRPr="00DC4586">
        <w:rPr>
          <w:rStyle w:val="italicus"/>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Il s</w:t>
      </w:r>
      <w:r w:rsidR="00557DE0">
        <w:rPr>
          <w:rFonts w:eastAsia="Arial Unicode MS"/>
          <w:bCs/>
          <w:lang w:eastAsia="fr-FR" w:bidi="he-IL"/>
        </w:rPr>
        <w:t>’</w:t>
      </w:r>
      <w:r w:rsidR="00AA5FB0">
        <w:rPr>
          <w:rFonts w:eastAsia="Arial Unicode MS"/>
          <w:bCs/>
          <w:lang w:eastAsia="fr-FR" w:bidi="he-IL"/>
        </w:rPr>
        <w:t>agit surtout des traductions ou</w:t>
      </w:r>
      <w:r w:rsidRPr="00C8701B">
        <w:rPr>
          <w:rFonts w:eastAsia="Arial Unicode MS"/>
          <w:bCs/>
          <w:lang w:eastAsia="fr-FR" w:bidi="he-IL"/>
        </w:rPr>
        <w:t xml:space="preserve"> des développements poétiques auxquels les évangiles ont donné lieu. Ces poèmes sont de trois sortes</w:t>
      </w:r>
      <w:r w:rsidR="00C2602D" w:rsidRPr="00C8701B">
        <w:rPr>
          <w:rFonts w:eastAsia="Arial Unicode MS"/>
          <w:bCs/>
          <w:lang w:eastAsia="fr-FR" w:bidi="he-IL"/>
        </w:rPr>
        <w:t> :</w:t>
      </w:r>
      <w:r w:rsidRPr="00C8701B">
        <w:rPr>
          <w:rFonts w:eastAsia="Arial Unicode MS"/>
          <w:bCs/>
          <w:lang w:eastAsia="fr-FR" w:bidi="he-IL"/>
        </w:rPr>
        <w:t xml:space="preserve"> lyriques</w:t>
      </w:r>
      <w:r w:rsidR="00E65435">
        <w:rPr>
          <w:rFonts w:eastAsia="Arial Unicode MS"/>
          <w:bCs/>
          <w:lang w:eastAsia="fr-FR" w:bidi="he-IL"/>
        </w:rPr>
        <w:t xml:space="preserve">, </w:t>
      </w:r>
      <w:r w:rsidRPr="00C8701B">
        <w:rPr>
          <w:rFonts w:eastAsia="Arial Unicode MS"/>
          <w:bCs/>
          <w:lang w:eastAsia="fr-FR" w:bidi="he-IL"/>
        </w:rPr>
        <w:t>épiques</w:t>
      </w:r>
      <w:r w:rsidR="00E65435">
        <w:rPr>
          <w:rFonts w:eastAsia="Arial Unicode MS"/>
          <w:bCs/>
          <w:lang w:eastAsia="fr-FR" w:bidi="he-IL"/>
        </w:rPr>
        <w:t xml:space="preserve">, </w:t>
      </w:r>
      <w:r w:rsidRPr="00C8701B">
        <w:rPr>
          <w:rFonts w:eastAsia="Arial Unicode MS"/>
          <w:bCs/>
          <w:lang w:eastAsia="fr-FR" w:bidi="he-IL"/>
        </w:rPr>
        <w:t>dramatiques.</w:t>
      </w:r>
      <w:r w:rsidR="00C2602D" w:rsidRPr="00C8701B">
        <w:rPr>
          <w:rFonts w:eastAsia="Arial Unicode MS"/>
          <w:bCs/>
          <w:lang w:eastAsia="fr-FR" w:bidi="he-IL"/>
        </w:rPr>
        <w:t xml:space="preserve"> </w:t>
      </w:r>
    </w:p>
    <w:p w:rsidR="00C2602D" w:rsidRDefault="00B704AD" w:rsidP="00C2602D">
      <w:pPr>
        <w:rPr>
          <w:rFonts w:eastAsia="Arial Unicode MS"/>
          <w:bCs/>
          <w:lang w:eastAsia="fr-FR" w:bidi="he-IL"/>
        </w:rPr>
      </w:pPr>
      <w:r w:rsidRPr="00C8701B">
        <w:rPr>
          <w:rFonts w:eastAsia="Arial Unicode MS"/>
          <w:bCs/>
          <w:lang w:eastAsia="fr-FR" w:bidi="he-IL"/>
        </w:rPr>
        <w:t>M. Nettement</w:t>
      </w:r>
      <w:r w:rsidR="00E65435">
        <w:rPr>
          <w:rFonts w:eastAsia="Arial Unicode MS"/>
          <w:bCs/>
          <w:lang w:eastAsia="fr-FR" w:bidi="he-IL"/>
        </w:rPr>
        <w:t xml:space="preserve">, </w:t>
      </w:r>
      <w:r w:rsidR="00AA5FB0">
        <w:rPr>
          <w:rFonts w:eastAsia="Arial Unicode MS"/>
          <w:bCs/>
          <w:lang w:eastAsia="fr-FR" w:bidi="he-IL"/>
        </w:rPr>
        <w:t xml:space="preserve">dans son </w:t>
      </w:r>
      <w:r w:rsidRPr="00C8701B">
        <w:rPr>
          <w:rFonts w:eastAsia="Arial Unicode MS"/>
          <w:bCs/>
          <w:lang w:eastAsia="fr-FR" w:bidi="he-IL"/>
        </w:rPr>
        <w:t>intéressant ouvrage</w:t>
      </w:r>
      <w:r w:rsidRPr="00DC4586">
        <w:rPr>
          <w:rStyle w:val="italicus"/>
        </w:rPr>
        <w:t xml:space="preserve"> Poètes et artistes </w:t>
      </w:r>
      <w:r w:rsidR="00EA28F4" w:rsidRPr="00DC4586">
        <w:rPr>
          <w:rStyle w:val="italicus"/>
        </w:rPr>
        <w:t>contemporains</w:t>
      </w:r>
      <w:r w:rsidR="00E65435">
        <w:rPr>
          <w:rStyle w:val="italicus"/>
        </w:rPr>
        <w:t xml:space="preserve">, </w:t>
      </w:r>
      <w:r w:rsidRPr="00C8701B">
        <w:rPr>
          <w:rFonts w:eastAsia="Arial Unicode MS"/>
          <w:bCs/>
          <w:lang w:eastAsia="fr-FR" w:bidi="he-IL"/>
        </w:rPr>
        <w:t>déjà cité à propos des beautés de l</w:t>
      </w:r>
      <w:r w:rsidR="00557DE0">
        <w:rPr>
          <w:rFonts w:eastAsia="Arial Unicode MS"/>
          <w:bCs/>
          <w:lang w:eastAsia="fr-FR" w:bidi="he-IL"/>
        </w:rPr>
        <w:t>’</w:t>
      </w:r>
      <w:r w:rsidR="000439E9">
        <w:rPr>
          <w:rFonts w:eastAsia="Arial Unicode MS"/>
          <w:bCs/>
          <w:lang w:eastAsia="fr-FR" w:bidi="he-IL"/>
        </w:rPr>
        <w:t>Évangile</w:t>
      </w:r>
      <w:r w:rsidR="00E65435">
        <w:rPr>
          <w:rFonts w:eastAsia="Arial Unicode MS"/>
          <w:bCs/>
          <w:lang w:eastAsia="fr-FR" w:bidi="he-IL"/>
        </w:rPr>
        <w:t xml:space="preserve">, </w:t>
      </w:r>
      <w:r w:rsidRPr="00C8701B">
        <w:rPr>
          <w:rFonts w:eastAsia="Arial Unicode MS"/>
          <w:bCs/>
          <w:lang w:eastAsia="fr-FR" w:bidi="he-IL"/>
        </w:rPr>
        <w:t>relève fort bien les difficultés spéciales que présente aux poètes le choix d</w:t>
      </w:r>
      <w:r w:rsidR="00557DE0">
        <w:rPr>
          <w:rFonts w:eastAsia="Arial Unicode MS"/>
          <w:bCs/>
          <w:lang w:eastAsia="fr-FR" w:bidi="he-IL"/>
        </w:rPr>
        <w:t>’</w:t>
      </w:r>
      <w:r w:rsidRPr="00C8701B">
        <w:rPr>
          <w:rFonts w:eastAsia="Arial Unicode MS"/>
          <w:bCs/>
          <w:lang w:eastAsia="fr-FR" w:bidi="he-IL"/>
        </w:rPr>
        <w:t xml:space="preserve">un thème si délicat. </w:t>
      </w:r>
      <w:r w:rsidR="00366671">
        <w:rPr>
          <w:rFonts w:eastAsia="Arial Unicode MS"/>
          <w:bCs/>
          <w:lang w:eastAsia="fr-FR" w:bidi="he-IL"/>
        </w:rPr>
        <w:t>{101</w:t>
      </w:r>
      <w:bookmarkStart w:id="156" w:name="pag101"/>
      <w:bookmarkEnd w:id="156"/>
      <w:r w:rsidR="00366671">
        <w:rPr>
          <w:rFonts w:eastAsia="Arial Unicode MS"/>
          <w:bCs/>
          <w:lang w:eastAsia="fr-FR" w:bidi="he-IL"/>
        </w:rPr>
        <w:t xml:space="preserve">} </w:t>
      </w:r>
      <w:r w:rsidR="00C2602D" w:rsidRPr="00C8701B">
        <w:rPr>
          <w:rFonts w:eastAsia="Arial Unicode MS"/>
          <w:bCs/>
          <w:lang w:eastAsia="fr-FR" w:bidi="he-IL"/>
        </w:rPr>
        <w:t>« </w:t>
      </w:r>
      <w:r w:rsidRPr="00C8701B">
        <w:rPr>
          <w:rFonts w:eastAsia="Arial Unicode MS"/>
          <w:bCs/>
          <w:lang w:eastAsia="fr-FR" w:bidi="he-IL"/>
        </w:rPr>
        <w:t>Jean le Précurseur</w:t>
      </w:r>
      <w:r w:rsidR="00C87A2B">
        <w:rPr>
          <w:rFonts w:eastAsia="Arial Unicode MS"/>
          <w:bCs/>
          <w:lang w:eastAsia="fr-FR" w:bidi="he-IL"/>
        </w:rPr>
        <w:t>...</w:t>
      </w:r>
      <w:r w:rsidRPr="00C8701B">
        <w:rPr>
          <w:rFonts w:eastAsia="Arial Unicode MS"/>
          <w:bCs/>
          <w:lang w:eastAsia="fr-FR" w:bidi="he-IL"/>
        </w:rPr>
        <w:t>. les Mages</w:t>
      </w:r>
      <w:r w:rsidR="00C87A2B">
        <w:rPr>
          <w:rFonts w:eastAsia="Arial Unicode MS"/>
          <w:bCs/>
          <w:lang w:eastAsia="fr-FR" w:bidi="he-IL"/>
        </w:rPr>
        <w:t>...</w:t>
      </w:r>
      <w:r w:rsidRPr="00C8701B">
        <w:rPr>
          <w:rFonts w:eastAsia="Arial Unicode MS"/>
          <w:bCs/>
          <w:lang w:eastAsia="fr-FR" w:bidi="he-IL"/>
        </w:rPr>
        <w:t>. la colère d</w:t>
      </w:r>
      <w:r w:rsidR="00557DE0">
        <w:rPr>
          <w:rFonts w:eastAsia="Arial Unicode MS"/>
          <w:bCs/>
          <w:lang w:eastAsia="fr-FR" w:bidi="he-IL"/>
        </w:rPr>
        <w:t>’</w:t>
      </w:r>
      <w:r w:rsidRPr="00C8701B">
        <w:rPr>
          <w:rFonts w:eastAsia="Arial Unicode MS"/>
          <w:bCs/>
          <w:lang w:eastAsia="fr-FR" w:bidi="he-IL"/>
        </w:rPr>
        <w:t>Hérode</w:t>
      </w:r>
      <w:r w:rsidR="00E65435">
        <w:rPr>
          <w:rFonts w:eastAsia="Arial Unicode MS"/>
          <w:bCs/>
          <w:lang w:eastAsia="fr-FR" w:bidi="he-IL"/>
        </w:rPr>
        <w:t xml:space="preserve">, </w:t>
      </w:r>
      <w:r w:rsidRPr="00C8701B">
        <w:rPr>
          <w:rFonts w:eastAsia="Arial Unicode MS"/>
          <w:bCs/>
          <w:lang w:eastAsia="fr-FR" w:bidi="he-IL"/>
        </w:rPr>
        <w:t xml:space="preserve">la fuite en </w:t>
      </w:r>
      <w:r w:rsidR="00C215A6">
        <w:rPr>
          <w:rFonts w:eastAsia="Arial Unicode MS"/>
          <w:bCs/>
          <w:lang w:eastAsia="fr-FR" w:bidi="he-IL"/>
        </w:rPr>
        <w:t>Égypt</w:t>
      </w:r>
      <w:r w:rsidRPr="00C8701B">
        <w:rPr>
          <w:rFonts w:eastAsia="Arial Unicode MS"/>
          <w:bCs/>
          <w:lang w:eastAsia="fr-FR" w:bidi="he-IL"/>
        </w:rPr>
        <w:t>e</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Enfant-Jésus croissant en sagesse</w:t>
      </w:r>
      <w:r w:rsidR="00C87A2B">
        <w:rPr>
          <w:rFonts w:eastAsia="Arial Unicode MS"/>
          <w:bCs/>
          <w:lang w:eastAsia="fr-FR" w:bidi="he-IL"/>
        </w:rPr>
        <w:t>...</w:t>
      </w:r>
      <w:r w:rsidRPr="00C8701B">
        <w:rPr>
          <w:rFonts w:eastAsia="Arial Unicode MS"/>
          <w:bCs/>
          <w:lang w:eastAsia="fr-FR" w:bidi="he-IL"/>
        </w:rPr>
        <w:t>. les noces de Cana</w:t>
      </w:r>
      <w:r w:rsidR="00C87A2B">
        <w:rPr>
          <w:rFonts w:eastAsia="Arial Unicode MS"/>
          <w:bCs/>
          <w:lang w:eastAsia="fr-FR" w:bidi="he-IL"/>
        </w:rPr>
        <w:t>...</w:t>
      </w:r>
      <w:r w:rsidRPr="00C8701B">
        <w:rPr>
          <w:rFonts w:eastAsia="Arial Unicode MS"/>
          <w:bCs/>
          <w:lang w:eastAsia="fr-FR" w:bidi="he-IL"/>
        </w:rPr>
        <w:t>. les paraboles</w:t>
      </w:r>
      <w:r w:rsidR="00C87A2B">
        <w:rPr>
          <w:rFonts w:eastAsia="Arial Unicode MS"/>
          <w:bCs/>
          <w:lang w:eastAsia="fr-FR" w:bidi="he-IL"/>
        </w:rPr>
        <w:t>...</w:t>
      </w:r>
      <w:r w:rsidRPr="00C8701B">
        <w:rPr>
          <w:rFonts w:eastAsia="Arial Unicode MS"/>
          <w:bCs/>
          <w:lang w:eastAsia="fr-FR" w:bidi="he-IL"/>
        </w:rPr>
        <w:t>. la passion</w:t>
      </w:r>
      <w:r w:rsidR="00E65435">
        <w:rPr>
          <w:rFonts w:eastAsia="Arial Unicode MS"/>
          <w:bCs/>
          <w:lang w:eastAsia="fr-FR" w:bidi="he-IL"/>
        </w:rPr>
        <w:t xml:space="preserve">, </w:t>
      </w:r>
      <w:r w:rsidRPr="00C8701B">
        <w:rPr>
          <w:rFonts w:eastAsia="Arial Unicode MS"/>
          <w:bCs/>
          <w:lang w:eastAsia="fr-FR" w:bidi="he-IL"/>
        </w:rPr>
        <w:t>etc.</w:t>
      </w:r>
      <w:r w:rsidR="00E65435">
        <w:rPr>
          <w:rFonts w:eastAsia="Arial Unicode MS"/>
          <w:bCs/>
          <w:lang w:eastAsia="fr-FR" w:bidi="he-IL"/>
        </w:rPr>
        <w:t xml:space="preserve">, </w:t>
      </w:r>
      <w:r w:rsidRPr="00C8701B">
        <w:rPr>
          <w:rFonts w:eastAsia="Arial Unicode MS"/>
          <w:bCs/>
          <w:lang w:eastAsia="fr-FR" w:bidi="he-IL"/>
        </w:rPr>
        <w:t>ce sont là autant de souvenirs doux</w:t>
      </w:r>
      <w:r w:rsidR="00E65435">
        <w:rPr>
          <w:rFonts w:eastAsia="Arial Unicode MS"/>
          <w:bCs/>
          <w:lang w:eastAsia="fr-FR" w:bidi="he-IL"/>
        </w:rPr>
        <w:t xml:space="preserve">, </w:t>
      </w:r>
      <w:r w:rsidRPr="00C8701B">
        <w:rPr>
          <w:rFonts w:eastAsia="Arial Unicode MS"/>
          <w:bCs/>
          <w:lang w:eastAsia="fr-FR" w:bidi="he-IL"/>
        </w:rPr>
        <w:t>touchants</w:t>
      </w:r>
      <w:r w:rsidR="00E65435">
        <w:rPr>
          <w:rFonts w:eastAsia="Arial Unicode MS"/>
          <w:bCs/>
          <w:lang w:eastAsia="fr-FR" w:bidi="he-IL"/>
        </w:rPr>
        <w:t xml:space="preserve">, </w:t>
      </w:r>
      <w:r w:rsidRPr="00C8701B">
        <w:rPr>
          <w:rFonts w:eastAsia="Arial Unicode MS"/>
          <w:bCs/>
          <w:lang w:eastAsia="fr-FR" w:bidi="he-IL"/>
        </w:rPr>
        <w:t>terribles ou glorieux</w:t>
      </w:r>
      <w:r w:rsidR="00E65435">
        <w:rPr>
          <w:rFonts w:eastAsia="Arial Unicode MS"/>
          <w:bCs/>
          <w:lang w:eastAsia="fr-FR" w:bidi="he-IL"/>
        </w:rPr>
        <w:t xml:space="preserve">, </w:t>
      </w:r>
      <w:r w:rsidRPr="00C8701B">
        <w:rPr>
          <w:rFonts w:eastAsia="Arial Unicode MS"/>
          <w:bCs/>
          <w:lang w:eastAsia="fr-FR" w:bidi="he-IL"/>
        </w:rPr>
        <w:t>source éternelle de méditations saintes</w:t>
      </w:r>
      <w:r w:rsidR="00E65435">
        <w:rPr>
          <w:rFonts w:eastAsia="Arial Unicode MS"/>
          <w:bCs/>
          <w:lang w:eastAsia="fr-FR" w:bidi="he-IL"/>
        </w:rPr>
        <w:t xml:space="preserve">, </w:t>
      </w:r>
      <w:r w:rsidRPr="00C8701B">
        <w:rPr>
          <w:rFonts w:eastAsia="Arial Unicode MS"/>
          <w:bCs/>
          <w:lang w:eastAsia="fr-FR" w:bidi="he-IL"/>
        </w:rPr>
        <w:t>et en même temps d</w:t>
      </w:r>
      <w:r w:rsidR="00557DE0">
        <w:rPr>
          <w:rFonts w:eastAsia="Arial Unicode MS"/>
          <w:bCs/>
          <w:lang w:eastAsia="fr-FR" w:bidi="he-IL"/>
        </w:rPr>
        <w:t>’</w:t>
      </w:r>
      <w:r w:rsidRPr="00C8701B">
        <w:rPr>
          <w:rFonts w:eastAsia="Arial Unicode MS"/>
          <w:bCs/>
          <w:lang w:eastAsia="fr-FR" w:bidi="he-IL"/>
        </w:rPr>
        <w:t>inspirations sublimes. Il faut ajouter cependant que ce sujet a ses dangers</w:t>
      </w:r>
      <w:r w:rsidR="00E65435">
        <w:rPr>
          <w:rFonts w:eastAsia="Arial Unicode MS"/>
          <w:bCs/>
          <w:lang w:eastAsia="fr-FR" w:bidi="he-IL"/>
        </w:rPr>
        <w:t xml:space="preserve">, </w:t>
      </w:r>
      <w:r w:rsidRPr="00C8701B">
        <w:rPr>
          <w:rFonts w:eastAsia="Arial Unicode MS"/>
          <w:bCs/>
          <w:lang w:eastAsia="fr-FR" w:bidi="he-IL"/>
        </w:rPr>
        <w:t>ses écueils. Sans adopter l</w:t>
      </w:r>
      <w:r w:rsidR="00557DE0">
        <w:rPr>
          <w:rFonts w:eastAsia="Arial Unicode MS"/>
          <w:bCs/>
          <w:lang w:eastAsia="fr-FR" w:bidi="he-IL"/>
        </w:rPr>
        <w:t>’</w:t>
      </w:r>
      <w:r w:rsidRPr="00C8701B">
        <w:rPr>
          <w:rFonts w:eastAsia="Arial Unicode MS"/>
          <w:bCs/>
          <w:lang w:eastAsia="fr-FR" w:bidi="he-IL"/>
        </w:rPr>
        <w:t>anathème de Boileau contre les poètes qui osent prendre les vérités mystérieuses du Christianisme pour sujet de leurs vers</w:t>
      </w:r>
      <w:r w:rsidR="00E65435">
        <w:rPr>
          <w:rFonts w:eastAsia="Arial Unicode MS"/>
          <w:bCs/>
          <w:lang w:eastAsia="fr-FR" w:bidi="he-IL"/>
        </w:rPr>
        <w:t xml:space="preserve">, </w:t>
      </w:r>
      <w:r w:rsidRPr="00C8701B">
        <w:rPr>
          <w:rFonts w:eastAsia="Arial Unicode MS"/>
          <w:bCs/>
          <w:lang w:eastAsia="fr-FR" w:bidi="he-IL"/>
        </w:rPr>
        <w:t>il faut cependant ajouter que les mystères du Christianisme doivent être traités avec une précision rigoureuse. Quand il s</w:t>
      </w:r>
      <w:r w:rsidR="00557DE0">
        <w:rPr>
          <w:rFonts w:eastAsia="Arial Unicode MS"/>
          <w:bCs/>
          <w:lang w:eastAsia="fr-FR" w:bidi="he-IL"/>
        </w:rPr>
        <w:t>’</w:t>
      </w:r>
      <w:r w:rsidRPr="00C8701B">
        <w:rPr>
          <w:rFonts w:eastAsia="Arial Unicode MS"/>
          <w:bCs/>
          <w:lang w:eastAsia="fr-FR" w:bidi="he-IL"/>
        </w:rPr>
        <w:t>agit de l</w:t>
      </w:r>
      <w:r w:rsidR="00557DE0">
        <w:rPr>
          <w:rFonts w:eastAsia="Arial Unicode MS"/>
          <w:bCs/>
          <w:lang w:eastAsia="fr-FR" w:bidi="he-IL"/>
        </w:rPr>
        <w:t>’</w:t>
      </w:r>
      <w:r w:rsidR="000439E9">
        <w:rPr>
          <w:rFonts w:eastAsia="Arial Unicode MS"/>
          <w:bCs/>
          <w:lang w:eastAsia="fr-FR" w:bidi="he-IL"/>
        </w:rPr>
        <w:t>Évangile</w:t>
      </w:r>
      <w:r w:rsidR="00E65435">
        <w:rPr>
          <w:rFonts w:eastAsia="Arial Unicode MS"/>
          <w:bCs/>
          <w:lang w:eastAsia="fr-FR" w:bidi="he-IL"/>
        </w:rPr>
        <w:t xml:space="preserve">, </w:t>
      </w:r>
      <w:r w:rsidRPr="00C8701B">
        <w:rPr>
          <w:rFonts w:eastAsia="Arial Unicode MS"/>
          <w:bCs/>
          <w:lang w:eastAsia="fr-FR" w:bidi="he-IL"/>
        </w:rPr>
        <w:t>il est aussi difficile de retrancher que d</w:t>
      </w:r>
      <w:r w:rsidR="00557DE0">
        <w:rPr>
          <w:rFonts w:eastAsia="Arial Unicode MS"/>
          <w:bCs/>
          <w:lang w:eastAsia="fr-FR" w:bidi="he-IL"/>
        </w:rPr>
        <w:t>’</w:t>
      </w:r>
      <w:r w:rsidR="00AA5FB0">
        <w:rPr>
          <w:rFonts w:eastAsia="Arial Unicode MS"/>
          <w:bCs/>
          <w:lang w:eastAsia="fr-FR" w:bidi="he-IL"/>
        </w:rPr>
        <w:t>a</w:t>
      </w:r>
      <w:r w:rsidRPr="00C8701B">
        <w:rPr>
          <w:rFonts w:eastAsia="Arial Unicode MS"/>
          <w:bCs/>
          <w:lang w:eastAsia="fr-FR" w:bidi="he-IL"/>
        </w:rPr>
        <w:t>jouter. Mêler des pensées humaines aux pensées divines</w:t>
      </w:r>
      <w:r w:rsidR="00E65435">
        <w:rPr>
          <w:rFonts w:eastAsia="Arial Unicode MS"/>
          <w:bCs/>
          <w:lang w:eastAsia="fr-FR" w:bidi="he-IL"/>
        </w:rPr>
        <w:t xml:space="preserve">, </w:t>
      </w:r>
      <w:r w:rsidR="00AA5FB0">
        <w:rPr>
          <w:rFonts w:eastAsia="Arial Unicode MS"/>
          <w:bCs/>
          <w:lang w:eastAsia="fr-FR" w:bidi="he-IL"/>
        </w:rPr>
        <w:t>prêter des parole</w:t>
      </w:r>
      <w:r w:rsidRPr="00C8701B">
        <w:rPr>
          <w:rFonts w:eastAsia="Arial Unicode MS"/>
          <w:bCs/>
          <w:lang w:eastAsia="fr-FR" w:bidi="he-IL"/>
        </w:rPr>
        <w:t>s au Verbe éternel</w:t>
      </w:r>
      <w:r w:rsidR="00E65435">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 là une œuvre ardue</w:t>
      </w:r>
      <w:r w:rsidR="00E65435">
        <w:rPr>
          <w:rFonts w:eastAsia="Arial Unicode MS"/>
          <w:bCs/>
          <w:lang w:eastAsia="fr-FR" w:bidi="he-IL"/>
        </w:rPr>
        <w:t xml:space="preserve">, </w:t>
      </w:r>
      <w:r w:rsidRPr="00C8701B">
        <w:rPr>
          <w:rFonts w:eastAsia="Arial Unicode MS"/>
          <w:bCs/>
          <w:lang w:eastAsia="fr-FR" w:bidi="he-IL"/>
        </w:rPr>
        <w:t>et avec les meilleures intentions du monde</w:t>
      </w:r>
      <w:r w:rsidR="00E65435">
        <w:rPr>
          <w:rFonts w:eastAsia="Arial Unicode MS"/>
          <w:bCs/>
          <w:lang w:eastAsia="fr-FR" w:bidi="he-IL"/>
        </w:rPr>
        <w:t xml:space="preserve">, </w:t>
      </w:r>
      <w:r w:rsidRPr="00C8701B">
        <w:rPr>
          <w:rFonts w:eastAsia="Arial Unicode MS"/>
          <w:bCs/>
          <w:lang w:eastAsia="fr-FR" w:bidi="he-IL"/>
        </w:rPr>
        <w:t>il est à craindre que l</w:t>
      </w:r>
      <w:r w:rsidR="00557DE0">
        <w:rPr>
          <w:rFonts w:eastAsia="Arial Unicode MS"/>
          <w:bCs/>
          <w:lang w:eastAsia="fr-FR" w:bidi="he-IL"/>
        </w:rPr>
        <w:t>’</w:t>
      </w:r>
      <w:r w:rsidRPr="00C8701B">
        <w:rPr>
          <w:rFonts w:eastAsia="Arial Unicode MS"/>
          <w:bCs/>
          <w:lang w:eastAsia="fr-FR" w:bidi="he-IL"/>
        </w:rPr>
        <w:t>intelligence ne fléchisse dans ce combat de Jacob avec l</w:t>
      </w:r>
      <w:r w:rsidR="00557DE0">
        <w:rPr>
          <w:rFonts w:eastAsia="Arial Unicode MS"/>
          <w:bCs/>
          <w:lang w:eastAsia="fr-FR" w:bidi="he-IL"/>
        </w:rPr>
        <w:t>’</w:t>
      </w:r>
      <w:r w:rsidRPr="00C8701B">
        <w:rPr>
          <w:rFonts w:eastAsia="Arial Unicode MS"/>
          <w:bCs/>
          <w:lang w:eastAsia="fr-FR" w:bidi="he-IL"/>
        </w:rPr>
        <w:t>ange</w:t>
      </w:r>
      <w:r w:rsidR="00C2602D" w:rsidRPr="00C8701B">
        <w:rPr>
          <w:rFonts w:eastAsia="Arial Unicode MS"/>
          <w:bCs/>
          <w:lang w:eastAsia="fr-FR" w:bidi="he-IL"/>
        </w:rPr>
        <w:t> »</w:t>
      </w:r>
      <w:r w:rsidR="00517F11">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A. Les poèmes lyriques.</w:t>
      </w:r>
      <w:r w:rsidR="000F7DAA">
        <w:rPr>
          <w:rFonts w:eastAsia="Arial Unicode MS"/>
          <w:bCs/>
          <w:lang w:eastAsia="fr-FR" w:bidi="he-IL"/>
        </w:rPr>
        <w:t xml:space="preserve"> —</w:t>
      </w:r>
      <w:r w:rsidR="008D0642">
        <w:rPr>
          <w:rFonts w:eastAsia="Arial Unicode MS"/>
          <w:bCs/>
          <w:lang w:eastAsia="fr-FR" w:bidi="he-IL"/>
        </w:rPr>
        <w:t xml:space="preserve"> </w:t>
      </w:r>
      <w:r w:rsidR="00AA5FB0">
        <w:rPr>
          <w:rFonts w:eastAsia="Arial Unicode MS"/>
          <w:bCs/>
          <w:lang w:eastAsia="fr-FR" w:bidi="he-IL"/>
        </w:rPr>
        <w:t>1. À</w:t>
      </w:r>
      <w:r w:rsidRPr="00C8701B">
        <w:rPr>
          <w:rFonts w:eastAsia="Arial Unicode MS"/>
          <w:bCs/>
          <w:lang w:eastAsia="fr-FR" w:bidi="he-IL"/>
        </w:rPr>
        <w:t xml:space="preserve"> cette catégorie se rapporte en premier lieu une partie notable de l</w:t>
      </w:r>
      <w:r w:rsidR="00557DE0">
        <w:rPr>
          <w:rFonts w:eastAsia="Arial Unicode MS"/>
          <w:bCs/>
          <w:lang w:eastAsia="fr-FR" w:bidi="he-IL"/>
        </w:rPr>
        <w:t>’</w:t>
      </w:r>
      <w:r w:rsidRPr="00C8701B">
        <w:rPr>
          <w:rFonts w:eastAsia="Arial Unicode MS"/>
          <w:bCs/>
          <w:lang w:eastAsia="fr-FR" w:bidi="he-IL"/>
        </w:rPr>
        <w:t>hymnologie sacrée</w:t>
      </w:r>
      <w:r w:rsidR="00E65435">
        <w:rPr>
          <w:rFonts w:eastAsia="Arial Unicode MS"/>
          <w:bCs/>
          <w:lang w:eastAsia="fr-FR" w:bidi="he-IL"/>
        </w:rPr>
        <w:t xml:space="preserve">, </w:t>
      </w:r>
      <w:r w:rsidRPr="00C8701B">
        <w:rPr>
          <w:rFonts w:eastAsia="Arial Unicode MS"/>
          <w:bCs/>
          <w:lang w:eastAsia="fr-FR" w:bidi="he-IL"/>
        </w:rPr>
        <w:t>toute une série de proses et d</w:t>
      </w:r>
      <w:r w:rsidR="00557DE0">
        <w:rPr>
          <w:rFonts w:eastAsia="Arial Unicode MS"/>
          <w:bCs/>
          <w:lang w:eastAsia="fr-FR" w:bidi="he-IL"/>
        </w:rPr>
        <w:t>’</w:t>
      </w:r>
      <w:r w:rsidRPr="00C8701B">
        <w:rPr>
          <w:rFonts w:eastAsia="Arial Unicode MS"/>
          <w:bCs/>
          <w:lang w:eastAsia="fr-FR" w:bidi="he-IL"/>
        </w:rPr>
        <w:t>hymnes plus ou moins anciennes</w:t>
      </w:r>
      <w:r w:rsidR="00E65435">
        <w:rPr>
          <w:rFonts w:eastAsia="Arial Unicode MS"/>
          <w:bCs/>
          <w:lang w:eastAsia="fr-FR" w:bidi="he-IL"/>
        </w:rPr>
        <w:t xml:space="preserve">, </w:t>
      </w:r>
      <w:r w:rsidRPr="00C8701B">
        <w:rPr>
          <w:rFonts w:eastAsia="Arial Unicode MS"/>
          <w:bCs/>
          <w:lang w:eastAsia="fr-FR" w:bidi="he-IL"/>
        </w:rPr>
        <w:t>plus ou moins réussies</w:t>
      </w:r>
      <w:r w:rsidR="00E65435">
        <w:rPr>
          <w:rFonts w:eastAsia="Arial Unicode MS"/>
          <w:bCs/>
          <w:lang w:eastAsia="fr-FR" w:bidi="he-IL"/>
        </w:rPr>
        <w:t xml:space="preserve">, </w:t>
      </w:r>
      <w:r w:rsidRPr="00C8701B">
        <w:rPr>
          <w:rFonts w:eastAsia="Arial Unicode MS"/>
          <w:bCs/>
          <w:lang w:eastAsia="fr-FR" w:bidi="he-IL"/>
        </w:rPr>
        <w:t>dont la collection roule sur la vie entière de N.-S. Jésus-Christ</w:t>
      </w:r>
      <w:r w:rsidR="00E65435">
        <w:rPr>
          <w:rFonts w:eastAsia="Arial Unicode MS"/>
          <w:bCs/>
          <w:lang w:eastAsia="fr-FR" w:bidi="he-IL"/>
        </w:rPr>
        <w:t xml:space="preserve">, </w:t>
      </w:r>
      <w:r w:rsidRPr="00C8701B">
        <w:rPr>
          <w:rFonts w:eastAsia="Arial Unicode MS"/>
          <w:bCs/>
          <w:lang w:eastAsia="fr-FR" w:bidi="he-IL"/>
        </w:rPr>
        <w:t>et chante tour à tour ses différents mystères</w:t>
      </w:r>
      <w:r w:rsidR="0073405D">
        <w:rPr>
          <w:rFonts w:eastAsia="Arial Unicode MS"/>
          <w:bCs/>
          <w:lang w:eastAsia="fr-FR" w:bidi="he-IL"/>
        </w:rPr>
        <w:t>.</w:t>
      </w:r>
      <w:r w:rsidRPr="00C8701B">
        <w:rPr>
          <w:rFonts w:eastAsia="Arial Unicode MS"/>
          <w:bCs/>
          <w:lang w:eastAsia="fr-FR" w:bidi="he-IL"/>
        </w:rPr>
        <w:t xml:space="preserve"> Les joyaux précieux ne manquent pas dans cet écrin que toutes les langues ecclésiastiques ont contribué à enrichir</w:t>
      </w:r>
      <w:r w:rsidR="00C2602D" w:rsidRPr="00C8701B">
        <w:rPr>
          <w:rFonts w:eastAsia="Arial Unicode MS"/>
          <w:bCs/>
          <w:lang w:eastAsia="fr-FR" w:bidi="he-IL"/>
        </w:rPr>
        <w:t> :</w:t>
      </w:r>
      <w:r w:rsidRPr="00C8701B">
        <w:rPr>
          <w:rFonts w:eastAsia="Arial Unicode MS"/>
          <w:bCs/>
          <w:lang w:eastAsia="fr-FR" w:bidi="he-IL"/>
        </w:rPr>
        <w:t xml:space="preserve"> la latine</w:t>
      </w:r>
      <w:r w:rsidR="00E65435">
        <w:rPr>
          <w:rFonts w:eastAsia="Arial Unicode MS"/>
          <w:bCs/>
          <w:lang w:eastAsia="fr-FR" w:bidi="he-IL"/>
        </w:rPr>
        <w:t xml:space="preserve">, </w:t>
      </w:r>
      <w:r w:rsidRPr="00C8701B">
        <w:rPr>
          <w:rFonts w:eastAsia="Arial Unicode MS"/>
          <w:bCs/>
          <w:lang w:eastAsia="fr-FR" w:bidi="he-IL"/>
        </w:rPr>
        <w:t>la grecque</w:t>
      </w:r>
      <w:r w:rsidR="00E65435">
        <w:rPr>
          <w:rFonts w:eastAsia="Arial Unicode MS"/>
          <w:bCs/>
          <w:lang w:eastAsia="fr-FR" w:bidi="he-IL"/>
        </w:rPr>
        <w:t xml:space="preserve">, </w:t>
      </w:r>
      <w:r w:rsidRPr="00C8701B">
        <w:rPr>
          <w:rFonts w:eastAsia="Arial Unicode MS"/>
          <w:bCs/>
          <w:lang w:eastAsia="fr-FR" w:bidi="he-IL"/>
        </w:rPr>
        <w:t>la chaldéenne</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arabe</w:t>
      </w:r>
      <w:r w:rsidR="00E65435">
        <w:rPr>
          <w:rFonts w:eastAsia="Arial Unicode MS"/>
          <w:bCs/>
          <w:lang w:eastAsia="fr-FR" w:bidi="he-IL"/>
        </w:rPr>
        <w:t xml:space="preserve">, </w:t>
      </w:r>
      <w:r w:rsidRPr="00C8701B">
        <w:rPr>
          <w:rFonts w:eastAsia="Arial Unicode MS"/>
          <w:bCs/>
          <w:lang w:eastAsia="fr-FR" w:bidi="he-IL"/>
        </w:rPr>
        <w:t>la syrienne</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arménienne</w:t>
      </w:r>
      <w:r w:rsidR="00E65435">
        <w:rPr>
          <w:rFonts w:eastAsia="Arial Unicode MS"/>
          <w:bCs/>
          <w:lang w:eastAsia="fr-FR" w:bidi="he-IL"/>
        </w:rPr>
        <w:t xml:space="preserve">, </w:t>
      </w:r>
      <w:r w:rsidRPr="00C8701B">
        <w:rPr>
          <w:rFonts w:eastAsia="Arial Unicode MS"/>
          <w:bCs/>
          <w:lang w:eastAsia="fr-FR" w:bidi="he-IL"/>
        </w:rPr>
        <w:t>etc.</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Dom Guéranger en a réuni un assez grand nombre dans son bel ouvrage</w:t>
      </w:r>
      <w:r w:rsidRPr="00DC4586">
        <w:rPr>
          <w:rStyle w:val="italicus"/>
        </w:rPr>
        <w:t xml:space="preserve"> L</w:t>
      </w:r>
      <w:r w:rsidR="00557DE0">
        <w:rPr>
          <w:rStyle w:val="italicus"/>
        </w:rPr>
        <w:t>’</w:t>
      </w:r>
      <w:r w:rsidRPr="00DC4586">
        <w:rPr>
          <w:rStyle w:val="italicus"/>
        </w:rPr>
        <w:t>année liturgique</w:t>
      </w:r>
      <w:r w:rsidR="00E65435">
        <w:rPr>
          <w:rStyle w:val="italicus"/>
        </w:rPr>
        <w:t xml:space="preserve">, </w:t>
      </w:r>
      <w:r w:rsidRPr="00C8701B">
        <w:rPr>
          <w:rFonts w:eastAsia="Arial Unicode MS"/>
          <w:bCs/>
          <w:lang w:eastAsia="fr-FR" w:bidi="he-IL"/>
        </w:rPr>
        <w:t>plusieurs fois réédité</w:t>
      </w:r>
      <w:r w:rsidR="00933C60" w:rsidRPr="00C406FF">
        <w:rPr>
          <w:rStyle w:val="Appelnotedebasdep"/>
        </w:rPr>
        <w:footnoteReference w:id="527"/>
      </w:r>
      <w:r w:rsidRPr="00C8701B">
        <w:rPr>
          <w:rFonts w:eastAsia="Arial Unicode MS"/>
          <w:bCs/>
          <w:lang w:eastAsia="fr-FR" w:bidi="he-IL"/>
        </w:rPr>
        <w:t>. Pour les poèmes latins</w:t>
      </w:r>
      <w:r w:rsidR="00E65435">
        <w:rPr>
          <w:rFonts w:eastAsia="Arial Unicode MS"/>
          <w:bCs/>
          <w:lang w:eastAsia="fr-FR" w:bidi="he-IL"/>
        </w:rPr>
        <w:t xml:space="preserve">, </w:t>
      </w:r>
      <w:r w:rsidRPr="00C8701B">
        <w:rPr>
          <w:rFonts w:eastAsia="Arial Unicode MS"/>
          <w:bCs/>
          <w:lang w:eastAsia="fr-FR" w:bidi="he-IL"/>
        </w:rPr>
        <w:t>nous possédons les excellents recueils de A. Daniel</w:t>
      </w:r>
      <w:r w:rsidR="00933C60" w:rsidRPr="00C406FF">
        <w:rPr>
          <w:rStyle w:val="Appelnotedebasdep"/>
        </w:rPr>
        <w:footnoteReference w:id="528"/>
      </w:r>
      <w:r w:rsidR="00C87A2B">
        <w:rPr>
          <w:rFonts w:eastAsia="Arial Unicode MS"/>
          <w:bCs/>
          <w:lang w:eastAsia="fr-FR" w:bidi="he-IL"/>
        </w:rPr>
        <w:t>,</w:t>
      </w:r>
      <w:r w:rsidR="00E65435">
        <w:rPr>
          <w:rFonts w:eastAsia="Arial Unicode MS"/>
          <w:bCs/>
          <w:lang w:eastAsia="fr-FR" w:bidi="he-IL"/>
        </w:rPr>
        <w:t xml:space="preserve"> </w:t>
      </w:r>
      <w:r w:rsidRPr="00C8701B">
        <w:rPr>
          <w:rFonts w:eastAsia="Arial Unicode MS"/>
          <w:bCs/>
          <w:lang w:eastAsia="fr-FR" w:bidi="he-IL"/>
        </w:rPr>
        <w:t>de F. J. Mone</w:t>
      </w:r>
      <w:r w:rsidR="00933C60" w:rsidRPr="00C406FF">
        <w:rPr>
          <w:rStyle w:val="Appelnotedebasdep"/>
        </w:rPr>
        <w:footnoteReference w:id="529"/>
      </w:r>
      <w:r w:rsidR="00E65435">
        <w:rPr>
          <w:rFonts w:eastAsia="Arial Unicode MS"/>
          <w:bCs/>
          <w:lang w:eastAsia="fr-FR" w:bidi="he-IL"/>
        </w:rPr>
        <w:t xml:space="preserve">, </w:t>
      </w:r>
      <w:r w:rsidRPr="00C8701B">
        <w:rPr>
          <w:rFonts w:eastAsia="Arial Unicode MS"/>
          <w:bCs/>
          <w:lang w:eastAsia="fr-FR" w:bidi="he-IL"/>
        </w:rPr>
        <w:t>de Trench</w:t>
      </w:r>
      <w:r w:rsidR="00933C60" w:rsidRPr="00C406FF">
        <w:rPr>
          <w:rStyle w:val="Appelnotedebasdep"/>
        </w:rPr>
        <w:footnoteReference w:id="530"/>
      </w:r>
      <w:r w:rsidR="00E65435">
        <w:rPr>
          <w:rFonts w:eastAsia="Arial Unicode MS"/>
          <w:bCs/>
          <w:lang w:eastAsia="fr-FR" w:bidi="he-IL"/>
        </w:rPr>
        <w:t xml:space="preserve">, </w:t>
      </w:r>
      <w:r w:rsidRPr="00C8701B">
        <w:rPr>
          <w:rFonts w:eastAsia="Arial Unicode MS"/>
          <w:bCs/>
          <w:lang w:eastAsia="fr-FR" w:bidi="he-IL"/>
        </w:rPr>
        <w:t>etc.</w:t>
      </w:r>
      <w:r w:rsidR="00E65435">
        <w:rPr>
          <w:rFonts w:eastAsia="Arial Unicode MS"/>
          <w:bCs/>
          <w:lang w:eastAsia="fr-FR" w:bidi="he-IL"/>
        </w:rPr>
        <w:t xml:space="preserve">, </w:t>
      </w:r>
      <w:r w:rsidRPr="00C8701B">
        <w:rPr>
          <w:rFonts w:eastAsia="Arial Unicode MS"/>
          <w:bCs/>
          <w:lang w:eastAsia="fr-FR" w:bidi="he-IL"/>
        </w:rPr>
        <w:t>en attendant celui que prépare M. Ulysse Chevalier pour les</w:t>
      </w:r>
      <w:r w:rsidR="0073405D">
        <w:rPr>
          <w:rStyle w:val="italicus"/>
        </w:rPr>
        <w:t xml:space="preserve"> Analecta Bollandiá</w:t>
      </w:r>
      <w:r w:rsidRPr="00DC4586">
        <w:rPr>
          <w:rStyle w:val="italicus"/>
        </w:rPr>
        <w:t>na</w:t>
      </w:r>
      <w:r w:rsidR="00E65435">
        <w:rPr>
          <w:rStyle w:val="italicus"/>
        </w:rPr>
        <w:t xml:space="preserve">, </w:t>
      </w:r>
      <w:r w:rsidRPr="00C8701B">
        <w:rPr>
          <w:rFonts w:eastAsia="Arial Unicode MS"/>
          <w:bCs/>
          <w:lang w:eastAsia="fr-FR" w:bidi="he-IL"/>
        </w:rPr>
        <w:t>où nous retrouverons toute l</w:t>
      </w:r>
      <w:r w:rsidR="00557DE0">
        <w:rPr>
          <w:rFonts w:eastAsia="Arial Unicode MS"/>
          <w:bCs/>
          <w:lang w:eastAsia="fr-FR" w:bidi="he-IL"/>
        </w:rPr>
        <w:t>’</w:t>
      </w:r>
      <w:r w:rsidRPr="00C8701B">
        <w:rPr>
          <w:rFonts w:eastAsia="Arial Unicode MS"/>
          <w:bCs/>
          <w:lang w:eastAsia="fr-FR" w:bidi="he-IL"/>
        </w:rPr>
        <w:t>érudition et l</w:t>
      </w:r>
      <w:r w:rsidR="00557DE0">
        <w:rPr>
          <w:rFonts w:eastAsia="Arial Unicode MS"/>
          <w:bCs/>
          <w:lang w:eastAsia="fr-FR" w:bidi="he-IL"/>
        </w:rPr>
        <w:t>’</w:t>
      </w:r>
      <w:r w:rsidRPr="00C8701B">
        <w:rPr>
          <w:rFonts w:eastAsia="Arial Unicode MS"/>
          <w:bCs/>
          <w:lang w:eastAsia="fr-FR" w:bidi="he-IL"/>
        </w:rPr>
        <w:t>exactitude du savant professeur des Facultés catholiques de Lyon.</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Les poètes auxquels nous devons les plus belles hymnes sur l</w:t>
      </w:r>
      <w:r w:rsidR="00557DE0">
        <w:rPr>
          <w:rFonts w:eastAsia="Arial Unicode MS"/>
          <w:bCs/>
          <w:lang w:eastAsia="fr-FR" w:bidi="he-IL"/>
        </w:rPr>
        <w:t>’</w:t>
      </w:r>
      <w:r w:rsidRPr="00C8701B">
        <w:rPr>
          <w:rFonts w:eastAsia="Arial Unicode MS"/>
          <w:bCs/>
          <w:lang w:eastAsia="fr-FR" w:bidi="he-IL"/>
        </w:rPr>
        <w:t>évangile sont</w:t>
      </w:r>
      <w:r w:rsidR="00C2602D" w:rsidRPr="00C8701B">
        <w:rPr>
          <w:rFonts w:eastAsia="Arial Unicode MS"/>
          <w:bCs/>
          <w:lang w:eastAsia="fr-FR" w:bidi="he-IL"/>
        </w:rPr>
        <w:t> :</w:t>
      </w:r>
      <w:r w:rsidRPr="00C8701B">
        <w:rPr>
          <w:rFonts w:eastAsia="Arial Unicode MS"/>
          <w:bCs/>
          <w:lang w:eastAsia="fr-FR" w:bidi="he-IL"/>
        </w:rPr>
        <w:t xml:space="preserve"> S. Ephrém</w:t>
      </w:r>
      <w:r w:rsidR="00E65435">
        <w:rPr>
          <w:rFonts w:eastAsia="Arial Unicode MS"/>
          <w:bCs/>
          <w:lang w:eastAsia="fr-FR" w:bidi="he-IL"/>
        </w:rPr>
        <w:t xml:space="preserve">, </w:t>
      </w:r>
      <w:r w:rsidRPr="00C8701B">
        <w:rPr>
          <w:rFonts w:eastAsia="Arial Unicode MS"/>
          <w:bCs/>
          <w:lang w:eastAsia="fr-FR" w:bidi="he-IL"/>
        </w:rPr>
        <w:t>S. Grégoire de Nazianze</w:t>
      </w:r>
      <w:r w:rsidR="00E65435">
        <w:rPr>
          <w:rFonts w:eastAsia="Arial Unicode MS"/>
          <w:bCs/>
          <w:lang w:eastAsia="fr-FR" w:bidi="he-IL"/>
        </w:rPr>
        <w:t xml:space="preserve">, </w:t>
      </w:r>
      <w:r w:rsidRPr="00C8701B">
        <w:rPr>
          <w:rFonts w:eastAsia="Arial Unicode MS"/>
          <w:bCs/>
          <w:lang w:eastAsia="fr-FR" w:bidi="he-IL"/>
        </w:rPr>
        <w:t>S. Hilaire</w:t>
      </w:r>
      <w:r w:rsidR="00E65435">
        <w:rPr>
          <w:rFonts w:eastAsia="Arial Unicode MS"/>
          <w:bCs/>
          <w:lang w:eastAsia="fr-FR" w:bidi="he-IL"/>
        </w:rPr>
        <w:t xml:space="preserve">, </w:t>
      </w:r>
      <w:r w:rsidRPr="00C8701B">
        <w:rPr>
          <w:rFonts w:eastAsia="Arial Unicode MS"/>
          <w:bCs/>
          <w:lang w:eastAsia="fr-FR" w:bidi="he-IL"/>
        </w:rPr>
        <w:t>S. Ambroise</w:t>
      </w:r>
      <w:r w:rsidR="00E65435">
        <w:rPr>
          <w:rFonts w:eastAsia="Arial Unicode MS"/>
          <w:bCs/>
          <w:lang w:eastAsia="fr-FR" w:bidi="he-IL"/>
        </w:rPr>
        <w:t xml:space="preserve">, </w:t>
      </w:r>
      <w:r w:rsidRPr="00C8701B">
        <w:rPr>
          <w:rFonts w:eastAsia="Arial Unicode MS"/>
          <w:bCs/>
          <w:lang w:eastAsia="fr-FR" w:bidi="he-IL"/>
        </w:rPr>
        <w:t>Prudence</w:t>
      </w:r>
      <w:r w:rsidR="00E65435">
        <w:rPr>
          <w:rFonts w:eastAsia="Arial Unicode MS"/>
          <w:bCs/>
          <w:lang w:eastAsia="fr-FR" w:bidi="he-IL"/>
        </w:rPr>
        <w:t xml:space="preserve">, </w:t>
      </w:r>
      <w:r w:rsidRPr="00C8701B">
        <w:rPr>
          <w:rFonts w:eastAsia="Arial Unicode MS"/>
          <w:bCs/>
          <w:lang w:eastAsia="fr-FR" w:bidi="he-IL"/>
        </w:rPr>
        <w:t>Sédulius</w:t>
      </w:r>
      <w:r w:rsidR="00E65435">
        <w:rPr>
          <w:rFonts w:eastAsia="Arial Unicode MS"/>
          <w:bCs/>
          <w:lang w:eastAsia="fr-FR" w:bidi="he-IL"/>
        </w:rPr>
        <w:t xml:space="preserve">, </w:t>
      </w:r>
      <w:r w:rsidRPr="00C8701B">
        <w:rPr>
          <w:rFonts w:eastAsia="Arial Unicode MS"/>
          <w:bCs/>
          <w:lang w:eastAsia="fr-FR" w:bidi="he-IL"/>
        </w:rPr>
        <w:t>Fortunat</w:t>
      </w:r>
      <w:r w:rsidR="00C2602D" w:rsidRPr="00C8701B">
        <w:rPr>
          <w:rFonts w:eastAsia="Arial Unicode MS"/>
          <w:bCs/>
          <w:lang w:eastAsia="fr-FR" w:bidi="he-IL"/>
        </w:rPr>
        <w:t> :</w:t>
      </w:r>
      <w:r w:rsidRPr="00C8701B">
        <w:rPr>
          <w:rFonts w:eastAsia="Arial Unicode MS"/>
          <w:bCs/>
          <w:lang w:eastAsia="fr-FR" w:bidi="he-IL"/>
        </w:rPr>
        <w:t xml:space="preserve"> noble pléiade</w:t>
      </w:r>
      <w:r w:rsidR="00E65435">
        <w:rPr>
          <w:rFonts w:eastAsia="Arial Unicode MS"/>
          <w:bCs/>
          <w:lang w:eastAsia="fr-FR" w:bidi="he-IL"/>
        </w:rPr>
        <w:t xml:space="preserve">, </w:t>
      </w:r>
      <w:r w:rsidRPr="00C8701B">
        <w:rPr>
          <w:rFonts w:eastAsia="Arial Unicode MS"/>
          <w:bCs/>
          <w:lang w:eastAsia="fr-FR" w:bidi="he-IL"/>
        </w:rPr>
        <w:t>comme on voit</w:t>
      </w:r>
      <w:r w:rsidR="00933C60" w:rsidRPr="00C406FF">
        <w:rPr>
          <w:rStyle w:val="Appelnotedebasdep"/>
        </w:rPr>
        <w:footnoteReference w:id="531"/>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2. Parmi les compositions lyriques relatives aux évangiles</w:t>
      </w:r>
      <w:r w:rsidR="00E65435">
        <w:rPr>
          <w:rFonts w:eastAsia="Arial Unicode MS"/>
          <w:bCs/>
          <w:lang w:eastAsia="fr-FR" w:bidi="he-IL"/>
        </w:rPr>
        <w:t xml:space="preserve">, </w:t>
      </w:r>
      <w:r w:rsidRPr="00C8701B">
        <w:rPr>
          <w:rFonts w:eastAsia="Arial Unicode MS"/>
          <w:bCs/>
          <w:lang w:eastAsia="fr-FR" w:bidi="he-IL"/>
        </w:rPr>
        <w:t>il faut compter</w:t>
      </w:r>
      <w:r w:rsidR="00E65435">
        <w:rPr>
          <w:rFonts w:eastAsia="Arial Unicode MS"/>
          <w:bCs/>
          <w:lang w:eastAsia="fr-FR" w:bidi="he-IL"/>
        </w:rPr>
        <w:t xml:space="preserve">, </w:t>
      </w:r>
      <w:r w:rsidRPr="00C8701B">
        <w:rPr>
          <w:rFonts w:eastAsia="Arial Unicode MS"/>
          <w:bCs/>
          <w:lang w:eastAsia="fr-FR" w:bidi="he-IL"/>
        </w:rPr>
        <w:t>en second lieu</w:t>
      </w:r>
      <w:r w:rsidR="00E65435">
        <w:rPr>
          <w:rFonts w:eastAsia="Arial Unicode MS"/>
          <w:bCs/>
          <w:lang w:eastAsia="fr-FR" w:bidi="he-IL"/>
        </w:rPr>
        <w:t xml:space="preserve">, </w:t>
      </w:r>
      <w:r w:rsidRPr="00C8701B">
        <w:rPr>
          <w:rFonts w:eastAsia="Arial Unicode MS"/>
          <w:bCs/>
          <w:lang w:eastAsia="fr-FR" w:bidi="he-IL"/>
        </w:rPr>
        <w:t xml:space="preserve">ces </w:t>
      </w:r>
      <w:r w:rsidR="0073405D" w:rsidRPr="00C8701B">
        <w:rPr>
          <w:rFonts w:eastAsia="Arial Unicode MS"/>
          <w:bCs/>
          <w:lang w:eastAsia="fr-FR" w:bidi="he-IL"/>
        </w:rPr>
        <w:t>milliers</w:t>
      </w:r>
      <w:r w:rsidRPr="00C8701B">
        <w:rPr>
          <w:rFonts w:eastAsia="Arial Unicode MS"/>
          <w:bCs/>
          <w:lang w:eastAsia="fr-FR" w:bidi="he-IL"/>
        </w:rPr>
        <w:t xml:space="preserve"> de petits poèmes et de cantiques</w:t>
      </w:r>
      <w:r w:rsidR="00E65435">
        <w:rPr>
          <w:rFonts w:eastAsia="Arial Unicode MS"/>
          <w:bCs/>
          <w:lang w:eastAsia="fr-FR" w:bidi="he-IL"/>
        </w:rPr>
        <w:t xml:space="preserve">, </w:t>
      </w:r>
      <w:r w:rsidRPr="00C8701B">
        <w:rPr>
          <w:rFonts w:eastAsia="Arial Unicode MS"/>
          <w:bCs/>
          <w:lang w:eastAsia="fr-FR" w:bidi="he-IL"/>
        </w:rPr>
        <w:t>tantôt graves</w:t>
      </w:r>
      <w:r w:rsidR="00E65435">
        <w:rPr>
          <w:rFonts w:eastAsia="Arial Unicode MS"/>
          <w:bCs/>
          <w:lang w:eastAsia="fr-FR" w:bidi="he-IL"/>
        </w:rPr>
        <w:t xml:space="preserve">, </w:t>
      </w:r>
      <w:r w:rsidRPr="00C8701B">
        <w:rPr>
          <w:rFonts w:eastAsia="Arial Unicode MS"/>
          <w:bCs/>
          <w:lang w:eastAsia="fr-FR" w:bidi="he-IL"/>
        </w:rPr>
        <w:t>tantôt naïfs</w:t>
      </w:r>
      <w:r w:rsidR="00E65435">
        <w:rPr>
          <w:rFonts w:eastAsia="Arial Unicode MS"/>
          <w:bCs/>
          <w:lang w:eastAsia="fr-FR" w:bidi="he-IL"/>
        </w:rPr>
        <w:t xml:space="preserve">, </w:t>
      </w:r>
      <w:r w:rsidRPr="00C8701B">
        <w:rPr>
          <w:rFonts w:eastAsia="Arial Unicode MS"/>
          <w:bCs/>
          <w:lang w:eastAsia="fr-FR" w:bidi="he-IL"/>
        </w:rPr>
        <w:t>tantôt très élevés</w:t>
      </w:r>
      <w:r w:rsidR="00E65435">
        <w:rPr>
          <w:rFonts w:eastAsia="Arial Unicode MS"/>
          <w:bCs/>
          <w:lang w:eastAsia="fr-FR" w:bidi="he-IL"/>
        </w:rPr>
        <w:t xml:space="preserve">, </w:t>
      </w:r>
      <w:r w:rsidRPr="00C8701B">
        <w:rPr>
          <w:rFonts w:eastAsia="Arial Unicode MS"/>
          <w:bCs/>
          <w:lang w:eastAsia="fr-FR" w:bidi="he-IL"/>
        </w:rPr>
        <w:t>tantôt d</w:t>
      </w:r>
      <w:r w:rsidR="00557DE0">
        <w:rPr>
          <w:rFonts w:eastAsia="Arial Unicode MS"/>
          <w:bCs/>
          <w:lang w:eastAsia="fr-FR" w:bidi="he-IL"/>
        </w:rPr>
        <w:t>’</w:t>
      </w:r>
      <w:r w:rsidRPr="00C8701B">
        <w:rPr>
          <w:rFonts w:eastAsia="Arial Unicode MS"/>
          <w:bCs/>
          <w:lang w:eastAsia="fr-FR" w:bidi="he-IL"/>
        </w:rPr>
        <w:t>un genre tout à fait populaire</w:t>
      </w:r>
      <w:r w:rsidR="00E65435">
        <w:rPr>
          <w:rFonts w:eastAsia="Arial Unicode MS"/>
          <w:bCs/>
          <w:lang w:eastAsia="fr-FR" w:bidi="he-IL"/>
        </w:rPr>
        <w:t xml:space="preserve">, </w:t>
      </w:r>
      <w:r w:rsidRPr="00C8701B">
        <w:rPr>
          <w:rFonts w:eastAsia="Arial Unicode MS"/>
          <w:bCs/>
          <w:lang w:eastAsia="fr-FR" w:bidi="he-IL"/>
        </w:rPr>
        <w:t>tantôt légendaires</w:t>
      </w:r>
      <w:r w:rsidR="00E65435">
        <w:rPr>
          <w:rFonts w:eastAsia="Arial Unicode MS"/>
          <w:bCs/>
          <w:lang w:eastAsia="fr-FR" w:bidi="he-IL"/>
        </w:rPr>
        <w:t xml:space="preserve">, </w:t>
      </w:r>
      <w:r w:rsidRPr="00C8701B">
        <w:rPr>
          <w:rFonts w:eastAsia="Arial Unicode MS"/>
          <w:bCs/>
          <w:lang w:eastAsia="fr-FR" w:bidi="he-IL"/>
        </w:rPr>
        <w:t>tantôt fidèlement historiques</w:t>
      </w:r>
      <w:r w:rsidR="00E65435">
        <w:rPr>
          <w:rFonts w:eastAsia="Arial Unicode MS"/>
          <w:bCs/>
          <w:lang w:eastAsia="fr-FR" w:bidi="he-IL"/>
        </w:rPr>
        <w:t xml:space="preserve">, </w:t>
      </w:r>
      <w:r w:rsidRPr="00C8701B">
        <w:rPr>
          <w:rFonts w:eastAsia="Arial Unicode MS"/>
          <w:bCs/>
          <w:lang w:eastAsia="fr-FR" w:bidi="he-IL"/>
        </w:rPr>
        <w:t>qui ont été composés à partir du moyen âge dans les différentes langues de l</w:t>
      </w:r>
      <w:r w:rsidR="00557DE0">
        <w:rPr>
          <w:rFonts w:eastAsia="Arial Unicode MS"/>
          <w:bCs/>
          <w:lang w:eastAsia="fr-FR" w:bidi="he-IL"/>
        </w:rPr>
        <w:t>’</w:t>
      </w:r>
      <w:r w:rsidRPr="00C8701B">
        <w:rPr>
          <w:rFonts w:eastAsia="Arial Unicode MS"/>
          <w:bCs/>
          <w:lang w:eastAsia="fr-FR" w:bidi="he-IL"/>
        </w:rPr>
        <w:t>Europe. Ils forment</w:t>
      </w:r>
      <w:r w:rsidR="00E65435">
        <w:rPr>
          <w:rFonts w:eastAsia="Arial Unicode MS"/>
          <w:bCs/>
          <w:lang w:eastAsia="fr-FR" w:bidi="he-IL"/>
        </w:rPr>
        <w:t xml:space="preserve">, </w:t>
      </w:r>
      <w:r w:rsidRPr="00C8701B">
        <w:rPr>
          <w:rFonts w:eastAsia="Arial Unicode MS"/>
          <w:bCs/>
          <w:lang w:eastAsia="fr-FR" w:bidi="he-IL"/>
        </w:rPr>
        <w:t>à eux seuls</w:t>
      </w:r>
      <w:r w:rsidR="00E65435">
        <w:rPr>
          <w:rFonts w:eastAsia="Arial Unicode MS"/>
          <w:bCs/>
          <w:lang w:eastAsia="fr-FR" w:bidi="he-IL"/>
        </w:rPr>
        <w:t xml:space="preserve">, </w:t>
      </w:r>
      <w:r w:rsidRPr="00C8701B">
        <w:rPr>
          <w:rFonts w:eastAsia="Arial Unicode MS"/>
          <w:bCs/>
          <w:lang w:eastAsia="fr-FR" w:bidi="he-IL"/>
        </w:rPr>
        <w:t>une littérature à part</w:t>
      </w:r>
      <w:r w:rsidR="00E65435">
        <w:rPr>
          <w:rFonts w:eastAsia="Arial Unicode MS"/>
          <w:bCs/>
          <w:lang w:eastAsia="fr-FR" w:bidi="he-IL"/>
        </w:rPr>
        <w:t xml:space="preserve">, </w:t>
      </w:r>
      <w:r w:rsidRPr="00C8701B">
        <w:rPr>
          <w:rFonts w:eastAsia="Arial Unicode MS"/>
          <w:bCs/>
          <w:lang w:eastAsia="fr-FR" w:bidi="he-IL"/>
        </w:rPr>
        <w:t>des plus intéressantes à étudier. En les réunissant</w:t>
      </w:r>
      <w:r w:rsidR="00E65435">
        <w:rPr>
          <w:rFonts w:eastAsia="Arial Unicode MS"/>
          <w:bCs/>
          <w:lang w:eastAsia="fr-FR" w:bidi="he-IL"/>
        </w:rPr>
        <w:t xml:space="preserve">, </w:t>
      </w:r>
      <w:r w:rsidRPr="00C8701B">
        <w:rPr>
          <w:rFonts w:eastAsia="Arial Unicode MS"/>
          <w:bCs/>
          <w:lang w:eastAsia="fr-FR" w:bidi="he-IL"/>
        </w:rPr>
        <w:t xml:space="preserve">on reproduirait un gracieux </w:t>
      </w:r>
      <w:r w:rsidR="000439E9">
        <w:rPr>
          <w:rFonts w:eastAsia="Arial Unicode MS"/>
          <w:bCs/>
          <w:lang w:eastAsia="fr-FR" w:bidi="he-IL"/>
        </w:rPr>
        <w:t>Évangile</w:t>
      </w:r>
      <w:r w:rsidRPr="00C8701B">
        <w:rPr>
          <w:rFonts w:eastAsia="Arial Unicode MS"/>
          <w:bCs/>
          <w:lang w:eastAsia="fr-FR" w:bidi="he-IL"/>
        </w:rPr>
        <w:t xml:space="preserve"> poétique</w:t>
      </w:r>
      <w:r w:rsidR="00C5053A">
        <w:rPr>
          <w:rFonts w:eastAsia="Arial Unicode MS"/>
          <w:bCs/>
          <w:lang w:eastAsia="fr-FR" w:bidi="he-IL"/>
        </w:rPr>
        <w:t xml:space="preserve">. </w:t>
      </w:r>
      <w:r w:rsidR="00366671">
        <w:rPr>
          <w:rFonts w:eastAsia="Arial Unicode MS"/>
          <w:bCs/>
          <w:lang w:eastAsia="fr-FR" w:bidi="he-IL"/>
        </w:rPr>
        <w:t>{102</w:t>
      </w:r>
      <w:bookmarkStart w:id="157" w:name="pag102"/>
      <w:bookmarkEnd w:id="157"/>
      <w:r w:rsidR="00366671">
        <w:rPr>
          <w:rFonts w:eastAsia="Arial Unicode MS"/>
          <w:bCs/>
          <w:lang w:eastAsia="fr-FR" w:bidi="he-IL"/>
        </w:rPr>
        <w:t xml:space="preserve">} </w:t>
      </w:r>
      <w:r w:rsidR="00C5053A">
        <w:rPr>
          <w:rFonts w:eastAsia="Arial Unicode MS"/>
          <w:bCs/>
          <w:lang w:eastAsia="fr-FR" w:bidi="he-IL"/>
        </w:rPr>
        <w:t xml:space="preserve">Ils </w:t>
      </w:r>
      <w:r w:rsidRPr="00C8701B">
        <w:rPr>
          <w:rFonts w:eastAsia="Arial Unicode MS"/>
          <w:bCs/>
          <w:lang w:eastAsia="fr-FR" w:bidi="he-IL"/>
        </w:rPr>
        <w:t>abondent surtout en Italie</w:t>
      </w:r>
      <w:r w:rsidR="00E65435">
        <w:rPr>
          <w:rFonts w:eastAsia="Arial Unicode MS"/>
          <w:bCs/>
          <w:lang w:eastAsia="fr-FR" w:bidi="he-IL"/>
        </w:rPr>
        <w:t xml:space="preserve">, </w:t>
      </w:r>
      <w:r w:rsidRPr="00C8701B">
        <w:rPr>
          <w:rFonts w:eastAsia="Arial Unicode MS"/>
          <w:bCs/>
          <w:lang w:eastAsia="fr-FR" w:bidi="he-IL"/>
        </w:rPr>
        <w:t>en Espagne</w:t>
      </w:r>
      <w:r w:rsidR="00E65435">
        <w:rPr>
          <w:rFonts w:eastAsia="Arial Unicode MS"/>
          <w:bCs/>
          <w:lang w:eastAsia="fr-FR" w:bidi="he-IL"/>
        </w:rPr>
        <w:t xml:space="preserve">, </w:t>
      </w:r>
      <w:r w:rsidRPr="00C8701B">
        <w:rPr>
          <w:rFonts w:eastAsia="Arial Unicode MS"/>
          <w:bCs/>
          <w:lang w:eastAsia="fr-FR" w:bidi="he-IL"/>
        </w:rPr>
        <w:t>en Allemagne</w:t>
      </w:r>
      <w:r w:rsidR="00933C60" w:rsidRPr="00C406FF">
        <w:rPr>
          <w:rStyle w:val="Appelnotedebasdep"/>
        </w:rPr>
        <w:footnoteReference w:id="532"/>
      </w:r>
      <w:r w:rsidRPr="00C8701B">
        <w:rPr>
          <w:rFonts w:eastAsia="Arial Unicode MS"/>
          <w:bCs/>
          <w:lang w:eastAsia="fr-FR" w:bidi="he-IL"/>
        </w:rPr>
        <w:t>. Les patois de la</w:t>
      </w:r>
      <w:r w:rsidR="00BB47C1">
        <w:rPr>
          <w:rFonts w:eastAsia="Arial Unicode MS"/>
          <w:bCs/>
          <w:lang w:eastAsia="fr-FR" w:bidi="he-IL"/>
        </w:rPr>
        <w:t xml:space="preserve"> </w:t>
      </w:r>
      <w:r w:rsidRPr="00C8701B">
        <w:rPr>
          <w:rFonts w:eastAsia="Arial Unicode MS"/>
          <w:bCs/>
          <w:lang w:eastAsia="fr-FR" w:bidi="he-IL"/>
        </w:rPr>
        <w:t>France en fournissent un contingent considérable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mais</w:t>
      </w:r>
      <w:r w:rsidR="00E65435">
        <w:rPr>
          <w:rFonts w:eastAsia="Arial Unicode MS"/>
          <w:bCs/>
          <w:lang w:eastAsia="fr-FR" w:bidi="he-IL"/>
        </w:rPr>
        <w:t xml:space="preserve">, </w:t>
      </w:r>
      <w:r w:rsidRPr="00C8701B">
        <w:rPr>
          <w:rFonts w:eastAsia="Arial Unicode MS"/>
          <w:bCs/>
          <w:lang w:eastAsia="fr-FR" w:bidi="he-IL"/>
        </w:rPr>
        <w:t>en se bornant simplement aux poésies de ce genre composées dans notre langue classique</w:t>
      </w:r>
      <w:r w:rsidR="00E65435">
        <w:rPr>
          <w:rFonts w:eastAsia="Arial Unicode MS"/>
          <w:bCs/>
          <w:lang w:eastAsia="fr-FR" w:bidi="he-IL"/>
        </w:rPr>
        <w:t xml:space="preserve">, </w:t>
      </w:r>
      <w:r w:rsidRPr="00C8701B">
        <w:rPr>
          <w:rFonts w:eastAsia="Arial Unicode MS"/>
          <w:bCs/>
          <w:lang w:eastAsia="fr-FR" w:bidi="he-IL"/>
        </w:rPr>
        <w:t xml:space="preserve">on formerait un très </w:t>
      </w:r>
      <w:r w:rsidR="0073405D" w:rsidRPr="00C8701B">
        <w:rPr>
          <w:rFonts w:eastAsia="Arial Unicode MS"/>
          <w:bCs/>
          <w:lang w:eastAsia="fr-FR" w:bidi="he-IL"/>
        </w:rPr>
        <w:t>beau volume</w:t>
      </w:r>
      <w:r w:rsidRPr="00C8701B">
        <w:rPr>
          <w:rFonts w:eastAsia="Arial Unicode MS"/>
          <w:bCs/>
          <w:lang w:eastAsia="fr-FR" w:bidi="he-IL"/>
        </w:rPr>
        <w:t>.</w:t>
      </w:r>
      <w:r w:rsidR="00C2602D" w:rsidRPr="00C8701B">
        <w:rPr>
          <w:rFonts w:eastAsia="Arial Unicode MS"/>
          <w:bCs/>
          <w:lang w:eastAsia="fr-FR" w:bidi="he-IL"/>
        </w:rPr>
        <w:t xml:space="preserve"> </w:t>
      </w:r>
    </w:p>
    <w:p w:rsidR="0073405D" w:rsidRDefault="00B704AD" w:rsidP="00C2602D">
      <w:pPr>
        <w:rPr>
          <w:rFonts w:eastAsia="Arial Unicode MS"/>
          <w:bCs/>
          <w:lang w:eastAsia="fr-FR" w:bidi="he-IL"/>
        </w:rPr>
      </w:pPr>
      <w:r w:rsidRPr="00C8701B">
        <w:rPr>
          <w:rFonts w:eastAsia="Arial Unicode MS"/>
          <w:bCs/>
          <w:lang w:eastAsia="fr-FR" w:bidi="he-IL"/>
        </w:rPr>
        <w:t>Les scènes de l</w:t>
      </w:r>
      <w:r w:rsidR="00557DE0">
        <w:rPr>
          <w:rFonts w:eastAsia="Arial Unicode MS"/>
          <w:bCs/>
          <w:lang w:eastAsia="fr-FR" w:bidi="he-IL"/>
        </w:rPr>
        <w:t>’</w:t>
      </w:r>
      <w:r w:rsidRPr="00C8701B">
        <w:rPr>
          <w:rFonts w:eastAsia="Arial Unicode MS"/>
          <w:bCs/>
          <w:lang w:eastAsia="fr-FR" w:bidi="he-IL"/>
        </w:rPr>
        <w:t>enfance de Jésus et de sa passion ont été le plus souvent chantées. La vie publique se prêtait moins à l</w:t>
      </w:r>
      <w:r w:rsidR="00557DE0">
        <w:rPr>
          <w:rFonts w:eastAsia="Arial Unicode MS"/>
          <w:bCs/>
          <w:lang w:eastAsia="fr-FR" w:bidi="he-IL"/>
        </w:rPr>
        <w:t>’</w:t>
      </w:r>
      <w:r w:rsidRPr="00C8701B">
        <w:rPr>
          <w:rFonts w:eastAsia="Arial Unicode MS"/>
          <w:bCs/>
          <w:lang w:eastAsia="fr-FR" w:bidi="he-IL"/>
        </w:rPr>
        <w:t>essor lyrique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néanmoins</w:t>
      </w:r>
      <w:r w:rsidR="00E65435">
        <w:rPr>
          <w:rFonts w:eastAsia="Arial Unicode MS"/>
          <w:bCs/>
          <w:lang w:eastAsia="fr-FR" w:bidi="he-IL"/>
        </w:rPr>
        <w:t xml:space="preserve">, </w:t>
      </w:r>
      <w:r w:rsidRPr="00C8701B">
        <w:rPr>
          <w:rFonts w:eastAsia="Arial Unicode MS"/>
          <w:bCs/>
          <w:lang w:eastAsia="fr-FR" w:bidi="he-IL"/>
        </w:rPr>
        <w:t xml:space="preserve">il y aurait une riche gerbe à glaner sur ce terrain. </w:t>
      </w:r>
    </w:p>
    <w:p w:rsidR="00C2602D" w:rsidRDefault="00B704AD" w:rsidP="0073405D">
      <w:pPr>
        <w:rPr>
          <w:rFonts w:eastAsia="Arial Unicode MS"/>
          <w:bCs/>
          <w:lang w:eastAsia="fr-FR" w:bidi="he-IL"/>
        </w:rPr>
      </w:pPr>
      <w:r w:rsidRPr="00C8701B">
        <w:rPr>
          <w:rFonts w:eastAsia="Arial Unicode MS"/>
          <w:bCs/>
          <w:lang w:eastAsia="fr-FR" w:bidi="he-IL"/>
        </w:rPr>
        <w:t>B. Les poèmes épiques ne manquent pas non plus sur ce glorieux</w:t>
      </w:r>
      <w:r w:rsidR="00C2602D" w:rsidRPr="00C8701B">
        <w:rPr>
          <w:rFonts w:eastAsia="Arial Unicode MS"/>
          <w:bCs/>
          <w:lang w:eastAsia="fr-FR" w:bidi="he-IL"/>
        </w:rPr>
        <w:t xml:space="preserve"> </w:t>
      </w:r>
      <w:r w:rsidR="0073405D">
        <w:rPr>
          <w:rFonts w:eastAsia="Arial Unicode MS"/>
          <w:bCs/>
          <w:lang w:eastAsia="fr-FR" w:bidi="he-IL"/>
        </w:rPr>
        <w:t>sujet. « Dès que l</w:t>
      </w:r>
      <w:r w:rsidR="00557DE0">
        <w:rPr>
          <w:rFonts w:eastAsia="Arial Unicode MS"/>
          <w:bCs/>
          <w:lang w:eastAsia="fr-FR" w:bidi="he-IL"/>
        </w:rPr>
        <w:t>’</w:t>
      </w:r>
      <w:r w:rsidR="0073405D" w:rsidRPr="0073405D">
        <w:rPr>
          <w:rFonts w:eastAsia="Arial Unicode MS"/>
          <w:bCs/>
          <w:lang w:eastAsia="fr-FR" w:bidi="he-IL"/>
        </w:rPr>
        <w:t>art, dit Karl Hase</w:t>
      </w:r>
      <w:r w:rsidR="0073405D">
        <w:rPr>
          <w:rStyle w:val="Appelnotedebasdep"/>
          <w:rFonts w:eastAsia="Arial Unicode MS"/>
          <w:bCs/>
          <w:lang w:eastAsia="fr-FR" w:bidi="he-IL"/>
        </w:rPr>
        <w:footnoteReference w:id="533"/>
      </w:r>
      <w:r w:rsidR="0073405D" w:rsidRPr="0073405D">
        <w:rPr>
          <w:rFonts w:eastAsia="Arial Unicode MS"/>
          <w:bCs/>
          <w:lang w:eastAsia="fr-FR" w:bidi="he-IL"/>
        </w:rPr>
        <w:t>, eut acquis droit de cité dans l</w:t>
      </w:r>
      <w:r w:rsidR="00557DE0">
        <w:rPr>
          <w:rFonts w:eastAsia="Arial Unicode MS"/>
          <w:bCs/>
          <w:lang w:eastAsia="fr-FR" w:bidi="he-IL"/>
        </w:rPr>
        <w:t>’</w:t>
      </w:r>
      <w:r w:rsidR="00EA28F4" w:rsidRPr="0073405D">
        <w:rPr>
          <w:rFonts w:eastAsia="Arial Unicode MS"/>
          <w:bCs/>
          <w:lang w:eastAsia="fr-FR" w:bidi="he-IL"/>
        </w:rPr>
        <w:t>Église</w:t>
      </w:r>
      <w:r w:rsidR="0073405D" w:rsidRPr="0073405D">
        <w:rPr>
          <w:rFonts w:eastAsia="Arial Unicode MS"/>
          <w:bCs/>
          <w:lang w:eastAsia="fr-FR" w:bidi="he-IL"/>
        </w:rPr>
        <w:t>, l</w:t>
      </w:r>
      <w:r w:rsidR="00557DE0">
        <w:rPr>
          <w:rFonts w:eastAsia="Arial Unicode MS"/>
          <w:bCs/>
          <w:lang w:eastAsia="fr-FR" w:bidi="he-IL"/>
        </w:rPr>
        <w:t>’</w:t>
      </w:r>
      <w:r w:rsidR="0073405D" w:rsidRPr="0073405D">
        <w:rPr>
          <w:rFonts w:eastAsia="Arial Unicode MS"/>
          <w:bCs/>
          <w:lang w:eastAsia="fr-FR" w:bidi="he-IL"/>
        </w:rPr>
        <w:t>histoire de Jésus fut représentée sous forme d</w:t>
      </w:r>
      <w:r w:rsidR="00557DE0">
        <w:rPr>
          <w:rFonts w:eastAsia="Arial Unicode MS"/>
          <w:bCs/>
          <w:lang w:eastAsia="fr-FR" w:bidi="he-IL"/>
        </w:rPr>
        <w:t>’</w:t>
      </w:r>
      <w:r w:rsidR="0073405D">
        <w:rPr>
          <w:rFonts w:eastAsia="Arial Unicode MS"/>
          <w:bCs/>
          <w:lang w:eastAsia="fr-FR" w:bidi="he-IL"/>
        </w:rPr>
        <w:t>épopée »</w:t>
      </w:r>
      <w:r w:rsidR="0073405D" w:rsidRPr="0073405D">
        <w:rPr>
          <w:rFonts w:eastAsia="Arial Unicode MS"/>
          <w:bCs/>
          <w:lang w:eastAsia="fr-FR" w:bidi="he-IL"/>
        </w:rPr>
        <w:t>. Mais, nous l</w:t>
      </w:r>
      <w:r w:rsidR="00557DE0">
        <w:rPr>
          <w:rFonts w:eastAsia="Arial Unicode MS"/>
          <w:bCs/>
          <w:lang w:eastAsia="fr-FR" w:bidi="he-IL"/>
        </w:rPr>
        <w:t>’</w:t>
      </w:r>
      <w:r w:rsidR="0073405D">
        <w:rPr>
          <w:rFonts w:eastAsia="Arial Unicode MS"/>
          <w:bCs/>
          <w:lang w:eastAsia="fr-FR" w:bidi="he-IL"/>
        </w:rPr>
        <w:t>avouons dès l</w:t>
      </w:r>
      <w:r w:rsidR="00557DE0">
        <w:rPr>
          <w:rFonts w:eastAsia="Arial Unicode MS"/>
          <w:bCs/>
          <w:lang w:eastAsia="fr-FR" w:bidi="he-IL"/>
        </w:rPr>
        <w:t>’</w:t>
      </w:r>
      <w:r w:rsidR="0073405D" w:rsidRPr="0073405D">
        <w:rPr>
          <w:rFonts w:eastAsia="Arial Unicode MS"/>
          <w:bCs/>
          <w:lang w:eastAsia="fr-FR" w:bidi="he-IL"/>
        </w:rPr>
        <w:t>abord, les poètes chrétiens ont beaucoup moins bien</w:t>
      </w:r>
      <w:r w:rsidR="0073405D">
        <w:rPr>
          <w:rFonts w:eastAsia="Arial Unicode MS"/>
          <w:bCs/>
          <w:lang w:eastAsia="fr-FR" w:bidi="he-IL"/>
        </w:rPr>
        <w:t xml:space="preserve"> </w:t>
      </w:r>
      <w:r w:rsidRPr="00C8701B">
        <w:rPr>
          <w:rFonts w:eastAsia="Arial Unicode MS"/>
          <w:bCs/>
          <w:lang w:eastAsia="fr-FR" w:bidi="he-IL"/>
        </w:rPr>
        <w:t>réussi dans ce genre que dans le précédent</w:t>
      </w:r>
      <w:r w:rsidR="00C2602D" w:rsidRPr="00C8701B">
        <w:rPr>
          <w:rFonts w:eastAsia="Arial Unicode MS"/>
          <w:bCs/>
          <w:lang w:eastAsia="fr-FR" w:bidi="he-IL"/>
        </w:rPr>
        <w:t> :</w:t>
      </w:r>
      <w:r w:rsidR="0073405D">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ailleurs</w:t>
      </w:r>
      <w:r w:rsidR="00E65435">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 ici spécialement qu</w:t>
      </w:r>
      <w:r w:rsidR="00557DE0">
        <w:rPr>
          <w:rFonts w:eastAsia="Arial Unicode MS"/>
          <w:bCs/>
          <w:lang w:eastAsia="fr-FR" w:bidi="he-IL"/>
        </w:rPr>
        <w:t>’</w:t>
      </w:r>
      <w:r w:rsidRPr="00C8701B">
        <w:rPr>
          <w:rFonts w:eastAsia="Arial Unicode MS"/>
          <w:bCs/>
          <w:lang w:eastAsia="fr-FR" w:bidi="he-IL"/>
        </w:rPr>
        <w:t>existent les écueils dont parle M. Nettement</w:t>
      </w:r>
      <w:r w:rsidR="00E65435">
        <w:rPr>
          <w:rFonts w:eastAsia="Arial Unicode MS"/>
          <w:bCs/>
          <w:lang w:eastAsia="fr-FR" w:bidi="he-IL"/>
        </w:rPr>
        <w:t xml:space="preserve">, </w:t>
      </w:r>
      <w:r w:rsidRPr="00C8701B">
        <w:rPr>
          <w:rFonts w:eastAsia="Arial Unicode MS"/>
          <w:bCs/>
          <w:lang w:eastAsia="fr-FR" w:bidi="he-IL"/>
        </w:rPr>
        <w:t>et plus d</w:t>
      </w:r>
      <w:r w:rsidR="00557DE0">
        <w:rPr>
          <w:rFonts w:eastAsia="Arial Unicode MS"/>
          <w:bCs/>
          <w:lang w:eastAsia="fr-FR" w:bidi="he-IL"/>
        </w:rPr>
        <w:t>’</w:t>
      </w:r>
      <w:r w:rsidRPr="00C8701B">
        <w:rPr>
          <w:rFonts w:eastAsia="Arial Unicode MS"/>
          <w:bCs/>
          <w:lang w:eastAsia="fr-FR" w:bidi="he-IL"/>
        </w:rPr>
        <w:t>un littérateur est venu se briser contre eux. Celles des épopées évangéliques qui ne sont pas des traductions</w:t>
      </w:r>
      <w:r w:rsidR="00E65435">
        <w:rPr>
          <w:rFonts w:eastAsia="Arial Unicode MS"/>
          <w:bCs/>
          <w:lang w:eastAsia="fr-FR" w:bidi="he-IL"/>
        </w:rPr>
        <w:t xml:space="preserve">, </w:t>
      </w:r>
      <w:r w:rsidRPr="00C8701B">
        <w:rPr>
          <w:rFonts w:eastAsia="Arial Unicode MS"/>
          <w:bCs/>
          <w:lang w:eastAsia="fr-FR" w:bidi="he-IL"/>
        </w:rPr>
        <w:t>ou plutôt des paraphrases monotones</w:t>
      </w:r>
      <w:r w:rsidR="00E65435">
        <w:rPr>
          <w:rFonts w:eastAsia="Arial Unicode MS"/>
          <w:bCs/>
          <w:lang w:eastAsia="fr-FR" w:bidi="he-IL"/>
        </w:rPr>
        <w:t xml:space="preserve">, </w:t>
      </w:r>
      <w:r w:rsidRPr="00C8701B">
        <w:rPr>
          <w:rFonts w:eastAsia="Arial Unicode MS"/>
          <w:bCs/>
          <w:lang w:eastAsia="fr-FR" w:bidi="he-IL"/>
        </w:rPr>
        <w:t>tombent trop souvent dans l</w:t>
      </w:r>
      <w:r w:rsidR="00557DE0">
        <w:rPr>
          <w:rFonts w:eastAsia="Arial Unicode MS"/>
          <w:bCs/>
          <w:lang w:eastAsia="fr-FR" w:bidi="he-IL"/>
        </w:rPr>
        <w:t>’</w:t>
      </w:r>
      <w:r w:rsidRPr="00C8701B">
        <w:rPr>
          <w:rFonts w:eastAsia="Arial Unicode MS"/>
          <w:bCs/>
          <w:lang w:eastAsia="fr-FR" w:bidi="he-IL"/>
        </w:rPr>
        <w:t>humain</w:t>
      </w:r>
      <w:r w:rsidR="00E65435">
        <w:rPr>
          <w:rFonts w:eastAsia="Arial Unicode MS"/>
          <w:bCs/>
          <w:lang w:eastAsia="fr-FR" w:bidi="he-IL"/>
        </w:rPr>
        <w:t xml:space="preserve">, </w:t>
      </w:r>
      <w:r w:rsidRPr="00C8701B">
        <w:rPr>
          <w:rFonts w:eastAsia="Arial Unicode MS"/>
          <w:bCs/>
          <w:lang w:eastAsia="fr-FR" w:bidi="he-IL"/>
        </w:rPr>
        <w:t>et introduisent dans l</w:t>
      </w:r>
      <w:r w:rsidR="00557DE0">
        <w:rPr>
          <w:rFonts w:eastAsia="Arial Unicode MS"/>
          <w:bCs/>
          <w:lang w:eastAsia="fr-FR" w:bidi="he-IL"/>
        </w:rPr>
        <w:t>’</w:t>
      </w:r>
      <w:r w:rsidRPr="00C8701B">
        <w:rPr>
          <w:rFonts w:eastAsia="Arial Unicode MS"/>
          <w:bCs/>
          <w:lang w:eastAsia="fr-FR" w:bidi="he-IL"/>
        </w:rPr>
        <w:t>histoire sacrée de N.-S. Jésus-Christ des détails qui lui conviennent peu.</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Et pourtant</w:t>
      </w:r>
      <w:r w:rsidR="00E65435">
        <w:rPr>
          <w:rFonts w:eastAsia="Arial Unicode MS"/>
          <w:bCs/>
          <w:lang w:eastAsia="fr-FR" w:bidi="he-IL"/>
        </w:rPr>
        <w:t xml:space="preserve">, </w:t>
      </w:r>
      <w:r w:rsidRPr="00C8701B">
        <w:rPr>
          <w:rFonts w:eastAsia="Arial Unicode MS"/>
          <w:bCs/>
          <w:lang w:eastAsia="fr-FR" w:bidi="he-IL"/>
        </w:rPr>
        <w:t>ces réserves faites</w:t>
      </w:r>
      <w:r w:rsidR="00E65435">
        <w:rPr>
          <w:rFonts w:eastAsia="Arial Unicode MS"/>
          <w:bCs/>
          <w:lang w:eastAsia="fr-FR" w:bidi="he-IL"/>
        </w:rPr>
        <w:t xml:space="preserve">, </w:t>
      </w:r>
      <w:r w:rsidRPr="00C8701B">
        <w:rPr>
          <w:rFonts w:eastAsia="Arial Unicode MS"/>
          <w:bCs/>
          <w:lang w:eastAsia="fr-FR" w:bidi="he-IL"/>
        </w:rPr>
        <w:t>nous avons encore le droit d</w:t>
      </w:r>
      <w:r w:rsidR="00557DE0">
        <w:rPr>
          <w:rFonts w:eastAsia="Arial Unicode MS"/>
          <w:bCs/>
          <w:lang w:eastAsia="fr-FR" w:bidi="he-IL"/>
        </w:rPr>
        <w:t>’</w:t>
      </w:r>
      <w:r w:rsidRPr="00C8701B">
        <w:rPr>
          <w:rFonts w:eastAsia="Arial Unicode MS"/>
          <w:bCs/>
          <w:lang w:eastAsia="fr-FR" w:bidi="he-IL"/>
        </w:rPr>
        <w:t>être fiers des œuvres produites en ce sens.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 xml:space="preserve">La plus ancienne est celle du prêtre espagnol </w:t>
      </w:r>
      <w:r w:rsidR="0073405D" w:rsidRPr="00C8701B">
        <w:rPr>
          <w:rFonts w:eastAsia="Arial Unicode MS"/>
          <w:bCs/>
          <w:lang w:eastAsia="fr-FR" w:bidi="he-IL"/>
        </w:rPr>
        <w:t>Juvéncus</w:t>
      </w:r>
      <w:r w:rsidR="00E65435">
        <w:rPr>
          <w:rFonts w:eastAsia="Arial Unicode MS"/>
          <w:bCs/>
          <w:lang w:eastAsia="fr-FR" w:bidi="he-IL"/>
        </w:rPr>
        <w:t xml:space="preserve">, </w:t>
      </w:r>
      <w:r w:rsidRPr="00C8701B">
        <w:rPr>
          <w:rFonts w:eastAsia="Arial Unicode MS"/>
          <w:bCs/>
          <w:lang w:eastAsia="fr-FR" w:bidi="he-IL"/>
        </w:rPr>
        <w:t xml:space="preserve">qui vivait au </w:t>
      </w:r>
      <w:r w:rsidR="00215CAD">
        <w:rPr>
          <w:rFonts w:eastAsia="Arial Unicode MS"/>
          <w:bCs/>
          <w:lang w:eastAsia="fr-FR" w:bidi="he-IL"/>
        </w:rPr>
        <w:t>IV</w:t>
      </w:r>
      <w:r w:rsidRPr="00C8701B">
        <w:rPr>
          <w:rFonts w:eastAsia="Arial Unicode MS"/>
          <w:bCs/>
          <w:vertAlign w:val="superscript"/>
          <w:lang w:eastAsia="fr-FR" w:bidi="he-IL"/>
        </w:rPr>
        <w:t>e</w:t>
      </w:r>
      <w:r w:rsidRPr="00C8701B">
        <w:rPr>
          <w:rFonts w:eastAsia="Arial Unicode MS"/>
          <w:bCs/>
          <w:lang w:eastAsia="fr-FR" w:bidi="he-IL"/>
        </w:rPr>
        <w:t xml:space="preserve"> siècle. Elle est intitulée</w:t>
      </w:r>
      <w:r w:rsidRPr="00DC4586">
        <w:rPr>
          <w:rStyle w:val="italicus"/>
        </w:rPr>
        <w:t xml:space="preserve"> </w:t>
      </w:r>
      <w:r w:rsidR="00C31E3A">
        <w:rPr>
          <w:rStyle w:val="italicus"/>
        </w:rPr>
        <w:t>História</w:t>
      </w:r>
      <w:r w:rsidRPr="00DC4586">
        <w:rPr>
          <w:rStyle w:val="italicus"/>
        </w:rPr>
        <w:t xml:space="preserve"> e</w:t>
      </w:r>
      <w:r w:rsidR="00116664">
        <w:rPr>
          <w:rStyle w:val="italicus"/>
        </w:rPr>
        <w:t>vangélica</w:t>
      </w:r>
      <w:r w:rsidR="00933C60" w:rsidRPr="00C406FF">
        <w:rPr>
          <w:rStyle w:val="Appelnotedebasdep"/>
        </w:rPr>
        <w:footnoteReference w:id="534"/>
      </w:r>
      <w:r w:rsidR="00E65435">
        <w:rPr>
          <w:rFonts w:eastAsia="Arial Unicode MS"/>
          <w:bCs/>
          <w:lang w:eastAsia="fr-FR" w:bidi="he-IL"/>
        </w:rPr>
        <w:t xml:space="preserve">, </w:t>
      </w:r>
      <w:r w:rsidRPr="00C8701B">
        <w:rPr>
          <w:rFonts w:eastAsia="Arial Unicode MS"/>
          <w:bCs/>
          <w:lang w:eastAsia="fr-FR" w:bidi="he-IL"/>
        </w:rPr>
        <w:t>et chante en vers hexamètres</w:t>
      </w:r>
      <w:r w:rsidR="00E65435">
        <w:rPr>
          <w:rFonts w:eastAsia="Arial Unicode MS"/>
          <w:bCs/>
          <w:lang w:eastAsia="fr-FR" w:bidi="he-IL"/>
        </w:rPr>
        <w:t xml:space="preserve">, </w:t>
      </w:r>
      <w:r w:rsidRPr="00C8701B">
        <w:rPr>
          <w:rFonts w:eastAsia="Arial Unicode MS"/>
          <w:bCs/>
          <w:lang w:eastAsia="fr-FR" w:bidi="he-IL"/>
        </w:rPr>
        <w:t>en quatre livres</w:t>
      </w:r>
      <w:r w:rsidR="00E65435">
        <w:rPr>
          <w:rFonts w:eastAsia="Arial Unicode MS"/>
          <w:bCs/>
          <w:lang w:eastAsia="fr-FR" w:bidi="he-IL"/>
        </w:rPr>
        <w:t xml:space="preserve">, </w:t>
      </w:r>
      <w:r w:rsidRPr="00C8701B">
        <w:rPr>
          <w:rFonts w:eastAsia="Arial Unicode MS"/>
          <w:bCs/>
          <w:lang w:eastAsia="fr-FR" w:bidi="he-IL"/>
        </w:rPr>
        <w:t>et dans un langage qui ne manque ni de dignité ni de grandeur</w:t>
      </w:r>
      <w:r w:rsidR="00E65435">
        <w:rPr>
          <w:rFonts w:eastAsia="Arial Unicode MS"/>
          <w:bCs/>
          <w:lang w:eastAsia="fr-FR" w:bidi="he-IL"/>
        </w:rPr>
        <w:t xml:space="preserve">, </w:t>
      </w:r>
      <w:r w:rsidRPr="00C8701B">
        <w:rPr>
          <w:rFonts w:eastAsia="Arial Unicode MS"/>
          <w:bCs/>
          <w:lang w:eastAsia="fr-FR" w:bidi="he-IL"/>
        </w:rPr>
        <w:t>les événements de la vie de Jésus</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après l</w:t>
      </w:r>
      <w:r w:rsidR="00557DE0">
        <w:rPr>
          <w:rFonts w:eastAsia="Arial Unicode MS"/>
          <w:bCs/>
          <w:lang w:eastAsia="fr-FR" w:bidi="he-IL"/>
        </w:rPr>
        <w:t>’</w:t>
      </w:r>
      <w:r w:rsidRPr="00C8701B">
        <w:rPr>
          <w:rFonts w:eastAsia="Arial Unicode MS"/>
          <w:bCs/>
          <w:lang w:eastAsia="fr-FR" w:bidi="he-IL"/>
        </w:rPr>
        <w:t xml:space="preserve">ordre chronologique. </w:t>
      </w:r>
      <w:r w:rsidR="0073405D" w:rsidRPr="00C8701B">
        <w:rPr>
          <w:rFonts w:eastAsia="Arial Unicode MS"/>
          <w:bCs/>
          <w:lang w:eastAsia="fr-FR" w:bidi="he-IL"/>
        </w:rPr>
        <w:t>Juvéncus</w:t>
      </w:r>
      <w:r w:rsidRPr="00C8701B">
        <w:rPr>
          <w:rFonts w:eastAsia="Arial Unicode MS"/>
          <w:bCs/>
          <w:lang w:eastAsia="fr-FR" w:bidi="he-IL"/>
        </w:rPr>
        <w:t xml:space="preserve"> suit de très près le texte sacré</w:t>
      </w:r>
      <w:r w:rsidR="00E65435">
        <w:rPr>
          <w:rFonts w:eastAsia="Arial Unicode MS"/>
          <w:bCs/>
          <w:lang w:eastAsia="fr-FR" w:bidi="he-IL"/>
        </w:rPr>
        <w:t xml:space="preserve">, </w:t>
      </w:r>
      <w:r w:rsidRPr="00C8701B">
        <w:rPr>
          <w:rFonts w:eastAsia="Arial Unicode MS"/>
          <w:bCs/>
          <w:lang w:eastAsia="fr-FR" w:bidi="he-IL"/>
        </w:rPr>
        <w:t>se contentant çà et là d</w:t>
      </w:r>
      <w:r w:rsidR="00557DE0">
        <w:rPr>
          <w:rFonts w:eastAsia="Arial Unicode MS"/>
          <w:bCs/>
          <w:lang w:eastAsia="fr-FR" w:bidi="he-IL"/>
        </w:rPr>
        <w:t>’</w:t>
      </w:r>
      <w:r w:rsidRPr="00C8701B">
        <w:rPr>
          <w:rFonts w:eastAsia="Arial Unicode MS"/>
          <w:bCs/>
          <w:lang w:eastAsia="fr-FR" w:bidi="he-IL"/>
        </w:rPr>
        <w:t>une explication rapide. Voici son prologue</w:t>
      </w:r>
      <w:r w:rsidR="00E65435">
        <w:rPr>
          <w:rFonts w:eastAsia="Arial Unicode MS"/>
          <w:bCs/>
          <w:lang w:eastAsia="fr-FR" w:bidi="he-IL"/>
        </w:rPr>
        <w:t xml:space="preserve">, </w:t>
      </w:r>
      <w:r w:rsidRPr="00C8701B">
        <w:rPr>
          <w:rFonts w:eastAsia="Arial Unicode MS"/>
          <w:bCs/>
          <w:lang w:eastAsia="fr-FR" w:bidi="he-IL"/>
        </w:rPr>
        <w:t>qui donnera une idée de son style</w:t>
      </w:r>
      <w:r w:rsidR="00C2602D" w:rsidRPr="00C8701B">
        <w:rPr>
          <w:rFonts w:eastAsia="Arial Unicode MS"/>
          <w:bCs/>
          <w:lang w:eastAsia="fr-FR" w:bidi="he-IL"/>
        </w:rPr>
        <w:t xml:space="preserve"> : </w:t>
      </w:r>
    </w:p>
    <w:p w:rsidR="0073405D" w:rsidRDefault="0073405D" w:rsidP="0073405D">
      <w:pPr>
        <w:pStyle w:val="locus"/>
        <w:rPr>
          <w:lang w:eastAsia="fr-FR" w:bidi="he-IL"/>
        </w:rPr>
      </w:pPr>
      <w:r w:rsidRPr="00C8701B">
        <w:rPr>
          <w:lang w:eastAsia="fr-FR" w:bidi="he-IL"/>
        </w:rPr>
        <w:t>Immortále</w:t>
      </w:r>
      <w:r w:rsidR="00B704AD" w:rsidRPr="00C8701B">
        <w:rPr>
          <w:lang w:eastAsia="fr-FR" w:bidi="he-IL"/>
        </w:rPr>
        <w:t xml:space="preserve"> nihil mundi </w:t>
      </w:r>
      <w:r w:rsidRPr="00C8701B">
        <w:rPr>
          <w:lang w:eastAsia="fr-FR" w:bidi="he-IL"/>
        </w:rPr>
        <w:t>compáge</w:t>
      </w:r>
      <w:r w:rsidR="00B704AD" w:rsidRPr="00C8701B">
        <w:rPr>
          <w:lang w:eastAsia="fr-FR" w:bidi="he-IL"/>
        </w:rPr>
        <w:t xml:space="preserve"> </w:t>
      </w:r>
      <w:r w:rsidRPr="00C8701B">
        <w:rPr>
          <w:lang w:eastAsia="fr-FR" w:bidi="he-IL"/>
        </w:rPr>
        <w:t>tenétur</w:t>
      </w:r>
      <w:r w:rsidR="00C2602D" w:rsidRPr="00C8701B">
        <w:rPr>
          <w:lang w:eastAsia="fr-FR" w:bidi="he-IL"/>
        </w:rPr>
        <w:t> </w:t>
      </w:r>
      <w:r w:rsidR="007F6508">
        <w:rPr>
          <w:lang w:eastAsia="fr-FR" w:bidi="he-IL"/>
        </w:rPr>
        <w:t xml:space="preserve">; </w:t>
      </w:r>
    </w:p>
    <w:p w:rsidR="0073405D" w:rsidRDefault="00B704AD" w:rsidP="0073405D">
      <w:pPr>
        <w:pStyle w:val="locus"/>
        <w:rPr>
          <w:lang w:eastAsia="fr-FR" w:bidi="he-IL"/>
        </w:rPr>
      </w:pPr>
      <w:r w:rsidRPr="00C8701B">
        <w:rPr>
          <w:lang w:eastAsia="fr-FR" w:bidi="he-IL"/>
        </w:rPr>
        <w:t>Non orbis</w:t>
      </w:r>
      <w:r w:rsidR="00E65435">
        <w:rPr>
          <w:lang w:eastAsia="fr-FR" w:bidi="he-IL"/>
        </w:rPr>
        <w:t xml:space="preserve">, </w:t>
      </w:r>
      <w:r w:rsidR="0073405D">
        <w:rPr>
          <w:lang w:eastAsia="fr-FR" w:bidi="he-IL"/>
        </w:rPr>
        <w:t>non re</w:t>
      </w:r>
      <w:r w:rsidRPr="00C8701B">
        <w:rPr>
          <w:lang w:eastAsia="fr-FR" w:bidi="he-IL"/>
        </w:rPr>
        <w:t xml:space="preserve">gna </w:t>
      </w:r>
      <w:r w:rsidR="00402B9A">
        <w:rPr>
          <w:lang w:eastAsia="fr-FR" w:bidi="he-IL"/>
        </w:rPr>
        <w:t>hóminum</w:t>
      </w:r>
      <w:r w:rsidR="00E65435">
        <w:rPr>
          <w:lang w:eastAsia="fr-FR" w:bidi="he-IL"/>
        </w:rPr>
        <w:t xml:space="preserve">, </w:t>
      </w:r>
      <w:r w:rsidRPr="00C8701B">
        <w:rPr>
          <w:lang w:eastAsia="fr-FR" w:bidi="he-IL"/>
        </w:rPr>
        <w:t xml:space="preserve">non </w:t>
      </w:r>
      <w:r w:rsidR="0073405D" w:rsidRPr="00C8701B">
        <w:rPr>
          <w:lang w:eastAsia="fr-FR" w:bidi="he-IL"/>
        </w:rPr>
        <w:t>áurea</w:t>
      </w:r>
      <w:r w:rsidRPr="00C8701B">
        <w:rPr>
          <w:lang w:eastAsia="fr-FR" w:bidi="he-IL"/>
        </w:rPr>
        <w:t xml:space="preserve"> Roma</w:t>
      </w:r>
      <w:r w:rsidR="00E65435">
        <w:rPr>
          <w:lang w:eastAsia="fr-FR" w:bidi="he-IL"/>
        </w:rPr>
        <w:t xml:space="preserve">, </w:t>
      </w:r>
    </w:p>
    <w:p w:rsidR="0073405D" w:rsidRDefault="00B704AD" w:rsidP="0073405D">
      <w:pPr>
        <w:pStyle w:val="locus"/>
        <w:rPr>
          <w:lang w:eastAsia="fr-FR" w:bidi="he-IL"/>
        </w:rPr>
      </w:pPr>
      <w:r w:rsidRPr="00C8701B">
        <w:rPr>
          <w:lang w:eastAsia="fr-FR" w:bidi="he-IL"/>
        </w:rPr>
        <w:t>Non mare</w:t>
      </w:r>
      <w:r w:rsidR="00C2602D" w:rsidRPr="00C8701B">
        <w:rPr>
          <w:lang w:eastAsia="fr-FR" w:bidi="he-IL"/>
        </w:rPr>
        <w:t> </w:t>
      </w:r>
      <w:r w:rsidR="007F6508">
        <w:rPr>
          <w:lang w:eastAsia="fr-FR" w:bidi="he-IL"/>
        </w:rPr>
        <w:t xml:space="preserve">; </w:t>
      </w:r>
      <w:r w:rsidRPr="00C8701B">
        <w:rPr>
          <w:lang w:eastAsia="fr-FR" w:bidi="he-IL"/>
        </w:rPr>
        <w:t>non tellus</w:t>
      </w:r>
      <w:r w:rsidR="00E65435">
        <w:rPr>
          <w:lang w:eastAsia="fr-FR" w:bidi="he-IL"/>
        </w:rPr>
        <w:t xml:space="preserve">, </w:t>
      </w:r>
      <w:r w:rsidRPr="00C8701B">
        <w:rPr>
          <w:lang w:eastAsia="fr-FR" w:bidi="he-IL"/>
        </w:rPr>
        <w:t xml:space="preserve">non </w:t>
      </w:r>
      <w:r w:rsidR="0073405D" w:rsidRPr="00C8701B">
        <w:rPr>
          <w:lang w:eastAsia="fr-FR" w:bidi="he-IL"/>
        </w:rPr>
        <w:t>ígnea</w:t>
      </w:r>
      <w:r w:rsidRPr="00C8701B">
        <w:rPr>
          <w:lang w:eastAsia="fr-FR" w:bidi="he-IL"/>
        </w:rPr>
        <w:t xml:space="preserve"> </w:t>
      </w:r>
      <w:r w:rsidR="0073405D" w:rsidRPr="00C8701B">
        <w:rPr>
          <w:lang w:eastAsia="fr-FR" w:bidi="he-IL"/>
        </w:rPr>
        <w:t>sídera</w:t>
      </w:r>
      <w:r w:rsidRPr="00C8701B">
        <w:rPr>
          <w:lang w:eastAsia="fr-FR" w:bidi="he-IL"/>
        </w:rPr>
        <w:t xml:space="preserve"> cœli. </w:t>
      </w:r>
    </w:p>
    <w:p w:rsidR="0073405D" w:rsidRPr="0073405D" w:rsidRDefault="00B704AD" w:rsidP="0073405D">
      <w:pPr>
        <w:pStyle w:val="locus"/>
        <w:rPr>
          <w:lang w:val="en-GB" w:eastAsia="fr-FR" w:bidi="he-IL"/>
        </w:rPr>
      </w:pPr>
      <w:r w:rsidRPr="0073405D">
        <w:rPr>
          <w:lang w:val="en-GB" w:eastAsia="fr-FR" w:bidi="he-IL"/>
        </w:rPr>
        <w:t xml:space="preserve">Nam </w:t>
      </w:r>
      <w:r w:rsidR="0073405D" w:rsidRPr="0073405D">
        <w:rPr>
          <w:lang w:val="en-GB" w:eastAsia="fr-FR" w:bidi="he-IL"/>
        </w:rPr>
        <w:t>státuit</w:t>
      </w:r>
      <w:r w:rsidR="0073405D">
        <w:rPr>
          <w:lang w:val="en-GB" w:eastAsia="fr-FR" w:bidi="he-IL"/>
        </w:rPr>
        <w:t xml:space="preserve"> Génitor rerum irrevocá</w:t>
      </w:r>
      <w:r w:rsidRPr="0073405D">
        <w:rPr>
          <w:lang w:val="en-GB" w:eastAsia="fr-FR" w:bidi="he-IL"/>
        </w:rPr>
        <w:t xml:space="preserve">bile tempus </w:t>
      </w:r>
    </w:p>
    <w:p w:rsidR="0073405D" w:rsidRPr="002D5574" w:rsidRDefault="00B704AD" w:rsidP="0073405D">
      <w:pPr>
        <w:pStyle w:val="locus"/>
        <w:rPr>
          <w:lang w:val="en-GB" w:eastAsia="fr-FR" w:bidi="he-IL"/>
        </w:rPr>
      </w:pPr>
      <w:r w:rsidRPr="002D5574">
        <w:rPr>
          <w:lang w:val="en-GB" w:eastAsia="fr-FR" w:bidi="he-IL"/>
        </w:rPr>
        <w:t xml:space="preserve">Quo cunctum torrens </w:t>
      </w:r>
      <w:r w:rsidR="0073405D" w:rsidRPr="002D5574">
        <w:rPr>
          <w:lang w:val="en-GB" w:eastAsia="fr-FR" w:bidi="he-IL"/>
        </w:rPr>
        <w:t>rápiet</w:t>
      </w:r>
      <w:r w:rsidRPr="002D5574">
        <w:rPr>
          <w:lang w:val="en-GB" w:eastAsia="fr-FR" w:bidi="he-IL"/>
        </w:rPr>
        <w:t xml:space="preserve"> flamma </w:t>
      </w:r>
      <w:r w:rsidR="0073405D" w:rsidRPr="002D5574">
        <w:rPr>
          <w:lang w:val="en-GB" w:eastAsia="fr-FR" w:bidi="he-IL"/>
        </w:rPr>
        <w:t>última</w:t>
      </w:r>
      <w:r w:rsidRPr="002D5574">
        <w:rPr>
          <w:lang w:val="en-GB" w:eastAsia="fr-FR" w:bidi="he-IL"/>
        </w:rPr>
        <w:t xml:space="preserve"> mundum. </w:t>
      </w:r>
    </w:p>
    <w:p w:rsidR="0073405D" w:rsidRDefault="00B704AD" w:rsidP="0073405D">
      <w:pPr>
        <w:pStyle w:val="locus"/>
        <w:rPr>
          <w:lang w:eastAsia="fr-FR" w:bidi="he-IL"/>
        </w:rPr>
      </w:pPr>
      <w:r w:rsidRPr="00C8701B">
        <w:rPr>
          <w:lang w:eastAsia="fr-FR" w:bidi="he-IL"/>
        </w:rPr>
        <w:t xml:space="preserve">Nam mihi carmen erunt Christi </w:t>
      </w:r>
      <w:r w:rsidR="0073405D" w:rsidRPr="00C8701B">
        <w:rPr>
          <w:lang w:eastAsia="fr-FR" w:bidi="he-IL"/>
        </w:rPr>
        <w:t>vitália</w:t>
      </w:r>
      <w:r w:rsidRPr="00C8701B">
        <w:rPr>
          <w:lang w:eastAsia="fr-FR" w:bidi="he-IL"/>
        </w:rPr>
        <w:t xml:space="preserve"> gesta </w:t>
      </w:r>
    </w:p>
    <w:p w:rsidR="00C2602D" w:rsidRPr="00C8701B" w:rsidRDefault="0073405D" w:rsidP="0073405D">
      <w:pPr>
        <w:pStyle w:val="locus"/>
        <w:rPr>
          <w:lang w:eastAsia="fr-FR" w:bidi="he-IL"/>
        </w:rPr>
      </w:pPr>
      <w:r w:rsidRPr="00C8701B">
        <w:rPr>
          <w:lang w:eastAsia="fr-FR" w:bidi="he-IL"/>
        </w:rPr>
        <w:t>Divínum</w:t>
      </w:r>
      <w:r w:rsidR="00B704AD" w:rsidRPr="00C8701B">
        <w:rPr>
          <w:lang w:eastAsia="fr-FR" w:bidi="he-IL"/>
        </w:rPr>
        <w:t xml:space="preserve"> </w:t>
      </w:r>
      <w:r w:rsidRPr="00C8701B">
        <w:rPr>
          <w:lang w:eastAsia="fr-FR" w:bidi="he-IL"/>
        </w:rPr>
        <w:t>pópulis</w:t>
      </w:r>
      <w:r w:rsidR="00B704AD" w:rsidRPr="00C8701B">
        <w:rPr>
          <w:lang w:eastAsia="fr-FR" w:bidi="he-IL"/>
        </w:rPr>
        <w:t xml:space="preserve"> falsi sine </w:t>
      </w:r>
      <w:r w:rsidRPr="00C8701B">
        <w:rPr>
          <w:lang w:eastAsia="fr-FR" w:bidi="he-IL"/>
        </w:rPr>
        <w:t>crímine</w:t>
      </w:r>
      <w:r w:rsidR="00B704AD" w:rsidRPr="00C8701B">
        <w:rPr>
          <w:lang w:eastAsia="fr-FR" w:bidi="he-IL"/>
        </w:rPr>
        <w:t xml:space="preserve"> donum</w:t>
      </w:r>
      <w:r w:rsidR="00933C60" w:rsidRPr="00C406FF">
        <w:rPr>
          <w:rStyle w:val="Appelnotedebasdep"/>
        </w:rPr>
        <w:footnoteReference w:id="535"/>
      </w:r>
      <w:r w:rsidR="00B704AD" w:rsidRPr="00C8701B">
        <w:rPr>
          <w:lang w:eastAsia="fr-FR" w:bidi="he-IL"/>
        </w:rPr>
        <w:t>.</w:t>
      </w:r>
      <w:r w:rsidR="00C2602D" w:rsidRPr="00C8701B">
        <w:rPr>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Un peu plus tard</w:t>
      </w:r>
      <w:r w:rsidR="00E65435">
        <w:rPr>
          <w:rFonts w:eastAsia="Arial Unicode MS"/>
          <w:bCs/>
          <w:lang w:eastAsia="fr-FR" w:bidi="he-IL"/>
        </w:rPr>
        <w:t xml:space="preserve">, </w:t>
      </w:r>
      <w:r w:rsidRPr="00C8701B">
        <w:rPr>
          <w:rFonts w:eastAsia="Arial Unicode MS"/>
          <w:bCs/>
          <w:lang w:eastAsia="fr-FR" w:bidi="he-IL"/>
        </w:rPr>
        <w:t xml:space="preserve">au début du </w:t>
      </w:r>
      <w:r w:rsidR="00835131">
        <w:rPr>
          <w:rFonts w:eastAsia="Arial Unicode MS"/>
          <w:bCs/>
          <w:lang w:eastAsia="fr-FR" w:bidi="he-IL"/>
        </w:rPr>
        <w:t>V</w:t>
      </w:r>
      <w:r w:rsidR="00F56B84" w:rsidRPr="00F56B84">
        <w:rPr>
          <w:rFonts w:eastAsia="Arial Unicode MS"/>
          <w:bCs/>
          <w:vertAlign w:val="superscript"/>
          <w:lang w:eastAsia="fr-FR" w:bidi="he-IL"/>
        </w:rPr>
        <w:t>e</w:t>
      </w:r>
      <w:r w:rsidRPr="00C8701B">
        <w:rPr>
          <w:rFonts w:eastAsia="Arial Unicode MS"/>
          <w:bCs/>
          <w:lang w:eastAsia="fr-FR" w:bidi="he-IL"/>
        </w:rPr>
        <w:t>. siècle</w:t>
      </w:r>
      <w:r w:rsidR="00E65435">
        <w:rPr>
          <w:rFonts w:eastAsia="Arial Unicode MS"/>
          <w:bCs/>
          <w:lang w:eastAsia="fr-FR" w:bidi="he-IL"/>
        </w:rPr>
        <w:t xml:space="preserve">, </w:t>
      </w:r>
      <w:r w:rsidRPr="00C8701B">
        <w:rPr>
          <w:rFonts w:eastAsia="Arial Unicode MS"/>
          <w:bCs/>
          <w:lang w:eastAsia="fr-FR" w:bidi="he-IL"/>
        </w:rPr>
        <w:t xml:space="preserve">Nonnus de Panople publia en vers grecs une </w:t>
      </w:r>
      <w:r w:rsidR="00C2602D" w:rsidRPr="00C8701B">
        <w:rPr>
          <w:rFonts w:eastAsia="Arial Unicode MS"/>
          <w:bCs/>
          <w:lang w:eastAsia="fr-FR" w:bidi="he-IL"/>
        </w:rPr>
        <w:t>« </w:t>
      </w:r>
      <w:r w:rsidRPr="00C8701B">
        <w:rPr>
          <w:rFonts w:eastAsia="Arial Unicode MS"/>
          <w:bCs/>
          <w:lang w:eastAsia="fr-FR" w:bidi="he-IL"/>
        </w:rPr>
        <w:t>paraphrase épique de l</w:t>
      </w:r>
      <w:r w:rsidR="00557DE0">
        <w:rPr>
          <w:rFonts w:eastAsia="Arial Unicode MS"/>
          <w:bCs/>
          <w:lang w:eastAsia="fr-FR" w:bidi="he-IL"/>
        </w:rPr>
        <w:t>’</w:t>
      </w:r>
      <w:r w:rsidRPr="00C8701B">
        <w:rPr>
          <w:rFonts w:eastAsia="Arial Unicode MS"/>
          <w:bCs/>
          <w:lang w:eastAsia="fr-FR" w:bidi="he-IL"/>
        </w:rPr>
        <w:t>évangile selon S. Jean</w:t>
      </w:r>
      <w:r w:rsidR="00C2602D" w:rsidRPr="00C8701B">
        <w:rPr>
          <w:rFonts w:eastAsia="Arial Unicode MS"/>
          <w:bCs/>
          <w:lang w:eastAsia="fr-FR" w:bidi="he-IL"/>
        </w:rPr>
        <w:t> »</w:t>
      </w:r>
      <w:r w:rsidR="00933C60" w:rsidRPr="00C406FF">
        <w:rPr>
          <w:rStyle w:val="Appelnotedebasdep"/>
        </w:rPr>
        <w:footnoteReference w:id="536"/>
      </w:r>
      <w:r w:rsidRPr="00C8701B">
        <w:rPr>
          <w:rFonts w:eastAsia="Arial Unicode MS"/>
          <w:bCs/>
          <w:lang w:eastAsia="fr-FR" w:bidi="he-IL"/>
        </w:rPr>
        <w:t>. Le langage est brillant</w:t>
      </w:r>
      <w:r w:rsidR="00E65435">
        <w:rPr>
          <w:rFonts w:eastAsia="Arial Unicode MS"/>
          <w:bCs/>
          <w:lang w:eastAsia="fr-FR" w:bidi="he-IL"/>
        </w:rPr>
        <w:t xml:space="preserve">, </w:t>
      </w:r>
      <w:r w:rsidRPr="00C8701B">
        <w:rPr>
          <w:rFonts w:eastAsia="Arial Unicode MS"/>
          <w:bCs/>
          <w:lang w:eastAsia="fr-FR" w:bidi="he-IL"/>
        </w:rPr>
        <w:t>recherché</w:t>
      </w:r>
      <w:r w:rsidR="00E65435">
        <w:rPr>
          <w:rFonts w:eastAsia="Arial Unicode MS"/>
          <w:bCs/>
          <w:lang w:eastAsia="fr-FR" w:bidi="he-IL"/>
        </w:rPr>
        <w:t xml:space="preserve">, </w:t>
      </w:r>
      <w:r w:rsidRPr="00C8701B">
        <w:rPr>
          <w:rFonts w:eastAsia="Arial Unicode MS"/>
          <w:bCs/>
          <w:lang w:eastAsia="fr-FR" w:bidi="he-IL"/>
        </w:rPr>
        <w:t>souvent obscur. L</w:t>
      </w:r>
      <w:r w:rsidR="00557DE0">
        <w:rPr>
          <w:rFonts w:eastAsia="Arial Unicode MS"/>
          <w:bCs/>
          <w:lang w:eastAsia="fr-FR" w:bidi="he-IL"/>
        </w:rPr>
        <w:t>’</w:t>
      </w:r>
      <w:r w:rsidRPr="00C8701B">
        <w:rPr>
          <w:rFonts w:eastAsia="Arial Unicode MS"/>
          <w:bCs/>
          <w:lang w:eastAsia="fr-FR" w:bidi="he-IL"/>
        </w:rPr>
        <w:t>intérêt qu</w:t>
      </w:r>
      <w:r w:rsidR="00557DE0">
        <w:rPr>
          <w:rFonts w:eastAsia="Arial Unicode MS"/>
          <w:bCs/>
          <w:lang w:eastAsia="fr-FR" w:bidi="he-IL"/>
        </w:rPr>
        <w:t>’</w:t>
      </w:r>
      <w:r w:rsidRPr="00C8701B">
        <w:rPr>
          <w:rFonts w:eastAsia="Arial Unicode MS"/>
          <w:bCs/>
          <w:lang w:eastAsia="fr-FR" w:bidi="he-IL"/>
        </w:rPr>
        <w:t>il inspire est plutôt exégétique que littéraire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il aide en plusieurs passages à </w:t>
      </w:r>
      <w:r w:rsidR="0073405D">
        <w:rPr>
          <w:rFonts w:eastAsia="Arial Unicode MS"/>
          <w:bCs/>
          <w:lang w:eastAsia="fr-FR" w:bidi="he-IL"/>
        </w:rPr>
        <w:t>interpréter le texte de S. Jean</w:t>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Plus tard encore</w:t>
      </w:r>
      <w:r w:rsidR="00E65435">
        <w:rPr>
          <w:rFonts w:eastAsia="Arial Unicode MS"/>
          <w:bCs/>
          <w:lang w:eastAsia="fr-FR" w:bidi="he-IL"/>
        </w:rPr>
        <w:t xml:space="preserve">, </w:t>
      </w:r>
      <w:r w:rsidRPr="00C8701B">
        <w:rPr>
          <w:rFonts w:eastAsia="Arial Unicode MS"/>
          <w:bCs/>
          <w:lang w:eastAsia="fr-FR" w:bidi="he-IL"/>
        </w:rPr>
        <w:t xml:space="preserve">au milieu du </w:t>
      </w:r>
      <w:r w:rsidR="00835131">
        <w:rPr>
          <w:rFonts w:eastAsia="Arial Unicode MS"/>
          <w:bCs/>
          <w:lang w:eastAsia="fr-FR" w:bidi="he-IL"/>
        </w:rPr>
        <w:t>V</w:t>
      </w:r>
      <w:r w:rsidR="00F56B84" w:rsidRPr="00F56B84">
        <w:rPr>
          <w:rFonts w:eastAsia="Arial Unicode MS"/>
          <w:bCs/>
          <w:vertAlign w:val="superscript"/>
          <w:lang w:eastAsia="fr-FR" w:bidi="he-IL"/>
        </w:rPr>
        <w:t>e</w:t>
      </w:r>
      <w:r w:rsidRPr="00C8701B">
        <w:rPr>
          <w:rFonts w:eastAsia="Arial Unicode MS"/>
          <w:bCs/>
          <w:lang w:eastAsia="fr-FR" w:bidi="he-IL"/>
        </w:rPr>
        <w:t xml:space="preserve"> siècle</w:t>
      </w:r>
      <w:r w:rsidR="00E65435">
        <w:rPr>
          <w:rFonts w:eastAsia="Arial Unicode MS"/>
          <w:bCs/>
          <w:lang w:eastAsia="fr-FR" w:bidi="he-IL"/>
        </w:rPr>
        <w:t xml:space="preserve">, </w:t>
      </w:r>
      <w:r w:rsidR="0073405D" w:rsidRPr="00C8701B">
        <w:rPr>
          <w:rFonts w:eastAsia="Arial Unicode MS"/>
          <w:bCs/>
          <w:lang w:eastAsia="fr-FR" w:bidi="he-IL"/>
        </w:rPr>
        <w:t>Cǿlius</w:t>
      </w:r>
      <w:r w:rsidRPr="00C8701B">
        <w:rPr>
          <w:rFonts w:eastAsia="Arial Unicode MS"/>
          <w:bCs/>
          <w:lang w:eastAsia="fr-FR" w:bidi="he-IL"/>
        </w:rPr>
        <w:t xml:space="preserve"> Sédulius composa son </w:t>
      </w:r>
      <w:r w:rsidRPr="00DC4586">
        <w:rPr>
          <w:rStyle w:val="italicus"/>
        </w:rPr>
        <w:t xml:space="preserve">Carmen </w:t>
      </w:r>
      <w:r w:rsidR="0073405D" w:rsidRPr="00DC4586">
        <w:rPr>
          <w:rStyle w:val="italicus"/>
        </w:rPr>
        <w:t>Paschále</w:t>
      </w:r>
      <w:r w:rsidRPr="00DC4586">
        <w:rPr>
          <w:rStyle w:val="italicus"/>
        </w:rPr>
        <w:t xml:space="preserve"> in librum Evangeli</w:t>
      </w:r>
      <w:r w:rsidR="003A07A7">
        <w:rPr>
          <w:rStyle w:val="italicus"/>
        </w:rPr>
        <w:t>órum</w:t>
      </w:r>
      <w:r w:rsidR="00E65435">
        <w:rPr>
          <w:rStyle w:val="italicus"/>
        </w:rPr>
        <w:t xml:space="preserve">, </w:t>
      </w:r>
      <w:r w:rsidRPr="00C8701B">
        <w:rPr>
          <w:rFonts w:eastAsia="Arial Unicode MS"/>
          <w:bCs/>
          <w:lang w:eastAsia="fr-FR" w:bidi="he-IL"/>
        </w:rPr>
        <w:t>intitulé aussi</w:t>
      </w:r>
      <w:r w:rsidRPr="00DC4586">
        <w:rPr>
          <w:rStyle w:val="italicus"/>
        </w:rPr>
        <w:t xml:space="preserve"> </w:t>
      </w:r>
      <w:r w:rsidR="0073405D" w:rsidRPr="00DC4586">
        <w:rPr>
          <w:rStyle w:val="italicus"/>
        </w:rPr>
        <w:t>Mirabílium</w:t>
      </w:r>
      <w:r w:rsidRPr="00DC4586">
        <w:rPr>
          <w:rStyle w:val="italicus"/>
        </w:rPr>
        <w:t xml:space="preserve"> divin</w:t>
      </w:r>
      <w:r w:rsidR="003A07A7">
        <w:rPr>
          <w:rStyle w:val="italicus"/>
        </w:rPr>
        <w:t>órum</w:t>
      </w:r>
      <w:r w:rsidR="0073405D">
        <w:rPr>
          <w:rStyle w:val="italicus"/>
        </w:rPr>
        <w:t xml:space="preserve"> libri q</w:t>
      </w:r>
      <w:r w:rsidRPr="00DC4586">
        <w:rPr>
          <w:rStyle w:val="italicus"/>
        </w:rPr>
        <w:t>uinque.</w:t>
      </w:r>
      <w:r w:rsidRPr="00C8701B">
        <w:rPr>
          <w:rFonts w:eastAsia="Arial Unicode MS"/>
          <w:bCs/>
          <w:lang w:eastAsia="fr-FR" w:bidi="he-IL"/>
        </w:rPr>
        <w:t xml:space="preserve"> La vie de N.-S. Jésus-Christ y est en effet décrite</w:t>
      </w:r>
      <w:r w:rsidR="00C2602D" w:rsidRPr="00C8701B">
        <w:rPr>
          <w:rFonts w:eastAsia="Arial Unicode MS"/>
          <w:bCs/>
          <w:lang w:eastAsia="fr-FR" w:bidi="he-IL"/>
        </w:rPr>
        <w:t xml:space="preserve"> </w:t>
      </w:r>
      <w:r w:rsidR="00366671">
        <w:rPr>
          <w:rFonts w:eastAsia="Arial Unicode MS"/>
          <w:bCs/>
          <w:lang w:eastAsia="fr-FR" w:bidi="he-IL"/>
        </w:rPr>
        <w:t>{103</w:t>
      </w:r>
      <w:bookmarkStart w:id="158" w:name="pag103"/>
      <w:bookmarkEnd w:id="158"/>
      <w:r w:rsidR="00366671">
        <w:rPr>
          <w:rFonts w:eastAsia="Arial Unicode MS"/>
          <w:bCs/>
          <w:lang w:eastAsia="fr-FR" w:bidi="he-IL"/>
        </w:rPr>
        <w:t xml:space="preserve">} </w:t>
      </w:r>
      <w:r w:rsidRPr="00C8701B">
        <w:rPr>
          <w:rFonts w:eastAsia="Arial Unicode MS"/>
          <w:bCs/>
          <w:lang w:eastAsia="fr-FR" w:bidi="he-IL"/>
        </w:rPr>
        <w:t>comme un perpétuel prodige. Sédulius y vérifie</w:t>
      </w:r>
      <w:r w:rsidR="00E65435">
        <w:rPr>
          <w:rFonts w:eastAsia="Arial Unicode MS"/>
          <w:bCs/>
          <w:lang w:eastAsia="fr-FR" w:bidi="he-IL"/>
        </w:rPr>
        <w:t xml:space="preserve">, </w:t>
      </w:r>
      <w:r w:rsidRPr="00C8701B">
        <w:rPr>
          <w:rFonts w:eastAsia="Arial Unicode MS"/>
          <w:bCs/>
          <w:lang w:eastAsia="fr-FR" w:bidi="he-IL"/>
        </w:rPr>
        <w:t xml:space="preserve">par un bon nombre de </w:t>
      </w:r>
      <w:r w:rsidR="0073405D" w:rsidRPr="00C8701B">
        <w:rPr>
          <w:rFonts w:eastAsia="Arial Unicode MS"/>
          <w:bCs/>
          <w:lang w:eastAsia="fr-FR" w:bidi="he-IL"/>
        </w:rPr>
        <w:t>vers</w:t>
      </w:r>
      <w:r w:rsidRPr="00C8701B">
        <w:rPr>
          <w:rFonts w:eastAsia="Arial Unicode MS"/>
          <w:bCs/>
          <w:lang w:eastAsia="fr-FR" w:bidi="he-IL"/>
        </w:rPr>
        <w:t xml:space="preserve"> heureux et par l</w:t>
      </w:r>
      <w:r w:rsidR="00557DE0">
        <w:rPr>
          <w:rFonts w:eastAsia="Arial Unicode MS"/>
          <w:bCs/>
          <w:lang w:eastAsia="fr-FR" w:bidi="he-IL"/>
        </w:rPr>
        <w:t>’</w:t>
      </w:r>
      <w:r w:rsidRPr="00C8701B">
        <w:rPr>
          <w:rFonts w:eastAsia="Arial Unicode MS"/>
          <w:bCs/>
          <w:lang w:eastAsia="fr-FR" w:bidi="he-IL"/>
        </w:rPr>
        <w:t>accent d</w:t>
      </w:r>
      <w:r w:rsidR="00557DE0">
        <w:rPr>
          <w:rFonts w:eastAsia="Arial Unicode MS"/>
          <w:bCs/>
          <w:lang w:eastAsia="fr-FR" w:bidi="he-IL"/>
        </w:rPr>
        <w:t>’</w:t>
      </w:r>
      <w:r w:rsidRPr="00C8701B">
        <w:rPr>
          <w:rFonts w:eastAsia="Arial Unicode MS"/>
          <w:bCs/>
          <w:lang w:eastAsia="fr-FR" w:bidi="he-IL"/>
        </w:rPr>
        <w:t>une vraie poésie</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éloge qui a été fait de lui par Dom Cellier</w:t>
      </w:r>
      <w:r w:rsidR="00C2602D" w:rsidRPr="00C8701B">
        <w:rPr>
          <w:rFonts w:eastAsia="Arial Unicode MS"/>
          <w:bCs/>
          <w:lang w:eastAsia="fr-FR" w:bidi="he-IL"/>
        </w:rPr>
        <w:t> :</w:t>
      </w:r>
      <w:r w:rsidR="0073405D">
        <w:rPr>
          <w:rFonts w:eastAsia="Arial Unicode MS"/>
          <w:bCs/>
          <w:lang w:eastAsia="fr-FR" w:bidi="he-IL"/>
        </w:rPr>
        <w:t xml:space="preserve"> « Cǿ</w:t>
      </w:r>
      <w:r w:rsidRPr="00C8701B">
        <w:rPr>
          <w:rFonts w:eastAsia="Arial Unicode MS"/>
          <w:bCs/>
          <w:lang w:eastAsia="fr-FR" w:bidi="he-IL"/>
        </w:rPr>
        <w:t>liu</w:t>
      </w:r>
      <w:r w:rsidR="0073405D">
        <w:rPr>
          <w:rFonts w:eastAsia="Arial Unicode MS"/>
          <w:bCs/>
          <w:lang w:eastAsia="fr-FR" w:bidi="he-IL"/>
        </w:rPr>
        <w:t>m Sedú</w:t>
      </w:r>
      <w:r w:rsidR="00AB43EC">
        <w:rPr>
          <w:rFonts w:eastAsia="Arial Unicode MS"/>
          <w:bCs/>
          <w:lang w:eastAsia="fr-FR" w:bidi="he-IL"/>
        </w:rPr>
        <w:t>lium poé</w:t>
      </w:r>
      <w:r w:rsidRPr="00C8701B">
        <w:rPr>
          <w:rFonts w:eastAsia="Arial Unicode MS"/>
          <w:bCs/>
          <w:lang w:eastAsia="fr-FR" w:bidi="he-IL"/>
        </w:rPr>
        <w:t xml:space="preserve">tam inter </w:t>
      </w:r>
      <w:r w:rsidR="00AB43EC" w:rsidRPr="00C8701B">
        <w:rPr>
          <w:rFonts w:eastAsia="Arial Unicode MS"/>
          <w:bCs/>
          <w:lang w:eastAsia="fr-FR" w:bidi="he-IL"/>
        </w:rPr>
        <w:t>Christiános</w:t>
      </w:r>
      <w:r w:rsidRPr="00C8701B">
        <w:rPr>
          <w:rFonts w:eastAsia="Arial Unicode MS"/>
          <w:bCs/>
          <w:lang w:eastAsia="fr-FR" w:bidi="he-IL"/>
        </w:rPr>
        <w:t xml:space="preserve"> </w:t>
      </w:r>
      <w:r w:rsidR="00AB43EC" w:rsidRPr="00C8701B">
        <w:rPr>
          <w:rFonts w:eastAsia="Arial Unicode MS"/>
          <w:bCs/>
          <w:lang w:eastAsia="fr-FR" w:bidi="he-IL"/>
        </w:rPr>
        <w:t>némini</w:t>
      </w:r>
      <w:r w:rsidRPr="00C8701B">
        <w:rPr>
          <w:rFonts w:eastAsia="Arial Unicode MS"/>
          <w:bCs/>
          <w:lang w:eastAsia="fr-FR" w:bidi="he-IL"/>
        </w:rPr>
        <w:t xml:space="preserve"> </w:t>
      </w:r>
      <w:r w:rsidR="00E939E7" w:rsidRPr="00C8701B">
        <w:rPr>
          <w:rFonts w:eastAsia="Arial Unicode MS"/>
          <w:bCs/>
          <w:lang w:eastAsia="fr-FR" w:bidi="he-IL"/>
        </w:rPr>
        <w:t>sec</w:t>
      </w:r>
      <w:r w:rsidR="00E939E7">
        <w:rPr>
          <w:rFonts w:eastAsia="Arial Unicode MS"/>
          <w:bCs/>
          <w:lang w:eastAsia="fr-FR" w:bidi="he-IL"/>
        </w:rPr>
        <w:t>ú</w:t>
      </w:r>
      <w:r w:rsidR="00E939E7" w:rsidRPr="00C8701B">
        <w:rPr>
          <w:rFonts w:eastAsia="Arial Unicode MS"/>
          <w:bCs/>
          <w:lang w:eastAsia="fr-FR" w:bidi="he-IL"/>
        </w:rPr>
        <w:t>ndum</w:t>
      </w:r>
      <w:r w:rsidR="00C2602D" w:rsidRPr="00C8701B">
        <w:rPr>
          <w:rFonts w:eastAsia="Arial Unicode MS"/>
          <w:bCs/>
          <w:lang w:eastAsia="fr-FR" w:bidi="he-IL"/>
        </w:rPr>
        <w:t> »</w:t>
      </w:r>
      <w:r w:rsidR="00933C60" w:rsidRPr="00C406FF">
        <w:rPr>
          <w:rStyle w:val="Appelnotedebasdep"/>
        </w:rPr>
        <w:footnoteReference w:id="537"/>
      </w:r>
      <w:r w:rsidRPr="00C8701B">
        <w:rPr>
          <w:rFonts w:eastAsia="Arial Unicode MS"/>
          <w:bCs/>
          <w:lang w:eastAsia="fr-FR" w:bidi="he-IL"/>
        </w:rPr>
        <w:t>. Voici les premiers vers</w:t>
      </w:r>
      <w:r w:rsidR="00C2602D" w:rsidRPr="00C8701B">
        <w:rPr>
          <w:rFonts w:eastAsia="Arial Unicode MS"/>
          <w:bCs/>
          <w:lang w:eastAsia="fr-FR" w:bidi="he-IL"/>
        </w:rPr>
        <w:t xml:space="preserve"> : </w:t>
      </w:r>
    </w:p>
    <w:p w:rsidR="00AB43EC" w:rsidRDefault="00B704AD" w:rsidP="00AB43EC">
      <w:pPr>
        <w:pStyle w:val="locus"/>
        <w:rPr>
          <w:lang w:eastAsia="fr-FR" w:bidi="he-IL"/>
        </w:rPr>
      </w:pPr>
      <w:r w:rsidRPr="00C8701B">
        <w:rPr>
          <w:lang w:eastAsia="fr-FR" w:bidi="he-IL"/>
        </w:rPr>
        <w:t xml:space="preserve">Cum sua </w:t>
      </w:r>
      <w:r w:rsidR="00AB43EC" w:rsidRPr="00C8701B">
        <w:rPr>
          <w:lang w:eastAsia="fr-FR" w:bidi="he-IL"/>
        </w:rPr>
        <w:t>gentíles</w:t>
      </w:r>
      <w:r w:rsidRPr="00C8701B">
        <w:rPr>
          <w:lang w:eastAsia="fr-FR" w:bidi="he-IL"/>
        </w:rPr>
        <w:t xml:space="preserve"> </w:t>
      </w:r>
      <w:r w:rsidR="00AB43EC" w:rsidRPr="00C8701B">
        <w:rPr>
          <w:lang w:eastAsia="fr-FR" w:bidi="he-IL"/>
        </w:rPr>
        <w:t>stúdeant</w:t>
      </w:r>
      <w:r w:rsidRPr="00C8701B">
        <w:rPr>
          <w:lang w:eastAsia="fr-FR" w:bidi="he-IL"/>
        </w:rPr>
        <w:t xml:space="preserve"> </w:t>
      </w:r>
      <w:r w:rsidR="00AB43EC" w:rsidRPr="00C8701B">
        <w:rPr>
          <w:lang w:eastAsia="fr-FR" w:bidi="he-IL"/>
        </w:rPr>
        <w:t>figménta</w:t>
      </w:r>
      <w:r w:rsidRPr="00C8701B">
        <w:rPr>
          <w:lang w:eastAsia="fr-FR" w:bidi="he-IL"/>
        </w:rPr>
        <w:t xml:space="preserve"> </w:t>
      </w:r>
      <w:r w:rsidR="00AB43EC" w:rsidRPr="00C8701B">
        <w:rPr>
          <w:lang w:eastAsia="fr-FR" w:bidi="he-IL"/>
        </w:rPr>
        <w:t>poét</w:t>
      </w:r>
      <w:r w:rsidR="00AB43EC">
        <w:rPr>
          <w:lang w:eastAsia="fr-FR" w:bidi="he-IL"/>
        </w:rPr>
        <w:t>æ</w:t>
      </w:r>
      <w:r w:rsidRPr="00C8701B">
        <w:rPr>
          <w:lang w:eastAsia="fr-FR" w:bidi="he-IL"/>
        </w:rPr>
        <w:t xml:space="preserve"> </w:t>
      </w:r>
    </w:p>
    <w:p w:rsidR="00AB43EC" w:rsidRDefault="00AB43EC" w:rsidP="00AB43EC">
      <w:pPr>
        <w:pStyle w:val="locus"/>
        <w:rPr>
          <w:lang w:eastAsia="fr-FR" w:bidi="he-IL"/>
        </w:rPr>
      </w:pPr>
      <w:r>
        <w:rPr>
          <w:lang w:eastAsia="fr-FR" w:bidi="he-IL"/>
        </w:rPr>
        <w:t>Grandisónis pompáre modis tragicóque boá</w:t>
      </w:r>
      <w:r w:rsidR="00B704AD" w:rsidRPr="00C8701B">
        <w:rPr>
          <w:lang w:eastAsia="fr-FR" w:bidi="he-IL"/>
        </w:rPr>
        <w:t xml:space="preserve">tu </w:t>
      </w:r>
    </w:p>
    <w:p w:rsidR="00AB43EC" w:rsidRDefault="00AB43EC" w:rsidP="00AB43EC">
      <w:pPr>
        <w:pStyle w:val="locus"/>
        <w:rPr>
          <w:lang w:eastAsia="fr-FR" w:bidi="he-IL"/>
        </w:rPr>
      </w:pPr>
      <w:r>
        <w:rPr>
          <w:lang w:eastAsia="fr-FR" w:bidi="he-IL"/>
        </w:rPr>
        <w:t>Ridiculó</w:t>
      </w:r>
      <w:r w:rsidRPr="00C8701B">
        <w:rPr>
          <w:lang w:eastAsia="fr-FR" w:bidi="he-IL"/>
        </w:rPr>
        <w:t xml:space="preserve">ve </w:t>
      </w:r>
      <w:r w:rsidR="00B704AD" w:rsidRPr="00C8701B">
        <w:rPr>
          <w:lang w:eastAsia="fr-FR" w:bidi="he-IL"/>
        </w:rPr>
        <w:t>Get</w:t>
      </w:r>
      <w:r w:rsidR="00E37C84">
        <w:rPr>
          <w:lang w:eastAsia="fr-FR" w:bidi="he-IL"/>
        </w:rPr>
        <w:t>æ</w:t>
      </w:r>
      <w:r w:rsidR="00B704AD" w:rsidRPr="00C8701B">
        <w:rPr>
          <w:lang w:eastAsia="fr-FR" w:bidi="he-IL"/>
        </w:rPr>
        <w:t xml:space="preserve"> seu </w:t>
      </w:r>
      <w:r w:rsidRPr="00C8701B">
        <w:rPr>
          <w:lang w:eastAsia="fr-FR" w:bidi="he-IL"/>
        </w:rPr>
        <w:t>quálibet</w:t>
      </w:r>
      <w:r w:rsidR="00B704AD" w:rsidRPr="00C8701B">
        <w:rPr>
          <w:lang w:eastAsia="fr-FR" w:bidi="he-IL"/>
        </w:rPr>
        <w:t xml:space="preserve"> arte </w:t>
      </w:r>
      <w:r w:rsidRPr="00C8701B">
        <w:rPr>
          <w:lang w:eastAsia="fr-FR" w:bidi="he-IL"/>
        </w:rPr>
        <w:t>canéndi</w:t>
      </w:r>
      <w:r w:rsidR="00C2602D" w:rsidRPr="00C8701B">
        <w:rPr>
          <w:lang w:eastAsia="fr-FR" w:bidi="he-IL"/>
        </w:rPr>
        <w:t> :</w:t>
      </w:r>
      <w:r w:rsidR="00B704AD" w:rsidRPr="00C8701B">
        <w:rPr>
          <w:lang w:eastAsia="fr-FR" w:bidi="he-IL"/>
        </w:rPr>
        <w:t xml:space="preserve"> </w:t>
      </w:r>
    </w:p>
    <w:p w:rsidR="00AB43EC" w:rsidRPr="00AB43EC" w:rsidRDefault="00B704AD" w:rsidP="00AB43EC">
      <w:pPr>
        <w:pStyle w:val="locus"/>
        <w:rPr>
          <w:lang w:eastAsia="fr-FR" w:bidi="he-IL"/>
        </w:rPr>
      </w:pPr>
      <w:r w:rsidRPr="00AB43EC">
        <w:rPr>
          <w:lang w:eastAsia="fr-FR" w:bidi="he-IL"/>
        </w:rPr>
        <w:t>Cur ego</w:t>
      </w:r>
      <w:r w:rsidR="00E65435" w:rsidRPr="00AB43EC">
        <w:rPr>
          <w:lang w:eastAsia="fr-FR" w:bidi="he-IL"/>
        </w:rPr>
        <w:t xml:space="preserve">, </w:t>
      </w:r>
      <w:r w:rsidR="00AB43EC" w:rsidRPr="00AB43EC">
        <w:rPr>
          <w:lang w:eastAsia="fr-FR" w:bidi="he-IL"/>
        </w:rPr>
        <w:t>Daví</w:t>
      </w:r>
      <w:r w:rsidRPr="00AB43EC">
        <w:rPr>
          <w:lang w:eastAsia="fr-FR" w:bidi="he-IL"/>
        </w:rPr>
        <w:t xml:space="preserve">dicis </w:t>
      </w:r>
      <w:r w:rsidR="00AB43EC" w:rsidRPr="00AB43EC">
        <w:rPr>
          <w:lang w:eastAsia="fr-FR" w:bidi="he-IL"/>
        </w:rPr>
        <w:t>adsué</w:t>
      </w:r>
      <w:r w:rsidRPr="00AB43EC">
        <w:rPr>
          <w:lang w:eastAsia="fr-FR" w:bidi="he-IL"/>
        </w:rPr>
        <w:t>tus c</w:t>
      </w:r>
      <w:r w:rsidR="00356A5E" w:rsidRPr="00AB43EC">
        <w:rPr>
          <w:lang w:eastAsia="fr-FR" w:bidi="he-IL"/>
        </w:rPr>
        <w:t>ántibus</w:t>
      </w:r>
      <w:r w:rsidRPr="00AB43EC">
        <w:rPr>
          <w:lang w:eastAsia="fr-FR" w:bidi="he-IL"/>
        </w:rPr>
        <w:t xml:space="preserve"> odas </w:t>
      </w:r>
    </w:p>
    <w:p w:rsidR="00AB43EC" w:rsidRDefault="00AB43EC" w:rsidP="00AB43EC">
      <w:pPr>
        <w:pStyle w:val="locus"/>
        <w:rPr>
          <w:lang w:eastAsia="fr-FR" w:bidi="he-IL"/>
        </w:rPr>
      </w:pPr>
      <w:r>
        <w:rPr>
          <w:lang w:eastAsia="fr-FR" w:bidi="he-IL"/>
        </w:rPr>
        <w:t>C</w:t>
      </w:r>
      <w:r w:rsidR="00B704AD" w:rsidRPr="00C8701B">
        <w:rPr>
          <w:lang w:eastAsia="fr-FR" w:bidi="he-IL"/>
        </w:rPr>
        <w:t>ho</w:t>
      </w:r>
      <w:r w:rsidR="00C21120" w:rsidRPr="00C8701B">
        <w:rPr>
          <w:lang w:eastAsia="fr-FR" w:bidi="he-IL"/>
        </w:rPr>
        <w:t>rd</w:t>
      </w:r>
      <w:r w:rsidR="00C21120">
        <w:rPr>
          <w:lang w:eastAsia="fr-FR" w:bidi="he-IL"/>
        </w:rPr>
        <w:t>árum</w:t>
      </w:r>
      <w:r w:rsidR="00B704AD" w:rsidRPr="00C8701B">
        <w:rPr>
          <w:lang w:eastAsia="fr-FR" w:bidi="he-IL"/>
        </w:rPr>
        <w:t xml:space="preserve"> </w:t>
      </w:r>
      <w:r w:rsidRPr="00C8701B">
        <w:rPr>
          <w:lang w:eastAsia="fr-FR" w:bidi="he-IL"/>
        </w:rPr>
        <w:t>resonáre</w:t>
      </w:r>
      <w:r w:rsidR="00B704AD" w:rsidRPr="00C8701B">
        <w:rPr>
          <w:lang w:eastAsia="fr-FR" w:bidi="he-IL"/>
        </w:rPr>
        <w:t xml:space="preserve"> decem </w:t>
      </w:r>
      <w:r w:rsidRPr="00C8701B">
        <w:rPr>
          <w:lang w:eastAsia="fr-FR" w:bidi="he-IL"/>
        </w:rPr>
        <w:t>sanctóque</w:t>
      </w:r>
      <w:r>
        <w:rPr>
          <w:lang w:eastAsia="fr-FR" w:bidi="he-IL"/>
        </w:rPr>
        <w:t xml:space="preserve"> veré</w:t>
      </w:r>
      <w:r w:rsidR="00B704AD" w:rsidRPr="00C8701B">
        <w:rPr>
          <w:lang w:eastAsia="fr-FR" w:bidi="he-IL"/>
        </w:rPr>
        <w:t xml:space="preserve">nter </w:t>
      </w:r>
    </w:p>
    <w:p w:rsidR="00AB43EC" w:rsidRDefault="00AB43EC" w:rsidP="00AB43EC">
      <w:pPr>
        <w:pStyle w:val="locus"/>
        <w:rPr>
          <w:lang w:eastAsia="fr-FR" w:bidi="he-IL"/>
        </w:rPr>
      </w:pPr>
      <w:r>
        <w:rPr>
          <w:lang w:eastAsia="fr-FR" w:bidi="he-IL"/>
        </w:rPr>
        <w:t>Stare choro et plác</w:t>
      </w:r>
      <w:r w:rsidR="00B704AD" w:rsidRPr="00C8701B">
        <w:rPr>
          <w:lang w:eastAsia="fr-FR" w:bidi="he-IL"/>
        </w:rPr>
        <w:t xml:space="preserve">idis </w:t>
      </w:r>
      <w:r w:rsidRPr="00C8701B">
        <w:rPr>
          <w:lang w:eastAsia="fr-FR" w:bidi="he-IL"/>
        </w:rPr>
        <w:t>cœléstia</w:t>
      </w:r>
      <w:r w:rsidR="00B704AD" w:rsidRPr="00C8701B">
        <w:rPr>
          <w:lang w:eastAsia="fr-FR" w:bidi="he-IL"/>
        </w:rPr>
        <w:t xml:space="preserve"> </w:t>
      </w:r>
      <w:r w:rsidRPr="00C8701B">
        <w:rPr>
          <w:lang w:eastAsia="fr-FR" w:bidi="he-IL"/>
        </w:rPr>
        <w:t>cantáre</w:t>
      </w:r>
      <w:r w:rsidR="00B704AD" w:rsidRPr="00C8701B">
        <w:rPr>
          <w:lang w:eastAsia="fr-FR" w:bidi="he-IL"/>
        </w:rPr>
        <w:t xml:space="preserve"> verbis</w:t>
      </w:r>
      <w:r w:rsidR="00E65435">
        <w:rPr>
          <w:lang w:eastAsia="fr-FR" w:bidi="he-IL"/>
        </w:rPr>
        <w:t xml:space="preserve">, </w:t>
      </w:r>
    </w:p>
    <w:p w:rsidR="00C2602D" w:rsidRPr="00C8701B" w:rsidRDefault="00B704AD" w:rsidP="00AB43EC">
      <w:pPr>
        <w:pStyle w:val="locus"/>
        <w:rPr>
          <w:lang w:eastAsia="fr-FR" w:bidi="he-IL"/>
        </w:rPr>
      </w:pPr>
      <w:r w:rsidRPr="00C8701B">
        <w:rPr>
          <w:lang w:eastAsia="fr-FR" w:bidi="he-IL"/>
        </w:rPr>
        <w:t xml:space="preserve">Clara </w:t>
      </w:r>
      <w:r w:rsidR="00AB43EC" w:rsidRPr="00C8701B">
        <w:rPr>
          <w:lang w:eastAsia="fr-FR" w:bidi="he-IL"/>
        </w:rPr>
        <w:t>salutíferi</w:t>
      </w:r>
      <w:r w:rsidRPr="00C8701B">
        <w:rPr>
          <w:lang w:eastAsia="fr-FR" w:bidi="he-IL"/>
        </w:rPr>
        <w:t xml:space="preserve"> </w:t>
      </w:r>
      <w:r w:rsidR="00AB43EC" w:rsidRPr="00C8701B">
        <w:rPr>
          <w:lang w:eastAsia="fr-FR" w:bidi="he-IL"/>
        </w:rPr>
        <w:t>táceam</w:t>
      </w:r>
      <w:r w:rsidRPr="00C8701B">
        <w:rPr>
          <w:lang w:eastAsia="fr-FR" w:bidi="he-IL"/>
        </w:rPr>
        <w:t xml:space="preserve"> </w:t>
      </w:r>
      <w:r w:rsidR="00AB43EC" w:rsidRPr="00C8701B">
        <w:rPr>
          <w:lang w:eastAsia="fr-FR" w:bidi="he-IL"/>
        </w:rPr>
        <w:t>mirácula</w:t>
      </w:r>
      <w:r w:rsidRPr="00C8701B">
        <w:rPr>
          <w:lang w:eastAsia="fr-FR" w:bidi="he-IL"/>
        </w:rPr>
        <w:t xml:space="preserve"> Christi</w:t>
      </w:r>
      <w:r w:rsidR="00C2602D" w:rsidRPr="00C8701B">
        <w:rPr>
          <w:lang w:eastAsia="fr-FR" w:bidi="he-IL"/>
        </w:rPr>
        <w:t xml:space="preserve"> ? </w:t>
      </w:r>
    </w:p>
    <w:p w:rsidR="00C2602D" w:rsidRPr="00C8701B" w:rsidRDefault="00B704AD" w:rsidP="00AB43EC">
      <w:pPr>
        <w:rPr>
          <w:rFonts w:eastAsia="Arial Unicode MS"/>
          <w:bCs/>
          <w:lang w:eastAsia="fr-FR" w:bidi="he-IL"/>
        </w:rPr>
      </w:pPr>
      <w:r w:rsidRPr="00C8701B">
        <w:rPr>
          <w:rFonts w:eastAsia="Arial Unicode MS"/>
          <w:bCs/>
          <w:lang w:eastAsia="fr-FR" w:bidi="he-IL"/>
        </w:rPr>
        <w:t>Parmi les poètes du moyen âge qui chantèrent les récits de l</w:t>
      </w:r>
      <w:r w:rsidR="00557DE0">
        <w:rPr>
          <w:rFonts w:eastAsia="Arial Unicode MS"/>
          <w:bCs/>
          <w:lang w:eastAsia="fr-FR" w:bidi="he-IL"/>
        </w:rPr>
        <w:t>’</w:t>
      </w:r>
      <w:r w:rsidR="000439E9">
        <w:rPr>
          <w:rFonts w:eastAsia="Arial Unicode MS"/>
          <w:bCs/>
          <w:lang w:eastAsia="fr-FR" w:bidi="he-IL"/>
        </w:rPr>
        <w:t>Évangile</w:t>
      </w:r>
      <w:r w:rsidRPr="00C8701B">
        <w:rPr>
          <w:rFonts w:eastAsia="Arial Unicode MS"/>
          <w:bCs/>
          <w:lang w:eastAsia="fr-FR" w:bidi="he-IL"/>
        </w:rPr>
        <w:t xml:space="preserve"> sous une forme épique</w:t>
      </w:r>
      <w:r w:rsidR="00E65435">
        <w:rPr>
          <w:rFonts w:eastAsia="Arial Unicode MS"/>
          <w:bCs/>
          <w:lang w:eastAsia="fr-FR" w:bidi="he-IL"/>
        </w:rPr>
        <w:t xml:space="preserve">, </w:t>
      </w:r>
      <w:r w:rsidRPr="00C8701B">
        <w:rPr>
          <w:rFonts w:eastAsia="Arial Unicode MS"/>
          <w:bCs/>
          <w:lang w:eastAsia="fr-FR" w:bidi="he-IL"/>
        </w:rPr>
        <w:t>nous rencontrons d</w:t>
      </w:r>
      <w:r w:rsidR="00557DE0">
        <w:rPr>
          <w:rFonts w:eastAsia="Arial Unicode MS"/>
          <w:bCs/>
          <w:lang w:eastAsia="fr-FR" w:bidi="he-IL"/>
        </w:rPr>
        <w:t>’</w:t>
      </w:r>
      <w:r w:rsidRPr="00C8701B">
        <w:rPr>
          <w:rFonts w:eastAsia="Arial Unicode MS"/>
          <w:bCs/>
          <w:lang w:eastAsia="fr-FR" w:bidi="he-IL"/>
        </w:rPr>
        <w:t>abord l</w:t>
      </w:r>
      <w:r w:rsidR="00557DE0">
        <w:rPr>
          <w:rFonts w:eastAsia="Arial Unicode MS"/>
          <w:bCs/>
          <w:lang w:eastAsia="fr-FR" w:bidi="he-IL"/>
        </w:rPr>
        <w:t>’</w:t>
      </w:r>
      <w:r w:rsidRPr="00C8701B">
        <w:rPr>
          <w:rFonts w:eastAsia="Arial Unicode MS"/>
          <w:bCs/>
          <w:lang w:eastAsia="fr-FR" w:bidi="he-IL"/>
        </w:rPr>
        <w:t xml:space="preserve">anglo-saxon </w:t>
      </w:r>
      <w:r w:rsidR="00AB43EC">
        <w:rPr>
          <w:rFonts w:eastAsia="Arial Unicode MS"/>
          <w:bCs/>
          <w:lang w:eastAsia="fr-FR" w:bidi="he-IL"/>
        </w:rPr>
        <w:t>Cæ</w:t>
      </w:r>
      <w:r w:rsidR="00AB43EC" w:rsidRPr="00C8701B">
        <w:rPr>
          <w:rFonts w:eastAsia="Arial Unicode MS"/>
          <w:bCs/>
          <w:lang w:eastAsia="fr-FR" w:bidi="he-IL"/>
        </w:rPr>
        <w:t>dmon</w:t>
      </w:r>
      <w:r w:rsidR="00E65435">
        <w:rPr>
          <w:rFonts w:eastAsia="Arial Unicode MS"/>
          <w:bCs/>
          <w:lang w:eastAsia="fr-FR" w:bidi="he-IL"/>
        </w:rPr>
        <w:t xml:space="preserve">, </w:t>
      </w:r>
      <w:r w:rsidRPr="00C8701B">
        <w:rPr>
          <w:rFonts w:eastAsia="Arial Unicode MS"/>
          <w:bCs/>
          <w:lang w:eastAsia="fr-FR" w:bidi="he-IL"/>
        </w:rPr>
        <w:t>mentionné avec éloge par le Vén. Bède</w:t>
      </w:r>
      <w:r w:rsidR="00933C60" w:rsidRPr="00C406FF">
        <w:rPr>
          <w:rStyle w:val="Appelnotedebasdep"/>
        </w:rPr>
        <w:footnoteReference w:id="538"/>
      </w:r>
      <w:r w:rsidRPr="00C8701B">
        <w:rPr>
          <w:rFonts w:eastAsia="Arial Unicode MS"/>
          <w:bCs/>
          <w:lang w:eastAsia="fr-FR" w:bidi="he-IL"/>
        </w:rPr>
        <w:t xml:space="preserve">. Il vivait dans la seconde moitié du </w:t>
      </w:r>
      <w:r w:rsidR="00AB43EC">
        <w:rPr>
          <w:rFonts w:eastAsia="Arial Unicode MS"/>
          <w:bCs/>
          <w:lang w:eastAsia="fr-FR" w:bidi="he-IL"/>
        </w:rPr>
        <w:t>VII</w:t>
      </w:r>
      <w:r w:rsidR="00F56B84" w:rsidRPr="00F56B84">
        <w:rPr>
          <w:rFonts w:eastAsia="Arial Unicode MS"/>
          <w:bCs/>
          <w:vertAlign w:val="superscript"/>
          <w:lang w:eastAsia="fr-FR" w:bidi="he-IL"/>
        </w:rPr>
        <w:t>e</w:t>
      </w:r>
      <w:r w:rsidRPr="00C8701B">
        <w:rPr>
          <w:rFonts w:eastAsia="Arial Unicode MS"/>
          <w:bCs/>
          <w:lang w:eastAsia="fr-FR" w:bidi="he-IL"/>
        </w:rPr>
        <w:t xml:space="preserve"> siècle. Cet humble moine du Northumberland ne manque pas de souffle poétique</w:t>
      </w:r>
      <w:r w:rsidR="00E65435">
        <w:rPr>
          <w:rFonts w:eastAsia="Arial Unicode MS"/>
          <w:bCs/>
          <w:lang w:eastAsia="fr-FR" w:bidi="he-IL"/>
        </w:rPr>
        <w:t xml:space="preserve">, </w:t>
      </w:r>
      <w:r w:rsidRPr="00C8701B">
        <w:rPr>
          <w:rFonts w:eastAsia="Arial Unicode MS"/>
          <w:bCs/>
          <w:lang w:eastAsia="fr-FR" w:bidi="he-IL"/>
        </w:rPr>
        <w:t>et ses vers</w:t>
      </w:r>
      <w:r w:rsidR="00E65435">
        <w:rPr>
          <w:rFonts w:eastAsia="Arial Unicode MS"/>
          <w:bCs/>
          <w:lang w:eastAsia="fr-FR" w:bidi="he-IL"/>
        </w:rPr>
        <w:t xml:space="preserve">, </w:t>
      </w:r>
      <w:r w:rsidRPr="00C8701B">
        <w:rPr>
          <w:rFonts w:eastAsia="Arial Unicode MS"/>
          <w:bCs/>
          <w:lang w:eastAsia="fr-FR" w:bidi="he-IL"/>
        </w:rPr>
        <w:t>qui embrassent l</w:t>
      </w:r>
      <w:r w:rsidR="00557DE0">
        <w:rPr>
          <w:rFonts w:eastAsia="Arial Unicode MS"/>
          <w:bCs/>
          <w:lang w:eastAsia="fr-FR" w:bidi="he-IL"/>
        </w:rPr>
        <w:t>’</w:t>
      </w:r>
      <w:r w:rsidRPr="00C8701B">
        <w:rPr>
          <w:rFonts w:eastAsia="Arial Unicode MS"/>
          <w:bCs/>
          <w:lang w:eastAsia="fr-FR" w:bidi="he-IL"/>
        </w:rPr>
        <w:t>Ancien Testament comme le Nouveau</w:t>
      </w:r>
      <w:r w:rsidR="00E65435">
        <w:rPr>
          <w:rFonts w:eastAsia="Arial Unicode MS"/>
          <w:bCs/>
          <w:lang w:eastAsia="fr-FR" w:bidi="he-IL"/>
        </w:rPr>
        <w:t xml:space="preserve">, </w:t>
      </w:r>
      <w:r w:rsidRPr="00C8701B">
        <w:rPr>
          <w:rFonts w:eastAsia="Arial Unicode MS"/>
          <w:bCs/>
          <w:lang w:eastAsia="fr-FR" w:bidi="he-IL"/>
        </w:rPr>
        <w:t>produisirent un bien durable parmi ses compatriotes</w:t>
      </w:r>
      <w:r w:rsidR="00933C60" w:rsidRPr="00C406FF">
        <w:rPr>
          <w:rStyle w:val="Appelnotedebasdep"/>
        </w:rPr>
        <w:footnoteReference w:id="539"/>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Le poème célèbre</w:t>
      </w:r>
      <w:r w:rsidRPr="00DC4586">
        <w:rPr>
          <w:rStyle w:val="italicus"/>
        </w:rPr>
        <w:t xml:space="preserve"> Heliand</w:t>
      </w:r>
      <w:r w:rsidR="00AB43EC">
        <w:rPr>
          <w:rFonts w:eastAsia="Arial Unicode MS"/>
          <w:bCs/>
          <w:lang w:eastAsia="fr-FR" w:bidi="he-IL"/>
        </w:rPr>
        <w:t xml:space="preserve"> fi</w:t>
      </w:r>
      <w:r w:rsidRPr="00C8701B">
        <w:rPr>
          <w:rFonts w:eastAsia="Arial Unicode MS"/>
          <w:bCs/>
          <w:lang w:eastAsia="fr-FR" w:bidi="he-IL"/>
        </w:rPr>
        <w:t>t ensuite son apparition</w:t>
      </w:r>
      <w:r w:rsidR="00933C60" w:rsidRPr="00C406FF">
        <w:rPr>
          <w:rStyle w:val="Appelnotedebasdep"/>
        </w:rPr>
        <w:footnoteReference w:id="540"/>
      </w:r>
      <w:r w:rsidRPr="00C8701B">
        <w:rPr>
          <w:rFonts w:eastAsia="Arial Unicode MS"/>
          <w:bCs/>
          <w:lang w:eastAsia="fr-FR" w:bidi="he-IL"/>
        </w:rPr>
        <w:t>. Il est écrit en langue saxonne</w:t>
      </w:r>
      <w:r w:rsidR="00E65435">
        <w:rPr>
          <w:rFonts w:eastAsia="Arial Unicode MS"/>
          <w:bCs/>
          <w:lang w:eastAsia="fr-FR" w:bidi="he-IL"/>
        </w:rPr>
        <w:t xml:space="preserve">, </w:t>
      </w:r>
      <w:r w:rsidRPr="00C8701B">
        <w:rPr>
          <w:rFonts w:eastAsia="Arial Unicode MS"/>
          <w:bCs/>
          <w:lang w:eastAsia="fr-FR" w:bidi="he-IL"/>
        </w:rPr>
        <w:t>et raconte</w:t>
      </w:r>
      <w:r w:rsidR="00E65435">
        <w:rPr>
          <w:rFonts w:eastAsia="Arial Unicode MS"/>
          <w:bCs/>
          <w:lang w:eastAsia="fr-FR" w:bidi="he-IL"/>
        </w:rPr>
        <w:t xml:space="preserve">, </w:t>
      </w:r>
      <w:r w:rsidRPr="00C8701B">
        <w:rPr>
          <w:rFonts w:eastAsia="Arial Unicode MS"/>
          <w:bCs/>
          <w:lang w:eastAsia="fr-FR" w:bidi="he-IL"/>
        </w:rPr>
        <w:t>en des termes pleins de fraîcheur</w:t>
      </w:r>
      <w:r w:rsidR="00E65435">
        <w:rPr>
          <w:rFonts w:eastAsia="Arial Unicode MS"/>
          <w:bCs/>
          <w:lang w:eastAsia="fr-FR" w:bidi="he-IL"/>
        </w:rPr>
        <w:t xml:space="preserve">, </w:t>
      </w:r>
      <w:r w:rsidRPr="00C8701B">
        <w:rPr>
          <w:rFonts w:eastAsia="Arial Unicode MS"/>
          <w:bCs/>
          <w:lang w:eastAsia="fr-FR" w:bidi="he-IL"/>
        </w:rPr>
        <w:t>avec une charmante simplicité</w:t>
      </w:r>
      <w:r w:rsidR="00E65435">
        <w:rPr>
          <w:rFonts w:eastAsia="Arial Unicode MS"/>
          <w:bCs/>
          <w:lang w:eastAsia="fr-FR" w:bidi="he-IL"/>
        </w:rPr>
        <w:t xml:space="preserve">, </w:t>
      </w:r>
      <w:r w:rsidRPr="00C8701B">
        <w:rPr>
          <w:rFonts w:eastAsia="Arial Unicode MS"/>
          <w:bCs/>
          <w:lang w:eastAsia="fr-FR" w:bidi="he-IL"/>
        </w:rPr>
        <w:t xml:space="preserve">les traits principaux de la vie du </w:t>
      </w:r>
      <w:r w:rsidR="00C2602D" w:rsidRPr="00C8701B">
        <w:rPr>
          <w:rFonts w:eastAsia="Arial Unicode MS"/>
          <w:bCs/>
          <w:lang w:eastAsia="fr-FR" w:bidi="he-IL"/>
        </w:rPr>
        <w:t>« </w:t>
      </w:r>
      <w:r w:rsidRPr="00C8701B">
        <w:rPr>
          <w:rFonts w:eastAsia="Arial Unicode MS"/>
          <w:bCs/>
          <w:lang w:eastAsia="fr-FR" w:bidi="he-IL"/>
        </w:rPr>
        <w:t>Sauveur</w:t>
      </w:r>
      <w:r w:rsidR="00C2602D" w:rsidRPr="00C8701B">
        <w:rPr>
          <w:rFonts w:eastAsia="Arial Unicode MS"/>
          <w:bCs/>
          <w:lang w:eastAsia="fr-FR" w:bidi="he-IL"/>
        </w:rPr>
        <w:t> »</w:t>
      </w:r>
      <w:r w:rsidRPr="00C8701B">
        <w:rPr>
          <w:rFonts w:eastAsia="Arial Unicode MS"/>
          <w:bCs/>
          <w:lang w:eastAsia="fr-FR" w:bidi="he-IL"/>
        </w:rPr>
        <w:t xml:space="preserve"> (car tel est le sens du mot</w:t>
      </w:r>
      <w:r w:rsidRPr="00DC4586">
        <w:rPr>
          <w:rStyle w:val="italicus"/>
        </w:rPr>
        <w:t xml:space="preserve"> Heliand</w:t>
      </w:r>
      <w:r w:rsidRPr="00C8701B">
        <w:rPr>
          <w:rFonts w:eastAsia="Arial Unicode MS"/>
          <w:bCs/>
          <w:iCs/>
          <w:lang w:eastAsia="fr-FR" w:bidi="he-IL"/>
        </w:rPr>
        <w:t>)</w:t>
      </w:r>
      <w:r w:rsidRPr="00DC4586">
        <w:rPr>
          <w:rStyle w:val="italicus"/>
        </w:rPr>
        <w:t>.</w:t>
      </w:r>
      <w:r w:rsidRPr="00C8701B">
        <w:rPr>
          <w:rFonts w:eastAsia="Arial Unicode MS"/>
          <w:bCs/>
          <w:lang w:eastAsia="fr-FR" w:bidi="he-IL"/>
        </w:rPr>
        <w:t xml:space="preserve"> Rien</w:t>
      </w:r>
      <w:r w:rsidR="00E65435">
        <w:rPr>
          <w:rFonts w:eastAsia="Arial Unicode MS"/>
          <w:bCs/>
          <w:lang w:eastAsia="fr-FR" w:bidi="he-IL"/>
        </w:rPr>
        <w:t xml:space="preserve">, </w:t>
      </w:r>
      <w:r w:rsidRPr="00C8701B">
        <w:rPr>
          <w:rFonts w:eastAsia="Arial Unicode MS"/>
          <w:bCs/>
          <w:lang w:eastAsia="fr-FR" w:bidi="he-IL"/>
        </w:rPr>
        <w:t>ou à peu près rien de l</w:t>
      </w:r>
      <w:r w:rsidR="00557DE0">
        <w:rPr>
          <w:rFonts w:eastAsia="Arial Unicode MS"/>
          <w:bCs/>
          <w:lang w:eastAsia="fr-FR" w:bidi="he-IL"/>
        </w:rPr>
        <w:t>’</w:t>
      </w:r>
      <w:r w:rsidRPr="00C8701B">
        <w:rPr>
          <w:rFonts w:eastAsia="Arial Unicode MS"/>
          <w:bCs/>
          <w:lang w:eastAsia="fr-FR" w:bidi="he-IL"/>
        </w:rPr>
        <w:t>Orient</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 coloris est tout à fait germanique</w:t>
      </w:r>
      <w:r w:rsidR="00E65435">
        <w:rPr>
          <w:rFonts w:eastAsia="Arial Unicode MS"/>
          <w:bCs/>
          <w:lang w:eastAsia="fr-FR" w:bidi="he-IL"/>
        </w:rPr>
        <w:t xml:space="preserve">, </w:t>
      </w:r>
      <w:r w:rsidRPr="00C8701B">
        <w:rPr>
          <w:rFonts w:eastAsia="Arial Unicode MS"/>
          <w:bCs/>
          <w:lang w:eastAsia="fr-FR" w:bidi="he-IL"/>
        </w:rPr>
        <w:t>et Jésus-Christ nous apparaît comme un bon roi de ce temps et de ce pays au milieu de ses sujets.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Le</w:t>
      </w:r>
      <w:r w:rsidRPr="00DC4586">
        <w:rPr>
          <w:rStyle w:val="italicus"/>
        </w:rPr>
        <w:t xml:space="preserve"> Liber Evangeli</w:t>
      </w:r>
      <w:r w:rsidR="003A07A7">
        <w:rPr>
          <w:rStyle w:val="italicus"/>
        </w:rPr>
        <w:t>órum</w:t>
      </w:r>
      <w:r w:rsidRPr="00C8701B">
        <w:rPr>
          <w:rFonts w:eastAsia="Arial Unicode MS"/>
          <w:bCs/>
          <w:lang w:eastAsia="fr-FR" w:bidi="he-IL"/>
        </w:rPr>
        <w:t xml:space="preserve"> d</w:t>
      </w:r>
      <w:r w:rsidR="00557DE0">
        <w:rPr>
          <w:rFonts w:eastAsia="Arial Unicode MS"/>
          <w:bCs/>
          <w:lang w:eastAsia="fr-FR" w:bidi="he-IL"/>
        </w:rPr>
        <w:t>’</w:t>
      </w:r>
      <w:r w:rsidRPr="00C8701B">
        <w:rPr>
          <w:rFonts w:eastAsia="Arial Unicode MS"/>
          <w:bCs/>
          <w:lang w:eastAsia="fr-FR" w:bidi="he-IL"/>
        </w:rPr>
        <w:t>Ottfried de Wissembourg</w:t>
      </w:r>
      <w:r w:rsidR="00E65435">
        <w:rPr>
          <w:rFonts w:eastAsia="Arial Unicode MS"/>
          <w:bCs/>
          <w:lang w:eastAsia="fr-FR" w:bidi="he-IL"/>
        </w:rPr>
        <w:t xml:space="preserve">, </w:t>
      </w:r>
      <w:r w:rsidRPr="00C8701B">
        <w:rPr>
          <w:rFonts w:eastAsia="Arial Unicode MS"/>
          <w:bCs/>
          <w:lang w:eastAsia="fr-FR" w:bidi="he-IL"/>
        </w:rPr>
        <w:t>écrit en vieil allemand vers la même époque</w:t>
      </w:r>
      <w:r w:rsidR="00E65435">
        <w:rPr>
          <w:rFonts w:eastAsia="Arial Unicode MS"/>
          <w:bCs/>
          <w:lang w:eastAsia="fr-FR" w:bidi="he-IL"/>
        </w:rPr>
        <w:t xml:space="preserve">, </w:t>
      </w:r>
      <w:r w:rsidR="00AB43EC" w:rsidRPr="00C8701B">
        <w:rPr>
          <w:rFonts w:eastAsia="Arial Unicode MS"/>
          <w:bCs/>
          <w:lang w:eastAsia="fr-FR" w:bidi="he-IL"/>
        </w:rPr>
        <w:t>reflète</w:t>
      </w:r>
      <w:r w:rsidRPr="00C8701B">
        <w:rPr>
          <w:rFonts w:eastAsia="Arial Unicode MS"/>
          <w:bCs/>
          <w:lang w:eastAsia="fr-FR" w:bidi="he-IL"/>
        </w:rPr>
        <w:t xml:space="preserve"> à peu près le même caractère</w:t>
      </w:r>
      <w:r w:rsidR="00E65435">
        <w:rPr>
          <w:rFonts w:eastAsia="Arial Unicode MS"/>
          <w:bCs/>
          <w:lang w:eastAsia="fr-FR" w:bidi="he-IL"/>
        </w:rPr>
        <w:t xml:space="preserve">, </w:t>
      </w:r>
      <w:r w:rsidRPr="00C8701B">
        <w:rPr>
          <w:rFonts w:eastAsia="Arial Unicode MS"/>
          <w:bCs/>
          <w:lang w:eastAsia="fr-FR" w:bidi="he-IL"/>
        </w:rPr>
        <w:t>quoiqu</w:t>
      </w:r>
      <w:r w:rsidR="00557DE0">
        <w:rPr>
          <w:rFonts w:eastAsia="Arial Unicode MS"/>
          <w:bCs/>
          <w:lang w:eastAsia="fr-FR" w:bidi="he-IL"/>
        </w:rPr>
        <w:t>’</w:t>
      </w:r>
      <w:r w:rsidRPr="00C8701B">
        <w:rPr>
          <w:rFonts w:eastAsia="Arial Unicode MS"/>
          <w:bCs/>
          <w:lang w:eastAsia="fr-FR" w:bidi="he-IL"/>
        </w:rPr>
        <w:t>il soit moins candide dans l</w:t>
      </w:r>
      <w:r w:rsidR="00557DE0">
        <w:rPr>
          <w:rFonts w:eastAsia="Arial Unicode MS"/>
          <w:bCs/>
          <w:lang w:eastAsia="fr-FR" w:bidi="he-IL"/>
        </w:rPr>
        <w:t>’</w:t>
      </w:r>
      <w:r w:rsidRPr="00C8701B">
        <w:rPr>
          <w:rFonts w:eastAsia="Arial Unicode MS"/>
          <w:bCs/>
          <w:lang w:eastAsia="fr-FR" w:bidi="he-IL"/>
        </w:rPr>
        <w:t>ensemble. C</w:t>
      </w:r>
      <w:r w:rsidR="00557DE0">
        <w:rPr>
          <w:rFonts w:eastAsia="Arial Unicode MS"/>
          <w:bCs/>
          <w:lang w:eastAsia="fr-FR" w:bidi="he-IL"/>
        </w:rPr>
        <w:t>’</w:t>
      </w:r>
      <w:r w:rsidRPr="00C8701B">
        <w:rPr>
          <w:rFonts w:eastAsia="Arial Unicode MS"/>
          <w:bCs/>
          <w:lang w:eastAsia="fr-FR" w:bidi="he-IL"/>
        </w:rPr>
        <w:t>est</w:t>
      </w:r>
      <w:r w:rsidR="00E65435">
        <w:rPr>
          <w:rFonts w:eastAsia="Arial Unicode MS"/>
          <w:bCs/>
          <w:lang w:eastAsia="fr-FR" w:bidi="he-IL"/>
        </w:rPr>
        <w:t xml:space="preserve">, </w:t>
      </w:r>
      <w:r w:rsidRPr="00C8701B">
        <w:rPr>
          <w:rFonts w:eastAsia="Arial Unicode MS"/>
          <w:bCs/>
          <w:lang w:eastAsia="fr-FR" w:bidi="he-IL"/>
        </w:rPr>
        <w:t>au fond</w:t>
      </w:r>
      <w:r w:rsidR="00E65435">
        <w:rPr>
          <w:rFonts w:eastAsia="Arial Unicode MS"/>
          <w:bCs/>
          <w:lang w:eastAsia="fr-FR" w:bidi="he-IL"/>
        </w:rPr>
        <w:t xml:space="preserve">, </w:t>
      </w:r>
      <w:r w:rsidRPr="00C8701B">
        <w:rPr>
          <w:rFonts w:eastAsia="Arial Unicode MS"/>
          <w:bCs/>
          <w:lang w:eastAsia="fr-FR" w:bidi="he-IL"/>
        </w:rPr>
        <w:t>une harmonie des évangiles entremêlée de cantiques</w:t>
      </w:r>
      <w:r w:rsidR="00933C60" w:rsidRPr="00C406FF">
        <w:rPr>
          <w:rStyle w:val="Appelnotedebasdep"/>
        </w:rPr>
        <w:footnoteReference w:id="541"/>
      </w:r>
      <w:r w:rsidRPr="00C8701B">
        <w:rPr>
          <w:rFonts w:eastAsia="Arial Unicode MS"/>
          <w:bCs/>
          <w:lang w:eastAsia="fr-FR" w:bidi="he-IL"/>
        </w:rPr>
        <w:t>.</w:t>
      </w:r>
      <w:r w:rsidR="00C2602D" w:rsidRPr="00C8701B">
        <w:rPr>
          <w:rFonts w:eastAsia="Arial Unicode MS"/>
          <w:bCs/>
          <w:lang w:eastAsia="fr-FR" w:bidi="he-IL"/>
        </w:rPr>
        <w:t xml:space="preserve"> </w:t>
      </w:r>
    </w:p>
    <w:p w:rsidR="00C2602D" w:rsidRDefault="00B704AD" w:rsidP="00C2602D">
      <w:pPr>
        <w:rPr>
          <w:rFonts w:eastAsia="Arial Unicode MS"/>
          <w:bCs/>
          <w:lang w:eastAsia="fr-FR" w:bidi="he-IL"/>
        </w:rPr>
      </w:pPr>
      <w:r w:rsidRPr="00C8701B">
        <w:rPr>
          <w:rFonts w:eastAsia="Arial Unicode MS"/>
          <w:bCs/>
          <w:lang w:eastAsia="fr-FR" w:bidi="he-IL"/>
        </w:rPr>
        <w:t>Nous devons maintenant passer jusqu</w:t>
      </w:r>
      <w:r w:rsidR="00557DE0">
        <w:rPr>
          <w:rFonts w:eastAsia="Arial Unicode MS"/>
          <w:bCs/>
          <w:lang w:eastAsia="fr-FR" w:bidi="he-IL"/>
        </w:rPr>
        <w:t>’</w:t>
      </w:r>
      <w:r w:rsidRPr="00C8701B">
        <w:rPr>
          <w:rFonts w:eastAsia="Arial Unicode MS"/>
          <w:bCs/>
          <w:lang w:eastAsia="fr-FR" w:bidi="he-IL"/>
        </w:rPr>
        <w:t xml:space="preserve">aux premières années du </w:t>
      </w:r>
      <w:r w:rsidR="00EF1E04">
        <w:rPr>
          <w:rFonts w:eastAsia="Arial Unicode MS"/>
          <w:bCs/>
          <w:lang w:eastAsia="fr-FR" w:bidi="he-IL"/>
        </w:rPr>
        <w:t>XVI</w:t>
      </w:r>
      <w:r w:rsidR="00F56B84" w:rsidRPr="00F56B84">
        <w:rPr>
          <w:rFonts w:eastAsia="Arial Unicode MS"/>
          <w:bCs/>
          <w:vertAlign w:val="superscript"/>
          <w:lang w:eastAsia="fr-FR" w:bidi="he-IL"/>
        </w:rPr>
        <w:t>e</w:t>
      </w:r>
      <w:r w:rsidRPr="00C8701B">
        <w:rPr>
          <w:rFonts w:eastAsia="Arial Unicode MS"/>
          <w:bCs/>
          <w:lang w:eastAsia="fr-FR" w:bidi="he-IL"/>
        </w:rPr>
        <w:t xml:space="preserve"> siècle pour rencontrer d</w:t>
      </w:r>
      <w:r w:rsidR="00557DE0">
        <w:rPr>
          <w:rFonts w:eastAsia="Arial Unicode MS"/>
          <w:bCs/>
          <w:lang w:eastAsia="fr-FR" w:bidi="he-IL"/>
        </w:rPr>
        <w:t>’</w:t>
      </w:r>
      <w:r w:rsidRPr="00C8701B">
        <w:rPr>
          <w:rFonts w:eastAsia="Arial Unicode MS"/>
          <w:bCs/>
          <w:lang w:eastAsia="fr-FR" w:bidi="he-IL"/>
        </w:rPr>
        <w:t>autres essais épiques sur les saints évangiles</w:t>
      </w:r>
      <w:r w:rsidR="00C2602D" w:rsidRPr="00C8701B">
        <w:rPr>
          <w:rFonts w:eastAsia="Arial Unicode MS"/>
          <w:bCs/>
          <w:lang w:eastAsia="fr-FR" w:bidi="he-IL"/>
        </w:rPr>
        <w:t> :</w:t>
      </w:r>
      <w:r w:rsidRPr="00C8701B">
        <w:rPr>
          <w:rFonts w:eastAsia="Arial Unicode MS"/>
          <w:bCs/>
          <w:lang w:eastAsia="fr-FR" w:bidi="he-IL"/>
        </w:rPr>
        <w:t xml:space="preserve"> la </w:t>
      </w:r>
      <w:r w:rsidR="00AB43EC">
        <w:rPr>
          <w:rStyle w:val="italicus"/>
        </w:rPr>
        <w:t>Christ</w:t>
      </w:r>
      <w:r w:rsidRPr="00DC4586">
        <w:rPr>
          <w:rStyle w:val="italicus"/>
        </w:rPr>
        <w:t>eis</w:t>
      </w:r>
      <w:r w:rsidRPr="00C8701B">
        <w:rPr>
          <w:rFonts w:eastAsia="Arial Unicode MS"/>
          <w:bCs/>
          <w:lang w:eastAsia="fr-FR" w:bidi="he-IL"/>
        </w:rPr>
        <w:t xml:space="preserve"> de Sannazar</w:t>
      </w:r>
      <w:r w:rsidR="00933C60" w:rsidRPr="00C406FF">
        <w:rPr>
          <w:rStyle w:val="Appelnotedebasdep"/>
        </w:rPr>
        <w:footnoteReference w:id="542"/>
      </w:r>
      <w:r w:rsidR="00E65435">
        <w:rPr>
          <w:rFonts w:eastAsia="Arial Unicode MS"/>
          <w:bCs/>
          <w:lang w:eastAsia="fr-FR" w:bidi="he-IL"/>
        </w:rPr>
        <w:t xml:space="preserve">, </w:t>
      </w:r>
      <w:r w:rsidRPr="00C8701B">
        <w:rPr>
          <w:rFonts w:eastAsia="Arial Unicode MS"/>
          <w:bCs/>
          <w:lang w:eastAsia="fr-FR" w:bidi="he-IL"/>
        </w:rPr>
        <w:t>et la</w:t>
      </w:r>
      <w:r w:rsidR="00AB43EC">
        <w:rPr>
          <w:rStyle w:val="italicus"/>
        </w:rPr>
        <w:t xml:space="preserve"> Christ</w:t>
      </w:r>
      <w:r w:rsidRPr="00DC4586">
        <w:rPr>
          <w:rStyle w:val="italicus"/>
        </w:rPr>
        <w:t>iade</w:t>
      </w:r>
      <w:r w:rsidRPr="00C8701B">
        <w:rPr>
          <w:rFonts w:eastAsia="Arial Unicode MS"/>
          <w:bCs/>
          <w:lang w:eastAsia="fr-FR" w:bidi="he-IL"/>
        </w:rPr>
        <w:t xml:space="preserve"> de Vida</w:t>
      </w:r>
      <w:r w:rsidR="00933C60" w:rsidRPr="00C406FF">
        <w:rPr>
          <w:rStyle w:val="Appelnotedebasdep"/>
        </w:rPr>
        <w:footnoteReference w:id="543"/>
      </w:r>
      <w:r w:rsidR="00E65435">
        <w:rPr>
          <w:rFonts w:eastAsia="Arial Unicode MS"/>
          <w:bCs/>
          <w:lang w:eastAsia="fr-FR" w:bidi="he-IL"/>
        </w:rPr>
        <w:t xml:space="preserve">, </w:t>
      </w:r>
      <w:r w:rsidRPr="00C8701B">
        <w:rPr>
          <w:rFonts w:eastAsia="Arial Unicode MS"/>
          <w:bCs/>
          <w:lang w:eastAsia="fr-FR" w:bidi="he-IL"/>
        </w:rPr>
        <w:t>qui groupent les épisodes les plus importants des évangiles</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un autour de la crèche</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autre autour de la croix. De part et d</w:t>
      </w:r>
      <w:r w:rsidR="00557DE0">
        <w:rPr>
          <w:rFonts w:eastAsia="Arial Unicode MS"/>
          <w:bCs/>
          <w:lang w:eastAsia="fr-FR" w:bidi="he-IL"/>
        </w:rPr>
        <w:t>’</w:t>
      </w:r>
      <w:r w:rsidRPr="00C8701B">
        <w:rPr>
          <w:rFonts w:eastAsia="Arial Unicode MS"/>
          <w:bCs/>
          <w:lang w:eastAsia="fr-FR" w:bidi="he-IL"/>
        </w:rPr>
        <w:t>autre</w:t>
      </w:r>
      <w:r w:rsidR="00E65435">
        <w:rPr>
          <w:rFonts w:eastAsia="Arial Unicode MS"/>
          <w:bCs/>
          <w:lang w:eastAsia="fr-FR" w:bidi="he-IL"/>
        </w:rPr>
        <w:t xml:space="preserve">, </w:t>
      </w:r>
      <w:r w:rsidRPr="00C8701B">
        <w:rPr>
          <w:rFonts w:eastAsia="Arial Unicode MS"/>
          <w:bCs/>
          <w:lang w:eastAsia="fr-FR" w:bidi="he-IL"/>
        </w:rPr>
        <w:t>les beautés poétiques ne manquent pas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mais quel monstrueux mélange d</w:t>
      </w:r>
      <w:r w:rsidR="00557DE0">
        <w:rPr>
          <w:rFonts w:eastAsia="Arial Unicode MS"/>
          <w:bCs/>
          <w:lang w:eastAsia="fr-FR" w:bidi="he-IL"/>
        </w:rPr>
        <w:t>’</w:t>
      </w:r>
      <w:r w:rsidRPr="00C8701B">
        <w:rPr>
          <w:rFonts w:eastAsia="Arial Unicode MS"/>
          <w:bCs/>
          <w:lang w:eastAsia="fr-FR" w:bidi="he-IL"/>
        </w:rPr>
        <w:t>éléments chrétiens et d</w:t>
      </w:r>
      <w:r w:rsidR="00557DE0">
        <w:rPr>
          <w:rFonts w:eastAsia="Arial Unicode MS"/>
          <w:bCs/>
          <w:lang w:eastAsia="fr-FR" w:bidi="he-IL"/>
        </w:rPr>
        <w:t>’</w:t>
      </w:r>
      <w:r w:rsidRPr="00C8701B">
        <w:rPr>
          <w:rFonts w:eastAsia="Arial Unicode MS"/>
          <w:bCs/>
          <w:lang w:eastAsia="fr-FR" w:bidi="he-IL"/>
        </w:rPr>
        <w:t>éléments païens</w:t>
      </w:r>
      <w:r w:rsidR="00E65435">
        <w:rPr>
          <w:rFonts w:eastAsia="Arial Unicode MS"/>
          <w:bCs/>
          <w:lang w:eastAsia="fr-FR" w:bidi="he-IL"/>
        </w:rPr>
        <w:t xml:space="preserve">, </w:t>
      </w:r>
      <w:r w:rsidRPr="00C8701B">
        <w:rPr>
          <w:rFonts w:eastAsia="Arial Unicode MS"/>
          <w:bCs/>
          <w:lang w:eastAsia="fr-FR" w:bidi="he-IL"/>
        </w:rPr>
        <w:t>et</w:t>
      </w:r>
      <w:r w:rsidR="00E65435">
        <w:rPr>
          <w:rFonts w:eastAsia="Arial Unicode MS"/>
          <w:bCs/>
          <w:lang w:eastAsia="fr-FR" w:bidi="he-IL"/>
        </w:rPr>
        <w:t xml:space="preserve">, </w:t>
      </w:r>
      <w:r w:rsidRPr="00C8701B">
        <w:rPr>
          <w:rFonts w:eastAsia="Arial Unicode MS"/>
          <w:bCs/>
          <w:lang w:eastAsia="fr-FR" w:bidi="he-IL"/>
        </w:rPr>
        <w:t>pour ce</w:t>
      </w:r>
      <w:r w:rsidR="00AB43EC">
        <w:rPr>
          <w:rFonts w:eastAsia="Arial Unicode MS"/>
          <w:bCs/>
          <w:lang w:eastAsia="fr-FR" w:bidi="he-IL"/>
        </w:rPr>
        <w:t xml:space="preserve"> </w:t>
      </w:r>
      <w:r w:rsidRPr="00C8701B">
        <w:rPr>
          <w:rFonts w:eastAsia="Arial Unicode MS"/>
          <w:bCs/>
          <w:lang w:eastAsia="fr-FR" w:bidi="he-IL"/>
        </w:rPr>
        <w:t>qui concerne la forme</w:t>
      </w:r>
      <w:r w:rsidR="00E65435">
        <w:rPr>
          <w:rFonts w:eastAsia="Arial Unicode MS"/>
          <w:bCs/>
          <w:lang w:eastAsia="fr-FR" w:bidi="he-IL"/>
        </w:rPr>
        <w:t xml:space="preserve">, </w:t>
      </w:r>
      <w:r w:rsidRPr="00C8701B">
        <w:rPr>
          <w:rFonts w:eastAsia="Arial Unicode MS"/>
          <w:bCs/>
          <w:lang w:eastAsia="fr-FR" w:bidi="he-IL"/>
        </w:rPr>
        <w:t>combien souvent la poésie n</w:t>
      </w:r>
      <w:r w:rsidR="00557DE0">
        <w:rPr>
          <w:rFonts w:eastAsia="Arial Unicode MS"/>
          <w:bCs/>
          <w:lang w:eastAsia="fr-FR" w:bidi="he-IL"/>
        </w:rPr>
        <w:t>’</w:t>
      </w:r>
      <w:r w:rsidRPr="00C8701B">
        <w:rPr>
          <w:rFonts w:eastAsia="Arial Unicode MS"/>
          <w:bCs/>
          <w:lang w:eastAsia="fr-FR" w:bidi="he-IL"/>
        </w:rPr>
        <w:t>est-elle pas remplacée par la versification</w:t>
      </w:r>
      <w:r w:rsidR="00933C60" w:rsidRPr="00C406FF">
        <w:rPr>
          <w:rStyle w:val="Appelnotedebasdep"/>
        </w:rPr>
        <w:footnoteReference w:id="544"/>
      </w:r>
      <w:r w:rsidR="00C2602D" w:rsidRPr="00C8701B">
        <w:rPr>
          <w:rFonts w:eastAsia="Arial Unicode MS"/>
          <w:bCs/>
          <w:lang w:eastAsia="fr-FR" w:bidi="he-IL"/>
        </w:rPr>
        <w:t xml:space="preserve"> ! </w:t>
      </w:r>
      <w:r w:rsidR="00366671">
        <w:rPr>
          <w:rFonts w:eastAsia="Arial Unicode MS"/>
          <w:bCs/>
          <w:lang w:eastAsia="fr-FR" w:bidi="he-IL"/>
        </w:rPr>
        <w:t>{104</w:t>
      </w:r>
      <w:bookmarkStart w:id="159" w:name="pag104"/>
      <w:bookmarkEnd w:id="159"/>
      <w:r w:rsidR="00366671">
        <w:rPr>
          <w:rFonts w:eastAsia="Arial Unicode MS"/>
          <w:bCs/>
          <w:lang w:eastAsia="fr-FR" w:bidi="he-IL"/>
        </w:rPr>
        <w:t>}</w:t>
      </w:r>
    </w:p>
    <w:p w:rsidR="00C2602D" w:rsidRPr="00C8701B" w:rsidRDefault="00B704AD" w:rsidP="00AB43EC">
      <w:pPr>
        <w:rPr>
          <w:rFonts w:eastAsia="Arial Unicode MS"/>
          <w:bCs/>
          <w:lang w:eastAsia="fr-FR" w:bidi="he-IL"/>
        </w:rPr>
      </w:pPr>
      <w:r w:rsidRPr="00C8701B">
        <w:rPr>
          <w:rFonts w:eastAsia="Arial Unicode MS"/>
          <w:bCs/>
          <w:lang w:eastAsia="fr-FR" w:bidi="he-IL"/>
        </w:rPr>
        <w:t>Nous n</w:t>
      </w:r>
      <w:r w:rsidR="00557DE0">
        <w:rPr>
          <w:rFonts w:eastAsia="Arial Unicode MS"/>
          <w:bCs/>
          <w:lang w:eastAsia="fr-FR" w:bidi="he-IL"/>
        </w:rPr>
        <w:t>’</w:t>
      </w:r>
      <w:r w:rsidRPr="00C8701B">
        <w:rPr>
          <w:rFonts w:eastAsia="Arial Unicode MS"/>
          <w:bCs/>
          <w:lang w:eastAsia="fr-FR" w:bidi="he-IL"/>
        </w:rPr>
        <w:t>avons pas à nous étendre sur les œuvres si connues de Milton</w:t>
      </w:r>
      <w:r w:rsidR="00933C60" w:rsidRPr="00C406FF">
        <w:rPr>
          <w:rStyle w:val="Appelnotedebasdep"/>
        </w:rPr>
        <w:footnoteReference w:id="545"/>
      </w:r>
      <w:r w:rsidR="00E65435">
        <w:rPr>
          <w:rFonts w:eastAsia="Arial Unicode MS"/>
          <w:bCs/>
          <w:lang w:eastAsia="fr-FR" w:bidi="he-IL"/>
        </w:rPr>
        <w:t xml:space="preserve">, </w:t>
      </w:r>
      <w:r w:rsidRPr="00C8701B">
        <w:rPr>
          <w:rFonts w:eastAsia="Arial Unicode MS"/>
          <w:bCs/>
          <w:lang w:eastAsia="fr-FR" w:bidi="he-IL"/>
        </w:rPr>
        <w:t>de Lavater</w:t>
      </w:r>
      <w:r w:rsidR="00933C60" w:rsidRPr="00C406FF">
        <w:rPr>
          <w:rStyle w:val="Appelnotedebasdep"/>
        </w:rPr>
        <w:footnoteReference w:id="546"/>
      </w:r>
      <w:r w:rsidR="00E65435">
        <w:rPr>
          <w:rFonts w:eastAsia="Arial Unicode MS"/>
          <w:bCs/>
          <w:lang w:eastAsia="fr-FR" w:bidi="he-IL"/>
        </w:rPr>
        <w:t xml:space="preserve">, </w:t>
      </w:r>
      <w:r w:rsidRPr="00C8701B">
        <w:rPr>
          <w:rFonts w:eastAsia="Arial Unicode MS"/>
          <w:bCs/>
          <w:lang w:eastAsia="fr-FR" w:bidi="he-IL"/>
        </w:rPr>
        <w:t>de Klopstock</w:t>
      </w:r>
      <w:r w:rsidR="00933C60" w:rsidRPr="00C406FF">
        <w:rPr>
          <w:rStyle w:val="Appelnotedebasdep"/>
        </w:rPr>
        <w:footnoteReference w:id="547"/>
      </w:r>
      <w:r w:rsidR="00E65435">
        <w:rPr>
          <w:rFonts w:eastAsia="Arial Unicode MS"/>
          <w:bCs/>
          <w:lang w:eastAsia="fr-FR" w:bidi="he-IL"/>
        </w:rPr>
        <w:t xml:space="preserve">, </w:t>
      </w:r>
      <w:r w:rsidRPr="00C8701B">
        <w:rPr>
          <w:rFonts w:eastAsia="Arial Unicode MS"/>
          <w:bCs/>
          <w:lang w:eastAsia="fr-FR" w:bidi="he-IL"/>
        </w:rPr>
        <w:t xml:space="preserve">de </w:t>
      </w:r>
      <w:r w:rsidR="00AB43EC" w:rsidRPr="00C8701B">
        <w:rPr>
          <w:rFonts w:eastAsia="Arial Unicode MS"/>
          <w:bCs/>
          <w:lang w:eastAsia="fr-FR" w:bidi="he-IL"/>
        </w:rPr>
        <w:t>Rückert</w:t>
      </w:r>
      <w:r w:rsidR="00933C60" w:rsidRPr="00C406FF">
        <w:rPr>
          <w:rStyle w:val="Appelnotedebasdep"/>
        </w:rPr>
        <w:footnoteReference w:id="548"/>
      </w:r>
      <w:r w:rsidR="00E65435">
        <w:rPr>
          <w:rFonts w:eastAsia="Arial Unicode MS"/>
          <w:bCs/>
          <w:lang w:eastAsia="fr-FR" w:bidi="he-IL"/>
        </w:rPr>
        <w:t xml:space="preserve">, </w:t>
      </w:r>
      <w:r w:rsidRPr="00C8701B">
        <w:rPr>
          <w:rFonts w:eastAsia="Arial Unicode MS"/>
          <w:bCs/>
          <w:lang w:eastAsia="fr-FR" w:bidi="he-IL"/>
        </w:rPr>
        <w:t>non plus que sur leurs défauts associés à tant de grandeurs. N</w:t>
      </w:r>
      <w:r w:rsidR="00557DE0">
        <w:rPr>
          <w:rFonts w:eastAsia="Arial Unicode MS"/>
          <w:bCs/>
          <w:lang w:eastAsia="fr-FR" w:bidi="he-IL"/>
        </w:rPr>
        <w:t>’</w:t>
      </w:r>
      <w:r w:rsidRPr="00C8701B">
        <w:rPr>
          <w:rFonts w:eastAsia="Arial Unicode MS"/>
          <w:bCs/>
          <w:lang w:eastAsia="fr-FR" w:bidi="he-IL"/>
        </w:rPr>
        <w:t>est-ce pas Lamartine qui disait</w:t>
      </w:r>
      <w:r w:rsidR="00C2602D" w:rsidRPr="00C8701B">
        <w:rPr>
          <w:rFonts w:eastAsia="Arial Unicode MS"/>
          <w:bCs/>
          <w:lang w:eastAsia="fr-FR" w:bidi="he-IL"/>
        </w:rPr>
        <w:t> :</w:t>
      </w:r>
      <w:r w:rsidRPr="00C8701B">
        <w:rPr>
          <w:rFonts w:eastAsia="Arial Unicode MS"/>
          <w:bCs/>
          <w:lang w:eastAsia="fr-FR" w:bidi="he-IL"/>
        </w:rPr>
        <w:t xml:space="preserve"> </w:t>
      </w:r>
      <w:r w:rsidR="00C2602D" w:rsidRPr="00C8701B">
        <w:rPr>
          <w:rFonts w:eastAsia="Arial Unicode MS"/>
          <w:bCs/>
          <w:lang w:eastAsia="fr-FR" w:bidi="he-IL"/>
        </w:rPr>
        <w:t>« </w:t>
      </w:r>
      <w:r w:rsidRPr="00C8701B">
        <w:rPr>
          <w:rFonts w:eastAsia="Arial Unicode MS"/>
          <w:bCs/>
          <w:lang w:eastAsia="fr-FR" w:bidi="he-IL"/>
        </w:rPr>
        <w:t>Les Hébreux n</w:t>
      </w:r>
      <w:r w:rsidR="00557DE0">
        <w:rPr>
          <w:rFonts w:eastAsia="Arial Unicode MS"/>
          <w:bCs/>
          <w:lang w:eastAsia="fr-FR" w:bidi="he-IL"/>
        </w:rPr>
        <w:t>’</w:t>
      </w:r>
      <w:r w:rsidRPr="00C8701B">
        <w:rPr>
          <w:rFonts w:eastAsia="Arial Unicode MS"/>
          <w:bCs/>
          <w:lang w:eastAsia="fr-FR" w:bidi="he-IL"/>
        </w:rPr>
        <w:t>ont pas d</w:t>
      </w:r>
      <w:r w:rsidR="00557DE0">
        <w:rPr>
          <w:rFonts w:eastAsia="Arial Unicode MS"/>
          <w:bCs/>
          <w:lang w:eastAsia="fr-FR" w:bidi="he-IL"/>
        </w:rPr>
        <w:t>’</w:t>
      </w:r>
      <w:r w:rsidRPr="00C8701B">
        <w:rPr>
          <w:rFonts w:eastAsia="Arial Unicode MS"/>
          <w:bCs/>
          <w:lang w:eastAsia="fr-FR" w:bidi="he-IL"/>
        </w:rPr>
        <w:t>épopée</w:t>
      </w:r>
      <w:r w:rsidR="00E65435">
        <w:rPr>
          <w:rFonts w:eastAsia="Arial Unicode MS"/>
          <w:bCs/>
          <w:lang w:eastAsia="fr-FR" w:bidi="he-IL"/>
        </w:rPr>
        <w:t xml:space="preserve">, </w:t>
      </w:r>
      <w:r w:rsidRPr="00C8701B">
        <w:rPr>
          <w:rFonts w:eastAsia="Arial Unicode MS"/>
          <w:bCs/>
          <w:lang w:eastAsia="fr-FR" w:bidi="he-IL"/>
        </w:rPr>
        <w:t>parce que la Bible entière est une épopée</w:t>
      </w:r>
      <w:r w:rsidR="00C2602D" w:rsidRPr="00C8701B">
        <w:rPr>
          <w:rFonts w:eastAsia="Arial Unicode MS"/>
          <w:bCs/>
          <w:lang w:eastAsia="fr-FR" w:bidi="he-IL"/>
        </w:rPr>
        <w:t> ?</w:t>
      </w:r>
      <w:r w:rsidR="00AB43EC">
        <w:rPr>
          <w:rFonts w:eastAsia="Arial Unicode MS"/>
          <w:bCs/>
          <w:lang w:eastAsia="fr-FR" w:bidi="he-IL"/>
        </w:rPr>
        <w:t> »</w:t>
      </w:r>
      <w:r w:rsidRPr="00C8701B">
        <w:rPr>
          <w:rFonts w:eastAsia="Arial Unicode MS"/>
          <w:bCs/>
          <w:lang w:eastAsia="fr-FR" w:bidi="he-IL"/>
        </w:rPr>
        <w:t>. De même</w:t>
      </w:r>
      <w:r w:rsidR="00E65435">
        <w:rPr>
          <w:rFonts w:eastAsia="Arial Unicode MS"/>
          <w:bCs/>
          <w:lang w:eastAsia="fr-FR" w:bidi="he-IL"/>
        </w:rPr>
        <w:t xml:space="preserve">, </w:t>
      </w:r>
      <w:r w:rsidRPr="00C8701B">
        <w:rPr>
          <w:rFonts w:eastAsia="Arial Unicode MS"/>
          <w:bCs/>
          <w:lang w:eastAsia="fr-FR" w:bidi="he-IL"/>
        </w:rPr>
        <w:t>aucun poème épique</w:t>
      </w:r>
      <w:r w:rsidR="00E65435">
        <w:rPr>
          <w:rFonts w:eastAsia="Arial Unicode MS"/>
          <w:bCs/>
          <w:lang w:eastAsia="fr-FR" w:bidi="he-IL"/>
        </w:rPr>
        <w:t xml:space="preserve">, </w:t>
      </w:r>
      <w:r w:rsidRPr="00C8701B">
        <w:rPr>
          <w:rFonts w:eastAsia="Arial Unicode MS"/>
          <w:bCs/>
          <w:lang w:eastAsia="fr-FR" w:bidi="he-IL"/>
        </w:rPr>
        <w:t>quel qu</w:t>
      </w:r>
      <w:r w:rsidR="00557DE0">
        <w:rPr>
          <w:rFonts w:eastAsia="Arial Unicode MS"/>
          <w:bCs/>
          <w:lang w:eastAsia="fr-FR" w:bidi="he-IL"/>
        </w:rPr>
        <w:t>’</w:t>
      </w:r>
      <w:r w:rsidRPr="00C8701B">
        <w:rPr>
          <w:rFonts w:eastAsia="Arial Unicode MS"/>
          <w:bCs/>
          <w:lang w:eastAsia="fr-FR" w:bidi="he-IL"/>
        </w:rPr>
        <w:t>en soit l</w:t>
      </w:r>
      <w:r w:rsidR="00557DE0">
        <w:rPr>
          <w:rFonts w:eastAsia="Arial Unicode MS"/>
          <w:bCs/>
          <w:lang w:eastAsia="fr-FR" w:bidi="he-IL"/>
        </w:rPr>
        <w:t>’</w:t>
      </w:r>
      <w:r w:rsidRPr="00C8701B">
        <w:rPr>
          <w:rFonts w:eastAsia="Arial Unicode MS"/>
          <w:bCs/>
          <w:lang w:eastAsia="fr-FR" w:bidi="he-IL"/>
        </w:rPr>
        <w:t>auteur</w:t>
      </w:r>
      <w:r w:rsidR="00E65435">
        <w:rPr>
          <w:rFonts w:eastAsia="Arial Unicode MS"/>
          <w:bCs/>
          <w:lang w:eastAsia="fr-FR" w:bidi="he-IL"/>
        </w:rPr>
        <w:t xml:space="preserve">, </w:t>
      </w:r>
      <w:r w:rsidRPr="00C8701B">
        <w:rPr>
          <w:rFonts w:eastAsia="Arial Unicode MS"/>
          <w:bCs/>
          <w:lang w:eastAsia="fr-FR" w:bidi="he-IL"/>
        </w:rPr>
        <w:t>ne saurait lutter avec les évangiles.</w:t>
      </w:r>
      <w:r w:rsidR="00E65435">
        <w:rPr>
          <w:rFonts w:eastAsia="Arial Unicode MS"/>
          <w:bCs/>
          <w:lang w:eastAsia="fr-FR" w:bidi="he-IL"/>
        </w:rPr>
        <w:t xml:space="preserve"> </w:t>
      </w:r>
    </w:p>
    <w:p w:rsidR="00C2602D" w:rsidRPr="00C8701B" w:rsidRDefault="00B704AD" w:rsidP="00AB43EC">
      <w:pPr>
        <w:rPr>
          <w:rFonts w:eastAsia="Arial Unicode MS"/>
          <w:bCs/>
          <w:lang w:eastAsia="fr-FR" w:bidi="he-IL"/>
        </w:rPr>
      </w:pPr>
      <w:r w:rsidRPr="00C8701B">
        <w:rPr>
          <w:rFonts w:eastAsia="Arial Unicode MS"/>
          <w:bCs/>
          <w:lang w:eastAsia="fr-FR" w:bidi="he-IL"/>
        </w:rPr>
        <w:t>En France</w:t>
      </w:r>
      <w:r w:rsidR="00E65435">
        <w:rPr>
          <w:rFonts w:eastAsia="Arial Unicode MS"/>
          <w:bCs/>
          <w:lang w:eastAsia="fr-FR" w:bidi="he-IL"/>
        </w:rPr>
        <w:t xml:space="preserve">, </w:t>
      </w:r>
      <w:r w:rsidRPr="00C8701B">
        <w:rPr>
          <w:rFonts w:eastAsia="Arial Unicode MS"/>
          <w:bCs/>
          <w:lang w:eastAsia="fr-FR" w:bidi="he-IL"/>
        </w:rPr>
        <w:t>dans le genre épique</w:t>
      </w:r>
      <w:r w:rsidR="00E65435">
        <w:rPr>
          <w:rFonts w:eastAsia="Arial Unicode MS"/>
          <w:bCs/>
          <w:lang w:eastAsia="fr-FR" w:bidi="he-IL"/>
        </w:rPr>
        <w:t xml:space="preserve">, </w:t>
      </w:r>
      <w:r w:rsidRPr="00C8701B">
        <w:rPr>
          <w:rFonts w:eastAsia="Arial Unicode MS"/>
          <w:bCs/>
          <w:lang w:eastAsia="fr-FR" w:bidi="he-IL"/>
        </w:rPr>
        <w:t>nous n</w:t>
      </w:r>
      <w:r w:rsidR="00557DE0">
        <w:rPr>
          <w:rFonts w:eastAsia="Arial Unicode MS"/>
          <w:bCs/>
          <w:lang w:eastAsia="fr-FR" w:bidi="he-IL"/>
        </w:rPr>
        <w:t>’</w:t>
      </w:r>
      <w:r w:rsidRPr="00C8701B">
        <w:rPr>
          <w:rFonts w:eastAsia="Arial Unicode MS"/>
          <w:bCs/>
          <w:lang w:eastAsia="fr-FR" w:bidi="he-IL"/>
        </w:rPr>
        <w:t>avons guère à mentionner que les</w:t>
      </w:r>
      <w:r w:rsidRPr="00DC4586">
        <w:rPr>
          <w:rStyle w:val="italicus"/>
        </w:rPr>
        <w:t xml:space="preserve"> Poèmes évangéliques</w:t>
      </w:r>
      <w:r w:rsidRPr="00C8701B">
        <w:rPr>
          <w:rFonts w:eastAsia="Arial Unicode MS"/>
          <w:bCs/>
          <w:lang w:eastAsia="fr-FR" w:bidi="he-IL"/>
        </w:rPr>
        <w:t xml:space="preserve"> de M. de Laprad</w:t>
      </w:r>
      <w:r w:rsidR="00AB43EC">
        <w:rPr>
          <w:rFonts w:eastAsia="Arial Unicode MS"/>
          <w:bCs/>
          <w:lang w:eastAsia="fr-FR" w:bidi="he-IL"/>
        </w:rPr>
        <w:t>e</w:t>
      </w:r>
      <w:r w:rsidR="00933C60" w:rsidRPr="00C406FF">
        <w:rPr>
          <w:rStyle w:val="Appelnotedebasdep"/>
        </w:rPr>
        <w:footnoteReference w:id="549"/>
      </w:r>
      <w:r w:rsidR="00E65435">
        <w:rPr>
          <w:rFonts w:eastAsia="Arial Unicode MS"/>
          <w:bCs/>
          <w:lang w:eastAsia="fr-FR" w:bidi="he-IL"/>
        </w:rPr>
        <w:t xml:space="preserve">, </w:t>
      </w:r>
      <w:r w:rsidRPr="00C8701B">
        <w:rPr>
          <w:rFonts w:eastAsia="Arial Unicode MS"/>
          <w:bCs/>
          <w:lang w:eastAsia="fr-FR" w:bidi="he-IL"/>
        </w:rPr>
        <w:t>dont l</w:t>
      </w:r>
      <w:r w:rsidR="00557DE0">
        <w:rPr>
          <w:rFonts w:eastAsia="Arial Unicode MS"/>
          <w:bCs/>
          <w:lang w:eastAsia="fr-FR" w:bidi="he-IL"/>
        </w:rPr>
        <w:t>’</w:t>
      </w:r>
      <w:r w:rsidRPr="00C8701B">
        <w:rPr>
          <w:rFonts w:eastAsia="Arial Unicode MS"/>
          <w:bCs/>
          <w:lang w:eastAsia="fr-FR" w:bidi="he-IL"/>
        </w:rPr>
        <w:t>ensemble</w:t>
      </w:r>
      <w:r w:rsidR="00E65435">
        <w:rPr>
          <w:rFonts w:eastAsia="Arial Unicode MS"/>
          <w:bCs/>
          <w:lang w:eastAsia="fr-FR" w:bidi="he-IL"/>
        </w:rPr>
        <w:t xml:space="preserve">, </w:t>
      </w:r>
      <w:r w:rsidRPr="00C8701B">
        <w:rPr>
          <w:rFonts w:eastAsia="Arial Unicode MS"/>
          <w:bCs/>
          <w:lang w:eastAsia="fr-FR" w:bidi="he-IL"/>
        </w:rPr>
        <w:t>forme une sorte d</w:t>
      </w:r>
      <w:r w:rsidR="00557DE0">
        <w:rPr>
          <w:rFonts w:eastAsia="Arial Unicode MS"/>
          <w:bCs/>
          <w:lang w:eastAsia="fr-FR" w:bidi="he-IL"/>
        </w:rPr>
        <w:t>’</w:t>
      </w:r>
      <w:r w:rsidRPr="00C8701B">
        <w:rPr>
          <w:rFonts w:eastAsia="Arial Unicode MS"/>
          <w:bCs/>
          <w:lang w:eastAsia="fr-FR" w:bidi="he-IL"/>
        </w:rPr>
        <w:t>épopée. C</w:t>
      </w:r>
      <w:r w:rsidR="00557DE0">
        <w:rPr>
          <w:rFonts w:eastAsia="Arial Unicode MS"/>
          <w:bCs/>
          <w:lang w:eastAsia="fr-FR" w:bidi="he-IL"/>
        </w:rPr>
        <w:t>’</w:t>
      </w:r>
      <w:r w:rsidRPr="00C8701B">
        <w:rPr>
          <w:rFonts w:eastAsia="Arial Unicode MS"/>
          <w:bCs/>
          <w:lang w:eastAsia="fr-FR" w:bidi="he-IL"/>
        </w:rPr>
        <w:t xml:space="preserve">est une œuvre de jeunesse. </w:t>
      </w:r>
      <w:r w:rsidR="00C2602D" w:rsidRPr="00C8701B">
        <w:rPr>
          <w:rFonts w:eastAsia="Arial Unicode MS"/>
          <w:bCs/>
          <w:lang w:eastAsia="fr-FR" w:bidi="he-IL"/>
        </w:rPr>
        <w:t>« </w:t>
      </w:r>
      <w:r w:rsidR="00AB43EC">
        <w:rPr>
          <w:rFonts w:eastAsia="Arial Unicode MS"/>
          <w:bCs/>
          <w:lang w:eastAsia="fr-FR" w:bidi="he-IL"/>
        </w:rPr>
        <w:t>Il y a partout de bonne</w:t>
      </w:r>
      <w:r w:rsidRPr="00C8701B">
        <w:rPr>
          <w:rFonts w:eastAsia="Arial Unicode MS"/>
          <w:bCs/>
          <w:lang w:eastAsia="fr-FR" w:bidi="he-IL"/>
        </w:rPr>
        <w:t>s intentions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dans un grand nombre de pages</w:t>
      </w:r>
      <w:r w:rsidR="00E65435">
        <w:rPr>
          <w:rFonts w:eastAsia="Arial Unicode MS"/>
          <w:bCs/>
          <w:lang w:eastAsia="fr-FR" w:bidi="he-IL"/>
        </w:rPr>
        <w:t xml:space="preserve">, </w:t>
      </w:r>
      <w:r w:rsidRPr="00C8701B">
        <w:rPr>
          <w:rFonts w:eastAsia="Arial Unicode MS"/>
          <w:bCs/>
          <w:lang w:eastAsia="fr-FR" w:bidi="he-IL"/>
        </w:rPr>
        <w:t>de nobles et touchantes inspirations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à chaque page</w:t>
      </w:r>
      <w:r w:rsidR="00E65435">
        <w:rPr>
          <w:rFonts w:eastAsia="Arial Unicode MS"/>
          <w:bCs/>
          <w:lang w:eastAsia="fr-FR" w:bidi="he-IL"/>
        </w:rPr>
        <w:t xml:space="preserve">, </w:t>
      </w:r>
      <w:r w:rsidRPr="00C8701B">
        <w:rPr>
          <w:rFonts w:eastAsia="Arial Unicode MS"/>
          <w:bCs/>
          <w:lang w:eastAsia="fr-FR" w:bidi="he-IL"/>
        </w:rPr>
        <w:t>de beaux vers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mais on trouve dans quelques endroits des témérités poétiques</w:t>
      </w:r>
      <w:r w:rsidR="00AB43EC">
        <w:rPr>
          <w:rFonts w:eastAsia="Arial Unicode MS"/>
          <w:bCs/>
          <w:lang w:eastAsia="fr-FR" w:bidi="he-IL"/>
        </w:rPr>
        <w:t> »</w:t>
      </w:r>
      <w:r w:rsidR="00E65435">
        <w:rPr>
          <w:rFonts w:eastAsia="Arial Unicode MS"/>
          <w:bCs/>
          <w:lang w:eastAsia="fr-FR" w:bidi="he-IL"/>
        </w:rPr>
        <w:t xml:space="preserve">, </w:t>
      </w:r>
      <w:r w:rsidRPr="00C8701B">
        <w:rPr>
          <w:rFonts w:eastAsia="Arial Unicode MS"/>
          <w:bCs/>
          <w:lang w:eastAsia="fr-FR" w:bidi="he-IL"/>
        </w:rPr>
        <w:t>a dit à bon droit M. Nettement</w:t>
      </w:r>
      <w:r w:rsidR="00933C60" w:rsidRPr="00C406FF">
        <w:rPr>
          <w:rStyle w:val="Appelnotedebasdep"/>
        </w:rPr>
        <w:footnoteReference w:id="550"/>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C. On le conçoit</w:t>
      </w:r>
      <w:r w:rsidR="00E65435">
        <w:rPr>
          <w:rFonts w:eastAsia="Arial Unicode MS"/>
          <w:bCs/>
          <w:lang w:eastAsia="fr-FR" w:bidi="he-IL"/>
        </w:rPr>
        <w:t xml:space="preserve">, </w:t>
      </w:r>
      <w:r w:rsidRPr="00C8701B">
        <w:rPr>
          <w:rFonts w:eastAsia="Arial Unicode MS"/>
          <w:bCs/>
          <w:lang w:eastAsia="fr-FR" w:bidi="he-IL"/>
        </w:rPr>
        <w:t>à part la passion de N.-S. Jésus-Christ</w:t>
      </w:r>
      <w:r w:rsidR="00E65435">
        <w:rPr>
          <w:rFonts w:eastAsia="Arial Unicode MS"/>
          <w:bCs/>
          <w:lang w:eastAsia="fr-FR" w:bidi="he-IL"/>
        </w:rPr>
        <w:t xml:space="preserve">, </w:t>
      </w:r>
      <w:r w:rsidRPr="00C8701B">
        <w:rPr>
          <w:rFonts w:eastAsia="Arial Unicode MS"/>
          <w:bCs/>
          <w:lang w:eastAsia="fr-FR" w:bidi="he-IL"/>
        </w:rPr>
        <w:t>bien peu de récits de l</w:t>
      </w:r>
      <w:r w:rsidR="00557DE0">
        <w:rPr>
          <w:rFonts w:eastAsia="Arial Unicode MS"/>
          <w:bCs/>
          <w:lang w:eastAsia="fr-FR" w:bidi="he-IL"/>
        </w:rPr>
        <w:t>’</w:t>
      </w:r>
      <w:r w:rsidR="000439E9">
        <w:rPr>
          <w:rFonts w:eastAsia="Arial Unicode MS"/>
          <w:bCs/>
          <w:lang w:eastAsia="fr-FR" w:bidi="he-IL"/>
        </w:rPr>
        <w:t>Évangile</w:t>
      </w:r>
      <w:r w:rsidRPr="00C8701B">
        <w:rPr>
          <w:rFonts w:eastAsia="Arial Unicode MS"/>
          <w:bCs/>
          <w:lang w:eastAsia="fr-FR" w:bidi="he-IL"/>
        </w:rPr>
        <w:t xml:space="preserve"> pouvaient s</w:t>
      </w:r>
      <w:r w:rsidR="00557DE0">
        <w:rPr>
          <w:rFonts w:eastAsia="Arial Unicode MS"/>
          <w:bCs/>
          <w:lang w:eastAsia="fr-FR" w:bidi="he-IL"/>
        </w:rPr>
        <w:t>’</w:t>
      </w:r>
      <w:r w:rsidRPr="00C8701B">
        <w:rPr>
          <w:rFonts w:eastAsia="Arial Unicode MS"/>
          <w:bCs/>
          <w:lang w:eastAsia="fr-FR" w:bidi="he-IL"/>
        </w:rPr>
        <w:t>accommoder au genre tragique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aussi est-ce elle surtout qui a été parfois représentée sous cette forme</w:t>
      </w:r>
      <w:r w:rsidR="00C2602D" w:rsidRPr="00C8701B">
        <w:rPr>
          <w:rFonts w:eastAsia="Arial Unicode MS"/>
          <w:bCs/>
          <w:lang w:eastAsia="fr-FR" w:bidi="he-IL"/>
        </w:rPr>
        <w:t> :</w:t>
      </w:r>
      <w:r w:rsidRPr="00C8701B">
        <w:rPr>
          <w:rFonts w:eastAsia="Arial Unicode MS"/>
          <w:bCs/>
          <w:lang w:eastAsia="fr-FR" w:bidi="he-IL"/>
        </w:rPr>
        <w:t xml:space="preserve"> dès l</w:t>
      </w:r>
      <w:r w:rsidR="00557DE0">
        <w:rPr>
          <w:rFonts w:eastAsia="Arial Unicode MS"/>
          <w:bCs/>
          <w:lang w:eastAsia="fr-FR" w:bidi="he-IL"/>
        </w:rPr>
        <w:t>’</w:t>
      </w:r>
      <w:r w:rsidRPr="00C8701B">
        <w:rPr>
          <w:rFonts w:eastAsia="Arial Unicode MS"/>
          <w:bCs/>
          <w:lang w:eastAsia="fr-FR" w:bidi="he-IL"/>
        </w:rPr>
        <w:t>antiquité par saint Grégoire de Nazianze</w:t>
      </w:r>
      <w:r w:rsidR="00E65435">
        <w:rPr>
          <w:rFonts w:eastAsia="Arial Unicode MS"/>
          <w:bCs/>
          <w:lang w:eastAsia="fr-FR" w:bidi="he-IL"/>
        </w:rPr>
        <w:t xml:space="preserve">, </w:t>
      </w:r>
      <w:r w:rsidRPr="00C8701B">
        <w:rPr>
          <w:rFonts w:eastAsia="Arial Unicode MS"/>
          <w:bCs/>
          <w:lang w:eastAsia="fr-FR" w:bidi="he-IL"/>
        </w:rPr>
        <w:t>dans son</w:t>
      </w:r>
      <w:r w:rsidRPr="00DC4586">
        <w:rPr>
          <w:rStyle w:val="italicus"/>
        </w:rPr>
        <w:t xml:space="preserve"> </w:t>
      </w:r>
      <w:r w:rsidR="00AB43EC" w:rsidRPr="00AB43EC">
        <w:t>Χριστὸς</w:t>
      </w:r>
      <w:r w:rsidRPr="00AB43EC">
        <w:t xml:space="preserve"> π</w:t>
      </w:r>
      <w:r w:rsidR="00CD3C57" w:rsidRPr="00AB43EC">
        <w:t>ά</w:t>
      </w:r>
      <w:r w:rsidRPr="00AB43EC">
        <w:t>σχων</w:t>
      </w:r>
      <w:r w:rsidR="00933C60" w:rsidRPr="00C406FF">
        <w:rPr>
          <w:rStyle w:val="Appelnotedebasdep"/>
        </w:rPr>
        <w:footnoteReference w:id="551"/>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au </w:t>
      </w:r>
      <w:r w:rsidR="00AB43EC" w:rsidRPr="00C8701B">
        <w:rPr>
          <w:rFonts w:eastAsia="Arial Unicode MS"/>
          <w:bCs/>
          <w:lang w:eastAsia="fr-FR" w:bidi="he-IL"/>
        </w:rPr>
        <w:t>moyen-âge</w:t>
      </w:r>
      <w:r w:rsidR="00E65435">
        <w:rPr>
          <w:rFonts w:eastAsia="Arial Unicode MS"/>
          <w:bCs/>
          <w:lang w:eastAsia="fr-FR" w:bidi="he-IL"/>
        </w:rPr>
        <w:t xml:space="preserve">, </w:t>
      </w:r>
      <w:r w:rsidRPr="00C8701B">
        <w:rPr>
          <w:rFonts w:eastAsia="Arial Unicode MS"/>
          <w:bCs/>
          <w:lang w:eastAsia="fr-FR" w:bidi="he-IL"/>
        </w:rPr>
        <w:t>en de nombreux</w:t>
      </w:r>
      <w:r w:rsidRPr="00DC4586">
        <w:rPr>
          <w:rStyle w:val="italicus"/>
        </w:rPr>
        <w:t xml:space="preserve"> Mystères</w:t>
      </w:r>
      <w:r w:rsidR="00E65435">
        <w:rPr>
          <w:rFonts w:eastAsia="Arial Unicode MS"/>
          <w:bCs/>
          <w:lang w:eastAsia="fr-FR" w:bidi="he-IL"/>
        </w:rPr>
        <w:t xml:space="preserve">, </w:t>
      </w:r>
      <w:r w:rsidRPr="00C8701B">
        <w:rPr>
          <w:rFonts w:eastAsia="Arial Unicode MS"/>
          <w:bCs/>
          <w:lang w:eastAsia="fr-FR" w:bidi="he-IL"/>
        </w:rPr>
        <w:t>où l</w:t>
      </w:r>
      <w:r w:rsidR="00557DE0">
        <w:rPr>
          <w:rFonts w:eastAsia="Arial Unicode MS"/>
          <w:bCs/>
          <w:lang w:eastAsia="fr-FR" w:bidi="he-IL"/>
        </w:rPr>
        <w:t>’</w:t>
      </w:r>
      <w:r w:rsidRPr="00C8701B">
        <w:rPr>
          <w:rFonts w:eastAsia="Arial Unicode MS"/>
          <w:bCs/>
          <w:lang w:eastAsia="fr-FR" w:bidi="he-IL"/>
        </w:rPr>
        <w:t>on aimait à grouper toute l</w:t>
      </w:r>
      <w:r w:rsidR="00557DE0">
        <w:rPr>
          <w:rFonts w:eastAsia="Arial Unicode MS"/>
          <w:bCs/>
          <w:lang w:eastAsia="fr-FR" w:bidi="he-IL"/>
        </w:rPr>
        <w:t>’</w:t>
      </w:r>
      <w:r w:rsidR="00D70C02">
        <w:rPr>
          <w:rFonts w:eastAsia="Arial Unicode MS"/>
          <w:bCs/>
          <w:lang w:eastAsia="fr-FR" w:bidi="he-IL"/>
        </w:rPr>
        <w:t>histoire bibliqu</w:t>
      </w:r>
      <w:r w:rsidRPr="00C8701B">
        <w:rPr>
          <w:rFonts w:eastAsia="Arial Unicode MS"/>
          <w:bCs/>
          <w:lang w:eastAsia="fr-FR" w:bidi="he-IL"/>
        </w:rPr>
        <w:t>e autour du tombeau du Christ</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de nos jours</w:t>
      </w:r>
      <w:r w:rsidR="00E65435">
        <w:rPr>
          <w:rFonts w:eastAsia="Arial Unicode MS"/>
          <w:bCs/>
          <w:lang w:eastAsia="fr-FR" w:bidi="he-IL"/>
        </w:rPr>
        <w:t xml:space="preserve">, </w:t>
      </w:r>
      <w:r w:rsidRPr="00C8701B">
        <w:rPr>
          <w:rFonts w:eastAsia="Arial Unicode MS"/>
          <w:bCs/>
          <w:lang w:eastAsia="fr-FR" w:bidi="he-IL"/>
        </w:rPr>
        <w:t>dans le célèbre drame représenté d</w:t>
      </w:r>
      <w:r w:rsidR="00557DE0">
        <w:rPr>
          <w:rFonts w:eastAsia="Arial Unicode MS"/>
          <w:bCs/>
          <w:lang w:eastAsia="fr-FR" w:bidi="he-IL"/>
        </w:rPr>
        <w:t>’</w:t>
      </w:r>
      <w:r w:rsidRPr="00C8701B">
        <w:rPr>
          <w:rFonts w:eastAsia="Arial Unicode MS"/>
          <w:bCs/>
          <w:lang w:eastAsia="fr-FR" w:bidi="he-IL"/>
        </w:rPr>
        <w:t>une manière si vivante à Oberammergau</w:t>
      </w:r>
      <w:r w:rsidR="00933C60" w:rsidRPr="00C406FF">
        <w:rPr>
          <w:rStyle w:val="Appelnotedebasdep"/>
        </w:rPr>
        <w:footnoteReference w:id="552"/>
      </w:r>
      <w:r w:rsidR="00E65435">
        <w:rPr>
          <w:rFonts w:eastAsia="Arial Unicode MS"/>
          <w:bCs/>
          <w:lang w:eastAsia="fr-FR" w:bidi="he-IL"/>
        </w:rPr>
        <w:t xml:space="preserve">, </w:t>
      </w:r>
      <w:r w:rsidRPr="00C8701B">
        <w:rPr>
          <w:rFonts w:eastAsia="Arial Unicode MS"/>
          <w:bCs/>
          <w:lang w:eastAsia="fr-FR" w:bidi="he-IL"/>
        </w:rPr>
        <w:t>dans le Tyrol. Il existe aussi une tragédie française assez récente</w:t>
      </w:r>
      <w:r w:rsidR="00E65435">
        <w:rPr>
          <w:rFonts w:eastAsia="Arial Unicode MS"/>
          <w:bCs/>
          <w:lang w:eastAsia="fr-FR" w:bidi="he-IL"/>
        </w:rPr>
        <w:t xml:space="preserve">, </w:t>
      </w:r>
      <w:r w:rsidRPr="00C8701B">
        <w:rPr>
          <w:rFonts w:eastAsia="Arial Unicode MS"/>
          <w:bCs/>
          <w:lang w:eastAsia="fr-FR" w:bidi="he-IL"/>
        </w:rPr>
        <w:t>de Fr. Cristal</w:t>
      </w:r>
      <w:r w:rsidR="00933C60" w:rsidRPr="00C406FF">
        <w:rPr>
          <w:rStyle w:val="Appelnotedebasdep"/>
        </w:rPr>
        <w:footnoteReference w:id="553"/>
      </w:r>
      <w:r w:rsidR="00E65435">
        <w:rPr>
          <w:rFonts w:eastAsia="Arial Unicode MS"/>
          <w:bCs/>
          <w:lang w:eastAsia="fr-FR" w:bidi="he-IL"/>
        </w:rPr>
        <w:t xml:space="preserve">, </w:t>
      </w:r>
      <w:r w:rsidRPr="00C8701B">
        <w:rPr>
          <w:rFonts w:eastAsia="Arial Unicode MS"/>
          <w:bCs/>
          <w:lang w:eastAsia="fr-FR" w:bidi="he-IL"/>
        </w:rPr>
        <w:t>qui n</w:t>
      </w:r>
      <w:r w:rsidR="00557DE0">
        <w:rPr>
          <w:rFonts w:eastAsia="Arial Unicode MS"/>
          <w:bCs/>
          <w:lang w:eastAsia="fr-FR" w:bidi="he-IL"/>
        </w:rPr>
        <w:t>’</w:t>
      </w:r>
      <w:r w:rsidRPr="00C8701B">
        <w:rPr>
          <w:rFonts w:eastAsia="Arial Unicode MS"/>
          <w:bCs/>
          <w:lang w:eastAsia="fr-FR" w:bidi="he-IL"/>
        </w:rPr>
        <w:t>est pas sans mérite</w:t>
      </w:r>
      <w:r w:rsidR="00E65435">
        <w:rPr>
          <w:rFonts w:eastAsia="Arial Unicode MS"/>
          <w:bCs/>
          <w:lang w:eastAsia="fr-FR" w:bidi="he-IL"/>
        </w:rPr>
        <w:t xml:space="preserve">, </w:t>
      </w:r>
      <w:r w:rsidRPr="00C8701B">
        <w:rPr>
          <w:rFonts w:eastAsia="Arial Unicode MS"/>
          <w:bCs/>
          <w:lang w:eastAsia="fr-FR" w:bidi="he-IL"/>
        </w:rPr>
        <w:t>mais qui a le grave inconvénient de former une pièce de théâtre tout à fait moderne.</w:t>
      </w:r>
      <w:r w:rsidR="00C2602D" w:rsidRPr="00C8701B">
        <w:rPr>
          <w:rFonts w:eastAsia="Arial Unicode MS"/>
          <w:bCs/>
          <w:lang w:eastAsia="fr-FR" w:bidi="he-IL"/>
        </w:rPr>
        <w:t xml:space="preserve"> </w:t>
      </w:r>
    </w:p>
    <w:p w:rsidR="00C2602D" w:rsidRDefault="00B704AD" w:rsidP="00C2602D">
      <w:pPr>
        <w:rPr>
          <w:rFonts w:eastAsia="Arial Unicode MS"/>
          <w:bCs/>
          <w:lang w:eastAsia="fr-FR" w:bidi="he-IL"/>
        </w:rPr>
      </w:pPr>
      <w:r w:rsidRPr="00C8701B">
        <w:rPr>
          <w:rFonts w:eastAsia="Arial Unicode MS"/>
          <w:bCs/>
          <w:lang w:eastAsia="fr-FR" w:bidi="he-IL"/>
        </w:rPr>
        <w:t>2</w:t>
      </w:r>
      <w:r w:rsidR="00D70C02">
        <w:rPr>
          <w:rFonts w:eastAsia="Arial Unicode MS"/>
          <w:bCs/>
          <w:lang w:eastAsia="fr-FR" w:bidi="he-IL"/>
        </w:rPr>
        <w:t>°</w:t>
      </w:r>
      <w:r w:rsidRPr="00DC4586">
        <w:rPr>
          <w:rStyle w:val="italicus"/>
        </w:rPr>
        <w:t xml:space="preserve"> Les arts plastiques et l</w:t>
      </w:r>
      <w:r w:rsidR="00557DE0">
        <w:rPr>
          <w:rStyle w:val="italicus"/>
        </w:rPr>
        <w:t>’</w:t>
      </w:r>
      <w:r w:rsidR="000439E9" w:rsidRPr="00DC4586">
        <w:rPr>
          <w:rStyle w:val="italicus"/>
        </w:rPr>
        <w:t>Évangile</w:t>
      </w:r>
      <w:r w:rsidRPr="00DC4586">
        <w:rPr>
          <w:rStyle w:val="italicus"/>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Quel beau commentaire encore de la vie de N.-S. Jésus-Christ</w:t>
      </w:r>
      <w:r w:rsidR="00C2602D" w:rsidRPr="00C8701B">
        <w:rPr>
          <w:rFonts w:eastAsia="Arial Unicode MS"/>
          <w:bCs/>
          <w:lang w:eastAsia="fr-FR" w:bidi="he-IL"/>
        </w:rPr>
        <w:t> !</w:t>
      </w:r>
      <w:r w:rsidRPr="00C8701B">
        <w:rPr>
          <w:rFonts w:eastAsia="Arial Unicode MS"/>
          <w:bCs/>
          <w:lang w:eastAsia="fr-FR" w:bidi="he-IL"/>
        </w:rPr>
        <w:t xml:space="preserve"> Ou plutôt</w:t>
      </w:r>
      <w:r w:rsidR="00E65435">
        <w:rPr>
          <w:rFonts w:eastAsia="Arial Unicode MS"/>
          <w:bCs/>
          <w:lang w:eastAsia="fr-FR" w:bidi="he-IL"/>
        </w:rPr>
        <w:t xml:space="preserve">, </w:t>
      </w:r>
      <w:r w:rsidRPr="00C8701B">
        <w:rPr>
          <w:rFonts w:eastAsia="Arial Unicode MS"/>
          <w:bCs/>
          <w:lang w:eastAsia="fr-FR" w:bidi="he-IL"/>
        </w:rPr>
        <w:t>quelle dette les arts plastiques n</w:t>
      </w:r>
      <w:r w:rsidR="00557DE0">
        <w:rPr>
          <w:rFonts w:eastAsia="Arial Unicode MS"/>
          <w:bCs/>
          <w:lang w:eastAsia="fr-FR" w:bidi="he-IL"/>
        </w:rPr>
        <w:t>’</w:t>
      </w:r>
      <w:r w:rsidRPr="00C8701B">
        <w:rPr>
          <w:rFonts w:eastAsia="Arial Unicode MS"/>
          <w:bCs/>
          <w:lang w:eastAsia="fr-FR" w:bidi="he-IL"/>
        </w:rPr>
        <w:t>ont-ils pas contractée envers les saints évangiles</w:t>
      </w:r>
      <w:r w:rsidR="00E65435">
        <w:rPr>
          <w:rFonts w:eastAsia="Arial Unicode MS"/>
          <w:bCs/>
          <w:lang w:eastAsia="fr-FR" w:bidi="he-IL"/>
        </w:rPr>
        <w:t xml:space="preserve">, </w:t>
      </w:r>
      <w:r w:rsidRPr="00C8701B">
        <w:rPr>
          <w:rFonts w:eastAsia="Arial Unicode MS"/>
          <w:bCs/>
          <w:lang w:eastAsia="fr-FR" w:bidi="he-IL"/>
        </w:rPr>
        <w:t>qui leur ont fourni des thèmes d</w:t>
      </w:r>
      <w:r w:rsidR="00557DE0">
        <w:rPr>
          <w:rFonts w:eastAsia="Arial Unicode MS"/>
          <w:bCs/>
          <w:lang w:eastAsia="fr-FR" w:bidi="he-IL"/>
        </w:rPr>
        <w:t>’</w:t>
      </w:r>
      <w:r w:rsidRPr="00C8701B">
        <w:rPr>
          <w:rFonts w:eastAsia="Arial Unicode MS"/>
          <w:bCs/>
          <w:lang w:eastAsia="fr-FR" w:bidi="he-IL"/>
        </w:rPr>
        <w:t>inspiration nombreux et grandioses</w:t>
      </w:r>
      <w:r w:rsidR="00933C60" w:rsidRPr="00C406FF">
        <w:rPr>
          <w:rStyle w:val="Appelnotedebasdep"/>
        </w:rPr>
        <w:footnoteReference w:id="554"/>
      </w:r>
      <w:r w:rsidR="00C2602D" w:rsidRPr="00C8701B">
        <w:rPr>
          <w:rFonts w:eastAsia="Arial Unicode MS"/>
          <w:bCs/>
          <w:lang w:eastAsia="fr-FR" w:bidi="he-IL"/>
        </w:rPr>
        <w:t xml:space="preserve"> ! </w:t>
      </w:r>
      <w:r w:rsidR="00366671">
        <w:rPr>
          <w:rFonts w:eastAsia="Arial Unicode MS"/>
          <w:bCs/>
          <w:lang w:eastAsia="fr-FR" w:bidi="he-IL"/>
        </w:rPr>
        <w:t>{105</w:t>
      </w:r>
      <w:bookmarkStart w:id="160" w:name="pag105"/>
      <w:bookmarkEnd w:id="160"/>
      <w:r w:rsidR="00366671">
        <w:rPr>
          <w:rFonts w:eastAsia="Arial Unicode MS"/>
          <w:bCs/>
          <w:lang w:eastAsia="fr-FR" w:bidi="he-IL"/>
        </w:rPr>
        <w:t>}</w:t>
      </w:r>
    </w:p>
    <w:p w:rsidR="00C2602D" w:rsidRPr="00C8701B" w:rsidRDefault="00B704AD" w:rsidP="00C2602D">
      <w:pPr>
        <w:rPr>
          <w:rFonts w:eastAsia="Arial Unicode MS"/>
          <w:bCs/>
          <w:lang w:eastAsia="fr-FR" w:bidi="he-IL"/>
        </w:rPr>
      </w:pPr>
      <w:r w:rsidRPr="00C8701B">
        <w:rPr>
          <w:rFonts w:eastAsia="Arial Unicode MS"/>
          <w:bCs/>
          <w:lang w:eastAsia="fr-FR" w:bidi="he-IL"/>
        </w:rPr>
        <w:t>La matière à traiter était si riche</w:t>
      </w:r>
      <w:r w:rsidR="00E65435">
        <w:rPr>
          <w:rFonts w:eastAsia="Arial Unicode MS"/>
          <w:bCs/>
          <w:lang w:eastAsia="fr-FR" w:bidi="he-IL"/>
        </w:rPr>
        <w:t xml:space="preserve">, </w:t>
      </w:r>
      <w:r w:rsidRPr="00C8701B">
        <w:rPr>
          <w:rFonts w:eastAsia="Arial Unicode MS"/>
          <w:bCs/>
          <w:lang w:eastAsia="fr-FR" w:bidi="he-IL"/>
        </w:rPr>
        <w:t>que tous les arts ont pu y puiser l</w:t>
      </w:r>
      <w:r w:rsidR="00557DE0">
        <w:rPr>
          <w:rFonts w:eastAsia="Arial Unicode MS"/>
          <w:bCs/>
          <w:lang w:eastAsia="fr-FR" w:bidi="he-IL"/>
        </w:rPr>
        <w:t>’</w:t>
      </w:r>
      <w:r w:rsidRPr="00C8701B">
        <w:rPr>
          <w:rFonts w:eastAsia="Arial Unicode MS"/>
          <w:bCs/>
          <w:lang w:eastAsia="fr-FR" w:bidi="he-IL"/>
        </w:rPr>
        <w:t>un après l</w:t>
      </w:r>
      <w:r w:rsidR="00557DE0">
        <w:rPr>
          <w:rFonts w:eastAsia="Arial Unicode MS"/>
          <w:bCs/>
          <w:lang w:eastAsia="fr-FR" w:bidi="he-IL"/>
        </w:rPr>
        <w:t>’</w:t>
      </w:r>
      <w:r w:rsidRPr="00C8701B">
        <w:rPr>
          <w:rFonts w:eastAsia="Arial Unicode MS"/>
          <w:bCs/>
          <w:lang w:eastAsia="fr-FR" w:bidi="he-IL"/>
        </w:rPr>
        <w:t>autre sans l</w:t>
      </w:r>
      <w:r w:rsidR="00557DE0">
        <w:rPr>
          <w:rFonts w:eastAsia="Arial Unicode MS"/>
          <w:bCs/>
          <w:lang w:eastAsia="fr-FR" w:bidi="he-IL"/>
        </w:rPr>
        <w:t>’</w:t>
      </w:r>
      <w:r w:rsidRPr="00C8701B">
        <w:rPr>
          <w:rFonts w:eastAsia="Arial Unicode MS"/>
          <w:bCs/>
          <w:lang w:eastAsia="fr-FR" w:bidi="he-IL"/>
        </w:rPr>
        <w:t>appauvrir</w:t>
      </w:r>
      <w:r w:rsidR="00E65435">
        <w:rPr>
          <w:rFonts w:eastAsia="Arial Unicode MS"/>
          <w:bCs/>
          <w:lang w:eastAsia="fr-FR" w:bidi="he-IL"/>
        </w:rPr>
        <w:t xml:space="preserve">, </w:t>
      </w:r>
      <w:r w:rsidRPr="00C8701B">
        <w:rPr>
          <w:rFonts w:eastAsia="Arial Unicode MS"/>
          <w:bCs/>
          <w:lang w:eastAsia="fr-FR" w:bidi="he-IL"/>
        </w:rPr>
        <w:t>et sans s</w:t>
      </w:r>
      <w:r w:rsidR="00557DE0">
        <w:rPr>
          <w:rFonts w:eastAsia="Arial Unicode MS"/>
          <w:bCs/>
          <w:lang w:eastAsia="fr-FR" w:bidi="he-IL"/>
        </w:rPr>
        <w:t>’</w:t>
      </w:r>
      <w:r w:rsidRPr="00C8701B">
        <w:rPr>
          <w:rFonts w:eastAsia="Arial Unicode MS"/>
          <w:bCs/>
          <w:lang w:eastAsia="fr-FR" w:bidi="he-IL"/>
        </w:rPr>
        <w:t>appauvrir eux-mêmes. La peinture</w:t>
      </w:r>
      <w:r w:rsidR="00E65435">
        <w:rPr>
          <w:rFonts w:eastAsia="Arial Unicode MS"/>
          <w:bCs/>
          <w:lang w:eastAsia="fr-FR" w:bidi="he-IL"/>
        </w:rPr>
        <w:t xml:space="preserve">, </w:t>
      </w:r>
      <w:r w:rsidRPr="00C8701B">
        <w:rPr>
          <w:rFonts w:eastAsia="Arial Unicode MS"/>
          <w:bCs/>
          <w:lang w:eastAsia="fr-FR" w:bidi="he-IL"/>
        </w:rPr>
        <w:t>par des tableaux multiples</w:t>
      </w:r>
      <w:r w:rsidR="00E65435">
        <w:rPr>
          <w:rFonts w:eastAsia="Arial Unicode MS"/>
          <w:bCs/>
          <w:lang w:eastAsia="fr-FR" w:bidi="he-IL"/>
        </w:rPr>
        <w:t xml:space="preserve">, </w:t>
      </w:r>
      <w:r w:rsidRPr="00C8701B">
        <w:rPr>
          <w:rFonts w:eastAsia="Arial Unicode MS"/>
          <w:bCs/>
          <w:lang w:eastAsia="fr-FR" w:bidi="he-IL"/>
        </w:rPr>
        <w:t>tantôt isolés et ne reproduisant que telle ou telle scène spéciale</w:t>
      </w:r>
      <w:r w:rsidR="00E65435">
        <w:rPr>
          <w:rFonts w:eastAsia="Arial Unicode MS"/>
          <w:bCs/>
          <w:lang w:eastAsia="fr-FR" w:bidi="he-IL"/>
        </w:rPr>
        <w:t xml:space="preserve">, </w:t>
      </w:r>
      <w:r w:rsidRPr="00C8701B">
        <w:rPr>
          <w:rFonts w:eastAsia="Arial Unicode MS"/>
          <w:bCs/>
          <w:lang w:eastAsia="fr-FR" w:bidi="he-IL"/>
        </w:rPr>
        <w:t>tantôt formant toute une galerie évangélique</w:t>
      </w:r>
      <w:r w:rsidR="00E65435">
        <w:rPr>
          <w:rFonts w:eastAsia="Arial Unicode MS"/>
          <w:bCs/>
          <w:lang w:eastAsia="fr-FR" w:bidi="he-IL"/>
        </w:rPr>
        <w:t xml:space="preserve">, </w:t>
      </w:r>
      <w:r w:rsidRPr="00C8701B">
        <w:rPr>
          <w:rFonts w:eastAsia="Arial Unicode MS"/>
          <w:bCs/>
          <w:lang w:eastAsia="fr-FR" w:bidi="he-IL"/>
        </w:rPr>
        <w:t>comme celle de Duccio dans la chapelle S. Ansano à Sienne</w:t>
      </w:r>
      <w:r w:rsidR="00933C60" w:rsidRPr="00C406FF">
        <w:rPr>
          <w:rStyle w:val="Appelnotedebasdep"/>
        </w:rPr>
        <w:footnoteReference w:id="555"/>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la sculpture</w:t>
      </w:r>
      <w:r w:rsidR="00E65435">
        <w:rPr>
          <w:rFonts w:eastAsia="Arial Unicode MS"/>
          <w:bCs/>
          <w:lang w:eastAsia="fr-FR" w:bidi="he-IL"/>
        </w:rPr>
        <w:t xml:space="preserve">, </w:t>
      </w:r>
      <w:r w:rsidRPr="00C8701B">
        <w:rPr>
          <w:rFonts w:eastAsia="Arial Unicode MS"/>
          <w:bCs/>
          <w:lang w:eastAsia="fr-FR" w:bidi="he-IL"/>
        </w:rPr>
        <w:t>dans le même sens</w:t>
      </w:r>
      <w:r w:rsidR="00E65435">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est-à-dire</w:t>
      </w:r>
      <w:r w:rsidR="00E65435">
        <w:rPr>
          <w:rFonts w:eastAsia="Arial Unicode MS"/>
          <w:bCs/>
          <w:lang w:eastAsia="fr-FR" w:bidi="he-IL"/>
        </w:rPr>
        <w:t xml:space="preserve">, </w:t>
      </w:r>
      <w:r w:rsidRPr="00C8701B">
        <w:rPr>
          <w:rFonts w:eastAsia="Arial Unicode MS"/>
          <w:bCs/>
          <w:lang w:eastAsia="fr-FR" w:bidi="he-IL"/>
        </w:rPr>
        <w:t>ou par des statues isolées</w:t>
      </w:r>
      <w:r w:rsidR="00E65435">
        <w:rPr>
          <w:rFonts w:eastAsia="Arial Unicode MS"/>
          <w:bCs/>
          <w:lang w:eastAsia="fr-FR" w:bidi="he-IL"/>
        </w:rPr>
        <w:t xml:space="preserve">, </w:t>
      </w:r>
      <w:r w:rsidRPr="00C8701B">
        <w:rPr>
          <w:rFonts w:eastAsia="Arial Unicode MS"/>
          <w:bCs/>
          <w:lang w:eastAsia="fr-FR" w:bidi="he-IL"/>
        </w:rPr>
        <w:t>ou</w:t>
      </w:r>
      <w:r w:rsidR="00E65435">
        <w:rPr>
          <w:rFonts w:eastAsia="Arial Unicode MS"/>
          <w:bCs/>
          <w:lang w:eastAsia="fr-FR" w:bidi="he-IL"/>
        </w:rPr>
        <w:t xml:space="preserve">, </w:t>
      </w:r>
      <w:r w:rsidRPr="00C8701B">
        <w:rPr>
          <w:rFonts w:eastAsia="Arial Unicode MS"/>
          <w:bCs/>
          <w:lang w:eastAsia="fr-FR" w:bidi="he-IL"/>
        </w:rPr>
        <w:t>comme dans nos grandes cathédrales</w:t>
      </w:r>
      <w:r w:rsidR="00E65435">
        <w:rPr>
          <w:rFonts w:eastAsia="Arial Unicode MS"/>
          <w:bCs/>
          <w:lang w:eastAsia="fr-FR" w:bidi="he-IL"/>
        </w:rPr>
        <w:t xml:space="preserve">, </w:t>
      </w:r>
      <w:r w:rsidRPr="00C8701B">
        <w:rPr>
          <w:rFonts w:eastAsia="Arial Unicode MS"/>
          <w:bCs/>
          <w:lang w:eastAsia="fr-FR" w:bidi="he-IL"/>
        </w:rPr>
        <w:t>par des séries de bas-reliefs représentant sinon en tout</w:t>
      </w:r>
      <w:r w:rsidR="00E65435">
        <w:rPr>
          <w:rFonts w:eastAsia="Arial Unicode MS"/>
          <w:bCs/>
          <w:lang w:eastAsia="fr-FR" w:bidi="he-IL"/>
        </w:rPr>
        <w:t xml:space="preserve">, </w:t>
      </w:r>
      <w:r w:rsidRPr="00C8701B">
        <w:rPr>
          <w:rFonts w:eastAsia="Arial Unicode MS"/>
          <w:bCs/>
          <w:lang w:eastAsia="fr-FR" w:bidi="he-IL"/>
        </w:rPr>
        <w:t>du moins en partie considérable</w:t>
      </w:r>
      <w:r w:rsidR="00E65435">
        <w:rPr>
          <w:rFonts w:eastAsia="Arial Unicode MS"/>
          <w:bCs/>
          <w:lang w:eastAsia="fr-FR" w:bidi="he-IL"/>
        </w:rPr>
        <w:t xml:space="preserve">, </w:t>
      </w:r>
      <w:r w:rsidRPr="00C8701B">
        <w:rPr>
          <w:rFonts w:eastAsia="Arial Unicode MS"/>
          <w:bCs/>
          <w:lang w:eastAsia="fr-FR" w:bidi="he-IL"/>
        </w:rPr>
        <w:t>la biographie du divin Maître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de même la tapisserie</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émaillerie</w:t>
      </w:r>
      <w:r w:rsidR="00E65435">
        <w:rPr>
          <w:rFonts w:eastAsia="Arial Unicode MS"/>
          <w:bCs/>
          <w:lang w:eastAsia="fr-FR" w:bidi="he-IL"/>
        </w:rPr>
        <w:t xml:space="preserve">, </w:t>
      </w:r>
      <w:r w:rsidRPr="00C8701B">
        <w:rPr>
          <w:rFonts w:eastAsia="Arial Unicode MS"/>
          <w:bCs/>
          <w:lang w:eastAsia="fr-FR" w:bidi="he-IL"/>
        </w:rPr>
        <w:t>la mosaïque</w:t>
      </w:r>
      <w:r w:rsidR="00E65435">
        <w:rPr>
          <w:rFonts w:eastAsia="Arial Unicode MS"/>
          <w:bCs/>
          <w:lang w:eastAsia="fr-FR" w:bidi="he-IL"/>
        </w:rPr>
        <w:t xml:space="preserve">, </w:t>
      </w:r>
      <w:r w:rsidRPr="00C8701B">
        <w:rPr>
          <w:rFonts w:eastAsia="Arial Unicode MS"/>
          <w:bCs/>
          <w:lang w:eastAsia="fr-FR" w:bidi="he-IL"/>
        </w:rPr>
        <w:t>etc.</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Les chefs-d</w:t>
      </w:r>
      <w:r w:rsidR="00557DE0">
        <w:rPr>
          <w:rFonts w:eastAsia="Arial Unicode MS"/>
          <w:bCs/>
          <w:lang w:eastAsia="fr-FR" w:bidi="he-IL"/>
        </w:rPr>
        <w:t>’</w:t>
      </w:r>
      <w:r w:rsidRPr="00C8701B">
        <w:rPr>
          <w:rFonts w:eastAsia="Arial Unicode MS"/>
          <w:bCs/>
          <w:lang w:eastAsia="fr-FR" w:bidi="he-IL"/>
        </w:rPr>
        <w:t>œuvre ont été réunis en des ouvrages spéciaux</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de savantes monographies décrivent</w:t>
      </w:r>
      <w:r w:rsidR="00E65435">
        <w:rPr>
          <w:rFonts w:eastAsia="Arial Unicode MS"/>
          <w:bCs/>
          <w:lang w:eastAsia="fr-FR" w:bidi="he-IL"/>
        </w:rPr>
        <w:t xml:space="preserve">, </w:t>
      </w:r>
      <w:r w:rsidRPr="00C8701B">
        <w:rPr>
          <w:rFonts w:eastAsia="Arial Unicode MS"/>
          <w:bCs/>
          <w:lang w:eastAsia="fr-FR" w:bidi="he-IL"/>
        </w:rPr>
        <w:t>en les appréciant</w:t>
      </w:r>
      <w:r w:rsidR="00E65435">
        <w:rPr>
          <w:rFonts w:eastAsia="Arial Unicode MS"/>
          <w:bCs/>
          <w:lang w:eastAsia="fr-FR" w:bidi="he-IL"/>
        </w:rPr>
        <w:t xml:space="preserve">, </w:t>
      </w:r>
      <w:r w:rsidRPr="00C8701B">
        <w:rPr>
          <w:rFonts w:eastAsia="Arial Unicode MS"/>
          <w:bCs/>
          <w:lang w:eastAsia="fr-FR" w:bidi="he-IL"/>
        </w:rPr>
        <w:t>les galeries et les séries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les grands ouvrages d</w:t>
      </w:r>
      <w:r w:rsidR="00557DE0">
        <w:rPr>
          <w:rFonts w:eastAsia="Arial Unicode MS"/>
          <w:bCs/>
          <w:lang w:eastAsia="fr-FR" w:bidi="he-IL"/>
        </w:rPr>
        <w:t>’</w:t>
      </w:r>
      <w:r w:rsidRPr="00C8701B">
        <w:rPr>
          <w:rFonts w:eastAsia="Arial Unicode MS"/>
          <w:bCs/>
          <w:lang w:eastAsia="fr-FR" w:bidi="he-IL"/>
        </w:rPr>
        <w:t>art contiennent aussi d</w:t>
      </w:r>
      <w:r w:rsidR="00557DE0">
        <w:rPr>
          <w:rFonts w:eastAsia="Arial Unicode MS"/>
          <w:bCs/>
          <w:lang w:eastAsia="fr-FR" w:bidi="he-IL"/>
        </w:rPr>
        <w:t>’</w:t>
      </w:r>
      <w:r w:rsidRPr="00C8701B">
        <w:rPr>
          <w:rFonts w:eastAsia="Arial Unicode MS"/>
          <w:bCs/>
          <w:lang w:eastAsia="fr-FR" w:bidi="he-IL"/>
        </w:rPr>
        <w:t>intéressantes notices. Quoique nécessairement incomplète</w:t>
      </w:r>
      <w:r w:rsidR="00E65435">
        <w:rPr>
          <w:rFonts w:eastAsia="Arial Unicode MS"/>
          <w:bCs/>
          <w:lang w:eastAsia="fr-FR" w:bidi="he-IL"/>
        </w:rPr>
        <w:t xml:space="preserve">, </w:t>
      </w:r>
      <w:r w:rsidRPr="00C8701B">
        <w:rPr>
          <w:rFonts w:eastAsia="Arial Unicode MS"/>
          <w:bCs/>
          <w:lang w:eastAsia="fr-FR" w:bidi="he-IL"/>
        </w:rPr>
        <w:t>la liste suivante pourra suffire</w:t>
      </w:r>
      <w:r w:rsidR="00E65435">
        <w:rPr>
          <w:rFonts w:eastAsia="Arial Unicode MS"/>
          <w:bCs/>
          <w:lang w:eastAsia="fr-FR" w:bidi="he-IL"/>
        </w:rPr>
        <w:t xml:space="preserve">, </w:t>
      </w:r>
      <w:r w:rsidRPr="00C8701B">
        <w:rPr>
          <w:rFonts w:eastAsia="Arial Unicode MS"/>
          <w:bCs/>
          <w:lang w:eastAsia="fr-FR" w:bidi="he-IL"/>
        </w:rPr>
        <w:t>les livres auxquels elle renvoie devant eux-mêmes fournir de plus amples renseignements sur les détails.</w:t>
      </w:r>
      <w:r w:rsidR="00C2602D" w:rsidRPr="00C8701B">
        <w:rPr>
          <w:rFonts w:eastAsia="Arial Unicode MS"/>
          <w:bCs/>
          <w:lang w:eastAsia="fr-FR" w:bidi="he-IL"/>
        </w:rPr>
        <w:t xml:space="preserve"> </w:t>
      </w:r>
    </w:p>
    <w:p w:rsidR="00C2602D" w:rsidRPr="00A74F01" w:rsidRDefault="00B704AD" w:rsidP="00C2602D">
      <w:pPr>
        <w:rPr>
          <w:rStyle w:val="italicus"/>
          <w:lang w:val="en-US"/>
        </w:rPr>
      </w:pPr>
      <w:r w:rsidRPr="00C8701B">
        <w:rPr>
          <w:rFonts w:eastAsia="Arial Unicode MS"/>
          <w:bCs/>
          <w:lang w:eastAsia="fr-FR" w:bidi="he-IL"/>
        </w:rPr>
        <w:t>Pour le portrait de N.-S. Jésus-Christ</w:t>
      </w:r>
      <w:r w:rsidR="00C2602D" w:rsidRPr="00C8701B">
        <w:rPr>
          <w:rFonts w:eastAsia="Arial Unicode MS"/>
          <w:bCs/>
          <w:lang w:eastAsia="fr-FR" w:bidi="he-IL"/>
        </w:rPr>
        <w:t> :</w:t>
      </w:r>
      <w:r w:rsidR="00D70C02">
        <w:rPr>
          <w:rStyle w:val="italicus"/>
        </w:rPr>
        <w:t xml:space="preserve"> Recherches historiques su</w:t>
      </w:r>
      <w:r w:rsidRPr="00DC4586">
        <w:rPr>
          <w:rStyle w:val="italicus"/>
        </w:rPr>
        <w:t>r la personne de Jésus-Christ</w:t>
      </w:r>
      <w:r w:rsidR="00E65435">
        <w:rPr>
          <w:rStyle w:val="italicus"/>
        </w:rPr>
        <w:t xml:space="preserve">, </w:t>
      </w:r>
      <w:r w:rsidRPr="00DC4586">
        <w:rPr>
          <w:rStyle w:val="italicus"/>
        </w:rPr>
        <w:t>sur celle de Marie</w:t>
      </w:r>
      <w:r w:rsidR="00C87A2B">
        <w:rPr>
          <w:rStyle w:val="italicus"/>
        </w:rPr>
        <w:t>...</w:t>
      </w:r>
      <w:r w:rsidRPr="00DC4586">
        <w:rPr>
          <w:rStyle w:val="italicus"/>
        </w:rPr>
        <w:t>.</w:t>
      </w:r>
      <w:r w:rsidRPr="00C8701B">
        <w:rPr>
          <w:rFonts w:eastAsia="Arial Unicode MS"/>
          <w:bCs/>
          <w:lang w:eastAsia="fr-FR" w:bidi="he-IL"/>
        </w:rPr>
        <w:t xml:space="preserve"> </w:t>
      </w:r>
      <w:r w:rsidRPr="00EA28F4">
        <w:t>par un ancien bibliothécaire</w:t>
      </w:r>
      <w:r w:rsidR="00E65435" w:rsidRPr="00EA28F4">
        <w:t xml:space="preserve">, </w:t>
      </w:r>
      <w:r w:rsidRPr="00EA28F4">
        <w:t xml:space="preserve">Dijon </w:t>
      </w:r>
      <w:r w:rsidRPr="00A74F01">
        <w:rPr>
          <w:rFonts w:eastAsia="Arial Unicode MS"/>
          <w:bCs/>
          <w:lang w:val="en-US" w:eastAsia="fr-FR" w:bidi="he-IL"/>
        </w:rPr>
        <w:t>1829</w:t>
      </w:r>
      <w:r w:rsidR="00C2602D" w:rsidRPr="00A74F01">
        <w:rPr>
          <w:rFonts w:eastAsia="Arial Unicode MS"/>
          <w:bCs/>
          <w:lang w:val="en-US" w:eastAsia="fr-FR" w:bidi="he-IL"/>
        </w:rPr>
        <w:t> </w:t>
      </w:r>
      <w:r w:rsidR="007F6508" w:rsidRPr="00A74F01">
        <w:rPr>
          <w:rFonts w:eastAsia="Arial Unicode MS"/>
          <w:bCs/>
          <w:lang w:val="en-US" w:eastAsia="fr-FR" w:bidi="he-IL"/>
        </w:rPr>
        <w:t xml:space="preserve">; </w:t>
      </w:r>
      <w:r w:rsidR="00D70C02">
        <w:rPr>
          <w:rFonts w:eastAsia="Arial Unicode MS"/>
          <w:bCs/>
          <w:lang w:val="en-US" w:eastAsia="fr-FR" w:bidi="he-IL"/>
        </w:rPr>
        <w:t>T. He</w:t>
      </w:r>
      <w:r w:rsidRPr="00A74F01">
        <w:rPr>
          <w:rFonts w:eastAsia="Arial Unicode MS"/>
          <w:bCs/>
          <w:lang w:val="en-US" w:eastAsia="fr-FR" w:bidi="he-IL"/>
        </w:rPr>
        <w:t>aphy</w:t>
      </w:r>
      <w:r w:rsidR="00E65435" w:rsidRPr="00A74F01">
        <w:rPr>
          <w:rFonts w:eastAsia="Arial Unicode MS"/>
          <w:bCs/>
          <w:lang w:val="en-US" w:eastAsia="fr-FR" w:bidi="he-IL"/>
        </w:rPr>
        <w:t xml:space="preserve">, </w:t>
      </w:r>
      <w:r w:rsidR="00D70C02">
        <w:rPr>
          <w:rStyle w:val="italicus"/>
          <w:lang w:val="en-US"/>
        </w:rPr>
        <w:t>Examinat</w:t>
      </w:r>
      <w:r w:rsidRPr="00A74F01">
        <w:rPr>
          <w:rStyle w:val="italicus"/>
          <w:lang w:val="en-US"/>
        </w:rPr>
        <w:t>ion into the Antiquity of the Likeness of</w:t>
      </w:r>
      <w:r w:rsidR="00D70C02">
        <w:rPr>
          <w:rStyle w:val="italicus"/>
          <w:lang w:val="en-US"/>
        </w:rPr>
        <w:t xml:space="preserve"> </w:t>
      </w:r>
      <w:r w:rsidRPr="00A74F01">
        <w:rPr>
          <w:rStyle w:val="italicus"/>
          <w:lang w:val="en-US"/>
        </w:rPr>
        <w:t>Our Blessed Lord</w:t>
      </w:r>
      <w:r w:rsidR="00933C60" w:rsidRPr="00C406FF">
        <w:rPr>
          <w:rStyle w:val="Appelnotedebasdep"/>
        </w:rPr>
        <w:footnoteReference w:id="556"/>
      </w:r>
      <w:r w:rsidR="00C2602D" w:rsidRPr="00A74F01">
        <w:rPr>
          <w:rFonts w:eastAsia="Arial Unicode MS"/>
          <w:bCs/>
          <w:lang w:val="en-US" w:eastAsia="fr-FR" w:bidi="he-IL"/>
        </w:rPr>
        <w:t> </w:t>
      </w:r>
      <w:r w:rsidR="007F6508" w:rsidRPr="00A74F01">
        <w:rPr>
          <w:rFonts w:eastAsia="Arial Unicode MS"/>
          <w:bCs/>
          <w:lang w:val="en-US" w:eastAsia="fr-FR" w:bidi="he-IL"/>
        </w:rPr>
        <w:t xml:space="preserve">; </w:t>
      </w:r>
      <w:r w:rsidRPr="00A74F01">
        <w:rPr>
          <w:rFonts w:eastAsia="Arial Unicode MS"/>
          <w:bCs/>
          <w:lang w:val="en-US" w:eastAsia="fr-FR" w:bidi="he-IL"/>
        </w:rPr>
        <w:t xml:space="preserve">Christ. </w:t>
      </w:r>
      <w:r w:rsidRPr="00C8701B">
        <w:rPr>
          <w:rFonts w:eastAsia="Arial Unicode MS"/>
          <w:bCs/>
          <w:lang w:eastAsia="fr-FR" w:bidi="he-IL"/>
        </w:rPr>
        <w:t>Marianus</w:t>
      </w:r>
      <w:r w:rsidR="00E65435">
        <w:rPr>
          <w:rFonts w:eastAsia="Arial Unicode MS"/>
          <w:bCs/>
          <w:lang w:eastAsia="fr-FR" w:bidi="he-IL"/>
        </w:rPr>
        <w:t xml:space="preserve">, </w:t>
      </w:r>
      <w:r w:rsidRPr="00DC4586">
        <w:rPr>
          <w:rStyle w:val="italicus"/>
        </w:rPr>
        <w:t>Jésus und Maria in ihrer œusseren Gestalt</w:t>
      </w:r>
      <w:r w:rsidR="00E65435">
        <w:rPr>
          <w:rStyle w:val="italicus"/>
        </w:rPr>
        <w:t xml:space="preserve">, </w:t>
      </w:r>
      <w:r w:rsidRPr="00C8701B">
        <w:rPr>
          <w:rFonts w:eastAsia="Arial Unicode MS"/>
          <w:bCs/>
          <w:lang w:eastAsia="fr-FR" w:bidi="he-IL"/>
        </w:rPr>
        <w:t>Cologne 1870</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00D70C02">
        <w:rPr>
          <w:rFonts w:eastAsia="Arial Unicode MS"/>
          <w:bCs/>
          <w:lang w:eastAsia="fr-FR" w:bidi="he-IL"/>
        </w:rPr>
        <w:t>article « </w:t>
      </w:r>
      <w:r w:rsidRPr="00C8701B">
        <w:rPr>
          <w:rFonts w:eastAsia="Arial Unicode MS"/>
          <w:bCs/>
          <w:lang w:eastAsia="fr-FR" w:bidi="he-IL"/>
        </w:rPr>
        <w:t>Christusbilder</w:t>
      </w:r>
      <w:r w:rsidR="00C2602D" w:rsidRPr="00C8701B">
        <w:rPr>
          <w:rFonts w:eastAsia="Arial Unicode MS"/>
          <w:bCs/>
          <w:lang w:eastAsia="fr-FR" w:bidi="he-IL"/>
        </w:rPr>
        <w:t> »</w:t>
      </w:r>
      <w:r w:rsidRPr="00C8701B">
        <w:rPr>
          <w:rFonts w:eastAsia="Arial Unicode MS"/>
          <w:bCs/>
          <w:lang w:eastAsia="fr-FR" w:bidi="he-IL"/>
        </w:rPr>
        <w:t xml:space="preserve"> dans le</w:t>
      </w:r>
      <w:r w:rsidRPr="00DC4586">
        <w:rPr>
          <w:rStyle w:val="italicus"/>
        </w:rPr>
        <w:t xml:space="preserve"> </w:t>
      </w:r>
      <w:r w:rsidR="00D70C02" w:rsidRPr="00DC4586">
        <w:rPr>
          <w:rStyle w:val="italicus"/>
        </w:rPr>
        <w:t>Kirchenlexikon</w:t>
      </w:r>
      <w:r w:rsidRPr="00C8701B">
        <w:rPr>
          <w:rFonts w:eastAsia="Arial Unicode MS"/>
          <w:bCs/>
          <w:lang w:eastAsia="fr-FR" w:bidi="he-IL"/>
        </w:rPr>
        <w:t xml:space="preserve"> de Wetzer et </w:t>
      </w:r>
      <w:r w:rsidR="00D70C02" w:rsidRPr="00C8701B">
        <w:rPr>
          <w:rFonts w:eastAsia="Arial Unicode MS"/>
          <w:bCs/>
          <w:lang w:eastAsia="fr-FR" w:bidi="he-IL"/>
        </w:rPr>
        <w:t>Welte</w:t>
      </w:r>
      <w:r w:rsidR="00E65435">
        <w:rPr>
          <w:rFonts w:eastAsia="Arial Unicode MS"/>
          <w:bCs/>
          <w:lang w:eastAsia="fr-FR" w:bidi="he-IL"/>
        </w:rPr>
        <w:t xml:space="preserve">, </w:t>
      </w:r>
      <w:r w:rsidRPr="00C8701B">
        <w:rPr>
          <w:rFonts w:eastAsia="Arial Unicode MS"/>
          <w:bCs/>
          <w:lang w:eastAsia="fr-FR" w:bidi="he-IL"/>
        </w:rPr>
        <w:t>t. III</w:t>
      </w:r>
      <w:r w:rsidR="00E65435">
        <w:rPr>
          <w:rFonts w:eastAsia="Arial Unicode MS"/>
          <w:bCs/>
          <w:lang w:eastAsia="fr-FR" w:bidi="he-IL"/>
        </w:rPr>
        <w:t xml:space="preserve">, </w:t>
      </w:r>
      <w:r w:rsidRPr="00C8701B">
        <w:rPr>
          <w:rFonts w:eastAsia="Arial Unicode MS"/>
          <w:bCs/>
          <w:lang w:eastAsia="fr-FR" w:bidi="he-IL"/>
        </w:rPr>
        <w:t>col. 294 et ss. de la deuxième édition allemande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Th. </w:t>
      </w:r>
      <w:r w:rsidRPr="00C8701B">
        <w:rPr>
          <w:rFonts w:eastAsia="Arial Unicode MS"/>
          <w:bCs/>
          <w:lang w:val="en-US" w:eastAsia="fr-FR" w:bidi="he-IL"/>
        </w:rPr>
        <w:t>Heaphy</w:t>
      </w:r>
      <w:r w:rsidR="00E65435">
        <w:rPr>
          <w:rFonts w:eastAsia="Arial Unicode MS"/>
          <w:bCs/>
          <w:lang w:val="en-US" w:eastAsia="fr-FR" w:bidi="he-IL"/>
        </w:rPr>
        <w:t xml:space="preserve">, </w:t>
      </w:r>
      <w:r w:rsidRPr="00A74F01">
        <w:rPr>
          <w:rStyle w:val="italicus"/>
          <w:lang w:val="en-US"/>
        </w:rPr>
        <w:t>The Likeness of Christ</w:t>
      </w:r>
      <w:r w:rsidR="00E65435" w:rsidRPr="00A74F01">
        <w:rPr>
          <w:rStyle w:val="italicus"/>
          <w:lang w:val="en-US"/>
        </w:rPr>
        <w:t xml:space="preserve">, </w:t>
      </w:r>
      <w:r w:rsidRPr="00A74F01">
        <w:rPr>
          <w:rStyle w:val="italicus"/>
          <w:lang w:val="en-US"/>
        </w:rPr>
        <w:t>being an Enquiry into the Verisimilitude of the received Likeness of Our Blessed Lord</w:t>
      </w:r>
      <w:r w:rsidR="00E65435" w:rsidRPr="00A74F01">
        <w:rPr>
          <w:rStyle w:val="italicus"/>
          <w:lang w:val="en-US"/>
        </w:rPr>
        <w:t xml:space="preserve">, </w:t>
      </w:r>
      <w:r w:rsidRPr="00C8701B">
        <w:rPr>
          <w:rFonts w:eastAsia="Arial Unicode MS"/>
          <w:bCs/>
          <w:lang w:val="en-US" w:eastAsia="fr-FR" w:bidi="he-IL"/>
        </w:rPr>
        <w:t>Londres 1887.</w:t>
      </w:r>
      <w:r w:rsidR="00C2602D" w:rsidRPr="00A74F01">
        <w:rPr>
          <w:rStyle w:val="italicus"/>
          <w:lang w:val="en-US"/>
        </w:rPr>
        <w:t xml:space="preserve"> </w:t>
      </w:r>
    </w:p>
    <w:p w:rsidR="00C2602D" w:rsidRPr="00DC4586" w:rsidRDefault="00B704AD" w:rsidP="00D70C02">
      <w:pPr>
        <w:rPr>
          <w:rStyle w:val="italicus"/>
        </w:rPr>
      </w:pPr>
      <w:r w:rsidRPr="00C8701B">
        <w:rPr>
          <w:rFonts w:eastAsia="Arial Unicode MS"/>
          <w:bCs/>
          <w:lang w:eastAsia="fr-FR" w:bidi="he-IL"/>
        </w:rPr>
        <w:t>Pour l</w:t>
      </w:r>
      <w:r w:rsidR="00557DE0">
        <w:rPr>
          <w:rFonts w:eastAsia="Arial Unicode MS"/>
          <w:bCs/>
          <w:lang w:eastAsia="fr-FR" w:bidi="he-IL"/>
        </w:rPr>
        <w:t>’</w:t>
      </w:r>
      <w:r w:rsidRPr="00C8701B">
        <w:rPr>
          <w:rFonts w:eastAsia="Arial Unicode MS"/>
          <w:bCs/>
          <w:lang w:eastAsia="fr-FR" w:bidi="he-IL"/>
        </w:rPr>
        <w:t>archéologie chrétienne en général</w:t>
      </w:r>
      <w:r w:rsidR="00E65435">
        <w:rPr>
          <w:rFonts w:eastAsia="Arial Unicode MS"/>
          <w:bCs/>
          <w:lang w:eastAsia="fr-FR" w:bidi="he-IL"/>
        </w:rPr>
        <w:t xml:space="preserve">, </w:t>
      </w:r>
      <w:r w:rsidRPr="00C8701B">
        <w:rPr>
          <w:rFonts w:eastAsia="Arial Unicode MS"/>
          <w:bCs/>
          <w:lang w:eastAsia="fr-FR" w:bidi="he-IL"/>
        </w:rPr>
        <w:t>dans ses rapports avec l</w:t>
      </w:r>
      <w:r w:rsidR="00557DE0">
        <w:rPr>
          <w:rFonts w:eastAsia="Arial Unicode MS"/>
          <w:bCs/>
          <w:lang w:eastAsia="fr-FR" w:bidi="he-IL"/>
        </w:rPr>
        <w:t>’</w:t>
      </w:r>
      <w:r w:rsidRPr="00C8701B">
        <w:rPr>
          <w:rFonts w:eastAsia="Arial Unicode MS"/>
          <w:bCs/>
          <w:lang w:eastAsia="fr-FR" w:bidi="he-IL"/>
        </w:rPr>
        <w:t>évangile</w:t>
      </w:r>
      <w:r w:rsidR="00C2602D" w:rsidRPr="00C8701B">
        <w:rPr>
          <w:rFonts w:eastAsia="Arial Unicode MS"/>
          <w:bCs/>
          <w:lang w:eastAsia="fr-FR" w:bidi="he-IL"/>
        </w:rPr>
        <w:t> :</w:t>
      </w:r>
      <w:r w:rsidRPr="00C8701B">
        <w:rPr>
          <w:rFonts w:eastAsia="Arial Unicode MS"/>
          <w:bCs/>
          <w:lang w:eastAsia="fr-FR" w:bidi="he-IL"/>
        </w:rPr>
        <w:t xml:space="preserve"> </w:t>
      </w:r>
      <w:r w:rsidR="00366671">
        <w:rPr>
          <w:rFonts w:eastAsia="Arial Unicode MS"/>
          <w:bCs/>
          <w:lang w:eastAsia="fr-FR" w:bidi="he-IL"/>
        </w:rPr>
        <w:t>{106</w:t>
      </w:r>
      <w:bookmarkStart w:id="161" w:name="pag106"/>
      <w:bookmarkEnd w:id="161"/>
      <w:r w:rsidR="00366671">
        <w:rPr>
          <w:rFonts w:eastAsia="Arial Unicode MS"/>
          <w:bCs/>
          <w:lang w:eastAsia="fr-FR" w:bidi="he-IL"/>
        </w:rPr>
        <w:t xml:space="preserve">} </w:t>
      </w:r>
      <w:r w:rsidRPr="00C8701B">
        <w:rPr>
          <w:rFonts w:eastAsia="Arial Unicode MS"/>
          <w:bCs/>
          <w:lang w:eastAsia="fr-FR" w:bidi="he-IL"/>
        </w:rPr>
        <w:t>Martigny</w:t>
      </w:r>
      <w:r w:rsidR="00E65435">
        <w:rPr>
          <w:rFonts w:eastAsia="Arial Unicode MS"/>
          <w:bCs/>
          <w:lang w:eastAsia="fr-FR" w:bidi="he-IL"/>
        </w:rPr>
        <w:t xml:space="preserve">, </w:t>
      </w:r>
      <w:r w:rsidRPr="00DC4586">
        <w:rPr>
          <w:rStyle w:val="italicus"/>
        </w:rPr>
        <w:t>Dictionnaire des antiquités chrétiennes</w:t>
      </w:r>
      <w:r w:rsidR="00E65435">
        <w:rPr>
          <w:rFonts w:eastAsia="Arial Unicode MS"/>
          <w:bCs/>
          <w:lang w:eastAsia="fr-FR" w:bidi="he-IL"/>
        </w:rPr>
        <w:t xml:space="preserve">, </w:t>
      </w:r>
      <w:r w:rsidRPr="00C8701B">
        <w:rPr>
          <w:rFonts w:eastAsia="Arial Unicode MS"/>
          <w:bCs/>
          <w:lang w:eastAsia="fr-FR" w:bidi="he-IL"/>
        </w:rPr>
        <w:t>Paris (2</w:t>
      </w:r>
      <w:r w:rsidRPr="00C8701B">
        <w:rPr>
          <w:rFonts w:eastAsia="Arial Unicode MS"/>
          <w:bCs/>
          <w:vertAlign w:val="superscript"/>
          <w:lang w:eastAsia="fr-FR" w:bidi="he-IL"/>
        </w:rPr>
        <w:t>e</w:t>
      </w:r>
      <w:r w:rsidRPr="00C8701B">
        <w:rPr>
          <w:rFonts w:eastAsia="Arial Unicode MS"/>
          <w:bCs/>
          <w:lang w:eastAsia="fr-FR" w:bidi="he-IL"/>
        </w:rPr>
        <w:t xml:space="preserve"> édition)</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F. </w:t>
      </w:r>
      <w:r w:rsidR="001157C4">
        <w:rPr>
          <w:rFonts w:eastAsia="Arial Unicode MS"/>
          <w:bCs/>
          <w:lang w:eastAsia="fr-FR" w:bidi="he-IL"/>
        </w:rPr>
        <w:t>X</w:t>
      </w:r>
      <w:r w:rsidRPr="00C8701B">
        <w:rPr>
          <w:rFonts w:eastAsia="Arial Unicode MS"/>
          <w:bCs/>
          <w:lang w:eastAsia="fr-FR" w:bidi="he-IL"/>
        </w:rPr>
        <w:t>. Kraus</w:t>
      </w:r>
      <w:r w:rsidR="00E65435">
        <w:rPr>
          <w:rFonts w:eastAsia="Arial Unicode MS"/>
          <w:bCs/>
          <w:lang w:eastAsia="fr-FR" w:bidi="he-IL"/>
        </w:rPr>
        <w:t xml:space="preserve">, </w:t>
      </w:r>
      <w:r w:rsidRPr="00DC4586">
        <w:rPr>
          <w:rStyle w:val="italicus"/>
        </w:rPr>
        <w:t>Real-</w:t>
      </w:r>
      <w:r w:rsidR="00D70C02" w:rsidRPr="00DC4586">
        <w:rPr>
          <w:rStyle w:val="italicus"/>
        </w:rPr>
        <w:t>Encyklopædie</w:t>
      </w:r>
      <w:r w:rsidR="00D70C02">
        <w:rPr>
          <w:rStyle w:val="italicus"/>
        </w:rPr>
        <w:t xml:space="preserve"> der christlichen </w:t>
      </w:r>
      <w:r w:rsidR="00D70C02" w:rsidRPr="00D70C02">
        <w:rPr>
          <w:rStyle w:val="italicus"/>
        </w:rPr>
        <w:t>Altertümer</w:t>
      </w:r>
      <w:r w:rsidR="00E65435">
        <w:rPr>
          <w:rStyle w:val="italicus"/>
        </w:rPr>
        <w:t xml:space="preserve">, </w:t>
      </w:r>
      <w:r w:rsidRPr="00C8701B">
        <w:rPr>
          <w:rFonts w:eastAsia="Arial Unicode MS"/>
          <w:bCs/>
          <w:lang w:eastAsia="fr-FR" w:bidi="he-IL"/>
        </w:rPr>
        <w:t>Fribourg-en-Brisgau</w:t>
      </w:r>
      <w:r w:rsidR="00E65435">
        <w:rPr>
          <w:rFonts w:eastAsia="Arial Unicode MS"/>
          <w:bCs/>
          <w:lang w:eastAsia="fr-FR" w:bidi="he-IL"/>
        </w:rPr>
        <w:t xml:space="preserve">, </w:t>
      </w:r>
      <w:r w:rsidRPr="00C8701B">
        <w:rPr>
          <w:rFonts w:eastAsia="Arial Unicode MS"/>
          <w:bCs/>
          <w:lang w:eastAsia="fr-FR" w:bidi="he-IL"/>
        </w:rPr>
        <w:t>1882 et ss.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Ch. Rohault de Fleury</w:t>
      </w:r>
      <w:r w:rsidR="00E65435">
        <w:rPr>
          <w:rFonts w:eastAsia="Arial Unicode MS"/>
          <w:bCs/>
          <w:lang w:eastAsia="fr-FR" w:bidi="he-IL"/>
        </w:rPr>
        <w:t xml:space="preserve">, </w:t>
      </w:r>
      <w:r w:rsidRPr="00DC4586">
        <w:rPr>
          <w:rStyle w:val="italicus"/>
        </w:rPr>
        <w:t>L</w:t>
      </w:r>
      <w:r w:rsidR="00557DE0">
        <w:rPr>
          <w:rStyle w:val="italicus"/>
        </w:rPr>
        <w:t>’</w:t>
      </w:r>
      <w:r w:rsidR="000439E9" w:rsidRPr="00DC4586">
        <w:rPr>
          <w:rStyle w:val="italicus"/>
        </w:rPr>
        <w:t>Évangile</w:t>
      </w:r>
      <w:r w:rsidR="00E65435">
        <w:rPr>
          <w:rStyle w:val="italicus"/>
        </w:rPr>
        <w:t xml:space="preserve">, </w:t>
      </w:r>
      <w:r w:rsidRPr="00DC4586">
        <w:rPr>
          <w:rStyle w:val="italicus"/>
        </w:rPr>
        <w:t>Études iconographiques et archéologiques</w:t>
      </w:r>
      <w:r w:rsidR="00E65435">
        <w:rPr>
          <w:rStyle w:val="italicus"/>
        </w:rPr>
        <w:t xml:space="preserve">, </w:t>
      </w:r>
      <w:r w:rsidRPr="00C8701B">
        <w:rPr>
          <w:rFonts w:eastAsia="Arial Unicode MS"/>
          <w:bCs/>
          <w:lang w:eastAsia="fr-FR" w:bidi="he-IL"/>
        </w:rPr>
        <w:t>Tours</w:t>
      </w:r>
      <w:r w:rsidR="00E65435">
        <w:rPr>
          <w:rFonts w:eastAsia="Arial Unicode MS"/>
          <w:bCs/>
          <w:lang w:eastAsia="fr-FR" w:bidi="he-IL"/>
        </w:rPr>
        <w:t xml:space="preserve">, </w:t>
      </w:r>
      <w:r w:rsidRPr="00C8701B">
        <w:rPr>
          <w:rFonts w:eastAsia="Arial Unicode MS"/>
          <w:bCs/>
          <w:lang w:eastAsia="fr-FR" w:bidi="he-IL"/>
        </w:rPr>
        <w:t>1874</w:t>
      </w:r>
      <w:r w:rsidR="00933C60" w:rsidRPr="00C406FF">
        <w:rPr>
          <w:rStyle w:val="Appelnotedebasdep"/>
        </w:rPr>
        <w:footnoteReference w:id="557"/>
      </w:r>
      <w:r w:rsidRPr="00C8701B">
        <w:rPr>
          <w:rFonts w:eastAsia="Arial Unicode MS"/>
          <w:bCs/>
          <w:lang w:eastAsia="fr-FR" w:bidi="he-IL"/>
        </w:rPr>
        <w:t>.</w:t>
      </w:r>
      <w:r w:rsidR="00C2602D" w:rsidRPr="00DC4586">
        <w:rPr>
          <w:rStyle w:val="italicus"/>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Pour les peintures des catacombes</w:t>
      </w:r>
      <w:r w:rsidR="00C2602D" w:rsidRPr="00C8701B">
        <w:rPr>
          <w:rFonts w:eastAsia="Arial Unicode MS"/>
          <w:bCs/>
          <w:lang w:eastAsia="fr-FR" w:bidi="he-IL"/>
        </w:rPr>
        <w:t> :</w:t>
      </w:r>
      <w:r w:rsidRPr="00C8701B">
        <w:rPr>
          <w:rFonts w:eastAsia="Arial Unicode MS"/>
          <w:bCs/>
          <w:lang w:eastAsia="fr-FR" w:bidi="he-IL"/>
        </w:rPr>
        <w:t xml:space="preserve"> les grands recueils de MM. Perret </w:t>
      </w:r>
      <w:r w:rsidRPr="00C8701B">
        <w:rPr>
          <w:rFonts w:eastAsia="Arial Unicode MS"/>
          <w:bCs/>
          <w:iCs/>
          <w:lang w:eastAsia="fr-FR" w:bidi="he-IL"/>
        </w:rPr>
        <w:t>(</w:t>
      </w:r>
      <w:r w:rsidRPr="00DC4586">
        <w:rPr>
          <w:rStyle w:val="italicus"/>
        </w:rPr>
        <w:t>Catacombes de Rome</w:t>
      </w:r>
      <w:r w:rsidR="00E65435">
        <w:rPr>
          <w:rStyle w:val="italicus"/>
        </w:rPr>
        <w:t xml:space="preserve">, </w:t>
      </w:r>
      <w:r w:rsidRPr="00C8701B">
        <w:rPr>
          <w:rFonts w:eastAsia="Arial Unicode MS"/>
          <w:bCs/>
          <w:lang w:eastAsia="fr-FR" w:bidi="he-IL"/>
        </w:rPr>
        <w:t>Paris 1851 et ss.) et de Rossi (</w:t>
      </w:r>
      <w:r w:rsidRPr="00DC4586">
        <w:rPr>
          <w:rStyle w:val="italicus"/>
        </w:rPr>
        <w:t>Roma sotterranea</w:t>
      </w:r>
      <w:r w:rsidR="00E65435">
        <w:rPr>
          <w:rStyle w:val="italicus"/>
        </w:rPr>
        <w:t xml:space="preserve">, </w:t>
      </w:r>
      <w:r w:rsidRPr="00C8701B">
        <w:rPr>
          <w:rFonts w:eastAsia="Arial Unicode MS"/>
          <w:bCs/>
          <w:lang w:eastAsia="fr-FR" w:bidi="he-IL"/>
        </w:rPr>
        <w:t>Rome 1864 et ss.)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excellent manuel de MM. J. Spencer et W. R. Brownlow</w:t>
      </w:r>
      <w:r w:rsidR="00E65435">
        <w:rPr>
          <w:rFonts w:eastAsia="Arial Unicode MS"/>
          <w:bCs/>
          <w:lang w:eastAsia="fr-FR" w:bidi="he-IL"/>
        </w:rPr>
        <w:t xml:space="preserve">, </w:t>
      </w:r>
      <w:r w:rsidRPr="00DC4586">
        <w:rPr>
          <w:rStyle w:val="italicus"/>
        </w:rPr>
        <w:t>Rome souterraine</w:t>
      </w:r>
      <w:r w:rsidR="00E65435">
        <w:rPr>
          <w:rStyle w:val="italicus"/>
        </w:rPr>
        <w:t xml:space="preserve">, </w:t>
      </w:r>
      <w:r w:rsidRPr="00DC4586">
        <w:rPr>
          <w:rStyle w:val="italicus"/>
        </w:rPr>
        <w:t>résumé des découvertes de M. de Rossi dans les catacombes romaines</w:t>
      </w:r>
      <w:r w:rsidR="00E65435">
        <w:rPr>
          <w:rFonts w:eastAsia="Arial Unicode MS"/>
          <w:bCs/>
          <w:lang w:eastAsia="fr-FR" w:bidi="he-IL"/>
        </w:rPr>
        <w:t xml:space="preserve">, </w:t>
      </w:r>
      <w:r w:rsidRPr="00C8701B">
        <w:rPr>
          <w:rFonts w:eastAsia="Arial Unicode MS"/>
          <w:bCs/>
          <w:lang w:eastAsia="fr-FR" w:bidi="he-IL"/>
        </w:rPr>
        <w:t>traduit en français par Paul Allard</w:t>
      </w:r>
      <w:r w:rsidR="00E65435">
        <w:rPr>
          <w:rFonts w:eastAsia="Arial Unicode MS"/>
          <w:bCs/>
          <w:lang w:eastAsia="fr-FR" w:bidi="he-IL"/>
        </w:rPr>
        <w:t xml:space="preserve">, </w:t>
      </w:r>
      <w:r w:rsidRPr="00C8701B">
        <w:rPr>
          <w:rFonts w:eastAsia="Arial Unicode MS"/>
          <w:bCs/>
          <w:lang w:eastAsia="fr-FR" w:bidi="he-IL"/>
        </w:rPr>
        <w:t>Paris 1874</w:t>
      </w:r>
      <w:r w:rsidR="00933C60" w:rsidRPr="00C406FF">
        <w:rPr>
          <w:rStyle w:val="Appelnotedebasdep"/>
        </w:rPr>
        <w:footnoteReference w:id="558"/>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DC4586" w:rsidRDefault="00B704AD" w:rsidP="00062AA4">
      <w:pPr>
        <w:rPr>
          <w:rStyle w:val="italicus"/>
        </w:rPr>
      </w:pPr>
      <w:r w:rsidRPr="000819BA">
        <w:rPr>
          <w:rFonts w:eastAsia="Arial Unicode MS"/>
          <w:bCs/>
          <w:lang w:eastAsia="fr-FR" w:bidi="he-IL"/>
        </w:rPr>
        <w:t>Pour les peintures plus récentes</w:t>
      </w:r>
      <w:r w:rsidR="00C2602D" w:rsidRPr="000819BA">
        <w:rPr>
          <w:rFonts w:eastAsia="Arial Unicode MS"/>
          <w:bCs/>
          <w:lang w:eastAsia="fr-FR" w:bidi="he-IL"/>
        </w:rPr>
        <w:t> :</w:t>
      </w:r>
      <w:r w:rsidRPr="000819BA">
        <w:rPr>
          <w:rFonts w:eastAsia="Arial Unicode MS"/>
          <w:bCs/>
          <w:lang w:eastAsia="fr-FR" w:bidi="he-IL"/>
        </w:rPr>
        <w:t xml:space="preserve"> en premier lieu</w:t>
      </w:r>
      <w:r w:rsidR="00E65435" w:rsidRPr="000819BA">
        <w:rPr>
          <w:rFonts w:eastAsia="Arial Unicode MS"/>
          <w:bCs/>
          <w:lang w:eastAsia="fr-FR" w:bidi="he-IL"/>
        </w:rPr>
        <w:t xml:space="preserve">, </w:t>
      </w:r>
      <w:r w:rsidRPr="000819BA">
        <w:rPr>
          <w:rFonts w:eastAsia="Arial Unicode MS"/>
          <w:bCs/>
          <w:lang w:eastAsia="fr-FR" w:bidi="he-IL"/>
        </w:rPr>
        <w:t>les recueils spéciaux</w:t>
      </w:r>
      <w:r w:rsidR="00E65435" w:rsidRPr="000819BA">
        <w:rPr>
          <w:rFonts w:eastAsia="Arial Unicode MS"/>
          <w:bCs/>
          <w:lang w:eastAsia="fr-FR" w:bidi="he-IL"/>
        </w:rPr>
        <w:t xml:space="preserve">, </w:t>
      </w:r>
      <w:r w:rsidRPr="000819BA">
        <w:rPr>
          <w:rFonts w:eastAsia="Arial Unicode MS"/>
          <w:bCs/>
          <w:lang w:eastAsia="fr-FR" w:bidi="he-IL"/>
        </w:rPr>
        <w:t>tels que F. T. Palgrave</w:t>
      </w:r>
      <w:r w:rsidR="00E65435" w:rsidRPr="000819BA">
        <w:rPr>
          <w:rFonts w:eastAsia="Arial Unicode MS"/>
          <w:bCs/>
          <w:lang w:eastAsia="fr-FR" w:bidi="he-IL"/>
        </w:rPr>
        <w:t xml:space="preserve">, </w:t>
      </w:r>
      <w:r w:rsidR="00D70C02">
        <w:rPr>
          <w:rStyle w:val="italicus"/>
        </w:rPr>
        <w:t>The Life of Jésus Christ illustrated from the It</w:t>
      </w:r>
      <w:r w:rsidRPr="000819BA">
        <w:rPr>
          <w:rStyle w:val="italicus"/>
        </w:rPr>
        <w:t>alian Painters of the Fourteenth</w:t>
      </w:r>
      <w:r w:rsidR="00E65435" w:rsidRPr="000819BA">
        <w:rPr>
          <w:rStyle w:val="italicus"/>
        </w:rPr>
        <w:t xml:space="preserve">, </w:t>
      </w:r>
      <w:r w:rsidRPr="000819BA">
        <w:rPr>
          <w:rStyle w:val="italicus"/>
        </w:rPr>
        <w:t>Fifteenth</w:t>
      </w:r>
      <w:r w:rsidR="00E65435" w:rsidRPr="000819BA">
        <w:rPr>
          <w:rStyle w:val="italicus"/>
        </w:rPr>
        <w:t xml:space="preserve">, </w:t>
      </w:r>
      <w:r w:rsidRPr="000819BA">
        <w:rPr>
          <w:rStyle w:val="italicus"/>
        </w:rPr>
        <w:t>and Sixteenth Centuries</w:t>
      </w:r>
      <w:r w:rsidR="00E65435" w:rsidRPr="000819BA">
        <w:rPr>
          <w:rStyle w:val="italicus"/>
        </w:rPr>
        <w:t xml:space="preserve">, </w:t>
      </w:r>
      <w:r w:rsidRPr="000819BA">
        <w:rPr>
          <w:rFonts w:eastAsia="Arial Unicode MS"/>
          <w:bCs/>
          <w:lang w:eastAsia="fr-FR" w:bidi="he-IL"/>
        </w:rPr>
        <w:t>Londres 1885</w:t>
      </w:r>
      <w:r w:rsidR="00C2602D" w:rsidRPr="000819BA">
        <w:rPr>
          <w:rFonts w:eastAsia="Arial Unicode MS"/>
          <w:bCs/>
          <w:lang w:eastAsia="fr-FR" w:bidi="he-IL"/>
        </w:rPr>
        <w:t> </w:t>
      </w:r>
      <w:r w:rsidR="007F6508" w:rsidRPr="000819BA">
        <w:rPr>
          <w:rFonts w:eastAsia="Arial Unicode MS"/>
          <w:bCs/>
          <w:lang w:eastAsia="fr-FR" w:bidi="he-IL"/>
        </w:rPr>
        <w:t xml:space="preserve">; </w:t>
      </w:r>
      <w:r w:rsidRPr="000819BA">
        <w:rPr>
          <w:rStyle w:val="italicus"/>
        </w:rPr>
        <w:t>Nouveau Testament de N.-S. Jésus-Christ illustré</w:t>
      </w:r>
      <w:r w:rsidR="00E65435" w:rsidRPr="000819BA">
        <w:rPr>
          <w:rStyle w:val="italicus"/>
        </w:rPr>
        <w:t xml:space="preserve">, </w:t>
      </w:r>
      <w:r w:rsidRPr="000819BA">
        <w:rPr>
          <w:rFonts w:eastAsia="Arial Unicode MS"/>
          <w:bCs/>
          <w:lang w:eastAsia="fr-FR" w:bidi="he-IL"/>
        </w:rPr>
        <w:t>Paris (Firmin Didot)</w:t>
      </w:r>
      <w:r w:rsidR="00933C60" w:rsidRPr="00C406FF">
        <w:rPr>
          <w:rStyle w:val="Appelnotedebasdep"/>
        </w:rPr>
        <w:footnoteReference w:id="559"/>
      </w:r>
      <w:r w:rsidR="00C2602D" w:rsidRPr="000819BA">
        <w:rPr>
          <w:rFonts w:eastAsia="Arial Unicode MS"/>
          <w:bCs/>
          <w:lang w:eastAsia="fr-FR" w:bidi="he-IL"/>
        </w:rPr>
        <w:t> </w:t>
      </w:r>
      <w:r w:rsidR="007F6508" w:rsidRPr="000819BA">
        <w:rPr>
          <w:rFonts w:eastAsia="Arial Unicode MS"/>
          <w:bCs/>
          <w:lang w:eastAsia="fr-FR" w:bidi="he-IL"/>
        </w:rPr>
        <w:t xml:space="preserve">; </w:t>
      </w:r>
      <w:r w:rsidRPr="000819BA">
        <w:rPr>
          <w:rStyle w:val="italicus"/>
        </w:rPr>
        <w:t>The New Testament of Our Lord and Saviour Jésus Christ</w:t>
      </w:r>
      <w:r w:rsidR="00E65435" w:rsidRPr="000819BA">
        <w:rPr>
          <w:rStyle w:val="italicus"/>
        </w:rPr>
        <w:t xml:space="preserve">, </w:t>
      </w:r>
      <w:r w:rsidRPr="000819BA">
        <w:rPr>
          <w:rStyle w:val="italicus"/>
        </w:rPr>
        <w:t>illustrated with Engravings on wood after Paintings by Fra Angelico</w:t>
      </w:r>
      <w:r w:rsidR="00E65435" w:rsidRPr="000819BA">
        <w:rPr>
          <w:rStyle w:val="italicus"/>
        </w:rPr>
        <w:t xml:space="preserve">, </w:t>
      </w:r>
      <w:r w:rsidRPr="000819BA">
        <w:rPr>
          <w:rStyle w:val="italicus"/>
        </w:rPr>
        <w:t>P. Perugino</w:t>
      </w:r>
      <w:r w:rsidR="00E65435" w:rsidRPr="000819BA">
        <w:rPr>
          <w:rStyle w:val="italicus"/>
        </w:rPr>
        <w:t xml:space="preserve">, </w:t>
      </w:r>
      <w:r w:rsidRPr="000819BA">
        <w:rPr>
          <w:rStyle w:val="italicus"/>
        </w:rPr>
        <w:t>Francia</w:t>
      </w:r>
      <w:r w:rsidR="00E65435" w:rsidRPr="000819BA">
        <w:rPr>
          <w:rStyle w:val="italicus"/>
        </w:rPr>
        <w:t xml:space="preserve">, </w:t>
      </w:r>
      <w:r w:rsidRPr="000819BA">
        <w:rPr>
          <w:rStyle w:val="italicus"/>
        </w:rPr>
        <w:t>Lorenzo di Credi</w:t>
      </w:r>
      <w:r w:rsidR="00E65435" w:rsidRPr="000819BA">
        <w:rPr>
          <w:rStyle w:val="italicus"/>
        </w:rPr>
        <w:t xml:space="preserve">, </w:t>
      </w:r>
      <w:r w:rsidRPr="000819BA">
        <w:rPr>
          <w:rStyle w:val="italicus"/>
        </w:rPr>
        <w:t>Fra Bartolomeo</w:t>
      </w:r>
      <w:r w:rsidR="00E65435" w:rsidRPr="000819BA">
        <w:rPr>
          <w:rStyle w:val="italicus"/>
        </w:rPr>
        <w:t xml:space="preserve">, </w:t>
      </w:r>
      <w:r w:rsidRPr="000819BA">
        <w:rPr>
          <w:rStyle w:val="italicus"/>
        </w:rPr>
        <w:t>Titian</w:t>
      </w:r>
      <w:r w:rsidR="00E65435" w:rsidRPr="000819BA">
        <w:rPr>
          <w:rStyle w:val="italicus"/>
        </w:rPr>
        <w:t xml:space="preserve">, </w:t>
      </w:r>
      <w:r w:rsidRPr="000819BA">
        <w:rPr>
          <w:rStyle w:val="italicus"/>
        </w:rPr>
        <w:t>Raphaël</w:t>
      </w:r>
      <w:r w:rsidR="00C87A2B" w:rsidRPr="000819BA">
        <w:rPr>
          <w:rStyle w:val="italicus"/>
        </w:rPr>
        <w:t>...</w:t>
      </w:r>
      <w:r w:rsidRPr="000819BA">
        <w:rPr>
          <w:rStyle w:val="italicus"/>
        </w:rPr>
        <w:t xml:space="preserve">. </w:t>
      </w:r>
      <w:r w:rsidRPr="00DC4586">
        <w:rPr>
          <w:rStyle w:val="italicus"/>
        </w:rPr>
        <w:t>and</w:t>
      </w:r>
      <w:r w:rsidR="00062AA4">
        <w:rPr>
          <w:rStyle w:val="italicus"/>
        </w:rPr>
        <w:t xml:space="preserve"> </w:t>
      </w:r>
      <w:r w:rsidRPr="00DC4586">
        <w:rPr>
          <w:rStyle w:val="italicus"/>
        </w:rPr>
        <w:t>other Masters</w:t>
      </w:r>
      <w:r w:rsidR="00E65435">
        <w:rPr>
          <w:rStyle w:val="italicus"/>
        </w:rPr>
        <w:t xml:space="preserve">, </w:t>
      </w:r>
      <w:r w:rsidRPr="00DC4586">
        <w:rPr>
          <w:rStyle w:val="italicus"/>
        </w:rPr>
        <w:t>chiefly of the early Italian School</w:t>
      </w:r>
      <w:r w:rsidR="00E65435">
        <w:rPr>
          <w:rStyle w:val="italicus"/>
        </w:rPr>
        <w:t xml:space="preserve">, </w:t>
      </w:r>
      <w:r w:rsidRPr="00C8701B">
        <w:rPr>
          <w:rFonts w:eastAsia="Arial Unicode MS"/>
          <w:bCs/>
          <w:lang w:eastAsia="fr-FR" w:bidi="he-IL"/>
        </w:rPr>
        <w:t>Londres</w:t>
      </w:r>
      <w:r w:rsidR="00C2602D" w:rsidRPr="00C8701B">
        <w:rPr>
          <w:rFonts w:eastAsia="Arial Unicode MS"/>
          <w:bCs/>
          <w:lang w:eastAsia="fr-FR" w:bidi="he-IL"/>
        </w:rPr>
        <w:t> </w:t>
      </w:r>
      <w:r w:rsidR="007F6508">
        <w:rPr>
          <w:rFonts w:eastAsia="Arial Unicode MS"/>
          <w:bCs/>
          <w:lang w:eastAsia="fr-FR" w:bidi="he-IL"/>
        </w:rPr>
        <w:t xml:space="preserve">; </w:t>
      </w:r>
      <w:r w:rsidRPr="00062AA4">
        <w:rPr>
          <w:rStyle w:val="italicus"/>
        </w:rPr>
        <w:t xml:space="preserve">Les saints </w:t>
      </w:r>
      <w:r w:rsidR="000439E9" w:rsidRPr="00062AA4">
        <w:rPr>
          <w:rStyle w:val="italicus"/>
        </w:rPr>
        <w:t>Évangile</w:t>
      </w:r>
      <w:r w:rsidRPr="00062AA4">
        <w:rPr>
          <w:rStyle w:val="italicus"/>
        </w:rPr>
        <w:t>s</w:t>
      </w:r>
      <w:r w:rsidR="00E65435" w:rsidRPr="00062AA4">
        <w:rPr>
          <w:rStyle w:val="italicus"/>
        </w:rPr>
        <w:t xml:space="preserve">, </w:t>
      </w:r>
      <w:r w:rsidRPr="00062AA4">
        <w:rPr>
          <w:rStyle w:val="italicus"/>
        </w:rPr>
        <w:t>traduc</w:t>
      </w:r>
      <w:r w:rsidR="00062AA4" w:rsidRPr="00062AA4">
        <w:rPr>
          <w:rStyle w:val="italicus"/>
        </w:rPr>
        <w:t>tion tirée des œuvres de Bossuet</w:t>
      </w:r>
      <w:r w:rsidRPr="00062AA4">
        <w:rPr>
          <w:rStyle w:val="italicus"/>
        </w:rPr>
        <w:t xml:space="preserve"> par </w:t>
      </w:r>
      <w:r w:rsidR="00DF5BCD" w:rsidRPr="00062AA4">
        <w:rPr>
          <w:rStyle w:val="italicus"/>
        </w:rPr>
        <w:t>H.</w:t>
      </w:r>
      <w:r w:rsidRPr="00062AA4">
        <w:rPr>
          <w:rStyle w:val="italicus"/>
        </w:rPr>
        <w:t xml:space="preserve"> Wallon</w:t>
      </w:r>
      <w:r w:rsidR="00E65435" w:rsidRPr="00062AA4">
        <w:rPr>
          <w:rStyle w:val="italicus"/>
        </w:rPr>
        <w:t xml:space="preserve">, </w:t>
      </w:r>
      <w:r w:rsidRPr="00062AA4">
        <w:rPr>
          <w:rStyle w:val="italicus"/>
        </w:rPr>
        <w:t>enrichie de 128 grandes compositions à l</w:t>
      </w:r>
      <w:r w:rsidR="00557DE0">
        <w:rPr>
          <w:rStyle w:val="italicus"/>
        </w:rPr>
        <w:t>’</w:t>
      </w:r>
      <w:r w:rsidRPr="00062AA4">
        <w:rPr>
          <w:rStyle w:val="italicus"/>
        </w:rPr>
        <w:t>eau forte d</w:t>
      </w:r>
      <w:r w:rsidR="00557DE0">
        <w:rPr>
          <w:rStyle w:val="italicus"/>
        </w:rPr>
        <w:t>’</w:t>
      </w:r>
      <w:r w:rsidRPr="00062AA4">
        <w:rPr>
          <w:rStyle w:val="italicus"/>
        </w:rPr>
        <w:t>après les dessins originaux de Bida</w:t>
      </w:r>
      <w:r w:rsidR="00E65435" w:rsidRPr="00062AA4">
        <w:rPr>
          <w:rStyle w:val="italicus"/>
        </w:rPr>
        <w:t>,</w:t>
      </w:r>
      <w:r w:rsidR="00E65435">
        <w:rPr>
          <w:rStyle w:val="italicus"/>
        </w:rPr>
        <w:t xml:space="preserve"> </w:t>
      </w:r>
      <w:r w:rsidRPr="00C8701B">
        <w:rPr>
          <w:rFonts w:eastAsia="Arial Unicode MS"/>
          <w:bCs/>
          <w:lang w:eastAsia="fr-FR" w:bidi="he-IL"/>
        </w:rPr>
        <w:t>Paris (Hachette).</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En second lieu</w:t>
      </w:r>
      <w:r w:rsidR="00E65435">
        <w:rPr>
          <w:rFonts w:eastAsia="Arial Unicode MS"/>
          <w:bCs/>
          <w:lang w:eastAsia="fr-FR" w:bidi="he-IL"/>
        </w:rPr>
        <w:t xml:space="preserve">, </w:t>
      </w:r>
      <w:r w:rsidRPr="00C8701B">
        <w:rPr>
          <w:rFonts w:eastAsia="Arial Unicode MS"/>
          <w:bCs/>
          <w:lang w:eastAsia="fr-FR" w:bidi="he-IL"/>
        </w:rPr>
        <w:t>les monographies des peintres les plus célèbres</w:t>
      </w:r>
      <w:r w:rsidR="00E65435">
        <w:rPr>
          <w:rFonts w:eastAsia="Arial Unicode MS"/>
          <w:bCs/>
          <w:lang w:eastAsia="fr-FR" w:bidi="he-IL"/>
        </w:rPr>
        <w:t xml:space="preserve">, </w:t>
      </w:r>
      <w:r w:rsidRPr="00C8701B">
        <w:rPr>
          <w:rFonts w:eastAsia="Arial Unicode MS"/>
          <w:bCs/>
          <w:lang w:eastAsia="fr-FR" w:bidi="he-IL"/>
        </w:rPr>
        <w:t>ou les histoires de la peinture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par exemple</w:t>
      </w:r>
      <w:r w:rsidR="00C2602D" w:rsidRPr="00C8701B">
        <w:rPr>
          <w:rFonts w:eastAsia="Arial Unicode MS"/>
          <w:bCs/>
          <w:lang w:eastAsia="fr-FR" w:bidi="he-IL"/>
        </w:rPr>
        <w:t> :</w:t>
      </w:r>
      <w:r w:rsidRPr="00C8701B">
        <w:rPr>
          <w:rFonts w:eastAsia="Arial Unicode MS"/>
          <w:bCs/>
          <w:lang w:eastAsia="fr-FR" w:bidi="he-IL"/>
        </w:rPr>
        <w:t xml:space="preserve"> J. D. Passavant</w:t>
      </w:r>
      <w:r w:rsidR="00E65435">
        <w:rPr>
          <w:rFonts w:eastAsia="Arial Unicode MS"/>
          <w:bCs/>
          <w:lang w:eastAsia="fr-FR" w:bidi="he-IL"/>
        </w:rPr>
        <w:t xml:space="preserve">, </w:t>
      </w:r>
      <w:r w:rsidRPr="00DC4586">
        <w:rPr>
          <w:rStyle w:val="italicus"/>
        </w:rPr>
        <w:t>Raphaël d</w:t>
      </w:r>
      <w:r w:rsidR="00557DE0">
        <w:rPr>
          <w:rStyle w:val="italicus"/>
        </w:rPr>
        <w:t>’</w:t>
      </w:r>
      <w:r w:rsidRPr="00DC4586">
        <w:rPr>
          <w:rStyle w:val="italicus"/>
        </w:rPr>
        <w:t>Urbin et son père Giovanni Santi</w:t>
      </w:r>
      <w:r w:rsidR="00E65435">
        <w:rPr>
          <w:rStyle w:val="italicus"/>
        </w:rPr>
        <w:t xml:space="preserve">, </w:t>
      </w:r>
      <w:r w:rsidRPr="00C8701B">
        <w:rPr>
          <w:rFonts w:eastAsia="Arial Unicode MS"/>
          <w:bCs/>
          <w:lang w:eastAsia="fr-FR" w:bidi="he-IL"/>
        </w:rPr>
        <w:t>traduction française</w:t>
      </w:r>
      <w:r w:rsidR="00E65435">
        <w:rPr>
          <w:rFonts w:eastAsia="Arial Unicode MS"/>
          <w:bCs/>
          <w:lang w:eastAsia="fr-FR" w:bidi="he-IL"/>
        </w:rPr>
        <w:t xml:space="preserve">, </w:t>
      </w:r>
      <w:r w:rsidRPr="00C8701B">
        <w:rPr>
          <w:rFonts w:eastAsia="Arial Unicode MS"/>
          <w:bCs/>
          <w:lang w:eastAsia="fr-FR" w:bidi="he-IL"/>
        </w:rPr>
        <w:t>Paris 1860</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Charles Blanc</w:t>
      </w:r>
      <w:r w:rsidR="00E65435">
        <w:rPr>
          <w:rFonts w:eastAsia="Arial Unicode MS"/>
          <w:bCs/>
          <w:lang w:eastAsia="fr-FR" w:bidi="he-IL"/>
        </w:rPr>
        <w:t xml:space="preserve">, </w:t>
      </w:r>
      <w:r w:rsidRPr="00DC4586">
        <w:rPr>
          <w:rStyle w:val="italicus"/>
        </w:rPr>
        <w:t>Histoire des peintres de toutes les écoles</w:t>
      </w:r>
      <w:r w:rsidR="00E65435">
        <w:rPr>
          <w:rStyle w:val="italicus"/>
        </w:rPr>
        <w:t xml:space="preserve">, </w:t>
      </w:r>
      <w:r w:rsidRPr="00DC4586">
        <w:rPr>
          <w:rStyle w:val="italicus"/>
        </w:rPr>
        <w:t>depuis la Renaissance jusqu</w:t>
      </w:r>
      <w:r w:rsidR="00557DE0">
        <w:rPr>
          <w:rStyle w:val="italicus"/>
        </w:rPr>
        <w:t>’</w:t>
      </w:r>
      <w:r w:rsidRPr="00DC4586">
        <w:rPr>
          <w:rStyle w:val="italicus"/>
        </w:rPr>
        <w:t>à nos jours</w:t>
      </w:r>
      <w:r w:rsidR="00E65435">
        <w:rPr>
          <w:rStyle w:val="italicus"/>
        </w:rPr>
        <w:t xml:space="preserve">, </w:t>
      </w:r>
      <w:r w:rsidRPr="00C8701B">
        <w:rPr>
          <w:rFonts w:eastAsia="Arial Unicode MS"/>
          <w:bCs/>
          <w:lang w:eastAsia="fr-FR" w:bidi="he-IL"/>
        </w:rPr>
        <w:t>Paris (Renouard)</w:t>
      </w:r>
      <w:r w:rsidR="00C2602D" w:rsidRPr="00C8701B">
        <w:rPr>
          <w:rFonts w:eastAsia="Arial Unicode MS"/>
          <w:bCs/>
          <w:lang w:eastAsia="fr-FR" w:bidi="he-IL"/>
        </w:rPr>
        <w:t> </w:t>
      </w:r>
      <w:r w:rsidR="007F6508">
        <w:rPr>
          <w:rFonts w:eastAsia="Arial Unicode MS"/>
          <w:bCs/>
          <w:lang w:eastAsia="fr-FR" w:bidi="he-IL"/>
        </w:rPr>
        <w:t xml:space="preserve">; </w:t>
      </w:r>
      <w:r w:rsidRPr="00DC4586">
        <w:rPr>
          <w:rStyle w:val="italicus"/>
        </w:rPr>
        <w:t>Albums des peintres</w:t>
      </w:r>
      <w:r w:rsidRPr="00C8701B">
        <w:rPr>
          <w:rFonts w:eastAsia="Arial Unicode MS"/>
          <w:bCs/>
          <w:lang w:eastAsia="fr-FR" w:bidi="he-IL"/>
        </w:rPr>
        <w:t xml:space="preserve"> (ibid.)</w:t>
      </w:r>
      <w:r w:rsidR="00E65435">
        <w:rPr>
          <w:rFonts w:eastAsia="Arial Unicode MS"/>
          <w:bCs/>
          <w:lang w:eastAsia="fr-FR" w:bidi="he-IL"/>
        </w:rPr>
        <w:t xml:space="preserve">, </w:t>
      </w:r>
      <w:r w:rsidRPr="00C8701B">
        <w:rPr>
          <w:rFonts w:eastAsia="Arial Unicode MS"/>
          <w:bCs/>
          <w:lang w:eastAsia="fr-FR" w:bidi="he-IL"/>
        </w:rPr>
        <w:t>surtout</w:t>
      </w:r>
      <w:r w:rsidR="00062AA4">
        <w:rPr>
          <w:rFonts w:eastAsia="Arial Unicode MS"/>
          <w:bCs/>
          <w:lang w:eastAsia="fr-FR" w:bidi="he-IL"/>
        </w:rPr>
        <w:t xml:space="preserve"> l</w:t>
      </w:r>
      <w:r w:rsidR="00557DE0">
        <w:rPr>
          <w:rFonts w:eastAsia="Arial Unicode MS"/>
          <w:bCs/>
          <w:lang w:eastAsia="fr-FR" w:bidi="he-IL"/>
        </w:rPr>
        <w:t>’</w:t>
      </w:r>
      <w:r w:rsidRPr="00DC4586">
        <w:rPr>
          <w:rStyle w:val="italicus"/>
        </w:rPr>
        <w:t>Album religieux</w:t>
      </w:r>
      <w:r w:rsidRPr="00C8701B">
        <w:rPr>
          <w:rFonts w:eastAsia="Arial Unicode MS"/>
          <w:bCs/>
          <w:lang w:eastAsia="fr-FR" w:bidi="he-IL"/>
        </w:rPr>
        <w:t xml:space="preserve"> et</w:t>
      </w:r>
      <w:r w:rsidRPr="00DC4586">
        <w:rPr>
          <w:rStyle w:val="italicus"/>
        </w:rPr>
        <w:t xml:space="preserve"> Les peintres de l</w:t>
      </w:r>
      <w:r w:rsidR="00557DE0">
        <w:rPr>
          <w:rStyle w:val="italicus"/>
        </w:rPr>
        <w:t>’</w:t>
      </w:r>
      <w:r w:rsidRPr="00DC4586">
        <w:rPr>
          <w:rStyle w:val="italicus"/>
        </w:rPr>
        <w:t>histoire sacrée</w:t>
      </w:r>
      <w:r w:rsidR="00933C60" w:rsidRPr="00C406FF">
        <w:rPr>
          <w:rStyle w:val="Appelnotedebasdep"/>
        </w:rPr>
        <w:footnoteReference w:id="560"/>
      </w:r>
      <w:r w:rsidRPr="00C8701B">
        <w:rPr>
          <w:rFonts w:eastAsia="Arial Unicode MS"/>
          <w:bCs/>
          <w:lang w:eastAsia="fr-FR" w:bidi="he-IL"/>
        </w:rPr>
        <w:t>.</w:t>
      </w:r>
      <w:r w:rsidR="00C2602D" w:rsidRPr="00DC4586">
        <w:rPr>
          <w:rStyle w:val="italicus"/>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Pour la sculpture</w:t>
      </w:r>
      <w:r w:rsidR="00C2602D" w:rsidRPr="00C8701B">
        <w:rPr>
          <w:rFonts w:eastAsia="Arial Unicode MS"/>
          <w:bCs/>
          <w:lang w:eastAsia="fr-FR" w:bidi="he-IL"/>
        </w:rPr>
        <w:t> :</w:t>
      </w:r>
      <w:r w:rsidRPr="00C8701B">
        <w:rPr>
          <w:rFonts w:eastAsia="Arial Unicode MS"/>
          <w:bCs/>
          <w:lang w:eastAsia="fr-FR" w:bidi="he-IL"/>
        </w:rPr>
        <w:t xml:space="preserve"> </w:t>
      </w:r>
      <w:r w:rsidR="00EA28F4" w:rsidRPr="00C8701B">
        <w:rPr>
          <w:rFonts w:eastAsia="Arial Unicode MS"/>
          <w:bCs/>
          <w:lang w:eastAsia="fr-FR" w:bidi="he-IL"/>
        </w:rPr>
        <w:t>Viollet-le-Duc</w:t>
      </w:r>
      <w:r w:rsidR="00E65435">
        <w:rPr>
          <w:rFonts w:eastAsia="Arial Unicode MS"/>
          <w:bCs/>
          <w:lang w:eastAsia="fr-FR" w:bidi="he-IL"/>
        </w:rPr>
        <w:t xml:space="preserve">, </w:t>
      </w:r>
      <w:r w:rsidR="00062AA4">
        <w:rPr>
          <w:rStyle w:val="italicus"/>
        </w:rPr>
        <w:t>Dictionnaire raisonné de l</w:t>
      </w:r>
      <w:r w:rsidR="00557DE0">
        <w:rPr>
          <w:rStyle w:val="italicus"/>
        </w:rPr>
        <w:t>’</w:t>
      </w:r>
      <w:r w:rsidRPr="00DC4586">
        <w:rPr>
          <w:rStyle w:val="italicus"/>
        </w:rPr>
        <w:t xml:space="preserve">architecture française au </w:t>
      </w:r>
      <w:r w:rsidR="00EA28F4" w:rsidRPr="00DC4586">
        <w:rPr>
          <w:rStyle w:val="italicus"/>
        </w:rPr>
        <w:t>Moyen-âge</w:t>
      </w:r>
      <w:r w:rsidR="00E65435">
        <w:rPr>
          <w:rStyle w:val="italicus"/>
        </w:rPr>
        <w:t xml:space="preserve">, </w:t>
      </w:r>
      <w:r w:rsidRPr="00C8701B">
        <w:rPr>
          <w:rFonts w:eastAsia="Arial Unicode MS"/>
          <w:bCs/>
          <w:lang w:eastAsia="fr-FR" w:bidi="he-IL"/>
        </w:rPr>
        <w:t>Paris 1854 et ss.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et les monographies composées de nos jours sur les cathédrales les plus célèbres (C. Cerf</w:t>
      </w:r>
      <w:r w:rsidR="00E65435">
        <w:rPr>
          <w:rFonts w:eastAsia="Arial Unicode MS"/>
          <w:bCs/>
          <w:lang w:eastAsia="fr-FR" w:bidi="he-IL"/>
        </w:rPr>
        <w:t xml:space="preserve">, </w:t>
      </w:r>
      <w:r w:rsidRPr="00DC4586">
        <w:rPr>
          <w:rStyle w:val="italicus"/>
        </w:rPr>
        <w:t>Histoire et description de Notre-Dame de Reims</w:t>
      </w:r>
      <w:r w:rsidR="00E65435">
        <w:rPr>
          <w:rStyle w:val="italicus"/>
        </w:rPr>
        <w:t xml:space="preserve">, </w:t>
      </w:r>
      <w:r w:rsidRPr="00C8701B">
        <w:rPr>
          <w:rFonts w:eastAsia="Arial Unicode MS"/>
          <w:bCs/>
          <w:lang w:eastAsia="fr-FR" w:bidi="he-IL"/>
        </w:rPr>
        <w:t>Reims 1861</w:t>
      </w:r>
      <w:r w:rsidR="00C2602D" w:rsidRPr="00C8701B">
        <w:rPr>
          <w:rFonts w:eastAsia="Arial Unicode MS"/>
          <w:bCs/>
          <w:lang w:eastAsia="fr-FR" w:bidi="he-IL"/>
        </w:rPr>
        <w:t> </w:t>
      </w:r>
      <w:r w:rsidR="007F6508">
        <w:rPr>
          <w:rFonts w:eastAsia="Arial Unicode MS"/>
          <w:bCs/>
          <w:lang w:eastAsia="fr-FR" w:bidi="he-IL"/>
        </w:rPr>
        <w:t xml:space="preserve">; </w:t>
      </w:r>
      <w:r w:rsidRPr="00DC4586">
        <w:rPr>
          <w:rStyle w:val="italicus"/>
        </w:rPr>
        <w:t>Monographie de Notre-Dame de Chartres</w:t>
      </w:r>
      <w:r w:rsidR="00E65435">
        <w:rPr>
          <w:rStyle w:val="italicus"/>
        </w:rPr>
        <w:t xml:space="preserve">, </w:t>
      </w:r>
      <w:r w:rsidRPr="00C8701B">
        <w:rPr>
          <w:rFonts w:eastAsia="Arial Unicode MS"/>
          <w:bCs/>
          <w:lang w:eastAsia="fr-FR" w:bidi="he-IL"/>
        </w:rPr>
        <w:t>t. I</w:t>
      </w:r>
      <w:r w:rsidR="00E65435">
        <w:rPr>
          <w:rFonts w:eastAsia="Arial Unicode MS"/>
          <w:bCs/>
          <w:lang w:eastAsia="fr-FR" w:bidi="he-IL"/>
        </w:rPr>
        <w:t xml:space="preserve">, </w:t>
      </w:r>
      <w:r w:rsidRPr="00C8701B">
        <w:rPr>
          <w:rFonts w:eastAsia="Arial Unicode MS"/>
          <w:bCs/>
          <w:lang w:eastAsia="fr-FR" w:bidi="he-IL"/>
        </w:rPr>
        <w:t>Atlas</w:t>
      </w:r>
      <w:r w:rsidR="00E65435">
        <w:rPr>
          <w:rFonts w:eastAsia="Arial Unicode MS"/>
          <w:bCs/>
          <w:lang w:eastAsia="fr-FR" w:bidi="he-IL"/>
        </w:rPr>
        <w:t xml:space="preserve">, </w:t>
      </w:r>
      <w:r w:rsidRPr="00C8701B">
        <w:rPr>
          <w:rFonts w:eastAsia="Arial Unicode MS"/>
          <w:bCs/>
          <w:lang w:eastAsia="fr-FR" w:bidi="he-IL"/>
        </w:rPr>
        <w:t>Paris 1867</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tome II</w:t>
      </w:r>
      <w:r w:rsidR="00E65435">
        <w:rPr>
          <w:rFonts w:eastAsia="Arial Unicode MS"/>
          <w:bCs/>
          <w:lang w:eastAsia="fr-FR" w:bidi="he-IL"/>
        </w:rPr>
        <w:t xml:space="preserve">, </w:t>
      </w:r>
      <w:r w:rsidRPr="00C8701B">
        <w:rPr>
          <w:rFonts w:eastAsia="Arial Unicode MS"/>
          <w:bCs/>
          <w:lang w:eastAsia="fr-FR" w:bidi="he-IL"/>
        </w:rPr>
        <w:t>explication des planches</w:t>
      </w:r>
      <w:r w:rsidR="00E65435">
        <w:rPr>
          <w:rFonts w:eastAsia="Arial Unicode MS"/>
          <w:bCs/>
          <w:lang w:eastAsia="fr-FR" w:bidi="he-IL"/>
        </w:rPr>
        <w:t xml:space="preserve">, </w:t>
      </w:r>
      <w:r w:rsidRPr="00C8701B">
        <w:rPr>
          <w:rFonts w:eastAsia="Arial Unicode MS"/>
          <w:bCs/>
          <w:lang w:eastAsia="fr-FR" w:bidi="he-IL"/>
        </w:rPr>
        <w:t>Paris 1881</w:t>
      </w:r>
      <w:r w:rsidR="00C2602D" w:rsidRPr="00C8701B">
        <w:rPr>
          <w:rFonts w:eastAsia="Arial Unicode MS"/>
          <w:bCs/>
          <w:lang w:eastAsia="fr-FR" w:bidi="he-IL"/>
        </w:rPr>
        <w:t> </w:t>
      </w:r>
      <w:r w:rsidR="007F6508">
        <w:rPr>
          <w:rFonts w:eastAsia="Arial Unicode MS"/>
          <w:bCs/>
          <w:lang w:eastAsia="fr-FR" w:bidi="he-IL"/>
        </w:rPr>
        <w:t xml:space="preserve">; </w:t>
      </w:r>
      <w:r w:rsidR="00EA28F4" w:rsidRPr="00C8701B">
        <w:rPr>
          <w:rFonts w:eastAsia="Arial Unicode MS"/>
          <w:bCs/>
          <w:lang w:eastAsia="fr-FR" w:bidi="he-IL"/>
        </w:rPr>
        <w:t>etc.</w:t>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Pour les verrières</w:t>
      </w:r>
      <w:r w:rsidR="00E65435">
        <w:rPr>
          <w:rFonts w:eastAsia="Arial Unicode MS"/>
          <w:bCs/>
          <w:lang w:eastAsia="fr-FR" w:bidi="he-IL"/>
        </w:rPr>
        <w:t xml:space="preserve">, </w:t>
      </w:r>
      <w:r w:rsidRPr="00C8701B">
        <w:rPr>
          <w:rFonts w:eastAsia="Arial Unicode MS"/>
          <w:bCs/>
          <w:lang w:eastAsia="fr-FR" w:bidi="he-IL"/>
        </w:rPr>
        <w:t>qui représentent si souvent des sujets évangéliques</w:t>
      </w:r>
      <w:r w:rsidR="00C2602D" w:rsidRPr="00C8701B">
        <w:rPr>
          <w:rFonts w:eastAsia="Arial Unicode MS"/>
          <w:bCs/>
          <w:lang w:eastAsia="fr-FR" w:bidi="he-IL"/>
        </w:rPr>
        <w:t> :</w:t>
      </w:r>
      <w:r w:rsidRPr="00C8701B">
        <w:rPr>
          <w:rFonts w:eastAsia="Arial Unicode MS"/>
          <w:bCs/>
          <w:lang w:eastAsia="fr-FR" w:bidi="he-IL"/>
        </w:rPr>
        <w:t xml:space="preserve"> les mêmes monographies</w:t>
      </w:r>
      <w:r w:rsidR="00E65435">
        <w:rPr>
          <w:rFonts w:eastAsia="Arial Unicode MS"/>
          <w:bCs/>
          <w:lang w:eastAsia="fr-FR" w:bidi="he-IL"/>
        </w:rPr>
        <w:t xml:space="preserve">, </w:t>
      </w:r>
      <w:r w:rsidRPr="00C8701B">
        <w:rPr>
          <w:rFonts w:eastAsia="Arial Unicode MS"/>
          <w:bCs/>
          <w:lang w:eastAsia="fr-FR" w:bidi="he-IL"/>
        </w:rPr>
        <w:t>et</w:t>
      </w:r>
      <w:r w:rsidR="00E65435">
        <w:rPr>
          <w:rFonts w:eastAsia="Arial Unicode MS"/>
          <w:bCs/>
          <w:lang w:eastAsia="fr-FR" w:bidi="he-IL"/>
        </w:rPr>
        <w:t xml:space="preserve">, </w:t>
      </w:r>
      <w:r w:rsidRPr="00C8701B">
        <w:rPr>
          <w:rFonts w:eastAsia="Arial Unicode MS"/>
          <w:bCs/>
          <w:lang w:eastAsia="fr-FR" w:bidi="he-IL"/>
        </w:rPr>
        <w:t>de plus</w:t>
      </w:r>
      <w:r w:rsidR="00E65435">
        <w:rPr>
          <w:rFonts w:eastAsia="Arial Unicode MS"/>
          <w:bCs/>
          <w:lang w:eastAsia="fr-FR" w:bidi="he-IL"/>
        </w:rPr>
        <w:t xml:space="preserve">, </w:t>
      </w:r>
      <w:r w:rsidRPr="00C8701B">
        <w:rPr>
          <w:rFonts w:eastAsia="Arial Unicode MS"/>
          <w:bCs/>
          <w:lang w:eastAsia="fr-FR" w:bidi="he-IL"/>
        </w:rPr>
        <w:t>Cahier et Martin</w:t>
      </w:r>
      <w:r w:rsidR="00E65435">
        <w:rPr>
          <w:rFonts w:eastAsia="Arial Unicode MS"/>
          <w:bCs/>
          <w:lang w:eastAsia="fr-FR" w:bidi="he-IL"/>
        </w:rPr>
        <w:t xml:space="preserve">, </w:t>
      </w:r>
      <w:r w:rsidRPr="00DC4586">
        <w:rPr>
          <w:rStyle w:val="italicus"/>
        </w:rPr>
        <w:t>Vitraux de Bourges</w:t>
      </w:r>
      <w:r w:rsidR="00E65435">
        <w:rPr>
          <w:rStyle w:val="italicus"/>
        </w:rPr>
        <w:t xml:space="preserve">, </w:t>
      </w:r>
      <w:r w:rsidRPr="00C8701B">
        <w:rPr>
          <w:rFonts w:eastAsia="Arial Unicode MS"/>
          <w:bCs/>
          <w:lang w:eastAsia="fr-FR" w:bidi="he-IL"/>
        </w:rPr>
        <w:t>Paris 1841-1844.</w:t>
      </w:r>
      <w:r w:rsidR="00C2602D" w:rsidRPr="00C8701B">
        <w:rPr>
          <w:rFonts w:eastAsia="Arial Unicode MS"/>
          <w:bCs/>
          <w:lang w:eastAsia="fr-FR" w:bidi="he-IL"/>
        </w:rPr>
        <w:t xml:space="preserve"> </w:t>
      </w:r>
    </w:p>
    <w:p w:rsidR="00C2602D" w:rsidRPr="00DC4586" w:rsidRDefault="00B704AD" w:rsidP="00C34890">
      <w:pPr>
        <w:rPr>
          <w:rStyle w:val="italicus"/>
        </w:rPr>
      </w:pPr>
      <w:r w:rsidRPr="00C8701B">
        <w:rPr>
          <w:rFonts w:eastAsia="Arial Unicode MS"/>
          <w:bCs/>
          <w:lang w:eastAsia="fr-FR" w:bidi="he-IL"/>
        </w:rPr>
        <w:t>Pour tous ces sujets réunis</w:t>
      </w:r>
      <w:r w:rsidR="00C2602D" w:rsidRPr="00C8701B">
        <w:rPr>
          <w:rFonts w:eastAsia="Arial Unicode MS"/>
          <w:bCs/>
          <w:lang w:eastAsia="fr-FR" w:bidi="he-IL"/>
        </w:rPr>
        <w:t> :</w:t>
      </w:r>
      <w:r w:rsidRPr="00C8701B">
        <w:rPr>
          <w:rFonts w:eastAsia="Arial Unicode MS"/>
          <w:bCs/>
          <w:lang w:eastAsia="fr-FR" w:bidi="he-IL"/>
        </w:rPr>
        <w:t xml:space="preserve"> Didron</w:t>
      </w:r>
      <w:r w:rsidR="00E65435">
        <w:rPr>
          <w:rFonts w:eastAsia="Arial Unicode MS"/>
          <w:bCs/>
          <w:lang w:eastAsia="fr-FR" w:bidi="he-IL"/>
        </w:rPr>
        <w:t xml:space="preserve">, </w:t>
      </w:r>
      <w:r w:rsidRPr="00DC4586">
        <w:rPr>
          <w:rStyle w:val="italicus"/>
        </w:rPr>
        <w:t>Manuel d</w:t>
      </w:r>
      <w:r w:rsidR="00557DE0">
        <w:rPr>
          <w:rStyle w:val="italicus"/>
        </w:rPr>
        <w:t>’</w:t>
      </w:r>
      <w:r w:rsidRPr="00DC4586">
        <w:rPr>
          <w:rStyle w:val="italicus"/>
        </w:rPr>
        <w:t>iconographie chrétienne</w:t>
      </w:r>
      <w:r w:rsidR="00E65435">
        <w:rPr>
          <w:rStyle w:val="italicus"/>
        </w:rPr>
        <w:t xml:space="preserve">, </w:t>
      </w:r>
      <w:r w:rsidR="00062AA4">
        <w:rPr>
          <w:rStyle w:val="italicus"/>
        </w:rPr>
        <w:t>Histo</w:t>
      </w:r>
      <w:r w:rsidRPr="00DC4586">
        <w:rPr>
          <w:rStyle w:val="italicus"/>
        </w:rPr>
        <w:t>ire de Dieu</w:t>
      </w:r>
      <w:r w:rsidR="00E65435">
        <w:rPr>
          <w:rFonts w:eastAsia="Arial Unicode MS"/>
          <w:bCs/>
          <w:lang w:eastAsia="fr-FR" w:bidi="he-IL"/>
        </w:rPr>
        <w:t xml:space="preserve">, </w:t>
      </w:r>
      <w:r w:rsidRPr="00C8701B">
        <w:rPr>
          <w:rFonts w:eastAsia="Arial Unicode MS"/>
          <w:bCs/>
          <w:lang w:eastAsia="fr-FR" w:bidi="he-IL"/>
        </w:rPr>
        <w:t>Paris 1843</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Agincourt</w:t>
      </w:r>
      <w:r w:rsidR="00E65435">
        <w:rPr>
          <w:rFonts w:eastAsia="Arial Unicode MS"/>
          <w:bCs/>
          <w:lang w:eastAsia="fr-FR" w:bidi="he-IL"/>
        </w:rPr>
        <w:t xml:space="preserve">, </w:t>
      </w:r>
      <w:r w:rsidRPr="00DC4586">
        <w:rPr>
          <w:rStyle w:val="italicus"/>
        </w:rPr>
        <w:t>Histoire de l</w:t>
      </w:r>
      <w:r w:rsidR="00557DE0">
        <w:rPr>
          <w:rStyle w:val="italicus"/>
        </w:rPr>
        <w:t>’</w:t>
      </w:r>
      <w:r w:rsidRPr="00DC4586">
        <w:rPr>
          <w:rStyle w:val="italicus"/>
        </w:rPr>
        <w:t>art par les monuments</w:t>
      </w:r>
      <w:r w:rsidR="00E65435">
        <w:rPr>
          <w:rStyle w:val="italicus"/>
        </w:rPr>
        <w:t xml:space="preserve">, </w:t>
      </w:r>
      <w:r w:rsidRPr="00C8701B">
        <w:rPr>
          <w:rFonts w:eastAsia="Arial Unicode MS"/>
          <w:bCs/>
          <w:lang w:eastAsia="fr-FR" w:bidi="he-IL"/>
        </w:rPr>
        <w:t>Paris 1823 et ss.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J. G. D. </w:t>
      </w:r>
      <w:r w:rsidRPr="00366671">
        <w:rPr>
          <w:rFonts w:eastAsia="Arial Unicode MS"/>
          <w:bCs/>
          <w:lang w:eastAsia="fr-FR" w:bidi="he-IL"/>
        </w:rPr>
        <w:t>Armengaud</w:t>
      </w:r>
      <w:r w:rsidR="00E65435" w:rsidRPr="00366671">
        <w:rPr>
          <w:rFonts w:eastAsia="Arial Unicode MS"/>
          <w:bCs/>
          <w:lang w:eastAsia="fr-FR" w:bidi="he-IL"/>
        </w:rPr>
        <w:t xml:space="preserve">, </w:t>
      </w:r>
      <w:r w:rsidRPr="00366671">
        <w:rPr>
          <w:rStyle w:val="italicus"/>
        </w:rPr>
        <w:t>Les chefs-d</w:t>
      </w:r>
      <w:r w:rsidR="00557DE0">
        <w:rPr>
          <w:rStyle w:val="italicus"/>
        </w:rPr>
        <w:t>’</w:t>
      </w:r>
      <w:r w:rsidRPr="00366671">
        <w:rPr>
          <w:rStyle w:val="italicus"/>
        </w:rPr>
        <w:t>œuvre de l</w:t>
      </w:r>
      <w:r w:rsidR="00557DE0">
        <w:rPr>
          <w:rStyle w:val="italicus"/>
        </w:rPr>
        <w:t>’</w:t>
      </w:r>
      <w:r w:rsidRPr="00366671">
        <w:rPr>
          <w:rStyle w:val="italicus"/>
        </w:rPr>
        <w:t>art chrétien</w:t>
      </w:r>
      <w:r w:rsidR="00E65435" w:rsidRPr="00366671">
        <w:rPr>
          <w:rStyle w:val="italicus"/>
        </w:rPr>
        <w:t xml:space="preserve">, </w:t>
      </w:r>
      <w:r w:rsidRPr="00366671">
        <w:rPr>
          <w:rFonts w:eastAsia="Arial Unicode MS"/>
          <w:bCs/>
          <w:lang w:eastAsia="fr-FR" w:bidi="he-IL"/>
        </w:rPr>
        <w:t>Paris 1858 et ss.</w:t>
      </w:r>
      <w:r w:rsidR="00C2602D" w:rsidRPr="00366671">
        <w:rPr>
          <w:rFonts w:eastAsia="Arial Unicode MS"/>
          <w:bCs/>
          <w:lang w:eastAsia="fr-FR" w:bidi="he-IL"/>
        </w:rPr>
        <w:t> </w:t>
      </w:r>
      <w:r w:rsidR="007F6508" w:rsidRPr="00366671">
        <w:rPr>
          <w:rFonts w:eastAsia="Arial Unicode MS"/>
          <w:bCs/>
          <w:lang w:eastAsia="fr-FR" w:bidi="he-IL"/>
        </w:rPr>
        <w:t xml:space="preserve">; </w:t>
      </w:r>
      <w:r w:rsidRPr="00366671">
        <w:rPr>
          <w:rFonts w:eastAsia="Arial Unicode MS"/>
          <w:bCs/>
          <w:lang w:eastAsia="fr-FR" w:bidi="he-IL"/>
        </w:rPr>
        <w:t>M</w:t>
      </w:r>
      <w:r w:rsidRPr="00366671">
        <w:rPr>
          <w:rFonts w:eastAsia="Arial Unicode MS"/>
          <w:bCs/>
          <w:vertAlign w:val="superscript"/>
          <w:lang w:eastAsia="fr-FR" w:bidi="he-IL"/>
        </w:rPr>
        <w:t>rs</w:t>
      </w:r>
      <w:r w:rsidRPr="00366671">
        <w:rPr>
          <w:rFonts w:eastAsia="Arial Unicode MS"/>
          <w:bCs/>
          <w:lang w:eastAsia="fr-FR" w:bidi="he-IL"/>
        </w:rPr>
        <w:t xml:space="preserve"> Jameson and Lady Eastlake</w:t>
      </w:r>
      <w:r w:rsidR="00E65435" w:rsidRPr="00366671">
        <w:rPr>
          <w:rFonts w:eastAsia="Arial Unicode MS"/>
          <w:bCs/>
          <w:lang w:eastAsia="fr-FR" w:bidi="he-IL"/>
        </w:rPr>
        <w:t xml:space="preserve">, </w:t>
      </w:r>
      <w:r w:rsidRPr="00366671">
        <w:rPr>
          <w:rStyle w:val="italicus"/>
        </w:rPr>
        <w:t>The history of Our Lord as exemplified in Works of Art</w:t>
      </w:r>
      <w:r w:rsidR="00E65435" w:rsidRPr="00366671">
        <w:rPr>
          <w:rStyle w:val="italicus"/>
        </w:rPr>
        <w:t xml:space="preserve">, </w:t>
      </w:r>
      <w:r w:rsidRPr="00366671">
        <w:rPr>
          <w:rStyle w:val="italicus"/>
        </w:rPr>
        <w:t>with that of his types</w:t>
      </w:r>
      <w:r w:rsidR="00E65435" w:rsidRPr="00366671">
        <w:rPr>
          <w:rStyle w:val="italicus"/>
        </w:rPr>
        <w:t xml:space="preserve">, </w:t>
      </w:r>
      <w:r w:rsidRPr="00366671">
        <w:rPr>
          <w:rFonts w:eastAsia="Arial Unicode MS"/>
          <w:bCs/>
          <w:lang w:eastAsia="fr-FR" w:bidi="he-IL"/>
        </w:rPr>
        <w:t>etc.</w:t>
      </w:r>
      <w:r w:rsidR="00E65435" w:rsidRPr="00366671">
        <w:rPr>
          <w:rFonts w:eastAsia="Arial Unicode MS"/>
          <w:bCs/>
          <w:lang w:eastAsia="fr-FR" w:bidi="he-IL"/>
        </w:rPr>
        <w:t xml:space="preserve">, </w:t>
      </w:r>
      <w:r w:rsidRPr="00366671">
        <w:rPr>
          <w:rFonts w:eastAsia="Arial Unicode MS"/>
          <w:bCs/>
          <w:lang w:eastAsia="fr-FR" w:bidi="he-IL"/>
        </w:rPr>
        <w:t>Londres 1864 (2</w:t>
      </w:r>
      <w:r w:rsidRPr="00366671">
        <w:rPr>
          <w:rFonts w:eastAsia="Arial Unicode MS"/>
          <w:bCs/>
          <w:vertAlign w:val="superscript"/>
          <w:lang w:eastAsia="fr-FR" w:bidi="he-IL"/>
        </w:rPr>
        <w:t>e</w:t>
      </w:r>
      <w:r w:rsidRPr="00366671">
        <w:rPr>
          <w:rFonts w:eastAsia="Arial Unicode MS"/>
          <w:bCs/>
          <w:lang w:eastAsia="fr-FR" w:bidi="he-IL"/>
        </w:rPr>
        <w:t xml:space="preserve"> édition)</w:t>
      </w:r>
      <w:r w:rsidR="00C2602D" w:rsidRPr="00366671">
        <w:rPr>
          <w:rFonts w:eastAsia="Arial Unicode MS"/>
          <w:bCs/>
          <w:lang w:eastAsia="fr-FR" w:bidi="he-IL"/>
        </w:rPr>
        <w:t> </w:t>
      </w:r>
      <w:r w:rsidR="007F6508" w:rsidRPr="00366671">
        <w:rPr>
          <w:rFonts w:eastAsia="Arial Unicode MS"/>
          <w:bCs/>
          <w:lang w:eastAsia="fr-FR" w:bidi="he-IL"/>
        </w:rPr>
        <w:t xml:space="preserve">; </w:t>
      </w:r>
      <w:r w:rsidRPr="00366671">
        <w:rPr>
          <w:rFonts w:eastAsia="Arial Unicode MS"/>
          <w:bCs/>
          <w:lang w:eastAsia="fr-FR" w:bidi="he-IL"/>
        </w:rPr>
        <w:t>L. Veuillot</w:t>
      </w:r>
      <w:r w:rsidR="00E65435" w:rsidRPr="00366671">
        <w:rPr>
          <w:rFonts w:eastAsia="Arial Unicode MS"/>
          <w:bCs/>
          <w:lang w:eastAsia="fr-FR" w:bidi="he-IL"/>
        </w:rPr>
        <w:t xml:space="preserve">, </w:t>
      </w:r>
      <w:r w:rsidRPr="00366671">
        <w:rPr>
          <w:rStyle w:val="italicus"/>
        </w:rPr>
        <w:t>Jésus-Christ</w:t>
      </w:r>
      <w:r w:rsidR="00E65435" w:rsidRPr="00366671">
        <w:rPr>
          <w:rStyle w:val="italicus"/>
        </w:rPr>
        <w:t xml:space="preserve">, </w:t>
      </w:r>
      <w:r w:rsidRPr="00366671">
        <w:rPr>
          <w:rStyle w:val="italicus"/>
        </w:rPr>
        <w:t>avec une étud</w:t>
      </w:r>
      <w:r w:rsidR="00366671" w:rsidRPr="00366671">
        <w:rPr>
          <w:rStyle w:val="italicus"/>
        </w:rPr>
        <w:t>e su</w:t>
      </w:r>
      <w:r w:rsidRPr="00366671">
        <w:rPr>
          <w:rStyle w:val="italicus"/>
        </w:rPr>
        <w:t>r</w:t>
      </w:r>
      <w:r w:rsidR="00C2602D" w:rsidRPr="00366671">
        <w:rPr>
          <w:rStyle w:val="italicus"/>
        </w:rPr>
        <w:t xml:space="preserve"> </w:t>
      </w:r>
      <w:r w:rsidR="00366671">
        <w:rPr>
          <w:rStyle w:val="italicus"/>
        </w:rPr>
        <w:t>l</w:t>
      </w:r>
      <w:r w:rsidR="00557DE0">
        <w:rPr>
          <w:rStyle w:val="italicus"/>
        </w:rPr>
        <w:t>’</w:t>
      </w:r>
      <w:r w:rsidRPr="00DC4586">
        <w:rPr>
          <w:rStyle w:val="italicus"/>
        </w:rPr>
        <w:t>art chrétien par E. Cartier</w:t>
      </w:r>
      <w:r w:rsidR="00E65435">
        <w:rPr>
          <w:rStyle w:val="italicus"/>
        </w:rPr>
        <w:t xml:space="preserve">, </w:t>
      </w:r>
      <w:r w:rsidRPr="00C8701B">
        <w:rPr>
          <w:rFonts w:eastAsia="Arial Unicode MS"/>
          <w:bCs/>
          <w:lang w:eastAsia="fr-FR" w:bidi="he-IL"/>
        </w:rPr>
        <w:t>Paris 1875</w:t>
      </w:r>
      <w:r w:rsidR="00C2602D" w:rsidRPr="00C8701B">
        <w:rPr>
          <w:rFonts w:eastAsia="Arial Unicode MS"/>
          <w:bCs/>
          <w:lang w:eastAsia="fr-FR" w:bidi="he-IL"/>
        </w:rPr>
        <w:t> </w:t>
      </w:r>
      <w:r w:rsidR="007F6508">
        <w:rPr>
          <w:rFonts w:eastAsia="Arial Unicode MS"/>
          <w:bCs/>
          <w:lang w:eastAsia="fr-FR" w:bidi="he-IL"/>
        </w:rPr>
        <w:t xml:space="preserve">; </w:t>
      </w:r>
      <w:r w:rsidR="00C14040">
        <w:rPr>
          <w:rFonts w:eastAsia="Arial Unicode MS"/>
          <w:bCs/>
          <w:lang w:eastAsia="fr-FR" w:bidi="he-IL"/>
        </w:rPr>
        <w:t>{107</w:t>
      </w:r>
      <w:bookmarkStart w:id="162" w:name="pag107"/>
      <w:bookmarkEnd w:id="162"/>
      <w:r w:rsidR="00366671">
        <w:rPr>
          <w:rFonts w:eastAsia="Arial Unicode MS"/>
          <w:bCs/>
          <w:lang w:eastAsia="fr-FR" w:bidi="he-IL"/>
        </w:rPr>
        <w:t xml:space="preserve">} </w:t>
      </w:r>
      <w:r w:rsidRPr="00C8701B">
        <w:rPr>
          <w:rFonts w:eastAsia="Arial Unicode MS"/>
          <w:bCs/>
          <w:lang w:eastAsia="fr-FR" w:bidi="he-IL"/>
        </w:rPr>
        <w:t>A. F. Rio</w:t>
      </w:r>
      <w:r w:rsidR="00E65435">
        <w:rPr>
          <w:rFonts w:eastAsia="Arial Unicode MS"/>
          <w:bCs/>
          <w:lang w:eastAsia="fr-FR" w:bidi="he-IL"/>
        </w:rPr>
        <w:t xml:space="preserve">, </w:t>
      </w:r>
      <w:r w:rsidR="00C34890">
        <w:rPr>
          <w:rStyle w:val="italicus"/>
        </w:rPr>
        <w:t>De l</w:t>
      </w:r>
      <w:r w:rsidR="00557DE0">
        <w:rPr>
          <w:rStyle w:val="italicus"/>
        </w:rPr>
        <w:t>’</w:t>
      </w:r>
      <w:r w:rsidRPr="00DC4586">
        <w:rPr>
          <w:rStyle w:val="italicus"/>
        </w:rPr>
        <w:t>art chrétien</w:t>
      </w:r>
      <w:r w:rsidR="00E65435">
        <w:rPr>
          <w:rStyle w:val="italicus"/>
        </w:rPr>
        <w:t xml:space="preserve">, </w:t>
      </w:r>
      <w:r w:rsidRPr="00C8701B">
        <w:rPr>
          <w:rFonts w:eastAsia="Arial Unicode MS"/>
          <w:bCs/>
          <w:lang w:eastAsia="fr-FR" w:bidi="he-IL"/>
        </w:rPr>
        <w:t>Paris 1874 (2</w:t>
      </w:r>
      <w:r w:rsidRPr="00C8701B">
        <w:rPr>
          <w:rFonts w:eastAsia="Arial Unicode MS"/>
          <w:bCs/>
          <w:vertAlign w:val="superscript"/>
          <w:lang w:eastAsia="fr-FR" w:bidi="he-IL"/>
        </w:rPr>
        <w:t>e</w:t>
      </w:r>
      <w:r w:rsidRPr="00C8701B">
        <w:rPr>
          <w:rFonts w:eastAsia="Arial Unicode MS"/>
          <w:bCs/>
          <w:lang w:eastAsia="fr-FR" w:bidi="he-IL"/>
        </w:rPr>
        <w:t xml:space="preserve"> édition)</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Comte de Grimouard de S. Laurent</w:t>
      </w:r>
      <w:r w:rsidR="00E65435">
        <w:rPr>
          <w:rFonts w:eastAsia="Arial Unicode MS"/>
          <w:bCs/>
          <w:lang w:eastAsia="fr-FR" w:bidi="he-IL"/>
        </w:rPr>
        <w:t xml:space="preserve">, </w:t>
      </w:r>
      <w:r w:rsidRPr="00DC4586">
        <w:rPr>
          <w:rStyle w:val="italicus"/>
        </w:rPr>
        <w:t>Guide de l</w:t>
      </w:r>
      <w:r w:rsidR="00557DE0">
        <w:rPr>
          <w:rStyle w:val="italicus"/>
        </w:rPr>
        <w:t>’</w:t>
      </w:r>
      <w:r w:rsidRPr="00DC4586">
        <w:rPr>
          <w:rStyle w:val="italicus"/>
        </w:rPr>
        <w:t>art chrétien</w:t>
      </w:r>
      <w:r w:rsidR="00E65435">
        <w:rPr>
          <w:rStyle w:val="italicus"/>
        </w:rPr>
        <w:t xml:space="preserve">, </w:t>
      </w:r>
      <w:r w:rsidRPr="00DC4586">
        <w:rPr>
          <w:rStyle w:val="italicus"/>
        </w:rPr>
        <w:t>études d</w:t>
      </w:r>
      <w:r w:rsidR="00557DE0">
        <w:rPr>
          <w:rStyle w:val="italicus"/>
        </w:rPr>
        <w:t>’</w:t>
      </w:r>
      <w:r w:rsidRPr="00DC4586">
        <w:rPr>
          <w:rStyle w:val="italicus"/>
        </w:rPr>
        <w:t>esthétique et d</w:t>
      </w:r>
      <w:r w:rsidR="00557DE0">
        <w:rPr>
          <w:rStyle w:val="italicus"/>
        </w:rPr>
        <w:t>’</w:t>
      </w:r>
      <w:r w:rsidRPr="00DC4586">
        <w:rPr>
          <w:rStyle w:val="italicus"/>
        </w:rPr>
        <w:t>iconographie</w:t>
      </w:r>
      <w:r w:rsidR="00E65435">
        <w:rPr>
          <w:rStyle w:val="italicus"/>
        </w:rPr>
        <w:t xml:space="preserve">, </w:t>
      </w:r>
      <w:r w:rsidRPr="00C8701B">
        <w:rPr>
          <w:rFonts w:eastAsia="Arial Unicode MS"/>
          <w:bCs/>
          <w:lang w:eastAsia="fr-FR" w:bidi="he-IL"/>
        </w:rPr>
        <w:t>Paris 1872 et ss.</w:t>
      </w:r>
      <w:r w:rsidR="00C2602D" w:rsidRPr="00C8701B">
        <w:rPr>
          <w:rFonts w:eastAsia="Arial Unicode MS"/>
          <w:bCs/>
          <w:lang w:eastAsia="fr-FR" w:bidi="he-IL"/>
        </w:rPr>
        <w:t> </w:t>
      </w:r>
      <w:r w:rsidR="007F6508">
        <w:rPr>
          <w:rFonts w:eastAsia="Arial Unicode MS"/>
          <w:bCs/>
          <w:lang w:eastAsia="fr-FR" w:bidi="he-IL"/>
        </w:rPr>
        <w:t xml:space="preserve">; </w:t>
      </w:r>
      <w:r w:rsidRPr="00DC4586">
        <w:rPr>
          <w:rStyle w:val="italicus"/>
        </w:rPr>
        <w:t>Inventaire général des richesses d</w:t>
      </w:r>
      <w:r w:rsidR="00557DE0">
        <w:rPr>
          <w:rStyle w:val="italicus"/>
        </w:rPr>
        <w:t>’</w:t>
      </w:r>
      <w:r w:rsidRPr="00DC4586">
        <w:rPr>
          <w:rStyle w:val="italicus"/>
        </w:rPr>
        <w:t xml:space="preserve">art de la </w:t>
      </w:r>
      <w:r w:rsidR="00062AA4" w:rsidRPr="00DC4586">
        <w:rPr>
          <w:rStyle w:val="italicus"/>
        </w:rPr>
        <w:t>France</w:t>
      </w:r>
      <w:r w:rsidR="00E65435">
        <w:rPr>
          <w:rStyle w:val="italicus"/>
        </w:rPr>
        <w:t xml:space="preserve">, </w:t>
      </w:r>
      <w:r w:rsidRPr="00C8701B">
        <w:rPr>
          <w:rFonts w:eastAsia="Arial Unicode MS"/>
          <w:bCs/>
          <w:lang w:eastAsia="fr-FR" w:bidi="he-IL"/>
        </w:rPr>
        <w:t>Paris 1876 et ss.</w:t>
      </w:r>
      <w:r w:rsidR="00E65435">
        <w:rPr>
          <w:rFonts w:eastAsia="Arial Unicode MS"/>
          <w:bCs/>
          <w:lang w:eastAsia="fr-FR" w:bidi="he-IL"/>
        </w:rPr>
        <w:t xml:space="preserve">, </w:t>
      </w:r>
      <w:r w:rsidRPr="00C8701B">
        <w:rPr>
          <w:rFonts w:eastAsia="Arial Unicode MS"/>
          <w:bCs/>
          <w:lang w:eastAsia="fr-FR" w:bidi="he-IL"/>
        </w:rPr>
        <w:t>etc.</w:t>
      </w:r>
      <w:r w:rsidR="00C2602D" w:rsidRPr="00DC4586">
        <w:rPr>
          <w:rStyle w:val="italicus"/>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3°</w:t>
      </w:r>
      <w:r w:rsidRPr="00DC4586">
        <w:rPr>
          <w:rStyle w:val="italicus"/>
        </w:rPr>
        <w:t xml:space="preserve"> La musique et les évangiles.</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Nous avons moins d</w:t>
      </w:r>
      <w:r w:rsidR="00557DE0">
        <w:rPr>
          <w:rFonts w:eastAsia="Arial Unicode MS"/>
          <w:bCs/>
          <w:lang w:eastAsia="fr-FR" w:bidi="he-IL"/>
        </w:rPr>
        <w:t>’</w:t>
      </w:r>
      <w:r w:rsidRPr="00C8701B">
        <w:rPr>
          <w:rFonts w:eastAsia="Arial Unicode MS"/>
          <w:bCs/>
          <w:lang w:eastAsia="fr-FR" w:bidi="he-IL"/>
        </w:rPr>
        <w:t>œuvres générales à signaler ici</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mais nous en avons noté un assez grand nombre de particulières</w:t>
      </w:r>
      <w:r w:rsidR="00E65435">
        <w:rPr>
          <w:rFonts w:eastAsia="Arial Unicode MS"/>
          <w:bCs/>
          <w:lang w:eastAsia="fr-FR" w:bidi="he-IL"/>
        </w:rPr>
        <w:t xml:space="preserve">, </w:t>
      </w:r>
      <w:r w:rsidRPr="00C8701B">
        <w:rPr>
          <w:rFonts w:eastAsia="Arial Unicode MS"/>
          <w:bCs/>
          <w:lang w:eastAsia="fr-FR" w:bidi="he-IL"/>
        </w:rPr>
        <w:t>à propos de l</w:t>
      </w:r>
      <w:r w:rsidR="00557DE0">
        <w:rPr>
          <w:rFonts w:eastAsia="Arial Unicode MS"/>
          <w:bCs/>
          <w:lang w:eastAsia="fr-FR" w:bidi="he-IL"/>
        </w:rPr>
        <w:t>’</w:t>
      </w:r>
      <w:r w:rsidRPr="00C8701B">
        <w:rPr>
          <w:rFonts w:eastAsia="Arial Unicode MS"/>
          <w:bCs/>
          <w:lang w:eastAsia="fr-FR" w:bidi="he-IL"/>
        </w:rPr>
        <w:t>enfance du Christ</w:t>
      </w:r>
      <w:r w:rsidR="00E65435">
        <w:rPr>
          <w:rFonts w:eastAsia="Arial Unicode MS"/>
          <w:bCs/>
          <w:lang w:eastAsia="fr-FR" w:bidi="he-IL"/>
        </w:rPr>
        <w:t xml:space="preserve">, </w:t>
      </w:r>
      <w:r w:rsidRPr="00C8701B">
        <w:rPr>
          <w:rFonts w:eastAsia="Arial Unicode MS"/>
          <w:bCs/>
          <w:lang w:eastAsia="fr-FR" w:bidi="he-IL"/>
        </w:rPr>
        <w:t>de sa vie publique et de sa passion.</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Au reste le</w:t>
      </w:r>
      <w:r w:rsidRPr="00DC4586">
        <w:rPr>
          <w:rStyle w:val="italicus"/>
        </w:rPr>
        <w:t xml:space="preserve"> Messie</w:t>
      </w:r>
      <w:r w:rsidRPr="00C8701B">
        <w:rPr>
          <w:rFonts w:eastAsia="Arial Unicode MS"/>
          <w:bCs/>
          <w:lang w:eastAsia="fr-FR" w:bidi="he-IL"/>
        </w:rPr>
        <w:t xml:space="preserve"> de </w:t>
      </w:r>
      <w:r w:rsidR="00062AA4">
        <w:rPr>
          <w:rFonts w:eastAsia="Arial Unicode MS"/>
          <w:bCs/>
          <w:lang w:eastAsia="fr-FR" w:bidi="he-IL"/>
        </w:rPr>
        <w:t>Hä</w:t>
      </w:r>
      <w:r w:rsidR="00062AA4" w:rsidRPr="00C8701B">
        <w:rPr>
          <w:rFonts w:eastAsia="Arial Unicode MS"/>
          <w:bCs/>
          <w:lang w:eastAsia="fr-FR" w:bidi="he-IL"/>
        </w:rPr>
        <w:t>ndel</w:t>
      </w:r>
      <w:r w:rsidR="00E65435">
        <w:rPr>
          <w:rFonts w:eastAsia="Arial Unicode MS"/>
          <w:bCs/>
          <w:lang w:eastAsia="fr-FR" w:bidi="he-IL"/>
        </w:rPr>
        <w:t xml:space="preserve">, </w:t>
      </w:r>
      <w:r w:rsidRPr="00C8701B">
        <w:rPr>
          <w:rFonts w:eastAsia="Arial Unicode MS"/>
          <w:bCs/>
          <w:lang w:eastAsia="fr-FR" w:bidi="he-IL"/>
        </w:rPr>
        <w:t>les</w:t>
      </w:r>
      <w:r w:rsidRPr="00DC4586">
        <w:rPr>
          <w:rStyle w:val="italicus"/>
        </w:rPr>
        <w:t xml:space="preserve"> Dialogues musicaux</w:t>
      </w:r>
      <w:r w:rsidRPr="00C8701B">
        <w:rPr>
          <w:rFonts w:eastAsia="Arial Unicode MS"/>
          <w:bCs/>
          <w:lang w:eastAsia="fr-FR" w:bidi="he-IL"/>
        </w:rPr>
        <w:t xml:space="preserve"> de Hammerschmied sur les évangiles</w:t>
      </w:r>
      <w:r w:rsidR="00E65435">
        <w:rPr>
          <w:rFonts w:eastAsia="Arial Unicode MS"/>
          <w:bCs/>
          <w:lang w:eastAsia="fr-FR" w:bidi="he-IL"/>
        </w:rPr>
        <w:t xml:space="preserve">, </w:t>
      </w:r>
      <w:r w:rsidRPr="00C8701B">
        <w:rPr>
          <w:rFonts w:eastAsia="Arial Unicode MS"/>
          <w:bCs/>
          <w:lang w:eastAsia="fr-FR" w:bidi="he-IL"/>
        </w:rPr>
        <w:t>le</w:t>
      </w:r>
      <w:r w:rsidRPr="00DC4586">
        <w:rPr>
          <w:rStyle w:val="italicus"/>
        </w:rPr>
        <w:t xml:space="preserve"> Christus</w:t>
      </w:r>
      <w:r w:rsidRPr="00C8701B">
        <w:rPr>
          <w:rFonts w:eastAsia="Arial Unicode MS"/>
          <w:bCs/>
          <w:lang w:eastAsia="fr-FR" w:bidi="he-IL"/>
        </w:rPr>
        <w:t xml:space="preserve"> de Kiel</w:t>
      </w:r>
      <w:r w:rsidR="00E65435">
        <w:rPr>
          <w:rFonts w:eastAsia="Arial Unicode MS"/>
          <w:bCs/>
          <w:lang w:eastAsia="fr-FR" w:bidi="he-IL"/>
        </w:rPr>
        <w:t xml:space="preserve">, </w:t>
      </w:r>
      <w:r w:rsidRPr="00C8701B">
        <w:rPr>
          <w:rFonts w:eastAsia="Arial Unicode MS"/>
          <w:bCs/>
          <w:lang w:eastAsia="fr-FR" w:bidi="he-IL"/>
        </w:rPr>
        <w:t xml:space="preserve">celui de </w:t>
      </w:r>
      <w:r w:rsidR="00062AA4" w:rsidRPr="00C8701B">
        <w:rPr>
          <w:rFonts w:eastAsia="Arial Unicode MS"/>
          <w:bCs/>
          <w:lang w:eastAsia="fr-FR" w:bidi="he-IL"/>
        </w:rPr>
        <w:t>Liszt</w:t>
      </w:r>
      <w:r w:rsidR="00E65435">
        <w:rPr>
          <w:rFonts w:eastAsia="Arial Unicode MS"/>
          <w:bCs/>
          <w:lang w:eastAsia="fr-FR" w:bidi="he-IL"/>
        </w:rPr>
        <w:t xml:space="preserve">, </w:t>
      </w:r>
      <w:r w:rsidRPr="00C8701B">
        <w:rPr>
          <w:rFonts w:eastAsia="Arial Unicode MS"/>
          <w:bCs/>
          <w:lang w:eastAsia="fr-FR" w:bidi="he-IL"/>
        </w:rPr>
        <w:t xml:space="preserve">celui de </w:t>
      </w:r>
      <w:r w:rsidR="00062AA4" w:rsidRPr="00C8701B">
        <w:rPr>
          <w:rFonts w:eastAsia="Arial Unicode MS"/>
          <w:bCs/>
          <w:lang w:eastAsia="fr-FR" w:bidi="he-IL"/>
        </w:rPr>
        <w:t>Mendelssohn</w:t>
      </w:r>
      <w:r w:rsidR="00E65435">
        <w:rPr>
          <w:rFonts w:eastAsia="Arial Unicode MS"/>
          <w:bCs/>
          <w:lang w:eastAsia="fr-FR" w:bidi="he-IL"/>
        </w:rPr>
        <w:t xml:space="preserve">, </w:t>
      </w:r>
      <w:r w:rsidRPr="00C8701B">
        <w:rPr>
          <w:rFonts w:eastAsia="Arial Unicode MS"/>
          <w:bCs/>
          <w:lang w:eastAsia="fr-FR" w:bidi="he-IL"/>
        </w:rPr>
        <w:t>les oratorios évangéliques de Gounod sont aussi</w:t>
      </w:r>
      <w:r w:rsidR="00E65435">
        <w:rPr>
          <w:rFonts w:eastAsia="Arial Unicode MS"/>
          <w:bCs/>
          <w:lang w:eastAsia="fr-FR" w:bidi="he-IL"/>
        </w:rPr>
        <w:t xml:space="preserve">, </w:t>
      </w:r>
      <w:r w:rsidRPr="00C8701B">
        <w:rPr>
          <w:rFonts w:eastAsia="Arial Unicode MS"/>
          <w:bCs/>
          <w:lang w:eastAsia="fr-FR" w:bidi="he-IL"/>
        </w:rPr>
        <w:t>à leur manière</w:t>
      </w:r>
      <w:r w:rsidR="00E65435">
        <w:rPr>
          <w:rFonts w:eastAsia="Arial Unicode MS"/>
          <w:bCs/>
          <w:lang w:eastAsia="fr-FR" w:bidi="he-IL"/>
        </w:rPr>
        <w:t xml:space="preserve">, </w:t>
      </w:r>
      <w:r w:rsidRPr="00C8701B">
        <w:rPr>
          <w:rFonts w:eastAsia="Arial Unicode MS"/>
          <w:bCs/>
          <w:lang w:eastAsia="fr-FR" w:bidi="he-IL"/>
        </w:rPr>
        <w:t>des commentaires splendides.</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Rien pourtant</w:t>
      </w:r>
      <w:r w:rsidR="00E65435">
        <w:rPr>
          <w:rFonts w:eastAsia="Arial Unicode MS"/>
          <w:bCs/>
          <w:lang w:eastAsia="fr-FR" w:bidi="he-IL"/>
        </w:rPr>
        <w:t xml:space="preserve">, </w:t>
      </w:r>
      <w:r w:rsidRPr="00C8701B">
        <w:rPr>
          <w:rFonts w:eastAsia="Arial Unicode MS"/>
          <w:bCs/>
          <w:lang w:eastAsia="fr-FR" w:bidi="he-IL"/>
        </w:rPr>
        <w:t>comme nous aimons à le répéter dans nos cours toutes les fois que nous</w:t>
      </w:r>
      <w:r w:rsidR="00E65435">
        <w:rPr>
          <w:rFonts w:eastAsia="Arial Unicode MS"/>
          <w:bCs/>
          <w:lang w:eastAsia="fr-FR" w:bidi="he-IL"/>
        </w:rPr>
        <w:t xml:space="preserve">, </w:t>
      </w:r>
      <w:r w:rsidRPr="00C8701B">
        <w:rPr>
          <w:rFonts w:eastAsia="Arial Unicode MS"/>
          <w:bCs/>
          <w:lang w:eastAsia="fr-FR" w:bidi="he-IL"/>
        </w:rPr>
        <w:t>touchons à ces questions d</w:t>
      </w:r>
      <w:r w:rsidR="00557DE0">
        <w:rPr>
          <w:rFonts w:eastAsia="Arial Unicode MS"/>
          <w:bCs/>
          <w:lang w:eastAsia="fr-FR" w:bidi="he-IL"/>
        </w:rPr>
        <w:t>’</w:t>
      </w:r>
      <w:r w:rsidRPr="00C8701B">
        <w:rPr>
          <w:rFonts w:eastAsia="Arial Unicode MS"/>
          <w:bCs/>
          <w:lang w:eastAsia="fr-FR" w:bidi="he-IL"/>
        </w:rPr>
        <w:t>art</w:t>
      </w:r>
      <w:r w:rsidR="00E65435">
        <w:rPr>
          <w:rFonts w:eastAsia="Arial Unicode MS"/>
          <w:bCs/>
          <w:lang w:eastAsia="fr-FR" w:bidi="he-IL"/>
        </w:rPr>
        <w:t xml:space="preserve">, </w:t>
      </w:r>
      <w:r w:rsidRPr="00C8701B">
        <w:rPr>
          <w:rFonts w:eastAsia="Arial Unicode MS"/>
          <w:bCs/>
          <w:lang w:eastAsia="fr-FR" w:bidi="he-IL"/>
        </w:rPr>
        <w:t>rien n</w:t>
      </w:r>
      <w:r w:rsidR="00557DE0">
        <w:rPr>
          <w:rFonts w:eastAsia="Arial Unicode MS"/>
          <w:bCs/>
          <w:lang w:eastAsia="fr-FR" w:bidi="he-IL"/>
        </w:rPr>
        <w:t>’</w:t>
      </w:r>
      <w:r w:rsidRPr="00C8701B">
        <w:rPr>
          <w:rFonts w:eastAsia="Arial Unicode MS"/>
          <w:bCs/>
          <w:lang w:eastAsia="fr-FR" w:bidi="he-IL"/>
        </w:rPr>
        <w:t>égalera jamais les beautés artistiques</w:t>
      </w:r>
      <w:r w:rsidR="00E65435">
        <w:rPr>
          <w:rFonts w:eastAsia="Arial Unicode MS"/>
          <w:bCs/>
          <w:lang w:eastAsia="fr-FR" w:bidi="he-IL"/>
        </w:rPr>
        <w:t xml:space="preserve">, </w:t>
      </w:r>
      <w:r w:rsidRPr="00C8701B">
        <w:rPr>
          <w:rFonts w:eastAsia="Arial Unicode MS"/>
          <w:bCs/>
          <w:lang w:eastAsia="fr-FR" w:bidi="he-IL"/>
        </w:rPr>
        <w:t>plus simples</w:t>
      </w:r>
      <w:r w:rsidR="00E65435">
        <w:rPr>
          <w:rFonts w:eastAsia="Arial Unicode MS"/>
          <w:bCs/>
          <w:lang w:eastAsia="fr-FR" w:bidi="he-IL"/>
        </w:rPr>
        <w:t xml:space="preserve">, </w:t>
      </w:r>
      <w:r w:rsidRPr="00C8701B">
        <w:rPr>
          <w:rFonts w:eastAsia="Arial Unicode MS"/>
          <w:bCs/>
          <w:lang w:eastAsia="fr-FR" w:bidi="he-IL"/>
        </w:rPr>
        <w:t>mais plus réelles</w:t>
      </w:r>
      <w:r w:rsidR="00E65435">
        <w:rPr>
          <w:rFonts w:eastAsia="Arial Unicode MS"/>
          <w:bCs/>
          <w:lang w:eastAsia="fr-FR" w:bidi="he-IL"/>
        </w:rPr>
        <w:t xml:space="preserve">, </w:t>
      </w:r>
      <w:r w:rsidRPr="00C8701B">
        <w:rPr>
          <w:rFonts w:eastAsia="Arial Unicode MS"/>
          <w:bCs/>
          <w:lang w:eastAsia="fr-FR" w:bidi="he-IL"/>
        </w:rPr>
        <w:t xml:space="preserve">des évangiles </w:t>
      </w:r>
      <w:r w:rsidR="00A25B88">
        <w:rPr>
          <w:rFonts w:eastAsia="Arial Unicode MS"/>
          <w:bCs/>
          <w:lang w:eastAsia="fr-FR" w:bidi="he-IL"/>
        </w:rPr>
        <w:t>eux-mêmes</w:t>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3A68DB">
      <w:pPr>
        <w:pStyle w:val="Titre4"/>
        <w:rPr>
          <w:lang w:eastAsia="fr-FR" w:bidi="he-IL"/>
        </w:rPr>
      </w:pPr>
      <w:bookmarkStart w:id="163" w:name="_Toc526755728"/>
      <w:r w:rsidRPr="00C8701B">
        <w:rPr>
          <w:rFonts w:eastAsia="Arial Unicode MS"/>
          <w:bCs/>
          <w:lang w:eastAsia="fr-FR" w:bidi="he-IL"/>
        </w:rPr>
        <w:t>§ XIV.</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LES ÉVANGILES APOCRYPHES</w:t>
      </w:r>
      <w:bookmarkStart w:id="164" w:name="evin14"/>
      <w:bookmarkEnd w:id="163"/>
      <w:bookmarkEnd w:id="164"/>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Autre sujet intéressant</w:t>
      </w:r>
      <w:r w:rsidR="00E65435">
        <w:rPr>
          <w:rFonts w:eastAsia="Arial Unicode MS"/>
          <w:bCs/>
          <w:lang w:eastAsia="fr-FR" w:bidi="he-IL"/>
        </w:rPr>
        <w:t xml:space="preserve">, </w:t>
      </w:r>
      <w:r w:rsidRPr="00C8701B">
        <w:rPr>
          <w:rFonts w:eastAsia="Arial Unicode MS"/>
          <w:bCs/>
          <w:lang w:eastAsia="fr-FR" w:bidi="he-IL"/>
        </w:rPr>
        <w:t>pour l</w:t>
      </w:r>
      <w:r w:rsidR="00557DE0">
        <w:rPr>
          <w:rFonts w:eastAsia="Arial Unicode MS"/>
          <w:bCs/>
          <w:lang w:eastAsia="fr-FR" w:bidi="he-IL"/>
        </w:rPr>
        <w:t>’</w:t>
      </w:r>
      <w:r w:rsidRPr="00C8701B">
        <w:rPr>
          <w:rFonts w:eastAsia="Arial Unicode MS"/>
          <w:bCs/>
          <w:lang w:eastAsia="fr-FR" w:bidi="he-IL"/>
        </w:rPr>
        <w:t>étude duquel on possède</w:t>
      </w:r>
      <w:r w:rsidR="00E65435">
        <w:rPr>
          <w:rFonts w:eastAsia="Arial Unicode MS"/>
          <w:bCs/>
          <w:lang w:eastAsia="fr-FR" w:bidi="he-IL"/>
        </w:rPr>
        <w:t xml:space="preserve">, </w:t>
      </w:r>
      <w:r w:rsidRPr="00C8701B">
        <w:rPr>
          <w:rFonts w:eastAsia="Arial Unicode MS"/>
          <w:bCs/>
          <w:lang w:eastAsia="fr-FR" w:bidi="he-IL"/>
        </w:rPr>
        <w:t>aujourd</w:t>
      </w:r>
      <w:r w:rsidR="00557DE0">
        <w:rPr>
          <w:rFonts w:eastAsia="Arial Unicode MS"/>
          <w:bCs/>
          <w:lang w:eastAsia="fr-FR" w:bidi="he-IL"/>
        </w:rPr>
        <w:t>’</w:t>
      </w:r>
      <w:r w:rsidRPr="00C8701B">
        <w:rPr>
          <w:rFonts w:eastAsia="Arial Unicode MS"/>
          <w:bCs/>
          <w:lang w:eastAsia="fr-FR" w:bidi="he-IL"/>
        </w:rPr>
        <w:t>hui</w:t>
      </w:r>
      <w:r w:rsidR="00E65435">
        <w:rPr>
          <w:rFonts w:eastAsia="Arial Unicode MS"/>
          <w:bCs/>
          <w:lang w:eastAsia="fr-FR" w:bidi="he-IL"/>
        </w:rPr>
        <w:t xml:space="preserve">, </w:t>
      </w:r>
      <w:r w:rsidRPr="00C8701B">
        <w:rPr>
          <w:rFonts w:eastAsia="Arial Unicode MS"/>
          <w:bCs/>
          <w:lang w:eastAsia="fr-FR" w:bidi="he-IL"/>
        </w:rPr>
        <w:t>non seulement d</w:t>
      </w:r>
      <w:r w:rsidR="00557DE0">
        <w:rPr>
          <w:rFonts w:eastAsia="Arial Unicode MS"/>
          <w:bCs/>
          <w:lang w:eastAsia="fr-FR" w:bidi="he-IL"/>
        </w:rPr>
        <w:t>’</w:t>
      </w:r>
      <w:r w:rsidRPr="00C8701B">
        <w:rPr>
          <w:rFonts w:eastAsia="Arial Unicode MS"/>
          <w:bCs/>
          <w:lang w:eastAsia="fr-FR" w:bidi="he-IL"/>
        </w:rPr>
        <w:t>excellents recueils où les matériaux ont été réunis de la façon la plus savante</w:t>
      </w:r>
      <w:r w:rsidR="00E65435">
        <w:rPr>
          <w:rFonts w:eastAsia="Arial Unicode MS"/>
          <w:bCs/>
          <w:lang w:eastAsia="fr-FR" w:bidi="he-IL"/>
        </w:rPr>
        <w:t xml:space="preserve">, </w:t>
      </w:r>
      <w:r w:rsidRPr="00C8701B">
        <w:rPr>
          <w:rFonts w:eastAsia="Arial Unicode MS"/>
          <w:bCs/>
          <w:lang w:eastAsia="fr-FR" w:bidi="he-IL"/>
        </w:rPr>
        <w:t>mais</w:t>
      </w:r>
      <w:r w:rsidR="00E65435">
        <w:rPr>
          <w:rFonts w:eastAsia="Arial Unicode MS"/>
          <w:bCs/>
          <w:lang w:eastAsia="fr-FR" w:bidi="he-IL"/>
        </w:rPr>
        <w:t xml:space="preserve">, </w:t>
      </w:r>
      <w:r w:rsidRPr="00C8701B">
        <w:rPr>
          <w:rFonts w:eastAsia="Arial Unicode MS"/>
          <w:bCs/>
          <w:lang w:eastAsia="fr-FR" w:bidi="he-IL"/>
        </w:rPr>
        <w:t>en outre</w:t>
      </w:r>
      <w:r w:rsidR="00E65435">
        <w:rPr>
          <w:rFonts w:eastAsia="Arial Unicode MS"/>
          <w:bCs/>
          <w:lang w:eastAsia="fr-FR" w:bidi="he-IL"/>
        </w:rPr>
        <w:t xml:space="preserve">, </w:t>
      </w:r>
      <w:r w:rsidRPr="00C8701B">
        <w:rPr>
          <w:rFonts w:eastAsia="Arial Unicode MS"/>
          <w:bCs/>
          <w:lang w:eastAsia="fr-FR" w:bidi="he-IL"/>
        </w:rPr>
        <w:t>des monographies solides qui mettent en œuvre ces matériaux.</w:t>
      </w:r>
      <w:r w:rsidR="00C2602D" w:rsidRPr="00C8701B">
        <w:rPr>
          <w:rFonts w:eastAsia="Arial Unicode MS"/>
          <w:bCs/>
          <w:lang w:eastAsia="fr-FR" w:bidi="he-IL"/>
        </w:rPr>
        <w:t xml:space="preserve"> </w:t>
      </w:r>
    </w:p>
    <w:p w:rsidR="00C2602D" w:rsidRDefault="00B704AD" w:rsidP="00C34890">
      <w:pPr>
        <w:rPr>
          <w:rFonts w:eastAsia="Arial Unicode MS"/>
          <w:bCs/>
          <w:lang w:eastAsia="fr-FR" w:bidi="he-IL"/>
        </w:rPr>
      </w:pPr>
      <w:r w:rsidRPr="00C8701B">
        <w:rPr>
          <w:rFonts w:eastAsia="Arial Unicode MS"/>
          <w:bCs/>
          <w:lang w:eastAsia="fr-FR" w:bidi="he-IL"/>
        </w:rPr>
        <w:t>Parmi les recueils</w:t>
      </w:r>
      <w:r w:rsidR="00E65435">
        <w:rPr>
          <w:rFonts w:eastAsia="Arial Unicode MS"/>
          <w:bCs/>
          <w:lang w:eastAsia="fr-FR" w:bidi="he-IL"/>
        </w:rPr>
        <w:t xml:space="preserve">, </w:t>
      </w:r>
      <w:r w:rsidRPr="00C8701B">
        <w:rPr>
          <w:rFonts w:eastAsia="Arial Unicode MS"/>
          <w:bCs/>
          <w:lang w:eastAsia="fr-FR" w:bidi="he-IL"/>
        </w:rPr>
        <w:t>nous citerons ceux de Fabricius</w:t>
      </w:r>
      <w:r w:rsidR="00933C60" w:rsidRPr="00C406FF">
        <w:rPr>
          <w:rStyle w:val="Appelnotedebasdep"/>
        </w:rPr>
        <w:footnoteReference w:id="561"/>
      </w:r>
      <w:r w:rsidR="00E65435">
        <w:rPr>
          <w:rFonts w:eastAsia="Arial Unicode MS"/>
          <w:bCs/>
          <w:lang w:eastAsia="fr-FR" w:bidi="he-IL"/>
        </w:rPr>
        <w:t xml:space="preserve">, </w:t>
      </w:r>
      <w:r w:rsidRPr="00C8701B">
        <w:rPr>
          <w:rFonts w:eastAsia="Arial Unicode MS"/>
          <w:bCs/>
          <w:lang w:eastAsia="fr-FR" w:bidi="he-IL"/>
        </w:rPr>
        <w:t>de Thilo</w:t>
      </w:r>
      <w:r w:rsidR="00933C60" w:rsidRPr="00C406FF">
        <w:rPr>
          <w:rStyle w:val="Appelnotedebasdep"/>
        </w:rPr>
        <w:footnoteReference w:id="562"/>
      </w:r>
      <w:r w:rsidR="00E65435">
        <w:rPr>
          <w:rFonts w:eastAsia="Arial Unicode MS"/>
          <w:bCs/>
          <w:lang w:eastAsia="fr-FR" w:bidi="he-IL"/>
        </w:rPr>
        <w:t xml:space="preserve">, </w:t>
      </w:r>
      <w:r w:rsidRPr="00C8701B">
        <w:rPr>
          <w:rFonts w:eastAsia="Arial Unicode MS"/>
          <w:bCs/>
          <w:lang w:eastAsia="fr-FR" w:bidi="he-IL"/>
        </w:rPr>
        <w:t>de Tischendorf</w:t>
      </w:r>
      <w:r w:rsidR="00933C60" w:rsidRPr="00C406FF">
        <w:rPr>
          <w:rStyle w:val="Appelnotedebasdep"/>
        </w:rPr>
        <w:footnoteReference w:id="563"/>
      </w:r>
      <w:r w:rsidR="00E65435">
        <w:rPr>
          <w:rFonts w:eastAsia="Arial Unicode MS"/>
          <w:bCs/>
          <w:lang w:eastAsia="fr-FR" w:bidi="he-IL"/>
        </w:rPr>
        <w:t xml:space="preserve">, </w:t>
      </w:r>
      <w:r w:rsidR="00062AA4">
        <w:rPr>
          <w:rFonts w:eastAsia="Arial Unicode MS"/>
          <w:bCs/>
          <w:lang w:eastAsia="fr-FR" w:bidi="he-IL"/>
        </w:rPr>
        <w:t>de</w:t>
      </w:r>
      <w:r w:rsidRPr="00C8701B">
        <w:rPr>
          <w:rFonts w:eastAsia="Arial Unicode MS"/>
          <w:bCs/>
          <w:lang w:eastAsia="fr-FR" w:bidi="he-IL"/>
        </w:rPr>
        <w:t xml:space="preserve"> G. Brunet</w:t>
      </w:r>
      <w:r w:rsidR="00933C60" w:rsidRPr="00C406FF">
        <w:rPr>
          <w:rStyle w:val="Appelnotedebasdep"/>
        </w:rPr>
        <w:footnoteReference w:id="564"/>
      </w:r>
      <w:r w:rsidRPr="00C8701B">
        <w:rPr>
          <w:rFonts w:eastAsia="Arial Unicode MS"/>
          <w:bCs/>
          <w:lang w:eastAsia="fr-FR" w:bidi="he-IL"/>
        </w:rPr>
        <w:t>. Les meilleurs ouvrages de classification et de critique ont été composés par Hofmann</w:t>
      </w:r>
      <w:r w:rsidR="00933C60" w:rsidRPr="00C406FF">
        <w:rPr>
          <w:rStyle w:val="Appelnotedebasdep"/>
        </w:rPr>
        <w:footnoteReference w:id="565"/>
      </w:r>
      <w:r w:rsidR="00E65435">
        <w:rPr>
          <w:rFonts w:eastAsia="Arial Unicode MS"/>
          <w:bCs/>
          <w:lang w:eastAsia="fr-FR" w:bidi="he-IL"/>
        </w:rPr>
        <w:t xml:space="preserve">, </w:t>
      </w:r>
      <w:r w:rsidRPr="00C8701B">
        <w:rPr>
          <w:rFonts w:eastAsia="Arial Unicode MS"/>
          <w:bCs/>
          <w:lang w:eastAsia="fr-FR" w:bidi="he-IL"/>
        </w:rPr>
        <w:t>MM. Michel Nicolas</w:t>
      </w:r>
      <w:r w:rsidR="00933C60" w:rsidRPr="00C406FF">
        <w:rPr>
          <w:rStyle w:val="Appelnotedebasdep"/>
        </w:rPr>
        <w:footnoteReference w:id="566"/>
      </w:r>
      <w:r w:rsidR="00E65435">
        <w:rPr>
          <w:rFonts w:eastAsia="Arial Unicode MS"/>
          <w:bCs/>
          <w:lang w:eastAsia="fr-FR" w:bidi="he-IL"/>
        </w:rPr>
        <w:t xml:space="preserve">, </w:t>
      </w:r>
      <w:r w:rsidRPr="00C8701B">
        <w:rPr>
          <w:rFonts w:eastAsia="Arial Unicode MS"/>
          <w:bCs/>
          <w:lang w:eastAsia="fr-FR" w:bidi="he-IL"/>
        </w:rPr>
        <w:t>et J. Variot</w:t>
      </w:r>
      <w:r w:rsidR="00933C60" w:rsidRPr="00C406FF">
        <w:rPr>
          <w:rStyle w:val="Appelnotedebasdep"/>
        </w:rPr>
        <w:footnoteReference w:id="567"/>
      </w:r>
      <w:r w:rsidRPr="00C8701B">
        <w:rPr>
          <w:rFonts w:eastAsia="Arial Unicode MS"/>
          <w:bCs/>
          <w:lang w:eastAsia="fr-FR" w:bidi="he-IL"/>
        </w:rPr>
        <w:t>. Nous en extrairons quelques pensées</w:t>
      </w:r>
      <w:r w:rsidR="00E65435">
        <w:rPr>
          <w:rFonts w:eastAsia="Arial Unicode MS"/>
          <w:bCs/>
          <w:lang w:eastAsia="fr-FR" w:bidi="he-IL"/>
        </w:rPr>
        <w:t xml:space="preserve">, </w:t>
      </w:r>
      <w:r w:rsidRPr="00C8701B">
        <w:rPr>
          <w:rFonts w:eastAsia="Arial Unicode MS"/>
          <w:bCs/>
          <w:lang w:eastAsia="fr-FR" w:bidi="he-IL"/>
        </w:rPr>
        <w:t>que nous</w:t>
      </w:r>
      <w:r w:rsidR="00C2602D" w:rsidRPr="00C8701B">
        <w:rPr>
          <w:rFonts w:eastAsia="Arial Unicode MS"/>
          <w:bCs/>
          <w:lang w:eastAsia="fr-FR" w:bidi="he-IL"/>
        </w:rPr>
        <w:t xml:space="preserve"> </w:t>
      </w:r>
      <w:r w:rsidRPr="00C8701B">
        <w:rPr>
          <w:rFonts w:eastAsia="Arial Unicode MS"/>
          <w:bCs/>
          <w:lang w:eastAsia="fr-FR" w:bidi="he-IL"/>
        </w:rPr>
        <w:t>grouperons autour de ces trois chefs</w:t>
      </w:r>
      <w:r w:rsidR="00C2602D" w:rsidRPr="00C8701B">
        <w:rPr>
          <w:rFonts w:eastAsia="Arial Unicode MS"/>
          <w:bCs/>
          <w:lang w:eastAsia="fr-FR" w:bidi="he-IL"/>
        </w:rPr>
        <w:t> :</w:t>
      </w:r>
      <w:r w:rsidRPr="00C8701B">
        <w:rPr>
          <w:rFonts w:eastAsia="Arial Unicode MS"/>
          <w:bCs/>
          <w:lang w:eastAsia="fr-FR" w:bidi="he-IL"/>
        </w:rPr>
        <w:t xml:space="preserve"> l</w:t>
      </w:r>
      <w:r w:rsidR="00557DE0">
        <w:rPr>
          <w:rFonts w:eastAsia="Arial Unicode MS"/>
          <w:bCs/>
          <w:lang w:eastAsia="fr-FR" w:bidi="he-IL"/>
        </w:rPr>
        <w:t>’</w:t>
      </w:r>
      <w:r w:rsidRPr="00C8701B">
        <w:rPr>
          <w:rFonts w:eastAsia="Arial Unicode MS"/>
          <w:bCs/>
          <w:lang w:eastAsia="fr-FR" w:bidi="he-IL"/>
        </w:rPr>
        <w:t>origine des évangiles apocryphes</w:t>
      </w:r>
      <w:r w:rsidR="00E65435">
        <w:rPr>
          <w:rFonts w:eastAsia="Arial Unicode MS"/>
          <w:bCs/>
          <w:lang w:eastAsia="fr-FR" w:bidi="he-IL"/>
        </w:rPr>
        <w:t xml:space="preserve">, </w:t>
      </w:r>
      <w:r w:rsidRPr="00C8701B">
        <w:rPr>
          <w:rFonts w:eastAsia="Arial Unicode MS"/>
          <w:bCs/>
          <w:lang w:eastAsia="fr-FR" w:bidi="he-IL"/>
        </w:rPr>
        <w:t>leur nature</w:t>
      </w:r>
      <w:r w:rsidR="00E65435">
        <w:rPr>
          <w:rFonts w:eastAsia="Arial Unicode MS"/>
          <w:bCs/>
          <w:lang w:eastAsia="fr-FR" w:bidi="he-IL"/>
        </w:rPr>
        <w:t xml:space="preserve">, </w:t>
      </w:r>
      <w:r w:rsidRPr="00C8701B">
        <w:rPr>
          <w:rFonts w:eastAsia="Arial Unicode MS"/>
          <w:bCs/>
          <w:lang w:eastAsia="fr-FR" w:bidi="he-IL"/>
        </w:rPr>
        <w:t>leur utilité.</w:t>
      </w:r>
      <w:r w:rsidR="00C2602D" w:rsidRPr="00C8701B">
        <w:rPr>
          <w:rFonts w:eastAsia="Arial Unicode MS"/>
          <w:bCs/>
          <w:lang w:eastAsia="fr-FR" w:bidi="he-IL"/>
        </w:rPr>
        <w:t xml:space="preserve"> </w:t>
      </w:r>
      <w:r w:rsidR="00C34890">
        <w:rPr>
          <w:rFonts w:eastAsia="Arial Unicode MS"/>
          <w:bCs/>
          <w:lang w:eastAsia="fr-FR" w:bidi="he-IL"/>
        </w:rPr>
        <w:t>{108</w:t>
      </w:r>
      <w:bookmarkStart w:id="165" w:name="pag108"/>
      <w:bookmarkEnd w:id="165"/>
      <w:r w:rsidR="00C34890">
        <w:rPr>
          <w:rFonts w:eastAsia="Arial Unicode MS"/>
          <w:bCs/>
          <w:lang w:eastAsia="fr-FR" w:bidi="he-IL"/>
        </w:rPr>
        <w:t>}</w:t>
      </w:r>
    </w:p>
    <w:p w:rsidR="00C2602D" w:rsidRPr="00C8701B" w:rsidRDefault="00B704AD" w:rsidP="00C34890">
      <w:pPr>
        <w:rPr>
          <w:rFonts w:eastAsia="Arial Unicode MS"/>
          <w:bCs/>
          <w:lang w:eastAsia="fr-FR" w:bidi="he-IL"/>
        </w:rPr>
      </w:pPr>
      <w:r w:rsidRPr="00C8701B">
        <w:rPr>
          <w:rFonts w:eastAsia="Arial Unicode MS"/>
          <w:bCs/>
          <w:lang w:eastAsia="fr-FR" w:bidi="he-IL"/>
        </w:rPr>
        <w:t>I.</w:t>
      </w:r>
      <w:bookmarkStart w:id="166" w:name="evin1401"/>
      <w:bookmarkEnd w:id="166"/>
      <w:r w:rsidRPr="00DC4586">
        <w:rPr>
          <w:rStyle w:val="italicus"/>
        </w:rPr>
        <w:t xml:space="preserve"> Origine des </w:t>
      </w:r>
      <w:r w:rsidR="000439E9" w:rsidRPr="00DC4586">
        <w:rPr>
          <w:rStyle w:val="italicus"/>
        </w:rPr>
        <w:t>Évangile</w:t>
      </w:r>
      <w:r w:rsidRPr="00DC4586">
        <w:rPr>
          <w:rStyle w:val="italicus"/>
        </w:rPr>
        <w:t>s apocryphes</w:t>
      </w:r>
      <w:r w:rsidR="00933C60" w:rsidRPr="00C406FF">
        <w:rPr>
          <w:rStyle w:val="Appelnotedebasdep"/>
        </w:rPr>
        <w:footnoteReference w:id="568"/>
      </w:r>
      <w:r w:rsidRPr="00C8701B">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Le mot de S. Luc dans la petite préface de son évangile</w:t>
      </w:r>
      <w:r w:rsidR="00E65435">
        <w:rPr>
          <w:rFonts w:eastAsia="Arial Unicode MS"/>
          <w:bCs/>
          <w:lang w:eastAsia="fr-FR" w:bidi="he-IL"/>
        </w:rPr>
        <w:t xml:space="preserve">, </w:t>
      </w:r>
      <w:r w:rsidR="00C34890">
        <w:rPr>
          <w:rFonts w:eastAsia="Arial Unicode MS"/>
          <w:bCs/>
          <w:lang w:eastAsia="fr-FR" w:bidi="he-IL"/>
        </w:rPr>
        <w:t>I</w:t>
      </w:r>
      <w:r w:rsidR="00E65435">
        <w:rPr>
          <w:rFonts w:eastAsia="Arial Unicode MS"/>
          <w:bCs/>
          <w:lang w:eastAsia="fr-FR" w:bidi="he-IL"/>
        </w:rPr>
        <w:t xml:space="preserve">, </w:t>
      </w:r>
      <w:r w:rsidRPr="00C8701B">
        <w:rPr>
          <w:rFonts w:eastAsia="Arial Unicode MS"/>
          <w:bCs/>
          <w:lang w:eastAsia="fr-FR" w:bidi="he-IL"/>
        </w:rPr>
        <w:t>1</w:t>
      </w:r>
      <w:r w:rsidR="00E65435">
        <w:rPr>
          <w:rFonts w:eastAsia="Arial Unicode MS"/>
          <w:bCs/>
          <w:lang w:eastAsia="fr-FR" w:bidi="he-IL"/>
        </w:rPr>
        <w:t xml:space="preserve">, </w:t>
      </w:r>
      <w:r w:rsidRPr="00DC4586">
        <w:rPr>
          <w:rStyle w:val="italicus"/>
        </w:rPr>
        <w:t>Q</w:t>
      </w:r>
      <w:r w:rsidR="00623A37">
        <w:rPr>
          <w:rStyle w:val="italicus"/>
        </w:rPr>
        <w:t>uóniam</w:t>
      </w:r>
      <w:r w:rsidRPr="00DC4586">
        <w:rPr>
          <w:rStyle w:val="italicus"/>
        </w:rPr>
        <w:t xml:space="preserve"> quidem multi </w:t>
      </w:r>
      <w:r w:rsidR="00C34890" w:rsidRPr="00DC4586">
        <w:rPr>
          <w:rStyle w:val="italicus"/>
        </w:rPr>
        <w:t>conáti</w:t>
      </w:r>
      <w:r w:rsidRPr="00DC4586">
        <w:rPr>
          <w:rStyle w:val="italicus"/>
        </w:rPr>
        <w:t xml:space="preserve"> sunt </w:t>
      </w:r>
      <w:r w:rsidR="00C34890" w:rsidRPr="00DC4586">
        <w:rPr>
          <w:rStyle w:val="italicus"/>
        </w:rPr>
        <w:t>ordináre</w:t>
      </w:r>
      <w:r w:rsidRPr="00DC4586">
        <w:rPr>
          <w:rStyle w:val="italicus"/>
        </w:rPr>
        <w:t xml:space="preserve"> </w:t>
      </w:r>
      <w:r w:rsidR="00C34890" w:rsidRPr="00DC4586">
        <w:rPr>
          <w:rStyle w:val="italicus"/>
        </w:rPr>
        <w:t>narrat</w:t>
      </w:r>
      <w:r w:rsidR="00C34890">
        <w:rPr>
          <w:rStyle w:val="italicus"/>
        </w:rPr>
        <w:t>iónem</w:t>
      </w:r>
      <w:r w:rsidR="00E65435">
        <w:rPr>
          <w:rStyle w:val="italicus"/>
        </w:rPr>
        <w:t xml:space="preserve">, </w:t>
      </w:r>
      <w:r w:rsidRPr="00DC4586">
        <w:rPr>
          <w:rStyle w:val="italicus"/>
        </w:rPr>
        <w:t>qu</w:t>
      </w:r>
      <w:r w:rsidR="0037178C">
        <w:rPr>
          <w:rStyle w:val="italicus"/>
        </w:rPr>
        <w:t>æ</w:t>
      </w:r>
      <w:r w:rsidRPr="00DC4586">
        <w:rPr>
          <w:rStyle w:val="italicus"/>
        </w:rPr>
        <w:t xml:space="preserve"> in nobis </w:t>
      </w:r>
      <w:r w:rsidR="00C34890" w:rsidRPr="00DC4586">
        <w:rPr>
          <w:rStyle w:val="italicus"/>
        </w:rPr>
        <w:t>complét</w:t>
      </w:r>
      <w:r w:rsidR="00C34890">
        <w:rPr>
          <w:rStyle w:val="italicus"/>
        </w:rPr>
        <w:t>æ</w:t>
      </w:r>
      <w:r w:rsidRPr="00DC4586">
        <w:rPr>
          <w:rStyle w:val="italicus"/>
        </w:rPr>
        <w:t xml:space="preserve"> sunt</w:t>
      </w:r>
      <w:r w:rsidR="00E65435">
        <w:rPr>
          <w:rStyle w:val="italicus"/>
        </w:rPr>
        <w:t xml:space="preserve">, </w:t>
      </w:r>
      <w:r w:rsidRPr="00DC4586">
        <w:rPr>
          <w:rStyle w:val="italicus"/>
        </w:rPr>
        <w:t>rerum</w:t>
      </w:r>
      <w:r w:rsidR="00E65435">
        <w:rPr>
          <w:rStyle w:val="italicus"/>
        </w:rPr>
        <w:t xml:space="preserve">, </w:t>
      </w:r>
      <w:r w:rsidRPr="00C8701B">
        <w:rPr>
          <w:rFonts w:eastAsia="Arial Unicode MS"/>
          <w:bCs/>
          <w:lang w:eastAsia="fr-FR" w:bidi="he-IL"/>
        </w:rPr>
        <w:t>montre avec quel empressement on se mit à écrire</w:t>
      </w:r>
      <w:r w:rsidR="00E65435">
        <w:rPr>
          <w:rFonts w:eastAsia="Arial Unicode MS"/>
          <w:bCs/>
          <w:lang w:eastAsia="fr-FR" w:bidi="he-IL"/>
        </w:rPr>
        <w:t xml:space="preserve">, </w:t>
      </w:r>
      <w:r w:rsidRPr="00C8701B">
        <w:rPr>
          <w:rFonts w:eastAsia="Arial Unicode MS"/>
          <w:bCs/>
          <w:lang w:eastAsia="fr-FR" w:bidi="he-IL"/>
        </w:rPr>
        <w:t>dès les premiers jours du christianisme</w:t>
      </w:r>
      <w:r w:rsidR="00E65435">
        <w:rPr>
          <w:rFonts w:eastAsia="Arial Unicode MS"/>
          <w:bCs/>
          <w:lang w:eastAsia="fr-FR" w:bidi="he-IL"/>
        </w:rPr>
        <w:t xml:space="preserve">, </w:t>
      </w:r>
      <w:r w:rsidRPr="00C8701B">
        <w:rPr>
          <w:rFonts w:eastAsia="Arial Unicode MS"/>
          <w:bCs/>
          <w:lang w:eastAsia="fr-FR" w:bidi="he-IL"/>
        </w:rPr>
        <w:t>ce que l</w:t>
      </w:r>
      <w:r w:rsidR="00557DE0">
        <w:rPr>
          <w:rFonts w:eastAsia="Arial Unicode MS"/>
          <w:bCs/>
          <w:lang w:eastAsia="fr-FR" w:bidi="he-IL"/>
        </w:rPr>
        <w:t>’</w:t>
      </w:r>
      <w:r w:rsidRPr="00C8701B">
        <w:rPr>
          <w:rFonts w:eastAsia="Arial Unicode MS"/>
          <w:bCs/>
          <w:lang w:eastAsia="fr-FR" w:bidi="he-IL"/>
        </w:rPr>
        <w:t>on connaissait de la vie de son divin Fondateur. Mais S. Luc insinue</w:t>
      </w:r>
      <w:r w:rsidR="00E65435">
        <w:rPr>
          <w:rFonts w:eastAsia="Arial Unicode MS"/>
          <w:bCs/>
          <w:lang w:eastAsia="fr-FR" w:bidi="he-IL"/>
        </w:rPr>
        <w:t xml:space="preserve">, </w:t>
      </w:r>
      <w:r w:rsidRPr="00C8701B">
        <w:rPr>
          <w:rFonts w:eastAsia="Arial Unicode MS"/>
          <w:bCs/>
          <w:lang w:eastAsia="fr-FR" w:bidi="he-IL"/>
        </w:rPr>
        <w:t>en exposant sa propre méthode</w:t>
      </w:r>
      <w:r w:rsidR="00933C60" w:rsidRPr="00C406FF">
        <w:rPr>
          <w:rStyle w:val="Appelnotedebasdep"/>
        </w:rPr>
        <w:footnoteReference w:id="569"/>
      </w:r>
      <w:r w:rsidR="00E65435">
        <w:rPr>
          <w:rFonts w:eastAsia="Arial Unicode MS"/>
          <w:bCs/>
          <w:lang w:eastAsia="fr-FR" w:bidi="he-IL"/>
        </w:rPr>
        <w:t xml:space="preserve">, </w:t>
      </w:r>
      <w:r w:rsidRPr="00C8701B">
        <w:rPr>
          <w:rFonts w:eastAsia="Arial Unicode MS"/>
          <w:bCs/>
          <w:lang w:eastAsia="fr-FR" w:bidi="he-IL"/>
        </w:rPr>
        <w:t>que ces essais péchaient par le double défaut d</w:t>
      </w:r>
      <w:r w:rsidR="00557DE0">
        <w:rPr>
          <w:rFonts w:eastAsia="Arial Unicode MS"/>
          <w:bCs/>
          <w:lang w:eastAsia="fr-FR" w:bidi="he-IL"/>
        </w:rPr>
        <w:t>’</w:t>
      </w:r>
      <w:r w:rsidR="001B4203">
        <w:rPr>
          <w:rFonts w:eastAsia="Arial Unicode MS"/>
          <w:bCs/>
          <w:lang w:eastAsia="fr-FR" w:bidi="he-IL"/>
        </w:rPr>
        <w:t>o</w:t>
      </w:r>
      <w:r w:rsidRPr="00C8701B">
        <w:rPr>
          <w:rFonts w:eastAsia="Arial Unicode MS"/>
          <w:bCs/>
          <w:lang w:eastAsia="fr-FR" w:bidi="he-IL"/>
        </w:rPr>
        <w:t>rdre et d</w:t>
      </w:r>
      <w:r w:rsidR="00557DE0">
        <w:rPr>
          <w:rFonts w:eastAsia="Arial Unicode MS"/>
          <w:bCs/>
          <w:lang w:eastAsia="fr-FR" w:bidi="he-IL"/>
        </w:rPr>
        <w:t>’</w:t>
      </w:r>
      <w:r w:rsidRPr="00C8701B">
        <w:rPr>
          <w:rFonts w:eastAsia="Arial Unicode MS"/>
          <w:bCs/>
          <w:lang w:eastAsia="fr-FR" w:bidi="he-IL"/>
        </w:rPr>
        <w:t>exactitude. S. Jérôme le dit plus clairement encore</w:t>
      </w:r>
      <w:r w:rsidR="00C2602D" w:rsidRPr="00C8701B">
        <w:rPr>
          <w:rFonts w:eastAsia="Arial Unicode MS"/>
          <w:bCs/>
          <w:lang w:eastAsia="fr-FR" w:bidi="he-IL"/>
        </w:rPr>
        <w:t> :</w:t>
      </w:r>
      <w:r w:rsidRPr="00DC4586">
        <w:rPr>
          <w:rStyle w:val="italicus"/>
        </w:rPr>
        <w:t xml:space="preserve"> Qui sine </w:t>
      </w:r>
      <w:r w:rsidR="00DF5BCD" w:rsidRPr="00DC4586">
        <w:rPr>
          <w:rStyle w:val="italicus"/>
        </w:rPr>
        <w:t>Spíritu</w:t>
      </w:r>
      <w:r w:rsidRPr="00DC4586">
        <w:rPr>
          <w:rStyle w:val="italicus"/>
        </w:rPr>
        <w:t xml:space="preserve"> et g</w:t>
      </w:r>
      <w:r w:rsidR="004D031F">
        <w:rPr>
          <w:rStyle w:val="italicus"/>
        </w:rPr>
        <w:t>rátia</w:t>
      </w:r>
      <w:r w:rsidRPr="00DC4586">
        <w:rPr>
          <w:rStyle w:val="italicus"/>
        </w:rPr>
        <w:t xml:space="preserve"> Dei </w:t>
      </w:r>
      <w:r w:rsidR="00C34890" w:rsidRPr="00DC4586">
        <w:rPr>
          <w:rStyle w:val="italicus"/>
        </w:rPr>
        <w:t>conáti</w:t>
      </w:r>
      <w:r w:rsidRPr="00DC4586">
        <w:rPr>
          <w:rStyle w:val="italicus"/>
        </w:rPr>
        <w:t xml:space="preserve"> sunt magis </w:t>
      </w:r>
      <w:r w:rsidR="00C34890" w:rsidRPr="00DC4586">
        <w:rPr>
          <w:rStyle w:val="italicus"/>
        </w:rPr>
        <w:t>ordináre</w:t>
      </w:r>
      <w:r w:rsidRPr="00DC4586">
        <w:rPr>
          <w:rStyle w:val="italicus"/>
        </w:rPr>
        <w:t xml:space="preserve"> </w:t>
      </w:r>
      <w:r w:rsidR="00C34890" w:rsidRPr="00DC4586">
        <w:rPr>
          <w:rStyle w:val="italicus"/>
        </w:rPr>
        <w:t>narrat</w:t>
      </w:r>
      <w:r w:rsidR="00C34890">
        <w:rPr>
          <w:rStyle w:val="italicus"/>
        </w:rPr>
        <w:t>iónem</w:t>
      </w:r>
      <w:r w:rsidR="00E65435">
        <w:rPr>
          <w:rStyle w:val="italicus"/>
        </w:rPr>
        <w:t xml:space="preserve">, </w:t>
      </w:r>
      <w:r w:rsidRPr="00DC4586">
        <w:rPr>
          <w:rStyle w:val="italicus"/>
        </w:rPr>
        <w:t xml:space="preserve">quam </w:t>
      </w:r>
      <w:r w:rsidR="00C34890" w:rsidRPr="00DC4586">
        <w:rPr>
          <w:rStyle w:val="italicus"/>
        </w:rPr>
        <w:t>históri</w:t>
      </w:r>
      <w:r w:rsidR="00C34890">
        <w:rPr>
          <w:rStyle w:val="italicus"/>
        </w:rPr>
        <w:t>æ</w:t>
      </w:r>
      <w:r w:rsidRPr="00DC4586">
        <w:rPr>
          <w:rStyle w:val="italicus"/>
        </w:rPr>
        <w:t xml:space="preserve"> </w:t>
      </w:r>
      <w:r w:rsidR="00C34890" w:rsidRPr="00DC4586">
        <w:rPr>
          <w:rStyle w:val="italicus"/>
        </w:rPr>
        <w:t>téxere</w:t>
      </w:r>
      <w:r w:rsidRPr="00DC4586">
        <w:rPr>
          <w:rStyle w:val="italicus"/>
        </w:rPr>
        <w:t xml:space="preserve"> ver</w:t>
      </w:r>
      <w:r w:rsidR="00C21120">
        <w:rPr>
          <w:rStyle w:val="italicus"/>
        </w:rPr>
        <w:t>itátem</w:t>
      </w:r>
      <w:r w:rsidR="00933C60" w:rsidRPr="00C406FF">
        <w:rPr>
          <w:rStyle w:val="Appelnotedebasdep"/>
        </w:rPr>
        <w:footnoteReference w:id="570"/>
      </w:r>
      <w:r w:rsidRPr="00C8701B">
        <w:rPr>
          <w:rFonts w:eastAsia="Arial Unicode MS"/>
          <w:bCs/>
          <w:lang w:eastAsia="fr-FR" w:bidi="he-IL"/>
        </w:rPr>
        <w:t>. On a donc supposé avec beaucoup de vraisemblance que ces sortes de récits devinrent les premiers noyaux des évangiles apocryphes</w:t>
      </w:r>
      <w:r w:rsidR="00933C60" w:rsidRPr="00C406FF">
        <w:rPr>
          <w:rStyle w:val="Appelnotedebasdep"/>
        </w:rPr>
        <w:footnoteReference w:id="571"/>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Mais l</w:t>
      </w:r>
      <w:r w:rsidR="00557DE0">
        <w:rPr>
          <w:rFonts w:eastAsia="Arial Unicode MS"/>
          <w:bCs/>
          <w:lang w:eastAsia="fr-FR" w:bidi="he-IL"/>
        </w:rPr>
        <w:t>’</w:t>
      </w:r>
      <w:r w:rsidRPr="00C8701B">
        <w:rPr>
          <w:rFonts w:eastAsia="Arial Unicode MS"/>
          <w:bCs/>
          <w:lang w:eastAsia="fr-FR" w:bidi="he-IL"/>
        </w:rPr>
        <w:t>histoire nous permet d</w:t>
      </w:r>
      <w:r w:rsidR="00557DE0">
        <w:rPr>
          <w:rFonts w:eastAsia="Arial Unicode MS"/>
          <w:bCs/>
          <w:lang w:eastAsia="fr-FR" w:bidi="he-IL"/>
        </w:rPr>
        <w:t>’</w:t>
      </w:r>
      <w:r w:rsidRPr="00C8701B">
        <w:rPr>
          <w:rFonts w:eastAsia="Arial Unicode MS"/>
          <w:bCs/>
          <w:lang w:eastAsia="fr-FR" w:bidi="he-IL"/>
        </w:rPr>
        <w:t>être encore plus précis</w:t>
      </w:r>
      <w:r w:rsidR="00E65435">
        <w:rPr>
          <w:rFonts w:eastAsia="Arial Unicode MS"/>
          <w:bCs/>
          <w:lang w:eastAsia="fr-FR" w:bidi="he-IL"/>
        </w:rPr>
        <w:t xml:space="preserve">, </w:t>
      </w:r>
      <w:r w:rsidRPr="00C8701B">
        <w:rPr>
          <w:rFonts w:eastAsia="Arial Unicode MS"/>
          <w:bCs/>
          <w:lang w:eastAsia="fr-FR" w:bidi="he-IL"/>
        </w:rPr>
        <w:t xml:space="preserve">et nous pouvons attribuer à deux causes </w:t>
      </w:r>
      <w:r w:rsidR="00C34890" w:rsidRPr="00C8701B">
        <w:rPr>
          <w:rFonts w:eastAsia="Arial Unicode MS"/>
          <w:bCs/>
          <w:lang w:eastAsia="fr-FR" w:bidi="he-IL"/>
        </w:rPr>
        <w:t>très</w:t>
      </w:r>
      <w:r w:rsidRPr="00C8701B">
        <w:rPr>
          <w:rFonts w:eastAsia="Arial Unicode MS"/>
          <w:bCs/>
          <w:lang w:eastAsia="fr-FR" w:bidi="he-IL"/>
        </w:rPr>
        <w:t xml:space="preserve"> distinctes l</w:t>
      </w:r>
      <w:r w:rsidR="00557DE0">
        <w:rPr>
          <w:rFonts w:eastAsia="Arial Unicode MS"/>
          <w:bCs/>
          <w:lang w:eastAsia="fr-FR" w:bidi="he-IL"/>
        </w:rPr>
        <w:t>’</w:t>
      </w:r>
      <w:r w:rsidRPr="00C8701B">
        <w:rPr>
          <w:rFonts w:eastAsia="Arial Unicode MS"/>
          <w:bCs/>
          <w:lang w:eastAsia="fr-FR" w:bidi="he-IL"/>
        </w:rPr>
        <w:t>origine de cette littérature singulière</w:t>
      </w:r>
      <w:r w:rsidR="00C2602D" w:rsidRPr="00C8701B">
        <w:rPr>
          <w:rFonts w:eastAsia="Arial Unicode MS"/>
          <w:bCs/>
          <w:lang w:eastAsia="fr-FR" w:bidi="he-IL"/>
        </w:rPr>
        <w:t> :</w:t>
      </w:r>
      <w:r w:rsidRPr="00C8701B">
        <w:rPr>
          <w:rFonts w:eastAsia="Arial Unicode MS"/>
          <w:bCs/>
          <w:lang w:eastAsia="fr-FR" w:bidi="he-IL"/>
        </w:rPr>
        <w:t xml:space="preserve"> l</w:t>
      </w:r>
      <w:r w:rsidR="00557DE0">
        <w:rPr>
          <w:rFonts w:eastAsia="Arial Unicode MS"/>
          <w:bCs/>
          <w:lang w:eastAsia="fr-FR" w:bidi="he-IL"/>
        </w:rPr>
        <w:t>’</w:t>
      </w:r>
      <w:r w:rsidRPr="00C8701B">
        <w:rPr>
          <w:rFonts w:eastAsia="Arial Unicode MS"/>
          <w:bCs/>
          <w:lang w:eastAsia="fr-FR" w:bidi="he-IL"/>
        </w:rPr>
        <w:t>hérésie</w:t>
      </w:r>
      <w:r w:rsidR="00E65435">
        <w:rPr>
          <w:rFonts w:eastAsia="Arial Unicode MS"/>
          <w:bCs/>
          <w:lang w:eastAsia="fr-FR" w:bidi="he-IL"/>
        </w:rPr>
        <w:t xml:space="preserve">, </w:t>
      </w:r>
      <w:r w:rsidRPr="00C8701B">
        <w:rPr>
          <w:rFonts w:eastAsia="Arial Unicode MS"/>
          <w:bCs/>
          <w:lang w:eastAsia="fr-FR" w:bidi="he-IL"/>
        </w:rPr>
        <w:t>et une fausse piété.</w:t>
      </w:r>
      <w:r w:rsidR="00C2602D" w:rsidRPr="00C8701B">
        <w:rPr>
          <w:rFonts w:eastAsia="Arial Unicode MS"/>
          <w:bCs/>
          <w:lang w:eastAsia="fr-FR" w:bidi="he-IL"/>
        </w:rPr>
        <w:t xml:space="preserve"> </w:t>
      </w:r>
    </w:p>
    <w:p w:rsidR="00C2602D" w:rsidRPr="00C8701B" w:rsidRDefault="00B704AD" w:rsidP="001B4203">
      <w:pPr>
        <w:rPr>
          <w:rFonts w:eastAsia="Arial Unicode MS"/>
          <w:bCs/>
          <w:lang w:eastAsia="fr-FR" w:bidi="he-IL"/>
        </w:rPr>
      </w:pPr>
      <w:r w:rsidRPr="00C8701B">
        <w:rPr>
          <w:rFonts w:eastAsia="Arial Unicode MS"/>
          <w:bCs/>
          <w:lang w:eastAsia="fr-FR" w:bidi="he-IL"/>
        </w:rPr>
        <w:t>1° On conçoit que les hérétiques</w:t>
      </w:r>
      <w:r w:rsidR="00E65435">
        <w:rPr>
          <w:rFonts w:eastAsia="Arial Unicode MS"/>
          <w:bCs/>
          <w:lang w:eastAsia="fr-FR" w:bidi="he-IL"/>
        </w:rPr>
        <w:t xml:space="preserve">, </w:t>
      </w:r>
      <w:r w:rsidRPr="00C8701B">
        <w:rPr>
          <w:rFonts w:eastAsia="Arial Unicode MS"/>
          <w:bCs/>
          <w:lang w:eastAsia="fr-FR" w:bidi="he-IL"/>
        </w:rPr>
        <w:t>qui surgirent dès les premiers jours de l</w:t>
      </w:r>
      <w:r w:rsidR="00557DE0">
        <w:rPr>
          <w:rFonts w:eastAsia="Arial Unicode MS"/>
          <w:bCs/>
          <w:lang w:eastAsia="fr-FR" w:bidi="he-IL"/>
        </w:rPr>
        <w:t>’</w:t>
      </w:r>
      <w:r w:rsidR="00C8701B">
        <w:rPr>
          <w:rFonts w:eastAsia="Arial Unicode MS"/>
          <w:bCs/>
          <w:lang w:eastAsia="fr-FR" w:bidi="he-IL"/>
        </w:rPr>
        <w:t>Église</w:t>
      </w:r>
      <w:r w:rsidR="00E65435">
        <w:rPr>
          <w:rFonts w:eastAsia="Arial Unicode MS"/>
          <w:bCs/>
          <w:lang w:eastAsia="fr-FR" w:bidi="he-IL"/>
        </w:rPr>
        <w:t xml:space="preserve">, </w:t>
      </w:r>
      <w:r w:rsidRPr="00C8701B">
        <w:rPr>
          <w:rFonts w:eastAsia="Arial Unicode MS"/>
          <w:bCs/>
          <w:lang w:eastAsia="fr-FR" w:bidi="he-IL"/>
        </w:rPr>
        <w:t xml:space="preserve">ne trouvant pas de bases pour leurs systèmes dans la sainte </w:t>
      </w:r>
      <w:r w:rsidR="0058100E">
        <w:rPr>
          <w:rFonts w:eastAsia="Arial Unicode MS"/>
          <w:bCs/>
          <w:lang w:eastAsia="fr-FR" w:bidi="he-IL"/>
        </w:rPr>
        <w:t>Écriture</w:t>
      </w:r>
      <w:r w:rsidR="00E65435">
        <w:rPr>
          <w:rFonts w:eastAsia="Arial Unicode MS"/>
          <w:bCs/>
          <w:lang w:eastAsia="fr-FR" w:bidi="he-IL"/>
        </w:rPr>
        <w:t xml:space="preserve">, </w:t>
      </w:r>
      <w:r w:rsidRPr="00C8701B">
        <w:rPr>
          <w:rFonts w:eastAsia="Arial Unicode MS"/>
          <w:bCs/>
          <w:lang w:eastAsia="fr-FR" w:bidi="he-IL"/>
        </w:rPr>
        <w:t>aient eu recours à la supercherie pour s</w:t>
      </w:r>
      <w:r w:rsidR="00557DE0">
        <w:rPr>
          <w:rFonts w:eastAsia="Arial Unicode MS"/>
          <w:bCs/>
          <w:lang w:eastAsia="fr-FR" w:bidi="he-IL"/>
        </w:rPr>
        <w:t>’</w:t>
      </w:r>
      <w:r w:rsidRPr="00C8701B">
        <w:rPr>
          <w:rFonts w:eastAsia="Arial Unicode MS"/>
          <w:bCs/>
          <w:lang w:eastAsia="fr-FR" w:bidi="he-IL"/>
        </w:rPr>
        <w:t>en créer. Ils confectionnèrent donc</w:t>
      </w:r>
      <w:r w:rsidR="00E65435">
        <w:rPr>
          <w:rFonts w:eastAsia="Arial Unicode MS"/>
          <w:bCs/>
          <w:lang w:eastAsia="fr-FR" w:bidi="he-IL"/>
        </w:rPr>
        <w:t xml:space="preserve">, </w:t>
      </w:r>
      <w:r w:rsidRPr="00C8701B">
        <w:rPr>
          <w:rFonts w:eastAsia="Arial Unicode MS"/>
          <w:bCs/>
          <w:lang w:eastAsia="fr-FR" w:bidi="he-IL"/>
        </w:rPr>
        <w:t>sous le nom de tel ou tel apôtre</w:t>
      </w:r>
      <w:r w:rsidR="00E65435">
        <w:rPr>
          <w:rFonts w:eastAsia="Arial Unicode MS"/>
          <w:bCs/>
          <w:lang w:eastAsia="fr-FR" w:bidi="he-IL"/>
        </w:rPr>
        <w:t xml:space="preserve">, </w:t>
      </w:r>
      <w:r w:rsidRPr="00C8701B">
        <w:rPr>
          <w:rFonts w:eastAsia="Arial Unicode MS"/>
          <w:bCs/>
          <w:lang w:eastAsia="fr-FR" w:bidi="he-IL"/>
        </w:rPr>
        <w:t>ou même de tous les apôtres réunis</w:t>
      </w:r>
      <w:r w:rsidR="00E65435">
        <w:rPr>
          <w:rFonts w:eastAsia="Arial Unicode MS"/>
          <w:bCs/>
          <w:lang w:eastAsia="fr-FR" w:bidi="he-IL"/>
        </w:rPr>
        <w:t xml:space="preserve">, </w:t>
      </w:r>
      <w:r w:rsidRPr="00C8701B">
        <w:rPr>
          <w:rFonts w:eastAsia="Arial Unicode MS"/>
          <w:bCs/>
          <w:lang w:eastAsia="fr-FR" w:bidi="he-IL"/>
        </w:rPr>
        <w:t xml:space="preserve">des évangiles où étaient habilement insérées leurs </w:t>
      </w:r>
      <w:r w:rsidR="00C34890" w:rsidRPr="00C8701B">
        <w:rPr>
          <w:rFonts w:eastAsia="Arial Unicode MS"/>
          <w:bCs/>
          <w:lang w:eastAsia="fr-FR" w:bidi="he-IL"/>
        </w:rPr>
        <w:t>principales</w:t>
      </w:r>
      <w:r w:rsidRPr="00C8701B">
        <w:rPr>
          <w:rFonts w:eastAsia="Arial Unicode MS"/>
          <w:bCs/>
          <w:lang w:eastAsia="fr-FR" w:bidi="he-IL"/>
        </w:rPr>
        <w:t xml:space="preserve"> erreurs. Le mot de S.</w:t>
      </w:r>
      <w:r w:rsidR="001B4203">
        <w:rPr>
          <w:rFonts w:eastAsia="Arial Unicode MS"/>
          <w:bCs/>
          <w:lang w:eastAsia="fr-FR" w:bidi="he-IL"/>
        </w:rPr>
        <w:t xml:space="preserve"> </w:t>
      </w:r>
      <w:r w:rsidR="00C34890" w:rsidRPr="00C8701B">
        <w:rPr>
          <w:rFonts w:eastAsia="Arial Unicode MS"/>
          <w:bCs/>
          <w:lang w:eastAsia="fr-FR" w:bidi="he-IL"/>
        </w:rPr>
        <w:t>Épiphane</w:t>
      </w:r>
      <w:r w:rsidRPr="00C8701B">
        <w:rPr>
          <w:rFonts w:eastAsia="Arial Unicode MS"/>
          <w:bCs/>
          <w:lang w:eastAsia="fr-FR" w:bidi="he-IL"/>
        </w:rPr>
        <w:t xml:space="preserve"> est bien connu</w:t>
      </w:r>
      <w:r w:rsidR="00C2602D" w:rsidRPr="00C8701B">
        <w:rPr>
          <w:rFonts w:eastAsia="Arial Unicode MS"/>
          <w:bCs/>
          <w:lang w:eastAsia="fr-FR" w:bidi="he-IL"/>
        </w:rPr>
        <w:t> :</w:t>
      </w:r>
      <w:r w:rsidRPr="00DC4586">
        <w:rPr>
          <w:rStyle w:val="italicus"/>
        </w:rPr>
        <w:t xml:space="preserve"> </w:t>
      </w:r>
      <w:r w:rsidR="00C34890" w:rsidRPr="00DC4586">
        <w:rPr>
          <w:rStyle w:val="italicus"/>
        </w:rPr>
        <w:t>Sexcénta</w:t>
      </w:r>
      <w:r w:rsidRPr="00DC4586">
        <w:rPr>
          <w:rStyle w:val="italicus"/>
        </w:rPr>
        <w:t xml:space="preserve"> apud eos</w:t>
      </w:r>
      <w:r w:rsidR="001B4203">
        <w:rPr>
          <w:rFonts w:eastAsia="Arial Unicode MS"/>
          <w:bCs/>
          <w:lang w:eastAsia="fr-FR" w:bidi="he-IL"/>
        </w:rPr>
        <w:t xml:space="preserve"> (gnó</w:t>
      </w:r>
      <w:r w:rsidR="001B4203" w:rsidRPr="00C8701B">
        <w:rPr>
          <w:rFonts w:eastAsia="Arial Unicode MS"/>
          <w:bCs/>
          <w:lang w:eastAsia="fr-FR" w:bidi="he-IL"/>
        </w:rPr>
        <w:t>sticos</w:t>
      </w:r>
      <w:r w:rsidRPr="00C8701B">
        <w:rPr>
          <w:rFonts w:eastAsia="Arial Unicode MS"/>
          <w:bCs/>
          <w:lang w:eastAsia="fr-FR" w:bidi="he-IL"/>
        </w:rPr>
        <w:t>)</w:t>
      </w:r>
      <w:r w:rsidRPr="00DC4586">
        <w:rPr>
          <w:rStyle w:val="italicus"/>
        </w:rPr>
        <w:t xml:space="preserve"> </w:t>
      </w:r>
      <w:r w:rsidR="00C34890" w:rsidRPr="00DC4586">
        <w:rPr>
          <w:rStyle w:val="italicus"/>
        </w:rPr>
        <w:t>scripta</w:t>
      </w:r>
      <w:r w:rsidRPr="00DC4586">
        <w:rPr>
          <w:rStyle w:val="italicus"/>
        </w:rPr>
        <w:t xml:space="preserve"> </w:t>
      </w:r>
      <w:r w:rsidR="00C34890" w:rsidRPr="00DC4586">
        <w:rPr>
          <w:rStyle w:val="italicus"/>
        </w:rPr>
        <w:t>audácter</w:t>
      </w:r>
      <w:r w:rsidR="001B4203">
        <w:rPr>
          <w:rStyle w:val="italicus"/>
        </w:rPr>
        <w:t xml:space="preserve"> confí</w:t>
      </w:r>
      <w:r w:rsidRPr="00DC4586">
        <w:rPr>
          <w:rStyle w:val="italicus"/>
        </w:rPr>
        <w:t>cta sunt</w:t>
      </w:r>
      <w:r w:rsidR="00933C60" w:rsidRPr="00C406FF">
        <w:rPr>
          <w:rStyle w:val="Appelnotedebasdep"/>
        </w:rPr>
        <w:footnoteReference w:id="572"/>
      </w:r>
      <w:r w:rsidRPr="00C8701B">
        <w:rPr>
          <w:rFonts w:eastAsia="Arial Unicode MS"/>
          <w:bCs/>
          <w:lang w:eastAsia="fr-FR" w:bidi="he-IL"/>
        </w:rPr>
        <w:t>. Ainsi donc</w:t>
      </w:r>
      <w:r w:rsidR="00E65435">
        <w:rPr>
          <w:rFonts w:eastAsia="Arial Unicode MS"/>
          <w:bCs/>
          <w:lang w:eastAsia="fr-FR" w:bidi="he-IL"/>
        </w:rPr>
        <w:t xml:space="preserve">, </w:t>
      </w:r>
      <w:r w:rsidR="00C2602D" w:rsidRPr="00C8701B">
        <w:rPr>
          <w:rFonts w:eastAsia="Arial Unicode MS"/>
          <w:bCs/>
          <w:lang w:eastAsia="fr-FR" w:bidi="he-IL"/>
        </w:rPr>
        <w:t>« </w:t>
      </w:r>
      <w:r w:rsidRPr="00C8701B">
        <w:rPr>
          <w:rFonts w:eastAsia="Arial Unicode MS"/>
          <w:bCs/>
          <w:lang w:eastAsia="fr-FR" w:bidi="he-IL"/>
        </w:rPr>
        <w:t>chaque hérésiarque ou chef de secte se faisait un évangile en harmonie avec ses doctrines. Le plus souvent même</w:t>
      </w:r>
      <w:r w:rsidR="00E65435">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était un des évangiles canoniques altérés ou défigurés selon les besoins de la cause. De là les récriminations des Pères... contre les mutilations et falsifications faites par les Cérinthe</w:t>
      </w:r>
      <w:r w:rsidR="00E65435">
        <w:rPr>
          <w:rFonts w:eastAsia="Arial Unicode MS"/>
          <w:bCs/>
          <w:lang w:eastAsia="fr-FR" w:bidi="he-IL"/>
        </w:rPr>
        <w:t xml:space="preserve">, </w:t>
      </w:r>
      <w:r w:rsidRPr="00C8701B">
        <w:rPr>
          <w:rFonts w:eastAsia="Arial Unicode MS"/>
          <w:bCs/>
          <w:lang w:eastAsia="fr-FR" w:bidi="he-IL"/>
        </w:rPr>
        <w:t>les Basilide</w:t>
      </w:r>
      <w:r w:rsidR="00E65435">
        <w:rPr>
          <w:rFonts w:eastAsia="Arial Unicode MS"/>
          <w:bCs/>
          <w:lang w:eastAsia="fr-FR" w:bidi="he-IL"/>
        </w:rPr>
        <w:t xml:space="preserve">, </w:t>
      </w:r>
      <w:r w:rsidR="00C34890">
        <w:rPr>
          <w:rFonts w:eastAsia="Arial Unicode MS"/>
          <w:bCs/>
          <w:lang w:eastAsia="fr-FR" w:bidi="he-IL"/>
        </w:rPr>
        <w:t>les V</w:t>
      </w:r>
      <w:r w:rsidRPr="00C8701B">
        <w:rPr>
          <w:rFonts w:eastAsia="Arial Unicode MS"/>
          <w:bCs/>
          <w:lang w:eastAsia="fr-FR" w:bidi="he-IL"/>
        </w:rPr>
        <w:t>alentin</w:t>
      </w:r>
      <w:r w:rsidR="00E65435">
        <w:rPr>
          <w:rFonts w:eastAsia="Arial Unicode MS"/>
          <w:bCs/>
          <w:lang w:eastAsia="fr-FR" w:bidi="he-IL"/>
        </w:rPr>
        <w:t xml:space="preserve">, </w:t>
      </w:r>
      <w:r w:rsidRPr="00C8701B">
        <w:rPr>
          <w:rFonts w:eastAsia="Arial Unicode MS"/>
          <w:bCs/>
          <w:lang w:eastAsia="fr-FR" w:bidi="he-IL"/>
        </w:rPr>
        <w:t>les Tatien</w:t>
      </w:r>
      <w:r w:rsidR="00E65435">
        <w:rPr>
          <w:rFonts w:eastAsia="Arial Unicode MS"/>
          <w:bCs/>
          <w:lang w:eastAsia="fr-FR" w:bidi="he-IL"/>
        </w:rPr>
        <w:t xml:space="preserve">, </w:t>
      </w:r>
      <w:r w:rsidRPr="00C8701B">
        <w:rPr>
          <w:rFonts w:eastAsia="Arial Unicode MS"/>
          <w:bCs/>
          <w:lang w:eastAsia="fr-FR" w:bidi="he-IL"/>
        </w:rPr>
        <w:t>les Marcion et d</w:t>
      </w:r>
      <w:r w:rsidR="00557DE0">
        <w:rPr>
          <w:rFonts w:eastAsia="Arial Unicode MS"/>
          <w:bCs/>
          <w:lang w:eastAsia="fr-FR" w:bidi="he-IL"/>
        </w:rPr>
        <w:t>’</w:t>
      </w:r>
      <w:r w:rsidR="009769A0">
        <w:rPr>
          <w:rFonts w:eastAsia="Arial Unicode MS"/>
          <w:bCs/>
          <w:lang w:eastAsia="fr-FR" w:bidi="he-IL"/>
        </w:rPr>
        <w:t>autres »</w:t>
      </w:r>
      <w:r w:rsidR="001B4203">
        <w:rPr>
          <w:rStyle w:val="Appelnotedebasdep"/>
          <w:rFonts w:eastAsia="Arial Unicode MS"/>
          <w:bCs/>
          <w:lang w:eastAsia="fr-FR" w:bidi="he-IL"/>
        </w:rPr>
        <w:footnoteReference w:id="573"/>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Ces évangiles hérétiques représentent fort bien</w:t>
      </w:r>
      <w:r w:rsidR="00E65435">
        <w:rPr>
          <w:rFonts w:eastAsia="Arial Unicode MS"/>
          <w:bCs/>
          <w:lang w:eastAsia="fr-FR" w:bidi="he-IL"/>
        </w:rPr>
        <w:t xml:space="preserve">, </w:t>
      </w:r>
      <w:r w:rsidRPr="00C8701B">
        <w:rPr>
          <w:rFonts w:eastAsia="Arial Unicode MS"/>
          <w:bCs/>
          <w:lang w:eastAsia="fr-FR" w:bidi="he-IL"/>
        </w:rPr>
        <w:t>par leur double tendance</w:t>
      </w:r>
      <w:r w:rsidR="00E65435">
        <w:rPr>
          <w:rFonts w:eastAsia="Arial Unicode MS"/>
          <w:bCs/>
          <w:lang w:eastAsia="fr-FR" w:bidi="he-IL"/>
        </w:rPr>
        <w:t xml:space="preserve">, </w:t>
      </w:r>
      <w:r w:rsidRPr="00C8701B">
        <w:rPr>
          <w:rFonts w:eastAsia="Arial Unicode MS"/>
          <w:bCs/>
          <w:lang w:eastAsia="fr-FR" w:bidi="he-IL"/>
        </w:rPr>
        <w:t>les deux factions si funestes contre lesquelles l</w:t>
      </w:r>
      <w:r w:rsidR="00557DE0">
        <w:rPr>
          <w:rFonts w:eastAsia="Arial Unicode MS"/>
          <w:bCs/>
          <w:lang w:eastAsia="fr-FR" w:bidi="he-IL"/>
        </w:rPr>
        <w:t>’</w:t>
      </w:r>
      <w:r w:rsidR="00C8701B">
        <w:rPr>
          <w:rFonts w:eastAsia="Arial Unicode MS"/>
          <w:bCs/>
          <w:lang w:eastAsia="fr-FR" w:bidi="he-IL"/>
        </w:rPr>
        <w:t>Église</w:t>
      </w:r>
      <w:r w:rsidRPr="00C8701B">
        <w:rPr>
          <w:rFonts w:eastAsia="Arial Unicode MS"/>
          <w:bCs/>
          <w:lang w:eastAsia="fr-FR" w:bidi="he-IL"/>
        </w:rPr>
        <w:t xml:space="preserve"> eut tant à lutter au premier et au second siècle</w:t>
      </w:r>
      <w:r w:rsidR="00C2602D" w:rsidRPr="00C8701B">
        <w:rPr>
          <w:rFonts w:eastAsia="Arial Unicode MS"/>
          <w:bCs/>
          <w:lang w:eastAsia="fr-FR" w:bidi="he-IL"/>
        </w:rPr>
        <w:t> :</w:t>
      </w:r>
      <w:r w:rsidRPr="00C8701B">
        <w:rPr>
          <w:rFonts w:eastAsia="Arial Unicode MS"/>
          <w:bCs/>
          <w:lang w:eastAsia="fr-FR" w:bidi="he-IL"/>
        </w:rPr>
        <w:t xml:space="preserve"> la faction ébionite ou judaïsante</w:t>
      </w:r>
      <w:r w:rsidR="00E65435">
        <w:rPr>
          <w:rFonts w:eastAsia="Arial Unicode MS"/>
          <w:bCs/>
          <w:lang w:eastAsia="fr-FR" w:bidi="he-IL"/>
        </w:rPr>
        <w:t xml:space="preserve">, </w:t>
      </w:r>
      <w:r w:rsidRPr="00C8701B">
        <w:rPr>
          <w:rFonts w:eastAsia="Arial Unicode MS"/>
          <w:bCs/>
          <w:lang w:eastAsia="fr-FR" w:bidi="he-IL"/>
        </w:rPr>
        <w:t>et le parti anti</w:t>
      </w:r>
      <w:r w:rsidR="001B4203">
        <w:rPr>
          <w:rFonts w:eastAsia="Arial Unicode MS"/>
          <w:bCs/>
          <w:lang w:eastAsia="fr-FR" w:bidi="he-IL"/>
        </w:rPr>
        <w:t>-</w:t>
      </w:r>
      <w:r w:rsidRPr="00C8701B">
        <w:rPr>
          <w:rFonts w:eastAsia="Arial Unicode MS"/>
          <w:bCs/>
          <w:lang w:eastAsia="fr-FR" w:bidi="he-IL"/>
        </w:rPr>
        <w:t>judaïsant de Marcion.</w:t>
      </w:r>
      <w:r w:rsidR="00C2602D" w:rsidRPr="00C8701B">
        <w:rPr>
          <w:rFonts w:eastAsia="Arial Unicode MS"/>
          <w:bCs/>
          <w:lang w:eastAsia="fr-FR" w:bidi="he-IL"/>
        </w:rPr>
        <w:t xml:space="preserve"> </w:t>
      </w:r>
    </w:p>
    <w:p w:rsidR="00C2602D" w:rsidRPr="00C8701B" w:rsidRDefault="00B704AD" w:rsidP="001B4203">
      <w:pPr>
        <w:rPr>
          <w:rFonts w:eastAsia="Arial Unicode MS"/>
          <w:bCs/>
          <w:lang w:eastAsia="fr-FR" w:bidi="he-IL"/>
        </w:rPr>
      </w:pP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ébionisme eut surtout à son service</w:t>
      </w:r>
      <w:r w:rsidRPr="00DC4586">
        <w:rPr>
          <w:rStyle w:val="italicus"/>
        </w:rPr>
        <w:t xml:space="preserve"> </w:t>
      </w:r>
      <w:r w:rsidR="001B4203" w:rsidRPr="001B4203">
        <w:t>l</w:t>
      </w:r>
      <w:r w:rsidR="00557DE0">
        <w:t>’</w:t>
      </w:r>
      <w:r w:rsidRPr="00DC4586">
        <w:rPr>
          <w:rStyle w:val="italicus"/>
        </w:rPr>
        <w:t>E</w:t>
      </w:r>
      <w:r w:rsidR="00736374">
        <w:rPr>
          <w:rStyle w:val="italicus"/>
        </w:rPr>
        <w:t>vangélium</w:t>
      </w:r>
      <w:r w:rsidRPr="00DC4586">
        <w:rPr>
          <w:rStyle w:val="italicus"/>
        </w:rPr>
        <w:t xml:space="preserve"> juxta </w:t>
      </w:r>
      <w:r w:rsidR="001B4203">
        <w:rPr>
          <w:rStyle w:val="italicus"/>
        </w:rPr>
        <w:t>Hebræ</w:t>
      </w:r>
      <w:r w:rsidRPr="00DC4586">
        <w:rPr>
          <w:rStyle w:val="italicus"/>
        </w:rPr>
        <w:t>os</w:t>
      </w:r>
      <w:r w:rsidR="00E65435">
        <w:rPr>
          <w:rFonts w:eastAsia="Arial Unicode MS"/>
          <w:bCs/>
          <w:lang w:eastAsia="fr-FR" w:bidi="he-IL"/>
        </w:rPr>
        <w:t xml:space="preserve">, </w:t>
      </w:r>
      <w:r w:rsidRPr="00C8701B">
        <w:rPr>
          <w:rFonts w:eastAsia="Arial Unicode MS"/>
          <w:bCs/>
          <w:lang w:eastAsia="fr-FR" w:bidi="he-IL"/>
        </w:rPr>
        <w:t>ou</w:t>
      </w:r>
      <w:r w:rsidR="00E65435">
        <w:rPr>
          <w:rFonts w:eastAsia="Arial Unicode MS"/>
          <w:bCs/>
          <w:lang w:eastAsia="fr-FR" w:bidi="he-IL"/>
        </w:rPr>
        <w:t xml:space="preserve">, </w:t>
      </w:r>
      <w:r w:rsidRPr="00C8701B">
        <w:rPr>
          <w:rFonts w:eastAsia="Arial Unicode MS"/>
          <w:bCs/>
          <w:lang w:eastAsia="fr-FR" w:bidi="he-IL"/>
        </w:rPr>
        <w:t>comme l</w:t>
      </w:r>
      <w:r w:rsidR="00557DE0">
        <w:rPr>
          <w:rFonts w:eastAsia="Arial Unicode MS"/>
          <w:bCs/>
          <w:lang w:eastAsia="fr-FR" w:bidi="he-IL"/>
        </w:rPr>
        <w:t>’</w:t>
      </w:r>
      <w:r w:rsidRPr="00C8701B">
        <w:rPr>
          <w:rFonts w:eastAsia="Arial Unicode MS"/>
          <w:bCs/>
          <w:lang w:eastAsia="fr-FR" w:bidi="he-IL"/>
        </w:rPr>
        <w:t>appellent les Pères grecs</w:t>
      </w:r>
      <w:r w:rsidR="00E65435">
        <w:rPr>
          <w:rFonts w:eastAsia="Arial Unicode MS"/>
          <w:bCs/>
          <w:lang w:eastAsia="fr-FR" w:bidi="he-IL"/>
        </w:rPr>
        <w:t xml:space="preserve">, </w:t>
      </w:r>
      <w:r w:rsidR="00530852" w:rsidRPr="001B4203">
        <w:t>εὐ</w:t>
      </w:r>
      <w:r w:rsidR="00A74F01" w:rsidRPr="001B4203">
        <w:t>α</w:t>
      </w:r>
      <w:r w:rsidRPr="001B4203">
        <w:t>γγελ</w:t>
      </w:r>
      <w:r w:rsidR="001B4203">
        <w:t>ί</w:t>
      </w:r>
      <w:r w:rsidR="00DB523B" w:rsidRPr="001B4203">
        <w:t>ον</w:t>
      </w:r>
      <w:r w:rsidRPr="001B4203">
        <w:t xml:space="preserve"> κ</w:t>
      </w:r>
      <w:r w:rsidR="00A74F01" w:rsidRPr="001B4203">
        <w:t>α</w:t>
      </w:r>
      <w:r w:rsidRPr="001B4203">
        <w:t>τ</w:t>
      </w:r>
      <w:r w:rsidR="00557DE0">
        <w:t>’</w:t>
      </w:r>
      <w:r w:rsidRPr="001B4203">
        <w:t xml:space="preserve"> </w:t>
      </w:r>
      <w:r w:rsidR="001B4203">
        <w:t>Ἑ</w:t>
      </w:r>
      <w:r w:rsidR="001B4203" w:rsidRPr="001B4203">
        <w:t>βραίους</w:t>
      </w:r>
      <w:r w:rsidR="00E65435" w:rsidRPr="001B4203">
        <w:t>,</w:t>
      </w:r>
      <w:r w:rsidR="00E65435">
        <w:rPr>
          <w:rFonts w:eastAsia="Arial Unicode MS"/>
          <w:bCs/>
          <w:lang w:val="el-GR" w:eastAsia="fr-FR" w:bidi="he-IL"/>
        </w:rPr>
        <w:t xml:space="preserve"> </w:t>
      </w:r>
      <w:r w:rsidRPr="00C8701B">
        <w:rPr>
          <w:rFonts w:eastAsia="Arial Unicode MS"/>
          <w:bCs/>
          <w:lang w:eastAsia="fr-FR" w:bidi="he-IL"/>
        </w:rPr>
        <w:t>dont nous avons parlé dans l</w:t>
      </w:r>
      <w:r w:rsidR="00557DE0">
        <w:rPr>
          <w:rFonts w:eastAsia="Arial Unicode MS"/>
          <w:bCs/>
          <w:lang w:eastAsia="fr-FR" w:bidi="he-IL"/>
        </w:rPr>
        <w:t>’</w:t>
      </w:r>
      <w:r w:rsidRPr="00C8701B">
        <w:rPr>
          <w:rFonts w:eastAsia="Arial Unicode MS"/>
          <w:bCs/>
          <w:lang w:eastAsia="fr-FR" w:bidi="he-IL"/>
        </w:rPr>
        <w:t>Introduction particulière qui précède nos commentaires sur S. Matthieu</w:t>
      </w:r>
      <w:r w:rsidR="00933C60" w:rsidRPr="00C406FF">
        <w:rPr>
          <w:rStyle w:val="Appelnotedebasdep"/>
        </w:rPr>
        <w:footnoteReference w:id="574"/>
      </w:r>
      <w:r w:rsidRPr="00C8701B">
        <w:rPr>
          <w:rFonts w:eastAsia="Arial Unicode MS"/>
          <w:bCs/>
          <w:lang w:eastAsia="fr-FR" w:bidi="he-IL"/>
        </w:rPr>
        <w:t>. Cet écrit</w:t>
      </w:r>
      <w:r w:rsidR="00E65435">
        <w:rPr>
          <w:rFonts w:eastAsia="Arial Unicode MS"/>
          <w:bCs/>
          <w:lang w:eastAsia="fr-FR" w:bidi="he-IL"/>
        </w:rPr>
        <w:t xml:space="preserve">, </w:t>
      </w:r>
      <w:r w:rsidRPr="00C8701B">
        <w:rPr>
          <w:rFonts w:eastAsia="Arial Unicode MS"/>
          <w:bCs/>
          <w:lang w:eastAsia="fr-FR" w:bidi="he-IL"/>
        </w:rPr>
        <w:t>composé en araméen</w:t>
      </w:r>
      <w:r w:rsidR="00E65435">
        <w:rPr>
          <w:rFonts w:eastAsia="Arial Unicode MS"/>
          <w:bCs/>
          <w:lang w:eastAsia="fr-FR" w:bidi="he-IL"/>
        </w:rPr>
        <w:t xml:space="preserve">, </w:t>
      </w:r>
      <w:r w:rsidRPr="00C8701B">
        <w:rPr>
          <w:rFonts w:eastAsia="Arial Unicode MS"/>
          <w:bCs/>
          <w:lang w:eastAsia="fr-FR" w:bidi="he-IL"/>
        </w:rPr>
        <w:t>avait de telles</w:t>
      </w:r>
      <w:r w:rsidR="00E65435">
        <w:rPr>
          <w:rFonts w:eastAsia="Arial Unicode MS"/>
          <w:bCs/>
          <w:lang w:eastAsia="fr-FR" w:bidi="he-IL"/>
        </w:rPr>
        <w:t xml:space="preserve">, </w:t>
      </w:r>
      <w:r w:rsidRPr="00C8701B">
        <w:rPr>
          <w:rFonts w:eastAsia="Arial Unicode MS"/>
          <w:bCs/>
          <w:lang w:eastAsia="fr-FR" w:bidi="he-IL"/>
        </w:rPr>
        <w:t xml:space="preserve">ressemblances </w:t>
      </w:r>
      <w:r w:rsidR="00C14040">
        <w:rPr>
          <w:rFonts w:eastAsia="Arial Unicode MS"/>
          <w:bCs/>
          <w:lang w:eastAsia="fr-FR" w:bidi="he-IL"/>
        </w:rPr>
        <w:t>{109</w:t>
      </w:r>
      <w:bookmarkStart w:id="167" w:name="pag109"/>
      <w:bookmarkEnd w:id="167"/>
      <w:r w:rsidR="00366671">
        <w:rPr>
          <w:rFonts w:eastAsia="Arial Unicode MS"/>
          <w:bCs/>
          <w:lang w:eastAsia="fr-FR" w:bidi="he-IL"/>
        </w:rPr>
        <w:t xml:space="preserve">} </w:t>
      </w:r>
      <w:r w:rsidRPr="00C8701B">
        <w:rPr>
          <w:rFonts w:eastAsia="Arial Unicode MS"/>
          <w:bCs/>
          <w:lang w:eastAsia="fr-FR" w:bidi="he-IL"/>
        </w:rPr>
        <w:t>avec notre premier évangile canonique</w:t>
      </w:r>
      <w:r w:rsidR="00E65435">
        <w:rPr>
          <w:rFonts w:eastAsia="Arial Unicode MS"/>
          <w:bCs/>
          <w:lang w:eastAsia="fr-FR" w:bidi="he-IL"/>
        </w:rPr>
        <w:t xml:space="preserve">, </w:t>
      </w:r>
      <w:r w:rsidRPr="00C8701B">
        <w:rPr>
          <w:rFonts w:eastAsia="Arial Unicode MS"/>
          <w:bCs/>
          <w:lang w:eastAsia="fr-FR" w:bidi="he-IL"/>
        </w:rPr>
        <w:t>que S. Jérôme le prit un instant pour le texte original de S. Matthieu</w:t>
      </w:r>
      <w:r w:rsidR="00933C60" w:rsidRPr="00C406FF">
        <w:rPr>
          <w:rStyle w:val="Appelnotedebasdep"/>
        </w:rPr>
        <w:footnoteReference w:id="575"/>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il le traduisit en grec et en latin. Les hérétiques qui s</w:t>
      </w:r>
      <w:r w:rsidR="00557DE0">
        <w:rPr>
          <w:rFonts w:eastAsia="Arial Unicode MS"/>
          <w:bCs/>
          <w:lang w:eastAsia="fr-FR" w:bidi="he-IL"/>
        </w:rPr>
        <w:t>’</w:t>
      </w:r>
      <w:r w:rsidRPr="00C8701B">
        <w:rPr>
          <w:rFonts w:eastAsia="Arial Unicode MS"/>
          <w:bCs/>
          <w:lang w:eastAsia="fr-FR" w:bidi="he-IL"/>
        </w:rPr>
        <w:t>en servaient l</w:t>
      </w:r>
      <w:r w:rsidR="00557DE0">
        <w:rPr>
          <w:rFonts w:eastAsia="Arial Unicode MS"/>
          <w:bCs/>
          <w:lang w:eastAsia="fr-FR" w:bidi="he-IL"/>
        </w:rPr>
        <w:t>’</w:t>
      </w:r>
      <w:r w:rsidRPr="00C8701B">
        <w:rPr>
          <w:rFonts w:eastAsia="Arial Unicode MS"/>
          <w:bCs/>
          <w:lang w:eastAsia="fr-FR" w:bidi="he-IL"/>
        </w:rPr>
        <w:t>attribuèrent fièrement aux douze Apôtres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de là cet autre nom</w:t>
      </w:r>
      <w:r w:rsidR="00C2602D" w:rsidRPr="00C8701B">
        <w:rPr>
          <w:rFonts w:eastAsia="Arial Unicode MS"/>
          <w:bCs/>
          <w:lang w:eastAsia="fr-FR" w:bidi="he-IL"/>
        </w:rPr>
        <w:t> :</w:t>
      </w:r>
      <w:r w:rsidRPr="00C8701B">
        <w:rPr>
          <w:rFonts w:eastAsia="Arial Unicode MS"/>
          <w:bCs/>
          <w:lang w:eastAsia="fr-FR" w:bidi="he-IL"/>
        </w:rPr>
        <w:t xml:space="preserve"> </w:t>
      </w:r>
      <w:r w:rsidR="00C2602D" w:rsidRPr="00C8701B">
        <w:rPr>
          <w:rFonts w:eastAsia="Arial Unicode MS"/>
          <w:bCs/>
          <w:lang w:eastAsia="fr-FR" w:bidi="he-IL"/>
        </w:rPr>
        <w:t>«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évangile des Douze</w:t>
      </w:r>
      <w:r w:rsidR="00C2602D" w:rsidRPr="00C8701B">
        <w:rPr>
          <w:rFonts w:eastAsia="Arial Unicode MS"/>
          <w:bCs/>
          <w:lang w:eastAsia="fr-FR" w:bidi="he-IL"/>
        </w:rPr>
        <w:t> »</w:t>
      </w:r>
      <w:r w:rsidR="00933C60" w:rsidRPr="00C406FF">
        <w:rPr>
          <w:rStyle w:val="Appelnotedebasdep"/>
        </w:rPr>
        <w:footnoteReference w:id="576"/>
      </w:r>
      <w:r w:rsidRPr="00C8701B">
        <w:rPr>
          <w:rFonts w:eastAsia="Arial Unicode MS"/>
          <w:bCs/>
          <w:lang w:eastAsia="fr-FR" w:bidi="he-IL"/>
        </w:rPr>
        <w:t>. Il date probablement de la fin du premier siècle</w:t>
      </w:r>
      <w:r w:rsidR="00E65435">
        <w:rPr>
          <w:rFonts w:eastAsia="Arial Unicode MS"/>
          <w:bCs/>
          <w:lang w:eastAsia="fr-FR" w:bidi="he-IL"/>
        </w:rPr>
        <w:t xml:space="preserve">, </w:t>
      </w:r>
      <w:r w:rsidRPr="00C8701B">
        <w:rPr>
          <w:rFonts w:eastAsia="Arial Unicode MS"/>
          <w:bCs/>
          <w:lang w:eastAsia="fr-FR" w:bidi="he-IL"/>
        </w:rPr>
        <w:t>car il est cité par les écrivains ecclésiastiques les plus anciens. Papias</w:t>
      </w:r>
      <w:r w:rsidR="00933C60" w:rsidRPr="00C406FF">
        <w:rPr>
          <w:rStyle w:val="Appelnotedebasdep"/>
        </w:rPr>
        <w:footnoteReference w:id="577"/>
      </w:r>
      <w:r w:rsidR="00E65435">
        <w:rPr>
          <w:rFonts w:eastAsia="Arial Unicode MS"/>
          <w:bCs/>
          <w:lang w:eastAsia="fr-FR" w:bidi="he-IL"/>
        </w:rPr>
        <w:t xml:space="preserve">, </w:t>
      </w:r>
      <w:r w:rsidRPr="00C8701B">
        <w:rPr>
          <w:rFonts w:eastAsia="Arial Unicode MS"/>
          <w:bCs/>
          <w:lang w:eastAsia="fr-FR" w:bidi="he-IL"/>
        </w:rPr>
        <w:t>S. Ignace Martyr</w:t>
      </w:r>
      <w:r w:rsidR="00933C60" w:rsidRPr="00C406FF">
        <w:rPr>
          <w:rStyle w:val="Appelnotedebasdep"/>
        </w:rPr>
        <w:footnoteReference w:id="578"/>
      </w:r>
      <w:r w:rsidR="00E65435">
        <w:rPr>
          <w:rFonts w:eastAsia="Arial Unicode MS"/>
          <w:bCs/>
          <w:lang w:eastAsia="fr-FR" w:bidi="he-IL"/>
        </w:rPr>
        <w:t xml:space="preserve">, </w:t>
      </w:r>
      <w:r w:rsidRPr="00C8701B">
        <w:rPr>
          <w:rFonts w:eastAsia="Arial Unicode MS"/>
          <w:bCs/>
          <w:lang w:eastAsia="fr-FR" w:bidi="he-IL"/>
        </w:rPr>
        <w:t>Origène</w:t>
      </w:r>
      <w:r w:rsidR="00933C60" w:rsidRPr="00C406FF">
        <w:rPr>
          <w:rStyle w:val="Appelnotedebasdep"/>
        </w:rPr>
        <w:footnoteReference w:id="579"/>
      </w:r>
      <w:r w:rsidR="00E65435">
        <w:rPr>
          <w:rFonts w:eastAsia="Arial Unicode MS"/>
          <w:bCs/>
          <w:lang w:eastAsia="fr-FR" w:bidi="he-IL"/>
        </w:rPr>
        <w:t xml:space="preserve">, </w:t>
      </w:r>
      <w:r w:rsidRPr="00C8701B">
        <w:rPr>
          <w:rFonts w:eastAsia="Arial Unicode MS"/>
          <w:bCs/>
          <w:lang w:eastAsia="fr-FR" w:bidi="he-IL"/>
        </w:rPr>
        <w:t>Clément d</w:t>
      </w:r>
      <w:r w:rsidR="00557DE0">
        <w:rPr>
          <w:rFonts w:eastAsia="Arial Unicode MS"/>
          <w:bCs/>
          <w:lang w:eastAsia="fr-FR" w:bidi="he-IL"/>
        </w:rPr>
        <w:t>’</w:t>
      </w:r>
      <w:r w:rsidRPr="00C8701B">
        <w:rPr>
          <w:rFonts w:eastAsia="Arial Unicode MS"/>
          <w:bCs/>
          <w:lang w:eastAsia="fr-FR" w:bidi="he-IL"/>
        </w:rPr>
        <w:t>Alexandrie</w:t>
      </w:r>
      <w:r w:rsidR="00933C60" w:rsidRPr="00C406FF">
        <w:rPr>
          <w:rStyle w:val="Appelnotedebasdep"/>
        </w:rPr>
        <w:footnoteReference w:id="580"/>
      </w:r>
      <w:r w:rsidR="00E65435">
        <w:rPr>
          <w:rFonts w:eastAsia="Arial Unicode MS"/>
          <w:bCs/>
          <w:lang w:eastAsia="fr-FR" w:bidi="he-IL"/>
        </w:rPr>
        <w:t xml:space="preserve">, </w:t>
      </w:r>
      <w:r w:rsidRPr="00C8701B">
        <w:rPr>
          <w:rFonts w:eastAsia="Arial Unicode MS"/>
          <w:bCs/>
          <w:lang w:eastAsia="fr-FR" w:bidi="he-IL"/>
        </w:rPr>
        <w:t>etc. Nous n</w:t>
      </w:r>
      <w:r w:rsidR="00557DE0">
        <w:rPr>
          <w:rFonts w:eastAsia="Arial Unicode MS"/>
          <w:bCs/>
          <w:lang w:eastAsia="fr-FR" w:bidi="he-IL"/>
        </w:rPr>
        <w:t>’</w:t>
      </w:r>
      <w:r w:rsidRPr="00C8701B">
        <w:rPr>
          <w:rFonts w:eastAsia="Arial Unicode MS"/>
          <w:bCs/>
          <w:lang w:eastAsia="fr-FR" w:bidi="he-IL"/>
        </w:rPr>
        <w:t>en possédons que des fragments</w:t>
      </w:r>
      <w:r w:rsidR="00E65435">
        <w:rPr>
          <w:rFonts w:eastAsia="Arial Unicode MS"/>
          <w:bCs/>
          <w:lang w:eastAsia="fr-FR" w:bidi="he-IL"/>
        </w:rPr>
        <w:t xml:space="preserve">, </w:t>
      </w:r>
      <w:r w:rsidRPr="00C8701B">
        <w:rPr>
          <w:rFonts w:eastAsia="Arial Unicode MS"/>
          <w:bCs/>
          <w:lang w:eastAsia="fr-FR" w:bidi="he-IL"/>
        </w:rPr>
        <w:t>extraits de ces divers écrivains</w:t>
      </w:r>
      <w:r w:rsidR="00E65435">
        <w:rPr>
          <w:rFonts w:eastAsia="Arial Unicode MS"/>
          <w:bCs/>
          <w:lang w:eastAsia="fr-FR" w:bidi="he-IL"/>
        </w:rPr>
        <w:t xml:space="preserve">, </w:t>
      </w:r>
      <w:r w:rsidRPr="00C8701B">
        <w:rPr>
          <w:rFonts w:eastAsia="Arial Unicode MS"/>
          <w:bCs/>
          <w:lang w:eastAsia="fr-FR" w:bidi="he-IL"/>
        </w:rPr>
        <w:t>et collationnés par Fabricius</w:t>
      </w:r>
      <w:r w:rsidR="00933C60" w:rsidRPr="00C406FF">
        <w:rPr>
          <w:rStyle w:val="Appelnotedebasdep"/>
        </w:rPr>
        <w:footnoteReference w:id="581"/>
      </w:r>
      <w:r w:rsidRPr="00C8701B">
        <w:rPr>
          <w:rFonts w:eastAsia="Arial Unicode MS"/>
          <w:bCs/>
          <w:lang w:eastAsia="fr-FR" w:bidi="he-IL"/>
        </w:rPr>
        <w:t>.</w:t>
      </w:r>
      <w:r w:rsidR="00C2602D" w:rsidRPr="00C8701B">
        <w:rPr>
          <w:rFonts w:eastAsia="Arial Unicode MS"/>
          <w:bCs/>
          <w:lang w:eastAsia="fr-FR" w:bidi="he-IL"/>
        </w:rPr>
        <w:t xml:space="preserve"> </w:t>
      </w:r>
    </w:p>
    <w:p w:rsidR="001B4203" w:rsidRDefault="00B704AD" w:rsidP="001B4203">
      <w:pPr>
        <w:rPr>
          <w:rFonts w:eastAsia="Arial Unicode MS"/>
          <w:bCs/>
          <w:lang w:eastAsia="fr-FR" w:bidi="he-IL"/>
        </w:rPr>
      </w:pPr>
      <w:r w:rsidRPr="00C8701B">
        <w:rPr>
          <w:rFonts w:eastAsia="Arial Unicode MS"/>
          <w:bCs/>
          <w:lang w:eastAsia="fr-FR" w:bidi="he-IL"/>
        </w:rPr>
        <w:t>Le gnosticisme de Marcion est représenté par l</w:t>
      </w:r>
      <w:r w:rsidR="00557DE0">
        <w:rPr>
          <w:rFonts w:eastAsia="Arial Unicode MS"/>
          <w:bCs/>
          <w:lang w:eastAsia="fr-FR" w:bidi="he-IL"/>
        </w:rPr>
        <w:t>’</w:t>
      </w:r>
      <w:r w:rsidRPr="00C8701B">
        <w:rPr>
          <w:rFonts w:eastAsia="Arial Unicode MS"/>
          <w:bCs/>
          <w:lang w:eastAsia="fr-FR" w:bidi="he-IL"/>
        </w:rPr>
        <w:t>évangile qui porte le nom de ce fameux hérésiarque. Nous l</w:t>
      </w:r>
      <w:r w:rsidR="00557DE0">
        <w:rPr>
          <w:rFonts w:eastAsia="Arial Unicode MS"/>
          <w:bCs/>
          <w:lang w:eastAsia="fr-FR" w:bidi="he-IL"/>
        </w:rPr>
        <w:t>’</w:t>
      </w:r>
      <w:r w:rsidRPr="00C8701B">
        <w:rPr>
          <w:rFonts w:eastAsia="Arial Unicode MS"/>
          <w:bCs/>
          <w:lang w:eastAsia="fr-FR" w:bidi="he-IL"/>
        </w:rPr>
        <w:t>avons fait connaître dans l</w:t>
      </w:r>
      <w:r w:rsidR="00557DE0">
        <w:rPr>
          <w:rFonts w:eastAsia="Arial Unicode MS"/>
          <w:bCs/>
          <w:lang w:eastAsia="fr-FR" w:bidi="he-IL"/>
        </w:rPr>
        <w:t>’</w:t>
      </w:r>
      <w:r w:rsidRPr="00C8701B">
        <w:rPr>
          <w:rFonts w:eastAsia="Arial Unicode MS"/>
          <w:bCs/>
          <w:lang w:eastAsia="fr-FR" w:bidi="he-IL"/>
        </w:rPr>
        <w:t>introduction à nos commentaires sur l</w:t>
      </w:r>
      <w:r w:rsidR="00557DE0">
        <w:rPr>
          <w:rFonts w:eastAsia="Arial Unicode MS"/>
          <w:bCs/>
          <w:lang w:eastAsia="fr-FR" w:bidi="he-IL"/>
        </w:rPr>
        <w:t>’</w:t>
      </w:r>
      <w:r w:rsidRPr="00C8701B">
        <w:rPr>
          <w:rFonts w:eastAsia="Arial Unicode MS"/>
          <w:bCs/>
          <w:lang w:eastAsia="fr-FR" w:bidi="he-IL"/>
        </w:rPr>
        <w:t>évangile selon S. Luc</w:t>
      </w:r>
      <w:r w:rsidR="00933C60" w:rsidRPr="00C406FF">
        <w:rPr>
          <w:rStyle w:val="Appelnotedebasdep"/>
        </w:rPr>
        <w:footnoteReference w:id="582"/>
      </w:r>
      <w:r w:rsidRPr="00C8701B">
        <w:rPr>
          <w:rFonts w:eastAsia="Arial Unicode MS"/>
          <w:bCs/>
          <w:lang w:eastAsia="fr-FR" w:bidi="he-IL"/>
        </w:rPr>
        <w:t xml:space="preserve">. </w:t>
      </w:r>
    </w:p>
    <w:p w:rsidR="00C2602D" w:rsidRPr="00C8701B" w:rsidRDefault="00B704AD" w:rsidP="001B4203">
      <w:pPr>
        <w:rPr>
          <w:rFonts w:eastAsia="Arial Unicode MS"/>
          <w:bCs/>
          <w:lang w:eastAsia="fr-FR" w:bidi="he-IL"/>
        </w:rPr>
      </w:pPr>
      <w:r w:rsidRPr="00C8701B">
        <w:rPr>
          <w:rFonts w:eastAsia="Arial Unicode MS"/>
          <w:bCs/>
          <w:lang w:eastAsia="fr-FR" w:bidi="he-IL"/>
        </w:rPr>
        <w:t>Les Pères citent encore çà et là</w:t>
      </w:r>
      <w:r w:rsidR="001B4203">
        <w:rPr>
          <w:rFonts w:eastAsia="Arial Unicode MS"/>
          <w:bCs/>
          <w:lang w:eastAsia="fr-FR" w:bidi="he-IL"/>
        </w:rPr>
        <w:t xml:space="preserve"> l</w:t>
      </w:r>
      <w:r w:rsidR="00557DE0">
        <w:rPr>
          <w:rFonts w:eastAsia="Arial Unicode MS"/>
          <w:bCs/>
          <w:lang w:eastAsia="fr-FR" w:bidi="he-IL"/>
        </w:rPr>
        <w:t>’</w:t>
      </w:r>
      <w:r w:rsidR="000439E9" w:rsidRPr="00DC4586">
        <w:rPr>
          <w:rStyle w:val="italicus"/>
        </w:rPr>
        <w:t>Évangile</w:t>
      </w:r>
      <w:r w:rsidR="001B4203">
        <w:rPr>
          <w:rStyle w:val="italicus"/>
        </w:rPr>
        <w:t xml:space="preserve"> de Cérinthe et de Carpocrat</w:t>
      </w:r>
      <w:r w:rsidRPr="00DC4586">
        <w:rPr>
          <w:rStyle w:val="italicus"/>
        </w:rPr>
        <w:t>e</w:t>
      </w:r>
      <w:r w:rsidR="00933C60" w:rsidRPr="00C406FF">
        <w:rPr>
          <w:rStyle w:val="Appelnotedebasdep"/>
        </w:rPr>
        <w:footnoteReference w:id="583"/>
      </w:r>
      <w:r w:rsidR="00E65435">
        <w:rPr>
          <w:rFonts w:eastAsia="Arial Unicode MS"/>
          <w:bCs/>
          <w:lang w:eastAsia="fr-FR" w:bidi="he-IL"/>
        </w:rPr>
        <w:t>,</w:t>
      </w:r>
      <w:r w:rsidR="001B4203">
        <w:rPr>
          <w:rFonts w:eastAsia="Arial Unicode MS"/>
          <w:bCs/>
          <w:lang w:eastAsia="fr-FR" w:bidi="he-IL"/>
        </w:rPr>
        <w:t xml:space="preserve"> l</w:t>
      </w:r>
      <w:r w:rsidR="00557DE0">
        <w:rPr>
          <w:rFonts w:eastAsia="Arial Unicode MS"/>
          <w:bCs/>
          <w:lang w:eastAsia="fr-FR" w:bidi="he-IL"/>
        </w:rPr>
        <w:t>’</w:t>
      </w:r>
      <w:r w:rsidR="000439E9" w:rsidRPr="00DC4586">
        <w:rPr>
          <w:rStyle w:val="italicus"/>
        </w:rPr>
        <w:t>Évangile</w:t>
      </w:r>
      <w:r w:rsidRPr="00DC4586">
        <w:rPr>
          <w:rStyle w:val="italicus"/>
        </w:rPr>
        <w:t xml:space="preserve"> de Pierre</w:t>
      </w:r>
      <w:r w:rsidR="00933C60" w:rsidRPr="00C406FF">
        <w:rPr>
          <w:rStyle w:val="Appelnotedebasdep"/>
        </w:rPr>
        <w:footnoteReference w:id="584"/>
      </w:r>
      <w:r w:rsidR="00E65435">
        <w:rPr>
          <w:rFonts w:eastAsia="Arial Unicode MS"/>
          <w:bCs/>
          <w:lang w:eastAsia="fr-FR" w:bidi="he-IL"/>
        </w:rPr>
        <w:t xml:space="preserve">, </w:t>
      </w:r>
      <w:r w:rsidRPr="00C8701B">
        <w:rPr>
          <w:rFonts w:eastAsia="Arial Unicode MS"/>
          <w:bCs/>
          <w:lang w:eastAsia="fr-FR" w:bidi="he-IL"/>
        </w:rPr>
        <w:t>qui n</w:t>
      </w:r>
      <w:r w:rsidR="00557DE0">
        <w:rPr>
          <w:rFonts w:eastAsia="Arial Unicode MS"/>
          <w:bCs/>
          <w:lang w:eastAsia="fr-FR" w:bidi="he-IL"/>
        </w:rPr>
        <w:t>’</w:t>
      </w:r>
      <w:r w:rsidRPr="00C8701B">
        <w:rPr>
          <w:rFonts w:eastAsia="Arial Unicode MS"/>
          <w:bCs/>
          <w:lang w:eastAsia="fr-FR" w:bidi="he-IL"/>
        </w:rPr>
        <w:t>étaient guère que l</w:t>
      </w:r>
      <w:r w:rsidR="00557DE0">
        <w:rPr>
          <w:rFonts w:eastAsia="Arial Unicode MS"/>
          <w:bCs/>
          <w:lang w:eastAsia="fr-FR" w:bidi="he-IL"/>
        </w:rPr>
        <w:t>’</w:t>
      </w:r>
      <w:r w:rsidR="000439E9">
        <w:rPr>
          <w:rFonts w:eastAsia="Arial Unicode MS"/>
          <w:bCs/>
          <w:lang w:eastAsia="fr-FR" w:bidi="he-IL"/>
        </w:rPr>
        <w:t>Évangile</w:t>
      </w:r>
      <w:r w:rsidRPr="00C8701B">
        <w:rPr>
          <w:rFonts w:eastAsia="Arial Unicode MS"/>
          <w:bCs/>
          <w:lang w:eastAsia="fr-FR" w:bidi="he-IL"/>
        </w:rPr>
        <w:t xml:space="preserve"> des Douze</w:t>
      </w:r>
      <w:r w:rsidR="00E65435">
        <w:rPr>
          <w:rFonts w:eastAsia="Arial Unicode MS"/>
          <w:bCs/>
          <w:lang w:eastAsia="fr-FR" w:bidi="he-IL"/>
        </w:rPr>
        <w:t xml:space="preserve">, </w:t>
      </w:r>
      <w:r w:rsidRPr="00C8701B">
        <w:rPr>
          <w:rFonts w:eastAsia="Arial Unicode MS"/>
          <w:bCs/>
          <w:lang w:eastAsia="fr-FR" w:bidi="he-IL"/>
        </w:rPr>
        <w:t>remanié pour les besoins de nouvelles doctrines hérétiques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 xml:space="preserve">et aussi </w:t>
      </w:r>
      <w:r w:rsidR="001B4203">
        <w:rPr>
          <w:rFonts w:eastAsia="Arial Unicode MS"/>
          <w:bCs/>
          <w:lang w:eastAsia="fr-FR" w:bidi="he-IL"/>
        </w:rPr>
        <w:t>l</w:t>
      </w:r>
      <w:r w:rsidR="00557DE0">
        <w:rPr>
          <w:rFonts w:eastAsia="Arial Unicode MS"/>
          <w:bCs/>
          <w:lang w:eastAsia="fr-FR" w:bidi="he-IL"/>
        </w:rPr>
        <w:t>’</w:t>
      </w:r>
      <w:r w:rsidR="001B4203" w:rsidRPr="001B4203">
        <w:rPr>
          <w:rStyle w:val="italicus"/>
        </w:rPr>
        <w:t>É</w:t>
      </w:r>
      <w:r w:rsidR="000439E9" w:rsidRPr="001B4203">
        <w:rPr>
          <w:rStyle w:val="italicus"/>
        </w:rPr>
        <w:t>vangile</w:t>
      </w:r>
      <w:r w:rsidRPr="001B4203">
        <w:rPr>
          <w:rStyle w:val="italicus"/>
        </w:rPr>
        <w:t xml:space="preserve"> des </w:t>
      </w:r>
      <w:r w:rsidR="00C215A6" w:rsidRPr="001B4203">
        <w:rPr>
          <w:rStyle w:val="italicus"/>
        </w:rPr>
        <w:t>Égypt</w:t>
      </w:r>
      <w:r w:rsidRPr="001B4203">
        <w:rPr>
          <w:rStyle w:val="italicus"/>
        </w:rPr>
        <w:t>iens</w:t>
      </w:r>
      <w:r w:rsidR="00E65435" w:rsidRPr="001B4203">
        <w:rPr>
          <w:rStyle w:val="italicus"/>
        </w:rPr>
        <w:t>,</w:t>
      </w:r>
      <w:r w:rsidR="00E65435">
        <w:rPr>
          <w:rFonts w:eastAsia="Arial Unicode MS"/>
          <w:bCs/>
          <w:lang w:eastAsia="fr-FR" w:bidi="he-IL"/>
        </w:rPr>
        <w:t xml:space="preserve"> </w:t>
      </w:r>
      <w:r w:rsidRPr="00C8701B">
        <w:rPr>
          <w:rFonts w:eastAsia="Arial Unicode MS"/>
          <w:bCs/>
          <w:lang w:eastAsia="fr-FR" w:bidi="he-IL"/>
        </w:rPr>
        <w:t>dont les Sabelliens firent plus tard un assez grand usage</w:t>
      </w:r>
      <w:r w:rsidR="00933C60" w:rsidRPr="00C406FF">
        <w:rPr>
          <w:rStyle w:val="Appelnotedebasdep"/>
        </w:rPr>
        <w:footnoteReference w:id="585"/>
      </w:r>
      <w:r w:rsidRPr="00C8701B">
        <w:rPr>
          <w:rFonts w:eastAsia="Arial Unicode MS"/>
          <w:bCs/>
          <w:lang w:eastAsia="fr-FR" w:bidi="he-IL"/>
        </w:rPr>
        <w:t>. Mais ils ont également péri presque en entier.</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2° Lés évangiles apocryphes de la seconde catégorie durent leur origine</w:t>
      </w:r>
      <w:r w:rsidR="00E65435">
        <w:rPr>
          <w:rFonts w:eastAsia="Arial Unicode MS"/>
          <w:bCs/>
          <w:lang w:eastAsia="fr-FR" w:bidi="he-IL"/>
        </w:rPr>
        <w:t xml:space="preserve">, </w:t>
      </w:r>
      <w:r w:rsidRPr="00C8701B">
        <w:rPr>
          <w:rFonts w:eastAsia="Arial Unicode MS"/>
          <w:bCs/>
          <w:lang w:eastAsia="fr-FR" w:bidi="he-IL"/>
        </w:rPr>
        <w:t>non pas à l</w:t>
      </w:r>
      <w:r w:rsidR="00557DE0">
        <w:rPr>
          <w:rFonts w:eastAsia="Arial Unicode MS"/>
          <w:bCs/>
          <w:lang w:eastAsia="fr-FR" w:bidi="he-IL"/>
        </w:rPr>
        <w:t>’</w:t>
      </w:r>
      <w:r w:rsidRPr="00C8701B">
        <w:rPr>
          <w:rFonts w:eastAsia="Arial Unicode MS"/>
          <w:bCs/>
          <w:lang w:eastAsia="fr-FR" w:bidi="he-IL"/>
        </w:rPr>
        <w:t>imposture</w:t>
      </w:r>
      <w:r w:rsidR="00E65435">
        <w:rPr>
          <w:rFonts w:eastAsia="Arial Unicode MS"/>
          <w:bCs/>
          <w:lang w:eastAsia="fr-FR" w:bidi="he-IL"/>
        </w:rPr>
        <w:t xml:space="preserve">, </w:t>
      </w:r>
      <w:r w:rsidRPr="00C8701B">
        <w:rPr>
          <w:rFonts w:eastAsia="Arial Unicode MS"/>
          <w:bCs/>
          <w:lang w:eastAsia="fr-FR" w:bidi="he-IL"/>
        </w:rPr>
        <w:t>comme les premiers</w:t>
      </w:r>
      <w:r w:rsidR="00E65435">
        <w:rPr>
          <w:rFonts w:eastAsia="Arial Unicode MS"/>
          <w:bCs/>
          <w:lang w:eastAsia="fr-FR" w:bidi="he-IL"/>
        </w:rPr>
        <w:t xml:space="preserve">, </w:t>
      </w:r>
      <w:r w:rsidRPr="00C8701B">
        <w:rPr>
          <w:rFonts w:eastAsia="Arial Unicode MS"/>
          <w:bCs/>
          <w:lang w:eastAsia="fr-FR" w:bidi="he-IL"/>
        </w:rPr>
        <w:t>mais à un zèle exagéré</w:t>
      </w:r>
      <w:r w:rsidR="00E65435">
        <w:rPr>
          <w:rFonts w:eastAsia="Arial Unicode MS"/>
          <w:bCs/>
          <w:lang w:eastAsia="fr-FR" w:bidi="he-IL"/>
        </w:rPr>
        <w:t xml:space="preserve">, </w:t>
      </w:r>
      <w:r w:rsidRPr="00C8701B">
        <w:rPr>
          <w:rFonts w:eastAsia="Arial Unicode MS"/>
          <w:bCs/>
          <w:lang w:eastAsia="fr-FR" w:bidi="he-IL"/>
        </w:rPr>
        <w:t>à une dévotion plus ardente que sage et éclairée pour la personne de N.-S. Jésus-Christ. On voulait tout savoir sur le divin Maître</w:t>
      </w:r>
      <w:r w:rsidR="00E65435">
        <w:rPr>
          <w:rFonts w:eastAsia="Arial Unicode MS"/>
          <w:bCs/>
          <w:lang w:eastAsia="fr-FR" w:bidi="he-IL"/>
        </w:rPr>
        <w:t xml:space="preserve">, </w:t>
      </w:r>
      <w:r w:rsidRPr="00C8701B">
        <w:rPr>
          <w:rFonts w:eastAsia="Arial Unicode MS"/>
          <w:bCs/>
          <w:lang w:eastAsia="fr-FR" w:bidi="he-IL"/>
        </w:rPr>
        <w:t>sur sa Mère</w:t>
      </w:r>
      <w:r w:rsidR="00E65435">
        <w:rPr>
          <w:rFonts w:eastAsia="Arial Unicode MS"/>
          <w:bCs/>
          <w:lang w:eastAsia="fr-FR" w:bidi="he-IL"/>
        </w:rPr>
        <w:t xml:space="preserve">, </w:t>
      </w:r>
      <w:r w:rsidRPr="00C8701B">
        <w:rPr>
          <w:rFonts w:eastAsia="Arial Unicode MS"/>
          <w:bCs/>
          <w:lang w:eastAsia="fr-FR" w:bidi="he-IL"/>
        </w:rPr>
        <w:t>sur son père nourricier</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on désirait spécialement des lumières sur les points de leur vie laissés dans l</w:t>
      </w:r>
      <w:r w:rsidR="00557DE0">
        <w:rPr>
          <w:rFonts w:eastAsia="Arial Unicode MS"/>
          <w:bCs/>
          <w:lang w:eastAsia="fr-FR" w:bidi="he-IL"/>
        </w:rPr>
        <w:t>’</w:t>
      </w:r>
      <w:r w:rsidRPr="00C8701B">
        <w:rPr>
          <w:rFonts w:eastAsia="Arial Unicode MS"/>
          <w:bCs/>
          <w:lang w:eastAsia="fr-FR" w:bidi="he-IL"/>
        </w:rPr>
        <w:t>ombre par les vrais évangiles. Ces détails</w:t>
      </w:r>
      <w:r w:rsidR="00E65435">
        <w:rPr>
          <w:rFonts w:eastAsia="Arial Unicode MS"/>
          <w:bCs/>
          <w:lang w:eastAsia="fr-FR" w:bidi="he-IL"/>
        </w:rPr>
        <w:t xml:space="preserve">, </w:t>
      </w:r>
      <w:r w:rsidRPr="00C8701B">
        <w:rPr>
          <w:rFonts w:eastAsia="Arial Unicode MS"/>
          <w:bCs/>
          <w:lang w:eastAsia="fr-FR" w:bidi="he-IL"/>
        </w:rPr>
        <w:t>ne les possédant pas</w:t>
      </w:r>
      <w:r w:rsidR="00E65435">
        <w:rPr>
          <w:rFonts w:eastAsia="Arial Unicode MS"/>
          <w:bCs/>
          <w:lang w:eastAsia="fr-FR" w:bidi="he-IL"/>
        </w:rPr>
        <w:t xml:space="preserve">, </w:t>
      </w:r>
      <w:r w:rsidRPr="00C8701B">
        <w:rPr>
          <w:rFonts w:eastAsia="Arial Unicode MS"/>
          <w:bCs/>
          <w:lang w:eastAsia="fr-FR" w:bidi="he-IL"/>
        </w:rPr>
        <w:t>on les a inventés peu à peu.</w:t>
      </w:r>
      <w:r w:rsidR="00C2602D" w:rsidRPr="00C8701B">
        <w:rPr>
          <w:rFonts w:eastAsia="Arial Unicode MS"/>
          <w:bCs/>
          <w:lang w:eastAsia="fr-FR" w:bidi="he-IL"/>
        </w:rPr>
        <w:t xml:space="preserve"> </w:t>
      </w:r>
    </w:p>
    <w:p w:rsidR="00C2602D" w:rsidRPr="00C8701B" w:rsidRDefault="00B704AD" w:rsidP="0007083E">
      <w:pPr>
        <w:rPr>
          <w:rFonts w:eastAsia="Arial Unicode MS"/>
          <w:bCs/>
          <w:lang w:eastAsia="fr-FR" w:bidi="he-IL"/>
        </w:rPr>
      </w:pPr>
      <w:r w:rsidRPr="00C8701B">
        <w:rPr>
          <w:rFonts w:eastAsia="Arial Unicode MS"/>
          <w:bCs/>
          <w:lang w:eastAsia="fr-FR" w:bidi="he-IL"/>
        </w:rPr>
        <w:t>Ou</w:t>
      </w:r>
      <w:r w:rsidR="00E65435">
        <w:rPr>
          <w:rFonts w:eastAsia="Arial Unicode MS"/>
          <w:bCs/>
          <w:lang w:eastAsia="fr-FR" w:bidi="he-IL"/>
        </w:rPr>
        <w:t xml:space="preserve">, </w:t>
      </w:r>
      <w:r w:rsidRPr="00C8701B">
        <w:rPr>
          <w:rFonts w:eastAsia="Arial Unicode MS"/>
          <w:bCs/>
          <w:lang w:eastAsia="fr-FR" w:bidi="he-IL"/>
        </w:rPr>
        <w:t>pour exprimer autrement la même pensée</w:t>
      </w:r>
      <w:r w:rsidR="00E65435">
        <w:rPr>
          <w:rFonts w:eastAsia="Arial Unicode MS"/>
          <w:bCs/>
          <w:lang w:eastAsia="fr-FR" w:bidi="he-IL"/>
        </w:rPr>
        <w:t>,</w:t>
      </w:r>
      <w:r w:rsidR="00E37C84">
        <w:rPr>
          <w:rFonts w:eastAsia="Arial Unicode MS"/>
          <w:bCs/>
          <w:lang w:eastAsia="fr-FR" w:bidi="he-IL"/>
        </w:rPr>
        <w:t xml:space="preserve"> « </w:t>
      </w:r>
      <w:r w:rsidRPr="00C8701B">
        <w:rPr>
          <w:rFonts w:eastAsia="Arial Unicode MS"/>
          <w:bCs/>
          <w:lang w:eastAsia="fr-FR" w:bidi="he-IL"/>
        </w:rPr>
        <w:t>si vous cherchez la cause de la faveur démesurée dont ces légendes ont été l</w:t>
      </w:r>
      <w:r w:rsidR="00557DE0">
        <w:rPr>
          <w:rFonts w:eastAsia="Arial Unicode MS"/>
          <w:bCs/>
          <w:lang w:eastAsia="fr-FR" w:bidi="he-IL"/>
        </w:rPr>
        <w:t>’</w:t>
      </w:r>
      <w:r w:rsidRPr="00C8701B">
        <w:rPr>
          <w:rFonts w:eastAsia="Arial Unicode MS"/>
          <w:bCs/>
          <w:lang w:eastAsia="fr-FR" w:bidi="he-IL"/>
        </w:rPr>
        <w:t>objet durant quatorze siècles</w:t>
      </w:r>
      <w:r w:rsidR="00E65435">
        <w:rPr>
          <w:rFonts w:eastAsia="Arial Unicode MS"/>
          <w:bCs/>
          <w:lang w:eastAsia="fr-FR" w:bidi="he-IL"/>
        </w:rPr>
        <w:t xml:space="preserve">, </w:t>
      </w:r>
      <w:r w:rsidRPr="00C8701B">
        <w:rPr>
          <w:rFonts w:eastAsia="Arial Unicode MS"/>
          <w:bCs/>
          <w:lang w:eastAsia="fr-FR" w:bidi="he-IL"/>
        </w:rPr>
        <w:t>si vous demandez le motif de leur multiplicité</w:t>
      </w:r>
      <w:r w:rsidR="00E65435">
        <w:rPr>
          <w:rFonts w:eastAsia="Arial Unicode MS"/>
          <w:bCs/>
          <w:lang w:eastAsia="fr-FR" w:bidi="he-IL"/>
        </w:rPr>
        <w:t xml:space="preserve">, </w:t>
      </w:r>
      <w:r w:rsidRPr="00C8701B">
        <w:rPr>
          <w:rFonts w:eastAsia="Arial Unicode MS"/>
          <w:bCs/>
          <w:lang w:eastAsia="fr-FR" w:bidi="he-IL"/>
        </w:rPr>
        <w:t>interrogez ce besoin de merveilleux dont l</w:t>
      </w:r>
      <w:r w:rsidR="00557DE0">
        <w:rPr>
          <w:rFonts w:eastAsia="Arial Unicode MS"/>
          <w:bCs/>
          <w:lang w:eastAsia="fr-FR" w:bidi="he-IL"/>
        </w:rPr>
        <w:t>’</w:t>
      </w:r>
      <w:r w:rsidRPr="00C8701B">
        <w:rPr>
          <w:rFonts w:eastAsia="Arial Unicode MS"/>
          <w:bCs/>
          <w:lang w:eastAsia="fr-FR" w:bidi="he-IL"/>
        </w:rPr>
        <w:t>homme a constamment subi l</w:t>
      </w:r>
      <w:r w:rsidR="00557DE0">
        <w:rPr>
          <w:rFonts w:eastAsia="Arial Unicode MS"/>
          <w:bCs/>
          <w:lang w:eastAsia="fr-FR" w:bidi="he-IL"/>
        </w:rPr>
        <w:t>’</w:t>
      </w:r>
      <w:r w:rsidRPr="00C8701B">
        <w:rPr>
          <w:rFonts w:eastAsia="Arial Unicode MS"/>
          <w:bCs/>
          <w:lang w:eastAsia="fr-FR" w:bidi="he-IL"/>
        </w:rPr>
        <w:t>influence</w:t>
      </w:r>
      <w:r w:rsidR="00E65435">
        <w:rPr>
          <w:rFonts w:eastAsia="Arial Unicode MS"/>
          <w:bCs/>
          <w:lang w:eastAsia="fr-FR" w:bidi="he-IL"/>
        </w:rPr>
        <w:t xml:space="preserve">, </w:t>
      </w:r>
      <w:r w:rsidRPr="00C8701B">
        <w:rPr>
          <w:rFonts w:eastAsia="Arial Unicode MS"/>
          <w:bCs/>
          <w:lang w:eastAsia="fr-FR" w:bidi="he-IL"/>
        </w:rPr>
        <w:t>qui s</w:t>
      </w:r>
      <w:r w:rsidR="00557DE0">
        <w:rPr>
          <w:rFonts w:eastAsia="Arial Unicode MS"/>
          <w:bCs/>
          <w:lang w:eastAsia="fr-FR" w:bidi="he-IL"/>
        </w:rPr>
        <w:t>’</w:t>
      </w:r>
      <w:r w:rsidR="0007083E">
        <w:rPr>
          <w:rFonts w:eastAsia="Arial Unicode MS"/>
          <w:bCs/>
          <w:lang w:eastAsia="fr-FR" w:bidi="he-IL"/>
        </w:rPr>
        <w:t>es</w:t>
      </w:r>
      <w:r w:rsidRPr="00C8701B">
        <w:rPr>
          <w:rFonts w:eastAsia="Arial Unicode MS"/>
          <w:bCs/>
          <w:lang w:eastAsia="fr-FR" w:bidi="he-IL"/>
        </w:rPr>
        <w:t>t à chaque instant manifesté dans l</w:t>
      </w:r>
      <w:r w:rsidR="00557DE0">
        <w:rPr>
          <w:rFonts w:eastAsia="Arial Unicode MS"/>
          <w:bCs/>
          <w:lang w:eastAsia="fr-FR" w:bidi="he-IL"/>
        </w:rPr>
        <w:t>’</w:t>
      </w:r>
      <w:r w:rsidRPr="00C8701B">
        <w:rPr>
          <w:rFonts w:eastAsia="Arial Unicode MS"/>
          <w:bCs/>
          <w:lang w:eastAsia="fr-FR" w:bidi="he-IL"/>
        </w:rPr>
        <w:t>Orient avec une vivacité toute particulière</w:t>
      </w:r>
      <w:r w:rsidR="00E65435">
        <w:rPr>
          <w:rFonts w:eastAsia="Arial Unicode MS"/>
          <w:bCs/>
          <w:lang w:eastAsia="fr-FR" w:bidi="he-IL"/>
        </w:rPr>
        <w:t xml:space="preserve">, </w:t>
      </w:r>
      <w:r w:rsidRPr="00C8701B">
        <w:rPr>
          <w:rFonts w:eastAsia="Arial Unicode MS"/>
          <w:bCs/>
          <w:lang w:eastAsia="fr-FR" w:bidi="he-IL"/>
        </w:rPr>
        <w:t>et dont la société nouvelle ne pouvait se défendre malgré la sévérité</w:t>
      </w:r>
      <w:r w:rsidR="00E65435">
        <w:rPr>
          <w:rFonts w:eastAsia="Arial Unicode MS"/>
          <w:bCs/>
          <w:lang w:eastAsia="fr-FR" w:bidi="he-IL"/>
        </w:rPr>
        <w:t xml:space="preserve">, </w:t>
      </w:r>
      <w:r w:rsidRPr="00C8701B">
        <w:rPr>
          <w:rFonts w:eastAsia="Arial Unicode MS"/>
          <w:bCs/>
          <w:lang w:eastAsia="fr-FR" w:bidi="he-IL"/>
        </w:rPr>
        <w:t>malgré la gravité de ses croyances immuables. Ces gentils encore imbus des fables de la mythologie</w:t>
      </w:r>
      <w:r w:rsidR="00E65435">
        <w:rPr>
          <w:rFonts w:eastAsia="Arial Unicode MS"/>
          <w:bCs/>
          <w:lang w:eastAsia="fr-FR" w:bidi="he-IL"/>
        </w:rPr>
        <w:t xml:space="preserve">, </w:t>
      </w:r>
      <w:r w:rsidRPr="00C8701B">
        <w:rPr>
          <w:rFonts w:eastAsia="Arial Unicode MS"/>
          <w:bCs/>
          <w:lang w:eastAsia="fr-FR" w:bidi="he-IL"/>
        </w:rPr>
        <w:t>ces juifs convertis</w:t>
      </w:r>
      <w:r w:rsidR="00E65435">
        <w:rPr>
          <w:rFonts w:eastAsia="Arial Unicode MS"/>
          <w:bCs/>
          <w:lang w:eastAsia="fr-FR" w:bidi="he-IL"/>
        </w:rPr>
        <w:t xml:space="preserve">, </w:t>
      </w:r>
      <w:r w:rsidRPr="00C8701B">
        <w:rPr>
          <w:rFonts w:eastAsia="Arial Unicode MS"/>
          <w:bCs/>
          <w:lang w:eastAsia="fr-FR" w:bidi="he-IL"/>
        </w:rPr>
        <w:t>mais la tête pleine des merveilles qu</w:t>
      </w:r>
      <w:r w:rsidR="00557DE0">
        <w:rPr>
          <w:rFonts w:eastAsia="Arial Unicode MS"/>
          <w:bCs/>
          <w:lang w:eastAsia="fr-FR" w:bidi="he-IL"/>
        </w:rPr>
        <w:t>’</w:t>
      </w:r>
      <w:r w:rsidRPr="00C8701B">
        <w:rPr>
          <w:rFonts w:eastAsia="Arial Unicode MS"/>
          <w:bCs/>
          <w:lang w:eastAsia="fr-FR" w:bidi="he-IL"/>
        </w:rPr>
        <w:t>enfantait l</w:t>
      </w:r>
      <w:r w:rsidR="00557DE0">
        <w:rPr>
          <w:rFonts w:eastAsia="Arial Unicode MS"/>
          <w:bCs/>
          <w:lang w:eastAsia="fr-FR" w:bidi="he-IL"/>
        </w:rPr>
        <w:t>’</w:t>
      </w:r>
      <w:r w:rsidRPr="00C8701B">
        <w:rPr>
          <w:rFonts w:eastAsia="Arial Unicode MS"/>
          <w:bCs/>
          <w:lang w:eastAsia="fr-FR" w:bidi="he-IL"/>
        </w:rPr>
        <w:t>imagination des rabbins</w:t>
      </w:r>
      <w:r w:rsidR="00E65435">
        <w:rPr>
          <w:rFonts w:eastAsia="Arial Unicode MS"/>
          <w:bCs/>
          <w:lang w:eastAsia="fr-FR" w:bidi="he-IL"/>
        </w:rPr>
        <w:t xml:space="preserve">, </w:t>
      </w:r>
      <w:r w:rsidR="00366671">
        <w:rPr>
          <w:rFonts w:eastAsia="Arial Unicode MS"/>
          <w:bCs/>
          <w:lang w:eastAsia="fr-FR" w:bidi="he-IL"/>
        </w:rPr>
        <w:t>{110</w:t>
      </w:r>
      <w:bookmarkStart w:id="168" w:name="pag110"/>
      <w:bookmarkEnd w:id="168"/>
      <w:r w:rsidR="00366671">
        <w:rPr>
          <w:rFonts w:eastAsia="Arial Unicode MS"/>
          <w:bCs/>
          <w:lang w:eastAsia="fr-FR" w:bidi="he-IL"/>
        </w:rPr>
        <w:t xml:space="preserve">} </w:t>
      </w:r>
      <w:r w:rsidRPr="00C8701B">
        <w:rPr>
          <w:rFonts w:eastAsia="Arial Unicode MS"/>
          <w:bCs/>
          <w:lang w:eastAsia="fr-FR" w:bidi="he-IL"/>
        </w:rPr>
        <w:t>ces néophytes d</w:t>
      </w:r>
      <w:r w:rsidR="00557DE0">
        <w:rPr>
          <w:rFonts w:eastAsia="Arial Unicode MS"/>
          <w:bCs/>
          <w:lang w:eastAsia="fr-FR" w:bidi="he-IL"/>
        </w:rPr>
        <w:t>’</w:t>
      </w:r>
      <w:r w:rsidRPr="00C8701B">
        <w:rPr>
          <w:rFonts w:eastAsia="Arial Unicode MS"/>
          <w:bCs/>
          <w:lang w:eastAsia="fr-FR" w:bidi="he-IL"/>
        </w:rPr>
        <w:t>hier</w:t>
      </w:r>
      <w:r w:rsidR="00E65435">
        <w:rPr>
          <w:rFonts w:eastAsia="Arial Unicode MS"/>
          <w:bCs/>
          <w:lang w:eastAsia="fr-FR" w:bidi="he-IL"/>
        </w:rPr>
        <w:t xml:space="preserve">, </w:t>
      </w:r>
      <w:r w:rsidRPr="00C8701B">
        <w:rPr>
          <w:rFonts w:eastAsia="Arial Unicode MS"/>
          <w:bCs/>
          <w:lang w:eastAsia="fr-FR" w:bidi="he-IL"/>
        </w:rPr>
        <w:t>épars à Jérusalem</w:t>
      </w:r>
      <w:r w:rsidR="00E65435">
        <w:rPr>
          <w:rFonts w:eastAsia="Arial Unicode MS"/>
          <w:bCs/>
          <w:lang w:eastAsia="fr-FR" w:bidi="he-IL"/>
        </w:rPr>
        <w:t xml:space="preserve">, </w:t>
      </w:r>
      <w:r w:rsidRPr="00C8701B">
        <w:rPr>
          <w:rFonts w:eastAsia="Arial Unicode MS"/>
          <w:bCs/>
          <w:lang w:eastAsia="fr-FR" w:bidi="he-IL"/>
        </w:rPr>
        <w:t>à Alexandrie</w:t>
      </w:r>
      <w:r w:rsidR="00E65435">
        <w:rPr>
          <w:rFonts w:eastAsia="Arial Unicode MS"/>
          <w:bCs/>
          <w:lang w:eastAsia="fr-FR" w:bidi="he-IL"/>
        </w:rPr>
        <w:t xml:space="preserve">, </w:t>
      </w:r>
      <w:r w:rsidRPr="00C8701B">
        <w:rPr>
          <w:rFonts w:eastAsia="Arial Unicode MS"/>
          <w:bCs/>
          <w:lang w:eastAsia="fr-FR" w:bidi="he-IL"/>
        </w:rPr>
        <w:t xml:space="preserve">à </w:t>
      </w:r>
      <w:r w:rsidR="00EA28F4" w:rsidRPr="00C8701B">
        <w:rPr>
          <w:rFonts w:eastAsia="Arial Unicode MS"/>
          <w:bCs/>
          <w:lang w:eastAsia="fr-FR" w:bidi="he-IL"/>
        </w:rPr>
        <w:t>Éphèse</w:t>
      </w:r>
      <w:r w:rsidR="00E65435">
        <w:rPr>
          <w:rFonts w:eastAsia="Arial Unicode MS"/>
          <w:bCs/>
          <w:lang w:eastAsia="fr-FR" w:bidi="he-IL"/>
        </w:rPr>
        <w:t xml:space="preserve">, </w:t>
      </w:r>
      <w:r w:rsidRPr="00C8701B">
        <w:rPr>
          <w:rFonts w:eastAsia="Arial Unicode MS"/>
          <w:bCs/>
          <w:lang w:eastAsia="fr-FR" w:bidi="he-IL"/>
        </w:rPr>
        <w:t>ne pouvaient si vite vaincre leur penchant pour les fictions. Ce fut toujours le propre des peuples d</w:t>
      </w:r>
      <w:r w:rsidR="00557DE0">
        <w:rPr>
          <w:rFonts w:eastAsia="Arial Unicode MS"/>
          <w:bCs/>
          <w:lang w:eastAsia="fr-FR" w:bidi="he-IL"/>
        </w:rPr>
        <w:t>’</w:t>
      </w:r>
      <w:r w:rsidRPr="00C8701B">
        <w:rPr>
          <w:rFonts w:eastAsia="Arial Unicode MS"/>
          <w:bCs/>
          <w:lang w:eastAsia="fr-FR" w:bidi="he-IL"/>
        </w:rPr>
        <w:t>Orient d</w:t>
      </w:r>
      <w:r w:rsidR="00557DE0">
        <w:rPr>
          <w:rFonts w:eastAsia="Arial Unicode MS"/>
          <w:bCs/>
          <w:lang w:eastAsia="fr-FR" w:bidi="he-IL"/>
        </w:rPr>
        <w:t>’</w:t>
      </w:r>
      <w:r w:rsidRPr="00C8701B">
        <w:rPr>
          <w:rFonts w:eastAsia="Arial Unicode MS"/>
          <w:bCs/>
          <w:lang w:eastAsia="fr-FR" w:bidi="he-IL"/>
        </w:rPr>
        <w:t>entremêler le conte</w:t>
      </w:r>
      <w:r w:rsidR="00E65435">
        <w:rPr>
          <w:rFonts w:eastAsia="Arial Unicode MS"/>
          <w:bCs/>
          <w:lang w:eastAsia="fr-FR" w:bidi="he-IL"/>
        </w:rPr>
        <w:t xml:space="preserve">, </w:t>
      </w:r>
      <w:r w:rsidRPr="00C8701B">
        <w:rPr>
          <w:rFonts w:eastAsia="Arial Unicode MS"/>
          <w:bCs/>
          <w:lang w:eastAsia="fr-FR" w:bidi="he-IL"/>
        </w:rPr>
        <w:t>la parabole</w:t>
      </w:r>
      <w:r w:rsidR="00E65435">
        <w:rPr>
          <w:rFonts w:eastAsia="Arial Unicode MS"/>
          <w:bCs/>
          <w:lang w:eastAsia="fr-FR" w:bidi="he-IL"/>
        </w:rPr>
        <w:t xml:space="preserve">, </w:t>
      </w:r>
      <w:r w:rsidRPr="00C8701B">
        <w:rPr>
          <w:rFonts w:eastAsia="Arial Unicode MS"/>
          <w:bCs/>
          <w:lang w:eastAsia="fr-FR" w:bidi="he-IL"/>
        </w:rPr>
        <w:t>aux matières les plus graves. Aussi</w:t>
      </w:r>
      <w:r w:rsidR="00C87A2B">
        <w:rPr>
          <w:rFonts w:eastAsia="Arial Unicode MS"/>
          <w:bCs/>
          <w:lang w:eastAsia="fr-FR" w:bidi="he-IL"/>
        </w:rPr>
        <w:t>...</w:t>
      </w:r>
      <w:r w:rsidRPr="00C8701B">
        <w:rPr>
          <w:rFonts w:eastAsia="Arial Unicode MS"/>
          <w:bCs/>
          <w:lang w:eastAsia="fr-FR" w:bidi="he-IL"/>
        </w:rPr>
        <w:t>. les écrits apocryphes surgissent(-ils) de toute part</w:t>
      </w:r>
      <w:r w:rsidR="00C2602D" w:rsidRPr="00C8701B">
        <w:rPr>
          <w:rFonts w:eastAsia="Arial Unicode MS"/>
          <w:bCs/>
          <w:lang w:eastAsia="fr-FR" w:bidi="he-IL"/>
        </w:rPr>
        <w:t> »</w:t>
      </w:r>
      <w:r w:rsidR="00933C60" w:rsidRPr="00C406FF">
        <w:rPr>
          <w:rStyle w:val="Appelnotedebasdep"/>
        </w:rPr>
        <w:footnoteReference w:id="586"/>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Ces écrits furent beaucoup plus nombreux que ceux qui provenaient d</w:t>
      </w:r>
      <w:r w:rsidR="00557DE0">
        <w:rPr>
          <w:rFonts w:eastAsia="Arial Unicode MS"/>
          <w:bCs/>
          <w:lang w:eastAsia="fr-FR" w:bidi="he-IL"/>
        </w:rPr>
        <w:t>’</w:t>
      </w:r>
      <w:r w:rsidRPr="00C8701B">
        <w:rPr>
          <w:rFonts w:eastAsia="Arial Unicode MS"/>
          <w:bCs/>
          <w:lang w:eastAsia="fr-FR" w:bidi="he-IL"/>
        </w:rPr>
        <w:t>une tendance hérétique. D</w:t>
      </w:r>
      <w:r w:rsidR="00557DE0">
        <w:rPr>
          <w:rFonts w:eastAsia="Arial Unicode MS"/>
          <w:bCs/>
          <w:lang w:eastAsia="fr-FR" w:bidi="he-IL"/>
        </w:rPr>
        <w:t>’</w:t>
      </w:r>
      <w:r w:rsidR="0007083E">
        <w:rPr>
          <w:rFonts w:eastAsia="Arial Unicode MS"/>
          <w:bCs/>
          <w:lang w:eastAsia="fr-FR" w:bidi="he-IL"/>
        </w:rPr>
        <w:t>après les citat</w:t>
      </w:r>
      <w:r w:rsidRPr="00C8701B">
        <w:rPr>
          <w:rFonts w:eastAsia="Arial Unicode MS"/>
          <w:bCs/>
          <w:lang w:eastAsia="fr-FR" w:bidi="he-IL"/>
        </w:rPr>
        <w:t>ions qu</w:t>
      </w:r>
      <w:r w:rsidR="00557DE0">
        <w:rPr>
          <w:rFonts w:eastAsia="Arial Unicode MS"/>
          <w:bCs/>
          <w:lang w:eastAsia="fr-FR" w:bidi="he-IL"/>
        </w:rPr>
        <w:t>’</w:t>
      </w:r>
      <w:r w:rsidRPr="00C8701B">
        <w:rPr>
          <w:rFonts w:eastAsia="Arial Unicode MS"/>
          <w:bCs/>
          <w:lang w:eastAsia="fr-FR" w:bidi="he-IL"/>
        </w:rPr>
        <w:t>en font les Pères</w:t>
      </w:r>
      <w:r w:rsidR="00E65435">
        <w:rPr>
          <w:rFonts w:eastAsia="Arial Unicode MS"/>
          <w:bCs/>
          <w:lang w:eastAsia="fr-FR" w:bidi="he-IL"/>
        </w:rPr>
        <w:t xml:space="preserve">, </w:t>
      </w:r>
      <w:r w:rsidRPr="00C8701B">
        <w:rPr>
          <w:rFonts w:eastAsia="Arial Unicode MS"/>
          <w:bCs/>
          <w:lang w:eastAsia="fr-FR" w:bidi="he-IL"/>
        </w:rPr>
        <w:t>on en compterait plus de cinquante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mais il est vraisemblable qu</w:t>
      </w:r>
      <w:r w:rsidR="00557DE0">
        <w:rPr>
          <w:rFonts w:eastAsia="Arial Unicode MS"/>
          <w:bCs/>
          <w:lang w:eastAsia="fr-FR" w:bidi="he-IL"/>
        </w:rPr>
        <w:t>’</w:t>
      </w:r>
      <w:r w:rsidRPr="00C8701B">
        <w:rPr>
          <w:rFonts w:eastAsia="Arial Unicode MS"/>
          <w:bCs/>
          <w:lang w:eastAsia="fr-FR" w:bidi="he-IL"/>
        </w:rPr>
        <w:t xml:space="preserve">un seul et même évangile est désigné sous divers noms. Plusieurs ont disparu </w:t>
      </w:r>
      <w:r w:rsidR="0007083E" w:rsidRPr="00C8701B">
        <w:rPr>
          <w:rFonts w:eastAsia="Arial Unicode MS"/>
          <w:bCs/>
          <w:lang w:eastAsia="fr-FR" w:bidi="he-IL"/>
        </w:rPr>
        <w:t>complètement</w:t>
      </w:r>
      <w:r w:rsidR="00E65435">
        <w:rPr>
          <w:rFonts w:eastAsia="Arial Unicode MS"/>
          <w:bCs/>
          <w:lang w:eastAsia="fr-FR" w:bidi="he-IL"/>
        </w:rPr>
        <w:t xml:space="preserve">, </w:t>
      </w:r>
      <w:r w:rsidRPr="00C8701B">
        <w:rPr>
          <w:rFonts w:eastAsia="Arial Unicode MS"/>
          <w:bCs/>
          <w:lang w:eastAsia="fr-FR" w:bidi="he-IL"/>
        </w:rPr>
        <w:t>entre autres l</w:t>
      </w:r>
      <w:r w:rsidR="00557DE0">
        <w:rPr>
          <w:rFonts w:eastAsia="Arial Unicode MS"/>
          <w:bCs/>
          <w:lang w:eastAsia="fr-FR" w:bidi="he-IL"/>
        </w:rPr>
        <w:t>’</w:t>
      </w:r>
      <w:r w:rsidR="000439E9">
        <w:rPr>
          <w:rFonts w:eastAsia="Arial Unicode MS"/>
          <w:bCs/>
          <w:lang w:eastAsia="fr-FR" w:bidi="he-IL"/>
        </w:rPr>
        <w:t>Évangile</w:t>
      </w:r>
      <w:r w:rsidRPr="00C8701B">
        <w:rPr>
          <w:rFonts w:eastAsia="Arial Unicode MS"/>
          <w:bCs/>
          <w:lang w:eastAsia="fr-FR" w:bidi="he-IL"/>
        </w:rPr>
        <w:t xml:space="preserve"> d</w:t>
      </w:r>
      <w:r w:rsidR="00557DE0">
        <w:rPr>
          <w:rFonts w:eastAsia="Arial Unicode MS"/>
          <w:bCs/>
          <w:lang w:eastAsia="fr-FR" w:bidi="he-IL"/>
        </w:rPr>
        <w:t>’</w:t>
      </w:r>
      <w:r w:rsidR="0007083E" w:rsidRPr="00C8701B">
        <w:rPr>
          <w:rFonts w:eastAsia="Arial Unicode MS"/>
          <w:bCs/>
          <w:lang w:eastAsia="fr-FR" w:bidi="he-IL"/>
        </w:rPr>
        <w:t>Ève</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000439E9">
        <w:rPr>
          <w:rFonts w:eastAsia="Arial Unicode MS"/>
          <w:bCs/>
          <w:lang w:eastAsia="fr-FR" w:bidi="he-IL"/>
        </w:rPr>
        <w:t>Évangile</w:t>
      </w:r>
      <w:r w:rsidRPr="00C8701B">
        <w:rPr>
          <w:rFonts w:eastAsia="Arial Unicode MS"/>
          <w:bCs/>
          <w:lang w:eastAsia="fr-FR" w:bidi="he-IL"/>
        </w:rPr>
        <w:t xml:space="preserve"> de Saint </w:t>
      </w:r>
      <w:r w:rsidR="0007083E" w:rsidRPr="00C8701B">
        <w:rPr>
          <w:rFonts w:eastAsia="Arial Unicode MS"/>
          <w:bCs/>
          <w:lang w:eastAsia="fr-FR" w:bidi="he-IL"/>
        </w:rPr>
        <w:t>Barnabé</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000439E9">
        <w:rPr>
          <w:rFonts w:eastAsia="Arial Unicode MS"/>
          <w:bCs/>
          <w:lang w:eastAsia="fr-FR" w:bidi="he-IL"/>
        </w:rPr>
        <w:t>Évangile</w:t>
      </w:r>
      <w:r w:rsidRPr="00C8701B">
        <w:rPr>
          <w:rFonts w:eastAsia="Arial Unicode MS"/>
          <w:bCs/>
          <w:lang w:eastAsia="fr-FR" w:bidi="he-IL"/>
        </w:rPr>
        <w:t xml:space="preserve"> de Judas Iscariote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mais il nous en reste sept à l</w:t>
      </w:r>
      <w:r w:rsidR="00557DE0">
        <w:rPr>
          <w:rFonts w:eastAsia="Arial Unicode MS"/>
          <w:bCs/>
          <w:lang w:eastAsia="fr-FR" w:bidi="he-IL"/>
        </w:rPr>
        <w:t>’</w:t>
      </w:r>
      <w:r w:rsidRPr="00C8701B">
        <w:rPr>
          <w:rFonts w:eastAsia="Arial Unicode MS"/>
          <w:bCs/>
          <w:lang w:eastAsia="fr-FR" w:bidi="he-IL"/>
        </w:rPr>
        <w:t>état complet</w:t>
      </w:r>
      <w:r w:rsidR="00E65435">
        <w:rPr>
          <w:rFonts w:eastAsia="Arial Unicode MS"/>
          <w:bCs/>
          <w:lang w:eastAsia="fr-FR" w:bidi="he-IL"/>
        </w:rPr>
        <w:t xml:space="preserve">, </w:t>
      </w:r>
      <w:r w:rsidRPr="00C8701B">
        <w:rPr>
          <w:rFonts w:eastAsia="Arial Unicode MS"/>
          <w:bCs/>
          <w:lang w:eastAsia="fr-FR" w:bidi="he-IL"/>
        </w:rPr>
        <w:t>dont nous allons désormais nous occuper exclusivement.</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II.</w:t>
      </w:r>
      <w:bookmarkStart w:id="169" w:name="evin1402"/>
      <w:bookmarkEnd w:id="169"/>
      <w:r w:rsidRPr="00DC4586">
        <w:rPr>
          <w:rStyle w:val="italicus"/>
        </w:rPr>
        <w:t xml:space="preserve"> Nature des évangiles apocryphes.</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Orthodoxes dans la plus grande partie de leurs récits</w:t>
      </w:r>
      <w:r w:rsidR="00E65435">
        <w:rPr>
          <w:rFonts w:eastAsia="Arial Unicode MS"/>
          <w:bCs/>
          <w:lang w:eastAsia="fr-FR" w:bidi="he-IL"/>
        </w:rPr>
        <w:t xml:space="preserve">, </w:t>
      </w:r>
      <w:r w:rsidRPr="00C8701B">
        <w:rPr>
          <w:rFonts w:eastAsia="Arial Unicode MS"/>
          <w:bCs/>
          <w:lang w:eastAsia="fr-FR" w:bidi="he-IL"/>
        </w:rPr>
        <w:t>ils reflètent çà et là les erreurs du temps</w:t>
      </w:r>
      <w:r w:rsidR="00E65435">
        <w:rPr>
          <w:rFonts w:eastAsia="Arial Unicode MS"/>
          <w:bCs/>
          <w:lang w:eastAsia="fr-FR" w:bidi="he-IL"/>
        </w:rPr>
        <w:t xml:space="preserve">, </w:t>
      </w:r>
      <w:r w:rsidRPr="00C8701B">
        <w:rPr>
          <w:rFonts w:eastAsia="Arial Unicode MS"/>
          <w:bCs/>
          <w:lang w:eastAsia="fr-FR" w:bidi="he-IL"/>
        </w:rPr>
        <w:t>et ils portent presque tous des traces manifestes de l</w:t>
      </w:r>
      <w:r w:rsidR="00557DE0">
        <w:rPr>
          <w:rFonts w:eastAsia="Arial Unicode MS"/>
          <w:bCs/>
          <w:lang w:eastAsia="fr-FR" w:bidi="he-IL"/>
        </w:rPr>
        <w:t>’</w:t>
      </w:r>
      <w:r w:rsidRPr="00C8701B">
        <w:rPr>
          <w:rFonts w:eastAsia="Arial Unicode MS"/>
          <w:bCs/>
          <w:lang w:eastAsia="fr-FR" w:bidi="he-IL"/>
        </w:rPr>
        <w:t>existence du gnosticisme</w:t>
      </w:r>
      <w:r w:rsidR="00933C60" w:rsidRPr="00C406FF">
        <w:rPr>
          <w:rStyle w:val="Appelnotedebasdep"/>
        </w:rPr>
        <w:footnoteReference w:id="587"/>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07083E" w:rsidRDefault="00B704AD" w:rsidP="00C2602D">
      <w:r w:rsidRPr="00C8701B">
        <w:rPr>
          <w:rFonts w:eastAsia="Arial Unicode MS"/>
          <w:bCs/>
          <w:lang w:eastAsia="fr-FR" w:bidi="he-IL"/>
        </w:rPr>
        <w:t>Aucun d</w:t>
      </w:r>
      <w:r w:rsidR="00557DE0">
        <w:rPr>
          <w:rFonts w:eastAsia="Arial Unicode MS"/>
          <w:bCs/>
          <w:lang w:eastAsia="fr-FR" w:bidi="he-IL"/>
        </w:rPr>
        <w:t>’</w:t>
      </w:r>
      <w:r w:rsidRPr="00C8701B">
        <w:rPr>
          <w:rFonts w:eastAsia="Arial Unicode MS"/>
          <w:bCs/>
          <w:lang w:eastAsia="fr-FR" w:bidi="he-IL"/>
        </w:rPr>
        <w:t>eux n</w:t>
      </w:r>
      <w:r w:rsidR="00557DE0">
        <w:rPr>
          <w:rFonts w:eastAsia="Arial Unicode MS"/>
          <w:bCs/>
          <w:lang w:eastAsia="fr-FR" w:bidi="he-IL"/>
        </w:rPr>
        <w:t>’</w:t>
      </w:r>
      <w:r w:rsidRPr="00C8701B">
        <w:rPr>
          <w:rFonts w:eastAsia="Arial Unicode MS"/>
          <w:bCs/>
          <w:lang w:eastAsia="fr-FR" w:bidi="he-IL"/>
        </w:rPr>
        <w:t>embrasse le cycle entier de l</w:t>
      </w:r>
      <w:r w:rsidR="00557DE0">
        <w:rPr>
          <w:rFonts w:eastAsia="Arial Unicode MS"/>
          <w:bCs/>
          <w:lang w:eastAsia="fr-FR" w:bidi="he-IL"/>
        </w:rPr>
        <w:t>’</w:t>
      </w:r>
      <w:r w:rsidRPr="00C8701B">
        <w:rPr>
          <w:rFonts w:eastAsia="Arial Unicode MS"/>
          <w:bCs/>
          <w:lang w:eastAsia="fr-FR" w:bidi="he-IL"/>
        </w:rPr>
        <w:t>histoire évangélique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mais ils se bornent à raconter</w:t>
      </w:r>
      <w:r w:rsidR="00E65435">
        <w:rPr>
          <w:rFonts w:eastAsia="Arial Unicode MS"/>
          <w:bCs/>
          <w:lang w:eastAsia="fr-FR" w:bidi="he-IL"/>
        </w:rPr>
        <w:t xml:space="preserve">, </w:t>
      </w:r>
      <w:r w:rsidRPr="00C8701B">
        <w:rPr>
          <w:rFonts w:eastAsia="Arial Unicode MS"/>
          <w:bCs/>
          <w:lang w:eastAsia="fr-FR" w:bidi="he-IL"/>
        </w:rPr>
        <w:t>avec des détails multiples</w:t>
      </w:r>
      <w:r w:rsidR="00E65435">
        <w:rPr>
          <w:rFonts w:eastAsia="Arial Unicode MS"/>
          <w:bCs/>
          <w:lang w:eastAsia="fr-FR" w:bidi="he-IL"/>
        </w:rPr>
        <w:t xml:space="preserve">, </w:t>
      </w:r>
      <w:r w:rsidRPr="00C8701B">
        <w:rPr>
          <w:rFonts w:eastAsia="Arial Unicode MS"/>
          <w:bCs/>
          <w:lang w:eastAsia="fr-FR" w:bidi="he-IL"/>
        </w:rPr>
        <w:t>tantôt l</w:t>
      </w:r>
      <w:r w:rsidR="00557DE0">
        <w:rPr>
          <w:rFonts w:eastAsia="Arial Unicode MS"/>
          <w:bCs/>
          <w:lang w:eastAsia="fr-FR" w:bidi="he-IL"/>
        </w:rPr>
        <w:t>’</w:t>
      </w:r>
      <w:r w:rsidRPr="00C8701B">
        <w:rPr>
          <w:rFonts w:eastAsia="Arial Unicode MS"/>
          <w:bCs/>
          <w:lang w:eastAsia="fr-FR" w:bidi="he-IL"/>
        </w:rPr>
        <w:t>histoire de l</w:t>
      </w:r>
      <w:r w:rsidR="00557DE0">
        <w:rPr>
          <w:rFonts w:eastAsia="Arial Unicode MS"/>
          <w:bCs/>
          <w:lang w:eastAsia="fr-FR" w:bidi="he-IL"/>
        </w:rPr>
        <w:t>’</w:t>
      </w:r>
      <w:r w:rsidRPr="00C8701B">
        <w:rPr>
          <w:rFonts w:eastAsia="Arial Unicode MS"/>
          <w:bCs/>
          <w:lang w:eastAsia="fr-FR" w:bidi="he-IL"/>
        </w:rPr>
        <w:t>enfance de N.-S. Jésus-Christ et de sa vie cachée</w:t>
      </w:r>
      <w:r w:rsidR="00E65435">
        <w:rPr>
          <w:rFonts w:eastAsia="Arial Unicode MS"/>
          <w:bCs/>
          <w:lang w:eastAsia="fr-FR" w:bidi="he-IL"/>
        </w:rPr>
        <w:t xml:space="preserve">, </w:t>
      </w:r>
      <w:r w:rsidRPr="00C8701B">
        <w:rPr>
          <w:rFonts w:eastAsia="Arial Unicode MS"/>
          <w:bCs/>
          <w:lang w:eastAsia="fr-FR" w:bidi="he-IL"/>
        </w:rPr>
        <w:t>à laquelle ils rattachent parfois celle de Marie ou de Joseph</w:t>
      </w:r>
      <w:r w:rsidR="00E65435">
        <w:rPr>
          <w:rFonts w:eastAsia="Arial Unicode MS"/>
          <w:bCs/>
          <w:lang w:eastAsia="fr-FR" w:bidi="he-IL"/>
        </w:rPr>
        <w:t xml:space="preserve">, </w:t>
      </w:r>
      <w:r w:rsidRPr="00C8701B">
        <w:rPr>
          <w:rFonts w:eastAsia="Arial Unicode MS"/>
          <w:bCs/>
          <w:lang w:eastAsia="fr-FR" w:bidi="he-IL"/>
        </w:rPr>
        <w:t>tantôt l</w:t>
      </w:r>
      <w:r w:rsidR="00557DE0">
        <w:rPr>
          <w:rFonts w:eastAsia="Arial Unicode MS"/>
          <w:bCs/>
          <w:lang w:eastAsia="fr-FR" w:bidi="he-IL"/>
        </w:rPr>
        <w:t>’</w:t>
      </w:r>
      <w:r w:rsidRPr="00C8701B">
        <w:rPr>
          <w:rFonts w:eastAsia="Arial Unicode MS"/>
          <w:bCs/>
          <w:lang w:eastAsia="fr-FR" w:bidi="he-IL"/>
        </w:rPr>
        <w:t>histoire de sa passion et de sa mort. C</w:t>
      </w:r>
      <w:r w:rsidR="00557DE0">
        <w:rPr>
          <w:rFonts w:eastAsia="Arial Unicode MS"/>
          <w:bCs/>
          <w:lang w:eastAsia="fr-FR" w:bidi="he-IL"/>
        </w:rPr>
        <w:t>’</w:t>
      </w:r>
      <w:r w:rsidRPr="00C8701B">
        <w:rPr>
          <w:rFonts w:eastAsia="Arial Unicode MS"/>
          <w:bCs/>
          <w:lang w:eastAsia="fr-FR" w:bidi="he-IL"/>
        </w:rPr>
        <w:t>est même au premier de ces deux sujets qu</w:t>
      </w:r>
      <w:r w:rsidR="00557DE0">
        <w:rPr>
          <w:rFonts w:eastAsia="Arial Unicode MS"/>
          <w:bCs/>
          <w:lang w:eastAsia="fr-FR" w:bidi="he-IL"/>
        </w:rPr>
        <w:t>’</w:t>
      </w:r>
      <w:r w:rsidRPr="00C8701B">
        <w:rPr>
          <w:rFonts w:eastAsia="Arial Unicode MS"/>
          <w:bCs/>
          <w:lang w:eastAsia="fr-FR" w:bidi="he-IL"/>
        </w:rPr>
        <w:t xml:space="preserve">ils se </w:t>
      </w:r>
      <w:r w:rsidRPr="0007083E">
        <w:t>consacrent plus volontiers</w:t>
      </w:r>
      <w:r w:rsidR="00E65435" w:rsidRPr="0007083E">
        <w:t xml:space="preserve">, </w:t>
      </w:r>
      <w:r w:rsidRPr="0007083E">
        <w:t>car des révélations nouvelles sur la vie cachée du Sauveur int</w:t>
      </w:r>
      <w:r w:rsidR="0007083E" w:rsidRPr="0007083E">
        <w:t>éressaient particulièrement la c</w:t>
      </w:r>
      <w:r w:rsidRPr="0007083E">
        <w:t>uriosité des fidèles</w:t>
      </w:r>
      <w:r w:rsidR="00E65435" w:rsidRPr="0007083E">
        <w:t xml:space="preserve">, </w:t>
      </w:r>
      <w:r w:rsidRPr="0007083E">
        <w:t>vu le petit nombre de faits racontés par les évangiles canoniques. De là deux classes très distinctes</w:t>
      </w:r>
      <w:r w:rsidR="00E65435" w:rsidRPr="0007083E">
        <w:t xml:space="preserve">, </w:t>
      </w:r>
      <w:r w:rsidRPr="0007083E">
        <w:t>dont l</w:t>
      </w:r>
      <w:r w:rsidR="00557DE0">
        <w:t>’</w:t>
      </w:r>
      <w:r w:rsidRPr="0007083E">
        <w:t>une comprend les écrits relatifs à la naissance</w:t>
      </w:r>
      <w:r w:rsidR="00E65435" w:rsidRPr="0007083E">
        <w:t xml:space="preserve">, </w:t>
      </w:r>
      <w:r w:rsidRPr="0007083E">
        <w:t>à l</w:t>
      </w:r>
      <w:r w:rsidR="00557DE0">
        <w:t>’</w:t>
      </w:r>
      <w:r w:rsidRPr="0007083E">
        <w:t>enfance et à l</w:t>
      </w:r>
      <w:r w:rsidR="00557DE0">
        <w:t>’</w:t>
      </w:r>
      <w:r w:rsidRPr="0007083E">
        <w:t>adolescence de Jésus</w:t>
      </w:r>
      <w:r w:rsidR="00C2602D" w:rsidRPr="0007083E">
        <w:t> </w:t>
      </w:r>
      <w:r w:rsidR="007F6508" w:rsidRPr="0007083E">
        <w:t xml:space="preserve">; </w:t>
      </w:r>
      <w:r w:rsidRPr="0007083E">
        <w:t>l</w:t>
      </w:r>
      <w:r w:rsidR="00557DE0">
        <w:t>’</w:t>
      </w:r>
      <w:r w:rsidRPr="0007083E">
        <w:t>autre</w:t>
      </w:r>
      <w:r w:rsidR="00E65435" w:rsidRPr="0007083E">
        <w:t xml:space="preserve">, </w:t>
      </w:r>
      <w:r w:rsidRPr="0007083E">
        <w:t>les récits qui prétendent compléter l</w:t>
      </w:r>
      <w:r w:rsidR="00557DE0">
        <w:t>’</w:t>
      </w:r>
      <w:r w:rsidRPr="0007083E">
        <w:t>histoire de sa passion et de sa résurrection.</w:t>
      </w:r>
      <w:r w:rsidR="00C2602D" w:rsidRPr="0007083E">
        <w:t xml:space="preserve"> </w:t>
      </w:r>
    </w:p>
    <w:p w:rsidR="00C2602D" w:rsidRPr="00C8701B" w:rsidRDefault="0014311E" w:rsidP="0007083E">
      <w:pPr>
        <w:rPr>
          <w:rFonts w:eastAsia="Arial Unicode MS"/>
          <w:bCs/>
          <w:lang w:eastAsia="fr-FR" w:bidi="he-IL"/>
        </w:rPr>
      </w:pPr>
      <w:r w:rsidRPr="0007083E">
        <w:t>1°</w:t>
      </w:r>
      <w:bookmarkStart w:id="170" w:name="evin140301"/>
      <w:bookmarkEnd w:id="170"/>
      <w:r w:rsidR="00B704AD" w:rsidRPr="0007083E">
        <w:t xml:space="preserve"> Première classe</w:t>
      </w:r>
      <w:r w:rsidR="00C2602D" w:rsidRPr="0007083E">
        <w:t> :</w:t>
      </w:r>
      <w:r w:rsidR="00B704AD" w:rsidRPr="0007083E">
        <w:t xml:space="preserve"> les évangiles apocryphes des premières années du Sauveur.</w:t>
      </w:r>
      <w:r w:rsidR="000F7DAA" w:rsidRPr="0007083E">
        <w:t xml:space="preserve"> —</w:t>
      </w:r>
      <w:r w:rsidR="008D0642" w:rsidRPr="0007083E">
        <w:t xml:space="preserve"> </w:t>
      </w:r>
      <w:r w:rsidR="00B704AD" w:rsidRPr="0007083E">
        <w:t>Ils sont au nombre de six</w:t>
      </w:r>
      <w:r w:rsidR="00C2602D" w:rsidRPr="0007083E">
        <w:t> :</w:t>
      </w:r>
      <w:r w:rsidR="0007083E" w:rsidRPr="0007083E">
        <w:t xml:space="preserve"> le Protévangile</w:t>
      </w:r>
      <w:r w:rsidR="00B704AD" w:rsidRPr="0007083E">
        <w:t xml:space="preserve"> de Jacques</w:t>
      </w:r>
      <w:r w:rsidR="00E65435" w:rsidRPr="0007083E">
        <w:t xml:space="preserve">, </w:t>
      </w:r>
      <w:r w:rsidR="00B704AD" w:rsidRPr="0007083E">
        <w:t>l</w:t>
      </w:r>
      <w:r w:rsidR="00557DE0">
        <w:t>’</w:t>
      </w:r>
      <w:r w:rsidR="000439E9" w:rsidRPr="0007083E">
        <w:t>Évangile</w:t>
      </w:r>
      <w:r w:rsidR="00B704AD" w:rsidRPr="0007083E">
        <w:t xml:space="preserve"> de Thomas l</w:t>
      </w:r>
      <w:r w:rsidR="00557DE0">
        <w:t>’</w:t>
      </w:r>
      <w:r w:rsidR="00B704AD" w:rsidRPr="0007083E">
        <w:t>Israélite</w:t>
      </w:r>
      <w:r w:rsidR="00E65435" w:rsidRPr="0007083E">
        <w:t xml:space="preserve">, </w:t>
      </w:r>
      <w:r w:rsidR="00B704AD" w:rsidRPr="0007083E">
        <w:t>l</w:t>
      </w:r>
      <w:r w:rsidR="00557DE0">
        <w:t>’</w:t>
      </w:r>
      <w:r w:rsidR="00B704AD" w:rsidRPr="0007083E">
        <w:t>Histoire de Joseph le Charpentier</w:t>
      </w:r>
      <w:r w:rsidR="00E65435" w:rsidRPr="0007083E">
        <w:t xml:space="preserve">, </w:t>
      </w:r>
      <w:r w:rsidR="00B704AD" w:rsidRPr="0007083E">
        <w:t>l</w:t>
      </w:r>
      <w:r w:rsidR="00557DE0">
        <w:t>’</w:t>
      </w:r>
      <w:r w:rsidR="000439E9" w:rsidRPr="0007083E">
        <w:t>Évangile</w:t>
      </w:r>
      <w:r w:rsidR="00B704AD" w:rsidRPr="0007083E">
        <w:t xml:space="preserve"> du Pseudo-Matthieu</w:t>
      </w:r>
      <w:r w:rsidR="00E65435" w:rsidRPr="0007083E">
        <w:t xml:space="preserve">, </w:t>
      </w:r>
      <w:r w:rsidR="00B704AD" w:rsidRPr="0007083E">
        <w:t>l</w:t>
      </w:r>
      <w:r w:rsidR="00557DE0">
        <w:t>’</w:t>
      </w:r>
      <w:r w:rsidR="000439E9" w:rsidRPr="0007083E">
        <w:t>Évangile</w:t>
      </w:r>
      <w:r w:rsidR="00B704AD" w:rsidRPr="0007083E">
        <w:t xml:space="preserve"> de la Nativité de Marie</w:t>
      </w:r>
      <w:r w:rsidR="00E65435" w:rsidRPr="0007083E">
        <w:t xml:space="preserve">, </w:t>
      </w:r>
      <w:r w:rsidR="0007083E" w:rsidRPr="0007083E">
        <w:t>l</w:t>
      </w:r>
      <w:r w:rsidR="00557DE0">
        <w:t>’</w:t>
      </w:r>
      <w:r w:rsidR="0007083E" w:rsidRPr="0007083E">
        <w:t>Évangile</w:t>
      </w:r>
      <w:r w:rsidR="00B704AD" w:rsidRPr="0007083E">
        <w:t xml:space="preserve"> arabe de l</w:t>
      </w:r>
      <w:r w:rsidR="00557DE0">
        <w:t>’</w:t>
      </w:r>
      <w:r w:rsidR="00B704AD" w:rsidRPr="0007083E">
        <w:t>Enfance. Les trois premiers ont servi visiblement</w:t>
      </w:r>
      <w:r w:rsidR="00B704AD" w:rsidRPr="00C8701B">
        <w:rPr>
          <w:rFonts w:eastAsia="Arial Unicode MS"/>
          <w:bCs/>
          <w:lang w:eastAsia="fr-FR" w:bidi="he-IL"/>
        </w:rPr>
        <w:t xml:space="preserve"> de types aux trois autres</w:t>
      </w:r>
      <w:r w:rsidR="00E65435">
        <w:rPr>
          <w:rFonts w:eastAsia="Arial Unicode MS"/>
          <w:bCs/>
          <w:lang w:eastAsia="fr-FR" w:bidi="he-IL"/>
        </w:rPr>
        <w:t xml:space="preserve">, </w:t>
      </w:r>
      <w:r w:rsidR="00B704AD" w:rsidRPr="00C8701B">
        <w:rPr>
          <w:rFonts w:eastAsia="Arial Unicode MS"/>
          <w:bCs/>
          <w:lang w:eastAsia="fr-FR" w:bidi="he-IL"/>
        </w:rPr>
        <w:t>qui ne sont guère que des</w:t>
      </w:r>
      <w:r w:rsidR="0007083E">
        <w:rPr>
          <w:rFonts w:eastAsia="Arial Unicode MS"/>
          <w:bCs/>
          <w:lang w:eastAsia="fr-FR" w:bidi="he-IL"/>
        </w:rPr>
        <w:t xml:space="preserve"> </w:t>
      </w:r>
      <w:r w:rsidR="00B704AD" w:rsidRPr="00C8701B">
        <w:rPr>
          <w:rFonts w:eastAsia="Arial Unicode MS"/>
          <w:bCs/>
          <w:lang w:eastAsia="fr-FR" w:bidi="he-IL"/>
        </w:rPr>
        <w:t>œuvres de seconde main</w:t>
      </w:r>
      <w:r w:rsidR="00E65435">
        <w:rPr>
          <w:rFonts w:eastAsia="Arial Unicode MS"/>
          <w:bCs/>
          <w:lang w:eastAsia="fr-FR" w:bidi="he-IL"/>
        </w:rPr>
        <w:t xml:space="preserve">, </w:t>
      </w:r>
      <w:r w:rsidR="00B704AD" w:rsidRPr="00C8701B">
        <w:rPr>
          <w:rFonts w:eastAsia="Arial Unicode MS"/>
          <w:bCs/>
          <w:lang w:eastAsia="fr-FR" w:bidi="he-IL"/>
        </w:rPr>
        <w:t>empruntant</w:t>
      </w:r>
      <w:r w:rsidR="00E65435">
        <w:rPr>
          <w:rFonts w:eastAsia="Arial Unicode MS"/>
          <w:bCs/>
          <w:lang w:eastAsia="fr-FR" w:bidi="he-IL"/>
        </w:rPr>
        <w:t xml:space="preserve">, </w:t>
      </w:r>
      <w:r w:rsidR="00B704AD" w:rsidRPr="00C8701B">
        <w:rPr>
          <w:rFonts w:eastAsia="Arial Unicode MS"/>
          <w:bCs/>
          <w:lang w:eastAsia="fr-FR" w:bidi="he-IL"/>
        </w:rPr>
        <w:t>groupant et remaniant les épisodes primitifs. Ajoutons encore que</w:t>
      </w:r>
      <w:r w:rsidR="00E65435">
        <w:rPr>
          <w:rFonts w:eastAsia="Arial Unicode MS"/>
          <w:bCs/>
          <w:lang w:eastAsia="fr-FR" w:bidi="he-IL"/>
        </w:rPr>
        <w:t xml:space="preserve">, </w:t>
      </w:r>
      <w:r w:rsidR="00B704AD" w:rsidRPr="00C8701B">
        <w:rPr>
          <w:rFonts w:eastAsia="Arial Unicode MS"/>
          <w:bCs/>
          <w:lang w:eastAsia="fr-FR" w:bidi="he-IL"/>
        </w:rPr>
        <w:t xml:space="preserve">dans le </w:t>
      </w:r>
      <w:r w:rsidR="0007083E" w:rsidRPr="00C8701B">
        <w:rPr>
          <w:rFonts w:eastAsia="Arial Unicode MS"/>
          <w:bCs/>
          <w:lang w:eastAsia="fr-FR" w:bidi="he-IL"/>
        </w:rPr>
        <w:t>Protévangile</w:t>
      </w:r>
      <w:r w:rsidR="00B704AD" w:rsidRPr="00C8701B">
        <w:rPr>
          <w:rFonts w:eastAsia="Arial Unicode MS"/>
          <w:bCs/>
          <w:lang w:eastAsia="fr-FR" w:bidi="he-IL"/>
        </w:rPr>
        <w:t xml:space="preserve"> de S. Jacques</w:t>
      </w:r>
      <w:r w:rsidR="00E65435">
        <w:rPr>
          <w:rFonts w:eastAsia="Arial Unicode MS"/>
          <w:bCs/>
          <w:lang w:eastAsia="fr-FR" w:bidi="he-IL"/>
        </w:rPr>
        <w:t xml:space="preserve">, </w:t>
      </w:r>
      <w:r w:rsidR="00B704AD" w:rsidRPr="00C8701B">
        <w:rPr>
          <w:rFonts w:eastAsia="Arial Unicode MS"/>
          <w:bCs/>
          <w:lang w:eastAsia="fr-FR" w:bidi="he-IL"/>
        </w:rPr>
        <w:t>dans l</w:t>
      </w:r>
      <w:r w:rsidR="00557DE0">
        <w:rPr>
          <w:rFonts w:eastAsia="Arial Unicode MS"/>
          <w:bCs/>
          <w:lang w:eastAsia="fr-FR" w:bidi="he-IL"/>
        </w:rPr>
        <w:t>’</w:t>
      </w:r>
      <w:r w:rsidR="000439E9">
        <w:rPr>
          <w:rFonts w:eastAsia="Arial Unicode MS"/>
          <w:bCs/>
          <w:lang w:eastAsia="fr-FR" w:bidi="he-IL"/>
        </w:rPr>
        <w:t>Évangile</w:t>
      </w:r>
      <w:r w:rsidR="00B704AD" w:rsidRPr="00C8701B">
        <w:rPr>
          <w:rFonts w:eastAsia="Arial Unicode MS"/>
          <w:bCs/>
          <w:lang w:eastAsia="fr-FR" w:bidi="he-IL"/>
        </w:rPr>
        <w:t xml:space="preserve"> de Thomas</w:t>
      </w:r>
      <w:r w:rsidR="00C2602D" w:rsidRPr="00C8701B">
        <w:rPr>
          <w:rFonts w:eastAsia="Arial Unicode MS"/>
          <w:bCs/>
          <w:lang w:eastAsia="fr-FR" w:bidi="he-IL"/>
        </w:rPr>
        <w:t xml:space="preserve"> </w:t>
      </w:r>
      <w:r w:rsidR="0007083E">
        <w:rPr>
          <w:rFonts w:eastAsia="Arial Unicode MS"/>
          <w:bCs/>
          <w:lang w:eastAsia="fr-FR" w:bidi="he-IL"/>
        </w:rPr>
        <w:t>l</w:t>
      </w:r>
      <w:r w:rsidR="00557DE0">
        <w:rPr>
          <w:rFonts w:eastAsia="Arial Unicode MS"/>
          <w:bCs/>
          <w:lang w:eastAsia="fr-FR" w:bidi="he-IL"/>
        </w:rPr>
        <w:t>’</w:t>
      </w:r>
      <w:r w:rsidR="00B704AD" w:rsidRPr="00C8701B">
        <w:rPr>
          <w:rFonts w:eastAsia="Arial Unicode MS"/>
          <w:bCs/>
          <w:lang w:eastAsia="fr-FR" w:bidi="he-IL"/>
        </w:rPr>
        <w:t>Israélite et dans l</w:t>
      </w:r>
      <w:r w:rsidR="00557DE0">
        <w:rPr>
          <w:rFonts w:eastAsia="Arial Unicode MS"/>
          <w:bCs/>
          <w:lang w:eastAsia="fr-FR" w:bidi="he-IL"/>
        </w:rPr>
        <w:t>’</w:t>
      </w:r>
      <w:r w:rsidR="000439E9">
        <w:rPr>
          <w:rFonts w:eastAsia="Arial Unicode MS"/>
          <w:bCs/>
          <w:lang w:eastAsia="fr-FR" w:bidi="he-IL"/>
        </w:rPr>
        <w:t>Évangile</w:t>
      </w:r>
      <w:r w:rsidR="00B704AD" w:rsidRPr="00C8701B">
        <w:rPr>
          <w:rFonts w:eastAsia="Arial Unicode MS"/>
          <w:bCs/>
          <w:lang w:eastAsia="fr-FR" w:bidi="he-IL"/>
        </w:rPr>
        <w:t xml:space="preserve"> du Pseudo-Matthieu</w:t>
      </w:r>
      <w:r w:rsidR="00E65435">
        <w:rPr>
          <w:rFonts w:eastAsia="Arial Unicode MS"/>
          <w:bCs/>
          <w:lang w:eastAsia="fr-FR" w:bidi="he-IL"/>
        </w:rPr>
        <w:t xml:space="preserve">, </w:t>
      </w:r>
      <w:r w:rsidR="00B704AD" w:rsidRPr="00C8701B">
        <w:rPr>
          <w:rFonts w:eastAsia="Arial Unicode MS"/>
          <w:bCs/>
          <w:lang w:eastAsia="fr-FR" w:bidi="he-IL"/>
        </w:rPr>
        <w:t>la sainte Vierge joue le rôle principal</w:t>
      </w:r>
      <w:r w:rsidR="00E65435">
        <w:rPr>
          <w:rFonts w:eastAsia="Arial Unicode MS"/>
          <w:bCs/>
          <w:lang w:eastAsia="fr-FR" w:bidi="he-IL"/>
        </w:rPr>
        <w:t xml:space="preserve">, </w:t>
      </w:r>
      <w:r w:rsidR="00B704AD" w:rsidRPr="00C8701B">
        <w:rPr>
          <w:rFonts w:eastAsia="Arial Unicode MS"/>
          <w:bCs/>
          <w:lang w:eastAsia="fr-FR" w:bidi="he-IL"/>
        </w:rPr>
        <w:t>de même que S. Joseph obtient la part prépondérante dans l</w:t>
      </w:r>
      <w:r w:rsidR="00557DE0">
        <w:rPr>
          <w:rFonts w:eastAsia="Arial Unicode MS"/>
          <w:bCs/>
          <w:lang w:eastAsia="fr-FR" w:bidi="he-IL"/>
        </w:rPr>
        <w:t>’</w:t>
      </w:r>
      <w:r w:rsidR="00B704AD" w:rsidRPr="00C8701B">
        <w:rPr>
          <w:rFonts w:eastAsia="Arial Unicode MS"/>
          <w:bCs/>
          <w:lang w:eastAsia="fr-FR" w:bidi="he-IL"/>
        </w:rPr>
        <w:t>Histoire de Joseph le Charpentier.</w:t>
      </w:r>
      <w:r w:rsidR="000F7DAA">
        <w:rPr>
          <w:rFonts w:eastAsia="Arial Unicode MS"/>
          <w:bCs/>
          <w:lang w:eastAsia="fr-FR" w:bidi="he-IL"/>
        </w:rPr>
        <w:t xml:space="preserve"> —</w:t>
      </w:r>
      <w:r w:rsidR="008D0642">
        <w:rPr>
          <w:rFonts w:eastAsia="Arial Unicode MS"/>
          <w:bCs/>
          <w:lang w:eastAsia="fr-FR" w:bidi="he-IL"/>
        </w:rPr>
        <w:t xml:space="preserve"> </w:t>
      </w:r>
      <w:r w:rsidR="00B704AD" w:rsidRPr="00C8701B">
        <w:rPr>
          <w:rFonts w:eastAsia="Arial Unicode MS"/>
          <w:bCs/>
          <w:lang w:eastAsia="fr-FR" w:bidi="he-IL"/>
        </w:rPr>
        <w:t>Nous allons décrire rapidement chacune de ces six narrations.</w:t>
      </w:r>
      <w:r w:rsidR="00C2602D" w:rsidRPr="00C8701B">
        <w:rPr>
          <w:rFonts w:eastAsia="Arial Unicode MS"/>
          <w:bCs/>
          <w:lang w:eastAsia="fr-FR" w:bidi="he-IL"/>
        </w:rPr>
        <w:t xml:space="preserve"> </w:t>
      </w:r>
    </w:p>
    <w:p w:rsidR="00C2602D" w:rsidRDefault="0007083E" w:rsidP="00C2602D">
      <w:pPr>
        <w:rPr>
          <w:rFonts w:eastAsia="Arial Unicode MS"/>
          <w:bCs/>
          <w:lang w:eastAsia="fr-FR" w:bidi="he-IL"/>
        </w:rPr>
      </w:pPr>
      <w:r>
        <w:rPr>
          <w:rFonts w:eastAsia="Arial Unicode MS"/>
          <w:bCs/>
          <w:lang w:eastAsia="fr-FR" w:bidi="he-IL"/>
        </w:rPr>
        <w:t>α</w:t>
      </w:r>
      <w:r w:rsidR="00B704AD" w:rsidRPr="00C8701B">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00B704AD" w:rsidRPr="00C8701B">
        <w:rPr>
          <w:rFonts w:eastAsia="Arial Unicode MS"/>
          <w:bCs/>
          <w:lang w:eastAsia="fr-FR" w:bidi="he-IL"/>
        </w:rPr>
        <w:t>Le</w:t>
      </w:r>
      <w:r w:rsidR="00B704AD" w:rsidRPr="00DC4586">
        <w:rPr>
          <w:rStyle w:val="italicus"/>
        </w:rPr>
        <w:t xml:space="preserve"> </w:t>
      </w:r>
      <w:r w:rsidRPr="00DC4586">
        <w:rPr>
          <w:rStyle w:val="italicus"/>
        </w:rPr>
        <w:t>Protévangile</w:t>
      </w:r>
      <w:r w:rsidR="00B704AD" w:rsidRPr="00DC4586">
        <w:rPr>
          <w:rStyle w:val="italicus"/>
        </w:rPr>
        <w:t xml:space="preserve"> de Jacques</w:t>
      </w:r>
      <w:r w:rsidR="00B704AD" w:rsidRPr="00C8701B">
        <w:rPr>
          <w:rFonts w:eastAsia="Arial Unicode MS"/>
          <w:bCs/>
          <w:lang w:eastAsia="fr-FR" w:bidi="he-IL"/>
        </w:rPr>
        <w:t xml:space="preserve"> fut publié pour la première fois à Bâle</w:t>
      </w:r>
      <w:r w:rsidR="00E65435">
        <w:rPr>
          <w:rFonts w:eastAsia="Arial Unicode MS"/>
          <w:bCs/>
          <w:lang w:eastAsia="fr-FR" w:bidi="he-IL"/>
        </w:rPr>
        <w:t xml:space="preserve">, </w:t>
      </w:r>
      <w:r w:rsidR="00B704AD" w:rsidRPr="00C8701B">
        <w:rPr>
          <w:rFonts w:eastAsia="Arial Unicode MS"/>
          <w:bCs/>
          <w:lang w:eastAsia="fr-FR" w:bidi="he-IL"/>
        </w:rPr>
        <w:t>l</w:t>
      </w:r>
      <w:r w:rsidR="00557DE0">
        <w:rPr>
          <w:rFonts w:eastAsia="Arial Unicode MS"/>
          <w:bCs/>
          <w:lang w:eastAsia="fr-FR" w:bidi="he-IL"/>
        </w:rPr>
        <w:t>’</w:t>
      </w:r>
      <w:r w:rsidR="00B704AD" w:rsidRPr="00C8701B">
        <w:rPr>
          <w:rFonts w:eastAsia="Arial Unicode MS"/>
          <w:bCs/>
          <w:lang w:eastAsia="fr-FR" w:bidi="he-IL"/>
        </w:rPr>
        <w:t>an 1552</w:t>
      </w:r>
      <w:r w:rsidR="00E65435">
        <w:rPr>
          <w:rFonts w:eastAsia="Arial Unicode MS"/>
          <w:bCs/>
          <w:lang w:eastAsia="fr-FR" w:bidi="he-IL"/>
        </w:rPr>
        <w:t xml:space="preserve">, </w:t>
      </w:r>
      <w:r w:rsidR="00B704AD" w:rsidRPr="00C8701B">
        <w:rPr>
          <w:rFonts w:eastAsia="Arial Unicode MS"/>
          <w:bCs/>
          <w:lang w:eastAsia="fr-FR" w:bidi="he-IL"/>
        </w:rPr>
        <w:t>en langue latine</w:t>
      </w:r>
      <w:r w:rsidR="00E65435">
        <w:rPr>
          <w:rFonts w:eastAsia="Arial Unicode MS"/>
          <w:bCs/>
          <w:lang w:eastAsia="fr-FR" w:bidi="he-IL"/>
        </w:rPr>
        <w:t xml:space="preserve">, </w:t>
      </w:r>
      <w:r w:rsidR="00B704AD" w:rsidRPr="00C8701B">
        <w:rPr>
          <w:rFonts w:eastAsia="Arial Unicode MS"/>
          <w:bCs/>
          <w:lang w:eastAsia="fr-FR" w:bidi="he-IL"/>
        </w:rPr>
        <w:t>quoique l</w:t>
      </w:r>
      <w:r w:rsidR="00557DE0">
        <w:rPr>
          <w:rFonts w:eastAsia="Arial Unicode MS"/>
          <w:bCs/>
          <w:lang w:eastAsia="fr-FR" w:bidi="he-IL"/>
        </w:rPr>
        <w:t>’</w:t>
      </w:r>
      <w:r w:rsidR="00B704AD" w:rsidRPr="00C8701B">
        <w:rPr>
          <w:rFonts w:eastAsia="Arial Unicode MS"/>
          <w:bCs/>
          <w:lang w:eastAsia="fr-FR" w:bidi="he-IL"/>
        </w:rPr>
        <w:t>original ait été écrit en grec</w:t>
      </w:r>
      <w:r w:rsidR="00933C60" w:rsidRPr="00C406FF">
        <w:rPr>
          <w:rStyle w:val="Appelnotedebasdep"/>
        </w:rPr>
        <w:footnoteReference w:id="588"/>
      </w:r>
      <w:r w:rsidR="00B704AD" w:rsidRPr="00C8701B">
        <w:rPr>
          <w:rFonts w:eastAsia="Arial Unicode MS"/>
          <w:bCs/>
          <w:lang w:eastAsia="fr-FR" w:bidi="he-IL"/>
        </w:rPr>
        <w:t>.</w:t>
      </w:r>
      <w:r w:rsidR="00C2602D" w:rsidRPr="00C8701B">
        <w:rPr>
          <w:rFonts w:eastAsia="Arial Unicode MS"/>
          <w:bCs/>
          <w:lang w:eastAsia="fr-FR" w:bidi="he-IL"/>
        </w:rPr>
        <w:t xml:space="preserve"> </w:t>
      </w:r>
      <w:r>
        <w:rPr>
          <w:rFonts w:eastAsia="Arial Unicode MS"/>
          <w:lang w:eastAsia="fr-FR" w:bidi="he-IL"/>
        </w:rPr>
        <w:t>Il</w:t>
      </w:r>
      <w:r w:rsidR="00605074" w:rsidRPr="00C8701B">
        <w:rPr>
          <w:rFonts w:eastAsia="Arial Unicode MS"/>
          <w:lang w:eastAsia="fr-FR" w:bidi="he-IL"/>
        </w:rPr>
        <w:t xml:space="preserve"> </w:t>
      </w:r>
      <w:r w:rsidR="00B704AD" w:rsidRPr="00C8701B">
        <w:rPr>
          <w:rFonts w:eastAsia="Arial Unicode MS"/>
          <w:bCs/>
          <w:lang w:eastAsia="fr-FR" w:bidi="he-IL"/>
        </w:rPr>
        <w:t>raconte la nativité</w:t>
      </w:r>
      <w:r w:rsidR="00E65435">
        <w:rPr>
          <w:rFonts w:eastAsia="Arial Unicode MS"/>
          <w:bCs/>
          <w:lang w:eastAsia="fr-FR" w:bidi="he-IL"/>
        </w:rPr>
        <w:t xml:space="preserve">, </w:t>
      </w:r>
      <w:r w:rsidR="00B704AD" w:rsidRPr="00C8701B">
        <w:rPr>
          <w:rFonts w:eastAsia="Arial Unicode MS"/>
          <w:bCs/>
          <w:lang w:eastAsia="fr-FR" w:bidi="he-IL"/>
        </w:rPr>
        <w:t>l</w:t>
      </w:r>
      <w:r w:rsidR="00557DE0">
        <w:rPr>
          <w:rFonts w:eastAsia="Arial Unicode MS"/>
          <w:bCs/>
          <w:lang w:eastAsia="fr-FR" w:bidi="he-IL"/>
        </w:rPr>
        <w:t>’</w:t>
      </w:r>
      <w:r w:rsidR="00B704AD" w:rsidRPr="00C8701B">
        <w:rPr>
          <w:rFonts w:eastAsia="Arial Unicode MS"/>
          <w:bCs/>
          <w:lang w:eastAsia="fr-FR" w:bidi="he-IL"/>
        </w:rPr>
        <w:t>enfance et la jeunesse de Marie</w:t>
      </w:r>
      <w:r w:rsidR="00E65435">
        <w:rPr>
          <w:rFonts w:eastAsia="Arial Unicode MS"/>
          <w:bCs/>
          <w:lang w:eastAsia="fr-FR" w:bidi="he-IL"/>
        </w:rPr>
        <w:t xml:space="preserve">, </w:t>
      </w:r>
      <w:r w:rsidR="00C14040" w:rsidRPr="000716BB">
        <w:rPr>
          <w:rFonts w:eastAsia="Arial Unicode MS"/>
          <w:bCs/>
          <w:lang w:eastAsia="fr-FR" w:bidi="he-IL"/>
        </w:rPr>
        <w:t>{</w:t>
      </w:r>
      <w:r w:rsidR="00C14040">
        <w:rPr>
          <w:rFonts w:eastAsia="Arial Unicode MS"/>
          <w:bCs/>
          <w:lang w:eastAsia="fr-FR" w:bidi="he-IL"/>
        </w:rPr>
        <w:t>111</w:t>
      </w:r>
      <w:bookmarkStart w:id="171" w:name="pag111"/>
      <w:bookmarkEnd w:id="171"/>
      <w:r w:rsidR="00C14040" w:rsidRPr="000716BB">
        <w:rPr>
          <w:rFonts w:eastAsia="Arial Unicode MS"/>
          <w:bCs/>
          <w:lang w:eastAsia="fr-FR" w:bidi="he-IL"/>
        </w:rPr>
        <w:t xml:space="preserve">} </w:t>
      </w:r>
      <w:r w:rsidR="00B704AD" w:rsidRPr="00C8701B">
        <w:rPr>
          <w:rFonts w:eastAsia="Arial Unicode MS"/>
          <w:bCs/>
          <w:lang w:eastAsia="fr-FR" w:bidi="he-IL"/>
        </w:rPr>
        <w:t>le choix que Dieu fit d</w:t>
      </w:r>
      <w:r w:rsidR="00557DE0">
        <w:rPr>
          <w:rFonts w:eastAsia="Arial Unicode MS"/>
          <w:bCs/>
          <w:lang w:eastAsia="fr-FR" w:bidi="he-IL"/>
        </w:rPr>
        <w:t>’</w:t>
      </w:r>
      <w:r w:rsidR="00B704AD" w:rsidRPr="00C8701B">
        <w:rPr>
          <w:rFonts w:eastAsia="Arial Unicode MS"/>
          <w:bCs/>
          <w:lang w:eastAsia="fr-FR" w:bidi="he-IL"/>
        </w:rPr>
        <w:t>elle pour qu</w:t>
      </w:r>
      <w:r w:rsidR="00557DE0">
        <w:rPr>
          <w:rFonts w:eastAsia="Arial Unicode MS"/>
          <w:bCs/>
          <w:lang w:eastAsia="fr-FR" w:bidi="he-IL"/>
        </w:rPr>
        <w:t>’</w:t>
      </w:r>
      <w:r w:rsidR="00B704AD" w:rsidRPr="00C8701B">
        <w:rPr>
          <w:rFonts w:eastAsia="Arial Unicode MS"/>
          <w:bCs/>
          <w:lang w:eastAsia="fr-FR" w:bidi="he-IL"/>
        </w:rPr>
        <w:t>elle devînt la mère du Christ</w:t>
      </w:r>
      <w:r w:rsidR="00E65435">
        <w:rPr>
          <w:rFonts w:eastAsia="Arial Unicode MS"/>
          <w:bCs/>
          <w:lang w:eastAsia="fr-FR" w:bidi="he-IL"/>
        </w:rPr>
        <w:t xml:space="preserve">, </w:t>
      </w:r>
      <w:r w:rsidR="00B704AD" w:rsidRPr="00C8701B">
        <w:rPr>
          <w:rFonts w:eastAsia="Arial Unicode MS"/>
          <w:bCs/>
          <w:lang w:eastAsia="fr-FR" w:bidi="he-IL"/>
        </w:rPr>
        <w:t>la naissance de Jésus à Bethléem et l</w:t>
      </w:r>
      <w:r w:rsidR="00557DE0">
        <w:rPr>
          <w:rFonts w:eastAsia="Arial Unicode MS"/>
          <w:bCs/>
          <w:lang w:eastAsia="fr-FR" w:bidi="he-IL"/>
        </w:rPr>
        <w:t>’</w:t>
      </w:r>
      <w:r w:rsidR="00B704AD" w:rsidRPr="00C8701B">
        <w:rPr>
          <w:rFonts w:eastAsia="Arial Unicode MS"/>
          <w:bCs/>
          <w:lang w:eastAsia="fr-FR" w:bidi="he-IL"/>
        </w:rPr>
        <w:t>adoration des Mages. Il était en grande vénération dans l</w:t>
      </w:r>
      <w:r w:rsidR="00557DE0">
        <w:rPr>
          <w:rFonts w:eastAsia="Arial Unicode MS"/>
          <w:bCs/>
          <w:lang w:eastAsia="fr-FR" w:bidi="he-IL"/>
        </w:rPr>
        <w:t>’</w:t>
      </w:r>
      <w:r w:rsidR="00C8701B">
        <w:rPr>
          <w:rFonts w:eastAsia="Arial Unicode MS"/>
          <w:bCs/>
          <w:lang w:eastAsia="fr-FR" w:bidi="he-IL"/>
        </w:rPr>
        <w:t>Église</w:t>
      </w:r>
      <w:r w:rsidR="00B704AD" w:rsidRPr="00C8701B">
        <w:rPr>
          <w:rFonts w:eastAsia="Arial Unicode MS"/>
          <w:bCs/>
          <w:lang w:eastAsia="fr-FR" w:bidi="he-IL"/>
        </w:rPr>
        <w:t xml:space="preserve"> d</w:t>
      </w:r>
      <w:r w:rsidR="00557DE0">
        <w:rPr>
          <w:rFonts w:eastAsia="Arial Unicode MS"/>
          <w:bCs/>
          <w:lang w:eastAsia="fr-FR" w:bidi="he-IL"/>
        </w:rPr>
        <w:t>’</w:t>
      </w:r>
      <w:r w:rsidR="00B704AD" w:rsidRPr="00C8701B">
        <w:rPr>
          <w:rFonts w:eastAsia="Arial Unicode MS"/>
          <w:bCs/>
          <w:lang w:eastAsia="fr-FR" w:bidi="he-IL"/>
        </w:rPr>
        <w:t>Orient</w:t>
      </w:r>
      <w:r w:rsidR="00E65435">
        <w:rPr>
          <w:rFonts w:eastAsia="Arial Unicode MS"/>
          <w:bCs/>
          <w:lang w:eastAsia="fr-FR" w:bidi="he-IL"/>
        </w:rPr>
        <w:t xml:space="preserve">, </w:t>
      </w:r>
      <w:r w:rsidR="00B704AD" w:rsidRPr="00C8701B">
        <w:rPr>
          <w:rFonts w:eastAsia="Arial Unicode MS"/>
          <w:bCs/>
          <w:lang w:eastAsia="fr-FR" w:bidi="he-IL"/>
        </w:rPr>
        <w:t>et les Pères grecs l</w:t>
      </w:r>
      <w:r w:rsidR="00557DE0">
        <w:rPr>
          <w:rFonts w:eastAsia="Arial Unicode MS"/>
          <w:bCs/>
          <w:lang w:eastAsia="fr-FR" w:bidi="he-IL"/>
        </w:rPr>
        <w:t>’</w:t>
      </w:r>
      <w:r w:rsidR="00B704AD" w:rsidRPr="00C8701B">
        <w:rPr>
          <w:rFonts w:eastAsia="Arial Unicode MS"/>
          <w:bCs/>
          <w:lang w:eastAsia="fr-FR" w:bidi="he-IL"/>
        </w:rPr>
        <w:t xml:space="preserve">ont </w:t>
      </w:r>
      <w:r w:rsidRPr="00C8701B">
        <w:rPr>
          <w:rFonts w:eastAsia="Arial Unicode MS"/>
          <w:bCs/>
          <w:lang w:eastAsia="fr-FR" w:bidi="he-IL"/>
        </w:rPr>
        <w:t>fréquemment</w:t>
      </w:r>
      <w:r w:rsidR="00B704AD" w:rsidRPr="00C8701B">
        <w:rPr>
          <w:rFonts w:eastAsia="Arial Unicode MS"/>
          <w:bCs/>
          <w:lang w:eastAsia="fr-FR" w:bidi="he-IL"/>
        </w:rPr>
        <w:t xml:space="preserve"> cité dans leurs homélies. Il date</w:t>
      </w:r>
      <w:r w:rsidR="00E65435">
        <w:rPr>
          <w:rFonts w:eastAsia="Arial Unicode MS"/>
          <w:bCs/>
          <w:lang w:eastAsia="fr-FR" w:bidi="he-IL"/>
        </w:rPr>
        <w:t xml:space="preserve">, </w:t>
      </w:r>
      <w:r w:rsidR="00B704AD" w:rsidRPr="00C8701B">
        <w:rPr>
          <w:rFonts w:eastAsia="Arial Unicode MS"/>
          <w:bCs/>
          <w:lang w:eastAsia="fr-FR" w:bidi="he-IL"/>
        </w:rPr>
        <w:t>croit-on</w:t>
      </w:r>
      <w:r w:rsidR="00E65435">
        <w:rPr>
          <w:rFonts w:eastAsia="Arial Unicode MS"/>
          <w:bCs/>
          <w:lang w:eastAsia="fr-FR" w:bidi="he-IL"/>
        </w:rPr>
        <w:t xml:space="preserve">, </w:t>
      </w:r>
      <w:r w:rsidR="00B704AD" w:rsidRPr="00C8701B">
        <w:rPr>
          <w:rFonts w:eastAsia="Arial Unicode MS"/>
          <w:bCs/>
          <w:lang w:eastAsia="fr-FR" w:bidi="he-IL"/>
        </w:rPr>
        <w:t>du second siècle</w:t>
      </w:r>
      <w:r w:rsidR="00E65435">
        <w:rPr>
          <w:rFonts w:eastAsia="Arial Unicode MS"/>
          <w:bCs/>
          <w:lang w:eastAsia="fr-FR" w:bidi="he-IL"/>
        </w:rPr>
        <w:t xml:space="preserve">, </w:t>
      </w:r>
      <w:r w:rsidR="00B704AD" w:rsidRPr="00C8701B">
        <w:rPr>
          <w:rFonts w:eastAsia="Arial Unicode MS"/>
          <w:bCs/>
          <w:lang w:eastAsia="fr-FR" w:bidi="he-IL"/>
        </w:rPr>
        <w:t>car Origène</w:t>
      </w:r>
      <w:r w:rsidR="00933C60" w:rsidRPr="00C406FF">
        <w:rPr>
          <w:rStyle w:val="Appelnotedebasdep"/>
        </w:rPr>
        <w:footnoteReference w:id="589"/>
      </w:r>
      <w:r w:rsidR="00B704AD" w:rsidRPr="00C8701B">
        <w:rPr>
          <w:rFonts w:eastAsia="Arial Unicode MS"/>
          <w:bCs/>
          <w:lang w:eastAsia="fr-FR" w:bidi="he-IL"/>
        </w:rPr>
        <w:t xml:space="preserve"> et Clément d</w:t>
      </w:r>
      <w:r w:rsidR="00557DE0">
        <w:rPr>
          <w:rFonts w:eastAsia="Arial Unicode MS"/>
          <w:bCs/>
          <w:lang w:eastAsia="fr-FR" w:bidi="he-IL"/>
        </w:rPr>
        <w:t>’</w:t>
      </w:r>
      <w:r w:rsidR="00B704AD" w:rsidRPr="00C8701B">
        <w:rPr>
          <w:rFonts w:eastAsia="Arial Unicode MS"/>
          <w:bCs/>
          <w:lang w:eastAsia="fr-FR" w:bidi="he-IL"/>
        </w:rPr>
        <w:t>Alexandrie</w:t>
      </w:r>
      <w:r w:rsidR="00933C60" w:rsidRPr="00C406FF">
        <w:rPr>
          <w:rStyle w:val="Appelnotedebasdep"/>
        </w:rPr>
        <w:footnoteReference w:id="590"/>
      </w:r>
      <w:r w:rsidR="00B704AD" w:rsidRPr="00C8701B">
        <w:rPr>
          <w:rFonts w:eastAsia="Arial Unicode MS"/>
          <w:bCs/>
          <w:lang w:eastAsia="fr-FR" w:bidi="he-IL"/>
        </w:rPr>
        <w:t xml:space="preserve"> l</w:t>
      </w:r>
      <w:r w:rsidR="00557DE0">
        <w:rPr>
          <w:rFonts w:eastAsia="Arial Unicode MS"/>
          <w:bCs/>
          <w:lang w:eastAsia="fr-FR" w:bidi="he-IL"/>
        </w:rPr>
        <w:t>’</w:t>
      </w:r>
      <w:r w:rsidR="00B704AD" w:rsidRPr="00C8701B">
        <w:rPr>
          <w:rFonts w:eastAsia="Arial Unicode MS"/>
          <w:bCs/>
          <w:lang w:eastAsia="fr-FR" w:bidi="he-IL"/>
        </w:rPr>
        <w:t>ont connu. Il a généralement un ton plus digne et plus</w:t>
      </w:r>
      <w:r>
        <w:rPr>
          <w:rFonts w:eastAsia="Arial Unicode MS"/>
          <w:bCs/>
          <w:lang w:eastAsia="fr-FR" w:bidi="he-IL"/>
        </w:rPr>
        <w:t xml:space="preserve"> simpl</w:t>
      </w:r>
      <w:r w:rsidR="00B704AD" w:rsidRPr="00C8701B">
        <w:rPr>
          <w:rFonts w:eastAsia="Arial Unicode MS"/>
          <w:bCs/>
          <w:lang w:eastAsia="fr-FR" w:bidi="he-IL"/>
        </w:rPr>
        <w:t>e que les autres évangiles apocryphes</w:t>
      </w:r>
      <w:r w:rsidR="00E65435">
        <w:rPr>
          <w:rFonts w:eastAsia="Arial Unicode MS"/>
          <w:bCs/>
          <w:lang w:eastAsia="fr-FR" w:bidi="he-IL"/>
        </w:rPr>
        <w:t xml:space="preserve">, </w:t>
      </w:r>
      <w:r w:rsidR="00B704AD" w:rsidRPr="00C8701B">
        <w:rPr>
          <w:rFonts w:eastAsia="Arial Unicode MS"/>
          <w:bCs/>
          <w:lang w:eastAsia="fr-FR" w:bidi="he-IL"/>
        </w:rPr>
        <w:t>En voici quelques passages</w:t>
      </w:r>
      <w:r w:rsidR="00933C60" w:rsidRPr="00C406FF">
        <w:rPr>
          <w:rStyle w:val="Appelnotedebasdep"/>
        </w:rPr>
        <w:footnoteReference w:id="591"/>
      </w:r>
      <w:r w:rsidR="00B704AD"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2D5574">
      <w:pPr>
        <w:pStyle w:val="locus"/>
        <w:rPr>
          <w:lang w:eastAsia="fr-FR" w:bidi="he-IL"/>
        </w:rPr>
      </w:pPr>
      <w:r w:rsidRPr="00C8701B">
        <w:rPr>
          <w:lang w:eastAsia="fr-FR" w:bidi="he-IL"/>
        </w:rPr>
        <w:t>Chapitre II.</w:t>
      </w:r>
      <w:r w:rsidR="000F7DAA">
        <w:rPr>
          <w:lang w:eastAsia="fr-FR" w:bidi="he-IL"/>
        </w:rPr>
        <w:t xml:space="preserve"> —</w:t>
      </w:r>
      <w:r w:rsidR="008D0642">
        <w:rPr>
          <w:lang w:eastAsia="fr-FR" w:bidi="he-IL"/>
        </w:rPr>
        <w:t xml:space="preserve"> </w:t>
      </w:r>
      <w:r w:rsidRPr="00C8701B">
        <w:rPr>
          <w:lang w:eastAsia="fr-FR" w:bidi="he-IL"/>
        </w:rPr>
        <w:t>Anne</w:t>
      </w:r>
      <w:r w:rsidR="00E65435">
        <w:rPr>
          <w:lang w:eastAsia="fr-FR" w:bidi="he-IL"/>
        </w:rPr>
        <w:t xml:space="preserve">, </w:t>
      </w:r>
      <w:r w:rsidRPr="00C8701B">
        <w:rPr>
          <w:lang w:eastAsia="fr-FR" w:bidi="he-IL"/>
        </w:rPr>
        <w:t>femme de Joachim</w:t>
      </w:r>
      <w:r w:rsidR="00E65435">
        <w:rPr>
          <w:lang w:eastAsia="fr-FR" w:bidi="he-IL"/>
        </w:rPr>
        <w:t xml:space="preserve">, </w:t>
      </w:r>
      <w:r w:rsidRPr="00C8701B">
        <w:rPr>
          <w:lang w:eastAsia="fr-FR" w:bidi="he-IL"/>
        </w:rPr>
        <w:t>souffrait d</w:t>
      </w:r>
      <w:r w:rsidR="00557DE0">
        <w:rPr>
          <w:lang w:eastAsia="fr-FR" w:bidi="he-IL"/>
        </w:rPr>
        <w:t>’</w:t>
      </w:r>
      <w:r w:rsidRPr="00C8701B">
        <w:rPr>
          <w:lang w:eastAsia="fr-FR" w:bidi="he-IL"/>
        </w:rPr>
        <w:t>un double chagrin</w:t>
      </w:r>
      <w:r w:rsidR="00E65435">
        <w:rPr>
          <w:lang w:eastAsia="fr-FR" w:bidi="he-IL"/>
        </w:rPr>
        <w:t xml:space="preserve">, </w:t>
      </w:r>
      <w:r w:rsidRPr="00C8701B">
        <w:rPr>
          <w:lang w:eastAsia="fr-FR" w:bidi="he-IL"/>
        </w:rPr>
        <w:t>et elle était en proie à une double douleur</w:t>
      </w:r>
      <w:r w:rsidR="00E65435">
        <w:rPr>
          <w:lang w:eastAsia="fr-FR" w:bidi="he-IL"/>
        </w:rPr>
        <w:t xml:space="preserve">, </w:t>
      </w:r>
      <w:r w:rsidRPr="00C8701B">
        <w:rPr>
          <w:lang w:eastAsia="fr-FR" w:bidi="he-IL"/>
        </w:rPr>
        <w:t>disant</w:t>
      </w:r>
      <w:r w:rsidR="00C2602D" w:rsidRPr="00C8701B">
        <w:rPr>
          <w:lang w:eastAsia="fr-FR" w:bidi="he-IL"/>
        </w:rPr>
        <w:t> :</w:t>
      </w:r>
      <w:r w:rsidRPr="00C8701B">
        <w:rPr>
          <w:lang w:eastAsia="fr-FR" w:bidi="he-IL"/>
        </w:rPr>
        <w:t xml:space="preserve"> Je déplore mon veuvage et ma viduité. La grande fête du Seigneur</w:t>
      </w:r>
      <w:r w:rsidR="00933C60" w:rsidRPr="00C406FF">
        <w:rPr>
          <w:rStyle w:val="Appelnotedebasdep"/>
        </w:rPr>
        <w:footnoteReference w:id="592"/>
      </w:r>
      <w:r w:rsidRPr="00C8701B">
        <w:rPr>
          <w:lang w:eastAsia="fr-FR" w:bidi="he-IL"/>
        </w:rPr>
        <w:t xml:space="preserve"> survint</w:t>
      </w:r>
      <w:r w:rsidR="00E65435">
        <w:rPr>
          <w:lang w:eastAsia="fr-FR" w:bidi="he-IL"/>
        </w:rPr>
        <w:t xml:space="preserve">, </w:t>
      </w:r>
      <w:r w:rsidRPr="00C8701B">
        <w:rPr>
          <w:lang w:eastAsia="fr-FR" w:bidi="he-IL"/>
        </w:rPr>
        <w:t>et Judith</w:t>
      </w:r>
      <w:r w:rsidR="00E65435">
        <w:rPr>
          <w:lang w:eastAsia="fr-FR" w:bidi="he-IL"/>
        </w:rPr>
        <w:t xml:space="preserve">, </w:t>
      </w:r>
      <w:r w:rsidRPr="00C8701B">
        <w:rPr>
          <w:lang w:eastAsia="fr-FR" w:bidi="he-IL"/>
        </w:rPr>
        <w:t>la servante d</w:t>
      </w:r>
      <w:r w:rsidR="00557DE0">
        <w:rPr>
          <w:lang w:eastAsia="fr-FR" w:bidi="he-IL"/>
        </w:rPr>
        <w:t>’</w:t>
      </w:r>
      <w:r w:rsidRPr="00C8701B">
        <w:rPr>
          <w:lang w:eastAsia="fr-FR" w:bidi="he-IL"/>
        </w:rPr>
        <w:t>Anne</w:t>
      </w:r>
      <w:r w:rsidR="00E65435">
        <w:rPr>
          <w:lang w:eastAsia="fr-FR" w:bidi="he-IL"/>
        </w:rPr>
        <w:t xml:space="preserve">, </w:t>
      </w:r>
      <w:r w:rsidRPr="00C8701B">
        <w:rPr>
          <w:lang w:eastAsia="fr-FR" w:bidi="he-IL"/>
        </w:rPr>
        <w:t>lui dit</w:t>
      </w:r>
      <w:r w:rsidR="00C2602D" w:rsidRPr="00C8701B">
        <w:rPr>
          <w:lang w:eastAsia="fr-FR" w:bidi="he-IL"/>
        </w:rPr>
        <w:t> :</w:t>
      </w:r>
      <w:r w:rsidRPr="00C8701B">
        <w:rPr>
          <w:lang w:eastAsia="fr-FR" w:bidi="he-IL"/>
        </w:rPr>
        <w:t xml:space="preserve"> </w:t>
      </w:r>
      <w:r w:rsidR="00EA28F4" w:rsidRPr="00C8701B">
        <w:rPr>
          <w:lang w:eastAsia="fr-FR" w:bidi="he-IL"/>
        </w:rPr>
        <w:t>Jusques</w:t>
      </w:r>
      <w:r w:rsidRPr="00C8701B">
        <w:rPr>
          <w:lang w:eastAsia="fr-FR" w:bidi="he-IL"/>
        </w:rPr>
        <w:t xml:space="preserve"> à quand </w:t>
      </w:r>
      <w:r w:rsidR="00EA28F4" w:rsidRPr="00C8701B">
        <w:rPr>
          <w:lang w:eastAsia="fr-FR" w:bidi="he-IL"/>
        </w:rPr>
        <w:t>affligeras</w:t>
      </w:r>
      <w:r w:rsidRPr="00C8701B">
        <w:rPr>
          <w:lang w:eastAsia="fr-FR" w:bidi="he-IL"/>
        </w:rPr>
        <w:t>-tu ton âme</w:t>
      </w:r>
      <w:r w:rsidR="00C2602D" w:rsidRPr="00C8701B">
        <w:rPr>
          <w:lang w:eastAsia="fr-FR" w:bidi="he-IL"/>
        </w:rPr>
        <w:t> ?</w:t>
      </w:r>
      <w:r w:rsidR="0007083E">
        <w:rPr>
          <w:lang w:eastAsia="fr-FR" w:bidi="he-IL"/>
        </w:rPr>
        <w:t xml:space="preserve"> Il</w:t>
      </w:r>
      <w:r w:rsidRPr="00C8701B">
        <w:rPr>
          <w:lang w:eastAsia="fr-FR" w:bidi="he-IL"/>
        </w:rPr>
        <w:t xml:space="preserve"> ne t</w:t>
      </w:r>
      <w:r w:rsidR="00557DE0">
        <w:rPr>
          <w:lang w:eastAsia="fr-FR" w:bidi="he-IL"/>
        </w:rPr>
        <w:t>’</w:t>
      </w:r>
      <w:r w:rsidRPr="00C8701B">
        <w:rPr>
          <w:lang w:eastAsia="fr-FR" w:bidi="he-IL"/>
        </w:rPr>
        <w:t>est pas permis de pleurer</w:t>
      </w:r>
      <w:r w:rsidR="00E65435">
        <w:rPr>
          <w:lang w:eastAsia="fr-FR" w:bidi="he-IL"/>
        </w:rPr>
        <w:t xml:space="preserve">, </w:t>
      </w:r>
      <w:r w:rsidRPr="00C8701B">
        <w:rPr>
          <w:lang w:eastAsia="fr-FR" w:bidi="he-IL"/>
        </w:rPr>
        <w:t>car voici le jour de la grande fête. Prends donc ce manteau</w:t>
      </w:r>
      <w:r w:rsidR="00E65435">
        <w:rPr>
          <w:lang w:eastAsia="fr-FR" w:bidi="he-IL"/>
        </w:rPr>
        <w:t xml:space="preserve">, </w:t>
      </w:r>
      <w:r w:rsidR="002D5574">
        <w:rPr>
          <w:lang w:eastAsia="fr-FR" w:bidi="he-IL"/>
        </w:rPr>
        <w:t>et orne ta tête. Tout aussi sû</w:t>
      </w:r>
      <w:r w:rsidRPr="00C8701B">
        <w:rPr>
          <w:lang w:eastAsia="fr-FR" w:bidi="he-IL"/>
        </w:rPr>
        <w:t>r que je suis ta servante</w:t>
      </w:r>
      <w:r w:rsidR="00E65435">
        <w:rPr>
          <w:lang w:eastAsia="fr-FR" w:bidi="he-IL"/>
        </w:rPr>
        <w:t xml:space="preserve">, </w:t>
      </w:r>
      <w:r w:rsidRPr="00C8701B">
        <w:rPr>
          <w:lang w:eastAsia="fr-FR" w:bidi="he-IL"/>
        </w:rPr>
        <w:t>tu auras l</w:t>
      </w:r>
      <w:r w:rsidR="00557DE0">
        <w:rPr>
          <w:lang w:eastAsia="fr-FR" w:bidi="he-IL"/>
        </w:rPr>
        <w:t>’</w:t>
      </w:r>
      <w:r w:rsidRPr="00C8701B">
        <w:rPr>
          <w:lang w:eastAsia="fr-FR" w:bidi="he-IL"/>
        </w:rPr>
        <w:t>apparence d</w:t>
      </w:r>
      <w:r w:rsidR="00557DE0">
        <w:rPr>
          <w:lang w:eastAsia="fr-FR" w:bidi="he-IL"/>
        </w:rPr>
        <w:t>’</w:t>
      </w:r>
      <w:r w:rsidRPr="00C8701B">
        <w:rPr>
          <w:lang w:eastAsia="fr-FR" w:bidi="he-IL"/>
        </w:rPr>
        <w:t>une reine. Et Anne répondit</w:t>
      </w:r>
      <w:r w:rsidR="00C2602D" w:rsidRPr="00C8701B">
        <w:rPr>
          <w:lang w:eastAsia="fr-FR" w:bidi="he-IL"/>
        </w:rPr>
        <w:t> :</w:t>
      </w:r>
      <w:r w:rsidRPr="00C8701B">
        <w:rPr>
          <w:lang w:eastAsia="fr-FR" w:bidi="he-IL"/>
        </w:rPr>
        <w:t xml:space="preserve"> </w:t>
      </w:r>
      <w:r w:rsidR="00EA28F4" w:rsidRPr="00C8701B">
        <w:rPr>
          <w:lang w:eastAsia="fr-FR" w:bidi="he-IL"/>
        </w:rPr>
        <w:t>Éloigne</w:t>
      </w:r>
      <w:r w:rsidRPr="00C8701B">
        <w:rPr>
          <w:lang w:eastAsia="fr-FR" w:bidi="he-IL"/>
        </w:rPr>
        <w:t>-toi de moi</w:t>
      </w:r>
      <w:r w:rsidR="00C2602D" w:rsidRPr="00C8701B">
        <w:rPr>
          <w:lang w:eastAsia="fr-FR" w:bidi="he-IL"/>
        </w:rPr>
        <w:t> </w:t>
      </w:r>
      <w:r w:rsidR="007F6508">
        <w:rPr>
          <w:lang w:eastAsia="fr-FR" w:bidi="he-IL"/>
        </w:rPr>
        <w:t xml:space="preserve">; </w:t>
      </w:r>
      <w:r w:rsidRPr="00C8701B">
        <w:rPr>
          <w:lang w:eastAsia="fr-FR" w:bidi="he-IL"/>
        </w:rPr>
        <w:t>je n</w:t>
      </w:r>
      <w:r w:rsidR="00557DE0">
        <w:rPr>
          <w:lang w:eastAsia="fr-FR" w:bidi="he-IL"/>
        </w:rPr>
        <w:t>’</w:t>
      </w:r>
      <w:r w:rsidRPr="00C8701B">
        <w:rPr>
          <w:lang w:eastAsia="fr-FR" w:bidi="he-IL"/>
        </w:rPr>
        <w:t>en ferai rien. Dieu m</w:t>
      </w:r>
      <w:r w:rsidR="00557DE0">
        <w:rPr>
          <w:lang w:eastAsia="fr-FR" w:bidi="he-IL"/>
        </w:rPr>
        <w:t>’</w:t>
      </w:r>
      <w:r w:rsidRPr="00C8701B">
        <w:rPr>
          <w:lang w:eastAsia="fr-FR" w:bidi="he-IL"/>
        </w:rPr>
        <w:t>a fortement humiliée. Crains que Dieu ne me punisse à cause de ton péché</w:t>
      </w:r>
      <w:r w:rsidR="002D5574">
        <w:rPr>
          <w:lang w:eastAsia="fr-FR" w:bidi="he-IL"/>
        </w:rPr>
        <w:t>.</w:t>
      </w:r>
      <w:r w:rsidRPr="00C8701B">
        <w:rPr>
          <w:lang w:eastAsia="fr-FR" w:bidi="he-IL"/>
        </w:rPr>
        <w:t xml:space="preserve"> La servante Judith répondit</w:t>
      </w:r>
      <w:r w:rsidR="00C2602D" w:rsidRPr="00C8701B">
        <w:rPr>
          <w:lang w:eastAsia="fr-FR" w:bidi="he-IL"/>
        </w:rPr>
        <w:t> :</w:t>
      </w:r>
      <w:r w:rsidRPr="00C8701B">
        <w:rPr>
          <w:lang w:eastAsia="fr-FR" w:bidi="he-IL"/>
        </w:rPr>
        <w:t xml:space="preserve"> Que te dirai-je</w:t>
      </w:r>
      <w:r w:rsidR="00E65435">
        <w:rPr>
          <w:lang w:eastAsia="fr-FR" w:bidi="he-IL"/>
        </w:rPr>
        <w:t xml:space="preserve">, </w:t>
      </w:r>
      <w:r w:rsidRPr="00C8701B">
        <w:rPr>
          <w:lang w:eastAsia="fr-FR" w:bidi="he-IL"/>
        </w:rPr>
        <w:t>puisque tu ne veux pas écouter ma voix</w:t>
      </w:r>
      <w:r w:rsidR="00C2602D" w:rsidRPr="00C8701B">
        <w:rPr>
          <w:lang w:eastAsia="fr-FR" w:bidi="he-IL"/>
        </w:rPr>
        <w:t> ?</w:t>
      </w:r>
      <w:r w:rsidRPr="00C8701B">
        <w:rPr>
          <w:lang w:eastAsia="fr-FR" w:bidi="he-IL"/>
        </w:rPr>
        <w:t xml:space="preserve"> C</w:t>
      </w:r>
      <w:r w:rsidR="00557DE0">
        <w:rPr>
          <w:lang w:eastAsia="fr-FR" w:bidi="he-IL"/>
        </w:rPr>
        <w:t>’</w:t>
      </w:r>
      <w:r w:rsidRPr="00C8701B">
        <w:rPr>
          <w:lang w:eastAsia="fr-FR" w:bidi="he-IL"/>
        </w:rPr>
        <w:t>est avec raison que Dieu a fermé ton sein</w:t>
      </w:r>
      <w:r w:rsidR="00E65435">
        <w:rPr>
          <w:lang w:eastAsia="fr-FR" w:bidi="he-IL"/>
        </w:rPr>
        <w:t xml:space="preserve">, </w:t>
      </w:r>
      <w:r w:rsidRPr="00C8701B">
        <w:rPr>
          <w:lang w:eastAsia="fr-FR" w:bidi="he-IL"/>
        </w:rPr>
        <w:t>afin que tu ne donnes pas d</w:t>
      </w:r>
      <w:r w:rsidR="00557DE0">
        <w:rPr>
          <w:lang w:eastAsia="fr-FR" w:bidi="he-IL"/>
        </w:rPr>
        <w:t>’</w:t>
      </w:r>
      <w:r w:rsidR="002D5574">
        <w:rPr>
          <w:lang w:eastAsia="fr-FR" w:bidi="he-IL"/>
        </w:rPr>
        <w:t>enfant à</w:t>
      </w:r>
      <w:r w:rsidRPr="00C8701B">
        <w:rPr>
          <w:lang w:eastAsia="fr-FR" w:bidi="he-IL"/>
        </w:rPr>
        <w:t xml:space="preserve"> Israël. Et Anne fut très affligée</w:t>
      </w:r>
      <w:r w:rsidR="00E65435">
        <w:rPr>
          <w:lang w:eastAsia="fr-FR" w:bidi="he-IL"/>
        </w:rPr>
        <w:t xml:space="preserve">, </w:t>
      </w:r>
      <w:r w:rsidRPr="00C8701B">
        <w:rPr>
          <w:lang w:eastAsia="fr-FR" w:bidi="he-IL"/>
        </w:rPr>
        <w:t>et elle quitta ses vêtements de deuil</w:t>
      </w:r>
      <w:r w:rsidR="00C2602D" w:rsidRPr="00C8701B">
        <w:rPr>
          <w:lang w:eastAsia="fr-FR" w:bidi="he-IL"/>
        </w:rPr>
        <w:t> </w:t>
      </w:r>
      <w:r w:rsidR="007F6508">
        <w:rPr>
          <w:lang w:eastAsia="fr-FR" w:bidi="he-IL"/>
        </w:rPr>
        <w:t xml:space="preserve">; </w:t>
      </w:r>
      <w:r w:rsidRPr="00C8701B">
        <w:rPr>
          <w:lang w:eastAsia="fr-FR" w:bidi="he-IL"/>
        </w:rPr>
        <w:t>elle orna sa tête</w:t>
      </w:r>
      <w:r w:rsidR="00E65435">
        <w:rPr>
          <w:lang w:eastAsia="fr-FR" w:bidi="he-IL"/>
        </w:rPr>
        <w:t xml:space="preserve">, </w:t>
      </w:r>
      <w:r w:rsidRPr="00C8701B">
        <w:rPr>
          <w:lang w:eastAsia="fr-FR" w:bidi="he-IL"/>
        </w:rPr>
        <w:t>et elle se revêtit d</w:t>
      </w:r>
      <w:r w:rsidR="00557DE0">
        <w:rPr>
          <w:lang w:eastAsia="fr-FR" w:bidi="he-IL"/>
        </w:rPr>
        <w:t>’</w:t>
      </w:r>
      <w:r w:rsidRPr="00C8701B">
        <w:rPr>
          <w:lang w:eastAsia="fr-FR" w:bidi="he-IL"/>
        </w:rPr>
        <w:t>habits de noces. Et vers la neuvième heure</w:t>
      </w:r>
      <w:r w:rsidR="00E65435">
        <w:rPr>
          <w:lang w:eastAsia="fr-FR" w:bidi="he-IL"/>
        </w:rPr>
        <w:t xml:space="preserve">, </w:t>
      </w:r>
      <w:r w:rsidRPr="00C8701B">
        <w:rPr>
          <w:lang w:eastAsia="fr-FR" w:bidi="he-IL"/>
        </w:rPr>
        <w:t>elle descendit dans le jardin pour se promener</w:t>
      </w:r>
      <w:r w:rsidR="00E65435">
        <w:rPr>
          <w:lang w:eastAsia="fr-FR" w:bidi="he-IL"/>
        </w:rPr>
        <w:t xml:space="preserve">, </w:t>
      </w:r>
      <w:r w:rsidRPr="00C8701B">
        <w:rPr>
          <w:lang w:eastAsia="fr-FR" w:bidi="he-IL"/>
        </w:rPr>
        <w:t>et voyant un laurier</w:t>
      </w:r>
      <w:r w:rsidR="00E65435">
        <w:rPr>
          <w:lang w:eastAsia="fr-FR" w:bidi="he-IL"/>
        </w:rPr>
        <w:t xml:space="preserve">, </w:t>
      </w:r>
      <w:r w:rsidRPr="00C8701B">
        <w:rPr>
          <w:lang w:eastAsia="fr-FR" w:bidi="he-IL"/>
        </w:rPr>
        <w:t>elle s</w:t>
      </w:r>
      <w:r w:rsidR="00557DE0">
        <w:rPr>
          <w:lang w:eastAsia="fr-FR" w:bidi="he-IL"/>
        </w:rPr>
        <w:t>’</w:t>
      </w:r>
      <w:r w:rsidRPr="00C8701B">
        <w:rPr>
          <w:lang w:eastAsia="fr-FR" w:bidi="he-IL"/>
        </w:rPr>
        <w:t>assit dessous</w:t>
      </w:r>
      <w:r w:rsidR="00E65435">
        <w:rPr>
          <w:lang w:eastAsia="fr-FR" w:bidi="he-IL"/>
        </w:rPr>
        <w:t xml:space="preserve">, </w:t>
      </w:r>
      <w:r w:rsidRPr="00C8701B">
        <w:rPr>
          <w:lang w:eastAsia="fr-FR" w:bidi="he-IL"/>
        </w:rPr>
        <w:t xml:space="preserve">et elle adressa ses </w:t>
      </w:r>
      <w:r w:rsidR="00EA28F4" w:rsidRPr="00C8701B">
        <w:rPr>
          <w:lang w:eastAsia="fr-FR" w:bidi="he-IL"/>
        </w:rPr>
        <w:t>prières</w:t>
      </w:r>
      <w:r w:rsidRPr="00C8701B">
        <w:rPr>
          <w:lang w:eastAsia="fr-FR" w:bidi="he-IL"/>
        </w:rPr>
        <w:t xml:space="preserve"> au Seigneur</w:t>
      </w:r>
      <w:r w:rsidR="00E65435">
        <w:rPr>
          <w:lang w:eastAsia="fr-FR" w:bidi="he-IL"/>
        </w:rPr>
        <w:t xml:space="preserve">, </w:t>
      </w:r>
      <w:r w:rsidRPr="00C8701B">
        <w:rPr>
          <w:lang w:eastAsia="fr-FR" w:bidi="he-IL"/>
        </w:rPr>
        <w:t>en disant</w:t>
      </w:r>
      <w:r w:rsidR="00C2602D" w:rsidRPr="00C8701B">
        <w:rPr>
          <w:lang w:eastAsia="fr-FR" w:bidi="he-IL"/>
        </w:rPr>
        <w:t> :</w:t>
      </w:r>
      <w:r w:rsidRPr="00C8701B">
        <w:rPr>
          <w:lang w:eastAsia="fr-FR" w:bidi="he-IL"/>
        </w:rPr>
        <w:t xml:space="preserve"> Seigneur</w:t>
      </w:r>
      <w:r w:rsidR="00E65435">
        <w:rPr>
          <w:lang w:eastAsia="fr-FR" w:bidi="he-IL"/>
        </w:rPr>
        <w:t xml:space="preserve">, </w:t>
      </w:r>
      <w:r w:rsidR="002D5574">
        <w:rPr>
          <w:lang w:eastAsia="fr-FR" w:bidi="he-IL"/>
        </w:rPr>
        <w:t>Dieu de mes</w:t>
      </w:r>
      <w:r w:rsidRPr="00C8701B">
        <w:rPr>
          <w:lang w:eastAsia="fr-FR" w:bidi="he-IL"/>
        </w:rPr>
        <w:t xml:space="preserve"> pères</w:t>
      </w:r>
      <w:r w:rsidR="00E65435">
        <w:rPr>
          <w:lang w:eastAsia="fr-FR" w:bidi="he-IL"/>
        </w:rPr>
        <w:t xml:space="preserve">, </w:t>
      </w:r>
      <w:r w:rsidRPr="00C8701B">
        <w:rPr>
          <w:lang w:eastAsia="fr-FR" w:bidi="he-IL"/>
        </w:rPr>
        <w:t>bénis-moi et exauce ma prière</w:t>
      </w:r>
      <w:r w:rsidR="00E65435">
        <w:rPr>
          <w:lang w:eastAsia="fr-FR" w:bidi="he-IL"/>
        </w:rPr>
        <w:t xml:space="preserve">, </w:t>
      </w:r>
      <w:r w:rsidRPr="00C8701B">
        <w:rPr>
          <w:lang w:eastAsia="fr-FR" w:bidi="he-IL"/>
        </w:rPr>
        <w:t>ainsi que tu as béni les entrailles de Sara et que tu lui as donné Isaac pour fils.</w:t>
      </w:r>
      <w:r w:rsidR="00C2602D" w:rsidRPr="00C8701B">
        <w:rPr>
          <w:lang w:eastAsia="fr-FR" w:bidi="he-IL"/>
        </w:rPr>
        <w:t xml:space="preserve"> </w:t>
      </w:r>
    </w:p>
    <w:p w:rsidR="00C2602D" w:rsidRPr="00C8701B" w:rsidRDefault="00B704AD" w:rsidP="002D5574">
      <w:pPr>
        <w:pStyle w:val="locus"/>
        <w:rPr>
          <w:lang w:eastAsia="fr-FR" w:bidi="he-IL"/>
        </w:rPr>
      </w:pPr>
      <w:r w:rsidRPr="00C8701B">
        <w:rPr>
          <w:lang w:eastAsia="fr-FR" w:bidi="he-IL"/>
        </w:rPr>
        <w:t>Chapitre III.</w:t>
      </w:r>
      <w:r w:rsidR="000F7DAA">
        <w:rPr>
          <w:lang w:eastAsia="fr-FR" w:bidi="he-IL"/>
        </w:rPr>
        <w:t xml:space="preserve"> —</w:t>
      </w:r>
      <w:r w:rsidR="008D0642">
        <w:rPr>
          <w:lang w:eastAsia="fr-FR" w:bidi="he-IL"/>
        </w:rPr>
        <w:t xml:space="preserve"> </w:t>
      </w:r>
      <w:r w:rsidRPr="00C8701B">
        <w:rPr>
          <w:lang w:eastAsia="fr-FR" w:bidi="he-IL"/>
        </w:rPr>
        <w:t>En regardant vers le ciel</w:t>
      </w:r>
      <w:r w:rsidR="00E65435">
        <w:rPr>
          <w:lang w:eastAsia="fr-FR" w:bidi="he-IL"/>
        </w:rPr>
        <w:t xml:space="preserve">, </w:t>
      </w:r>
      <w:r w:rsidRPr="00C8701B">
        <w:rPr>
          <w:lang w:eastAsia="fr-FR" w:bidi="he-IL"/>
        </w:rPr>
        <w:t>elle vit sur le laurier le nid d</w:t>
      </w:r>
      <w:r w:rsidR="00557DE0">
        <w:rPr>
          <w:lang w:eastAsia="fr-FR" w:bidi="he-IL"/>
        </w:rPr>
        <w:t>’</w:t>
      </w:r>
      <w:r w:rsidRPr="00C8701B">
        <w:rPr>
          <w:lang w:eastAsia="fr-FR" w:bidi="he-IL"/>
        </w:rPr>
        <w:t>un passereau</w:t>
      </w:r>
      <w:r w:rsidR="00E65435">
        <w:rPr>
          <w:lang w:eastAsia="fr-FR" w:bidi="he-IL"/>
        </w:rPr>
        <w:t xml:space="preserve">, </w:t>
      </w:r>
      <w:r w:rsidRPr="00C8701B">
        <w:rPr>
          <w:lang w:eastAsia="fr-FR" w:bidi="he-IL"/>
        </w:rPr>
        <w:t>et elle s</w:t>
      </w:r>
      <w:r w:rsidR="00557DE0">
        <w:rPr>
          <w:lang w:eastAsia="fr-FR" w:bidi="he-IL"/>
        </w:rPr>
        <w:t>’</w:t>
      </w:r>
      <w:r w:rsidRPr="00C8701B">
        <w:rPr>
          <w:lang w:eastAsia="fr-FR" w:bidi="he-IL"/>
        </w:rPr>
        <w:t>écria avec douleur</w:t>
      </w:r>
      <w:r w:rsidR="00C2602D" w:rsidRPr="00C8701B">
        <w:rPr>
          <w:lang w:eastAsia="fr-FR" w:bidi="he-IL"/>
        </w:rPr>
        <w:t> :</w:t>
      </w:r>
      <w:r w:rsidRPr="00C8701B">
        <w:rPr>
          <w:lang w:eastAsia="fr-FR" w:bidi="he-IL"/>
        </w:rPr>
        <w:t xml:space="preserve"> Hélas</w:t>
      </w:r>
      <w:r w:rsidR="00C2602D" w:rsidRPr="00C8701B">
        <w:rPr>
          <w:lang w:eastAsia="fr-FR" w:bidi="he-IL"/>
        </w:rPr>
        <w:t> !</w:t>
      </w:r>
      <w:r w:rsidR="002D5574">
        <w:rPr>
          <w:lang w:eastAsia="fr-FR" w:bidi="he-IL"/>
        </w:rPr>
        <w:t xml:space="preserve"> À</w:t>
      </w:r>
      <w:r w:rsidRPr="00C8701B">
        <w:rPr>
          <w:lang w:eastAsia="fr-FR" w:bidi="he-IL"/>
        </w:rPr>
        <w:t xml:space="preserve"> quoi puis-je être comparée</w:t>
      </w:r>
      <w:r w:rsidR="00C2602D" w:rsidRPr="00C8701B">
        <w:rPr>
          <w:lang w:eastAsia="fr-FR" w:bidi="he-IL"/>
        </w:rPr>
        <w:t> ?</w:t>
      </w:r>
      <w:r w:rsidRPr="00C8701B">
        <w:rPr>
          <w:lang w:eastAsia="fr-FR" w:bidi="he-IL"/>
        </w:rPr>
        <w:t xml:space="preserve"> </w:t>
      </w:r>
      <w:r w:rsidR="002D5574">
        <w:rPr>
          <w:lang w:eastAsia="fr-FR" w:bidi="he-IL"/>
        </w:rPr>
        <w:t>À</w:t>
      </w:r>
      <w:r w:rsidRPr="00C8701B">
        <w:rPr>
          <w:lang w:eastAsia="fr-FR" w:bidi="he-IL"/>
        </w:rPr>
        <w:t xml:space="preserve"> qui dois-je la vie</w:t>
      </w:r>
      <w:r w:rsidR="00E65435">
        <w:rPr>
          <w:lang w:eastAsia="fr-FR" w:bidi="he-IL"/>
        </w:rPr>
        <w:t xml:space="preserve">, </w:t>
      </w:r>
      <w:r w:rsidRPr="00C8701B">
        <w:rPr>
          <w:lang w:eastAsia="fr-FR" w:bidi="he-IL"/>
        </w:rPr>
        <w:t>pour être ainsi maudite en présence des fils d</w:t>
      </w:r>
      <w:r w:rsidR="00557DE0">
        <w:rPr>
          <w:lang w:eastAsia="fr-FR" w:bidi="he-IL"/>
        </w:rPr>
        <w:t>’</w:t>
      </w:r>
      <w:r w:rsidRPr="00C8701B">
        <w:rPr>
          <w:lang w:eastAsia="fr-FR" w:bidi="he-IL"/>
        </w:rPr>
        <w:t>Israël</w:t>
      </w:r>
      <w:r w:rsidR="00C2602D" w:rsidRPr="00C8701B">
        <w:rPr>
          <w:lang w:eastAsia="fr-FR" w:bidi="he-IL"/>
        </w:rPr>
        <w:t> ?</w:t>
      </w:r>
      <w:r w:rsidRPr="00C8701B">
        <w:rPr>
          <w:lang w:eastAsia="fr-FR" w:bidi="he-IL"/>
        </w:rPr>
        <w:t xml:space="preserve"> Ils me raillent et m</w:t>
      </w:r>
      <w:r w:rsidR="00557DE0">
        <w:rPr>
          <w:lang w:eastAsia="fr-FR" w:bidi="he-IL"/>
        </w:rPr>
        <w:t>’</w:t>
      </w:r>
      <w:r w:rsidRPr="00C8701B">
        <w:rPr>
          <w:lang w:eastAsia="fr-FR" w:bidi="he-IL"/>
        </w:rPr>
        <w:t>outragent</w:t>
      </w:r>
      <w:r w:rsidR="00E65435">
        <w:rPr>
          <w:lang w:eastAsia="fr-FR" w:bidi="he-IL"/>
        </w:rPr>
        <w:t xml:space="preserve">, </w:t>
      </w:r>
      <w:r w:rsidRPr="00C8701B">
        <w:rPr>
          <w:lang w:eastAsia="fr-FR" w:bidi="he-IL"/>
        </w:rPr>
        <w:t>ils m</w:t>
      </w:r>
      <w:r w:rsidR="00557DE0">
        <w:rPr>
          <w:lang w:eastAsia="fr-FR" w:bidi="he-IL"/>
        </w:rPr>
        <w:t>’</w:t>
      </w:r>
      <w:r w:rsidRPr="00C8701B">
        <w:rPr>
          <w:lang w:eastAsia="fr-FR" w:bidi="he-IL"/>
        </w:rPr>
        <w:t>ont chassé</w:t>
      </w:r>
      <w:r w:rsidR="002D5574">
        <w:rPr>
          <w:lang w:eastAsia="fr-FR" w:bidi="he-IL"/>
        </w:rPr>
        <w:t>e du temple du Seigneur. Hélas ! à quoi suis-j</w:t>
      </w:r>
      <w:r w:rsidRPr="00C8701B">
        <w:rPr>
          <w:lang w:eastAsia="fr-FR" w:bidi="he-IL"/>
        </w:rPr>
        <w:t>e semblable</w:t>
      </w:r>
      <w:r w:rsidR="00C2602D" w:rsidRPr="00C8701B">
        <w:rPr>
          <w:lang w:eastAsia="fr-FR" w:bidi="he-IL"/>
        </w:rPr>
        <w:t> ?</w:t>
      </w:r>
      <w:r w:rsidRPr="00C8701B">
        <w:rPr>
          <w:lang w:eastAsia="fr-FR" w:bidi="he-IL"/>
        </w:rPr>
        <w:t xml:space="preserve"> Je ne puis être comparée aux oiseaux du ciel</w:t>
      </w:r>
      <w:r w:rsidR="00E65435">
        <w:rPr>
          <w:lang w:eastAsia="fr-FR" w:bidi="he-IL"/>
        </w:rPr>
        <w:t xml:space="preserve">, </w:t>
      </w:r>
      <w:r w:rsidRPr="00C8701B">
        <w:rPr>
          <w:lang w:eastAsia="fr-FR" w:bidi="he-IL"/>
        </w:rPr>
        <w:t>car les oiseaux sont féconds devant vous</w:t>
      </w:r>
      <w:r w:rsidR="00E65435">
        <w:rPr>
          <w:lang w:eastAsia="fr-FR" w:bidi="he-IL"/>
        </w:rPr>
        <w:t xml:space="preserve">, </w:t>
      </w:r>
      <w:r w:rsidRPr="00C8701B">
        <w:rPr>
          <w:lang w:eastAsia="fr-FR" w:bidi="he-IL"/>
        </w:rPr>
        <w:t>Seigneur. Je ne puis être comparée aux animaux de la terre</w:t>
      </w:r>
      <w:r w:rsidR="00E65435">
        <w:rPr>
          <w:lang w:eastAsia="fr-FR" w:bidi="he-IL"/>
        </w:rPr>
        <w:t xml:space="preserve">, </w:t>
      </w:r>
      <w:r w:rsidRPr="00C8701B">
        <w:rPr>
          <w:lang w:eastAsia="fr-FR" w:bidi="he-IL"/>
        </w:rPr>
        <w:t>car ils sont féconds. Je ne puis être comparée ni a la mer</w:t>
      </w:r>
      <w:r w:rsidR="00E65435">
        <w:rPr>
          <w:lang w:eastAsia="fr-FR" w:bidi="he-IL"/>
        </w:rPr>
        <w:t xml:space="preserve">, </w:t>
      </w:r>
      <w:r w:rsidRPr="00C8701B">
        <w:rPr>
          <w:lang w:eastAsia="fr-FR" w:bidi="he-IL"/>
        </w:rPr>
        <w:t>car elle est peuplée de poissons</w:t>
      </w:r>
      <w:r w:rsidR="00C2602D" w:rsidRPr="00C8701B">
        <w:rPr>
          <w:lang w:eastAsia="fr-FR" w:bidi="he-IL"/>
        </w:rPr>
        <w:t> </w:t>
      </w:r>
      <w:r w:rsidR="007F6508">
        <w:rPr>
          <w:lang w:eastAsia="fr-FR" w:bidi="he-IL"/>
        </w:rPr>
        <w:t xml:space="preserve">; </w:t>
      </w:r>
      <w:r w:rsidRPr="00C8701B">
        <w:rPr>
          <w:lang w:eastAsia="fr-FR" w:bidi="he-IL"/>
        </w:rPr>
        <w:t>ni à la terre</w:t>
      </w:r>
      <w:r w:rsidR="00E65435">
        <w:rPr>
          <w:lang w:eastAsia="fr-FR" w:bidi="he-IL"/>
        </w:rPr>
        <w:t xml:space="preserve">, </w:t>
      </w:r>
      <w:r w:rsidRPr="00C8701B">
        <w:rPr>
          <w:lang w:eastAsia="fr-FR" w:bidi="he-IL"/>
        </w:rPr>
        <w:t>car elle donne des fruits en leur temps</w:t>
      </w:r>
      <w:r w:rsidR="00E65435">
        <w:rPr>
          <w:lang w:eastAsia="fr-FR" w:bidi="he-IL"/>
        </w:rPr>
        <w:t xml:space="preserve">, </w:t>
      </w:r>
      <w:r w:rsidRPr="00C8701B">
        <w:rPr>
          <w:lang w:eastAsia="fr-FR" w:bidi="he-IL"/>
        </w:rPr>
        <w:t>et elle bénit le Seigneur.</w:t>
      </w:r>
      <w:r w:rsidR="00C2602D" w:rsidRPr="00C8701B">
        <w:rPr>
          <w:lang w:eastAsia="fr-FR" w:bidi="he-IL"/>
        </w:rPr>
        <w:t xml:space="preserve"> </w:t>
      </w:r>
    </w:p>
    <w:p w:rsidR="00C2602D" w:rsidRPr="00C8701B" w:rsidRDefault="00B704AD" w:rsidP="002D5574">
      <w:pPr>
        <w:pStyle w:val="locus"/>
        <w:rPr>
          <w:lang w:eastAsia="fr-FR" w:bidi="he-IL"/>
        </w:rPr>
      </w:pPr>
      <w:r w:rsidRPr="00C8701B">
        <w:rPr>
          <w:lang w:eastAsia="fr-FR" w:bidi="he-IL"/>
        </w:rPr>
        <w:t xml:space="preserve">Chapitre </w:t>
      </w:r>
      <w:r w:rsidR="0096281A">
        <w:rPr>
          <w:lang w:eastAsia="fr-FR" w:bidi="he-IL"/>
        </w:rPr>
        <w:t>IV</w:t>
      </w:r>
      <w:r w:rsidRPr="00C8701B">
        <w:rPr>
          <w:lang w:eastAsia="fr-FR" w:bidi="he-IL"/>
        </w:rPr>
        <w:t>.</w:t>
      </w:r>
      <w:r w:rsidR="000F7DAA">
        <w:rPr>
          <w:lang w:eastAsia="fr-FR" w:bidi="he-IL"/>
        </w:rPr>
        <w:t xml:space="preserve"> —</w:t>
      </w:r>
      <w:r w:rsidR="008D0642">
        <w:rPr>
          <w:lang w:eastAsia="fr-FR" w:bidi="he-IL"/>
        </w:rPr>
        <w:t xml:space="preserve"> </w:t>
      </w:r>
      <w:r w:rsidRPr="00C8701B">
        <w:rPr>
          <w:lang w:eastAsia="fr-FR" w:bidi="he-IL"/>
        </w:rPr>
        <w:t>Et voici que l</w:t>
      </w:r>
      <w:r w:rsidR="00557DE0">
        <w:rPr>
          <w:lang w:eastAsia="fr-FR" w:bidi="he-IL"/>
        </w:rPr>
        <w:t>’</w:t>
      </w:r>
      <w:r w:rsidRPr="00C8701B">
        <w:rPr>
          <w:lang w:eastAsia="fr-FR" w:bidi="he-IL"/>
        </w:rPr>
        <w:t>ange du Seigneur vola vers elle</w:t>
      </w:r>
      <w:r w:rsidR="00E65435">
        <w:rPr>
          <w:lang w:eastAsia="fr-FR" w:bidi="he-IL"/>
        </w:rPr>
        <w:t xml:space="preserve">, </w:t>
      </w:r>
      <w:r w:rsidRPr="00C8701B">
        <w:rPr>
          <w:lang w:eastAsia="fr-FR" w:bidi="he-IL"/>
        </w:rPr>
        <w:t>lui disant</w:t>
      </w:r>
      <w:r w:rsidR="00C2602D" w:rsidRPr="00C8701B">
        <w:rPr>
          <w:lang w:eastAsia="fr-FR" w:bidi="he-IL"/>
        </w:rPr>
        <w:t> :</w:t>
      </w:r>
      <w:r w:rsidRPr="00C8701B">
        <w:rPr>
          <w:lang w:eastAsia="fr-FR" w:bidi="he-IL"/>
        </w:rPr>
        <w:t xml:space="preserve"> Anne</w:t>
      </w:r>
      <w:r w:rsidR="00E65435">
        <w:rPr>
          <w:lang w:eastAsia="fr-FR" w:bidi="he-IL"/>
        </w:rPr>
        <w:t xml:space="preserve">, </w:t>
      </w:r>
      <w:r w:rsidRPr="00C8701B">
        <w:rPr>
          <w:lang w:eastAsia="fr-FR" w:bidi="he-IL"/>
        </w:rPr>
        <w:t>Dieu a entendu ta prière</w:t>
      </w:r>
      <w:r w:rsidR="00C2602D" w:rsidRPr="00C8701B">
        <w:rPr>
          <w:lang w:eastAsia="fr-FR" w:bidi="he-IL"/>
        </w:rPr>
        <w:t> </w:t>
      </w:r>
      <w:r w:rsidR="007F6508">
        <w:rPr>
          <w:lang w:eastAsia="fr-FR" w:bidi="he-IL"/>
        </w:rPr>
        <w:t xml:space="preserve">; </w:t>
      </w:r>
      <w:r w:rsidRPr="00C8701B">
        <w:rPr>
          <w:lang w:eastAsia="fr-FR" w:bidi="he-IL"/>
        </w:rPr>
        <w:t>tu concevras et tu enfanteras</w:t>
      </w:r>
      <w:r w:rsidR="00E65435">
        <w:rPr>
          <w:lang w:eastAsia="fr-FR" w:bidi="he-IL"/>
        </w:rPr>
        <w:t xml:space="preserve">, </w:t>
      </w:r>
      <w:r w:rsidRPr="00C8701B">
        <w:rPr>
          <w:lang w:eastAsia="fr-FR" w:bidi="he-IL"/>
        </w:rPr>
        <w:t>et ta race sera célèbre dans le monde entier. Anne dit</w:t>
      </w:r>
      <w:r w:rsidR="00C2602D" w:rsidRPr="00C8701B">
        <w:rPr>
          <w:lang w:eastAsia="fr-FR" w:bidi="he-IL"/>
        </w:rPr>
        <w:t> :</w:t>
      </w:r>
      <w:r w:rsidRPr="00C8701B">
        <w:rPr>
          <w:lang w:eastAsia="fr-FR" w:bidi="he-IL"/>
        </w:rPr>
        <w:t xml:space="preserve"> Vive le Seigneur mon Dieu</w:t>
      </w:r>
      <w:r w:rsidR="00C2602D" w:rsidRPr="00C8701B">
        <w:rPr>
          <w:lang w:eastAsia="fr-FR" w:bidi="he-IL"/>
        </w:rPr>
        <w:t> </w:t>
      </w:r>
      <w:r w:rsidR="007F6508">
        <w:rPr>
          <w:lang w:eastAsia="fr-FR" w:bidi="he-IL"/>
        </w:rPr>
        <w:t xml:space="preserve">; </w:t>
      </w:r>
      <w:r w:rsidRPr="00C8701B">
        <w:rPr>
          <w:lang w:eastAsia="fr-FR" w:bidi="he-IL"/>
        </w:rPr>
        <w:t>que ce soit un fils ou une fille que j</w:t>
      </w:r>
      <w:r w:rsidR="00557DE0">
        <w:rPr>
          <w:lang w:eastAsia="fr-FR" w:bidi="he-IL"/>
        </w:rPr>
        <w:t>’</w:t>
      </w:r>
      <w:r w:rsidRPr="00C8701B">
        <w:rPr>
          <w:lang w:eastAsia="fr-FR" w:bidi="he-IL"/>
        </w:rPr>
        <w:t>enfante</w:t>
      </w:r>
      <w:r w:rsidR="00E65435">
        <w:rPr>
          <w:lang w:eastAsia="fr-FR" w:bidi="he-IL"/>
        </w:rPr>
        <w:t xml:space="preserve">, </w:t>
      </w:r>
      <w:r w:rsidRPr="00C8701B">
        <w:rPr>
          <w:lang w:eastAsia="fr-FR" w:bidi="he-IL"/>
        </w:rPr>
        <w:t>je l</w:t>
      </w:r>
      <w:r w:rsidR="00557DE0">
        <w:rPr>
          <w:lang w:eastAsia="fr-FR" w:bidi="he-IL"/>
        </w:rPr>
        <w:t>’</w:t>
      </w:r>
      <w:r w:rsidRPr="00C8701B">
        <w:rPr>
          <w:lang w:eastAsia="fr-FR" w:bidi="he-IL"/>
        </w:rPr>
        <w:t>offrirai au Seigneur.</w:t>
      </w:r>
      <w:r w:rsidR="0040307B" w:rsidRPr="00C8701B">
        <w:rPr>
          <w:lang w:eastAsia="fr-FR" w:bidi="he-IL"/>
        </w:rPr>
        <w:t xml:space="preserve"> </w:t>
      </w:r>
      <w:r w:rsidRPr="00C8701B">
        <w:rPr>
          <w:lang w:eastAsia="fr-FR" w:bidi="he-IL"/>
        </w:rPr>
        <w:t>.</w:t>
      </w:r>
      <w:r w:rsidR="00C2602D" w:rsidRPr="00C8701B">
        <w:rPr>
          <w:lang w:eastAsia="fr-FR" w:bidi="he-IL"/>
        </w:rPr>
        <w:t xml:space="preserve"> </w:t>
      </w:r>
    </w:p>
    <w:p w:rsidR="00C2602D" w:rsidRPr="00C8701B" w:rsidRDefault="00B704AD" w:rsidP="002D5574">
      <w:pPr>
        <w:pStyle w:val="locus"/>
        <w:rPr>
          <w:lang w:eastAsia="fr-FR" w:bidi="he-IL"/>
        </w:rPr>
      </w:pPr>
      <w:r w:rsidRPr="00C8701B">
        <w:rPr>
          <w:lang w:eastAsia="fr-FR" w:bidi="he-IL"/>
        </w:rPr>
        <w:t xml:space="preserve">Chapitre </w:t>
      </w:r>
      <w:r w:rsidR="00835131">
        <w:rPr>
          <w:lang w:eastAsia="fr-FR" w:bidi="he-IL"/>
        </w:rPr>
        <w:t>V</w:t>
      </w:r>
      <w:r w:rsidRPr="00C8701B">
        <w:rPr>
          <w:lang w:eastAsia="fr-FR" w:bidi="he-IL"/>
        </w:rPr>
        <w:t>.</w:t>
      </w:r>
      <w:r w:rsidR="000F7DAA">
        <w:rPr>
          <w:lang w:eastAsia="fr-FR" w:bidi="he-IL"/>
        </w:rPr>
        <w:t xml:space="preserve"> —</w:t>
      </w:r>
      <w:r w:rsidR="008D0642">
        <w:rPr>
          <w:lang w:eastAsia="fr-FR" w:bidi="he-IL"/>
        </w:rPr>
        <w:t xml:space="preserve"> </w:t>
      </w:r>
      <w:r w:rsidRPr="00C8701B">
        <w:rPr>
          <w:lang w:eastAsia="fr-FR" w:bidi="he-IL"/>
        </w:rPr>
        <w:t>Anne conçut</w:t>
      </w:r>
      <w:r w:rsidR="00E65435">
        <w:rPr>
          <w:lang w:eastAsia="fr-FR" w:bidi="he-IL"/>
        </w:rPr>
        <w:t xml:space="preserve">, </w:t>
      </w:r>
      <w:r w:rsidRPr="00C8701B">
        <w:rPr>
          <w:lang w:eastAsia="fr-FR" w:bidi="he-IL"/>
        </w:rPr>
        <w:t>et</w:t>
      </w:r>
      <w:r w:rsidR="00E65435">
        <w:rPr>
          <w:lang w:eastAsia="fr-FR" w:bidi="he-IL"/>
        </w:rPr>
        <w:t xml:space="preserve">, </w:t>
      </w:r>
      <w:r w:rsidRPr="00C8701B">
        <w:rPr>
          <w:lang w:eastAsia="fr-FR" w:bidi="he-IL"/>
        </w:rPr>
        <w:t>le neuvième mois</w:t>
      </w:r>
      <w:r w:rsidR="00E65435">
        <w:rPr>
          <w:lang w:eastAsia="fr-FR" w:bidi="he-IL"/>
        </w:rPr>
        <w:t xml:space="preserve">, </w:t>
      </w:r>
      <w:r w:rsidRPr="00C8701B">
        <w:rPr>
          <w:lang w:eastAsia="fr-FR" w:bidi="he-IL"/>
        </w:rPr>
        <w:t>elle enfanta</w:t>
      </w:r>
      <w:r w:rsidR="00C2602D" w:rsidRPr="00C8701B">
        <w:rPr>
          <w:lang w:eastAsia="fr-FR" w:bidi="he-IL"/>
        </w:rPr>
        <w:t> </w:t>
      </w:r>
      <w:r w:rsidR="007F6508">
        <w:rPr>
          <w:lang w:eastAsia="fr-FR" w:bidi="he-IL"/>
        </w:rPr>
        <w:t xml:space="preserve">; </w:t>
      </w:r>
      <w:r w:rsidRPr="00C8701B">
        <w:rPr>
          <w:lang w:eastAsia="fr-FR" w:bidi="he-IL"/>
        </w:rPr>
        <w:t>et elle dit à la sage-femme</w:t>
      </w:r>
      <w:r w:rsidR="00C2602D" w:rsidRPr="00C8701B">
        <w:rPr>
          <w:lang w:eastAsia="fr-FR" w:bidi="he-IL"/>
        </w:rPr>
        <w:t> :</w:t>
      </w:r>
      <w:r w:rsidRPr="00C8701B">
        <w:rPr>
          <w:lang w:eastAsia="fr-FR" w:bidi="he-IL"/>
        </w:rPr>
        <w:t xml:space="preserve"> Qu</w:t>
      </w:r>
      <w:r w:rsidR="00557DE0">
        <w:rPr>
          <w:lang w:eastAsia="fr-FR" w:bidi="he-IL"/>
        </w:rPr>
        <w:t>’</w:t>
      </w:r>
      <w:r w:rsidRPr="00C8701B">
        <w:rPr>
          <w:lang w:eastAsia="fr-FR" w:bidi="he-IL"/>
        </w:rPr>
        <w:t>ai-je enfanté</w:t>
      </w:r>
      <w:r w:rsidR="00C2602D" w:rsidRPr="00C8701B">
        <w:rPr>
          <w:lang w:eastAsia="fr-FR" w:bidi="he-IL"/>
        </w:rPr>
        <w:t> ?</w:t>
      </w:r>
      <w:r w:rsidRPr="00C8701B">
        <w:rPr>
          <w:lang w:eastAsia="fr-FR" w:bidi="he-IL"/>
        </w:rPr>
        <w:t xml:space="preserve"> Et l</w:t>
      </w:r>
      <w:r w:rsidR="00557DE0">
        <w:rPr>
          <w:lang w:eastAsia="fr-FR" w:bidi="he-IL"/>
        </w:rPr>
        <w:t>’</w:t>
      </w:r>
      <w:r w:rsidRPr="00C8701B">
        <w:rPr>
          <w:lang w:eastAsia="fr-FR" w:bidi="he-IL"/>
        </w:rPr>
        <w:t>autre répondit</w:t>
      </w:r>
      <w:r w:rsidR="00C2602D" w:rsidRPr="00C8701B">
        <w:rPr>
          <w:lang w:eastAsia="fr-FR" w:bidi="he-IL"/>
        </w:rPr>
        <w:t> :</w:t>
      </w:r>
      <w:r w:rsidRPr="00C8701B">
        <w:rPr>
          <w:lang w:eastAsia="fr-FR" w:bidi="he-IL"/>
        </w:rPr>
        <w:t xml:space="preserve"> Une fille. Et Anne dit</w:t>
      </w:r>
      <w:r w:rsidR="00C2602D" w:rsidRPr="00C8701B">
        <w:rPr>
          <w:lang w:eastAsia="fr-FR" w:bidi="he-IL"/>
        </w:rPr>
        <w:t> :</w:t>
      </w:r>
      <w:r w:rsidRPr="00C8701B">
        <w:rPr>
          <w:lang w:eastAsia="fr-FR" w:bidi="he-IL"/>
        </w:rPr>
        <w:t xml:space="preserve"> Mon âme s</w:t>
      </w:r>
      <w:r w:rsidR="00557DE0">
        <w:rPr>
          <w:lang w:eastAsia="fr-FR" w:bidi="he-IL"/>
        </w:rPr>
        <w:t>’</w:t>
      </w:r>
      <w:r w:rsidRPr="00C8701B">
        <w:rPr>
          <w:lang w:eastAsia="fr-FR" w:bidi="he-IL"/>
        </w:rPr>
        <w:t>est réjouie à cette heure. Et Anne allaita son enfant</w:t>
      </w:r>
      <w:r w:rsidR="00E65435">
        <w:rPr>
          <w:lang w:eastAsia="fr-FR" w:bidi="he-IL"/>
        </w:rPr>
        <w:t xml:space="preserve">, </w:t>
      </w:r>
      <w:r w:rsidRPr="00C8701B">
        <w:rPr>
          <w:lang w:eastAsia="fr-FR" w:bidi="he-IL"/>
        </w:rPr>
        <w:t>et lui donna le nom de Marie.</w:t>
      </w:r>
      <w:r w:rsidR="00C2602D" w:rsidRPr="00C8701B">
        <w:rPr>
          <w:lang w:eastAsia="fr-FR" w:bidi="he-IL"/>
        </w:rPr>
        <w:t xml:space="preserve"> </w:t>
      </w:r>
    </w:p>
    <w:p w:rsidR="00C2602D" w:rsidRPr="00C8701B" w:rsidRDefault="00B704AD" w:rsidP="002D5574">
      <w:pPr>
        <w:pStyle w:val="locus"/>
        <w:rPr>
          <w:lang w:eastAsia="fr-FR" w:bidi="he-IL"/>
        </w:rPr>
      </w:pPr>
      <w:r w:rsidRPr="00C8701B">
        <w:rPr>
          <w:lang w:eastAsia="fr-FR" w:bidi="he-IL"/>
        </w:rPr>
        <w:t xml:space="preserve">Chapitre </w:t>
      </w:r>
      <w:r w:rsidR="00A319EA">
        <w:rPr>
          <w:lang w:eastAsia="fr-FR" w:bidi="he-IL"/>
        </w:rPr>
        <w:t>VI</w:t>
      </w:r>
      <w:r w:rsidRPr="00C8701B">
        <w:rPr>
          <w:lang w:eastAsia="fr-FR" w:bidi="he-IL"/>
        </w:rPr>
        <w:t>.</w:t>
      </w:r>
      <w:r w:rsidR="000F7DAA">
        <w:rPr>
          <w:lang w:eastAsia="fr-FR" w:bidi="he-IL"/>
        </w:rPr>
        <w:t xml:space="preserve"> —</w:t>
      </w:r>
      <w:r w:rsidR="008D0642">
        <w:rPr>
          <w:lang w:eastAsia="fr-FR" w:bidi="he-IL"/>
        </w:rPr>
        <w:t xml:space="preserve"> </w:t>
      </w:r>
      <w:r w:rsidRPr="00C8701B">
        <w:rPr>
          <w:lang w:eastAsia="fr-FR" w:bidi="he-IL"/>
        </w:rPr>
        <w:t>L</w:t>
      </w:r>
      <w:r w:rsidR="00557DE0">
        <w:rPr>
          <w:lang w:eastAsia="fr-FR" w:bidi="he-IL"/>
        </w:rPr>
        <w:t>’</w:t>
      </w:r>
      <w:r w:rsidRPr="00C8701B">
        <w:rPr>
          <w:lang w:eastAsia="fr-FR" w:bidi="he-IL"/>
        </w:rPr>
        <w:t>enfant se fortifia de jour en jour. Lorsqu</w:t>
      </w:r>
      <w:r w:rsidR="00557DE0">
        <w:rPr>
          <w:lang w:eastAsia="fr-FR" w:bidi="he-IL"/>
        </w:rPr>
        <w:t>’</w:t>
      </w:r>
      <w:r w:rsidRPr="00C8701B">
        <w:rPr>
          <w:lang w:eastAsia="fr-FR" w:bidi="he-IL"/>
        </w:rPr>
        <w:t>elle eut six mois</w:t>
      </w:r>
      <w:r w:rsidR="00E65435">
        <w:rPr>
          <w:lang w:eastAsia="fr-FR" w:bidi="he-IL"/>
        </w:rPr>
        <w:t xml:space="preserve">, </w:t>
      </w:r>
      <w:r w:rsidRPr="00C8701B">
        <w:rPr>
          <w:lang w:eastAsia="fr-FR" w:bidi="he-IL"/>
        </w:rPr>
        <w:t>sa mère la posa à terre pour voir si elle se tiendrait debout. Et elle fit sept pas en marchant</w:t>
      </w:r>
      <w:r w:rsidR="00E65435">
        <w:rPr>
          <w:lang w:eastAsia="fr-FR" w:bidi="he-IL"/>
        </w:rPr>
        <w:t xml:space="preserve">, </w:t>
      </w:r>
      <w:r w:rsidRPr="00C8701B">
        <w:rPr>
          <w:lang w:eastAsia="fr-FR" w:bidi="he-IL"/>
        </w:rPr>
        <w:t>et elle vint se jeter dans les bras de sa mère Et Anne dit</w:t>
      </w:r>
      <w:r w:rsidR="00C2602D" w:rsidRPr="00C8701B">
        <w:rPr>
          <w:lang w:eastAsia="fr-FR" w:bidi="he-IL"/>
        </w:rPr>
        <w:t> :</w:t>
      </w:r>
      <w:r w:rsidRPr="00C8701B">
        <w:rPr>
          <w:lang w:eastAsia="fr-FR" w:bidi="he-IL"/>
        </w:rPr>
        <w:t xml:space="preserve"> Vive le Seigneur mon Dieu</w:t>
      </w:r>
      <w:r w:rsidR="00C2602D" w:rsidRPr="00C8701B">
        <w:rPr>
          <w:lang w:eastAsia="fr-FR" w:bidi="he-IL"/>
        </w:rPr>
        <w:t> </w:t>
      </w:r>
      <w:r w:rsidR="007F6508">
        <w:rPr>
          <w:lang w:eastAsia="fr-FR" w:bidi="he-IL"/>
        </w:rPr>
        <w:t xml:space="preserve">; </w:t>
      </w:r>
      <w:r w:rsidRPr="00C8701B">
        <w:rPr>
          <w:lang w:eastAsia="fr-FR" w:bidi="he-IL"/>
        </w:rPr>
        <w:t>tu ne marcheras pas sur la terre jusqu</w:t>
      </w:r>
      <w:r w:rsidR="00557DE0">
        <w:rPr>
          <w:lang w:eastAsia="fr-FR" w:bidi="he-IL"/>
        </w:rPr>
        <w:t>’</w:t>
      </w:r>
      <w:r w:rsidRPr="00C8701B">
        <w:rPr>
          <w:lang w:eastAsia="fr-FR" w:bidi="he-IL"/>
        </w:rPr>
        <w:t>à ce que je t</w:t>
      </w:r>
      <w:r w:rsidR="00557DE0">
        <w:rPr>
          <w:lang w:eastAsia="fr-FR" w:bidi="he-IL"/>
        </w:rPr>
        <w:t>’</w:t>
      </w:r>
      <w:r w:rsidRPr="00C8701B">
        <w:rPr>
          <w:lang w:eastAsia="fr-FR" w:bidi="he-IL"/>
        </w:rPr>
        <w:t>aie offerte dans le temple du Seigneur....</w:t>
      </w:r>
      <w:r w:rsidR="00C2602D" w:rsidRPr="00C8701B">
        <w:rPr>
          <w:lang w:eastAsia="fr-FR" w:bidi="he-IL"/>
        </w:rPr>
        <w:t xml:space="preserve"> </w:t>
      </w:r>
    </w:p>
    <w:p w:rsidR="00C2602D" w:rsidRPr="00C8701B" w:rsidRDefault="00C14040" w:rsidP="002D5574">
      <w:pPr>
        <w:pStyle w:val="locus"/>
        <w:rPr>
          <w:lang w:eastAsia="fr-FR" w:bidi="he-IL"/>
        </w:rPr>
      </w:pPr>
      <w:r>
        <w:rPr>
          <w:lang w:eastAsia="fr-FR" w:bidi="he-IL"/>
        </w:rPr>
        <w:t xml:space="preserve">Chapitre VII. </w:t>
      </w:r>
      <w:r w:rsidR="000F7DAA">
        <w:rPr>
          <w:lang w:eastAsia="fr-FR" w:bidi="he-IL"/>
        </w:rPr>
        <w:t>—</w:t>
      </w:r>
      <w:r w:rsidR="008D0642">
        <w:rPr>
          <w:lang w:eastAsia="fr-FR" w:bidi="he-IL"/>
        </w:rPr>
        <w:t xml:space="preserve"> </w:t>
      </w:r>
      <w:r w:rsidR="00B704AD" w:rsidRPr="00C8701B">
        <w:rPr>
          <w:lang w:eastAsia="fr-FR" w:bidi="he-IL"/>
        </w:rPr>
        <w:t>Quand Marie eut deux an</w:t>
      </w:r>
      <w:r>
        <w:rPr>
          <w:lang w:eastAsia="fr-FR" w:bidi="he-IL"/>
        </w:rPr>
        <w:t>s,</w:t>
      </w:r>
      <w:r w:rsidR="00B704AD" w:rsidRPr="00C8701B">
        <w:rPr>
          <w:lang w:eastAsia="fr-FR" w:bidi="he-IL"/>
        </w:rPr>
        <w:t xml:space="preserve"> Joachim dit à Anne</w:t>
      </w:r>
      <w:r w:rsidR="00E65435">
        <w:rPr>
          <w:lang w:eastAsia="fr-FR" w:bidi="he-IL"/>
        </w:rPr>
        <w:t xml:space="preserve">, </w:t>
      </w:r>
      <w:r w:rsidR="00B704AD" w:rsidRPr="00C8701B">
        <w:rPr>
          <w:lang w:eastAsia="fr-FR" w:bidi="he-IL"/>
        </w:rPr>
        <w:t>sa femme</w:t>
      </w:r>
      <w:r w:rsidR="00C2602D" w:rsidRPr="00C8701B">
        <w:rPr>
          <w:lang w:eastAsia="fr-FR" w:bidi="he-IL"/>
        </w:rPr>
        <w:t> :</w:t>
      </w:r>
      <w:r w:rsidR="00B704AD" w:rsidRPr="00C8701B">
        <w:rPr>
          <w:lang w:eastAsia="fr-FR" w:bidi="he-IL"/>
        </w:rPr>
        <w:t xml:space="preserve"> Conduisons-la au temple de Dieu</w:t>
      </w:r>
      <w:r w:rsidR="00E65435">
        <w:rPr>
          <w:lang w:eastAsia="fr-FR" w:bidi="he-IL"/>
        </w:rPr>
        <w:t xml:space="preserve">, </w:t>
      </w:r>
      <w:r w:rsidR="00B704AD" w:rsidRPr="00C8701B">
        <w:rPr>
          <w:lang w:eastAsia="fr-FR" w:bidi="he-IL"/>
        </w:rPr>
        <w:t>afin d</w:t>
      </w:r>
      <w:r w:rsidR="00557DE0">
        <w:rPr>
          <w:lang w:eastAsia="fr-FR" w:bidi="he-IL"/>
        </w:rPr>
        <w:t>’</w:t>
      </w:r>
      <w:r w:rsidR="00B704AD" w:rsidRPr="00C8701B">
        <w:rPr>
          <w:lang w:eastAsia="fr-FR" w:bidi="he-IL"/>
        </w:rPr>
        <w:t>accomplir le vœu que nous avons formé. Et Anne dit</w:t>
      </w:r>
      <w:r w:rsidR="00C2602D" w:rsidRPr="00C8701B">
        <w:rPr>
          <w:lang w:eastAsia="fr-FR" w:bidi="he-IL"/>
        </w:rPr>
        <w:t> :</w:t>
      </w:r>
      <w:r w:rsidR="00B704AD" w:rsidRPr="00C8701B">
        <w:rPr>
          <w:lang w:eastAsia="fr-FR" w:bidi="he-IL"/>
        </w:rPr>
        <w:t xml:space="preserve"> Attendons la troisième année</w:t>
      </w:r>
      <w:r w:rsidR="00E65435">
        <w:rPr>
          <w:lang w:eastAsia="fr-FR" w:bidi="he-IL"/>
        </w:rPr>
        <w:t xml:space="preserve">, </w:t>
      </w:r>
      <w:r w:rsidR="00B704AD" w:rsidRPr="00C8701B">
        <w:rPr>
          <w:lang w:eastAsia="fr-FR" w:bidi="he-IL"/>
        </w:rPr>
        <w:t>de crainte qu</w:t>
      </w:r>
      <w:r w:rsidR="00557DE0">
        <w:rPr>
          <w:lang w:eastAsia="fr-FR" w:bidi="he-IL"/>
        </w:rPr>
        <w:t>’</w:t>
      </w:r>
      <w:r w:rsidR="00B704AD" w:rsidRPr="00C8701B">
        <w:rPr>
          <w:lang w:eastAsia="fr-FR" w:bidi="he-IL"/>
        </w:rPr>
        <w:t>elle ne redemande son père et sa mère. Et Joachim dit</w:t>
      </w:r>
      <w:r w:rsidR="00C2602D" w:rsidRPr="00C8701B">
        <w:rPr>
          <w:lang w:eastAsia="fr-FR" w:bidi="he-IL"/>
        </w:rPr>
        <w:t> :</w:t>
      </w:r>
      <w:r w:rsidR="00B704AD" w:rsidRPr="00C8701B">
        <w:rPr>
          <w:lang w:eastAsia="fr-FR" w:bidi="he-IL"/>
        </w:rPr>
        <w:t xml:space="preserve"> Attendons. Et l</w:t>
      </w:r>
      <w:r w:rsidR="00557DE0">
        <w:rPr>
          <w:lang w:eastAsia="fr-FR" w:bidi="he-IL"/>
        </w:rPr>
        <w:t>’</w:t>
      </w:r>
      <w:r w:rsidR="00B704AD" w:rsidRPr="00C8701B">
        <w:rPr>
          <w:lang w:eastAsia="fr-FR" w:bidi="he-IL"/>
        </w:rPr>
        <w:t>enfant atteignit l</w:t>
      </w:r>
      <w:r w:rsidR="00557DE0">
        <w:rPr>
          <w:lang w:eastAsia="fr-FR" w:bidi="he-IL"/>
        </w:rPr>
        <w:t>’</w:t>
      </w:r>
      <w:r w:rsidR="00B704AD" w:rsidRPr="00C8701B">
        <w:rPr>
          <w:lang w:eastAsia="fr-FR" w:bidi="he-IL"/>
        </w:rPr>
        <w:t>âge de trois ans. Et Joachim dit</w:t>
      </w:r>
      <w:r w:rsidR="00C2602D" w:rsidRPr="00C8701B">
        <w:rPr>
          <w:lang w:eastAsia="fr-FR" w:bidi="he-IL"/>
        </w:rPr>
        <w:t> :</w:t>
      </w:r>
      <w:r w:rsidR="00B704AD" w:rsidRPr="00C8701B">
        <w:rPr>
          <w:lang w:eastAsia="fr-FR" w:bidi="he-IL"/>
        </w:rPr>
        <w:t xml:space="preserve"> Appelez les vierges sans tache des Hébreux</w:t>
      </w:r>
      <w:r w:rsidR="00E65435">
        <w:rPr>
          <w:lang w:eastAsia="fr-FR" w:bidi="he-IL"/>
        </w:rPr>
        <w:t xml:space="preserve">, </w:t>
      </w:r>
      <w:r w:rsidRPr="000716BB">
        <w:rPr>
          <w:lang w:eastAsia="fr-FR" w:bidi="he-IL"/>
        </w:rPr>
        <w:t>{</w:t>
      </w:r>
      <w:r>
        <w:rPr>
          <w:lang w:eastAsia="fr-FR" w:bidi="he-IL"/>
        </w:rPr>
        <w:t>112</w:t>
      </w:r>
      <w:bookmarkStart w:id="172" w:name="pag112"/>
      <w:bookmarkEnd w:id="172"/>
      <w:r w:rsidRPr="000716BB">
        <w:rPr>
          <w:lang w:eastAsia="fr-FR" w:bidi="he-IL"/>
        </w:rPr>
        <w:t xml:space="preserve">} </w:t>
      </w:r>
      <w:r w:rsidR="00B704AD" w:rsidRPr="00C8701B">
        <w:rPr>
          <w:lang w:eastAsia="fr-FR" w:bidi="he-IL"/>
        </w:rPr>
        <w:t>et qu</w:t>
      </w:r>
      <w:r w:rsidR="00557DE0">
        <w:rPr>
          <w:lang w:eastAsia="fr-FR" w:bidi="he-IL"/>
        </w:rPr>
        <w:t>’</w:t>
      </w:r>
      <w:r w:rsidR="00B704AD" w:rsidRPr="00C8701B">
        <w:rPr>
          <w:lang w:eastAsia="fr-FR" w:bidi="he-IL"/>
        </w:rPr>
        <w:t>elles prennent des lampes et qu</w:t>
      </w:r>
      <w:r w:rsidR="00557DE0">
        <w:rPr>
          <w:lang w:eastAsia="fr-FR" w:bidi="he-IL"/>
        </w:rPr>
        <w:t>’</w:t>
      </w:r>
      <w:r w:rsidR="00B704AD" w:rsidRPr="00C8701B">
        <w:rPr>
          <w:lang w:eastAsia="fr-FR" w:bidi="he-IL"/>
        </w:rPr>
        <w:t>elles les allument</w:t>
      </w:r>
      <w:r w:rsidR="00E65435">
        <w:rPr>
          <w:lang w:eastAsia="fr-FR" w:bidi="he-IL"/>
        </w:rPr>
        <w:t xml:space="preserve">, </w:t>
      </w:r>
      <w:r w:rsidR="00B704AD" w:rsidRPr="00C8701B">
        <w:rPr>
          <w:lang w:eastAsia="fr-FR" w:bidi="he-IL"/>
        </w:rPr>
        <w:t>et que l</w:t>
      </w:r>
      <w:r w:rsidR="00557DE0">
        <w:rPr>
          <w:lang w:eastAsia="fr-FR" w:bidi="he-IL"/>
        </w:rPr>
        <w:t>’</w:t>
      </w:r>
      <w:r w:rsidR="00B704AD" w:rsidRPr="00C8701B">
        <w:rPr>
          <w:lang w:eastAsia="fr-FR" w:bidi="he-IL"/>
        </w:rPr>
        <w:t>enfant ne se retourne pas en arrière</w:t>
      </w:r>
      <w:r w:rsidR="00E65435">
        <w:rPr>
          <w:lang w:eastAsia="fr-FR" w:bidi="he-IL"/>
        </w:rPr>
        <w:t xml:space="preserve">, </w:t>
      </w:r>
      <w:r w:rsidR="00B704AD" w:rsidRPr="00C8701B">
        <w:rPr>
          <w:lang w:eastAsia="fr-FR" w:bidi="he-IL"/>
        </w:rPr>
        <w:t>et que son esprit ne s</w:t>
      </w:r>
      <w:r w:rsidR="00557DE0">
        <w:rPr>
          <w:lang w:eastAsia="fr-FR" w:bidi="he-IL"/>
        </w:rPr>
        <w:t>’</w:t>
      </w:r>
      <w:r w:rsidR="002D5574">
        <w:rPr>
          <w:lang w:eastAsia="fr-FR" w:bidi="he-IL"/>
        </w:rPr>
        <w:t>éloigne pas de la maison de Dieu. Et l</w:t>
      </w:r>
      <w:r w:rsidR="00B704AD" w:rsidRPr="00C8701B">
        <w:rPr>
          <w:lang w:eastAsia="fr-FR" w:bidi="he-IL"/>
        </w:rPr>
        <w:t>es vierges agirent ainsi</w:t>
      </w:r>
      <w:r w:rsidR="00E65435">
        <w:rPr>
          <w:lang w:eastAsia="fr-FR" w:bidi="he-IL"/>
        </w:rPr>
        <w:t xml:space="preserve">, </w:t>
      </w:r>
      <w:r w:rsidR="00B704AD" w:rsidRPr="00C8701B">
        <w:rPr>
          <w:lang w:eastAsia="fr-FR" w:bidi="he-IL"/>
        </w:rPr>
        <w:t>et elles entrèrent dans le temple. E</w:t>
      </w:r>
      <w:r w:rsidR="002D5574">
        <w:rPr>
          <w:lang w:eastAsia="fr-FR" w:bidi="he-IL"/>
        </w:rPr>
        <w:t>t le prince des prêtres reçut l</w:t>
      </w:r>
      <w:r w:rsidR="00557DE0">
        <w:rPr>
          <w:lang w:eastAsia="fr-FR" w:bidi="he-IL"/>
        </w:rPr>
        <w:t>’</w:t>
      </w:r>
      <w:r w:rsidR="00B704AD" w:rsidRPr="00C8701B">
        <w:rPr>
          <w:lang w:eastAsia="fr-FR" w:bidi="he-IL"/>
        </w:rPr>
        <w:t>enfant</w:t>
      </w:r>
      <w:r w:rsidR="00E65435">
        <w:rPr>
          <w:lang w:eastAsia="fr-FR" w:bidi="he-IL"/>
        </w:rPr>
        <w:t xml:space="preserve">, </w:t>
      </w:r>
      <w:r w:rsidR="00B704AD" w:rsidRPr="00C8701B">
        <w:rPr>
          <w:lang w:eastAsia="fr-FR" w:bidi="he-IL"/>
        </w:rPr>
        <w:t>et il l</w:t>
      </w:r>
      <w:r w:rsidR="00557DE0">
        <w:rPr>
          <w:lang w:eastAsia="fr-FR" w:bidi="he-IL"/>
        </w:rPr>
        <w:t>’</w:t>
      </w:r>
      <w:r w:rsidR="00B704AD" w:rsidRPr="00C8701B">
        <w:rPr>
          <w:lang w:eastAsia="fr-FR" w:bidi="he-IL"/>
        </w:rPr>
        <w:t>embrassa</w:t>
      </w:r>
      <w:r w:rsidR="00E65435">
        <w:rPr>
          <w:lang w:eastAsia="fr-FR" w:bidi="he-IL"/>
        </w:rPr>
        <w:t xml:space="preserve">, </w:t>
      </w:r>
      <w:r w:rsidR="00B704AD" w:rsidRPr="00C8701B">
        <w:rPr>
          <w:lang w:eastAsia="fr-FR" w:bidi="he-IL"/>
        </w:rPr>
        <w:t>et il dit</w:t>
      </w:r>
      <w:r w:rsidR="00C2602D" w:rsidRPr="00C8701B">
        <w:rPr>
          <w:lang w:eastAsia="fr-FR" w:bidi="he-IL"/>
        </w:rPr>
        <w:t> :</w:t>
      </w:r>
      <w:r w:rsidR="00B704AD" w:rsidRPr="00C8701B">
        <w:rPr>
          <w:lang w:eastAsia="fr-FR" w:bidi="he-IL"/>
        </w:rPr>
        <w:t xml:space="preserve"> Marie</w:t>
      </w:r>
      <w:r w:rsidR="00E65435">
        <w:rPr>
          <w:lang w:eastAsia="fr-FR" w:bidi="he-IL"/>
        </w:rPr>
        <w:t xml:space="preserve">, </w:t>
      </w:r>
      <w:r w:rsidR="00B704AD" w:rsidRPr="00C8701B">
        <w:rPr>
          <w:lang w:eastAsia="fr-FR" w:bidi="he-IL"/>
        </w:rPr>
        <w:t>le Seigneur a donné de la grandeur à ton nom dans toutes les générations</w:t>
      </w:r>
      <w:r w:rsidR="00E65435">
        <w:rPr>
          <w:lang w:eastAsia="fr-FR" w:bidi="he-IL"/>
        </w:rPr>
        <w:t xml:space="preserve">, </w:t>
      </w:r>
      <w:r w:rsidR="00B704AD" w:rsidRPr="00C8701B">
        <w:rPr>
          <w:lang w:eastAsia="fr-FR" w:bidi="he-IL"/>
        </w:rPr>
        <w:t>et</w:t>
      </w:r>
      <w:r w:rsidR="00E65435">
        <w:rPr>
          <w:lang w:eastAsia="fr-FR" w:bidi="he-IL"/>
        </w:rPr>
        <w:t xml:space="preserve">, </w:t>
      </w:r>
      <w:r w:rsidR="00B704AD" w:rsidRPr="00C8701B">
        <w:rPr>
          <w:lang w:eastAsia="fr-FR" w:bidi="he-IL"/>
        </w:rPr>
        <w:t>à la fin des jours</w:t>
      </w:r>
      <w:r w:rsidR="00E65435">
        <w:rPr>
          <w:lang w:eastAsia="fr-FR" w:bidi="he-IL"/>
        </w:rPr>
        <w:t xml:space="preserve">, </w:t>
      </w:r>
      <w:r w:rsidR="00B704AD" w:rsidRPr="00C8701B">
        <w:rPr>
          <w:lang w:eastAsia="fr-FR" w:bidi="he-IL"/>
        </w:rPr>
        <w:t>le Seigneur manifestera en toi le prix de la rédemption des fils d</w:t>
      </w:r>
      <w:r w:rsidR="00557DE0">
        <w:rPr>
          <w:lang w:eastAsia="fr-FR" w:bidi="he-IL"/>
        </w:rPr>
        <w:t>’</w:t>
      </w:r>
      <w:r w:rsidR="00B704AD" w:rsidRPr="00C8701B">
        <w:rPr>
          <w:lang w:eastAsia="fr-FR" w:bidi="he-IL"/>
        </w:rPr>
        <w:t>Israël. Et il la plaça sur le troisième degré de l</w:t>
      </w:r>
      <w:r w:rsidR="00557DE0">
        <w:rPr>
          <w:lang w:eastAsia="fr-FR" w:bidi="he-IL"/>
        </w:rPr>
        <w:t>’</w:t>
      </w:r>
      <w:r w:rsidR="00B704AD" w:rsidRPr="00C8701B">
        <w:rPr>
          <w:lang w:eastAsia="fr-FR" w:bidi="he-IL"/>
        </w:rPr>
        <w:t>autel</w:t>
      </w:r>
      <w:r w:rsidR="00C2602D" w:rsidRPr="00C8701B">
        <w:rPr>
          <w:lang w:eastAsia="fr-FR" w:bidi="he-IL"/>
        </w:rPr>
        <w:t> </w:t>
      </w:r>
      <w:r w:rsidR="007F6508">
        <w:rPr>
          <w:lang w:eastAsia="fr-FR" w:bidi="he-IL"/>
        </w:rPr>
        <w:t xml:space="preserve">; </w:t>
      </w:r>
      <w:r w:rsidR="00B704AD" w:rsidRPr="00C8701B">
        <w:rPr>
          <w:lang w:eastAsia="fr-FR" w:bidi="he-IL"/>
        </w:rPr>
        <w:t>et le Seigneur répandit sa grâce sur elle</w:t>
      </w:r>
      <w:r w:rsidR="00E65435">
        <w:rPr>
          <w:lang w:eastAsia="fr-FR" w:bidi="he-IL"/>
        </w:rPr>
        <w:t xml:space="preserve">, </w:t>
      </w:r>
      <w:r w:rsidR="00B704AD" w:rsidRPr="00C8701B">
        <w:rPr>
          <w:lang w:eastAsia="fr-FR" w:bidi="he-IL"/>
        </w:rPr>
        <w:t>et elle tressaillit de</w:t>
      </w:r>
      <w:r w:rsidR="002D5574">
        <w:rPr>
          <w:lang w:eastAsia="fr-FR" w:bidi="he-IL"/>
        </w:rPr>
        <w:t xml:space="preserve"> </w:t>
      </w:r>
      <w:r w:rsidR="00B704AD" w:rsidRPr="00C8701B">
        <w:rPr>
          <w:lang w:eastAsia="fr-FR" w:bidi="he-IL"/>
        </w:rPr>
        <w:t>joie en dansant avec ses pieds</w:t>
      </w:r>
      <w:r w:rsidR="00E65435">
        <w:rPr>
          <w:lang w:eastAsia="fr-FR" w:bidi="he-IL"/>
        </w:rPr>
        <w:t xml:space="preserve">, </w:t>
      </w:r>
      <w:r w:rsidR="00B704AD" w:rsidRPr="00C8701B">
        <w:rPr>
          <w:lang w:eastAsia="fr-FR" w:bidi="he-IL"/>
        </w:rPr>
        <w:t>et toute la maison d</w:t>
      </w:r>
      <w:r w:rsidR="00557DE0">
        <w:rPr>
          <w:lang w:eastAsia="fr-FR" w:bidi="he-IL"/>
        </w:rPr>
        <w:t>’</w:t>
      </w:r>
      <w:r w:rsidR="00B704AD" w:rsidRPr="00C8701B">
        <w:rPr>
          <w:lang w:eastAsia="fr-FR" w:bidi="he-IL"/>
        </w:rPr>
        <w:t>Israël la chérit.</w:t>
      </w:r>
      <w:r w:rsidR="00C2602D" w:rsidRPr="00C8701B">
        <w:rPr>
          <w:lang w:eastAsia="fr-FR" w:bidi="he-IL"/>
        </w:rPr>
        <w:t xml:space="preserve"> </w:t>
      </w:r>
    </w:p>
    <w:p w:rsidR="00C2602D" w:rsidRPr="00C8701B" w:rsidRDefault="00B704AD" w:rsidP="002D5574">
      <w:pPr>
        <w:pStyle w:val="locus"/>
        <w:rPr>
          <w:lang w:eastAsia="fr-FR" w:bidi="he-IL"/>
        </w:rPr>
      </w:pPr>
      <w:r w:rsidRPr="00C8701B">
        <w:rPr>
          <w:lang w:eastAsia="fr-FR" w:bidi="he-IL"/>
        </w:rPr>
        <w:t>Chapitre VIII.</w:t>
      </w:r>
      <w:r w:rsidR="000F7DAA">
        <w:rPr>
          <w:lang w:eastAsia="fr-FR" w:bidi="he-IL"/>
        </w:rPr>
        <w:t xml:space="preserve"> —</w:t>
      </w:r>
      <w:r w:rsidR="008D0642">
        <w:rPr>
          <w:lang w:eastAsia="fr-FR" w:bidi="he-IL"/>
        </w:rPr>
        <w:t xml:space="preserve"> </w:t>
      </w:r>
      <w:r w:rsidRPr="00C8701B">
        <w:rPr>
          <w:lang w:eastAsia="fr-FR" w:bidi="he-IL"/>
        </w:rPr>
        <w:t>Et ses parents descendirent</w:t>
      </w:r>
      <w:r w:rsidR="00E65435">
        <w:rPr>
          <w:lang w:eastAsia="fr-FR" w:bidi="he-IL"/>
        </w:rPr>
        <w:t xml:space="preserve">, </w:t>
      </w:r>
      <w:r w:rsidRPr="00C8701B">
        <w:rPr>
          <w:lang w:eastAsia="fr-FR" w:bidi="he-IL"/>
        </w:rPr>
        <w:t>admirant et louant Dieu de ce que l</w:t>
      </w:r>
      <w:r w:rsidR="00557DE0">
        <w:rPr>
          <w:lang w:eastAsia="fr-FR" w:bidi="he-IL"/>
        </w:rPr>
        <w:t>’</w:t>
      </w:r>
      <w:r w:rsidRPr="00C8701B">
        <w:rPr>
          <w:lang w:eastAsia="fr-FR" w:bidi="he-IL"/>
        </w:rPr>
        <w:t>enfant ne s</w:t>
      </w:r>
      <w:r w:rsidR="00557DE0">
        <w:rPr>
          <w:lang w:eastAsia="fr-FR" w:bidi="he-IL"/>
        </w:rPr>
        <w:t>’</w:t>
      </w:r>
      <w:r w:rsidRPr="00C8701B">
        <w:rPr>
          <w:lang w:eastAsia="fr-FR" w:bidi="he-IL"/>
        </w:rPr>
        <w:t>était pas retournée vers eux. Marie était élevée comme une colombe dans le temple du Seigneur</w:t>
      </w:r>
      <w:r w:rsidR="00E65435">
        <w:rPr>
          <w:lang w:eastAsia="fr-FR" w:bidi="he-IL"/>
        </w:rPr>
        <w:t xml:space="preserve">, </w:t>
      </w:r>
      <w:r w:rsidRPr="00C8701B">
        <w:rPr>
          <w:lang w:eastAsia="fr-FR" w:bidi="he-IL"/>
        </w:rPr>
        <w:t>et elle recevait de la nourriture de la main des anges. Quand elle eut atteint l</w:t>
      </w:r>
      <w:r w:rsidR="00557DE0">
        <w:rPr>
          <w:lang w:eastAsia="fr-FR" w:bidi="he-IL"/>
        </w:rPr>
        <w:t>’</w:t>
      </w:r>
      <w:r w:rsidRPr="00C8701B">
        <w:rPr>
          <w:lang w:eastAsia="fr-FR" w:bidi="he-IL"/>
        </w:rPr>
        <w:t>âge de douze ans</w:t>
      </w:r>
      <w:r w:rsidR="00E65435">
        <w:rPr>
          <w:lang w:eastAsia="fr-FR" w:bidi="he-IL"/>
        </w:rPr>
        <w:t xml:space="preserve">, </w:t>
      </w:r>
      <w:r w:rsidRPr="00C8701B">
        <w:rPr>
          <w:lang w:eastAsia="fr-FR" w:bidi="he-IL"/>
        </w:rPr>
        <w:t>les prêtres se réunirent dans le temple du Seigneur</w:t>
      </w:r>
      <w:r w:rsidR="00E65435">
        <w:rPr>
          <w:lang w:eastAsia="fr-FR" w:bidi="he-IL"/>
        </w:rPr>
        <w:t xml:space="preserve">, </w:t>
      </w:r>
      <w:r w:rsidRPr="00C8701B">
        <w:rPr>
          <w:lang w:eastAsia="fr-FR" w:bidi="he-IL"/>
        </w:rPr>
        <w:t>et ils dirent</w:t>
      </w:r>
      <w:r w:rsidR="00C2602D" w:rsidRPr="00C8701B">
        <w:rPr>
          <w:lang w:eastAsia="fr-FR" w:bidi="he-IL"/>
        </w:rPr>
        <w:t> :</w:t>
      </w:r>
      <w:r w:rsidRPr="00C8701B">
        <w:rPr>
          <w:lang w:eastAsia="fr-FR" w:bidi="he-IL"/>
        </w:rPr>
        <w:t xml:space="preserve"> Voici que Marie a passé dix ans dans le temple</w:t>
      </w:r>
      <w:r w:rsidR="00C2602D" w:rsidRPr="00C8701B">
        <w:rPr>
          <w:lang w:eastAsia="fr-FR" w:bidi="he-IL"/>
        </w:rPr>
        <w:t> </w:t>
      </w:r>
      <w:r w:rsidR="007F6508">
        <w:rPr>
          <w:lang w:eastAsia="fr-FR" w:bidi="he-IL"/>
        </w:rPr>
        <w:t xml:space="preserve">; </w:t>
      </w:r>
      <w:r w:rsidRPr="00C8701B">
        <w:rPr>
          <w:lang w:eastAsia="fr-FR" w:bidi="he-IL"/>
        </w:rPr>
        <w:t>que ferons-nous à son égard</w:t>
      </w:r>
      <w:r w:rsidR="00C2602D" w:rsidRPr="00C8701B">
        <w:rPr>
          <w:lang w:eastAsia="fr-FR" w:bidi="he-IL"/>
        </w:rPr>
        <w:t> ?</w:t>
      </w:r>
      <w:r w:rsidRPr="00C8701B">
        <w:rPr>
          <w:lang w:eastAsia="fr-FR" w:bidi="he-IL"/>
        </w:rPr>
        <w:t>... Et les prêtres dirent au prince des prêtres</w:t>
      </w:r>
      <w:r w:rsidR="00C2602D" w:rsidRPr="00C8701B">
        <w:rPr>
          <w:lang w:eastAsia="fr-FR" w:bidi="he-IL"/>
        </w:rPr>
        <w:t> :</w:t>
      </w:r>
      <w:r w:rsidRPr="00C8701B">
        <w:rPr>
          <w:lang w:eastAsia="fr-FR" w:bidi="he-IL"/>
        </w:rPr>
        <w:t xml:space="preserve"> Va devant l</w:t>
      </w:r>
      <w:r w:rsidR="00557DE0">
        <w:rPr>
          <w:lang w:eastAsia="fr-FR" w:bidi="he-IL"/>
        </w:rPr>
        <w:t>’</w:t>
      </w:r>
      <w:r w:rsidRPr="00C8701B">
        <w:rPr>
          <w:lang w:eastAsia="fr-FR" w:bidi="he-IL"/>
        </w:rPr>
        <w:t>autel du Seigneur</w:t>
      </w:r>
      <w:r w:rsidR="00E65435">
        <w:rPr>
          <w:lang w:eastAsia="fr-FR" w:bidi="he-IL"/>
        </w:rPr>
        <w:t xml:space="preserve">, </w:t>
      </w:r>
      <w:r w:rsidRPr="00C8701B">
        <w:rPr>
          <w:lang w:eastAsia="fr-FR" w:bidi="he-IL"/>
        </w:rPr>
        <w:t>et prie pour elle</w:t>
      </w:r>
      <w:r w:rsidR="00C2602D" w:rsidRPr="00C8701B">
        <w:rPr>
          <w:lang w:eastAsia="fr-FR" w:bidi="he-IL"/>
        </w:rPr>
        <w:t> </w:t>
      </w:r>
      <w:r w:rsidR="007F6508">
        <w:rPr>
          <w:lang w:eastAsia="fr-FR" w:bidi="he-IL"/>
        </w:rPr>
        <w:t xml:space="preserve">; </w:t>
      </w:r>
      <w:r w:rsidRPr="00C8701B">
        <w:rPr>
          <w:lang w:eastAsia="fr-FR" w:bidi="he-IL"/>
        </w:rPr>
        <w:t>et ce que Dieu t</w:t>
      </w:r>
      <w:r w:rsidR="00557DE0">
        <w:rPr>
          <w:lang w:eastAsia="fr-FR" w:bidi="he-IL"/>
        </w:rPr>
        <w:t>’</w:t>
      </w:r>
      <w:r w:rsidRPr="00C8701B">
        <w:rPr>
          <w:lang w:eastAsia="fr-FR" w:bidi="he-IL"/>
        </w:rPr>
        <w:t>aura manifesté</w:t>
      </w:r>
      <w:r w:rsidR="00E65435">
        <w:rPr>
          <w:lang w:eastAsia="fr-FR" w:bidi="he-IL"/>
        </w:rPr>
        <w:t xml:space="preserve">, </w:t>
      </w:r>
      <w:r w:rsidRPr="00C8701B">
        <w:rPr>
          <w:lang w:eastAsia="fr-FR" w:bidi="he-IL"/>
        </w:rPr>
        <w:t>nous l</w:t>
      </w:r>
      <w:r w:rsidR="00557DE0">
        <w:rPr>
          <w:lang w:eastAsia="fr-FR" w:bidi="he-IL"/>
        </w:rPr>
        <w:t>’</w:t>
      </w:r>
      <w:r w:rsidR="002D5574">
        <w:rPr>
          <w:lang w:eastAsia="fr-FR" w:bidi="he-IL"/>
        </w:rPr>
        <w:t>accomplirons. Le princ</w:t>
      </w:r>
      <w:r w:rsidRPr="00C8701B">
        <w:rPr>
          <w:lang w:eastAsia="fr-FR" w:bidi="he-IL"/>
        </w:rPr>
        <w:t>e des prêtres</w:t>
      </w:r>
      <w:r w:rsidR="00E65435">
        <w:rPr>
          <w:lang w:eastAsia="fr-FR" w:bidi="he-IL"/>
        </w:rPr>
        <w:t xml:space="preserve">, </w:t>
      </w:r>
      <w:r w:rsidRPr="00C8701B">
        <w:rPr>
          <w:lang w:eastAsia="fr-FR" w:bidi="he-IL"/>
        </w:rPr>
        <w:t>ayant pris sa tunique garnie de douze clochettes</w:t>
      </w:r>
      <w:r w:rsidR="00E65435">
        <w:rPr>
          <w:lang w:eastAsia="fr-FR" w:bidi="he-IL"/>
        </w:rPr>
        <w:t xml:space="preserve">, </w:t>
      </w:r>
      <w:r w:rsidRPr="00C8701B">
        <w:rPr>
          <w:lang w:eastAsia="fr-FR" w:bidi="he-IL"/>
        </w:rPr>
        <w:t>entra donc dans le Saint des saints</w:t>
      </w:r>
      <w:r w:rsidR="00E65435">
        <w:rPr>
          <w:lang w:eastAsia="fr-FR" w:bidi="he-IL"/>
        </w:rPr>
        <w:t xml:space="preserve">, </w:t>
      </w:r>
      <w:r w:rsidRPr="00C8701B">
        <w:rPr>
          <w:lang w:eastAsia="fr-FR" w:bidi="he-IL"/>
        </w:rPr>
        <w:t>et il pria pour Marie. Et voici que l</w:t>
      </w:r>
      <w:r w:rsidR="00557DE0">
        <w:rPr>
          <w:lang w:eastAsia="fr-FR" w:bidi="he-IL"/>
        </w:rPr>
        <w:t>’</w:t>
      </w:r>
      <w:r w:rsidRPr="00C8701B">
        <w:rPr>
          <w:lang w:eastAsia="fr-FR" w:bidi="he-IL"/>
        </w:rPr>
        <w:t>ange du Seigneur lui apparut</w:t>
      </w:r>
      <w:r w:rsidR="00E65435">
        <w:rPr>
          <w:lang w:eastAsia="fr-FR" w:bidi="he-IL"/>
        </w:rPr>
        <w:t xml:space="preserve">, </w:t>
      </w:r>
      <w:r w:rsidRPr="00C8701B">
        <w:rPr>
          <w:lang w:eastAsia="fr-FR" w:bidi="he-IL"/>
        </w:rPr>
        <w:t>et lui dit</w:t>
      </w:r>
      <w:r w:rsidR="00C2602D" w:rsidRPr="00C8701B">
        <w:rPr>
          <w:lang w:eastAsia="fr-FR" w:bidi="he-IL"/>
        </w:rPr>
        <w:t> :</w:t>
      </w:r>
      <w:r w:rsidRPr="00C8701B">
        <w:rPr>
          <w:lang w:eastAsia="fr-FR" w:bidi="he-IL"/>
        </w:rPr>
        <w:t xml:space="preserve"> Zacharie</w:t>
      </w:r>
      <w:r w:rsidR="00E65435">
        <w:rPr>
          <w:lang w:eastAsia="fr-FR" w:bidi="he-IL"/>
        </w:rPr>
        <w:t xml:space="preserve">, </w:t>
      </w:r>
      <w:r w:rsidRPr="00C8701B">
        <w:rPr>
          <w:lang w:eastAsia="fr-FR" w:bidi="he-IL"/>
        </w:rPr>
        <w:t>Zacharie</w:t>
      </w:r>
      <w:r w:rsidR="00E65435">
        <w:rPr>
          <w:lang w:eastAsia="fr-FR" w:bidi="he-IL"/>
        </w:rPr>
        <w:t xml:space="preserve">, </w:t>
      </w:r>
      <w:r w:rsidRPr="00C8701B">
        <w:rPr>
          <w:lang w:eastAsia="fr-FR" w:bidi="he-IL"/>
        </w:rPr>
        <w:t>sors et convoque ceux qui sont veufs parmi le peuple</w:t>
      </w:r>
      <w:r w:rsidR="00E65435">
        <w:rPr>
          <w:lang w:eastAsia="fr-FR" w:bidi="he-IL"/>
        </w:rPr>
        <w:t xml:space="preserve">, </w:t>
      </w:r>
      <w:r w:rsidRPr="00C8701B">
        <w:rPr>
          <w:lang w:eastAsia="fr-FR" w:bidi="he-IL"/>
        </w:rPr>
        <w:t>et qu</w:t>
      </w:r>
      <w:r w:rsidR="00557DE0">
        <w:rPr>
          <w:lang w:eastAsia="fr-FR" w:bidi="he-IL"/>
        </w:rPr>
        <w:t>’</w:t>
      </w:r>
      <w:r w:rsidRPr="00C8701B">
        <w:rPr>
          <w:lang w:eastAsia="fr-FR" w:bidi="he-IL"/>
        </w:rPr>
        <w:t>ils apportent chacun une baguette</w:t>
      </w:r>
      <w:r w:rsidR="00E65435">
        <w:rPr>
          <w:lang w:eastAsia="fr-FR" w:bidi="he-IL"/>
        </w:rPr>
        <w:t xml:space="preserve">, </w:t>
      </w:r>
      <w:r w:rsidRPr="00C8701B">
        <w:rPr>
          <w:lang w:eastAsia="fr-FR" w:bidi="he-IL"/>
        </w:rPr>
        <w:t>et celui que Dieu désignera sera l</w:t>
      </w:r>
      <w:r w:rsidR="00557DE0">
        <w:rPr>
          <w:lang w:eastAsia="fr-FR" w:bidi="he-IL"/>
        </w:rPr>
        <w:t>’</w:t>
      </w:r>
      <w:r w:rsidRPr="00C8701B">
        <w:rPr>
          <w:lang w:eastAsia="fr-FR" w:bidi="he-IL"/>
        </w:rPr>
        <w:t>époux donné à Marie pour la garder. Les hérauts allèrent donc dans tout le pays de Judée</w:t>
      </w:r>
      <w:r w:rsidR="00E65435">
        <w:rPr>
          <w:lang w:eastAsia="fr-FR" w:bidi="he-IL"/>
        </w:rPr>
        <w:t xml:space="preserve">, </w:t>
      </w:r>
      <w:r w:rsidRPr="00C8701B">
        <w:rPr>
          <w:lang w:eastAsia="fr-FR" w:bidi="he-IL"/>
        </w:rPr>
        <w:t>et la trompette du Seigneur sonna</w:t>
      </w:r>
      <w:r w:rsidR="00E65435">
        <w:rPr>
          <w:lang w:eastAsia="fr-FR" w:bidi="he-IL"/>
        </w:rPr>
        <w:t xml:space="preserve">, </w:t>
      </w:r>
      <w:r w:rsidRPr="00C8701B">
        <w:rPr>
          <w:lang w:eastAsia="fr-FR" w:bidi="he-IL"/>
        </w:rPr>
        <w:t>et tous accouraient.</w:t>
      </w:r>
      <w:r w:rsidR="00C2602D" w:rsidRPr="00C8701B">
        <w:rPr>
          <w:lang w:eastAsia="fr-FR" w:bidi="he-IL"/>
        </w:rPr>
        <w:t xml:space="preserve"> </w:t>
      </w:r>
    </w:p>
    <w:p w:rsidR="00C2602D" w:rsidRPr="00C8701B" w:rsidRDefault="00B704AD" w:rsidP="002D5574">
      <w:pPr>
        <w:pStyle w:val="locus"/>
        <w:rPr>
          <w:lang w:eastAsia="fr-FR" w:bidi="he-IL"/>
        </w:rPr>
      </w:pPr>
      <w:r w:rsidRPr="00C8701B">
        <w:rPr>
          <w:lang w:eastAsia="fr-FR" w:bidi="he-IL"/>
        </w:rPr>
        <w:t>Chapitre IX</w:t>
      </w:r>
      <w:r w:rsidR="00B35391">
        <w:rPr>
          <w:lang w:eastAsia="fr-FR" w:bidi="he-IL"/>
        </w:rPr>
        <w:t>.</w:t>
      </w:r>
      <w:r w:rsidR="000F7DAA">
        <w:rPr>
          <w:lang w:eastAsia="fr-FR" w:bidi="he-IL"/>
        </w:rPr>
        <w:t xml:space="preserve"> —</w:t>
      </w:r>
      <w:r w:rsidR="008D0642">
        <w:rPr>
          <w:lang w:eastAsia="fr-FR" w:bidi="he-IL"/>
        </w:rPr>
        <w:t xml:space="preserve"> </w:t>
      </w:r>
      <w:r w:rsidRPr="00C8701B">
        <w:rPr>
          <w:lang w:eastAsia="fr-FR" w:bidi="he-IL"/>
        </w:rPr>
        <w:t>Joseph</w:t>
      </w:r>
      <w:r w:rsidR="00E65435">
        <w:rPr>
          <w:lang w:eastAsia="fr-FR" w:bidi="he-IL"/>
        </w:rPr>
        <w:t xml:space="preserve">, </w:t>
      </w:r>
      <w:r w:rsidRPr="00C8701B">
        <w:rPr>
          <w:lang w:eastAsia="fr-FR" w:bidi="he-IL"/>
        </w:rPr>
        <w:t>ayant jeté sa hache</w:t>
      </w:r>
      <w:r w:rsidR="00E65435">
        <w:rPr>
          <w:lang w:eastAsia="fr-FR" w:bidi="he-IL"/>
        </w:rPr>
        <w:t xml:space="preserve">, </w:t>
      </w:r>
      <w:r w:rsidRPr="00C8701B">
        <w:rPr>
          <w:lang w:eastAsia="fr-FR" w:bidi="he-IL"/>
        </w:rPr>
        <w:t>vint avec les autres. Et s</w:t>
      </w:r>
      <w:r w:rsidR="00557DE0">
        <w:rPr>
          <w:lang w:eastAsia="fr-FR" w:bidi="he-IL"/>
        </w:rPr>
        <w:t>’</w:t>
      </w:r>
      <w:r w:rsidRPr="00C8701B">
        <w:rPr>
          <w:lang w:eastAsia="fr-FR" w:bidi="he-IL"/>
        </w:rPr>
        <w:t>étant réunis</w:t>
      </w:r>
      <w:r w:rsidR="00E65435">
        <w:rPr>
          <w:lang w:eastAsia="fr-FR" w:bidi="he-IL"/>
        </w:rPr>
        <w:t xml:space="preserve">, </w:t>
      </w:r>
      <w:r w:rsidRPr="00C8701B">
        <w:rPr>
          <w:lang w:eastAsia="fr-FR" w:bidi="he-IL"/>
        </w:rPr>
        <w:t>ils allèrent vers le grand-prêtre</w:t>
      </w:r>
      <w:r w:rsidR="00E65435">
        <w:rPr>
          <w:lang w:eastAsia="fr-FR" w:bidi="he-IL"/>
        </w:rPr>
        <w:t xml:space="preserve">, </w:t>
      </w:r>
      <w:r w:rsidRPr="00C8701B">
        <w:rPr>
          <w:lang w:eastAsia="fr-FR" w:bidi="he-IL"/>
        </w:rPr>
        <w:t>après avoir reçu des baguettes. Le gr</w:t>
      </w:r>
      <w:r w:rsidR="002D5574">
        <w:rPr>
          <w:lang w:eastAsia="fr-FR" w:bidi="he-IL"/>
        </w:rPr>
        <w:t>and-prêtre prit les baguettes de</w:t>
      </w:r>
      <w:r w:rsidRPr="00C8701B">
        <w:rPr>
          <w:lang w:eastAsia="fr-FR" w:bidi="he-IL"/>
        </w:rPr>
        <w:t xml:space="preserve"> chacun</w:t>
      </w:r>
      <w:r w:rsidR="00E65435">
        <w:rPr>
          <w:lang w:eastAsia="fr-FR" w:bidi="he-IL"/>
        </w:rPr>
        <w:t xml:space="preserve">, </w:t>
      </w:r>
      <w:r w:rsidRPr="00C8701B">
        <w:rPr>
          <w:lang w:eastAsia="fr-FR" w:bidi="he-IL"/>
        </w:rPr>
        <w:t>il entra dans le temple</w:t>
      </w:r>
      <w:r w:rsidR="00E65435">
        <w:rPr>
          <w:lang w:eastAsia="fr-FR" w:bidi="he-IL"/>
        </w:rPr>
        <w:t xml:space="preserve">, </w:t>
      </w:r>
      <w:r w:rsidRPr="00C8701B">
        <w:rPr>
          <w:lang w:eastAsia="fr-FR" w:bidi="he-IL"/>
        </w:rPr>
        <w:t>et il pria</w:t>
      </w:r>
      <w:r w:rsidR="00E65435">
        <w:rPr>
          <w:lang w:eastAsia="fr-FR" w:bidi="he-IL"/>
        </w:rPr>
        <w:t xml:space="preserve">, </w:t>
      </w:r>
      <w:r w:rsidRPr="00C8701B">
        <w:rPr>
          <w:lang w:eastAsia="fr-FR" w:bidi="he-IL"/>
        </w:rPr>
        <w:t>e</w:t>
      </w:r>
      <w:r w:rsidR="005069E2" w:rsidRPr="00C8701B">
        <w:rPr>
          <w:lang w:eastAsia="fr-FR" w:bidi="he-IL"/>
        </w:rPr>
        <w:t>t</w:t>
      </w:r>
      <w:r w:rsidR="005069E2">
        <w:rPr>
          <w:lang w:eastAsia="fr-FR" w:bidi="he-IL"/>
        </w:rPr>
        <w:t xml:space="preserve"> il </w:t>
      </w:r>
      <w:r w:rsidR="005069E2" w:rsidRPr="00C8701B">
        <w:rPr>
          <w:lang w:eastAsia="fr-FR" w:bidi="he-IL"/>
        </w:rPr>
        <w:t>s</w:t>
      </w:r>
      <w:r w:rsidRPr="00C8701B">
        <w:rPr>
          <w:lang w:eastAsia="fr-FR" w:bidi="he-IL"/>
        </w:rPr>
        <w:t>ortit ensuite</w:t>
      </w:r>
      <w:r w:rsidR="00E65435">
        <w:rPr>
          <w:lang w:eastAsia="fr-FR" w:bidi="he-IL"/>
        </w:rPr>
        <w:t xml:space="preserve">, </w:t>
      </w:r>
      <w:r w:rsidRPr="00C8701B">
        <w:rPr>
          <w:lang w:eastAsia="fr-FR" w:bidi="he-IL"/>
        </w:rPr>
        <w:t>et il rendit à chacun la baguette qu</w:t>
      </w:r>
      <w:r w:rsidR="00557DE0">
        <w:rPr>
          <w:lang w:eastAsia="fr-FR" w:bidi="he-IL"/>
        </w:rPr>
        <w:t>’</w:t>
      </w:r>
      <w:r w:rsidRPr="00C8701B">
        <w:rPr>
          <w:lang w:eastAsia="fr-FR" w:bidi="he-IL"/>
        </w:rPr>
        <w:t>il avait apportée</w:t>
      </w:r>
      <w:r w:rsidR="00C2602D" w:rsidRPr="00C8701B">
        <w:rPr>
          <w:lang w:eastAsia="fr-FR" w:bidi="he-IL"/>
        </w:rPr>
        <w:t> </w:t>
      </w:r>
      <w:r w:rsidR="007F6508">
        <w:rPr>
          <w:lang w:eastAsia="fr-FR" w:bidi="he-IL"/>
        </w:rPr>
        <w:t xml:space="preserve">; </w:t>
      </w:r>
      <w:r w:rsidRPr="00C8701B">
        <w:rPr>
          <w:lang w:eastAsia="fr-FR" w:bidi="he-IL"/>
        </w:rPr>
        <w:t>et aucun signe ne s</w:t>
      </w:r>
      <w:r w:rsidR="00557DE0">
        <w:rPr>
          <w:lang w:eastAsia="fr-FR" w:bidi="he-IL"/>
        </w:rPr>
        <w:t>’</w:t>
      </w:r>
      <w:r w:rsidRPr="00C8701B">
        <w:rPr>
          <w:lang w:eastAsia="fr-FR" w:bidi="he-IL"/>
        </w:rPr>
        <w:t>était manifesté</w:t>
      </w:r>
      <w:r w:rsidR="00C2602D" w:rsidRPr="00C8701B">
        <w:rPr>
          <w:lang w:eastAsia="fr-FR" w:bidi="he-IL"/>
        </w:rPr>
        <w:t> :</w:t>
      </w:r>
      <w:r w:rsidRPr="00C8701B">
        <w:rPr>
          <w:lang w:eastAsia="fr-FR" w:bidi="he-IL"/>
        </w:rPr>
        <w:t xml:space="preserve"> mais</w:t>
      </w:r>
      <w:r w:rsidR="00E65435">
        <w:rPr>
          <w:lang w:eastAsia="fr-FR" w:bidi="he-IL"/>
        </w:rPr>
        <w:t xml:space="preserve">, </w:t>
      </w:r>
      <w:r w:rsidRPr="00C8701B">
        <w:rPr>
          <w:lang w:eastAsia="fr-FR" w:bidi="he-IL"/>
        </w:rPr>
        <w:t>quand il rendit à Joseph sa baguette</w:t>
      </w:r>
      <w:r w:rsidR="00E65435">
        <w:rPr>
          <w:lang w:eastAsia="fr-FR" w:bidi="he-IL"/>
        </w:rPr>
        <w:t xml:space="preserve">, </w:t>
      </w:r>
      <w:r w:rsidRPr="00C8701B">
        <w:rPr>
          <w:lang w:eastAsia="fr-FR" w:bidi="he-IL"/>
        </w:rPr>
        <w:t>il en sortit une colombe</w:t>
      </w:r>
      <w:r w:rsidR="00E65435">
        <w:rPr>
          <w:lang w:eastAsia="fr-FR" w:bidi="he-IL"/>
        </w:rPr>
        <w:t xml:space="preserve">, </w:t>
      </w:r>
      <w:r w:rsidRPr="00C8701B">
        <w:rPr>
          <w:lang w:eastAsia="fr-FR" w:bidi="he-IL"/>
        </w:rPr>
        <w:t>et elle alla se placer sur la tête de Joseph. Et le grand-prêtre dit à Joseph</w:t>
      </w:r>
      <w:r w:rsidR="00C2602D" w:rsidRPr="00C8701B">
        <w:rPr>
          <w:lang w:eastAsia="fr-FR" w:bidi="he-IL"/>
        </w:rPr>
        <w:t> :</w:t>
      </w:r>
      <w:r w:rsidRPr="00C8701B">
        <w:rPr>
          <w:lang w:eastAsia="fr-FR" w:bidi="he-IL"/>
        </w:rPr>
        <w:t xml:space="preserve"> Tu es désigné par le choix de Dieu</w:t>
      </w:r>
      <w:r w:rsidR="00E65435">
        <w:rPr>
          <w:lang w:eastAsia="fr-FR" w:bidi="he-IL"/>
        </w:rPr>
        <w:t xml:space="preserve">, </w:t>
      </w:r>
      <w:r w:rsidRPr="00C8701B">
        <w:rPr>
          <w:lang w:eastAsia="fr-FR" w:bidi="he-IL"/>
        </w:rPr>
        <w:t>afin de recevoir cette vierge du Seigneur pour la garder auprès de toi.</w:t>
      </w:r>
      <w:r w:rsidR="00C2602D" w:rsidRPr="00C8701B">
        <w:rPr>
          <w:lang w:eastAsia="fr-FR" w:bidi="he-IL"/>
        </w:rPr>
        <w:t xml:space="preserve"> </w:t>
      </w:r>
    </w:p>
    <w:p w:rsidR="00C2602D" w:rsidRPr="00C8701B" w:rsidRDefault="002D5574" w:rsidP="002D5574">
      <w:pPr>
        <w:rPr>
          <w:rFonts w:eastAsia="Arial Unicode MS"/>
          <w:bCs/>
          <w:lang w:eastAsia="fr-FR" w:bidi="he-IL"/>
        </w:rPr>
      </w:pPr>
      <w:r>
        <w:rPr>
          <w:rFonts w:eastAsia="Arial Unicode MS"/>
          <w:bCs/>
          <w:lang w:eastAsia="fr-FR" w:bidi="he-IL"/>
        </w:rPr>
        <w:t>β</w:t>
      </w:r>
      <w:r w:rsidR="00B704AD" w:rsidRPr="00C8701B">
        <w:rPr>
          <w:rFonts w:eastAsia="Arial Unicode MS"/>
          <w:bCs/>
          <w:lang w:val="el-GR" w:eastAsia="fr-FR" w:bidi="he-IL"/>
        </w:rPr>
        <w:t>.</w:t>
      </w:r>
      <w:r w:rsidR="000F7DAA">
        <w:rPr>
          <w:rFonts w:eastAsia="Arial Unicode MS"/>
          <w:bCs/>
          <w:lang w:val="el-GR" w:eastAsia="fr-FR" w:bidi="he-IL"/>
        </w:rPr>
        <w:t xml:space="preserve"> —</w:t>
      </w:r>
      <w:r w:rsidR="008D0642">
        <w:rPr>
          <w:rFonts w:eastAsia="Arial Unicode MS"/>
          <w:bCs/>
          <w:lang w:eastAsia="fr-FR" w:bidi="he-IL"/>
        </w:rPr>
        <w:t xml:space="preserve"> </w:t>
      </w:r>
      <w:r w:rsidR="00B704AD" w:rsidRPr="00DC4586">
        <w:rPr>
          <w:rStyle w:val="italicus"/>
        </w:rPr>
        <w:t>L</w:t>
      </w:r>
      <w:r w:rsidR="00557DE0">
        <w:rPr>
          <w:rStyle w:val="italicus"/>
        </w:rPr>
        <w:t>’</w:t>
      </w:r>
      <w:r w:rsidR="000439E9" w:rsidRPr="00DC4586">
        <w:rPr>
          <w:rStyle w:val="italicus"/>
        </w:rPr>
        <w:t>Évangile</w:t>
      </w:r>
      <w:r w:rsidR="00B704AD" w:rsidRPr="00DC4586">
        <w:rPr>
          <w:rStyle w:val="italicus"/>
        </w:rPr>
        <w:t xml:space="preserve"> de Thomas l</w:t>
      </w:r>
      <w:r w:rsidR="00557DE0">
        <w:rPr>
          <w:rStyle w:val="italicus"/>
        </w:rPr>
        <w:t>’</w:t>
      </w:r>
      <w:r w:rsidR="00B704AD" w:rsidRPr="00DC4586">
        <w:rPr>
          <w:rStyle w:val="italicus"/>
        </w:rPr>
        <w:t>Israélite</w:t>
      </w:r>
      <w:r w:rsidR="00B704AD" w:rsidRPr="00C8701B">
        <w:rPr>
          <w:rFonts w:eastAsia="Arial Unicode MS"/>
          <w:bCs/>
          <w:lang w:eastAsia="fr-FR" w:bidi="he-IL"/>
        </w:rPr>
        <w:t xml:space="preserve"> est pareillement cité par Origène</w:t>
      </w:r>
      <w:r w:rsidR="00933C60" w:rsidRPr="00C406FF">
        <w:rPr>
          <w:rStyle w:val="Appelnotedebasdep"/>
        </w:rPr>
        <w:footnoteReference w:id="593"/>
      </w:r>
      <w:r w:rsidR="00E65435">
        <w:rPr>
          <w:rFonts w:eastAsia="Arial Unicode MS"/>
          <w:bCs/>
          <w:lang w:eastAsia="fr-FR" w:bidi="he-IL"/>
        </w:rPr>
        <w:t xml:space="preserve">, </w:t>
      </w:r>
      <w:r w:rsidR="00B704AD" w:rsidRPr="00C8701B">
        <w:rPr>
          <w:rFonts w:eastAsia="Arial Unicode MS"/>
          <w:bCs/>
          <w:lang w:eastAsia="fr-FR" w:bidi="he-IL"/>
        </w:rPr>
        <w:t>ce qui lui assure une très haute antiquité. Il en existe trois recensions assez dissemblables</w:t>
      </w:r>
      <w:r w:rsidR="00C2602D" w:rsidRPr="00C8701B">
        <w:rPr>
          <w:rFonts w:eastAsia="Arial Unicode MS"/>
          <w:bCs/>
          <w:lang w:eastAsia="fr-FR" w:bidi="he-IL"/>
        </w:rPr>
        <w:t> :</w:t>
      </w:r>
      <w:r w:rsidR="00B704AD" w:rsidRPr="00C8701B">
        <w:rPr>
          <w:rFonts w:eastAsia="Arial Unicode MS"/>
          <w:bCs/>
          <w:lang w:eastAsia="fr-FR" w:bidi="he-IL"/>
        </w:rPr>
        <w:t xml:space="preserve"> deux en grec</w:t>
      </w:r>
      <w:r w:rsidR="00E65435">
        <w:rPr>
          <w:rFonts w:eastAsia="Arial Unicode MS"/>
          <w:bCs/>
          <w:lang w:eastAsia="fr-FR" w:bidi="he-IL"/>
        </w:rPr>
        <w:t xml:space="preserve">, </w:t>
      </w:r>
      <w:r w:rsidR="00B704AD" w:rsidRPr="00C8701B">
        <w:rPr>
          <w:rFonts w:eastAsia="Arial Unicode MS"/>
          <w:bCs/>
          <w:lang w:eastAsia="fr-FR" w:bidi="he-IL"/>
        </w:rPr>
        <w:t>une en latin</w:t>
      </w:r>
      <w:r w:rsidR="00933C60" w:rsidRPr="00C406FF">
        <w:rPr>
          <w:rStyle w:val="Appelnotedebasdep"/>
        </w:rPr>
        <w:footnoteReference w:id="594"/>
      </w:r>
      <w:r w:rsidR="00B704AD" w:rsidRPr="00C8701B">
        <w:rPr>
          <w:rFonts w:eastAsia="Arial Unicode MS"/>
          <w:bCs/>
          <w:lang w:eastAsia="fr-FR" w:bidi="he-IL"/>
        </w:rPr>
        <w:t>.</w:t>
      </w:r>
      <w:r>
        <w:rPr>
          <w:rFonts w:eastAsia="Arial Unicode MS"/>
          <w:bCs/>
          <w:lang w:eastAsia="fr-FR" w:bidi="he-IL"/>
        </w:rPr>
        <w:t xml:space="preserve"> </w:t>
      </w:r>
      <w:r w:rsidR="00B704AD" w:rsidRPr="00C8701B">
        <w:rPr>
          <w:rFonts w:eastAsia="Arial Unicode MS"/>
          <w:bCs/>
          <w:lang w:eastAsia="fr-FR" w:bidi="he-IL"/>
        </w:rPr>
        <w:t xml:space="preserve">Cette collection légendaire dépasse toutes </w:t>
      </w:r>
      <w:r>
        <w:rPr>
          <w:rFonts w:eastAsia="Arial Unicode MS"/>
          <w:bCs/>
          <w:lang w:eastAsia="fr-FR" w:bidi="he-IL"/>
        </w:rPr>
        <w:t>les autres par la singularité d</w:t>
      </w:r>
      <w:r w:rsidR="00B704AD" w:rsidRPr="00C8701B">
        <w:rPr>
          <w:rFonts w:eastAsia="Arial Unicode MS"/>
          <w:bCs/>
          <w:lang w:eastAsia="fr-FR" w:bidi="he-IL"/>
        </w:rPr>
        <w:t>es récits</w:t>
      </w:r>
      <w:r w:rsidR="00E65435">
        <w:rPr>
          <w:rFonts w:eastAsia="Arial Unicode MS"/>
          <w:bCs/>
          <w:lang w:eastAsia="fr-FR" w:bidi="he-IL"/>
        </w:rPr>
        <w:t xml:space="preserve">, </w:t>
      </w:r>
      <w:r w:rsidR="00B704AD" w:rsidRPr="00C8701B">
        <w:rPr>
          <w:rFonts w:eastAsia="Arial Unicode MS"/>
          <w:bCs/>
          <w:lang w:eastAsia="fr-FR" w:bidi="he-IL"/>
        </w:rPr>
        <w:t>par la grossièreté de la forme et la barbarie du langage. Jésus nous y apparaît</w:t>
      </w:r>
      <w:r w:rsidR="00E65435">
        <w:rPr>
          <w:rFonts w:eastAsia="Arial Unicode MS"/>
          <w:bCs/>
          <w:lang w:eastAsia="fr-FR" w:bidi="he-IL"/>
        </w:rPr>
        <w:t xml:space="preserve">, </w:t>
      </w:r>
      <w:r w:rsidR="00B704AD" w:rsidRPr="00C8701B">
        <w:rPr>
          <w:rFonts w:eastAsia="Arial Unicode MS"/>
          <w:bCs/>
          <w:lang w:eastAsia="fr-FR" w:bidi="he-IL"/>
        </w:rPr>
        <w:t>de 5 à 8 ans</w:t>
      </w:r>
      <w:r w:rsidR="00E65435">
        <w:rPr>
          <w:rFonts w:eastAsia="Arial Unicode MS"/>
          <w:bCs/>
          <w:lang w:eastAsia="fr-FR" w:bidi="he-IL"/>
        </w:rPr>
        <w:t xml:space="preserve">, </w:t>
      </w:r>
      <w:r w:rsidR="00B704AD" w:rsidRPr="00C8701B">
        <w:rPr>
          <w:rFonts w:eastAsia="Arial Unicode MS"/>
          <w:bCs/>
          <w:lang w:eastAsia="fr-FR" w:bidi="he-IL"/>
        </w:rPr>
        <w:t>ou à 12 ans</w:t>
      </w:r>
      <w:r w:rsidR="00E65435">
        <w:rPr>
          <w:rFonts w:eastAsia="Arial Unicode MS"/>
          <w:bCs/>
          <w:lang w:eastAsia="fr-FR" w:bidi="he-IL"/>
        </w:rPr>
        <w:t xml:space="preserve">, </w:t>
      </w:r>
      <w:r w:rsidR="00B704AD" w:rsidRPr="00C8701B">
        <w:rPr>
          <w:rFonts w:eastAsia="Arial Unicode MS"/>
          <w:bCs/>
          <w:lang w:eastAsia="fr-FR" w:bidi="he-IL"/>
        </w:rPr>
        <w:t>comme un véritable</w:t>
      </w:r>
      <w:r w:rsidR="00CE11E9">
        <w:rPr>
          <w:rFonts w:eastAsia="Arial Unicode MS"/>
          <w:bCs/>
          <w:lang w:eastAsia="fr-FR" w:bidi="he-IL"/>
        </w:rPr>
        <w:t xml:space="preserve"> </w:t>
      </w:r>
      <w:r w:rsidR="00F12048" w:rsidRPr="00C8701B">
        <w:rPr>
          <w:rFonts w:eastAsia="Arial Unicode MS"/>
          <w:bCs/>
          <w:lang w:eastAsia="fr-FR" w:bidi="he-IL"/>
        </w:rPr>
        <w:t>« </w:t>
      </w:r>
      <w:r w:rsidR="00B704AD" w:rsidRPr="00C8701B">
        <w:rPr>
          <w:rFonts w:eastAsia="Arial Unicode MS"/>
          <w:bCs/>
          <w:lang w:eastAsia="fr-FR" w:bidi="he-IL"/>
        </w:rPr>
        <w:t>entant terrible</w:t>
      </w:r>
      <w:r>
        <w:rPr>
          <w:rFonts w:eastAsia="Arial Unicode MS"/>
          <w:bCs/>
          <w:lang w:eastAsia="fr-FR" w:bidi="he-IL"/>
        </w:rPr>
        <w:t> »</w:t>
      </w:r>
      <w:r w:rsidR="00E65435">
        <w:rPr>
          <w:rFonts w:eastAsia="Arial Unicode MS"/>
          <w:bCs/>
          <w:lang w:eastAsia="fr-FR" w:bidi="he-IL"/>
        </w:rPr>
        <w:t xml:space="preserve">, </w:t>
      </w:r>
      <w:r w:rsidR="00B704AD" w:rsidRPr="00C8701B">
        <w:rPr>
          <w:rFonts w:eastAsia="Arial Unicode MS"/>
          <w:bCs/>
          <w:lang w:eastAsia="fr-FR" w:bidi="he-IL"/>
        </w:rPr>
        <w:t>capricieux</w:t>
      </w:r>
      <w:r w:rsidR="00E65435">
        <w:rPr>
          <w:rFonts w:eastAsia="Arial Unicode MS"/>
          <w:bCs/>
          <w:lang w:eastAsia="fr-FR" w:bidi="he-IL"/>
        </w:rPr>
        <w:t xml:space="preserve">, </w:t>
      </w:r>
      <w:r w:rsidR="00B704AD" w:rsidRPr="00C8701B">
        <w:rPr>
          <w:rFonts w:eastAsia="Arial Unicode MS"/>
          <w:bCs/>
          <w:lang w:eastAsia="fr-FR" w:bidi="he-IL"/>
        </w:rPr>
        <w:t>et même froidement cruel.</w:t>
      </w:r>
      <w:r w:rsidR="00C2602D" w:rsidRPr="00C8701B">
        <w:rPr>
          <w:rFonts w:eastAsia="Arial Unicode MS"/>
          <w:bCs/>
          <w:lang w:eastAsia="fr-FR" w:bidi="he-IL"/>
        </w:rPr>
        <w:t xml:space="preserve"> </w:t>
      </w:r>
    </w:p>
    <w:p w:rsidR="00C2602D" w:rsidRPr="00C8701B" w:rsidRDefault="00B704AD" w:rsidP="002455A3">
      <w:pPr>
        <w:pStyle w:val="locus"/>
        <w:rPr>
          <w:lang w:eastAsia="fr-FR" w:bidi="he-IL"/>
        </w:rPr>
      </w:pPr>
      <w:r w:rsidRPr="00C8701B">
        <w:rPr>
          <w:lang w:eastAsia="fr-FR" w:bidi="he-IL"/>
        </w:rPr>
        <w:t>Chapitre II.</w:t>
      </w:r>
      <w:r w:rsidR="000F7DAA">
        <w:rPr>
          <w:lang w:eastAsia="fr-FR" w:bidi="he-IL"/>
        </w:rPr>
        <w:t xml:space="preserve"> —</w:t>
      </w:r>
      <w:r w:rsidR="008D0642">
        <w:rPr>
          <w:lang w:eastAsia="fr-FR" w:bidi="he-IL"/>
        </w:rPr>
        <w:t xml:space="preserve"> </w:t>
      </w:r>
      <w:r w:rsidRPr="00C8701B">
        <w:rPr>
          <w:lang w:eastAsia="fr-FR" w:bidi="he-IL"/>
        </w:rPr>
        <w:t>L</w:t>
      </w:r>
      <w:r w:rsidR="00557DE0">
        <w:rPr>
          <w:lang w:eastAsia="fr-FR" w:bidi="he-IL"/>
        </w:rPr>
        <w:t>’</w:t>
      </w:r>
      <w:r w:rsidRPr="00C8701B">
        <w:rPr>
          <w:lang w:eastAsia="fr-FR" w:bidi="he-IL"/>
        </w:rPr>
        <w:t>enfant Jésus</w:t>
      </w:r>
      <w:r w:rsidR="00E65435">
        <w:rPr>
          <w:lang w:eastAsia="fr-FR" w:bidi="he-IL"/>
        </w:rPr>
        <w:t xml:space="preserve">, </w:t>
      </w:r>
      <w:r w:rsidRPr="00C8701B">
        <w:rPr>
          <w:lang w:eastAsia="fr-FR" w:bidi="he-IL"/>
        </w:rPr>
        <w:t>étant âgé de cinq ans</w:t>
      </w:r>
      <w:r w:rsidR="00E65435">
        <w:rPr>
          <w:lang w:eastAsia="fr-FR" w:bidi="he-IL"/>
        </w:rPr>
        <w:t xml:space="preserve">, </w:t>
      </w:r>
      <w:r w:rsidRPr="00C8701B">
        <w:rPr>
          <w:lang w:eastAsia="fr-FR" w:bidi="he-IL"/>
        </w:rPr>
        <w:t>jouait sur le bord d</w:t>
      </w:r>
      <w:r w:rsidR="00557DE0">
        <w:rPr>
          <w:lang w:eastAsia="fr-FR" w:bidi="he-IL"/>
        </w:rPr>
        <w:t>’</w:t>
      </w:r>
      <w:r w:rsidRPr="00C8701B">
        <w:rPr>
          <w:lang w:eastAsia="fr-FR" w:bidi="he-IL"/>
        </w:rPr>
        <w:t>une rivière</w:t>
      </w:r>
      <w:r w:rsidR="00E65435">
        <w:rPr>
          <w:lang w:eastAsia="fr-FR" w:bidi="he-IL"/>
        </w:rPr>
        <w:t xml:space="preserve">, </w:t>
      </w:r>
      <w:r w:rsidRPr="00C8701B">
        <w:rPr>
          <w:lang w:eastAsia="fr-FR" w:bidi="he-IL"/>
        </w:rPr>
        <w:t>et il recueillit dans de petites fosses les eaux qui coulaient</w:t>
      </w:r>
      <w:r w:rsidR="00C2602D" w:rsidRPr="00C8701B">
        <w:rPr>
          <w:lang w:eastAsia="fr-FR" w:bidi="he-IL"/>
        </w:rPr>
        <w:t> </w:t>
      </w:r>
      <w:r w:rsidR="007F6508">
        <w:rPr>
          <w:lang w:eastAsia="fr-FR" w:bidi="he-IL"/>
        </w:rPr>
        <w:t xml:space="preserve">; </w:t>
      </w:r>
      <w:r w:rsidRPr="00C8701B">
        <w:rPr>
          <w:lang w:eastAsia="fr-FR" w:bidi="he-IL"/>
        </w:rPr>
        <w:t>et aussitôt elles devinrent pures</w:t>
      </w:r>
      <w:r w:rsidR="00E65435">
        <w:rPr>
          <w:lang w:eastAsia="fr-FR" w:bidi="he-IL"/>
        </w:rPr>
        <w:t xml:space="preserve">, </w:t>
      </w:r>
      <w:r w:rsidRPr="00C8701B">
        <w:rPr>
          <w:lang w:eastAsia="fr-FR" w:bidi="he-IL"/>
        </w:rPr>
        <w:t>et elles obéissaient à sa voix. Ayant fait de la boue</w:t>
      </w:r>
      <w:r w:rsidR="00E65435">
        <w:rPr>
          <w:lang w:eastAsia="fr-FR" w:bidi="he-IL"/>
        </w:rPr>
        <w:t xml:space="preserve">, </w:t>
      </w:r>
      <w:r w:rsidRPr="00C8701B">
        <w:rPr>
          <w:lang w:eastAsia="fr-FR" w:bidi="he-IL"/>
        </w:rPr>
        <w:t>il s</w:t>
      </w:r>
      <w:r w:rsidR="00557DE0">
        <w:rPr>
          <w:lang w:eastAsia="fr-FR" w:bidi="he-IL"/>
        </w:rPr>
        <w:t>’</w:t>
      </w:r>
      <w:r w:rsidRPr="00C8701B">
        <w:rPr>
          <w:lang w:eastAsia="fr-FR" w:bidi="he-IL"/>
        </w:rPr>
        <w:t>en servit pour façonner douze oiseaux</w:t>
      </w:r>
      <w:r w:rsidR="00C2602D" w:rsidRPr="00C8701B">
        <w:rPr>
          <w:lang w:eastAsia="fr-FR" w:bidi="he-IL"/>
        </w:rPr>
        <w:t> </w:t>
      </w:r>
      <w:r w:rsidR="007F6508">
        <w:rPr>
          <w:lang w:eastAsia="fr-FR" w:bidi="he-IL"/>
        </w:rPr>
        <w:t xml:space="preserve">; </w:t>
      </w:r>
      <w:r w:rsidRPr="00C8701B">
        <w:rPr>
          <w:lang w:eastAsia="fr-FR" w:bidi="he-IL"/>
        </w:rPr>
        <w:t>et c</w:t>
      </w:r>
      <w:r w:rsidR="00557DE0">
        <w:rPr>
          <w:lang w:eastAsia="fr-FR" w:bidi="he-IL"/>
        </w:rPr>
        <w:t>’</w:t>
      </w:r>
      <w:r w:rsidRPr="00C8701B">
        <w:rPr>
          <w:lang w:eastAsia="fr-FR" w:bidi="he-IL"/>
        </w:rPr>
        <w:t>était un jour de sabbat. Et beaucoup d</w:t>
      </w:r>
      <w:r w:rsidR="00557DE0">
        <w:rPr>
          <w:lang w:eastAsia="fr-FR" w:bidi="he-IL"/>
        </w:rPr>
        <w:t>’</w:t>
      </w:r>
      <w:r w:rsidRPr="00C8701B">
        <w:rPr>
          <w:lang w:eastAsia="fr-FR" w:bidi="he-IL"/>
        </w:rPr>
        <w:t>autres enfants étaient là</w:t>
      </w:r>
      <w:r w:rsidR="00E65435">
        <w:rPr>
          <w:lang w:eastAsia="fr-FR" w:bidi="he-IL"/>
        </w:rPr>
        <w:t xml:space="preserve">, </w:t>
      </w:r>
      <w:r w:rsidRPr="00C8701B">
        <w:rPr>
          <w:lang w:eastAsia="fr-FR" w:bidi="he-IL"/>
        </w:rPr>
        <w:t>et jouaient avec lui. Un certain juif</w:t>
      </w:r>
      <w:r w:rsidR="00E65435">
        <w:rPr>
          <w:lang w:eastAsia="fr-FR" w:bidi="he-IL"/>
        </w:rPr>
        <w:t xml:space="preserve">, </w:t>
      </w:r>
      <w:r w:rsidRPr="00C8701B">
        <w:rPr>
          <w:lang w:eastAsia="fr-FR" w:bidi="he-IL"/>
        </w:rPr>
        <w:t>ayant vu ce</w:t>
      </w:r>
      <w:r w:rsidR="002D5574">
        <w:rPr>
          <w:lang w:eastAsia="fr-FR" w:bidi="he-IL"/>
        </w:rPr>
        <w:t xml:space="preserve"> </w:t>
      </w:r>
      <w:r w:rsidRPr="00C8701B">
        <w:rPr>
          <w:lang w:eastAsia="fr-FR" w:bidi="he-IL"/>
        </w:rPr>
        <w:t>que faisait Jésus</w:t>
      </w:r>
      <w:r w:rsidR="00E65435">
        <w:rPr>
          <w:lang w:eastAsia="fr-FR" w:bidi="he-IL"/>
        </w:rPr>
        <w:t xml:space="preserve">, </w:t>
      </w:r>
      <w:r w:rsidRPr="00C8701B">
        <w:rPr>
          <w:lang w:eastAsia="fr-FR" w:bidi="he-IL"/>
        </w:rPr>
        <w:t>et qu</w:t>
      </w:r>
      <w:r w:rsidR="00557DE0">
        <w:rPr>
          <w:lang w:eastAsia="fr-FR" w:bidi="he-IL"/>
        </w:rPr>
        <w:t>’</w:t>
      </w:r>
      <w:r w:rsidRPr="00C8701B">
        <w:rPr>
          <w:lang w:eastAsia="fr-FR" w:bidi="he-IL"/>
        </w:rPr>
        <w:t>il jouait le jour du sabbat</w:t>
      </w:r>
      <w:r w:rsidR="00E65435">
        <w:rPr>
          <w:lang w:eastAsia="fr-FR" w:bidi="he-IL"/>
        </w:rPr>
        <w:t xml:space="preserve">, </w:t>
      </w:r>
      <w:r w:rsidRPr="00C8701B">
        <w:rPr>
          <w:lang w:eastAsia="fr-FR" w:bidi="he-IL"/>
        </w:rPr>
        <w:t>alla aussitôt</w:t>
      </w:r>
      <w:r w:rsidR="00E65435">
        <w:rPr>
          <w:lang w:eastAsia="fr-FR" w:bidi="he-IL"/>
        </w:rPr>
        <w:t xml:space="preserve">, </w:t>
      </w:r>
      <w:r w:rsidR="002D5574">
        <w:rPr>
          <w:lang w:eastAsia="fr-FR" w:bidi="he-IL"/>
        </w:rPr>
        <w:t>et dit à son père Joseph : Voici que ton fils est au bord</w:t>
      </w:r>
      <w:r w:rsidRPr="00C8701B">
        <w:rPr>
          <w:lang w:eastAsia="fr-FR" w:bidi="he-IL"/>
        </w:rPr>
        <w:t xml:space="preserve"> d</w:t>
      </w:r>
      <w:r w:rsidR="00557DE0">
        <w:rPr>
          <w:lang w:eastAsia="fr-FR" w:bidi="he-IL"/>
        </w:rPr>
        <w:t>’</w:t>
      </w:r>
      <w:r w:rsidRPr="00C8701B">
        <w:rPr>
          <w:lang w:eastAsia="fr-FR" w:bidi="he-IL"/>
        </w:rPr>
        <w:t>une rivière</w:t>
      </w:r>
      <w:r w:rsidR="00E65435">
        <w:rPr>
          <w:lang w:eastAsia="fr-FR" w:bidi="he-IL"/>
        </w:rPr>
        <w:t xml:space="preserve">, </w:t>
      </w:r>
      <w:r w:rsidRPr="00C8701B">
        <w:rPr>
          <w:lang w:eastAsia="fr-FR" w:bidi="he-IL"/>
        </w:rPr>
        <w:t>et il a façonné douze oiseaux avec de la boue</w:t>
      </w:r>
      <w:r w:rsidR="00E65435">
        <w:rPr>
          <w:lang w:eastAsia="fr-FR" w:bidi="he-IL"/>
        </w:rPr>
        <w:t xml:space="preserve">, </w:t>
      </w:r>
      <w:r w:rsidRPr="00C8701B">
        <w:rPr>
          <w:lang w:eastAsia="fr-FR" w:bidi="he-IL"/>
        </w:rPr>
        <w:t>et il a profané le sabbat. Et Joseph vint à cet endroit</w:t>
      </w:r>
      <w:r w:rsidR="00E65435">
        <w:rPr>
          <w:lang w:eastAsia="fr-FR" w:bidi="he-IL"/>
        </w:rPr>
        <w:t xml:space="preserve">, </w:t>
      </w:r>
      <w:r w:rsidRPr="00C8701B">
        <w:rPr>
          <w:lang w:eastAsia="fr-FR" w:bidi="he-IL"/>
        </w:rPr>
        <w:t>et ayant vu ce que Jésus avait fait</w:t>
      </w:r>
      <w:r w:rsidR="00E65435">
        <w:rPr>
          <w:lang w:eastAsia="fr-FR" w:bidi="he-IL"/>
        </w:rPr>
        <w:t xml:space="preserve">, </w:t>
      </w:r>
      <w:r w:rsidRPr="00C8701B">
        <w:rPr>
          <w:lang w:eastAsia="fr-FR" w:bidi="he-IL"/>
        </w:rPr>
        <w:t>il s</w:t>
      </w:r>
      <w:r w:rsidR="00557DE0">
        <w:rPr>
          <w:lang w:eastAsia="fr-FR" w:bidi="he-IL"/>
        </w:rPr>
        <w:t>’</w:t>
      </w:r>
      <w:r w:rsidRPr="00C8701B">
        <w:rPr>
          <w:lang w:eastAsia="fr-FR" w:bidi="he-IL"/>
        </w:rPr>
        <w:t>écria</w:t>
      </w:r>
      <w:r w:rsidR="00C2602D" w:rsidRPr="00C8701B">
        <w:rPr>
          <w:lang w:eastAsia="fr-FR" w:bidi="he-IL"/>
        </w:rPr>
        <w:t> :</w:t>
      </w:r>
      <w:r w:rsidRPr="00C8701B">
        <w:rPr>
          <w:lang w:eastAsia="fr-FR" w:bidi="he-IL"/>
        </w:rPr>
        <w:t xml:space="preserve"> Pourquoi as-tu fait</w:t>
      </w:r>
      <w:r w:rsidR="00E65435">
        <w:rPr>
          <w:lang w:eastAsia="fr-FR" w:bidi="he-IL"/>
        </w:rPr>
        <w:t xml:space="preserve">, </w:t>
      </w:r>
      <w:r w:rsidR="002D5574">
        <w:rPr>
          <w:lang w:eastAsia="fr-FR" w:bidi="he-IL"/>
        </w:rPr>
        <w:t>le jour du sabbat</w:t>
      </w:r>
      <w:r w:rsidR="00E65435">
        <w:rPr>
          <w:lang w:eastAsia="fr-FR" w:bidi="he-IL"/>
        </w:rPr>
        <w:t xml:space="preserve">, </w:t>
      </w:r>
      <w:r w:rsidRPr="00C8701B">
        <w:rPr>
          <w:lang w:eastAsia="fr-FR" w:bidi="he-IL"/>
        </w:rPr>
        <w:t>ce qu</w:t>
      </w:r>
      <w:r w:rsidR="00557DE0">
        <w:rPr>
          <w:lang w:eastAsia="fr-FR" w:bidi="he-IL"/>
        </w:rPr>
        <w:t>’</w:t>
      </w:r>
      <w:r w:rsidRPr="00C8701B">
        <w:rPr>
          <w:lang w:eastAsia="fr-FR" w:bidi="he-IL"/>
        </w:rPr>
        <w:t>il est défendu de faire</w:t>
      </w:r>
      <w:r w:rsidR="00C2602D" w:rsidRPr="00C8701B">
        <w:rPr>
          <w:lang w:eastAsia="fr-FR" w:bidi="he-IL"/>
        </w:rPr>
        <w:t> ?</w:t>
      </w:r>
      <w:r w:rsidRPr="00C8701B">
        <w:rPr>
          <w:lang w:eastAsia="fr-FR" w:bidi="he-IL"/>
        </w:rPr>
        <w:t xml:space="preserve"> Jésus frappa des mains</w:t>
      </w:r>
      <w:r w:rsidR="00E65435">
        <w:rPr>
          <w:lang w:eastAsia="fr-FR" w:bidi="he-IL"/>
        </w:rPr>
        <w:t xml:space="preserve">, </w:t>
      </w:r>
      <w:r w:rsidRPr="00C8701B">
        <w:rPr>
          <w:lang w:eastAsia="fr-FR" w:bidi="he-IL"/>
        </w:rPr>
        <w:t>et dit aux oiseaux</w:t>
      </w:r>
      <w:r w:rsidR="00C2602D" w:rsidRPr="00C8701B">
        <w:rPr>
          <w:lang w:eastAsia="fr-FR" w:bidi="he-IL"/>
        </w:rPr>
        <w:t> :</w:t>
      </w:r>
      <w:r w:rsidRPr="00C8701B">
        <w:rPr>
          <w:lang w:eastAsia="fr-FR" w:bidi="he-IL"/>
        </w:rPr>
        <w:t xml:space="preserve"> Allez</w:t>
      </w:r>
      <w:r w:rsidR="00C2602D" w:rsidRPr="00C8701B">
        <w:rPr>
          <w:lang w:eastAsia="fr-FR" w:bidi="he-IL"/>
        </w:rPr>
        <w:t> !</w:t>
      </w:r>
      <w:r w:rsidRPr="00C8701B">
        <w:rPr>
          <w:lang w:eastAsia="fr-FR" w:bidi="he-IL"/>
        </w:rPr>
        <w:t xml:space="preserve"> Et ils s</w:t>
      </w:r>
      <w:r w:rsidR="00557DE0">
        <w:rPr>
          <w:lang w:eastAsia="fr-FR" w:bidi="he-IL"/>
        </w:rPr>
        <w:t>’</w:t>
      </w:r>
      <w:r w:rsidRPr="00C8701B">
        <w:rPr>
          <w:lang w:eastAsia="fr-FR" w:bidi="he-IL"/>
        </w:rPr>
        <w:t>envolèrent en poussant des cris. Les juifs furent saisis d</w:t>
      </w:r>
      <w:r w:rsidR="00557DE0">
        <w:rPr>
          <w:lang w:eastAsia="fr-FR" w:bidi="he-IL"/>
        </w:rPr>
        <w:t>’</w:t>
      </w:r>
      <w:r w:rsidRPr="00C8701B">
        <w:rPr>
          <w:lang w:eastAsia="fr-FR" w:bidi="he-IL"/>
        </w:rPr>
        <w:t>admiration à la vue de ce miracle</w:t>
      </w:r>
      <w:r w:rsidR="00E65435">
        <w:rPr>
          <w:lang w:eastAsia="fr-FR" w:bidi="he-IL"/>
        </w:rPr>
        <w:t xml:space="preserve">, </w:t>
      </w:r>
      <w:r w:rsidRPr="00C8701B">
        <w:rPr>
          <w:lang w:eastAsia="fr-FR" w:bidi="he-IL"/>
        </w:rPr>
        <w:t>et ils allèrent raconter ce qu</w:t>
      </w:r>
      <w:r w:rsidR="00557DE0">
        <w:rPr>
          <w:lang w:eastAsia="fr-FR" w:bidi="he-IL"/>
        </w:rPr>
        <w:t>’</w:t>
      </w:r>
      <w:r w:rsidRPr="00C8701B">
        <w:rPr>
          <w:lang w:eastAsia="fr-FR" w:bidi="he-IL"/>
        </w:rPr>
        <w:t>ils avaient vu faire à Jésus.</w:t>
      </w:r>
      <w:r w:rsidR="00C2602D" w:rsidRPr="00C8701B">
        <w:rPr>
          <w:lang w:eastAsia="fr-FR" w:bidi="he-IL"/>
        </w:rPr>
        <w:t xml:space="preserve"> </w:t>
      </w:r>
    </w:p>
    <w:p w:rsidR="00C2602D" w:rsidRPr="00C8701B" w:rsidRDefault="00B704AD" w:rsidP="002455A3">
      <w:pPr>
        <w:pStyle w:val="locus"/>
        <w:rPr>
          <w:lang w:eastAsia="fr-FR" w:bidi="he-IL"/>
        </w:rPr>
      </w:pPr>
      <w:r w:rsidRPr="00C8701B">
        <w:rPr>
          <w:lang w:eastAsia="fr-FR" w:bidi="he-IL"/>
        </w:rPr>
        <w:t>Chapitre III</w:t>
      </w:r>
      <w:r w:rsidR="00E65435">
        <w:rPr>
          <w:lang w:eastAsia="fr-FR" w:bidi="he-IL"/>
        </w:rPr>
        <w:t>,</w:t>
      </w:r>
      <w:r w:rsidR="000F7DAA">
        <w:rPr>
          <w:lang w:eastAsia="fr-FR" w:bidi="he-IL"/>
        </w:rPr>
        <w:t xml:space="preserve"> —</w:t>
      </w:r>
      <w:r w:rsidR="008D0642">
        <w:rPr>
          <w:lang w:eastAsia="fr-FR" w:bidi="he-IL"/>
        </w:rPr>
        <w:t xml:space="preserve"> </w:t>
      </w:r>
      <w:r w:rsidRPr="00C8701B">
        <w:rPr>
          <w:lang w:eastAsia="fr-FR" w:bidi="he-IL"/>
        </w:rPr>
        <w:t>Le fils d</w:t>
      </w:r>
      <w:r w:rsidR="00557DE0">
        <w:rPr>
          <w:lang w:eastAsia="fr-FR" w:bidi="he-IL"/>
        </w:rPr>
        <w:t>’</w:t>
      </w:r>
      <w:r w:rsidRPr="00C8701B">
        <w:rPr>
          <w:lang w:eastAsia="fr-FR" w:bidi="he-IL"/>
        </w:rPr>
        <w:t>Anne le scribe était venu avec Joseph</w:t>
      </w:r>
      <w:r w:rsidR="00E65435">
        <w:rPr>
          <w:lang w:eastAsia="fr-FR" w:bidi="he-IL"/>
        </w:rPr>
        <w:t xml:space="preserve">, </w:t>
      </w:r>
      <w:r w:rsidRPr="00C8701B">
        <w:rPr>
          <w:lang w:eastAsia="fr-FR" w:bidi="he-IL"/>
        </w:rPr>
        <w:t>et prenant une branche de saule</w:t>
      </w:r>
      <w:r w:rsidR="00E65435">
        <w:rPr>
          <w:lang w:eastAsia="fr-FR" w:bidi="he-IL"/>
        </w:rPr>
        <w:t xml:space="preserve">, </w:t>
      </w:r>
      <w:r w:rsidRPr="00C8701B">
        <w:rPr>
          <w:lang w:eastAsia="fr-FR" w:bidi="he-IL"/>
        </w:rPr>
        <w:t xml:space="preserve">il fit écouler les eaux que Jésus avait amassées. </w:t>
      </w:r>
      <w:r w:rsidRPr="00CD3C57">
        <w:rPr>
          <w:lang w:eastAsia="fr-FR" w:bidi="he-IL"/>
        </w:rPr>
        <w:t>Jésus</w:t>
      </w:r>
      <w:r w:rsidR="00C2602D" w:rsidRPr="00CD3C57">
        <w:rPr>
          <w:lang w:eastAsia="fr-FR" w:bidi="he-IL"/>
        </w:rPr>
        <w:t xml:space="preserve"> </w:t>
      </w:r>
      <w:r w:rsidR="00366671">
        <w:rPr>
          <w:lang w:eastAsia="fr-FR" w:bidi="he-IL"/>
        </w:rPr>
        <w:t>{113</w:t>
      </w:r>
      <w:bookmarkStart w:id="173" w:name="pag113"/>
      <w:bookmarkEnd w:id="173"/>
      <w:r w:rsidR="00366671">
        <w:rPr>
          <w:lang w:eastAsia="fr-FR" w:bidi="he-IL"/>
        </w:rPr>
        <w:t>}</w:t>
      </w:r>
      <w:r w:rsidR="002D5574">
        <w:rPr>
          <w:lang w:eastAsia="fr-FR" w:bidi="he-IL"/>
        </w:rPr>
        <w:t xml:space="preserve"> </w:t>
      </w:r>
      <w:r w:rsidRPr="00C8701B">
        <w:rPr>
          <w:lang w:eastAsia="fr-FR" w:bidi="he-IL"/>
        </w:rPr>
        <w:t>voyant cela</w:t>
      </w:r>
      <w:r w:rsidR="00E65435">
        <w:rPr>
          <w:lang w:eastAsia="fr-FR" w:bidi="he-IL"/>
        </w:rPr>
        <w:t xml:space="preserve">, </w:t>
      </w:r>
      <w:r w:rsidRPr="00C8701B">
        <w:rPr>
          <w:lang w:eastAsia="fr-FR" w:bidi="he-IL"/>
        </w:rPr>
        <w:t>fut irrité et lui dit</w:t>
      </w:r>
      <w:r w:rsidR="00C2602D" w:rsidRPr="00C8701B">
        <w:rPr>
          <w:lang w:eastAsia="fr-FR" w:bidi="he-IL"/>
        </w:rPr>
        <w:t> :</w:t>
      </w:r>
      <w:r w:rsidRPr="00C8701B">
        <w:rPr>
          <w:lang w:eastAsia="fr-FR" w:bidi="he-IL"/>
        </w:rPr>
        <w:t xml:space="preserve"> Homme injuste</w:t>
      </w:r>
      <w:r w:rsidR="00E65435">
        <w:rPr>
          <w:lang w:eastAsia="fr-FR" w:bidi="he-IL"/>
        </w:rPr>
        <w:t xml:space="preserve">, </w:t>
      </w:r>
      <w:r w:rsidRPr="00C8701B">
        <w:rPr>
          <w:lang w:eastAsia="fr-FR" w:bidi="he-IL"/>
        </w:rPr>
        <w:t>impie et insensé</w:t>
      </w:r>
      <w:r w:rsidR="00E65435">
        <w:rPr>
          <w:lang w:eastAsia="fr-FR" w:bidi="he-IL"/>
        </w:rPr>
        <w:t xml:space="preserve">, </w:t>
      </w:r>
      <w:r w:rsidRPr="00C8701B">
        <w:rPr>
          <w:lang w:eastAsia="fr-FR" w:bidi="he-IL"/>
        </w:rPr>
        <w:t>quel tort te faisait cette eau</w:t>
      </w:r>
      <w:r w:rsidR="00C2602D" w:rsidRPr="00C8701B">
        <w:rPr>
          <w:lang w:eastAsia="fr-FR" w:bidi="he-IL"/>
        </w:rPr>
        <w:t> ?</w:t>
      </w:r>
      <w:r w:rsidRPr="00C8701B">
        <w:rPr>
          <w:lang w:eastAsia="fr-FR" w:bidi="he-IL"/>
        </w:rPr>
        <w:t xml:space="preserve"> Tu vas être comme un arbre frappé de sécheresse et privé de racines</w:t>
      </w:r>
      <w:r w:rsidR="00E65435">
        <w:rPr>
          <w:lang w:eastAsia="fr-FR" w:bidi="he-IL"/>
        </w:rPr>
        <w:t xml:space="preserve">, </w:t>
      </w:r>
      <w:r w:rsidRPr="00C8701B">
        <w:rPr>
          <w:lang w:eastAsia="fr-FR" w:bidi="he-IL"/>
        </w:rPr>
        <w:t>qui ne produit ni feuilles ni fruits. Et aussitôt il se dessécha tout entier. Jésus s</w:t>
      </w:r>
      <w:r w:rsidR="00557DE0">
        <w:rPr>
          <w:lang w:eastAsia="fr-FR" w:bidi="he-IL"/>
        </w:rPr>
        <w:t>’</w:t>
      </w:r>
      <w:r w:rsidRPr="00C8701B">
        <w:rPr>
          <w:lang w:eastAsia="fr-FR" w:bidi="he-IL"/>
        </w:rPr>
        <w:t>en alla ensuite au logis de Joseph. Les parents de l</w:t>
      </w:r>
      <w:r w:rsidR="00557DE0">
        <w:rPr>
          <w:lang w:eastAsia="fr-FR" w:bidi="he-IL"/>
        </w:rPr>
        <w:t>’</w:t>
      </w:r>
      <w:r w:rsidRPr="00C8701B">
        <w:rPr>
          <w:lang w:eastAsia="fr-FR" w:bidi="he-IL"/>
        </w:rPr>
        <w:t>enfant qui s</w:t>
      </w:r>
      <w:r w:rsidR="00557DE0">
        <w:rPr>
          <w:lang w:eastAsia="fr-FR" w:bidi="he-IL"/>
        </w:rPr>
        <w:t>’</w:t>
      </w:r>
      <w:r w:rsidRPr="00C8701B">
        <w:rPr>
          <w:lang w:eastAsia="fr-FR" w:bidi="he-IL"/>
        </w:rPr>
        <w:t>était desséché le prirent dans leurs bras</w:t>
      </w:r>
      <w:r w:rsidR="00E65435">
        <w:rPr>
          <w:lang w:eastAsia="fr-FR" w:bidi="he-IL"/>
        </w:rPr>
        <w:t xml:space="preserve">, </w:t>
      </w:r>
      <w:r w:rsidRPr="00C8701B">
        <w:rPr>
          <w:lang w:eastAsia="fr-FR" w:bidi="he-IL"/>
        </w:rPr>
        <w:t>en déplorant le malheur qui le frappait dans un âge aussi tendre</w:t>
      </w:r>
      <w:r w:rsidR="00E65435">
        <w:rPr>
          <w:lang w:eastAsia="fr-FR" w:bidi="he-IL"/>
        </w:rPr>
        <w:t xml:space="preserve">, </w:t>
      </w:r>
      <w:r w:rsidRPr="00C8701B">
        <w:rPr>
          <w:lang w:eastAsia="fr-FR" w:bidi="he-IL"/>
        </w:rPr>
        <w:t>et ils le portèrent à Joseph</w:t>
      </w:r>
      <w:r w:rsidR="00E65435">
        <w:rPr>
          <w:lang w:eastAsia="fr-FR" w:bidi="he-IL"/>
        </w:rPr>
        <w:t xml:space="preserve">, </w:t>
      </w:r>
      <w:r w:rsidRPr="00C8701B">
        <w:rPr>
          <w:lang w:eastAsia="fr-FR" w:bidi="he-IL"/>
        </w:rPr>
        <w:t>contre lequel ils s</w:t>
      </w:r>
      <w:r w:rsidR="00557DE0">
        <w:rPr>
          <w:lang w:eastAsia="fr-FR" w:bidi="he-IL"/>
        </w:rPr>
        <w:t>’</w:t>
      </w:r>
      <w:r w:rsidRPr="00C8701B">
        <w:rPr>
          <w:lang w:eastAsia="fr-FR" w:bidi="he-IL"/>
        </w:rPr>
        <w:t>élevaient vivement de ce qu</w:t>
      </w:r>
      <w:r w:rsidR="00557DE0">
        <w:rPr>
          <w:lang w:eastAsia="fr-FR" w:bidi="he-IL"/>
        </w:rPr>
        <w:t>’</w:t>
      </w:r>
      <w:r w:rsidRPr="00C8701B">
        <w:rPr>
          <w:lang w:eastAsia="fr-FR" w:bidi="he-IL"/>
        </w:rPr>
        <w:t>il avait un fils qui faisait de semblables choses.</w:t>
      </w:r>
      <w:r w:rsidR="00C2602D" w:rsidRPr="00C8701B">
        <w:rPr>
          <w:lang w:eastAsia="fr-FR" w:bidi="he-IL"/>
        </w:rPr>
        <w:t xml:space="preserve"> </w:t>
      </w:r>
    </w:p>
    <w:p w:rsidR="00C2602D" w:rsidRPr="00C8701B" w:rsidRDefault="00B704AD" w:rsidP="002455A3">
      <w:pPr>
        <w:pStyle w:val="locus"/>
        <w:rPr>
          <w:lang w:eastAsia="fr-FR" w:bidi="he-IL"/>
        </w:rPr>
      </w:pPr>
      <w:r w:rsidRPr="00C8701B">
        <w:rPr>
          <w:lang w:eastAsia="fr-FR" w:bidi="he-IL"/>
        </w:rPr>
        <w:t xml:space="preserve">Chapitre </w:t>
      </w:r>
      <w:r w:rsidR="0096281A">
        <w:rPr>
          <w:lang w:eastAsia="fr-FR" w:bidi="he-IL"/>
        </w:rPr>
        <w:t>IV</w:t>
      </w:r>
      <w:r w:rsidRPr="00C8701B">
        <w:rPr>
          <w:lang w:eastAsia="fr-FR" w:bidi="he-IL"/>
        </w:rPr>
        <w:t>.</w:t>
      </w:r>
      <w:r w:rsidR="000F7DAA">
        <w:rPr>
          <w:lang w:eastAsia="fr-FR" w:bidi="he-IL"/>
        </w:rPr>
        <w:t xml:space="preserve"> —</w:t>
      </w:r>
      <w:r w:rsidR="008D0642">
        <w:rPr>
          <w:lang w:eastAsia="fr-FR" w:bidi="he-IL"/>
        </w:rPr>
        <w:t xml:space="preserve"> </w:t>
      </w:r>
      <w:r w:rsidRPr="00C8701B">
        <w:rPr>
          <w:lang w:eastAsia="fr-FR" w:bidi="he-IL"/>
        </w:rPr>
        <w:t>Jésus traversait une autre fois un village</w:t>
      </w:r>
      <w:r w:rsidR="00E65435">
        <w:rPr>
          <w:lang w:eastAsia="fr-FR" w:bidi="he-IL"/>
        </w:rPr>
        <w:t xml:space="preserve">, </w:t>
      </w:r>
      <w:r w:rsidRPr="00C8701B">
        <w:rPr>
          <w:lang w:eastAsia="fr-FR" w:bidi="he-IL"/>
        </w:rPr>
        <w:t>et un enfant</w:t>
      </w:r>
      <w:r w:rsidR="00E65435">
        <w:rPr>
          <w:lang w:eastAsia="fr-FR" w:bidi="he-IL"/>
        </w:rPr>
        <w:t xml:space="preserve">, </w:t>
      </w:r>
      <w:r w:rsidRPr="00C8701B">
        <w:rPr>
          <w:lang w:eastAsia="fr-FR" w:bidi="he-IL"/>
        </w:rPr>
        <w:t>en courant</w:t>
      </w:r>
      <w:r w:rsidR="00E65435">
        <w:rPr>
          <w:lang w:eastAsia="fr-FR" w:bidi="he-IL"/>
        </w:rPr>
        <w:t xml:space="preserve">, </w:t>
      </w:r>
      <w:r w:rsidRPr="00C8701B">
        <w:rPr>
          <w:lang w:eastAsia="fr-FR" w:bidi="he-IL"/>
        </w:rPr>
        <w:t>lui choqua l</w:t>
      </w:r>
      <w:r w:rsidR="00557DE0">
        <w:rPr>
          <w:lang w:eastAsia="fr-FR" w:bidi="he-IL"/>
        </w:rPr>
        <w:t>’</w:t>
      </w:r>
      <w:r w:rsidRPr="00C8701B">
        <w:rPr>
          <w:lang w:eastAsia="fr-FR" w:bidi="he-IL"/>
        </w:rPr>
        <w:t>épaule. Et Jésus</w:t>
      </w:r>
      <w:r w:rsidR="00E65435">
        <w:rPr>
          <w:lang w:eastAsia="fr-FR" w:bidi="he-IL"/>
        </w:rPr>
        <w:t xml:space="preserve">, </w:t>
      </w:r>
      <w:r w:rsidRPr="00C8701B">
        <w:rPr>
          <w:lang w:eastAsia="fr-FR" w:bidi="he-IL"/>
        </w:rPr>
        <w:t>irrité</w:t>
      </w:r>
      <w:r w:rsidR="00E65435">
        <w:rPr>
          <w:lang w:eastAsia="fr-FR" w:bidi="he-IL"/>
        </w:rPr>
        <w:t xml:space="preserve">, </w:t>
      </w:r>
      <w:r w:rsidRPr="00C8701B">
        <w:rPr>
          <w:lang w:eastAsia="fr-FR" w:bidi="he-IL"/>
        </w:rPr>
        <w:t>lui dit</w:t>
      </w:r>
      <w:r w:rsidR="00C2602D" w:rsidRPr="00C8701B">
        <w:rPr>
          <w:lang w:eastAsia="fr-FR" w:bidi="he-IL"/>
        </w:rPr>
        <w:t> :</w:t>
      </w:r>
      <w:r w:rsidRPr="00C8701B">
        <w:rPr>
          <w:lang w:eastAsia="fr-FR" w:bidi="he-IL"/>
        </w:rPr>
        <w:t xml:space="preserve"> Tu n</w:t>
      </w:r>
      <w:r w:rsidR="00557DE0">
        <w:rPr>
          <w:lang w:eastAsia="fr-FR" w:bidi="he-IL"/>
        </w:rPr>
        <w:t>’</w:t>
      </w:r>
      <w:r w:rsidRPr="00C8701B">
        <w:rPr>
          <w:lang w:eastAsia="fr-FR" w:bidi="he-IL"/>
        </w:rPr>
        <w:t>achèveras pas ton chemin. Et aussitôt l</w:t>
      </w:r>
      <w:r w:rsidR="00557DE0">
        <w:rPr>
          <w:lang w:eastAsia="fr-FR" w:bidi="he-IL"/>
        </w:rPr>
        <w:t>’</w:t>
      </w:r>
      <w:r w:rsidRPr="00C8701B">
        <w:rPr>
          <w:lang w:eastAsia="fr-FR" w:bidi="he-IL"/>
        </w:rPr>
        <w:t>enfant tomba et mourut. Des gens</w:t>
      </w:r>
      <w:r w:rsidR="00E65435">
        <w:rPr>
          <w:lang w:eastAsia="fr-FR" w:bidi="he-IL"/>
        </w:rPr>
        <w:t xml:space="preserve">, </w:t>
      </w:r>
      <w:r w:rsidRPr="00C8701B">
        <w:rPr>
          <w:lang w:eastAsia="fr-FR" w:bidi="he-IL"/>
        </w:rPr>
        <w:t>voyant ce qui s</w:t>
      </w:r>
      <w:r w:rsidR="00557DE0">
        <w:rPr>
          <w:lang w:eastAsia="fr-FR" w:bidi="he-IL"/>
        </w:rPr>
        <w:t>’</w:t>
      </w:r>
      <w:r w:rsidRPr="00C8701B">
        <w:rPr>
          <w:lang w:eastAsia="fr-FR" w:bidi="he-IL"/>
        </w:rPr>
        <w:t>était passé</w:t>
      </w:r>
      <w:r w:rsidR="00E65435">
        <w:rPr>
          <w:lang w:eastAsia="fr-FR" w:bidi="he-IL"/>
        </w:rPr>
        <w:t xml:space="preserve">, </w:t>
      </w:r>
      <w:r w:rsidRPr="00C8701B">
        <w:rPr>
          <w:lang w:eastAsia="fr-FR" w:bidi="he-IL"/>
        </w:rPr>
        <w:t>dirent</w:t>
      </w:r>
      <w:r w:rsidR="00C2602D" w:rsidRPr="00C8701B">
        <w:rPr>
          <w:lang w:eastAsia="fr-FR" w:bidi="he-IL"/>
        </w:rPr>
        <w:t> :</w:t>
      </w:r>
      <w:r w:rsidRPr="00C8701B">
        <w:rPr>
          <w:lang w:eastAsia="fr-FR" w:bidi="he-IL"/>
        </w:rPr>
        <w:t xml:space="preserve"> D</w:t>
      </w:r>
      <w:r w:rsidR="00557DE0">
        <w:rPr>
          <w:lang w:eastAsia="fr-FR" w:bidi="he-IL"/>
        </w:rPr>
        <w:t>’</w:t>
      </w:r>
      <w:r w:rsidRPr="00C8701B">
        <w:rPr>
          <w:lang w:eastAsia="fr-FR" w:bidi="he-IL"/>
        </w:rPr>
        <w:t>où est né cet enfant</w:t>
      </w:r>
      <w:r w:rsidR="00C2602D" w:rsidRPr="00C8701B">
        <w:rPr>
          <w:lang w:eastAsia="fr-FR" w:bidi="he-IL"/>
        </w:rPr>
        <w:t> ?</w:t>
      </w:r>
      <w:r w:rsidRPr="00C8701B">
        <w:rPr>
          <w:lang w:eastAsia="fr-FR" w:bidi="he-IL"/>
        </w:rPr>
        <w:t xml:space="preserve"> chacune de ses paroles se réalise aussitôt. Et les parents de l</w:t>
      </w:r>
      <w:r w:rsidR="00557DE0">
        <w:rPr>
          <w:lang w:eastAsia="fr-FR" w:bidi="he-IL"/>
        </w:rPr>
        <w:t>’</w:t>
      </w:r>
      <w:r w:rsidRPr="00C8701B">
        <w:rPr>
          <w:lang w:eastAsia="fr-FR" w:bidi="he-IL"/>
        </w:rPr>
        <w:t>enfant qui était mort s</w:t>
      </w:r>
      <w:r w:rsidR="00557DE0">
        <w:rPr>
          <w:lang w:eastAsia="fr-FR" w:bidi="he-IL"/>
        </w:rPr>
        <w:t>’</w:t>
      </w:r>
      <w:r w:rsidRPr="00C8701B">
        <w:rPr>
          <w:lang w:eastAsia="fr-FR" w:bidi="he-IL"/>
        </w:rPr>
        <w:t>approchèrent de Joseph et lui dirent</w:t>
      </w:r>
      <w:r w:rsidR="00C2602D" w:rsidRPr="00C8701B">
        <w:rPr>
          <w:lang w:eastAsia="fr-FR" w:bidi="he-IL"/>
        </w:rPr>
        <w:t> :</w:t>
      </w:r>
      <w:r w:rsidRPr="00C8701B">
        <w:rPr>
          <w:lang w:eastAsia="fr-FR" w:bidi="he-IL"/>
        </w:rPr>
        <w:t xml:space="preserve"> Tu as un enfant tel</w:t>
      </w:r>
      <w:r w:rsidR="00E65435">
        <w:rPr>
          <w:lang w:eastAsia="fr-FR" w:bidi="he-IL"/>
        </w:rPr>
        <w:t xml:space="preserve">, </w:t>
      </w:r>
      <w:r w:rsidRPr="00C8701B">
        <w:rPr>
          <w:lang w:eastAsia="fr-FR" w:bidi="he-IL"/>
        </w:rPr>
        <w:t>que tu ne peux habiter le même village que nous</w:t>
      </w:r>
      <w:r w:rsidR="00C2602D" w:rsidRPr="00C8701B">
        <w:rPr>
          <w:lang w:eastAsia="fr-FR" w:bidi="he-IL"/>
        </w:rPr>
        <w:t> </w:t>
      </w:r>
      <w:r w:rsidR="007F6508">
        <w:rPr>
          <w:lang w:eastAsia="fr-FR" w:bidi="he-IL"/>
        </w:rPr>
        <w:t xml:space="preserve">; </w:t>
      </w:r>
      <w:r w:rsidRPr="00C8701B">
        <w:rPr>
          <w:lang w:eastAsia="fr-FR" w:bidi="he-IL"/>
        </w:rPr>
        <w:t>ou bien</w:t>
      </w:r>
      <w:r w:rsidR="00E65435">
        <w:rPr>
          <w:lang w:eastAsia="fr-FR" w:bidi="he-IL"/>
        </w:rPr>
        <w:t xml:space="preserve">, </w:t>
      </w:r>
      <w:r w:rsidRPr="00C8701B">
        <w:rPr>
          <w:lang w:eastAsia="fr-FR" w:bidi="he-IL"/>
        </w:rPr>
        <w:t>apprends-lui à bénir et non à maudire</w:t>
      </w:r>
      <w:r w:rsidR="00E65435">
        <w:rPr>
          <w:lang w:eastAsia="fr-FR" w:bidi="he-IL"/>
        </w:rPr>
        <w:t xml:space="preserve">, </w:t>
      </w:r>
      <w:r w:rsidRPr="00C8701B">
        <w:rPr>
          <w:lang w:eastAsia="fr-FR" w:bidi="he-IL"/>
        </w:rPr>
        <w:t>car il fait mourir nos enfants.</w:t>
      </w:r>
      <w:r w:rsidR="00C2602D" w:rsidRPr="00C8701B">
        <w:rPr>
          <w:lang w:eastAsia="fr-FR" w:bidi="he-IL"/>
        </w:rPr>
        <w:t xml:space="preserve"> </w:t>
      </w:r>
    </w:p>
    <w:p w:rsidR="00C2602D" w:rsidRPr="00C8701B" w:rsidRDefault="00B704AD" w:rsidP="00EA28F4">
      <w:pPr>
        <w:pStyle w:val="locus"/>
        <w:rPr>
          <w:lang w:eastAsia="fr-FR" w:bidi="he-IL"/>
        </w:rPr>
      </w:pPr>
      <w:r w:rsidRPr="00C8701B">
        <w:rPr>
          <w:lang w:eastAsia="fr-FR" w:bidi="he-IL"/>
        </w:rPr>
        <w:t xml:space="preserve">Chapitre </w:t>
      </w:r>
      <w:r w:rsidR="00835131">
        <w:rPr>
          <w:lang w:eastAsia="fr-FR" w:bidi="he-IL"/>
        </w:rPr>
        <w:t>V</w:t>
      </w:r>
      <w:r w:rsidRPr="00C8701B">
        <w:rPr>
          <w:lang w:eastAsia="fr-FR" w:bidi="he-IL"/>
        </w:rPr>
        <w:t>.</w:t>
      </w:r>
      <w:r w:rsidR="000F7DAA">
        <w:rPr>
          <w:lang w:eastAsia="fr-FR" w:bidi="he-IL"/>
        </w:rPr>
        <w:t xml:space="preserve"> —</w:t>
      </w:r>
      <w:r w:rsidR="008D0642">
        <w:rPr>
          <w:lang w:eastAsia="fr-FR" w:bidi="he-IL"/>
        </w:rPr>
        <w:t xml:space="preserve"> </w:t>
      </w:r>
      <w:r w:rsidRPr="00C8701B">
        <w:rPr>
          <w:lang w:eastAsia="fr-FR" w:bidi="he-IL"/>
        </w:rPr>
        <w:t>Et Joseph</w:t>
      </w:r>
      <w:r w:rsidR="00E65435">
        <w:rPr>
          <w:lang w:eastAsia="fr-FR" w:bidi="he-IL"/>
        </w:rPr>
        <w:t xml:space="preserve">, </w:t>
      </w:r>
      <w:r w:rsidRPr="00C8701B">
        <w:rPr>
          <w:lang w:eastAsia="fr-FR" w:bidi="he-IL"/>
        </w:rPr>
        <w:t>appelant à lui l</w:t>
      </w:r>
      <w:r w:rsidR="00557DE0">
        <w:rPr>
          <w:lang w:eastAsia="fr-FR" w:bidi="he-IL"/>
        </w:rPr>
        <w:t>’</w:t>
      </w:r>
      <w:r w:rsidRPr="00C8701B">
        <w:rPr>
          <w:lang w:eastAsia="fr-FR" w:bidi="he-IL"/>
        </w:rPr>
        <w:t>enfant</w:t>
      </w:r>
      <w:r w:rsidR="00E65435">
        <w:rPr>
          <w:lang w:eastAsia="fr-FR" w:bidi="he-IL"/>
        </w:rPr>
        <w:t xml:space="preserve">, </w:t>
      </w:r>
      <w:r w:rsidRPr="00C8701B">
        <w:rPr>
          <w:lang w:eastAsia="fr-FR" w:bidi="he-IL"/>
        </w:rPr>
        <w:t>l</w:t>
      </w:r>
      <w:r w:rsidR="00557DE0">
        <w:rPr>
          <w:lang w:eastAsia="fr-FR" w:bidi="he-IL"/>
        </w:rPr>
        <w:t>’</w:t>
      </w:r>
      <w:r w:rsidRPr="00C8701B">
        <w:rPr>
          <w:lang w:eastAsia="fr-FR" w:bidi="he-IL"/>
        </w:rPr>
        <w:t>admonestait</w:t>
      </w:r>
      <w:r w:rsidR="00E65435">
        <w:rPr>
          <w:lang w:eastAsia="fr-FR" w:bidi="he-IL"/>
        </w:rPr>
        <w:t xml:space="preserve">, </w:t>
      </w:r>
      <w:r w:rsidRPr="00C8701B">
        <w:rPr>
          <w:lang w:eastAsia="fr-FR" w:bidi="he-IL"/>
        </w:rPr>
        <w:t>disant</w:t>
      </w:r>
      <w:r w:rsidR="00C2602D" w:rsidRPr="00C8701B">
        <w:rPr>
          <w:lang w:eastAsia="fr-FR" w:bidi="he-IL"/>
        </w:rPr>
        <w:t> :</w:t>
      </w:r>
      <w:r w:rsidRPr="00C8701B">
        <w:rPr>
          <w:lang w:eastAsia="fr-FR" w:bidi="he-IL"/>
        </w:rPr>
        <w:t xml:space="preserve"> Pourquoi fais-tu ces choses-là</w:t>
      </w:r>
      <w:r w:rsidR="00C2602D" w:rsidRPr="00C8701B">
        <w:rPr>
          <w:lang w:eastAsia="fr-FR" w:bidi="he-IL"/>
        </w:rPr>
        <w:t> ?</w:t>
      </w:r>
      <w:r w:rsidRPr="00C8701B">
        <w:rPr>
          <w:lang w:eastAsia="fr-FR" w:bidi="he-IL"/>
        </w:rPr>
        <w:t xml:space="preserve"> On prend de la haine contre nous</w:t>
      </w:r>
      <w:r w:rsidR="00E65435">
        <w:rPr>
          <w:lang w:eastAsia="fr-FR" w:bidi="he-IL"/>
        </w:rPr>
        <w:t xml:space="preserve">, </w:t>
      </w:r>
      <w:r w:rsidRPr="00C8701B">
        <w:rPr>
          <w:lang w:eastAsia="fr-FR" w:bidi="he-IL"/>
        </w:rPr>
        <w:t>et nous serons persécutés. Jésus répondit</w:t>
      </w:r>
      <w:r w:rsidR="00C2602D" w:rsidRPr="00C8701B">
        <w:rPr>
          <w:lang w:eastAsia="fr-FR" w:bidi="he-IL"/>
        </w:rPr>
        <w:t> :</w:t>
      </w:r>
      <w:r w:rsidRPr="00C8701B">
        <w:rPr>
          <w:lang w:eastAsia="fr-FR" w:bidi="he-IL"/>
        </w:rPr>
        <w:t xml:space="preserve"> Je sais que les paroles que tu viens de prononcer ne sont pas de toi...</w:t>
      </w:r>
      <w:r w:rsidR="00C2602D" w:rsidRPr="00C8701B">
        <w:rPr>
          <w:lang w:eastAsia="fr-FR" w:bidi="he-IL"/>
        </w:rPr>
        <w:t> </w:t>
      </w:r>
      <w:r w:rsidR="007F6508">
        <w:rPr>
          <w:lang w:eastAsia="fr-FR" w:bidi="he-IL"/>
        </w:rPr>
        <w:t xml:space="preserve">; </w:t>
      </w:r>
      <w:r w:rsidRPr="00C8701B">
        <w:rPr>
          <w:lang w:eastAsia="fr-FR" w:bidi="he-IL"/>
        </w:rPr>
        <w:t>je me tairai cependant à cause de toi</w:t>
      </w:r>
      <w:r w:rsidR="00C2602D" w:rsidRPr="00C8701B">
        <w:rPr>
          <w:lang w:eastAsia="fr-FR" w:bidi="he-IL"/>
        </w:rPr>
        <w:t> </w:t>
      </w:r>
      <w:r w:rsidR="007F6508">
        <w:rPr>
          <w:lang w:eastAsia="fr-FR" w:bidi="he-IL"/>
        </w:rPr>
        <w:t xml:space="preserve">; </w:t>
      </w:r>
      <w:r w:rsidRPr="00C8701B">
        <w:rPr>
          <w:lang w:eastAsia="fr-FR" w:bidi="he-IL"/>
        </w:rPr>
        <w:t>mais eux</w:t>
      </w:r>
      <w:r w:rsidR="00E65435">
        <w:rPr>
          <w:lang w:eastAsia="fr-FR" w:bidi="he-IL"/>
        </w:rPr>
        <w:t xml:space="preserve">, </w:t>
      </w:r>
      <w:r w:rsidRPr="00C8701B">
        <w:rPr>
          <w:lang w:eastAsia="fr-FR" w:bidi="he-IL"/>
        </w:rPr>
        <w:t>ils subiront leur châtiment. Et aussitôt ses accusateurs devinrent aveugles... Et Joseph se levant</w:t>
      </w:r>
      <w:r w:rsidR="00E65435">
        <w:rPr>
          <w:lang w:eastAsia="fr-FR" w:bidi="he-IL"/>
        </w:rPr>
        <w:t xml:space="preserve">, </w:t>
      </w:r>
      <w:r w:rsidRPr="00C8701B">
        <w:rPr>
          <w:lang w:eastAsia="fr-FR" w:bidi="he-IL"/>
        </w:rPr>
        <w:t>prit Jésus par l</w:t>
      </w:r>
      <w:r w:rsidR="00557DE0">
        <w:rPr>
          <w:lang w:eastAsia="fr-FR" w:bidi="he-IL"/>
        </w:rPr>
        <w:t>’</w:t>
      </w:r>
      <w:r w:rsidRPr="00C8701B">
        <w:rPr>
          <w:lang w:eastAsia="fr-FR" w:bidi="he-IL"/>
        </w:rPr>
        <w:t>oreille</w:t>
      </w:r>
      <w:r w:rsidR="00E65435">
        <w:rPr>
          <w:lang w:eastAsia="fr-FR" w:bidi="he-IL"/>
        </w:rPr>
        <w:t xml:space="preserve">, </w:t>
      </w:r>
      <w:r w:rsidRPr="00C8701B">
        <w:rPr>
          <w:lang w:eastAsia="fr-FR" w:bidi="he-IL"/>
        </w:rPr>
        <w:t>et le tira avec force. L</w:t>
      </w:r>
      <w:r w:rsidR="00557DE0">
        <w:rPr>
          <w:lang w:eastAsia="fr-FR" w:bidi="he-IL"/>
        </w:rPr>
        <w:t>’</w:t>
      </w:r>
      <w:r w:rsidRPr="00C8701B">
        <w:rPr>
          <w:lang w:eastAsia="fr-FR" w:bidi="he-IL"/>
        </w:rPr>
        <w:t>enfant fut courroucé et lui dit</w:t>
      </w:r>
      <w:r w:rsidR="00C2602D" w:rsidRPr="00C8701B">
        <w:rPr>
          <w:lang w:eastAsia="fr-FR" w:bidi="he-IL"/>
        </w:rPr>
        <w:t> :</w:t>
      </w:r>
      <w:r w:rsidRPr="00C8701B">
        <w:rPr>
          <w:lang w:eastAsia="fr-FR" w:bidi="he-IL"/>
        </w:rPr>
        <w:t xml:space="preserve"> Qu</w:t>
      </w:r>
      <w:r w:rsidR="00EA28F4">
        <w:rPr>
          <w:lang w:eastAsia="fr-FR" w:bidi="he-IL"/>
        </w:rPr>
        <w:t>’</w:t>
      </w:r>
      <w:r w:rsidRPr="00C8701B">
        <w:rPr>
          <w:lang w:eastAsia="fr-FR" w:bidi="he-IL"/>
        </w:rPr>
        <w:t>il te suffise de chercher et de ne pas trouver</w:t>
      </w:r>
      <w:r w:rsidR="00C2602D" w:rsidRPr="00C8701B">
        <w:rPr>
          <w:lang w:eastAsia="fr-FR" w:bidi="he-IL"/>
        </w:rPr>
        <w:t> </w:t>
      </w:r>
      <w:r w:rsidR="007F6508">
        <w:rPr>
          <w:lang w:eastAsia="fr-FR" w:bidi="he-IL"/>
        </w:rPr>
        <w:t xml:space="preserve">; </w:t>
      </w:r>
      <w:r w:rsidRPr="00C8701B">
        <w:rPr>
          <w:lang w:eastAsia="fr-FR" w:bidi="he-IL"/>
        </w:rPr>
        <w:t>tu as agi en insensé. Je suis à toi pour que tu ne me molestes nullement.</w:t>
      </w:r>
      <w:r w:rsidR="00C2602D" w:rsidRPr="00C8701B">
        <w:rPr>
          <w:lang w:eastAsia="fr-FR" w:bidi="he-IL"/>
        </w:rPr>
        <w:t xml:space="preserve"> </w:t>
      </w:r>
    </w:p>
    <w:p w:rsidR="00C2602D" w:rsidRPr="00C8701B" w:rsidRDefault="00B704AD" w:rsidP="002455A3">
      <w:pPr>
        <w:pStyle w:val="locus"/>
        <w:rPr>
          <w:lang w:eastAsia="fr-FR" w:bidi="he-IL"/>
        </w:rPr>
      </w:pPr>
      <w:r w:rsidRPr="00C8701B">
        <w:rPr>
          <w:lang w:eastAsia="fr-FR" w:bidi="he-IL"/>
        </w:rPr>
        <w:t>Chapitre IX.</w:t>
      </w:r>
      <w:r w:rsidR="000F7DAA">
        <w:rPr>
          <w:lang w:eastAsia="fr-FR" w:bidi="he-IL"/>
        </w:rPr>
        <w:t xml:space="preserve"> —</w:t>
      </w:r>
      <w:r w:rsidR="008D0642">
        <w:rPr>
          <w:lang w:eastAsia="fr-FR" w:bidi="he-IL"/>
        </w:rPr>
        <w:t xml:space="preserve"> </w:t>
      </w:r>
      <w:r w:rsidRPr="00C8701B">
        <w:rPr>
          <w:lang w:eastAsia="fr-FR" w:bidi="he-IL"/>
        </w:rPr>
        <w:t>Peu de jours après</w:t>
      </w:r>
      <w:r w:rsidR="00E65435">
        <w:rPr>
          <w:lang w:eastAsia="fr-FR" w:bidi="he-IL"/>
        </w:rPr>
        <w:t xml:space="preserve">, </w:t>
      </w:r>
      <w:r w:rsidRPr="00C8701B">
        <w:rPr>
          <w:lang w:eastAsia="fr-FR" w:bidi="he-IL"/>
        </w:rPr>
        <w:t>Jésus jouait sur une terrasse au sommet d</w:t>
      </w:r>
      <w:r w:rsidR="00557DE0">
        <w:rPr>
          <w:lang w:eastAsia="fr-FR" w:bidi="he-IL"/>
        </w:rPr>
        <w:t>’</w:t>
      </w:r>
      <w:r w:rsidRPr="00C8701B">
        <w:rPr>
          <w:lang w:eastAsia="fr-FR" w:bidi="he-IL"/>
        </w:rPr>
        <w:t>une maison</w:t>
      </w:r>
      <w:r w:rsidR="00E65435">
        <w:rPr>
          <w:lang w:eastAsia="fr-FR" w:bidi="he-IL"/>
        </w:rPr>
        <w:t xml:space="preserve">, </w:t>
      </w:r>
      <w:r w:rsidRPr="00C8701B">
        <w:rPr>
          <w:lang w:eastAsia="fr-FR" w:bidi="he-IL"/>
        </w:rPr>
        <w:t>et l</w:t>
      </w:r>
      <w:r w:rsidR="00557DE0">
        <w:rPr>
          <w:lang w:eastAsia="fr-FR" w:bidi="he-IL"/>
        </w:rPr>
        <w:t>’</w:t>
      </w:r>
      <w:r w:rsidRPr="00C8701B">
        <w:rPr>
          <w:lang w:eastAsia="fr-FR" w:bidi="he-IL"/>
        </w:rPr>
        <w:t>un des enfants qui jouaient avec lui tomba du toit et mourut. Les autres enfants voyant cela</w:t>
      </w:r>
      <w:r w:rsidR="00E65435">
        <w:rPr>
          <w:lang w:eastAsia="fr-FR" w:bidi="he-IL"/>
        </w:rPr>
        <w:t xml:space="preserve">, </w:t>
      </w:r>
      <w:r w:rsidRPr="00C8701B">
        <w:rPr>
          <w:lang w:eastAsia="fr-FR" w:bidi="he-IL"/>
        </w:rPr>
        <w:t>s</w:t>
      </w:r>
      <w:r w:rsidR="00557DE0">
        <w:rPr>
          <w:lang w:eastAsia="fr-FR" w:bidi="he-IL"/>
        </w:rPr>
        <w:t>’</w:t>
      </w:r>
      <w:r w:rsidRPr="00C8701B">
        <w:rPr>
          <w:lang w:eastAsia="fr-FR" w:bidi="he-IL"/>
        </w:rPr>
        <w:t>enfuirent</w:t>
      </w:r>
      <w:r w:rsidR="00E65435">
        <w:rPr>
          <w:lang w:eastAsia="fr-FR" w:bidi="he-IL"/>
        </w:rPr>
        <w:t xml:space="preserve">, </w:t>
      </w:r>
      <w:r w:rsidRPr="00C8701B">
        <w:rPr>
          <w:lang w:eastAsia="fr-FR" w:bidi="he-IL"/>
        </w:rPr>
        <w:t>et Jésus descendit seul. Et lorsque les parents de l</w:t>
      </w:r>
      <w:r w:rsidR="00557DE0">
        <w:rPr>
          <w:lang w:eastAsia="fr-FR" w:bidi="he-IL"/>
        </w:rPr>
        <w:t>’</w:t>
      </w:r>
      <w:r w:rsidRPr="00C8701B">
        <w:rPr>
          <w:lang w:eastAsia="fr-FR" w:bidi="he-IL"/>
        </w:rPr>
        <w:t>enfant qui était mort furent venus</w:t>
      </w:r>
      <w:r w:rsidR="00E65435">
        <w:rPr>
          <w:lang w:eastAsia="fr-FR" w:bidi="he-IL"/>
        </w:rPr>
        <w:t xml:space="preserve">, </w:t>
      </w:r>
      <w:r w:rsidRPr="00C8701B">
        <w:rPr>
          <w:lang w:eastAsia="fr-FR" w:bidi="he-IL"/>
        </w:rPr>
        <w:t>ils accusaient Jésus de l</w:t>
      </w:r>
      <w:r w:rsidR="00557DE0">
        <w:rPr>
          <w:lang w:eastAsia="fr-FR" w:bidi="he-IL"/>
        </w:rPr>
        <w:t>’</w:t>
      </w:r>
      <w:r w:rsidRPr="00C8701B">
        <w:rPr>
          <w:lang w:eastAsia="fr-FR" w:bidi="he-IL"/>
        </w:rPr>
        <w:t>avoir poussé du haut du toit</w:t>
      </w:r>
      <w:r w:rsidR="00E65435">
        <w:rPr>
          <w:lang w:eastAsia="fr-FR" w:bidi="he-IL"/>
        </w:rPr>
        <w:t xml:space="preserve">, </w:t>
      </w:r>
      <w:r w:rsidRPr="00C8701B">
        <w:rPr>
          <w:lang w:eastAsia="fr-FR" w:bidi="he-IL"/>
        </w:rPr>
        <w:t>et ils le chargeaient d</w:t>
      </w:r>
      <w:r w:rsidR="00557DE0">
        <w:rPr>
          <w:lang w:eastAsia="fr-FR" w:bidi="he-IL"/>
        </w:rPr>
        <w:t>’</w:t>
      </w:r>
      <w:r w:rsidRPr="00C8701B">
        <w:rPr>
          <w:lang w:eastAsia="fr-FR" w:bidi="he-IL"/>
        </w:rPr>
        <w:t>outrages. Et Jésus descendit du toit et il s</w:t>
      </w:r>
      <w:r w:rsidR="00557DE0">
        <w:rPr>
          <w:lang w:eastAsia="fr-FR" w:bidi="he-IL"/>
        </w:rPr>
        <w:t>’</w:t>
      </w:r>
      <w:r w:rsidRPr="00C8701B">
        <w:rPr>
          <w:lang w:eastAsia="fr-FR" w:bidi="he-IL"/>
        </w:rPr>
        <w:t>approcha du cadavre de l</w:t>
      </w:r>
      <w:r w:rsidR="00557DE0">
        <w:rPr>
          <w:lang w:eastAsia="fr-FR" w:bidi="he-IL"/>
        </w:rPr>
        <w:t>’</w:t>
      </w:r>
      <w:r w:rsidRPr="00C8701B">
        <w:rPr>
          <w:lang w:eastAsia="fr-FR" w:bidi="he-IL"/>
        </w:rPr>
        <w:t>enfant</w:t>
      </w:r>
      <w:r w:rsidR="00E65435">
        <w:rPr>
          <w:lang w:eastAsia="fr-FR" w:bidi="he-IL"/>
        </w:rPr>
        <w:t xml:space="preserve">, </w:t>
      </w:r>
      <w:r w:rsidRPr="00C8701B">
        <w:rPr>
          <w:lang w:eastAsia="fr-FR" w:bidi="he-IL"/>
        </w:rPr>
        <w:t>et il éleva la voix et dit</w:t>
      </w:r>
      <w:r w:rsidR="00C2602D" w:rsidRPr="00C8701B">
        <w:rPr>
          <w:lang w:eastAsia="fr-FR" w:bidi="he-IL"/>
        </w:rPr>
        <w:t> :</w:t>
      </w:r>
      <w:r w:rsidR="002455A3">
        <w:rPr>
          <w:lang w:eastAsia="fr-FR" w:bidi="he-IL"/>
        </w:rPr>
        <w:t xml:space="preserve"> Zéni</w:t>
      </w:r>
      <w:r w:rsidRPr="00C8701B">
        <w:rPr>
          <w:lang w:eastAsia="fr-FR" w:bidi="he-IL"/>
        </w:rPr>
        <w:t>n (c</w:t>
      </w:r>
      <w:r w:rsidR="00557DE0">
        <w:rPr>
          <w:lang w:eastAsia="fr-FR" w:bidi="he-IL"/>
        </w:rPr>
        <w:t>’</w:t>
      </w:r>
      <w:r w:rsidRPr="00C8701B">
        <w:rPr>
          <w:lang w:eastAsia="fr-FR" w:bidi="he-IL"/>
        </w:rPr>
        <w:t>était le nom de l</w:t>
      </w:r>
      <w:r w:rsidR="00557DE0">
        <w:rPr>
          <w:lang w:eastAsia="fr-FR" w:bidi="he-IL"/>
        </w:rPr>
        <w:t>’</w:t>
      </w:r>
      <w:r w:rsidR="002455A3">
        <w:rPr>
          <w:lang w:eastAsia="fr-FR" w:bidi="he-IL"/>
        </w:rPr>
        <w:t>enfant)</w:t>
      </w:r>
      <w:r w:rsidR="00E65435">
        <w:rPr>
          <w:lang w:eastAsia="fr-FR" w:bidi="he-IL"/>
        </w:rPr>
        <w:t xml:space="preserve">, </w:t>
      </w:r>
      <w:r w:rsidRPr="00C8701B">
        <w:rPr>
          <w:lang w:eastAsia="fr-FR" w:bidi="he-IL"/>
        </w:rPr>
        <w:t>lève-toi</w:t>
      </w:r>
      <w:r w:rsidR="00E65435">
        <w:rPr>
          <w:lang w:eastAsia="fr-FR" w:bidi="he-IL"/>
        </w:rPr>
        <w:t xml:space="preserve">, </w:t>
      </w:r>
      <w:r w:rsidRPr="00C8701B">
        <w:rPr>
          <w:lang w:eastAsia="fr-FR" w:bidi="he-IL"/>
        </w:rPr>
        <w:t>et dis-moi si c</w:t>
      </w:r>
      <w:r w:rsidR="00557DE0">
        <w:rPr>
          <w:lang w:eastAsia="fr-FR" w:bidi="he-IL"/>
        </w:rPr>
        <w:t>’</w:t>
      </w:r>
      <w:r w:rsidRPr="00C8701B">
        <w:rPr>
          <w:lang w:eastAsia="fr-FR" w:bidi="he-IL"/>
        </w:rPr>
        <w:t>est moi qui t</w:t>
      </w:r>
      <w:r w:rsidR="00557DE0">
        <w:rPr>
          <w:lang w:eastAsia="fr-FR" w:bidi="he-IL"/>
        </w:rPr>
        <w:t>’</w:t>
      </w:r>
      <w:r w:rsidR="002455A3">
        <w:rPr>
          <w:lang w:eastAsia="fr-FR" w:bidi="he-IL"/>
        </w:rPr>
        <w:t>ai fait tomber. Et l</w:t>
      </w:r>
      <w:r w:rsidR="00557DE0">
        <w:rPr>
          <w:lang w:eastAsia="fr-FR" w:bidi="he-IL"/>
        </w:rPr>
        <w:t>’</w:t>
      </w:r>
      <w:r w:rsidRPr="00C8701B">
        <w:rPr>
          <w:lang w:eastAsia="fr-FR" w:bidi="he-IL"/>
        </w:rPr>
        <w:t>enfant</w:t>
      </w:r>
      <w:r w:rsidR="00E65435">
        <w:rPr>
          <w:lang w:eastAsia="fr-FR" w:bidi="he-IL"/>
        </w:rPr>
        <w:t xml:space="preserve">, </w:t>
      </w:r>
      <w:r w:rsidRPr="00C8701B">
        <w:rPr>
          <w:lang w:eastAsia="fr-FR" w:bidi="he-IL"/>
        </w:rPr>
        <w:t>se levant aussitôt</w:t>
      </w:r>
      <w:r w:rsidR="00E65435">
        <w:rPr>
          <w:lang w:eastAsia="fr-FR" w:bidi="he-IL"/>
        </w:rPr>
        <w:t xml:space="preserve">, </w:t>
      </w:r>
      <w:r w:rsidRPr="00C8701B">
        <w:rPr>
          <w:lang w:eastAsia="fr-FR" w:bidi="he-IL"/>
        </w:rPr>
        <w:t>répondit</w:t>
      </w:r>
      <w:r w:rsidR="00C2602D" w:rsidRPr="00C8701B">
        <w:rPr>
          <w:lang w:eastAsia="fr-FR" w:bidi="he-IL"/>
        </w:rPr>
        <w:t> :</w:t>
      </w:r>
      <w:r w:rsidRPr="00C8701B">
        <w:rPr>
          <w:lang w:eastAsia="fr-FR" w:bidi="he-IL"/>
        </w:rPr>
        <w:t xml:space="preserve"> Non</w:t>
      </w:r>
      <w:r w:rsidR="00E65435">
        <w:rPr>
          <w:lang w:eastAsia="fr-FR" w:bidi="he-IL"/>
        </w:rPr>
        <w:t xml:space="preserve">, </w:t>
      </w:r>
      <w:r w:rsidRPr="00C8701B">
        <w:rPr>
          <w:lang w:eastAsia="fr-FR" w:bidi="he-IL"/>
        </w:rPr>
        <w:t>Seigneur</w:t>
      </w:r>
      <w:r w:rsidR="00E65435">
        <w:rPr>
          <w:lang w:eastAsia="fr-FR" w:bidi="he-IL"/>
        </w:rPr>
        <w:t xml:space="preserve">, </w:t>
      </w:r>
      <w:r w:rsidRPr="00C8701B">
        <w:rPr>
          <w:lang w:eastAsia="fr-FR" w:bidi="he-IL"/>
        </w:rPr>
        <w:t>tu n</w:t>
      </w:r>
      <w:r w:rsidR="00557DE0">
        <w:rPr>
          <w:lang w:eastAsia="fr-FR" w:bidi="he-IL"/>
        </w:rPr>
        <w:t>’</w:t>
      </w:r>
      <w:r w:rsidRPr="00C8701B">
        <w:rPr>
          <w:lang w:eastAsia="fr-FR" w:bidi="he-IL"/>
        </w:rPr>
        <w:t>as point causé ma chute</w:t>
      </w:r>
      <w:r w:rsidR="00E65435">
        <w:rPr>
          <w:lang w:eastAsia="fr-FR" w:bidi="he-IL"/>
        </w:rPr>
        <w:t xml:space="preserve">, </w:t>
      </w:r>
      <w:r w:rsidRPr="00C8701B">
        <w:rPr>
          <w:lang w:eastAsia="fr-FR" w:bidi="he-IL"/>
        </w:rPr>
        <w:t>et bien au contraire</w:t>
      </w:r>
      <w:r w:rsidR="00E65435">
        <w:rPr>
          <w:lang w:eastAsia="fr-FR" w:bidi="he-IL"/>
        </w:rPr>
        <w:t xml:space="preserve">, </w:t>
      </w:r>
      <w:r w:rsidRPr="00C8701B">
        <w:rPr>
          <w:lang w:eastAsia="fr-FR" w:bidi="he-IL"/>
        </w:rPr>
        <w:t>tu m</w:t>
      </w:r>
      <w:r w:rsidR="00557DE0">
        <w:rPr>
          <w:lang w:eastAsia="fr-FR" w:bidi="he-IL"/>
        </w:rPr>
        <w:t>’</w:t>
      </w:r>
      <w:r w:rsidRPr="00C8701B">
        <w:rPr>
          <w:lang w:eastAsia="fr-FR" w:bidi="he-IL"/>
        </w:rPr>
        <w:t>as ressuscité...</w:t>
      </w:r>
      <w:r w:rsidR="00C2602D" w:rsidRPr="00C8701B">
        <w:rPr>
          <w:lang w:eastAsia="fr-FR" w:bidi="he-IL"/>
        </w:rPr>
        <w:t xml:space="preserve"> </w:t>
      </w:r>
    </w:p>
    <w:p w:rsidR="00C2602D" w:rsidRPr="00C8701B" w:rsidRDefault="00B704AD" w:rsidP="002455A3">
      <w:pPr>
        <w:pStyle w:val="locus"/>
        <w:rPr>
          <w:lang w:eastAsia="fr-FR" w:bidi="he-IL"/>
        </w:rPr>
      </w:pPr>
      <w:r w:rsidRPr="00C8701B">
        <w:rPr>
          <w:lang w:eastAsia="fr-FR" w:bidi="he-IL"/>
        </w:rPr>
        <w:t>Chapitre XI.</w:t>
      </w:r>
      <w:r w:rsidR="000F7DAA">
        <w:rPr>
          <w:lang w:eastAsia="fr-FR" w:bidi="he-IL"/>
        </w:rPr>
        <w:t xml:space="preserve"> —</w:t>
      </w:r>
      <w:r w:rsidR="008D0642">
        <w:rPr>
          <w:lang w:eastAsia="fr-FR" w:bidi="he-IL"/>
        </w:rPr>
        <w:t xml:space="preserve"> </w:t>
      </w:r>
      <w:r w:rsidRPr="00C8701B">
        <w:rPr>
          <w:lang w:eastAsia="fr-FR" w:bidi="he-IL"/>
        </w:rPr>
        <w:t>Lorsqu</w:t>
      </w:r>
      <w:r w:rsidR="00557DE0">
        <w:rPr>
          <w:lang w:eastAsia="fr-FR" w:bidi="he-IL"/>
        </w:rPr>
        <w:t>’</w:t>
      </w:r>
      <w:r w:rsidRPr="00C8701B">
        <w:rPr>
          <w:lang w:eastAsia="fr-FR" w:bidi="he-IL"/>
        </w:rPr>
        <w:t>il eut l</w:t>
      </w:r>
      <w:r w:rsidR="00557DE0">
        <w:rPr>
          <w:lang w:eastAsia="fr-FR" w:bidi="he-IL"/>
        </w:rPr>
        <w:t>’</w:t>
      </w:r>
      <w:r w:rsidRPr="00C8701B">
        <w:rPr>
          <w:lang w:eastAsia="fr-FR" w:bidi="he-IL"/>
        </w:rPr>
        <w:t>âge de dix ans</w:t>
      </w:r>
      <w:r w:rsidR="00E65435">
        <w:rPr>
          <w:lang w:eastAsia="fr-FR" w:bidi="he-IL"/>
        </w:rPr>
        <w:t xml:space="preserve">, </w:t>
      </w:r>
      <w:r w:rsidRPr="00C8701B">
        <w:rPr>
          <w:lang w:eastAsia="fr-FR" w:bidi="he-IL"/>
        </w:rPr>
        <w:t>sa mère</w:t>
      </w:r>
      <w:r w:rsidR="00E65435">
        <w:rPr>
          <w:lang w:eastAsia="fr-FR" w:bidi="he-IL"/>
        </w:rPr>
        <w:t xml:space="preserve">, </w:t>
      </w:r>
      <w:r w:rsidRPr="00C8701B">
        <w:rPr>
          <w:lang w:eastAsia="fr-FR" w:bidi="he-IL"/>
        </w:rPr>
        <w:t>lui donnant une cruche</w:t>
      </w:r>
      <w:r w:rsidR="00E65435">
        <w:rPr>
          <w:lang w:eastAsia="fr-FR" w:bidi="he-IL"/>
        </w:rPr>
        <w:t xml:space="preserve">, </w:t>
      </w:r>
      <w:r w:rsidRPr="00C8701B">
        <w:rPr>
          <w:lang w:eastAsia="fr-FR" w:bidi="he-IL"/>
        </w:rPr>
        <w:t>l</w:t>
      </w:r>
      <w:r w:rsidR="00557DE0">
        <w:rPr>
          <w:lang w:eastAsia="fr-FR" w:bidi="he-IL"/>
        </w:rPr>
        <w:t>’</w:t>
      </w:r>
      <w:r w:rsidRPr="00C8701B">
        <w:rPr>
          <w:lang w:eastAsia="fr-FR" w:bidi="he-IL"/>
        </w:rPr>
        <w:t>envoya puiser de l</w:t>
      </w:r>
      <w:r w:rsidR="00557DE0">
        <w:rPr>
          <w:lang w:eastAsia="fr-FR" w:bidi="he-IL"/>
        </w:rPr>
        <w:t>’</w:t>
      </w:r>
      <w:r w:rsidRPr="00C8701B">
        <w:rPr>
          <w:lang w:eastAsia="fr-FR" w:bidi="he-IL"/>
        </w:rPr>
        <w:t>eau pour la rapporter à la maison</w:t>
      </w:r>
      <w:r w:rsidR="00E65435">
        <w:rPr>
          <w:lang w:eastAsia="fr-FR" w:bidi="he-IL"/>
        </w:rPr>
        <w:t xml:space="preserve">, </w:t>
      </w:r>
      <w:r w:rsidRPr="00C8701B">
        <w:rPr>
          <w:lang w:eastAsia="fr-FR" w:bidi="he-IL"/>
        </w:rPr>
        <w:t>et dans la foule</w:t>
      </w:r>
      <w:r w:rsidR="00E65435">
        <w:rPr>
          <w:lang w:eastAsia="fr-FR" w:bidi="he-IL"/>
        </w:rPr>
        <w:t xml:space="preserve">, </w:t>
      </w:r>
      <w:r w:rsidRPr="00C8701B">
        <w:rPr>
          <w:lang w:eastAsia="fr-FR" w:bidi="he-IL"/>
        </w:rPr>
        <w:t>la cruche</w:t>
      </w:r>
      <w:r w:rsidR="00E65435">
        <w:rPr>
          <w:lang w:eastAsia="fr-FR" w:bidi="he-IL"/>
        </w:rPr>
        <w:t xml:space="preserve">, </w:t>
      </w:r>
      <w:r w:rsidRPr="00C8701B">
        <w:rPr>
          <w:lang w:eastAsia="fr-FR" w:bidi="he-IL"/>
        </w:rPr>
        <w:t>s</w:t>
      </w:r>
      <w:r w:rsidR="00557DE0">
        <w:rPr>
          <w:lang w:eastAsia="fr-FR" w:bidi="he-IL"/>
        </w:rPr>
        <w:t>’</w:t>
      </w:r>
      <w:r w:rsidRPr="00C8701B">
        <w:rPr>
          <w:lang w:eastAsia="fr-FR" w:bidi="he-IL"/>
        </w:rPr>
        <w:t>étant choquée contre une autre</w:t>
      </w:r>
      <w:r w:rsidR="00E65435">
        <w:rPr>
          <w:lang w:eastAsia="fr-FR" w:bidi="he-IL"/>
        </w:rPr>
        <w:t xml:space="preserve">, </w:t>
      </w:r>
      <w:r w:rsidRPr="00C8701B">
        <w:rPr>
          <w:lang w:eastAsia="fr-FR" w:bidi="he-IL"/>
        </w:rPr>
        <w:t>se brisa. Et Jésus étendit le manteau dont il était revêtu</w:t>
      </w:r>
      <w:r w:rsidR="00E65435">
        <w:rPr>
          <w:lang w:eastAsia="fr-FR" w:bidi="he-IL"/>
        </w:rPr>
        <w:t xml:space="preserve">, </w:t>
      </w:r>
      <w:r w:rsidRPr="00C8701B">
        <w:rPr>
          <w:lang w:eastAsia="fr-FR" w:bidi="he-IL"/>
        </w:rPr>
        <w:t>le remplit d</w:t>
      </w:r>
      <w:r w:rsidR="00557DE0">
        <w:rPr>
          <w:lang w:eastAsia="fr-FR" w:bidi="he-IL"/>
        </w:rPr>
        <w:t>’</w:t>
      </w:r>
      <w:r w:rsidRPr="00C8701B">
        <w:rPr>
          <w:lang w:eastAsia="fr-FR" w:bidi="he-IL"/>
        </w:rPr>
        <w:t>eau et le porta à sa mère. Et sa mère</w:t>
      </w:r>
      <w:r w:rsidR="00E65435">
        <w:rPr>
          <w:lang w:eastAsia="fr-FR" w:bidi="he-IL"/>
        </w:rPr>
        <w:t xml:space="preserve">, </w:t>
      </w:r>
      <w:r w:rsidRPr="00C8701B">
        <w:rPr>
          <w:lang w:eastAsia="fr-FR" w:bidi="he-IL"/>
        </w:rPr>
        <w:t>voyant le miracle qu</w:t>
      </w:r>
      <w:r w:rsidR="00557DE0">
        <w:rPr>
          <w:lang w:eastAsia="fr-FR" w:bidi="he-IL"/>
        </w:rPr>
        <w:t>’</w:t>
      </w:r>
      <w:r w:rsidRPr="00C8701B">
        <w:rPr>
          <w:lang w:eastAsia="fr-FR" w:bidi="he-IL"/>
        </w:rPr>
        <w:t>il venait de faire</w:t>
      </w:r>
      <w:r w:rsidR="00E65435">
        <w:rPr>
          <w:lang w:eastAsia="fr-FR" w:bidi="he-IL"/>
        </w:rPr>
        <w:t xml:space="preserve">, </w:t>
      </w:r>
      <w:r w:rsidRPr="00C8701B">
        <w:rPr>
          <w:lang w:eastAsia="fr-FR" w:bidi="he-IL"/>
        </w:rPr>
        <w:t>l</w:t>
      </w:r>
      <w:r w:rsidR="00557DE0">
        <w:rPr>
          <w:lang w:eastAsia="fr-FR" w:bidi="he-IL"/>
        </w:rPr>
        <w:t>’</w:t>
      </w:r>
      <w:r w:rsidRPr="00C8701B">
        <w:rPr>
          <w:lang w:eastAsia="fr-FR" w:bidi="he-IL"/>
        </w:rPr>
        <w:t>embrassa</w:t>
      </w:r>
      <w:r w:rsidR="00E65435">
        <w:rPr>
          <w:lang w:eastAsia="fr-FR" w:bidi="he-IL"/>
        </w:rPr>
        <w:t xml:space="preserve">, </w:t>
      </w:r>
      <w:r w:rsidRPr="00C8701B">
        <w:rPr>
          <w:lang w:eastAsia="fr-FR" w:bidi="he-IL"/>
        </w:rPr>
        <w:t>et elle conservait dans son cœur le souvenir des merveilles qu</w:t>
      </w:r>
      <w:r w:rsidR="00557DE0">
        <w:rPr>
          <w:lang w:eastAsia="fr-FR" w:bidi="he-IL"/>
        </w:rPr>
        <w:t>’</w:t>
      </w:r>
      <w:r w:rsidRPr="00C8701B">
        <w:rPr>
          <w:lang w:eastAsia="fr-FR" w:bidi="he-IL"/>
        </w:rPr>
        <w:t>elle le voyait accomplir.</w:t>
      </w:r>
      <w:r w:rsidR="00C2602D" w:rsidRPr="00C8701B">
        <w:rPr>
          <w:lang w:eastAsia="fr-FR" w:bidi="he-IL"/>
        </w:rPr>
        <w:t xml:space="preserve"> </w:t>
      </w:r>
    </w:p>
    <w:p w:rsidR="00C2602D" w:rsidRPr="00C8701B" w:rsidRDefault="00B704AD" w:rsidP="002455A3">
      <w:pPr>
        <w:pStyle w:val="locus"/>
        <w:rPr>
          <w:lang w:eastAsia="fr-FR" w:bidi="he-IL"/>
        </w:rPr>
      </w:pPr>
      <w:r w:rsidRPr="00C8701B">
        <w:rPr>
          <w:lang w:eastAsia="fr-FR" w:bidi="he-IL"/>
        </w:rPr>
        <w:t>Chapitre XIV.</w:t>
      </w:r>
      <w:r w:rsidR="000F7DAA">
        <w:rPr>
          <w:lang w:eastAsia="fr-FR" w:bidi="he-IL"/>
        </w:rPr>
        <w:t xml:space="preserve"> —</w:t>
      </w:r>
      <w:r w:rsidR="008D0642">
        <w:rPr>
          <w:lang w:eastAsia="fr-FR" w:bidi="he-IL"/>
        </w:rPr>
        <w:t xml:space="preserve"> </w:t>
      </w:r>
      <w:r w:rsidRPr="00C8701B">
        <w:rPr>
          <w:lang w:eastAsia="fr-FR" w:bidi="he-IL"/>
        </w:rPr>
        <w:t>Joseph</w:t>
      </w:r>
      <w:r w:rsidR="00E65435">
        <w:rPr>
          <w:lang w:eastAsia="fr-FR" w:bidi="he-IL"/>
        </w:rPr>
        <w:t xml:space="preserve">, </w:t>
      </w:r>
      <w:r w:rsidRPr="00C8701B">
        <w:rPr>
          <w:lang w:eastAsia="fr-FR" w:bidi="he-IL"/>
        </w:rPr>
        <w:t>voyant que l</w:t>
      </w:r>
      <w:r w:rsidR="00557DE0">
        <w:rPr>
          <w:lang w:eastAsia="fr-FR" w:bidi="he-IL"/>
        </w:rPr>
        <w:t>’</w:t>
      </w:r>
      <w:r w:rsidRPr="00C8701B">
        <w:rPr>
          <w:lang w:eastAsia="fr-FR" w:bidi="he-IL"/>
        </w:rPr>
        <w:t>enfant croissait en âge</w:t>
      </w:r>
      <w:r w:rsidR="00E65435">
        <w:rPr>
          <w:lang w:eastAsia="fr-FR" w:bidi="he-IL"/>
        </w:rPr>
        <w:t xml:space="preserve">, </w:t>
      </w:r>
      <w:r w:rsidRPr="00C8701B">
        <w:rPr>
          <w:lang w:eastAsia="fr-FR" w:bidi="he-IL"/>
        </w:rPr>
        <w:t>voulut qu</w:t>
      </w:r>
      <w:r w:rsidR="00557DE0">
        <w:rPr>
          <w:lang w:eastAsia="fr-FR" w:bidi="he-IL"/>
        </w:rPr>
        <w:t>’</w:t>
      </w:r>
      <w:r w:rsidRPr="00C8701B">
        <w:rPr>
          <w:lang w:eastAsia="fr-FR" w:bidi="he-IL"/>
        </w:rPr>
        <w:t>il apprît les lettres</w:t>
      </w:r>
      <w:r w:rsidR="00E65435">
        <w:rPr>
          <w:lang w:eastAsia="fr-FR" w:bidi="he-IL"/>
        </w:rPr>
        <w:t xml:space="preserve">, </w:t>
      </w:r>
      <w:r w:rsidRPr="00C8701B">
        <w:rPr>
          <w:lang w:eastAsia="fr-FR" w:bidi="he-IL"/>
        </w:rPr>
        <w:t>et il le conduisit à un autre maître</w:t>
      </w:r>
      <w:r w:rsidR="00933C60" w:rsidRPr="00C406FF">
        <w:rPr>
          <w:rStyle w:val="Appelnotedebasdep"/>
        </w:rPr>
        <w:footnoteReference w:id="595"/>
      </w:r>
      <w:r w:rsidRPr="00C8701B">
        <w:rPr>
          <w:lang w:eastAsia="fr-FR" w:bidi="he-IL"/>
        </w:rPr>
        <w:t>. Et ce maître dit à Joseph</w:t>
      </w:r>
      <w:r w:rsidR="00C2602D" w:rsidRPr="00C8701B">
        <w:rPr>
          <w:lang w:eastAsia="fr-FR" w:bidi="he-IL"/>
        </w:rPr>
        <w:t> :</w:t>
      </w:r>
      <w:r w:rsidRPr="00C8701B">
        <w:rPr>
          <w:lang w:eastAsia="fr-FR" w:bidi="he-IL"/>
        </w:rPr>
        <w:t xml:space="preserve"> Je lui enseignerai d</w:t>
      </w:r>
      <w:r w:rsidR="00557DE0">
        <w:rPr>
          <w:lang w:eastAsia="fr-FR" w:bidi="he-IL"/>
        </w:rPr>
        <w:t>’</w:t>
      </w:r>
      <w:r w:rsidRPr="00C8701B">
        <w:rPr>
          <w:lang w:eastAsia="fr-FR" w:bidi="he-IL"/>
        </w:rPr>
        <w:t>abord les lettres grecques</w:t>
      </w:r>
      <w:r w:rsidR="00E65435">
        <w:rPr>
          <w:lang w:eastAsia="fr-FR" w:bidi="he-IL"/>
        </w:rPr>
        <w:t xml:space="preserve">, </w:t>
      </w:r>
      <w:r w:rsidRPr="00C8701B">
        <w:rPr>
          <w:lang w:eastAsia="fr-FR" w:bidi="he-IL"/>
        </w:rPr>
        <w:t>et ensuite les lettres hébraïque</w:t>
      </w:r>
      <w:r w:rsidR="002455A3">
        <w:rPr>
          <w:lang w:eastAsia="fr-FR" w:bidi="he-IL"/>
        </w:rPr>
        <w:t>s. Le maître connaissait toute l</w:t>
      </w:r>
      <w:r w:rsidR="00557DE0">
        <w:rPr>
          <w:lang w:eastAsia="fr-FR" w:bidi="he-IL"/>
        </w:rPr>
        <w:t>’</w:t>
      </w:r>
      <w:r w:rsidR="002455A3">
        <w:rPr>
          <w:lang w:eastAsia="fr-FR" w:bidi="he-IL"/>
        </w:rPr>
        <w:t>habileté de l</w:t>
      </w:r>
      <w:r w:rsidR="00557DE0">
        <w:rPr>
          <w:lang w:eastAsia="fr-FR" w:bidi="he-IL"/>
        </w:rPr>
        <w:t>’</w:t>
      </w:r>
      <w:r w:rsidRPr="00C8701B">
        <w:rPr>
          <w:lang w:eastAsia="fr-FR" w:bidi="he-IL"/>
        </w:rPr>
        <w:t>enfant</w:t>
      </w:r>
      <w:r w:rsidR="00E65435">
        <w:rPr>
          <w:lang w:eastAsia="fr-FR" w:bidi="he-IL"/>
        </w:rPr>
        <w:t xml:space="preserve">, </w:t>
      </w:r>
      <w:r w:rsidRPr="00C8701B">
        <w:rPr>
          <w:lang w:eastAsia="fr-FR" w:bidi="he-IL"/>
        </w:rPr>
        <w:t>et il le redoutait. Il écrivit cependant l</w:t>
      </w:r>
      <w:r w:rsidR="00557DE0">
        <w:rPr>
          <w:lang w:eastAsia="fr-FR" w:bidi="he-IL"/>
        </w:rPr>
        <w:t>’</w:t>
      </w:r>
      <w:r w:rsidRPr="00C8701B">
        <w:rPr>
          <w:lang w:eastAsia="fr-FR" w:bidi="he-IL"/>
        </w:rPr>
        <w:t>alphabet</w:t>
      </w:r>
      <w:r w:rsidR="00E65435">
        <w:rPr>
          <w:lang w:eastAsia="fr-FR" w:bidi="he-IL"/>
        </w:rPr>
        <w:t xml:space="preserve">, </w:t>
      </w:r>
      <w:r w:rsidRPr="00C8701B">
        <w:rPr>
          <w:lang w:eastAsia="fr-FR" w:bidi="he-IL"/>
        </w:rPr>
        <w:t>et quand il voulut interroger Jésus</w:t>
      </w:r>
      <w:r w:rsidR="00E65435">
        <w:rPr>
          <w:lang w:eastAsia="fr-FR" w:bidi="he-IL"/>
        </w:rPr>
        <w:t xml:space="preserve">, </w:t>
      </w:r>
      <w:r w:rsidRPr="00C8701B">
        <w:rPr>
          <w:lang w:eastAsia="fr-FR" w:bidi="he-IL"/>
        </w:rPr>
        <w:t>Jésus lui dît</w:t>
      </w:r>
      <w:r w:rsidR="00C2602D" w:rsidRPr="00C8701B">
        <w:rPr>
          <w:lang w:eastAsia="fr-FR" w:bidi="he-IL"/>
        </w:rPr>
        <w:t> :</w:t>
      </w:r>
      <w:r w:rsidRPr="00C8701B">
        <w:rPr>
          <w:lang w:eastAsia="fr-FR" w:bidi="he-IL"/>
        </w:rPr>
        <w:t xml:space="preserve"> Si tu es vraiment un maître</w:t>
      </w:r>
      <w:r w:rsidR="00E65435">
        <w:rPr>
          <w:lang w:eastAsia="fr-FR" w:bidi="he-IL"/>
        </w:rPr>
        <w:t xml:space="preserve">, </w:t>
      </w:r>
      <w:r w:rsidRPr="00C8701B">
        <w:rPr>
          <w:lang w:eastAsia="fr-FR" w:bidi="he-IL"/>
        </w:rPr>
        <w:t>et si tu as la connaissance exacte des lettres</w:t>
      </w:r>
      <w:r w:rsidR="00E65435">
        <w:rPr>
          <w:lang w:eastAsia="fr-FR" w:bidi="he-IL"/>
        </w:rPr>
        <w:t xml:space="preserve">, </w:t>
      </w:r>
      <w:r w:rsidRPr="00C8701B">
        <w:rPr>
          <w:lang w:eastAsia="fr-FR" w:bidi="he-IL"/>
        </w:rPr>
        <w:t>dis-moi quelle est la force de la lettre</w:t>
      </w:r>
      <w:r w:rsidRPr="00DC4586">
        <w:rPr>
          <w:rStyle w:val="italicus"/>
        </w:rPr>
        <w:t xml:space="preserve"> alpha</w:t>
      </w:r>
      <w:r w:rsidR="00933C60" w:rsidRPr="00C406FF">
        <w:rPr>
          <w:rStyle w:val="Appelnotedebasdep"/>
        </w:rPr>
        <w:footnoteReference w:id="596"/>
      </w:r>
      <w:r w:rsidR="00E65435">
        <w:rPr>
          <w:lang w:eastAsia="fr-FR" w:bidi="he-IL"/>
        </w:rPr>
        <w:t xml:space="preserve">, </w:t>
      </w:r>
      <w:r w:rsidRPr="00C8701B">
        <w:rPr>
          <w:lang w:eastAsia="fr-FR" w:bidi="he-IL"/>
        </w:rPr>
        <w:t>et je te dirai qu</w:t>
      </w:r>
      <w:r w:rsidR="00557DE0">
        <w:rPr>
          <w:lang w:eastAsia="fr-FR" w:bidi="he-IL"/>
        </w:rPr>
        <w:t>’</w:t>
      </w:r>
      <w:r w:rsidRPr="00C8701B">
        <w:rPr>
          <w:lang w:eastAsia="fr-FR" w:bidi="he-IL"/>
        </w:rPr>
        <w:t>elle est la force de la lettre</w:t>
      </w:r>
      <w:r w:rsidRPr="00DC4586">
        <w:rPr>
          <w:rStyle w:val="italicus"/>
        </w:rPr>
        <w:t xml:space="preserve"> bêta</w:t>
      </w:r>
      <w:r w:rsidR="00933C60" w:rsidRPr="00C406FF">
        <w:rPr>
          <w:rStyle w:val="Appelnotedebasdep"/>
        </w:rPr>
        <w:footnoteReference w:id="597"/>
      </w:r>
      <w:r w:rsidRPr="00C8701B">
        <w:rPr>
          <w:lang w:eastAsia="fr-FR" w:bidi="he-IL"/>
        </w:rPr>
        <w:t>. Le maître irrité le poussa</w:t>
      </w:r>
      <w:r w:rsidR="00E65435">
        <w:rPr>
          <w:lang w:eastAsia="fr-FR" w:bidi="he-IL"/>
        </w:rPr>
        <w:t xml:space="preserve">, </w:t>
      </w:r>
      <w:r w:rsidRPr="00C8701B">
        <w:rPr>
          <w:lang w:eastAsia="fr-FR" w:bidi="he-IL"/>
        </w:rPr>
        <w:t>et le frappa à la tête. L</w:t>
      </w:r>
      <w:r w:rsidR="00557DE0">
        <w:rPr>
          <w:lang w:eastAsia="fr-FR" w:bidi="he-IL"/>
        </w:rPr>
        <w:t>’</w:t>
      </w:r>
      <w:r w:rsidRPr="00C8701B">
        <w:rPr>
          <w:lang w:eastAsia="fr-FR" w:bidi="he-IL"/>
        </w:rPr>
        <w:t>enfant courroucé de ce traitement</w:t>
      </w:r>
      <w:r w:rsidR="00E65435">
        <w:rPr>
          <w:lang w:eastAsia="fr-FR" w:bidi="he-IL"/>
        </w:rPr>
        <w:t xml:space="preserve">, </w:t>
      </w:r>
      <w:r w:rsidRPr="00C8701B">
        <w:rPr>
          <w:lang w:eastAsia="fr-FR" w:bidi="he-IL"/>
        </w:rPr>
        <w:t>le maudit</w:t>
      </w:r>
      <w:r w:rsidR="00E65435">
        <w:rPr>
          <w:lang w:eastAsia="fr-FR" w:bidi="he-IL"/>
        </w:rPr>
        <w:t xml:space="preserve">, </w:t>
      </w:r>
      <w:r w:rsidRPr="00C8701B">
        <w:rPr>
          <w:lang w:eastAsia="fr-FR" w:bidi="he-IL"/>
        </w:rPr>
        <w:t>et aussitôt le maître tomba sans vie</w:t>
      </w:r>
      <w:r w:rsidR="002455A3">
        <w:rPr>
          <w:lang w:eastAsia="fr-FR" w:bidi="he-IL"/>
        </w:rPr>
        <w:t xml:space="preserve"> </w:t>
      </w:r>
      <w:r w:rsidRPr="00C8701B">
        <w:rPr>
          <w:lang w:eastAsia="fr-FR" w:bidi="he-IL"/>
        </w:rPr>
        <w:t>sur son visage. Et l</w:t>
      </w:r>
      <w:r w:rsidR="00557DE0">
        <w:rPr>
          <w:lang w:eastAsia="fr-FR" w:bidi="he-IL"/>
        </w:rPr>
        <w:t>’</w:t>
      </w:r>
      <w:r w:rsidRPr="00C8701B">
        <w:rPr>
          <w:lang w:eastAsia="fr-FR" w:bidi="he-IL"/>
        </w:rPr>
        <w:t>enfant revint au logis de Joseph. Joseph fut très affligé</w:t>
      </w:r>
      <w:r w:rsidR="00E65435">
        <w:rPr>
          <w:lang w:eastAsia="fr-FR" w:bidi="he-IL"/>
        </w:rPr>
        <w:t xml:space="preserve">, </w:t>
      </w:r>
      <w:r w:rsidRPr="00C8701B">
        <w:rPr>
          <w:lang w:eastAsia="fr-FR" w:bidi="he-IL"/>
        </w:rPr>
        <w:t>et il dit à la mère de Jésus</w:t>
      </w:r>
      <w:r w:rsidR="00C2602D" w:rsidRPr="00C8701B">
        <w:rPr>
          <w:lang w:eastAsia="fr-FR" w:bidi="he-IL"/>
        </w:rPr>
        <w:t> :</w:t>
      </w:r>
      <w:r w:rsidRPr="00C8701B">
        <w:rPr>
          <w:lang w:eastAsia="fr-FR" w:bidi="he-IL"/>
        </w:rPr>
        <w:t xml:space="preserve"> Ne le laisse pas franchir la porte de la maison</w:t>
      </w:r>
      <w:r w:rsidR="00E65435">
        <w:rPr>
          <w:lang w:eastAsia="fr-FR" w:bidi="he-IL"/>
        </w:rPr>
        <w:t xml:space="preserve">, </w:t>
      </w:r>
      <w:r w:rsidRPr="00C8701B">
        <w:rPr>
          <w:lang w:eastAsia="fr-FR" w:bidi="he-IL"/>
        </w:rPr>
        <w:t>car tous ceux qui provoquent son courroux sont frappés de mort</w:t>
      </w:r>
      <w:r w:rsidR="00C2602D" w:rsidRPr="00C8701B">
        <w:rPr>
          <w:lang w:eastAsia="fr-FR" w:bidi="he-IL"/>
        </w:rPr>
        <w:t> »</w:t>
      </w:r>
      <w:r w:rsidRPr="00C8701B">
        <w:rPr>
          <w:lang w:eastAsia="fr-FR" w:bidi="he-IL"/>
        </w:rPr>
        <w:t>.</w:t>
      </w:r>
      <w:r w:rsidR="00C2602D" w:rsidRPr="00C8701B">
        <w:rPr>
          <w:lang w:eastAsia="fr-FR" w:bidi="he-IL"/>
        </w:rPr>
        <w:t xml:space="preserve"> </w:t>
      </w:r>
    </w:p>
    <w:p w:rsidR="00C2602D" w:rsidRDefault="002455A3" w:rsidP="002455A3">
      <w:pPr>
        <w:rPr>
          <w:rFonts w:eastAsia="Arial Unicode MS"/>
          <w:bCs/>
          <w:lang w:eastAsia="fr-FR" w:bidi="he-IL"/>
        </w:rPr>
      </w:pPr>
      <w:r>
        <w:t>γ.</w:t>
      </w:r>
      <w:r w:rsidR="000F7DAA">
        <w:rPr>
          <w:rStyle w:val="italicus"/>
        </w:rPr>
        <w:t xml:space="preserve"> —</w:t>
      </w:r>
      <w:r w:rsidR="008D0642">
        <w:rPr>
          <w:rStyle w:val="italicus"/>
        </w:rPr>
        <w:t xml:space="preserve"> </w:t>
      </w:r>
      <w:r w:rsidR="00B704AD" w:rsidRPr="00DC4586">
        <w:rPr>
          <w:rStyle w:val="italicus"/>
        </w:rPr>
        <w:t>L</w:t>
      </w:r>
      <w:r w:rsidR="00557DE0">
        <w:rPr>
          <w:rStyle w:val="italicus"/>
        </w:rPr>
        <w:t>’</w:t>
      </w:r>
      <w:r w:rsidR="00B704AD" w:rsidRPr="00DC4586">
        <w:rPr>
          <w:rStyle w:val="italicus"/>
        </w:rPr>
        <w:t>histoire de Joseph le Charpentier</w:t>
      </w:r>
      <w:r w:rsidR="00933C60" w:rsidRPr="00C406FF">
        <w:rPr>
          <w:rStyle w:val="Appelnotedebasdep"/>
        </w:rPr>
        <w:footnoteReference w:id="598"/>
      </w:r>
      <w:r w:rsidR="00E65435">
        <w:rPr>
          <w:rFonts w:eastAsia="Arial Unicode MS"/>
          <w:bCs/>
          <w:lang w:eastAsia="fr-FR" w:bidi="he-IL"/>
        </w:rPr>
        <w:t xml:space="preserve">, </w:t>
      </w:r>
      <w:r w:rsidR="00B704AD" w:rsidRPr="00C8701B">
        <w:rPr>
          <w:rFonts w:eastAsia="Arial Unicode MS"/>
          <w:bCs/>
          <w:lang w:eastAsia="fr-FR" w:bidi="he-IL"/>
        </w:rPr>
        <w:t>qui raconte assez longuement la vie et la mort de S. Joseph</w:t>
      </w:r>
      <w:r w:rsidR="00E65435">
        <w:rPr>
          <w:rFonts w:eastAsia="Arial Unicode MS"/>
          <w:bCs/>
          <w:lang w:eastAsia="fr-FR" w:bidi="he-IL"/>
        </w:rPr>
        <w:t xml:space="preserve">, </w:t>
      </w:r>
      <w:r w:rsidR="00B704AD" w:rsidRPr="00C8701B">
        <w:rPr>
          <w:rFonts w:eastAsia="Arial Unicode MS"/>
          <w:bCs/>
          <w:lang w:eastAsia="fr-FR" w:bidi="he-IL"/>
        </w:rPr>
        <w:t xml:space="preserve">date probablement du </w:t>
      </w:r>
      <w:r w:rsidR="0096281A">
        <w:rPr>
          <w:rFonts w:eastAsia="Arial Unicode MS"/>
          <w:bCs/>
          <w:lang w:eastAsia="fr-FR" w:bidi="he-IL"/>
        </w:rPr>
        <w:t>IV</w:t>
      </w:r>
      <w:r w:rsidR="00F56B84" w:rsidRPr="00F56B84">
        <w:rPr>
          <w:rFonts w:eastAsia="Arial Unicode MS"/>
          <w:bCs/>
          <w:vertAlign w:val="superscript"/>
          <w:lang w:eastAsia="fr-FR" w:bidi="he-IL"/>
        </w:rPr>
        <w:t>e</w:t>
      </w:r>
      <w:r w:rsidR="00B704AD" w:rsidRPr="00C8701B">
        <w:rPr>
          <w:rFonts w:eastAsia="Arial Unicode MS"/>
          <w:bCs/>
          <w:lang w:eastAsia="fr-FR" w:bidi="he-IL"/>
        </w:rPr>
        <w:t xml:space="preserve"> siècle.</w:t>
      </w:r>
      <w:r w:rsidR="00C2602D" w:rsidRPr="00C8701B">
        <w:rPr>
          <w:rFonts w:eastAsia="Arial Unicode MS"/>
          <w:bCs/>
          <w:lang w:eastAsia="fr-FR" w:bidi="he-IL"/>
        </w:rPr>
        <w:t xml:space="preserve"> </w:t>
      </w:r>
      <w:r w:rsidR="00366671">
        <w:rPr>
          <w:rFonts w:eastAsia="Arial Unicode MS"/>
          <w:bCs/>
          <w:lang w:eastAsia="fr-FR" w:bidi="he-IL"/>
        </w:rPr>
        <w:t>{114</w:t>
      </w:r>
      <w:bookmarkStart w:id="174" w:name="pag114"/>
      <w:bookmarkEnd w:id="174"/>
      <w:r w:rsidR="00366671">
        <w:rPr>
          <w:rFonts w:eastAsia="Arial Unicode MS"/>
          <w:bCs/>
          <w:lang w:eastAsia="fr-FR" w:bidi="he-IL"/>
        </w:rPr>
        <w:t>}</w:t>
      </w:r>
      <w:r>
        <w:rPr>
          <w:rFonts w:eastAsia="Arial Unicode MS"/>
          <w:bCs/>
          <w:lang w:eastAsia="fr-FR" w:bidi="he-IL"/>
        </w:rPr>
        <w:t xml:space="preserve"> </w:t>
      </w:r>
      <w:r w:rsidR="00B704AD" w:rsidRPr="00C8701B">
        <w:rPr>
          <w:rFonts w:eastAsia="Arial Unicode MS"/>
          <w:bCs/>
          <w:lang w:eastAsia="fr-FR" w:bidi="he-IL"/>
        </w:rPr>
        <w:t>Nous la possédons en arabe et en copte. C</w:t>
      </w:r>
      <w:r w:rsidR="00557DE0">
        <w:rPr>
          <w:rFonts w:eastAsia="Arial Unicode MS"/>
          <w:bCs/>
          <w:lang w:eastAsia="fr-FR" w:bidi="he-IL"/>
        </w:rPr>
        <w:t>’</w:t>
      </w:r>
      <w:r w:rsidR="00B704AD" w:rsidRPr="00C8701B">
        <w:rPr>
          <w:rFonts w:eastAsia="Arial Unicode MS"/>
          <w:bCs/>
          <w:lang w:eastAsia="fr-FR" w:bidi="he-IL"/>
        </w:rPr>
        <w:t>est en arabe</w:t>
      </w:r>
      <w:r w:rsidR="00E65435">
        <w:rPr>
          <w:rFonts w:eastAsia="Arial Unicode MS"/>
          <w:bCs/>
          <w:lang w:eastAsia="fr-FR" w:bidi="he-IL"/>
        </w:rPr>
        <w:t xml:space="preserve">, </w:t>
      </w:r>
      <w:r w:rsidR="00B704AD" w:rsidRPr="00C8701B">
        <w:rPr>
          <w:rFonts w:eastAsia="Arial Unicode MS"/>
          <w:bCs/>
          <w:lang w:eastAsia="fr-FR" w:bidi="he-IL"/>
        </w:rPr>
        <w:t>qu</w:t>
      </w:r>
      <w:r w:rsidR="00557DE0">
        <w:rPr>
          <w:rFonts w:eastAsia="Arial Unicode MS"/>
          <w:bCs/>
          <w:lang w:eastAsia="fr-FR" w:bidi="he-IL"/>
        </w:rPr>
        <w:t>’</w:t>
      </w:r>
      <w:r w:rsidR="00B704AD" w:rsidRPr="00C8701B">
        <w:rPr>
          <w:rFonts w:eastAsia="Arial Unicode MS"/>
          <w:bCs/>
          <w:lang w:eastAsia="fr-FR" w:bidi="he-IL"/>
        </w:rPr>
        <w:t>elle fut publiée pour la première fois</w:t>
      </w:r>
      <w:r w:rsidR="00E65435">
        <w:rPr>
          <w:rFonts w:eastAsia="Arial Unicode MS"/>
          <w:bCs/>
          <w:lang w:eastAsia="fr-FR" w:bidi="he-IL"/>
        </w:rPr>
        <w:t xml:space="preserve">, </w:t>
      </w:r>
      <w:r w:rsidR="00B704AD" w:rsidRPr="00C8701B">
        <w:rPr>
          <w:rFonts w:eastAsia="Arial Unicode MS"/>
          <w:bCs/>
          <w:lang w:eastAsia="fr-FR" w:bidi="he-IL"/>
        </w:rPr>
        <w:t>avec une traduction latine</w:t>
      </w:r>
      <w:r w:rsidR="00E65435">
        <w:rPr>
          <w:rFonts w:eastAsia="Arial Unicode MS"/>
          <w:bCs/>
          <w:lang w:eastAsia="fr-FR" w:bidi="he-IL"/>
        </w:rPr>
        <w:t xml:space="preserve">, </w:t>
      </w:r>
      <w:r w:rsidR="00B704AD" w:rsidRPr="00C8701B">
        <w:rPr>
          <w:rFonts w:eastAsia="Arial Unicode MS"/>
          <w:bCs/>
          <w:lang w:eastAsia="fr-FR" w:bidi="he-IL"/>
        </w:rPr>
        <w:t>l</w:t>
      </w:r>
      <w:r w:rsidR="00557DE0">
        <w:rPr>
          <w:rFonts w:eastAsia="Arial Unicode MS"/>
          <w:bCs/>
          <w:lang w:eastAsia="fr-FR" w:bidi="he-IL"/>
        </w:rPr>
        <w:t>’</w:t>
      </w:r>
      <w:r w:rsidR="00B704AD" w:rsidRPr="00C8701B">
        <w:rPr>
          <w:rFonts w:eastAsia="Arial Unicode MS"/>
          <w:bCs/>
          <w:lang w:eastAsia="fr-FR" w:bidi="he-IL"/>
        </w:rPr>
        <w:t>an 1722</w:t>
      </w:r>
      <w:r w:rsidR="00E65435">
        <w:rPr>
          <w:rFonts w:eastAsia="Arial Unicode MS"/>
          <w:bCs/>
          <w:lang w:eastAsia="fr-FR" w:bidi="he-IL"/>
        </w:rPr>
        <w:t xml:space="preserve">, </w:t>
      </w:r>
      <w:r w:rsidR="00B704AD" w:rsidRPr="00C8701B">
        <w:rPr>
          <w:rFonts w:eastAsia="Arial Unicode MS"/>
          <w:bCs/>
          <w:lang w:eastAsia="fr-FR" w:bidi="he-IL"/>
        </w:rPr>
        <w:t>d</w:t>
      </w:r>
      <w:r w:rsidR="00557DE0">
        <w:rPr>
          <w:rFonts w:eastAsia="Arial Unicode MS"/>
          <w:bCs/>
          <w:lang w:eastAsia="fr-FR" w:bidi="he-IL"/>
        </w:rPr>
        <w:t>’</w:t>
      </w:r>
      <w:r w:rsidR="00B704AD" w:rsidRPr="00C8701B">
        <w:rPr>
          <w:rFonts w:eastAsia="Arial Unicode MS"/>
          <w:bCs/>
          <w:lang w:eastAsia="fr-FR" w:bidi="he-IL"/>
        </w:rPr>
        <w:t xml:space="preserve">après un manuscrit du </w:t>
      </w:r>
      <w:r>
        <w:rPr>
          <w:rFonts w:eastAsia="Arial Unicode MS"/>
          <w:bCs/>
          <w:lang w:eastAsia="fr-FR" w:bidi="he-IL"/>
        </w:rPr>
        <w:t>XIII</w:t>
      </w:r>
      <w:r w:rsidR="00B704AD" w:rsidRPr="00C8701B">
        <w:rPr>
          <w:rFonts w:eastAsia="Arial Unicode MS"/>
          <w:bCs/>
          <w:vertAlign w:val="superscript"/>
          <w:lang w:eastAsia="fr-FR" w:bidi="he-IL"/>
        </w:rPr>
        <w:t>e</w:t>
      </w:r>
      <w:r w:rsidR="00B704AD" w:rsidRPr="00C8701B">
        <w:rPr>
          <w:rFonts w:eastAsia="Arial Unicode MS"/>
          <w:bCs/>
          <w:lang w:eastAsia="fr-FR" w:bidi="he-IL"/>
        </w:rPr>
        <w:t xml:space="preserve"> siècle</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mais le copte paraît avoir été la langue originale de ce curieux récit</w:t>
      </w:r>
      <w:r w:rsidR="00E65435">
        <w:rPr>
          <w:rFonts w:eastAsia="Arial Unicode MS"/>
          <w:bCs/>
          <w:lang w:eastAsia="fr-FR" w:bidi="he-IL"/>
        </w:rPr>
        <w:t xml:space="preserve">, </w:t>
      </w:r>
      <w:r w:rsidR="00B704AD" w:rsidRPr="00C8701B">
        <w:rPr>
          <w:rFonts w:eastAsia="Arial Unicode MS"/>
          <w:bCs/>
          <w:lang w:eastAsia="fr-FR" w:bidi="he-IL"/>
        </w:rPr>
        <w:t xml:space="preserve">qui est placé sur les lèvres de Jésus lui-même. Les coptes schismatiques </w:t>
      </w:r>
      <w:r w:rsidR="00B704AD" w:rsidRPr="002455A3">
        <w:t>estiment beaucoup l</w:t>
      </w:r>
      <w:r w:rsidR="00557DE0">
        <w:t>’</w:t>
      </w:r>
      <w:r w:rsidR="00C31E3A">
        <w:rPr>
          <w:rStyle w:val="italicus"/>
        </w:rPr>
        <w:t>História</w:t>
      </w:r>
      <w:r w:rsidR="00B704AD" w:rsidRPr="00DC4586">
        <w:rPr>
          <w:rStyle w:val="italicus"/>
        </w:rPr>
        <w:t xml:space="preserve"> </w:t>
      </w:r>
      <w:r w:rsidRPr="00DC4586">
        <w:rPr>
          <w:rStyle w:val="italicus"/>
        </w:rPr>
        <w:t>Joséphi</w:t>
      </w:r>
      <w:r w:rsidR="00B704AD" w:rsidRPr="00DC4586">
        <w:rPr>
          <w:rStyle w:val="italicus"/>
        </w:rPr>
        <w:t xml:space="preserve"> fabri lig</w:t>
      </w:r>
      <w:r>
        <w:rPr>
          <w:rStyle w:val="italicus"/>
        </w:rPr>
        <w:t>ná</w:t>
      </w:r>
      <w:r w:rsidR="00B704AD" w:rsidRPr="00DC4586">
        <w:rPr>
          <w:rStyle w:val="italicus"/>
        </w:rPr>
        <w:t>rii</w:t>
      </w:r>
      <w:r w:rsidR="00E65435">
        <w:rPr>
          <w:rStyle w:val="italicus"/>
        </w:rPr>
        <w:t xml:space="preserve">, </w:t>
      </w:r>
      <w:r w:rsidR="00B704AD" w:rsidRPr="00C8701B">
        <w:rPr>
          <w:rFonts w:eastAsia="Arial Unicode MS"/>
          <w:bCs/>
          <w:lang w:eastAsia="fr-FR" w:bidi="he-IL"/>
        </w:rPr>
        <w:t>dont ils font solennellement la lecture le jour de la fête du saint patriarche. Elle se compose de deux parties</w:t>
      </w:r>
      <w:r w:rsidR="00E65435">
        <w:rPr>
          <w:rFonts w:eastAsia="Arial Unicode MS"/>
          <w:bCs/>
          <w:lang w:eastAsia="fr-FR" w:bidi="he-IL"/>
        </w:rPr>
        <w:t xml:space="preserve">, </w:t>
      </w:r>
      <w:r>
        <w:rPr>
          <w:rFonts w:eastAsia="Arial Unicode MS"/>
          <w:bCs/>
          <w:lang w:eastAsia="fr-FR" w:bidi="he-IL"/>
        </w:rPr>
        <w:t>dont la première est très simpl</w:t>
      </w:r>
      <w:r w:rsidR="00B704AD" w:rsidRPr="00C8701B">
        <w:rPr>
          <w:rFonts w:eastAsia="Arial Unicode MS"/>
          <w:bCs/>
          <w:lang w:eastAsia="fr-FR" w:bidi="he-IL"/>
        </w:rPr>
        <w:t>e et très naïve</w:t>
      </w:r>
      <w:r w:rsidR="00E65435">
        <w:rPr>
          <w:rFonts w:eastAsia="Arial Unicode MS"/>
          <w:bCs/>
          <w:lang w:eastAsia="fr-FR" w:bidi="he-IL"/>
        </w:rPr>
        <w:t xml:space="preserve">, </w:t>
      </w:r>
      <w:r w:rsidR="00B704AD" w:rsidRPr="00C8701B">
        <w:rPr>
          <w:rFonts w:eastAsia="Arial Unicode MS"/>
          <w:bCs/>
          <w:lang w:eastAsia="fr-FR" w:bidi="he-IL"/>
        </w:rPr>
        <w:t>tandis que la seconde</w:t>
      </w:r>
      <w:r w:rsidR="00E65435">
        <w:rPr>
          <w:rFonts w:eastAsia="Arial Unicode MS"/>
          <w:bCs/>
          <w:lang w:eastAsia="fr-FR" w:bidi="he-IL"/>
        </w:rPr>
        <w:t xml:space="preserve">, </w:t>
      </w:r>
      <w:r w:rsidR="00B704AD" w:rsidRPr="00C8701B">
        <w:rPr>
          <w:rFonts w:eastAsia="Arial Unicode MS"/>
          <w:bCs/>
          <w:lang w:eastAsia="fr-FR" w:bidi="he-IL"/>
        </w:rPr>
        <w:t>chargée de dogme et de morale</w:t>
      </w:r>
      <w:r w:rsidR="00E65435">
        <w:rPr>
          <w:rFonts w:eastAsia="Arial Unicode MS"/>
          <w:bCs/>
          <w:lang w:eastAsia="fr-FR" w:bidi="he-IL"/>
        </w:rPr>
        <w:t xml:space="preserve">, </w:t>
      </w:r>
      <w:r w:rsidR="00B704AD" w:rsidRPr="00C8701B">
        <w:rPr>
          <w:rFonts w:eastAsia="Arial Unicode MS"/>
          <w:bCs/>
          <w:lang w:eastAsia="fr-FR" w:bidi="he-IL"/>
        </w:rPr>
        <w:t>est lourde</w:t>
      </w:r>
      <w:r w:rsidR="00E65435">
        <w:rPr>
          <w:rFonts w:eastAsia="Arial Unicode MS"/>
          <w:bCs/>
          <w:lang w:eastAsia="fr-FR" w:bidi="he-IL"/>
        </w:rPr>
        <w:t xml:space="preserve">, </w:t>
      </w:r>
      <w:r w:rsidR="00B704AD" w:rsidRPr="00C8701B">
        <w:rPr>
          <w:rFonts w:eastAsia="Arial Unicode MS"/>
          <w:bCs/>
          <w:lang w:eastAsia="fr-FR" w:bidi="he-IL"/>
        </w:rPr>
        <w:t>pauvre et fastidieuse.</w:t>
      </w:r>
      <w:r w:rsidR="00C2602D" w:rsidRPr="00C8701B">
        <w:rPr>
          <w:rFonts w:eastAsia="Arial Unicode MS"/>
          <w:bCs/>
          <w:lang w:eastAsia="fr-FR" w:bidi="he-IL"/>
        </w:rPr>
        <w:t xml:space="preserve"> </w:t>
      </w:r>
    </w:p>
    <w:p w:rsidR="00C2602D" w:rsidRPr="00C8701B" w:rsidRDefault="00B704AD" w:rsidP="002F260B">
      <w:pPr>
        <w:pStyle w:val="locus"/>
        <w:rPr>
          <w:lang w:eastAsia="fr-FR" w:bidi="he-IL"/>
        </w:rPr>
      </w:pPr>
      <w:r w:rsidRPr="00C8701B">
        <w:rPr>
          <w:lang w:eastAsia="fr-FR" w:bidi="he-IL"/>
        </w:rPr>
        <w:t>Chapitre I.</w:t>
      </w:r>
      <w:r w:rsidR="000F7DAA">
        <w:rPr>
          <w:lang w:eastAsia="fr-FR" w:bidi="he-IL"/>
        </w:rPr>
        <w:t xml:space="preserve"> —</w:t>
      </w:r>
      <w:r w:rsidR="008D0642">
        <w:rPr>
          <w:lang w:eastAsia="fr-FR" w:bidi="he-IL"/>
        </w:rPr>
        <w:t xml:space="preserve"> </w:t>
      </w:r>
      <w:r w:rsidRPr="00C8701B">
        <w:rPr>
          <w:lang w:eastAsia="fr-FR" w:bidi="he-IL"/>
        </w:rPr>
        <w:t>Il arriva</w:t>
      </w:r>
      <w:r w:rsidR="00E65435">
        <w:rPr>
          <w:lang w:eastAsia="fr-FR" w:bidi="he-IL"/>
        </w:rPr>
        <w:t xml:space="preserve">, </w:t>
      </w:r>
      <w:r w:rsidRPr="00C8701B">
        <w:rPr>
          <w:lang w:eastAsia="fr-FR" w:bidi="he-IL"/>
        </w:rPr>
        <w:t>un jour que le Sauveur</w:t>
      </w:r>
      <w:r w:rsidR="00E65435">
        <w:rPr>
          <w:lang w:eastAsia="fr-FR" w:bidi="he-IL"/>
        </w:rPr>
        <w:t xml:space="preserve">, </w:t>
      </w:r>
      <w:r w:rsidRPr="00C8701B">
        <w:rPr>
          <w:lang w:eastAsia="fr-FR" w:bidi="he-IL"/>
        </w:rPr>
        <w:t>notre Dieu</w:t>
      </w:r>
      <w:r w:rsidR="00E65435">
        <w:rPr>
          <w:lang w:eastAsia="fr-FR" w:bidi="he-IL"/>
        </w:rPr>
        <w:t xml:space="preserve">, </w:t>
      </w:r>
      <w:r w:rsidRPr="00C8701B">
        <w:rPr>
          <w:lang w:eastAsia="fr-FR" w:bidi="he-IL"/>
        </w:rPr>
        <w:t>Seigneur et maître</w:t>
      </w:r>
      <w:r w:rsidR="00E65435">
        <w:rPr>
          <w:lang w:eastAsia="fr-FR" w:bidi="he-IL"/>
        </w:rPr>
        <w:t xml:space="preserve">, </w:t>
      </w:r>
      <w:r w:rsidRPr="00C8701B">
        <w:rPr>
          <w:lang w:eastAsia="fr-FR" w:bidi="he-IL"/>
        </w:rPr>
        <w:t>Jésus-Christ</w:t>
      </w:r>
      <w:r w:rsidR="00E65435">
        <w:rPr>
          <w:lang w:eastAsia="fr-FR" w:bidi="he-IL"/>
        </w:rPr>
        <w:t xml:space="preserve">, </w:t>
      </w:r>
      <w:r w:rsidR="002F260B">
        <w:rPr>
          <w:lang w:eastAsia="fr-FR" w:bidi="he-IL"/>
        </w:rPr>
        <w:t>éta</w:t>
      </w:r>
      <w:r w:rsidRPr="00C8701B">
        <w:rPr>
          <w:lang w:eastAsia="fr-FR" w:bidi="he-IL"/>
        </w:rPr>
        <w:t>it assis avec ses disciples sur le mont des Oliviers</w:t>
      </w:r>
      <w:r w:rsidR="00C2602D" w:rsidRPr="00C8701B">
        <w:rPr>
          <w:lang w:eastAsia="fr-FR" w:bidi="he-IL"/>
        </w:rPr>
        <w:t> </w:t>
      </w:r>
      <w:r w:rsidR="007F6508">
        <w:rPr>
          <w:lang w:eastAsia="fr-FR" w:bidi="he-IL"/>
        </w:rPr>
        <w:t xml:space="preserve">; </w:t>
      </w:r>
      <w:r w:rsidRPr="00C8701B">
        <w:rPr>
          <w:lang w:eastAsia="fr-FR" w:bidi="he-IL"/>
        </w:rPr>
        <w:t>et il leur dit</w:t>
      </w:r>
      <w:r w:rsidR="00C2602D" w:rsidRPr="00C8701B">
        <w:rPr>
          <w:lang w:eastAsia="fr-FR" w:bidi="he-IL"/>
        </w:rPr>
        <w:t> :</w:t>
      </w:r>
      <w:r w:rsidR="002F260B">
        <w:rPr>
          <w:lang w:eastAsia="fr-FR" w:bidi="he-IL"/>
        </w:rPr>
        <w:t xml:space="preserve"> Ô</w:t>
      </w:r>
      <w:r w:rsidRPr="00C8701B">
        <w:rPr>
          <w:lang w:eastAsia="fr-FR" w:bidi="he-IL"/>
        </w:rPr>
        <w:t xml:space="preserve"> mes frères et mes amis</w:t>
      </w:r>
      <w:r w:rsidR="00E65435">
        <w:rPr>
          <w:lang w:eastAsia="fr-FR" w:bidi="he-IL"/>
        </w:rPr>
        <w:t xml:space="preserve">, </w:t>
      </w:r>
      <w:r w:rsidRPr="00C8701B">
        <w:rPr>
          <w:lang w:eastAsia="fr-FR" w:bidi="he-IL"/>
        </w:rPr>
        <w:t>enfants du Père qui vous a choisis parmi tous les hommes</w:t>
      </w:r>
      <w:r w:rsidR="00E65435">
        <w:rPr>
          <w:lang w:eastAsia="fr-FR" w:bidi="he-IL"/>
        </w:rPr>
        <w:t xml:space="preserve">, </w:t>
      </w:r>
      <w:r w:rsidR="002F260B">
        <w:rPr>
          <w:lang w:eastAsia="fr-FR" w:bidi="he-IL"/>
        </w:rPr>
        <w:t>vous savez que je vous</w:t>
      </w:r>
      <w:r w:rsidRPr="00C8701B">
        <w:rPr>
          <w:lang w:eastAsia="fr-FR" w:bidi="he-IL"/>
        </w:rPr>
        <w:t xml:space="preserve"> ai souvent annoncé qu</w:t>
      </w:r>
      <w:r w:rsidR="00557DE0">
        <w:rPr>
          <w:lang w:eastAsia="fr-FR" w:bidi="he-IL"/>
        </w:rPr>
        <w:t>’</w:t>
      </w:r>
      <w:r w:rsidRPr="00C8701B">
        <w:rPr>
          <w:lang w:eastAsia="fr-FR" w:bidi="he-IL"/>
        </w:rPr>
        <w:t>il fallait</w:t>
      </w:r>
      <w:r w:rsidR="00E65435">
        <w:rPr>
          <w:lang w:eastAsia="fr-FR" w:bidi="he-IL"/>
        </w:rPr>
        <w:t xml:space="preserve">, </w:t>
      </w:r>
      <w:r w:rsidRPr="00C8701B">
        <w:rPr>
          <w:lang w:eastAsia="fr-FR" w:bidi="he-IL"/>
        </w:rPr>
        <w:t>que je fusse crucifié</w:t>
      </w:r>
      <w:r w:rsidR="00E65435">
        <w:rPr>
          <w:lang w:eastAsia="fr-FR" w:bidi="he-IL"/>
        </w:rPr>
        <w:t xml:space="preserve">, </w:t>
      </w:r>
      <w:r w:rsidRPr="00C8701B">
        <w:rPr>
          <w:lang w:eastAsia="fr-FR" w:bidi="he-IL"/>
        </w:rPr>
        <w:t>et que je mourusse à cause du salut d</w:t>
      </w:r>
      <w:r w:rsidR="00557DE0">
        <w:rPr>
          <w:lang w:eastAsia="fr-FR" w:bidi="he-IL"/>
        </w:rPr>
        <w:t>’</w:t>
      </w:r>
      <w:r w:rsidRPr="00C8701B">
        <w:rPr>
          <w:lang w:eastAsia="fr-FR" w:bidi="he-IL"/>
        </w:rPr>
        <w:t>Adam et de sa</w:t>
      </w:r>
      <w:r w:rsidR="002F260B">
        <w:rPr>
          <w:lang w:eastAsia="fr-FR" w:bidi="he-IL"/>
        </w:rPr>
        <w:t xml:space="preserve"> </w:t>
      </w:r>
      <w:r w:rsidRPr="00C8701B">
        <w:rPr>
          <w:lang w:eastAsia="fr-FR" w:bidi="he-IL"/>
        </w:rPr>
        <w:t>postérité... J</w:t>
      </w:r>
      <w:r w:rsidR="00557DE0">
        <w:rPr>
          <w:lang w:eastAsia="fr-FR" w:bidi="he-IL"/>
        </w:rPr>
        <w:t>’</w:t>
      </w:r>
      <w:r w:rsidRPr="00C8701B">
        <w:rPr>
          <w:lang w:eastAsia="fr-FR" w:bidi="he-IL"/>
        </w:rPr>
        <w:t>ai à</w:t>
      </w:r>
      <w:r w:rsidR="002F260B">
        <w:rPr>
          <w:lang w:eastAsia="fr-FR" w:bidi="he-IL"/>
        </w:rPr>
        <w:t xml:space="preserve"> </w:t>
      </w:r>
      <w:r w:rsidRPr="00C8701B">
        <w:rPr>
          <w:lang w:eastAsia="fr-FR" w:bidi="he-IL"/>
        </w:rPr>
        <w:t xml:space="preserve">vous confier la doctrine du saint </w:t>
      </w:r>
      <w:r w:rsidR="000439E9">
        <w:rPr>
          <w:lang w:eastAsia="fr-FR" w:bidi="he-IL"/>
        </w:rPr>
        <w:t>Évangile</w:t>
      </w:r>
      <w:r w:rsidR="00E65435">
        <w:rPr>
          <w:lang w:eastAsia="fr-FR" w:bidi="he-IL"/>
        </w:rPr>
        <w:t xml:space="preserve">, </w:t>
      </w:r>
      <w:r w:rsidRPr="00C8701B">
        <w:rPr>
          <w:lang w:eastAsia="fr-FR" w:bidi="he-IL"/>
        </w:rPr>
        <w:t>qui vous a déjà été annoncée afin que vous la pr</w:t>
      </w:r>
      <w:r w:rsidR="002F260B">
        <w:rPr>
          <w:lang w:eastAsia="fr-FR" w:bidi="he-IL"/>
        </w:rPr>
        <w:t>êchiez dans le monde entier... V</w:t>
      </w:r>
      <w:r w:rsidRPr="00C8701B">
        <w:rPr>
          <w:lang w:eastAsia="fr-FR" w:bidi="he-IL"/>
        </w:rPr>
        <w:t>ous annoncerez à toutes les nations la pénitence</w:t>
      </w:r>
      <w:r w:rsidR="00E65435">
        <w:rPr>
          <w:lang w:eastAsia="fr-FR" w:bidi="he-IL"/>
        </w:rPr>
        <w:t xml:space="preserve">, </w:t>
      </w:r>
      <w:r w:rsidRPr="00C8701B">
        <w:rPr>
          <w:lang w:eastAsia="fr-FR" w:bidi="he-IL"/>
        </w:rPr>
        <w:t>et la rémission des péchés...</w:t>
      </w:r>
      <w:r w:rsidR="00C2602D" w:rsidRPr="00C8701B">
        <w:rPr>
          <w:lang w:eastAsia="fr-FR" w:bidi="he-IL"/>
        </w:rPr>
        <w:t xml:space="preserve"> </w:t>
      </w:r>
    </w:p>
    <w:p w:rsidR="00C2602D" w:rsidRPr="00C8701B" w:rsidRDefault="002F260B" w:rsidP="002F260B">
      <w:pPr>
        <w:pStyle w:val="locus"/>
        <w:rPr>
          <w:lang w:eastAsia="fr-FR" w:bidi="he-IL"/>
        </w:rPr>
      </w:pPr>
      <w:r>
        <w:rPr>
          <w:lang w:eastAsia="fr-FR" w:bidi="he-IL"/>
        </w:rPr>
        <w:t>Chapitre II</w:t>
      </w:r>
      <w:r w:rsidR="00B704AD" w:rsidRPr="00C8701B">
        <w:rPr>
          <w:lang w:eastAsia="fr-FR" w:bidi="he-IL"/>
        </w:rPr>
        <w:t>.</w:t>
      </w:r>
      <w:r w:rsidR="000F7DAA">
        <w:rPr>
          <w:lang w:eastAsia="fr-FR" w:bidi="he-IL"/>
        </w:rPr>
        <w:t xml:space="preserve"> —</w:t>
      </w:r>
      <w:r w:rsidR="008D0642">
        <w:rPr>
          <w:lang w:eastAsia="fr-FR" w:bidi="he-IL"/>
        </w:rPr>
        <w:t xml:space="preserve"> </w:t>
      </w:r>
      <w:r>
        <w:rPr>
          <w:lang w:eastAsia="fr-FR" w:bidi="he-IL"/>
        </w:rPr>
        <w:t>I</w:t>
      </w:r>
      <w:r w:rsidR="00B704AD" w:rsidRPr="00C8701B">
        <w:rPr>
          <w:lang w:eastAsia="fr-FR" w:bidi="he-IL"/>
        </w:rPr>
        <w:t>l fut un homme dont le nom était Joseph</w:t>
      </w:r>
      <w:r w:rsidR="00E65435">
        <w:rPr>
          <w:lang w:eastAsia="fr-FR" w:bidi="he-IL"/>
        </w:rPr>
        <w:t xml:space="preserve">, </w:t>
      </w:r>
      <w:r w:rsidR="00B704AD" w:rsidRPr="00C8701B">
        <w:rPr>
          <w:lang w:eastAsia="fr-FR" w:bidi="he-IL"/>
        </w:rPr>
        <w:t>qui était originaire de Bethléem... Il était instruit et savant dans la doctrine de la loi</w:t>
      </w:r>
      <w:r w:rsidR="00E65435">
        <w:rPr>
          <w:lang w:eastAsia="fr-FR" w:bidi="he-IL"/>
        </w:rPr>
        <w:t xml:space="preserve">, </w:t>
      </w:r>
      <w:r>
        <w:rPr>
          <w:lang w:eastAsia="fr-FR" w:bidi="he-IL"/>
        </w:rPr>
        <w:t>et il fut fait prê</w:t>
      </w:r>
      <w:r w:rsidR="00B704AD" w:rsidRPr="00C8701B">
        <w:rPr>
          <w:lang w:eastAsia="fr-FR" w:bidi="he-IL"/>
        </w:rPr>
        <w:t>tre dans le</w:t>
      </w:r>
      <w:r>
        <w:rPr>
          <w:lang w:eastAsia="fr-FR" w:bidi="he-IL"/>
        </w:rPr>
        <w:t xml:space="preserve"> </w:t>
      </w:r>
      <w:r w:rsidR="00B704AD" w:rsidRPr="00C8701B">
        <w:rPr>
          <w:lang w:eastAsia="fr-FR" w:bidi="he-IL"/>
        </w:rPr>
        <w:t>temple du Seigneur. Il exerça aussi la profession de charpentier en bois</w:t>
      </w:r>
      <w:r w:rsidR="00E65435">
        <w:rPr>
          <w:lang w:eastAsia="fr-FR" w:bidi="he-IL"/>
        </w:rPr>
        <w:t xml:space="preserve">, </w:t>
      </w:r>
      <w:r w:rsidR="00B704AD" w:rsidRPr="00C8701B">
        <w:rPr>
          <w:lang w:eastAsia="fr-FR" w:bidi="he-IL"/>
        </w:rPr>
        <w:t>et</w:t>
      </w:r>
      <w:r w:rsidR="00E65435">
        <w:rPr>
          <w:lang w:eastAsia="fr-FR" w:bidi="he-IL"/>
        </w:rPr>
        <w:t xml:space="preserve">, </w:t>
      </w:r>
      <w:r w:rsidR="00B704AD" w:rsidRPr="00C8701B">
        <w:rPr>
          <w:lang w:eastAsia="fr-FR" w:bidi="he-IL"/>
        </w:rPr>
        <w:t>selon l</w:t>
      </w:r>
      <w:r w:rsidR="00557DE0">
        <w:rPr>
          <w:lang w:eastAsia="fr-FR" w:bidi="he-IL"/>
        </w:rPr>
        <w:t>’</w:t>
      </w:r>
      <w:r w:rsidR="00B704AD" w:rsidRPr="00C8701B">
        <w:rPr>
          <w:lang w:eastAsia="fr-FR" w:bidi="he-IL"/>
        </w:rPr>
        <w:t>usage de tous les hommes</w:t>
      </w:r>
      <w:r w:rsidR="00E65435">
        <w:rPr>
          <w:lang w:eastAsia="fr-FR" w:bidi="he-IL"/>
        </w:rPr>
        <w:t xml:space="preserve">, </w:t>
      </w:r>
      <w:r w:rsidR="00B704AD" w:rsidRPr="00C8701B">
        <w:rPr>
          <w:lang w:eastAsia="fr-FR" w:bidi="he-IL"/>
        </w:rPr>
        <w:t>il prit une épouse. Et il engendra d</w:t>
      </w:r>
      <w:r w:rsidR="00557DE0">
        <w:rPr>
          <w:lang w:eastAsia="fr-FR" w:bidi="he-IL"/>
        </w:rPr>
        <w:t>’</w:t>
      </w:r>
      <w:r w:rsidR="00B704AD" w:rsidRPr="00C8701B">
        <w:rPr>
          <w:lang w:eastAsia="fr-FR" w:bidi="he-IL"/>
        </w:rPr>
        <w:t>elle des fils et des filles</w:t>
      </w:r>
      <w:r w:rsidR="00C2602D" w:rsidRPr="00C8701B">
        <w:rPr>
          <w:lang w:eastAsia="fr-FR" w:bidi="he-IL"/>
        </w:rPr>
        <w:t> </w:t>
      </w:r>
      <w:r w:rsidR="007F6508">
        <w:rPr>
          <w:lang w:eastAsia="fr-FR" w:bidi="he-IL"/>
        </w:rPr>
        <w:t xml:space="preserve">; </w:t>
      </w:r>
      <w:r w:rsidR="00B704AD" w:rsidRPr="00C8701B">
        <w:rPr>
          <w:lang w:eastAsia="fr-FR" w:bidi="he-IL"/>
        </w:rPr>
        <w:t>savoir</w:t>
      </w:r>
      <w:r w:rsidR="00E65435">
        <w:rPr>
          <w:lang w:eastAsia="fr-FR" w:bidi="he-IL"/>
        </w:rPr>
        <w:t xml:space="preserve">, </w:t>
      </w:r>
      <w:r w:rsidR="00B704AD" w:rsidRPr="00C8701B">
        <w:rPr>
          <w:lang w:eastAsia="fr-FR" w:bidi="he-IL"/>
        </w:rPr>
        <w:t xml:space="preserve">quatre fils </w:t>
      </w:r>
      <w:r>
        <w:rPr>
          <w:lang w:eastAsia="fr-FR" w:bidi="he-IL"/>
        </w:rPr>
        <w:t xml:space="preserve">et deux filles. Et les noms des </w:t>
      </w:r>
      <w:r w:rsidR="00B704AD" w:rsidRPr="00C8701B">
        <w:rPr>
          <w:lang w:eastAsia="fr-FR" w:bidi="he-IL"/>
        </w:rPr>
        <w:t>fils sont Jude</w:t>
      </w:r>
      <w:r w:rsidR="00E65435">
        <w:rPr>
          <w:lang w:eastAsia="fr-FR" w:bidi="he-IL"/>
        </w:rPr>
        <w:t xml:space="preserve">, </w:t>
      </w:r>
      <w:r w:rsidR="00B704AD" w:rsidRPr="00C8701B">
        <w:rPr>
          <w:lang w:eastAsia="fr-FR" w:bidi="he-IL"/>
        </w:rPr>
        <w:t>Juste</w:t>
      </w:r>
      <w:r w:rsidR="00E65435">
        <w:rPr>
          <w:lang w:eastAsia="fr-FR" w:bidi="he-IL"/>
        </w:rPr>
        <w:t xml:space="preserve">, </w:t>
      </w:r>
      <w:r w:rsidR="00B704AD" w:rsidRPr="00C8701B">
        <w:rPr>
          <w:lang w:eastAsia="fr-FR" w:bidi="he-IL"/>
        </w:rPr>
        <w:t>Jacques et Simon. Les noms des deux filles étaient Assia et Lydia. La femme de Joseph le Juste mourut enfin</w:t>
      </w:r>
      <w:r w:rsidR="00E65435">
        <w:rPr>
          <w:lang w:eastAsia="fr-FR" w:bidi="he-IL"/>
        </w:rPr>
        <w:t xml:space="preserve">, </w:t>
      </w:r>
      <w:r w:rsidR="00B704AD" w:rsidRPr="00C8701B">
        <w:rPr>
          <w:lang w:eastAsia="fr-FR" w:bidi="he-IL"/>
        </w:rPr>
        <w:t>après avoir eu la gloire de Dieu pour but dans chacune de ses actions. Et Joseph</w:t>
      </w:r>
      <w:r w:rsidR="00E65435">
        <w:rPr>
          <w:lang w:eastAsia="fr-FR" w:bidi="he-IL"/>
        </w:rPr>
        <w:t xml:space="preserve">, </w:t>
      </w:r>
      <w:r w:rsidR="00B704AD" w:rsidRPr="00C8701B">
        <w:rPr>
          <w:lang w:eastAsia="fr-FR" w:bidi="he-IL"/>
        </w:rPr>
        <w:t>cet homme juste...</w:t>
      </w:r>
      <w:r w:rsidR="00E65435">
        <w:rPr>
          <w:lang w:eastAsia="fr-FR" w:bidi="he-IL"/>
        </w:rPr>
        <w:t xml:space="preserve">, </w:t>
      </w:r>
      <w:r w:rsidR="00B704AD" w:rsidRPr="00C8701B">
        <w:rPr>
          <w:lang w:eastAsia="fr-FR" w:bidi="he-IL"/>
        </w:rPr>
        <w:t>le fiancé de Marie ma mère</w:t>
      </w:r>
      <w:r w:rsidR="00E65435">
        <w:rPr>
          <w:lang w:eastAsia="fr-FR" w:bidi="he-IL"/>
        </w:rPr>
        <w:t xml:space="preserve">, </w:t>
      </w:r>
      <w:r w:rsidR="00B704AD" w:rsidRPr="00C8701B">
        <w:rPr>
          <w:lang w:eastAsia="fr-FR" w:bidi="he-IL"/>
        </w:rPr>
        <w:t>travaillait avec ses fils</w:t>
      </w:r>
      <w:r w:rsidR="00E65435">
        <w:rPr>
          <w:lang w:eastAsia="fr-FR" w:bidi="he-IL"/>
        </w:rPr>
        <w:t xml:space="preserve">, </w:t>
      </w:r>
      <w:r w:rsidR="00B704AD" w:rsidRPr="00C8701B">
        <w:rPr>
          <w:lang w:eastAsia="fr-FR" w:bidi="he-IL"/>
        </w:rPr>
        <w:t>s</w:t>
      </w:r>
      <w:r w:rsidR="00557DE0">
        <w:rPr>
          <w:lang w:eastAsia="fr-FR" w:bidi="he-IL"/>
        </w:rPr>
        <w:t>’</w:t>
      </w:r>
      <w:r w:rsidR="00B704AD" w:rsidRPr="00C8701B">
        <w:rPr>
          <w:lang w:eastAsia="fr-FR" w:bidi="he-IL"/>
        </w:rPr>
        <w:t>occupan</w:t>
      </w:r>
      <w:r w:rsidR="001B4203">
        <w:rPr>
          <w:lang w:eastAsia="fr-FR" w:bidi="he-IL"/>
        </w:rPr>
        <w:t xml:space="preserve">t de son métier de </w:t>
      </w:r>
      <w:r w:rsidR="00EA28F4">
        <w:rPr>
          <w:lang w:eastAsia="fr-FR" w:bidi="he-IL"/>
        </w:rPr>
        <w:t>charpentier</w:t>
      </w:r>
      <w:r w:rsidR="001B4203">
        <w:rPr>
          <w:lang w:eastAsia="fr-FR" w:bidi="he-IL"/>
        </w:rPr>
        <w:t>.</w:t>
      </w:r>
    </w:p>
    <w:p w:rsidR="00C2602D" w:rsidRPr="00C8701B" w:rsidRDefault="00B704AD" w:rsidP="002F260B">
      <w:pPr>
        <w:pStyle w:val="locus"/>
        <w:rPr>
          <w:lang w:eastAsia="fr-FR" w:bidi="he-IL"/>
        </w:rPr>
      </w:pPr>
      <w:r w:rsidRPr="00C8701B">
        <w:rPr>
          <w:lang w:eastAsia="fr-FR" w:bidi="he-IL"/>
        </w:rPr>
        <w:t xml:space="preserve">Chapitre </w:t>
      </w:r>
      <w:r w:rsidR="001157C4">
        <w:rPr>
          <w:lang w:eastAsia="fr-FR" w:bidi="he-IL"/>
        </w:rPr>
        <w:t>X</w:t>
      </w:r>
      <w:r w:rsidRPr="00C8701B">
        <w:rPr>
          <w:lang w:eastAsia="fr-FR" w:bidi="he-IL"/>
        </w:rPr>
        <w:t>.</w:t>
      </w:r>
      <w:r w:rsidR="000F7DAA">
        <w:rPr>
          <w:lang w:eastAsia="fr-FR" w:bidi="he-IL"/>
        </w:rPr>
        <w:t xml:space="preserve"> —</w:t>
      </w:r>
      <w:r w:rsidR="008D0642">
        <w:rPr>
          <w:lang w:eastAsia="fr-FR" w:bidi="he-IL"/>
        </w:rPr>
        <w:t xml:space="preserve"> </w:t>
      </w:r>
      <w:r w:rsidRPr="00C8701B">
        <w:rPr>
          <w:lang w:eastAsia="fr-FR" w:bidi="he-IL"/>
        </w:rPr>
        <w:t>Les années s</w:t>
      </w:r>
      <w:r w:rsidR="00557DE0">
        <w:rPr>
          <w:lang w:eastAsia="fr-FR" w:bidi="he-IL"/>
        </w:rPr>
        <w:t>’</w:t>
      </w:r>
      <w:r w:rsidRPr="00C8701B">
        <w:rPr>
          <w:lang w:eastAsia="fr-FR" w:bidi="he-IL"/>
        </w:rPr>
        <w:t>écoulaient</w:t>
      </w:r>
      <w:r w:rsidR="00C2602D" w:rsidRPr="00C8701B">
        <w:rPr>
          <w:lang w:eastAsia="fr-FR" w:bidi="he-IL"/>
        </w:rPr>
        <w:t> </w:t>
      </w:r>
      <w:r w:rsidR="007F6508">
        <w:rPr>
          <w:lang w:eastAsia="fr-FR" w:bidi="he-IL"/>
        </w:rPr>
        <w:t xml:space="preserve">; </w:t>
      </w:r>
      <w:r w:rsidRPr="00C8701B">
        <w:rPr>
          <w:lang w:eastAsia="fr-FR" w:bidi="he-IL"/>
        </w:rPr>
        <w:t>le vieillard s</w:t>
      </w:r>
      <w:r w:rsidR="00557DE0">
        <w:rPr>
          <w:lang w:eastAsia="fr-FR" w:bidi="he-IL"/>
        </w:rPr>
        <w:t>’</w:t>
      </w:r>
      <w:r w:rsidRPr="00C8701B">
        <w:rPr>
          <w:lang w:eastAsia="fr-FR" w:bidi="he-IL"/>
        </w:rPr>
        <w:t>avança grandement en âge. Il n</w:t>
      </w:r>
      <w:r w:rsidR="00557DE0">
        <w:rPr>
          <w:lang w:eastAsia="fr-FR" w:bidi="he-IL"/>
        </w:rPr>
        <w:t>’</w:t>
      </w:r>
      <w:r w:rsidRPr="00C8701B">
        <w:rPr>
          <w:lang w:eastAsia="fr-FR" w:bidi="he-IL"/>
        </w:rPr>
        <w:t>éprouva cependant aucune infirmité corporelle</w:t>
      </w:r>
      <w:r w:rsidR="00C2602D" w:rsidRPr="00C8701B">
        <w:rPr>
          <w:lang w:eastAsia="fr-FR" w:bidi="he-IL"/>
        </w:rPr>
        <w:t> </w:t>
      </w:r>
      <w:r w:rsidR="007F6508">
        <w:rPr>
          <w:lang w:eastAsia="fr-FR" w:bidi="he-IL"/>
        </w:rPr>
        <w:t xml:space="preserve">; </w:t>
      </w:r>
      <w:r w:rsidRPr="00C8701B">
        <w:rPr>
          <w:lang w:eastAsia="fr-FR" w:bidi="he-IL"/>
        </w:rPr>
        <w:t>la vue ne le quitta point et aucune des dents de sa bouche ne tomba</w:t>
      </w:r>
      <w:r w:rsidR="00E65435">
        <w:rPr>
          <w:lang w:eastAsia="fr-FR" w:bidi="he-IL"/>
        </w:rPr>
        <w:t xml:space="preserve">, </w:t>
      </w:r>
      <w:r w:rsidRPr="00C8701B">
        <w:rPr>
          <w:lang w:eastAsia="fr-FR" w:bidi="he-IL"/>
        </w:rPr>
        <w:t>et son esprit ne connut jamais un moment de délire. Mais</w:t>
      </w:r>
      <w:r w:rsidR="00E65435">
        <w:rPr>
          <w:lang w:eastAsia="fr-FR" w:bidi="he-IL"/>
        </w:rPr>
        <w:t xml:space="preserve">, </w:t>
      </w:r>
      <w:r w:rsidRPr="00C8701B">
        <w:rPr>
          <w:lang w:eastAsia="fr-FR" w:bidi="he-IL"/>
        </w:rPr>
        <w:t>semblable à un enfant</w:t>
      </w:r>
      <w:r w:rsidR="00E65435">
        <w:rPr>
          <w:lang w:eastAsia="fr-FR" w:bidi="he-IL"/>
        </w:rPr>
        <w:t xml:space="preserve">, </w:t>
      </w:r>
      <w:r w:rsidRPr="00C8701B">
        <w:rPr>
          <w:lang w:eastAsia="fr-FR" w:bidi="he-IL"/>
        </w:rPr>
        <w:t xml:space="preserve">il portait dans toutes ses occupations la vigueur de la jeunesse. Et il conservait ses membres entiers </w:t>
      </w:r>
      <w:r w:rsidR="002F260B">
        <w:rPr>
          <w:lang w:eastAsia="fr-FR" w:bidi="he-IL"/>
        </w:rPr>
        <w:t>et exempts de toute douleur. Et s</w:t>
      </w:r>
      <w:r w:rsidRPr="00C8701B">
        <w:rPr>
          <w:lang w:eastAsia="fr-FR" w:bidi="he-IL"/>
        </w:rPr>
        <w:t>a vieillesse était fort avancée</w:t>
      </w:r>
      <w:r w:rsidR="00E65435">
        <w:rPr>
          <w:lang w:eastAsia="fr-FR" w:bidi="he-IL"/>
        </w:rPr>
        <w:t xml:space="preserve">, </w:t>
      </w:r>
      <w:r w:rsidRPr="00C8701B">
        <w:rPr>
          <w:lang w:eastAsia="fr-FR" w:bidi="he-IL"/>
        </w:rPr>
        <w:t>car il avait atteint l</w:t>
      </w:r>
      <w:r w:rsidR="00557DE0">
        <w:rPr>
          <w:lang w:eastAsia="fr-FR" w:bidi="he-IL"/>
        </w:rPr>
        <w:t>’</w:t>
      </w:r>
      <w:r w:rsidRPr="00C8701B">
        <w:rPr>
          <w:lang w:eastAsia="fr-FR" w:bidi="he-IL"/>
        </w:rPr>
        <w:t>âge de cent</w:t>
      </w:r>
      <w:r w:rsidR="002F260B">
        <w:rPr>
          <w:lang w:eastAsia="fr-FR" w:bidi="he-IL"/>
        </w:rPr>
        <w:t>-</w:t>
      </w:r>
      <w:r w:rsidRPr="00C8701B">
        <w:rPr>
          <w:lang w:eastAsia="fr-FR" w:bidi="he-IL"/>
        </w:rPr>
        <w:t>onze ans.</w:t>
      </w:r>
      <w:r w:rsidR="00C2602D" w:rsidRPr="00C8701B">
        <w:rPr>
          <w:lang w:eastAsia="fr-FR" w:bidi="he-IL"/>
        </w:rPr>
        <w:t xml:space="preserve"> </w:t>
      </w:r>
    </w:p>
    <w:p w:rsidR="00C2602D" w:rsidRPr="00C8701B" w:rsidRDefault="00B704AD" w:rsidP="002F260B">
      <w:pPr>
        <w:pStyle w:val="locus"/>
        <w:rPr>
          <w:lang w:eastAsia="fr-FR" w:bidi="he-IL"/>
        </w:rPr>
      </w:pPr>
      <w:r w:rsidRPr="00C8701B">
        <w:rPr>
          <w:lang w:eastAsia="fr-FR" w:bidi="he-IL"/>
        </w:rPr>
        <w:t>Chapitre XII.</w:t>
      </w:r>
      <w:r w:rsidR="000F7DAA">
        <w:rPr>
          <w:lang w:eastAsia="fr-FR" w:bidi="he-IL"/>
        </w:rPr>
        <w:t xml:space="preserve"> —</w:t>
      </w:r>
      <w:r w:rsidR="008D0642">
        <w:rPr>
          <w:lang w:eastAsia="fr-FR" w:bidi="he-IL"/>
        </w:rPr>
        <w:t xml:space="preserve"> </w:t>
      </w:r>
      <w:r w:rsidRPr="00C8701B">
        <w:rPr>
          <w:lang w:eastAsia="fr-FR" w:bidi="he-IL"/>
        </w:rPr>
        <w:t>Il arriva ensuite que l</w:t>
      </w:r>
      <w:r w:rsidR="00557DE0">
        <w:rPr>
          <w:lang w:eastAsia="fr-FR" w:bidi="he-IL"/>
        </w:rPr>
        <w:t>’</w:t>
      </w:r>
      <w:r w:rsidRPr="00C8701B">
        <w:rPr>
          <w:lang w:eastAsia="fr-FR" w:bidi="he-IL"/>
        </w:rPr>
        <w:t>instant de la mort du pieux vieillard Joseph approcha</w:t>
      </w:r>
      <w:r w:rsidR="00E65435">
        <w:rPr>
          <w:lang w:eastAsia="fr-FR" w:bidi="he-IL"/>
        </w:rPr>
        <w:t xml:space="preserve">, </w:t>
      </w:r>
      <w:r w:rsidRPr="00C8701B">
        <w:rPr>
          <w:lang w:eastAsia="fr-FR" w:bidi="he-IL"/>
        </w:rPr>
        <w:t>et que vint le moment où il devait quitter ce monde</w:t>
      </w:r>
      <w:r w:rsidR="00E65435">
        <w:rPr>
          <w:lang w:eastAsia="fr-FR" w:bidi="he-IL"/>
        </w:rPr>
        <w:t xml:space="preserve">, </w:t>
      </w:r>
      <w:r w:rsidR="002F260B">
        <w:rPr>
          <w:lang w:eastAsia="fr-FR" w:bidi="he-IL"/>
        </w:rPr>
        <w:t>comme le</w:t>
      </w:r>
      <w:r w:rsidRPr="00C8701B">
        <w:rPr>
          <w:lang w:eastAsia="fr-FR" w:bidi="he-IL"/>
        </w:rPr>
        <w:t>s autres hommes qui sont assujettis à revenir à la terre. Et</w:t>
      </w:r>
      <w:r w:rsidR="002F260B">
        <w:rPr>
          <w:lang w:eastAsia="fr-FR" w:bidi="he-IL"/>
        </w:rPr>
        <w:t xml:space="preserve"> </w:t>
      </w:r>
      <w:r w:rsidRPr="00C8701B">
        <w:rPr>
          <w:lang w:eastAsia="fr-FR" w:bidi="he-IL"/>
        </w:rPr>
        <w:t>son corps étant près de sa destruction</w:t>
      </w:r>
      <w:r w:rsidR="00E65435">
        <w:rPr>
          <w:lang w:eastAsia="fr-FR" w:bidi="he-IL"/>
        </w:rPr>
        <w:t xml:space="preserve">, </w:t>
      </w:r>
      <w:r w:rsidRPr="00C8701B">
        <w:rPr>
          <w:lang w:eastAsia="fr-FR" w:bidi="he-IL"/>
        </w:rPr>
        <w:t>l</w:t>
      </w:r>
      <w:r w:rsidR="00557DE0">
        <w:rPr>
          <w:lang w:eastAsia="fr-FR" w:bidi="he-IL"/>
        </w:rPr>
        <w:t>’</w:t>
      </w:r>
      <w:r w:rsidR="002F260B">
        <w:rPr>
          <w:lang w:eastAsia="fr-FR" w:bidi="he-IL"/>
        </w:rPr>
        <w:t>ange du Seigneur lui annonça</w:t>
      </w:r>
      <w:r w:rsidRPr="00C8701B">
        <w:rPr>
          <w:lang w:eastAsia="fr-FR" w:bidi="he-IL"/>
        </w:rPr>
        <w:t xml:space="preserve"> que l</w:t>
      </w:r>
      <w:r w:rsidR="00557DE0">
        <w:rPr>
          <w:lang w:eastAsia="fr-FR" w:bidi="he-IL"/>
        </w:rPr>
        <w:t>’</w:t>
      </w:r>
      <w:r w:rsidRPr="00C8701B">
        <w:rPr>
          <w:lang w:eastAsia="fr-FR" w:bidi="he-IL"/>
        </w:rPr>
        <w:t>heure de sa mort était proche. Alors la crainte s</w:t>
      </w:r>
      <w:r w:rsidR="00557DE0">
        <w:rPr>
          <w:lang w:eastAsia="fr-FR" w:bidi="he-IL"/>
        </w:rPr>
        <w:t>’</w:t>
      </w:r>
      <w:r w:rsidRPr="00C8701B">
        <w:rPr>
          <w:lang w:eastAsia="fr-FR" w:bidi="he-IL"/>
        </w:rPr>
        <w:t>empara de lui</w:t>
      </w:r>
      <w:r w:rsidR="00E65435">
        <w:rPr>
          <w:lang w:eastAsia="fr-FR" w:bidi="he-IL"/>
        </w:rPr>
        <w:t xml:space="preserve">, </w:t>
      </w:r>
      <w:r w:rsidRPr="00C8701B">
        <w:rPr>
          <w:lang w:eastAsia="fr-FR" w:bidi="he-IL"/>
        </w:rPr>
        <w:t>et son esprit tomba dans un trouble extrême. Et se levant</w:t>
      </w:r>
      <w:r w:rsidR="00E65435">
        <w:rPr>
          <w:lang w:eastAsia="fr-FR" w:bidi="he-IL"/>
        </w:rPr>
        <w:t xml:space="preserve">, </w:t>
      </w:r>
      <w:r w:rsidRPr="00C8701B">
        <w:rPr>
          <w:lang w:eastAsia="fr-FR" w:bidi="he-IL"/>
        </w:rPr>
        <w:t>il alla à Jérusalem</w:t>
      </w:r>
      <w:r w:rsidR="00E65435">
        <w:rPr>
          <w:lang w:eastAsia="fr-FR" w:bidi="he-IL"/>
        </w:rPr>
        <w:t xml:space="preserve">, </w:t>
      </w:r>
      <w:r w:rsidRPr="00C8701B">
        <w:rPr>
          <w:lang w:eastAsia="fr-FR" w:bidi="he-IL"/>
        </w:rPr>
        <w:t>et étant entré dans le temple du Seigneur</w:t>
      </w:r>
      <w:r w:rsidR="00E65435">
        <w:rPr>
          <w:lang w:eastAsia="fr-FR" w:bidi="he-IL"/>
        </w:rPr>
        <w:t xml:space="preserve">, </w:t>
      </w:r>
      <w:r w:rsidRPr="00C8701B">
        <w:rPr>
          <w:lang w:eastAsia="fr-FR" w:bidi="he-IL"/>
        </w:rPr>
        <w:t>et répandant des prières devant le sanctuaire</w:t>
      </w:r>
      <w:r w:rsidR="00E65435">
        <w:rPr>
          <w:lang w:eastAsia="fr-FR" w:bidi="he-IL"/>
        </w:rPr>
        <w:t xml:space="preserve">, </w:t>
      </w:r>
      <w:r w:rsidRPr="00C8701B">
        <w:rPr>
          <w:lang w:eastAsia="fr-FR" w:bidi="he-IL"/>
        </w:rPr>
        <w:t>il dit</w:t>
      </w:r>
      <w:r w:rsidR="00C2602D" w:rsidRPr="00C8701B">
        <w:rPr>
          <w:lang w:eastAsia="fr-FR" w:bidi="he-IL"/>
        </w:rPr>
        <w:t xml:space="preserve"> : </w:t>
      </w:r>
    </w:p>
    <w:p w:rsidR="007475F7" w:rsidRDefault="00B704AD" w:rsidP="002F260B">
      <w:pPr>
        <w:pStyle w:val="locus"/>
        <w:rPr>
          <w:lang w:eastAsia="fr-FR" w:bidi="he-IL"/>
        </w:rPr>
      </w:pPr>
      <w:r w:rsidRPr="00C8701B">
        <w:rPr>
          <w:lang w:eastAsia="fr-FR" w:bidi="he-IL"/>
        </w:rPr>
        <w:t xml:space="preserve">Chapitre </w:t>
      </w:r>
      <w:r w:rsidR="003A247F">
        <w:rPr>
          <w:lang w:eastAsia="fr-FR" w:bidi="he-IL"/>
        </w:rPr>
        <w:t>XIII</w:t>
      </w:r>
      <w:r w:rsidRPr="00C8701B">
        <w:rPr>
          <w:lang w:eastAsia="fr-FR" w:bidi="he-IL"/>
        </w:rPr>
        <w:t>.</w:t>
      </w:r>
      <w:r w:rsidR="000F7DAA">
        <w:rPr>
          <w:lang w:eastAsia="fr-FR" w:bidi="he-IL"/>
        </w:rPr>
        <w:t xml:space="preserve"> —</w:t>
      </w:r>
      <w:r w:rsidR="008D0642">
        <w:rPr>
          <w:lang w:eastAsia="fr-FR" w:bidi="he-IL"/>
        </w:rPr>
        <w:t xml:space="preserve"> </w:t>
      </w:r>
      <w:r w:rsidR="002F260B">
        <w:rPr>
          <w:lang w:eastAsia="fr-FR" w:bidi="he-IL"/>
        </w:rPr>
        <w:t>Ô</w:t>
      </w:r>
      <w:r w:rsidRPr="00C8701B">
        <w:rPr>
          <w:lang w:eastAsia="fr-FR" w:bidi="he-IL"/>
        </w:rPr>
        <w:t xml:space="preserve"> Dieu</w:t>
      </w:r>
      <w:r w:rsidR="00E65435">
        <w:rPr>
          <w:lang w:eastAsia="fr-FR" w:bidi="he-IL"/>
        </w:rPr>
        <w:t xml:space="preserve">, </w:t>
      </w:r>
      <w:r w:rsidRPr="00C8701B">
        <w:rPr>
          <w:lang w:eastAsia="fr-FR" w:bidi="he-IL"/>
        </w:rPr>
        <w:t>auteur de toute consolation</w:t>
      </w:r>
      <w:r w:rsidR="00E65435">
        <w:rPr>
          <w:lang w:eastAsia="fr-FR" w:bidi="he-IL"/>
        </w:rPr>
        <w:t xml:space="preserve">, </w:t>
      </w:r>
      <w:r w:rsidRPr="00C8701B">
        <w:rPr>
          <w:lang w:eastAsia="fr-FR" w:bidi="he-IL"/>
        </w:rPr>
        <w:t>Dieu de toute miséricorde et Seigneur du genre humain tout entier</w:t>
      </w:r>
      <w:r w:rsidR="00E65435">
        <w:rPr>
          <w:lang w:eastAsia="fr-FR" w:bidi="he-IL"/>
        </w:rPr>
        <w:t xml:space="preserve">, </w:t>
      </w:r>
      <w:r w:rsidRPr="00C8701B">
        <w:rPr>
          <w:lang w:eastAsia="fr-FR" w:bidi="he-IL"/>
        </w:rPr>
        <w:t>Dieu de mon âme</w:t>
      </w:r>
      <w:r w:rsidR="00E65435">
        <w:rPr>
          <w:lang w:eastAsia="fr-FR" w:bidi="he-IL"/>
        </w:rPr>
        <w:t xml:space="preserve">, </w:t>
      </w:r>
      <w:r w:rsidRPr="00C8701B">
        <w:rPr>
          <w:lang w:eastAsia="fr-FR" w:bidi="he-IL"/>
        </w:rPr>
        <w:t>de mon esprit et de mon corps</w:t>
      </w:r>
      <w:r w:rsidR="00E65435">
        <w:rPr>
          <w:lang w:eastAsia="fr-FR" w:bidi="he-IL"/>
        </w:rPr>
        <w:t xml:space="preserve">, </w:t>
      </w:r>
      <w:r w:rsidRPr="00C8701B">
        <w:rPr>
          <w:lang w:eastAsia="fr-FR" w:bidi="he-IL"/>
        </w:rPr>
        <w:t>je t</w:t>
      </w:r>
      <w:r w:rsidR="00557DE0">
        <w:rPr>
          <w:lang w:eastAsia="fr-FR" w:bidi="he-IL"/>
        </w:rPr>
        <w:t>’</w:t>
      </w:r>
      <w:r w:rsidRPr="00C8701B">
        <w:rPr>
          <w:lang w:eastAsia="fr-FR" w:bidi="he-IL"/>
        </w:rPr>
        <w:t>adore en suppliant... Si mes jours sont déjà consommés et si le temps arrive où je dois sortir de ce monde</w:t>
      </w:r>
      <w:r w:rsidR="00E65435">
        <w:rPr>
          <w:lang w:eastAsia="fr-FR" w:bidi="he-IL"/>
        </w:rPr>
        <w:t xml:space="preserve">, </w:t>
      </w:r>
      <w:r w:rsidRPr="00C8701B">
        <w:rPr>
          <w:lang w:eastAsia="fr-FR" w:bidi="he-IL"/>
        </w:rPr>
        <w:t>envoie</w:t>
      </w:r>
      <w:r w:rsidR="00E65435">
        <w:rPr>
          <w:lang w:eastAsia="fr-FR" w:bidi="he-IL"/>
        </w:rPr>
        <w:t xml:space="preserve">, </w:t>
      </w:r>
      <w:r w:rsidRPr="00C8701B">
        <w:rPr>
          <w:lang w:eastAsia="fr-FR" w:bidi="he-IL"/>
        </w:rPr>
        <w:t>je te prie</w:t>
      </w:r>
      <w:r w:rsidR="00E65435">
        <w:rPr>
          <w:lang w:eastAsia="fr-FR" w:bidi="he-IL"/>
        </w:rPr>
        <w:t xml:space="preserve">, </w:t>
      </w:r>
      <w:r w:rsidRPr="00C8701B">
        <w:rPr>
          <w:lang w:eastAsia="fr-FR" w:bidi="he-IL"/>
        </w:rPr>
        <w:t>le grand Michel</w:t>
      </w:r>
      <w:r w:rsidR="00E65435">
        <w:rPr>
          <w:lang w:eastAsia="fr-FR" w:bidi="he-IL"/>
        </w:rPr>
        <w:t xml:space="preserve">, </w:t>
      </w:r>
      <w:r w:rsidRPr="00C8701B">
        <w:rPr>
          <w:lang w:eastAsia="fr-FR" w:bidi="he-IL"/>
        </w:rPr>
        <w:t>le prince de tes anges</w:t>
      </w:r>
      <w:r w:rsidR="00E65435">
        <w:rPr>
          <w:lang w:eastAsia="fr-FR" w:bidi="he-IL"/>
        </w:rPr>
        <w:t xml:space="preserve">, </w:t>
      </w:r>
      <w:r w:rsidRPr="00C8701B">
        <w:rPr>
          <w:lang w:eastAsia="fr-FR" w:bidi="he-IL"/>
        </w:rPr>
        <w:t>et qu</w:t>
      </w:r>
      <w:r w:rsidR="00557DE0">
        <w:rPr>
          <w:lang w:eastAsia="fr-FR" w:bidi="he-IL"/>
        </w:rPr>
        <w:t>’</w:t>
      </w:r>
      <w:r w:rsidRPr="00C8701B">
        <w:rPr>
          <w:lang w:eastAsia="fr-FR" w:bidi="he-IL"/>
        </w:rPr>
        <w:t>il demeure avec moi</w:t>
      </w:r>
      <w:r w:rsidR="00E65435">
        <w:rPr>
          <w:lang w:eastAsia="fr-FR" w:bidi="he-IL"/>
        </w:rPr>
        <w:t xml:space="preserve">, </w:t>
      </w:r>
      <w:r w:rsidRPr="00C8701B">
        <w:rPr>
          <w:lang w:eastAsia="fr-FR" w:bidi="he-IL"/>
        </w:rPr>
        <w:t>afin que mon âme misérable sorte de ce corps débile sans souffrance</w:t>
      </w:r>
      <w:r w:rsidR="00E65435">
        <w:rPr>
          <w:lang w:eastAsia="fr-FR" w:bidi="he-IL"/>
        </w:rPr>
        <w:t xml:space="preserve">, </w:t>
      </w:r>
      <w:r w:rsidRPr="00C8701B">
        <w:rPr>
          <w:lang w:eastAsia="fr-FR" w:bidi="he-IL"/>
        </w:rPr>
        <w:t>sans crainte et sans impatience....</w:t>
      </w:r>
      <w:r w:rsidR="007475F7" w:rsidRPr="00C8701B">
        <w:rPr>
          <w:lang w:eastAsia="fr-FR" w:bidi="he-IL"/>
        </w:rPr>
        <w:t xml:space="preserve"> </w:t>
      </w:r>
    </w:p>
    <w:p w:rsidR="00C2602D" w:rsidRPr="00C8701B" w:rsidRDefault="00B704AD" w:rsidP="002F260B">
      <w:pPr>
        <w:pStyle w:val="locus"/>
        <w:rPr>
          <w:lang w:eastAsia="fr-FR" w:bidi="he-IL"/>
        </w:rPr>
      </w:pPr>
      <w:r w:rsidRPr="00C8701B">
        <w:rPr>
          <w:lang w:eastAsia="fr-FR" w:bidi="he-IL"/>
        </w:rPr>
        <w:t xml:space="preserve">Chapitre </w:t>
      </w:r>
      <w:r w:rsidR="00D72CBC">
        <w:rPr>
          <w:lang w:eastAsia="fr-FR" w:bidi="he-IL"/>
        </w:rPr>
        <w:t>XV</w:t>
      </w:r>
      <w:r w:rsidRPr="00C8701B">
        <w:rPr>
          <w:lang w:eastAsia="fr-FR" w:bidi="he-IL"/>
        </w:rPr>
        <w:t>.</w:t>
      </w:r>
      <w:r w:rsidR="000F7DAA">
        <w:rPr>
          <w:lang w:eastAsia="fr-FR" w:bidi="he-IL"/>
        </w:rPr>
        <w:t xml:space="preserve"> —</w:t>
      </w:r>
      <w:r w:rsidR="008D0642">
        <w:rPr>
          <w:lang w:eastAsia="fr-FR" w:bidi="he-IL"/>
        </w:rPr>
        <w:t xml:space="preserve"> </w:t>
      </w:r>
      <w:r w:rsidRPr="00C8701B">
        <w:rPr>
          <w:lang w:eastAsia="fr-FR" w:bidi="he-IL"/>
        </w:rPr>
        <w:t>L</w:t>
      </w:r>
      <w:r w:rsidR="00557DE0">
        <w:rPr>
          <w:lang w:eastAsia="fr-FR" w:bidi="he-IL"/>
        </w:rPr>
        <w:t>’</w:t>
      </w:r>
      <w:r w:rsidRPr="00C8701B">
        <w:rPr>
          <w:lang w:eastAsia="fr-FR" w:bidi="he-IL"/>
        </w:rPr>
        <w:t>âme de mon père</w:t>
      </w:r>
      <w:r w:rsidR="00E65435">
        <w:rPr>
          <w:lang w:eastAsia="fr-FR" w:bidi="he-IL"/>
        </w:rPr>
        <w:t xml:space="preserve">, </w:t>
      </w:r>
      <w:r w:rsidRPr="00C8701B">
        <w:rPr>
          <w:lang w:eastAsia="fr-FR" w:bidi="he-IL"/>
        </w:rPr>
        <w:t>ce juste vieillard</w:t>
      </w:r>
      <w:r w:rsidR="00E65435">
        <w:rPr>
          <w:lang w:eastAsia="fr-FR" w:bidi="he-IL"/>
        </w:rPr>
        <w:t xml:space="preserve">, </w:t>
      </w:r>
      <w:r w:rsidRPr="00C8701B">
        <w:rPr>
          <w:lang w:eastAsia="fr-FR" w:bidi="he-IL"/>
        </w:rPr>
        <w:t>arriva ainsi à cent-onze ans</w:t>
      </w:r>
      <w:r w:rsidR="00E65435">
        <w:rPr>
          <w:lang w:eastAsia="fr-FR" w:bidi="he-IL"/>
        </w:rPr>
        <w:t xml:space="preserve">, </w:t>
      </w:r>
      <w:r w:rsidR="002F260B">
        <w:rPr>
          <w:lang w:eastAsia="fr-FR" w:bidi="he-IL"/>
        </w:rPr>
        <w:t>mo</w:t>
      </w:r>
      <w:r w:rsidRPr="00C8701B">
        <w:rPr>
          <w:lang w:eastAsia="fr-FR" w:bidi="he-IL"/>
        </w:rPr>
        <w:t>n Père céleste l</w:t>
      </w:r>
      <w:r w:rsidR="00557DE0">
        <w:rPr>
          <w:lang w:eastAsia="fr-FR" w:bidi="he-IL"/>
        </w:rPr>
        <w:t>’</w:t>
      </w:r>
      <w:r w:rsidRPr="00C8701B">
        <w:rPr>
          <w:lang w:eastAsia="fr-FR" w:bidi="he-IL"/>
        </w:rPr>
        <w:t>ayant voulu ainsi. Et le jour auquel son âme se sépara de</w:t>
      </w:r>
      <w:r w:rsidR="00C2602D" w:rsidRPr="00C8701B">
        <w:rPr>
          <w:lang w:eastAsia="fr-FR" w:bidi="he-IL"/>
        </w:rPr>
        <w:t xml:space="preserve"> </w:t>
      </w:r>
      <w:r w:rsidR="002F260B" w:rsidRPr="002F260B">
        <w:rPr>
          <w:lang w:eastAsia="fr-FR" w:bidi="he-IL"/>
        </w:rPr>
        <w:t>son corps était le vingt-sixième jour du mois d</w:t>
      </w:r>
      <w:r w:rsidR="00557DE0">
        <w:rPr>
          <w:lang w:eastAsia="fr-FR" w:bidi="he-IL"/>
        </w:rPr>
        <w:t>’</w:t>
      </w:r>
      <w:r w:rsidR="00EA28F4">
        <w:rPr>
          <w:lang w:eastAsia="fr-FR" w:bidi="he-IL"/>
        </w:rPr>
        <w:t>Abíb</w:t>
      </w:r>
      <w:r w:rsidR="002F260B">
        <w:rPr>
          <w:lang w:eastAsia="fr-FR" w:bidi="he-IL"/>
        </w:rPr>
        <w:t>. Il commença à perdre un or</w:t>
      </w:r>
      <w:r w:rsidR="002F260B" w:rsidRPr="002F260B">
        <w:rPr>
          <w:lang w:eastAsia="fr-FR" w:bidi="he-IL"/>
        </w:rPr>
        <w:t xml:space="preserve"> d</w:t>
      </w:r>
      <w:r w:rsidR="00557DE0">
        <w:rPr>
          <w:lang w:eastAsia="fr-FR" w:bidi="he-IL"/>
        </w:rPr>
        <w:t>’</w:t>
      </w:r>
      <w:r w:rsidR="002F260B" w:rsidRPr="002F260B">
        <w:rPr>
          <w:lang w:eastAsia="fr-FR" w:bidi="he-IL"/>
        </w:rPr>
        <w:t>une splendeur éclatante, c</w:t>
      </w:r>
      <w:r w:rsidR="00557DE0">
        <w:rPr>
          <w:lang w:eastAsia="fr-FR" w:bidi="he-IL"/>
        </w:rPr>
        <w:t>’</w:t>
      </w:r>
      <w:r w:rsidR="002F260B" w:rsidRPr="002F260B">
        <w:rPr>
          <w:lang w:eastAsia="fr-FR" w:bidi="he-IL"/>
        </w:rPr>
        <w:t>est-à-dire son intelligence à la science. Il prit du dégoût pour les aliments et, la boisson, et il perdit toute son habileté dans l</w:t>
      </w:r>
      <w:r w:rsidR="00557DE0">
        <w:rPr>
          <w:lang w:eastAsia="fr-FR" w:bidi="he-IL"/>
        </w:rPr>
        <w:t>’</w:t>
      </w:r>
      <w:r w:rsidR="002F260B" w:rsidRPr="002F260B">
        <w:rPr>
          <w:lang w:eastAsia="fr-FR" w:bidi="he-IL"/>
        </w:rPr>
        <w:t>art de</w:t>
      </w:r>
      <w:r w:rsidR="00C2602D" w:rsidRPr="00C8701B">
        <w:rPr>
          <w:lang w:eastAsia="fr-FR" w:bidi="he-IL"/>
        </w:rPr>
        <w:t xml:space="preserve"> </w:t>
      </w:r>
      <w:r w:rsidRPr="00C8701B">
        <w:rPr>
          <w:lang w:eastAsia="fr-FR" w:bidi="he-IL"/>
        </w:rPr>
        <w:t>de charpentier.</w:t>
      </w:r>
      <w:r w:rsidR="0040307B" w:rsidRPr="00C8701B">
        <w:rPr>
          <w:lang w:eastAsia="fr-FR" w:bidi="he-IL"/>
        </w:rPr>
        <w:t xml:space="preserve"> </w:t>
      </w:r>
    </w:p>
    <w:p w:rsidR="00C2602D" w:rsidRPr="00C8701B" w:rsidRDefault="00B704AD" w:rsidP="002F260B">
      <w:pPr>
        <w:pStyle w:val="locus"/>
        <w:rPr>
          <w:lang w:eastAsia="fr-FR" w:bidi="he-IL"/>
        </w:rPr>
      </w:pPr>
      <w:r w:rsidRPr="00C8701B">
        <w:rPr>
          <w:lang w:eastAsia="fr-FR" w:bidi="he-IL"/>
        </w:rPr>
        <w:t xml:space="preserve">Chapitre </w:t>
      </w:r>
      <w:r w:rsidR="00FC445E">
        <w:rPr>
          <w:lang w:eastAsia="fr-FR" w:bidi="he-IL"/>
        </w:rPr>
        <w:t>XIX</w:t>
      </w:r>
      <w:r w:rsidRPr="00C8701B">
        <w:rPr>
          <w:lang w:eastAsia="fr-FR" w:bidi="he-IL"/>
        </w:rPr>
        <w:t>.</w:t>
      </w:r>
      <w:r w:rsidR="000F7DAA">
        <w:rPr>
          <w:lang w:eastAsia="fr-FR" w:bidi="he-IL"/>
        </w:rPr>
        <w:t xml:space="preserve"> —</w:t>
      </w:r>
      <w:r w:rsidR="008D0642">
        <w:rPr>
          <w:lang w:eastAsia="fr-FR" w:bidi="he-IL"/>
        </w:rPr>
        <w:t xml:space="preserve"> </w:t>
      </w:r>
      <w:r w:rsidRPr="00C8701B">
        <w:rPr>
          <w:lang w:eastAsia="fr-FR" w:bidi="he-IL"/>
        </w:rPr>
        <w:t>Et Marie</w:t>
      </w:r>
      <w:r w:rsidR="00E65435">
        <w:rPr>
          <w:lang w:eastAsia="fr-FR" w:bidi="he-IL"/>
        </w:rPr>
        <w:t xml:space="preserve">, </w:t>
      </w:r>
      <w:r w:rsidR="002F260B">
        <w:rPr>
          <w:lang w:eastAsia="fr-FR" w:bidi="he-IL"/>
        </w:rPr>
        <w:t>ma mè</w:t>
      </w:r>
      <w:r w:rsidRPr="00C8701B">
        <w:rPr>
          <w:lang w:eastAsia="fr-FR" w:bidi="he-IL"/>
        </w:rPr>
        <w:t>re sans tache</w:t>
      </w:r>
      <w:r w:rsidR="00E65435">
        <w:rPr>
          <w:lang w:eastAsia="fr-FR" w:bidi="he-IL"/>
        </w:rPr>
        <w:t xml:space="preserve">, </w:t>
      </w:r>
      <w:r w:rsidRPr="00C8701B">
        <w:rPr>
          <w:lang w:eastAsia="fr-FR" w:bidi="he-IL"/>
        </w:rPr>
        <w:t>alla donc</w:t>
      </w:r>
      <w:r w:rsidR="00E65435">
        <w:rPr>
          <w:lang w:eastAsia="fr-FR" w:bidi="he-IL"/>
        </w:rPr>
        <w:t xml:space="preserve">, </w:t>
      </w:r>
      <w:r w:rsidRPr="00C8701B">
        <w:rPr>
          <w:lang w:eastAsia="fr-FR" w:bidi="he-IL"/>
        </w:rPr>
        <w:t>et elle entra dans l</w:t>
      </w:r>
      <w:r w:rsidR="00557DE0">
        <w:rPr>
          <w:lang w:eastAsia="fr-FR" w:bidi="he-IL"/>
        </w:rPr>
        <w:t>’</w:t>
      </w:r>
      <w:r w:rsidRPr="00C8701B">
        <w:rPr>
          <w:lang w:eastAsia="fr-FR" w:bidi="he-IL"/>
        </w:rPr>
        <w:t>endroit où était Joseph</w:t>
      </w:r>
      <w:r w:rsidR="00C2602D" w:rsidRPr="00C8701B">
        <w:rPr>
          <w:lang w:eastAsia="fr-FR" w:bidi="he-IL"/>
        </w:rPr>
        <w:t> </w:t>
      </w:r>
      <w:r w:rsidR="007F6508">
        <w:rPr>
          <w:lang w:eastAsia="fr-FR" w:bidi="he-IL"/>
        </w:rPr>
        <w:t xml:space="preserve">; </w:t>
      </w:r>
      <w:r w:rsidRPr="00C8701B">
        <w:rPr>
          <w:lang w:eastAsia="fr-FR" w:bidi="he-IL"/>
        </w:rPr>
        <w:t>et j</w:t>
      </w:r>
      <w:r w:rsidR="00557DE0">
        <w:rPr>
          <w:lang w:eastAsia="fr-FR" w:bidi="he-IL"/>
        </w:rPr>
        <w:t>’</w:t>
      </w:r>
      <w:r w:rsidRPr="00C8701B">
        <w:rPr>
          <w:lang w:eastAsia="fr-FR" w:bidi="he-IL"/>
        </w:rPr>
        <w:t>étais assis à ses pieds</w:t>
      </w:r>
      <w:r w:rsidR="00E65435">
        <w:rPr>
          <w:lang w:eastAsia="fr-FR" w:bidi="he-IL"/>
        </w:rPr>
        <w:t xml:space="preserve">, </w:t>
      </w:r>
      <w:r w:rsidRPr="00C8701B">
        <w:rPr>
          <w:lang w:eastAsia="fr-FR" w:bidi="he-IL"/>
        </w:rPr>
        <w:t>la regardant. Les signes de la mort apparaissaient déjà sur son visage. Et ce bienheureux vieillard</w:t>
      </w:r>
      <w:r w:rsidR="00E65435">
        <w:rPr>
          <w:lang w:eastAsia="fr-FR" w:bidi="he-IL"/>
        </w:rPr>
        <w:t xml:space="preserve">, </w:t>
      </w:r>
      <w:r w:rsidRPr="00C8701B">
        <w:rPr>
          <w:lang w:eastAsia="fr-FR" w:bidi="he-IL"/>
        </w:rPr>
        <w:t>levant la tête</w:t>
      </w:r>
      <w:r w:rsidR="00E65435">
        <w:rPr>
          <w:lang w:eastAsia="fr-FR" w:bidi="he-IL"/>
        </w:rPr>
        <w:t xml:space="preserve">, </w:t>
      </w:r>
      <w:r w:rsidRPr="00C8701B">
        <w:rPr>
          <w:lang w:eastAsia="fr-FR" w:bidi="he-IL"/>
        </w:rPr>
        <w:t>me regarda en fixant sur moi les yeux. Mais il n</w:t>
      </w:r>
      <w:r w:rsidR="00557DE0">
        <w:rPr>
          <w:lang w:eastAsia="fr-FR" w:bidi="he-IL"/>
        </w:rPr>
        <w:t>’</w:t>
      </w:r>
      <w:r w:rsidRPr="00C8701B">
        <w:rPr>
          <w:lang w:eastAsia="fr-FR" w:bidi="he-IL"/>
        </w:rPr>
        <w:t>avait nullement la force de parler</w:t>
      </w:r>
      <w:r w:rsidR="00E65435">
        <w:rPr>
          <w:lang w:eastAsia="fr-FR" w:bidi="he-IL"/>
        </w:rPr>
        <w:t xml:space="preserve">, </w:t>
      </w:r>
      <w:r w:rsidR="00C14040" w:rsidRPr="000716BB">
        <w:rPr>
          <w:lang w:eastAsia="fr-FR" w:bidi="he-IL"/>
        </w:rPr>
        <w:t>{</w:t>
      </w:r>
      <w:r w:rsidR="00C14040">
        <w:rPr>
          <w:lang w:eastAsia="fr-FR" w:bidi="he-IL"/>
        </w:rPr>
        <w:t>115</w:t>
      </w:r>
      <w:bookmarkStart w:id="175" w:name="pag115"/>
      <w:bookmarkEnd w:id="175"/>
      <w:r w:rsidR="00C14040" w:rsidRPr="000716BB">
        <w:rPr>
          <w:lang w:eastAsia="fr-FR" w:bidi="he-IL"/>
        </w:rPr>
        <w:t xml:space="preserve">} </w:t>
      </w:r>
      <w:r w:rsidRPr="00C8701B">
        <w:rPr>
          <w:lang w:eastAsia="fr-FR" w:bidi="he-IL"/>
        </w:rPr>
        <w:t>à cause de la douleur de la mort qui le tenait enveloppé</w:t>
      </w:r>
      <w:r w:rsidR="00E65435">
        <w:rPr>
          <w:lang w:eastAsia="fr-FR" w:bidi="he-IL"/>
        </w:rPr>
        <w:t xml:space="preserve">, </w:t>
      </w:r>
      <w:r w:rsidRPr="00C8701B">
        <w:rPr>
          <w:lang w:eastAsia="fr-FR" w:bidi="he-IL"/>
        </w:rPr>
        <w:t>et il poussait de grands soupirs. Et je tins ses mains durant l</w:t>
      </w:r>
      <w:r w:rsidR="00557DE0">
        <w:rPr>
          <w:lang w:eastAsia="fr-FR" w:bidi="he-IL"/>
        </w:rPr>
        <w:t>’</w:t>
      </w:r>
      <w:r w:rsidRPr="00C8701B">
        <w:rPr>
          <w:lang w:eastAsia="fr-FR" w:bidi="he-IL"/>
        </w:rPr>
        <w:t>espace d</w:t>
      </w:r>
      <w:r w:rsidR="00557DE0">
        <w:rPr>
          <w:lang w:eastAsia="fr-FR" w:bidi="he-IL"/>
        </w:rPr>
        <w:t>’</w:t>
      </w:r>
      <w:r w:rsidRPr="00C8701B">
        <w:rPr>
          <w:lang w:eastAsia="fr-FR" w:bidi="he-IL"/>
        </w:rPr>
        <w:t>une heure entière. Et lui</w:t>
      </w:r>
      <w:r w:rsidR="00E65435">
        <w:rPr>
          <w:lang w:eastAsia="fr-FR" w:bidi="he-IL"/>
        </w:rPr>
        <w:t xml:space="preserve">, </w:t>
      </w:r>
      <w:r w:rsidRPr="00C8701B">
        <w:rPr>
          <w:lang w:eastAsia="fr-FR" w:bidi="he-IL"/>
        </w:rPr>
        <w:t>ayant tourné son visage vers moi</w:t>
      </w:r>
      <w:r w:rsidR="00E65435">
        <w:rPr>
          <w:lang w:eastAsia="fr-FR" w:bidi="he-IL"/>
        </w:rPr>
        <w:t xml:space="preserve">, </w:t>
      </w:r>
      <w:r w:rsidRPr="00C8701B">
        <w:rPr>
          <w:lang w:eastAsia="fr-FR" w:bidi="he-IL"/>
        </w:rPr>
        <w:t>me faisait sig</w:t>
      </w:r>
      <w:r w:rsidR="002F260B">
        <w:rPr>
          <w:lang w:eastAsia="fr-FR" w:bidi="he-IL"/>
        </w:rPr>
        <w:t>ne de ne point l</w:t>
      </w:r>
      <w:r w:rsidR="00557DE0">
        <w:rPr>
          <w:lang w:eastAsia="fr-FR" w:bidi="he-IL"/>
        </w:rPr>
        <w:t>’</w:t>
      </w:r>
      <w:r w:rsidRPr="00C8701B">
        <w:rPr>
          <w:lang w:eastAsia="fr-FR" w:bidi="he-IL"/>
        </w:rPr>
        <w:t>abandonner. Ayant posé ma main sur sa poitrine</w:t>
      </w:r>
      <w:r w:rsidR="00E65435">
        <w:rPr>
          <w:lang w:eastAsia="fr-FR" w:bidi="he-IL"/>
        </w:rPr>
        <w:t xml:space="preserve">, </w:t>
      </w:r>
      <w:r w:rsidRPr="00C8701B">
        <w:rPr>
          <w:lang w:eastAsia="fr-FR" w:bidi="he-IL"/>
        </w:rPr>
        <w:t>je pris son âme</w:t>
      </w:r>
      <w:r w:rsidR="00E65435">
        <w:rPr>
          <w:lang w:eastAsia="fr-FR" w:bidi="he-IL"/>
        </w:rPr>
        <w:t xml:space="preserve">, </w:t>
      </w:r>
      <w:r w:rsidRPr="00C8701B">
        <w:rPr>
          <w:lang w:eastAsia="fr-FR" w:bidi="he-IL"/>
        </w:rPr>
        <w:t>déjà près de sa gorge et au moment de sortir de sa retraite.</w:t>
      </w:r>
      <w:r w:rsidR="00E65435">
        <w:rPr>
          <w:lang w:eastAsia="fr-FR" w:bidi="he-IL"/>
        </w:rPr>
        <w:t xml:space="preserve"> </w:t>
      </w:r>
    </w:p>
    <w:p w:rsidR="00C2602D" w:rsidRPr="00C8701B" w:rsidRDefault="00B704AD" w:rsidP="002F260B">
      <w:pPr>
        <w:pStyle w:val="locus"/>
        <w:rPr>
          <w:lang w:eastAsia="fr-FR" w:bidi="he-IL"/>
        </w:rPr>
      </w:pPr>
      <w:r w:rsidRPr="00C8701B">
        <w:rPr>
          <w:lang w:eastAsia="fr-FR" w:bidi="he-IL"/>
        </w:rPr>
        <w:t>Chapitre X</w:t>
      </w:r>
      <w:r w:rsidR="003A247F">
        <w:rPr>
          <w:lang w:eastAsia="fr-FR" w:bidi="he-IL"/>
        </w:rPr>
        <w:t>XIII</w:t>
      </w:r>
      <w:r w:rsidRPr="00C8701B">
        <w:rPr>
          <w:lang w:eastAsia="fr-FR" w:bidi="he-IL"/>
        </w:rPr>
        <w:t>.</w:t>
      </w:r>
      <w:r w:rsidR="000F7DAA">
        <w:rPr>
          <w:lang w:eastAsia="fr-FR" w:bidi="he-IL"/>
        </w:rPr>
        <w:t xml:space="preserve"> —</w:t>
      </w:r>
      <w:r w:rsidR="008D0642">
        <w:rPr>
          <w:lang w:eastAsia="fr-FR" w:bidi="he-IL"/>
        </w:rPr>
        <w:t xml:space="preserve"> </w:t>
      </w:r>
      <w:r w:rsidRPr="00C8701B">
        <w:rPr>
          <w:lang w:eastAsia="fr-FR" w:bidi="he-IL"/>
        </w:rPr>
        <w:t>Michel et Gabriel vinrent vers l</w:t>
      </w:r>
      <w:r w:rsidR="00557DE0">
        <w:rPr>
          <w:lang w:eastAsia="fr-FR" w:bidi="he-IL"/>
        </w:rPr>
        <w:t>’</w:t>
      </w:r>
      <w:r w:rsidRPr="00C8701B">
        <w:rPr>
          <w:lang w:eastAsia="fr-FR" w:bidi="he-IL"/>
        </w:rPr>
        <w:t>âme de mon père Joseph</w:t>
      </w:r>
      <w:r w:rsidR="00E65435">
        <w:rPr>
          <w:lang w:eastAsia="fr-FR" w:bidi="he-IL"/>
        </w:rPr>
        <w:t xml:space="preserve">, </w:t>
      </w:r>
      <w:r w:rsidRPr="00C8701B">
        <w:rPr>
          <w:lang w:eastAsia="fr-FR" w:bidi="he-IL"/>
        </w:rPr>
        <w:t>et l</w:t>
      </w:r>
      <w:r w:rsidR="00557DE0">
        <w:rPr>
          <w:lang w:eastAsia="fr-FR" w:bidi="he-IL"/>
        </w:rPr>
        <w:t>’</w:t>
      </w:r>
      <w:r w:rsidRPr="00C8701B">
        <w:rPr>
          <w:lang w:eastAsia="fr-FR" w:bidi="he-IL"/>
        </w:rPr>
        <w:t>ayant prise</w:t>
      </w:r>
      <w:r w:rsidR="00E65435">
        <w:rPr>
          <w:lang w:eastAsia="fr-FR" w:bidi="he-IL"/>
        </w:rPr>
        <w:t xml:space="preserve">, </w:t>
      </w:r>
      <w:r w:rsidRPr="00C8701B">
        <w:rPr>
          <w:lang w:eastAsia="fr-FR" w:bidi="he-IL"/>
        </w:rPr>
        <w:t>ils la plièrent dans un linceul éclatan</w:t>
      </w:r>
      <w:r w:rsidR="005069E2" w:rsidRPr="00C8701B">
        <w:rPr>
          <w:lang w:eastAsia="fr-FR" w:bidi="he-IL"/>
        </w:rPr>
        <w:t>t</w:t>
      </w:r>
      <w:r w:rsidR="005069E2">
        <w:rPr>
          <w:lang w:eastAsia="fr-FR" w:bidi="he-IL"/>
        </w:rPr>
        <w:t xml:space="preserve">. Il </w:t>
      </w:r>
      <w:r w:rsidR="005069E2" w:rsidRPr="00C8701B">
        <w:rPr>
          <w:lang w:eastAsia="fr-FR" w:bidi="he-IL"/>
        </w:rPr>
        <w:t>r</w:t>
      </w:r>
      <w:r w:rsidRPr="00C8701B">
        <w:rPr>
          <w:lang w:eastAsia="fr-FR" w:bidi="he-IL"/>
        </w:rPr>
        <w:t>endit ainsi l</w:t>
      </w:r>
      <w:r w:rsidR="00557DE0">
        <w:rPr>
          <w:lang w:eastAsia="fr-FR" w:bidi="he-IL"/>
        </w:rPr>
        <w:t>’</w:t>
      </w:r>
      <w:r w:rsidRPr="00C8701B">
        <w:rPr>
          <w:lang w:eastAsia="fr-FR" w:bidi="he-IL"/>
        </w:rPr>
        <w:t>esprit dans les mains de mon Père miséricordieux</w:t>
      </w:r>
      <w:r w:rsidR="00E65435">
        <w:rPr>
          <w:lang w:eastAsia="fr-FR" w:bidi="he-IL"/>
        </w:rPr>
        <w:t xml:space="preserve">, </w:t>
      </w:r>
      <w:r w:rsidRPr="00C8701B">
        <w:rPr>
          <w:lang w:eastAsia="fr-FR" w:bidi="he-IL"/>
        </w:rPr>
        <w:t>et la paix lui fut accordée</w:t>
      </w:r>
      <w:r w:rsidR="00E65435">
        <w:rPr>
          <w:lang w:eastAsia="fr-FR" w:bidi="he-IL"/>
        </w:rPr>
        <w:t xml:space="preserve">, </w:t>
      </w:r>
      <w:r w:rsidRPr="00C8701B">
        <w:rPr>
          <w:lang w:eastAsia="fr-FR" w:bidi="he-IL"/>
        </w:rPr>
        <w:t>et aucun de ses enfants ne sut qu</w:t>
      </w:r>
      <w:r w:rsidR="00557DE0">
        <w:rPr>
          <w:lang w:eastAsia="fr-FR" w:bidi="he-IL"/>
        </w:rPr>
        <w:t>’</w:t>
      </w:r>
      <w:r w:rsidRPr="00C8701B">
        <w:rPr>
          <w:lang w:eastAsia="fr-FR" w:bidi="he-IL"/>
        </w:rPr>
        <w:t>il s</w:t>
      </w:r>
      <w:r w:rsidR="00557DE0">
        <w:rPr>
          <w:lang w:eastAsia="fr-FR" w:bidi="he-IL"/>
        </w:rPr>
        <w:t>’</w:t>
      </w:r>
      <w:r w:rsidRPr="00C8701B">
        <w:rPr>
          <w:lang w:eastAsia="fr-FR" w:bidi="he-IL"/>
        </w:rPr>
        <w:t>était endormi. Mais les anges préservèrent son âme des démons de ténèbres qui étaient sur la route</w:t>
      </w:r>
      <w:r w:rsidR="002F260B">
        <w:rPr>
          <w:lang w:eastAsia="fr-FR" w:bidi="he-IL"/>
        </w:rPr>
        <w:t>.</w:t>
      </w:r>
      <w:r w:rsidR="00E65435">
        <w:rPr>
          <w:lang w:eastAsia="fr-FR" w:bidi="he-IL"/>
        </w:rPr>
        <w:t xml:space="preserve"> </w:t>
      </w:r>
      <w:r w:rsidRPr="00C8701B">
        <w:rPr>
          <w:lang w:eastAsia="fr-FR" w:bidi="he-IL"/>
        </w:rPr>
        <w:t>et louèrent Dieu jusqu</w:t>
      </w:r>
      <w:r w:rsidR="00557DE0">
        <w:rPr>
          <w:lang w:eastAsia="fr-FR" w:bidi="he-IL"/>
        </w:rPr>
        <w:t>’</w:t>
      </w:r>
      <w:r w:rsidRPr="00C8701B">
        <w:rPr>
          <w:lang w:eastAsia="fr-FR" w:bidi="he-IL"/>
        </w:rPr>
        <w:t>à ce qu</w:t>
      </w:r>
      <w:r w:rsidR="00557DE0">
        <w:rPr>
          <w:lang w:eastAsia="fr-FR" w:bidi="he-IL"/>
        </w:rPr>
        <w:t>’</w:t>
      </w:r>
      <w:r w:rsidRPr="00C8701B">
        <w:rPr>
          <w:lang w:eastAsia="fr-FR" w:bidi="he-IL"/>
        </w:rPr>
        <w:t>ils l</w:t>
      </w:r>
      <w:r w:rsidR="00557DE0">
        <w:rPr>
          <w:lang w:eastAsia="fr-FR" w:bidi="he-IL"/>
        </w:rPr>
        <w:t>’</w:t>
      </w:r>
      <w:r w:rsidRPr="00C8701B">
        <w:rPr>
          <w:lang w:eastAsia="fr-FR" w:bidi="he-IL"/>
        </w:rPr>
        <w:t>eussent conduite au lieu qu</w:t>
      </w:r>
      <w:r w:rsidR="00557DE0">
        <w:rPr>
          <w:lang w:eastAsia="fr-FR" w:bidi="he-IL"/>
        </w:rPr>
        <w:t>’</w:t>
      </w:r>
      <w:r w:rsidRPr="00C8701B">
        <w:rPr>
          <w:lang w:eastAsia="fr-FR" w:bidi="he-IL"/>
        </w:rPr>
        <w:t>habitent les justes.</w:t>
      </w:r>
      <w:r w:rsidR="00C2602D" w:rsidRPr="00C8701B">
        <w:rPr>
          <w:lang w:eastAsia="fr-FR" w:bidi="he-IL"/>
        </w:rPr>
        <w:t xml:space="preserve"> </w:t>
      </w:r>
    </w:p>
    <w:p w:rsidR="00C2602D" w:rsidRPr="00C8701B" w:rsidRDefault="00B704AD" w:rsidP="002F260B">
      <w:pPr>
        <w:rPr>
          <w:rFonts w:eastAsia="Arial Unicode MS"/>
          <w:bCs/>
          <w:lang w:eastAsia="fr-FR" w:bidi="he-IL"/>
        </w:rPr>
      </w:pPr>
      <w:r w:rsidRPr="00C8701B">
        <w:rPr>
          <w:rFonts w:eastAsia="Arial Unicode MS"/>
          <w:bCs/>
          <w:lang w:val="el-GR" w:eastAsia="fr-FR" w:bidi="he-IL"/>
        </w:rPr>
        <w:t>δ.</w:t>
      </w:r>
      <w:r w:rsidR="000F7DAA">
        <w:rPr>
          <w:rStyle w:val="italicus"/>
        </w:rPr>
        <w:t xml:space="preserve"> —</w:t>
      </w:r>
      <w:r w:rsidR="008D0642">
        <w:rPr>
          <w:rStyle w:val="italicus"/>
        </w:rPr>
        <w:t xml:space="preserve"> </w:t>
      </w:r>
      <w:r w:rsidRPr="00DC4586">
        <w:rPr>
          <w:rStyle w:val="italicus"/>
        </w:rPr>
        <w:t>L</w:t>
      </w:r>
      <w:r w:rsidR="00557DE0">
        <w:rPr>
          <w:rStyle w:val="italicus"/>
        </w:rPr>
        <w:t>’</w:t>
      </w:r>
      <w:r w:rsidR="000439E9" w:rsidRPr="00DC4586">
        <w:rPr>
          <w:rStyle w:val="italicus"/>
        </w:rPr>
        <w:t>Évangile</w:t>
      </w:r>
      <w:r w:rsidRPr="00DC4586">
        <w:rPr>
          <w:rStyle w:val="italicus"/>
        </w:rPr>
        <w:t xml:space="preserve"> du Pseudo-Matthieu</w:t>
      </w:r>
      <w:r w:rsidRPr="00C8701B">
        <w:rPr>
          <w:rFonts w:eastAsia="Arial Unicode MS"/>
          <w:bCs/>
          <w:lang w:eastAsia="fr-FR" w:bidi="he-IL"/>
        </w:rPr>
        <w:t xml:space="preserve"> porte aussi le nom de</w:t>
      </w:r>
      <w:r w:rsidRPr="00DC4586">
        <w:rPr>
          <w:rStyle w:val="italicus"/>
        </w:rPr>
        <w:t xml:space="preserve"> Liber de ortu </w:t>
      </w:r>
      <w:r w:rsidR="002F260B" w:rsidRPr="00DC4586">
        <w:rPr>
          <w:rStyle w:val="italicus"/>
        </w:rPr>
        <w:t>Beát</w:t>
      </w:r>
      <w:r w:rsidR="002F260B">
        <w:rPr>
          <w:rStyle w:val="italicus"/>
        </w:rPr>
        <w:t>æ</w:t>
      </w:r>
      <w:r w:rsidRPr="00DC4586">
        <w:rPr>
          <w:rStyle w:val="italicus"/>
        </w:rPr>
        <w:t xml:space="preserve"> </w:t>
      </w:r>
      <w:r w:rsidR="00736374">
        <w:rPr>
          <w:rStyle w:val="italicus"/>
        </w:rPr>
        <w:t>Maríæ</w:t>
      </w:r>
      <w:r w:rsidRPr="00DC4586">
        <w:rPr>
          <w:rStyle w:val="italicus"/>
        </w:rPr>
        <w:t xml:space="preserve"> et </w:t>
      </w:r>
      <w:r w:rsidR="002F260B" w:rsidRPr="00DC4586">
        <w:rPr>
          <w:rStyle w:val="italicus"/>
        </w:rPr>
        <w:t>infántia</w:t>
      </w:r>
      <w:r w:rsidRPr="00DC4586">
        <w:rPr>
          <w:rStyle w:val="italicus"/>
        </w:rPr>
        <w:t xml:space="preserve"> </w:t>
      </w:r>
      <w:r w:rsidR="002F260B" w:rsidRPr="00DC4586">
        <w:rPr>
          <w:rStyle w:val="italicus"/>
        </w:rPr>
        <w:t>Salvatóris</w:t>
      </w:r>
      <w:r w:rsidR="00933C60" w:rsidRPr="00C406FF">
        <w:rPr>
          <w:rStyle w:val="Appelnotedebasdep"/>
        </w:rPr>
        <w:footnoteReference w:id="599"/>
      </w:r>
      <w:r w:rsidRPr="00C8701B">
        <w:rPr>
          <w:rFonts w:eastAsia="Arial Unicode MS"/>
          <w:bCs/>
          <w:lang w:eastAsia="fr-FR" w:bidi="he-IL"/>
        </w:rPr>
        <w:t xml:space="preserve">. </w:t>
      </w:r>
      <w:r w:rsidR="00C2602D" w:rsidRPr="00C8701B">
        <w:rPr>
          <w:rFonts w:eastAsia="Arial Unicode MS"/>
          <w:bCs/>
          <w:lang w:eastAsia="fr-FR" w:bidi="he-IL"/>
        </w:rPr>
        <w:t>« </w:t>
      </w:r>
      <w:r w:rsidRPr="00C8701B">
        <w:rPr>
          <w:rFonts w:eastAsia="Arial Unicode MS"/>
          <w:bCs/>
          <w:lang w:eastAsia="fr-FR" w:bidi="he-IL"/>
        </w:rPr>
        <w:t>Les manuscrits ne s</w:t>
      </w:r>
      <w:r w:rsidR="00557DE0">
        <w:rPr>
          <w:rFonts w:eastAsia="Arial Unicode MS"/>
          <w:bCs/>
          <w:lang w:eastAsia="fr-FR" w:bidi="he-IL"/>
        </w:rPr>
        <w:t>’</w:t>
      </w:r>
      <w:r w:rsidRPr="00C8701B">
        <w:rPr>
          <w:rFonts w:eastAsia="Arial Unicode MS"/>
          <w:bCs/>
          <w:lang w:eastAsia="fr-FR" w:bidi="he-IL"/>
        </w:rPr>
        <w:t>accordent pas sur l</w:t>
      </w:r>
      <w:r w:rsidR="00557DE0">
        <w:rPr>
          <w:rFonts w:eastAsia="Arial Unicode MS"/>
          <w:bCs/>
          <w:lang w:eastAsia="fr-FR" w:bidi="he-IL"/>
        </w:rPr>
        <w:t>’</w:t>
      </w:r>
      <w:r w:rsidRPr="00C8701B">
        <w:rPr>
          <w:rFonts w:eastAsia="Arial Unicode MS"/>
          <w:bCs/>
          <w:lang w:eastAsia="fr-FR" w:bidi="he-IL"/>
        </w:rPr>
        <w:t>auteur de la composition</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ils la donnent également comme de S. Matthieu</w:t>
      </w:r>
      <w:r w:rsidR="00E65435">
        <w:rPr>
          <w:rFonts w:eastAsia="Arial Unicode MS"/>
          <w:bCs/>
          <w:lang w:eastAsia="fr-FR" w:bidi="he-IL"/>
        </w:rPr>
        <w:t xml:space="preserve">, </w:t>
      </w:r>
      <w:r w:rsidRPr="00C8701B">
        <w:rPr>
          <w:rFonts w:eastAsia="Arial Unicode MS"/>
          <w:bCs/>
          <w:lang w:eastAsia="fr-FR" w:bidi="he-IL"/>
        </w:rPr>
        <w:t>de S. Jacques et de S. Jean</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un d</w:t>
      </w:r>
      <w:r w:rsidR="00557DE0">
        <w:rPr>
          <w:rFonts w:eastAsia="Arial Unicode MS"/>
          <w:bCs/>
          <w:lang w:eastAsia="fr-FR" w:bidi="he-IL"/>
        </w:rPr>
        <w:t>’</w:t>
      </w:r>
      <w:r w:rsidRPr="00C8701B">
        <w:rPr>
          <w:rFonts w:eastAsia="Arial Unicode MS"/>
          <w:bCs/>
          <w:lang w:eastAsia="fr-FR" w:bidi="he-IL"/>
        </w:rPr>
        <w:t>eux l</w:t>
      </w:r>
      <w:r w:rsidR="00557DE0">
        <w:rPr>
          <w:rFonts w:eastAsia="Arial Unicode MS"/>
          <w:bCs/>
          <w:lang w:eastAsia="fr-FR" w:bidi="he-IL"/>
        </w:rPr>
        <w:t>’</w:t>
      </w:r>
      <w:r w:rsidRPr="00C8701B">
        <w:rPr>
          <w:rFonts w:eastAsia="Arial Unicode MS"/>
          <w:bCs/>
          <w:lang w:eastAsia="fr-FR" w:bidi="he-IL"/>
        </w:rPr>
        <w:t>attribue même à Onésime</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 xml:space="preserve">esclave en faveur duquel S. Paul écrivit son </w:t>
      </w:r>
      <w:r w:rsidR="001B15A5" w:rsidRPr="00C8701B">
        <w:rPr>
          <w:rFonts w:eastAsia="Arial Unicode MS"/>
          <w:bCs/>
          <w:lang w:eastAsia="fr-FR" w:bidi="he-IL"/>
        </w:rPr>
        <w:t>épitre</w:t>
      </w:r>
      <w:r w:rsidRPr="00C8701B">
        <w:rPr>
          <w:rFonts w:eastAsia="Arial Unicode MS"/>
          <w:bCs/>
          <w:lang w:eastAsia="fr-FR" w:bidi="he-IL"/>
        </w:rPr>
        <w:t xml:space="preserve"> à Philémon. Mais le nom de S. Matthieu réunit le plus de suffrages... Pour donner quelque vraisemblance à cette supposition</w:t>
      </w:r>
      <w:r w:rsidR="00E65435">
        <w:rPr>
          <w:rFonts w:eastAsia="Arial Unicode MS"/>
          <w:bCs/>
          <w:lang w:eastAsia="fr-FR" w:bidi="he-IL"/>
        </w:rPr>
        <w:t xml:space="preserve">, </w:t>
      </w:r>
      <w:r w:rsidRPr="00C8701B">
        <w:rPr>
          <w:rFonts w:eastAsia="Arial Unicode MS"/>
          <w:bCs/>
          <w:lang w:eastAsia="fr-FR" w:bidi="he-IL"/>
        </w:rPr>
        <w:t>les anciens copistes ont inventé une correspondance entre S. Jérôme et deux de ses amis</w:t>
      </w:r>
      <w:r w:rsidR="00E65435">
        <w:rPr>
          <w:rFonts w:eastAsia="Arial Unicode MS"/>
          <w:bCs/>
          <w:lang w:eastAsia="fr-FR" w:bidi="he-IL"/>
        </w:rPr>
        <w:t xml:space="preserve">, </w:t>
      </w:r>
      <w:r w:rsidRPr="00C8701B">
        <w:rPr>
          <w:rFonts w:eastAsia="Arial Unicode MS"/>
          <w:bCs/>
          <w:lang w:eastAsia="fr-FR" w:bidi="he-IL"/>
        </w:rPr>
        <w:t xml:space="preserve">les évêques </w:t>
      </w:r>
      <w:r w:rsidR="00EA28F4" w:rsidRPr="00C8701B">
        <w:rPr>
          <w:rFonts w:eastAsia="Arial Unicode MS"/>
          <w:bCs/>
          <w:lang w:eastAsia="fr-FR" w:bidi="he-IL"/>
        </w:rPr>
        <w:t>Chromátius</w:t>
      </w:r>
      <w:r w:rsidRPr="00C8701B">
        <w:rPr>
          <w:rFonts w:eastAsia="Arial Unicode MS"/>
          <w:bCs/>
          <w:lang w:eastAsia="fr-FR" w:bidi="he-IL"/>
        </w:rPr>
        <w:t xml:space="preserve"> et Héliodore. Ces derniers profitent du séjour de S. Jérôme en Palestine et de la connaissance qu</w:t>
      </w:r>
      <w:r w:rsidR="00557DE0">
        <w:rPr>
          <w:rFonts w:eastAsia="Arial Unicode MS"/>
          <w:bCs/>
          <w:lang w:eastAsia="fr-FR" w:bidi="he-IL"/>
        </w:rPr>
        <w:t>’</w:t>
      </w:r>
      <w:r w:rsidRPr="00C8701B">
        <w:rPr>
          <w:rFonts w:eastAsia="Arial Unicode MS"/>
          <w:bCs/>
          <w:lang w:eastAsia="fr-FR" w:bidi="he-IL"/>
        </w:rPr>
        <w:t>il a acquise de l</w:t>
      </w:r>
      <w:r w:rsidR="00557DE0">
        <w:rPr>
          <w:rFonts w:eastAsia="Arial Unicode MS"/>
          <w:bCs/>
          <w:lang w:eastAsia="fr-FR" w:bidi="he-IL"/>
        </w:rPr>
        <w:t>’</w:t>
      </w:r>
      <w:r w:rsidRPr="00C8701B">
        <w:rPr>
          <w:rFonts w:eastAsia="Arial Unicode MS"/>
          <w:bCs/>
          <w:lang w:eastAsia="fr-FR" w:bidi="he-IL"/>
        </w:rPr>
        <w:t>hébreu</w:t>
      </w:r>
      <w:r w:rsidR="00E65435">
        <w:rPr>
          <w:rFonts w:eastAsia="Arial Unicode MS"/>
          <w:bCs/>
          <w:lang w:eastAsia="fr-FR" w:bidi="he-IL"/>
        </w:rPr>
        <w:t xml:space="preserve">, </w:t>
      </w:r>
      <w:r w:rsidRPr="00C8701B">
        <w:rPr>
          <w:rFonts w:eastAsia="Arial Unicode MS"/>
          <w:bCs/>
          <w:lang w:eastAsia="fr-FR" w:bidi="he-IL"/>
        </w:rPr>
        <w:t>pour lui demander une traduction</w:t>
      </w:r>
      <w:r w:rsidR="00E65435">
        <w:rPr>
          <w:rFonts w:eastAsia="Arial Unicode MS"/>
          <w:bCs/>
          <w:lang w:eastAsia="fr-FR" w:bidi="he-IL"/>
        </w:rPr>
        <w:t xml:space="preserve">, </w:t>
      </w:r>
      <w:r w:rsidRPr="00C8701B">
        <w:rPr>
          <w:rFonts w:eastAsia="Arial Unicode MS"/>
          <w:bCs/>
          <w:lang w:eastAsia="fr-FR" w:bidi="he-IL"/>
        </w:rPr>
        <w:t>faite sur l</w:t>
      </w:r>
      <w:r w:rsidR="00557DE0">
        <w:rPr>
          <w:rFonts w:eastAsia="Arial Unicode MS"/>
          <w:bCs/>
          <w:lang w:eastAsia="fr-FR" w:bidi="he-IL"/>
        </w:rPr>
        <w:t>’</w:t>
      </w:r>
      <w:r w:rsidRPr="00C8701B">
        <w:rPr>
          <w:rFonts w:eastAsia="Arial Unicode MS"/>
          <w:bCs/>
          <w:lang w:eastAsia="fr-FR" w:bidi="he-IL"/>
        </w:rPr>
        <w:t>original hébreu</w:t>
      </w:r>
      <w:r w:rsidR="00E65435">
        <w:rPr>
          <w:rFonts w:eastAsia="Arial Unicode MS"/>
          <w:bCs/>
          <w:lang w:eastAsia="fr-FR" w:bidi="he-IL"/>
        </w:rPr>
        <w:t xml:space="preserve">, </w:t>
      </w:r>
      <w:r w:rsidRPr="00C8701B">
        <w:rPr>
          <w:rFonts w:eastAsia="Arial Unicode MS"/>
          <w:bCs/>
          <w:lang w:eastAsia="fr-FR" w:bidi="he-IL"/>
        </w:rPr>
        <w:t>de l</w:t>
      </w:r>
      <w:r w:rsidR="00557DE0">
        <w:rPr>
          <w:rFonts w:eastAsia="Arial Unicode MS"/>
          <w:bCs/>
          <w:lang w:eastAsia="fr-FR" w:bidi="he-IL"/>
        </w:rPr>
        <w:t>’</w:t>
      </w:r>
      <w:r w:rsidR="00660B56">
        <w:rPr>
          <w:rFonts w:eastAsia="Arial Unicode MS"/>
          <w:bCs/>
          <w:lang w:eastAsia="fr-FR" w:bidi="he-IL"/>
        </w:rPr>
        <w:t>Évangile</w:t>
      </w:r>
      <w:r w:rsidRPr="00C8701B">
        <w:rPr>
          <w:rFonts w:eastAsia="Arial Unicode MS"/>
          <w:bCs/>
          <w:lang w:eastAsia="fr-FR" w:bidi="he-IL"/>
        </w:rPr>
        <w:t xml:space="preserve"> de l</w:t>
      </w:r>
      <w:r w:rsidR="00557DE0">
        <w:rPr>
          <w:rFonts w:eastAsia="Arial Unicode MS"/>
          <w:bCs/>
          <w:lang w:eastAsia="fr-FR" w:bidi="he-IL"/>
        </w:rPr>
        <w:t>’</w:t>
      </w:r>
      <w:r w:rsidRPr="00C8701B">
        <w:rPr>
          <w:rFonts w:eastAsia="Arial Unicode MS"/>
          <w:bCs/>
          <w:lang w:eastAsia="fr-FR" w:bidi="he-IL"/>
        </w:rPr>
        <w:t>enfance. Réponse de S. Jérôme</w:t>
      </w:r>
      <w:r w:rsidR="00E65435">
        <w:rPr>
          <w:rFonts w:eastAsia="Arial Unicode MS"/>
          <w:bCs/>
          <w:lang w:eastAsia="fr-FR" w:bidi="he-IL"/>
        </w:rPr>
        <w:t xml:space="preserve">, </w:t>
      </w:r>
      <w:r w:rsidRPr="00C8701B">
        <w:rPr>
          <w:rFonts w:eastAsia="Arial Unicode MS"/>
          <w:bCs/>
          <w:lang w:eastAsia="fr-FR" w:bidi="he-IL"/>
        </w:rPr>
        <w:t>qui ne peut rien refuser à</w:t>
      </w:r>
      <w:r w:rsidR="009447D5" w:rsidRPr="00C8701B">
        <w:rPr>
          <w:rFonts w:eastAsia="Arial Unicode MS"/>
          <w:bCs/>
          <w:lang w:eastAsia="fr-FR" w:bidi="he-IL"/>
        </w:rPr>
        <w:t xml:space="preserve"> </w:t>
      </w:r>
      <w:r w:rsidRPr="00C8701B">
        <w:rPr>
          <w:rFonts w:eastAsia="Arial Unicode MS"/>
          <w:bCs/>
          <w:lang w:eastAsia="fr-FR" w:bidi="he-IL"/>
        </w:rPr>
        <w:t>ses anciens amis d</w:t>
      </w:r>
      <w:r w:rsidR="00557DE0">
        <w:rPr>
          <w:rFonts w:eastAsia="Arial Unicode MS"/>
          <w:bCs/>
          <w:lang w:eastAsia="fr-FR" w:bidi="he-IL"/>
        </w:rPr>
        <w:t>’</w:t>
      </w:r>
      <w:r w:rsidRPr="00C8701B">
        <w:rPr>
          <w:rFonts w:eastAsia="Arial Unicode MS"/>
          <w:bCs/>
          <w:lang w:eastAsia="fr-FR" w:bidi="he-IL"/>
        </w:rPr>
        <w:t>Aquilée</w:t>
      </w:r>
      <w:r w:rsidR="00E65435">
        <w:rPr>
          <w:rFonts w:eastAsia="Arial Unicode MS"/>
          <w:bCs/>
          <w:lang w:eastAsia="fr-FR" w:bidi="he-IL"/>
        </w:rPr>
        <w:t xml:space="preserve">, </w:t>
      </w:r>
      <w:r w:rsidR="002F260B">
        <w:rPr>
          <w:rFonts w:eastAsia="Arial Unicode MS"/>
          <w:bCs/>
          <w:lang w:eastAsia="fr-FR" w:bidi="he-IL"/>
        </w:rPr>
        <w:t>surtout à deux a</w:t>
      </w:r>
      <w:r w:rsidRPr="00C8701B">
        <w:rPr>
          <w:rFonts w:eastAsia="Arial Unicode MS"/>
          <w:bCs/>
          <w:lang w:eastAsia="fr-FR" w:bidi="he-IL"/>
        </w:rPr>
        <w:t>mis qui sont évêques</w:t>
      </w:r>
      <w:r w:rsidR="00E65435">
        <w:rPr>
          <w:rFonts w:eastAsia="Arial Unicode MS"/>
          <w:bCs/>
          <w:lang w:eastAsia="fr-FR" w:bidi="he-IL"/>
        </w:rPr>
        <w:t xml:space="preserve">, </w:t>
      </w:r>
      <w:r w:rsidRPr="00C8701B">
        <w:rPr>
          <w:rFonts w:eastAsia="Arial Unicode MS"/>
          <w:bCs/>
          <w:lang w:eastAsia="fr-FR" w:bidi="he-IL"/>
        </w:rPr>
        <w:t>et dont les désirs sont pour lui des ordres. Toute cette correspondance précède le texte du Pseudo-Mathieu</w:t>
      </w:r>
      <w:r w:rsidR="006A4C4C">
        <w:rPr>
          <w:rFonts w:eastAsia="Arial Unicode MS"/>
          <w:bCs/>
          <w:lang w:eastAsia="fr-FR" w:bidi="he-IL"/>
        </w:rPr>
        <w:t> »</w:t>
      </w:r>
      <w:r w:rsidR="00E26E85">
        <w:rPr>
          <w:rStyle w:val="Appelnotedebasdep"/>
          <w:rFonts w:eastAsia="Arial Unicode MS"/>
          <w:bCs/>
          <w:lang w:eastAsia="fr-FR" w:bidi="he-IL"/>
        </w:rPr>
        <w:footnoteReference w:id="600"/>
      </w:r>
      <w:r w:rsidRPr="00C8701B">
        <w:rPr>
          <w:rFonts w:eastAsia="Arial Unicode MS"/>
          <w:bCs/>
          <w:lang w:eastAsia="fr-FR" w:bidi="he-IL"/>
        </w:rPr>
        <w:t xml:space="preserve">. Il date du </w:t>
      </w:r>
      <w:r w:rsidR="002F260B">
        <w:rPr>
          <w:rFonts w:eastAsia="Arial Unicode MS"/>
          <w:bCs/>
          <w:lang w:eastAsia="fr-FR" w:bidi="he-IL"/>
        </w:rPr>
        <w:t>VI</w:t>
      </w:r>
      <w:r w:rsidRPr="00C8701B">
        <w:rPr>
          <w:rFonts w:eastAsia="Arial Unicode MS"/>
          <w:bCs/>
          <w:vertAlign w:val="superscript"/>
          <w:lang w:eastAsia="fr-FR" w:bidi="he-IL"/>
        </w:rPr>
        <w:t>e</w:t>
      </w:r>
      <w:r w:rsidRPr="00C8701B">
        <w:rPr>
          <w:rFonts w:eastAsia="Arial Unicode MS"/>
          <w:bCs/>
          <w:lang w:eastAsia="fr-FR" w:bidi="he-IL"/>
        </w:rPr>
        <w:t xml:space="preserve"> ou du </w:t>
      </w:r>
      <w:r w:rsidR="002F260B">
        <w:rPr>
          <w:rFonts w:eastAsia="Arial Unicode MS"/>
          <w:bCs/>
          <w:lang w:eastAsia="fr-FR" w:bidi="he-IL"/>
        </w:rPr>
        <w:t>VII</w:t>
      </w:r>
      <w:r w:rsidRPr="00C8701B">
        <w:rPr>
          <w:rFonts w:eastAsia="Arial Unicode MS"/>
          <w:bCs/>
          <w:vertAlign w:val="superscript"/>
          <w:lang w:eastAsia="fr-FR" w:bidi="he-IL"/>
        </w:rPr>
        <w:t>e</w:t>
      </w:r>
      <w:r w:rsidRPr="00C8701B">
        <w:rPr>
          <w:rFonts w:eastAsia="Arial Unicode MS"/>
          <w:bCs/>
          <w:lang w:eastAsia="fr-FR" w:bidi="he-IL"/>
        </w:rPr>
        <w:t xml:space="preserve"> siècle</w:t>
      </w:r>
      <w:r w:rsidR="00E65435">
        <w:rPr>
          <w:rFonts w:eastAsia="Arial Unicode MS"/>
          <w:bCs/>
          <w:lang w:eastAsia="fr-FR" w:bidi="he-IL"/>
        </w:rPr>
        <w:t xml:space="preserve">, </w:t>
      </w:r>
      <w:r w:rsidRPr="00C8701B">
        <w:rPr>
          <w:rFonts w:eastAsia="Arial Unicode MS"/>
          <w:bCs/>
          <w:lang w:eastAsia="fr-FR" w:bidi="he-IL"/>
        </w:rPr>
        <w:t>et ne fait guère que reproduire soit le Protévangile de Jacques</w:t>
      </w:r>
      <w:r w:rsidR="00E65435">
        <w:rPr>
          <w:rFonts w:eastAsia="Arial Unicode MS"/>
          <w:bCs/>
          <w:lang w:eastAsia="fr-FR" w:bidi="he-IL"/>
        </w:rPr>
        <w:t xml:space="preserve">, </w:t>
      </w:r>
      <w:r w:rsidRPr="00C8701B">
        <w:rPr>
          <w:rFonts w:eastAsia="Arial Unicode MS"/>
          <w:bCs/>
          <w:lang w:eastAsia="fr-FR" w:bidi="he-IL"/>
        </w:rPr>
        <w:t>soit l</w:t>
      </w:r>
      <w:r w:rsidR="00557DE0">
        <w:rPr>
          <w:rFonts w:eastAsia="Arial Unicode MS"/>
          <w:bCs/>
          <w:lang w:eastAsia="fr-FR" w:bidi="he-IL"/>
        </w:rPr>
        <w:t>’</w:t>
      </w:r>
      <w:r w:rsidR="000439E9">
        <w:rPr>
          <w:rFonts w:eastAsia="Arial Unicode MS"/>
          <w:bCs/>
          <w:lang w:eastAsia="fr-FR" w:bidi="he-IL"/>
        </w:rPr>
        <w:t>Évangile</w:t>
      </w:r>
      <w:r w:rsidRPr="00C8701B">
        <w:rPr>
          <w:rFonts w:eastAsia="Arial Unicode MS"/>
          <w:bCs/>
          <w:lang w:eastAsia="fr-FR" w:bidi="he-IL"/>
        </w:rPr>
        <w:t xml:space="preserve"> de Thomas</w:t>
      </w:r>
      <w:r w:rsidR="00E65435">
        <w:rPr>
          <w:rFonts w:eastAsia="Arial Unicode MS"/>
          <w:bCs/>
          <w:lang w:eastAsia="fr-FR" w:bidi="he-IL"/>
        </w:rPr>
        <w:t xml:space="preserve">, </w:t>
      </w:r>
      <w:r w:rsidRPr="00C8701B">
        <w:rPr>
          <w:rFonts w:eastAsia="Arial Unicode MS"/>
          <w:bCs/>
          <w:lang w:eastAsia="fr-FR" w:bidi="he-IL"/>
        </w:rPr>
        <w:t>avec des additions et remaniements de divers genres. En voici quelques traits</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après Thilo</w:t>
      </w:r>
      <w:r w:rsidR="00933C60" w:rsidRPr="00C406FF">
        <w:rPr>
          <w:rStyle w:val="Appelnotedebasdep"/>
        </w:rPr>
        <w:footnoteReference w:id="601"/>
      </w:r>
      <w:r w:rsidRPr="00C8701B">
        <w:rPr>
          <w:rFonts w:eastAsia="Arial Unicode MS"/>
          <w:bCs/>
          <w:lang w:eastAsia="fr-FR" w:bidi="he-IL"/>
        </w:rPr>
        <w:t xml:space="preserve"> et Brunet</w:t>
      </w:r>
      <w:r w:rsidR="00933C60" w:rsidRPr="00C406FF">
        <w:rPr>
          <w:rStyle w:val="Appelnotedebasdep"/>
        </w:rPr>
        <w:footnoteReference w:id="602"/>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502CC1">
      <w:pPr>
        <w:pStyle w:val="locus"/>
        <w:rPr>
          <w:lang w:eastAsia="fr-FR" w:bidi="he-IL"/>
        </w:rPr>
      </w:pPr>
      <w:r w:rsidRPr="00C8701B">
        <w:rPr>
          <w:lang w:eastAsia="fr-FR" w:bidi="he-IL"/>
        </w:rPr>
        <w:t xml:space="preserve">Chapitre </w:t>
      </w:r>
      <w:r w:rsidR="0042479B">
        <w:rPr>
          <w:lang w:eastAsia="fr-FR" w:bidi="he-IL"/>
        </w:rPr>
        <w:t>XXV</w:t>
      </w:r>
      <w:r w:rsidRPr="00C8701B">
        <w:rPr>
          <w:lang w:eastAsia="fr-FR" w:bidi="he-IL"/>
        </w:rPr>
        <w:t>.</w:t>
      </w:r>
      <w:r w:rsidR="000F7DAA">
        <w:rPr>
          <w:lang w:eastAsia="fr-FR" w:bidi="he-IL"/>
        </w:rPr>
        <w:t xml:space="preserve"> —</w:t>
      </w:r>
      <w:r w:rsidR="008D0642">
        <w:rPr>
          <w:lang w:eastAsia="fr-FR" w:bidi="he-IL"/>
        </w:rPr>
        <w:t xml:space="preserve"> </w:t>
      </w:r>
      <w:r w:rsidRPr="00C8701B">
        <w:rPr>
          <w:lang w:eastAsia="fr-FR" w:bidi="he-IL"/>
        </w:rPr>
        <w:t>Et Jésus accomplit sa troisième année</w:t>
      </w:r>
      <w:r w:rsidR="007D3F5A">
        <w:rPr>
          <w:lang w:eastAsia="fr-FR" w:bidi="he-IL"/>
        </w:rPr>
        <w:t xml:space="preserve">. </w:t>
      </w:r>
      <w:r w:rsidR="007D3F5A" w:rsidRPr="00C8701B">
        <w:rPr>
          <w:lang w:eastAsia="fr-FR" w:bidi="he-IL"/>
        </w:rPr>
        <w:t>E</w:t>
      </w:r>
      <w:r w:rsidRPr="00C8701B">
        <w:rPr>
          <w:lang w:eastAsia="fr-FR" w:bidi="he-IL"/>
        </w:rPr>
        <w:t>t voyant les enfants qui jouaient</w:t>
      </w:r>
      <w:r w:rsidR="00E65435">
        <w:rPr>
          <w:lang w:eastAsia="fr-FR" w:bidi="he-IL"/>
        </w:rPr>
        <w:t xml:space="preserve">, </w:t>
      </w:r>
      <w:r w:rsidR="002F260B">
        <w:rPr>
          <w:lang w:eastAsia="fr-FR" w:bidi="he-IL"/>
        </w:rPr>
        <w:t>il se mit à jouer a</w:t>
      </w:r>
      <w:r w:rsidRPr="00C8701B">
        <w:rPr>
          <w:lang w:eastAsia="fr-FR" w:bidi="he-IL"/>
        </w:rPr>
        <w:t>vec eux</w:t>
      </w:r>
      <w:r w:rsidR="00C2602D" w:rsidRPr="00C8701B">
        <w:rPr>
          <w:lang w:eastAsia="fr-FR" w:bidi="he-IL"/>
        </w:rPr>
        <w:t> </w:t>
      </w:r>
      <w:r w:rsidR="007F6508">
        <w:rPr>
          <w:lang w:eastAsia="fr-FR" w:bidi="he-IL"/>
        </w:rPr>
        <w:t xml:space="preserve">; </w:t>
      </w:r>
      <w:r w:rsidRPr="00C8701B">
        <w:rPr>
          <w:lang w:eastAsia="fr-FR" w:bidi="he-IL"/>
        </w:rPr>
        <w:t>et ayant pris un poisson desséché qui était imprégné de sel</w:t>
      </w:r>
      <w:r w:rsidR="00E65435">
        <w:rPr>
          <w:lang w:eastAsia="fr-FR" w:bidi="he-IL"/>
        </w:rPr>
        <w:t xml:space="preserve">, </w:t>
      </w:r>
      <w:r w:rsidRPr="00C8701B">
        <w:rPr>
          <w:lang w:eastAsia="fr-FR" w:bidi="he-IL"/>
        </w:rPr>
        <w:t>il le posa dans un bassin plein d</w:t>
      </w:r>
      <w:r w:rsidR="00557DE0">
        <w:rPr>
          <w:lang w:eastAsia="fr-FR" w:bidi="he-IL"/>
        </w:rPr>
        <w:t>’</w:t>
      </w:r>
      <w:r w:rsidRPr="00C8701B">
        <w:rPr>
          <w:lang w:eastAsia="fr-FR" w:bidi="he-IL"/>
        </w:rPr>
        <w:t>eau</w:t>
      </w:r>
      <w:r w:rsidR="00E65435">
        <w:rPr>
          <w:lang w:eastAsia="fr-FR" w:bidi="he-IL"/>
        </w:rPr>
        <w:t xml:space="preserve">, </w:t>
      </w:r>
      <w:r w:rsidRPr="00C8701B">
        <w:rPr>
          <w:lang w:eastAsia="fr-FR" w:bidi="he-IL"/>
        </w:rPr>
        <w:t>et il lui ordonna de palpiter</w:t>
      </w:r>
      <w:r w:rsidR="00C2602D" w:rsidRPr="00C8701B">
        <w:rPr>
          <w:lang w:eastAsia="fr-FR" w:bidi="he-IL"/>
        </w:rPr>
        <w:t> </w:t>
      </w:r>
      <w:r w:rsidR="007F6508">
        <w:rPr>
          <w:lang w:eastAsia="fr-FR" w:bidi="he-IL"/>
        </w:rPr>
        <w:t xml:space="preserve">; </w:t>
      </w:r>
      <w:r w:rsidRPr="00C8701B">
        <w:rPr>
          <w:lang w:eastAsia="fr-FR" w:bidi="he-IL"/>
        </w:rPr>
        <w:t>et le poisson commença à palpiter. Et Jésus</w:t>
      </w:r>
      <w:r w:rsidR="00E65435">
        <w:rPr>
          <w:lang w:eastAsia="fr-FR" w:bidi="he-IL"/>
        </w:rPr>
        <w:t xml:space="preserve">, </w:t>
      </w:r>
      <w:r w:rsidR="002F260B">
        <w:rPr>
          <w:lang w:eastAsia="fr-FR" w:bidi="he-IL"/>
        </w:rPr>
        <w:t>adressant derechef la paro</w:t>
      </w:r>
      <w:r w:rsidRPr="00C8701B">
        <w:rPr>
          <w:lang w:eastAsia="fr-FR" w:bidi="he-IL"/>
        </w:rPr>
        <w:t>le au poisson</w:t>
      </w:r>
      <w:r w:rsidR="00E65435">
        <w:rPr>
          <w:lang w:eastAsia="fr-FR" w:bidi="he-IL"/>
        </w:rPr>
        <w:t xml:space="preserve">, </w:t>
      </w:r>
      <w:r w:rsidR="002F260B">
        <w:rPr>
          <w:lang w:eastAsia="fr-FR" w:bidi="he-IL"/>
        </w:rPr>
        <w:t>lu</w:t>
      </w:r>
      <w:r w:rsidRPr="00C8701B">
        <w:rPr>
          <w:lang w:eastAsia="fr-FR" w:bidi="he-IL"/>
        </w:rPr>
        <w:t>i dit</w:t>
      </w:r>
      <w:r w:rsidR="00C2602D" w:rsidRPr="00C8701B">
        <w:rPr>
          <w:lang w:eastAsia="fr-FR" w:bidi="he-IL"/>
        </w:rPr>
        <w:t> :</w:t>
      </w:r>
      <w:r w:rsidRPr="00C8701B">
        <w:rPr>
          <w:lang w:eastAsia="fr-FR" w:bidi="he-IL"/>
        </w:rPr>
        <w:t xml:space="preserve"> Rejette le sel que tu as en toi</w:t>
      </w:r>
      <w:r w:rsidR="00E65435">
        <w:rPr>
          <w:lang w:eastAsia="fr-FR" w:bidi="he-IL"/>
        </w:rPr>
        <w:t xml:space="preserve">, </w:t>
      </w:r>
      <w:r w:rsidRPr="00C8701B">
        <w:rPr>
          <w:lang w:eastAsia="fr-FR" w:bidi="he-IL"/>
        </w:rPr>
        <w:t>et remue-toi dans l</w:t>
      </w:r>
      <w:r w:rsidR="00557DE0">
        <w:rPr>
          <w:lang w:eastAsia="fr-FR" w:bidi="he-IL"/>
        </w:rPr>
        <w:t>’</w:t>
      </w:r>
      <w:r w:rsidRPr="00C8701B">
        <w:rPr>
          <w:lang w:eastAsia="fr-FR" w:bidi="he-IL"/>
        </w:rPr>
        <w:t>eau. Et cela se fit ainsi. Les voisins</w:t>
      </w:r>
      <w:r w:rsidR="00E65435">
        <w:rPr>
          <w:lang w:eastAsia="fr-FR" w:bidi="he-IL"/>
        </w:rPr>
        <w:t xml:space="preserve">, </w:t>
      </w:r>
      <w:r w:rsidRPr="00C8701B">
        <w:rPr>
          <w:lang w:eastAsia="fr-FR" w:bidi="he-IL"/>
        </w:rPr>
        <w:t>voyant ce qui se passait</w:t>
      </w:r>
      <w:r w:rsidR="00E65435">
        <w:rPr>
          <w:lang w:eastAsia="fr-FR" w:bidi="he-IL"/>
        </w:rPr>
        <w:t xml:space="preserve">, </w:t>
      </w:r>
      <w:r w:rsidRPr="00C8701B">
        <w:rPr>
          <w:lang w:eastAsia="fr-FR" w:bidi="he-IL"/>
        </w:rPr>
        <w:t>l</w:t>
      </w:r>
      <w:r w:rsidR="00557DE0">
        <w:rPr>
          <w:lang w:eastAsia="fr-FR" w:bidi="he-IL"/>
        </w:rPr>
        <w:t>’</w:t>
      </w:r>
      <w:r w:rsidRPr="00C8701B">
        <w:rPr>
          <w:lang w:eastAsia="fr-FR" w:bidi="he-IL"/>
        </w:rPr>
        <w:t>annoncèrent à la veuve dans la maison de laquelle habitait Marie. Et quand elle apprit ces choses</w:t>
      </w:r>
      <w:r w:rsidR="00E65435">
        <w:rPr>
          <w:lang w:eastAsia="fr-FR" w:bidi="he-IL"/>
        </w:rPr>
        <w:t xml:space="preserve">, </w:t>
      </w:r>
      <w:r w:rsidRPr="00C8701B">
        <w:rPr>
          <w:lang w:eastAsia="fr-FR" w:bidi="he-IL"/>
        </w:rPr>
        <w:t>elle les renvoya avec précipitation de chez elle.</w:t>
      </w:r>
      <w:r w:rsidR="00C2602D" w:rsidRPr="00C8701B">
        <w:rPr>
          <w:lang w:eastAsia="fr-FR" w:bidi="he-IL"/>
        </w:rPr>
        <w:t xml:space="preserve"> </w:t>
      </w:r>
    </w:p>
    <w:p w:rsidR="00C2602D" w:rsidRPr="00C8701B" w:rsidRDefault="00B704AD" w:rsidP="00502CC1">
      <w:pPr>
        <w:pStyle w:val="locus"/>
        <w:rPr>
          <w:lang w:eastAsia="fr-FR" w:bidi="he-IL"/>
        </w:rPr>
      </w:pPr>
      <w:r w:rsidRPr="00C8701B">
        <w:rPr>
          <w:lang w:eastAsia="fr-FR" w:bidi="he-IL"/>
        </w:rPr>
        <w:t xml:space="preserve">Chapitre </w:t>
      </w:r>
      <w:r w:rsidR="0042479B">
        <w:rPr>
          <w:lang w:eastAsia="fr-FR" w:bidi="he-IL"/>
        </w:rPr>
        <w:t>X</w:t>
      </w:r>
      <w:r w:rsidR="00EF1E04">
        <w:rPr>
          <w:lang w:eastAsia="fr-FR" w:bidi="he-IL"/>
        </w:rPr>
        <w:t>XVI</w:t>
      </w:r>
      <w:r w:rsidRPr="00C8701B">
        <w:rPr>
          <w:lang w:eastAsia="fr-FR" w:bidi="he-IL"/>
        </w:rPr>
        <w:t>.</w:t>
      </w:r>
      <w:r w:rsidR="000F7DAA">
        <w:rPr>
          <w:lang w:eastAsia="fr-FR" w:bidi="he-IL"/>
        </w:rPr>
        <w:t xml:space="preserve"> —</w:t>
      </w:r>
      <w:r w:rsidR="008D0642">
        <w:rPr>
          <w:lang w:eastAsia="fr-FR" w:bidi="he-IL"/>
        </w:rPr>
        <w:t xml:space="preserve"> </w:t>
      </w:r>
      <w:r w:rsidRPr="00C8701B">
        <w:rPr>
          <w:lang w:eastAsia="fr-FR" w:bidi="he-IL"/>
        </w:rPr>
        <w:t>Et Jésus</w:t>
      </w:r>
      <w:r w:rsidR="00E65435">
        <w:rPr>
          <w:lang w:eastAsia="fr-FR" w:bidi="he-IL"/>
        </w:rPr>
        <w:t xml:space="preserve">, </w:t>
      </w:r>
      <w:r w:rsidRPr="00C8701B">
        <w:rPr>
          <w:lang w:eastAsia="fr-FR" w:bidi="he-IL"/>
        </w:rPr>
        <w:t>passant avec Marie sa mère sur la</w:t>
      </w:r>
      <w:r w:rsidR="00502CC1">
        <w:rPr>
          <w:lang w:eastAsia="fr-FR" w:bidi="he-IL"/>
        </w:rPr>
        <w:t xml:space="preserve"> </w:t>
      </w:r>
      <w:r w:rsidRPr="00C8701B">
        <w:rPr>
          <w:lang w:eastAsia="fr-FR" w:bidi="he-IL"/>
        </w:rPr>
        <w:t>place de la Ville</w:t>
      </w:r>
      <w:r w:rsidR="00E65435">
        <w:rPr>
          <w:lang w:eastAsia="fr-FR" w:bidi="he-IL"/>
        </w:rPr>
        <w:t xml:space="preserve">, </w:t>
      </w:r>
      <w:r w:rsidRPr="00C8701B">
        <w:rPr>
          <w:lang w:eastAsia="fr-FR" w:bidi="he-IL"/>
        </w:rPr>
        <w:t>vit un maître qui enseignait ses élèves. Et voici que sept passereaux</w:t>
      </w:r>
      <w:r w:rsidR="00E65435">
        <w:rPr>
          <w:lang w:eastAsia="fr-FR" w:bidi="he-IL"/>
        </w:rPr>
        <w:t xml:space="preserve">, </w:t>
      </w:r>
      <w:r w:rsidRPr="00C8701B">
        <w:rPr>
          <w:lang w:eastAsia="fr-FR" w:bidi="he-IL"/>
        </w:rPr>
        <w:t>se battant entre eux</w:t>
      </w:r>
      <w:r w:rsidR="00E65435">
        <w:rPr>
          <w:lang w:eastAsia="fr-FR" w:bidi="he-IL"/>
        </w:rPr>
        <w:t xml:space="preserve">, </w:t>
      </w:r>
      <w:r w:rsidRPr="00C8701B">
        <w:rPr>
          <w:lang w:eastAsia="fr-FR" w:bidi="he-IL"/>
        </w:rPr>
        <w:t>tombèrent du haut d</w:t>
      </w:r>
      <w:r w:rsidR="00557DE0">
        <w:rPr>
          <w:lang w:eastAsia="fr-FR" w:bidi="he-IL"/>
        </w:rPr>
        <w:t>’</w:t>
      </w:r>
      <w:r w:rsidRPr="00C8701B">
        <w:rPr>
          <w:lang w:eastAsia="fr-FR" w:bidi="he-IL"/>
        </w:rPr>
        <w:t>un mur dans le sein du maître qui instruisait les enfants. Quand Jésus vit cela</w:t>
      </w:r>
      <w:r w:rsidR="00E65435">
        <w:rPr>
          <w:lang w:eastAsia="fr-FR" w:bidi="he-IL"/>
        </w:rPr>
        <w:t xml:space="preserve">, </w:t>
      </w:r>
      <w:r w:rsidRPr="00C8701B">
        <w:rPr>
          <w:lang w:eastAsia="fr-FR" w:bidi="he-IL"/>
        </w:rPr>
        <w:t>il se mit à rire. Le maître</w:t>
      </w:r>
      <w:r w:rsidR="00E65435">
        <w:rPr>
          <w:lang w:eastAsia="fr-FR" w:bidi="he-IL"/>
        </w:rPr>
        <w:t xml:space="preserve">, </w:t>
      </w:r>
      <w:r w:rsidRPr="00C8701B">
        <w:rPr>
          <w:lang w:eastAsia="fr-FR" w:bidi="he-IL"/>
        </w:rPr>
        <w:t>s</w:t>
      </w:r>
      <w:r w:rsidR="00557DE0">
        <w:rPr>
          <w:lang w:eastAsia="fr-FR" w:bidi="he-IL"/>
        </w:rPr>
        <w:t>’</w:t>
      </w:r>
      <w:r w:rsidRPr="00C8701B">
        <w:rPr>
          <w:lang w:eastAsia="fr-FR" w:bidi="he-IL"/>
        </w:rPr>
        <w:t>en apercevant</w:t>
      </w:r>
      <w:r w:rsidR="00E65435">
        <w:rPr>
          <w:lang w:eastAsia="fr-FR" w:bidi="he-IL"/>
        </w:rPr>
        <w:t xml:space="preserve">, </w:t>
      </w:r>
      <w:r w:rsidRPr="00C8701B">
        <w:rPr>
          <w:lang w:eastAsia="fr-FR" w:bidi="he-IL"/>
        </w:rPr>
        <w:t>fut rempli de colère</w:t>
      </w:r>
      <w:r w:rsidR="00E65435">
        <w:rPr>
          <w:lang w:eastAsia="fr-FR" w:bidi="he-IL"/>
        </w:rPr>
        <w:t xml:space="preserve">, </w:t>
      </w:r>
      <w:r w:rsidRPr="00C8701B">
        <w:rPr>
          <w:lang w:eastAsia="fr-FR" w:bidi="he-IL"/>
        </w:rPr>
        <w:t>et il dit à ses disciples</w:t>
      </w:r>
      <w:r w:rsidR="00C2602D" w:rsidRPr="00C8701B">
        <w:rPr>
          <w:lang w:eastAsia="fr-FR" w:bidi="he-IL"/>
        </w:rPr>
        <w:t> :</w:t>
      </w:r>
      <w:r w:rsidRPr="00C8701B">
        <w:rPr>
          <w:lang w:eastAsia="fr-FR" w:bidi="he-IL"/>
        </w:rPr>
        <w:t xml:space="preserve"> Allez</w:t>
      </w:r>
      <w:r w:rsidR="00E65435">
        <w:rPr>
          <w:lang w:eastAsia="fr-FR" w:bidi="he-IL"/>
        </w:rPr>
        <w:t xml:space="preserve">, </w:t>
      </w:r>
      <w:r w:rsidRPr="00C8701B">
        <w:rPr>
          <w:lang w:eastAsia="fr-FR" w:bidi="he-IL"/>
        </w:rPr>
        <w:t>et amenez-le moi. Lorsqu</w:t>
      </w:r>
      <w:r w:rsidR="00557DE0">
        <w:rPr>
          <w:lang w:eastAsia="fr-FR" w:bidi="he-IL"/>
        </w:rPr>
        <w:t>’</w:t>
      </w:r>
      <w:r w:rsidRPr="00C8701B">
        <w:rPr>
          <w:lang w:eastAsia="fr-FR" w:bidi="he-IL"/>
        </w:rPr>
        <w:t>ils le lui eurent conduit</w:t>
      </w:r>
      <w:r w:rsidR="00E65435">
        <w:rPr>
          <w:lang w:eastAsia="fr-FR" w:bidi="he-IL"/>
        </w:rPr>
        <w:t xml:space="preserve">, </w:t>
      </w:r>
      <w:r w:rsidRPr="00C8701B">
        <w:rPr>
          <w:lang w:eastAsia="fr-FR" w:bidi="he-IL"/>
        </w:rPr>
        <w:t>il le saisit par son manteau</w:t>
      </w:r>
      <w:r w:rsidR="00E65435">
        <w:rPr>
          <w:lang w:eastAsia="fr-FR" w:bidi="he-IL"/>
        </w:rPr>
        <w:t xml:space="preserve">, </w:t>
      </w:r>
      <w:r w:rsidRPr="00C8701B">
        <w:rPr>
          <w:lang w:eastAsia="fr-FR" w:bidi="he-IL"/>
        </w:rPr>
        <w:t>et il lui dit</w:t>
      </w:r>
      <w:r w:rsidR="00C2602D" w:rsidRPr="00C8701B">
        <w:rPr>
          <w:lang w:eastAsia="fr-FR" w:bidi="he-IL"/>
        </w:rPr>
        <w:t> :</w:t>
      </w:r>
      <w:r w:rsidRPr="00C8701B">
        <w:rPr>
          <w:lang w:eastAsia="fr-FR" w:bidi="he-IL"/>
        </w:rPr>
        <w:t xml:space="preserve"> Qu</w:t>
      </w:r>
      <w:r w:rsidR="00557DE0">
        <w:rPr>
          <w:lang w:eastAsia="fr-FR" w:bidi="he-IL"/>
        </w:rPr>
        <w:t>’</w:t>
      </w:r>
      <w:r w:rsidRPr="00C8701B">
        <w:rPr>
          <w:lang w:eastAsia="fr-FR" w:bidi="he-IL"/>
        </w:rPr>
        <w:t>as-tu vu qui ait provoqué ton rire</w:t>
      </w:r>
      <w:r w:rsidR="00C2602D" w:rsidRPr="00C8701B">
        <w:rPr>
          <w:lang w:eastAsia="fr-FR" w:bidi="he-IL"/>
        </w:rPr>
        <w:t> ?</w:t>
      </w:r>
      <w:r w:rsidRPr="00C8701B">
        <w:rPr>
          <w:lang w:eastAsia="fr-FR" w:bidi="he-IL"/>
        </w:rPr>
        <w:t xml:space="preserve"> Et Jésus dit</w:t>
      </w:r>
      <w:r w:rsidR="00C2602D" w:rsidRPr="00C8701B">
        <w:rPr>
          <w:lang w:eastAsia="fr-FR" w:bidi="he-IL"/>
        </w:rPr>
        <w:t> :</w:t>
      </w:r>
      <w:r w:rsidRPr="00C8701B">
        <w:rPr>
          <w:lang w:eastAsia="fr-FR" w:bidi="he-IL"/>
        </w:rPr>
        <w:t xml:space="preserve"> Maître</w:t>
      </w:r>
      <w:r w:rsidR="00E65435">
        <w:rPr>
          <w:lang w:eastAsia="fr-FR" w:bidi="he-IL"/>
        </w:rPr>
        <w:t xml:space="preserve">, </w:t>
      </w:r>
      <w:r w:rsidRPr="00C8701B">
        <w:rPr>
          <w:lang w:eastAsia="fr-FR" w:bidi="he-IL"/>
        </w:rPr>
        <w:t>voici ta main pleine de froment</w:t>
      </w:r>
      <w:r w:rsidR="00C2602D" w:rsidRPr="00C8701B">
        <w:rPr>
          <w:lang w:eastAsia="fr-FR" w:bidi="he-IL"/>
        </w:rPr>
        <w:t> </w:t>
      </w:r>
      <w:r w:rsidR="007F6508">
        <w:rPr>
          <w:lang w:eastAsia="fr-FR" w:bidi="he-IL"/>
        </w:rPr>
        <w:t xml:space="preserve">; </w:t>
      </w:r>
      <w:r w:rsidRPr="00C8701B">
        <w:rPr>
          <w:lang w:eastAsia="fr-FR" w:bidi="he-IL"/>
        </w:rPr>
        <w:t>les passereaux se disputaient pour le partage de ce froment.</w:t>
      </w:r>
      <w:r w:rsidR="00C2602D" w:rsidRPr="00C8701B">
        <w:rPr>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Tout cela encore</w:t>
      </w:r>
      <w:r w:rsidR="00E65435">
        <w:rPr>
          <w:rFonts w:eastAsia="Arial Unicode MS"/>
          <w:bCs/>
          <w:lang w:eastAsia="fr-FR" w:bidi="he-IL"/>
        </w:rPr>
        <w:t xml:space="preserve">, </w:t>
      </w:r>
      <w:r w:rsidRPr="00C8701B">
        <w:rPr>
          <w:rFonts w:eastAsia="Arial Unicode MS"/>
          <w:bCs/>
          <w:lang w:eastAsia="fr-FR" w:bidi="he-IL"/>
        </w:rPr>
        <w:t>est bien puéril</w:t>
      </w:r>
      <w:r w:rsidR="00E65435">
        <w:rPr>
          <w:rFonts w:eastAsia="Arial Unicode MS"/>
          <w:bCs/>
          <w:lang w:eastAsia="fr-FR" w:bidi="he-IL"/>
        </w:rPr>
        <w:t xml:space="preserve">, </w:t>
      </w:r>
      <w:r w:rsidRPr="00C8701B">
        <w:rPr>
          <w:rFonts w:eastAsia="Arial Unicode MS"/>
          <w:bCs/>
          <w:lang w:eastAsia="fr-FR" w:bidi="he-IL"/>
        </w:rPr>
        <w:t>et à peine racheté par le dernier chapitre</w:t>
      </w:r>
      <w:r w:rsidR="00E65435">
        <w:rPr>
          <w:rFonts w:eastAsia="Arial Unicode MS"/>
          <w:bCs/>
          <w:lang w:eastAsia="fr-FR" w:bidi="he-IL"/>
        </w:rPr>
        <w:t xml:space="preserve">, </w:t>
      </w:r>
      <w:r w:rsidRPr="00C8701B">
        <w:rPr>
          <w:rFonts w:eastAsia="Arial Unicode MS"/>
          <w:bCs/>
          <w:lang w:eastAsia="fr-FR" w:bidi="he-IL"/>
        </w:rPr>
        <w:t>que nous donnons d</w:t>
      </w:r>
      <w:r w:rsidR="00557DE0">
        <w:rPr>
          <w:rFonts w:eastAsia="Arial Unicode MS"/>
          <w:bCs/>
          <w:lang w:eastAsia="fr-FR" w:bidi="he-IL"/>
        </w:rPr>
        <w:t>’</w:t>
      </w:r>
      <w:r w:rsidRPr="00C8701B">
        <w:rPr>
          <w:rFonts w:eastAsia="Arial Unicode MS"/>
          <w:bCs/>
          <w:lang w:eastAsia="fr-FR" w:bidi="he-IL"/>
        </w:rPr>
        <w:t>après une autre recension</w:t>
      </w:r>
      <w:r w:rsidR="00933C60" w:rsidRPr="00C406FF">
        <w:rPr>
          <w:rStyle w:val="Appelnotedebasdep"/>
        </w:rPr>
        <w:footnoteReference w:id="603"/>
      </w:r>
      <w:r w:rsidRPr="00C8701B">
        <w:rPr>
          <w:rFonts w:eastAsia="Arial Unicode MS"/>
          <w:bCs/>
          <w:lang w:eastAsia="fr-FR" w:bidi="he-IL"/>
        </w:rPr>
        <w:t>.</w:t>
      </w:r>
      <w:r w:rsidR="00C2602D" w:rsidRPr="00C8701B">
        <w:rPr>
          <w:rFonts w:eastAsia="Arial Unicode MS"/>
          <w:bCs/>
          <w:lang w:eastAsia="fr-FR" w:bidi="he-IL"/>
        </w:rPr>
        <w:t xml:space="preserve"> </w:t>
      </w:r>
      <w:r w:rsidR="00C14040">
        <w:rPr>
          <w:rFonts w:eastAsia="Arial Unicode MS"/>
          <w:bCs/>
          <w:lang w:eastAsia="fr-FR" w:bidi="he-IL"/>
        </w:rPr>
        <w:t>{116</w:t>
      </w:r>
      <w:bookmarkStart w:id="176" w:name="pag116"/>
      <w:bookmarkEnd w:id="176"/>
      <w:r w:rsidR="00366671">
        <w:rPr>
          <w:rFonts w:eastAsia="Arial Unicode MS"/>
          <w:bCs/>
          <w:lang w:eastAsia="fr-FR" w:bidi="he-IL"/>
        </w:rPr>
        <w:t>}</w:t>
      </w:r>
    </w:p>
    <w:p w:rsidR="00C2602D" w:rsidRPr="00C8701B" w:rsidRDefault="00B704AD" w:rsidP="00502CC1">
      <w:pPr>
        <w:pStyle w:val="locus"/>
        <w:rPr>
          <w:lang w:eastAsia="fr-FR" w:bidi="he-IL"/>
        </w:rPr>
      </w:pPr>
      <w:r w:rsidRPr="00C8701B">
        <w:rPr>
          <w:lang w:eastAsia="fr-FR" w:bidi="he-IL"/>
        </w:rPr>
        <w:t xml:space="preserve">Chapitre </w:t>
      </w:r>
      <w:r w:rsidR="00A12EEE">
        <w:rPr>
          <w:lang w:eastAsia="fr-FR" w:bidi="he-IL"/>
        </w:rPr>
        <w:t>XLII</w:t>
      </w:r>
      <w:r w:rsidRPr="00C8701B">
        <w:rPr>
          <w:lang w:eastAsia="fr-FR" w:bidi="he-IL"/>
        </w:rPr>
        <w:t>.</w:t>
      </w:r>
      <w:r w:rsidR="000F7DAA">
        <w:rPr>
          <w:lang w:eastAsia="fr-FR" w:bidi="he-IL"/>
        </w:rPr>
        <w:t xml:space="preserve"> —</w:t>
      </w:r>
      <w:r w:rsidR="008D0642">
        <w:rPr>
          <w:lang w:eastAsia="fr-FR" w:bidi="he-IL"/>
        </w:rPr>
        <w:t xml:space="preserve"> </w:t>
      </w:r>
      <w:r w:rsidRPr="00C8701B">
        <w:rPr>
          <w:lang w:eastAsia="fr-FR" w:bidi="he-IL"/>
        </w:rPr>
        <w:t>Personne n</w:t>
      </w:r>
      <w:r w:rsidR="00557DE0">
        <w:rPr>
          <w:lang w:eastAsia="fr-FR" w:bidi="he-IL"/>
        </w:rPr>
        <w:t>’</w:t>
      </w:r>
      <w:r w:rsidRPr="00C8701B">
        <w:rPr>
          <w:lang w:eastAsia="fr-FR" w:bidi="he-IL"/>
        </w:rPr>
        <w:t>osait manger ou boire</w:t>
      </w:r>
      <w:r w:rsidR="00E65435">
        <w:rPr>
          <w:lang w:eastAsia="fr-FR" w:bidi="he-IL"/>
        </w:rPr>
        <w:t xml:space="preserve">, </w:t>
      </w:r>
      <w:r w:rsidRPr="00C8701B">
        <w:rPr>
          <w:lang w:eastAsia="fr-FR" w:bidi="he-IL"/>
        </w:rPr>
        <w:t>s</w:t>
      </w:r>
      <w:r w:rsidR="00557DE0">
        <w:rPr>
          <w:lang w:eastAsia="fr-FR" w:bidi="he-IL"/>
        </w:rPr>
        <w:t>’</w:t>
      </w:r>
      <w:r w:rsidRPr="00C8701B">
        <w:rPr>
          <w:lang w:eastAsia="fr-FR" w:bidi="he-IL"/>
        </w:rPr>
        <w:t>asseoir à table</w:t>
      </w:r>
      <w:r w:rsidR="00E65435">
        <w:rPr>
          <w:lang w:eastAsia="fr-FR" w:bidi="he-IL"/>
        </w:rPr>
        <w:t xml:space="preserve">, </w:t>
      </w:r>
      <w:r w:rsidRPr="00C8701B">
        <w:rPr>
          <w:lang w:eastAsia="fr-FR" w:bidi="he-IL"/>
        </w:rPr>
        <w:t>ou</w:t>
      </w:r>
      <w:r w:rsidR="00502CC1">
        <w:rPr>
          <w:lang w:eastAsia="fr-FR" w:bidi="he-IL"/>
        </w:rPr>
        <w:t xml:space="preserve"> </w:t>
      </w:r>
      <w:r w:rsidRPr="00C8701B">
        <w:rPr>
          <w:lang w:eastAsia="fr-FR" w:bidi="he-IL"/>
        </w:rPr>
        <w:t>rompre le pain</w:t>
      </w:r>
      <w:r w:rsidR="00E65435">
        <w:rPr>
          <w:lang w:eastAsia="fr-FR" w:bidi="he-IL"/>
        </w:rPr>
        <w:t xml:space="preserve">, </w:t>
      </w:r>
      <w:r w:rsidRPr="00C8701B">
        <w:rPr>
          <w:lang w:eastAsia="fr-FR" w:bidi="he-IL"/>
        </w:rPr>
        <w:t>avant que l</w:t>
      </w:r>
      <w:r w:rsidR="00557DE0">
        <w:rPr>
          <w:lang w:eastAsia="fr-FR" w:bidi="he-IL"/>
        </w:rPr>
        <w:t>’</w:t>
      </w:r>
      <w:r w:rsidRPr="00C8701B">
        <w:rPr>
          <w:lang w:eastAsia="fr-FR" w:bidi="he-IL"/>
        </w:rPr>
        <w:t>Enfant eût béni la table et commencé le repas. S</w:t>
      </w:r>
      <w:r w:rsidR="00557DE0">
        <w:rPr>
          <w:lang w:eastAsia="fr-FR" w:bidi="he-IL"/>
        </w:rPr>
        <w:t>’</w:t>
      </w:r>
      <w:r w:rsidRPr="00C8701B">
        <w:rPr>
          <w:lang w:eastAsia="fr-FR" w:bidi="he-IL"/>
        </w:rPr>
        <w:t>il était</w:t>
      </w:r>
      <w:r w:rsidR="00C2602D" w:rsidRPr="00C8701B">
        <w:rPr>
          <w:lang w:eastAsia="fr-FR" w:bidi="he-IL"/>
        </w:rPr>
        <w:t xml:space="preserve"> </w:t>
      </w:r>
      <w:r w:rsidRPr="00C8701B">
        <w:rPr>
          <w:lang w:eastAsia="fr-FR" w:bidi="he-IL"/>
        </w:rPr>
        <w:t>absent</w:t>
      </w:r>
      <w:r w:rsidR="00E65435">
        <w:rPr>
          <w:lang w:eastAsia="fr-FR" w:bidi="he-IL"/>
        </w:rPr>
        <w:t xml:space="preserve">, </w:t>
      </w:r>
      <w:r w:rsidRPr="00C8701B">
        <w:rPr>
          <w:lang w:eastAsia="fr-FR" w:bidi="he-IL"/>
        </w:rPr>
        <w:t>on attendait qu</w:t>
      </w:r>
      <w:r w:rsidR="00557DE0">
        <w:rPr>
          <w:lang w:eastAsia="fr-FR" w:bidi="he-IL"/>
        </w:rPr>
        <w:t>’</w:t>
      </w:r>
      <w:r w:rsidR="00502CC1">
        <w:rPr>
          <w:lang w:eastAsia="fr-FR" w:bidi="he-IL"/>
        </w:rPr>
        <w:t xml:space="preserve">il eût pris place… </w:t>
      </w:r>
      <w:r w:rsidRPr="00C8701B">
        <w:rPr>
          <w:lang w:eastAsia="fr-FR" w:bidi="he-IL"/>
        </w:rPr>
        <w:t>Tous</w:t>
      </w:r>
      <w:r w:rsidR="00E65435">
        <w:rPr>
          <w:lang w:eastAsia="fr-FR" w:bidi="he-IL"/>
        </w:rPr>
        <w:t xml:space="preserve">, </w:t>
      </w:r>
      <w:r w:rsidRPr="00C8701B">
        <w:rPr>
          <w:lang w:eastAsia="fr-FR" w:bidi="he-IL"/>
        </w:rPr>
        <w:t>en effet</w:t>
      </w:r>
      <w:r w:rsidR="00E65435">
        <w:rPr>
          <w:lang w:eastAsia="fr-FR" w:bidi="he-IL"/>
        </w:rPr>
        <w:t xml:space="preserve">, </w:t>
      </w:r>
      <w:r w:rsidRPr="00C8701B">
        <w:rPr>
          <w:lang w:eastAsia="fr-FR" w:bidi="he-IL"/>
        </w:rPr>
        <w:t>avaient les yeux sur</w:t>
      </w:r>
      <w:r w:rsidR="00C2602D" w:rsidRPr="00C8701B">
        <w:rPr>
          <w:lang w:eastAsia="fr-FR" w:bidi="he-IL"/>
        </w:rPr>
        <w:t xml:space="preserve"> </w:t>
      </w:r>
      <w:r w:rsidR="00502CC1">
        <w:rPr>
          <w:lang w:eastAsia="fr-FR" w:bidi="he-IL"/>
        </w:rPr>
        <w:t>lui comme sur u</w:t>
      </w:r>
      <w:r w:rsidRPr="00C8701B">
        <w:rPr>
          <w:lang w:eastAsia="fr-FR" w:bidi="he-IL"/>
        </w:rPr>
        <w:t>ne lumière vive</w:t>
      </w:r>
      <w:r w:rsidR="00E65435">
        <w:rPr>
          <w:lang w:eastAsia="fr-FR" w:bidi="he-IL"/>
        </w:rPr>
        <w:t xml:space="preserve">, </w:t>
      </w:r>
      <w:r w:rsidRPr="00C8701B">
        <w:rPr>
          <w:lang w:eastAsia="fr-FR" w:bidi="he-IL"/>
        </w:rPr>
        <w:t>et l</w:t>
      </w:r>
      <w:r w:rsidR="00557DE0">
        <w:rPr>
          <w:lang w:eastAsia="fr-FR" w:bidi="he-IL"/>
        </w:rPr>
        <w:t>’</w:t>
      </w:r>
      <w:r w:rsidRPr="00C8701B">
        <w:rPr>
          <w:lang w:eastAsia="fr-FR" w:bidi="he-IL"/>
        </w:rPr>
        <w:t>entouraient dans les sentiments d</w:t>
      </w:r>
      <w:r w:rsidR="00557DE0">
        <w:rPr>
          <w:lang w:eastAsia="fr-FR" w:bidi="he-IL"/>
        </w:rPr>
        <w:t>’</w:t>
      </w:r>
      <w:r w:rsidRPr="00C8701B">
        <w:rPr>
          <w:lang w:eastAsia="fr-FR" w:bidi="he-IL"/>
        </w:rPr>
        <w:t>une sainte frayeur. Et lorsque Jésus dormait</w:t>
      </w:r>
      <w:r w:rsidR="00E65435">
        <w:rPr>
          <w:lang w:eastAsia="fr-FR" w:bidi="he-IL"/>
        </w:rPr>
        <w:t xml:space="preserve">, </w:t>
      </w:r>
      <w:r w:rsidRPr="00C8701B">
        <w:rPr>
          <w:lang w:eastAsia="fr-FR" w:bidi="he-IL"/>
        </w:rPr>
        <w:t>soit le jour</w:t>
      </w:r>
      <w:r w:rsidR="00E65435">
        <w:rPr>
          <w:lang w:eastAsia="fr-FR" w:bidi="he-IL"/>
        </w:rPr>
        <w:t xml:space="preserve">, </w:t>
      </w:r>
      <w:r w:rsidRPr="00C8701B">
        <w:rPr>
          <w:lang w:eastAsia="fr-FR" w:bidi="he-IL"/>
        </w:rPr>
        <w:t>soit la nuit</w:t>
      </w:r>
      <w:r w:rsidR="00E65435">
        <w:rPr>
          <w:lang w:eastAsia="fr-FR" w:bidi="he-IL"/>
        </w:rPr>
        <w:t xml:space="preserve">, </w:t>
      </w:r>
      <w:r w:rsidRPr="00C8701B">
        <w:rPr>
          <w:lang w:eastAsia="fr-FR" w:bidi="he-IL"/>
        </w:rPr>
        <w:t>la clarté de Dieu resplendissait en lui.</w:t>
      </w:r>
      <w:r w:rsidR="00C2602D" w:rsidRPr="00C8701B">
        <w:rPr>
          <w:lang w:eastAsia="fr-FR" w:bidi="he-IL"/>
        </w:rPr>
        <w:t xml:space="preserve"> </w:t>
      </w:r>
    </w:p>
    <w:p w:rsidR="00C2602D" w:rsidRPr="00C8701B" w:rsidRDefault="00B704AD" w:rsidP="00502CC1">
      <w:pPr>
        <w:rPr>
          <w:rFonts w:eastAsia="Arial Unicode MS"/>
          <w:bCs/>
          <w:lang w:eastAsia="fr-FR" w:bidi="he-IL"/>
        </w:rPr>
      </w:pPr>
      <w:r w:rsidRPr="00C8701B">
        <w:rPr>
          <w:rFonts w:eastAsia="Arial Unicode MS"/>
          <w:bCs/>
          <w:lang w:val="el-GR" w:eastAsia="fr-FR" w:bidi="he-IL"/>
        </w:rPr>
        <w:t>ε.</w:t>
      </w:r>
      <w:r w:rsidR="000F7DAA">
        <w:rPr>
          <w:rFonts w:eastAsia="Arial Unicode MS"/>
          <w:bCs/>
          <w:lang w:val="el-GR"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DC4586">
        <w:rPr>
          <w:rStyle w:val="italicus"/>
        </w:rPr>
        <w:t>E</w:t>
      </w:r>
      <w:r w:rsidR="00736374">
        <w:rPr>
          <w:rStyle w:val="italicus"/>
        </w:rPr>
        <w:t>vangélium</w:t>
      </w:r>
      <w:r w:rsidR="00502CC1">
        <w:rPr>
          <w:rStyle w:val="italicus"/>
        </w:rPr>
        <w:t xml:space="preserve"> de nativitát</w:t>
      </w:r>
      <w:r w:rsidR="00502CC1" w:rsidRPr="00DC4586">
        <w:rPr>
          <w:rStyle w:val="italicus"/>
        </w:rPr>
        <w:t>e</w:t>
      </w:r>
      <w:r w:rsidRPr="00DC4586">
        <w:rPr>
          <w:rStyle w:val="italicus"/>
        </w:rPr>
        <w:t xml:space="preserve"> </w:t>
      </w:r>
      <w:r w:rsidR="00736374">
        <w:rPr>
          <w:rStyle w:val="italicus"/>
        </w:rPr>
        <w:t>Maríæ</w:t>
      </w:r>
      <w:r w:rsidR="00933C60" w:rsidRPr="00C406FF">
        <w:rPr>
          <w:rStyle w:val="Appelnotedebasdep"/>
        </w:rPr>
        <w:footnoteReference w:id="604"/>
      </w:r>
      <w:r w:rsidRPr="00C8701B">
        <w:rPr>
          <w:rFonts w:eastAsia="Arial Unicode MS"/>
          <w:bCs/>
          <w:lang w:eastAsia="fr-FR" w:bidi="he-IL"/>
        </w:rPr>
        <w:t xml:space="preserve"> traite à peu près du même sujet que le précédent</w:t>
      </w:r>
      <w:r w:rsidR="00E65435">
        <w:rPr>
          <w:rFonts w:eastAsia="Arial Unicode MS"/>
          <w:bCs/>
          <w:lang w:eastAsia="fr-FR" w:bidi="he-IL"/>
        </w:rPr>
        <w:t xml:space="preserve">, </w:t>
      </w:r>
      <w:r w:rsidRPr="00C8701B">
        <w:rPr>
          <w:rFonts w:eastAsia="Arial Unicode MS"/>
          <w:bCs/>
          <w:lang w:eastAsia="fr-FR" w:bidi="he-IL"/>
        </w:rPr>
        <w:t>mais d</w:t>
      </w:r>
      <w:r w:rsidR="00557DE0">
        <w:rPr>
          <w:rFonts w:eastAsia="Arial Unicode MS"/>
          <w:bCs/>
          <w:lang w:eastAsia="fr-FR" w:bidi="he-IL"/>
        </w:rPr>
        <w:t>’</w:t>
      </w:r>
      <w:r w:rsidRPr="00C8701B">
        <w:rPr>
          <w:rFonts w:eastAsia="Arial Unicode MS"/>
          <w:bCs/>
          <w:lang w:eastAsia="fr-FR" w:bidi="he-IL"/>
        </w:rPr>
        <w:t>une façon plus brève</w:t>
      </w:r>
      <w:r w:rsidR="00E65435">
        <w:rPr>
          <w:rFonts w:eastAsia="Arial Unicode MS"/>
          <w:bCs/>
          <w:lang w:eastAsia="fr-FR" w:bidi="he-IL"/>
        </w:rPr>
        <w:t xml:space="preserve">, </w:t>
      </w:r>
      <w:r w:rsidRPr="00C8701B">
        <w:rPr>
          <w:rFonts w:eastAsia="Arial Unicode MS"/>
          <w:bCs/>
          <w:lang w:eastAsia="fr-FR" w:bidi="he-IL"/>
        </w:rPr>
        <w:t>car il ne s</w:t>
      </w:r>
      <w:r w:rsidR="00557DE0">
        <w:rPr>
          <w:rFonts w:eastAsia="Arial Unicode MS"/>
          <w:bCs/>
          <w:lang w:eastAsia="fr-FR" w:bidi="he-IL"/>
        </w:rPr>
        <w:t>’</w:t>
      </w:r>
      <w:r w:rsidRPr="00C8701B">
        <w:rPr>
          <w:rFonts w:eastAsia="Arial Unicode MS"/>
          <w:bCs/>
          <w:lang w:eastAsia="fr-FR" w:bidi="he-IL"/>
        </w:rPr>
        <w:t>étend pas au delà de Noël</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et non seulement d</w:t>
      </w:r>
      <w:r w:rsidR="00557DE0">
        <w:rPr>
          <w:rFonts w:eastAsia="Arial Unicode MS"/>
          <w:bCs/>
          <w:lang w:eastAsia="fr-FR" w:bidi="he-IL"/>
        </w:rPr>
        <w:t>’</w:t>
      </w:r>
      <w:r w:rsidRPr="00C8701B">
        <w:rPr>
          <w:rFonts w:eastAsia="Arial Unicode MS"/>
          <w:bCs/>
          <w:lang w:eastAsia="fr-FR" w:bidi="he-IL"/>
        </w:rPr>
        <w:t>une façon plus brève</w:t>
      </w:r>
      <w:r w:rsidR="00E65435">
        <w:rPr>
          <w:rFonts w:eastAsia="Arial Unicode MS"/>
          <w:bCs/>
          <w:lang w:eastAsia="fr-FR" w:bidi="he-IL"/>
        </w:rPr>
        <w:t xml:space="preserve">, </w:t>
      </w:r>
      <w:r w:rsidRPr="00C8701B">
        <w:rPr>
          <w:rFonts w:eastAsia="Arial Unicode MS"/>
          <w:bCs/>
          <w:lang w:eastAsia="fr-FR" w:bidi="he-IL"/>
        </w:rPr>
        <w:t>mais aussi avec plus de goût et de mesure. Le trait suivant mérite d</w:t>
      </w:r>
      <w:r w:rsidR="00557DE0">
        <w:rPr>
          <w:rFonts w:eastAsia="Arial Unicode MS"/>
          <w:bCs/>
          <w:lang w:eastAsia="fr-FR" w:bidi="he-IL"/>
        </w:rPr>
        <w:t>’</w:t>
      </w:r>
      <w:r w:rsidRPr="00C8701B">
        <w:rPr>
          <w:rFonts w:eastAsia="Arial Unicode MS"/>
          <w:bCs/>
          <w:lang w:eastAsia="fr-FR" w:bidi="he-IL"/>
        </w:rPr>
        <w:t>être relevé. Après avoir raconté</w:t>
      </w:r>
      <w:r w:rsidR="00E65435">
        <w:rPr>
          <w:rFonts w:eastAsia="Arial Unicode MS"/>
          <w:bCs/>
          <w:lang w:eastAsia="fr-FR" w:bidi="he-IL"/>
        </w:rPr>
        <w:t xml:space="preserve">, </w:t>
      </w:r>
      <w:r w:rsidRPr="00C8701B">
        <w:rPr>
          <w:rFonts w:eastAsia="Arial Unicode MS"/>
          <w:bCs/>
          <w:lang w:eastAsia="fr-FR" w:bidi="he-IL"/>
        </w:rPr>
        <w:t>avec les enjolivures accoutumées</w:t>
      </w:r>
      <w:r w:rsidR="00E65435">
        <w:rPr>
          <w:rFonts w:eastAsia="Arial Unicode MS"/>
          <w:bCs/>
          <w:lang w:eastAsia="fr-FR" w:bidi="he-IL"/>
        </w:rPr>
        <w:t xml:space="preserve">, </w:t>
      </w:r>
      <w:r w:rsidRPr="00C8701B">
        <w:rPr>
          <w:rFonts w:eastAsia="Arial Unicode MS"/>
          <w:bCs/>
          <w:lang w:eastAsia="fr-FR" w:bidi="he-IL"/>
        </w:rPr>
        <w:t>le mystère de l</w:t>
      </w:r>
      <w:r w:rsidR="00557DE0">
        <w:rPr>
          <w:rFonts w:eastAsia="Arial Unicode MS"/>
          <w:bCs/>
          <w:lang w:eastAsia="fr-FR" w:bidi="he-IL"/>
        </w:rPr>
        <w:t>’</w:t>
      </w:r>
      <w:r w:rsidRPr="00C8701B">
        <w:rPr>
          <w:rFonts w:eastAsia="Arial Unicode MS"/>
          <w:bCs/>
          <w:lang w:eastAsia="fr-FR" w:bidi="he-IL"/>
        </w:rPr>
        <w:t>Annonciation</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auteur ajoute</w:t>
      </w:r>
      <w:r w:rsidR="00C2602D" w:rsidRPr="00C8701B">
        <w:rPr>
          <w:rFonts w:eastAsia="Arial Unicode MS"/>
          <w:bCs/>
          <w:lang w:eastAsia="fr-FR" w:bidi="he-IL"/>
        </w:rPr>
        <w:t> :</w:t>
      </w:r>
      <w:r w:rsidRPr="00C8701B">
        <w:rPr>
          <w:rFonts w:eastAsia="Arial Unicode MS"/>
          <w:bCs/>
          <w:lang w:eastAsia="fr-FR" w:bidi="he-IL"/>
        </w:rPr>
        <w:t xml:space="preserve"> </w:t>
      </w:r>
      <w:r w:rsidR="00C2602D" w:rsidRPr="00C8701B">
        <w:rPr>
          <w:rFonts w:eastAsia="Arial Unicode MS"/>
          <w:bCs/>
          <w:lang w:eastAsia="fr-FR" w:bidi="he-IL"/>
        </w:rPr>
        <w:t>« </w:t>
      </w:r>
      <w:r w:rsidRPr="00C8701B">
        <w:rPr>
          <w:rFonts w:eastAsia="Arial Unicode MS"/>
          <w:bCs/>
          <w:lang w:eastAsia="fr-FR" w:bidi="he-IL"/>
        </w:rPr>
        <w:t>Il serait long peut-être</w:t>
      </w:r>
      <w:r w:rsidR="00E65435">
        <w:rPr>
          <w:rFonts w:eastAsia="Arial Unicode MS"/>
          <w:bCs/>
          <w:lang w:eastAsia="fr-FR" w:bidi="he-IL"/>
        </w:rPr>
        <w:t xml:space="preserve">, </w:t>
      </w:r>
      <w:r w:rsidRPr="00C8701B">
        <w:rPr>
          <w:rFonts w:eastAsia="Arial Unicode MS"/>
          <w:bCs/>
          <w:lang w:eastAsia="fr-FR" w:bidi="he-IL"/>
        </w:rPr>
        <w:t>et fastidieux pour quelques-uns</w:t>
      </w:r>
      <w:r w:rsidR="00E65435">
        <w:rPr>
          <w:rFonts w:eastAsia="Arial Unicode MS"/>
          <w:bCs/>
          <w:lang w:eastAsia="fr-FR" w:bidi="he-IL"/>
        </w:rPr>
        <w:t xml:space="preserve">, </w:t>
      </w:r>
      <w:r w:rsidRPr="00C8701B">
        <w:rPr>
          <w:rFonts w:eastAsia="Arial Unicode MS"/>
          <w:bCs/>
          <w:lang w:eastAsia="fr-FR" w:bidi="he-IL"/>
        </w:rPr>
        <w:t xml:space="preserve">si nous voulions insérer dans ce petit livre tout ce que nous avons lu sur les événements qui précédèrent ou suivirent la Nativité du Seigneur. Nous négligeons à dessein des faits qui sont racontés en détail dans </w:t>
      </w:r>
      <w:r w:rsidR="00502CC1">
        <w:rPr>
          <w:rFonts w:eastAsia="Arial Unicode MS"/>
          <w:bCs/>
          <w:lang w:eastAsia="fr-FR" w:bidi="he-IL"/>
        </w:rPr>
        <w:t>l</w:t>
      </w:r>
      <w:r w:rsidR="00557DE0">
        <w:rPr>
          <w:rFonts w:eastAsia="Arial Unicode MS"/>
          <w:bCs/>
          <w:lang w:eastAsia="fr-FR" w:bidi="he-IL"/>
        </w:rPr>
        <w:t>’</w:t>
      </w:r>
      <w:r w:rsidR="00502CC1" w:rsidRPr="00C8701B">
        <w:rPr>
          <w:rFonts w:eastAsia="Arial Unicode MS"/>
          <w:bCs/>
          <w:lang w:eastAsia="fr-FR" w:bidi="he-IL"/>
        </w:rPr>
        <w:t>Évan</w:t>
      </w:r>
      <w:r w:rsidR="00502CC1">
        <w:rPr>
          <w:rFonts w:eastAsia="Arial Unicode MS"/>
          <w:bCs/>
          <w:lang w:eastAsia="fr-FR" w:bidi="he-IL"/>
        </w:rPr>
        <w:t>g</w:t>
      </w:r>
      <w:r w:rsidR="00502CC1" w:rsidRPr="00C8701B">
        <w:rPr>
          <w:rFonts w:eastAsia="Arial Unicode MS"/>
          <w:bCs/>
          <w:lang w:eastAsia="fr-FR" w:bidi="he-IL"/>
        </w:rPr>
        <w:t>ile</w:t>
      </w:r>
      <w:r w:rsidR="00E65435">
        <w:rPr>
          <w:rFonts w:eastAsia="Arial Unicode MS"/>
          <w:bCs/>
          <w:lang w:eastAsia="fr-FR" w:bidi="he-IL"/>
        </w:rPr>
        <w:t xml:space="preserve">, </w:t>
      </w:r>
      <w:r w:rsidRPr="00C8701B">
        <w:rPr>
          <w:rFonts w:eastAsia="Arial Unicode MS"/>
          <w:bCs/>
          <w:lang w:eastAsia="fr-FR" w:bidi="he-IL"/>
        </w:rPr>
        <w:t>et nous ne nous attachons qu</w:t>
      </w:r>
      <w:r w:rsidR="00557DE0">
        <w:rPr>
          <w:rFonts w:eastAsia="Arial Unicode MS"/>
          <w:bCs/>
          <w:lang w:eastAsia="fr-FR" w:bidi="he-IL"/>
        </w:rPr>
        <w:t>’</w:t>
      </w:r>
      <w:r w:rsidRPr="00C8701B">
        <w:rPr>
          <w:rFonts w:eastAsia="Arial Unicode MS"/>
          <w:bCs/>
          <w:lang w:eastAsia="fr-FR" w:bidi="he-IL"/>
        </w:rPr>
        <w:t>aux circonstances qui n</w:t>
      </w:r>
      <w:r w:rsidR="00557DE0">
        <w:rPr>
          <w:rFonts w:eastAsia="Arial Unicode MS"/>
          <w:bCs/>
          <w:lang w:eastAsia="fr-FR" w:bidi="he-IL"/>
        </w:rPr>
        <w:t>’</w:t>
      </w:r>
      <w:r w:rsidRPr="00C8701B">
        <w:rPr>
          <w:rFonts w:eastAsia="Arial Unicode MS"/>
          <w:bCs/>
          <w:lang w:eastAsia="fr-FR" w:bidi="he-IL"/>
        </w:rPr>
        <w:t>ont pas encore été exposées</w:t>
      </w:r>
      <w:r w:rsidR="00C2602D" w:rsidRPr="00C8701B">
        <w:rPr>
          <w:rFonts w:eastAsia="Arial Unicode MS"/>
          <w:bCs/>
          <w:lang w:eastAsia="fr-FR" w:bidi="he-IL"/>
        </w:rPr>
        <w:t> »</w:t>
      </w:r>
      <w:r w:rsidR="00933C60" w:rsidRPr="00C406FF">
        <w:rPr>
          <w:rStyle w:val="Appelnotedebasdep"/>
        </w:rPr>
        <w:footnoteReference w:id="605"/>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502CC1">
      <w:pPr>
        <w:rPr>
          <w:rFonts w:eastAsia="Arial Unicode MS"/>
          <w:bCs/>
          <w:lang w:eastAsia="fr-FR" w:bidi="he-IL"/>
        </w:rPr>
      </w:pPr>
      <w:r w:rsidRPr="00502CC1">
        <w:t>ζ</w:t>
      </w:r>
      <w:r w:rsidR="00B35391" w:rsidRPr="00502CC1">
        <w:t>.</w:t>
      </w:r>
      <w:r w:rsidR="000F7DAA" w:rsidRPr="00502CC1">
        <w:t xml:space="preserve"> —</w:t>
      </w:r>
      <w:r w:rsidR="008D0642" w:rsidRPr="00502CC1">
        <w:t xml:space="preserve"> </w:t>
      </w:r>
      <w:r w:rsidRPr="00502CC1">
        <w:t>L</w:t>
      </w:r>
      <w:r w:rsidR="00557DE0">
        <w:t>’</w:t>
      </w:r>
      <w:r w:rsidRPr="00DC4586">
        <w:rPr>
          <w:rStyle w:val="italicus"/>
        </w:rPr>
        <w:t>E</w:t>
      </w:r>
      <w:r w:rsidR="00736374">
        <w:rPr>
          <w:rStyle w:val="italicus"/>
        </w:rPr>
        <w:t>vangélium</w:t>
      </w:r>
      <w:r w:rsidR="00E65435">
        <w:rPr>
          <w:rStyle w:val="italicus"/>
        </w:rPr>
        <w:t xml:space="preserve">, </w:t>
      </w:r>
      <w:r w:rsidR="00502CC1" w:rsidRPr="00DC4586">
        <w:rPr>
          <w:rStyle w:val="italicus"/>
        </w:rPr>
        <w:t>infánti</w:t>
      </w:r>
      <w:r w:rsidR="00502CC1">
        <w:rPr>
          <w:rStyle w:val="italicus"/>
        </w:rPr>
        <w:t>æ</w:t>
      </w:r>
      <w:r w:rsidRPr="00DC4586">
        <w:rPr>
          <w:rStyle w:val="italicus"/>
        </w:rPr>
        <w:t xml:space="preserve"> </w:t>
      </w:r>
      <w:r w:rsidR="00502CC1" w:rsidRPr="00DC4586">
        <w:rPr>
          <w:rStyle w:val="italicus"/>
        </w:rPr>
        <w:t>Salvatóris</w:t>
      </w:r>
      <w:r w:rsidR="00502CC1">
        <w:rPr>
          <w:rStyle w:val="italicus"/>
        </w:rPr>
        <w:t xml:space="preserve"> ará</w:t>
      </w:r>
      <w:r w:rsidRPr="00DC4586">
        <w:rPr>
          <w:rStyle w:val="italicus"/>
        </w:rPr>
        <w:t>bicum</w:t>
      </w:r>
      <w:r w:rsidR="00E65435">
        <w:rPr>
          <w:rStyle w:val="italicus"/>
        </w:rPr>
        <w:t xml:space="preserve">, </w:t>
      </w:r>
      <w:r w:rsidRPr="00C8701B">
        <w:rPr>
          <w:rFonts w:eastAsia="Arial Unicode MS"/>
          <w:bCs/>
          <w:lang w:eastAsia="fr-FR" w:bidi="he-IL"/>
        </w:rPr>
        <w:t>ainsi nommé parce qu</w:t>
      </w:r>
      <w:r w:rsidR="00557DE0">
        <w:rPr>
          <w:rFonts w:eastAsia="Arial Unicode MS"/>
          <w:bCs/>
          <w:lang w:eastAsia="fr-FR" w:bidi="he-IL"/>
        </w:rPr>
        <w:t>’</w:t>
      </w:r>
      <w:r w:rsidRPr="00C8701B">
        <w:rPr>
          <w:rFonts w:eastAsia="Arial Unicode MS"/>
          <w:bCs/>
          <w:lang w:eastAsia="fr-FR" w:bidi="he-IL"/>
        </w:rPr>
        <w:t>il fut d</w:t>
      </w:r>
      <w:r w:rsidR="00557DE0">
        <w:rPr>
          <w:rFonts w:eastAsia="Arial Unicode MS"/>
          <w:bCs/>
          <w:lang w:eastAsia="fr-FR" w:bidi="he-IL"/>
        </w:rPr>
        <w:t>’</w:t>
      </w:r>
      <w:r w:rsidRPr="00C8701B">
        <w:rPr>
          <w:rFonts w:eastAsia="Arial Unicode MS"/>
          <w:bCs/>
          <w:lang w:eastAsia="fr-FR" w:bidi="he-IL"/>
        </w:rPr>
        <w:t>abord publié en arabe</w:t>
      </w:r>
      <w:r w:rsidR="00933C60" w:rsidRPr="00C406FF">
        <w:rPr>
          <w:rStyle w:val="Appelnotedebasdep"/>
        </w:rPr>
        <w:footnoteReference w:id="606"/>
      </w:r>
      <w:r w:rsidR="00E65435">
        <w:rPr>
          <w:rFonts w:eastAsia="Arial Unicode MS"/>
          <w:bCs/>
          <w:lang w:eastAsia="fr-FR" w:bidi="he-IL"/>
        </w:rPr>
        <w:t xml:space="preserve">, </w:t>
      </w:r>
      <w:r w:rsidRPr="00C8701B">
        <w:rPr>
          <w:rFonts w:eastAsia="Arial Unicode MS"/>
          <w:bCs/>
          <w:lang w:eastAsia="fr-FR" w:bidi="he-IL"/>
        </w:rPr>
        <w:t>quoique l</w:t>
      </w:r>
      <w:r w:rsidR="00557DE0">
        <w:rPr>
          <w:rFonts w:eastAsia="Arial Unicode MS"/>
          <w:bCs/>
          <w:lang w:eastAsia="fr-FR" w:bidi="he-IL"/>
        </w:rPr>
        <w:t>’</w:t>
      </w:r>
      <w:r w:rsidRPr="00C8701B">
        <w:rPr>
          <w:rFonts w:eastAsia="Arial Unicode MS"/>
          <w:bCs/>
          <w:lang w:eastAsia="fr-FR" w:bidi="he-IL"/>
        </w:rPr>
        <w:t>original paraisse avoir été écrit en syriaque</w:t>
      </w:r>
      <w:r w:rsidR="00E65435">
        <w:rPr>
          <w:rFonts w:eastAsia="Arial Unicode MS"/>
          <w:bCs/>
          <w:lang w:eastAsia="fr-FR" w:bidi="he-IL"/>
        </w:rPr>
        <w:t xml:space="preserve">, </w:t>
      </w:r>
      <w:r w:rsidRPr="00C8701B">
        <w:rPr>
          <w:rFonts w:eastAsia="Arial Unicode MS"/>
          <w:bCs/>
          <w:lang w:eastAsia="fr-FR" w:bidi="he-IL"/>
        </w:rPr>
        <w:t>est aussi une compilation des récits canoniques et apocryphes relatifs à l</w:t>
      </w:r>
      <w:r w:rsidR="00557DE0">
        <w:rPr>
          <w:rFonts w:eastAsia="Arial Unicode MS"/>
          <w:bCs/>
          <w:lang w:eastAsia="fr-FR" w:bidi="he-IL"/>
        </w:rPr>
        <w:t>’</w:t>
      </w:r>
      <w:r w:rsidRPr="00C8701B">
        <w:rPr>
          <w:rFonts w:eastAsia="Arial Unicode MS"/>
          <w:bCs/>
          <w:lang w:eastAsia="fr-FR" w:bidi="he-IL"/>
        </w:rPr>
        <w:t>enfance de Jésus</w:t>
      </w:r>
      <w:r w:rsidR="00933C60" w:rsidRPr="00C406FF">
        <w:rPr>
          <w:rStyle w:val="Appelnotedebasdep"/>
        </w:rPr>
        <w:footnoteReference w:id="607"/>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86296F">
      <w:pPr>
        <w:pStyle w:val="locus"/>
        <w:rPr>
          <w:lang w:eastAsia="fr-FR" w:bidi="he-IL"/>
        </w:rPr>
      </w:pPr>
      <w:r w:rsidRPr="00C8701B">
        <w:rPr>
          <w:lang w:eastAsia="fr-FR" w:bidi="he-IL"/>
        </w:rPr>
        <w:t>Chapitre II.</w:t>
      </w:r>
      <w:r w:rsidR="000F7DAA">
        <w:rPr>
          <w:lang w:eastAsia="fr-FR" w:bidi="he-IL"/>
        </w:rPr>
        <w:t xml:space="preserve"> —</w:t>
      </w:r>
      <w:r w:rsidR="008D0642">
        <w:rPr>
          <w:lang w:eastAsia="fr-FR" w:bidi="he-IL"/>
        </w:rPr>
        <w:t xml:space="preserve"> </w:t>
      </w:r>
      <w:r w:rsidRPr="00C8701B">
        <w:rPr>
          <w:lang w:eastAsia="fr-FR" w:bidi="he-IL"/>
        </w:rPr>
        <w:t>L</w:t>
      </w:r>
      <w:r w:rsidR="00557DE0">
        <w:rPr>
          <w:lang w:eastAsia="fr-FR" w:bidi="he-IL"/>
        </w:rPr>
        <w:t>’</w:t>
      </w:r>
      <w:r w:rsidR="00502CC1">
        <w:rPr>
          <w:lang w:eastAsia="fr-FR" w:bidi="he-IL"/>
        </w:rPr>
        <w:t>an trois-cent-soixante-</w:t>
      </w:r>
      <w:r w:rsidRPr="00C8701B">
        <w:rPr>
          <w:lang w:eastAsia="fr-FR" w:bidi="he-IL"/>
        </w:rPr>
        <w:t>neuf de l</w:t>
      </w:r>
      <w:r w:rsidR="00557DE0">
        <w:rPr>
          <w:lang w:eastAsia="fr-FR" w:bidi="he-IL"/>
        </w:rPr>
        <w:t>’</w:t>
      </w:r>
      <w:r w:rsidRPr="00C8701B">
        <w:rPr>
          <w:lang w:eastAsia="fr-FR" w:bidi="he-IL"/>
        </w:rPr>
        <w:t>ère d</w:t>
      </w:r>
      <w:r w:rsidR="00557DE0">
        <w:rPr>
          <w:lang w:eastAsia="fr-FR" w:bidi="he-IL"/>
        </w:rPr>
        <w:t>’</w:t>
      </w:r>
      <w:r w:rsidRPr="00C8701B">
        <w:rPr>
          <w:lang w:eastAsia="fr-FR" w:bidi="he-IL"/>
        </w:rPr>
        <w:t>Alexandre</w:t>
      </w:r>
      <w:r w:rsidR="00E65435">
        <w:rPr>
          <w:lang w:eastAsia="fr-FR" w:bidi="he-IL"/>
        </w:rPr>
        <w:t xml:space="preserve">, </w:t>
      </w:r>
      <w:r w:rsidRPr="00C8701B">
        <w:rPr>
          <w:lang w:eastAsia="fr-FR" w:bidi="he-IL"/>
        </w:rPr>
        <w:t>Auguste ordonna que chacun se fît enregistrer dans sa ville natale. Joseph se leva donc</w:t>
      </w:r>
      <w:r w:rsidR="00E65435">
        <w:rPr>
          <w:lang w:eastAsia="fr-FR" w:bidi="he-IL"/>
        </w:rPr>
        <w:t xml:space="preserve">, </w:t>
      </w:r>
      <w:r w:rsidRPr="00C8701B">
        <w:rPr>
          <w:lang w:eastAsia="fr-FR" w:bidi="he-IL"/>
        </w:rPr>
        <w:t>et conduisant Marie son épouse</w:t>
      </w:r>
      <w:r w:rsidR="00E65435">
        <w:rPr>
          <w:lang w:eastAsia="fr-FR" w:bidi="he-IL"/>
        </w:rPr>
        <w:t xml:space="preserve">, </w:t>
      </w:r>
      <w:r w:rsidR="00502CC1">
        <w:rPr>
          <w:lang w:eastAsia="fr-FR" w:bidi="he-IL"/>
        </w:rPr>
        <w:t>il</w:t>
      </w:r>
      <w:r w:rsidRPr="00C8701B">
        <w:rPr>
          <w:lang w:eastAsia="fr-FR" w:bidi="he-IL"/>
        </w:rPr>
        <w:t xml:space="preserve"> vint à Jérusalem</w:t>
      </w:r>
      <w:r w:rsidR="00E65435">
        <w:rPr>
          <w:lang w:eastAsia="fr-FR" w:bidi="he-IL"/>
        </w:rPr>
        <w:t xml:space="preserve">, </w:t>
      </w:r>
      <w:r w:rsidRPr="00C8701B">
        <w:rPr>
          <w:lang w:eastAsia="fr-FR" w:bidi="he-IL"/>
        </w:rPr>
        <w:t xml:space="preserve">et il se rendit à </w:t>
      </w:r>
      <w:r w:rsidR="00502CC1" w:rsidRPr="00C8701B">
        <w:rPr>
          <w:lang w:eastAsia="fr-FR" w:bidi="he-IL"/>
        </w:rPr>
        <w:t>Bethléem</w:t>
      </w:r>
      <w:r w:rsidRPr="00C8701B">
        <w:rPr>
          <w:lang w:eastAsia="fr-FR" w:bidi="he-IL"/>
        </w:rPr>
        <w:t xml:space="preserve"> pour se faire inscrire avec sa famille dans l</w:t>
      </w:r>
      <w:r w:rsidR="00557DE0">
        <w:rPr>
          <w:lang w:eastAsia="fr-FR" w:bidi="he-IL"/>
        </w:rPr>
        <w:t>’</w:t>
      </w:r>
      <w:r w:rsidRPr="00C8701B">
        <w:rPr>
          <w:lang w:eastAsia="fr-FR" w:bidi="he-IL"/>
        </w:rPr>
        <w:t>endroit où il était né. Lorsqu</w:t>
      </w:r>
      <w:r w:rsidR="00557DE0">
        <w:rPr>
          <w:lang w:eastAsia="fr-FR" w:bidi="he-IL"/>
        </w:rPr>
        <w:t>’</w:t>
      </w:r>
      <w:r w:rsidRPr="00C8701B">
        <w:rPr>
          <w:lang w:eastAsia="fr-FR" w:bidi="he-IL"/>
        </w:rPr>
        <w:t>ils furent arrivés tout proche d</w:t>
      </w:r>
      <w:r w:rsidR="00557DE0">
        <w:rPr>
          <w:lang w:eastAsia="fr-FR" w:bidi="he-IL"/>
        </w:rPr>
        <w:t>’</w:t>
      </w:r>
      <w:r w:rsidRPr="00C8701B">
        <w:rPr>
          <w:lang w:eastAsia="fr-FR" w:bidi="he-IL"/>
        </w:rPr>
        <w:t>une caverne</w:t>
      </w:r>
      <w:r w:rsidR="00E65435">
        <w:rPr>
          <w:lang w:eastAsia="fr-FR" w:bidi="he-IL"/>
        </w:rPr>
        <w:t xml:space="preserve">, </w:t>
      </w:r>
      <w:r w:rsidRPr="00C8701B">
        <w:rPr>
          <w:lang w:eastAsia="fr-FR" w:bidi="he-IL"/>
        </w:rPr>
        <w:t>Marie dit à Joseph que le moment de sa délivrance était venu</w:t>
      </w:r>
      <w:r w:rsidR="00E65435">
        <w:rPr>
          <w:lang w:eastAsia="fr-FR" w:bidi="he-IL"/>
        </w:rPr>
        <w:t xml:space="preserve">, </w:t>
      </w:r>
      <w:r w:rsidRPr="00C8701B">
        <w:rPr>
          <w:lang w:eastAsia="fr-FR" w:bidi="he-IL"/>
        </w:rPr>
        <w:t>et qu</w:t>
      </w:r>
      <w:r w:rsidR="00557DE0">
        <w:rPr>
          <w:lang w:eastAsia="fr-FR" w:bidi="he-IL"/>
        </w:rPr>
        <w:t>’</w:t>
      </w:r>
      <w:r w:rsidRPr="00C8701B">
        <w:rPr>
          <w:lang w:eastAsia="fr-FR" w:bidi="he-IL"/>
        </w:rPr>
        <w:t>elle ne pouvait aller jusqu</w:t>
      </w:r>
      <w:r w:rsidR="00557DE0">
        <w:rPr>
          <w:lang w:eastAsia="fr-FR" w:bidi="he-IL"/>
        </w:rPr>
        <w:t>’</w:t>
      </w:r>
      <w:r w:rsidRPr="00C8701B">
        <w:rPr>
          <w:lang w:eastAsia="fr-FR" w:bidi="he-IL"/>
        </w:rPr>
        <w:t>à la ville</w:t>
      </w:r>
      <w:r w:rsidR="00C2602D" w:rsidRPr="00C8701B">
        <w:rPr>
          <w:lang w:eastAsia="fr-FR" w:bidi="he-IL"/>
        </w:rPr>
        <w:t> </w:t>
      </w:r>
      <w:r w:rsidR="007F6508">
        <w:rPr>
          <w:lang w:eastAsia="fr-FR" w:bidi="he-IL"/>
        </w:rPr>
        <w:t xml:space="preserve">; </w:t>
      </w:r>
      <w:r w:rsidRPr="00C8701B">
        <w:rPr>
          <w:lang w:eastAsia="fr-FR" w:bidi="he-IL"/>
        </w:rPr>
        <w:t>mais</w:t>
      </w:r>
      <w:r w:rsidR="00E65435">
        <w:rPr>
          <w:lang w:eastAsia="fr-FR" w:bidi="he-IL"/>
        </w:rPr>
        <w:t xml:space="preserve">, </w:t>
      </w:r>
      <w:r w:rsidRPr="00C8701B">
        <w:rPr>
          <w:lang w:eastAsia="fr-FR" w:bidi="he-IL"/>
        </w:rPr>
        <w:t>dit-elle</w:t>
      </w:r>
      <w:r w:rsidR="00E65435">
        <w:rPr>
          <w:lang w:eastAsia="fr-FR" w:bidi="he-IL"/>
        </w:rPr>
        <w:t xml:space="preserve">, </w:t>
      </w:r>
      <w:r w:rsidRPr="00C8701B">
        <w:rPr>
          <w:lang w:eastAsia="fr-FR" w:bidi="he-IL"/>
        </w:rPr>
        <w:t xml:space="preserve">entrons dans cette </w:t>
      </w:r>
      <w:r w:rsidR="00502CC1" w:rsidRPr="00C8701B">
        <w:rPr>
          <w:lang w:eastAsia="fr-FR" w:bidi="he-IL"/>
        </w:rPr>
        <w:t>caverne</w:t>
      </w:r>
      <w:r w:rsidRPr="00C8701B">
        <w:rPr>
          <w:lang w:eastAsia="fr-FR" w:bidi="he-IL"/>
        </w:rPr>
        <w:t>. Le soleil était au moment de se coucher. Joseph se hâta d</w:t>
      </w:r>
      <w:r w:rsidR="00557DE0">
        <w:rPr>
          <w:lang w:eastAsia="fr-FR" w:bidi="he-IL"/>
        </w:rPr>
        <w:t>’</w:t>
      </w:r>
      <w:r w:rsidRPr="00C8701B">
        <w:rPr>
          <w:lang w:eastAsia="fr-FR" w:bidi="he-IL"/>
        </w:rPr>
        <w:t>aller chercher une femme qui assistât Marie dans l</w:t>
      </w:r>
      <w:r w:rsidR="00557DE0">
        <w:rPr>
          <w:lang w:eastAsia="fr-FR" w:bidi="he-IL"/>
        </w:rPr>
        <w:t>’</w:t>
      </w:r>
      <w:r w:rsidRPr="00C8701B">
        <w:rPr>
          <w:lang w:eastAsia="fr-FR" w:bidi="he-IL"/>
        </w:rPr>
        <w:t>enfantement</w:t>
      </w:r>
      <w:r w:rsidR="00E65435">
        <w:rPr>
          <w:lang w:eastAsia="fr-FR" w:bidi="he-IL"/>
        </w:rPr>
        <w:t xml:space="preserve">, </w:t>
      </w:r>
      <w:r w:rsidRPr="00C8701B">
        <w:rPr>
          <w:lang w:eastAsia="fr-FR" w:bidi="he-IL"/>
        </w:rPr>
        <w:t>et il rencontra une vieille Israélite qui venait de Jérusalem</w:t>
      </w:r>
      <w:r w:rsidR="00E65435">
        <w:rPr>
          <w:lang w:eastAsia="fr-FR" w:bidi="he-IL"/>
        </w:rPr>
        <w:t xml:space="preserve">, </w:t>
      </w:r>
      <w:r w:rsidRPr="00C8701B">
        <w:rPr>
          <w:lang w:eastAsia="fr-FR" w:bidi="he-IL"/>
        </w:rPr>
        <w:t>et la saluant</w:t>
      </w:r>
      <w:r w:rsidR="00E65435">
        <w:rPr>
          <w:lang w:eastAsia="fr-FR" w:bidi="he-IL"/>
        </w:rPr>
        <w:t xml:space="preserve">, </w:t>
      </w:r>
      <w:r w:rsidRPr="00C8701B">
        <w:rPr>
          <w:lang w:eastAsia="fr-FR" w:bidi="he-IL"/>
        </w:rPr>
        <w:t>il lui dit</w:t>
      </w:r>
      <w:r w:rsidR="00C2602D" w:rsidRPr="00C8701B">
        <w:rPr>
          <w:lang w:eastAsia="fr-FR" w:bidi="he-IL"/>
        </w:rPr>
        <w:t> :</w:t>
      </w:r>
      <w:r w:rsidRPr="00C8701B">
        <w:rPr>
          <w:lang w:eastAsia="fr-FR" w:bidi="he-IL"/>
        </w:rPr>
        <w:t xml:space="preserve"> Entre dans cette caverne</w:t>
      </w:r>
      <w:r w:rsidR="00E65435">
        <w:rPr>
          <w:lang w:eastAsia="fr-FR" w:bidi="he-IL"/>
        </w:rPr>
        <w:t xml:space="preserve">, </w:t>
      </w:r>
      <w:r w:rsidRPr="00C8701B">
        <w:rPr>
          <w:lang w:eastAsia="fr-FR" w:bidi="he-IL"/>
        </w:rPr>
        <w:t>où tu trouveras une femme sur le point d</w:t>
      </w:r>
      <w:r w:rsidR="00557DE0">
        <w:rPr>
          <w:lang w:eastAsia="fr-FR" w:bidi="he-IL"/>
        </w:rPr>
        <w:t>’</w:t>
      </w:r>
      <w:r w:rsidRPr="00C8701B">
        <w:rPr>
          <w:lang w:eastAsia="fr-FR" w:bidi="he-IL"/>
        </w:rPr>
        <w:t>être mère.</w:t>
      </w:r>
      <w:r w:rsidR="00C2602D" w:rsidRPr="00C8701B">
        <w:rPr>
          <w:lang w:eastAsia="fr-FR" w:bidi="he-IL"/>
        </w:rPr>
        <w:t xml:space="preserve"> </w:t>
      </w:r>
    </w:p>
    <w:p w:rsidR="00C2602D" w:rsidRPr="00C8701B" w:rsidRDefault="00B704AD" w:rsidP="0086296F">
      <w:pPr>
        <w:pStyle w:val="locus"/>
        <w:rPr>
          <w:lang w:eastAsia="fr-FR" w:bidi="he-IL"/>
        </w:rPr>
      </w:pPr>
      <w:r w:rsidRPr="00C8701B">
        <w:rPr>
          <w:lang w:eastAsia="fr-FR" w:bidi="he-IL"/>
        </w:rPr>
        <w:t>Chapitre III.</w:t>
      </w:r>
      <w:r w:rsidR="000F7DAA">
        <w:rPr>
          <w:lang w:eastAsia="fr-FR" w:bidi="he-IL"/>
        </w:rPr>
        <w:t xml:space="preserve"> —</w:t>
      </w:r>
      <w:r w:rsidR="008D0642">
        <w:rPr>
          <w:lang w:eastAsia="fr-FR" w:bidi="he-IL"/>
        </w:rPr>
        <w:t xml:space="preserve"> </w:t>
      </w:r>
      <w:r w:rsidRPr="00C8701B">
        <w:rPr>
          <w:lang w:eastAsia="fr-FR" w:bidi="he-IL"/>
        </w:rPr>
        <w:t>Et après le coucher du soleil</w:t>
      </w:r>
      <w:r w:rsidR="00E65435">
        <w:rPr>
          <w:lang w:eastAsia="fr-FR" w:bidi="he-IL"/>
        </w:rPr>
        <w:t xml:space="preserve">, </w:t>
      </w:r>
      <w:r w:rsidRPr="00C8701B">
        <w:rPr>
          <w:lang w:eastAsia="fr-FR" w:bidi="he-IL"/>
        </w:rPr>
        <w:t>Joseph arriva avec la vieille devant la caverne</w:t>
      </w:r>
      <w:r w:rsidR="00E65435">
        <w:rPr>
          <w:lang w:eastAsia="fr-FR" w:bidi="he-IL"/>
        </w:rPr>
        <w:t xml:space="preserve">, </w:t>
      </w:r>
      <w:r w:rsidR="00502CC1">
        <w:rPr>
          <w:lang w:eastAsia="fr-FR" w:bidi="he-IL"/>
        </w:rPr>
        <w:t>et ils entrèrent. Et voici q</w:t>
      </w:r>
      <w:r w:rsidRPr="00C8701B">
        <w:rPr>
          <w:lang w:eastAsia="fr-FR" w:bidi="he-IL"/>
        </w:rPr>
        <w:t xml:space="preserve">ue la caverne était toute </w:t>
      </w:r>
      <w:r w:rsidR="00502CC1" w:rsidRPr="00C8701B">
        <w:rPr>
          <w:lang w:eastAsia="fr-FR" w:bidi="he-IL"/>
        </w:rPr>
        <w:t>resplendissante</w:t>
      </w:r>
      <w:r w:rsidRPr="00C8701B">
        <w:rPr>
          <w:lang w:eastAsia="fr-FR" w:bidi="he-IL"/>
        </w:rPr>
        <w:t xml:space="preserve"> d</w:t>
      </w:r>
      <w:r w:rsidR="00557DE0">
        <w:rPr>
          <w:lang w:eastAsia="fr-FR" w:bidi="he-IL"/>
        </w:rPr>
        <w:t>’</w:t>
      </w:r>
      <w:r w:rsidRPr="00C8701B">
        <w:rPr>
          <w:lang w:eastAsia="fr-FR" w:bidi="he-IL"/>
        </w:rPr>
        <w:t>une clarté qui surpassait celle d</w:t>
      </w:r>
      <w:r w:rsidR="00557DE0">
        <w:rPr>
          <w:lang w:eastAsia="fr-FR" w:bidi="he-IL"/>
        </w:rPr>
        <w:t>’</w:t>
      </w:r>
      <w:r w:rsidRPr="00C8701B">
        <w:rPr>
          <w:lang w:eastAsia="fr-FR" w:bidi="he-IL"/>
        </w:rPr>
        <w:t>une infinité de flambeaux</w:t>
      </w:r>
      <w:r w:rsidR="00E65435">
        <w:rPr>
          <w:lang w:eastAsia="fr-FR" w:bidi="he-IL"/>
        </w:rPr>
        <w:t xml:space="preserve">, </w:t>
      </w:r>
      <w:r w:rsidRPr="00C8701B">
        <w:rPr>
          <w:lang w:eastAsia="fr-FR" w:bidi="he-IL"/>
        </w:rPr>
        <w:t>et qui brillait plus que le soleil en son midi. L</w:t>
      </w:r>
      <w:r w:rsidR="00557DE0">
        <w:rPr>
          <w:lang w:eastAsia="fr-FR" w:bidi="he-IL"/>
        </w:rPr>
        <w:t>’</w:t>
      </w:r>
      <w:r w:rsidRPr="00C8701B">
        <w:rPr>
          <w:lang w:eastAsia="fr-FR" w:bidi="he-IL"/>
        </w:rPr>
        <w:t>enfant</w:t>
      </w:r>
      <w:r w:rsidR="00E65435">
        <w:rPr>
          <w:lang w:eastAsia="fr-FR" w:bidi="he-IL"/>
        </w:rPr>
        <w:t xml:space="preserve">, </w:t>
      </w:r>
      <w:r w:rsidRPr="00C8701B">
        <w:rPr>
          <w:lang w:eastAsia="fr-FR" w:bidi="he-IL"/>
        </w:rPr>
        <w:t>couvert de langes et couché dans une crèche</w:t>
      </w:r>
      <w:r w:rsidR="00E65435">
        <w:rPr>
          <w:lang w:eastAsia="fr-FR" w:bidi="he-IL"/>
        </w:rPr>
        <w:t xml:space="preserve">, </w:t>
      </w:r>
      <w:r w:rsidRPr="00C8701B">
        <w:rPr>
          <w:lang w:eastAsia="fr-FR" w:bidi="he-IL"/>
        </w:rPr>
        <w:t>tétait le sein de sa mère. Tous deux restèrent frappés de surprise à l</w:t>
      </w:r>
      <w:r w:rsidR="00557DE0">
        <w:rPr>
          <w:lang w:eastAsia="fr-FR" w:bidi="he-IL"/>
        </w:rPr>
        <w:t>’</w:t>
      </w:r>
      <w:r w:rsidRPr="00C8701B">
        <w:rPr>
          <w:lang w:eastAsia="fr-FR" w:bidi="he-IL"/>
        </w:rPr>
        <w:t>aspect de cette clarté</w:t>
      </w:r>
      <w:r w:rsidR="00C2602D" w:rsidRPr="00C8701B">
        <w:rPr>
          <w:lang w:eastAsia="fr-FR" w:bidi="he-IL"/>
        </w:rPr>
        <w:t> </w:t>
      </w:r>
      <w:r w:rsidR="007F6508">
        <w:rPr>
          <w:lang w:eastAsia="fr-FR" w:bidi="he-IL"/>
        </w:rPr>
        <w:t xml:space="preserve">; </w:t>
      </w:r>
      <w:r w:rsidRPr="00C8701B">
        <w:rPr>
          <w:lang w:eastAsia="fr-FR" w:bidi="he-IL"/>
        </w:rPr>
        <w:t>et la vieille demanda à Marie</w:t>
      </w:r>
      <w:r w:rsidR="00C2602D" w:rsidRPr="00C8701B">
        <w:rPr>
          <w:lang w:eastAsia="fr-FR" w:bidi="he-IL"/>
        </w:rPr>
        <w:t> :</w:t>
      </w:r>
      <w:r w:rsidRPr="00C8701B">
        <w:rPr>
          <w:lang w:eastAsia="fr-FR" w:bidi="he-IL"/>
        </w:rPr>
        <w:t xml:space="preserve"> Es-tu la mère de cet enfant</w:t>
      </w:r>
      <w:r w:rsidR="00C2602D" w:rsidRPr="00C8701B">
        <w:rPr>
          <w:lang w:eastAsia="fr-FR" w:bidi="he-IL"/>
        </w:rPr>
        <w:t> ?</w:t>
      </w:r>
      <w:r w:rsidR="00502CC1">
        <w:rPr>
          <w:lang w:eastAsia="fr-FR" w:bidi="he-IL"/>
        </w:rPr>
        <w:t xml:space="preserve"> </w:t>
      </w:r>
      <w:r w:rsidRPr="00C8701B">
        <w:rPr>
          <w:lang w:eastAsia="fr-FR" w:bidi="he-IL"/>
        </w:rPr>
        <w:t>Et Marie ayant répondu affirmativement</w:t>
      </w:r>
      <w:r w:rsidR="00E65435">
        <w:rPr>
          <w:lang w:eastAsia="fr-FR" w:bidi="he-IL"/>
        </w:rPr>
        <w:t xml:space="preserve">, </w:t>
      </w:r>
      <w:r w:rsidRPr="00C8701B">
        <w:rPr>
          <w:lang w:eastAsia="fr-FR" w:bidi="he-IL"/>
        </w:rPr>
        <w:t>la vieille lui dit</w:t>
      </w:r>
      <w:r w:rsidR="00C2602D" w:rsidRPr="00C8701B">
        <w:rPr>
          <w:lang w:eastAsia="fr-FR" w:bidi="he-IL"/>
        </w:rPr>
        <w:t> :</w:t>
      </w:r>
      <w:r w:rsidRPr="00C8701B">
        <w:rPr>
          <w:lang w:eastAsia="fr-FR" w:bidi="he-IL"/>
        </w:rPr>
        <w:t xml:space="preserve"> Tu n</w:t>
      </w:r>
      <w:r w:rsidR="00557DE0">
        <w:rPr>
          <w:lang w:eastAsia="fr-FR" w:bidi="he-IL"/>
        </w:rPr>
        <w:t>’</w:t>
      </w:r>
      <w:r w:rsidR="00502CC1">
        <w:rPr>
          <w:lang w:eastAsia="fr-FR" w:bidi="he-IL"/>
        </w:rPr>
        <w:t>es pas semblable aux filles d</w:t>
      </w:r>
      <w:r w:rsidR="00557DE0">
        <w:rPr>
          <w:lang w:eastAsia="fr-FR" w:bidi="he-IL"/>
        </w:rPr>
        <w:t>’</w:t>
      </w:r>
      <w:r w:rsidR="00502CC1" w:rsidRPr="00C8701B">
        <w:rPr>
          <w:lang w:eastAsia="fr-FR" w:bidi="he-IL"/>
        </w:rPr>
        <w:t>Ève</w:t>
      </w:r>
      <w:r w:rsidRPr="00C8701B">
        <w:rPr>
          <w:lang w:eastAsia="fr-FR" w:bidi="he-IL"/>
        </w:rPr>
        <w:t>. Et Marie repartit</w:t>
      </w:r>
      <w:r w:rsidR="00C2602D" w:rsidRPr="00C8701B">
        <w:rPr>
          <w:lang w:eastAsia="fr-FR" w:bidi="he-IL"/>
        </w:rPr>
        <w:t> :</w:t>
      </w:r>
      <w:r w:rsidRPr="00C8701B">
        <w:rPr>
          <w:lang w:eastAsia="fr-FR" w:bidi="he-IL"/>
        </w:rPr>
        <w:t xml:space="preserve"> De même qu</w:t>
      </w:r>
      <w:r w:rsidR="00557DE0">
        <w:rPr>
          <w:lang w:eastAsia="fr-FR" w:bidi="he-IL"/>
        </w:rPr>
        <w:t>’</w:t>
      </w:r>
      <w:r w:rsidRPr="00C8701B">
        <w:rPr>
          <w:lang w:eastAsia="fr-FR" w:bidi="he-IL"/>
        </w:rPr>
        <w:t>il n</w:t>
      </w:r>
      <w:r w:rsidR="00557DE0">
        <w:rPr>
          <w:lang w:eastAsia="fr-FR" w:bidi="he-IL"/>
        </w:rPr>
        <w:t>’</w:t>
      </w:r>
      <w:r w:rsidRPr="00C8701B">
        <w:rPr>
          <w:lang w:eastAsia="fr-FR" w:bidi="he-IL"/>
        </w:rPr>
        <w:t xml:space="preserve">y a parmi les enfants </w:t>
      </w:r>
      <w:r w:rsidR="00502CC1" w:rsidRPr="00C8701B">
        <w:rPr>
          <w:lang w:eastAsia="fr-FR" w:bidi="he-IL"/>
        </w:rPr>
        <w:t>aucun</w:t>
      </w:r>
      <w:r w:rsidRPr="00C8701B">
        <w:rPr>
          <w:lang w:eastAsia="fr-FR" w:bidi="he-IL"/>
        </w:rPr>
        <w:t xml:space="preserve"> qui ressemble à mon fils</w:t>
      </w:r>
      <w:r w:rsidR="00E65435">
        <w:rPr>
          <w:lang w:eastAsia="fr-FR" w:bidi="he-IL"/>
        </w:rPr>
        <w:t xml:space="preserve">, </w:t>
      </w:r>
      <w:r w:rsidRPr="00C8701B">
        <w:rPr>
          <w:lang w:eastAsia="fr-FR" w:bidi="he-IL"/>
        </w:rPr>
        <w:t>de même sa mère est sans pareille parmi toutes les femmes.</w:t>
      </w:r>
      <w:r w:rsidR="00C2602D" w:rsidRPr="00C8701B">
        <w:rPr>
          <w:lang w:eastAsia="fr-FR" w:bidi="he-IL"/>
        </w:rPr>
        <w:t xml:space="preserve"> </w:t>
      </w:r>
    </w:p>
    <w:p w:rsidR="00C2602D" w:rsidRPr="00C8701B" w:rsidRDefault="00B704AD" w:rsidP="0086296F">
      <w:pPr>
        <w:pStyle w:val="locus"/>
        <w:rPr>
          <w:lang w:eastAsia="fr-FR" w:bidi="he-IL"/>
        </w:rPr>
      </w:pPr>
      <w:r w:rsidRPr="00C8701B">
        <w:rPr>
          <w:lang w:eastAsia="fr-FR" w:bidi="he-IL"/>
        </w:rPr>
        <w:t>Chapitre X</w:t>
      </w:r>
      <w:r w:rsidR="003A247F">
        <w:rPr>
          <w:lang w:eastAsia="fr-FR" w:bidi="he-IL"/>
        </w:rPr>
        <w:t>XIII</w:t>
      </w:r>
      <w:r w:rsidR="000F7DAA">
        <w:rPr>
          <w:lang w:eastAsia="fr-FR" w:bidi="he-IL"/>
        </w:rPr>
        <w:t xml:space="preserve"> —</w:t>
      </w:r>
      <w:r w:rsidR="008D0642">
        <w:rPr>
          <w:lang w:eastAsia="fr-FR" w:bidi="he-IL"/>
        </w:rPr>
        <w:t xml:space="preserve"> </w:t>
      </w:r>
      <w:r w:rsidRPr="00C8701B">
        <w:rPr>
          <w:lang w:eastAsia="fr-FR" w:bidi="he-IL"/>
        </w:rPr>
        <w:t>Ils arrivèrent ensuite près d</w:t>
      </w:r>
      <w:r w:rsidR="00557DE0">
        <w:rPr>
          <w:lang w:eastAsia="fr-FR" w:bidi="he-IL"/>
        </w:rPr>
        <w:t>’</w:t>
      </w:r>
      <w:r w:rsidRPr="00C8701B">
        <w:rPr>
          <w:lang w:eastAsia="fr-FR" w:bidi="he-IL"/>
        </w:rPr>
        <w:t>un désert</w:t>
      </w:r>
      <w:r w:rsidR="00933C60" w:rsidRPr="00C406FF">
        <w:rPr>
          <w:rStyle w:val="Appelnotedebasdep"/>
        </w:rPr>
        <w:footnoteReference w:id="608"/>
      </w:r>
      <w:r w:rsidRPr="00C8701B">
        <w:rPr>
          <w:lang w:eastAsia="fr-FR" w:bidi="he-IL"/>
        </w:rPr>
        <w:t xml:space="preserve"> et comme ils apprirent qu</w:t>
      </w:r>
      <w:r w:rsidR="00557DE0">
        <w:rPr>
          <w:lang w:eastAsia="fr-FR" w:bidi="he-IL"/>
        </w:rPr>
        <w:t>’</w:t>
      </w:r>
      <w:r w:rsidRPr="00C8701B">
        <w:rPr>
          <w:lang w:eastAsia="fr-FR" w:bidi="he-IL"/>
        </w:rPr>
        <w:t>il était infecté de voleurs</w:t>
      </w:r>
      <w:r w:rsidR="00E65435">
        <w:rPr>
          <w:lang w:eastAsia="fr-FR" w:bidi="he-IL"/>
        </w:rPr>
        <w:t xml:space="preserve">, </w:t>
      </w:r>
      <w:r w:rsidRPr="00C8701B">
        <w:rPr>
          <w:lang w:eastAsia="fr-FR" w:bidi="he-IL"/>
        </w:rPr>
        <w:t>ils se préparèrent à le traverser pendant la nuit. Et voici que tout d</w:t>
      </w:r>
      <w:r w:rsidR="00557DE0">
        <w:rPr>
          <w:lang w:eastAsia="fr-FR" w:bidi="he-IL"/>
        </w:rPr>
        <w:t>’</w:t>
      </w:r>
      <w:r w:rsidRPr="00C8701B">
        <w:rPr>
          <w:lang w:eastAsia="fr-FR" w:bidi="he-IL"/>
        </w:rPr>
        <w:t>un coup</w:t>
      </w:r>
      <w:r w:rsidR="00E65435">
        <w:rPr>
          <w:lang w:eastAsia="fr-FR" w:bidi="he-IL"/>
        </w:rPr>
        <w:t xml:space="preserve">, </w:t>
      </w:r>
      <w:r w:rsidRPr="00C8701B">
        <w:rPr>
          <w:lang w:eastAsia="fr-FR" w:bidi="he-IL"/>
        </w:rPr>
        <w:t>ils aperçurent deux voleurs qui étaient endormis</w:t>
      </w:r>
      <w:r w:rsidR="00E65435">
        <w:rPr>
          <w:lang w:eastAsia="fr-FR" w:bidi="he-IL"/>
        </w:rPr>
        <w:t xml:space="preserve">, </w:t>
      </w:r>
      <w:r w:rsidRPr="00C8701B">
        <w:rPr>
          <w:lang w:eastAsia="fr-FR" w:bidi="he-IL"/>
        </w:rPr>
        <w:t>et près d</w:t>
      </w:r>
      <w:r w:rsidR="00557DE0">
        <w:rPr>
          <w:lang w:eastAsia="fr-FR" w:bidi="he-IL"/>
        </w:rPr>
        <w:t>’</w:t>
      </w:r>
      <w:r w:rsidR="00502CC1">
        <w:rPr>
          <w:lang w:eastAsia="fr-FR" w:bidi="he-IL"/>
        </w:rPr>
        <w:t>eux il</w:t>
      </w:r>
      <w:r w:rsidRPr="00C8701B">
        <w:rPr>
          <w:lang w:eastAsia="fr-FR" w:bidi="he-IL"/>
        </w:rPr>
        <w:t>s virent une foule d</w:t>
      </w:r>
      <w:r w:rsidR="00557DE0">
        <w:rPr>
          <w:lang w:eastAsia="fr-FR" w:bidi="he-IL"/>
        </w:rPr>
        <w:t>’</w:t>
      </w:r>
      <w:r w:rsidRPr="00C8701B">
        <w:rPr>
          <w:lang w:eastAsia="fr-FR" w:bidi="he-IL"/>
        </w:rPr>
        <w:t>autres voleurs qui étaient les camarades de ces gens</w:t>
      </w:r>
      <w:r w:rsidR="00E65435">
        <w:rPr>
          <w:lang w:eastAsia="fr-FR" w:bidi="he-IL"/>
        </w:rPr>
        <w:t xml:space="preserve">, </w:t>
      </w:r>
      <w:r w:rsidRPr="00C8701B">
        <w:rPr>
          <w:lang w:eastAsia="fr-FR" w:bidi="he-IL"/>
        </w:rPr>
        <w:t xml:space="preserve">et qui étaient aussi plongés dans le sommeil. Ces deux voleurs se nommaient </w:t>
      </w:r>
      <w:r w:rsidR="00502CC1" w:rsidRPr="00C8701B">
        <w:rPr>
          <w:lang w:eastAsia="fr-FR" w:bidi="he-IL"/>
        </w:rPr>
        <w:t>Titus</w:t>
      </w:r>
      <w:r w:rsidRPr="00C8701B">
        <w:rPr>
          <w:lang w:eastAsia="fr-FR" w:bidi="he-IL"/>
        </w:rPr>
        <w:t xml:space="preserve"> et</w:t>
      </w:r>
      <w:r w:rsidR="00502CC1">
        <w:rPr>
          <w:lang w:eastAsia="fr-FR" w:bidi="he-IL"/>
        </w:rPr>
        <w:t xml:space="preserve"> </w:t>
      </w:r>
      <w:r w:rsidRPr="00C8701B">
        <w:rPr>
          <w:lang w:eastAsia="fr-FR" w:bidi="he-IL"/>
        </w:rPr>
        <w:t>Dumachus. Et le premier dit à l</w:t>
      </w:r>
      <w:r w:rsidR="00557DE0">
        <w:rPr>
          <w:lang w:eastAsia="fr-FR" w:bidi="he-IL"/>
        </w:rPr>
        <w:t>’</w:t>
      </w:r>
      <w:r w:rsidRPr="00C8701B">
        <w:rPr>
          <w:lang w:eastAsia="fr-FR" w:bidi="he-IL"/>
        </w:rPr>
        <w:t>autre</w:t>
      </w:r>
      <w:r w:rsidR="00C2602D" w:rsidRPr="00C8701B">
        <w:rPr>
          <w:lang w:eastAsia="fr-FR" w:bidi="he-IL"/>
        </w:rPr>
        <w:t> :</w:t>
      </w:r>
      <w:r w:rsidRPr="00C8701B">
        <w:rPr>
          <w:lang w:eastAsia="fr-FR" w:bidi="he-IL"/>
        </w:rPr>
        <w:t xml:space="preserve"> Je te prie de laisser ces</w:t>
      </w:r>
      <w:r w:rsidR="007475F7" w:rsidRPr="00C8701B">
        <w:rPr>
          <w:lang w:eastAsia="fr-FR" w:bidi="he-IL"/>
        </w:rPr>
        <w:t xml:space="preserve"> </w:t>
      </w:r>
      <w:r w:rsidRPr="00C8701B">
        <w:rPr>
          <w:lang w:eastAsia="fr-FR" w:bidi="he-IL"/>
        </w:rPr>
        <w:t>voyageurs aller en paix</w:t>
      </w:r>
      <w:r w:rsidR="00E65435">
        <w:rPr>
          <w:lang w:eastAsia="fr-FR" w:bidi="he-IL"/>
        </w:rPr>
        <w:t xml:space="preserve">, </w:t>
      </w:r>
      <w:r w:rsidR="00502CC1">
        <w:rPr>
          <w:lang w:eastAsia="fr-FR" w:bidi="he-IL"/>
        </w:rPr>
        <w:t>de peur que nos c</w:t>
      </w:r>
      <w:r w:rsidRPr="00C8701B">
        <w:rPr>
          <w:lang w:eastAsia="fr-FR" w:bidi="he-IL"/>
        </w:rPr>
        <w:t xml:space="preserve">ompagnons ne les aperçoivent. </w:t>
      </w:r>
      <w:r w:rsidRPr="00CD3C57">
        <w:rPr>
          <w:lang w:eastAsia="fr-FR" w:bidi="he-IL"/>
        </w:rPr>
        <w:t>Dumachus s</w:t>
      </w:r>
      <w:r w:rsidR="00557DE0">
        <w:rPr>
          <w:lang w:eastAsia="fr-FR" w:bidi="he-IL"/>
        </w:rPr>
        <w:t>’</w:t>
      </w:r>
      <w:r w:rsidRPr="00CD3C57">
        <w:rPr>
          <w:lang w:eastAsia="fr-FR" w:bidi="he-IL"/>
        </w:rPr>
        <w:t>y refu</w:t>
      </w:r>
      <w:r w:rsidRPr="00C8701B">
        <w:rPr>
          <w:lang w:eastAsia="fr-FR" w:bidi="he-IL"/>
        </w:rPr>
        <w:t>sant</w:t>
      </w:r>
      <w:r w:rsidR="00E65435">
        <w:rPr>
          <w:lang w:eastAsia="fr-FR" w:bidi="he-IL"/>
        </w:rPr>
        <w:t xml:space="preserve">, </w:t>
      </w:r>
      <w:r w:rsidR="00366671">
        <w:rPr>
          <w:lang w:eastAsia="fr-FR" w:bidi="he-IL"/>
        </w:rPr>
        <w:t>{117</w:t>
      </w:r>
      <w:bookmarkStart w:id="177" w:name="pag117"/>
      <w:bookmarkEnd w:id="177"/>
      <w:r w:rsidR="00366671">
        <w:rPr>
          <w:lang w:eastAsia="fr-FR" w:bidi="he-IL"/>
        </w:rPr>
        <w:t>}</w:t>
      </w:r>
      <w:r w:rsidR="00502CC1">
        <w:rPr>
          <w:lang w:eastAsia="fr-FR" w:bidi="he-IL"/>
        </w:rPr>
        <w:t xml:space="preserve"> Titus lu</w:t>
      </w:r>
      <w:r w:rsidRPr="00C8701B">
        <w:rPr>
          <w:lang w:eastAsia="fr-FR" w:bidi="he-IL"/>
        </w:rPr>
        <w:t>i dit</w:t>
      </w:r>
      <w:r w:rsidR="00C2602D" w:rsidRPr="00C8701B">
        <w:rPr>
          <w:lang w:eastAsia="fr-FR" w:bidi="he-IL"/>
        </w:rPr>
        <w:t> :</w:t>
      </w:r>
      <w:r w:rsidR="00502CC1">
        <w:rPr>
          <w:lang w:eastAsia="fr-FR" w:bidi="he-IL"/>
        </w:rPr>
        <w:t xml:space="preserve"> R</w:t>
      </w:r>
      <w:r w:rsidRPr="00C8701B">
        <w:rPr>
          <w:lang w:eastAsia="fr-FR" w:bidi="he-IL"/>
        </w:rPr>
        <w:t>eçois de moi quarante drachmes</w:t>
      </w:r>
      <w:r w:rsidR="00E65435">
        <w:rPr>
          <w:lang w:eastAsia="fr-FR" w:bidi="he-IL"/>
        </w:rPr>
        <w:t xml:space="preserve">, </w:t>
      </w:r>
      <w:r w:rsidRPr="00C8701B">
        <w:rPr>
          <w:lang w:eastAsia="fr-FR" w:bidi="he-IL"/>
        </w:rPr>
        <w:t>et prends ma ceinture pour gage. Et il la lui présentait en même temps</w:t>
      </w:r>
      <w:r w:rsidR="00E65435">
        <w:rPr>
          <w:lang w:eastAsia="fr-FR" w:bidi="he-IL"/>
        </w:rPr>
        <w:t xml:space="preserve">, </w:t>
      </w:r>
      <w:r w:rsidRPr="00C8701B">
        <w:rPr>
          <w:lang w:eastAsia="fr-FR" w:bidi="he-IL"/>
        </w:rPr>
        <w:t>le priant de ne pas appeler et de ne pas donner l</w:t>
      </w:r>
      <w:r w:rsidR="00557DE0">
        <w:rPr>
          <w:lang w:eastAsia="fr-FR" w:bidi="he-IL"/>
        </w:rPr>
        <w:t>’</w:t>
      </w:r>
      <w:r w:rsidRPr="00C8701B">
        <w:rPr>
          <w:lang w:eastAsia="fr-FR" w:bidi="he-IL"/>
        </w:rPr>
        <w:t>alarme. Marie</w:t>
      </w:r>
      <w:r w:rsidR="00E65435">
        <w:rPr>
          <w:lang w:eastAsia="fr-FR" w:bidi="he-IL"/>
        </w:rPr>
        <w:t xml:space="preserve">, </w:t>
      </w:r>
      <w:r w:rsidRPr="00C8701B">
        <w:rPr>
          <w:lang w:eastAsia="fr-FR" w:bidi="he-IL"/>
        </w:rPr>
        <w:t>voyant ce voleur si bien disposé à leur rendre service</w:t>
      </w:r>
      <w:r w:rsidR="00E65435">
        <w:rPr>
          <w:lang w:eastAsia="fr-FR" w:bidi="he-IL"/>
        </w:rPr>
        <w:t xml:space="preserve">, </w:t>
      </w:r>
      <w:r w:rsidRPr="00C8701B">
        <w:rPr>
          <w:lang w:eastAsia="fr-FR" w:bidi="he-IL"/>
        </w:rPr>
        <w:t>lui dit</w:t>
      </w:r>
      <w:r w:rsidR="00C2602D" w:rsidRPr="00C8701B">
        <w:rPr>
          <w:lang w:eastAsia="fr-FR" w:bidi="he-IL"/>
        </w:rPr>
        <w:t> :</w:t>
      </w:r>
      <w:r w:rsidRPr="00C8701B">
        <w:rPr>
          <w:lang w:eastAsia="fr-FR" w:bidi="he-IL"/>
        </w:rPr>
        <w:t xml:space="preserve"> Que Dieu te soutienne de sa main droite</w:t>
      </w:r>
      <w:r w:rsidR="00E65435">
        <w:rPr>
          <w:lang w:eastAsia="fr-FR" w:bidi="he-IL"/>
        </w:rPr>
        <w:t xml:space="preserve">, </w:t>
      </w:r>
      <w:r w:rsidRPr="00C8701B">
        <w:rPr>
          <w:lang w:eastAsia="fr-FR" w:bidi="he-IL"/>
        </w:rPr>
        <w:t>et qu</w:t>
      </w:r>
      <w:r w:rsidR="00557DE0">
        <w:rPr>
          <w:lang w:eastAsia="fr-FR" w:bidi="he-IL"/>
        </w:rPr>
        <w:t>’</w:t>
      </w:r>
      <w:r w:rsidRPr="00C8701B">
        <w:rPr>
          <w:lang w:eastAsia="fr-FR" w:bidi="he-IL"/>
        </w:rPr>
        <w:t>il t</w:t>
      </w:r>
      <w:r w:rsidR="00557DE0">
        <w:rPr>
          <w:lang w:eastAsia="fr-FR" w:bidi="he-IL"/>
        </w:rPr>
        <w:t>’</w:t>
      </w:r>
      <w:r w:rsidR="00502CC1">
        <w:rPr>
          <w:lang w:eastAsia="fr-FR" w:bidi="he-IL"/>
        </w:rPr>
        <w:t>acc</w:t>
      </w:r>
      <w:r w:rsidRPr="00C8701B">
        <w:rPr>
          <w:lang w:eastAsia="fr-FR" w:bidi="he-IL"/>
        </w:rPr>
        <w:t>orde la rémission de tes péchés. Et le Seigneur Jésus dit à Marie</w:t>
      </w:r>
      <w:r w:rsidR="00C2602D" w:rsidRPr="00C8701B">
        <w:rPr>
          <w:lang w:eastAsia="fr-FR" w:bidi="he-IL"/>
        </w:rPr>
        <w:t> :</w:t>
      </w:r>
      <w:r w:rsidRPr="00C8701B">
        <w:rPr>
          <w:lang w:eastAsia="fr-FR" w:bidi="he-IL"/>
        </w:rPr>
        <w:t xml:space="preserve"> Dans trente ans</w:t>
      </w:r>
      <w:r w:rsidR="00E65435">
        <w:rPr>
          <w:lang w:eastAsia="fr-FR" w:bidi="he-IL"/>
        </w:rPr>
        <w:t xml:space="preserve">, </w:t>
      </w:r>
      <w:r w:rsidRPr="00C8701B">
        <w:rPr>
          <w:lang w:eastAsia="fr-FR" w:bidi="he-IL"/>
        </w:rPr>
        <w:t>ô ma mère</w:t>
      </w:r>
      <w:r w:rsidR="00E65435">
        <w:rPr>
          <w:lang w:eastAsia="fr-FR" w:bidi="he-IL"/>
        </w:rPr>
        <w:t xml:space="preserve">, </w:t>
      </w:r>
      <w:r w:rsidRPr="00C8701B">
        <w:rPr>
          <w:lang w:eastAsia="fr-FR" w:bidi="he-IL"/>
        </w:rPr>
        <w:t>les Juifs me crucifieront à Jérusalem</w:t>
      </w:r>
      <w:r w:rsidR="00E65435">
        <w:rPr>
          <w:lang w:eastAsia="fr-FR" w:bidi="he-IL"/>
        </w:rPr>
        <w:t xml:space="preserve">, </w:t>
      </w:r>
      <w:r w:rsidRPr="00C8701B">
        <w:rPr>
          <w:lang w:eastAsia="fr-FR" w:bidi="he-IL"/>
        </w:rPr>
        <w:t>et ces deux voleurs seront mis en croix à mes côtés</w:t>
      </w:r>
      <w:r w:rsidR="00E65435">
        <w:rPr>
          <w:lang w:eastAsia="fr-FR" w:bidi="he-IL"/>
        </w:rPr>
        <w:t xml:space="preserve">, </w:t>
      </w:r>
      <w:r w:rsidRPr="00C8701B">
        <w:rPr>
          <w:lang w:eastAsia="fr-FR" w:bidi="he-IL"/>
        </w:rPr>
        <w:t>Titus à ma droite</w:t>
      </w:r>
      <w:r w:rsidR="00E65435">
        <w:rPr>
          <w:lang w:eastAsia="fr-FR" w:bidi="he-IL"/>
        </w:rPr>
        <w:t xml:space="preserve">, </w:t>
      </w:r>
      <w:r w:rsidRPr="00C8701B">
        <w:rPr>
          <w:lang w:eastAsia="fr-FR" w:bidi="he-IL"/>
        </w:rPr>
        <w:t>et Dumachus à ma gauche</w:t>
      </w:r>
      <w:r w:rsidR="00C2602D" w:rsidRPr="00C8701B">
        <w:rPr>
          <w:lang w:eastAsia="fr-FR" w:bidi="he-IL"/>
        </w:rPr>
        <w:t> </w:t>
      </w:r>
      <w:r w:rsidR="007F6508">
        <w:rPr>
          <w:lang w:eastAsia="fr-FR" w:bidi="he-IL"/>
        </w:rPr>
        <w:t xml:space="preserve">; </w:t>
      </w:r>
      <w:r w:rsidRPr="00C8701B">
        <w:rPr>
          <w:lang w:eastAsia="fr-FR" w:bidi="he-IL"/>
        </w:rPr>
        <w:t>et</w:t>
      </w:r>
      <w:r w:rsidR="00E65435">
        <w:rPr>
          <w:lang w:eastAsia="fr-FR" w:bidi="he-IL"/>
        </w:rPr>
        <w:t xml:space="preserve">, </w:t>
      </w:r>
      <w:r w:rsidRPr="00C8701B">
        <w:rPr>
          <w:lang w:eastAsia="fr-FR" w:bidi="he-IL"/>
        </w:rPr>
        <w:t>ce jour-là</w:t>
      </w:r>
      <w:r w:rsidR="00E65435">
        <w:rPr>
          <w:lang w:eastAsia="fr-FR" w:bidi="he-IL"/>
        </w:rPr>
        <w:t xml:space="preserve">, </w:t>
      </w:r>
      <w:r w:rsidRPr="00C8701B">
        <w:rPr>
          <w:lang w:eastAsia="fr-FR" w:bidi="he-IL"/>
        </w:rPr>
        <w:t>Titus me précédera dans le paradis. Et lorsqu</w:t>
      </w:r>
      <w:r w:rsidR="00557DE0">
        <w:rPr>
          <w:lang w:eastAsia="fr-FR" w:bidi="he-IL"/>
        </w:rPr>
        <w:t>’</w:t>
      </w:r>
      <w:r w:rsidRPr="00C8701B">
        <w:rPr>
          <w:lang w:eastAsia="fr-FR" w:bidi="he-IL"/>
        </w:rPr>
        <w:t>il eut ainsi parlé</w:t>
      </w:r>
      <w:r w:rsidR="00E65435">
        <w:rPr>
          <w:lang w:eastAsia="fr-FR" w:bidi="he-IL"/>
        </w:rPr>
        <w:t xml:space="preserve">, </w:t>
      </w:r>
      <w:r w:rsidRPr="00C8701B">
        <w:rPr>
          <w:lang w:eastAsia="fr-FR" w:bidi="he-IL"/>
        </w:rPr>
        <w:t>sa mère lui répondit</w:t>
      </w:r>
      <w:r w:rsidR="00C2602D" w:rsidRPr="00C8701B">
        <w:rPr>
          <w:lang w:eastAsia="fr-FR" w:bidi="he-IL"/>
        </w:rPr>
        <w:t> :</w:t>
      </w:r>
      <w:r w:rsidRPr="00C8701B">
        <w:rPr>
          <w:lang w:eastAsia="fr-FR" w:bidi="he-IL"/>
        </w:rPr>
        <w:t xml:space="preserve"> Que Dieu détourne de toi semblables choses</w:t>
      </w:r>
      <w:r w:rsidR="00E65435">
        <w:rPr>
          <w:lang w:eastAsia="fr-FR" w:bidi="he-IL"/>
        </w:rPr>
        <w:t xml:space="preserve">, </w:t>
      </w:r>
      <w:r w:rsidRPr="00C8701B">
        <w:rPr>
          <w:lang w:eastAsia="fr-FR" w:bidi="he-IL"/>
        </w:rPr>
        <w:t>ô mon fils. Et ils allèrent ensuite vers une ville des idoles</w:t>
      </w:r>
      <w:r w:rsidR="00E65435">
        <w:rPr>
          <w:lang w:eastAsia="fr-FR" w:bidi="he-IL"/>
        </w:rPr>
        <w:t xml:space="preserve">, </w:t>
      </w:r>
      <w:r w:rsidRPr="00C8701B">
        <w:rPr>
          <w:lang w:eastAsia="fr-FR" w:bidi="he-IL"/>
        </w:rPr>
        <w:t>et</w:t>
      </w:r>
      <w:r w:rsidR="00E65435">
        <w:rPr>
          <w:lang w:eastAsia="fr-FR" w:bidi="he-IL"/>
        </w:rPr>
        <w:t xml:space="preserve">, </w:t>
      </w:r>
      <w:r w:rsidRPr="00C8701B">
        <w:rPr>
          <w:lang w:eastAsia="fr-FR" w:bidi="he-IL"/>
        </w:rPr>
        <w:t>comme ils en approchaient</w:t>
      </w:r>
      <w:r w:rsidR="00E65435">
        <w:rPr>
          <w:lang w:eastAsia="fr-FR" w:bidi="he-IL"/>
        </w:rPr>
        <w:t xml:space="preserve">, </w:t>
      </w:r>
      <w:r w:rsidRPr="00C8701B">
        <w:rPr>
          <w:lang w:eastAsia="fr-FR" w:bidi="he-IL"/>
        </w:rPr>
        <w:t>elle fut changée en un monceau de sable.</w:t>
      </w:r>
      <w:r w:rsidR="00C2602D" w:rsidRPr="00C8701B">
        <w:rPr>
          <w:lang w:eastAsia="fr-FR" w:bidi="he-IL"/>
        </w:rPr>
        <w:t xml:space="preserve"> </w:t>
      </w:r>
    </w:p>
    <w:p w:rsidR="00C2602D" w:rsidRPr="00C8701B" w:rsidRDefault="00B704AD" w:rsidP="0086296F">
      <w:pPr>
        <w:pStyle w:val="locus"/>
        <w:rPr>
          <w:lang w:eastAsia="fr-FR" w:bidi="he-IL"/>
        </w:rPr>
      </w:pPr>
      <w:r w:rsidRPr="00C8701B">
        <w:rPr>
          <w:lang w:eastAsia="fr-FR" w:bidi="he-IL"/>
        </w:rPr>
        <w:t>Chapitre X</w:t>
      </w:r>
      <w:r w:rsidR="0042479B">
        <w:rPr>
          <w:lang w:eastAsia="fr-FR" w:bidi="he-IL"/>
        </w:rPr>
        <w:t>XXV</w:t>
      </w:r>
      <w:r w:rsidRPr="00C8701B">
        <w:rPr>
          <w:lang w:eastAsia="fr-FR" w:bidi="he-IL"/>
        </w:rPr>
        <w:t>.</w:t>
      </w:r>
      <w:r w:rsidR="000F7DAA">
        <w:rPr>
          <w:lang w:eastAsia="fr-FR" w:bidi="he-IL"/>
        </w:rPr>
        <w:t xml:space="preserve"> —</w:t>
      </w:r>
      <w:r w:rsidR="008D0642">
        <w:rPr>
          <w:lang w:eastAsia="fr-FR" w:bidi="he-IL"/>
        </w:rPr>
        <w:t xml:space="preserve"> </w:t>
      </w:r>
      <w:r w:rsidRPr="00C8701B">
        <w:rPr>
          <w:lang w:eastAsia="fr-FR" w:bidi="he-IL"/>
        </w:rPr>
        <w:t>Il y avait dans cette même ville (Nazareth) une autre femme dont le fils était tourmenté par Satan. Il se nommait Judas</w:t>
      </w:r>
      <w:r w:rsidR="00E65435">
        <w:rPr>
          <w:lang w:eastAsia="fr-FR" w:bidi="he-IL"/>
        </w:rPr>
        <w:t xml:space="preserve">, </w:t>
      </w:r>
      <w:r w:rsidRPr="00C8701B">
        <w:rPr>
          <w:lang w:eastAsia="fr-FR" w:bidi="he-IL"/>
        </w:rPr>
        <w:t>et toutes les fois que le malin esprit s</w:t>
      </w:r>
      <w:r w:rsidR="00557DE0">
        <w:rPr>
          <w:lang w:eastAsia="fr-FR" w:bidi="he-IL"/>
        </w:rPr>
        <w:t>’</w:t>
      </w:r>
      <w:r w:rsidRPr="00C8701B">
        <w:rPr>
          <w:lang w:eastAsia="fr-FR" w:bidi="he-IL"/>
        </w:rPr>
        <w:t>emparait de lui</w:t>
      </w:r>
      <w:r w:rsidR="00E65435">
        <w:rPr>
          <w:lang w:eastAsia="fr-FR" w:bidi="he-IL"/>
        </w:rPr>
        <w:t xml:space="preserve">, </w:t>
      </w:r>
      <w:r w:rsidRPr="00C8701B">
        <w:rPr>
          <w:lang w:eastAsia="fr-FR" w:bidi="he-IL"/>
        </w:rPr>
        <w:t>il cherchait à mordre ceux qui étaient près de lui</w:t>
      </w:r>
      <w:r w:rsidR="00C2602D" w:rsidRPr="00C8701B">
        <w:rPr>
          <w:lang w:eastAsia="fr-FR" w:bidi="he-IL"/>
        </w:rPr>
        <w:t> </w:t>
      </w:r>
      <w:r w:rsidR="007F6508">
        <w:rPr>
          <w:lang w:eastAsia="fr-FR" w:bidi="he-IL"/>
        </w:rPr>
        <w:t xml:space="preserve">; </w:t>
      </w:r>
      <w:r w:rsidRPr="00C8701B">
        <w:rPr>
          <w:lang w:eastAsia="fr-FR" w:bidi="he-IL"/>
        </w:rPr>
        <w:t>et s</w:t>
      </w:r>
      <w:r w:rsidR="00557DE0">
        <w:rPr>
          <w:lang w:eastAsia="fr-FR" w:bidi="he-IL"/>
        </w:rPr>
        <w:t>’</w:t>
      </w:r>
      <w:r w:rsidRPr="00C8701B">
        <w:rPr>
          <w:lang w:eastAsia="fr-FR" w:bidi="he-IL"/>
        </w:rPr>
        <w:t>il était seul</w:t>
      </w:r>
      <w:r w:rsidR="00E65435">
        <w:rPr>
          <w:lang w:eastAsia="fr-FR" w:bidi="he-IL"/>
        </w:rPr>
        <w:t xml:space="preserve">, </w:t>
      </w:r>
      <w:r w:rsidRPr="00C8701B">
        <w:rPr>
          <w:lang w:eastAsia="fr-FR" w:bidi="he-IL"/>
        </w:rPr>
        <w:t>il mordait ses propres mains et ses membres. La mère de ce malheureux</w:t>
      </w:r>
      <w:r w:rsidR="00E65435">
        <w:rPr>
          <w:lang w:eastAsia="fr-FR" w:bidi="he-IL"/>
        </w:rPr>
        <w:t xml:space="preserve">, </w:t>
      </w:r>
      <w:r w:rsidRPr="00C8701B">
        <w:rPr>
          <w:lang w:eastAsia="fr-FR" w:bidi="he-IL"/>
        </w:rPr>
        <w:t>entendant parler de Marie et de son fils Jésus</w:t>
      </w:r>
      <w:r w:rsidR="00E65435">
        <w:rPr>
          <w:lang w:eastAsia="fr-FR" w:bidi="he-IL"/>
        </w:rPr>
        <w:t xml:space="preserve">, </w:t>
      </w:r>
      <w:r w:rsidRPr="00C8701B">
        <w:rPr>
          <w:lang w:eastAsia="fr-FR" w:bidi="he-IL"/>
        </w:rPr>
        <w:t>se leva</w:t>
      </w:r>
      <w:r w:rsidR="00E65435">
        <w:rPr>
          <w:lang w:eastAsia="fr-FR" w:bidi="he-IL"/>
        </w:rPr>
        <w:t xml:space="preserve">, </w:t>
      </w:r>
      <w:r w:rsidRPr="00C8701B">
        <w:rPr>
          <w:lang w:eastAsia="fr-FR" w:bidi="he-IL"/>
        </w:rPr>
        <w:t>et tenant son fils dans ses bras</w:t>
      </w:r>
      <w:r w:rsidR="00E65435">
        <w:rPr>
          <w:lang w:eastAsia="fr-FR" w:bidi="he-IL"/>
        </w:rPr>
        <w:t xml:space="preserve">, </w:t>
      </w:r>
      <w:r w:rsidRPr="00C8701B">
        <w:rPr>
          <w:lang w:eastAsia="fr-FR" w:bidi="he-IL"/>
        </w:rPr>
        <w:t>elle le porta à Marie... Judas s</w:t>
      </w:r>
      <w:r w:rsidR="00557DE0">
        <w:rPr>
          <w:lang w:eastAsia="fr-FR" w:bidi="he-IL"/>
        </w:rPr>
        <w:t>’</w:t>
      </w:r>
      <w:r w:rsidRPr="00C8701B">
        <w:rPr>
          <w:lang w:eastAsia="fr-FR" w:bidi="he-IL"/>
        </w:rPr>
        <w:t>approcha et s</w:t>
      </w:r>
      <w:r w:rsidR="00557DE0">
        <w:rPr>
          <w:lang w:eastAsia="fr-FR" w:bidi="he-IL"/>
        </w:rPr>
        <w:t>’</w:t>
      </w:r>
      <w:r w:rsidRPr="00C8701B">
        <w:rPr>
          <w:lang w:eastAsia="fr-FR" w:bidi="he-IL"/>
        </w:rPr>
        <w:t>assit à la droite de Jésus</w:t>
      </w:r>
      <w:r w:rsidR="00C2602D" w:rsidRPr="00C8701B">
        <w:rPr>
          <w:lang w:eastAsia="fr-FR" w:bidi="he-IL"/>
        </w:rPr>
        <w:t> </w:t>
      </w:r>
      <w:r w:rsidR="007F6508">
        <w:rPr>
          <w:lang w:eastAsia="fr-FR" w:bidi="he-IL"/>
        </w:rPr>
        <w:t xml:space="preserve">; </w:t>
      </w:r>
      <w:r w:rsidRPr="00C8701B">
        <w:rPr>
          <w:lang w:eastAsia="fr-FR" w:bidi="he-IL"/>
        </w:rPr>
        <w:t>et quand Satan commença à l</w:t>
      </w:r>
      <w:r w:rsidR="00557DE0">
        <w:rPr>
          <w:lang w:eastAsia="fr-FR" w:bidi="he-IL"/>
        </w:rPr>
        <w:t>’</w:t>
      </w:r>
      <w:r w:rsidRPr="00C8701B">
        <w:rPr>
          <w:lang w:eastAsia="fr-FR" w:bidi="he-IL"/>
        </w:rPr>
        <w:t>agiter comme d</w:t>
      </w:r>
      <w:r w:rsidR="00557DE0">
        <w:rPr>
          <w:lang w:eastAsia="fr-FR" w:bidi="he-IL"/>
        </w:rPr>
        <w:t>’</w:t>
      </w:r>
      <w:r w:rsidRPr="00C8701B">
        <w:rPr>
          <w:lang w:eastAsia="fr-FR" w:bidi="he-IL"/>
        </w:rPr>
        <w:t>ordinaire</w:t>
      </w:r>
      <w:r w:rsidR="00E65435">
        <w:rPr>
          <w:lang w:eastAsia="fr-FR" w:bidi="he-IL"/>
        </w:rPr>
        <w:t xml:space="preserve">, </w:t>
      </w:r>
      <w:r w:rsidRPr="00C8701B">
        <w:rPr>
          <w:lang w:eastAsia="fr-FR" w:bidi="he-IL"/>
        </w:rPr>
        <w:t>il cherchait à mordre Jésus</w:t>
      </w:r>
      <w:r w:rsidR="00E65435">
        <w:rPr>
          <w:lang w:eastAsia="fr-FR" w:bidi="he-IL"/>
        </w:rPr>
        <w:t xml:space="preserve">, </w:t>
      </w:r>
      <w:r w:rsidRPr="00C8701B">
        <w:rPr>
          <w:lang w:eastAsia="fr-FR" w:bidi="he-IL"/>
        </w:rPr>
        <w:t>et comme il ne pouvait l</w:t>
      </w:r>
      <w:r w:rsidR="00557DE0">
        <w:rPr>
          <w:lang w:eastAsia="fr-FR" w:bidi="he-IL"/>
        </w:rPr>
        <w:t>’</w:t>
      </w:r>
      <w:r w:rsidRPr="00C8701B">
        <w:rPr>
          <w:lang w:eastAsia="fr-FR" w:bidi="he-IL"/>
        </w:rPr>
        <w:t>atteindre</w:t>
      </w:r>
      <w:r w:rsidR="00E65435">
        <w:rPr>
          <w:lang w:eastAsia="fr-FR" w:bidi="he-IL"/>
        </w:rPr>
        <w:t xml:space="preserve">, </w:t>
      </w:r>
      <w:r w:rsidRPr="00C8701B">
        <w:rPr>
          <w:lang w:eastAsia="fr-FR" w:bidi="he-IL"/>
        </w:rPr>
        <w:t>il lui donnait des coups dans le côté droit</w:t>
      </w:r>
      <w:r w:rsidR="00E65435">
        <w:rPr>
          <w:lang w:eastAsia="fr-FR" w:bidi="he-IL"/>
        </w:rPr>
        <w:t xml:space="preserve">, </w:t>
      </w:r>
      <w:r w:rsidRPr="00C8701B">
        <w:rPr>
          <w:lang w:eastAsia="fr-FR" w:bidi="he-IL"/>
        </w:rPr>
        <w:t>de sorte que Jésus se mit à pleurer.</w:t>
      </w:r>
      <w:r w:rsidR="007D3F5A">
        <w:rPr>
          <w:lang w:eastAsia="fr-FR" w:bidi="he-IL"/>
        </w:rPr>
        <w:t xml:space="preserve">. </w:t>
      </w:r>
      <w:r w:rsidR="007D3F5A" w:rsidRPr="00C8701B">
        <w:rPr>
          <w:lang w:eastAsia="fr-FR" w:bidi="he-IL"/>
        </w:rPr>
        <w:t>E</w:t>
      </w:r>
      <w:r w:rsidRPr="00C8701B">
        <w:rPr>
          <w:lang w:eastAsia="fr-FR" w:bidi="he-IL"/>
        </w:rPr>
        <w:t>t</w:t>
      </w:r>
      <w:r w:rsidR="00E65435">
        <w:rPr>
          <w:lang w:eastAsia="fr-FR" w:bidi="he-IL"/>
        </w:rPr>
        <w:t xml:space="preserve">, </w:t>
      </w:r>
      <w:r w:rsidRPr="00C8701B">
        <w:rPr>
          <w:lang w:eastAsia="fr-FR" w:bidi="he-IL"/>
        </w:rPr>
        <w:t>en ce moment</w:t>
      </w:r>
      <w:r w:rsidR="00E65435">
        <w:rPr>
          <w:lang w:eastAsia="fr-FR" w:bidi="he-IL"/>
        </w:rPr>
        <w:t xml:space="preserve">, </w:t>
      </w:r>
      <w:r w:rsidRPr="00C8701B">
        <w:rPr>
          <w:lang w:eastAsia="fr-FR" w:bidi="he-IL"/>
        </w:rPr>
        <w:t>Satan sortit de cet enfant</w:t>
      </w:r>
      <w:r w:rsidR="00E65435">
        <w:rPr>
          <w:lang w:eastAsia="fr-FR" w:bidi="he-IL"/>
        </w:rPr>
        <w:t xml:space="preserve">, </w:t>
      </w:r>
      <w:r w:rsidRPr="00C8701B">
        <w:rPr>
          <w:lang w:eastAsia="fr-FR" w:bidi="he-IL"/>
        </w:rPr>
        <w:t>sous la forme d</w:t>
      </w:r>
      <w:r w:rsidR="00557DE0">
        <w:rPr>
          <w:lang w:eastAsia="fr-FR" w:bidi="he-IL"/>
        </w:rPr>
        <w:t>’</w:t>
      </w:r>
      <w:r w:rsidRPr="00C8701B">
        <w:rPr>
          <w:lang w:eastAsia="fr-FR" w:bidi="he-IL"/>
        </w:rPr>
        <w:t>un chien enragé. Et cet enfant fut Judas Iscariote</w:t>
      </w:r>
      <w:r w:rsidR="00E65435">
        <w:rPr>
          <w:lang w:eastAsia="fr-FR" w:bidi="he-IL"/>
        </w:rPr>
        <w:t xml:space="preserve">, </w:t>
      </w:r>
      <w:r w:rsidRPr="00C8701B">
        <w:rPr>
          <w:lang w:eastAsia="fr-FR" w:bidi="he-IL"/>
        </w:rPr>
        <w:t>qui trahit Jésus...</w:t>
      </w:r>
      <w:r w:rsidR="00C2602D" w:rsidRPr="00C8701B">
        <w:rPr>
          <w:lang w:eastAsia="fr-FR" w:bidi="he-IL"/>
        </w:rPr>
        <w:t xml:space="preserve"> </w:t>
      </w:r>
    </w:p>
    <w:p w:rsidR="00C2602D" w:rsidRPr="00C8701B" w:rsidRDefault="00502CC1" w:rsidP="0086296F">
      <w:pPr>
        <w:pStyle w:val="locus"/>
        <w:rPr>
          <w:lang w:eastAsia="fr-FR" w:bidi="he-IL"/>
        </w:rPr>
      </w:pPr>
      <w:r>
        <w:rPr>
          <w:lang w:eastAsia="fr-FR" w:bidi="he-IL"/>
        </w:rPr>
        <w:t>Chapitre LII</w:t>
      </w:r>
      <w:r w:rsidR="00B704AD" w:rsidRPr="00C8701B">
        <w:rPr>
          <w:lang w:eastAsia="fr-FR" w:bidi="he-IL"/>
        </w:rPr>
        <w:t>.</w:t>
      </w:r>
      <w:r w:rsidR="000F7DAA">
        <w:rPr>
          <w:lang w:eastAsia="fr-FR" w:bidi="he-IL"/>
        </w:rPr>
        <w:t xml:space="preserve"> —</w:t>
      </w:r>
      <w:r w:rsidR="008D0642">
        <w:rPr>
          <w:lang w:eastAsia="fr-FR" w:bidi="he-IL"/>
        </w:rPr>
        <w:t xml:space="preserve"> </w:t>
      </w:r>
      <w:r w:rsidR="00B704AD" w:rsidRPr="00C8701B">
        <w:rPr>
          <w:lang w:eastAsia="fr-FR" w:bidi="he-IL"/>
        </w:rPr>
        <w:t xml:space="preserve">Il y avait aussi parmi eux (les </w:t>
      </w:r>
      <w:r>
        <w:rPr>
          <w:lang w:eastAsia="fr-FR" w:bidi="he-IL"/>
        </w:rPr>
        <w:t>docteurs de Jérusalem) un philos</w:t>
      </w:r>
      <w:r w:rsidR="00B704AD" w:rsidRPr="00C8701B">
        <w:rPr>
          <w:lang w:eastAsia="fr-FR" w:bidi="he-IL"/>
        </w:rPr>
        <w:t>ophe très savant en médecine et dans les sciences naturelles</w:t>
      </w:r>
      <w:r w:rsidR="00C2602D" w:rsidRPr="00C8701B">
        <w:rPr>
          <w:lang w:eastAsia="fr-FR" w:bidi="he-IL"/>
        </w:rPr>
        <w:t> </w:t>
      </w:r>
      <w:r w:rsidR="007F6508">
        <w:rPr>
          <w:lang w:eastAsia="fr-FR" w:bidi="he-IL"/>
        </w:rPr>
        <w:t xml:space="preserve">; </w:t>
      </w:r>
      <w:r w:rsidR="00B704AD" w:rsidRPr="00C8701B">
        <w:rPr>
          <w:lang w:eastAsia="fr-FR" w:bidi="he-IL"/>
        </w:rPr>
        <w:t>et lorsqu</w:t>
      </w:r>
      <w:r w:rsidR="00557DE0">
        <w:rPr>
          <w:lang w:eastAsia="fr-FR" w:bidi="he-IL"/>
        </w:rPr>
        <w:t>’</w:t>
      </w:r>
      <w:r w:rsidR="00B704AD" w:rsidRPr="00C8701B">
        <w:rPr>
          <w:lang w:eastAsia="fr-FR" w:bidi="he-IL"/>
        </w:rPr>
        <w:t>il demanda au Seigneur Jésus s</w:t>
      </w:r>
      <w:r w:rsidR="00557DE0">
        <w:rPr>
          <w:lang w:eastAsia="fr-FR" w:bidi="he-IL"/>
        </w:rPr>
        <w:t>’</w:t>
      </w:r>
      <w:r w:rsidR="00B704AD" w:rsidRPr="00C8701B">
        <w:rPr>
          <w:lang w:eastAsia="fr-FR" w:bidi="he-IL"/>
        </w:rPr>
        <w:t>il avait étudié la médecine</w:t>
      </w:r>
      <w:r w:rsidR="00E65435">
        <w:rPr>
          <w:lang w:eastAsia="fr-FR" w:bidi="he-IL"/>
        </w:rPr>
        <w:t xml:space="preserve">, </w:t>
      </w:r>
      <w:r w:rsidR="00B704AD" w:rsidRPr="00C8701B">
        <w:rPr>
          <w:lang w:eastAsia="fr-FR" w:bidi="he-IL"/>
        </w:rPr>
        <w:t>celui-ci lui exposa la physique</w:t>
      </w:r>
      <w:r w:rsidR="00E65435">
        <w:rPr>
          <w:lang w:eastAsia="fr-FR" w:bidi="he-IL"/>
        </w:rPr>
        <w:t xml:space="preserve">, </w:t>
      </w:r>
      <w:r w:rsidR="00B704AD" w:rsidRPr="00C8701B">
        <w:rPr>
          <w:lang w:eastAsia="fr-FR" w:bidi="he-IL"/>
        </w:rPr>
        <w:t>la métaphysique</w:t>
      </w:r>
      <w:r w:rsidR="00E65435">
        <w:rPr>
          <w:lang w:eastAsia="fr-FR" w:bidi="he-IL"/>
        </w:rPr>
        <w:t xml:space="preserve">, </w:t>
      </w:r>
      <w:r w:rsidR="00B704AD" w:rsidRPr="00C8701B">
        <w:rPr>
          <w:lang w:eastAsia="fr-FR" w:bidi="he-IL"/>
        </w:rPr>
        <w:t>l</w:t>
      </w:r>
      <w:r w:rsidR="00557DE0">
        <w:rPr>
          <w:lang w:eastAsia="fr-FR" w:bidi="he-IL"/>
        </w:rPr>
        <w:t>’</w:t>
      </w:r>
      <w:r w:rsidR="00B704AD" w:rsidRPr="00C8701B">
        <w:rPr>
          <w:lang w:eastAsia="fr-FR" w:bidi="he-IL"/>
        </w:rPr>
        <w:t>hyperphysique et l</w:t>
      </w:r>
      <w:r w:rsidR="00557DE0">
        <w:rPr>
          <w:lang w:eastAsia="fr-FR" w:bidi="he-IL"/>
        </w:rPr>
        <w:t>’</w:t>
      </w:r>
      <w:r w:rsidR="00B704AD" w:rsidRPr="00C8701B">
        <w:rPr>
          <w:lang w:eastAsia="fr-FR" w:bidi="he-IL"/>
        </w:rPr>
        <w:t>hypophysique</w:t>
      </w:r>
      <w:r w:rsidR="00E65435">
        <w:rPr>
          <w:lang w:eastAsia="fr-FR" w:bidi="he-IL"/>
        </w:rPr>
        <w:t xml:space="preserve">, </w:t>
      </w:r>
      <w:r w:rsidR="00B704AD" w:rsidRPr="00C8701B">
        <w:rPr>
          <w:lang w:eastAsia="fr-FR" w:bidi="he-IL"/>
        </w:rPr>
        <w:t>les vertus du corps</w:t>
      </w:r>
      <w:r w:rsidR="00E65435">
        <w:rPr>
          <w:lang w:eastAsia="fr-FR" w:bidi="he-IL"/>
        </w:rPr>
        <w:t xml:space="preserve">, </w:t>
      </w:r>
      <w:r w:rsidR="00B704AD" w:rsidRPr="00C8701B">
        <w:rPr>
          <w:lang w:eastAsia="fr-FR" w:bidi="he-IL"/>
        </w:rPr>
        <w:t>les</w:t>
      </w:r>
      <w:r w:rsidR="0086296F">
        <w:rPr>
          <w:lang w:eastAsia="fr-FR" w:bidi="he-IL"/>
        </w:rPr>
        <w:t xml:space="preserve"> </w:t>
      </w:r>
      <w:r w:rsidR="00B704AD" w:rsidRPr="00C8701B">
        <w:rPr>
          <w:lang w:eastAsia="fr-FR" w:bidi="he-IL"/>
        </w:rPr>
        <w:t>humeurs</w:t>
      </w:r>
      <w:r w:rsidR="0086296F">
        <w:rPr>
          <w:lang w:eastAsia="fr-FR" w:bidi="he-IL"/>
        </w:rPr>
        <w:t xml:space="preserve"> </w:t>
      </w:r>
      <w:r w:rsidR="00B704AD" w:rsidRPr="00C8701B">
        <w:rPr>
          <w:lang w:eastAsia="fr-FR" w:bidi="he-IL"/>
        </w:rPr>
        <w:t>et</w:t>
      </w:r>
      <w:r w:rsidR="0086296F">
        <w:rPr>
          <w:lang w:eastAsia="fr-FR" w:bidi="he-IL"/>
        </w:rPr>
        <w:t xml:space="preserve"> l</w:t>
      </w:r>
      <w:r w:rsidR="00B704AD" w:rsidRPr="00C8701B">
        <w:rPr>
          <w:lang w:eastAsia="fr-FR" w:bidi="he-IL"/>
        </w:rPr>
        <w:t>eurs</w:t>
      </w:r>
      <w:r w:rsidR="0086296F">
        <w:rPr>
          <w:lang w:eastAsia="fr-FR" w:bidi="he-IL"/>
        </w:rPr>
        <w:t xml:space="preserve"> eff</w:t>
      </w:r>
      <w:r w:rsidR="00B704AD" w:rsidRPr="00C8701B">
        <w:rPr>
          <w:lang w:eastAsia="fr-FR" w:bidi="he-IL"/>
        </w:rPr>
        <w:t>ets</w:t>
      </w:r>
      <w:r w:rsidR="00E65435">
        <w:rPr>
          <w:lang w:eastAsia="fr-FR" w:bidi="he-IL"/>
        </w:rPr>
        <w:t xml:space="preserve">, </w:t>
      </w:r>
      <w:r w:rsidR="00B704AD" w:rsidRPr="00C8701B">
        <w:rPr>
          <w:lang w:eastAsia="fr-FR" w:bidi="he-IL"/>
        </w:rPr>
        <w:t>le</w:t>
      </w:r>
      <w:r w:rsidR="0086296F">
        <w:rPr>
          <w:lang w:eastAsia="fr-FR" w:bidi="he-IL"/>
        </w:rPr>
        <w:t xml:space="preserve"> </w:t>
      </w:r>
      <w:r w:rsidR="00B704AD" w:rsidRPr="00C8701B">
        <w:rPr>
          <w:lang w:eastAsia="fr-FR" w:bidi="he-IL"/>
        </w:rPr>
        <w:t>nombre</w:t>
      </w:r>
      <w:r w:rsidR="0086296F">
        <w:rPr>
          <w:lang w:eastAsia="fr-FR" w:bidi="he-IL"/>
        </w:rPr>
        <w:t xml:space="preserve"> </w:t>
      </w:r>
      <w:r w:rsidR="00B704AD" w:rsidRPr="00C8701B">
        <w:rPr>
          <w:lang w:eastAsia="fr-FR" w:bidi="he-IL"/>
        </w:rPr>
        <w:t xml:space="preserve">des </w:t>
      </w:r>
      <w:r w:rsidR="00EA28F4" w:rsidRPr="00C8701B">
        <w:rPr>
          <w:lang w:eastAsia="fr-FR" w:bidi="he-IL"/>
        </w:rPr>
        <w:t>membres</w:t>
      </w:r>
      <w:r w:rsidR="00B704AD" w:rsidRPr="00C8701B">
        <w:rPr>
          <w:lang w:eastAsia="fr-FR" w:bidi="he-IL"/>
        </w:rPr>
        <w:t xml:space="preserve"> et</w:t>
      </w:r>
      <w:r w:rsidR="0086296F">
        <w:rPr>
          <w:lang w:eastAsia="fr-FR" w:bidi="he-IL"/>
        </w:rPr>
        <w:t xml:space="preserve"> </w:t>
      </w:r>
      <w:r w:rsidR="00B704AD" w:rsidRPr="00C8701B">
        <w:rPr>
          <w:lang w:eastAsia="fr-FR" w:bidi="he-IL"/>
        </w:rPr>
        <w:t>des os</w:t>
      </w:r>
      <w:r w:rsidR="00E65435">
        <w:rPr>
          <w:lang w:eastAsia="fr-FR" w:bidi="he-IL"/>
        </w:rPr>
        <w:t xml:space="preserve">, </w:t>
      </w:r>
      <w:r w:rsidR="00B704AD" w:rsidRPr="00C8701B">
        <w:rPr>
          <w:lang w:eastAsia="fr-FR" w:bidi="he-IL"/>
        </w:rPr>
        <w:t>des artères et des nerfs</w:t>
      </w:r>
      <w:r w:rsidR="00E65435">
        <w:rPr>
          <w:lang w:eastAsia="fr-FR" w:bidi="he-IL"/>
        </w:rPr>
        <w:t xml:space="preserve">, </w:t>
      </w:r>
      <w:r w:rsidR="00B704AD" w:rsidRPr="00C8701B">
        <w:rPr>
          <w:lang w:eastAsia="fr-FR" w:bidi="he-IL"/>
        </w:rPr>
        <w:t>les divers tempéraments</w:t>
      </w:r>
      <w:r w:rsidR="00E65435">
        <w:rPr>
          <w:lang w:eastAsia="fr-FR" w:bidi="he-IL"/>
        </w:rPr>
        <w:t xml:space="preserve">, </w:t>
      </w:r>
      <w:r w:rsidR="00B704AD" w:rsidRPr="00C8701B">
        <w:rPr>
          <w:lang w:eastAsia="fr-FR" w:bidi="he-IL"/>
        </w:rPr>
        <w:t>chaud et sec</w:t>
      </w:r>
      <w:r w:rsidR="00E65435">
        <w:rPr>
          <w:lang w:eastAsia="fr-FR" w:bidi="he-IL"/>
        </w:rPr>
        <w:t xml:space="preserve">, </w:t>
      </w:r>
      <w:r w:rsidR="00B704AD" w:rsidRPr="00C8701B">
        <w:rPr>
          <w:lang w:eastAsia="fr-FR" w:bidi="he-IL"/>
        </w:rPr>
        <w:t>froid et humide</w:t>
      </w:r>
      <w:r w:rsidR="00E65435">
        <w:rPr>
          <w:lang w:eastAsia="fr-FR" w:bidi="he-IL"/>
        </w:rPr>
        <w:t xml:space="preserve">, </w:t>
      </w:r>
      <w:r w:rsidR="00B704AD" w:rsidRPr="00C8701B">
        <w:rPr>
          <w:lang w:eastAsia="fr-FR" w:bidi="he-IL"/>
        </w:rPr>
        <w:t>et quels sont leurs résultats</w:t>
      </w:r>
      <w:r w:rsidR="00C2602D" w:rsidRPr="00C8701B">
        <w:rPr>
          <w:lang w:eastAsia="fr-FR" w:bidi="he-IL"/>
        </w:rPr>
        <w:t> </w:t>
      </w:r>
      <w:r w:rsidR="007F6508">
        <w:rPr>
          <w:lang w:eastAsia="fr-FR" w:bidi="he-IL"/>
        </w:rPr>
        <w:t xml:space="preserve">; </w:t>
      </w:r>
      <w:r w:rsidR="00B704AD" w:rsidRPr="00C8701B">
        <w:rPr>
          <w:lang w:eastAsia="fr-FR" w:bidi="he-IL"/>
        </w:rPr>
        <w:t>quelles sont les opérations de l</w:t>
      </w:r>
      <w:r w:rsidR="00557DE0">
        <w:rPr>
          <w:lang w:eastAsia="fr-FR" w:bidi="he-IL"/>
        </w:rPr>
        <w:t>’</w:t>
      </w:r>
      <w:r w:rsidR="00B704AD" w:rsidRPr="00C8701B">
        <w:rPr>
          <w:lang w:eastAsia="fr-FR" w:bidi="he-IL"/>
        </w:rPr>
        <w:t>âme dans le corps</w:t>
      </w:r>
      <w:r w:rsidR="0086296F">
        <w:rPr>
          <w:lang w:eastAsia="fr-FR" w:bidi="he-IL"/>
        </w:rPr>
        <w:t>,</w:t>
      </w:r>
      <w:r w:rsidR="00B704AD" w:rsidRPr="0086296F">
        <w:t xml:space="preserve"> </w:t>
      </w:r>
      <w:r w:rsidR="00B704AD" w:rsidRPr="00C8701B">
        <w:rPr>
          <w:lang w:eastAsia="fr-FR" w:bidi="he-IL"/>
        </w:rPr>
        <w:t>ses sensations et ses vertus</w:t>
      </w:r>
      <w:r w:rsidR="00E65435">
        <w:rPr>
          <w:lang w:eastAsia="fr-FR" w:bidi="he-IL"/>
        </w:rPr>
        <w:t xml:space="preserve">, </w:t>
      </w:r>
      <w:r w:rsidR="00B704AD" w:rsidRPr="00C8701B">
        <w:rPr>
          <w:lang w:eastAsia="fr-FR" w:bidi="he-IL"/>
        </w:rPr>
        <w:t>les facultés de la parole</w:t>
      </w:r>
      <w:r w:rsidR="00E65435">
        <w:rPr>
          <w:lang w:eastAsia="fr-FR" w:bidi="he-IL"/>
        </w:rPr>
        <w:t xml:space="preserve">, </w:t>
      </w:r>
      <w:r w:rsidR="00B704AD" w:rsidRPr="00C8701B">
        <w:rPr>
          <w:lang w:eastAsia="fr-FR" w:bidi="he-IL"/>
        </w:rPr>
        <w:t>de la colère</w:t>
      </w:r>
      <w:r w:rsidR="00E65435">
        <w:rPr>
          <w:lang w:eastAsia="fr-FR" w:bidi="he-IL"/>
        </w:rPr>
        <w:t xml:space="preserve">, </w:t>
      </w:r>
      <w:r w:rsidR="00B704AD" w:rsidRPr="00C8701B">
        <w:rPr>
          <w:lang w:eastAsia="fr-FR" w:bidi="he-IL"/>
        </w:rPr>
        <w:t>du désir</w:t>
      </w:r>
      <w:r w:rsidR="00E65435">
        <w:rPr>
          <w:lang w:eastAsia="fr-FR" w:bidi="he-IL"/>
        </w:rPr>
        <w:t xml:space="preserve">, </w:t>
      </w:r>
      <w:r w:rsidR="0086296F">
        <w:rPr>
          <w:lang w:eastAsia="fr-FR" w:bidi="he-IL"/>
        </w:rPr>
        <w:t>et d</w:t>
      </w:r>
      <w:r w:rsidR="00557DE0">
        <w:rPr>
          <w:lang w:eastAsia="fr-FR" w:bidi="he-IL"/>
        </w:rPr>
        <w:t>’</w:t>
      </w:r>
      <w:r w:rsidR="00B704AD" w:rsidRPr="00C8701B">
        <w:rPr>
          <w:lang w:eastAsia="fr-FR" w:bidi="he-IL"/>
        </w:rPr>
        <w:t>autres choses que l</w:t>
      </w:r>
      <w:r w:rsidR="00557DE0">
        <w:rPr>
          <w:lang w:eastAsia="fr-FR" w:bidi="he-IL"/>
        </w:rPr>
        <w:t>’</w:t>
      </w:r>
      <w:r w:rsidR="00B704AD" w:rsidRPr="00C8701B">
        <w:rPr>
          <w:lang w:eastAsia="fr-FR" w:bidi="he-IL"/>
        </w:rPr>
        <w:t>intelligence d</w:t>
      </w:r>
      <w:r w:rsidR="00557DE0">
        <w:rPr>
          <w:lang w:eastAsia="fr-FR" w:bidi="he-IL"/>
        </w:rPr>
        <w:t>’</w:t>
      </w:r>
      <w:r w:rsidR="00B704AD" w:rsidRPr="00C8701B">
        <w:rPr>
          <w:lang w:eastAsia="fr-FR" w:bidi="he-IL"/>
        </w:rPr>
        <w:t>aucune créature n</w:t>
      </w:r>
      <w:r w:rsidR="00557DE0">
        <w:rPr>
          <w:lang w:eastAsia="fr-FR" w:bidi="he-IL"/>
        </w:rPr>
        <w:t>’</w:t>
      </w:r>
      <w:r w:rsidR="00B704AD" w:rsidRPr="00C8701B">
        <w:rPr>
          <w:lang w:eastAsia="fr-FR" w:bidi="he-IL"/>
        </w:rPr>
        <w:t>a pu saisir. Alors ce philosophe se leva</w:t>
      </w:r>
      <w:r w:rsidR="00E65435">
        <w:rPr>
          <w:lang w:eastAsia="fr-FR" w:bidi="he-IL"/>
        </w:rPr>
        <w:t xml:space="preserve">, </w:t>
      </w:r>
      <w:r w:rsidR="00B704AD" w:rsidRPr="00C8701B">
        <w:rPr>
          <w:lang w:eastAsia="fr-FR" w:bidi="he-IL"/>
        </w:rPr>
        <w:t>et il adora le Seigneur Jésus en disant</w:t>
      </w:r>
      <w:r w:rsidR="00C2602D" w:rsidRPr="00C8701B">
        <w:rPr>
          <w:lang w:eastAsia="fr-FR" w:bidi="he-IL"/>
        </w:rPr>
        <w:t> :</w:t>
      </w:r>
      <w:r w:rsidR="00B704AD" w:rsidRPr="00C8701B">
        <w:rPr>
          <w:lang w:eastAsia="fr-FR" w:bidi="he-IL"/>
        </w:rPr>
        <w:t xml:space="preserve"> Seigneur</w:t>
      </w:r>
      <w:r w:rsidR="00E65435">
        <w:rPr>
          <w:lang w:eastAsia="fr-FR" w:bidi="he-IL"/>
        </w:rPr>
        <w:t xml:space="preserve">, </w:t>
      </w:r>
      <w:r w:rsidR="00B704AD" w:rsidRPr="00C8701B">
        <w:rPr>
          <w:lang w:eastAsia="fr-FR" w:bidi="he-IL"/>
        </w:rPr>
        <w:t>désormais je serai ton disciple et ton serviteur.</w:t>
      </w:r>
    </w:p>
    <w:p w:rsidR="00C2602D" w:rsidRPr="00C8701B" w:rsidRDefault="00B704AD" w:rsidP="00C2602D">
      <w:pPr>
        <w:rPr>
          <w:rFonts w:eastAsia="Arial Unicode MS"/>
          <w:bCs/>
          <w:lang w:eastAsia="fr-FR" w:bidi="he-IL"/>
        </w:rPr>
      </w:pPr>
      <w:r w:rsidRPr="00C8701B">
        <w:rPr>
          <w:rFonts w:eastAsia="Arial Unicode MS"/>
          <w:bCs/>
          <w:lang w:eastAsia="fr-FR" w:bidi="he-IL"/>
        </w:rPr>
        <w:t>2°</w:t>
      </w:r>
      <w:bookmarkStart w:id="178" w:name="evin140302"/>
      <w:bookmarkEnd w:id="178"/>
      <w:r w:rsidRPr="00DC4586">
        <w:rPr>
          <w:rStyle w:val="italicus"/>
        </w:rPr>
        <w:t xml:space="preserve"> Deuxième classe</w:t>
      </w:r>
      <w:r w:rsidR="00C2602D" w:rsidRPr="00DC4586">
        <w:rPr>
          <w:rStyle w:val="italicus"/>
        </w:rPr>
        <w:t> :</w:t>
      </w:r>
      <w:r w:rsidRPr="00C8701B">
        <w:rPr>
          <w:rFonts w:eastAsia="Arial Unicode MS"/>
          <w:bCs/>
          <w:lang w:eastAsia="fr-FR" w:bidi="he-IL"/>
        </w:rPr>
        <w:t xml:space="preserve"> les pièces apocryphes relatives aux dernières années de Jésus.</w:t>
      </w:r>
      <w:r w:rsidR="00C2602D" w:rsidRPr="00C8701B">
        <w:rPr>
          <w:rFonts w:eastAsia="Arial Unicode MS"/>
          <w:bCs/>
          <w:lang w:eastAsia="fr-FR" w:bidi="he-IL"/>
        </w:rPr>
        <w:t xml:space="preserve"> </w:t>
      </w:r>
    </w:p>
    <w:p w:rsidR="00C2602D" w:rsidRPr="00C8701B" w:rsidRDefault="0086296F" w:rsidP="0086296F">
      <w:pPr>
        <w:rPr>
          <w:rFonts w:eastAsia="Arial Unicode MS"/>
          <w:bCs/>
          <w:lang w:eastAsia="fr-FR" w:bidi="he-IL"/>
        </w:rPr>
      </w:pPr>
      <w:r>
        <w:rPr>
          <w:rFonts w:eastAsia="Arial Unicode MS"/>
          <w:bCs/>
          <w:lang w:eastAsia="fr-FR" w:bidi="he-IL"/>
        </w:rPr>
        <w:t>α</w:t>
      </w:r>
      <w:r w:rsidR="00517F11">
        <w:rPr>
          <w:rFonts w:eastAsia="Arial Unicode MS"/>
          <w:bCs/>
          <w:lang w:eastAsia="fr-FR" w:bidi="he-IL"/>
        </w:rPr>
        <w:t>.</w:t>
      </w:r>
      <w:bookmarkStart w:id="179" w:name="evin140302a"/>
      <w:bookmarkEnd w:id="179"/>
      <w:r w:rsidR="000F7DAA">
        <w:rPr>
          <w:rFonts w:eastAsia="Arial Unicode MS"/>
          <w:bCs/>
          <w:lang w:eastAsia="fr-FR" w:bidi="he-IL"/>
        </w:rPr>
        <w:t xml:space="preserve"> —</w:t>
      </w:r>
      <w:r w:rsidR="008D0642">
        <w:rPr>
          <w:rFonts w:eastAsia="Arial Unicode MS"/>
          <w:bCs/>
          <w:lang w:eastAsia="fr-FR" w:bidi="he-IL"/>
        </w:rPr>
        <w:t xml:space="preserve"> </w:t>
      </w:r>
      <w:r w:rsidR="00B704AD" w:rsidRPr="00C8701B">
        <w:rPr>
          <w:rFonts w:eastAsia="Arial Unicode MS"/>
          <w:bCs/>
          <w:lang w:eastAsia="fr-FR" w:bidi="he-IL"/>
        </w:rPr>
        <w:t>De ces pièces</w:t>
      </w:r>
      <w:r w:rsidR="00E65435">
        <w:rPr>
          <w:rFonts w:eastAsia="Arial Unicode MS"/>
          <w:bCs/>
          <w:lang w:eastAsia="fr-FR" w:bidi="he-IL"/>
        </w:rPr>
        <w:t xml:space="preserve">, </w:t>
      </w:r>
      <w:r w:rsidR="00B704AD" w:rsidRPr="00C8701B">
        <w:rPr>
          <w:rFonts w:eastAsia="Arial Unicode MS"/>
          <w:bCs/>
          <w:lang w:eastAsia="fr-FR" w:bidi="he-IL"/>
        </w:rPr>
        <w:t>la plus importante est</w:t>
      </w:r>
      <w:r w:rsidR="00E65435">
        <w:rPr>
          <w:rFonts w:eastAsia="Arial Unicode MS"/>
          <w:bCs/>
          <w:lang w:eastAsia="fr-FR" w:bidi="he-IL"/>
        </w:rPr>
        <w:t xml:space="preserve">, </w:t>
      </w:r>
      <w:r w:rsidR="00B704AD" w:rsidRPr="00C8701B">
        <w:rPr>
          <w:rFonts w:eastAsia="Arial Unicode MS"/>
          <w:bCs/>
          <w:lang w:eastAsia="fr-FR" w:bidi="he-IL"/>
        </w:rPr>
        <w:t>sans contredit</w:t>
      </w:r>
      <w:r w:rsidR="00E65435">
        <w:rPr>
          <w:rFonts w:eastAsia="Arial Unicode MS"/>
          <w:bCs/>
          <w:lang w:eastAsia="fr-FR" w:bidi="he-IL"/>
        </w:rPr>
        <w:t xml:space="preserve">, </w:t>
      </w:r>
      <w:r w:rsidR="00B704AD" w:rsidRPr="00C8701B">
        <w:rPr>
          <w:rFonts w:eastAsia="Arial Unicode MS"/>
          <w:bCs/>
          <w:lang w:eastAsia="fr-FR" w:bidi="he-IL"/>
        </w:rPr>
        <w:t>celle qui a été longtemps si populaire sous le nom d</w:t>
      </w:r>
      <w:r w:rsidR="00557DE0">
        <w:rPr>
          <w:rFonts w:eastAsia="Arial Unicode MS"/>
          <w:bCs/>
          <w:lang w:eastAsia="fr-FR" w:bidi="he-IL"/>
        </w:rPr>
        <w:t>’</w:t>
      </w:r>
      <w:r w:rsidR="000439E9" w:rsidRPr="00DC4586">
        <w:rPr>
          <w:rStyle w:val="italicus"/>
        </w:rPr>
        <w:t>Évangile</w:t>
      </w:r>
      <w:r w:rsidR="00B704AD" w:rsidRPr="00DC4586">
        <w:rPr>
          <w:rStyle w:val="italicus"/>
        </w:rPr>
        <w:t xml:space="preserve"> de Nicodème</w:t>
      </w:r>
      <w:r w:rsidR="00C2602D" w:rsidRPr="00DC4586">
        <w:rPr>
          <w:rStyle w:val="italicus"/>
        </w:rPr>
        <w:t> :</w:t>
      </w:r>
      <w:r w:rsidR="00B704AD" w:rsidRPr="00C8701B">
        <w:rPr>
          <w:rFonts w:eastAsia="Arial Unicode MS"/>
          <w:bCs/>
          <w:lang w:eastAsia="fr-FR" w:bidi="he-IL"/>
        </w:rPr>
        <w:t xml:space="preserve"> Elle se compose de deux écrits très disparates</w:t>
      </w:r>
      <w:r w:rsidR="00E65435">
        <w:rPr>
          <w:rFonts w:eastAsia="Arial Unicode MS"/>
          <w:bCs/>
          <w:lang w:eastAsia="fr-FR" w:bidi="he-IL"/>
        </w:rPr>
        <w:t xml:space="preserve">, </w:t>
      </w:r>
      <w:r w:rsidR="00B704AD" w:rsidRPr="00C8701B">
        <w:rPr>
          <w:rFonts w:eastAsia="Arial Unicode MS"/>
          <w:bCs/>
          <w:lang w:eastAsia="fr-FR" w:bidi="he-IL"/>
        </w:rPr>
        <w:t>dont l</w:t>
      </w:r>
      <w:r w:rsidR="00557DE0">
        <w:rPr>
          <w:rFonts w:eastAsia="Arial Unicode MS"/>
          <w:bCs/>
          <w:lang w:eastAsia="fr-FR" w:bidi="he-IL"/>
        </w:rPr>
        <w:t>’</w:t>
      </w:r>
      <w:r w:rsidR="00B704AD" w:rsidRPr="00C8701B">
        <w:rPr>
          <w:rFonts w:eastAsia="Arial Unicode MS"/>
          <w:bCs/>
          <w:lang w:eastAsia="fr-FR" w:bidi="he-IL"/>
        </w:rPr>
        <w:t>un est intitulé</w:t>
      </w:r>
      <w:r w:rsidR="00B704AD" w:rsidRPr="00DC4586">
        <w:rPr>
          <w:rStyle w:val="italicus"/>
        </w:rPr>
        <w:t xml:space="preserve"> Acta</w:t>
      </w:r>
      <w:r w:rsidR="00B704AD" w:rsidRPr="00C8701B">
        <w:rPr>
          <w:rFonts w:eastAsia="Arial Unicode MS"/>
          <w:bCs/>
          <w:lang w:eastAsia="fr-FR" w:bidi="he-IL"/>
        </w:rPr>
        <w:t xml:space="preserve"> ou</w:t>
      </w:r>
      <w:r w:rsidR="00B704AD" w:rsidRPr="00DC4586">
        <w:rPr>
          <w:rStyle w:val="italicus"/>
        </w:rPr>
        <w:t xml:space="preserve"> Gesta </w:t>
      </w:r>
      <w:r w:rsidRPr="00DC4586">
        <w:rPr>
          <w:rStyle w:val="italicus"/>
        </w:rPr>
        <w:t>Piláti</w:t>
      </w:r>
      <w:r w:rsidR="00C2602D" w:rsidRPr="00DC4586">
        <w:rPr>
          <w:rStyle w:val="italicus"/>
        </w:rPr>
        <w:t> </w:t>
      </w:r>
      <w:r w:rsidR="007F6508">
        <w:rPr>
          <w:rStyle w:val="italicus"/>
        </w:rPr>
        <w:t xml:space="preserve">; </w:t>
      </w:r>
      <w:r w:rsidR="00B704AD" w:rsidRPr="00C8701B">
        <w:rPr>
          <w:rFonts w:eastAsia="Arial Unicode MS"/>
          <w:bCs/>
          <w:lang w:eastAsia="fr-FR" w:bidi="he-IL"/>
        </w:rPr>
        <w:t>l</w:t>
      </w:r>
      <w:r w:rsidR="00557DE0">
        <w:rPr>
          <w:rFonts w:eastAsia="Arial Unicode MS"/>
          <w:bCs/>
          <w:lang w:eastAsia="fr-FR" w:bidi="he-IL"/>
        </w:rPr>
        <w:t>’</w:t>
      </w:r>
      <w:r w:rsidR="00B704AD" w:rsidRPr="00C8701B">
        <w:rPr>
          <w:rFonts w:eastAsia="Arial Unicode MS"/>
          <w:bCs/>
          <w:lang w:eastAsia="fr-FR" w:bidi="he-IL"/>
        </w:rPr>
        <w:t>autre</w:t>
      </w:r>
      <w:r w:rsidR="00E65435">
        <w:rPr>
          <w:rFonts w:eastAsia="Arial Unicode MS"/>
          <w:bCs/>
          <w:lang w:eastAsia="fr-FR" w:bidi="he-IL"/>
        </w:rPr>
        <w:t xml:space="preserve">, </w:t>
      </w:r>
      <w:r w:rsidRPr="00DC4586">
        <w:rPr>
          <w:rStyle w:val="italicus"/>
        </w:rPr>
        <w:t>Desc</w:t>
      </w:r>
      <w:r>
        <w:rPr>
          <w:rStyle w:val="italicus"/>
        </w:rPr>
        <w:t>éns</w:t>
      </w:r>
      <w:r w:rsidRPr="00DC4586">
        <w:rPr>
          <w:rStyle w:val="italicus"/>
        </w:rPr>
        <w:t xml:space="preserve">us </w:t>
      </w:r>
      <w:r w:rsidR="00B704AD" w:rsidRPr="00DC4586">
        <w:rPr>
          <w:rStyle w:val="italicus"/>
        </w:rPr>
        <w:t>Christi ad</w:t>
      </w:r>
      <w:r>
        <w:rPr>
          <w:rStyle w:val="italicus"/>
        </w:rPr>
        <w:t xml:space="preserve"> ínfe</w:t>
      </w:r>
      <w:r w:rsidRPr="00DC4586">
        <w:rPr>
          <w:rStyle w:val="italicus"/>
        </w:rPr>
        <w:t>ros</w:t>
      </w:r>
      <w:r w:rsidR="00933C60" w:rsidRPr="00C406FF">
        <w:rPr>
          <w:rStyle w:val="Appelnotedebasdep"/>
        </w:rPr>
        <w:footnoteReference w:id="609"/>
      </w:r>
      <w:r w:rsidR="00B704AD" w:rsidRPr="00C8701B">
        <w:rPr>
          <w:rFonts w:eastAsia="Arial Unicode MS"/>
          <w:bCs/>
          <w:lang w:eastAsia="fr-FR" w:bidi="he-IL"/>
        </w:rPr>
        <w:t>. Le grec semble avoir été la langue originale de ce double document.</w:t>
      </w:r>
      <w:r w:rsidR="00C2602D" w:rsidRPr="00C8701B">
        <w:rPr>
          <w:rFonts w:eastAsia="Arial Unicode MS"/>
          <w:bCs/>
          <w:lang w:eastAsia="fr-FR" w:bidi="he-IL"/>
        </w:rPr>
        <w:t xml:space="preserve"> </w:t>
      </w:r>
    </w:p>
    <w:p w:rsidR="0086296F" w:rsidRDefault="00B704AD" w:rsidP="0086296F">
      <w:pPr>
        <w:rPr>
          <w:rFonts w:eastAsia="Arial Unicode MS"/>
          <w:bCs/>
          <w:lang w:eastAsia="fr-FR" w:bidi="he-IL"/>
        </w:rPr>
      </w:pPr>
      <w:r w:rsidRPr="00C8701B">
        <w:rPr>
          <w:rFonts w:eastAsia="Arial Unicode MS"/>
          <w:bCs/>
          <w:lang w:eastAsia="fr-FR" w:bidi="he-IL"/>
        </w:rPr>
        <w:t>La première partie comprend les seize premiers chapitres. Elle raconte</w:t>
      </w:r>
      <w:r w:rsidR="00E65435">
        <w:rPr>
          <w:rFonts w:eastAsia="Arial Unicode MS"/>
          <w:bCs/>
          <w:lang w:eastAsia="fr-FR" w:bidi="he-IL"/>
        </w:rPr>
        <w:t xml:space="preserve">, </w:t>
      </w:r>
      <w:r w:rsidR="0086296F">
        <w:rPr>
          <w:rFonts w:eastAsia="Arial Unicode MS"/>
          <w:bCs/>
          <w:lang w:eastAsia="fr-FR" w:bidi="he-IL"/>
        </w:rPr>
        <w:t>avec forc</w:t>
      </w:r>
      <w:r w:rsidRPr="00C8701B">
        <w:rPr>
          <w:rFonts w:eastAsia="Arial Unicode MS"/>
          <w:bCs/>
          <w:lang w:eastAsia="fr-FR" w:bidi="he-IL"/>
        </w:rPr>
        <w:t>e légendes et embellissements</w:t>
      </w:r>
      <w:r w:rsidR="00E65435">
        <w:rPr>
          <w:rFonts w:eastAsia="Arial Unicode MS"/>
          <w:bCs/>
          <w:lang w:eastAsia="fr-FR" w:bidi="he-IL"/>
        </w:rPr>
        <w:t xml:space="preserve">, </w:t>
      </w:r>
      <w:r w:rsidRPr="00C8701B">
        <w:rPr>
          <w:rFonts w:eastAsia="Arial Unicode MS"/>
          <w:bCs/>
          <w:lang w:eastAsia="fr-FR" w:bidi="he-IL"/>
        </w:rPr>
        <w:t>le procès de N. S. Jésus-Christ devant Pilate et son horrible supplice. Les nombreux miracles qu</w:t>
      </w:r>
      <w:r w:rsidR="00557DE0">
        <w:rPr>
          <w:rFonts w:eastAsia="Arial Unicode MS"/>
          <w:bCs/>
          <w:lang w:eastAsia="fr-FR" w:bidi="he-IL"/>
        </w:rPr>
        <w:t>’</w:t>
      </w:r>
      <w:r w:rsidRPr="00C8701B">
        <w:rPr>
          <w:rFonts w:eastAsia="Arial Unicode MS"/>
          <w:bCs/>
          <w:lang w:eastAsia="fr-FR" w:bidi="he-IL"/>
        </w:rPr>
        <w:t xml:space="preserve">elle entremêle à ces scènes douloureuses ont pour but évident de glorifier le </w:t>
      </w:r>
      <w:r w:rsidRPr="00DC4586">
        <w:rPr>
          <w:rStyle w:val="italicus"/>
        </w:rPr>
        <w:t xml:space="preserve">Christus </w:t>
      </w:r>
      <w:r w:rsidR="0086296F" w:rsidRPr="00DC4586">
        <w:rPr>
          <w:rStyle w:val="italicus"/>
        </w:rPr>
        <w:t>pátiens</w:t>
      </w:r>
      <w:r w:rsidR="00E65435">
        <w:rPr>
          <w:rFonts w:eastAsia="Arial Unicode MS"/>
          <w:bCs/>
          <w:lang w:eastAsia="fr-FR" w:bidi="he-IL"/>
        </w:rPr>
        <w:t xml:space="preserve">, </w:t>
      </w:r>
      <w:r w:rsidRPr="00C8701B">
        <w:rPr>
          <w:rFonts w:eastAsia="Arial Unicode MS"/>
          <w:bCs/>
          <w:lang w:eastAsia="fr-FR" w:bidi="he-IL"/>
        </w:rPr>
        <w:t>et de diminuer le plus possible pour les Juifs le</w:t>
      </w:r>
      <w:r w:rsidRPr="00DC4586">
        <w:rPr>
          <w:rStyle w:val="italicus"/>
        </w:rPr>
        <w:t xml:space="preserve"> </w:t>
      </w:r>
      <w:r w:rsidR="0086296F" w:rsidRPr="00DC4586">
        <w:rPr>
          <w:rStyle w:val="italicus"/>
        </w:rPr>
        <w:t>scándalum</w:t>
      </w:r>
      <w:r w:rsidRPr="00DC4586">
        <w:rPr>
          <w:rStyle w:val="italicus"/>
        </w:rPr>
        <w:t xml:space="preserve"> crucis</w:t>
      </w:r>
      <w:r w:rsidR="00933C60" w:rsidRPr="00C406FF">
        <w:rPr>
          <w:rStyle w:val="Appelnotedebasdep"/>
        </w:rPr>
        <w:footnoteReference w:id="610"/>
      </w:r>
      <w:r w:rsidRPr="00C8701B">
        <w:rPr>
          <w:rFonts w:eastAsia="Arial Unicode MS"/>
          <w:bCs/>
          <w:lang w:eastAsia="fr-FR" w:bidi="he-IL"/>
        </w:rPr>
        <w:t>.</w:t>
      </w:r>
      <w:r w:rsidR="0086296F">
        <w:rPr>
          <w:rFonts w:eastAsia="Arial Unicode MS"/>
          <w:bCs/>
          <w:lang w:eastAsia="fr-FR" w:bidi="he-IL"/>
        </w:rPr>
        <w:t xml:space="preserve"> </w:t>
      </w:r>
    </w:p>
    <w:p w:rsidR="00C2602D" w:rsidRPr="00C8701B" w:rsidRDefault="00B704AD" w:rsidP="0086296F">
      <w:pPr>
        <w:rPr>
          <w:rFonts w:eastAsia="Arial Unicode MS"/>
          <w:bCs/>
          <w:lang w:eastAsia="fr-FR" w:bidi="he-IL"/>
        </w:rPr>
      </w:pPr>
      <w:r w:rsidRPr="00C8701B">
        <w:rPr>
          <w:rFonts w:eastAsia="Arial Unicode MS"/>
          <w:bCs/>
          <w:lang w:eastAsia="fr-FR" w:bidi="he-IL"/>
        </w:rPr>
        <w:t>Dans la seconde partie</w:t>
      </w:r>
      <w:r w:rsidR="00E65435">
        <w:rPr>
          <w:rFonts w:eastAsia="Arial Unicode MS"/>
          <w:bCs/>
          <w:lang w:eastAsia="fr-FR" w:bidi="he-IL"/>
        </w:rPr>
        <w:t xml:space="preserve">, </w:t>
      </w:r>
      <w:r w:rsidRPr="00C8701B">
        <w:rPr>
          <w:rFonts w:eastAsia="Arial Unicode MS"/>
          <w:bCs/>
          <w:lang w:eastAsia="fr-FR" w:bidi="he-IL"/>
        </w:rPr>
        <w:t>deux frères</w:t>
      </w:r>
      <w:r w:rsidR="00E65435">
        <w:rPr>
          <w:rFonts w:eastAsia="Arial Unicode MS"/>
          <w:bCs/>
          <w:lang w:eastAsia="fr-FR" w:bidi="he-IL"/>
        </w:rPr>
        <w:t xml:space="preserve">, </w:t>
      </w:r>
      <w:r w:rsidR="0086296F">
        <w:rPr>
          <w:rFonts w:eastAsia="Arial Unicode MS"/>
          <w:bCs/>
          <w:lang w:eastAsia="fr-FR" w:bidi="he-IL"/>
        </w:rPr>
        <w:t>Lucius et Casí</w:t>
      </w:r>
      <w:r w:rsidRPr="00C8701B">
        <w:rPr>
          <w:rFonts w:eastAsia="Arial Unicode MS"/>
          <w:bCs/>
          <w:lang w:eastAsia="fr-FR" w:bidi="he-IL"/>
        </w:rPr>
        <w:t>nus</w:t>
      </w:r>
      <w:r w:rsidR="00E65435">
        <w:rPr>
          <w:rFonts w:eastAsia="Arial Unicode MS"/>
          <w:bCs/>
          <w:lang w:eastAsia="fr-FR" w:bidi="he-IL"/>
        </w:rPr>
        <w:t xml:space="preserve">, </w:t>
      </w:r>
      <w:r w:rsidRPr="00C8701B">
        <w:rPr>
          <w:rFonts w:eastAsia="Arial Unicode MS"/>
          <w:bCs/>
          <w:lang w:eastAsia="fr-FR" w:bidi="he-IL"/>
        </w:rPr>
        <w:t>qui sont censés être sortis miraculeusement du tombeau à la mort de Jésus</w:t>
      </w:r>
      <w:r w:rsidR="00933C60" w:rsidRPr="00C406FF">
        <w:rPr>
          <w:rStyle w:val="Appelnotedebasdep"/>
        </w:rPr>
        <w:footnoteReference w:id="611"/>
      </w:r>
      <w:r w:rsidR="00E65435">
        <w:rPr>
          <w:rFonts w:eastAsia="Arial Unicode MS"/>
          <w:bCs/>
          <w:lang w:eastAsia="fr-FR" w:bidi="he-IL"/>
        </w:rPr>
        <w:t xml:space="preserve">, </w:t>
      </w:r>
      <w:r w:rsidRPr="00C8701B">
        <w:rPr>
          <w:rFonts w:eastAsia="Arial Unicode MS"/>
          <w:bCs/>
          <w:lang w:eastAsia="fr-FR" w:bidi="he-IL"/>
        </w:rPr>
        <w:t>r</w:t>
      </w:r>
      <w:r w:rsidR="0086296F">
        <w:rPr>
          <w:rFonts w:eastAsia="Arial Unicode MS"/>
          <w:bCs/>
          <w:lang w:eastAsia="fr-FR" w:bidi="he-IL"/>
        </w:rPr>
        <w:t>acontent comme témoins oculaires</w:t>
      </w:r>
      <w:r w:rsidRPr="00C8701B">
        <w:rPr>
          <w:rFonts w:eastAsia="Arial Unicode MS"/>
          <w:bCs/>
          <w:lang w:eastAsia="fr-FR" w:bidi="he-IL"/>
        </w:rPr>
        <w:t xml:space="preserve"> la descente du Sauveur aux enfers</w:t>
      </w:r>
      <w:r w:rsidR="00E65435">
        <w:rPr>
          <w:rFonts w:eastAsia="Arial Unicode MS"/>
          <w:bCs/>
          <w:lang w:eastAsia="fr-FR" w:bidi="he-IL"/>
        </w:rPr>
        <w:t xml:space="preserve">, </w:t>
      </w:r>
      <w:r w:rsidR="0086296F">
        <w:rPr>
          <w:rFonts w:eastAsia="Arial Unicode MS"/>
          <w:bCs/>
          <w:lang w:eastAsia="fr-FR" w:bidi="he-IL"/>
        </w:rPr>
        <w:t>parmi ceux que S. Pierre appe</w:t>
      </w:r>
      <w:r w:rsidRPr="00C8701B">
        <w:rPr>
          <w:rFonts w:eastAsia="Arial Unicode MS"/>
          <w:bCs/>
          <w:lang w:eastAsia="fr-FR" w:bidi="he-IL"/>
        </w:rPr>
        <w:t>lle les esprits emprisonnés</w:t>
      </w:r>
      <w:r w:rsidR="00933C60" w:rsidRPr="00C406FF">
        <w:rPr>
          <w:rStyle w:val="Appelnotedebasdep"/>
        </w:rPr>
        <w:footnoteReference w:id="612"/>
      </w:r>
      <w:r w:rsidRPr="00C8701B">
        <w:rPr>
          <w:rFonts w:eastAsia="Arial Unicode MS"/>
          <w:bCs/>
          <w:lang w:eastAsia="fr-FR" w:bidi="he-IL"/>
        </w:rPr>
        <w:t>.</w:t>
      </w:r>
      <w:r w:rsidR="00C2602D" w:rsidRPr="00C8701B">
        <w:rPr>
          <w:rFonts w:eastAsia="Arial Unicode MS"/>
          <w:bCs/>
          <w:lang w:eastAsia="fr-FR" w:bidi="he-IL"/>
        </w:rPr>
        <w:t xml:space="preserve"> </w:t>
      </w:r>
      <w:r w:rsidR="00366671">
        <w:rPr>
          <w:rFonts w:eastAsia="Arial Unicode MS"/>
          <w:bCs/>
          <w:lang w:eastAsia="fr-FR" w:bidi="he-IL"/>
        </w:rPr>
        <w:t>{118</w:t>
      </w:r>
      <w:bookmarkStart w:id="180" w:name="pag118"/>
      <w:bookmarkEnd w:id="180"/>
      <w:r w:rsidR="00366671">
        <w:rPr>
          <w:rFonts w:eastAsia="Arial Unicode MS"/>
          <w:bCs/>
          <w:lang w:eastAsia="fr-FR" w:bidi="he-IL"/>
        </w:rPr>
        <w:t>}</w:t>
      </w:r>
      <w:r w:rsidR="0086296F">
        <w:rPr>
          <w:rFonts w:eastAsia="Arial Unicode MS"/>
          <w:bCs/>
          <w:lang w:eastAsia="fr-FR" w:bidi="he-IL"/>
        </w:rPr>
        <w:t xml:space="preserve"> </w:t>
      </w:r>
    </w:p>
    <w:p w:rsidR="00C2602D" w:rsidRPr="00C8701B" w:rsidRDefault="00B704AD" w:rsidP="0086296F">
      <w:pPr>
        <w:rPr>
          <w:rFonts w:eastAsia="Arial Unicode MS"/>
          <w:bCs/>
          <w:lang w:eastAsia="fr-FR" w:bidi="he-IL"/>
        </w:rPr>
      </w:pP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original des deux parties est grec</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il fut publié pour la première fois par Birch en 1804. L</w:t>
      </w:r>
      <w:r w:rsidR="00557DE0">
        <w:rPr>
          <w:rFonts w:eastAsia="Arial Unicode MS"/>
          <w:bCs/>
          <w:lang w:eastAsia="fr-FR" w:bidi="he-IL"/>
        </w:rPr>
        <w:t>’</w:t>
      </w:r>
      <w:r w:rsidRPr="00C8701B">
        <w:rPr>
          <w:rFonts w:eastAsia="Arial Unicode MS"/>
          <w:bCs/>
          <w:lang w:eastAsia="fr-FR" w:bidi="he-IL"/>
        </w:rPr>
        <w:t>époque de la composition est très incertaine</w:t>
      </w:r>
      <w:r w:rsidR="00C2602D" w:rsidRPr="00C8701B">
        <w:rPr>
          <w:rFonts w:eastAsia="Arial Unicode MS"/>
          <w:bCs/>
          <w:lang w:eastAsia="fr-FR" w:bidi="he-IL"/>
        </w:rPr>
        <w:t> :</w:t>
      </w:r>
      <w:r w:rsidRPr="00C8701B">
        <w:rPr>
          <w:rFonts w:eastAsia="Arial Unicode MS"/>
          <w:bCs/>
          <w:lang w:eastAsia="fr-FR" w:bidi="he-IL"/>
        </w:rPr>
        <w:t xml:space="preserve"> on l</w:t>
      </w:r>
      <w:r w:rsidR="00557DE0">
        <w:rPr>
          <w:rFonts w:eastAsia="Arial Unicode MS"/>
          <w:bCs/>
          <w:lang w:eastAsia="fr-FR" w:bidi="he-IL"/>
        </w:rPr>
        <w:t>’</w:t>
      </w:r>
      <w:r w:rsidRPr="00C8701B">
        <w:rPr>
          <w:rFonts w:eastAsia="Arial Unicode MS"/>
          <w:bCs/>
          <w:lang w:eastAsia="fr-FR" w:bidi="he-IL"/>
        </w:rPr>
        <w:t xml:space="preserve">a placée entre le </w:t>
      </w:r>
      <w:r w:rsidR="00835131">
        <w:rPr>
          <w:rFonts w:eastAsia="Arial Unicode MS"/>
          <w:bCs/>
          <w:lang w:eastAsia="fr-FR" w:bidi="he-IL"/>
        </w:rPr>
        <w:t>V</w:t>
      </w:r>
      <w:r w:rsidR="00F56B84" w:rsidRPr="00F56B84">
        <w:rPr>
          <w:rFonts w:eastAsia="Arial Unicode MS"/>
          <w:bCs/>
          <w:vertAlign w:val="superscript"/>
          <w:lang w:eastAsia="fr-FR" w:bidi="he-IL"/>
        </w:rPr>
        <w:t>e</w:t>
      </w:r>
      <w:r w:rsidRPr="00C8701B">
        <w:rPr>
          <w:rFonts w:eastAsia="Arial Unicode MS"/>
          <w:bCs/>
          <w:lang w:eastAsia="fr-FR" w:bidi="he-IL"/>
        </w:rPr>
        <w:t xml:space="preserve"> et le </w:t>
      </w:r>
      <w:r w:rsidR="0086296F">
        <w:rPr>
          <w:rFonts w:eastAsia="Arial Unicode MS"/>
          <w:bCs/>
          <w:lang w:eastAsia="fr-FR" w:bidi="he-IL"/>
        </w:rPr>
        <w:t>XI</w:t>
      </w:r>
      <w:r w:rsidR="0086296F" w:rsidRPr="0086296F">
        <w:rPr>
          <w:rFonts w:eastAsia="Arial Unicode MS"/>
          <w:bCs/>
          <w:vertAlign w:val="superscript"/>
          <w:lang w:eastAsia="fr-FR" w:bidi="he-IL"/>
        </w:rPr>
        <w:t>e</w:t>
      </w:r>
      <w:r w:rsidRPr="00C8701B">
        <w:rPr>
          <w:rFonts w:eastAsia="Arial Unicode MS"/>
          <w:bCs/>
          <w:lang w:eastAsia="fr-FR" w:bidi="he-IL"/>
        </w:rPr>
        <w:t xml:space="preserve"> siècle.</w:t>
      </w:r>
      <w:r w:rsidR="00C2602D" w:rsidRPr="00C8701B">
        <w:rPr>
          <w:rFonts w:eastAsia="Arial Unicode MS"/>
          <w:bCs/>
          <w:lang w:eastAsia="fr-FR" w:bidi="he-IL"/>
        </w:rPr>
        <w:t xml:space="preserve"> </w:t>
      </w:r>
    </w:p>
    <w:p w:rsidR="00C2602D" w:rsidRPr="00C8701B" w:rsidRDefault="00B704AD" w:rsidP="0086296F">
      <w:pPr>
        <w:pStyle w:val="locus"/>
        <w:rPr>
          <w:lang w:eastAsia="fr-FR" w:bidi="he-IL"/>
        </w:rPr>
      </w:pPr>
      <w:r w:rsidRPr="00C8701B">
        <w:rPr>
          <w:lang w:eastAsia="fr-FR" w:bidi="he-IL"/>
        </w:rPr>
        <w:t>Chapitre I.</w:t>
      </w:r>
      <w:r w:rsidR="000F7DAA">
        <w:rPr>
          <w:lang w:eastAsia="fr-FR" w:bidi="he-IL"/>
        </w:rPr>
        <w:t xml:space="preserve"> —</w:t>
      </w:r>
      <w:r w:rsidR="008D0642">
        <w:rPr>
          <w:lang w:eastAsia="fr-FR" w:bidi="he-IL"/>
        </w:rPr>
        <w:t xml:space="preserve"> </w:t>
      </w:r>
      <w:r w:rsidRPr="00C8701B">
        <w:rPr>
          <w:lang w:eastAsia="fr-FR" w:bidi="he-IL"/>
        </w:rPr>
        <w:t>Le gouverneur (Pilate) dit au messager</w:t>
      </w:r>
      <w:r w:rsidR="00C2602D" w:rsidRPr="00C8701B">
        <w:rPr>
          <w:lang w:eastAsia="fr-FR" w:bidi="he-IL"/>
        </w:rPr>
        <w:t> :</w:t>
      </w:r>
      <w:r w:rsidRPr="00C8701B">
        <w:rPr>
          <w:lang w:eastAsia="fr-FR" w:bidi="he-IL"/>
        </w:rPr>
        <w:t xml:space="preserve"> Sors et introduis-le. Et le messager alla vers Jésus et lui dit</w:t>
      </w:r>
      <w:r w:rsidR="00C2602D" w:rsidRPr="00C8701B">
        <w:rPr>
          <w:lang w:eastAsia="fr-FR" w:bidi="he-IL"/>
        </w:rPr>
        <w:t> :</w:t>
      </w:r>
      <w:r w:rsidRPr="00C8701B">
        <w:rPr>
          <w:lang w:eastAsia="fr-FR" w:bidi="he-IL"/>
        </w:rPr>
        <w:t xml:space="preserve"> Seigneur</w:t>
      </w:r>
      <w:r w:rsidR="00E65435">
        <w:rPr>
          <w:lang w:eastAsia="fr-FR" w:bidi="he-IL"/>
        </w:rPr>
        <w:t xml:space="preserve">, </w:t>
      </w:r>
      <w:r w:rsidRPr="00C8701B">
        <w:rPr>
          <w:lang w:eastAsia="fr-FR" w:bidi="he-IL"/>
        </w:rPr>
        <w:t>entre</w:t>
      </w:r>
      <w:r w:rsidR="00E65435">
        <w:rPr>
          <w:lang w:eastAsia="fr-FR" w:bidi="he-IL"/>
        </w:rPr>
        <w:t xml:space="preserve">, </w:t>
      </w:r>
      <w:r w:rsidRPr="00C8701B">
        <w:rPr>
          <w:lang w:eastAsia="fr-FR" w:bidi="he-IL"/>
        </w:rPr>
        <w:t>car le gouverneur t</w:t>
      </w:r>
      <w:r w:rsidR="00557DE0">
        <w:rPr>
          <w:lang w:eastAsia="fr-FR" w:bidi="he-IL"/>
        </w:rPr>
        <w:t>’</w:t>
      </w:r>
      <w:r w:rsidRPr="00C8701B">
        <w:rPr>
          <w:lang w:eastAsia="fr-FR" w:bidi="he-IL"/>
        </w:rPr>
        <w:t>appelle. Jésus étant entré</w:t>
      </w:r>
      <w:r w:rsidR="00E65435">
        <w:rPr>
          <w:lang w:eastAsia="fr-FR" w:bidi="he-IL"/>
        </w:rPr>
        <w:t xml:space="preserve">, </w:t>
      </w:r>
      <w:r w:rsidRPr="00C8701B">
        <w:rPr>
          <w:lang w:eastAsia="fr-FR" w:bidi="he-IL"/>
        </w:rPr>
        <w:t>les images que les porte-drapeaux portaient au-dessus de leurs enseignes s</w:t>
      </w:r>
      <w:r w:rsidR="00557DE0">
        <w:rPr>
          <w:lang w:eastAsia="fr-FR" w:bidi="he-IL"/>
        </w:rPr>
        <w:t>’</w:t>
      </w:r>
      <w:r w:rsidRPr="00C8701B">
        <w:rPr>
          <w:lang w:eastAsia="fr-FR" w:bidi="he-IL"/>
        </w:rPr>
        <w:t>inclinèrent d</w:t>
      </w:r>
      <w:r w:rsidR="00557DE0">
        <w:rPr>
          <w:lang w:eastAsia="fr-FR" w:bidi="he-IL"/>
        </w:rPr>
        <w:t>’</w:t>
      </w:r>
      <w:r w:rsidRPr="00C8701B">
        <w:rPr>
          <w:lang w:eastAsia="fr-FR" w:bidi="he-IL"/>
        </w:rPr>
        <w:t>elles-mêmes</w:t>
      </w:r>
      <w:r w:rsidR="00E65435">
        <w:rPr>
          <w:lang w:eastAsia="fr-FR" w:bidi="he-IL"/>
        </w:rPr>
        <w:t xml:space="preserve">, </w:t>
      </w:r>
      <w:r w:rsidRPr="00C8701B">
        <w:rPr>
          <w:lang w:eastAsia="fr-FR" w:bidi="he-IL"/>
        </w:rPr>
        <w:t>et elles adorèrent Jésus. Les juifs</w:t>
      </w:r>
      <w:r w:rsidR="00E65435">
        <w:rPr>
          <w:lang w:eastAsia="fr-FR" w:bidi="he-IL"/>
        </w:rPr>
        <w:t xml:space="preserve">, </w:t>
      </w:r>
      <w:r w:rsidRPr="00C8701B">
        <w:rPr>
          <w:lang w:eastAsia="fr-FR" w:bidi="he-IL"/>
        </w:rPr>
        <w:t>voyant que les images s</w:t>
      </w:r>
      <w:r w:rsidR="00557DE0">
        <w:rPr>
          <w:lang w:eastAsia="fr-FR" w:bidi="he-IL"/>
        </w:rPr>
        <w:t>’</w:t>
      </w:r>
      <w:r w:rsidRPr="00C8701B">
        <w:rPr>
          <w:lang w:eastAsia="fr-FR" w:bidi="he-IL"/>
        </w:rPr>
        <w:t>étaient inclinées pour adorer Jésus</w:t>
      </w:r>
      <w:r w:rsidR="00E65435">
        <w:rPr>
          <w:lang w:eastAsia="fr-FR" w:bidi="he-IL"/>
        </w:rPr>
        <w:t xml:space="preserve">, </w:t>
      </w:r>
      <w:r w:rsidRPr="00C8701B">
        <w:rPr>
          <w:lang w:eastAsia="fr-FR" w:bidi="he-IL"/>
        </w:rPr>
        <w:t xml:space="preserve">crièrent fortement contre les </w:t>
      </w:r>
      <w:r w:rsidR="00C43EDE" w:rsidRPr="00C8701B">
        <w:rPr>
          <w:lang w:eastAsia="fr-FR" w:bidi="he-IL"/>
        </w:rPr>
        <w:t>porte-drapeaux</w:t>
      </w:r>
      <w:r w:rsidRPr="00C8701B">
        <w:rPr>
          <w:lang w:eastAsia="fr-FR" w:bidi="he-IL"/>
        </w:rPr>
        <w:t>. Alors Pilate dit aux juifs</w:t>
      </w:r>
      <w:r w:rsidR="00C2602D" w:rsidRPr="00C8701B">
        <w:rPr>
          <w:lang w:eastAsia="fr-FR" w:bidi="he-IL"/>
        </w:rPr>
        <w:t> :</w:t>
      </w:r>
      <w:r w:rsidRPr="00C8701B">
        <w:rPr>
          <w:lang w:eastAsia="fr-FR" w:bidi="he-IL"/>
        </w:rPr>
        <w:t xml:space="preserve"> Vous ne rendez pas hommage à Jésus</w:t>
      </w:r>
      <w:r w:rsidR="00E65435">
        <w:rPr>
          <w:lang w:eastAsia="fr-FR" w:bidi="he-IL"/>
        </w:rPr>
        <w:t xml:space="preserve">, </w:t>
      </w:r>
      <w:r w:rsidRPr="00C8701B">
        <w:rPr>
          <w:lang w:eastAsia="fr-FR" w:bidi="he-IL"/>
        </w:rPr>
        <w:t>devant lequel les images se sont inclinées pour</w:t>
      </w:r>
      <w:r w:rsidR="007475F7" w:rsidRPr="00C8701B">
        <w:rPr>
          <w:lang w:eastAsia="fr-FR" w:bidi="he-IL"/>
        </w:rPr>
        <w:t xml:space="preserve"> </w:t>
      </w:r>
      <w:r w:rsidRPr="00C8701B">
        <w:rPr>
          <w:lang w:eastAsia="fr-FR" w:bidi="he-IL"/>
        </w:rPr>
        <w:t>le saluer</w:t>
      </w:r>
      <w:r w:rsidR="00C2602D" w:rsidRPr="00C8701B">
        <w:rPr>
          <w:lang w:eastAsia="fr-FR" w:bidi="he-IL"/>
        </w:rPr>
        <w:t> </w:t>
      </w:r>
      <w:r w:rsidR="007F6508">
        <w:rPr>
          <w:lang w:eastAsia="fr-FR" w:bidi="he-IL"/>
        </w:rPr>
        <w:t xml:space="preserve">; </w:t>
      </w:r>
      <w:r w:rsidR="0086296F">
        <w:rPr>
          <w:lang w:eastAsia="fr-FR" w:bidi="he-IL"/>
        </w:rPr>
        <w:t>mais</w:t>
      </w:r>
      <w:r w:rsidRPr="00C8701B">
        <w:rPr>
          <w:lang w:eastAsia="fr-FR" w:bidi="he-IL"/>
        </w:rPr>
        <w:t xml:space="preserve"> vous criez contre les porte-enseignes</w:t>
      </w:r>
      <w:r w:rsidR="00E65435">
        <w:rPr>
          <w:lang w:eastAsia="fr-FR" w:bidi="he-IL"/>
        </w:rPr>
        <w:t xml:space="preserve">, </w:t>
      </w:r>
      <w:r w:rsidRPr="00C8701B">
        <w:rPr>
          <w:lang w:eastAsia="fr-FR" w:bidi="he-IL"/>
        </w:rPr>
        <w:t>comme s</w:t>
      </w:r>
      <w:r w:rsidR="00557DE0">
        <w:rPr>
          <w:lang w:eastAsia="fr-FR" w:bidi="he-IL"/>
        </w:rPr>
        <w:t>’</w:t>
      </w:r>
      <w:r w:rsidRPr="00C8701B">
        <w:rPr>
          <w:lang w:eastAsia="fr-FR" w:bidi="he-IL"/>
        </w:rPr>
        <w:t>ils avaient eux-mêmes</w:t>
      </w:r>
      <w:r w:rsidR="009447D5" w:rsidRPr="00C8701B">
        <w:rPr>
          <w:lang w:eastAsia="fr-FR" w:bidi="he-IL"/>
        </w:rPr>
        <w:t xml:space="preserve"> </w:t>
      </w:r>
      <w:r w:rsidR="0086296F">
        <w:rPr>
          <w:lang w:eastAsia="fr-FR" w:bidi="he-IL"/>
        </w:rPr>
        <w:t>incliné leurs drapeaux et adoré</w:t>
      </w:r>
      <w:r w:rsidRPr="00C8701B">
        <w:rPr>
          <w:lang w:eastAsia="fr-FR" w:bidi="he-IL"/>
        </w:rPr>
        <w:t xml:space="preserve"> Jésus. Et les juifs dirent</w:t>
      </w:r>
      <w:r w:rsidR="00C2602D" w:rsidRPr="00C8701B">
        <w:rPr>
          <w:lang w:eastAsia="fr-FR" w:bidi="he-IL"/>
        </w:rPr>
        <w:t> :</w:t>
      </w:r>
      <w:r w:rsidRPr="00C8701B">
        <w:rPr>
          <w:lang w:eastAsia="fr-FR" w:bidi="he-IL"/>
        </w:rPr>
        <w:t xml:space="preserve"> Nous les avons vu agir de la sorte. Le gouverneur</w:t>
      </w:r>
      <w:r w:rsidR="00E65435">
        <w:rPr>
          <w:lang w:eastAsia="fr-FR" w:bidi="he-IL"/>
        </w:rPr>
        <w:t xml:space="preserve">, </w:t>
      </w:r>
      <w:r w:rsidRPr="00C8701B">
        <w:rPr>
          <w:lang w:eastAsia="fr-FR" w:bidi="he-IL"/>
        </w:rPr>
        <w:t>appelant à lui les porte-drapeaux</w:t>
      </w:r>
      <w:r w:rsidR="00E65435">
        <w:rPr>
          <w:lang w:eastAsia="fr-FR" w:bidi="he-IL"/>
        </w:rPr>
        <w:t xml:space="preserve">, </w:t>
      </w:r>
      <w:r w:rsidRPr="00C8701B">
        <w:rPr>
          <w:lang w:eastAsia="fr-FR" w:bidi="he-IL"/>
        </w:rPr>
        <w:t>leur demanda</w:t>
      </w:r>
      <w:r w:rsidR="00C2602D" w:rsidRPr="00C8701B">
        <w:rPr>
          <w:lang w:eastAsia="fr-FR" w:bidi="he-IL"/>
        </w:rPr>
        <w:t> :</w:t>
      </w:r>
      <w:r w:rsidRPr="00C8701B">
        <w:rPr>
          <w:lang w:eastAsia="fr-FR" w:bidi="he-IL"/>
        </w:rPr>
        <w:t xml:space="preserve"> Pourquoi avez-vous fait cela</w:t>
      </w:r>
      <w:r w:rsidR="00C2602D" w:rsidRPr="00C8701B">
        <w:rPr>
          <w:lang w:eastAsia="fr-FR" w:bidi="he-IL"/>
        </w:rPr>
        <w:t> ?</w:t>
      </w:r>
      <w:r w:rsidRPr="00C8701B">
        <w:rPr>
          <w:lang w:eastAsia="fr-FR" w:bidi="he-IL"/>
        </w:rPr>
        <w:t xml:space="preserve"> Ils </w:t>
      </w:r>
      <w:r w:rsidR="0086296F" w:rsidRPr="00C8701B">
        <w:rPr>
          <w:lang w:eastAsia="fr-FR" w:bidi="he-IL"/>
        </w:rPr>
        <w:t>répondirent</w:t>
      </w:r>
      <w:r w:rsidRPr="00C8701B">
        <w:rPr>
          <w:lang w:eastAsia="fr-FR" w:bidi="he-IL"/>
        </w:rPr>
        <w:t xml:space="preserve"> à Pilate</w:t>
      </w:r>
      <w:r w:rsidR="00C2602D" w:rsidRPr="00C8701B">
        <w:rPr>
          <w:lang w:eastAsia="fr-FR" w:bidi="he-IL"/>
        </w:rPr>
        <w:t> :</w:t>
      </w:r>
      <w:r w:rsidRPr="00C8701B">
        <w:rPr>
          <w:lang w:eastAsia="fr-FR" w:bidi="he-IL"/>
        </w:rPr>
        <w:t xml:space="preserve"> Nous sommes païens et esclaves des temples</w:t>
      </w:r>
      <w:r w:rsidR="00C2602D" w:rsidRPr="00C8701B">
        <w:rPr>
          <w:lang w:eastAsia="fr-FR" w:bidi="he-IL"/>
        </w:rPr>
        <w:t> </w:t>
      </w:r>
      <w:r w:rsidR="007F6508">
        <w:rPr>
          <w:lang w:eastAsia="fr-FR" w:bidi="he-IL"/>
        </w:rPr>
        <w:t xml:space="preserve">; </w:t>
      </w:r>
      <w:r w:rsidRPr="00C8701B">
        <w:rPr>
          <w:lang w:eastAsia="fr-FR" w:bidi="he-IL"/>
        </w:rPr>
        <w:t>comment aurions-nous voulu l</w:t>
      </w:r>
      <w:r w:rsidR="00557DE0">
        <w:rPr>
          <w:lang w:eastAsia="fr-FR" w:bidi="he-IL"/>
        </w:rPr>
        <w:t>’</w:t>
      </w:r>
      <w:r w:rsidRPr="00C8701B">
        <w:rPr>
          <w:lang w:eastAsia="fr-FR" w:bidi="he-IL"/>
        </w:rPr>
        <w:t>adorer</w:t>
      </w:r>
      <w:r w:rsidR="00C2602D" w:rsidRPr="00C8701B">
        <w:rPr>
          <w:lang w:eastAsia="fr-FR" w:bidi="he-IL"/>
        </w:rPr>
        <w:t> ?</w:t>
      </w:r>
      <w:r w:rsidRPr="00C8701B">
        <w:rPr>
          <w:lang w:eastAsia="fr-FR" w:bidi="he-IL"/>
        </w:rPr>
        <w:t xml:space="preserve"> Les enseignes que nous tenions se sont courbées d</w:t>
      </w:r>
      <w:r w:rsidR="00557DE0">
        <w:rPr>
          <w:lang w:eastAsia="fr-FR" w:bidi="he-IL"/>
        </w:rPr>
        <w:t>’</w:t>
      </w:r>
      <w:r w:rsidRPr="00C8701B">
        <w:rPr>
          <w:lang w:eastAsia="fr-FR" w:bidi="he-IL"/>
        </w:rPr>
        <w:t>elles-mêmes pour l</w:t>
      </w:r>
      <w:r w:rsidR="00557DE0">
        <w:rPr>
          <w:lang w:eastAsia="fr-FR" w:bidi="he-IL"/>
        </w:rPr>
        <w:t>’</w:t>
      </w:r>
      <w:r w:rsidRPr="00C8701B">
        <w:rPr>
          <w:lang w:eastAsia="fr-FR" w:bidi="he-IL"/>
        </w:rPr>
        <w:t>adorer. Pilate dit aux chefs de la synagogue et aux anciens du peuple</w:t>
      </w:r>
      <w:r w:rsidR="00C2602D" w:rsidRPr="00C8701B">
        <w:rPr>
          <w:lang w:eastAsia="fr-FR" w:bidi="he-IL"/>
        </w:rPr>
        <w:t> :</w:t>
      </w:r>
      <w:r w:rsidRPr="00C8701B">
        <w:rPr>
          <w:lang w:eastAsia="fr-FR" w:bidi="he-IL"/>
        </w:rPr>
        <w:t xml:space="preserve"> Choisissez vous-mêmes des hommes forts et robustes</w:t>
      </w:r>
      <w:r w:rsidR="00E65435">
        <w:rPr>
          <w:lang w:eastAsia="fr-FR" w:bidi="he-IL"/>
        </w:rPr>
        <w:t xml:space="preserve">, </w:t>
      </w:r>
      <w:r w:rsidRPr="00C8701B">
        <w:rPr>
          <w:lang w:eastAsia="fr-FR" w:bidi="he-IL"/>
        </w:rPr>
        <w:t>et ils tiendront les enseignes</w:t>
      </w:r>
      <w:r w:rsidR="00E65435">
        <w:rPr>
          <w:lang w:eastAsia="fr-FR" w:bidi="he-IL"/>
        </w:rPr>
        <w:t xml:space="preserve">, </w:t>
      </w:r>
      <w:r w:rsidRPr="00C8701B">
        <w:rPr>
          <w:lang w:eastAsia="fr-FR" w:bidi="he-IL"/>
        </w:rPr>
        <w:t>et nous verrons si elles se courberont d</w:t>
      </w:r>
      <w:r w:rsidR="00557DE0">
        <w:rPr>
          <w:lang w:eastAsia="fr-FR" w:bidi="he-IL"/>
        </w:rPr>
        <w:t>’</w:t>
      </w:r>
      <w:r w:rsidRPr="00C8701B">
        <w:rPr>
          <w:lang w:eastAsia="fr-FR" w:bidi="he-IL"/>
        </w:rPr>
        <w:t>elle</w:t>
      </w:r>
      <w:r w:rsidR="0095332B" w:rsidRPr="00C8701B">
        <w:rPr>
          <w:lang w:eastAsia="fr-FR" w:bidi="he-IL"/>
        </w:rPr>
        <w:t>s</w:t>
      </w:r>
      <w:r w:rsidR="0095332B">
        <w:rPr>
          <w:lang w:eastAsia="fr-FR" w:bidi="he-IL"/>
        </w:rPr>
        <w:t>-même</w:t>
      </w:r>
      <w:r w:rsidRPr="00C8701B">
        <w:rPr>
          <w:lang w:eastAsia="fr-FR" w:bidi="he-IL"/>
        </w:rPr>
        <w:t>s. Les anciens des juifs prirent douze hommes très robustes et leur mirent les enseignes dans les mains</w:t>
      </w:r>
      <w:r w:rsidR="00E65435">
        <w:rPr>
          <w:lang w:eastAsia="fr-FR" w:bidi="he-IL"/>
        </w:rPr>
        <w:t xml:space="preserve">, </w:t>
      </w:r>
      <w:r w:rsidRPr="00C8701B">
        <w:rPr>
          <w:lang w:eastAsia="fr-FR" w:bidi="he-IL"/>
        </w:rPr>
        <w:t>et les rangèrent en présence du gouverneur. Pilate dit au messager</w:t>
      </w:r>
      <w:r w:rsidR="00C2602D" w:rsidRPr="00C8701B">
        <w:rPr>
          <w:lang w:eastAsia="fr-FR" w:bidi="he-IL"/>
        </w:rPr>
        <w:t> :</w:t>
      </w:r>
      <w:r w:rsidRPr="00C8701B">
        <w:rPr>
          <w:lang w:eastAsia="fr-FR" w:bidi="he-IL"/>
        </w:rPr>
        <w:t xml:space="preserve"> Conduis Jésus hors du prétoire et introduis-le ensuite. Et Jésus sortit du prétoire avec le messager. Et Pilate</w:t>
      </w:r>
      <w:r w:rsidR="00E65435">
        <w:rPr>
          <w:lang w:eastAsia="fr-FR" w:bidi="he-IL"/>
        </w:rPr>
        <w:t xml:space="preserve">, </w:t>
      </w:r>
      <w:r w:rsidRPr="00C8701B">
        <w:rPr>
          <w:lang w:eastAsia="fr-FR" w:bidi="he-IL"/>
        </w:rPr>
        <w:t>s</w:t>
      </w:r>
      <w:r w:rsidR="00557DE0">
        <w:rPr>
          <w:lang w:eastAsia="fr-FR" w:bidi="he-IL"/>
        </w:rPr>
        <w:t>’</w:t>
      </w:r>
      <w:r w:rsidRPr="00C8701B">
        <w:rPr>
          <w:lang w:eastAsia="fr-FR" w:bidi="he-IL"/>
        </w:rPr>
        <w:t>adressant à ceux qui tenaient les enseignes</w:t>
      </w:r>
      <w:r w:rsidR="00E65435">
        <w:rPr>
          <w:lang w:eastAsia="fr-FR" w:bidi="he-IL"/>
        </w:rPr>
        <w:t xml:space="preserve">, </w:t>
      </w:r>
      <w:r w:rsidRPr="00C8701B">
        <w:rPr>
          <w:lang w:eastAsia="fr-FR" w:bidi="he-IL"/>
        </w:rPr>
        <w:t>leur dit. en faisant serment par le salut de César</w:t>
      </w:r>
      <w:r w:rsidR="00C2602D" w:rsidRPr="00C8701B">
        <w:rPr>
          <w:lang w:eastAsia="fr-FR" w:bidi="he-IL"/>
        </w:rPr>
        <w:t> :</w:t>
      </w:r>
      <w:r w:rsidRPr="00C8701B">
        <w:rPr>
          <w:lang w:eastAsia="fr-FR" w:bidi="he-IL"/>
        </w:rPr>
        <w:t xml:space="preserve"> si les enseignes s</w:t>
      </w:r>
      <w:r w:rsidR="00557DE0">
        <w:rPr>
          <w:lang w:eastAsia="fr-FR" w:bidi="he-IL"/>
        </w:rPr>
        <w:t>’</w:t>
      </w:r>
      <w:r w:rsidRPr="00C8701B">
        <w:rPr>
          <w:lang w:eastAsia="fr-FR" w:bidi="he-IL"/>
        </w:rPr>
        <w:t>inclinent quand il entrera</w:t>
      </w:r>
      <w:r w:rsidR="00E65435">
        <w:rPr>
          <w:lang w:eastAsia="fr-FR" w:bidi="he-IL"/>
        </w:rPr>
        <w:t xml:space="preserve">, </w:t>
      </w:r>
      <w:r w:rsidRPr="00C8701B">
        <w:rPr>
          <w:lang w:eastAsia="fr-FR" w:bidi="he-IL"/>
        </w:rPr>
        <w:t>je vous ferai couper la tête. Et le gouverneur ordonna de faire entrer Jésus une seconde fois. Et le messager pria derechef Jésus d</w:t>
      </w:r>
      <w:r w:rsidR="00557DE0">
        <w:rPr>
          <w:lang w:eastAsia="fr-FR" w:bidi="he-IL"/>
        </w:rPr>
        <w:t>’</w:t>
      </w:r>
      <w:r w:rsidRPr="00C8701B">
        <w:rPr>
          <w:lang w:eastAsia="fr-FR" w:bidi="he-IL"/>
        </w:rPr>
        <w:t>entrer... Jésus le</w:t>
      </w:r>
      <w:r w:rsidR="0086296F">
        <w:rPr>
          <w:lang w:eastAsia="fr-FR" w:bidi="he-IL"/>
        </w:rPr>
        <w:t xml:space="preserve"> </w:t>
      </w:r>
      <w:r w:rsidRPr="00C8701B">
        <w:rPr>
          <w:lang w:eastAsia="fr-FR" w:bidi="he-IL"/>
        </w:rPr>
        <w:t>fit</w:t>
      </w:r>
      <w:r w:rsidR="00E65435">
        <w:rPr>
          <w:lang w:eastAsia="fr-FR" w:bidi="he-IL"/>
        </w:rPr>
        <w:t xml:space="preserve">, </w:t>
      </w:r>
      <w:r w:rsidRPr="00C8701B">
        <w:rPr>
          <w:lang w:eastAsia="fr-FR" w:bidi="he-IL"/>
        </w:rPr>
        <w:t>et lorsqu</w:t>
      </w:r>
      <w:r w:rsidR="00557DE0">
        <w:rPr>
          <w:lang w:eastAsia="fr-FR" w:bidi="he-IL"/>
        </w:rPr>
        <w:t>’</w:t>
      </w:r>
      <w:r w:rsidRPr="00C8701B">
        <w:rPr>
          <w:lang w:eastAsia="fr-FR" w:bidi="he-IL"/>
        </w:rPr>
        <w:t>il entra</w:t>
      </w:r>
      <w:r w:rsidR="00E65435">
        <w:rPr>
          <w:lang w:eastAsia="fr-FR" w:bidi="he-IL"/>
        </w:rPr>
        <w:t xml:space="preserve">, </w:t>
      </w:r>
      <w:r w:rsidRPr="00C8701B">
        <w:rPr>
          <w:lang w:eastAsia="fr-FR" w:bidi="he-IL"/>
        </w:rPr>
        <w:t>les enseignes</w:t>
      </w:r>
      <w:r w:rsidR="0086296F">
        <w:rPr>
          <w:lang w:eastAsia="fr-FR" w:bidi="he-IL"/>
        </w:rPr>
        <w:t xml:space="preserve"> s</w:t>
      </w:r>
      <w:r w:rsidR="00557DE0">
        <w:rPr>
          <w:lang w:eastAsia="fr-FR" w:bidi="he-IL"/>
        </w:rPr>
        <w:t>’</w:t>
      </w:r>
      <w:r w:rsidRPr="00C8701B">
        <w:rPr>
          <w:lang w:eastAsia="fr-FR" w:bidi="he-IL"/>
        </w:rPr>
        <w:t>inclinèrent et l</w:t>
      </w:r>
      <w:r w:rsidR="00557DE0">
        <w:rPr>
          <w:lang w:eastAsia="fr-FR" w:bidi="he-IL"/>
        </w:rPr>
        <w:t>’</w:t>
      </w:r>
      <w:r w:rsidR="0086296F">
        <w:rPr>
          <w:lang w:eastAsia="fr-FR" w:bidi="he-IL"/>
        </w:rPr>
        <w:t>adorèrent</w:t>
      </w:r>
      <w:r w:rsidR="007475F7">
        <w:rPr>
          <w:lang w:eastAsia="fr-FR" w:bidi="he-IL"/>
        </w:rPr>
        <w:t>.</w:t>
      </w:r>
      <w:r w:rsidR="00C2602D" w:rsidRPr="00C8701B">
        <w:rPr>
          <w:lang w:eastAsia="fr-FR" w:bidi="he-IL"/>
        </w:rPr>
        <w:t xml:space="preserve"> </w:t>
      </w:r>
    </w:p>
    <w:p w:rsidR="00C2602D" w:rsidRPr="00C8701B" w:rsidRDefault="00B704AD" w:rsidP="0086296F">
      <w:pPr>
        <w:pStyle w:val="locus"/>
        <w:rPr>
          <w:lang w:eastAsia="fr-FR" w:bidi="he-IL"/>
        </w:rPr>
      </w:pPr>
      <w:r w:rsidRPr="00C8701B">
        <w:rPr>
          <w:lang w:eastAsia="fr-FR" w:bidi="he-IL"/>
        </w:rPr>
        <w:t xml:space="preserve">Chapitre </w:t>
      </w:r>
      <w:r w:rsidR="00A319EA">
        <w:rPr>
          <w:lang w:eastAsia="fr-FR" w:bidi="he-IL"/>
        </w:rPr>
        <w:t>VI</w:t>
      </w:r>
      <w:r w:rsidR="00B35391">
        <w:rPr>
          <w:lang w:eastAsia="fr-FR" w:bidi="he-IL"/>
        </w:rPr>
        <w:t>.</w:t>
      </w:r>
      <w:r w:rsidR="000F7DAA">
        <w:rPr>
          <w:lang w:eastAsia="fr-FR" w:bidi="he-IL"/>
        </w:rPr>
        <w:t xml:space="preserve"> —</w:t>
      </w:r>
      <w:r w:rsidR="008D0642">
        <w:rPr>
          <w:lang w:eastAsia="fr-FR" w:bidi="he-IL"/>
        </w:rPr>
        <w:t xml:space="preserve"> </w:t>
      </w:r>
      <w:r w:rsidRPr="00C8701B">
        <w:rPr>
          <w:lang w:eastAsia="fr-FR" w:bidi="he-IL"/>
        </w:rPr>
        <w:t>Un des juifs s</w:t>
      </w:r>
      <w:r w:rsidR="00557DE0">
        <w:rPr>
          <w:lang w:eastAsia="fr-FR" w:bidi="he-IL"/>
        </w:rPr>
        <w:t>’</w:t>
      </w:r>
      <w:r w:rsidRPr="00C8701B">
        <w:rPr>
          <w:lang w:eastAsia="fr-FR" w:bidi="he-IL"/>
        </w:rPr>
        <w:t>avança</w:t>
      </w:r>
      <w:r w:rsidR="00E65435">
        <w:rPr>
          <w:lang w:eastAsia="fr-FR" w:bidi="he-IL"/>
        </w:rPr>
        <w:t xml:space="preserve">, </w:t>
      </w:r>
      <w:r w:rsidRPr="00C8701B">
        <w:rPr>
          <w:lang w:eastAsia="fr-FR" w:bidi="he-IL"/>
        </w:rPr>
        <w:t>et demanda au gouverneur la permission de parler</w:t>
      </w:r>
      <w:r w:rsidR="00C2602D" w:rsidRPr="00C8701B">
        <w:rPr>
          <w:lang w:eastAsia="fr-FR" w:bidi="he-IL"/>
        </w:rPr>
        <w:t> </w:t>
      </w:r>
      <w:r w:rsidR="007F6508">
        <w:rPr>
          <w:lang w:eastAsia="fr-FR" w:bidi="he-IL"/>
        </w:rPr>
        <w:t xml:space="preserve">; </w:t>
      </w:r>
      <w:r w:rsidR="0086296F">
        <w:rPr>
          <w:lang w:eastAsia="fr-FR" w:bidi="he-IL"/>
        </w:rPr>
        <w:t>et Pilate d</w:t>
      </w:r>
      <w:r w:rsidRPr="00C8701B">
        <w:rPr>
          <w:lang w:eastAsia="fr-FR" w:bidi="he-IL"/>
        </w:rPr>
        <w:t>it</w:t>
      </w:r>
      <w:r w:rsidR="00C2602D" w:rsidRPr="00C8701B">
        <w:rPr>
          <w:lang w:eastAsia="fr-FR" w:bidi="he-IL"/>
        </w:rPr>
        <w:t> :</w:t>
      </w:r>
      <w:r w:rsidRPr="00C8701B">
        <w:rPr>
          <w:lang w:eastAsia="fr-FR" w:bidi="he-IL"/>
        </w:rPr>
        <w:t xml:space="preserve"> Ce que tu veux dire</w:t>
      </w:r>
      <w:r w:rsidR="00E65435">
        <w:rPr>
          <w:lang w:eastAsia="fr-FR" w:bidi="he-IL"/>
        </w:rPr>
        <w:t xml:space="preserve">, </w:t>
      </w:r>
      <w:r w:rsidRPr="00C8701B">
        <w:rPr>
          <w:lang w:eastAsia="fr-FR" w:bidi="he-IL"/>
        </w:rPr>
        <w:t>dis-le. Et ce juif parla ainsi</w:t>
      </w:r>
      <w:r w:rsidR="00C2602D" w:rsidRPr="00C8701B">
        <w:rPr>
          <w:lang w:eastAsia="fr-FR" w:bidi="he-IL"/>
        </w:rPr>
        <w:t> :</w:t>
      </w:r>
      <w:r w:rsidRPr="00C8701B">
        <w:rPr>
          <w:lang w:eastAsia="fr-FR" w:bidi="he-IL"/>
        </w:rPr>
        <w:t xml:space="preserve"> Depuis trente-huit ans</w:t>
      </w:r>
      <w:r w:rsidR="00E65435">
        <w:rPr>
          <w:lang w:eastAsia="fr-FR" w:bidi="he-IL"/>
        </w:rPr>
        <w:t xml:space="preserve">, </w:t>
      </w:r>
      <w:r w:rsidRPr="00C8701B">
        <w:rPr>
          <w:lang w:eastAsia="fr-FR" w:bidi="he-IL"/>
        </w:rPr>
        <w:t>je gisais dans mon lit</w:t>
      </w:r>
      <w:r w:rsidR="00E65435">
        <w:rPr>
          <w:lang w:eastAsia="fr-FR" w:bidi="he-IL"/>
        </w:rPr>
        <w:t xml:space="preserve">, </w:t>
      </w:r>
      <w:r w:rsidRPr="00C8701B">
        <w:rPr>
          <w:lang w:eastAsia="fr-FR" w:bidi="he-IL"/>
        </w:rPr>
        <w:t>et j</w:t>
      </w:r>
      <w:r w:rsidR="00557DE0">
        <w:rPr>
          <w:lang w:eastAsia="fr-FR" w:bidi="he-IL"/>
        </w:rPr>
        <w:t>’</w:t>
      </w:r>
      <w:r w:rsidRPr="00C8701B">
        <w:rPr>
          <w:lang w:eastAsia="fr-FR" w:bidi="he-IL"/>
        </w:rPr>
        <w:t>étais constamment en proie à de grandes souffrances</w:t>
      </w:r>
      <w:r w:rsidR="00E65435">
        <w:rPr>
          <w:lang w:eastAsia="fr-FR" w:bidi="he-IL"/>
        </w:rPr>
        <w:t xml:space="preserve">, </w:t>
      </w:r>
      <w:r w:rsidRPr="00C8701B">
        <w:rPr>
          <w:lang w:eastAsia="fr-FR" w:bidi="he-IL"/>
        </w:rPr>
        <w:t>et en danger de perdre la vie. Jésus étant venu</w:t>
      </w:r>
      <w:r w:rsidR="00E65435">
        <w:rPr>
          <w:lang w:eastAsia="fr-FR" w:bidi="he-IL"/>
        </w:rPr>
        <w:t xml:space="preserve">, </w:t>
      </w:r>
      <w:r w:rsidRPr="00C8701B">
        <w:rPr>
          <w:lang w:eastAsia="fr-FR" w:bidi="he-IL"/>
        </w:rPr>
        <w:t>beaucoup de démoniaques et de gens affligés de diverses infirmités furent guéris par lui. Et quelques jeunes gens m</w:t>
      </w:r>
      <w:r w:rsidR="00557DE0">
        <w:rPr>
          <w:lang w:eastAsia="fr-FR" w:bidi="he-IL"/>
        </w:rPr>
        <w:t>’</w:t>
      </w:r>
      <w:r w:rsidRPr="00C8701B">
        <w:rPr>
          <w:lang w:eastAsia="fr-FR" w:bidi="he-IL"/>
        </w:rPr>
        <w:t xml:space="preserve">apportèrent dans mon lit et me menèrent </w:t>
      </w:r>
      <w:r w:rsidR="00206537">
        <w:rPr>
          <w:lang w:eastAsia="fr-FR" w:bidi="he-IL"/>
        </w:rPr>
        <w:t>à</w:t>
      </w:r>
      <w:r w:rsidRPr="00C8701B">
        <w:rPr>
          <w:lang w:eastAsia="fr-FR" w:bidi="he-IL"/>
        </w:rPr>
        <w:t xml:space="preserve"> lui. Et Jésus me voyant fut touché de compassion</w:t>
      </w:r>
      <w:r w:rsidR="00E65435">
        <w:rPr>
          <w:lang w:eastAsia="fr-FR" w:bidi="he-IL"/>
        </w:rPr>
        <w:t xml:space="preserve">, </w:t>
      </w:r>
      <w:r w:rsidRPr="00C8701B">
        <w:rPr>
          <w:lang w:eastAsia="fr-FR" w:bidi="he-IL"/>
        </w:rPr>
        <w:t>et il me dit</w:t>
      </w:r>
      <w:r w:rsidR="00C2602D" w:rsidRPr="00C8701B">
        <w:rPr>
          <w:lang w:eastAsia="fr-FR" w:bidi="he-IL"/>
        </w:rPr>
        <w:t> :</w:t>
      </w:r>
      <w:r w:rsidRPr="00C8701B">
        <w:rPr>
          <w:lang w:eastAsia="fr-FR" w:bidi="he-IL"/>
        </w:rPr>
        <w:t xml:space="preserve"> Lève-toi</w:t>
      </w:r>
      <w:r w:rsidR="00E65435">
        <w:rPr>
          <w:lang w:eastAsia="fr-FR" w:bidi="he-IL"/>
        </w:rPr>
        <w:t xml:space="preserve">, </w:t>
      </w:r>
      <w:r w:rsidRPr="00C8701B">
        <w:rPr>
          <w:lang w:eastAsia="fr-FR" w:bidi="he-IL"/>
        </w:rPr>
        <w:t>prends ton lit et marche. Et aussitôt je fus complètement guéri</w:t>
      </w:r>
      <w:r w:rsidR="00C2602D" w:rsidRPr="00C8701B">
        <w:rPr>
          <w:lang w:eastAsia="fr-FR" w:bidi="he-IL"/>
        </w:rPr>
        <w:t> </w:t>
      </w:r>
      <w:r w:rsidR="007F6508">
        <w:rPr>
          <w:lang w:eastAsia="fr-FR" w:bidi="he-IL"/>
        </w:rPr>
        <w:t xml:space="preserve">; </w:t>
      </w:r>
      <w:r w:rsidRPr="00C8701B">
        <w:rPr>
          <w:lang w:eastAsia="fr-FR" w:bidi="he-IL"/>
        </w:rPr>
        <w:t>je pris mon lit</w:t>
      </w:r>
      <w:r w:rsidR="00E65435">
        <w:rPr>
          <w:lang w:eastAsia="fr-FR" w:bidi="he-IL"/>
        </w:rPr>
        <w:t xml:space="preserve">, </w:t>
      </w:r>
      <w:r w:rsidRPr="00C8701B">
        <w:rPr>
          <w:lang w:eastAsia="fr-FR" w:bidi="he-IL"/>
        </w:rPr>
        <w:t>et je marchai. Les juifs dirent à Pilate</w:t>
      </w:r>
      <w:r w:rsidR="00C2602D" w:rsidRPr="00C8701B">
        <w:rPr>
          <w:lang w:eastAsia="fr-FR" w:bidi="he-IL"/>
        </w:rPr>
        <w:t> :</w:t>
      </w:r>
      <w:r w:rsidRPr="00C8701B">
        <w:rPr>
          <w:lang w:eastAsia="fr-FR" w:bidi="he-IL"/>
        </w:rPr>
        <w:t xml:space="preserve"> Demande-lui quel jour il fut guéri. Et il répondit</w:t>
      </w:r>
      <w:r w:rsidR="00C2602D" w:rsidRPr="00C8701B">
        <w:rPr>
          <w:lang w:eastAsia="fr-FR" w:bidi="he-IL"/>
        </w:rPr>
        <w:t> :</w:t>
      </w:r>
      <w:r w:rsidRPr="00C8701B">
        <w:rPr>
          <w:lang w:eastAsia="fr-FR" w:bidi="he-IL"/>
        </w:rPr>
        <w:t xml:space="preserve"> Le jour du sabbat. Et les juifs dirent</w:t>
      </w:r>
      <w:r w:rsidR="00C2602D" w:rsidRPr="00C8701B">
        <w:rPr>
          <w:lang w:eastAsia="fr-FR" w:bidi="he-IL"/>
        </w:rPr>
        <w:t> :</w:t>
      </w:r>
      <w:r w:rsidRPr="00C8701B">
        <w:rPr>
          <w:lang w:eastAsia="fr-FR" w:bidi="he-IL"/>
        </w:rPr>
        <w:t xml:space="preserve"> Ne disions-nous pas qu</w:t>
      </w:r>
      <w:r w:rsidR="00557DE0">
        <w:rPr>
          <w:lang w:eastAsia="fr-FR" w:bidi="he-IL"/>
        </w:rPr>
        <w:t>’</w:t>
      </w:r>
      <w:r w:rsidRPr="00C8701B">
        <w:rPr>
          <w:lang w:eastAsia="fr-FR" w:bidi="he-IL"/>
        </w:rPr>
        <w:t>il guérissait les malades et qu</w:t>
      </w:r>
      <w:r w:rsidR="00557DE0">
        <w:rPr>
          <w:lang w:eastAsia="fr-FR" w:bidi="he-IL"/>
        </w:rPr>
        <w:t>’</w:t>
      </w:r>
      <w:r w:rsidRPr="00C8701B">
        <w:rPr>
          <w:lang w:eastAsia="fr-FR" w:bidi="he-IL"/>
        </w:rPr>
        <w:t>il chassait les démons le jour du sabbat</w:t>
      </w:r>
      <w:r w:rsidR="00C2602D" w:rsidRPr="00C8701B">
        <w:rPr>
          <w:lang w:eastAsia="fr-FR" w:bidi="he-IL"/>
        </w:rPr>
        <w:t> ?</w:t>
      </w:r>
      <w:r w:rsidRPr="00C8701B">
        <w:rPr>
          <w:lang w:eastAsia="fr-FR" w:bidi="he-IL"/>
        </w:rPr>
        <w:t xml:space="preserve"> Et un autre juif s</w:t>
      </w:r>
      <w:r w:rsidR="00557DE0">
        <w:rPr>
          <w:lang w:eastAsia="fr-FR" w:bidi="he-IL"/>
        </w:rPr>
        <w:t>’</w:t>
      </w:r>
      <w:r w:rsidRPr="00C8701B">
        <w:rPr>
          <w:lang w:eastAsia="fr-FR" w:bidi="he-IL"/>
        </w:rPr>
        <w:t>avança et dit</w:t>
      </w:r>
      <w:r w:rsidR="00C2602D" w:rsidRPr="00C8701B">
        <w:rPr>
          <w:lang w:eastAsia="fr-FR" w:bidi="he-IL"/>
        </w:rPr>
        <w:t> :</w:t>
      </w:r>
      <w:r w:rsidRPr="00C8701B">
        <w:rPr>
          <w:lang w:eastAsia="fr-FR" w:bidi="he-IL"/>
        </w:rPr>
        <w:t xml:space="preserve"> J</w:t>
      </w:r>
      <w:r w:rsidR="00557DE0">
        <w:rPr>
          <w:lang w:eastAsia="fr-FR" w:bidi="he-IL"/>
        </w:rPr>
        <w:t>’</w:t>
      </w:r>
      <w:r w:rsidRPr="00C8701B">
        <w:rPr>
          <w:lang w:eastAsia="fr-FR" w:bidi="he-IL"/>
        </w:rPr>
        <w:t>étais aveugle de naissance</w:t>
      </w:r>
      <w:r w:rsidR="00C2602D" w:rsidRPr="00C8701B">
        <w:rPr>
          <w:lang w:eastAsia="fr-FR" w:bidi="he-IL"/>
        </w:rPr>
        <w:t> </w:t>
      </w:r>
      <w:r w:rsidR="007F6508">
        <w:rPr>
          <w:lang w:eastAsia="fr-FR" w:bidi="he-IL"/>
        </w:rPr>
        <w:t xml:space="preserve">; </w:t>
      </w:r>
      <w:r w:rsidRPr="00C8701B">
        <w:rPr>
          <w:lang w:eastAsia="fr-FR" w:bidi="he-IL"/>
        </w:rPr>
        <w:t>j</w:t>
      </w:r>
      <w:r w:rsidR="00557DE0">
        <w:rPr>
          <w:lang w:eastAsia="fr-FR" w:bidi="he-IL"/>
        </w:rPr>
        <w:t>’</w:t>
      </w:r>
      <w:r w:rsidR="0086296F">
        <w:rPr>
          <w:lang w:eastAsia="fr-FR" w:bidi="he-IL"/>
        </w:rPr>
        <w:t>entendais parler et je ne</w:t>
      </w:r>
      <w:r w:rsidRPr="00C8701B">
        <w:rPr>
          <w:lang w:eastAsia="fr-FR" w:bidi="he-IL"/>
        </w:rPr>
        <w:t xml:space="preserve"> voyais personne. Et Jésus ayant passé</w:t>
      </w:r>
      <w:r w:rsidR="00E65435">
        <w:rPr>
          <w:lang w:eastAsia="fr-FR" w:bidi="he-IL"/>
        </w:rPr>
        <w:t xml:space="preserve">, </w:t>
      </w:r>
      <w:r w:rsidRPr="00C8701B">
        <w:rPr>
          <w:lang w:eastAsia="fr-FR" w:bidi="he-IL"/>
        </w:rPr>
        <w:t>je m</w:t>
      </w:r>
      <w:r w:rsidR="00557DE0">
        <w:rPr>
          <w:lang w:eastAsia="fr-FR" w:bidi="he-IL"/>
        </w:rPr>
        <w:t>’</w:t>
      </w:r>
      <w:r w:rsidRPr="00C8701B">
        <w:rPr>
          <w:lang w:eastAsia="fr-FR" w:bidi="he-IL"/>
        </w:rPr>
        <w:t>adressai à lui en criant à haute voix</w:t>
      </w:r>
      <w:r w:rsidR="00C2602D" w:rsidRPr="00C8701B">
        <w:rPr>
          <w:lang w:eastAsia="fr-FR" w:bidi="he-IL"/>
        </w:rPr>
        <w:t> :</w:t>
      </w:r>
      <w:r w:rsidRPr="00C8701B">
        <w:rPr>
          <w:lang w:eastAsia="fr-FR" w:bidi="he-IL"/>
        </w:rPr>
        <w:t xml:space="preserve"> Fils de David</w:t>
      </w:r>
      <w:r w:rsidR="00E65435">
        <w:rPr>
          <w:lang w:eastAsia="fr-FR" w:bidi="he-IL"/>
        </w:rPr>
        <w:t xml:space="preserve">, </w:t>
      </w:r>
      <w:r w:rsidR="0086296F">
        <w:rPr>
          <w:lang w:eastAsia="fr-FR" w:bidi="he-IL"/>
        </w:rPr>
        <w:t>prends pitié de moi !</w:t>
      </w:r>
      <w:r w:rsidRPr="00C8701B">
        <w:rPr>
          <w:lang w:eastAsia="fr-FR" w:bidi="he-IL"/>
        </w:rPr>
        <w:t xml:space="preserve"> Et il eut pitié de moi</w:t>
      </w:r>
      <w:r w:rsidR="00E65435">
        <w:rPr>
          <w:lang w:eastAsia="fr-FR" w:bidi="he-IL"/>
        </w:rPr>
        <w:t xml:space="preserve">, </w:t>
      </w:r>
      <w:r w:rsidR="0086296F">
        <w:rPr>
          <w:lang w:eastAsia="fr-FR" w:bidi="he-IL"/>
        </w:rPr>
        <w:t>et il posa s</w:t>
      </w:r>
      <w:r w:rsidRPr="00C8701B">
        <w:rPr>
          <w:lang w:eastAsia="fr-FR" w:bidi="he-IL"/>
        </w:rPr>
        <w:t>a main sur mes yeux</w:t>
      </w:r>
      <w:r w:rsidR="00E65435">
        <w:rPr>
          <w:lang w:eastAsia="fr-FR" w:bidi="he-IL"/>
        </w:rPr>
        <w:t xml:space="preserve">, </w:t>
      </w:r>
      <w:r w:rsidRPr="00C8701B">
        <w:rPr>
          <w:lang w:eastAsia="fr-FR" w:bidi="he-IL"/>
        </w:rPr>
        <w:t>et aussitôt je recouvrai la vue. Et un autre s</w:t>
      </w:r>
      <w:r w:rsidR="00557DE0">
        <w:rPr>
          <w:lang w:eastAsia="fr-FR" w:bidi="he-IL"/>
        </w:rPr>
        <w:t>’</w:t>
      </w:r>
      <w:r w:rsidRPr="00C8701B">
        <w:rPr>
          <w:lang w:eastAsia="fr-FR" w:bidi="he-IL"/>
        </w:rPr>
        <w:t>avança et dit</w:t>
      </w:r>
      <w:r w:rsidR="00C2602D" w:rsidRPr="00C8701B">
        <w:rPr>
          <w:lang w:eastAsia="fr-FR" w:bidi="he-IL"/>
        </w:rPr>
        <w:t> :</w:t>
      </w:r>
      <w:r w:rsidRPr="00C8701B">
        <w:rPr>
          <w:lang w:eastAsia="fr-FR" w:bidi="he-IL"/>
        </w:rPr>
        <w:t xml:space="preserve"> J</w:t>
      </w:r>
      <w:r w:rsidR="00557DE0">
        <w:rPr>
          <w:lang w:eastAsia="fr-FR" w:bidi="he-IL"/>
        </w:rPr>
        <w:t>’</w:t>
      </w:r>
      <w:r w:rsidRPr="00C8701B">
        <w:rPr>
          <w:lang w:eastAsia="fr-FR" w:bidi="he-IL"/>
        </w:rPr>
        <w:t>étais courbé</w:t>
      </w:r>
      <w:r w:rsidR="00E65435">
        <w:rPr>
          <w:lang w:eastAsia="fr-FR" w:bidi="he-IL"/>
        </w:rPr>
        <w:t xml:space="preserve">, </w:t>
      </w:r>
      <w:r w:rsidRPr="00C8701B">
        <w:rPr>
          <w:lang w:eastAsia="fr-FR" w:bidi="he-IL"/>
        </w:rPr>
        <w:t>et il m</w:t>
      </w:r>
      <w:r w:rsidR="00557DE0">
        <w:rPr>
          <w:lang w:eastAsia="fr-FR" w:bidi="he-IL"/>
        </w:rPr>
        <w:t>’</w:t>
      </w:r>
      <w:r w:rsidRPr="00C8701B">
        <w:rPr>
          <w:lang w:eastAsia="fr-FR" w:bidi="he-IL"/>
        </w:rPr>
        <w:t>a redressé d</w:t>
      </w:r>
      <w:r w:rsidR="00557DE0">
        <w:rPr>
          <w:lang w:eastAsia="fr-FR" w:bidi="he-IL"/>
        </w:rPr>
        <w:t>’</w:t>
      </w:r>
      <w:r w:rsidRPr="00C8701B">
        <w:rPr>
          <w:lang w:eastAsia="fr-FR" w:bidi="he-IL"/>
        </w:rPr>
        <w:t>un mot. Et un autre s</w:t>
      </w:r>
      <w:r w:rsidR="00557DE0">
        <w:rPr>
          <w:lang w:eastAsia="fr-FR" w:bidi="he-IL"/>
        </w:rPr>
        <w:t>’</w:t>
      </w:r>
      <w:r w:rsidRPr="00C8701B">
        <w:rPr>
          <w:lang w:eastAsia="fr-FR" w:bidi="he-IL"/>
        </w:rPr>
        <w:t>avança aussi et dit</w:t>
      </w:r>
      <w:r w:rsidR="00C2602D" w:rsidRPr="00C8701B">
        <w:rPr>
          <w:lang w:eastAsia="fr-FR" w:bidi="he-IL"/>
        </w:rPr>
        <w:t> :</w:t>
      </w:r>
      <w:r w:rsidRPr="00C8701B">
        <w:rPr>
          <w:lang w:eastAsia="fr-FR" w:bidi="he-IL"/>
        </w:rPr>
        <w:t xml:space="preserve"> J</w:t>
      </w:r>
      <w:r w:rsidR="00557DE0">
        <w:rPr>
          <w:lang w:eastAsia="fr-FR" w:bidi="he-IL"/>
        </w:rPr>
        <w:t>’</w:t>
      </w:r>
      <w:r w:rsidRPr="00C8701B">
        <w:rPr>
          <w:lang w:eastAsia="fr-FR" w:bidi="he-IL"/>
        </w:rPr>
        <w:t>étais lépreux</w:t>
      </w:r>
      <w:r w:rsidR="00E65435">
        <w:rPr>
          <w:lang w:eastAsia="fr-FR" w:bidi="he-IL"/>
        </w:rPr>
        <w:t xml:space="preserve">, </w:t>
      </w:r>
      <w:r w:rsidRPr="00C8701B">
        <w:rPr>
          <w:lang w:eastAsia="fr-FR" w:bidi="he-IL"/>
        </w:rPr>
        <w:t>et il m</w:t>
      </w:r>
      <w:r w:rsidR="00557DE0">
        <w:rPr>
          <w:lang w:eastAsia="fr-FR" w:bidi="he-IL"/>
        </w:rPr>
        <w:t>’</w:t>
      </w:r>
      <w:r w:rsidRPr="00C8701B">
        <w:rPr>
          <w:lang w:eastAsia="fr-FR" w:bidi="he-IL"/>
        </w:rPr>
        <w:t>a guéri d</w:t>
      </w:r>
      <w:r w:rsidR="00557DE0">
        <w:rPr>
          <w:lang w:eastAsia="fr-FR" w:bidi="he-IL"/>
        </w:rPr>
        <w:t>’</w:t>
      </w:r>
      <w:r w:rsidRPr="00C8701B">
        <w:rPr>
          <w:lang w:eastAsia="fr-FR" w:bidi="he-IL"/>
        </w:rPr>
        <w:t>un mot.</w:t>
      </w:r>
      <w:r w:rsidR="00C2602D" w:rsidRPr="00C8701B">
        <w:rPr>
          <w:lang w:eastAsia="fr-FR" w:bidi="he-IL"/>
        </w:rPr>
        <w:t xml:space="preserve"> </w:t>
      </w:r>
    </w:p>
    <w:p w:rsidR="00C2602D" w:rsidRPr="00C8701B" w:rsidRDefault="00B704AD" w:rsidP="0086296F">
      <w:pPr>
        <w:rPr>
          <w:rFonts w:eastAsia="Arial Unicode MS"/>
          <w:bCs/>
          <w:lang w:eastAsia="fr-FR" w:bidi="he-IL"/>
        </w:rPr>
      </w:pPr>
      <w:r w:rsidRPr="00C8701B">
        <w:rPr>
          <w:rFonts w:eastAsia="Arial Unicode MS"/>
          <w:bCs/>
          <w:lang w:eastAsia="fr-FR" w:bidi="he-IL"/>
        </w:rPr>
        <w:t>Passons</w:t>
      </w:r>
      <w:bookmarkStart w:id="181" w:name="evin140302a_denscensus"/>
      <w:bookmarkEnd w:id="181"/>
      <w:r w:rsidRPr="00C8701B">
        <w:rPr>
          <w:rFonts w:eastAsia="Arial Unicode MS"/>
          <w:bCs/>
          <w:lang w:eastAsia="fr-FR" w:bidi="he-IL"/>
        </w:rPr>
        <w:t xml:space="preserve"> à une scène du</w:t>
      </w:r>
      <w:r w:rsidRPr="00DC4586">
        <w:rPr>
          <w:rStyle w:val="italicus"/>
        </w:rPr>
        <w:t xml:space="preserve"> </w:t>
      </w:r>
      <w:r w:rsidR="0086296F" w:rsidRPr="00DC4586">
        <w:rPr>
          <w:rStyle w:val="italicus"/>
        </w:rPr>
        <w:t>Descénsus</w:t>
      </w:r>
      <w:r w:rsidRPr="00DC4586">
        <w:rPr>
          <w:rStyle w:val="italicus"/>
        </w:rPr>
        <w:t xml:space="preserve"> ad </w:t>
      </w:r>
      <w:r w:rsidR="0086296F" w:rsidRPr="00DC4586">
        <w:rPr>
          <w:rStyle w:val="italicus"/>
        </w:rPr>
        <w:t>ínferos</w:t>
      </w:r>
      <w:r w:rsidRPr="00DC4586">
        <w:rPr>
          <w:rStyle w:val="italicus"/>
        </w:rPr>
        <w:t>.</w:t>
      </w:r>
      <w:r w:rsidRPr="00C8701B">
        <w:rPr>
          <w:rFonts w:eastAsia="Arial Unicode MS"/>
          <w:bCs/>
          <w:lang w:eastAsia="fr-FR" w:bidi="he-IL"/>
        </w:rPr>
        <w:t xml:space="preserve"> L</w:t>
      </w:r>
      <w:r w:rsidR="00557DE0">
        <w:rPr>
          <w:rFonts w:eastAsia="Arial Unicode MS"/>
          <w:bCs/>
          <w:lang w:eastAsia="fr-FR" w:bidi="he-IL"/>
        </w:rPr>
        <w:t>’</w:t>
      </w:r>
      <w:r w:rsidRPr="00C8701B">
        <w:rPr>
          <w:rFonts w:eastAsia="Arial Unicode MS"/>
          <w:bCs/>
          <w:lang w:eastAsia="fr-FR" w:bidi="he-IL"/>
        </w:rPr>
        <w:t>âme du Christ</w:t>
      </w:r>
      <w:r w:rsidR="00E65435">
        <w:rPr>
          <w:rFonts w:eastAsia="Arial Unicode MS"/>
          <w:bCs/>
          <w:lang w:eastAsia="fr-FR" w:bidi="he-IL"/>
        </w:rPr>
        <w:t xml:space="preserve">, </w:t>
      </w:r>
      <w:r w:rsidRPr="00C8701B">
        <w:rPr>
          <w:rFonts w:eastAsia="Arial Unicode MS"/>
          <w:bCs/>
          <w:lang w:eastAsia="fr-FR" w:bidi="he-IL"/>
        </w:rPr>
        <w:t>malgré les efforts des démons</w:t>
      </w:r>
      <w:r w:rsidR="00E65435">
        <w:rPr>
          <w:rFonts w:eastAsia="Arial Unicode MS"/>
          <w:bCs/>
          <w:lang w:eastAsia="fr-FR" w:bidi="he-IL"/>
        </w:rPr>
        <w:t xml:space="preserve">, </w:t>
      </w:r>
      <w:r w:rsidRPr="00C8701B">
        <w:rPr>
          <w:rFonts w:eastAsia="Arial Unicode MS"/>
          <w:bCs/>
          <w:lang w:eastAsia="fr-FR" w:bidi="he-IL"/>
        </w:rPr>
        <w:t>a pénétré dans le triste séjour</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heure de la délivrance a sonné pour les justes.</w:t>
      </w:r>
      <w:r w:rsidR="00C2602D" w:rsidRPr="00C8701B">
        <w:rPr>
          <w:rFonts w:eastAsia="Arial Unicode MS"/>
          <w:bCs/>
          <w:lang w:eastAsia="fr-FR" w:bidi="he-IL"/>
        </w:rPr>
        <w:t xml:space="preserve"> </w:t>
      </w:r>
    </w:p>
    <w:p w:rsidR="00C2602D" w:rsidRPr="00C8701B" w:rsidRDefault="00B704AD" w:rsidP="00557FD3">
      <w:pPr>
        <w:pStyle w:val="locus"/>
        <w:rPr>
          <w:lang w:eastAsia="fr-FR" w:bidi="he-IL"/>
        </w:rPr>
      </w:pPr>
      <w:r w:rsidRPr="00C8701B">
        <w:rPr>
          <w:lang w:eastAsia="fr-FR" w:bidi="he-IL"/>
        </w:rPr>
        <w:t xml:space="preserve">Chapitre </w:t>
      </w:r>
      <w:r w:rsidR="0042479B">
        <w:rPr>
          <w:lang w:eastAsia="fr-FR" w:bidi="he-IL"/>
        </w:rPr>
        <w:t>XXV</w:t>
      </w:r>
      <w:r w:rsidRPr="00C8701B">
        <w:rPr>
          <w:lang w:eastAsia="fr-FR" w:bidi="he-IL"/>
        </w:rPr>
        <w:t>.</w:t>
      </w:r>
      <w:r w:rsidR="000F7DAA">
        <w:rPr>
          <w:lang w:eastAsia="fr-FR" w:bidi="he-IL"/>
        </w:rPr>
        <w:t xml:space="preserve"> —</w:t>
      </w:r>
      <w:r w:rsidR="008D0642">
        <w:rPr>
          <w:lang w:eastAsia="fr-FR" w:bidi="he-IL"/>
        </w:rPr>
        <w:t xml:space="preserve"> </w:t>
      </w:r>
      <w:r w:rsidRPr="00C8701B">
        <w:rPr>
          <w:lang w:eastAsia="fr-FR" w:bidi="he-IL"/>
        </w:rPr>
        <w:t>Le Seigneur</w:t>
      </w:r>
      <w:r w:rsidR="00E65435">
        <w:rPr>
          <w:lang w:eastAsia="fr-FR" w:bidi="he-IL"/>
        </w:rPr>
        <w:t xml:space="preserve">, </w:t>
      </w:r>
      <w:r w:rsidRPr="00C8701B">
        <w:rPr>
          <w:lang w:eastAsia="fr-FR" w:bidi="he-IL"/>
        </w:rPr>
        <w:t>étendant sa main</w:t>
      </w:r>
      <w:r w:rsidR="00E65435">
        <w:rPr>
          <w:lang w:eastAsia="fr-FR" w:bidi="he-IL"/>
        </w:rPr>
        <w:t xml:space="preserve">, </w:t>
      </w:r>
      <w:r w:rsidRPr="00C8701B">
        <w:rPr>
          <w:lang w:eastAsia="fr-FR" w:bidi="he-IL"/>
        </w:rPr>
        <w:t>dit</w:t>
      </w:r>
      <w:r w:rsidR="00C2602D" w:rsidRPr="00C8701B">
        <w:rPr>
          <w:lang w:eastAsia="fr-FR" w:bidi="he-IL"/>
        </w:rPr>
        <w:t> :</w:t>
      </w:r>
      <w:r w:rsidRPr="00C8701B">
        <w:rPr>
          <w:lang w:eastAsia="fr-FR" w:bidi="he-IL"/>
        </w:rPr>
        <w:t xml:space="preserve"> Venez à moi</w:t>
      </w:r>
      <w:r w:rsidR="00E65435">
        <w:rPr>
          <w:lang w:eastAsia="fr-FR" w:bidi="he-IL"/>
        </w:rPr>
        <w:t xml:space="preserve">, </w:t>
      </w:r>
      <w:r w:rsidRPr="00C8701B">
        <w:rPr>
          <w:lang w:eastAsia="fr-FR" w:bidi="he-IL"/>
        </w:rPr>
        <w:t>vous mes Saints</w:t>
      </w:r>
      <w:r w:rsidR="00E65435">
        <w:rPr>
          <w:lang w:eastAsia="fr-FR" w:bidi="he-IL"/>
        </w:rPr>
        <w:t xml:space="preserve">, </w:t>
      </w:r>
      <w:r w:rsidRPr="00C8701B">
        <w:rPr>
          <w:lang w:eastAsia="fr-FR" w:bidi="he-IL"/>
        </w:rPr>
        <w:t>qui avez mon image et ma ressemblance. Vous qui avez été condamnés par le bois</w:t>
      </w:r>
      <w:r w:rsidR="00E65435">
        <w:rPr>
          <w:lang w:eastAsia="fr-FR" w:bidi="he-IL"/>
        </w:rPr>
        <w:t xml:space="preserve">, </w:t>
      </w:r>
      <w:r w:rsidRPr="00C8701B">
        <w:rPr>
          <w:lang w:eastAsia="fr-FR" w:bidi="he-IL"/>
        </w:rPr>
        <w:t>le diable et la mort</w:t>
      </w:r>
      <w:r w:rsidR="00E65435">
        <w:rPr>
          <w:lang w:eastAsia="fr-FR" w:bidi="he-IL"/>
        </w:rPr>
        <w:t xml:space="preserve">, </w:t>
      </w:r>
      <w:r w:rsidRPr="00C8701B">
        <w:rPr>
          <w:lang w:eastAsia="fr-FR" w:bidi="he-IL"/>
        </w:rPr>
        <w:t>vous verrez que le diable et la mort sont condamnés par le boi</w:t>
      </w:r>
      <w:r w:rsidR="0086296F">
        <w:rPr>
          <w:lang w:eastAsia="fr-FR" w:bidi="he-IL"/>
        </w:rPr>
        <w:t>s. Et aussitôt tous les Saints f</w:t>
      </w:r>
      <w:r w:rsidRPr="00C8701B">
        <w:rPr>
          <w:lang w:eastAsia="fr-FR" w:bidi="he-IL"/>
        </w:rPr>
        <w:t>urent réunis sous la main du Seigneur. Et le Seigneur</w:t>
      </w:r>
      <w:r w:rsidR="00E65435">
        <w:rPr>
          <w:lang w:eastAsia="fr-FR" w:bidi="he-IL"/>
        </w:rPr>
        <w:t xml:space="preserve">, </w:t>
      </w:r>
      <w:r w:rsidRPr="00C8701B">
        <w:rPr>
          <w:lang w:eastAsia="fr-FR" w:bidi="he-IL"/>
        </w:rPr>
        <w:t>tenant la main droite d</w:t>
      </w:r>
      <w:r w:rsidR="00557DE0">
        <w:rPr>
          <w:lang w:eastAsia="fr-FR" w:bidi="he-IL"/>
        </w:rPr>
        <w:t>’</w:t>
      </w:r>
      <w:r w:rsidRPr="00C8701B">
        <w:rPr>
          <w:lang w:eastAsia="fr-FR" w:bidi="he-IL"/>
        </w:rPr>
        <w:t>Adam</w:t>
      </w:r>
      <w:r w:rsidR="00E65435">
        <w:rPr>
          <w:lang w:eastAsia="fr-FR" w:bidi="he-IL"/>
        </w:rPr>
        <w:t xml:space="preserve">, </w:t>
      </w:r>
      <w:r w:rsidRPr="00C8701B">
        <w:rPr>
          <w:lang w:eastAsia="fr-FR" w:bidi="he-IL"/>
        </w:rPr>
        <w:t>lui dit</w:t>
      </w:r>
      <w:r w:rsidR="00C2602D" w:rsidRPr="00C8701B">
        <w:rPr>
          <w:lang w:eastAsia="fr-FR" w:bidi="he-IL"/>
        </w:rPr>
        <w:t> :</w:t>
      </w:r>
      <w:r w:rsidRPr="00C8701B">
        <w:rPr>
          <w:lang w:eastAsia="fr-FR" w:bidi="he-IL"/>
        </w:rPr>
        <w:t xml:space="preserve"> Paix à toi</w:t>
      </w:r>
      <w:r w:rsidR="00E65435">
        <w:rPr>
          <w:lang w:eastAsia="fr-FR" w:bidi="he-IL"/>
        </w:rPr>
        <w:t xml:space="preserve">, </w:t>
      </w:r>
      <w:r w:rsidR="0086296F">
        <w:rPr>
          <w:lang w:eastAsia="fr-FR" w:bidi="he-IL"/>
        </w:rPr>
        <w:t>avec to</w:t>
      </w:r>
      <w:r w:rsidRPr="00C8701B">
        <w:rPr>
          <w:lang w:eastAsia="fr-FR" w:bidi="he-IL"/>
        </w:rPr>
        <w:t>us tes fils</w:t>
      </w:r>
      <w:r w:rsidR="00E65435">
        <w:rPr>
          <w:lang w:eastAsia="fr-FR" w:bidi="he-IL"/>
        </w:rPr>
        <w:t xml:space="preserve">, </w:t>
      </w:r>
      <w:r w:rsidRPr="00C8701B">
        <w:rPr>
          <w:lang w:eastAsia="fr-FR" w:bidi="he-IL"/>
        </w:rPr>
        <w:t>mes justes. Adam</w:t>
      </w:r>
      <w:r w:rsidR="00E65435">
        <w:rPr>
          <w:lang w:eastAsia="fr-FR" w:bidi="he-IL"/>
        </w:rPr>
        <w:t xml:space="preserve">, </w:t>
      </w:r>
      <w:r w:rsidRPr="00C8701B">
        <w:rPr>
          <w:lang w:eastAsia="fr-FR" w:bidi="he-IL"/>
        </w:rPr>
        <w:t>se prosternant aux genoux du Seigneur</w:t>
      </w:r>
      <w:r w:rsidR="00E65435">
        <w:rPr>
          <w:lang w:eastAsia="fr-FR" w:bidi="he-IL"/>
        </w:rPr>
        <w:t xml:space="preserve">, </w:t>
      </w:r>
      <w:r w:rsidRPr="00C8701B">
        <w:rPr>
          <w:lang w:eastAsia="fr-FR" w:bidi="he-IL"/>
        </w:rPr>
        <w:t>le supplia en versant des larmes</w:t>
      </w:r>
      <w:r w:rsidR="00E65435">
        <w:rPr>
          <w:lang w:eastAsia="fr-FR" w:bidi="he-IL"/>
        </w:rPr>
        <w:t xml:space="preserve">, </w:t>
      </w:r>
      <w:r w:rsidRPr="00C8701B">
        <w:rPr>
          <w:lang w:eastAsia="fr-FR" w:bidi="he-IL"/>
        </w:rPr>
        <w:t>disant d</w:t>
      </w:r>
      <w:r w:rsidR="00557DE0">
        <w:rPr>
          <w:lang w:eastAsia="fr-FR" w:bidi="he-IL"/>
        </w:rPr>
        <w:t>’</w:t>
      </w:r>
      <w:r w:rsidRPr="00C8701B">
        <w:rPr>
          <w:lang w:eastAsia="fr-FR" w:bidi="he-IL"/>
        </w:rPr>
        <w:t>une voix haute</w:t>
      </w:r>
      <w:r w:rsidR="00C2602D" w:rsidRPr="00C8701B">
        <w:rPr>
          <w:lang w:eastAsia="fr-FR" w:bidi="he-IL"/>
        </w:rPr>
        <w:t> :</w:t>
      </w:r>
      <w:r w:rsidRPr="00C8701B">
        <w:rPr>
          <w:lang w:eastAsia="fr-FR" w:bidi="he-IL"/>
        </w:rPr>
        <w:t xml:space="preserve"> Seigneur</w:t>
      </w:r>
      <w:r w:rsidR="00E65435">
        <w:rPr>
          <w:lang w:eastAsia="fr-FR" w:bidi="he-IL"/>
        </w:rPr>
        <w:t xml:space="preserve">, </w:t>
      </w:r>
      <w:r w:rsidRPr="00C8701B">
        <w:rPr>
          <w:lang w:eastAsia="fr-FR" w:bidi="he-IL"/>
        </w:rPr>
        <w:t>je te glorifierai</w:t>
      </w:r>
      <w:r w:rsidR="00E65435">
        <w:rPr>
          <w:lang w:eastAsia="fr-FR" w:bidi="he-IL"/>
        </w:rPr>
        <w:t xml:space="preserve">, </w:t>
      </w:r>
      <w:r w:rsidRPr="00C8701B">
        <w:rPr>
          <w:lang w:eastAsia="fr-FR" w:bidi="he-IL"/>
        </w:rPr>
        <w:t>car tu m</w:t>
      </w:r>
      <w:r w:rsidR="00557DE0">
        <w:rPr>
          <w:lang w:eastAsia="fr-FR" w:bidi="he-IL"/>
        </w:rPr>
        <w:t>’</w:t>
      </w:r>
      <w:r w:rsidRPr="00C8701B">
        <w:rPr>
          <w:lang w:eastAsia="fr-FR" w:bidi="he-IL"/>
        </w:rPr>
        <w:t>as accueilli</w:t>
      </w:r>
      <w:r w:rsidR="00E65435">
        <w:rPr>
          <w:lang w:eastAsia="fr-FR" w:bidi="he-IL"/>
        </w:rPr>
        <w:t xml:space="preserve">, </w:t>
      </w:r>
      <w:r w:rsidRPr="00C8701B">
        <w:rPr>
          <w:lang w:eastAsia="fr-FR" w:bidi="he-IL"/>
        </w:rPr>
        <w:t>et tu n</w:t>
      </w:r>
      <w:r w:rsidR="00557DE0">
        <w:rPr>
          <w:lang w:eastAsia="fr-FR" w:bidi="he-IL"/>
        </w:rPr>
        <w:t>’</w:t>
      </w:r>
      <w:r w:rsidRPr="00C8701B">
        <w:rPr>
          <w:lang w:eastAsia="fr-FR" w:bidi="he-IL"/>
        </w:rPr>
        <w:t>as pas fait triompher mes ennemis au-dessus de moi. Seigneur mon Dieu</w:t>
      </w:r>
      <w:r w:rsidR="00E65435">
        <w:rPr>
          <w:lang w:eastAsia="fr-FR" w:bidi="he-IL"/>
        </w:rPr>
        <w:t xml:space="preserve">, </w:t>
      </w:r>
      <w:r w:rsidRPr="00C8701B">
        <w:rPr>
          <w:lang w:eastAsia="fr-FR" w:bidi="he-IL"/>
        </w:rPr>
        <w:t>j</w:t>
      </w:r>
      <w:r w:rsidR="00557DE0">
        <w:rPr>
          <w:lang w:eastAsia="fr-FR" w:bidi="he-IL"/>
        </w:rPr>
        <w:t>’</w:t>
      </w:r>
      <w:r w:rsidRPr="00C8701B">
        <w:rPr>
          <w:lang w:eastAsia="fr-FR" w:bidi="he-IL"/>
        </w:rPr>
        <w:t>ai crié vers toi</w:t>
      </w:r>
      <w:r w:rsidR="00E65435">
        <w:rPr>
          <w:lang w:eastAsia="fr-FR" w:bidi="he-IL"/>
        </w:rPr>
        <w:t xml:space="preserve">, </w:t>
      </w:r>
      <w:r w:rsidRPr="00C8701B">
        <w:rPr>
          <w:lang w:eastAsia="fr-FR" w:bidi="he-IL"/>
        </w:rPr>
        <w:t>et tu m</w:t>
      </w:r>
      <w:r w:rsidR="00557DE0">
        <w:rPr>
          <w:lang w:eastAsia="fr-FR" w:bidi="he-IL"/>
        </w:rPr>
        <w:t>’</w:t>
      </w:r>
      <w:r w:rsidRPr="00C8701B">
        <w:rPr>
          <w:lang w:eastAsia="fr-FR" w:bidi="he-IL"/>
        </w:rPr>
        <w:t>as guéri</w:t>
      </w:r>
      <w:r w:rsidR="00E65435">
        <w:rPr>
          <w:lang w:eastAsia="fr-FR" w:bidi="he-IL"/>
        </w:rPr>
        <w:t xml:space="preserve">, </w:t>
      </w:r>
      <w:r w:rsidRPr="00C8701B">
        <w:rPr>
          <w:lang w:eastAsia="fr-FR" w:bidi="he-IL"/>
        </w:rPr>
        <w:t>Seigneur. Tu as retiré mon âme des enfers</w:t>
      </w:r>
      <w:r w:rsidR="00E65435">
        <w:rPr>
          <w:lang w:eastAsia="fr-FR" w:bidi="he-IL"/>
        </w:rPr>
        <w:t xml:space="preserve">, </w:t>
      </w:r>
      <w:r w:rsidRPr="00C8701B">
        <w:rPr>
          <w:lang w:eastAsia="fr-FR" w:bidi="he-IL"/>
        </w:rPr>
        <w:t>tu m</w:t>
      </w:r>
      <w:r w:rsidR="00557DE0">
        <w:rPr>
          <w:lang w:eastAsia="fr-FR" w:bidi="he-IL"/>
        </w:rPr>
        <w:t>’</w:t>
      </w:r>
      <w:r w:rsidRPr="00C8701B">
        <w:rPr>
          <w:lang w:eastAsia="fr-FR" w:bidi="he-IL"/>
        </w:rPr>
        <w:t>as sauvé en ne me</w:t>
      </w:r>
      <w:r w:rsidR="007475F7" w:rsidRPr="00C8701B">
        <w:rPr>
          <w:lang w:eastAsia="fr-FR" w:bidi="he-IL"/>
        </w:rPr>
        <w:t xml:space="preserve"> </w:t>
      </w:r>
      <w:r w:rsidRPr="00C8701B">
        <w:rPr>
          <w:lang w:eastAsia="fr-FR" w:bidi="he-IL"/>
        </w:rPr>
        <w:t>laissant pas avec ceux qui descendent dans l</w:t>
      </w:r>
      <w:r w:rsidR="00557DE0">
        <w:rPr>
          <w:lang w:eastAsia="fr-FR" w:bidi="he-IL"/>
        </w:rPr>
        <w:t>’</w:t>
      </w:r>
      <w:r w:rsidRPr="00C8701B">
        <w:rPr>
          <w:lang w:eastAsia="fr-FR" w:bidi="he-IL"/>
        </w:rPr>
        <w:t xml:space="preserve">abîme. </w:t>
      </w:r>
      <w:r w:rsidR="00C14040" w:rsidRPr="000716BB">
        <w:rPr>
          <w:lang w:eastAsia="fr-FR" w:bidi="he-IL"/>
        </w:rPr>
        <w:t>{</w:t>
      </w:r>
      <w:r w:rsidR="00C14040">
        <w:rPr>
          <w:lang w:eastAsia="fr-FR" w:bidi="he-IL"/>
        </w:rPr>
        <w:t>119</w:t>
      </w:r>
      <w:bookmarkStart w:id="182" w:name="pag119"/>
      <w:bookmarkEnd w:id="182"/>
      <w:r w:rsidR="00C14040" w:rsidRPr="000716BB">
        <w:rPr>
          <w:lang w:eastAsia="fr-FR" w:bidi="he-IL"/>
        </w:rPr>
        <w:t xml:space="preserve">} </w:t>
      </w:r>
      <w:r w:rsidRPr="00C8701B">
        <w:rPr>
          <w:lang w:eastAsia="fr-FR" w:bidi="he-IL"/>
        </w:rPr>
        <w:t>Chantez les louanges du Seigneur</w:t>
      </w:r>
      <w:r w:rsidR="00E65435">
        <w:rPr>
          <w:lang w:eastAsia="fr-FR" w:bidi="he-IL"/>
        </w:rPr>
        <w:t xml:space="preserve">, </w:t>
      </w:r>
      <w:r w:rsidRPr="00C8701B">
        <w:rPr>
          <w:lang w:eastAsia="fr-FR" w:bidi="he-IL"/>
        </w:rPr>
        <w:t>vous tous qui êtes ses Saints... Et tous les Saints de Dieu</w:t>
      </w:r>
      <w:r w:rsidR="00E65435">
        <w:rPr>
          <w:lang w:eastAsia="fr-FR" w:bidi="he-IL"/>
        </w:rPr>
        <w:t xml:space="preserve">, </w:t>
      </w:r>
      <w:r w:rsidRPr="00C8701B">
        <w:rPr>
          <w:lang w:eastAsia="fr-FR" w:bidi="he-IL"/>
        </w:rPr>
        <w:t>se prosternant pareillement aux ge</w:t>
      </w:r>
      <w:r w:rsidR="0086296F">
        <w:rPr>
          <w:lang w:eastAsia="fr-FR" w:bidi="he-IL"/>
        </w:rPr>
        <w:t xml:space="preserve">noux </w:t>
      </w:r>
      <w:r w:rsidRPr="00C8701B">
        <w:rPr>
          <w:lang w:eastAsia="fr-FR" w:bidi="he-IL"/>
        </w:rPr>
        <w:t>du Seigneur</w:t>
      </w:r>
      <w:r w:rsidR="00E65435">
        <w:rPr>
          <w:lang w:eastAsia="fr-FR" w:bidi="he-IL"/>
        </w:rPr>
        <w:t xml:space="preserve">, </w:t>
      </w:r>
      <w:r w:rsidRPr="00C8701B">
        <w:rPr>
          <w:lang w:eastAsia="fr-FR" w:bidi="he-IL"/>
        </w:rPr>
        <w:t>dirent d</w:t>
      </w:r>
      <w:r w:rsidR="00557DE0">
        <w:rPr>
          <w:lang w:eastAsia="fr-FR" w:bidi="he-IL"/>
        </w:rPr>
        <w:t>’</w:t>
      </w:r>
      <w:r w:rsidRPr="00C8701B">
        <w:rPr>
          <w:lang w:eastAsia="fr-FR" w:bidi="he-IL"/>
        </w:rPr>
        <w:t>une voix unanime</w:t>
      </w:r>
      <w:r w:rsidR="00C2602D" w:rsidRPr="00C8701B">
        <w:rPr>
          <w:lang w:eastAsia="fr-FR" w:bidi="he-IL"/>
        </w:rPr>
        <w:t> :</w:t>
      </w:r>
      <w:r w:rsidR="0086296F">
        <w:rPr>
          <w:lang w:eastAsia="fr-FR" w:bidi="he-IL"/>
        </w:rPr>
        <w:t xml:space="preserve"> Tu es ve</w:t>
      </w:r>
      <w:r w:rsidRPr="00C8701B">
        <w:rPr>
          <w:lang w:eastAsia="fr-FR" w:bidi="he-IL"/>
        </w:rPr>
        <w:t>nu</w:t>
      </w:r>
      <w:r w:rsidR="00E65435">
        <w:rPr>
          <w:lang w:eastAsia="fr-FR" w:bidi="he-IL"/>
        </w:rPr>
        <w:t xml:space="preserve">, </w:t>
      </w:r>
      <w:r w:rsidRPr="00C8701B">
        <w:rPr>
          <w:lang w:eastAsia="fr-FR" w:bidi="he-IL"/>
        </w:rPr>
        <w:t>Rédempteur du monde</w:t>
      </w:r>
      <w:r w:rsidR="00E65435">
        <w:rPr>
          <w:lang w:eastAsia="fr-FR" w:bidi="he-IL"/>
        </w:rPr>
        <w:t xml:space="preserve">, </w:t>
      </w:r>
      <w:r w:rsidRPr="00C8701B">
        <w:rPr>
          <w:lang w:eastAsia="fr-FR" w:bidi="he-IL"/>
        </w:rPr>
        <w:t>et tu as accompli ce que tu avais prédit par la loi et par les prophètes. Tu as racheté les vivants par ta croix</w:t>
      </w:r>
      <w:r w:rsidR="00E65435">
        <w:rPr>
          <w:lang w:eastAsia="fr-FR" w:bidi="he-IL"/>
        </w:rPr>
        <w:t xml:space="preserve">, </w:t>
      </w:r>
      <w:r w:rsidRPr="00C8701B">
        <w:rPr>
          <w:lang w:eastAsia="fr-FR" w:bidi="he-IL"/>
        </w:rPr>
        <w:t>et</w:t>
      </w:r>
      <w:r w:rsidR="00E65435">
        <w:rPr>
          <w:lang w:eastAsia="fr-FR" w:bidi="he-IL"/>
        </w:rPr>
        <w:t xml:space="preserve">, </w:t>
      </w:r>
      <w:r w:rsidRPr="00C8701B">
        <w:rPr>
          <w:lang w:eastAsia="fr-FR" w:bidi="he-IL"/>
        </w:rPr>
        <w:t>par la mort de la croix</w:t>
      </w:r>
      <w:r w:rsidR="00E65435">
        <w:rPr>
          <w:lang w:eastAsia="fr-FR" w:bidi="he-IL"/>
        </w:rPr>
        <w:t xml:space="preserve">, </w:t>
      </w:r>
      <w:r w:rsidRPr="00C8701B">
        <w:rPr>
          <w:lang w:eastAsia="fr-FR" w:bidi="he-IL"/>
        </w:rPr>
        <w:t>tu es descendu vers nous pour nous arracher des enfers et de la mort par ta majesté. Seigneur</w:t>
      </w:r>
      <w:r w:rsidR="00E65435">
        <w:rPr>
          <w:lang w:eastAsia="fr-FR" w:bidi="he-IL"/>
        </w:rPr>
        <w:t xml:space="preserve">, </w:t>
      </w:r>
      <w:r w:rsidR="00557FD3">
        <w:rPr>
          <w:lang w:eastAsia="fr-FR" w:bidi="he-IL"/>
        </w:rPr>
        <w:t>ainsi que tu as placé</w:t>
      </w:r>
      <w:r w:rsidRPr="00C8701B">
        <w:rPr>
          <w:lang w:eastAsia="fr-FR" w:bidi="he-IL"/>
        </w:rPr>
        <w:t xml:space="preserve"> le titre de ta gloire dans le ciel</w:t>
      </w:r>
      <w:r w:rsidR="00E65435">
        <w:rPr>
          <w:lang w:eastAsia="fr-FR" w:bidi="he-IL"/>
        </w:rPr>
        <w:t xml:space="preserve">, </w:t>
      </w:r>
      <w:r w:rsidRPr="00C8701B">
        <w:rPr>
          <w:lang w:eastAsia="fr-FR" w:bidi="he-IL"/>
        </w:rPr>
        <w:t xml:space="preserve">et que tu as élevé le titre de la </w:t>
      </w:r>
      <w:r w:rsidR="00557FD3" w:rsidRPr="00C8701B">
        <w:rPr>
          <w:lang w:eastAsia="fr-FR" w:bidi="he-IL"/>
        </w:rPr>
        <w:t>rédemption</w:t>
      </w:r>
      <w:r w:rsidR="00E65435">
        <w:rPr>
          <w:lang w:eastAsia="fr-FR" w:bidi="he-IL"/>
        </w:rPr>
        <w:t xml:space="preserve">, </w:t>
      </w:r>
      <w:r w:rsidRPr="00C8701B">
        <w:rPr>
          <w:lang w:eastAsia="fr-FR" w:bidi="he-IL"/>
        </w:rPr>
        <w:t>ta croix</w:t>
      </w:r>
      <w:r w:rsidR="00E65435">
        <w:rPr>
          <w:lang w:eastAsia="fr-FR" w:bidi="he-IL"/>
        </w:rPr>
        <w:t xml:space="preserve">, </w:t>
      </w:r>
      <w:r w:rsidRPr="00C8701B">
        <w:rPr>
          <w:lang w:eastAsia="fr-FR" w:bidi="he-IL"/>
        </w:rPr>
        <w:t>sur la terre</w:t>
      </w:r>
      <w:r w:rsidR="00C2602D" w:rsidRPr="00C8701B">
        <w:rPr>
          <w:lang w:eastAsia="fr-FR" w:bidi="he-IL"/>
        </w:rPr>
        <w:t> </w:t>
      </w:r>
      <w:r w:rsidR="007F6508">
        <w:rPr>
          <w:lang w:eastAsia="fr-FR" w:bidi="he-IL"/>
        </w:rPr>
        <w:t xml:space="preserve">; </w:t>
      </w:r>
      <w:r w:rsidRPr="00C8701B">
        <w:rPr>
          <w:lang w:eastAsia="fr-FR" w:bidi="he-IL"/>
        </w:rPr>
        <w:t>de même</w:t>
      </w:r>
      <w:r w:rsidR="00E65435">
        <w:rPr>
          <w:lang w:eastAsia="fr-FR" w:bidi="he-IL"/>
        </w:rPr>
        <w:t xml:space="preserve">, </w:t>
      </w:r>
      <w:r w:rsidRPr="00C8701B">
        <w:rPr>
          <w:lang w:eastAsia="fr-FR" w:bidi="he-IL"/>
        </w:rPr>
        <w:t>Seigneur</w:t>
      </w:r>
      <w:r w:rsidR="00E65435">
        <w:rPr>
          <w:lang w:eastAsia="fr-FR" w:bidi="he-IL"/>
        </w:rPr>
        <w:t xml:space="preserve">, </w:t>
      </w:r>
      <w:r w:rsidRPr="00C8701B">
        <w:rPr>
          <w:lang w:eastAsia="fr-FR" w:bidi="he-IL"/>
        </w:rPr>
        <w:t>place dans l</w:t>
      </w:r>
      <w:r w:rsidR="00557DE0">
        <w:rPr>
          <w:lang w:eastAsia="fr-FR" w:bidi="he-IL"/>
        </w:rPr>
        <w:t>’</w:t>
      </w:r>
      <w:r w:rsidRPr="00C8701B">
        <w:rPr>
          <w:lang w:eastAsia="fr-FR" w:bidi="he-IL"/>
        </w:rPr>
        <w:t>enfer le signe de la victoire de ta croix</w:t>
      </w:r>
      <w:r w:rsidR="00E65435">
        <w:rPr>
          <w:lang w:eastAsia="fr-FR" w:bidi="he-IL"/>
        </w:rPr>
        <w:t xml:space="preserve">, </w:t>
      </w:r>
      <w:r w:rsidRPr="00C8701B">
        <w:rPr>
          <w:lang w:eastAsia="fr-FR" w:bidi="he-IL"/>
        </w:rPr>
        <w:t>afin que la mort ne domine plus. Et le Seigneur</w:t>
      </w:r>
      <w:r w:rsidR="00E65435">
        <w:rPr>
          <w:lang w:eastAsia="fr-FR" w:bidi="he-IL"/>
        </w:rPr>
        <w:t xml:space="preserve">, </w:t>
      </w:r>
      <w:r w:rsidRPr="00C8701B">
        <w:rPr>
          <w:lang w:eastAsia="fr-FR" w:bidi="he-IL"/>
        </w:rPr>
        <w:t>étendant sa main</w:t>
      </w:r>
      <w:r w:rsidR="00E65435">
        <w:rPr>
          <w:lang w:eastAsia="fr-FR" w:bidi="he-IL"/>
        </w:rPr>
        <w:t xml:space="preserve">, </w:t>
      </w:r>
      <w:r w:rsidRPr="00C8701B">
        <w:rPr>
          <w:lang w:eastAsia="fr-FR" w:bidi="he-IL"/>
        </w:rPr>
        <w:t>fit un signe de croix sur Adam et sur tous ses Saints</w:t>
      </w:r>
      <w:r w:rsidR="00E65435">
        <w:rPr>
          <w:lang w:eastAsia="fr-FR" w:bidi="he-IL"/>
        </w:rPr>
        <w:t xml:space="preserve">, </w:t>
      </w:r>
      <w:r w:rsidR="00557FD3">
        <w:rPr>
          <w:lang w:eastAsia="fr-FR" w:bidi="he-IL"/>
        </w:rPr>
        <w:t>et</w:t>
      </w:r>
      <w:r w:rsidR="00E65435">
        <w:rPr>
          <w:lang w:eastAsia="fr-FR" w:bidi="he-IL"/>
        </w:rPr>
        <w:t xml:space="preserve">, </w:t>
      </w:r>
      <w:r w:rsidRPr="00C8701B">
        <w:rPr>
          <w:lang w:eastAsia="fr-FR" w:bidi="he-IL"/>
        </w:rPr>
        <w:t>tenant la main droite d</w:t>
      </w:r>
      <w:r w:rsidR="00557DE0">
        <w:rPr>
          <w:lang w:eastAsia="fr-FR" w:bidi="he-IL"/>
        </w:rPr>
        <w:t>’</w:t>
      </w:r>
      <w:r w:rsidRPr="00C8701B">
        <w:rPr>
          <w:lang w:eastAsia="fr-FR" w:bidi="he-IL"/>
        </w:rPr>
        <w:t>Adam</w:t>
      </w:r>
      <w:r w:rsidR="00E65435">
        <w:rPr>
          <w:lang w:eastAsia="fr-FR" w:bidi="he-IL"/>
        </w:rPr>
        <w:t xml:space="preserve">, </w:t>
      </w:r>
      <w:r w:rsidRPr="00C8701B">
        <w:rPr>
          <w:lang w:eastAsia="fr-FR" w:bidi="he-IL"/>
        </w:rPr>
        <w:t>il s</w:t>
      </w:r>
      <w:r w:rsidR="00557DE0">
        <w:rPr>
          <w:lang w:eastAsia="fr-FR" w:bidi="he-IL"/>
        </w:rPr>
        <w:t>’</w:t>
      </w:r>
      <w:r w:rsidRPr="00C8701B">
        <w:rPr>
          <w:lang w:eastAsia="fr-FR" w:bidi="he-IL"/>
        </w:rPr>
        <w:t>éleva des enfers. Et tous les Saints le suivirent. Alors le prophète David s</w:t>
      </w:r>
      <w:r w:rsidR="00557DE0">
        <w:rPr>
          <w:lang w:eastAsia="fr-FR" w:bidi="he-IL"/>
        </w:rPr>
        <w:t>’</w:t>
      </w:r>
      <w:r w:rsidRPr="00C8701B">
        <w:rPr>
          <w:lang w:eastAsia="fr-FR" w:bidi="he-IL"/>
        </w:rPr>
        <w:t>écria avec force</w:t>
      </w:r>
      <w:r w:rsidR="00C2602D" w:rsidRPr="00C8701B">
        <w:rPr>
          <w:lang w:eastAsia="fr-FR" w:bidi="he-IL"/>
        </w:rPr>
        <w:t> :</w:t>
      </w:r>
      <w:r w:rsidRPr="00C8701B">
        <w:rPr>
          <w:lang w:eastAsia="fr-FR" w:bidi="he-IL"/>
        </w:rPr>
        <w:t xml:space="preserve"> Chant</w:t>
      </w:r>
      <w:r w:rsidR="00557FD3">
        <w:rPr>
          <w:lang w:eastAsia="fr-FR" w:bidi="he-IL"/>
        </w:rPr>
        <w:t xml:space="preserve">ez au </w:t>
      </w:r>
      <w:r w:rsidRPr="00C8701B">
        <w:rPr>
          <w:lang w:eastAsia="fr-FR" w:bidi="he-IL"/>
        </w:rPr>
        <w:t>Seigneur un cantique nouveau</w:t>
      </w:r>
      <w:r w:rsidR="00E65435">
        <w:rPr>
          <w:lang w:eastAsia="fr-FR" w:bidi="he-IL"/>
        </w:rPr>
        <w:t xml:space="preserve">, </w:t>
      </w:r>
      <w:r w:rsidRPr="00C8701B">
        <w:rPr>
          <w:lang w:eastAsia="fr-FR" w:bidi="he-IL"/>
        </w:rPr>
        <w:t>ca</w:t>
      </w:r>
      <w:r w:rsidR="005069E2" w:rsidRPr="00C8701B">
        <w:rPr>
          <w:lang w:eastAsia="fr-FR" w:bidi="he-IL"/>
        </w:rPr>
        <w:t>r</w:t>
      </w:r>
      <w:r w:rsidR="005069E2">
        <w:rPr>
          <w:lang w:eastAsia="fr-FR" w:bidi="he-IL"/>
        </w:rPr>
        <w:t xml:space="preserve"> il </w:t>
      </w:r>
      <w:r w:rsidR="005069E2" w:rsidRPr="00C8701B">
        <w:rPr>
          <w:lang w:eastAsia="fr-FR" w:bidi="he-IL"/>
        </w:rPr>
        <w:t>a</w:t>
      </w:r>
      <w:r w:rsidRPr="00C8701B">
        <w:rPr>
          <w:lang w:eastAsia="fr-FR" w:bidi="he-IL"/>
        </w:rPr>
        <w:t xml:space="preserve"> </w:t>
      </w:r>
      <w:r w:rsidR="00557FD3">
        <w:rPr>
          <w:lang w:eastAsia="fr-FR" w:bidi="he-IL"/>
        </w:rPr>
        <w:t>f</w:t>
      </w:r>
      <w:r w:rsidRPr="00C8701B">
        <w:rPr>
          <w:lang w:eastAsia="fr-FR" w:bidi="he-IL"/>
        </w:rPr>
        <w:t>ait des choses admirables. Sa d</w:t>
      </w:r>
      <w:r w:rsidR="00557FD3">
        <w:rPr>
          <w:lang w:eastAsia="fr-FR" w:bidi="he-IL"/>
        </w:rPr>
        <w:t>roite et son bras nous ont sauvé</w:t>
      </w:r>
      <w:r w:rsidRPr="00C8701B">
        <w:rPr>
          <w:lang w:eastAsia="fr-FR" w:bidi="he-IL"/>
        </w:rPr>
        <w:t>s.</w:t>
      </w:r>
      <w:r w:rsidRPr="00557FD3">
        <w:t xml:space="preserve"> Et toute la multitude des Saints </w:t>
      </w:r>
      <w:r w:rsidRPr="00C8701B">
        <w:rPr>
          <w:lang w:eastAsia="fr-FR" w:bidi="he-IL"/>
        </w:rPr>
        <w:t>répondit</w:t>
      </w:r>
      <w:r w:rsidR="00E65435">
        <w:rPr>
          <w:lang w:eastAsia="fr-FR" w:bidi="he-IL"/>
        </w:rPr>
        <w:t xml:space="preserve">, </w:t>
      </w:r>
      <w:r w:rsidRPr="00C8701B">
        <w:rPr>
          <w:lang w:eastAsia="fr-FR" w:bidi="he-IL"/>
        </w:rPr>
        <w:t>en disant</w:t>
      </w:r>
      <w:r w:rsidR="00C2602D" w:rsidRPr="00C8701B">
        <w:rPr>
          <w:lang w:eastAsia="fr-FR" w:bidi="he-IL"/>
        </w:rPr>
        <w:t> :</w:t>
      </w:r>
      <w:r w:rsidR="00557FD3">
        <w:rPr>
          <w:lang w:eastAsia="fr-FR" w:bidi="he-IL"/>
        </w:rPr>
        <w:t xml:space="preserve"> Cette gloire e</w:t>
      </w:r>
      <w:r w:rsidRPr="00C8701B">
        <w:rPr>
          <w:lang w:eastAsia="fr-FR" w:bidi="he-IL"/>
        </w:rPr>
        <w:t>st à tous les Saints. Ainsi soit-il. Louez Dieu. Et alors le prophète Habacuc s</w:t>
      </w:r>
      <w:r w:rsidR="00557DE0">
        <w:rPr>
          <w:lang w:eastAsia="fr-FR" w:bidi="he-IL"/>
        </w:rPr>
        <w:t>’</w:t>
      </w:r>
      <w:r w:rsidRPr="00C8701B">
        <w:rPr>
          <w:lang w:eastAsia="fr-FR" w:bidi="he-IL"/>
        </w:rPr>
        <w:t>écria</w:t>
      </w:r>
      <w:r w:rsidR="00E65435">
        <w:rPr>
          <w:lang w:eastAsia="fr-FR" w:bidi="he-IL"/>
        </w:rPr>
        <w:t xml:space="preserve">, </w:t>
      </w:r>
      <w:r w:rsidRPr="00C8701B">
        <w:rPr>
          <w:lang w:eastAsia="fr-FR" w:bidi="he-IL"/>
        </w:rPr>
        <w:t>disant</w:t>
      </w:r>
      <w:r w:rsidR="00C2602D" w:rsidRPr="00C8701B">
        <w:rPr>
          <w:lang w:eastAsia="fr-FR" w:bidi="he-IL"/>
        </w:rPr>
        <w:t> :</w:t>
      </w:r>
      <w:r w:rsidR="00557FD3">
        <w:rPr>
          <w:lang w:eastAsia="fr-FR" w:bidi="he-IL"/>
        </w:rPr>
        <w:t xml:space="preserve"> Tu es</w:t>
      </w:r>
      <w:r w:rsidRPr="00C8701B">
        <w:rPr>
          <w:lang w:eastAsia="fr-FR" w:bidi="he-IL"/>
        </w:rPr>
        <w:t xml:space="preserve"> sorti pour le salut de ton peuple</w:t>
      </w:r>
      <w:r w:rsidR="00E65435">
        <w:rPr>
          <w:lang w:eastAsia="fr-FR" w:bidi="he-IL"/>
        </w:rPr>
        <w:t xml:space="preserve">, </w:t>
      </w:r>
      <w:r w:rsidRPr="00C8701B">
        <w:rPr>
          <w:lang w:eastAsia="fr-FR" w:bidi="he-IL"/>
        </w:rPr>
        <w:t>pour la délivrance de tes élus. Et tous les Saints répondirent</w:t>
      </w:r>
      <w:r w:rsidR="00E65435">
        <w:rPr>
          <w:lang w:eastAsia="fr-FR" w:bidi="he-IL"/>
        </w:rPr>
        <w:t xml:space="preserve">, </w:t>
      </w:r>
      <w:r w:rsidRPr="00C8701B">
        <w:rPr>
          <w:lang w:eastAsia="fr-FR" w:bidi="he-IL"/>
        </w:rPr>
        <w:t>disant</w:t>
      </w:r>
      <w:r w:rsidR="00C2602D" w:rsidRPr="00C8701B">
        <w:rPr>
          <w:lang w:eastAsia="fr-FR" w:bidi="he-IL"/>
        </w:rPr>
        <w:t> :</w:t>
      </w:r>
      <w:r w:rsidRPr="00C8701B">
        <w:rPr>
          <w:lang w:eastAsia="fr-FR" w:bidi="he-IL"/>
        </w:rPr>
        <w:t xml:space="preserve"> Béni celui qui vient au nom du Seigneur</w:t>
      </w:r>
      <w:r w:rsidR="00E65435">
        <w:rPr>
          <w:lang w:eastAsia="fr-FR" w:bidi="he-IL"/>
        </w:rPr>
        <w:t xml:space="preserve">, </w:t>
      </w:r>
      <w:r w:rsidRPr="00C8701B">
        <w:rPr>
          <w:lang w:eastAsia="fr-FR" w:bidi="he-IL"/>
        </w:rPr>
        <w:t>le Seigneur Dieu</w:t>
      </w:r>
      <w:r w:rsidR="00E65435">
        <w:rPr>
          <w:lang w:eastAsia="fr-FR" w:bidi="he-IL"/>
        </w:rPr>
        <w:t xml:space="preserve">, </w:t>
      </w:r>
      <w:r w:rsidRPr="00C8701B">
        <w:rPr>
          <w:lang w:eastAsia="fr-FR" w:bidi="he-IL"/>
        </w:rPr>
        <w:t>et qui nous éclaire. Pareillement le prophète Michée s</w:t>
      </w:r>
      <w:r w:rsidR="00557DE0">
        <w:rPr>
          <w:lang w:eastAsia="fr-FR" w:bidi="he-IL"/>
        </w:rPr>
        <w:t>’</w:t>
      </w:r>
      <w:r w:rsidRPr="00C8701B">
        <w:rPr>
          <w:lang w:eastAsia="fr-FR" w:bidi="he-IL"/>
        </w:rPr>
        <w:t>écria</w:t>
      </w:r>
      <w:r w:rsidR="00E65435">
        <w:rPr>
          <w:lang w:eastAsia="fr-FR" w:bidi="he-IL"/>
        </w:rPr>
        <w:t xml:space="preserve">, </w:t>
      </w:r>
      <w:r w:rsidRPr="00C8701B">
        <w:rPr>
          <w:lang w:eastAsia="fr-FR" w:bidi="he-IL"/>
        </w:rPr>
        <w:t>disant</w:t>
      </w:r>
      <w:r w:rsidR="00C2602D" w:rsidRPr="00C8701B">
        <w:rPr>
          <w:lang w:eastAsia="fr-FR" w:bidi="he-IL"/>
        </w:rPr>
        <w:t> :</w:t>
      </w:r>
      <w:r w:rsidRPr="00C8701B">
        <w:rPr>
          <w:lang w:eastAsia="fr-FR" w:bidi="he-IL"/>
        </w:rPr>
        <w:t xml:space="preserve"> Quel Dieu y a-t-il comme toi</w:t>
      </w:r>
      <w:r w:rsidR="00E65435">
        <w:rPr>
          <w:lang w:eastAsia="fr-FR" w:bidi="he-IL"/>
        </w:rPr>
        <w:t xml:space="preserve">, </w:t>
      </w:r>
      <w:r w:rsidRPr="00C8701B">
        <w:rPr>
          <w:lang w:eastAsia="fr-FR" w:bidi="he-IL"/>
        </w:rPr>
        <w:t>Seigneur</w:t>
      </w:r>
      <w:r w:rsidR="00E65435">
        <w:rPr>
          <w:lang w:eastAsia="fr-FR" w:bidi="he-IL"/>
        </w:rPr>
        <w:t xml:space="preserve">, </w:t>
      </w:r>
      <w:r w:rsidRPr="00C8701B">
        <w:rPr>
          <w:lang w:eastAsia="fr-FR" w:bidi="he-IL"/>
        </w:rPr>
        <w:t>ôtant les iniquités et effaçant les péchés... Tu as eu pitié de nous et tu nous as absous de nos péchés</w:t>
      </w:r>
      <w:r w:rsidR="00E65435">
        <w:rPr>
          <w:lang w:eastAsia="fr-FR" w:bidi="he-IL"/>
        </w:rPr>
        <w:t xml:space="preserve">, </w:t>
      </w:r>
      <w:r w:rsidR="00557FD3">
        <w:rPr>
          <w:lang w:eastAsia="fr-FR" w:bidi="he-IL"/>
        </w:rPr>
        <w:t>et tu as plongé</w:t>
      </w:r>
      <w:r w:rsidRPr="00C8701B">
        <w:rPr>
          <w:lang w:eastAsia="fr-FR" w:bidi="he-IL"/>
        </w:rPr>
        <w:t xml:space="preserve"> toutes nos iniquités dans l</w:t>
      </w:r>
      <w:r w:rsidR="00557DE0">
        <w:rPr>
          <w:lang w:eastAsia="fr-FR" w:bidi="he-IL"/>
        </w:rPr>
        <w:t>’</w:t>
      </w:r>
      <w:r w:rsidRPr="00C8701B">
        <w:rPr>
          <w:lang w:eastAsia="fr-FR" w:bidi="he-IL"/>
        </w:rPr>
        <w:t>abîme de la mort</w:t>
      </w:r>
      <w:r w:rsidR="00E65435">
        <w:rPr>
          <w:lang w:eastAsia="fr-FR" w:bidi="he-IL"/>
        </w:rPr>
        <w:t xml:space="preserve">, </w:t>
      </w:r>
      <w:r w:rsidRPr="00C8701B">
        <w:rPr>
          <w:lang w:eastAsia="fr-FR" w:bidi="he-IL"/>
        </w:rPr>
        <w:t>ainsi que tu l</w:t>
      </w:r>
      <w:r w:rsidR="00557DE0">
        <w:rPr>
          <w:lang w:eastAsia="fr-FR" w:bidi="he-IL"/>
        </w:rPr>
        <w:t>’</w:t>
      </w:r>
      <w:r w:rsidR="00557FD3">
        <w:rPr>
          <w:lang w:eastAsia="fr-FR" w:bidi="he-IL"/>
        </w:rPr>
        <w:t>avais juré</w:t>
      </w:r>
      <w:r w:rsidRPr="00C8701B">
        <w:rPr>
          <w:lang w:eastAsia="fr-FR" w:bidi="he-IL"/>
        </w:rPr>
        <w:t xml:space="preserve"> </w:t>
      </w:r>
      <w:r w:rsidR="00206537">
        <w:rPr>
          <w:lang w:eastAsia="fr-FR" w:bidi="he-IL"/>
        </w:rPr>
        <w:t>à</w:t>
      </w:r>
      <w:r w:rsidRPr="00C8701B">
        <w:rPr>
          <w:lang w:eastAsia="fr-FR" w:bidi="he-IL"/>
        </w:rPr>
        <w:t xml:space="preserve"> nos pères... Et tous les Saints répondirent</w:t>
      </w:r>
      <w:r w:rsidR="00C2602D" w:rsidRPr="00C8701B">
        <w:rPr>
          <w:lang w:eastAsia="fr-FR" w:bidi="he-IL"/>
        </w:rPr>
        <w:t> :</w:t>
      </w:r>
      <w:r w:rsidR="00557FD3">
        <w:rPr>
          <w:lang w:eastAsia="fr-FR" w:bidi="he-IL"/>
        </w:rPr>
        <w:t xml:space="preserve"> Il</w:t>
      </w:r>
      <w:r w:rsidRPr="00C8701B">
        <w:rPr>
          <w:lang w:eastAsia="fr-FR" w:bidi="he-IL"/>
        </w:rPr>
        <w:t xml:space="preserve"> est notre Dieu à jamais</w:t>
      </w:r>
      <w:r w:rsidR="00E65435">
        <w:rPr>
          <w:lang w:eastAsia="fr-FR" w:bidi="he-IL"/>
        </w:rPr>
        <w:t xml:space="preserve">, </w:t>
      </w:r>
      <w:r w:rsidRPr="00C8701B">
        <w:rPr>
          <w:lang w:eastAsia="fr-FR" w:bidi="he-IL"/>
        </w:rPr>
        <w:t xml:space="preserve">et pour les </w:t>
      </w:r>
      <w:r w:rsidR="00AC1A55">
        <w:rPr>
          <w:lang w:eastAsia="fr-FR" w:bidi="he-IL"/>
        </w:rPr>
        <w:t>siècl</w:t>
      </w:r>
      <w:r w:rsidRPr="00C8701B">
        <w:rPr>
          <w:lang w:eastAsia="fr-FR" w:bidi="he-IL"/>
        </w:rPr>
        <w:t>es siècles</w:t>
      </w:r>
      <w:r w:rsidR="00E65435">
        <w:rPr>
          <w:lang w:eastAsia="fr-FR" w:bidi="he-IL"/>
        </w:rPr>
        <w:t xml:space="preserve">, </w:t>
      </w:r>
      <w:r w:rsidRPr="00C8701B">
        <w:rPr>
          <w:lang w:eastAsia="fr-FR" w:bidi="he-IL"/>
        </w:rPr>
        <w:t>il nous régira dans tous les siècles. Ainsi</w:t>
      </w:r>
      <w:r w:rsidR="00557FD3">
        <w:rPr>
          <w:lang w:eastAsia="fr-FR" w:bidi="he-IL"/>
        </w:rPr>
        <w:t xml:space="preserve"> </w:t>
      </w:r>
      <w:r w:rsidRPr="00C8701B">
        <w:rPr>
          <w:lang w:eastAsia="fr-FR" w:bidi="he-IL"/>
        </w:rPr>
        <w:t>soit-il. Louez Dieu. Et de même tous les prophètes</w:t>
      </w:r>
      <w:r w:rsidR="00E65435">
        <w:rPr>
          <w:lang w:eastAsia="fr-FR" w:bidi="he-IL"/>
        </w:rPr>
        <w:t xml:space="preserve">, </w:t>
      </w:r>
      <w:r w:rsidRPr="00C8701B">
        <w:rPr>
          <w:lang w:eastAsia="fr-FR" w:bidi="he-IL"/>
        </w:rPr>
        <w:t xml:space="preserve">récitant des passages </w:t>
      </w:r>
      <w:r w:rsidR="00557FD3">
        <w:rPr>
          <w:lang w:eastAsia="fr-FR" w:bidi="he-IL"/>
        </w:rPr>
        <w:t>de leurs anciens chants consacré</w:t>
      </w:r>
      <w:r w:rsidRPr="00C8701B">
        <w:rPr>
          <w:lang w:eastAsia="fr-FR" w:bidi="he-IL"/>
        </w:rPr>
        <w:t>s à la louange du Seigneur</w:t>
      </w:r>
      <w:r w:rsidR="00E65435">
        <w:rPr>
          <w:lang w:eastAsia="fr-FR" w:bidi="he-IL"/>
        </w:rPr>
        <w:t xml:space="preserve">, </w:t>
      </w:r>
      <w:r w:rsidRPr="00C8701B">
        <w:rPr>
          <w:lang w:eastAsia="fr-FR" w:bidi="he-IL"/>
        </w:rPr>
        <w:t>et tous les Saints.</w:t>
      </w:r>
      <w:r w:rsidR="0040307B" w:rsidRPr="00C8701B">
        <w:rPr>
          <w:lang w:eastAsia="fr-FR" w:bidi="he-IL"/>
        </w:rPr>
        <w:t xml:space="preserve"> </w:t>
      </w:r>
    </w:p>
    <w:p w:rsidR="00C2602D" w:rsidRPr="00C8701B" w:rsidRDefault="00557FD3" w:rsidP="00557FD3">
      <w:pPr>
        <w:pStyle w:val="locus"/>
        <w:rPr>
          <w:lang w:eastAsia="fr-FR" w:bidi="he-IL"/>
        </w:rPr>
      </w:pPr>
      <w:r>
        <w:rPr>
          <w:lang w:eastAsia="fr-FR" w:bidi="he-IL"/>
        </w:rPr>
        <w:t xml:space="preserve">Chapitre </w:t>
      </w:r>
      <w:r w:rsidR="0042479B">
        <w:rPr>
          <w:lang w:eastAsia="fr-FR" w:bidi="he-IL"/>
        </w:rPr>
        <w:t>X</w:t>
      </w:r>
      <w:r w:rsidR="00EF1E04">
        <w:rPr>
          <w:lang w:eastAsia="fr-FR" w:bidi="he-IL"/>
        </w:rPr>
        <w:t>XVI</w:t>
      </w:r>
      <w:r w:rsidR="00B704AD" w:rsidRPr="00C8701B">
        <w:rPr>
          <w:lang w:eastAsia="fr-FR" w:bidi="he-IL"/>
        </w:rPr>
        <w:t>.</w:t>
      </w:r>
      <w:r w:rsidR="000F7DAA">
        <w:rPr>
          <w:lang w:eastAsia="fr-FR" w:bidi="he-IL"/>
        </w:rPr>
        <w:t xml:space="preserve"> —</w:t>
      </w:r>
      <w:r w:rsidR="008D0642">
        <w:rPr>
          <w:lang w:eastAsia="fr-FR" w:bidi="he-IL"/>
        </w:rPr>
        <w:t xml:space="preserve"> </w:t>
      </w:r>
      <w:r w:rsidR="00B704AD" w:rsidRPr="00C8701B">
        <w:rPr>
          <w:lang w:eastAsia="fr-FR" w:bidi="he-IL"/>
        </w:rPr>
        <w:t>Et le Seigneur</w:t>
      </w:r>
      <w:r w:rsidR="00E65435">
        <w:rPr>
          <w:lang w:eastAsia="fr-FR" w:bidi="he-IL"/>
        </w:rPr>
        <w:t xml:space="preserve">, </w:t>
      </w:r>
      <w:r w:rsidR="00B704AD" w:rsidRPr="00C8701B">
        <w:rPr>
          <w:lang w:eastAsia="fr-FR" w:bidi="he-IL"/>
        </w:rPr>
        <w:t>tenant Adam p</w:t>
      </w:r>
      <w:r>
        <w:rPr>
          <w:lang w:eastAsia="fr-FR" w:bidi="he-IL"/>
        </w:rPr>
        <w:t>a</w:t>
      </w:r>
      <w:r w:rsidR="00B704AD" w:rsidRPr="00C8701B">
        <w:rPr>
          <w:lang w:eastAsia="fr-FR" w:bidi="he-IL"/>
        </w:rPr>
        <w:t>r la main</w:t>
      </w:r>
      <w:r w:rsidR="00E65435">
        <w:rPr>
          <w:lang w:eastAsia="fr-FR" w:bidi="he-IL"/>
        </w:rPr>
        <w:t xml:space="preserve">, </w:t>
      </w:r>
      <w:r>
        <w:rPr>
          <w:lang w:eastAsia="fr-FR" w:bidi="he-IL"/>
        </w:rPr>
        <w:t>le remit à</w:t>
      </w:r>
      <w:r w:rsidR="00B704AD" w:rsidRPr="00C8701B">
        <w:rPr>
          <w:lang w:eastAsia="fr-FR" w:bidi="he-IL"/>
        </w:rPr>
        <w:t xml:space="preserve"> Michel archange</w:t>
      </w:r>
      <w:r w:rsidR="00E65435">
        <w:rPr>
          <w:lang w:eastAsia="fr-FR" w:bidi="he-IL"/>
        </w:rPr>
        <w:t xml:space="preserve">, </w:t>
      </w:r>
      <w:r w:rsidR="00B704AD" w:rsidRPr="00C8701B">
        <w:rPr>
          <w:lang w:eastAsia="fr-FR" w:bidi="he-IL"/>
        </w:rPr>
        <w:t>et tous les Saints suivirent Michel. Il les introduisit tous dans la grâce glorieuse du paradis.</w:t>
      </w:r>
      <w:r w:rsidR="00C2602D" w:rsidRPr="00C8701B">
        <w:rPr>
          <w:lang w:eastAsia="fr-FR" w:bidi="he-IL"/>
        </w:rPr>
        <w:t xml:space="preserve"> </w:t>
      </w:r>
    </w:p>
    <w:p w:rsidR="00C2602D" w:rsidRPr="00C8701B" w:rsidRDefault="00557FD3" w:rsidP="00557FD3">
      <w:pPr>
        <w:rPr>
          <w:rFonts w:eastAsia="Arial Unicode MS"/>
          <w:bCs/>
          <w:lang w:eastAsia="fr-FR" w:bidi="he-IL"/>
        </w:rPr>
      </w:pPr>
      <w:r>
        <w:rPr>
          <w:rFonts w:eastAsia="Arial Unicode MS"/>
          <w:bCs/>
          <w:lang w:eastAsia="fr-FR" w:bidi="he-IL"/>
        </w:rPr>
        <w:t>β</w:t>
      </w:r>
      <w:r w:rsidR="00B704AD" w:rsidRPr="00C8701B">
        <w:rPr>
          <w:rFonts w:eastAsia="Arial Unicode MS"/>
          <w:bCs/>
          <w:lang w:val="el-GR" w:eastAsia="fr-FR" w:bidi="he-IL"/>
        </w:rPr>
        <w:t>.</w:t>
      </w:r>
      <w:r w:rsidR="000F7DAA">
        <w:rPr>
          <w:rFonts w:eastAsia="Arial Unicode MS"/>
          <w:bCs/>
          <w:lang w:val="el-GR" w:eastAsia="fr-FR" w:bidi="he-IL"/>
        </w:rPr>
        <w:t xml:space="preserve"> —</w:t>
      </w:r>
      <w:r w:rsidR="008D0642">
        <w:rPr>
          <w:rFonts w:eastAsia="Arial Unicode MS"/>
          <w:bCs/>
          <w:lang w:eastAsia="fr-FR" w:bidi="he-IL"/>
        </w:rPr>
        <w:t xml:space="preserve"> </w:t>
      </w:r>
      <w:r>
        <w:rPr>
          <w:rFonts w:eastAsia="Arial Unicode MS"/>
          <w:bCs/>
          <w:lang w:eastAsia="fr-FR" w:bidi="he-IL"/>
        </w:rPr>
        <w:t>À</w:t>
      </w:r>
      <w:r w:rsidR="00B704AD" w:rsidRPr="00C8701B">
        <w:rPr>
          <w:rFonts w:eastAsia="Arial Unicode MS"/>
          <w:bCs/>
          <w:lang w:eastAsia="fr-FR" w:bidi="he-IL"/>
        </w:rPr>
        <w:t xml:space="preserve"> l</w:t>
      </w:r>
      <w:r w:rsidR="00557DE0">
        <w:rPr>
          <w:rFonts w:eastAsia="Arial Unicode MS"/>
          <w:bCs/>
          <w:lang w:eastAsia="fr-FR" w:bidi="he-IL"/>
        </w:rPr>
        <w:t>’</w:t>
      </w:r>
      <w:r w:rsidR="000439E9">
        <w:rPr>
          <w:rFonts w:eastAsia="Arial Unicode MS"/>
          <w:bCs/>
          <w:lang w:eastAsia="fr-FR" w:bidi="he-IL"/>
        </w:rPr>
        <w:t>Évangile</w:t>
      </w:r>
      <w:r w:rsidR="00B704AD" w:rsidRPr="00C8701B">
        <w:rPr>
          <w:rFonts w:eastAsia="Arial Unicode MS"/>
          <w:bCs/>
          <w:lang w:eastAsia="fr-FR" w:bidi="he-IL"/>
        </w:rPr>
        <w:t xml:space="preserve"> de Nicodème se rattachent diverses pièces d</w:t>
      </w:r>
      <w:r w:rsidR="00557DE0">
        <w:rPr>
          <w:rFonts w:eastAsia="Arial Unicode MS"/>
          <w:bCs/>
          <w:lang w:eastAsia="fr-FR" w:bidi="he-IL"/>
        </w:rPr>
        <w:t>’</w:t>
      </w:r>
      <w:r w:rsidR="00B704AD" w:rsidRPr="00C8701B">
        <w:rPr>
          <w:rFonts w:eastAsia="Arial Unicode MS"/>
          <w:bCs/>
          <w:lang w:eastAsia="fr-FR" w:bidi="he-IL"/>
        </w:rPr>
        <w:t>une</w:t>
      </w:r>
      <w:r>
        <w:rPr>
          <w:rFonts w:eastAsia="Arial Unicode MS"/>
          <w:bCs/>
          <w:lang w:eastAsia="fr-FR" w:bidi="he-IL"/>
        </w:rPr>
        <w:t xml:space="preserve"> m</w:t>
      </w:r>
      <w:r w:rsidR="00B704AD" w:rsidRPr="00C8701B">
        <w:rPr>
          <w:rFonts w:eastAsia="Arial Unicode MS"/>
          <w:bCs/>
          <w:lang w:eastAsia="fr-FR" w:bidi="he-IL"/>
        </w:rPr>
        <w:t>oindre importance et généralement assez courtes</w:t>
      </w:r>
      <w:r w:rsidR="00E65435">
        <w:rPr>
          <w:rFonts w:eastAsia="Arial Unicode MS"/>
          <w:bCs/>
          <w:lang w:eastAsia="fr-FR" w:bidi="he-IL"/>
        </w:rPr>
        <w:t xml:space="preserve">, </w:t>
      </w:r>
      <w:r w:rsidR="00B704AD" w:rsidRPr="00C8701B">
        <w:rPr>
          <w:rFonts w:eastAsia="Arial Unicode MS"/>
          <w:bCs/>
          <w:lang w:eastAsia="fr-FR" w:bidi="he-IL"/>
        </w:rPr>
        <w:t>Nous nous bornerons à en indiquer les titres et la substance</w:t>
      </w:r>
      <w:r w:rsidR="00C2602D" w:rsidRPr="00C8701B">
        <w:rPr>
          <w:rFonts w:eastAsia="Arial Unicode MS"/>
          <w:bCs/>
          <w:lang w:eastAsia="fr-FR" w:bidi="he-IL"/>
        </w:rPr>
        <w:t> :</w:t>
      </w:r>
      <w:r w:rsidR="00B704AD" w:rsidRPr="00C8701B">
        <w:rPr>
          <w:rFonts w:eastAsia="Arial Unicode MS"/>
          <w:bCs/>
          <w:lang w:eastAsia="fr-FR" w:bidi="he-IL"/>
        </w:rPr>
        <w:t xml:space="preserve"> 1° une</w:t>
      </w:r>
      <w:r>
        <w:rPr>
          <w:rStyle w:val="italicus"/>
        </w:rPr>
        <w:t xml:space="preserve"> Lettre de Pila</w:t>
      </w:r>
      <w:r w:rsidR="00B704AD" w:rsidRPr="00DC4586">
        <w:rPr>
          <w:rStyle w:val="italicus"/>
        </w:rPr>
        <w:t>te</w:t>
      </w:r>
      <w:r w:rsidR="00B704AD" w:rsidRPr="00C8701B">
        <w:rPr>
          <w:rFonts w:eastAsia="Arial Unicode MS"/>
          <w:bCs/>
          <w:lang w:eastAsia="fr-FR" w:bidi="he-IL"/>
        </w:rPr>
        <w:t xml:space="preserve"> à l</w:t>
      </w:r>
      <w:r w:rsidR="00557DE0">
        <w:rPr>
          <w:rFonts w:eastAsia="Arial Unicode MS"/>
          <w:bCs/>
          <w:lang w:eastAsia="fr-FR" w:bidi="he-IL"/>
        </w:rPr>
        <w:t>’</w:t>
      </w:r>
      <w:r>
        <w:rPr>
          <w:rFonts w:eastAsia="Arial Unicode MS"/>
          <w:bCs/>
          <w:lang w:eastAsia="fr-FR" w:bidi="he-IL"/>
        </w:rPr>
        <w:t>em</w:t>
      </w:r>
      <w:r w:rsidR="00B704AD" w:rsidRPr="00C8701B">
        <w:rPr>
          <w:rFonts w:eastAsia="Arial Unicode MS"/>
          <w:bCs/>
          <w:lang w:eastAsia="fr-FR" w:bidi="he-IL"/>
        </w:rPr>
        <w:t>pereur Claude (Tibère)</w:t>
      </w:r>
      <w:r w:rsidR="00E65435">
        <w:rPr>
          <w:rFonts w:eastAsia="Arial Unicode MS"/>
          <w:bCs/>
          <w:lang w:eastAsia="fr-FR" w:bidi="he-IL"/>
        </w:rPr>
        <w:t xml:space="preserve">, </w:t>
      </w:r>
      <w:r w:rsidR="00B704AD" w:rsidRPr="00C8701B">
        <w:rPr>
          <w:rFonts w:eastAsia="Arial Unicode MS"/>
          <w:bCs/>
          <w:lang w:eastAsia="fr-FR" w:bidi="he-IL"/>
        </w:rPr>
        <w:t>raconta</w:t>
      </w:r>
      <w:r>
        <w:rPr>
          <w:rFonts w:eastAsia="Arial Unicode MS"/>
          <w:bCs/>
          <w:lang w:eastAsia="fr-FR" w:bidi="he-IL"/>
        </w:rPr>
        <w:t>nt la mort et la résurrection de</w:t>
      </w:r>
      <w:r w:rsidR="00B704AD" w:rsidRPr="00C8701B">
        <w:rPr>
          <w:rFonts w:eastAsia="Arial Unicode MS"/>
          <w:bCs/>
          <w:lang w:eastAsia="fr-FR" w:bidi="he-IL"/>
        </w:rPr>
        <w:t xml:space="preserve"> Jésus</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2° une seconde</w:t>
      </w:r>
      <w:r w:rsidR="00B704AD" w:rsidRPr="00DC4586">
        <w:rPr>
          <w:rStyle w:val="italicus"/>
        </w:rPr>
        <w:t xml:space="preserve"> Lettre de Pilate</w:t>
      </w:r>
      <w:r>
        <w:rPr>
          <w:rStyle w:val="italicus"/>
        </w:rPr>
        <w:t xml:space="preserve"> </w:t>
      </w:r>
      <w:r w:rsidR="00B704AD" w:rsidRPr="00C8701B">
        <w:rPr>
          <w:rFonts w:eastAsia="Arial Unicode MS"/>
          <w:bCs/>
          <w:lang w:eastAsia="fr-FR" w:bidi="he-IL"/>
        </w:rPr>
        <w:t>à Tibère</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le</w:t>
      </w:r>
      <w:r w:rsidR="00B704AD" w:rsidRPr="00DC4586">
        <w:rPr>
          <w:rStyle w:val="italicus"/>
        </w:rPr>
        <w:t xml:space="preserve"> pro</w:t>
      </w:r>
      <w:r w:rsidR="00C21120" w:rsidRPr="00DC4586">
        <w:rPr>
          <w:rStyle w:val="italicus"/>
        </w:rPr>
        <w:t>cur</w:t>
      </w:r>
      <w:r w:rsidR="00C21120">
        <w:rPr>
          <w:rStyle w:val="italicus"/>
        </w:rPr>
        <w:t>á</w:t>
      </w:r>
      <w:r w:rsidR="00C21120" w:rsidRPr="00DC4586">
        <w:rPr>
          <w:rStyle w:val="italicus"/>
        </w:rPr>
        <w:t>tor</w:t>
      </w:r>
      <w:r w:rsidR="00B704AD" w:rsidRPr="00C8701B">
        <w:rPr>
          <w:rFonts w:eastAsia="Arial Unicode MS"/>
          <w:bCs/>
          <w:lang w:eastAsia="fr-FR" w:bidi="he-IL"/>
        </w:rPr>
        <w:t xml:space="preserve"> s</w:t>
      </w:r>
      <w:r w:rsidR="00557DE0">
        <w:rPr>
          <w:rFonts w:eastAsia="Arial Unicode MS"/>
          <w:bCs/>
          <w:lang w:eastAsia="fr-FR" w:bidi="he-IL"/>
        </w:rPr>
        <w:t>’</w:t>
      </w:r>
      <w:r w:rsidR="00B704AD" w:rsidRPr="00C8701B">
        <w:rPr>
          <w:rFonts w:eastAsia="Arial Unicode MS"/>
          <w:bCs/>
          <w:lang w:eastAsia="fr-FR" w:bidi="he-IL"/>
        </w:rPr>
        <w:t>excuse d</w:t>
      </w:r>
      <w:r w:rsidR="00557DE0">
        <w:rPr>
          <w:rFonts w:eastAsia="Arial Unicode MS"/>
          <w:bCs/>
          <w:lang w:eastAsia="fr-FR" w:bidi="he-IL"/>
        </w:rPr>
        <w:t>’</w:t>
      </w:r>
      <w:r>
        <w:rPr>
          <w:rFonts w:eastAsia="Arial Unicode MS"/>
          <w:bCs/>
          <w:lang w:eastAsia="fr-FR" w:bidi="he-IL"/>
        </w:rPr>
        <w:t>a</w:t>
      </w:r>
      <w:r w:rsidR="00B704AD" w:rsidRPr="00C8701B">
        <w:rPr>
          <w:rFonts w:eastAsia="Arial Unicode MS"/>
          <w:bCs/>
          <w:lang w:eastAsia="fr-FR" w:bidi="he-IL"/>
        </w:rPr>
        <w:t>voir condamné Jésus malgré son innocence</w:t>
      </w:r>
      <w:r w:rsidR="00E65435">
        <w:rPr>
          <w:rFonts w:eastAsia="Arial Unicode MS"/>
          <w:bCs/>
          <w:lang w:eastAsia="fr-FR" w:bidi="he-IL"/>
        </w:rPr>
        <w:t xml:space="preserve">, </w:t>
      </w:r>
      <w:r w:rsidR="00B704AD" w:rsidRPr="00C8701B">
        <w:rPr>
          <w:rFonts w:eastAsia="Arial Unicode MS"/>
          <w:bCs/>
          <w:lang w:eastAsia="fr-FR" w:bidi="he-IL"/>
        </w:rPr>
        <w:t>et</w:t>
      </w:r>
      <w:r>
        <w:rPr>
          <w:rFonts w:eastAsia="Arial Unicode MS"/>
          <w:bCs/>
          <w:lang w:eastAsia="fr-FR" w:bidi="he-IL"/>
        </w:rPr>
        <w:t xml:space="preserve"> </w:t>
      </w:r>
      <w:r w:rsidR="00B704AD" w:rsidRPr="00C8701B">
        <w:rPr>
          <w:rFonts w:eastAsia="Arial Unicode MS"/>
          <w:bCs/>
          <w:lang w:eastAsia="fr-FR" w:bidi="he-IL"/>
        </w:rPr>
        <w:t>il rejette sur les Juifs tout l</w:t>
      </w:r>
      <w:r w:rsidR="00557DE0">
        <w:rPr>
          <w:rFonts w:eastAsia="Arial Unicode MS"/>
          <w:bCs/>
          <w:lang w:eastAsia="fr-FR" w:bidi="he-IL"/>
        </w:rPr>
        <w:t>’</w:t>
      </w:r>
      <w:r w:rsidR="00B704AD" w:rsidRPr="00C8701B">
        <w:rPr>
          <w:rFonts w:eastAsia="Arial Unicode MS"/>
          <w:bCs/>
          <w:lang w:eastAsia="fr-FR" w:bidi="he-IL"/>
        </w:rPr>
        <w:t>odieux de cette inique sentence</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3° la</w:t>
      </w:r>
      <w:r w:rsidR="00B704AD" w:rsidRPr="00DC4586">
        <w:rPr>
          <w:rStyle w:val="italicus"/>
        </w:rPr>
        <w:t xml:space="preserve"> Correspondance de Pilate e</w:t>
      </w:r>
      <w:r>
        <w:rPr>
          <w:rStyle w:val="italicus"/>
        </w:rPr>
        <w:t>t</w:t>
      </w:r>
      <w:r w:rsidR="00B704AD" w:rsidRPr="00DC4586">
        <w:rPr>
          <w:rStyle w:val="italicus"/>
        </w:rPr>
        <w:t xml:space="preserve"> d</w:t>
      </w:r>
      <w:r w:rsidR="00557DE0">
        <w:rPr>
          <w:rStyle w:val="italicus"/>
        </w:rPr>
        <w:t>’</w:t>
      </w:r>
      <w:r>
        <w:rPr>
          <w:rStyle w:val="italicus"/>
        </w:rPr>
        <w:t>Hé</w:t>
      </w:r>
      <w:r w:rsidR="00B704AD" w:rsidRPr="00DC4586">
        <w:rPr>
          <w:rStyle w:val="italicus"/>
        </w:rPr>
        <w:t>rode</w:t>
      </w:r>
      <w:r w:rsidR="00E65435">
        <w:rPr>
          <w:rFonts w:eastAsia="Arial Unicode MS"/>
          <w:bCs/>
          <w:lang w:eastAsia="fr-FR" w:bidi="he-IL"/>
        </w:rPr>
        <w:t xml:space="preserve">, </w:t>
      </w:r>
      <w:r w:rsidR="00B704AD" w:rsidRPr="00C8701B">
        <w:rPr>
          <w:rFonts w:eastAsia="Arial Unicode MS"/>
          <w:bCs/>
          <w:lang w:eastAsia="fr-FR" w:bidi="he-IL"/>
        </w:rPr>
        <w:t>consistant en deux lettres où ces deux personnages exposent les motifs de leur conversion au christianisme</w:t>
      </w:r>
      <w:r w:rsidR="00933C60" w:rsidRPr="00C406FF">
        <w:rPr>
          <w:rStyle w:val="Appelnotedebasdep"/>
        </w:rPr>
        <w:footnoteReference w:id="613"/>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 xml:space="preserve">4° </w:t>
      </w:r>
      <w:r w:rsidR="00263C6E">
        <w:rPr>
          <w:rFonts w:eastAsia="Arial Unicode MS"/>
          <w:bCs/>
          <w:lang w:eastAsia="fr-FR" w:bidi="he-IL"/>
        </w:rPr>
        <w:t>le</w:t>
      </w:r>
      <w:r w:rsidR="00B704AD" w:rsidRPr="00DC4586">
        <w:rPr>
          <w:rStyle w:val="italicus"/>
        </w:rPr>
        <w:t xml:space="preserve"> Rapport </w:t>
      </w:r>
      <w:r w:rsidR="00B704AD" w:rsidRPr="00557FD3">
        <w:t>(</w:t>
      </w:r>
      <w:r w:rsidRPr="00557FD3">
        <w:t>ἀναφόρα</w:t>
      </w:r>
      <w:r w:rsidR="00B704AD" w:rsidRPr="00557FD3">
        <w:t>)</w:t>
      </w:r>
      <w:r>
        <w:rPr>
          <w:rFonts w:eastAsia="Arial Unicode MS"/>
          <w:bCs/>
          <w:iCs/>
          <w:lang w:eastAsia="fr-FR" w:bidi="he-IL"/>
        </w:rPr>
        <w:t xml:space="preserve"> </w:t>
      </w:r>
      <w:r w:rsidR="00B704AD" w:rsidRPr="00DC4586">
        <w:rPr>
          <w:rStyle w:val="italicus"/>
        </w:rPr>
        <w:t>de Pilate</w:t>
      </w:r>
      <w:r w:rsidR="00B704AD" w:rsidRPr="00C8701B">
        <w:rPr>
          <w:rFonts w:eastAsia="Arial Unicode MS"/>
          <w:bCs/>
          <w:lang w:eastAsia="fr-FR" w:bidi="he-IL"/>
        </w:rPr>
        <w:t xml:space="preserve"> à l</w:t>
      </w:r>
      <w:r w:rsidR="00557DE0">
        <w:rPr>
          <w:rFonts w:eastAsia="Arial Unicode MS"/>
          <w:bCs/>
          <w:lang w:eastAsia="fr-FR" w:bidi="he-IL"/>
        </w:rPr>
        <w:t>’</w:t>
      </w:r>
      <w:r w:rsidR="00B704AD" w:rsidRPr="00C8701B">
        <w:rPr>
          <w:rFonts w:eastAsia="Arial Unicode MS"/>
          <w:bCs/>
          <w:lang w:eastAsia="fr-FR" w:bidi="he-IL"/>
        </w:rPr>
        <w:t>empereur sur les miracles</w:t>
      </w:r>
      <w:r w:rsidR="00E65435">
        <w:rPr>
          <w:rFonts w:eastAsia="Arial Unicode MS"/>
          <w:bCs/>
          <w:lang w:eastAsia="fr-FR" w:bidi="he-IL"/>
        </w:rPr>
        <w:t xml:space="preserve">, </w:t>
      </w:r>
      <w:r w:rsidR="00B704AD" w:rsidRPr="00C8701B">
        <w:rPr>
          <w:rFonts w:eastAsia="Arial Unicode MS"/>
          <w:bCs/>
          <w:lang w:eastAsia="fr-FR" w:bidi="he-IL"/>
        </w:rPr>
        <w:t>la mort et la résurrection de Jésus</w:t>
      </w:r>
      <w:r w:rsidR="00C2602D" w:rsidRPr="00C8701B">
        <w:rPr>
          <w:rFonts w:eastAsia="Arial Unicode MS"/>
          <w:bCs/>
          <w:lang w:eastAsia="fr-FR" w:bidi="he-IL"/>
        </w:rPr>
        <w:t> </w:t>
      </w:r>
      <w:r w:rsidR="007F6508">
        <w:rPr>
          <w:rFonts w:eastAsia="Arial Unicode MS"/>
          <w:bCs/>
          <w:lang w:eastAsia="fr-FR" w:bidi="he-IL"/>
        </w:rPr>
        <w:t xml:space="preserve">; </w:t>
      </w:r>
      <w:r>
        <w:rPr>
          <w:rFonts w:eastAsia="Arial Unicode MS"/>
          <w:bCs/>
          <w:lang w:eastAsia="fr-FR" w:bidi="he-IL"/>
        </w:rPr>
        <w:t>5°</w:t>
      </w:r>
      <w:r w:rsidR="00B704AD" w:rsidRPr="00DC4586">
        <w:rPr>
          <w:rStyle w:val="italicus"/>
        </w:rPr>
        <w:t xml:space="preserve"> </w:t>
      </w:r>
      <w:r w:rsidRPr="00557FD3">
        <w:t>l</w:t>
      </w:r>
      <w:r w:rsidR="00557DE0">
        <w:t>’</w:t>
      </w:r>
      <w:r w:rsidR="00B704AD" w:rsidRPr="00DC4586">
        <w:rPr>
          <w:rStyle w:val="italicus"/>
        </w:rPr>
        <w:t>Arrestation</w:t>
      </w:r>
      <w:r w:rsidR="00B704AD" w:rsidRPr="00C8701B">
        <w:rPr>
          <w:rFonts w:eastAsia="Arial Unicode MS"/>
          <w:bCs/>
          <w:lang w:eastAsia="fr-FR" w:bidi="he-IL"/>
        </w:rPr>
        <w:t xml:space="preserve"> </w:t>
      </w:r>
      <w:r w:rsidR="00B704AD" w:rsidRPr="00C8701B">
        <w:rPr>
          <w:rFonts w:eastAsia="Arial Unicode MS"/>
          <w:bCs/>
          <w:lang w:val="el-GR" w:eastAsia="fr-FR" w:bidi="he-IL"/>
        </w:rPr>
        <w:t>(</w:t>
      </w:r>
      <w:r w:rsidRPr="00557FD3">
        <w:t>καράδοσις</w:t>
      </w:r>
      <w:r w:rsidR="00B704AD" w:rsidRPr="00C8701B">
        <w:rPr>
          <w:rFonts w:eastAsia="Arial Unicode MS"/>
          <w:bCs/>
          <w:lang w:val="el-GR" w:eastAsia="fr-FR" w:bidi="he-IL"/>
        </w:rPr>
        <w:t>)</w:t>
      </w:r>
      <w:r w:rsidR="00B704AD" w:rsidRPr="00DC4586">
        <w:rPr>
          <w:rStyle w:val="italicus"/>
        </w:rPr>
        <w:t xml:space="preserve"> de Pilate </w:t>
      </w:r>
      <w:r w:rsidR="00B704AD" w:rsidRPr="00557FD3">
        <w:t>et son châtiment d</w:t>
      </w:r>
      <w:r w:rsidR="00557DE0">
        <w:t>’</w:t>
      </w:r>
      <w:r w:rsidR="00B704AD" w:rsidRPr="00557FD3">
        <w:t xml:space="preserve">après les ordres de </w:t>
      </w:r>
      <w:r w:rsidR="00B704AD" w:rsidRPr="00C8701B">
        <w:rPr>
          <w:rFonts w:eastAsia="Arial Unicode MS"/>
          <w:bCs/>
          <w:lang w:eastAsia="fr-FR" w:bidi="he-IL"/>
        </w:rPr>
        <w:t>Tibère</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6° la</w:t>
      </w:r>
      <w:r w:rsidR="00B704AD" w:rsidRPr="00DC4586">
        <w:rPr>
          <w:rStyle w:val="italicus"/>
        </w:rPr>
        <w:t xml:space="preserve"> Mort de Pilate</w:t>
      </w:r>
      <w:r w:rsidR="00E65435">
        <w:rPr>
          <w:rStyle w:val="italicus"/>
        </w:rPr>
        <w:t xml:space="preserve">, </w:t>
      </w:r>
      <w:r w:rsidR="00B704AD" w:rsidRPr="00C8701B">
        <w:rPr>
          <w:rFonts w:eastAsia="Arial Unicode MS"/>
          <w:bCs/>
          <w:lang w:eastAsia="fr-FR" w:bidi="he-IL"/>
        </w:rPr>
        <w:t>lequel se suicida ·en apprenant que l</w:t>
      </w:r>
      <w:r w:rsidR="00557DE0">
        <w:rPr>
          <w:rFonts w:eastAsia="Arial Unicode MS"/>
          <w:bCs/>
          <w:lang w:eastAsia="fr-FR" w:bidi="he-IL"/>
        </w:rPr>
        <w:t>’</w:t>
      </w:r>
      <w:r w:rsidR="00B704AD" w:rsidRPr="00C8701B">
        <w:rPr>
          <w:rFonts w:eastAsia="Arial Unicode MS"/>
          <w:bCs/>
          <w:lang w:eastAsia="fr-FR" w:bidi="he-IL"/>
        </w:rPr>
        <w:t>empereur l</w:t>
      </w:r>
      <w:r w:rsidR="00557DE0">
        <w:rPr>
          <w:rFonts w:eastAsia="Arial Unicode MS"/>
          <w:bCs/>
          <w:lang w:eastAsia="fr-FR" w:bidi="he-IL"/>
        </w:rPr>
        <w:t>’</w:t>
      </w:r>
      <w:r w:rsidR="00B704AD" w:rsidRPr="00C8701B">
        <w:rPr>
          <w:rFonts w:eastAsia="Arial Unicode MS"/>
          <w:bCs/>
          <w:lang w:eastAsia="fr-FR" w:bidi="he-IL"/>
        </w:rPr>
        <w:t>a condamné</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7° la</w:t>
      </w:r>
      <w:r w:rsidR="00B704AD" w:rsidRPr="00DC4586">
        <w:rPr>
          <w:rStyle w:val="italicus"/>
        </w:rPr>
        <w:t xml:space="preserve"> Narration de Joseph d</w:t>
      </w:r>
      <w:r w:rsidR="00557DE0">
        <w:rPr>
          <w:rStyle w:val="italicus"/>
        </w:rPr>
        <w:t>’</w:t>
      </w:r>
      <w:r w:rsidR="00B704AD" w:rsidRPr="00DC4586">
        <w:rPr>
          <w:rStyle w:val="italicus"/>
        </w:rPr>
        <w:t>Arimathie</w:t>
      </w:r>
      <w:r>
        <w:rPr>
          <w:rFonts w:eastAsia="Arial Unicode MS"/>
          <w:bCs/>
          <w:lang w:eastAsia="fr-FR" w:bidi="he-IL"/>
        </w:rPr>
        <w:t xml:space="preserve"> nouveau récit de la</w:t>
      </w:r>
      <w:r w:rsidR="00B704AD" w:rsidRPr="00C8701B">
        <w:rPr>
          <w:rFonts w:eastAsia="Arial Unicode MS"/>
          <w:bCs/>
          <w:lang w:eastAsia="fr-FR" w:bidi="he-IL"/>
        </w:rPr>
        <w:t xml:space="preserve"> passion du Sauveur</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8° la</w:t>
      </w:r>
      <w:r w:rsidR="00B704AD" w:rsidRPr="00DC4586">
        <w:rPr>
          <w:rStyle w:val="italicus"/>
        </w:rPr>
        <w:t xml:space="preserve"> Vengeance du Sauveur</w:t>
      </w:r>
      <w:r w:rsidR="00E65435">
        <w:rPr>
          <w:rStyle w:val="italicus"/>
        </w:rPr>
        <w:t xml:space="preserve">, </w:t>
      </w:r>
      <w:r>
        <w:rPr>
          <w:rFonts w:eastAsia="Arial Unicode MS"/>
          <w:bCs/>
          <w:lang w:eastAsia="fr-FR" w:bidi="he-IL"/>
        </w:rPr>
        <w:t>composée de de</w:t>
      </w:r>
      <w:r w:rsidR="00B704AD" w:rsidRPr="00C8701B">
        <w:rPr>
          <w:rFonts w:eastAsia="Arial Unicode MS"/>
          <w:bCs/>
          <w:lang w:eastAsia="fr-FR" w:bidi="he-IL"/>
        </w:rPr>
        <w:t>ux parties distinctes</w:t>
      </w:r>
      <w:r w:rsidR="00E65435">
        <w:rPr>
          <w:rFonts w:eastAsia="Arial Unicode MS"/>
          <w:bCs/>
          <w:lang w:eastAsia="fr-FR" w:bidi="he-IL"/>
        </w:rPr>
        <w:t xml:space="preserve">, </w:t>
      </w:r>
      <w:r w:rsidR="00B704AD" w:rsidRPr="00C8701B">
        <w:rPr>
          <w:rFonts w:eastAsia="Arial Unicode MS"/>
          <w:bCs/>
          <w:lang w:eastAsia="fr-FR" w:bidi="he-IL"/>
        </w:rPr>
        <w:t>dont l</w:t>
      </w:r>
      <w:r w:rsidR="00557DE0">
        <w:rPr>
          <w:rFonts w:eastAsia="Arial Unicode MS"/>
          <w:bCs/>
          <w:lang w:eastAsia="fr-FR" w:bidi="he-IL"/>
        </w:rPr>
        <w:t>’</w:t>
      </w:r>
      <w:r w:rsidR="00B704AD" w:rsidRPr="00C8701B">
        <w:rPr>
          <w:rFonts w:eastAsia="Arial Unicode MS"/>
          <w:bCs/>
          <w:lang w:eastAsia="fr-FR" w:bidi="he-IL"/>
        </w:rPr>
        <w:t>une est relative à la guérison miraculeuse de Titus</w:t>
      </w:r>
      <w:r w:rsidR="00E65435">
        <w:rPr>
          <w:rFonts w:eastAsia="Arial Unicode MS"/>
          <w:bCs/>
          <w:lang w:eastAsia="fr-FR" w:bidi="he-IL"/>
        </w:rPr>
        <w:t xml:space="preserve">, </w:t>
      </w:r>
      <w:r w:rsidR="00B704AD" w:rsidRPr="00C8701B">
        <w:rPr>
          <w:rFonts w:eastAsia="Arial Unicode MS"/>
          <w:bCs/>
          <w:lang w:eastAsia="fr-FR" w:bidi="he-IL"/>
        </w:rPr>
        <w:t>prince d</w:t>
      </w:r>
      <w:r w:rsidR="00557DE0">
        <w:rPr>
          <w:rFonts w:eastAsia="Arial Unicode MS"/>
          <w:bCs/>
          <w:lang w:eastAsia="fr-FR" w:bidi="he-IL"/>
        </w:rPr>
        <w:t>’</w:t>
      </w:r>
      <w:r w:rsidR="00B704AD" w:rsidRPr="00C8701B">
        <w:rPr>
          <w:rFonts w:eastAsia="Arial Unicode MS"/>
          <w:bCs/>
          <w:lang w:eastAsia="fr-FR" w:bidi="he-IL"/>
        </w:rPr>
        <w:t>Aquitaine</w:t>
      </w:r>
      <w:r w:rsidR="00E65435">
        <w:rPr>
          <w:rFonts w:eastAsia="Arial Unicode MS"/>
          <w:bCs/>
          <w:lang w:eastAsia="fr-FR" w:bidi="he-IL"/>
        </w:rPr>
        <w:t xml:space="preserve">, </w:t>
      </w:r>
      <w:r w:rsidR="00B704AD" w:rsidRPr="00C8701B">
        <w:rPr>
          <w:rFonts w:eastAsia="Arial Unicode MS"/>
          <w:bCs/>
          <w:lang w:eastAsia="fr-FR" w:bidi="he-IL"/>
        </w:rPr>
        <w:t>grâce à un mouvement de foi en Jésus-Christ</w:t>
      </w:r>
      <w:r w:rsidR="00E65435">
        <w:rPr>
          <w:rFonts w:eastAsia="Arial Unicode MS"/>
          <w:bCs/>
          <w:lang w:eastAsia="fr-FR" w:bidi="he-IL"/>
        </w:rPr>
        <w:t xml:space="preserve">, </w:t>
      </w:r>
      <w:r w:rsidR="00B704AD" w:rsidRPr="00C8701B">
        <w:rPr>
          <w:rFonts w:eastAsia="Arial Unicode MS"/>
          <w:bCs/>
          <w:lang w:eastAsia="fr-FR" w:bidi="he-IL"/>
        </w:rPr>
        <w:t>tandis que l</w:t>
      </w:r>
      <w:r w:rsidR="00557DE0">
        <w:rPr>
          <w:rFonts w:eastAsia="Arial Unicode MS"/>
          <w:bCs/>
          <w:lang w:eastAsia="fr-FR" w:bidi="he-IL"/>
        </w:rPr>
        <w:t>’</w:t>
      </w:r>
      <w:r w:rsidR="00B704AD" w:rsidRPr="00C8701B">
        <w:rPr>
          <w:rFonts w:eastAsia="Arial Unicode MS"/>
          <w:bCs/>
          <w:lang w:eastAsia="fr-FR" w:bidi="he-IL"/>
        </w:rPr>
        <w:t>autre contient la légende de Véronique</w:t>
      </w:r>
      <w:r w:rsidR="00933C60" w:rsidRPr="00C406FF">
        <w:rPr>
          <w:rStyle w:val="Appelnotedebasdep"/>
        </w:rPr>
        <w:footnoteReference w:id="614"/>
      </w:r>
      <w:r w:rsidR="00B704AD"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557FD3">
      <w:pPr>
        <w:rPr>
          <w:rFonts w:eastAsia="Arial Unicode MS"/>
          <w:bCs/>
          <w:lang w:eastAsia="fr-FR" w:bidi="he-IL"/>
        </w:rPr>
      </w:pPr>
      <w:r w:rsidRPr="00C8701B">
        <w:rPr>
          <w:rFonts w:eastAsia="Arial Unicode MS"/>
          <w:bCs/>
          <w:lang w:eastAsia="fr-FR" w:bidi="he-IL"/>
        </w:rPr>
        <w:t>Ces courtes notices et les citations qui les accompagnent ont suffisamment montré en quoi consiste</w:t>
      </w:r>
      <w:r w:rsidR="00E65435">
        <w:rPr>
          <w:rFonts w:eastAsia="Arial Unicode MS"/>
          <w:bCs/>
          <w:lang w:eastAsia="fr-FR" w:bidi="he-IL"/>
        </w:rPr>
        <w:t xml:space="preserve">, </w:t>
      </w:r>
      <w:r w:rsidRPr="00C8701B">
        <w:rPr>
          <w:rFonts w:eastAsia="Arial Unicode MS"/>
          <w:bCs/>
          <w:lang w:eastAsia="fr-FR" w:bidi="he-IL"/>
        </w:rPr>
        <w:t xml:space="preserve">la nature des </w:t>
      </w:r>
      <w:r w:rsidR="000439E9">
        <w:rPr>
          <w:rFonts w:eastAsia="Arial Unicode MS"/>
          <w:bCs/>
          <w:lang w:eastAsia="fr-FR" w:bidi="he-IL"/>
        </w:rPr>
        <w:t>Évangile</w:t>
      </w:r>
      <w:r w:rsidRPr="00C8701B">
        <w:rPr>
          <w:rFonts w:eastAsia="Arial Unicode MS"/>
          <w:bCs/>
          <w:lang w:eastAsia="fr-FR" w:bidi="he-IL"/>
        </w:rPr>
        <w:t>s apocryphes.</w:t>
      </w:r>
      <w:r w:rsidR="00E37C84">
        <w:rPr>
          <w:rFonts w:eastAsia="Arial Unicode MS"/>
          <w:bCs/>
          <w:lang w:eastAsia="fr-FR" w:bidi="he-IL"/>
        </w:rPr>
        <w:t xml:space="preserve"> « </w:t>
      </w:r>
      <w:r w:rsidRPr="00C8701B">
        <w:rPr>
          <w:rFonts w:eastAsia="Arial Unicode MS"/>
          <w:bCs/>
          <w:lang w:eastAsia="fr-FR" w:bidi="he-IL"/>
        </w:rPr>
        <w:t>Amas de prodiges extravagants et inutiles</w:t>
      </w:r>
      <w:r w:rsidR="00C87A2B">
        <w:rPr>
          <w:rFonts w:eastAsia="Arial Unicode MS"/>
          <w:bCs/>
          <w:lang w:eastAsia="fr-FR" w:bidi="he-IL"/>
        </w:rPr>
        <w:t>...</w:t>
      </w:r>
      <w:r w:rsidRPr="00C8701B">
        <w:rPr>
          <w:rFonts w:eastAsia="Arial Unicode MS"/>
          <w:bCs/>
          <w:lang w:eastAsia="fr-FR" w:bidi="he-IL"/>
        </w:rPr>
        <w:t>. traits d</w:t>
      </w:r>
      <w:r w:rsidR="00557DE0">
        <w:rPr>
          <w:rFonts w:eastAsia="Arial Unicode MS"/>
          <w:bCs/>
          <w:lang w:eastAsia="fr-FR" w:bidi="he-IL"/>
        </w:rPr>
        <w:t>’</w:t>
      </w:r>
      <w:r w:rsidRPr="00C8701B">
        <w:rPr>
          <w:rFonts w:eastAsia="Arial Unicode MS"/>
          <w:bCs/>
          <w:lang w:eastAsia="fr-FR" w:bidi="he-IL"/>
        </w:rPr>
        <w:t>un caractère vulgaire et trivial</w:t>
      </w:r>
      <w:r w:rsidR="00E65435">
        <w:rPr>
          <w:rFonts w:eastAsia="Arial Unicode MS"/>
          <w:bCs/>
          <w:lang w:eastAsia="fr-FR" w:bidi="he-IL"/>
        </w:rPr>
        <w:t xml:space="preserve">, </w:t>
      </w:r>
      <w:r w:rsidRPr="00C8701B">
        <w:rPr>
          <w:rFonts w:eastAsia="Arial Unicode MS"/>
          <w:bCs/>
          <w:lang w:eastAsia="fr-FR" w:bidi="he-IL"/>
        </w:rPr>
        <w:t>qui ne s</w:t>
      </w:r>
      <w:r w:rsidR="00557DE0">
        <w:rPr>
          <w:rFonts w:eastAsia="Arial Unicode MS"/>
          <w:bCs/>
          <w:lang w:eastAsia="fr-FR" w:bidi="he-IL"/>
        </w:rPr>
        <w:t>’</w:t>
      </w:r>
      <w:r w:rsidR="00557FD3">
        <w:rPr>
          <w:rFonts w:eastAsia="Arial Unicode MS"/>
          <w:bCs/>
          <w:lang w:eastAsia="fr-FR" w:bidi="he-IL"/>
        </w:rPr>
        <w:t>accordent nullement ave</w:t>
      </w:r>
      <w:r w:rsidRPr="00C8701B">
        <w:rPr>
          <w:rFonts w:eastAsia="Arial Unicode MS"/>
          <w:bCs/>
          <w:lang w:eastAsia="fr-FR" w:bidi="he-IL"/>
        </w:rPr>
        <w:t>c la dignité de</w:t>
      </w:r>
      <w:r w:rsidR="00C2602D" w:rsidRPr="00C8701B">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Homme-Dieu et avec l</w:t>
      </w:r>
      <w:r w:rsidR="00557DE0">
        <w:rPr>
          <w:rFonts w:eastAsia="Arial Unicode MS"/>
          <w:bCs/>
          <w:lang w:eastAsia="fr-FR" w:bidi="he-IL"/>
        </w:rPr>
        <w:t>’</w:t>
      </w:r>
      <w:r w:rsidRPr="00C8701B">
        <w:rPr>
          <w:rFonts w:eastAsia="Arial Unicode MS"/>
          <w:bCs/>
          <w:lang w:eastAsia="fr-FR" w:bidi="he-IL"/>
        </w:rPr>
        <w:t>idée qu</w:t>
      </w:r>
      <w:r w:rsidR="00557DE0">
        <w:rPr>
          <w:rFonts w:eastAsia="Arial Unicode MS"/>
          <w:bCs/>
          <w:lang w:eastAsia="fr-FR" w:bidi="he-IL"/>
        </w:rPr>
        <w:t>’</w:t>
      </w:r>
      <w:r w:rsidRPr="00C8701B">
        <w:rPr>
          <w:rFonts w:eastAsia="Arial Unicode MS"/>
          <w:bCs/>
          <w:lang w:eastAsia="fr-FR" w:bidi="he-IL"/>
        </w:rPr>
        <w:t>on doit se faire de sa sublime mission</w:t>
      </w:r>
      <w:r w:rsidR="00933C60" w:rsidRPr="00C406FF">
        <w:rPr>
          <w:rStyle w:val="Appelnotedebasdep"/>
        </w:rPr>
        <w:footnoteReference w:id="615"/>
      </w:r>
      <w:r w:rsidRPr="00C8701B">
        <w:rPr>
          <w:rFonts w:eastAsia="Arial Unicode MS"/>
          <w:bCs/>
          <w:lang w:eastAsia="fr-FR" w:bidi="he-IL"/>
        </w:rPr>
        <w:t xml:space="preserve">... </w:t>
      </w:r>
      <w:r w:rsidR="00557FD3">
        <w:rPr>
          <w:rFonts w:eastAsia="Arial Unicode MS"/>
          <w:bCs/>
          <w:lang w:eastAsia="fr-FR" w:bidi="he-IL"/>
        </w:rPr>
        <w:t>{120</w:t>
      </w:r>
      <w:bookmarkStart w:id="183" w:name="pag120"/>
      <w:bookmarkEnd w:id="183"/>
      <w:r w:rsidR="00557FD3">
        <w:rPr>
          <w:rFonts w:eastAsia="Arial Unicode MS"/>
          <w:bCs/>
          <w:lang w:eastAsia="fr-FR" w:bidi="he-IL"/>
        </w:rPr>
        <w:t xml:space="preserve">} </w:t>
      </w:r>
      <w:r w:rsidRPr="00C8701B">
        <w:rPr>
          <w:rFonts w:eastAsia="Arial Unicode MS"/>
          <w:bCs/>
          <w:lang w:eastAsia="fr-FR" w:bidi="he-IL"/>
        </w:rPr>
        <w:t>Le Sauveur (nous y apparaît souvent comme) un magicien jouant aux miracles</w:t>
      </w:r>
      <w:r w:rsidR="00E65435">
        <w:rPr>
          <w:rFonts w:eastAsia="Arial Unicode MS"/>
          <w:bCs/>
          <w:lang w:eastAsia="fr-FR" w:bidi="he-IL"/>
        </w:rPr>
        <w:t xml:space="preserve">, </w:t>
      </w:r>
      <w:r w:rsidRPr="00C8701B">
        <w:rPr>
          <w:rFonts w:eastAsia="Arial Unicode MS"/>
          <w:bCs/>
          <w:lang w:eastAsia="fr-FR" w:bidi="he-IL"/>
        </w:rPr>
        <w:t>sans autre résultat que de se faire admirer par une fo</w:t>
      </w:r>
      <w:r w:rsidR="00557FD3">
        <w:rPr>
          <w:rFonts w:eastAsia="Arial Unicode MS"/>
          <w:bCs/>
          <w:lang w:eastAsia="fr-FR" w:bidi="he-IL"/>
        </w:rPr>
        <w:t xml:space="preserve">ule </w:t>
      </w:r>
      <w:r w:rsidRPr="00C8701B">
        <w:rPr>
          <w:rFonts w:eastAsia="Arial Unicode MS"/>
          <w:bCs/>
          <w:lang w:eastAsia="fr-FR" w:bidi="he-IL"/>
        </w:rPr>
        <w:t>avide de merveilles</w:t>
      </w:r>
      <w:r w:rsidR="00E65435">
        <w:rPr>
          <w:rFonts w:eastAsia="Arial Unicode MS"/>
          <w:bCs/>
          <w:lang w:eastAsia="fr-FR" w:bidi="he-IL"/>
        </w:rPr>
        <w:t xml:space="preserve">, </w:t>
      </w:r>
      <w:r w:rsidRPr="00C8701B">
        <w:rPr>
          <w:rFonts w:eastAsia="Arial Unicode MS"/>
          <w:bCs/>
          <w:lang w:eastAsia="fr-FR" w:bidi="he-IL"/>
        </w:rPr>
        <w:t>et de causer des embarras à ses parents...</w:t>
      </w:r>
      <w:r w:rsidR="00E65435">
        <w:rPr>
          <w:rFonts w:eastAsia="Arial Unicode MS"/>
          <w:bCs/>
          <w:lang w:eastAsia="fr-FR" w:bidi="he-IL"/>
        </w:rPr>
        <w:t xml:space="preserve">, </w:t>
      </w:r>
      <w:r w:rsidRPr="00C8701B">
        <w:rPr>
          <w:rFonts w:eastAsia="Arial Unicode MS"/>
          <w:bCs/>
          <w:lang w:eastAsia="fr-FR" w:bidi="he-IL"/>
        </w:rPr>
        <w:t>(sans p</w:t>
      </w:r>
      <w:r w:rsidR="00557FD3">
        <w:rPr>
          <w:rFonts w:eastAsia="Arial Unicode MS"/>
          <w:bCs/>
          <w:lang w:eastAsia="fr-FR" w:bidi="he-IL"/>
        </w:rPr>
        <w:t xml:space="preserve">arler des) détails obscènes et </w:t>
      </w:r>
      <w:r w:rsidRPr="00C8701B">
        <w:rPr>
          <w:rFonts w:eastAsia="Arial Unicode MS"/>
          <w:bCs/>
          <w:lang w:eastAsia="fr-FR" w:bidi="he-IL"/>
        </w:rPr>
        <w:t>répugnants que l</w:t>
      </w:r>
      <w:r w:rsidR="00557DE0">
        <w:rPr>
          <w:rFonts w:eastAsia="Arial Unicode MS"/>
          <w:bCs/>
          <w:lang w:eastAsia="fr-FR" w:bidi="he-IL"/>
        </w:rPr>
        <w:t>’</w:t>
      </w:r>
      <w:r w:rsidRPr="00C8701B">
        <w:rPr>
          <w:rFonts w:eastAsia="Arial Unicode MS"/>
          <w:bCs/>
          <w:lang w:eastAsia="fr-FR" w:bidi="he-IL"/>
        </w:rPr>
        <w:t>on trouve (çà et là)</w:t>
      </w:r>
      <w:r w:rsidR="00C2602D" w:rsidRPr="00C8701B">
        <w:rPr>
          <w:rFonts w:eastAsia="Arial Unicode MS"/>
          <w:bCs/>
          <w:lang w:eastAsia="fr-FR" w:bidi="he-IL"/>
        </w:rPr>
        <w:t> »</w:t>
      </w:r>
      <w:r w:rsidR="00933C60" w:rsidRPr="00C406FF">
        <w:rPr>
          <w:rStyle w:val="Appelnotedebasdep"/>
        </w:rPr>
        <w:footnoteReference w:id="616"/>
      </w:r>
      <w:r w:rsidRPr="00C8701B">
        <w:rPr>
          <w:rFonts w:eastAsia="Arial Unicode MS"/>
          <w:bCs/>
          <w:lang w:eastAsia="fr-FR" w:bidi="he-IL"/>
        </w:rPr>
        <w:t>. Donc du merveilleux</w:t>
      </w:r>
      <w:r w:rsidR="00E65435">
        <w:rPr>
          <w:rFonts w:eastAsia="Arial Unicode MS"/>
          <w:bCs/>
          <w:lang w:eastAsia="fr-FR" w:bidi="he-IL"/>
        </w:rPr>
        <w:t xml:space="preserve">, </w:t>
      </w:r>
      <w:r w:rsidRPr="00C8701B">
        <w:rPr>
          <w:rFonts w:eastAsia="Arial Unicode MS"/>
          <w:bCs/>
          <w:lang w:eastAsia="fr-FR" w:bidi="he-IL"/>
        </w:rPr>
        <w:t>de la légende</w:t>
      </w:r>
      <w:r w:rsidR="00E65435">
        <w:rPr>
          <w:rFonts w:eastAsia="Arial Unicode MS"/>
          <w:bCs/>
          <w:lang w:eastAsia="fr-FR" w:bidi="he-IL"/>
        </w:rPr>
        <w:t xml:space="preserve">, </w:t>
      </w:r>
      <w:r w:rsidRPr="00C8701B">
        <w:rPr>
          <w:rFonts w:eastAsia="Arial Unicode MS"/>
          <w:bCs/>
          <w:lang w:eastAsia="fr-FR" w:bidi="he-IL"/>
        </w:rPr>
        <w:t>des traits pour le moins puérils</w:t>
      </w:r>
      <w:r w:rsidR="00E65435">
        <w:rPr>
          <w:rFonts w:eastAsia="Arial Unicode MS"/>
          <w:bCs/>
          <w:lang w:eastAsia="fr-FR" w:bidi="he-IL"/>
        </w:rPr>
        <w:t xml:space="preserve">, </w:t>
      </w:r>
      <w:r w:rsidRPr="00C8701B">
        <w:rPr>
          <w:rFonts w:eastAsia="Arial Unicode MS"/>
          <w:bCs/>
          <w:lang w:eastAsia="fr-FR" w:bidi="he-IL"/>
        </w:rPr>
        <w:t>le tout dénué de vraisemblance et indigne du Messie.</w:t>
      </w:r>
      <w:r w:rsidR="00C2602D" w:rsidRPr="00C8701B">
        <w:rPr>
          <w:rFonts w:eastAsia="Arial Unicode MS"/>
          <w:bCs/>
          <w:lang w:eastAsia="fr-FR" w:bidi="he-IL"/>
        </w:rPr>
        <w:t xml:space="preserve"> </w:t>
      </w:r>
    </w:p>
    <w:p w:rsidR="00C2602D" w:rsidRPr="00C8701B" w:rsidRDefault="00B704AD" w:rsidP="00DA33E5">
      <w:pPr>
        <w:rPr>
          <w:rFonts w:eastAsia="Arial Unicode MS"/>
          <w:bCs/>
          <w:lang w:eastAsia="fr-FR" w:bidi="he-IL"/>
        </w:rPr>
      </w:pPr>
      <w:r w:rsidRPr="00C8701B">
        <w:rPr>
          <w:rFonts w:eastAsia="Arial Unicode MS"/>
          <w:bCs/>
          <w:lang w:eastAsia="fr-FR" w:bidi="he-IL"/>
        </w:rPr>
        <w:t>Aussi l</w:t>
      </w:r>
      <w:r w:rsidR="00557DE0">
        <w:rPr>
          <w:rFonts w:eastAsia="Arial Unicode MS"/>
          <w:bCs/>
          <w:lang w:eastAsia="fr-FR" w:bidi="he-IL"/>
        </w:rPr>
        <w:t>’</w:t>
      </w:r>
      <w:r w:rsidR="00557FD3">
        <w:rPr>
          <w:rFonts w:eastAsia="Arial Unicode MS"/>
          <w:bCs/>
          <w:lang w:eastAsia="fr-FR" w:bidi="he-IL"/>
        </w:rPr>
        <w:t>on comprendra sans peine ce</w:t>
      </w:r>
      <w:r w:rsidRPr="00C8701B">
        <w:rPr>
          <w:rFonts w:eastAsia="Arial Unicode MS"/>
          <w:bCs/>
          <w:lang w:eastAsia="fr-FR" w:bidi="he-IL"/>
        </w:rPr>
        <w:t>tte pressante recommandation de S. Jérôme</w:t>
      </w:r>
      <w:r w:rsidR="00933C60" w:rsidRPr="00C406FF">
        <w:rPr>
          <w:rStyle w:val="Appelnotedebasdep"/>
        </w:rPr>
        <w:footnoteReference w:id="617"/>
      </w:r>
      <w:r w:rsidR="00C2602D" w:rsidRPr="00C8701B">
        <w:rPr>
          <w:rFonts w:eastAsia="Arial Unicode MS"/>
          <w:bCs/>
          <w:lang w:eastAsia="fr-FR" w:bidi="he-IL"/>
        </w:rPr>
        <w:t> :</w:t>
      </w:r>
      <w:r w:rsidRPr="00DC4586">
        <w:rPr>
          <w:rStyle w:val="italicus"/>
        </w:rPr>
        <w:t xml:space="preserve"> </w:t>
      </w:r>
      <w:r w:rsidR="00557FD3" w:rsidRPr="00DC4586">
        <w:rPr>
          <w:rStyle w:val="italicus"/>
        </w:rPr>
        <w:t>Cáveat</w:t>
      </w:r>
      <w:r w:rsidRPr="00DC4586">
        <w:rPr>
          <w:rStyle w:val="italicus"/>
        </w:rPr>
        <w:t xml:space="preserve"> </w:t>
      </w:r>
      <w:r w:rsidR="00992D87">
        <w:rPr>
          <w:rStyle w:val="italicus"/>
        </w:rPr>
        <w:t>ómnia</w:t>
      </w:r>
      <w:r w:rsidRPr="00DC4586">
        <w:rPr>
          <w:rStyle w:val="italicus"/>
        </w:rPr>
        <w:t xml:space="preserve"> a</w:t>
      </w:r>
      <w:r w:rsidR="00736374">
        <w:rPr>
          <w:rStyle w:val="italicus"/>
        </w:rPr>
        <w:t>pócrypha</w:t>
      </w:r>
      <w:r w:rsidR="00557FD3">
        <w:rPr>
          <w:rStyle w:val="italicus"/>
        </w:rPr>
        <w:t>... Scia</w:t>
      </w:r>
      <w:r w:rsidRPr="00DC4586">
        <w:rPr>
          <w:rStyle w:val="italicus"/>
        </w:rPr>
        <w:t>t</w:t>
      </w:r>
      <w:r w:rsidR="00557FD3">
        <w:rPr>
          <w:rStyle w:val="italicus"/>
        </w:rPr>
        <w:t xml:space="preserve"> multa his admíxta vitió</w:t>
      </w:r>
      <w:r w:rsidRPr="00DC4586">
        <w:rPr>
          <w:rStyle w:val="italicus"/>
        </w:rPr>
        <w:t>sa</w:t>
      </w:r>
      <w:r w:rsidR="00E65435">
        <w:rPr>
          <w:rStyle w:val="italicus"/>
        </w:rPr>
        <w:t xml:space="preserve">, </w:t>
      </w:r>
      <w:r w:rsidRPr="00DC4586">
        <w:rPr>
          <w:rStyle w:val="italicus"/>
        </w:rPr>
        <w:t xml:space="preserve">et grandis esse </w:t>
      </w:r>
      <w:r w:rsidR="00557FD3" w:rsidRPr="00DC4586">
        <w:rPr>
          <w:rStyle w:val="italicus"/>
        </w:rPr>
        <w:t>prudénti</w:t>
      </w:r>
      <w:r w:rsidR="00557FD3">
        <w:rPr>
          <w:rStyle w:val="italicus"/>
        </w:rPr>
        <w:t>æ</w:t>
      </w:r>
      <w:r w:rsidRPr="00DC4586">
        <w:rPr>
          <w:rStyle w:val="italicus"/>
        </w:rPr>
        <w:t xml:space="preserve"> aurum in luto </w:t>
      </w:r>
      <w:r w:rsidR="00557FD3" w:rsidRPr="00DC4586">
        <w:rPr>
          <w:rStyle w:val="italicus"/>
        </w:rPr>
        <w:t>q</w:t>
      </w:r>
      <w:r w:rsidR="00557FD3">
        <w:rPr>
          <w:rStyle w:val="italicus"/>
        </w:rPr>
        <w:t>uǽ</w:t>
      </w:r>
      <w:r w:rsidR="00557FD3" w:rsidRPr="00DC4586">
        <w:rPr>
          <w:rStyle w:val="italicus"/>
        </w:rPr>
        <w:t>rere</w:t>
      </w:r>
      <w:r w:rsidRPr="00DC4586">
        <w:rPr>
          <w:rStyle w:val="italicus"/>
        </w:rPr>
        <w:t>.</w:t>
      </w:r>
      <w:r w:rsidRPr="00C8701B">
        <w:rPr>
          <w:rFonts w:eastAsia="Arial Unicode MS"/>
          <w:bCs/>
          <w:lang w:eastAsia="fr-FR" w:bidi="he-IL"/>
        </w:rPr>
        <w:t xml:space="preserve"> </w:t>
      </w:r>
      <w:r w:rsidR="00236B17">
        <w:rPr>
          <w:rFonts w:eastAsia="Arial Unicode MS"/>
          <w:bCs/>
          <w:lang w:eastAsia="fr-FR" w:bidi="he-IL"/>
        </w:rPr>
        <w:t xml:space="preserve">[Prend garde à tous les apocryphes…] </w:t>
      </w:r>
      <w:r w:rsidRPr="00C8701B">
        <w:rPr>
          <w:rFonts w:eastAsia="Arial Unicode MS"/>
          <w:bCs/>
          <w:lang w:eastAsia="fr-FR" w:bidi="he-IL"/>
        </w:rPr>
        <w:t>Quelques paillettes d</w:t>
      </w:r>
      <w:r w:rsidR="00557DE0">
        <w:rPr>
          <w:rFonts w:eastAsia="Arial Unicode MS"/>
          <w:bCs/>
          <w:lang w:eastAsia="fr-FR" w:bidi="he-IL"/>
        </w:rPr>
        <w:t>’</w:t>
      </w:r>
      <w:r w:rsidRPr="00C8701B">
        <w:rPr>
          <w:rFonts w:eastAsia="Arial Unicode MS"/>
          <w:bCs/>
          <w:lang w:eastAsia="fr-FR" w:bidi="he-IL"/>
        </w:rPr>
        <w:t>or</w:t>
      </w:r>
      <w:r w:rsidR="00E65435">
        <w:rPr>
          <w:rFonts w:eastAsia="Arial Unicode MS"/>
          <w:bCs/>
          <w:lang w:eastAsia="fr-FR" w:bidi="he-IL"/>
        </w:rPr>
        <w:t xml:space="preserve">, </w:t>
      </w:r>
      <w:r w:rsidRPr="00C8701B">
        <w:rPr>
          <w:rFonts w:eastAsia="Arial Unicode MS"/>
          <w:bCs/>
          <w:lang w:eastAsia="fr-FR" w:bidi="he-IL"/>
        </w:rPr>
        <w:t>tout à fait rares</w:t>
      </w:r>
      <w:r w:rsidR="00933C60" w:rsidRPr="00C406FF">
        <w:rPr>
          <w:rStyle w:val="Appelnotedebasdep"/>
        </w:rPr>
        <w:footnoteReference w:id="618"/>
      </w:r>
      <w:r w:rsidR="00E65435">
        <w:rPr>
          <w:rFonts w:eastAsia="Arial Unicode MS"/>
          <w:bCs/>
          <w:lang w:eastAsia="fr-FR" w:bidi="he-IL"/>
        </w:rPr>
        <w:t xml:space="preserve">, </w:t>
      </w:r>
      <w:r w:rsidRPr="00C8701B">
        <w:rPr>
          <w:rFonts w:eastAsia="Arial Unicode MS"/>
          <w:bCs/>
          <w:lang w:eastAsia="fr-FR" w:bidi="he-IL"/>
        </w:rPr>
        <w:t>qu</w:t>
      </w:r>
      <w:r w:rsidR="00557DE0">
        <w:rPr>
          <w:rFonts w:eastAsia="Arial Unicode MS"/>
          <w:bCs/>
          <w:lang w:eastAsia="fr-FR" w:bidi="he-IL"/>
        </w:rPr>
        <w:t>’</w:t>
      </w:r>
      <w:r w:rsidRPr="00C8701B">
        <w:rPr>
          <w:rFonts w:eastAsia="Arial Unicode MS"/>
          <w:bCs/>
          <w:lang w:eastAsia="fr-FR" w:bidi="he-IL"/>
        </w:rPr>
        <w:t>il faut chercher dans la boue</w:t>
      </w:r>
      <w:r w:rsidR="00C2602D" w:rsidRPr="00C8701B">
        <w:rPr>
          <w:rFonts w:eastAsia="Arial Unicode MS"/>
          <w:bCs/>
          <w:lang w:eastAsia="fr-FR" w:bidi="he-IL"/>
        </w:rPr>
        <w:t> :</w:t>
      </w:r>
      <w:r w:rsidRPr="00C8701B">
        <w:rPr>
          <w:rFonts w:eastAsia="Arial Unicode MS"/>
          <w:bCs/>
          <w:lang w:eastAsia="fr-FR" w:bidi="he-IL"/>
        </w:rPr>
        <w:t xml:space="preserve"> on ne pouvait mieux caractériser ces pièces apocryphes.</w:t>
      </w:r>
      <w:r w:rsidR="00C2602D" w:rsidRPr="00C8701B">
        <w:rPr>
          <w:rFonts w:eastAsia="Arial Unicode MS"/>
          <w:bCs/>
          <w:lang w:eastAsia="fr-FR" w:bidi="he-IL"/>
        </w:rPr>
        <w:t xml:space="preserve"> </w:t>
      </w:r>
    </w:p>
    <w:p w:rsidR="00C2602D" w:rsidRPr="00C8701B" w:rsidRDefault="00B704AD" w:rsidP="00CB052B">
      <w:pPr>
        <w:rPr>
          <w:rFonts w:eastAsia="Arial Unicode MS"/>
          <w:bCs/>
          <w:lang w:eastAsia="fr-FR" w:bidi="he-IL"/>
        </w:rPr>
      </w:pPr>
      <w:r w:rsidRPr="00C8701B">
        <w:rPr>
          <w:rFonts w:eastAsia="Arial Unicode MS"/>
          <w:bCs/>
          <w:lang w:eastAsia="fr-FR" w:bidi="he-IL"/>
        </w:rPr>
        <w:t>De là encore le mot sévère du grave D</w:t>
      </w:r>
      <w:r w:rsidRPr="00C8701B">
        <w:rPr>
          <w:rFonts w:eastAsia="Arial Unicode MS"/>
          <w:bCs/>
          <w:vertAlign w:val="superscript"/>
          <w:lang w:eastAsia="fr-FR" w:bidi="he-IL"/>
        </w:rPr>
        <w:t>r</w:t>
      </w:r>
      <w:r w:rsidRPr="00C8701B">
        <w:rPr>
          <w:rFonts w:eastAsia="Arial Unicode MS"/>
          <w:bCs/>
          <w:lang w:eastAsia="fr-FR" w:bidi="he-IL"/>
        </w:rPr>
        <w:t xml:space="preserve"> F. Delitzsch</w:t>
      </w:r>
      <w:r w:rsidR="00E65435">
        <w:rPr>
          <w:rFonts w:eastAsia="Arial Unicode MS"/>
          <w:bCs/>
          <w:lang w:eastAsia="fr-FR" w:bidi="he-IL"/>
        </w:rPr>
        <w:t xml:space="preserve">, </w:t>
      </w:r>
      <w:r w:rsidRPr="00C8701B">
        <w:rPr>
          <w:rFonts w:eastAsia="Arial Unicode MS"/>
          <w:bCs/>
          <w:lang w:eastAsia="fr-FR" w:bidi="he-IL"/>
        </w:rPr>
        <w:t xml:space="preserve">dans une </w:t>
      </w:r>
      <w:r w:rsidR="00557FD3" w:rsidRPr="00C8701B">
        <w:rPr>
          <w:rFonts w:eastAsia="Arial Unicode MS"/>
          <w:bCs/>
          <w:lang w:eastAsia="fr-FR" w:bidi="he-IL"/>
        </w:rPr>
        <w:t>allocution</w:t>
      </w:r>
      <w:r w:rsidRPr="00C8701B">
        <w:rPr>
          <w:rFonts w:eastAsia="Arial Unicode MS"/>
          <w:bCs/>
          <w:lang w:eastAsia="fr-FR" w:bidi="he-IL"/>
        </w:rPr>
        <w:t xml:space="preserve"> à de jeunes ouvriers</w:t>
      </w:r>
      <w:r w:rsidR="00C2602D" w:rsidRPr="00C8701B">
        <w:rPr>
          <w:rFonts w:eastAsia="Arial Unicode MS"/>
          <w:bCs/>
          <w:lang w:eastAsia="fr-FR" w:bidi="he-IL"/>
        </w:rPr>
        <w:t> :</w:t>
      </w:r>
      <w:r w:rsidRPr="00C8701B">
        <w:rPr>
          <w:rFonts w:eastAsia="Arial Unicode MS"/>
          <w:bCs/>
          <w:lang w:eastAsia="fr-FR" w:bidi="he-IL"/>
        </w:rPr>
        <w:t xml:space="preserve"> </w:t>
      </w:r>
      <w:r w:rsidR="00C2602D" w:rsidRPr="00C8701B">
        <w:rPr>
          <w:rFonts w:eastAsia="Arial Unicode MS"/>
          <w:bCs/>
          <w:lang w:eastAsia="fr-FR" w:bidi="he-IL"/>
        </w:rPr>
        <w:t>« </w:t>
      </w:r>
      <w:r w:rsidRPr="00C8701B">
        <w:rPr>
          <w:rFonts w:eastAsia="Arial Unicode MS"/>
          <w:bCs/>
          <w:lang w:eastAsia="fr-FR" w:bidi="he-IL"/>
        </w:rPr>
        <w:t>Même comme simples fictions</w:t>
      </w:r>
      <w:r w:rsidR="00E65435">
        <w:rPr>
          <w:rFonts w:eastAsia="Arial Unicode MS"/>
          <w:bCs/>
          <w:lang w:eastAsia="fr-FR" w:bidi="he-IL"/>
        </w:rPr>
        <w:t xml:space="preserve">, </w:t>
      </w:r>
      <w:r w:rsidRPr="00C8701B">
        <w:rPr>
          <w:rFonts w:eastAsia="Arial Unicode MS"/>
          <w:bCs/>
          <w:lang w:eastAsia="fr-FR" w:bidi="he-IL"/>
        </w:rPr>
        <w:t>ces récits merveilleux sont si dépourvus de sens et de délicatesse</w:t>
      </w:r>
      <w:r w:rsidR="00E65435">
        <w:rPr>
          <w:rFonts w:eastAsia="Arial Unicode MS"/>
          <w:bCs/>
          <w:lang w:eastAsia="fr-FR" w:bidi="he-IL"/>
        </w:rPr>
        <w:t xml:space="preserve">, </w:t>
      </w:r>
      <w:r w:rsidRPr="00C8701B">
        <w:rPr>
          <w:rFonts w:eastAsia="Arial Unicode MS"/>
          <w:bCs/>
          <w:lang w:eastAsia="fr-FR" w:bidi="he-IL"/>
        </w:rPr>
        <w:t>que je croirais presque commettre un péché</w:t>
      </w:r>
      <w:r w:rsidR="00E65435">
        <w:rPr>
          <w:rFonts w:eastAsia="Arial Unicode MS"/>
          <w:bCs/>
          <w:lang w:eastAsia="fr-FR" w:bidi="he-IL"/>
        </w:rPr>
        <w:t xml:space="preserve">, </w:t>
      </w:r>
      <w:r w:rsidRPr="00C8701B">
        <w:rPr>
          <w:rFonts w:eastAsia="Arial Unicode MS"/>
          <w:bCs/>
          <w:lang w:eastAsia="fr-FR" w:bidi="he-IL"/>
        </w:rPr>
        <w:t>si je chargeais votre imagination de ces caricatures</w:t>
      </w:r>
      <w:r w:rsidR="00CB052B">
        <w:rPr>
          <w:rFonts w:eastAsia="Arial Unicode MS"/>
          <w:bCs/>
          <w:lang w:eastAsia="fr-FR" w:bidi="he-IL"/>
        </w:rPr>
        <w:t> »</w:t>
      </w:r>
      <w:r w:rsidR="00E26E85">
        <w:rPr>
          <w:rStyle w:val="Appelnotedebasdep"/>
          <w:rFonts w:eastAsia="Arial Unicode MS"/>
          <w:bCs/>
          <w:lang w:eastAsia="fr-FR" w:bidi="he-IL"/>
        </w:rPr>
        <w:footnoteReference w:id="619"/>
      </w:r>
      <w:r w:rsidR="00CB052B">
        <w:rPr>
          <w:rFonts w:eastAsia="Arial Unicode MS"/>
          <w:bCs/>
          <w:lang w:eastAsia="fr-FR" w:bidi="he-IL"/>
        </w:rPr>
        <w:t>.</w:t>
      </w:r>
    </w:p>
    <w:p w:rsidR="00C2602D" w:rsidRPr="00C8701B" w:rsidRDefault="00B704AD" w:rsidP="00C2602D">
      <w:pPr>
        <w:rPr>
          <w:rFonts w:eastAsia="Arial Unicode MS"/>
          <w:bCs/>
          <w:lang w:eastAsia="fr-FR" w:bidi="he-IL"/>
        </w:rPr>
      </w:pPr>
      <w:r w:rsidRPr="00C8701B">
        <w:rPr>
          <w:rFonts w:eastAsia="Arial Unicode MS"/>
          <w:bCs/>
          <w:lang w:eastAsia="fr-FR" w:bidi="he-IL"/>
        </w:rPr>
        <w:t>Et pourtant</w:t>
      </w:r>
      <w:r w:rsidR="00E65435">
        <w:rPr>
          <w:rFonts w:eastAsia="Arial Unicode MS"/>
          <w:bCs/>
          <w:lang w:eastAsia="fr-FR" w:bidi="he-IL"/>
        </w:rPr>
        <w:t xml:space="preserve">, </w:t>
      </w:r>
      <w:r w:rsidRPr="00C8701B">
        <w:rPr>
          <w:rFonts w:eastAsia="Arial Unicode MS"/>
          <w:bCs/>
          <w:lang w:eastAsia="fr-FR" w:bidi="he-IL"/>
        </w:rPr>
        <w:t>ces récits ont une utilité véritable</w:t>
      </w:r>
      <w:r w:rsidR="00E65435">
        <w:rPr>
          <w:rFonts w:eastAsia="Arial Unicode MS"/>
          <w:bCs/>
          <w:lang w:eastAsia="fr-FR" w:bidi="he-IL"/>
        </w:rPr>
        <w:t xml:space="preserve">, </w:t>
      </w:r>
      <w:r w:rsidRPr="00C8701B">
        <w:rPr>
          <w:rFonts w:eastAsia="Arial Unicode MS"/>
          <w:bCs/>
          <w:lang w:eastAsia="fr-FR" w:bidi="he-IL"/>
        </w:rPr>
        <w:t>ainsi qu</w:t>
      </w:r>
      <w:r w:rsidR="00557DE0">
        <w:rPr>
          <w:rFonts w:eastAsia="Arial Unicode MS"/>
          <w:bCs/>
          <w:lang w:eastAsia="fr-FR" w:bidi="he-IL"/>
        </w:rPr>
        <w:t>’</w:t>
      </w:r>
      <w:r w:rsidRPr="00C8701B">
        <w:rPr>
          <w:rFonts w:eastAsia="Arial Unicode MS"/>
          <w:bCs/>
          <w:lang w:eastAsia="fr-FR" w:bidi="he-IL"/>
        </w:rPr>
        <w:t>il nous reste à l</w:t>
      </w:r>
      <w:r w:rsidR="00557DE0">
        <w:rPr>
          <w:rFonts w:eastAsia="Arial Unicode MS"/>
          <w:bCs/>
          <w:lang w:eastAsia="fr-FR" w:bidi="he-IL"/>
        </w:rPr>
        <w:t>’</w:t>
      </w:r>
      <w:r w:rsidRPr="00C8701B">
        <w:rPr>
          <w:rFonts w:eastAsia="Arial Unicode MS"/>
          <w:bCs/>
          <w:lang w:eastAsia="fr-FR" w:bidi="he-IL"/>
        </w:rPr>
        <w:t>indiquer.</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III.</w:t>
      </w:r>
      <w:bookmarkStart w:id="184" w:name="evin1403"/>
      <w:bookmarkEnd w:id="184"/>
      <w:r w:rsidRPr="00DC4586">
        <w:rPr>
          <w:rStyle w:val="italicus"/>
        </w:rPr>
        <w:t xml:space="preserve"> Utilité des évangiles apocryphes.</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Elle est multiple</w:t>
      </w:r>
      <w:r w:rsidR="00C2602D" w:rsidRPr="00C8701B">
        <w:rPr>
          <w:rFonts w:eastAsia="Arial Unicode MS"/>
          <w:bCs/>
          <w:lang w:eastAsia="fr-FR" w:bidi="he-IL"/>
        </w:rPr>
        <w:t> :</w:t>
      </w:r>
      <w:r w:rsidRPr="00C8701B">
        <w:rPr>
          <w:rFonts w:eastAsia="Arial Unicode MS"/>
          <w:bCs/>
          <w:lang w:eastAsia="fr-FR" w:bidi="he-IL"/>
        </w:rPr>
        <w:t xml:space="preserve"> nous pouvons l</w:t>
      </w:r>
      <w:r w:rsidR="00557DE0">
        <w:rPr>
          <w:rFonts w:eastAsia="Arial Unicode MS"/>
          <w:bCs/>
          <w:lang w:eastAsia="fr-FR" w:bidi="he-IL"/>
        </w:rPr>
        <w:t>’</w:t>
      </w:r>
      <w:r w:rsidRPr="00C8701B">
        <w:rPr>
          <w:rFonts w:eastAsia="Arial Unicode MS"/>
          <w:bCs/>
          <w:lang w:eastAsia="fr-FR" w:bidi="he-IL"/>
        </w:rPr>
        <w:t>envisager sous le rapport de la critique biblique</w:t>
      </w:r>
      <w:r w:rsidR="00E65435">
        <w:rPr>
          <w:rFonts w:eastAsia="Arial Unicode MS"/>
          <w:bCs/>
          <w:lang w:eastAsia="fr-FR" w:bidi="he-IL"/>
        </w:rPr>
        <w:t xml:space="preserve">, </w:t>
      </w:r>
      <w:r w:rsidRPr="00C8701B">
        <w:rPr>
          <w:rFonts w:eastAsia="Arial Unicode MS"/>
          <w:bCs/>
          <w:lang w:eastAsia="fr-FR" w:bidi="he-IL"/>
        </w:rPr>
        <w:t>de l</w:t>
      </w:r>
      <w:r w:rsidR="00557DE0">
        <w:rPr>
          <w:rFonts w:eastAsia="Arial Unicode MS"/>
          <w:bCs/>
          <w:lang w:eastAsia="fr-FR" w:bidi="he-IL"/>
        </w:rPr>
        <w:t>’</w:t>
      </w:r>
      <w:r w:rsidRPr="00C8701B">
        <w:rPr>
          <w:rFonts w:eastAsia="Arial Unicode MS"/>
          <w:bCs/>
          <w:lang w:eastAsia="fr-FR" w:bidi="he-IL"/>
        </w:rPr>
        <w:t>exégèse</w:t>
      </w:r>
      <w:r w:rsidR="00E65435">
        <w:rPr>
          <w:rFonts w:eastAsia="Arial Unicode MS"/>
          <w:bCs/>
          <w:lang w:eastAsia="fr-FR" w:bidi="he-IL"/>
        </w:rPr>
        <w:t xml:space="preserve">, </w:t>
      </w:r>
      <w:r w:rsidRPr="00C8701B">
        <w:rPr>
          <w:rFonts w:eastAsia="Arial Unicode MS"/>
          <w:bCs/>
          <w:lang w:eastAsia="fr-FR" w:bidi="he-IL"/>
        </w:rPr>
        <w:t>de l</w:t>
      </w:r>
      <w:r w:rsidR="00557DE0">
        <w:rPr>
          <w:rFonts w:eastAsia="Arial Unicode MS"/>
          <w:bCs/>
          <w:lang w:eastAsia="fr-FR" w:bidi="he-IL"/>
        </w:rPr>
        <w:t>’</w:t>
      </w:r>
      <w:r w:rsidRPr="00C8701B">
        <w:rPr>
          <w:rFonts w:eastAsia="Arial Unicode MS"/>
          <w:bCs/>
          <w:lang w:eastAsia="fr-FR" w:bidi="he-IL"/>
        </w:rPr>
        <w:t>art et de la littérature.</w:t>
      </w:r>
      <w:r w:rsidR="00C2602D" w:rsidRPr="00C8701B">
        <w:rPr>
          <w:rFonts w:eastAsia="Arial Unicode MS"/>
          <w:bCs/>
          <w:lang w:eastAsia="fr-FR" w:bidi="he-IL"/>
        </w:rPr>
        <w:t xml:space="preserve"> </w:t>
      </w:r>
    </w:p>
    <w:p w:rsidR="00C2602D" w:rsidRPr="00C8701B" w:rsidRDefault="00B704AD" w:rsidP="00557FD3">
      <w:pPr>
        <w:rPr>
          <w:rFonts w:eastAsia="Arial Unicode MS"/>
          <w:bCs/>
          <w:lang w:eastAsia="fr-FR" w:bidi="he-IL"/>
        </w:rPr>
      </w:pPr>
      <w:r w:rsidRPr="00C8701B">
        <w:rPr>
          <w:rFonts w:eastAsia="Arial Unicode MS"/>
          <w:bCs/>
          <w:lang w:eastAsia="fr-FR" w:bidi="he-IL"/>
        </w:rPr>
        <w:t>1° Sous le rapport de la critique biblique. Nous avons vu</w:t>
      </w:r>
      <w:r w:rsidR="00E65435">
        <w:rPr>
          <w:rFonts w:eastAsia="Arial Unicode MS"/>
          <w:bCs/>
          <w:lang w:eastAsia="fr-FR" w:bidi="he-IL"/>
        </w:rPr>
        <w:t xml:space="preserve">, </w:t>
      </w:r>
      <w:r w:rsidRPr="00C8701B">
        <w:rPr>
          <w:rFonts w:eastAsia="Arial Unicode MS"/>
          <w:bCs/>
          <w:lang w:eastAsia="fr-FR" w:bidi="he-IL"/>
        </w:rPr>
        <w:t>dans un des paragraphes qui précédent</w:t>
      </w:r>
      <w:r w:rsidR="00933C60" w:rsidRPr="00C406FF">
        <w:rPr>
          <w:rStyle w:val="Appelnotedebasdep"/>
        </w:rPr>
        <w:footnoteReference w:id="620"/>
      </w:r>
      <w:r w:rsidR="00E65435">
        <w:rPr>
          <w:rFonts w:eastAsia="Arial Unicode MS"/>
          <w:bCs/>
          <w:lang w:eastAsia="fr-FR" w:bidi="he-IL"/>
        </w:rPr>
        <w:t xml:space="preserve">, </w:t>
      </w:r>
      <w:r w:rsidRPr="00C8701B">
        <w:rPr>
          <w:rFonts w:eastAsia="Arial Unicode MS"/>
          <w:bCs/>
          <w:lang w:eastAsia="fr-FR" w:bidi="he-IL"/>
        </w:rPr>
        <w:t>de combien de manières on a attaqué l</w:t>
      </w:r>
      <w:r w:rsidR="00557DE0">
        <w:rPr>
          <w:rFonts w:eastAsia="Arial Unicode MS"/>
          <w:bCs/>
          <w:lang w:eastAsia="fr-FR" w:bidi="he-IL"/>
        </w:rPr>
        <w:t>’</w:t>
      </w:r>
      <w:r w:rsidRPr="00C8701B">
        <w:rPr>
          <w:rFonts w:eastAsia="Arial Unicode MS"/>
          <w:bCs/>
          <w:lang w:eastAsia="fr-FR" w:bidi="he-IL"/>
        </w:rPr>
        <w:t>authenticité et la véracité des évangiles canoniques. Or</w:t>
      </w:r>
      <w:r w:rsidR="00E65435">
        <w:rPr>
          <w:rFonts w:eastAsia="Arial Unicode MS"/>
          <w:bCs/>
          <w:lang w:eastAsia="fr-FR" w:bidi="he-IL"/>
        </w:rPr>
        <w:t xml:space="preserve">, </w:t>
      </w:r>
      <w:r w:rsidR="00DA33E5">
        <w:rPr>
          <w:rFonts w:eastAsia="Arial Unicode MS"/>
          <w:lang w:eastAsia="fr-FR" w:bidi="he-IL"/>
        </w:rPr>
        <w:t>« </w:t>
      </w:r>
      <w:r w:rsidRPr="00C8701B">
        <w:rPr>
          <w:rFonts w:eastAsia="Arial Unicode MS"/>
          <w:bCs/>
          <w:lang w:eastAsia="fr-FR" w:bidi="he-IL"/>
        </w:rPr>
        <w:t>le principal mérite</w:t>
      </w:r>
      <w:r w:rsidR="00E65435">
        <w:rPr>
          <w:rFonts w:eastAsia="Arial Unicode MS"/>
          <w:bCs/>
          <w:lang w:eastAsia="fr-FR" w:bidi="he-IL"/>
        </w:rPr>
        <w:t xml:space="preserve">, </w:t>
      </w:r>
      <w:r w:rsidRPr="00C8701B">
        <w:rPr>
          <w:rFonts w:eastAsia="Arial Unicode MS"/>
          <w:bCs/>
          <w:lang w:eastAsia="fr-FR" w:bidi="he-IL"/>
        </w:rPr>
        <w:t>le sens le plus important pour nous des évangiles apocryphes</w:t>
      </w:r>
      <w:r w:rsidR="00E65435">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est qu</w:t>
      </w:r>
      <w:r w:rsidR="00557DE0">
        <w:rPr>
          <w:rFonts w:eastAsia="Arial Unicode MS"/>
          <w:bCs/>
          <w:lang w:eastAsia="fr-FR" w:bidi="he-IL"/>
        </w:rPr>
        <w:t>’</w:t>
      </w:r>
      <w:r w:rsidRPr="00C8701B">
        <w:rPr>
          <w:rFonts w:eastAsia="Arial Unicode MS"/>
          <w:bCs/>
          <w:lang w:eastAsia="fr-FR" w:bidi="he-IL"/>
        </w:rPr>
        <w:t>ils nous préparent à estimer à leur juste valeur</w:t>
      </w:r>
      <w:r w:rsidR="00C2602D" w:rsidRPr="00C8701B">
        <w:rPr>
          <w:rFonts w:eastAsia="Arial Unicode MS"/>
          <w:bCs/>
          <w:lang w:eastAsia="fr-FR" w:bidi="he-IL"/>
        </w:rPr>
        <w:t> »</w:t>
      </w:r>
      <w:r w:rsidRPr="00C8701B">
        <w:rPr>
          <w:rFonts w:eastAsia="Arial Unicode MS"/>
          <w:bCs/>
          <w:lang w:eastAsia="fr-FR" w:bidi="he-IL"/>
        </w:rPr>
        <w:t xml:space="preserve"> ces quatre évangiles dans lesquels l</w:t>
      </w:r>
      <w:r w:rsidR="00557DE0">
        <w:rPr>
          <w:rFonts w:eastAsia="Arial Unicode MS"/>
          <w:bCs/>
          <w:lang w:eastAsia="fr-FR" w:bidi="he-IL"/>
        </w:rPr>
        <w:t>’</w:t>
      </w:r>
      <w:r w:rsidR="00C8701B">
        <w:rPr>
          <w:rFonts w:eastAsia="Arial Unicode MS"/>
          <w:bCs/>
          <w:lang w:eastAsia="fr-FR" w:bidi="he-IL"/>
        </w:rPr>
        <w:t>Église</w:t>
      </w:r>
      <w:r w:rsidRPr="00C8701B">
        <w:rPr>
          <w:rFonts w:eastAsia="Arial Unicode MS"/>
          <w:bCs/>
          <w:lang w:eastAsia="fr-FR" w:bidi="he-IL"/>
        </w:rPr>
        <w:t xml:space="preserve"> a toujours reconnu la seule histoire véritable de N. S. Jésus-Christ</w:t>
      </w:r>
      <w:r w:rsidR="00E65435">
        <w:rPr>
          <w:rFonts w:eastAsia="Arial Unicode MS"/>
          <w:bCs/>
          <w:lang w:eastAsia="fr-FR" w:bidi="he-IL"/>
        </w:rPr>
        <w:t xml:space="preserve">, </w:t>
      </w:r>
      <w:r w:rsidRPr="00C8701B">
        <w:rPr>
          <w:rFonts w:eastAsia="Arial Unicode MS"/>
          <w:bCs/>
          <w:lang w:eastAsia="fr-FR" w:bidi="he-IL"/>
        </w:rPr>
        <w:t>son divin Fondateur.</w:t>
      </w:r>
      <w:r w:rsidR="00C2602D" w:rsidRPr="00C8701B">
        <w:rPr>
          <w:rFonts w:eastAsia="Arial Unicode MS"/>
          <w:bCs/>
          <w:lang w:eastAsia="fr-FR" w:bidi="he-IL"/>
        </w:rPr>
        <w:t xml:space="preserve"> </w:t>
      </w:r>
    </w:p>
    <w:p w:rsidR="00C2602D" w:rsidRPr="00C8701B" w:rsidRDefault="00DA33E5" w:rsidP="00DA33E5">
      <w:pPr>
        <w:rPr>
          <w:rFonts w:eastAsia="Arial Unicode MS"/>
          <w:bCs/>
          <w:lang w:eastAsia="fr-FR" w:bidi="he-IL"/>
        </w:rPr>
      </w:pPr>
      <w:r>
        <w:rPr>
          <w:rStyle w:val="italicus"/>
        </w:rPr>
        <w:t>a</w:t>
      </w:r>
      <w:r w:rsidR="00B704AD" w:rsidRPr="00DC4586">
        <w:rPr>
          <w:rStyle w:val="italicus"/>
        </w:rPr>
        <w:t>.</w:t>
      </w:r>
      <w:r w:rsidR="00B704AD" w:rsidRPr="00C8701B">
        <w:rPr>
          <w:rFonts w:eastAsia="Arial Unicode MS"/>
          <w:bCs/>
          <w:lang w:eastAsia="fr-FR" w:bidi="he-IL"/>
        </w:rPr>
        <w:t xml:space="preserve"> </w:t>
      </w:r>
      <w:r w:rsidR="00C2602D" w:rsidRPr="00C8701B">
        <w:rPr>
          <w:rFonts w:eastAsia="Arial Unicode MS"/>
          <w:bCs/>
          <w:lang w:eastAsia="fr-FR" w:bidi="he-IL"/>
        </w:rPr>
        <w:t>« </w:t>
      </w:r>
      <w:r w:rsidR="00B704AD" w:rsidRPr="00C8701B">
        <w:rPr>
          <w:rFonts w:eastAsia="Arial Unicode MS"/>
          <w:bCs/>
          <w:lang w:eastAsia="fr-FR" w:bidi="he-IL"/>
        </w:rPr>
        <w:t xml:space="preserve">Les </w:t>
      </w:r>
      <w:r w:rsidR="000439E9">
        <w:rPr>
          <w:rFonts w:eastAsia="Arial Unicode MS"/>
          <w:bCs/>
          <w:lang w:eastAsia="fr-FR" w:bidi="he-IL"/>
        </w:rPr>
        <w:t>Évangile</w:t>
      </w:r>
      <w:r w:rsidR="00B704AD" w:rsidRPr="00C8701B">
        <w:rPr>
          <w:rFonts w:eastAsia="Arial Unicode MS"/>
          <w:bCs/>
          <w:lang w:eastAsia="fr-FR" w:bidi="he-IL"/>
        </w:rPr>
        <w:t>s apocryphes témoignent d</w:t>
      </w:r>
      <w:r w:rsidR="00557DE0">
        <w:rPr>
          <w:rFonts w:eastAsia="Arial Unicode MS"/>
          <w:bCs/>
          <w:lang w:eastAsia="fr-FR" w:bidi="he-IL"/>
        </w:rPr>
        <w:t>’</w:t>
      </w:r>
      <w:r w:rsidR="00B704AD" w:rsidRPr="00C8701B">
        <w:rPr>
          <w:rFonts w:eastAsia="Arial Unicode MS"/>
          <w:bCs/>
          <w:lang w:eastAsia="fr-FR" w:bidi="he-IL"/>
        </w:rPr>
        <w:t>abord en faveur des évangiles canoniques</w:t>
      </w:r>
      <w:r w:rsidR="00E65435">
        <w:rPr>
          <w:rFonts w:eastAsia="Arial Unicode MS"/>
          <w:bCs/>
          <w:lang w:eastAsia="fr-FR" w:bidi="he-IL"/>
        </w:rPr>
        <w:t xml:space="preserve">, </w:t>
      </w:r>
      <w:r w:rsidR="00B704AD" w:rsidRPr="00C8701B">
        <w:rPr>
          <w:rFonts w:eastAsia="Arial Unicode MS"/>
          <w:bCs/>
          <w:lang w:eastAsia="fr-FR" w:bidi="he-IL"/>
        </w:rPr>
        <w:t>comme toute contrefaçon nous reporte d</w:t>
      </w:r>
      <w:r w:rsidR="00557DE0">
        <w:rPr>
          <w:rFonts w:eastAsia="Arial Unicode MS"/>
          <w:bCs/>
          <w:lang w:eastAsia="fr-FR" w:bidi="he-IL"/>
        </w:rPr>
        <w:t>’</w:t>
      </w:r>
      <w:r w:rsidR="00B704AD" w:rsidRPr="00C8701B">
        <w:rPr>
          <w:rFonts w:eastAsia="Arial Unicode MS"/>
          <w:bCs/>
          <w:lang w:eastAsia="fr-FR" w:bidi="he-IL"/>
        </w:rPr>
        <w:t>une manière nécessaire à l</w:t>
      </w:r>
      <w:r w:rsidR="00557DE0">
        <w:rPr>
          <w:rFonts w:eastAsia="Arial Unicode MS"/>
          <w:bCs/>
          <w:lang w:eastAsia="fr-FR" w:bidi="he-IL"/>
        </w:rPr>
        <w:t>’</w:t>
      </w:r>
      <w:r w:rsidR="00B704AD" w:rsidRPr="00C8701B">
        <w:rPr>
          <w:rFonts w:eastAsia="Arial Unicode MS"/>
          <w:bCs/>
          <w:lang w:eastAsia="fr-FR" w:bidi="he-IL"/>
        </w:rPr>
        <w:t>œuvre originale</w:t>
      </w:r>
      <w:r w:rsidR="00C2602D" w:rsidRPr="00C8701B">
        <w:rPr>
          <w:rFonts w:eastAsia="Arial Unicode MS"/>
          <w:bCs/>
          <w:lang w:eastAsia="fr-FR" w:bidi="he-IL"/>
        </w:rPr>
        <w:t> :</w:t>
      </w:r>
      <w:r w:rsidR="00B704AD" w:rsidRPr="00DC4586">
        <w:rPr>
          <w:rStyle w:val="italicus"/>
        </w:rPr>
        <w:t xml:space="preserve"> </w:t>
      </w:r>
      <w:r w:rsidR="0096412E">
        <w:rPr>
          <w:rStyle w:val="italicus"/>
        </w:rPr>
        <w:t>Véritas</w:t>
      </w:r>
      <w:r w:rsidR="00B704AD" w:rsidRPr="00DC4586">
        <w:rPr>
          <w:rStyle w:val="italicus"/>
        </w:rPr>
        <w:t xml:space="preserve"> falsum </w:t>
      </w:r>
      <w:r w:rsidR="00557FD3">
        <w:rPr>
          <w:rStyle w:val="italicus"/>
        </w:rPr>
        <w:t>præ</w:t>
      </w:r>
      <w:r w:rsidR="00557FD3" w:rsidRPr="00DC4586">
        <w:rPr>
          <w:rStyle w:val="italicus"/>
        </w:rPr>
        <w:t>cédat</w:t>
      </w:r>
      <w:r w:rsidR="00B704AD" w:rsidRPr="00DC4586">
        <w:rPr>
          <w:rStyle w:val="italicus"/>
        </w:rPr>
        <w:t xml:space="preserve"> </w:t>
      </w:r>
      <w:r w:rsidR="00557FD3" w:rsidRPr="00DC4586">
        <w:rPr>
          <w:rStyle w:val="italicus"/>
        </w:rPr>
        <w:t>necésse</w:t>
      </w:r>
      <w:r w:rsidR="00B704AD" w:rsidRPr="00DC4586">
        <w:rPr>
          <w:rStyle w:val="italicus"/>
        </w:rPr>
        <w:t xml:space="preserve"> est</w:t>
      </w:r>
      <w:r w:rsidR="00E65435">
        <w:rPr>
          <w:rStyle w:val="italicus"/>
        </w:rPr>
        <w:t xml:space="preserve">, </w:t>
      </w:r>
      <w:r w:rsidR="00B704AD" w:rsidRPr="00C8701B">
        <w:rPr>
          <w:rFonts w:eastAsia="Arial Unicode MS"/>
          <w:bCs/>
          <w:lang w:eastAsia="fr-FR" w:bidi="he-IL"/>
        </w:rPr>
        <w:t>dit Tertullien</w:t>
      </w:r>
      <w:r w:rsidR="00933C60" w:rsidRPr="00C406FF">
        <w:rPr>
          <w:rStyle w:val="Appelnotedebasdep"/>
        </w:rPr>
        <w:footnoteReference w:id="621"/>
      </w:r>
      <w:r w:rsidR="00B704AD" w:rsidRPr="00C8701B">
        <w:rPr>
          <w:rFonts w:eastAsia="Arial Unicode MS"/>
          <w:bCs/>
          <w:lang w:eastAsia="fr-FR" w:bidi="he-IL"/>
        </w:rPr>
        <w:t xml:space="preserve">. </w:t>
      </w:r>
      <w:r>
        <w:rPr>
          <w:rFonts w:eastAsia="Arial Unicode MS"/>
          <w:bCs/>
          <w:lang w:eastAsia="fr-FR" w:bidi="he-IL"/>
        </w:rPr>
        <w:t>{121</w:t>
      </w:r>
      <w:bookmarkStart w:id="185" w:name="pag121"/>
      <w:bookmarkEnd w:id="185"/>
      <w:r>
        <w:rPr>
          <w:rFonts w:eastAsia="Arial Unicode MS"/>
          <w:bCs/>
          <w:lang w:eastAsia="fr-FR" w:bidi="he-IL"/>
        </w:rPr>
        <w:t xml:space="preserve">} </w:t>
      </w:r>
      <w:r w:rsidR="00B704AD" w:rsidRPr="00C8701B">
        <w:rPr>
          <w:rFonts w:eastAsia="Arial Unicode MS"/>
          <w:bCs/>
          <w:lang w:eastAsia="fr-FR" w:bidi="he-IL"/>
        </w:rPr>
        <w:t>Le cadre évangélique est accepté pour tous les récits de la société ch</w:t>
      </w:r>
      <w:r>
        <w:rPr>
          <w:rFonts w:eastAsia="Arial Unicode MS"/>
          <w:bCs/>
          <w:lang w:eastAsia="fr-FR" w:bidi="he-IL"/>
        </w:rPr>
        <w:t>rétienne... Il</w:t>
      </w:r>
      <w:r w:rsidR="00B704AD" w:rsidRPr="00C8701B">
        <w:rPr>
          <w:rFonts w:eastAsia="Arial Unicode MS"/>
          <w:bCs/>
          <w:lang w:eastAsia="fr-FR" w:bidi="he-IL"/>
        </w:rPr>
        <w:t xml:space="preserve"> y a aussi les noms qui nous sont connus par l</w:t>
      </w:r>
      <w:r w:rsidR="00557DE0">
        <w:rPr>
          <w:rFonts w:eastAsia="Arial Unicode MS"/>
          <w:bCs/>
          <w:lang w:eastAsia="fr-FR" w:bidi="he-IL"/>
        </w:rPr>
        <w:t>’</w:t>
      </w:r>
      <w:r w:rsidR="00B704AD" w:rsidRPr="00C8701B">
        <w:rPr>
          <w:rFonts w:eastAsia="Arial Unicode MS"/>
          <w:bCs/>
          <w:lang w:eastAsia="fr-FR" w:bidi="he-IL"/>
        </w:rPr>
        <w:t>évangile... Les évangiles apocryphes faisaient plus encore</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leurs récits n</w:t>
      </w:r>
      <w:r w:rsidR="00557DE0">
        <w:rPr>
          <w:rFonts w:eastAsia="Arial Unicode MS"/>
          <w:bCs/>
          <w:lang w:eastAsia="fr-FR" w:bidi="he-IL"/>
        </w:rPr>
        <w:t>’</w:t>
      </w:r>
      <w:r w:rsidR="00B704AD" w:rsidRPr="00C8701B">
        <w:rPr>
          <w:rFonts w:eastAsia="Arial Unicode MS"/>
          <w:bCs/>
          <w:lang w:eastAsia="fr-FR" w:bidi="he-IL"/>
        </w:rPr>
        <w:t>étaient parfois qu</w:t>
      </w:r>
      <w:r w:rsidR="00557DE0">
        <w:rPr>
          <w:rFonts w:eastAsia="Arial Unicode MS"/>
          <w:bCs/>
          <w:lang w:eastAsia="fr-FR" w:bidi="he-IL"/>
        </w:rPr>
        <w:t>’</w:t>
      </w:r>
      <w:r w:rsidR="00B704AD" w:rsidRPr="00C8701B">
        <w:rPr>
          <w:rFonts w:eastAsia="Arial Unicode MS"/>
          <w:bCs/>
          <w:lang w:eastAsia="fr-FR" w:bidi="he-IL"/>
        </w:rPr>
        <w:t>un commentaire</w:t>
      </w:r>
      <w:r w:rsidR="00E65435">
        <w:rPr>
          <w:rFonts w:eastAsia="Arial Unicode MS"/>
          <w:bCs/>
          <w:lang w:eastAsia="fr-FR" w:bidi="he-IL"/>
        </w:rPr>
        <w:t xml:space="preserve">, </w:t>
      </w:r>
      <w:r w:rsidR="00B704AD" w:rsidRPr="00C8701B">
        <w:rPr>
          <w:rFonts w:eastAsia="Arial Unicode MS"/>
          <w:bCs/>
          <w:lang w:eastAsia="fr-FR" w:bidi="he-IL"/>
        </w:rPr>
        <w:t>qu</w:t>
      </w:r>
      <w:r w:rsidR="00557DE0">
        <w:rPr>
          <w:rFonts w:eastAsia="Arial Unicode MS"/>
          <w:bCs/>
          <w:lang w:eastAsia="fr-FR" w:bidi="he-IL"/>
        </w:rPr>
        <w:t>’</w:t>
      </w:r>
      <w:r w:rsidR="00B704AD" w:rsidRPr="00C8701B">
        <w:rPr>
          <w:rFonts w:eastAsia="Arial Unicode MS"/>
          <w:bCs/>
          <w:lang w:eastAsia="fr-FR" w:bidi="he-IL"/>
        </w:rPr>
        <w:t>une paraphrase des faits du Nouveau Testament</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ils procédaient par allusion évidente aux textes</w:t>
      </w:r>
      <w:r w:rsidR="00E65435">
        <w:rPr>
          <w:rFonts w:eastAsia="Arial Unicode MS"/>
          <w:bCs/>
          <w:lang w:eastAsia="fr-FR" w:bidi="he-IL"/>
        </w:rPr>
        <w:t xml:space="preserve">, </w:t>
      </w:r>
      <w:r w:rsidR="00B704AD" w:rsidRPr="00C8701B">
        <w:rPr>
          <w:rFonts w:eastAsia="Arial Unicode MS"/>
          <w:bCs/>
          <w:lang w:eastAsia="fr-FR" w:bidi="he-IL"/>
        </w:rPr>
        <w:t>et quelquefois les citaient même intégralement... Les évangiles apocryphes rendent donc témoignage au cadre des évangiles canoniques</w:t>
      </w:r>
      <w:r w:rsidR="00E65435">
        <w:rPr>
          <w:rFonts w:eastAsia="Arial Unicode MS"/>
          <w:bCs/>
          <w:lang w:eastAsia="fr-FR" w:bidi="he-IL"/>
        </w:rPr>
        <w:t xml:space="preserve">, </w:t>
      </w:r>
      <w:r w:rsidR="00B704AD" w:rsidRPr="00C8701B">
        <w:rPr>
          <w:rFonts w:eastAsia="Arial Unicode MS"/>
          <w:bCs/>
          <w:lang w:eastAsia="fr-FR" w:bidi="he-IL"/>
        </w:rPr>
        <w:t>à leurs personnages</w:t>
      </w:r>
      <w:r w:rsidR="00E65435">
        <w:rPr>
          <w:rFonts w:eastAsia="Arial Unicode MS"/>
          <w:bCs/>
          <w:lang w:eastAsia="fr-FR" w:bidi="he-IL"/>
        </w:rPr>
        <w:t xml:space="preserve">, </w:t>
      </w:r>
      <w:r w:rsidR="00B704AD" w:rsidRPr="00C8701B">
        <w:rPr>
          <w:rFonts w:eastAsia="Arial Unicode MS"/>
          <w:bCs/>
          <w:lang w:eastAsia="fr-FR" w:bidi="he-IL"/>
        </w:rPr>
        <w:t>à leurs textes</w:t>
      </w:r>
      <w:r w:rsidR="00E65435">
        <w:rPr>
          <w:rFonts w:eastAsia="Arial Unicode MS"/>
          <w:bCs/>
          <w:lang w:eastAsia="fr-FR" w:bidi="he-IL"/>
        </w:rPr>
        <w:t xml:space="preserve">, </w:t>
      </w:r>
      <w:r w:rsidR="00B704AD" w:rsidRPr="00C8701B">
        <w:rPr>
          <w:rFonts w:eastAsia="Arial Unicode MS"/>
          <w:bCs/>
          <w:lang w:eastAsia="fr-FR" w:bidi="he-IL"/>
        </w:rPr>
        <w:t>et à toutes les traditions de la prédication évangélique.</w:t>
      </w:r>
      <w:r w:rsidR="00C2602D" w:rsidRPr="00C8701B">
        <w:rPr>
          <w:rFonts w:eastAsia="Arial Unicode MS"/>
          <w:bCs/>
          <w:lang w:eastAsia="fr-FR" w:bidi="he-IL"/>
        </w:rPr>
        <w:t xml:space="preserve"> </w:t>
      </w:r>
    </w:p>
    <w:p w:rsidR="00C2602D" w:rsidRPr="00C8701B" w:rsidRDefault="00DA33E5" w:rsidP="00DA33E5">
      <w:pPr>
        <w:rPr>
          <w:rFonts w:eastAsia="Arial Unicode MS"/>
          <w:bCs/>
          <w:lang w:eastAsia="fr-FR" w:bidi="he-IL"/>
        </w:rPr>
      </w:pPr>
      <w:r w:rsidRPr="00DA33E5">
        <w:rPr>
          <w:rStyle w:val="italicus"/>
        </w:rPr>
        <w:t>b</w:t>
      </w:r>
      <w:r w:rsidR="00B704AD" w:rsidRPr="00DA33E5">
        <w:rPr>
          <w:rStyle w:val="italicus"/>
        </w:rPr>
        <w:t>.</w:t>
      </w:r>
      <w:r w:rsidR="001B4203">
        <w:rPr>
          <w:rFonts w:eastAsia="Arial Unicode MS"/>
          <w:bCs/>
          <w:lang w:eastAsia="fr-FR" w:bidi="he-IL"/>
        </w:rPr>
        <w:t xml:space="preserve"> </w:t>
      </w:r>
      <w:r>
        <w:rPr>
          <w:rFonts w:eastAsia="Arial Unicode MS"/>
          <w:bCs/>
          <w:lang w:eastAsia="fr-FR" w:bidi="he-IL"/>
        </w:rPr>
        <w:t>» </w:t>
      </w:r>
      <w:r w:rsidR="00B704AD" w:rsidRPr="00C8701B">
        <w:rPr>
          <w:rFonts w:eastAsia="Arial Unicode MS"/>
          <w:bCs/>
          <w:lang w:eastAsia="fr-FR" w:bidi="he-IL"/>
        </w:rPr>
        <w:t>Ils rendent en outre un autre témoignage non moins sensible par leurs défauts mêmes</w:t>
      </w:r>
      <w:r w:rsidR="00E65435">
        <w:rPr>
          <w:rFonts w:eastAsia="Arial Unicode MS"/>
          <w:bCs/>
          <w:lang w:eastAsia="fr-FR" w:bidi="he-IL"/>
        </w:rPr>
        <w:t xml:space="preserve">, </w:t>
      </w:r>
      <w:r w:rsidR="00B704AD" w:rsidRPr="00C8701B">
        <w:rPr>
          <w:rFonts w:eastAsia="Arial Unicode MS"/>
          <w:bCs/>
          <w:lang w:eastAsia="fr-FR" w:bidi="he-IL"/>
        </w:rPr>
        <w:t>par leur manque</w:t>
      </w:r>
      <w:r>
        <w:rPr>
          <w:rFonts w:eastAsia="Arial Unicode MS"/>
          <w:bCs/>
          <w:lang w:eastAsia="fr-FR" w:bidi="he-IL"/>
        </w:rPr>
        <w:t xml:space="preserve"> </w:t>
      </w:r>
      <w:r w:rsidR="00B704AD" w:rsidRPr="00C8701B">
        <w:rPr>
          <w:rFonts w:eastAsia="Arial Unicode MS"/>
          <w:bCs/>
          <w:lang w:eastAsia="fr-FR" w:bidi="he-IL"/>
        </w:rPr>
        <w:t>de doctrine</w:t>
      </w:r>
      <w:r w:rsidR="00933C60" w:rsidRPr="00C406FF">
        <w:rPr>
          <w:rStyle w:val="Appelnotedebasdep"/>
        </w:rPr>
        <w:footnoteReference w:id="622"/>
      </w:r>
      <w:r w:rsidR="00E65435">
        <w:rPr>
          <w:rFonts w:eastAsia="Arial Unicode MS"/>
          <w:bCs/>
          <w:lang w:eastAsia="fr-FR" w:bidi="he-IL"/>
        </w:rPr>
        <w:t xml:space="preserve">, </w:t>
      </w:r>
      <w:r w:rsidR="00B704AD" w:rsidRPr="00C8701B">
        <w:rPr>
          <w:rFonts w:eastAsia="Arial Unicode MS"/>
          <w:bCs/>
          <w:lang w:eastAsia="fr-FR" w:bidi="he-IL"/>
        </w:rPr>
        <w:t xml:space="preserve">par la </w:t>
      </w:r>
      <w:r w:rsidR="00557FD3" w:rsidRPr="00C8701B">
        <w:rPr>
          <w:rFonts w:eastAsia="Arial Unicode MS"/>
          <w:bCs/>
          <w:lang w:eastAsia="fr-FR" w:bidi="he-IL"/>
        </w:rPr>
        <w:t>puérilité du</w:t>
      </w:r>
      <w:r w:rsidR="00B704AD" w:rsidRPr="00C8701B">
        <w:rPr>
          <w:rFonts w:eastAsia="Arial Unicode MS"/>
          <w:bCs/>
          <w:lang w:eastAsia="fr-FR" w:bidi="he-IL"/>
        </w:rPr>
        <w:t xml:space="preserve"> merveilleux... Lorsqu</w:t>
      </w:r>
      <w:r w:rsidR="00557DE0">
        <w:rPr>
          <w:rFonts w:eastAsia="Arial Unicode MS"/>
          <w:bCs/>
          <w:lang w:eastAsia="fr-FR" w:bidi="he-IL"/>
        </w:rPr>
        <w:t>’</w:t>
      </w:r>
      <w:r w:rsidR="00B704AD" w:rsidRPr="00C8701B">
        <w:rPr>
          <w:rFonts w:eastAsia="Arial Unicode MS"/>
          <w:bCs/>
          <w:lang w:eastAsia="fr-FR" w:bidi="he-IL"/>
        </w:rPr>
        <w:t>on les rapproche de</w:t>
      </w:r>
      <w:r>
        <w:rPr>
          <w:rFonts w:eastAsia="Arial Unicode MS"/>
          <w:bCs/>
          <w:lang w:eastAsia="fr-FR" w:bidi="he-IL"/>
        </w:rPr>
        <w:t>s</w:t>
      </w:r>
      <w:r w:rsidR="00B704AD" w:rsidRPr="00C8701B">
        <w:rPr>
          <w:rFonts w:eastAsia="Arial Unicode MS"/>
          <w:bCs/>
          <w:lang w:eastAsia="fr-FR" w:bidi="he-IL"/>
        </w:rPr>
        <w:t xml:space="preserve"> évangiles canoniques</w:t>
      </w:r>
      <w:r w:rsidR="00E65435">
        <w:rPr>
          <w:rFonts w:eastAsia="Arial Unicode MS"/>
          <w:bCs/>
          <w:lang w:eastAsia="fr-FR" w:bidi="he-IL"/>
        </w:rPr>
        <w:t xml:space="preserve">, </w:t>
      </w:r>
      <w:r w:rsidR="00B704AD" w:rsidRPr="00C8701B">
        <w:rPr>
          <w:rFonts w:eastAsia="Arial Unicode MS"/>
          <w:bCs/>
          <w:lang w:eastAsia="fr-FR" w:bidi="he-IL"/>
        </w:rPr>
        <w:t>on sent mieux que ces compositions ont tous les</w:t>
      </w:r>
      <w:r w:rsidR="00E65435">
        <w:rPr>
          <w:rFonts w:eastAsia="Arial Unicode MS"/>
          <w:bCs/>
          <w:lang w:eastAsia="fr-FR" w:bidi="he-IL"/>
        </w:rPr>
        <w:t xml:space="preserve"> </w:t>
      </w:r>
      <w:r w:rsidR="00B704AD" w:rsidRPr="00C8701B">
        <w:rPr>
          <w:rFonts w:eastAsia="Arial Unicode MS"/>
          <w:bCs/>
          <w:lang w:eastAsia="fr-FR" w:bidi="he-IL"/>
        </w:rPr>
        <w:t>dehors chrétiens qu</w:t>
      </w:r>
      <w:r w:rsidR="00557DE0">
        <w:rPr>
          <w:rFonts w:eastAsia="Arial Unicode MS"/>
          <w:bCs/>
          <w:lang w:eastAsia="fr-FR" w:bidi="he-IL"/>
        </w:rPr>
        <w:t>’</w:t>
      </w:r>
      <w:r w:rsidR="00B704AD" w:rsidRPr="00C8701B">
        <w:rPr>
          <w:rFonts w:eastAsia="Arial Unicode MS"/>
          <w:bCs/>
          <w:lang w:eastAsia="fr-FR" w:bidi="he-IL"/>
        </w:rPr>
        <w:t>elles sont susceptibles d</w:t>
      </w:r>
      <w:r w:rsidR="00557DE0">
        <w:rPr>
          <w:rFonts w:eastAsia="Arial Unicode MS"/>
          <w:bCs/>
          <w:lang w:eastAsia="fr-FR" w:bidi="he-IL"/>
        </w:rPr>
        <w:t>’</w:t>
      </w:r>
      <w:r w:rsidR="00B704AD" w:rsidRPr="00C8701B">
        <w:rPr>
          <w:rFonts w:eastAsia="Arial Unicode MS"/>
          <w:bCs/>
          <w:lang w:eastAsia="fr-FR" w:bidi="he-IL"/>
        </w:rPr>
        <w:t>avoir</w:t>
      </w:r>
      <w:r w:rsidR="00E65435">
        <w:rPr>
          <w:rFonts w:eastAsia="Arial Unicode MS"/>
          <w:bCs/>
          <w:lang w:eastAsia="fr-FR" w:bidi="he-IL"/>
        </w:rPr>
        <w:t xml:space="preserve">, </w:t>
      </w:r>
      <w:r w:rsidR="00B704AD" w:rsidRPr="00C8701B">
        <w:rPr>
          <w:rFonts w:eastAsia="Arial Unicode MS"/>
          <w:bCs/>
          <w:lang w:eastAsia="fr-FR" w:bidi="he-IL"/>
        </w:rPr>
        <w:t>mais qu</w:t>
      </w:r>
      <w:r w:rsidR="00557DE0">
        <w:rPr>
          <w:rFonts w:eastAsia="Arial Unicode MS"/>
          <w:bCs/>
          <w:lang w:eastAsia="fr-FR" w:bidi="he-IL"/>
        </w:rPr>
        <w:t>’</w:t>
      </w:r>
      <w:r>
        <w:rPr>
          <w:rFonts w:eastAsia="Arial Unicode MS"/>
          <w:bCs/>
          <w:lang w:eastAsia="fr-FR" w:bidi="he-IL"/>
        </w:rPr>
        <w:t>elles ne c</w:t>
      </w:r>
      <w:r w:rsidR="00B704AD" w:rsidRPr="00C8701B">
        <w:rPr>
          <w:rFonts w:eastAsia="Arial Unicode MS"/>
          <w:bCs/>
          <w:lang w:eastAsia="fr-FR" w:bidi="he-IL"/>
        </w:rPr>
        <w:t>onnaissent pas le fond de l</w:t>
      </w:r>
      <w:r w:rsidR="00557DE0">
        <w:rPr>
          <w:rFonts w:eastAsia="Arial Unicode MS"/>
          <w:bCs/>
          <w:lang w:eastAsia="fr-FR" w:bidi="he-IL"/>
        </w:rPr>
        <w:t>’</w:t>
      </w:r>
      <w:r w:rsidR="00B704AD" w:rsidRPr="00C8701B">
        <w:rPr>
          <w:rFonts w:eastAsia="Arial Unicode MS"/>
          <w:bCs/>
          <w:lang w:eastAsia="fr-FR" w:bidi="he-IL"/>
        </w:rPr>
        <w:t>enseignement évangélique. D</w:t>
      </w:r>
      <w:r w:rsidR="00557DE0">
        <w:rPr>
          <w:rFonts w:eastAsia="Arial Unicode MS"/>
          <w:bCs/>
          <w:lang w:eastAsia="fr-FR" w:bidi="he-IL"/>
        </w:rPr>
        <w:t>’</w:t>
      </w:r>
      <w:r w:rsidR="00B704AD" w:rsidRPr="00C8701B">
        <w:rPr>
          <w:rFonts w:eastAsia="Arial Unicode MS"/>
          <w:bCs/>
          <w:lang w:eastAsia="fr-FR" w:bidi="he-IL"/>
        </w:rPr>
        <w:t>où viennent les détails puérils</w:t>
      </w:r>
      <w:r w:rsidR="00C2602D" w:rsidRPr="00C8701B">
        <w:rPr>
          <w:rFonts w:eastAsia="Arial Unicode MS"/>
          <w:bCs/>
          <w:lang w:eastAsia="fr-FR" w:bidi="he-IL"/>
        </w:rPr>
        <w:t> ?</w:t>
      </w:r>
      <w:r>
        <w:rPr>
          <w:rFonts w:eastAsia="Arial Unicode MS"/>
          <w:bCs/>
          <w:lang w:eastAsia="fr-FR" w:bidi="he-IL"/>
        </w:rPr>
        <w:t xml:space="preserve"> Il</w:t>
      </w:r>
      <w:r w:rsidR="00B704AD" w:rsidRPr="00C8701B">
        <w:rPr>
          <w:rFonts w:eastAsia="Arial Unicode MS"/>
          <w:bCs/>
          <w:lang w:eastAsia="fr-FR" w:bidi="he-IL"/>
        </w:rPr>
        <w:t xml:space="preserve">s ont </w:t>
      </w:r>
      <w:r w:rsidR="00557FD3" w:rsidRPr="00C8701B">
        <w:rPr>
          <w:rFonts w:eastAsia="Arial Unicode MS"/>
          <w:bCs/>
          <w:lang w:eastAsia="fr-FR" w:bidi="he-IL"/>
        </w:rPr>
        <w:t>évidemment une</w:t>
      </w:r>
      <w:r w:rsidR="00B704AD" w:rsidRPr="00C8701B">
        <w:rPr>
          <w:rFonts w:eastAsia="Arial Unicode MS"/>
          <w:bCs/>
          <w:lang w:eastAsia="fr-FR" w:bidi="he-IL"/>
        </w:rPr>
        <w:t xml:space="preserve"> origine populaire... Ceux qui rédigeaient de semblables compositions n</w:t>
      </w:r>
      <w:r w:rsidR="00557DE0">
        <w:rPr>
          <w:rFonts w:eastAsia="Arial Unicode MS"/>
          <w:bCs/>
          <w:lang w:eastAsia="fr-FR" w:bidi="he-IL"/>
        </w:rPr>
        <w:t>’</w:t>
      </w:r>
      <w:r w:rsidR="00B704AD" w:rsidRPr="00C8701B">
        <w:rPr>
          <w:rFonts w:eastAsia="Arial Unicode MS"/>
          <w:bCs/>
          <w:lang w:eastAsia="fr-FR" w:bidi="he-IL"/>
        </w:rPr>
        <w:t xml:space="preserve">avaient pas senti ce qui fait la véritable grandeur de </w:t>
      </w:r>
      <w:r w:rsidR="00234B88">
        <w:rPr>
          <w:rFonts w:eastAsia="Arial Unicode MS"/>
          <w:bCs/>
          <w:lang w:eastAsia="fr-FR" w:bidi="he-IL"/>
        </w:rPr>
        <w:t>Jésus-Christ</w:t>
      </w:r>
      <w:r w:rsidR="00B704AD" w:rsidRPr="00C8701B">
        <w:rPr>
          <w:rFonts w:eastAsia="Arial Unicode MS"/>
          <w:bCs/>
          <w:lang w:eastAsia="fr-FR" w:bidi="he-IL"/>
        </w:rPr>
        <w:t xml:space="preserve"> dans les évangiles canoniques</w:t>
      </w:r>
      <w:r w:rsidR="00E65435">
        <w:rPr>
          <w:rFonts w:eastAsia="Arial Unicode MS"/>
          <w:bCs/>
          <w:lang w:eastAsia="fr-FR" w:bidi="he-IL"/>
        </w:rPr>
        <w:t xml:space="preserve">, </w:t>
      </w:r>
      <w:r w:rsidR="00B704AD" w:rsidRPr="00C8701B">
        <w:rPr>
          <w:rFonts w:eastAsia="Arial Unicode MS"/>
          <w:bCs/>
          <w:lang w:eastAsia="fr-FR" w:bidi="he-IL"/>
        </w:rPr>
        <w:t>où les merveilles n</w:t>
      </w:r>
      <w:r w:rsidR="00557DE0">
        <w:rPr>
          <w:rFonts w:eastAsia="Arial Unicode MS"/>
          <w:bCs/>
          <w:lang w:eastAsia="fr-FR" w:bidi="he-IL"/>
        </w:rPr>
        <w:t>’</w:t>
      </w:r>
      <w:r w:rsidR="00B704AD" w:rsidRPr="00C8701B">
        <w:rPr>
          <w:rFonts w:eastAsia="Arial Unicode MS"/>
          <w:bCs/>
          <w:lang w:eastAsia="fr-FR" w:bidi="he-IL"/>
        </w:rPr>
        <w:t>y paraissent pas comme des tours de force</w:t>
      </w:r>
      <w:r w:rsidR="00E65435">
        <w:rPr>
          <w:rFonts w:eastAsia="Arial Unicode MS"/>
          <w:bCs/>
          <w:lang w:eastAsia="fr-FR" w:bidi="he-IL"/>
        </w:rPr>
        <w:t xml:space="preserve">, </w:t>
      </w:r>
      <w:r w:rsidR="00B704AD" w:rsidRPr="00C8701B">
        <w:rPr>
          <w:rFonts w:eastAsia="Arial Unicode MS"/>
          <w:bCs/>
          <w:lang w:eastAsia="fr-FR" w:bidi="he-IL"/>
        </w:rPr>
        <w:t>mais comme des bienfaits pour tous les hommes.</w:t>
      </w:r>
      <w:r w:rsidR="00C2602D" w:rsidRPr="00C8701B">
        <w:rPr>
          <w:rFonts w:eastAsia="Arial Unicode MS"/>
          <w:bCs/>
          <w:lang w:eastAsia="fr-FR" w:bidi="he-IL"/>
        </w:rPr>
        <w:t xml:space="preserve"> </w:t>
      </w:r>
    </w:p>
    <w:p w:rsidR="00C2602D" w:rsidRPr="00C8701B" w:rsidRDefault="00B704AD" w:rsidP="00DA33E5">
      <w:pPr>
        <w:rPr>
          <w:rFonts w:eastAsia="Arial Unicode MS"/>
          <w:bCs/>
          <w:lang w:eastAsia="fr-FR" w:bidi="he-IL"/>
        </w:rPr>
      </w:pPr>
      <w:r w:rsidRPr="00DA33E5">
        <w:rPr>
          <w:rStyle w:val="italicus"/>
        </w:rPr>
        <w:t>c.</w:t>
      </w:r>
      <w:r w:rsidR="00CE11E9">
        <w:rPr>
          <w:rFonts w:eastAsia="Arial Unicode MS"/>
          <w:lang w:eastAsia="fr-FR" w:bidi="he-IL"/>
        </w:rPr>
        <w:t xml:space="preserve"> </w:t>
      </w:r>
      <w:r w:rsidR="00DA33E5">
        <w:rPr>
          <w:rFonts w:eastAsia="Arial Unicode MS"/>
          <w:bCs/>
          <w:lang w:eastAsia="fr-FR" w:bidi="he-IL"/>
        </w:rPr>
        <w:t>» </w:t>
      </w:r>
      <w:r w:rsidRPr="00C8701B">
        <w:rPr>
          <w:rFonts w:eastAsia="Arial Unicode MS"/>
          <w:bCs/>
          <w:lang w:eastAsia="fr-FR" w:bidi="he-IL"/>
        </w:rPr>
        <w:t>Le texte (des évangiles apocryphes) ne fut jamais respecté. Chacun le modifia à sa guise dès le commencement</w:t>
      </w:r>
      <w:r w:rsidR="00E65435">
        <w:rPr>
          <w:rFonts w:eastAsia="Arial Unicode MS"/>
          <w:bCs/>
          <w:lang w:eastAsia="fr-FR" w:bidi="he-IL"/>
        </w:rPr>
        <w:t xml:space="preserve">, </w:t>
      </w:r>
      <w:r w:rsidRPr="00C8701B">
        <w:rPr>
          <w:rFonts w:eastAsia="Arial Unicode MS"/>
          <w:bCs/>
          <w:lang w:eastAsia="fr-FR" w:bidi="he-IL"/>
        </w:rPr>
        <w:t>en Syrie</w:t>
      </w:r>
      <w:r w:rsidR="00E65435">
        <w:rPr>
          <w:rFonts w:eastAsia="Arial Unicode MS"/>
          <w:bCs/>
          <w:lang w:eastAsia="fr-FR" w:bidi="he-IL"/>
        </w:rPr>
        <w:t xml:space="preserve">, </w:t>
      </w:r>
      <w:r w:rsidRPr="00C8701B">
        <w:rPr>
          <w:rFonts w:eastAsia="Arial Unicode MS"/>
          <w:bCs/>
          <w:lang w:eastAsia="fr-FR" w:bidi="he-IL"/>
        </w:rPr>
        <w:t>en Asie</w:t>
      </w:r>
      <w:r w:rsidR="00E65435">
        <w:rPr>
          <w:rFonts w:eastAsia="Arial Unicode MS"/>
          <w:bCs/>
          <w:lang w:eastAsia="fr-FR" w:bidi="he-IL"/>
        </w:rPr>
        <w:t xml:space="preserve">, </w:t>
      </w:r>
      <w:r w:rsidRPr="00C8701B">
        <w:rPr>
          <w:rFonts w:eastAsia="Arial Unicode MS"/>
          <w:bCs/>
          <w:lang w:eastAsia="fr-FR" w:bidi="he-IL"/>
        </w:rPr>
        <w:t>à Rome</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tant cette parole</w:t>
      </w:r>
      <w:r w:rsidR="00E65435">
        <w:rPr>
          <w:rFonts w:eastAsia="Arial Unicode MS"/>
          <w:bCs/>
          <w:lang w:eastAsia="fr-FR" w:bidi="he-IL"/>
        </w:rPr>
        <w:t xml:space="preserve">, </w:t>
      </w:r>
      <w:r w:rsidRPr="00C8701B">
        <w:rPr>
          <w:rFonts w:eastAsia="Arial Unicode MS"/>
          <w:bCs/>
          <w:lang w:eastAsia="fr-FR" w:bidi="he-IL"/>
        </w:rPr>
        <w:t>cette forme extérieure du texte</w:t>
      </w:r>
      <w:r w:rsidR="00E65435">
        <w:rPr>
          <w:rFonts w:eastAsia="Arial Unicode MS"/>
          <w:bCs/>
          <w:lang w:eastAsia="fr-FR" w:bidi="he-IL"/>
        </w:rPr>
        <w:t xml:space="preserve">, </w:t>
      </w:r>
      <w:r w:rsidRPr="00C8701B">
        <w:rPr>
          <w:rFonts w:eastAsia="Arial Unicode MS"/>
          <w:bCs/>
          <w:lang w:eastAsia="fr-FR" w:bidi="he-IL"/>
        </w:rPr>
        <w:t>était humaine et appartenait à l</w:t>
      </w:r>
      <w:r w:rsidR="00557DE0">
        <w:rPr>
          <w:rFonts w:eastAsia="Arial Unicode MS"/>
          <w:bCs/>
          <w:lang w:eastAsia="fr-FR" w:bidi="he-IL"/>
        </w:rPr>
        <w:t>’</w:t>
      </w:r>
      <w:r w:rsidRPr="00C8701B">
        <w:rPr>
          <w:rFonts w:eastAsia="Arial Unicode MS"/>
          <w:bCs/>
          <w:lang w:eastAsia="fr-FR" w:bidi="he-IL"/>
        </w:rPr>
        <w:t>homme. Il n</w:t>
      </w:r>
      <w:r w:rsidR="00557DE0">
        <w:rPr>
          <w:rFonts w:eastAsia="Arial Unicode MS"/>
          <w:bCs/>
          <w:lang w:eastAsia="fr-FR" w:bidi="he-IL"/>
        </w:rPr>
        <w:t>’</w:t>
      </w:r>
      <w:r w:rsidRPr="00C8701B">
        <w:rPr>
          <w:rFonts w:eastAsia="Arial Unicode MS"/>
          <w:bCs/>
          <w:lang w:eastAsia="fr-FR" w:bidi="he-IL"/>
        </w:rPr>
        <w:t>en fut jamais ainsi du texte des évangiles canoniques... On a pu comparer les éditions du texte du Nouveau Testament et celles des évangiles apocryphes... Dans le texte du Nouveau Testament</w:t>
      </w:r>
      <w:r w:rsidR="00E65435">
        <w:rPr>
          <w:rFonts w:eastAsia="Arial Unicode MS"/>
          <w:bCs/>
          <w:lang w:eastAsia="fr-FR" w:bidi="he-IL"/>
        </w:rPr>
        <w:t xml:space="preserve">, </w:t>
      </w:r>
      <w:r w:rsidRPr="00C8701B">
        <w:rPr>
          <w:rFonts w:eastAsia="Arial Unicode MS"/>
          <w:bCs/>
          <w:lang w:eastAsia="fr-FR" w:bidi="he-IL"/>
        </w:rPr>
        <w:t>les variantes n</w:t>
      </w:r>
      <w:r w:rsidR="00557DE0">
        <w:rPr>
          <w:rFonts w:eastAsia="Arial Unicode MS"/>
          <w:bCs/>
          <w:lang w:eastAsia="fr-FR" w:bidi="he-IL"/>
        </w:rPr>
        <w:t>’</w:t>
      </w:r>
      <w:r w:rsidRPr="00C8701B">
        <w:rPr>
          <w:rFonts w:eastAsia="Arial Unicode MS"/>
          <w:bCs/>
          <w:lang w:eastAsia="fr-FR" w:bidi="he-IL"/>
        </w:rPr>
        <w:t xml:space="preserve">atteignent jamais la </w:t>
      </w:r>
      <w:r w:rsidR="00557FD3" w:rsidRPr="00C8701B">
        <w:rPr>
          <w:rFonts w:eastAsia="Arial Unicode MS"/>
          <w:bCs/>
          <w:lang w:eastAsia="fr-FR" w:bidi="he-IL"/>
        </w:rPr>
        <w:t>substance</w:t>
      </w:r>
      <w:r w:rsidRPr="00C8701B">
        <w:rPr>
          <w:rFonts w:eastAsia="Arial Unicode MS"/>
          <w:bCs/>
          <w:lang w:eastAsia="fr-FR" w:bidi="he-IL"/>
        </w:rPr>
        <w:t xml:space="preserve"> du récit</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dans l</w:t>
      </w:r>
      <w:r w:rsidR="00557DE0">
        <w:rPr>
          <w:rFonts w:eastAsia="Arial Unicode MS"/>
          <w:bCs/>
          <w:lang w:eastAsia="fr-FR" w:bidi="he-IL"/>
        </w:rPr>
        <w:t>’</w:t>
      </w:r>
      <w:r w:rsidRPr="00C8701B">
        <w:rPr>
          <w:rFonts w:eastAsia="Arial Unicode MS"/>
          <w:bCs/>
          <w:lang w:eastAsia="fr-FR" w:bidi="he-IL"/>
        </w:rPr>
        <w:t>édition des apocryphes</w:t>
      </w:r>
      <w:r w:rsidR="00E65435">
        <w:rPr>
          <w:rFonts w:eastAsia="Arial Unicode MS"/>
          <w:bCs/>
          <w:lang w:eastAsia="fr-FR" w:bidi="he-IL"/>
        </w:rPr>
        <w:t xml:space="preserve">, </w:t>
      </w:r>
      <w:r w:rsidRPr="00C8701B">
        <w:rPr>
          <w:rFonts w:eastAsia="Arial Unicode MS"/>
          <w:bCs/>
          <w:lang w:eastAsia="fr-FR" w:bidi="he-IL"/>
        </w:rPr>
        <w:t>on se trouve en face d</w:t>
      </w:r>
      <w:r w:rsidR="00557DE0">
        <w:rPr>
          <w:rFonts w:eastAsia="Arial Unicode MS"/>
          <w:bCs/>
          <w:lang w:eastAsia="fr-FR" w:bidi="he-IL"/>
        </w:rPr>
        <w:t>’</w:t>
      </w:r>
      <w:r w:rsidRPr="00C8701B">
        <w:rPr>
          <w:rFonts w:eastAsia="Arial Unicode MS"/>
          <w:bCs/>
          <w:lang w:eastAsia="fr-FR" w:bidi="he-IL"/>
        </w:rPr>
        <w:t>additions</w:t>
      </w:r>
      <w:r w:rsidR="00E65435">
        <w:rPr>
          <w:rFonts w:eastAsia="Arial Unicode MS"/>
          <w:bCs/>
          <w:lang w:eastAsia="fr-FR" w:bidi="he-IL"/>
        </w:rPr>
        <w:t xml:space="preserve">, </w:t>
      </w:r>
      <w:r w:rsidRPr="00C8701B">
        <w:rPr>
          <w:rFonts w:eastAsia="Arial Unicode MS"/>
          <w:bCs/>
          <w:lang w:eastAsia="fr-FR" w:bidi="he-IL"/>
        </w:rPr>
        <w:t>d</w:t>
      </w:r>
      <w:r w:rsidR="00557DE0">
        <w:rPr>
          <w:rFonts w:eastAsia="Arial Unicode MS"/>
          <w:bCs/>
          <w:lang w:eastAsia="fr-FR" w:bidi="he-IL"/>
        </w:rPr>
        <w:t>’</w:t>
      </w:r>
      <w:r w:rsidRPr="00C8701B">
        <w:rPr>
          <w:rFonts w:eastAsia="Arial Unicode MS"/>
          <w:bCs/>
          <w:lang w:eastAsia="fr-FR" w:bidi="he-IL"/>
        </w:rPr>
        <w:t>amplifications qui changent à vue selon les différents manuscrits... Que conclure</w:t>
      </w:r>
      <w:r w:rsidR="00E65435">
        <w:rPr>
          <w:rFonts w:eastAsia="Arial Unicode MS"/>
          <w:bCs/>
          <w:lang w:eastAsia="fr-FR" w:bidi="he-IL"/>
        </w:rPr>
        <w:t xml:space="preserve">, </w:t>
      </w:r>
      <w:r w:rsidRPr="00C8701B">
        <w:rPr>
          <w:rFonts w:eastAsia="Arial Unicode MS"/>
          <w:bCs/>
          <w:lang w:eastAsia="fr-FR" w:bidi="he-IL"/>
        </w:rPr>
        <w:t>sinon que l</w:t>
      </w:r>
      <w:r w:rsidR="00557DE0">
        <w:rPr>
          <w:rFonts w:eastAsia="Arial Unicode MS"/>
          <w:bCs/>
          <w:lang w:eastAsia="fr-FR" w:bidi="he-IL"/>
        </w:rPr>
        <w:t>’</w:t>
      </w:r>
      <w:r w:rsidRPr="00C8701B">
        <w:rPr>
          <w:rFonts w:eastAsia="Arial Unicode MS"/>
          <w:bCs/>
          <w:lang w:eastAsia="fr-FR" w:bidi="he-IL"/>
        </w:rPr>
        <w:t>une des histoires vient de Dieu</w:t>
      </w:r>
      <w:r w:rsidR="00E65435">
        <w:rPr>
          <w:rFonts w:eastAsia="Arial Unicode MS"/>
          <w:bCs/>
          <w:lang w:eastAsia="fr-FR" w:bidi="he-IL"/>
        </w:rPr>
        <w:t xml:space="preserve">, </w:t>
      </w:r>
      <w:r w:rsidRPr="00C8701B">
        <w:rPr>
          <w:rFonts w:eastAsia="Arial Unicode MS"/>
          <w:bCs/>
          <w:lang w:eastAsia="fr-FR" w:bidi="he-IL"/>
        </w:rPr>
        <w:t>et que l</w:t>
      </w:r>
      <w:r w:rsidR="00557DE0">
        <w:rPr>
          <w:rFonts w:eastAsia="Arial Unicode MS"/>
          <w:bCs/>
          <w:lang w:eastAsia="fr-FR" w:bidi="he-IL"/>
        </w:rPr>
        <w:t>’</w:t>
      </w:r>
      <w:r w:rsidRPr="00C8701B">
        <w:rPr>
          <w:rFonts w:eastAsia="Arial Unicode MS"/>
          <w:bCs/>
          <w:lang w:eastAsia="fr-FR" w:bidi="he-IL"/>
        </w:rPr>
        <w:t>autre émane des hommes</w:t>
      </w:r>
      <w:r w:rsidR="00933C60" w:rsidRPr="00C406FF">
        <w:rPr>
          <w:rStyle w:val="Appelnotedebasdep"/>
        </w:rPr>
        <w:footnoteReference w:id="623"/>
      </w:r>
      <w:r w:rsidR="00C2602D" w:rsidRPr="00C8701B">
        <w:rPr>
          <w:rFonts w:eastAsia="Arial Unicode MS"/>
          <w:bCs/>
          <w:lang w:eastAsia="fr-FR" w:bidi="he-IL"/>
        </w:rPr>
        <w:t xml:space="preserve"> ? </w:t>
      </w:r>
    </w:p>
    <w:p w:rsidR="00C2602D" w:rsidRPr="00C8701B" w:rsidRDefault="00B704AD" w:rsidP="00DA33E5">
      <w:pPr>
        <w:rPr>
          <w:rFonts w:eastAsia="Arial Unicode MS"/>
          <w:bCs/>
          <w:lang w:eastAsia="fr-FR" w:bidi="he-IL"/>
        </w:rPr>
      </w:pPr>
      <w:r w:rsidRPr="00E30BB2">
        <w:rPr>
          <w:rStyle w:val="italicus"/>
        </w:rPr>
        <w:t>d.</w:t>
      </w:r>
      <w:r w:rsidR="00605074" w:rsidRPr="00C8701B">
        <w:rPr>
          <w:rFonts w:eastAsia="Arial Unicode MS"/>
          <w:lang w:eastAsia="fr-FR" w:bidi="he-IL"/>
        </w:rPr>
        <w:t xml:space="preserve"> </w:t>
      </w:r>
      <w:r w:rsidR="00DA33E5">
        <w:rPr>
          <w:rFonts w:eastAsia="Arial Unicode MS"/>
          <w:bCs/>
          <w:lang w:eastAsia="fr-FR" w:bidi="he-IL"/>
        </w:rPr>
        <w:t>» </w:t>
      </w:r>
      <w:r w:rsidRPr="00C8701B">
        <w:rPr>
          <w:rFonts w:eastAsia="Arial Unicode MS"/>
          <w:bCs/>
          <w:lang w:eastAsia="fr-FR" w:bidi="he-IL"/>
        </w:rPr>
        <w:t>Aussi bien</w:t>
      </w:r>
      <w:r w:rsidR="00E65435">
        <w:rPr>
          <w:rFonts w:eastAsia="Arial Unicode MS"/>
          <w:bCs/>
          <w:lang w:eastAsia="fr-FR" w:bidi="he-IL"/>
        </w:rPr>
        <w:t xml:space="preserve">, </w:t>
      </w:r>
      <w:r w:rsidRPr="00C8701B">
        <w:rPr>
          <w:rFonts w:eastAsia="Arial Unicode MS"/>
          <w:bCs/>
          <w:lang w:eastAsia="fr-FR" w:bidi="he-IL"/>
        </w:rPr>
        <w:t>quand les rationalistes affectent de mettre les évangiles canoniques sur le même pied que les évangiles apocryphes</w:t>
      </w:r>
      <w:r w:rsidR="00E65435">
        <w:rPr>
          <w:rFonts w:eastAsia="Arial Unicode MS"/>
          <w:bCs/>
          <w:lang w:eastAsia="fr-FR" w:bidi="he-IL"/>
        </w:rPr>
        <w:t xml:space="preserve">, </w:t>
      </w:r>
      <w:r w:rsidRPr="00C8701B">
        <w:rPr>
          <w:rFonts w:eastAsia="Arial Unicode MS"/>
          <w:bCs/>
          <w:lang w:eastAsia="fr-FR" w:bidi="he-IL"/>
        </w:rPr>
        <w:t>et de les regarder</w:t>
      </w:r>
      <w:r w:rsidR="00E65435">
        <w:rPr>
          <w:rFonts w:eastAsia="Arial Unicode MS"/>
          <w:bCs/>
          <w:lang w:eastAsia="fr-FR" w:bidi="he-IL"/>
        </w:rPr>
        <w:t xml:space="preserve">, </w:t>
      </w:r>
      <w:r w:rsidR="00366671">
        <w:rPr>
          <w:rFonts w:eastAsia="Arial Unicode MS"/>
          <w:bCs/>
          <w:lang w:eastAsia="fr-FR" w:bidi="he-IL"/>
        </w:rPr>
        <w:t>{122</w:t>
      </w:r>
      <w:bookmarkStart w:id="186" w:name="pag122"/>
      <w:bookmarkEnd w:id="186"/>
      <w:r w:rsidR="00366671">
        <w:rPr>
          <w:rFonts w:eastAsia="Arial Unicode MS"/>
          <w:bCs/>
          <w:lang w:eastAsia="fr-FR" w:bidi="he-IL"/>
        </w:rPr>
        <w:t xml:space="preserve">} </w:t>
      </w:r>
      <w:r w:rsidRPr="00C8701B">
        <w:rPr>
          <w:rFonts w:eastAsia="Arial Unicode MS"/>
          <w:bCs/>
          <w:lang w:eastAsia="fr-FR" w:bidi="he-IL"/>
        </w:rPr>
        <w:t>les uns et</w:t>
      </w:r>
      <w:r w:rsidR="00366671">
        <w:rPr>
          <w:rFonts w:eastAsia="Arial Unicode MS"/>
          <w:bCs/>
          <w:lang w:eastAsia="fr-FR" w:bidi="he-IL"/>
        </w:rPr>
        <w:t xml:space="preserve"> </w:t>
      </w:r>
      <w:r w:rsidRPr="00C8701B">
        <w:rPr>
          <w:rFonts w:eastAsia="Arial Unicode MS"/>
          <w:bCs/>
          <w:lang w:eastAsia="fr-FR" w:bidi="he-IL"/>
        </w:rPr>
        <w:t>les autres</w:t>
      </w:r>
      <w:r w:rsidR="00E65435">
        <w:rPr>
          <w:rFonts w:eastAsia="Arial Unicode MS"/>
          <w:bCs/>
          <w:lang w:eastAsia="fr-FR" w:bidi="he-IL"/>
        </w:rPr>
        <w:t xml:space="preserve">, </w:t>
      </w:r>
      <w:r w:rsidRPr="00C8701B">
        <w:rPr>
          <w:rFonts w:eastAsia="Arial Unicode MS"/>
          <w:bCs/>
          <w:lang w:eastAsia="fr-FR" w:bidi="he-IL"/>
        </w:rPr>
        <w:t xml:space="preserve">comme des produits pour ainsi dire </w:t>
      </w:r>
      <w:r w:rsidR="00C2602D" w:rsidRPr="00C8701B">
        <w:rPr>
          <w:rFonts w:eastAsia="Arial Unicode MS"/>
          <w:bCs/>
          <w:lang w:eastAsia="fr-FR" w:bidi="he-IL"/>
        </w:rPr>
        <w:t>« </w:t>
      </w:r>
      <w:r w:rsidRPr="00C8701B">
        <w:rPr>
          <w:rFonts w:eastAsia="Arial Unicode MS"/>
          <w:bCs/>
          <w:lang w:eastAsia="fr-FR" w:bidi="he-IL"/>
        </w:rPr>
        <w:t>inconscients et impersonnels des</w:t>
      </w:r>
      <w:r w:rsidR="0040307B" w:rsidRPr="00C8701B">
        <w:rPr>
          <w:rFonts w:eastAsia="Arial Unicode MS"/>
          <w:bCs/>
          <w:lang w:eastAsia="fr-FR" w:bidi="he-IL"/>
        </w:rPr>
        <w:t xml:space="preserve"> </w:t>
      </w:r>
      <w:r w:rsidRPr="00C8701B">
        <w:rPr>
          <w:rFonts w:eastAsia="Arial Unicode MS"/>
          <w:bCs/>
          <w:lang w:eastAsia="fr-FR" w:bidi="he-IL"/>
        </w:rPr>
        <w:t>traditions populaires</w:t>
      </w:r>
      <w:r w:rsidR="00E65435">
        <w:rPr>
          <w:rFonts w:eastAsia="Arial Unicode MS"/>
          <w:bCs/>
          <w:lang w:eastAsia="fr-FR" w:bidi="he-IL"/>
        </w:rPr>
        <w:t xml:space="preserve">, </w:t>
      </w:r>
      <w:r w:rsidRPr="00C8701B">
        <w:rPr>
          <w:rFonts w:eastAsia="Arial Unicode MS"/>
          <w:bCs/>
          <w:lang w:eastAsia="fr-FR" w:bidi="he-IL"/>
        </w:rPr>
        <w:t>où le vrai se croise avec le faux</w:t>
      </w:r>
      <w:r w:rsidR="00E65435">
        <w:rPr>
          <w:rFonts w:eastAsia="Arial Unicode MS"/>
          <w:bCs/>
          <w:lang w:eastAsia="fr-FR" w:bidi="he-IL"/>
        </w:rPr>
        <w:t xml:space="preserve">, </w:t>
      </w:r>
      <w:r w:rsidR="00557FD3">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imaginaire avec l</w:t>
      </w:r>
      <w:r w:rsidR="00557DE0">
        <w:rPr>
          <w:rFonts w:eastAsia="Arial Unicode MS"/>
          <w:bCs/>
          <w:lang w:eastAsia="fr-FR" w:bidi="he-IL"/>
        </w:rPr>
        <w:t>’</w:t>
      </w:r>
      <w:r w:rsidRPr="00C8701B">
        <w:rPr>
          <w:rFonts w:eastAsia="Arial Unicode MS"/>
          <w:bCs/>
          <w:lang w:eastAsia="fr-FR" w:bidi="he-IL"/>
        </w:rPr>
        <w:t>historique</w:t>
      </w:r>
      <w:r w:rsidR="00C2602D" w:rsidRPr="00C8701B">
        <w:rPr>
          <w:rFonts w:eastAsia="Arial Unicode MS"/>
          <w:bCs/>
          <w:lang w:eastAsia="fr-FR" w:bidi="he-IL"/>
        </w:rPr>
        <w:t> »</w:t>
      </w:r>
      <w:r w:rsidR="00E65435">
        <w:rPr>
          <w:rFonts w:eastAsia="Arial Unicode MS"/>
          <w:bCs/>
          <w:lang w:eastAsia="fr-FR" w:bidi="he-IL"/>
        </w:rPr>
        <w:t xml:space="preserve">, </w:t>
      </w:r>
      <w:r w:rsidRPr="00C8701B">
        <w:rPr>
          <w:rFonts w:eastAsia="Arial Unicode MS"/>
          <w:bCs/>
          <w:lang w:eastAsia="fr-FR" w:bidi="he-IL"/>
        </w:rPr>
        <w:t xml:space="preserve">de </w:t>
      </w:r>
      <w:r w:rsidR="00557FD3" w:rsidRPr="00C8701B">
        <w:rPr>
          <w:rFonts w:eastAsia="Arial Unicode MS"/>
          <w:bCs/>
          <w:lang w:eastAsia="fr-FR" w:bidi="he-IL"/>
        </w:rPr>
        <w:t>sorte que</w:t>
      </w:r>
      <w:r w:rsidRPr="00C8701B">
        <w:rPr>
          <w:rFonts w:eastAsia="Arial Unicode MS"/>
          <w:bCs/>
          <w:lang w:eastAsia="fr-FR" w:bidi="he-IL"/>
        </w:rPr>
        <w:t xml:space="preserve"> les premiers n</w:t>
      </w:r>
      <w:r w:rsidR="00557DE0">
        <w:rPr>
          <w:rFonts w:eastAsia="Arial Unicode MS"/>
          <w:bCs/>
          <w:lang w:eastAsia="fr-FR" w:bidi="he-IL"/>
        </w:rPr>
        <w:t>’</w:t>
      </w:r>
      <w:r w:rsidRPr="00C8701B">
        <w:rPr>
          <w:rFonts w:eastAsia="Arial Unicode MS"/>
          <w:bCs/>
          <w:lang w:eastAsia="fr-FR" w:bidi="he-IL"/>
        </w:rPr>
        <w:t xml:space="preserve">auraient réussi que peu à </w:t>
      </w:r>
      <w:r w:rsidR="00557FD3" w:rsidRPr="00C8701B">
        <w:rPr>
          <w:rFonts w:eastAsia="Arial Unicode MS"/>
          <w:bCs/>
          <w:lang w:eastAsia="fr-FR" w:bidi="he-IL"/>
        </w:rPr>
        <w:t>peu</w:t>
      </w:r>
      <w:r w:rsidRPr="00C8701B">
        <w:rPr>
          <w:rFonts w:eastAsia="Arial Unicode MS"/>
          <w:bCs/>
          <w:lang w:eastAsia="fr-FR" w:bidi="he-IL"/>
        </w:rPr>
        <w:t xml:space="preserve"> à se dégager du pêle-mêle où ils étaient tous plongés à l</w:t>
      </w:r>
      <w:r w:rsidR="00557DE0">
        <w:rPr>
          <w:rFonts w:eastAsia="Arial Unicode MS"/>
          <w:bCs/>
          <w:lang w:eastAsia="fr-FR" w:bidi="he-IL"/>
        </w:rPr>
        <w:t>’</w:t>
      </w:r>
      <w:r w:rsidRPr="00C8701B">
        <w:rPr>
          <w:rFonts w:eastAsia="Arial Unicode MS"/>
          <w:bCs/>
          <w:lang w:eastAsia="fr-FR" w:bidi="he-IL"/>
        </w:rPr>
        <w:t>origine dans les croyances de l</w:t>
      </w:r>
      <w:r w:rsidR="00557DE0">
        <w:rPr>
          <w:rFonts w:eastAsia="Arial Unicode MS"/>
          <w:bCs/>
          <w:lang w:eastAsia="fr-FR" w:bidi="he-IL"/>
        </w:rPr>
        <w:t>’</w:t>
      </w:r>
      <w:r w:rsidR="00C8701B">
        <w:rPr>
          <w:rFonts w:eastAsia="Arial Unicode MS"/>
          <w:bCs/>
          <w:lang w:eastAsia="fr-FR" w:bidi="he-IL"/>
        </w:rPr>
        <w:t>Église</w:t>
      </w:r>
      <w:r w:rsidR="00933C60" w:rsidRPr="00C406FF">
        <w:rPr>
          <w:rStyle w:val="Appelnotedebasdep"/>
        </w:rPr>
        <w:footnoteReference w:id="624"/>
      </w:r>
      <w:r w:rsidR="00E65435">
        <w:rPr>
          <w:rFonts w:eastAsia="Arial Unicode MS"/>
          <w:bCs/>
          <w:lang w:eastAsia="fr-FR" w:bidi="he-IL"/>
        </w:rPr>
        <w:t xml:space="preserve">, </w:t>
      </w:r>
      <w:r w:rsidRPr="00C8701B">
        <w:rPr>
          <w:rFonts w:eastAsia="Arial Unicode MS"/>
          <w:bCs/>
          <w:lang w:eastAsia="fr-FR" w:bidi="he-IL"/>
        </w:rPr>
        <w:t>il est aisé de leur répondre en les renvoyant à l</w:t>
      </w:r>
      <w:r w:rsidR="00557DE0">
        <w:rPr>
          <w:rFonts w:eastAsia="Arial Unicode MS"/>
          <w:bCs/>
          <w:lang w:eastAsia="fr-FR" w:bidi="he-IL"/>
        </w:rPr>
        <w:t>’</w:t>
      </w:r>
      <w:r w:rsidRPr="00C8701B">
        <w:rPr>
          <w:rFonts w:eastAsia="Arial Unicode MS"/>
          <w:bCs/>
          <w:lang w:eastAsia="fr-FR" w:bidi="he-IL"/>
        </w:rPr>
        <w:t>histoire.</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Quelle différence dans la manière dont les Pères les plus anciens citent les évangiles apocryphes et les évangiles</w:t>
      </w:r>
      <w:r w:rsidR="009447D5" w:rsidRPr="00C8701B">
        <w:rPr>
          <w:rFonts w:eastAsia="Arial Unicode MS"/>
          <w:bCs/>
          <w:lang w:eastAsia="fr-FR" w:bidi="he-IL"/>
        </w:rPr>
        <w:t xml:space="preserve"> </w:t>
      </w:r>
      <w:r w:rsidRPr="00C8701B">
        <w:rPr>
          <w:rFonts w:eastAsia="Arial Unicode MS"/>
          <w:bCs/>
          <w:lang w:eastAsia="fr-FR" w:bidi="he-IL"/>
        </w:rPr>
        <w:t>canoniques</w:t>
      </w:r>
      <w:r w:rsidR="00C2602D" w:rsidRPr="00C8701B">
        <w:rPr>
          <w:rFonts w:eastAsia="Arial Unicode MS"/>
          <w:bCs/>
          <w:lang w:eastAsia="fr-FR" w:bidi="he-IL"/>
        </w:rPr>
        <w:t> !</w:t>
      </w:r>
      <w:r w:rsidRPr="00C8701B">
        <w:rPr>
          <w:rFonts w:eastAsia="Arial Unicode MS"/>
          <w:bCs/>
          <w:lang w:eastAsia="fr-FR" w:bidi="he-IL"/>
        </w:rPr>
        <w:t xml:space="preserve"> Reproduisons un texte </w:t>
      </w:r>
      <w:r w:rsidR="00557FD3" w:rsidRPr="00C8701B">
        <w:rPr>
          <w:rFonts w:eastAsia="Arial Unicode MS"/>
          <w:bCs/>
          <w:lang w:eastAsia="fr-FR" w:bidi="he-IL"/>
        </w:rPr>
        <w:t>d</w:t>
      </w:r>
      <w:r w:rsidR="00557DE0">
        <w:rPr>
          <w:rFonts w:eastAsia="Arial Unicode MS"/>
          <w:bCs/>
          <w:lang w:eastAsia="fr-FR" w:bidi="he-IL"/>
        </w:rPr>
        <w:t>’</w:t>
      </w:r>
      <w:r w:rsidR="00557FD3" w:rsidRPr="00C8701B">
        <w:rPr>
          <w:rFonts w:eastAsia="Arial Unicode MS"/>
          <w:bCs/>
          <w:lang w:eastAsia="fr-FR" w:bidi="he-IL"/>
        </w:rPr>
        <w:t>Origène</w:t>
      </w:r>
      <w:r w:rsidR="00C2602D" w:rsidRPr="00C8701B">
        <w:rPr>
          <w:rFonts w:eastAsia="Arial Unicode MS"/>
          <w:bCs/>
          <w:lang w:eastAsia="fr-FR" w:bidi="he-IL"/>
        </w:rPr>
        <w:t> :</w:t>
      </w:r>
      <w:r w:rsidRPr="00C8701B">
        <w:rPr>
          <w:rFonts w:eastAsia="Arial Unicode MS"/>
          <w:bCs/>
          <w:lang w:eastAsia="fr-FR" w:bidi="he-IL"/>
        </w:rPr>
        <w:t xml:space="preserve"> </w:t>
      </w:r>
      <w:r w:rsidR="00C2602D" w:rsidRPr="00C8701B">
        <w:rPr>
          <w:rFonts w:eastAsia="Arial Unicode MS"/>
          <w:bCs/>
          <w:lang w:eastAsia="fr-FR" w:bidi="he-IL"/>
        </w:rPr>
        <w:t>« </w:t>
      </w:r>
      <w:r w:rsidRPr="00C8701B">
        <w:rPr>
          <w:rFonts w:eastAsia="Arial Unicode MS"/>
          <w:bCs/>
          <w:lang w:eastAsia="fr-FR" w:bidi="he-IL"/>
        </w:rPr>
        <w:t>L</w:t>
      </w:r>
      <w:r w:rsidR="00557DE0">
        <w:rPr>
          <w:rFonts w:eastAsia="Arial Unicode MS"/>
          <w:bCs/>
          <w:lang w:eastAsia="fr-FR" w:bidi="he-IL"/>
        </w:rPr>
        <w:t>’</w:t>
      </w:r>
      <w:r w:rsidR="00C8701B">
        <w:rPr>
          <w:rFonts w:eastAsia="Arial Unicode MS"/>
          <w:bCs/>
          <w:lang w:eastAsia="fr-FR" w:bidi="he-IL"/>
        </w:rPr>
        <w:t>Église</w:t>
      </w:r>
      <w:r w:rsidRPr="00C8701B">
        <w:rPr>
          <w:rFonts w:eastAsia="Arial Unicode MS"/>
          <w:bCs/>
          <w:lang w:eastAsia="fr-FR" w:bidi="he-IL"/>
        </w:rPr>
        <w:t xml:space="preserve"> a quatre évangiles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les hérésies en ont un grand nombre... Il n</w:t>
      </w:r>
      <w:r w:rsidR="00557DE0">
        <w:rPr>
          <w:rFonts w:eastAsia="Arial Unicode MS"/>
          <w:bCs/>
          <w:lang w:eastAsia="fr-FR" w:bidi="he-IL"/>
        </w:rPr>
        <w:t>’</w:t>
      </w:r>
      <w:r w:rsidRPr="00C8701B">
        <w:rPr>
          <w:rFonts w:eastAsia="Arial Unicode MS"/>
          <w:bCs/>
          <w:lang w:eastAsia="fr-FR" w:bidi="he-IL"/>
        </w:rPr>
        <w:t>y a que quatre évangiles qui soient approuvés</w:t>
      </w:r>
      <w:r w:rsidR="00E65435">
        <w:rPr>
          <w:rFonts w:eastAsia="Arial Unicode MS"/>
          <w:bCs/>
          <w:lang w:eastAsia="fr-FR" w:bidi="he-IL"/>
        </w:rPr>
        <w:t xml:space="preserve">, </w:t>
      </w:r>
      <w:r w:rsidRPr="00C8701B">
        <w:rPr>
          <w:rFonts w:eastAsia="Arial Unicode MS"/>
          <w:bCs/>
          <w:lang w:eastAsia="fr-FR" w:bidi="he-IL"/>
        </w:rPr>
        <w:t>sur l</w:t>
      </w:r>
      <w:r w:rsidR="00557DE0">
        <w:rPr>
          <w:rFonts w:eastAsia="Arial Unicode MS"/>
          <w:bCs/>
          <w:lang w:eastAsia="fr-FR" w:bidi="he-IL"/>
        </w:rPr>
        <w:t>’</w:t>
      </w:r>
      <w:r w:rsidRPr="00C8701B">
        <w:rPr>
          <w:rFonts w:eastAsia="Arial Unicode MS"/>
          <w:bCs/>
          <w:lang w:eastAsia="fr-FR" w:bidi="he-IL"/>
        </w:rPr>
        <w:t>autorité desquels il faut proposer les dogmes dans la personne de notre Sauveur. Je connais un certain évangile que l</w:t>
      </w:r>
      <w:r w:rsidR="00557DE0">
        <w:rPr>
          <w:rFonts w:eastAsia="Arial Unicode MS"/>
          <w:bCs/>
          <w:lang w:eastAsia="fr-FR" w:bidi="he-IL"/>
        </w:rPr>
        <w:t>’</w:t>
      </w:r>
      <w:r w:rsidRPr="00C8701B">
        <w:rPr>
          <w:rFonts w:eastAsia="Arial Unicode MS"/>
          <w:bCs/>
          <w:lang w:eastAsia="fr-FR" w:bidi="he-IL"/>
        </w:rPr>
        <w:t>on appelle selon Thomas</w:t>
      </w:r>
      <w:r w:rsidR="00E65435">
        <w:rPr>
          <w:rFonts w:eastAsia="Arial Unicode MS"/>
          <w:bCs/>
          <w:lang w:eastAsia="fr-FR" w:bidi="he-IL"/>
        </w:rPr>
        <w:t xml:space="preserve">, </w:t>
      </w:r>
      <w:r w:rsidRPr="00C8701B">
        <w:rPr>
          <w:rFonts w:eastAsia="Arial Unicode MS"/>
          <w:bCs/>
          <w:lang w:eastAsia="fr-FR" w:bidi="he-IL"/>
        </w:rPr>
        <w:t>un selon Mathias</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et nous en avons lu plusieurs autres pour que nous ne paraissions rien ignorer</w:t>
      </w:r>
      <w:r w:rsidR="00E65435">
        <w:rPr>
          <w:rFonts w:eastAsia="Arial Unicode MS"/>
          <w:bCs/>
          <w:lang w:eastAsia="fr-FR" w:bidi="he-IL"/>
        </w:rPr>
        <w:t xml:space="preserve">, </w:t>
      </w:r>
      <w:r w:rsidRPr="00C8701B">
        <w:rPr>
          <w:rFonts w:eastAsia="Arial Unicode MS"/>
          <w:bCs/>
          <w:lang w:eastAsia="fr-FR" w:bidi="he-IL"/>
        </w:rPr>
        <w:t>à cause de ceux qui pensent savoir quelque chose</w:t>
      </w:r>
      <w:r w:rsidR="00E65435">
        <w:rPr>
          <w:rFonts w:eastAsia="Arial Unicode MS"/>
          <w:bCs/>
          <w:lang w:eastAsia="fr-FR" w:bidi="he-IL"/>
        </w:rPr>
        <w:t xml:space="preserve">, </w:t>
      </w:r>
      <w:r w:rsidRPr="00C8701B">
        <w:rPr>
          <w:rFonts w:eastAsia="Arial Unicode MS"/>
          <w:bCs/>
          <w:lang w:eastAsia="fr-FR" w:bidi="he-IL"/>
        </w:rPr>
        <w:t>s</w:t>
      </w:r>
      <w:r w:rsidR="00557DE0">
        <w:rPr>
          <w:rFonts w:eastAsia="Arial Unicode MS"/>
          <w:bCs/>
          <w:lang w:eastAsia="fr-FR" w:bidi="he-IL"/>
        </w:rPr>
        <w:t>’</w:t>
      </w:r>
      <w:r w:rsidRPr="00C8701B">
        <w:rPr>
          <w:rFonts w:eastAsia="Arial Unicode MS"/>
          <w:bCs/>
          <w:lang w:eastAsia="fr-FR" w:bidi="he-IL"/>
        </w:rPr>
        <w:t>ils connaissent nos livres. Mais</w:t>
      </w:r>
      <w:r w:rsidR="00E65435">
        <w:rPr>
          <w:rFonts w:eastAsia="Arial Unicode MS"/>
          <w:bCs/>
          <w:lang w:eastAsia="fr-FR" w:bidi="he-IL"/>
        </w:rPr>
        <w:t xml:space="preserve">, </w:t>
      </w:r>
      <w:r w:rsidRPr="00C8701B">
        <w:rPr>
          <w:rFonts w:eastAsia="Arial Unicode MS"/>
          <w:bCs/>
          <w:lang w:eastAsia="fr-FR" w:bidi="he-IL"/>
        </w:rPr>
        <w:t>dans toutes ces choses</w:t>
      </w:r>
      <w:r w:rsidR="00E65435">
        <w:rPr>
          <w:rFonts w:eastAsia="Arial Unicode MS"/>
          <w:bCs/>
          <w:lang w:eastAsia="fr-FR" w:bidi="he-IL"/>
        </w:rPr>
        <w:t xml:space="preserve">, </w:t>
      </w:r>
      <w:r w:rsidRPr="00C8701B">
        <w:rPr>
          <w:rFonts w:eastAsia="Arial Unicode MS"/>
          <w:bCs/>
          <w:lang w:eastAsia="fr-FR" w:bidi="he-IL"/>
        </w:rPr>
        <w:t>nous n</w:t>
      </w:r>
      <w:r w:rsidR="00557DE0">
        <w:rPr>
          <w:rFonts w:eastAsia="Arial Unicode MS"/>
          <w:bCs/>
          <w:lang w:eastAsia="fr-FR" w:bidi="he-IL"/>
        </w:rPr>
        <w:t>’</w:t>
      </w:r>
      <w:r w:rsidRPr="00C8701B">
        <w:rPr>
          <w:rFonts w:eastAsia="Arial Unicode MS"/>
          <w:bCs/>
          <w:lang w:eastAsia="fr-FR" w:bidi="he-IL"/>
        </w:rPr>
        <w:t>approuvons que ce qu</w:t>
      </w:r>
      <w:r w:rsidR="00557DE0">
        <w:rPr>
          <w:rFonts w:eastAsia="Arial Unicode MS"/>
          <w:bCs/>
          <w:lang w:eastAsia="fr-FR" w:bidi="he-IL"/>
        </w:rPr>
        <w:t>’</w:t>
      </w:r>
      <w:r w:rsidRPr="00C8701B">
        <w:rPr>
          <w:rFonts w:eastAsia="Arial Unicode MS"/>
          <w:bCs/>
          <w:lang w:eastAsia="fr-FR" w:bidi="he-IL"/>
        </w:rPr>
        <w:t>approuve l</w:t>
      </w:r>
      <w:r w:rsidR="00557DE0">
        <w:rPr>
          <w:rFonts w:eastAsia="Arial Unicode MS"/>
          <w:bCs/>
          <w:lang w:eastAsia="fr-FR" w:bidi="he-IL"/>
        </w:rPr>
        <w:t>’</w:t>
      </w:r>
      <w:r w:rsidR="00C8701B">
        <w:rPr>
          <w:rFonts w:eastAsia="Arial Unicode MS"/>
          <w:bCs/>
          <w:lang w:eastAsia="fr-FR" w:bidi="he-IL"/>
        </w:rPr>
        <w:t>Église</w:t>
      </w:r>
      <w:r w:rsidR="00E65435">
        <w:rPr>
          <w:rFonts w:eastAsia="Arial Unicode MS"/>
          <w:bCs/>
          <w:lang w:eastAsia="fr-FR" w:bidi="he-IL"/>
        </w:rPr>
        <w:t xml:space="preserve">, </w:t>
      </w:r>
      <w:r w:rsidRPr="00C8701B">
        <w:rPr>
          <w:rFonts w:eastAsia="Arial Unicode MS"/>
          <w:bCs/>
          <w:lang w:eastAsia="fr-FR" w:bidi="he-IL"/>
        </w:rPr>
        <w:t>à savoir qu</w:t>
      </w:r>
      <w:r w:rsidR="00557DE0">
        <w:rPr>
          <w:rFonts w:eastAsia="Arial Unicode MS"/>
          <w:bCs/>
          <w:lang w:eastAsia="fr-FR" w:bidi="he-IL"/>
        </w:rPr>
        <w:t>’</w:t>
      </w:r>
      <w:r w:rsidRPr="00C8701B">
        <w:rPr>
          <w:rFonts w:eastAsia="Arial Unicode MS"/>
          <w:bCs/>
          <w:lang w:eastAsia="fr-FR" w:bidi="he-IL"/>
        </w:rPr>
        <w:t>il ne faut accepter que quatre évangiles</w:t>
      </w:r>
      <w:r w:rsidR="00C2602D" w:rsidRPr="00C8701B">
        <w:rPr>
          <w:rFonts w:eastAsia="Arial Unicode MS"/>
          <w:bCs/>
          <w:lang w:eastAsia="fr-FR" w:bidi="he-IL"/>
        </w:rPr>
        <w:t> »</w:t>
      </w:r>
      <w:r w:rsidR="00933C60" w:rsidRPr="00C406FF">
        <w:rPr>
          <w:rStyle w:val="Appelnotedebasdep"/>
        </w:rPr>
        <w:footnoteReference w:id="625"/>
      </w:r>
      <w:r w:rsidRPr="00C8701B">
        <w:rPr>
          <w:rFonts w:eastAsia="Arial Unicode MS"/>
          <w:bCs/>
          <w:lang w:eastAsia="fr-FR" w:bidi="he-IL"/>
        </w:rPr>
        <w:t>. C</w:t>
      </w:r>
      <w:r w:rsidR="00557DE0">
        <w:rPr>
          <w:rFonts w:eastAsia="Arial Unicode MS"/>
          <w:bCs/>
          <w:lang w:eastAsia="fr-FR" w:bidi="he-IL"/>
        </w:rPr>
        <w:t>’</w:t>
      </w:r>
      <w:r w:rsidRPr="00C8701B">
        <w:rPr>
          <w:rFonts w:eastAsia="Arial Unicode MS"/>
          <w:bCs/>
          <w:lang w:eastAsia="fr-FR" w:bidi="he-IL"/>
        </w:rPr>
        <w:t>est pourquoi les papes et les conciles</w:t>
      </w:r>
      <w:r w:rsidR="00E65435">
        <w:rPr>
          <w:rFonts w:eastAsia="Arial Unicode MS"/>
          <w:bCs/>
          <w:lang w:eastAsia="fr-FR" w:bidi="he-IL"/>
        </w:rPr>
        <w:t xml:space="preserve">, </w:t>
      </w:r>
      <w:r w:rsidRPr="00C8701B">
        <w:rPr>
          <w:rFonts w:eastAsia="Arial Unicode MS"/>
          <w:bCs/>
          <w:lang w:eastAsia="fr-FR" w:bidi="he-IL"/>
        </w:rPr>
        <w:t>lorsqu</w:t>
      </w:r>
      <w:r w:rsidR="00557DE0">
        <w:rPr>
          <w:rFonts w:eastAsia="Arial Unicode MS"/>
          <w:bCs/>
          <w:lang w:eastAsia="fr-FR" w:bidi="he-IL"/>
        </w:rPr>
        <w:t>’</w:t>
      </w:r>
      <w:r w:rsidRPr="00C8701B">
        <w:rPr>
          <w:rFonts w:eastAsia="Arial Unicode MS"/>
          <w:bCs/>
          <w:lang w:eastAsia="fr-FR" w:bidi="he-IL"/>
        </w:rPr>
        <w:t>ils proscrivirent plus tard les évangiles apocryphes</w:t>
      </w:r>
      <w:r w:rsidR="00E65435">
        <w:rPr>
          <w:rFonts w:eastAsia="Arial Unicode MS"/>
          <w:bCs/>
          <w:lang w:eastAsia="fr-FR" w:bidi="he-IL"/>
        </w:rPr>
        <w:t xml:space="preserve">, </w:t>
      </w:r>
      <w:r w:rsidRPr="00C8701B">
        <w:rPr>
          <w:rFonts w:eastAsia="Arial Unicode MS"/>
          <w:bCs/>
          <w:lang w:eastAsia="fr-FR" w:bidi="he-IL"/>
        </w:rPr>
        <w:t>ne furent que les échos de la tradition ecclésiastique</w:t>
      </w:r>
      <w:r w:rsidR="00933C60" w:rsidRPr="00C406FF">
        <w:rPr>
          <w:rStyle w:val="Appelnotedebasdep"/>
        </w:rPr>
        <w:footnoteReference w:id="626"/>
      </w:r>
      <w:r w:rsidRPr="00C8701B">
        <w:rPr>
          <w:rFonts w:eastAsia="Arial Unicode MS"/>
          <w:bCs/>
          <w:lang w:eastAsia="fr-FR" w:bidi="he-IL"/>
        </w:rPr>
        <w:t>.</w:t>
      </w:r>
      <w:r w:rsidR="00C2602D" w:rsidRPr="00C8701B">
        <w:rPr>
          <w:rFonts w:eastAsia="Arial Unicode MS"/>
          <w:bCs/>
          <w:lang w:eastAsia="fr-FR" w:bidi="he-IL"/>
        </w:rPr>
        <w:t xml:space="preserve"> </w:t>
      </w:r>
    </w:p>
    <w:p w:rsidR="00C2602D" w:rsidRDefault="00B704AD" w:rsidP="00C2602D">
      <w:pPr>
        <w:rPr>
          <w:rFonts w:eastAsia="Arial Unicode MS"/>
          <w:bCs/>
          <w:lang w:eastAsia="fr-FR" w:bidi="he-IL"/>
        </w:rPr>
      </w:pPr>
      <w:r w:rsidRPr="00C8701B">
        <w:rPr>
          <w:rFonts w:eastAsia="Arial Unicode MS"/>
          <w:bCs/>
          <w:lang w:eastAsia="fr-FR" w:bidi="he-IL"/>
        </w:rPr>
        <w:t>2° Sous le rapport de l</w:t>
      </w:r>
      <w:r w:rsidR="00557DE0">
        <w:rPr>
          <w:rFonts w:eastAsia="Arial Unicode MS"/>
          <w:bCs/>
          <w:lang w:eastAsia="fr-FR" w:bidi="he-IL"/>
        </w:rPr>
        <w:t>’</w:t>
      </w:r>
      <w:r w:rsidRPr="00C8701B">
        <w:rPr>
          <w:rFonts w:eastAsia="Arial Unicode MS"/>
          <w:bCs/>
          <w:lang w:eastAsia="fr-FR" w:bidi="he-IL"/>
        </w:rPr>
        <w:t>exégèse</w:t>
      </w:r>
      <w:r w:rsidR="00E65435">
        <w:rPr>
          <w:rFonts w:eastAsia="Arial Unicode MS"/>
          <w:bCs/>
          <w:lang w:eastAsia="fr-FR" w:bidi="he-IL"/>
        </w:rPr>
        <w:t xml:space="preserve">, </w:t>
      </w:r>
      <w:r w:rsidRPr="00C8701B">
        <w:rPr>
          <w:rFonts w:eastAsia="Arial Unicode MS"/>
          <w:bCs/>
          <w:lang w:eastAsia="fr-FR" w:bidi="he-IL"/>
        </w:rPr>
        <w:t xml:space="preserve">on peut parfois se servir des évangiles apocryphes </w:t>
      </w:r>
      <w:r w:rsidR="00DA33E5">
        <w:rPr>
          <w:rFonts w:eastAsia="Arial Unicode MS"/>
          <w:bCs/>
          <w:lang w:eastAsia="fr-FR" w:bidi="he-IL"/>
        </w:rPr>
        <w:t>pour éclairer certains points d</w:t>
      </w:r>
      <w:r w:rsidRPr="00C8701B">
        <w:rPr>
          <w:rFonts w:eastAsia="Arial Unicode MS"/>
          <w:bCs/>
          <w:lang w:eastAsia="fr-FR" w:bidi="he-IL"/>
        </w:rPr>
        <w:t>e l</w:t>
      </w:r>
      <w:r w:rsidR="00557DE0">
        <w:rPr>
          <w:rFonts w:eastAsia="Arial Unicode MS"/>
          <w:bCs/>
          <w:lang w:eastAsia="fr-FR" w:bidi="he-IL"/>
        </w:rPr>
        <w:t>’</w:t>
      </w:r>
      <w:r w:rsidRPr="00C8701B">
        <w:rPr>
          <w:rFonts w:eastAsia="Arial Unicode MS"/>
          <w:bCs/>
          <w:lang w:eastAsia="fr-FR" w:bidi="he-IL"/>
        </w:rPr>
        <w:t>histoire évangélique demeurés obscurs</w:t>
      </w:r>
      <w:r w:rsidR="00E65435">
        <w:rPr>
          <w:rFonts w:eastAsia="Arial Unicode MS"/>
          <w:bCs/>
          <w:lang w:eastAsia="fr-FR" w:bidi="he-IL"/>
        </w:rPr>
        <w:t xml:space="preserve">, </w:t>
      </w:r>
      <w:r w:rsidRPr="00C8701B">
        <w:rPr>
          <w:rFonts w:eastAsia="Arial Unicode MS"/>
          <w:bCs/>
          <w:lang w:eastAsia="fr-FR" w:bidi="he-IL"/>
        </w:rPr>
        <w:t xml:space="preserve">et pour enrichir de traits précieux la vie de N.-S. </w:t>
      </w:r>
      <w:r w:rsidR="00234B88">
        <w:rPr>
          <w:rFonts w:eastAsia="Arial Unicode MS"/>
          <w:bCs/>
          <w:lang w:eastAsia="fr-FR" w:bidi="he-IL"/>
        </w:rPr>
        <w:t>Jésus-Christ</w:t>
      </w:r>
      <w:r w:rsidRPr="00C8701B">
        <w:rPr>
          <w:rFonts w:eastAsia="Arial Unicode MS"/>
          <w:bCs/>
          <w:lang w:eastAsia="fr-FR" w:bidi="he-IL"/>
        </w:rPr>
        <w:t>. Car</w:t>
      </w:r>
      <w:r w:rsidR="00E65435">
        <w:rPr>
          <w:rFonts w:eastAsia="Arial Unicode MS"/>
          <w:bCs/>
          <w:lang w:eastAsia="fr-FR" w:bidi="he-IL"/>
        </w:rPr>
        <w:t xml:space="preserve">, </w:t>
      </w:r>
      <w:r w:rsidRPr="00C8701B">
        <w:rPr>
          <w:rFonts w:eastAsia="Arial Unicode MS"/>
          <w:bCs/>
          <w:lang w:eastAsia="fr-FR" w:bidi="he-IL"/>
        </w:rPr>
        <w:t>dans ces récits</w:t>
      </w:r>
      <w:r w:rsidR="00E65435">
        <w:rPr>
          <w:rFonts w:eastAsia="Arial Unicode MS"/>
          <w:bCs/>
          <w:lang w:eastAsia="fr-FR" w:bidi="he-IL"/>
        </w:rPr>
        <w:t xml:space="preserve">, </w:t>
      </w:r>
      <w:r w:rsidRPr="00C8701B">
        <w:rPr>
          <w:rFonts w:eastAsia="Arial Unicode MS"/>
          <w:bCs/>
          <w:lang w:eastAsia="fr-FR" w:bidi="he-IL"/>
        </w:rPr>
        <w:t>tout n</w:t>
      </w:r>
      <w:r w:rsidR="00557DE0">
        <w:rPr>
          <w:rFonts w:eastAsia="Arial Unicode MS"/>
          <w:bCs/>
          <w:lang w:eastAsia="fr-FR" w:bidi="he-IL"/>
        </w:rPr>
        <w:t>’</w:t>
      </w:r>
      <w:r w:rsidRPr="00C8701B">
        <w:rPr>
          <w:rFonts w:eastAsia="Arial Unicode MS"/>
          <w:bCs/>
          <w:lang w:eastAsia="fr-FR" w:bidi="he-IL"/>
        </w:rPr>
        <w:t>est pas absolument faux et exagéré</w:t>
      </w:r>
      <w:r w:rsidR="00C2602D" w:rsidRPr="00C8701B">
        <w:rPr>
          <w:rFonts w:eastAsia="Arial Unicode MS"/>
          <w:bCs/>
          <w:lang w:eastAsia="fr-FR" w:bidi="he-IL"/>
        </w:rPr>
        <w:t> </w:t>
      </w:r>
      <w:r w:rsidR="007F6508">
        <w:rPr>
          <w:rFonts w:eastAsia="Arial Unicode MS"/>
          <w:bCs/>
          <w:lang w:eastAsia="fr-FR" w:bidi="he-IL"/>
        </w:rPr>
        <w:t xml:space="preserve">; </w:t>
      </w:r>
      <w:r w:rsidRPr="00C8701B">
        <w:rPr>
          <w:rFonts w:eastAsia="Arial Unicode MS"/>
          <w:bCs/>
          <w:lang w:eastAsia="fr-FR" w:bidi="he-IL"/>
        </w:rPr>
        <w:t>tels ou tels traits reproduisent des traditions tout à fait respectables</w:t>
      </w:r>
      <w:r w:rsidR="00E65435">
        <w:rPr>
          <w:rFonts w:eastAsia="Arial Unicode MS"/>
          <w:bCs/>
          <w:lang w:eastAsia="fr-FR" w:bidi="he-IL"/>
        </w:rPr>
        <w:t xml:space="preserve">, </w:t>
      </w:r>
      <w:r w:rsidRPr="00C8701B">
        <w:rPr>
          <w:rFonts w:eastAsia="Arial Unicode MS"/>
          <w:bCs/>
          <w:lang w:eastAsia="fr-FR" w:bidi="he-IL"/>
        </w:rPr>
        <w:t>qui présentent les meilleures garanties d</w:t>
      </w:r>
      <w:r w:rsidR="00557DE0">
        <w:rPr>
          <w:rFonts w:eastAsia="Arial Unicode MS"/>
          <w:bCs/>
          <w:lang w:eastAsia="fr-FR" w:bidi="he-IL"/>
        </w:rPr>
        <w:t>’</w:t>
      </w:r>
      <w:r w:rsidRPr="00C8701B">
        <w:rPr>
          <w:rFonts w:eastAsia="Arial Unicode MS"/>
          <w:bCs/>
          <w:lang w:eastAsia="fr-FR" w:bidi="he-IL"/>
        </w:rPr>
        <w:t>authenticité</w:t>
      </w:r>
      <w:r w:rsidR="00E65435">
        <w:rPr>
          <w:rFonts w:eastAsia="Arial Unicode MS"/>
          <w:bCs/>
          <w:lang w:eastAsia="fr-FR" w:bidi="he-IL"/>
        </w:rPr>
        <w:t xml:space="preserve">, </w:t>
      </w:r>
      <w:r w:rsidRPr="00C8701B">
        <w:rPr>
          <w:rFonts w:eastAsia="Arial Unicode MS"/>
          <w:bCs/>
          <w:lang w:eastAsia="fr-FR" w:bidi="he-IL"/>
        </w:rPr>
        <w:t>et qui</w:t>
      </w:r>
      <w:r w:rsidR="00E65435">
        <w:rPr>
          <w:rFonts w:eastAsia="Arial Unicode MS"/>
          <w:bCs/>
          <w:lang w:eastAsia="fr-FR" w:bidi="he-IL"/>
        </w:rPr>
        <w:t xml:space="preserve">, </w:t>
      </w:r>
      <w:r w:rsidRPr="00C8701B">
        <w:rPr>
          <w:rFonts w:eastAsia="Arial Unicode MS"/>
          <w:bCs/>
          <w:lang w:eastAsia="fr-FR" w:bidi="he-IL"/>
        </w:rPr>
        <w:t>par là-même</w:t>
      </w:r>
      <w:r w:rsidR="00E65435">
        <w:rPr>
          <w:rFonts w:eastAsia="Arial Unicode MS"/>
          <w:bCs/>
          <w:lang w:eastAsia="fr-FR" w:bidi="he-IL"/>
        </w:rPr>
        <w:t xml:space="preserve">, </w:t>
      </w:r>
      <w:r w:rsidRPr="00C8701B">
        <w:rPr>
          <w:rFonts w:eastAsia="Arial Unicode MS"/>
          <w:bCs/>
          <w:lang w:eastAsia="fr-FR" w:bidi="he-IL"/>
        </w:rPr>
        <w:t>comblent de la façon la plus heureuse certaines lacunes laissées par les évangiles canoniques</w:t>
      </w:r>
      <w:r w:rsidR="00933C60" w:rsidRPr="00C406FF">
        <w:rPr>
          <w:rStyle w:val="Appelnotedebasdep"/>
        </w:rPr>
        <w:footnoteReference w:id="627"/>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0E647E">
      <w:pPr>
        <w:rPr>
          <w:rFonts w:eastAsia="Arial Unicode MS"/>
          <w:bCs/>
          <w:lang w:eastAsia="fr-FR" w:bidi="he-IL"/>
        </w:rPr>
      </w:pPr>
      <w:r w:rsidRPr="00C8701B">
        <w:rPr>
          <w:rFonts w:eastAsia="Arial Unicode MS"/>
          <w:bCs/>
          <w:lang w:eastAsia="fr-FR" w:bidi="he-IL"/>
        </w:rPr>
        <w:t>Par exemple</w:t>
      </w:r>
      <w:r w:rsidR="00E65435">
        <w:rPr>
          <w:rFonts w:eastAsia="Arial Unicode MS"/>
          <w:bCs/>
          <w:lang w:eastAsia="fr-FR" w:bidi="he-IL"/>
        </w:rPr>
        <w:t xml:space="preserve">, </w:t>
      </w:r>
      <w:r w:rsidRPr="00C8701B">
        <w:rPr>
          <w:rFonts w:eastAsia="Arial Unicode MS"/>
          <w:bCs/>
          <w:lang w:eastAsia="fr-FR" w:bidi="he-IL"/>
        </w:rPr>
        <w:t>dit Dom Calmet</w:t>
      </w:r>
      <w:r w:rsidR="00933C60" w:rsidRPr="00C406FF">
        <w:rPr>
          <w:rStyle w:val="Appelnotedebasdep"/>
        </w:rPr>
        <w:footnoteReference w:id="628"/>
      </w:r>
      <w:r w:rsidR="00E65435">
        <w:rPr>
          <w:rFonts w:eastAsia="Arial Unicode MS"/>
          <w:bCs/>
          <w:lang w:eastAsia="fr-FR" w:bidi="he-IL"/>
        </w:rPr>
        <w:t xml:space="preserve">, </w:t>
      </w:r>
      <w:r w:rsidR="00C2602D" w:rsidRPr="00C8701B">
        <w:rPr>
          <w:rFonts w:eastAsia="Arial Unicode MS"/>
          <w:bCs/>
          <w:lang w:eastAsia="fr-FR" w:bidi="he-IL"/>
        </w:rPr>
        <w:t>«</w:t>
      </w:r>
      <w:r w:rsidR="00DA33E5">
        <w:rPr>
          <w:rFonts w:eastAsia="Arial Unicode MS"/>
          <w:bCs/>
          <w:lang w:eastAsia="fr-FR" w:bidi="he-IL"/>
        </w:rPr>
        <w:t> </w:t>
      </w:r>
      <w:r w:rsidRPr="00C8701B">
        <w:rPr>
          <w:rFonts w:eastAsia="Arial Unicode MS"/>
          <w:bCs/>
          <w:lang w:eastAsia="fr-FR" w:bidi="he-IL"/>
        </w:rPr>
        <w:t>rien n</w:t>
      </w:r>
      <w:r w:rsidR="00557DE0">
        <w:rPr>
          <w:rFonts w:eastAsia="Arial Unicode MS"/>
          <w:bCs/>
          <w:lang w:eastAsia="fr-FR" w:bidi="he-IL"/>
        </w:rPr>
        <w:t>’</w:t>
      </w:r>
      <w:r w:rsidRPr="00C8701B">
        <w:rPr>
          <w:rFonts w:eastAsia="Arial Unicode MS"/>
          <w:bCs/>
          <w:lang w:eastAsia="fr-FR" w:bidi="he-IL"/>
        </w:rPr>
        <w:t xml:space="preserve">obligeait ceux qui composaient le </w:t>
      </w:r>
      <w:r w:rsidR="00557FD3" w:rsidRPr="00C8701B">
        <w:rPr>
          <w:rFonts w:eastAsia="Arial Unicode MS"/>
          <w:bCs/>
          <w:lang w:eastAsia="fr-FR" w:bidi="he-IL"/>
        </w:rPr>
        <w:t>Protévangile</w:t>
      </w:r>
      <w:r w:rsidRPr="00C8701B">
        <w:rPr>
          <w:rFonts w:eastAsia="Arial Unicode MS"/>
          <w:bCs/>
          <w:lang w:eastAsia="fr-FR" w:bidi="he-IL"/>
        </w:rPr>
        <w:t xml:space="preserve"> dans un temps si voisin des apôtres et où la mémoire des père et mère de la sainte Vierge était si récente</w:t>
      </w:r>
      <w:r w:rsidR="00E65435">
        <w:rPr>
          <w:rFonts w:eastAsia="Arial Unicode MS"/>
          <w:bCs/>
          <w:lang w:eastAsia="fr-FR" w:bidi="he-IL"/>
        </w:rPr>
        <w:t xml:space="preserve">, </w:t>
      </w:r>
      <w:r w:rsidRPr="00C8701B">
        <w:rPr>
          <w:rFonts w:eastAsia="Arial Unicode MS"/>
          <w:bCs/>
          <w:lang w:eastAsia="fr-FR" w:bidi="he-IL"/>
        </w:rPr>
        <w:t>de feindre les noms de Joachim</w:t>
      </w:r>
      <w:r w:rsidR="00557FD3">
        <w:rPr>
          <w:rFonts w:eastAsia="Arial Unicode MS"/>
          <w:bCs/>
          <w:lang w:eastAsia="fr-FR" w:bidi="he-IL"/>
        </w:rPr>
        <w:t xml:space="preserve"> </w:t>
      </w:r>
      <w:r w:rsidRPr="00C8701B">
        <w:rPr>
          <w:rFonts w:eastAsia="Arial Unicode MS"/>
          <w:bCs/>
          <w:lang w:eastAsia="fr-FR" w:bidi="he-IL"/>
        </w:rPr>
        <w:t>et d</w:t>
      </w:r>
      <w:r w:rsidR="00557DE0">
        <w:rPr>
          <w:rFonts w:eastAsia="Arial Unicode MS"/>
          <w:bCs/>
          <w:lang w:eastAsia="fr-FR" w:bidi="he-IL"/>
        </w:rPr>
        <w:t>’</w:t>
      </w:r>
      <w:r w:rsidRPr="00C8701B">
        <w:rPr>
          <w:rFonts w:eastAsia="Arial Unicode MS"/>
          <w:bCs/>
          <w:lang w:eastAsia="fr-FR" w:bidi="he-IL"/>
        </w:rPr>
        <w:t>Anne</w:t>
      </w:r>
      <w:r w:rsidR="00C2602D" w:rsidRPr="00C8701B">
        <w:rPr>
          <w:rFonts w:eastAsia="Arial Unicode MS"/>
          <w:bCs/>
          <w:lang w:eastAsia="fr-FR" w:bidi="he-IL"/>
        </w:rPr>
        <w:t> »</w:t>
      </w:r>
      <w:r w:rsidRPr="00C8701B">
        <w:rPr>
          <w:rFonts w:eastAsia="Arial Unicode MS"/>
          <w:bCs/>
          <w:lang w:eastAsia="fr-FR" w:bidi="he-IL"/>
        </w:rPr>
        <w:t>. La présentation de Marie au temple dès son jeune âge</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éducation qu</w:t>
      </w:r>
      <w:r w:rsidR="00557DE0">
        <w:rPr>
          <w:rFonts w:eastAsia="Arial Unicode MS"/>
          <w:bCs/>
          <w:lang w:eastAsia="fr-FR" w:bidi="he-IL"/>
        </w:rPr>
        <w:t>’</w:t>
      </w:r>
      <w:r w:rsidRPr="00C8701B">
        <w:rPr>
          <w:rFonts w:eastAsia="Arial Unicode MS"/>
          <w:bCs/>
          <w:lang w:eastAsia="fr-FR" w:bidi="he-IL"/>
        </w:rPr>
        <w:t>elle y reçut avec d</w:t>
      </w:r>
      <w:r w:rsidR="00557DE0">
        <w:rPr>
          <w:rFonts w:eastAsia="Arial Unicode MS"/>
          <w:bCs/>
          <w:lang w:eastAsia="fr-FR" w:bidi="he-IL"/>
        </w:rPr>
        <w:t>’</w:t>
      </w:r>
      <w:r w:rsidRPr="00C8701B">
        <w:rPr>
          <w:rFonts w:eastAsia="Arial Unicode MS"/>
          <w:bCs/>
          <w:lang w:eastAsia="fr-FR" w:bidi="he-IL"/>
        </w:rPr>
        <w:t>autres jeunes vierges d</w:t>
      </w:r>
      <w:r w:rsidR="00557DE0">
        <w:rPr>
          <w:rFonts w:eastAsia="Arial Unicode MS"/>
          <w:bCs/>
          <w:lang w:eastAsia="fr-FR" w:bidi="he-IL"/>
        </w:rPr>
        <w:t>’</w:t>
      </w:r>
      <w:r w:rsidRPr="00C8701B">
        <w:rPr>
          <w:rFonts w:eastAsia="Arial Unicode MS"/>
          <w:bCs/>
          <w:lang w:eastAsia="fr-FR" w:bidi="he-IL"/>
        </w:rPr>
        <w:t>Israël</w:t>
      </w:r>
      <w:r w:rsidR="00E65435">
        <w:rPr>
          <w:rFonts w:eastAsia="Arial Unicode MS"/>
          <w:bCs/>
          <w:lang w:eastAsia="fr-FR" w:bidi="he-IL"/>
        </w:rPr>
        <w:t xml:space="preserve">, </w:t>
      </w:r>
      <w:r w:rsidRPr="00C8701B">
        <w:rPr>
          <w:rFonts w:eastAsia="Arial Unicode MS"/>
          <w:bCs/>
          <w:lang w:eastAsia="fr-FR" w:bidi="he-IL"/>
        </w:rPr>
        <w:t>son vœu de complète chasteté</w:t>
      </w:r>
      <w:r w:rsidR="00E65435">
        <w:rPr>
          <w:rFonts w:eastAsia="Arial Unicode MS"/>
          <w:bCs/>
          <w:lang w:eastAsia="fr-FR" w:bidi="he-IL"/>
        </w:rPr>
        <w:t xml:space="preserve">, </w:t>
      </w:r>
      <w:r w:rsidRPr="00C8701B">
        <w:rPr>
          <w:rFonts w:eastAsia="Arial Unicode MS"/>
          <w:bCs/>
          <w:lang w:eastAsia="fr-FR" w:bidi="he-IL"/>
        </w:rPr>
        <w:t>etc.</w:t>
      </w:r>
      <w:r w:rsidR="00E65435">
        <w:rPr>
          <w:rFonts w:eastAsia="Arial Unicode MS"/>
          <w:bCs/>
          <w:lang w:eastAsia="fr-FR" w:bidi="he-IL"/>
        </w:rPr>
        <w:t xml:space="preserve">, </w:t>
      </w:r>
      <w:r w:rsidRPr="00C8701B">
        <w:rPr>
          <w:rFonts w:eastAsia="Arial Unicode MS"/>
          <w:bCs/>
          <w:lang w:eastAsia="fr-FR" w:bidi="he-IL"/>
        </w:rPr>
        <w:t>sont des traits également signalés par les saints Pères</w:t>
      </w:r>
      <w:r w:rsidR="00E65435">
        <w:rPr>
          <w:rFonts w:eastAsia="Arial Unicode MS"/>
          <w:bCs/>
          <w:lang w:eastAsia="fr-FR" w:bidi="he-IL"/>
        </w:rPr>
        <w:t xml:space="preserve">, </w:t>
      </w:r>
      <w:r w:rsidRPr="00C8701B">
        <w:rPr>
          <w:rFonts w:eastAsia="Arial Unicode MS"/>
          <w:bCs/>
          <w:lang w:eastAsia="fr-FR" w:bidi="he-IL"/>
        </w:rPr>
        <w:t>et qui méritent toute créance. Il en est de même de la naissance de N. S. Jésus-Christ dans une grotte</w:t>
      </w:r>
      <w:r w:rsidR="00933C60" w:rsidRPr="00C406FF">
        <w:rPr>
          <w:rStyle w:val="Appelnotedebasdep"/>
        </w:rPr>
        <w:footnoteReference w:id="629"/>
      </w:r>
      <w:r w:rsidR="00E65435">
        <w:rPr>
          <w:rFonts w:eastAsia="Arial Unicode MS"/>
          <w:bCs/>
          <w:lang w:eastAsia="fr-FR" w:bidi="he-IL"/>
        </w:rPr>
        <w:t xml:space="preserve">, </w:t>
      </w:r>
      <w:r w:rsidRPr="00C8701B">
        <w:rPr>
          <w:rFonts w:eastAsia="Arial Unicode MS"/>
          <w:bCs/>
          <w:lang w:eastAsia="fr-FR" w:bidi="he-IL"/>
        </w:rPr>
        <w:t>de la</w:t>
      </w:r>
      <w:r w:rsidR="00557FD3">
        <w:rPr>
          <w:rFonts w:eastAsia="Arial Unicode MS"/>
          <w:bCs/>
          <w:lang w:eastAsia="fr-FR" w:bidi="he-IL"/>
        </w:rPr>
        <w:t xml:space="preserve"> </w:t>
      </w:r>
      <w:r w:rsidRPr="00C8701B">
        <w:rPr>
          <w:rFonts w:eastAsia="Arial Unicode MS"/>
          <w:bCs/>
          <w:lang w:eastAsia="fr-FR" w:bidi="he-IL"/>
        </w:rPr>
        <w:t>rencontre du divin</w:t>
      </w:r>
      <w:r w:rsidR="000E647E">
        <w:rPr>
          <w:rStyle w:val="italicus"/>
        </w:rPr>
        <w:t xml:space="preserve"> Cruciá</w:t>
      </w:r>
      <w:r w:rsidR="000E647E" w:rsidRPr="00DC4586">
        <w:rPr>
          <w:rStyle w:val="italicus"/>
        </w:rPr>
        <w:t>rius</w:t>
      </w:r>
      <w:r w:rsidR="000E647E" w:rsidRPr="00C8701B">
        <w:rPr>
          <w:rFonts w:eastAsia="Arial Unicode MS"/>
          <w:bCs/>
          <w:lang w:eastAsia="fr-FR" w:bidi="he-IL"/>
        </w:rPr>
        <w:t xml:space="preserve"> </w:t>
      </w:r>
      <w:r w:rsidRPr="00C8701B">
        <w:rPr>
          <w:rFonts w:eastAsia="Arial Unicode MS"/>
          <w:bCs/>
          <w:lang w:eastAsia="fr-FR" w:bidi="he-IL"/>
        </w:rPr>
        <w:t>et de sa mère sur le chemin du Calvaire</w:t>
      </w:r>
      <w:r w:rsidR="00E65435">
        <w:rPr>
          <w:rFonts w:eastAsia="Arial Unicode MS"/>
          <w:bCs/>
          <w:lang w:eastAsia="fr-FR" w:bidi="he-IL"/>
        </w:rPr>
        <w:t xml:space="preserve">, </w:t>
      </w:r>
      <w:r w:rsidRPr="00C8701B">
        <w:rPr>
          <w:rFonts w:eastAsia="Arial Unicode MS"/>
          <w:bCs/>
          <w:lang w:eastAsia="fr-FR" w:bidi="he-IL"/>
        </w:rPr>
        <w:t>de la ceinture qu</w:t>
      </w:r>
      <w:r w:rsidR="00557DE0">
        <w:rPr>
          <w:rFonts w:eastAsia="Arial Unicode MS"/>
          <w:bCs/>
          <w:lang w:eastAsia="fr-FR" w:bidi="he-IL"/>
        </w:rPr>
        <w:t>’</w:t>
      </w:r>
      <w:r w:rsidRPr="00C8701B">
        <w:rPr>
          <w:rFonts w:eastAsia="Arial Unicode MS"/>
          <w:bCs/>
          <w:lang w:eastAsia="fr-FR" w:bidi="he-IL"/>
        </w:rPr>
        <w:t>on lui mit autour des reins avant de le crucifier</w:t>
      </w:r>
      <w:r w:rsidR="00E65435">
        <w:rPr>
          <w:rFonts w:eastAsia="Arial Unicode MS"/>
          <w:bCs/>
          <w:lang w:eastAsia="fr-FR" w:bidi="he-IL"/>
        </w:rPr>
        <w:t xml:space="preserve">, </w:t>
      </w:r>
      <w:r w:rsidRPr="00C8701B">
        <w:rPr>
          <w:rFonts w:eastAsia="Arial Unicode MS"/>
          <w:bCs/>
          <w:lang w:eastAsia="fr-FR" w:bidi="he-IL"/>
        </w:rPr>
        <w:t>de la couronne d</w:t>
      </w:r>
      <w:r w:rsidR="00557DE0">
        <w:rPr>
          <w:rFonts w:eastAsia="Arial Unicode MS"/>
          <w:bCs/>
          <w:lang w:eastAsia="fr-FR" w:bidi="he-IL"/>
        </w:rPr>
        <w:t>’</w:t>
      </w:r>
      <w:r w:rsidRPr="00C8701B">
        <w:rPr>
          <w:rFonts w:eastAsia="Arial Unicode MS"/>
          <w:bCs/>
          <w:lang w:eastAsia="fr-FR" w:bidi="he-IL"/>
        </w:rPr>
        <w:t>épines qu</w:t>
      </w:r>
      <w:r w:rsidR="00557DE0">
        <w:rPr>
          <w:rFonts w:eastAsia="Arial Unicode MS"/>
          <w:bCs/>
          <w:lang w:eastAsia="fr-FR" w:bidi="he-IL"/>
        </w:rPr>
        <w:t>’</w:t>
      </w:r>
      <w:r w:rsidRPr="00C8701B">
        <w:rPr>
          <w:rFonts w:eastAsia="Arial Unicode MS"/>
          <w:bCs/>
          <w:lang w:eastAsia="fr-FR" w:bidi="he-IL"/>
        </w:rPr>
        <w:t>il porta même sur la croix</w:t>
      </w:r>
      <w:r w:rsidR="00933C60" w:rsidRPr="00C406FF">
        <w:rPr>
          <w:rStyle w:val="Appelnotedebasdep"/>
        </w:rPr>
        <w:footnoteReference w:id="630"/>
      </w:r>
      <w:r w:rsidR="00E65435">
        <w:rPr>
          <w:rFonts w:eastAsia="Arial Unicode MS"/>
          <w:bCs/>
          <w:lang w:eastAsia="fr-FR" w:bidi="he-IL"/>
        </w:rPr>
        <w:t xml:space="preserve">, </w:t>
      </w:r>
      <w:r w:rsidRPr="00C8701B">
        <w:rPr>
          <w:rFonts w:eastAsia="Arial Unicode MS"/>
          <w:bCs/>
          <w:lang w:eastAsia="fr-FR" w:bidi="he-IL"/>
        </w:rPr>
        <w:t xml:space="preserve">etc. </w:t>
      </w:r>
      <w:r w:rsidR="00AD785B" w:rsidRPr="000716BB">
        <w:rPr>
          <w:rFonts w:eastAsia="Arial Unicode MS"/>
          <w:bCs/>
          <w:lang w:eastAsia="fr-FR" w:bidi="he-IL"/>
        </w:rPr>
        <w:t>{</w:t>
      </w:r>
      <w:r w:rsidR="00AD785B">
        <w:rPr>
          <w:rFonts w:eastAsia="Arial Unicode MS"/>
          <w:bCs/>
          <w:lang w:eastAsia="fr-FR" w:bidi="he-IL"/>
        </w:rPr>
        <w:t>123</w:t>
      </w:r>
      <w:bookmarkStart w:id="187" w:name="pag123"/>
      <w:bookmarkEnd w:id="187"/>
      <w:r w:rsidR="00AD785B" w:rsidRPr="000716BB">
        <w:rPr>
          <w:rFonts w:eastAsia="Arial Unicode MS"/>
          <w:bCs/>
          <w:lang w:eastAsia="fr-FR" w:bidi="he-IL"/>
        </w:rPr>
        <w:t xml:space="preserve">} </w:t>
      </w:r>
      <w:r w:rsidRPr="00C8701B">
        <w:rPr>
          <w:rFonts w:eastAsia="Arial Unicode MS"/>
          <w:bCs/>
          <w:lang w:eastAsia="fr-FR" w:bidi="he-IL"/>
        </w:rPr>
        <w:t>Mais il est bien évident qu</w:t>
      </w:r>
      <w:r w:rsidR="00557DE0">
        <w:rPr>
          <w:rFonts w:eastAsia="Arial Unicode MS"/>
          <w:bCs/>
          <w:lang w:eastAsia="fr-FR" w:bidi="he-IL"/>
        </w:rPr>
        <w:t>’</w:t>
      </w:r>
      <w:r w:rsidRPr="00C8701B">
        <w:rPr>
          <w:rFonts w:eastAsia="Arial Unicode MS"/>
          <w:bCs/>
          <w:lang w:eastAsia="fr-FR" w:bidi="he-IL"/>
        </w:rPr>
        <w:t>il ne faut admettre ces renseignements qu</w:t>
      </w:r>
      <w:r w:rsidR="00557DE0">
        <w:rPr>
          <w:rFonts w:eastAsia="Arial Unicode MS"/>
          <w:bCs/>
          <w:lang w:eastAsia="fr-FR" w:bidi="he-IL"/>
        </w:rPr>
        <w:t>’</w:t>
      </w:r>
      <w:r w:rsidRPr="00C8701B">
        <w:rPr>
          <w:rFonts w:eastAsia="Arial Unicode MS"/>
          <w:bCs/>
          <w:lang w:eastAsia="fr-FR" w:bidi="he-IL"/>
        </w:rPr>
        <w:t>à bon escient</w:t>
      </w:r>
      <w:r w:rsidR="00E65435">
        <w:rPr>
          <w:rFonts w:eastAsia="Arial Unicode MS"/>
          <w:bCs/>
          <w:lang w:eastAsia="fr-FR" w:bidi="he-IL"/>
        </w:rPr>
        <w:t xml:space="preserve">, </w:t>
      </w:r>
      <w:r w:rsidRPr="00C8701B">
        <w:rPr>
          <w:rFonts w:eastAsia="Arial Unicode MS"/>
          <w:bCs/>
          <w:lang w:eastAsia="fr-FR" w:bidi="he-IL"/>
        </w:rPr>
        <w:t>et avec une certaine réserve.</w:t>
      </w:r>
      <w:r w:rsidR="00C2602D" w:rsidRPr="00C8701B">
        <w:rPr>
          <w:rFonts w:eastAsia="Arial Unicode MS"/>
          <w:bCs/>
          <w:lang w:eastAsia="fr-FR" w:bidi="he-IL"/>
        </w:rPr>
        <w:t xml:space="preserve"> </w:t>
      </w:r>
    </w:p>
    <w:p w:rsidR="00C2602D" w:rsidRPr="00C8701B" w:rsidRDefault="00B704AD" w:rsidP="000E647E">
      <w:pPr>
        <w:rPr>
          <w:rFonts w:eastAsia="Arial Unicode MS"/>
          <w:bCs/>
          <w:lang w:eastAsia="fr-FR" w:bidi="he-IL"/>
        </w:rPr>
      </w:pPr>
      <w:r w:rsidRPr="00C8701B">
        <w:rPr>
          <w:rFonts w:eastAsia="Arial Unicode MS"/>
          <w:bCs/>
          <w:lang w:eastAsia="fr-FR" w:bidi="he-IL"/>
        </w:rPr>
        <w:t>3° Sous le rapport de l</w:t>
      </w:r>
      <w:r w:rsidR="00557DE0">
        <w:rPr>
          <w:rFonts w:eastAsia="Arial Unicode MS"/>
          <w:bCs/>
          <w:lang w:eastAsia="fr-FR" w:bidi="he-IL"/>
        </w:rPr>
        <w:t>’</w:t>
      </w:r>
      <w:r w:rsidRPr="00C8701B">
        <w:rPr>
          <w:rFonts w:eastAsia="Arial Unicode MS"/>
          <w:bCs/>
          <w:lang w:eastAsia="fr-FR" w:bidi="he-IL"/>
        </w:rPr>
        <w:t xml:space="preserve">art. </w:t>
      </w:r>
      <w:r w:rsidR="00C2602D" w:rsidRPr="00C8701B">
        <w:rPr>
          <w:rFonts w:eastAsia="Arial Unicode MS"/>
          <w:bCs/>
          <w:lang w:eastAsia="fr-FR" w:bidi="he-IL"/>
        </w:rPr>
        <w:t>« </w:t>
      </w:r>
      <w:r w:rsidRPr="00C8701B">
        <w:rPr>
          <w:rFonts w:eastAsia="Arial Unicode MS"/>
          <w:bCs/>
          <w:lang w:eastAsia="fr-FR" w:bidi="he-IL"/>
        </w:rPr>
        <w:t>Loin d</w:t>
      </w:r>
      <w:r w:rsidR="00557DE0">
        <w:rPr>
          <w:rFonts w:eastAsia="Arial Unicode MS"/>
          <w:bCs/>
          <w:lang w:eastAsia="fr-FR" w:bidi="he-IL"/>
        </w:rPr>
        <w:t>’</w:t>
      </w:r>
      <w:r w:rsidRPr="00C8701B">
        <w:rPr>
          <w:rFonts w:eastAsia="Arial Unicode MS"/>
          <w:bCs/>
          <w:lang w:eastAsia="fr-FR" w:bidi="he-IL"/>
        </w:rPr>
        <w:t>être restées stériles</w:t>
      </w:r>
      <w:r w:rsidR="00E65435">
        <w:rPr>
          <w:rFonts w:eastAsia="Arial Unicode MS"/>
          <w:bCs/>
          <w:lang w:eastAsia="fr-FR" w:bidi="he-IL"/>
        </w:rPr>
        <w:t xml:space="preserve">, </w:t>
      </w:r>
      <w:r w:rsidRPr="00C8701B">
        <w:rPr>
          <w:rFonts w:eastAsia="Arial Unicode MS"/>
          <w:bCs/>
          <w:lang w:eastAsia="fr-FR" w:bidi="he-IL"/>
        </w:rPr>
        <w:t>ces légendes ont eu</w:t>
      </w:r>
      <w:r w:rsidR="00E65435">
        <w:rPr>
          <w:rFonts w:eastAsia="Arial Unicode MS"/>
          <w:bCs/>
          <w:lang w:eastAsia="fr-FR" w:bidi="he-IL"/>
        </w:rPr>
        <w:t xml:space="preserve">, </w:t>
      </w:r>
      <w:r w:rsidRPr="00C8701B">
        <w:rPr>
          <w:rFonts w:eastAsia="Arial Unicode MS"/>
          <w:bCs/>
          <w:lang w:eastAsia="fr-FR" w:bidi="he-IL"/>
        </w:rPr>
        <w:t>pendant une longue suite de siècles</w:t>
      </w:r>
      <w:r w:rsidR="00E65435">
        <w:rPr>
          <w:rFonts w:eastAsia="Arial Unicode MS"/>
          <w:bCs/>
          <w:lang w:eastAsia="fr-FR" w:bidi="he-IL"/>
        </w:rPr>
        <w:t xml:space="preserve">, </w:t>
      </w:r>
      <w:r w:rsidRPr="00C8701B">
        <w:rPr>
          <w:rFonts w:eastAsia="Arial Unicode MS"/>
          <w:bCs/>
          <w:lang w:eastAsia="fr-FR" w:bidi="he-IL"/>
        </w:rPr>
        <w:t>l</w:t>
      </w:r>
      <w:r w:rsidR="00557DE0">
        <w:rPr>
          <w:rFonts w:eastAsia="Arial Unicode MS"/>
          <w:bCs/>
          <w:lang w:eastAsia="fr-FR" w:bidi="he-IL"/>
        </w:rPr>
        <w:t>’</w:t>
      </w:r>
      <w:r w:rsidRPr="00C8701B">
        <w:rPr>
          <w:rFonts w:eastAsia="Arial Unicode MS"/>
          <w:bCs/>
          <w:lang w:eastAsia="fr-FR" w:bidi="he-IL"/>
        </w:rPr>
        <w:t>action la plus puissante s</w:t>
      </w:r>
      <w:r w:rsidR="007475F7">
        <w:rPr>
          <w:rFonts w:eastAsia="Arial Unicode MS"/>
          <w:bCs/>
          <w:lang w:eastAsia="fr-FR" w:bidi="he-IL"/>
        </w:rPr>
        <w:t>ur le développement... des arts</w:t>
      </w:r>
      <w:r w:rsidR="00C2602D" w:rsidRPr="00C8701B">
        <w:rPr>
          <w:rFonts w:eastAsia="Arial Unicode MS"/>
          <w:bCs/>
          <w:lang w:eastAsia="fr-FR" w:bidi="he-IL"/>
        </w:rPr>
        <w:t> :</w:t>
      </w:r>
      <w:r w:rsidRPr="00C8701B">
        <w:rPr>
          <w:rFonts w:eastAsia="Arial Unicode MS"/>
          <w:bCs/>
          <w:lang w:eastAsia="fr-FR" w:bidi="he-IL"/>
        </w:rPr>
        <w:t xml:space="preserve"> ... la peinture</w:t>
      </w:r>
      <w:r w:rsidR="00E65435">
        <w:rPr>
          <w:rFonts w:eastAsia="Arial Unicode MS"/>
          <w:bCs/>
          <w:lang w:eastAsia="fr-FR" w:bidi="he-IL"/>
        </w:rPr>
        <w:t xml:space="preserve">, </w:t>
      </w:r>
      <w:r w:rsidRPr="00C8701B">
        <w:rPr>
          <w:rFonts w:eastAsia="Arial Unicode MS"/>
          <w:bCs/>
          <w:lang w:eastAsia="fr-FR" w:bidi="he-IL"/>
        </w:rPr>
        <w:t>la sculpture du moyen-âge n</w:t>
      </w:r>
      <w:r w:rsidR="00557DE0">
        <w:rPr>
          <w:rFonts w:eastAsia="Arial Unicode MS"/>
          <w:bCs/>
          <w:lang w:eastAsia="fr-FR" w:bidi="he-IL"/>
        </w:rPr>
        <w:t>’</w:t>
      </w:r>
      <w:r w:rsidRPr="00C8701B">
        <w:rPr>
          <w:rFonts w:eastAsia="Arial Unicode MS"/>
          <w:bCs/>
          <w:lang w:eastAsia="fr-FR" w:bidi="he-IL"/>
        </w:rPr>
        <w:t>ont fait faute d</w:t>
      </w:r>
      <w:r w:rsidR="00557DE0">
        <w:rPr>
          <w:rFonts w:eastAsia="Arial Unicode MS"/>
          <w:bCs/>
          <w:lang w:eastAsia="fr-FR" w:bidi="he-IL"/>
        </w:rPr>
        <w:t>’</w:t>
      </w:r>
      <w:r w:rsidRPr="00C8701B">
        <w:rPr>
          <w:rFonts w:eastAsia="Arial Unicode MS"/>
          <w:bCs/>
          <w:lang w:eastAsia="fr-FR" w:bidi="he-IL"/>
        </w:rPr>
        <w:t>y puiser à pleines mains. Laisser de côté l</w:t>
      </w:r>
      <w:r w:rsidR="00557DE0">
        <w:rPr>
          <w:rFonts w:eastAsia="Arial Unicode MS"/>
          <w:bCs/>
          <w:lang w:eastAsia="fr-FR" w:bidi="he-IL"/>
        </w:rPr>
        <w:t>’</w:t>
      </w:r>
      <w:r w:rsidRPr="00C8701B">
        <w:rPr>
          <w:rFonts w:eastAsia="Arial Unicode MS"/>
          <w:bCs/>
          <w:lang w:eastAsia="fr-FR" w:bidi="he-IL"/>
        </w:rPr>
        <w:t>étude des évangiles apocryphes</w:t>
      </w:r>
      <w:r w:rsidR="00E65435">
        <w:rPr>
          <w:rFonts w:eastAsia="Arial Unicode MS"/>
          <w:bCs/>
          <w:lang w:eastAsia="fr-FR" w:bidi="he-IL"/>
        </w:rPr>
        <w:t xml:space="preserve">, </w:t>
      </w:r>
      <w:r w:rsidRPr="00C8701B">
        <w:rPr>
          <w:rFonts w:eastAsia="Arial Unicode MS"/>
          <w:bCs/>
          <w:lang w:eastAsia="fr-FR" w:bidi="he-IL"/>
        </w:rPr>
        <w:t>c</w:t>
      </w:r>
      <w:r w:rsidR="00557DE0">
        <w:rPr>
          <w:rFonts w:eastAsia="Arial Unicode MS"/>
          <w:bCs/>
          <w:lang w:eastAsia="fr-FR" w:bidi="he-IL"/>
        </w:rPr>
        <w:t>’</w:t>
      </w:r>
      <w:r w:rsidRPr="00C8701B">
        <w:rPr>
          <w:rFonts w:eastAsia="Arial Unicode MS"/>
          <w:bCs/>
          <w:lang w:eastAsia="fr-FR" w:bidi="he-IL"/>
        </w:rPr>
        <w:t xml:space="preserve">est renoncer à découvrir les </w:t>
      </w:r>
      <w:r w:rsidR="000E647E" w:rsidRPr="00C8701B">
        <w:rPr>
          <w:rFonts w:eastAsia="Arial Unicode MS"/>
          <w:bCs/>
          <w:lang w:eastAsia="fr-FR" w:bidi="he-IL"/>
        </w:rPr>
        <w:t>origines</w:t>
      </w:r>
      <w:r w:rsidRPr="00C8701B">
        <w:rPr>
          <w:rFonts w:eastAsia="Arial Unicode MS"/>
          <w:bCs/>
          <w:lang w:eastAsia="fr-FR" w:bidi="he-IL"/>
        </w:rPr>
        <w:t xml:space="preserve"> de l</w:t>
      </w:r>
      <w:r w:rsidR="00557DE0">
        <w:rPr>
          <w:rFonts w:eastAsia="Arial Unicode MS"/>
          <w:bCs/>
          <w:lang w:eastAsia="fr-FR" w:bidi="he-IL"/>
        </w:rPr>
        <w:t>’</w:t>
      </w:r>
      <w:r w:rsidR="000E647E">
        <w:rPr>
          <w:rFonts w:eastAsia="Arial Unicode MS"/>
          <w:bCs/>
          <w:lang w:eastAsia="fr-FR" w:bidi="he-IL"/>
        </w:rPr>
        <w:t>art chrétien. Il</w:t>
      </w:r>
      <w:r w:rsidRPr="00C8701B">
        <w:rPr>
          <w:rFonts w:eastAsia="Arial Unicode MS"/>
          <w:bCs/>
          <w:lang w:eastAsia="fr-FR" w:bidi="he-IL"/>
        </w:rPr>
        <w:t>s ont été la source</w:t>
      </w:r>
      <w:r w:rsidR="00E65435">
        <w:rPr>
          <w:rFonts w:eastAsia="Arial Unicode MS"/>
          <w:bCs/>
          <w:lang w:eastAsia="fr-FR" w:bidi="he-IL"/>
        </w:rPr>
        <w:t xml:space="preserve">, </w:t>
      </w:r>
      <w:r w:rsidRPr="00C8701B">
        <w:rPr>
          <w:rFonts w:eastAsia="Arial Unicode MS"/>
          <w:bCs/>
          <w:lang w:eastAsia="fr-FR" w:bidi="he-IL"/>
        </w:rPr>
        <w:t>où</w:t>
      </w:r>
      <w:r w:rsidR="00E65435">
        <w:rPr>
          <w:rFonts w:eastAsia="Arial Unicode MS"/>
          <w:bCs/>
          <w:lang w:eastAsia="fr-FR" w:bidi="he-IL"/>
        </w:rPr>
        <w:t xml:space="preserve">, </w:t>
      </w:r>
      <w:r w:rsidRPr="00C8701B">
        <w:rPr>
          <w:rFonts w:eastAsia="Arial Unicode MS"/>
          <w:bCs/>
          <w:lang w:eastAsia="fr-FR" w:bidi="he-IL"/>
        </w:rPr>
        <w:t>dès l</w:t>
      </w:r>
      <w:r w:rsidR="00557DE0">
        <w:rPr>
          <w:rFonts w:eastAsia="Arial Unicode MS"/>
          <w:bCs/>
          <w:lang w:eastAsia="fr-FR" w:bidi="he-IL"/>
        </w:rPr>
        <w:t>’</w:t>
      </w:r>
      <w:r w:rsidRPr="00C8701B">
        <w:rPr>
          <w:rFonts w:eastAsia="Arial Unicode MS"/>
          <w:bCs/>
          <w:lang w:eastAsia="fr-FR" w:bidi="he-IL"/>
        </w:rPr>
        <w:t>extinction du paganisme</w:t>
      </w:r>
      <w:r w:rsidR="00E65435">
        <w:rPr>
          <w:rFonts w:eastAsia="Arial Unicode MS"/>
          <w:bCs/>
          <w:lang w:eastAsia="fr-FR" w:bidi="he-IL"/>
        </w:rPr>
        <w:t xml:space="preserve">, </w:t>
      </w:r>
      <w:r w:rsidR="000E647E">
        <w:rPr>
          <w:rFonts w:eastAsia="Arial Unicode MS"/>
          <w:bCs/>
          <w:lang w:eastAsia="fr-FR" w:bidi="he-IL"/>
        </w:rPr>
        <w:t>les artistes ont puisé toute</w:t>
      </w:r>
      <w:r w:rsidRPr="00C8701B">
        <w:rPr>
          <w:rFonts w:eastAsia="Arial Unicode MS"/>
          <w:bCs/>
          <w:lang w:eastAsia="fr-FR" w:bidi="he-IL"/>
        </w:rPr>
        <w:t xml:space="preserve"> une vaste symbolique que le moyen-âge amplifia</w:t>
      </w:r>
      <w:r w:rsidR="000E647E">
        <w:rPr>
          <w:rFonts w:eastAsia="Arial Unicode MS"/>
          <w:bCs/>
          <w:lang w:eastAsia="fr-FR" w:bidi="he-IL"/>
        </w:rPr>
        <w:t>.</w:t>
      </w:r>
      <w:r w:rsidRPr="00C8701B">
        <w:rPr>
          <w:rFonts w:eastAsia="Arial Unicode MS"/>
          <w:bCs/>
          <w:lang w:eastAsia="fr-FR" w:bidi="he-IL"/>
        </w:rPr>
        <w:t xml:space="preserve"> Diverses circonstances rapportées dans ces légendes</w:t>
      </w:r>
      <w:r w:rsidR="00E65435">
        <w:rPr>
          <w:rFonts w:eastAsia="Arial Unicode MS"/>
          <w:bCs/>
          <w:lang w:eastAsia="fr-FR" w:bidi="he-IL"/>
        </w:rPr>
        <w:t xml:space="preserve">, </w:t>
      </w:r>
      <w:r w:rsidRPr="00C8701B">
        <w:rPr>
          <w:rFonts w:eastAsia="Arial Unicode MS"/>
          <w:bCs/>
          <w:lang w:eastAsia="fr-FR" w:bidi="he-IL"/>
        </w:rPr>
        <w:t>et consacrées par le pinceau des grands maîtres de l</w:t>
      </w:r>
      <w:r w:rsidR="00557DE0">
        <w:rPr>
          <w:rFonts w:eastAsia="Arial Unicode MS"/>
          <w:bCs/>
          <w:lang w:eastAsia="fr-FR" w:bidi="he-IL"/>
        </w:rPr>
        <w:t>’</w:t>
      </w:r>
      <w:r w:rsidRPr="00C8701B">
        <w:rPr>
          <w:rFonts w:eastAsia="Arial Unicode MS"/>
          <w:bCs/>
          <w:lang w:eastAsia="fr-FR" w:bidi="he-IL"/>
        </w:rPr>
        <w:t>école italienne</w:t>
      </w:r>
      <w:r w:rsidR="00E65435">
        <w:rPr>
          <w:rFonts w:eastAsia="Arial Unicode MS"/>
          <w:bCs/>
          <w:lang w:eastAsia="fr-FR" w:bidi="he-IL"/>
        </w:rPr>
        <w:t xml:space="preserve">, </w:t>
      </w:r>
      <w:r w:rsidRPr="00C8701B">
        <w:rPr>
          <w:rFonts w:eastAsia="Arial Unicode MS"/>
          <w:bCs/>
          <w:lang w:eastAsia="fr-FR" w:bidi="he-IL"/>
        </w:rPr>
        <w:t>ont donné lieu à des attributs</w:t>
      </w:r>
      <w:r w:rsidR="00E65435">
        <w:rPr>
          <w:rFonts w:eastAsia="Arial Unicode MS"/>
          <w:bCs/>
          <w:lang w:eastAsia="fr-FR" w:bidi="he-IL"/>
        </w:rPr>
        <w:t xml:space="preserve">, </w:t>
      </w:r>
      <w:r w:rsidRPr="00C8701B">
        <w:rPr>
          <w:rFonts w:eastAsia="Arial Unicode MS"/>
          <w:bCs/>
          <w:lang w:eastAsia="fr-FR" w:bidi="he-IL"/>
        </w:rPr>
        <w:t>à des types que reproduisent chaque jour les arts du dessin</w:t>
      </w:r>
      <w:r w:rsidR="00C2602D" w:rsidRPr="00C8701B">
        <w:rPr>
          <w:rFonts w:eastAsia="Arial Unicode MS"/>
          <w:bCs/>
          <w:lang w:eastAsia="fr-FR" w:bidi="he-IL"/>
        </w:rPr>
        <w:t> »</w:t>
      </w:r>
      <w:r w:rsidR="00933C60" w:rsidRPr="00C406FF">
        <w:rPr>
          <w:rStyle w:val="Appelnotedebasdep"/>
        </w:rPr>
        <w:footnoteReference w:id="631"/>
      </w:r>
      <w:r w:rsidRPr="00C8701B">
        <w:rPr>
          <w:rFonts w:eastAsia="Arial Unicode MS"/>
          <w:bCs/>
          <w:lang w:eastAsia="fr-FR" w:bidi="he-IL"/>
        </w:rPr>
        <w:t>.</w:t>
      </w:r>
      <w:r w:rsidR="00C2602D" w:rsidRPr="00C8701B">
        <w:rPr>
          <w:rFonts w:eastAsia="Arial Unicode MS"/>
          <w:bCs/>
          <w:lang w:eastAsia="fr-FR" w:bidi="he-IL"/>
        </w:rPr>
        <w:t xml:space="preserve"> </w:t>
      </w:r>
    </w:p>
    <w:p w:rsidR="00C2602D" w:rsidRPr="00C8701B" w:rsidRDefault="00B704AD" w:rsidP="001B4203">
      <w:pPr>
        <w:rPr>
          <w:rFonts w:eastAsia="Arial Unicode MS"/>
          <w:bCs/>
          <w:lang w:eastAsia="fr-FR" w:bidi="he-IL"/>
        </w:rPr>
      </w:pPr>
      <w:r w:rsidRPr="00C8701B">
        <w:rPr>
          <w:rFonts w:eastAsia="Arial Unicode MS"/>
          <w:bCs/>
          <w:lang w:eastAsia="fr-FR" w:bidi="he-IL"/>
        </w:rPr>
        <w:t>Pourquoi le bœuf et l</w:t>
      </w:r>
      <w:r w:rsidR="00557DE0">
        <w:rPr>
          <w:rFonts w:eastAsia="Arial Unicode MS"/>
          <w:bCs/>
          <w:lang w:eastAsia="fr-FR" w:bidi="he-IL"/>
        </w:rPr>
        <w:t>’</w:t>
      </w:r>
      <w:r w:rsidRPr="00C8701B">
        <w:rPr>
          <w:rFonts w:eastAsia="Arial Unicode MS"/>
          <w:bCs/>
          <w:lang w:eastAsia="fr-FR" w:bidi="he-IL"/>
        </w:rPr>
        <w:t>âne aupr</w:t>
      </w:r>
      <w:r w:rsidR="000E647E">
        <w:rPr>
          <w:rFonts w:eastAsia="Arial Unicode MS"/>
          <w:bCs/>
          <w:lang w:eastAsia="fr-FR" w:bidi="he-IL"/>
        </w:rPr>
        <w:t xml:space="preserve">ès de la crèche du divin Enfant ? </w:t>
      </w:r>
      <w:r w:rsidRPr="00C8701B">
        <w:rPr>
          <w:rFonts w:eastAsia="Arial Unicode MS"/>
          <w:bCs/>
          <w:lang w:eastAsia="fr-FR" w:bidi="he-IL"/>
        </w:rPr>
        <w:t>Pourquoi la verge fleurie dans la main de S. Joseph</w:t>
      </w:r>
      <w:r w:rsidR="00C2602D" w:rsidRPr="00C8701B">
        <w:rPr>
          <w:rFonts w:eastAsia="Arial Unicode MS"/>
          <w:bCs/>
          <w:lang w:eastAsia="fr-FR" w:bidi="he-IL"/>
        </w:rPr>
        <w:t> ?</w:t>
      </w:r>
      <w:r w:rsidRPr="00C8701B">
        <w:rPr>
          <w:rFonts w:eastAsia="Arial Unicode MS"/>
          <w:bCs/>
          <w:lang w:eastAsia="fr-FR" w:bidi="he-IL"/>
        </w:rPr>
        <w:t xml:space="preserve"> Pourquoi ce juif qui brise au contraire sa baguette au mariage de Marie et de Joseph</w:t>
      </w:r>
      <w:r w:rsidR="00E65435">
        <w:rPr>
          <w:rFonts w:eastAsia="Arial Unicode MS"/>
          <w:bCs/>
          <w:lang w:eastAsia="fr-FR" w:bidi="he-IL"/>
        </w:rPr>
        <w:t xml:space="preserve">, </w:t>
      </w:r>
      <w:r w:rsidRPr="00C8701B">
        <w:rPr>
          <w:rFonts w:eastAsia="Arial Unicode MS"/>
          <w:bCs/>
          <w:lang w:eastAsia="fr-FR" w:bidi="he-IL"/>
        </w:rPr>
        <w:t>sur une toile célébré</w:t>
      </w:r>
      <w:r w:rsidR="00C2602D" w:rsidRPr="00C8701B">
        <w:rPr>
          <w:rFonts w:eastAsia="Arial Unicode MS"/>
          <w:bCs/>
          <w:lang w:eastAsia="fr-FR" w:bidi="he-IL"/>
        </w:rPr>
        <w:t> ?</w:t>
      </w:r>
      <w:r w:rsidRPr="00C8701B">
        <w:rPr>
          <w:rFonts w:eastAsia="Arial Unicode MS"/>
          <w:bCs/>
          <w:lang w:eastAsia="fr-FR" w:bidi="he-IL"/>
        </w:rPr>
        <w:t xml:space="preserve"> Pourquoi le repos de la sainte Famille au désert</w:t>
      </w:r>
      <w:r w:rsidR="00E65435">
        <w:rPr>
          <w:rFonts w:eastAsia="Arial Unicode MS"/>
          <w:bCs/>
          <w:lang w:eastAsia="fr-FR" w:bidi="he-IL"/>
        </w:rPr>
        <w:t xml:space="preserve">, </w:t>
      </w:r>
      <w:r w:rsidRPr="00C8701B">
        <w:rPr>
          <w:rFonts w:eastAsia="Arial Unicode MS"/>
          <w:bCs/>
          <w:lang w:eastAsia="fr-FR" w:bidi="he-IL"/>
        </w:rPr>
        <w:t>sous un palmier qui abaisse ses feuilles</w:t>
      </w:r>
      <w:r w:rsidR="00C2602D" w:rsidRPr="00C8701B">
        <w:rPr>
          <w:rFonts w:eastAsia="Arial Unicode MS"/>
          <w:bCs/>
          <w:lang w:eastAsia="fr-FR" w:bidi="he-IL"/>
        </w:rPr>
        <w:t> ?</w:t>
      </w:r>
      <w:r w:rsidRPr="00C8701B">
        <w:rPr>
          <w:rFonts w:eastAsia="Arial Unicode MS"/>
          <w:bCs/>
          <w:lang w:eastAsia="fr-FR" w:bidi="he-IL"/>
        </w:rPr>
        <w:t xml:space="preserve"> Pourquoi le vieillard</w:t>
      </w:r>
      <w:r w:rsidR="007D3F5A">
        <w:rPr>
          <w:rFonts w:eastAsia="Arial Unicode MS"/>
          <w:bCs/>
          <w:lang w:eastAsia="fr-FR" w:bidi="he-IL"/>
        </w:rPr>
        <w:t xml:space="preserve"> </w:t>
      </w:r>
      <w:r w:rsidR="007D3F5A" w:rsidRPr="00C8701B">
        <w:rPr>
          <w:rFonts w:eastAsia="Arial Unicode MS"/>
          <w:bCs/>
          <w:lang w:eastAsia="fr-FR" w:bidi="he-IL"/>
        </w:rPr>
        <w:t>S</w:t>
      </w:r>
      <w:r w:rsidRPr="00C8701B">
        <w:rPr>
          <w:rFonts w:eastAsia="Arial Unicode MS"/>
          <w:bCs/>
          <w:lang w:eastAsia="fr-FR" w:bidi="he-IL"/>
        </w:rPr>
        <w:t>iméon en costume de grand-prêtre</w:t>
      </w:r>
      <w:r w:rsidR="00C2602D" w:rsidRPr="00C8701B">
        <w:rPr>
          <w:rFonts w:eastAsia="Arial Unicode MS"/>
          <w:bCs/>
          <w:lang w:eastAsia="fr-FR" w:bidi="he-IL"/>
        </w:rPr>
        <w:t> ?</w:t>
      </w:r>
      <w:r w:rsidRPr="00C8701B">
        <w:rPr>
          <w:rFonts w:eastAsia="Arial Unicode MS"/>
          <w:bCs/>
          <w:lang w:eastAsia="fr-FR" w:bidi="he-IL"/>
        </w:rPr>
        <w:t xml:space="preserve"> Ces divers traits</w:t>
      </w:r>
      <w:r w:rsidR="00E65435">
        <w:rPr>
          <w:rFonts w:eastAsia="Arial Unicode MS"/>
          <w:bCs/>
          <w:lang w:eastAsia="fr-FR" w:bidi="he-IL"/>
        </w:rPr>
        <w:t xml:space="preserve">, </w:t>
      </w:r>
      <w:r w:rsidRPr="00C8701B">
        <w:rPr>
          <w:rFonts w:eastAsia="Arial Unicode MS"/>
          <w:bCs/>
          <w:lang w:eastAsia="fr-FR" w:bidi="he-IL"/>
        </w:rPr>
        <w:t>et beaucoup d</w:t>
      </w:r>
      <w:r w:rsidR="00557DE0">
        <w:rPr>
          <w:rFonts w:eastAsia="Arial Unicode MS"/>
          <w:bCs/>
          <w:lang w:eastAsia="fr-FR" w:bidi="he-IL"/>
        </w:rPr>
        <w:t>’</w:t>
      </w:r>
      <w:r w:rsidRPr="00C8701B">
        <w:rPr>
          <w:rFonts w:eastAsia="Arial Unicode MS"/>
          <w:bCs/>
          <w:lang w:eastAsia="fr-FR" w:bidi="he-IL"/>
        </w:rPr>
        <w:t>autres</w:t>
      </w:r>
      <w:r w:rsidR="00E65435">
        <w:rPr>
          <w:rFonts w:eastAsia="Arial Unicode MS"/>
          <w:bCs/>
          <w:lang w:eastAsia="fr-FR" w:bidi="he-IL"/>
        </w:rPr>
        <w:t xml:space="preserve">, </w:t>
      </w:r>
      <w:r w:rsidRPr="00C8701B">
        <w:rPr>
          <w:rFonts w:eastAsia="Arial Unicode MS"/>
          <w:bCs/>
          <w:lang w:eastAsia="fr-FR" w:bidi="he-IL"/>
        </w:rPr>
        <w:t>seraient inexplicables aujourd</w:t>
      </w:r>
      <w:r w:rsidR="00557DE0">
        <w:rPr>
          <w:rFonts w:eastAsia="Arial Unicode MS"/>
          <w:bCs/>
          <w:lang w:eastAsia="fr-FR" w:bidi="he-IL"/>
        </w:rPr>
        <w:t>’</w:t>
      </w:r>
      <w:r w:rsidRPr="00C8701B">
        <w:rPr>
          <w:rFonts w:eastAsia="Arial Unicode MS"/>
          <w:bCs/>
          <w:lang w:eastAsia="fr-FR" w:bidi="he-IL"/>
        </w:rPr>
        <w:t>hui sans la connaissance des· évangiles apocryphes.</w:t>
      </w:r>
      <w:r w:rsidR="00C2602D" w:rsidRPr="00C8701B">
        <w:rPr>
          <w:rFonts w:eastAsia="Arial Unicode MS"/>
          <w:bCs/>
          <w:lang w:eastAsia="fr-FR" w:bidi="he-IL"/>
        </w:rPr>
        <w:t xml:space="preserve"> </w:t>
      </w:r>
    </w:p>
    <w:p w:rsidR="00C2602D" w:rsidRPr="00C8701B" w:rsidRDefault="0014311E" w:rsidP="00EA28F4">
      <w:pPr>
        <w:rPr>
          <w:rFonts w:eastAsia="Arial Unicode MS"/>
          <w:bCs/>
          <w:lang w:eastAsia="fr-FR" w:bidi="he-IL"/>
        </w:rPr>
      </w:pPr>
      <w:r w:rsidRPr="00C8701B">
        <w:rPr>
          <w:rFonts w:eastAsia="Arial Unicode MS"/>
          <w:bCs/>
          <w:lang w:eastAsia="fr-FR" w:bidi="he-IL"/>
        </w:rPr>
        <w:t>4</w:t>
      </w:r>
      <w:r>
        <w:rPr>
          <w:rFonts w:eastAsia="Arial Unicode MS"/>
          <w:bCs/>
          <w:lang w:eastAsia="fr-FR" w:bidi="he-IL"/>
        </w:rPr>
        <w:t>°</w:t>
      </w:r>
      <w:r w:rsidR="00B704AD" w:rsidRPr="00C8701B">
        <w:rPr>
          <w:rFonts w:eastAsia="Arial Unicode MS"/>
          <w:bCs/>
          <w:lang w:eastAsia="fr-FR" w:bidi="he-IL"/>
        </w:rPr>
        <w:t xml:space="preserve"> Sous le rapport littéraire. Mêmes réflexions à faire qu</w:t>
      </w:r>
      <w:r w:rsidR="00EA28F4">
        <w:rPr>
          <w:rFonts w:eastAsia="Arial Unicode MS"/>
          <w:bCs/>
          <w:lang w:eastAsia="fr-FR" w:bidi="he-IL"/>
        </w:rPr>
        <w:t>’</w:t>
      </w:r>
      <w:r w:rsidR="00B704AD" w:rsidRPr="00C8701B">
        <w:rPr>
          <w:rFonts w:eastAsia="Arial Unicode MS"/>
          <w:bCs/>
          <w:lang w:eastAsia="fr-FR" w:bidi="he-IL"/>
        </w:rPr>
        <w:t>au point de vue de l</w:t>
      </w:r>
      <w:r w:rsidR="00557DE0">
        <w:rPr>
          <w:rFonts w:eastAsia="Arial Unicode MS"/>
          <w:bCs/>
          <w:lang w:eastAsia="fr-FR" w:bidi="he-IL"/>
        </w:rPr>
        <w:t>’</w:t>
      </w:r>
      <w:r w:rsidR="000E647E">
        <w:rPr>
          <w:rFonts w:eastAsia="Arial Unicode MS"/>
          <w:bCs/>
          <w:lang w:eastAsia="fr-FR" w:bidi="he-IL"/>
        </w:rPr>
        <w:t>a</w:t>
      </w:r>
      <w:r w:rsidR="00B704AD" w:rsidRPr="00C8701B">
        <w:rPr>
          <w:rFonts w:eastAsia="Arial Unicode MS"/>
          <w:bCs/>
          <w:lang w:eastAsia="fr-FR" w:bidi="he-IL"/>
        </w:rPr>
        <w:t>rt. Au moyen-âge</w:t>
      </w:r>
      <w:r w:rsidR="00E65435">
        <w:rPr>
          <w:rFonts w:eastAsia="Arial Unicode MS"/>
          <w:bCs/>
          <w:lang w:eastAsia="fr-FR" w:bidi="he-IL"/>
        </w:rPr>
        <w:t xml:space="preserve">, </w:t>
      </w:r>
      <w:r w:rsidR="00B704AD" w:rsidRPr="00C8701B">
        <w:rPr>
          <w:rFonts w:eastAsia="Arial Unicode MS"/>
          <w:bCs/>
          <w:lang w:eastAsia="fr-FR" w:bidi="he-IL"/>
        </w:rPr>
        <w:t>les récits des évangiles apocryphes envahirent toute la littérature</w:t>
      </w:r>
      <w:r w:rsidR="00C2602D" w:rsidRPr="00C8701B">
        <w:rPr>
          <w:rFonts w:eastAsia="Arial Unicode MS"/>
          <w:bCs/>
          <w:lang w:eastAsia="fr-FR" w:bidi="he-IL"/>
        </w:rPr>
        <w:t> </w:t>
      </w:r>
      <w:r w:rsidR="007F6508">
        <w:rPr>
          <w:rFonts w:eastAsia="Arial Unicode MS"/>
          <w:bCs/>
          <w:lang w:eastAsia="fr-FR" w:bidi="he-IL"/>
        </w:rPr>
        <w:t xml:space="preserve">; </w:t>
      </w:r>
      <w:r w:rsidR="00B704AD" w:rsidRPr="00C8701B">
        <w:rPr>
          <w:rFonts w:eastAsia="Arial Unicode MS"/>
          <w:bCs/>
          <w:lang w:eastAsia="fr-FR" w:bidi="he-IL"/>
        </w:rPr>
        <w:t>poèmes lyriques et</w:t>
      </w:r>
      <w:r w:rsidR="00B704AD" w:rsidRPr="00DC4586">
        <w:rPr>
          <w:rStyle w:val="italicus"/>
        </w:rPr>
        <w:t xml:space="preserve"> Noëls</w:t>
      </w:r>
      <w:r w:rsidR="00B704AD" w:rsidRPr="00C8701B">
        <w:rPr>
          <w:rFonts w:eastAsia="Arial Unicode MS"/>
          <w:bCs/>
          <w:lang w:eastAsia="fr-FR" w:bidi="he-IL"/>
        </w:rPr>
        <w:t xml:space="preserve"> plus ou moins gracieux</w:t>
      </w:r>
      <w:r w:rsidR="00E65435">
        <w:rPr>
          <w:rFonts w:eastAsia="Arial Unicode MS"/>
          <w:bCs/>
          <w:lang w:eastAsia="fr-FR" w:bidi="he-IL"/>
        </w:rPr>
        <w:t xml:space="preserve">, </w:t>
      </w:r>
      <w:r w:rsidR="00B704AD" w:rsidRPr="00C8701B">
        <w:rPr>
          <w:rFonts w:eastAsia="Arial Unicode MS"/>
          <w:bCs/>
          <w:lang w:eastAsia="fr-FR" w:bidi="he-IL"/>
        </w:rPr>
        <w:t>poèmes dramatiques sous la forme des célèbres</w:t>
      </w:r>
      <w:r w:rsidR="00B704AD" w:rsidRPr="00DC4586">
        <w:rPr>
          <w:rStyle w:val="italicus"/>
        </w:rPr>
        <w:t xml:space="preserve"> Mystères</w:t>
      </w:r>
      <w:r w:rsidR="00E65435">
        <w:rPr>
          <w:rStyle w:val="italicus"/>
        </w:rPr>
        <w:t xml:space="preserve">, </w:t>
      </w:r>
      <w:r w:rsidR="00B704AD" w:rsidRPr="00C8701B">
        <w:rPr>
          <w:rFonts w:eastAsia="Arial Unicode MS"/>
          <w:bCs/>
          <w:lang w:eastAsia="fr-FR" w:bidi="he-IL"/>
        </w:rPr>
        <w:t>poèmes épi</w:t>
      </w:r>
      <w:r w:rsidR="000E647E">
        <w:rPr>
          <w:rFonts w:eastAsia="Arial Unicode MS"/>
          <w:bCs/>
          <w:lang w:eastAsia="fr-FR" w:bidi="he-IL"/>
        </w:rPr>
        <w:t>ques ou vies rimé</w:t>
      </w:r>
      <w:r w:rsidR="00B704AD" w:rsidRPr="00C8701B">
        <w:rPr>
          <w:rFonts w:eastAsia="Arial Unicode MS"/>
          <w:bCs/>
          <w:lang w:eastAsia="fr-FR" w:bidi="he-IL"/>
        </w:rPr>
        <w:t>es de Joachim</w:t>
      </w:r>
      <w:r w:rsidR="00E65435">
        <w:rPr>
          <w:rFonts w:eastAsia="Arial Unicode MS"/>
          <w:bCs/>
          <w:lang w:eastAsia="fr-FR" w:bidi="he-IL"/>
        </w:rPr>
        <w:t xml:space="preserve">, </w:t>
      </w:r>
      <w:r w:rsidR="00B704AD" w:rsidRPr="00C8701B">
        <w:rPr>
          <w:rFonts w:eastAsia="Arial Unicode MS"/>
          <w:bCs/>
          <w:lang w:eastAsia="fr-FR" w:bidi="he-IL"/>
        </w:rPr>
        <w:t>d</w:t>
      </w:r>
      <w:r w:rsidR="00557DE0">
        <w:rPr>
          <w:rFonts w:eastAsia="Arial Unicode MS"/>
          <w:bCs/>
          <w:lang w:eastAsia="fr-FR" w:bidi="he-IL"/>
        </w:rPr>
        <w:t>’</w:t>
      </w:r>
      <w:r w:rsidR="00B704AD" w:rsidRPr="00C8701B">
        <w:rPr>
          <w:rFonts w:eastAsia="Arial Unicode MS"/>
          <w:bCs/>
          <w:lang w:eastAsia="fr-FR" w:bidi="he-IL"/>
        </w:rPr>
        <w:t>Anne</w:t>
      </w:r>
      <w:r w:rsidR="00E65435">
        <w:rPr>
          <w:rFonts w:eastAsia="Arial Unicode MS"/>
          <w:bCs/>
          <w:lang w:eastAsia="fr-FR" w:bidi="he-IL"/>
        </w:rPr>
        <w:t xml:space="preserve">, </w:t>
      </w:r>
      <w:r w:rsidR="000E647E">
        <w:rPr>
          <w:rFonts w:eastAsia="Arial Unicode MS"/>
          <w:bCs/>
          <w:lang w:eastAsia="fr-FR" w:bidi="he-IL"/>
        </w:rPr>
        <w:t>de</w:t>
      </w:r>
      <w:r w:rsidR="00B704AD" w:rsidRPr="00C8701B">
        <w:rPr>
          <w:rFonts w:eastAsia="Arial Unicode MS"/>
          <w:bCs/>
          <w:lang w:eastAsia="fr-FR" w:bidi="he-IL"/>
        </w:rPr>
        <w:t xml:space="preserve"> Joseph</w:t>
      </w:r>
      <w:r w:rsidR="00E65435">
        <w:rPr>
          <w:rFonts w:eastAsia="Arial Unicode MS"/>
          <w:bCs/>
          <w:lang w:eastAsia="fr-FR" w:bidi="he-IL"/>
        </w:rPr>
        <w:t xml:space="preserve">, </w:t>
      </w:r>
      <w:r w:rsidR="00B704AD" w:rsidRPr="00C8701B">
        <w:rPr>
          <w:rFonts w:eastAsia="Arial Unicode MS"/>
          <w:bCs/>
          <w:lang w:eastAsia="fr-FR" w:bidi="he-IL"/>
        </w:rPr>
        <w:t>de Marie</w:t>
      </w:r>
      <w:r w:rsidR="00C2602D" w:rsidRPr="00C8701B">
        <w:rPr>
          <w:rFonts w:eastAsia="Arial Unicode MS"/>
          <w:bCs/>
          <w:lang w:eastAsia="fr-FR" w:bidi="he-IL"/>
        </w:rPr>
        <w:t> :</w:t>
      </w:r>
      <w:r w:rsidR="00B704AD" w:rsidRPr="00C8701B">
        <w:rPr>
          <w:rFonts w:eastAsia="Arial Unicode MS"/>
          <w:bCs/>
          <w:lang w:eastAsia="fr-FR" w:bidi="he-IL"/>
        </w:rPr>
        <w:t xml:space="preserve"> tout s</w:t>
      </w:r>
      <w:r w:rsidR="00557DE0">
        <w:rPr>
          <w:rFonts w:eastAsia="Arial Unicode MS"/>
          <w:bCs/>
          <w:lang w:eastAsia="fr-FR" w:bidi="he-IL"/>
        </w:rPr>
        <w:t>’</w:t>
      </w:r>
      <w:r w:rsidR="00B704AD" w:rsidRPr="00C8701B">
        <w:rPr>
          <w:rFonts w:eastAsia="Arial Unicode MS"/>
          <w:bCs/>
          <w:lang w:eastAsia="fr-FR" w:bidi="he-IL"/>
        </w:rPr>
        <w:t>en ressent. Bien plus</w:t>
      </w:r>
      <w:r w:rsidR="00E65435">
        <w:rPr>
          <w:rFonts w:eastAsia="Arial Unicode MS"/>
          <w:bCs/>
          <w:lang w:eastAsia="fr-FR" w:bidi="he-IL"/>
        </w:rPr>
        <w:t xml:space="preserve">, </w:t>
      </w:r>
      <w:r w:rsidR="00B704AD" w:rsidRPr="00C8701B">
        <w:rPr>
          <w:rFonts w:eastAsia="Arial Unicode MS"/>
          <w:bCs/>
          <w:lang w:eastAsia="fr-FR" w:bidi="he-IL"/>
        </w:rPr>
        <w:t>n</w:t>
      </w:r>
      <w:r w:rsidR="00557DE0">
        <w:rPr>
          <w:rFonts w:eastAsia="Arial Unicode MS"/>
          <w:bCs/>
          <w:lang w:eastAsia="fr-FR" w:bidi="he-IL"/>
        </w:rPr>
        <w:t>’</w:t>
      </w:r>
      <w:r w:rsidR="00B704AD" w:rsidRPr="00C8701B">
        <w:rPr>
          <w:rFonts w:eastAsia="Arial Unicode MS"/>
          <w:bCs/>
          <w:lang w:eastAsia="fr-FR" w:bidi="he-IL"/>
        </w:rPr>
        <w:t>est-ce pas de cette source que proviennent aussi les poèmes modernes de Milton et de Klopstock</w:t>
      </w:r>
      <w:r w:rsidR="00933C60" w:rsidRPr="00C406FF">
        <w:rPr>
          <w:rStyle w:val="Appelnotedebasdep"/>
        </w:rPr>
        <w:footnoteReference w:id="632"/>
      </w:r>
      <w:r w:rsidR="00C2602D" w:rsidRPr="00C8701B">
        <w:rPr>
          <w:rFonts w:eastAsia="Arial Unicode MS"/>
          <w:bCs/>
          <w:lang w:eastAsia="fr-FR" w:bidi="he-IL"/>
        </w:rPr>
        <w:t xml:space="preserve"> ? </w:t>
      </w:r>
    </w:p>
    <w:p w:rsidR="00C2602D" w:rsidRDefault="00B704AD" w:rsidP="00C2602D">
      <w:pPr>
        <w:rPr>
          <w:rFonts w:eastAsia="Arial Unicode MS"/>
          <w:bCs/>
          <w:lang w:eastAsia="fr-FR" w:bidi="he-IL"/>
        </w:rPr>
      </w:pPr>
      <w:r w:rsidRPr="00C8701B">
        <w:rPr>
          <w:rFonts w:eastAsia="Arial Unicode MS"/>
          <w:bCs/>
          <w:lang w:eastAsia="fr-FR" w:bidi="he-IL"/>
        </w:rPr>
        <w:t>On voit</w:t>
      </w:r>
      <w:r w:rsidR="00E65435">
        <w:rPr>
          <w:rFonts w:eastAsia="Arial Unicode MS"/>
          <w:bCs/>
          <w:lang w:eastAsia="fr-FR" w:bidi="he-IL"/>
        </w:rPr>
        <w:t xml:space="preserve">, </w:t>
      </w:r>
      <w:r w:rsidRPr="00C8701B">
        <w:rPr>
          <w:rFonts w:eastAsia="Arial Unicode MS"/>
          <w:bCs/>
          <w:lang w:eastAsia="fr-FR" w:bidi="he-IL"/>
        </w:rPr>
        <w:t>par tous ces détails</w:t>
      </w:r>
      <w:r w:rsidR="00E65435">
        <w:rPr>
          <w:rFonts w:eastAsia="Arial Unicode MS"/>
          <w:bCs/>
          <w:lang w:eastAsia="fr-FR" w:bidi="he-IL"/>
        </w:rPr>
        <w:t xml:space="preserve">, </w:t>
      </w:r>
      <w:r w:rsidRPr="00C8701B">
        <w:rPr>
          <w:rFonts w:eastAsia="Arial Unicode MS"/>
          <w:bCs/>
          <w:lang w:eastAsia="fr-FR" w:bidi="he-IL"/>
        </w:rPr>
        <w:t>qu</w:t>
      </w:r>
      <w:r w:rsidR="00557DE0">
        <w:rPr>
          <w:rFonts w:eastAsia="Arial Unicode MS"/>
          <w:bCs/>
          <w:lang w:eastAsia="fr-FR" w:bidi="he-IL"/>
        </w:rPr>
        <w:t>’</w:t>
      </w:r>
      <w:r w:rsidR="000E647E">
        <w:rPr>
          <w:rFonts w:eastAsia="Arial Unicode MS"/>
          <w:bCs/>
          <w:lang w:eastAsia="fr-FR" w:bidi="he-IL"/>
        </w:rPr>
        <w:t>on ne</w:t>
      </w:r>
      <w:r w:rsidRPr="00C8701B">
        <w:rPr>
          <w:rFonts w:eastAsia="Arial Unicode MS"/>
          <w:bCs/>
          <w:lang w:eastAsia="fr-FR" w:bidi="he-IL"/>
        </w:rPr>
        <w:t xml:space="preserve"> saurait absolument négliger ces écrits</w:t>
      </w:r>
      <w:r w:rsidR="00E65435">
        <w:rPr>
          <w:rFonts w:eastAsia="Arial Unicode MS"/>
          <w:bCs/>
          <w:lang w:eastAsia="fr-FR" w:bidi="he-IL"/>
        </w:rPr>
        <w:t xml:space="preserve">, </w:t>
      </w:r>
      <w:r w:rsidRPr="00C8701B">
        <w:rPr>
          <w:rFonts w:eastAsia="Arial Unicode MS"/>
          <w:bCs/>
          <w:lang w:eastAsia="fr-FR" w:bidi="he-IL"/>
        </w:rPr>
        <w:t>malgré leur singularité.</w:t>
      </w:r>
      <w:r w:rsidR="00C2602D" w:rsidRPr="00C8701B">
        <w:rPr>
          <w:rFonts w:eastAsia="Arial Unicode MS"/>
          <w:bCs/>
          <w:lang w:eastAsia="fr-FR" w:bidi="he-IL"/>
        </w:rPr>
        <w:t xml:space="preserve"> </w:t>
      </w:r>
    </w:p>
    <w:p w:rsidR="00C2602D" w:rsidRPr="00C8701B" w:rsidRDefault="00B704AD" w:rsidP="003A68DB">
      <w:pPr>
        <w:pStyle w:val="Titre4"/>
        <w:rPr>
          <w:lang w:eastAsia="fr-FR" w:bidi="he-IL"/>
        </w:rPr>
      </w:pPr>
      <w:bookmarkStart w:id="188" w:name="_Toc526755729"/>
      <w:r w:rsidRPr="00C8701B">
        <w:rPr>
          <w:rFonts w:eastAsia="Arial Unicode MS"/>
          <w:bCs/>
          <w:lang w:eastAsia="fr-FR" w:bidi="he-IL"/>
        </w:rPr>
        <w:t xml:space="preserve">§ </w:t>
      </w:r>
      <w:r w:rsidR="00D72CBC">
        <w:rPr>
          <w:rFonts w:eastAsia="Arial Unicode MS"/>
          <w:bCs/>
          <w:lang w:eastAsia="fr-FR" w:bidi="he-IL"/>
        </w:rPr>
        <w:t>XV</w:t>
      </w:r>
      <w:r w:rsidRPr="00C8701B">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HARMONIE ÉVANGÉLIQUE</w:t>
      </w:r>
      <w:bookmarkStart w:id="189" w:name="evin15"/>
      <w:bookmarkEnd w:id="188"/>
      <w:bookmarkEnd w:id="189"/>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E36C8E">
        <w:t>Le tableau</w:t>
      </w:r>
      <w:r w:rsidRPr="00C8701B">
        <w:rPr>
          <w:rFonts w:eastAsia="Arial Unicode MS"/>
          <w:bCs/>
          <w:lang w:eastAsia="fr-FR" w:bidi="he-IL"/>
        </w:rPr>
        <w:t xml:space="preserve"> qui suit est entièrement basé sur notre</w:t>
      </w:r>
      <w:r w:rsidRPr="00DC4586">
        <w:rPr>
          <w:rStyle w:val="italicus"/>
        </w:rPr>
        <w:t xml:space="preserve"> Synopsis e</w:t>
      </w:r>
      <w:r w:rsidR="00116664">
        <w:rPr>
          <w:rStyle w:val="italicus"/>
        </w:rPr>
        <w:t>vangélica</w:t>
      </w:r>
      <w:r w:rsidR="00E65435">
        <w:rPr>
          <w:rStyle w:val="italicus"/>
        </w:rPr>
        <w:t xml:space="preserve">, </w:t>
      </w:r>
      <w:r w:rsidRPr="00C8701B">
        <w:rPr>
          <w:rFonts w:eastAsia="Arial Unicode MS"/>
          <w:bCs/>
          <w:lang w:eastAsia="fr-FR" w:bidi="he-IL"/>
        </w:rPr>
        <w:t>a part deux ou trois traits que nous avons cru devoir modifier.</w:t>
      </w:r>
      <w:r w:rsidR="00C2602D" w:rsidRPr="00C8701B">
        <w:rPr>
          <w:rFonts w:eastAsia="Arial Unicode MS"/>
          <w:bCs/>
          <w:lang w:eastAsia="fr-FR"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 xml:space="preserve">On pourra le comparer avec les </w:t>
      </w:r>
      <w:r w:rsidR="00C2602D" w:rsidRPr="00C8701B">
        <w:rPr>
          <w:rFonts w:eastAsia="Arial Unicode MS"/>
          <w:bCs/>
          <w:lang w:eastAsia="fr-FR" w:bidi="he-IL"/>
        </w:rPr>
        <w:t>« </w:t>
      </w:r>
      <w:r w:rsidRPr="00C8701B">
        <w:rPr>
          <w:rFonts w:eastAsia="Arial Unicode MS"/>
          <w:bCs/>
          <w:lang w:eastAsia="fr-FR" w:bidi="he-IL"/>
        </w:rPr>
        <w:t>Concordes</w:t>
      </w:r>
      <w:r w:rsidR="000E647E">
        <w:rPr>
          <w:rFonts w:eastAsia="Arial Unicode MS"/>
          <w:bCs/>
          <w:lang w:eastAsia="fr-FR" w:bidi="he-IL"/>
        </w:rPr>
        <w:t> »</w:t>
      </w:r>
      <w:r w:rsidRPr="00C8701B">
        <w:rPr>
          <w:rFonts w:eastAsia="Arial Unicode MS"/>
          <w:bCs/>
          <w:lang w:eastAsia="fr-FR" w:bidi="he-IL"/>
        </w:rPr>
        <w:t xml:space="preserve"> du même genre que donnent le</w:t>
      </w:r>
      <w:r w:rsidRPr="00DC4586">
        <w:rPr>
          <w:rStyle w:val="italicus"/>
        </w:rPr>
        <w:t xml:space="preserve"> Dictionary of</w:t>
      </w:r>
      <w:r w:rsidR="00E36C8E">
        <w:rPr>
          <w:rStyle w:val="italicus"/>
        </w:rPr>
        <w:t xml:space="preserve"> </w:t>
      </w:r>
      <w:r w:rsidRPr="00DC4586">
        <w:rPr>
          <w:rStyle w:val="italicus"/>
        </w:rPr>
        <w:t>the Bible</w:t>
      </w:r>
      <w:r w:rsidRPr="00C8701B">
        <w:rPr>
          <w:rFonts w:eastAsia="Arial Unicode MS"/>
          <w:bCs/>
          <w:lang w:eastAsia="fr-FR" w:bidi="he-IL"/>
        </w:rPr>
        <w:t xml:space="preserve"> de Smith</w:t>
      </w:r>
      <w:r w:rsidR="00933C60" w:rsidRPr="00C406FF">
        <w:rPr>
          <w:rStyle w:val="Appelnotedebasdep"/>
        </w:rPr>
        <w:footnoteReference w:id="633"/>
      </w:r>
      <w:r w:rsidR="00E65435">
        <w:rPr>
          <w:rFonts w:eastAsia="Arial Unicode MS"/>
          <w:bCs/>
          <w:lang w:eastAsia="fr-FR" w:bidi="he-IL"/>
        </w:rPr>
        <w:t xml:space="preserve">, </w:t>
      </w:r>
      <w:r w:rsidRPr="00C8701B">
        <w:rPr>
          <w:rFonts w:eastAsia="Arial Unicode MS"/>
          <w:bCs/>
          <w:lang w:eastAsia="fr-FR" w:bidi="he-IL"/>
        </w:rPr>
        <w:t>le révérend L. Abbott</w:t>
      </w:r>
      <w:r w:rsidR="00933C60" w:rsidRPr="00C406FF">
        <w:rPr>
          <w:rStyle w:val="Appelnotedebasdep"/>
        </w:rPr>
        <w:footnoteReference w:id="634"/>
      </w:r>
      <w:r w:rsidR="00E36C8E">
        <w:rPr>
          <w:rFonts w:eastAsia="Arial Unicode MS"/>
          <w:bCs/>
          <w:lang w:eastAsia="fr-FR" w:bidi="he-IL"/>
        </w:rPr>
        <w:t>, M</w:t>
      </w:r>
      <w:r w:rsidRPr="00C8701B">
        <w:rPr>
          <w:rFonts w:eastAsia="Arial Unicode MS"/>
          <w:bCs/>
          <w:lang w:eastAsia="fr-FR" w:bidi="he-IL"/>
        </w:rPr>
        <w:t>. Fouard</w:t>
      </w:r>
      <w:r w:rsidR="00933C60" w:rsidRPr="00C406FF">
        <w:rPr>
          <w:rStyle w:val="Appelnotedebasdep"/>
        </w:rPr>
        <w:footnoteReference w:id="635"/>
      </w:r>
      <w:r w:rsidR="00E65435">
        <w:rPr>
          <w:rFonts w:eastAsia="Arial Unicode MS"/>
          <w:bCs/>
          <w:lang w:eastAsia="fr-FR" w:bidi="he-IL"/>
        </w:rPr>
        <w:t xml:space="preserve">, </w:t>
      </w:r>
      <w:r w:rsidRPr="00C8701B">
        <w:rPr>
          <w:rFonts w:eastAsia="Arial Unicode MS"/>
          <w:bCs/>
          <w:lang w:eastAsia="fr-FR" w:bidi="he-IL"/>
        </w:rPr>
        <w:t>M. Bacuez</w:t>
      </w:r>
      <w:r w:rsidR="00933C60" w:rsidRPr="00C406FF">
        <w:rPr>
          <w:rStyle w:val="Appelnotedebasdep"/>
        </w:rPr>
        <w:footnoteReference w:id="636"/>
      </w:r>
      <w:r w:rsidR="00E65435">
        <w:rPr>
          <w:rFonts w:eastAsia="Arial Unicode MS"/>
          <w:bCs/>
          <w:lang w:eastAsia="fr-FR" w:bidi="he-IL"/>
        </w:rPr>
        <w:t xml:space="preserve">, </w:t>
      </w:r>
      <w:r w:rsidRPr="00C8701B">
        <w:rPr>
          <w:rFonts w:eastAsia="Arial Unicode MS"/>
          <w:bCs/>
          <w:lang w:eastAsia="fr-FR" w:bidi="he-IL"/>
        </w:rPr>
        <w:t xml:space="preserve">et le P. </w:t>
      </w:r>
      <w:r w:rsidR="00EA28F4" w:rsidRPr="00C8701B">
        <w:rPr>
          <w:rFonts w:eastAsia="Arial Unicode MS"/>
          <w:bCs/>
          <w:lang w:eastAsia="fr-FR" w:bidi="he-IL"/>
        </w:rPr>
        <w:t>Cornely</w:t>
      </w:r>
      <w:r w:rsidRPr="00C8701B">
        <w:rPr>
          <w:rFonts w:eastAsia="Arial Unicode MS"/>
          <w:bCs/>
          <w:lang w:eastAsia="fr-FR" w:bidi="he-IL"/>
        </w:rPr>
        <w:t>(7).</w:t>
      </w:r>
      <w:r w:rsidR="00E65435">
        <w:rPr>
          <w:rFonts w:eastAsia="Arial Unicode MS"/>
          <w:bCs/>
          <w:lang w:eastAsia="fr-FR" w:bidi="he-IL"/>
        </w:rPr>
        <w:t xml:space="preserve"> </w:t>
      </w:r>
    </w:p>
    <w:p w:rsidR="00C2602D" w:rsidRDefault="00B704AD" w:rsidP="00C2602D">
      <w:pPr>
        <w:rPr>
          <w:rFonts w:eastAsia="Arial Unicode MS"/>
          <w:bCs/>
          <w:lang w:eastAsia="fr-FR" w:bidi="he-IL"/>
        </w:rPr>
      </w:pPr>
      <w:r w:rsidRPr="00C8701B">
        <w:rPr>
          <w:rFonts w:eastAsia="Arial Unicode MS"/>
          <w:bCs/>
          <w:lang w:eastAsia="fr-FR" w:bidi="he-IL"/>
        </w:rPr>
        <w:t xml:space="preserve">Nous avons marqué en caractères </w:t>
      </w:r>
      <w:r w:rsidR="00E36C8E">
        <w:rPr>
          <w:rFonts w:eastAsia="Arial Unicode MS"/>
          <w:bCs/>
          <w:lang w:eastAsia="fr-FR" w:bidi="he-IL"/>
        </w:rPr>
        <w:t>italiques</w:t>
      </w:r>
      <w:r w:rsidRPr="00C8701B">
        <w:rPr>
          <w:rFonts w:eastAsia="Arial Unicode MS"/>
          <w:bCs/>
          <w:lang w:eastAsia="fr-FR" w:bidi="he-IL"/>
        </w:rPr>
        <w:t xml:space="preserve"> les passages pour l</w:t>
      </w:r>
      <w:r w:rsidR="00557DE0">
        <w:rPr>
          <w:rFonts w:eastAsia="Arial Unicode MS"/>
          <w:bCs/>
          <w:lang w:eastAsia="fr-FR" w:bidi="he-IL"/>
        </w:rPr>
        <w:t>’</w:t>
      </w:r>
      <w:r w:rsidRPr="00C8701B">
        <w:rPr>
          <w:rFonts w:eastAsia="Arial Unicode MS"/>
          <w:bCs/>
          <w:lang w:eastAsia="fr-FR" w:bidi="he-IL"/>
        </w:rPr>
        <w:t>arrangement desquel</w:t>
      </w:r>
      <w:r w:rsidR="005069E2" w:rsidRPr="00C8701B">
        <w:rPr>
          <w:rFonts w:eastAsia="Arial Unicode MS"/>
          <w:bCs/>
          <w:lang w:eastAsia="fr-FR" w:bidi="he-IL"/>
        </w:rPr>
        <w:t>s</w:t>
      </w:r>
      <w:r w:rsidR="005069E2">
        <w:rPr>
          <w:rFonts w:eastAsia="Arial Unicode MS"/>
          <w:bCs/>
          <w:lang w:eastAsia="fr-FR" w:bidi="he-IL"/>
        </w:rPr>
        <w:t xml:space="preserve"> il </w:t>
      </w:r>
      <w:r w:rsidR="005069E2" w:rsidRPr="00C8701B">
        <w:rPr>
          <w:rFonts w:eastAsia="Arial Unicode MS"/>
          <w:bCs/>
          <w:lang w:eastAsia="fr-FR" w:bidi="he-IL"/>
        </w:rPr>
        <w:t>r</w:t>
      </w:r>
      <w:r w:rsidRPr="00C8701B">
        <w:rPr>
          <w:rFonts w:eastAsia="Arial Unicode MS"/>
          <w:bCs/>
          <w:lang w:eastAsia="fr-FR" w:bidi="he-IL"/>
        </w:rPr>
        <w:t>ègne une plus grande incertitude.</w:t>
      </w:r>
      <w:r w:rsidR="00C2602D" w:rsidRPr="00C8701B">
        <w:rPr>
          <w:rFonts w:eastAsia="Arial Unicode MS"/>
          <w:bCs/>
          <w:lang w:eastAsia="fr-FR" w:bidi="he-IL"/>
        </w:rPr>
        <w:t xml:space="preserve"> </w:t>
      </w:r>
      <w:r w:rsidR="00366671">
        <w:rPr>
          <w:rFonts w:eastAsia="Arial Unicode MS"/>
          <w:bCs/>
          <w:lang w:eastAsia="fr-FR" w:bidi="he-IL"/>
        </w:rPr>
        <w:t>{124</w:t>
      </w:r>
      <w:bookmarkStart w:id="190" w:name="pag124"/>
      <w:bookmarkEnd w:id="190"/>
      <w:r w:rsidR="00366671">
        <w:rPr>
          <w:rFonts w:eastAsia="Arial Unicode MS"/>
          <w:bCs/>
          <w:lang w:eastAsia="fr-FR" w:bidi="he-IL"/>
        </w:rPr>
        <w:t>}</w:t>
      </w:r>
    </w:p>
    <w:p w:rsidR="00E36C8E" w:rsidRPr="00177118" w:rsidRDefault="00E36C8E" w:rsidP="00E36C8E">
      <w:pPr>
        <w:pStyle w:val="nsr"/>
      </w:pPr>
    </w:p>
    <w:p w:rsidR="00E36C8E" w:rsidRPr="00177118" w:rsidRDefault="00E36C8E" w:rsidP="00E36C8E">
      <w:pPr>
        <w:pStyle w:val="nsr"/>
      </w:pP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4073"/>
        <w:gridCol w:w="1647"/>
        <w:gridCol w:w="1597"/>
        <w:gridCol w:w="1597"/>
        <w:gridCol w:w="1576"/>
      </w:tblGrid>
      <w:tr w:rsidR="00E36C8E" w:rsidRPr="00177118" w:rsidTr="00BD4391">
        <w:trPr>
          <w:cantSplit/>
          <w:trHeight w:val="20"/>
        </w:trPr>
        <w:tc>
          <w:tcPr>
            <w:tcW w:w="1941" w:type="pct"/>
            <w:shd w:val="clear" w:color="auto" w:fill="FFFFFF"/>
          </w:tcPr>
          <w:p w:rsidR="00E36C8E" w:rsidRPr="00177118" w:rsidRDefault="00E36C8E" w:rsidP="00BD4391">
            <w:pPr>
              <w:pStyle w:val="h"/>
            </w:pPr>
            <w:r w:rsidRPr="00177118">
              <w:t>PRÉLUDE</w:t>
            </w:r>
          </w:p>
        </w:tc>
        <w:tc>
          <w:tcPr>
            <w:tcW w:w="785" w:type="pct"/>
            <w:shd w:val="clear" w:color="auto" w:fill="FFFFFF"/>
            <w:vAlign w:val="center"/>
          </w:tcPr>
          <w:p w:rsidR="00E36C8E" w:rsidRPr="00177118" w:rsidRDefault="00E36C8E" w:rsidP="00BD4391">
            <w:pPr>
              <w:pStyle w:val="nsr"/>
              <w:jc w:val="center"/>
            </w:pPr>
            <w:r>
              <w:t>St</w:t>
            </w:r>
            <w:r w:rsidRPr="00177118">
              <w:t xml:space="preserve"> </w:t>
            </w:r>
            <w:r>
              <w:t>Matthieu</w:t>
            </w:r>
            <w:r w:rsidRPr="00177118">
              <w:t>.</w:t>
            </w:r>
          </w:p>
        </w:tc>
        <w:tc>
          <w:tcPr>
            <w:tcW w:w="761" w:type="pct"/>
            <w:shd w:val="clear" w:color="auto" w:fill="FFFFFF"/>
            <w:vAlign w:val="center"/>
          </w:tcPr>
          <w:p w:rsidR="00E36C8E" w:rsidRPr="00177118" w:rsidRDefault="00E36C8E" w:rsidP="00BD4391">
            <w:pPr>
              <w:pStyle w:val="nsr"/>
              <w:jc w:val="center"/>
            </w:pPr>
            <w:r>
              <w:t>St</w:t>
            </w:r>
            <w:r w:rsidRPr="00177118">
              <w:t xml:space="preserve"> Marc.</w:t>
            </w:r>
          </w:p>
        </w:tc>
        <w:tc>
          <w:tcPr>
            <w:tcW w:w="761" w:type="pct"/>
            <w:shd w:val="clear" w:color="auto" w:fill="FFFFFF"/>
            <w:vAlign w:val="center"/>
          </w:tcPr>
          <w:p w:rsidR="00E36C8E" w:rsidRPr="00177118" w:rsidRDefault="00E36C8E" w:rsidP="00BD4391">
            <w:pPr>
              <w:pStyle w:val="nsr"/>
              <w:jc w:val="center"/>
            </w:pPr>
            <w:r>
              <w:t>St</w:t>
            </w:r>
            <w:r w:rsidRPr="00177118">
              <w:t xml:space="preserve"> Luc.</w:t>
            </w:r>
          </w:p>
        </w:tc>
        <w:tc>
          <w:tcPr>
            <w:tcW w:w="751" w:type="pct"/>
            <w:shd w:val="clear" w:color="auto" w:fill="FFFFFF"/>
            <w:vAlign w:val="center"/>
          </w:tcPr>
          <w:p w:rsidR="00E36C8E" w:rsidRPr="00177118" w:rsidRDefault="00E36C8E" w:rsidP="00BD4391">
            <w:pPr>
              <w:pStyle w:val="nsr"/>
              <w:jc w:val="center"/>
            </w:pPr>
            <w:r>
              <w:t>St</w:t>
            </w:r>
            <w:r w:rsidRPr="00177118">
              <w:t xml:space="preserve"> Jean.</w:t>
            </w:r>
          </w:p>
        </w:tc>
      </w:tr>
      <w:tr w:rsidR="00E36C8E" w:rsidRPr="00177118" w:rsidTr="00BD4391">
        <w:trPr>
          <w:cantSplit/>
          <w:trHeight w:val="20"/>
        </w:trPr>
        <w:tc>
          <w:tcPr>
            <w:tcW w:w="1941" w:type="pct"/>
            <w:shd w:val="clear" w:color="auto" w:fill="FFFFFF"/>
          </w:tcPr>
          <w:p w:rsidR="00E36C8E" w:rsidRPr="00177118" w:rsidRDefault="00E36C8E" w:rsidP="00BD4391">
            <w:pPr>
              <w:pStyle w:val="h"/>
            </w:pPr>
            <w:r w:rsidRPr="00177118">
              <w:t xml:space="preserve">Préface de </w:t>
            </w:r>
            <w:r>
              <w:t>St</w:t>
            </w:r>
            <w:r w:rsidRPr="00177118">
              <w:t xml:space="preserve"> Luc à Théophile</w:t>
            </w:r>
            <w:r>
              <w:t xml:space="preserve"> </w:t>
            </w:r>
          </w:p>
        </w:tc>
        <w:tc>
          <w:tcPr>
            <w:tcW w:w="785" w:type="pct"/>
            <w:shd w:val="clear" w:color="auto" w:fill="FFFFFF"/>
            <w:vAlign w:val="center"/>
          </w:tcPr>
          <w:p w:rsidR="00E36C8E" w:rsidRPr="00177118" w:rsidRDefault="00E36C8E" w:rsidP="00BD4391">
            <w:pPr>
              <w:pStyle w:val="centrum"/>
            </w:pPr>
            <w:r>
              <w:t xml:space="preserve"> »</w:t>
            </w:r>
          </w:p>
        </w:tc>
        <w:tc>
          <w:tcPr>
            <w:tcW w:w="761" w:type="pct"/>
            <w:shd w:val="clear" w:color="auto" w:fill="FFFFFF"/>
            <w:vAlign w:val="center"/>
          </w:tcPr>
          <w:p w:rsidR="00E36C8E" w:rsidRPr="00177118" w:rsidRDefault="00E36C8E" w:rsidP="00BD4391">
            <w:pPr>
              <w:pStyle w:val="centrum"/>
            </w:pPr>
            <w:r>
              <w:t xml:space="preserve"> »</w:t>
            </w:r>
          </w:p>
        </w:tc>
        <w:tc>
          <w:tcPr>
            <w:tcW w:w="761" w:type="pct"/>
            <w:shd w:val="clear" w:color="auto" w:fill="FFFFFF"/>
            <w:vAlign w:val="center"/>
          </w:tcPr>
          <w:p w:rsidR="00E36C8E" w:rsidRPr="00177118" w:rsidRDefault="00E36C8E" w:rsidP="00BD4391">
            <w:pPr>
              <w:pStyle w:val="nsr"/>
              <w:jc w:val="center"/>
            </w:pPr>
            <w:r>
              <w:t xml:space="preserve">I, </w:t>
            </w:r>
            <w:r w:rsidRPr="00177118">
              <w:t>1-4.</w:t>
            </w:r>
          </w:p>
        </w:tc>
        <w:tc>
          <w:tcPr>
            <w:tcW w:w="751" w:type="pct"/>
            <w:shd w:val="clear" w:color="auto" w:fill="FFFFFF"/>
            <w:vAlign w:val="center"/>
          </w:tcPr>
          <w:p w:rsidR="00E36C8E" w:rsidRPr="00177118" w:rsidRDefault="00E36C8E" w:rsidP="00BD4391">
            <w:pPr>
              <w:pStyle w:val="centrum"/>
            </w:pPr>
            <w:r>
              <w:t xml:space="preserve"> » </w:t>
            </w:r>
          </w:p>
        </w:tc>
      </w:tr>
      <w:tr w:rsidR="00E36C8E" w:rsidRPr="00177118" w:rsidTr="00BD4391">
        <w:trPr>
          <w:cantSplit/>
          <w:trHeight w:val="20"/>
        </w:trPr>
        <w:tc>
          <w:tcPr>
            <w:tcW w:w="1941" w:type="pct"/>
            <w:shd w:val="clear" w:color="auto" w:fill="FFFFFF"/>
          </w:tcPr>
          <w:p w:rsidR="00E36C8E" w:rsidRPr="00177118" w:rsidRDefault="00E36C8E" w:rsidP="00BD4391">
            <w:pPr>
              <w:pStyle w:val="h"/>
            </w:pPr>
            <w:r w:rsidRPr="00177118">
              <w:t>Génération éternelle du Verbe</w:t>
            </w:r>
            <w:r>
              <w:t xml:space="preserve"> </w:t>
            </w:r>
          </w:p>
        </w:tc>
        <w:tc>
          <w:tcPr>
            <w:tcW w:w="785" w:type="pct"/>
            <w:shd w:val="clear" w:color="auto" w:fill="FFFFFF"/>
            <w:vAlign w:val="center"/>
          </w:tcPr>
          <w:p w:rsidR="00E36C8E" w:rsidRPr="00177118" w:rsidRDefault="00E36C8E" w:rsidP="00BD4391">
            <w:pPr>
              <w:pStyle w:val="nsr"/>
              <w:jc w:val="center"/>
            </w:pPr>
            <w:r>
              <w:t>»</w:t>
            </w:r>
          </w:p>
        </w:tc>
        <w:tc>
          <w:tcPr>
            <w:tcW w:w="761" w:type="pct"/>
            <w:shd w:val="clear" w:color="auto" w:fill="FFFFFF"/>
            <w:vAlign w:val="center"/>
          </w:tcPr>
          <w:p w:rsidR="00E36C8E" w:rsidRPr="00177118" w:rsidRDefault="00E36C8E" w:rsidP="00BD4391">
            <w:pPr>
              <w:pStyle w:val="nsr"/>
              <w:jc w:val="center"/>
            </w:pPr>
          </w:p>
        </w:tc>
        <w:tc>
          <w:tcPr>
            <w:tcW w:w="761" w:type="pct"/>
            <w:shd w:val="clear" w:color="auto" w:fill="FFFFFF"/>
            <w:vAlign w:val="center"/>
          </w:tcPr>
          <w:p w:rsidR="00E36C8E" w:rsidRPr="00177118" w:rsidRDefault="00E36C8E" w:rsidP="00BD4391">
            <w:pPr>
              <w:pStyle w:val="nsr"/>
              <w:jc w:val="center"/>
            </w:pPr>
          </w:p>
        </w:tc>
        <w:tc>
          <w:tcPr>
            <w:tcW w:w="751" w:type="pct"/>
            <w:shd w:val="clear" w:color="auto" w:fill="FFFFFF"/>
            <w:vAlign w:val="center"/>
          </w:tcPr>
          <w:p w:rsidR="00E36C8E" w:rsidRPr="00177118" w:rsidRDefault="00E36C8E" w:rsidP="00BD4391">
            <w:pPr>
              <w:pStyle w:val="nsr"/>
              <w:jc w:val="center"/>
            </w:pPr>
            <w:r>
              <w:t>I, 1-</w:t>
            </w:r>
            <w:r w:rsidRPr="00177118">
              <w:t>18</w:t>
            </w:r>
          </w:p>
        </w:tc>
      </w:tr>
      <w:tr w:rsidR="00E36C8E" w:rsidRPr="00177118" w:rsidTr="00BD4391">
        <w:trPr>
          <w:cantSplit/>
          <w:trHeight w:val="20"/>
        </w:trPr>
        <w:tc>
          <w:tcPr>
            <w:tcW w:w="1941" w:type="pct"/>
            <w:shd w:val="clear" w:color="auto" w:fill="FFFFFF"/>
          </w:tcPr>
          <w:p w:rsidR="00E36C8E" w:rsidRPr="00177118" w:rsidRDefault="00E36C8E" w:rsidP="00BD4391">
            <w:pPr>
              <w:pStyle w:val="h"/>
            </w:pPr>
            <w:r w:rsidRPr="00177118">
              <w:t>Généalogie</w:t>
            </w:r>
            <w:r>
              <w:t xml:space="preserve"> de N.-St Jésus Christ sel</w:t>
            </w:r>
            <w:r w:rsidRPr="00177118">
              <w:t>on</w:t>
            </w:r>
            <w:r>
              <w:t xml:space="preserve"> la chair</w:t>
            </w:r>
          </w:p>
        </w:tc>
        <w:tc>
          <w:tcPr>
            <w:tcW w:w="785" w:type="pct"/>
            <w:shd w:val="clear" w:color="auto" w:fill="FFFFFF"/>
            <w:vAlign w:val="center"/>
          </w:tcPr>
          <w:p w:rsidR="00E36C8E" w:rsidRPr="00177118" w:rsidRDefault="00E36C8E" w:rsidP="00BD4391">
            <w:pPr>
              <w:pStyle w:val="nsr"/>
              <w:jc w:val="center"/>
            </w:pPr>
            <w:r>
              <w:t xml:space="preserve">I, </w:t>
            </w:r>
            <w:r w:rsidRPr="00177118">
              <w:t>1-17.</w:t>
            </w:r>
          </w:p>
        </w:tc>
        <w:tc>
          <w:tcPr>
            <w:tcW w:w="761" w:type="pct"/>
            <w:shd w:val="clear" w:color="auto" w:fill="FFFFFF"/>
            <w:vAlign w:val="center"/>
          </w:tcPr>
          <w:p w:rsidR="00E36C8E" w:rsidRPr="00177118" w:rsidRDefault="00E36C8E" w:rsidP="00BD4391">
            <w:pPr>
              <w:pStyle w:val="centrum"/>
            </w:pPr>
            <w:r>
              <w:t xml:space="preserve"> »</w:t>
            </w:r>
          </w:p>
        </w:tc>
        <w:tc>
          <w:tcPr>
            <w:tcW w:w="761" w:type="pct"/>
            <w:shd w:val="clear" w:color="auto" w:fill="FFFFFF"/>
            <w:vAlign w:val="center"/>
          </w:tcPr>
          <w:p w:rsidR="00E36C8E" w:rsidRPr="00177118" w:rsidRDefault="00E36C8E" w:rsidP="00BD4391">
            <w:pPr>
              <w:pStyle w:val="nsr"/>
              <w:jc w:val="center"/>
            </w:pPr>
            <w:r>
              <w:t>III, 23b</w:t>
            </w:r>
            <w:r w:rsidRPr="00177118">
              <w:t>-38.</w:t>
            </w:r>
          </w:p>
        </w:tc>
        <w:tc>
          <w:tcPr>
            <w:tcW w:w="751" w:type="pct"/>
            <w:shd w:val="clear" w:color="auto" w:fill="FFFFFF"/>
            <w:vAlign w:val="center"/>
          </w:tcPr>
          <w:p w:rsidR="00E36C8E" w:rsidRPr="00177118" w:rsidRDefault="00E36C8E" w:rsidP="00BD4391">
            <w:pPr>
              <w:pStyle w:val="centrum"/>
            </w:pPr>
            <w:r>
              <w:t xml:space="preserve"> »</w:t>
            </w:r>
          </w:p>
        </w:tc>
      </w:tr>
    </w:tbl>
    <w:p w:rsidR="00E36C8E" w:rsidRPr="00F9683A" w:rsidRDefault="00E36C8E" w:rsidP="00E36C8E">
      <w:pPr>
        <w:pStyle w:val="u2"/>
      </w:pPr>
      <w:r w:rsidRPr="00F9683A">
        <w:t>I</w:t>
      </w:r>
      <w:r>
        <w:t>re</w:t>
      </w:r>
      <w:r w:rsidRPr="00F9683A">
        <w:t xml:space="preserve"> PARTIE. — Enfance et vie cachée de Jésus</w:t>
      </w:r>
      <w:r>
        <w:t>-Chris</w:t>
      </w:r>
      <w:r w:rsidRPr="00F9683A">
        <w:t>t</w:t>
      </w:r>
    </w:p>
    <w:p w:rsidR="00E36C8E" w:rsidRPr="00F9683A" w:rsidRDefault="00E36C8E" w:rsidP="00E36C8E">
      <w:pPr>
        <w:pStyle w:val="nsr"/>
      </w:pPr>
      <w:r>
        <w:t>(août 748 u</w:t>
      </w:r>
      <w:r w:rsidRPr="00F9683A">
        <w:t>. c. —</w:t>
      </w:r>
      <w:r>
        <w:t xml:space="preserve"> automne de 779, années 6-26 de</w:t>
      </w:r>
      <w:r w:rsidRPr="00F9683A">
        <w:t xml:space="preserve"> l</w:t>
      </w:r>
      <w:r w:rsidR="00557DE0">
        <w:t>’</w:t>
      </w:r>
      <w:r w:rsidRPr="00F9683A">
        <w:t>ère vulgaire).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3943"/>
        <w:gridCol w:w="1557"/>
        <w:gridCol w:w="1529"/>
        <w:gridCol w:w="1550"/>
        <w:gridCol w:w="1911"/>
      </w:tblGrid>
      <w:tr w:rsidR="00E36C8E" w:rsidRPr="00177118" w:rsidTr="00BD4391">
        <w:trPr>
          <w:cantSplit/>
          <w:trHeight w:val="20"/>
        </w:trPr>
        <w:tc>
          <w:tcPr>
            <w:tcW w:w="1879" w:type="pct"/>
            <w:shd w:val="clear" w:color="auto" w:fill="FFFFFF"/>
          </w:tcPr>
          <w:p w:rsidR="00E36C8E" w:rsidRPr="00177118" w:rsidRDefault="00E36C8E" w:rsidP="00BD4391">
            <w:pPr>
              <w:pStyle w:val="h"/>
            </w:pPr>
            <w:r w:rsidRPr="00177118">
              <w:t>L</w:t>
            </w:r>
            <w:r w:rsidR="00557DE0">
              <w:t>’</w:t>
            </w:r>
            <w:r w:rsidRPr="00177118">
              <w:t xml:space="preserve">annonciation et la conception de </w:t>
            </w:r>
            <w:r>
              <w:t>St</w:t>
            </w:r>
            <w:r w:rsidRPr="00177118">
              <w:t xml:space="preserve"> Jean-Baptiste</w:t>
            </w:r>
            <w:r>
              <w:t xml:space="preserve"> </w:t>
            </w:r>
          </w:p>
        </w:tc>
        <w:tc>
          <w:tcPr>
            <w:tcW w:w="742" w:type="pct"/>
            <w:shd w:val="clear" w:color="auto" w:fill="FFFFFF"/>
          </w:tcPr>
          <w:p w:rsidR="00E36C8E" w:rsidRPr="00A21E32" w:rsidRDefault="00E36C8E" w:rsidP="00BD4391">
            <w:pPr>
              <w:pStyle w:val="centrum"/>
            </w:pPr>
            <w:r>
              <w:t xml:space="preserve"> </w:t>
            </w:r>
            <w:r w:rsidRPr="00A21E32">
              <w:t>»</w:t>
            </w:r>
          </w:p>
        </w:tc>
        <w:tc>
          <w:tcPr>
            <w:tcW w:w="729" w:type="pct"/>
            <w:shd w:val="clear" w:color="auto" w:fill="FFFFFF"/>
          </w:tcPr>
          <w:p w:rsidR="00E36C8E" w:rsidRPr="00A21E32" w:rsidRDefault="00E36C8E" w:rsidP="00BD4391">
            <w:pPr>
              <w:pStyle w:val="centrum"/>
            </w:pPr>
            <w:r w:rsidRPr="00A21E32">
              <w:t xml:space="preserve"> »</w:t>
            </w:r>
          </w:p>
        </w:tc>
        <w:tc>
          <w:tcPr>
            <w:tcW w:w="739" w:type="pct"/>
            <w:shd w:val="clear" w:color="auto" w:fill="FFFFFF"/>
          </w:tcPr>
          <w:p w:rsidR="00E36C8E" w:rsidRPr="00A21E32" w:rsidRDefault="00E36C8E" w:rsidP="00BD4391">
            <w:pPr>
              <w:pStyle w:val="nsr"/>
            </w:pPr>
            <w:r w:rsidRPr="00A21E32">
              <w:t>I</w:t>
            </w:r>
            <w:r>
              <w:t xml:space="preserve">, </w:t>
            </w:r>
            <w:r w:rsidRPr="00A21E32">
              <w:t>5-25.</w:t>
            </w:r>
          </w:p>
        </w:tc>
        <w:tc>
          <w:tcPr>
            <w:tcW w:w="912" w:type="pct"/>
            <w:shd w:val="clear" w:color="auto" w:fill="FFFFFF"/>
          </w:tcPr>
          <w:p w:rsidR="00E36C8E" w:rsidRPr="00A21E32" w:rsidRDefault="00E36C8E" w:rsidP="00BD4391">
            <w:pPr>
              <w:pStyle w:val="centrum"/>
            </w:pPr>
            <w:r w:rsidRPr="00A21E32">
              <w:t xml:space="preserve"> »</w:t>
            </w:r>
          </w:p>
        </w:tc>
      </w:tr>
      <w:tr w:rsidR="00E36C8E" w:rsidRPr="00177118" w:rsidTr="00BD4391">
        <w:trPr>
          <w:cantSplit/>
          <w:trHeight w:val="20"/>
        </w:trPr>
        <w:tc>
          <w:tcPr>
            <w:tcW w:w="1879" w:type="pct"/>
            <w:shd w:val="clear" w:color="auto" w:fill="FFFFFF"/>
          </w:tcPr>
          <w:p w:rsidR="00E36C8E" w:rsidRPr="00177118" w:rsidRDefault="00E36C8E" w:rsidP="00BD4391">
            <w:pPr>
              <w:pStyle w:val="h"/>
            </w:pPr>
            <w:r w:rsidRPr="00177118">
              <w:t>L</w:t>
            </w:r>
            <w:r w:rsidR="00557DE0">
              <w:t>’</w:t>
            </w:r>
            <w:r>
              <w:t>annonciation</w:t>
            </w:r>
            <w:r w:rsidRPr="00177118">
              <w:t xml:space="preserve"> et l</w:t>
            </w:r>
            <w:r w:rsidR="00557DE0">
              <w:t>’</w:t>
            </w:r>
            <w:r w:rsidRPr="00177118">
              <w:t>Incarnation du Verbe</w:t>
            </w:r>
          </w:p>
        </w:tc>
        <w:tc>
          <w:tcPr>
            <w:tcW w:w="742" w:type="pct"/>
            <w:shd w:val="clear" w:color="auto" w:fill="FFFFFF"/>
          </w:tcPr>
          <w:p w:rsidR="00E36C8E" w:rsidRPr="00A21E32" w:rsidRDefault="00E36C8E" w:rsidP="00BD4391">
            <w:pPr>
              <w:pStyle w:val="centrum"/>
            </w:pPr>
            <w:r w:rsidRPr="00A21E32">
              <w:t xml:space="preserve"> »</w:t>
            </w:r>
          </w:p>
        </w:tc>
        <w:tc>
          <w:tcPr>
            <w:tcW w:w="729" w:type="pct"/>
            <w:shd w:val="clear" w:color="auto" w:fill="FFFFFF"/>
          </w:tcPr>
          <w:p w:rsidR="00E36C8E" w:rsidRPr="00A21E32" w:rsidRDefault="00E36C8E" w:rsidP="00BD4391">
            <w:pPr>
              <w:pStyle w:val="centrum"/>
            </w:pPr>
            <w:r w:rsidRPr="00A21E32">
              <w:t xml:space="preserve"> »</w:t>
            </w:r>
          </w:p>
        </w:tc>
        <w:tc>
          <w:tcPr>
            <w:tcW w:w="739" w:type="pct"/>
            <w:shd w:val="clear" w:color="auto" w:fill="FFFFFF"/>
          </w:tcPr>
          <w:p w:rsidR="00E36C8E" w:rsidRPr="00A21E32" w:rsidRDefault="00E36C8E" w:rsidP="00BD4391">
            <w:pPr>
              <w:pStyle w:val="nsr"/>
            </w:pPr>
            <w:r w:rsidRPr="00A21E32">
              <w:t>I</w:t>
            </w:r>
            <w:r>
              <w:t>, 26-3</w:t>
            </w:r>
            <w:r w:rsidRPr="00A21E32">
              <w:t>8.</w:t>
            </w:r>
          </w:p>
        </w:tc>
        <w:tc>
          <w:tcPr>
            <w:tcW w:w="912" w:type="pct"/>
            <w:shd w:val="clear" w:color="auto" w:fill="FFFFFF"/>
          </w:tcPr>
          <w:p w:rsidR="00E36C8E" w:rsidRPr="00A21E32" w:rsidRDefault="00E36C8E" w:rsidP="00BD4391">
            <w:pPr>
              <w:pStyle w:val="centrum"/>
            </w:pPr>
            <w:r w:rsidRPr="00A21E32">
              <w:t xml:space="preserve"> »</w:t>
            </w:r>
          </w:p>
        </w:tc>
      </w:tr>
      <w:tr w:rsidR="00E36C8E" w:rsidRPr="00177118" w:rsidTr="00BD4391">
        <w:trPr>
          <w:cantSplit/>
          <w:trHeight w:val="20"/>
        </w:trPr>
        <w:tc>
          <w:tcPr>
            <w:tcW w:w="1879" w:type="pct"/>
            <w:shd w:val="clear" w:color="auto" w:fill="FFFFFF"/>
          </w:tcPr>
          <w:p w:rsidR="00E36C8E" w:rsidRPr="00177118" w:rsidRDefault="00E36C8E" w:rsidP="00BD4391">
            <w:pPr>
              <w:pStyle w:val="h"/>
            </w:pPr>
            <w:r w:rsidRPr="00177118">
              <w:t>La Visitation de la Ste Vierge</w:t>
            </w:r>
            <w:r>
              <w:t xml:space="preserve"> </w:t>
            </w:r>
          </w:p>
        </w:tc>
        <w:tc>
          <w:tcPr>
            <w:tcW w:w="742" w:type="pct"/>
            <w:shd w:val="clear" w:color="auto" w:fill="FFFFFF"/>
          </w:tcPr>
          <w:p w:rsidR="00E36C8E" w:rsidRPr="00A21E32" w:rsidRDefault="00E36C8E" w:rsidP="00BD4391">
            <w:pPr>
              <w:pStyle w:val="nsr"/>
            </w:pPr>
            <w:r w:rsidRPr="00A21E32">
              <w:t>»</w:t>
            </w:r>
          </w:p>
        </w:tc>
        <w:tc>
          <w:tcPr>
            <w:tcW w:w="729" w:type="pct"/>
            <w:shd w:val="clear" w:color="auto" w:fill="FFFFFF"/>
          </w:tcPr>
          <w:p w:rsidR="00E36C8E" w:rsidRPr="00A21E32" w:rsidRDefault="00E36C8E" w:rsidP="00BD4391">
            <w:pPr>
              <w:pStyle w:val="centrum"/>
            </w:pPr>
            <w:r w:rsidRPr="00A21E32">
              <w:t xml:space="preserve"> »</w:t>
            </w:r>
          </w:p>
        </w:tc>
        <w:tc>
          <w:tcPr>
            <w:tcW w:w="739" w:type="pct"/>
            <w:shd w:val="clear" w:color="auto" w:fill="FFFFFF"/>
          </w:tcPr>
          <w:p w:rsidR="00E36C8E" w:rsidRPr="00A21E32" w:rsidRDefault="00E36C8E" w:rsidP="00BD4391">
            <w:pPr>
              <w:pStyle w:val="nsr"/>
            </w:pPr>
            <w:r w:rsidRPr="00A21E32">
              <w:t>I</w:t>
            </w:r>
            <w:r>
              <w:t>, 39-</w:t>
            </w:r>
            <w:r w:rsidRPr="00A21E32">
              <w:t>56.</w:t>
            </w:r>
          </w:p>
        </w:tc>
        <w:tc>
          <w:tcPr>
            <w:tcW w:w="912" w:type="pct"/>
            <w:shd w:val="clear" w:color="auto" w:fill="FFFFFF"/>
          </w:tcPr>
          <w:p w:rsidR="00E36C8E" w:rsidRPr="00A21E32" w:rsidRDefault="00E36C8E" w:rsidP="00BD4391">
            <w:pPr>
              <w:pStyle w:val="centrum"/>
            </w:pPr>
            <w:r w:rsidRPr="00A21E32">
              <w:t xml:space="preserve"> »</w:t>
            </w:r>
          </w:p>
        </w:tc>
      </w:tr>
      <w:tr w:rsidR="00E36C8E" w:rsidRPr="00177118" w:rsidTr="00BD4391">
        <w:trPr>
          <w:cantSplit/>
          <w:trHeight w:val="20"/>
        </w:trPr>
        <w:tc>
          <w:tcPr>
            <w:tcW w:w="1879" w:type="pct"/>
            <w:shd w:val="clear" w:color="auto" w:fill="FFFFFF"/>
          </w:tcPr>
          <w:p w:rsidR="00E36C8E" w:rsidRPr="00177118" w:rsidRDefault="00E36C8E" w:rsidP="00BD4391">
            <w:pPr>
              <w:pStyle w:val="h"/>
            </w:pPr>
            <w:r w:rsidRPr="00177118">
              <w:t>Nativité</w:t>
            </w:r>
            <w:r>
              <w:t xml:space="preserve"> </w:t>
            </w:r>
            <w:r w:rsidRPr="00177118">
              <w:t xml:space="preserve">de </w:t>
            </w:r>
            <w:r>
              <w:t>St</w:t>
            </w:r>
            <w:r w:rsidRPr="00177118">
              <w:t xml:space="preserve"> Jean-Baptiste</w:t>
            </w:r>
            <w:r>
              <w:t> ;</w:t>
            </w:r>
            <w:r w:rsidRPr="00177118">
              <w:t xml:space="preserve"> sa circoncision et sa</w:t>
            </w:r>
            <w:r>
              <w:t xml:space="preserve">, </w:t>
            </w:r>
            <w:r w:rsidRPr="00177118">
              <w:t>vie au désert</w:t>
            </w:r>
            <w:r>
              <w:t xml:space="preserve"> </w:t>
            </w:r>
          </w:p>
        </w:tc>
        <w:tc>
          <w:tcPr>
            <w:tcW w:w="742" w:type="pct"/>
            <w:shd w:val="clear" w:color="auto" w:fill="FFFFFF"/>
          </w:tcPr>
          <w:p w:rsidR="00E36C8E" w:rsidRPr="00A21E32" w:rsidRDefault="00E36C8E" w:rsidP="00BD4391">
            <w:pPr>
              <w:pStyle w:val="centrum"/>
            </w:pPr>
            <w:r w:rsidRPr="00A21E32">
              <w:t xml:space="preserve"> »</w:t>
            </w:r>
          </w:p>
        </w:tc>
        <w:tc>
          <w:tcPr>
            <w:tcW w:w="729" w:type="pct"/>
            <w:shd w:val="clear" w:color="auto" w:fill="FFFFFF"/>
          </w:tcPr>
          <w:p w:rsidR="00E36C8E" w:rsidRPr="00A21E32" w:rsidRDefault="00E36C8E" w:rsidP="00BD4391">
            <w:pPr>
              <w:pStyle w:val="centrum"/>
            </w:pPr>
            <w:r w:rsidRPr="00A21E32">
              <w:t xml:space="preserve"> »</w:t>
            </w:r>
          </w:p>
        </w:tc>
        <w:tc>
          <w:tcPr>
            <w:tcW w:w="739" w:type="pct"/>
            <w:shd w:val="clear" w:color="auto" w:fill="FFFFFF"/>
          </w:tcPr>
          <w:p w:rsidR="00E36C8E" w:rsidRPr="00A21E32" w:rsidRDefault="00E36C8E" w:rsidP="00BD4391">
            <w:pPr>
              <w:pStyle w:val="nsr"/>
            </w:pPr>
            <w:r w:rsidRPr="00A21E32">
              <w:t>I</w:t>
            </w:r>
            <w:r>
              <w:t xml:space="preserve">, </w:t>
            </w:r>
            <w:r w:rsidRPr="00A21E32">
              <w:t>57-80.</w:t>
            </w:r>
          </w:p>
        </w:tc>
        <w:tc>
          <w:tcPr>
            <w:tcW w:w="912" w:type="pct"/>
            <w:shd w:val="clear" w:color="auto" w:fill="FFFFFF"/>
          </w:tcPr>
          <w:p w:rsidR="00E36C8E" w:rsidRPr="00A21E32" w:rsidRDefault="00E36C8E" w:rsidP="00BD4391">
            <w:pPr>
              <w:pStyle w:val="centrum"/>
            </w:pPr>
            <w:r w:rsidRPr="00A21E32">
              <w:t xml:space="preserve"> »</w:t>
            </w:r>
          </w:p>
        </w:tc>
      </w:tr>
      <w:tr w:rsidR="00E36C8E" w:rsidRPr="00177118" w:rsidTr="00BD4391">
        <w:trPr>
          <w:cantSplit/>
          <w:trHeight w:val="20"/>
        </w:trPr>
        <w:tc>
          <w:tcPr>
            <w:tcW w:w="1879" w:type="pct"/>
            <w:shd w:val="clear" w:color="auto" w:fill="FFFFFF"/>
          </w:tcPr>
          <w:p w:rsidR="00E36C8E" w:rsidRPr="00177118" w:rsidRDefault="00E36C8E" w:rsidP="00BD4391">
            <w:pPr>
              <w:pStyle w:val="h"/>
            </w:pPr>
            <w:r w:rsidRPr="00177118">
              <w:t xml:space="preserve">Lee soupçons de </w:t>
            </w:r>
            <w:r>
              <w:t>St</w:t>
            </w:r>
            <w:r w:rsidRPr="00177118">
              <w:t xml:space="preserve"> Joseph calmés </w:t>
            </w:r>
            <w:r>
              <w:t>un ange</w:t>
            </w:r>
          </w:p>
        </w:tc>
        <w:tc>
          <w:tcPr>
            <w:tcW w:w="742" w:type="pct"/>
            <w:shd w:val="clear" w:color="auto" w:fill="FFFFFF"/>
          </w:tcPr>
          <w:p w:rsidR="00E36C8E" w:rsidRPr="00A21E32" w:rsidRDefault="00E36C8E" w:rsidP="00BD4391">
            <w:pPr>
              <w:pStyle w:val="nsr"/>
            </w:pPr>
            <w:r w:rsidRPr="00A21E32">
              <w:t>I</w:t>
            </w:r>
            <w:r>
              <w:t xml:space="preserve">, </w:t>
            </w:r>
            <w:r w:rsidRPr="00A21E32">
              <w:t>18-25.</w:t>
            </w:r>
          </w:p>
        </w:tc>
        <w:tc>
          <w:tcPr>
            <w:tcW w:w="729" w:type="pct"/>
            <w:shd w:val="clear" w:color="auto" w:fill="FFFFFF"/>
          </w:tcPr>
          <w:p w:rsidR="00E36C8E" w:rsidRPr="00A21E32" w:rsidRDefault="00E36C8E" w:rsidP="00BD4391">
            <w:pPr>
              <w:pStyle w:val="centrum"/>
            </w:pPr>
            <w:r w:rsidRPr="00A21E32">
              <w:t xml:space="preserve"> »</w:t>
            </w:r>
          </w:p>
        </w:tc>
        <w:tc>
          <w:tcPr>
            <w:tcW w:w="739" w:type="pct"/>
            <w:shd w:val="clear" w:color="auto" w:fill="FFFFFF"/>
          </w:tcPr>
          <w:p w:rsidR="00E36C8E" w:rsidRPr="00A21E32" w:rsidRDefault="00E36C8E" w:rsidP="00BD4391">
            <w:pPr>
              <w:pStyle w:val="centrum"/>
            </w:pPr>
            <w:r w:rsidRPr="00A21E32">
              <w:t xml:space="preserve"> »</w:t>
            </w:r>
          </w:p>
        </w:tc>
        <w:tc>
          <w:tcPr>
            <w:tcW w:w="912" w:type="pct"/>
            <w:shd w:val="clear" w:color="auto" w:fill="FFFFFF"/>
          </w:tcPr>
          <w:p w:rsidR="00E36C8E" w:rsidRPr="00A21E32" w:rsidRDefault="00E36C8E" w:rsidP="00BD4391">
            <w:pPr>
              <w:pStyle w:val="centrum"/>
            </w:pPr>
            <w:r w:rsidRPr="00A21E32">
              <w:t xml:space="preserve"> »</w:t>
            </w:r>
          </w:p>
        </w:tc>
      </w:tr>
      <w:tr w:rsidR="00E36C8E" w:rsidRPr="00177118" w:rsidTr="00BD4391">
        <w:trPr>
          <w:cantSplit/>
          <w:trHeight w:val="20"/>
        </w:trPr>
        <w:tc>
          <w:tcPr>
            <w:tcW w:w="1879" w:type="pct"/>
            <w:shd w:val="clear" w:color="auto" w:fill="FFFFFF"/>
          </w:tcPr>
          <w:p w:rsidR="00E36C8E" w:rsidRPr="00177118" w:rsidRDefault="00E36C8E" w:rsidP="00BD4391">
            <w:pPr>
              <w:pStyle w:val="h"/>
            </w:pPr>
            <w:r>
              <w:t>Noël</w:t>
            </w:r>
          </w:p>
        </w:tc>
        <w:tc>
          <w:tcPr>
            <w:tcW w:w="742" w:type="pct"/>
            <w:shd w:val="clear" w:color="auto" w:fill="FFFFFF"/>
          </w:tcPr>
          <w:p w:rsidR="00E36C8E" w:rsidRPr="00A21E32" w:rsidRDefault="00E36C8E" w:rsidP="00BD4391">
            <w:pPr>
              <w:pStyle w:val="centrum"/>
            </w:pPr>
            <w:r w:rsidRPr="00A21E32">
              <w:t xml:space="preserve"> »</w:t>
            </w:r>
          </w:p>
        </w:tc>
        <w:tc>
          <w:tcPr>
            <w:tcW w:w="729" w:type="pct"/>
            <w:shd w:val="clear" w:color="auto" w:fill="FFFFFF"/>
          </w:tcPr>
          <w:p w:rsidR="00E36C8E" w:rsidRPr="00A21E32" w:rsidRDefault="00E36C8E" w:rsidP="00BD4391">
            <w:pPr>
              <w:pStyle w:val="centrum"/>
            </w:pPr>
            <w:r w:rsidRPr="00A21E32">
              <w:t xml:space="preserve"> »</w:t>
            </w:r>
          </w:p>
        </w:tc>
        <w:tc>
          <w:tcPr>
            <w:tcW w:w="739" w:type="pct"/>
            <w:shd w:val="clear" w:color="auto" w:fill="FFFFFF"/>
          </w:tcPr>
          <w:p w:rsidR="00E36C8E" w:rsidRPr="00A21E32" w:rsidRDefault="00E36C8E" w:rsidP="00BD4391">
            <w:pPr>
              <w:pStyle w:val="nsr"/>
            </w:pPr>
            <w:r>
              <w:t xml:space="preserve">II, </w:t>
            </w:r>
            <w:r w:rsidRPr="00A21E32">
              <w:t>6-20.</w:t>
            </w:r>
          </w:p>
        </w:tc>
        <w:tc>
          <w:tcPr>
            <w:tcW w:w="912" w:type="pct"/>
            <w:shd w:val="clear" w:color="auto" w:fill="FFFFFF"/>
          </w:tcPr>
          <w:p w:rsidR="00E36C8E" w:rsidRPr="00A21E32" w:rsidRDefault="00E36C8E" w:rsidP="00BD4391">
            <w:pPr>
              <w:pStyle w:val="centrum"/>
            </w:pPr>
            <w:r w:rsidRPr="00A21E32">
              <w:t xml:space="preserve"> »</w:t>
            </w:r>
          </w:p>
        </w:tc>
      </w:tr>
      <w:tr w:rsidR="00E36C8E" w:rsidRPr="00177118" w:rsidTr="00BD4391">
        <w:trPr>
          <w:cantSplit/>
          <w:trHeight w:val="20"/>
        </w:trPr>
        <w:tc>
          <w:tcPr>
            <w:tcW w:w="1879" w:type="pct"/>
            <w:shd w:val="clear" w:color="auto" w:fill="FFFFFF"/>
          </w:tcPr>
          <w:p w:rsidR="00E36C8E" w:rsidRPr="00177118" w:rsidRDefault="00E36C8E" w:rsidP="00BD4391">
            <w:pPr>
              <w:pStyle w:val="h"/>
            </w:pPr>
            <w:r w:rsidRPr="00177118">
              <w:t>Circoncision de Jésus.</w:t>
            </w:r>
            <w:r>
              <w:t xml:space="preserve"> </w:t>
            </w:r>
          </w:p>
        </w:tc>
        <w:tc>
          <w:tcPr>
            <w:tcW w:w="742" w:type="pct"/>
            <w:shd w:val="clear" w:color="auto" w:fill="FFFFFF"/>
          </w:tcPr>
          <w:p w:rsidR="00E36C8E" w:rsidRPr="00A21E32" w:rsidRDefault="00E36C8E" w:rsidP="00BD4391">
            <w:pPr>
              <w:pStyle w:val="nsr"/>
            </w:pPr>
            <w:r w:rsidRPr="00A21E32">
              <w:t>»</w:t>
            </w:r>
          </w:p>
        </w:tc>
        <w:tc>
          <w:tcPr>
            <w:tcW w:w="729" w:type="pct"/>
            <w:shd w:val="clear" w:color="auto" w:fill="FFFFFF"/>
          </w:tcPr>
          <w:p w:rsidR="00E36C8E" w:rsidRPr="00A21E32" w:rsidRDefault="00E36C8E" w:rsidP="00BD4391">
            <w:pPr>
              <w:pStyle w:val="centrum"/>
            </w:pPr>
            <w:r w:rsidRPr="00A21E32">
              <w:t xml:space="preserve"> »</w:t>
            </w:r>
          </w:p>
        </w:tc>
        <w:tc>
          <w:tcPr>
            <w:tcW w:w="739" w:type="pct"/>
            <w:shd w:val="clear" w:color="auto" w:fill="FFFFFF"/>
          </w:tcPr>
          <w:p w:rsidR="00E36C8E" w:rsidRPr="00A21E32" w:rsidRDefault="00E36C8E" w:rsidP="00BD4391">
            <w:pPr>
              <w:pStyle w:val="nsr"/>
            </w:pPr>
            <w:r>
              <w:t>II, 21</w:t>
            </w:r>
            <w:r w:rsidRPr="00A21E32">
              <w:t>.</w:t>
            </w:r>
          </w:p>
        </w:tc>
        <w:tc>
          <w:tcPr>
            <w:tcW w:w="912" w:type="pct"/>
            <w:shd w:val="clear" w:color="auto" w:fill="FFFFFF"/>
          </w:tcPr>
          <w:p w:rsidR="00E36C8E" w:rsidRPr="00A21E32" w:rsidRDefault="00E36C8E" w:rsidP="00BD4391">
            <w:pPr>
              <w:pStyle w:val="nsr"/>
            </w:pPr>
          </w:p>
        </w:tc>
      </w:tr>
      <w:tr w:rsidR="00E36C8E" w:rsidRPr="00241E4B" w:rsidTr="00BD4391">
        <w:trPr>
          <w:cantSplit/>
          <w:trHeight w:val="20"/>
        </w:trPr>
        <w:tc>
          <w:tcPr>
            <w:tcW w:w="1879" w:type="pct"/>
            <w:shd w:val="clear" w:color="auto" w:fill="FFFFFF"/>
          </w:tcPr>
          <w:p w:rsidR="00E36C8E" w:rsidRPr="00241E4B" w:rsidRDefault="00E36C8E" w:rsidP="00BD4391">
            <w:pPr>
              <w:pStyle w:val="h"/>
              <w:rPr>
                <w:rStyle w:val="italicus"/>
              </w:rPr>
            </w:pPr>
            <w:r w:rsidRPr="00241E4B">
              <w:rPr>
                <w:rStyle w:val="italicus"/>
              </w:rPr>
              <w:t>Purification de Marie et présentation de Jésus au temple</w:t>
            </w:r>
          </w:p>
        </w:tc>
        <w:tc>
          <w:tcPr>
            <w:tcW w:w="742" w:type="pct"/>
            <w:shd w:val="clear" w:color="auto" w:fill="FFFFFF"/>
          </w:tcPr>
          <w:p w:rsidR="00E36C8E" w:rsidRPr="00241E4B" w:rsidRDefault="00E36C8E" w:rsidP="00BD4391">
            <w:pPr>
              <w:pStyle w:val="nsr"/>
              <w:rPr>
                <w:rStyle w:val="italicus"/>
              </w:rPr>
            </w:pPr>
            <w:r w:rsidRPr="00241E4B">
              <w:rPr>
                <w:rStyle w:val="italicus"/>
              </w:rPr>
              <w:t>»</w:t>
            </w:r>
          </w:p>
        </w:tc>
        <w:tc>
          <w:tcPr>
            <w:tcW w:w="729" w:type="pct"/>
            <w:shd w:val="clear" w:color="auto" w:fill="FFFFFF"/>
          </w:tcPr>
          <w:p w:rsidR="00E36C8E" w:rsidRPr="00241E4B" w:rsidRDefault="00E36C8E" w:rsidP="00BD4391">
            <w:pPr>
              <w:pStyle w:val="nsr"/>
              <w:rPr>
                <w:rStyle w:val="italicus"/>
              </w:rPr>
            </w:pPr>
            <w:r w:rsidRPr="00241E4B">
              <w:rPr>
                <w:rStyle w:val="italicus"/>
              </w:rPr>
              <w:t>»</w:t>
            </w:r>
          </w:p>
        </w:tc>
        <w:tc>
          <w:tcPr>
            <w:tcW w:w="739" w:type="pct"/>
            <w:shd w:val="clear" w:color="auto" w:fill="FFFFFF"/>
          </w:tcPr>
          <w:p w:rsidR="00E36C8E" w:rsidRPr="00241E4B" w:rsidRDefault="00E36C8E" w:rsidP="00BD4391">
            <w:pPr>
              <w:pStyle w:val="nsr"/>
              <w:rPr>
                <w:rStyle w:val="italicus"/>
              </w:rPr>
            </w:pPr>
            <w:r w:rsidRPr="00241E4B">
              <w:rPr>
                <w:rStyle w:val="italicus"/>
              </w:rPr>
              <w:t>II, 22-38.</w:t>
            </w:r>
          </w:p>
        </w:tc>
        <w:tc>
          <w:tcPr>
            <w:tcW w:w="912" w:type="pct"/>
            <w:shd w:val="clear" w:color="auto" w:fill="FFFFFF"/>
          </w:tcPr>
          <w:p w:rsidR="00E36C8E" w:rsidRPr="00241E4B" w:rsidRDefault="00E36C8E" w:rsidP="00BD4391">
            <w:pPr>
              <w:pStyle w:val="centrum"/>
              <w:rPr>
                <w:rStyle w:val="italicus"/>
              </w:rPr>
            </w:pPr>
            <w:r w:rsidRPr="00241E4B">
              <w:rPr>
                <w:rStyle w:val="italicus"/>
              </w:rPr>
              <w:t xml:space="preserve"> »</w:t>
            </w:r>
          </w:p>
        </w:tc>
      </w:tr>
      <w:tr w:rsidR="00E36C8E" w:rsidRPr="00241E4B" w:rsidTr="00BD4391">
        <w:trPr>
          <w:cantSplit/>
          <w:trHeight w:val="20"/>
        </w:trPr>
        <w:tc>
          <w:tcPr>
            <w:tcW w:w="1879" w:type="pct"/>
            <w:shd w:val="clear" w:color="auto" w:fill="FFFFFF"/>
          </w:tcPr>
          <w:p w:rsidR="00E36C8E" w:rsidRPr="00241E4B" w:rsidRDefault="00E36C8E" w:rsidP="00BD4391">
            <w:pPr>
              <w:pStyle w:val="h"/>
              <w:rPr>
                <w:rStyle w:val="italicus"/>
              </w:rPr>
            </w:pPr>
            <w:r w:rsidRPr="00241E4B">
              <w:rPr>
                <w:rStyle w:val="italicus"/>
              </w:rPr>
              <w:t xml:space="preserve">Adoration des Mages </w:t>
            </w:r>
          </w:p>
        </w:tc>
        <w:tc>
          <w:tcPr>
            <w:tcW w:w="742" w:type="pct"/>
            <w:shd w:val="clear" w:color="auto" w:fill="FFFFFF"/>
          </w:tcPr>
          <w:p w:rsidR="00E36C8E" w:rsidRPr="00241E4B" w:rsidRDefault="00E36C8E" w:rsidP="00BD4391">
            <w:pPr>
              <w:pStyle w:val="nsr"/>
              <w:rPr>
                <w:rStyle w:val="italicus"/>
              </w:rPr>
            </w:pPr>
            <w:r w:rsidRPr="00241E4B">
              <w:rPr>
                <w:rStyle w:val="italicus"/>
              </w:rPr>
              <w:t>II, 1-12.</w:t>
            </w:r>
          </w:p>
        </w:tc>
        <w:tc>
          <w:tcPr>
            <w:tcW w:w="729" w:type="pct"/>
            <w:shd w:val="clear" w:color="auto" w:fill="FFFFFF"/>
          </w:tcPr>
          <w:p w:rsidR="00E36C8E" w:rsidRPr="00241E4B" w:rsidRDefault="00E36C8E" w:rsidP="00BD4391">
            <w:pPr>
              <w:pStyle w:val="centrum"/>
              <w:rPr>
                <w:rStyle w:val="italicus"/>
              </w:rPr>
            </w:pPr>
            <w:r w:rsidRPr="00241E4B">
              <w:rPr>
                <w:rStyle w:val="italicus"/>
              </w:rPr>
              <w:t xml:space="preserve"> »</w:t>
            </w:r>
          </w:p>
        </w:tc>
        <w:tc>
          <w:tcPr>
            <w:tcW w:w="739" w:type="pct"/>
            <w:shd w:val="clear" w:color="auto" w:fill="FFFFFF"/>
          </w:tcPr>
          <w:p w:rsidR="00E36C8E" w:rsidRPr="00241E4B" w:rsidRDefault="00E36C8E" w:rsidP="00BD4391">
            <w:pPr>
              <w:pStyle w:val="centrum"/>
              <w:rPr>
                <w:rStyle w:val="italicus"/>
              </w:rPr>
            </w:pPr>
            <w:r w:rsidRPr="00241E4B">
              <w:rPr>
                <w:rStyle w:val="italicus"/>
              </w:rPr>
              <w:t xml:space="preserve"> »</w:t>
            </w:r>
          </w:p>
        </w:tc>
        <w:tc>
          <w:tcPr>
            <w:tcW w:w="912" w:type="pct"/>
            <w:shd w:val="clear" w:color="auto" w:fill="FFFFFF"/>
          </w:tcPr>
          <w:p w:rsidR="00E36C8E" w:rsidRPr="00241E4B" w:rsidRDefault="00E36C8E" w:rsidP="00BD4391">
            <w:pPr>
              <w:pStyle w:val="centrum"/>
              <w:rPr>
                <w:rStyle w:val="italicus"/>
              </w:rPr>
            </w:pPr>
            <w:r w:rsidRPr="00241E4B">
              <w:rPr>
                <w:rStyle w:val="italicus"/>
              </w:rPr>
              <w:t xml:space="preserve"> »</w:t>
            </w:r>
          </w:p>
        </w:tc>
      </w:tr>
      <w:tr w:rsidR="00E36C8E" w:rsidRPr="00241E4B" w:rsidTr="00BD4391">
        <w:trPr>
          <w:cantSplit/>
          <w:trHeight w:val="20"/>
        </w:trPr>
        <w:tc>
          <w:tcPr>
            <w:tcW w:w="1879" w:type="pct"/>
            <w:shd w:val="clear" w:color="auto" w:fill="FFFFFF"/>
          </w:tcPr>
          <w:p w:rsidR="00E36C8E" w:rsidRPr="00241E4B" w:rsidRDefault="00E36C8E" w:rsidP="00BD4391">
            <w:pPr>
              <w:pStyle w:val="h"/>
              <w:rPr>
                <w:rStyle w:val="italicus"/>
              </w:rPr>
            </w:pPr>
            <w:r w:rsidRPr="00241E4B">
              <w:rPr>
                <w:rStyle w:val="italicus"/>
              </w:rPr>
              <w:t>Fuite en Égypte et massacre des SS.</w:t>
            </w:r>
            <w:r w:rsidR="001B4203">
              <w:rPr>
                <w:rStyle w:val="italicus"/>
              </w:rPr>
              <w:t xml:space="preserve"> </w:t>
            </w:r>
            <w:r w:rsidRPr="00241E4B">
              <w:rPr>
                <w:rStyle w:val="italicus"/>
              </w:rPr>
              <w:t xml:space="preserve">Innocents </w:t>
            </w:r>
          </w:p>
        </w:tc>
        <w:tc>
          <w:tcPr>
            <w:tcW w:w="742" w:type="pct"/>
            <w:shd w:val="clear" w:color="auto" w:fill="FFFFFF"/>
          </w:tcPr>
          <w:p w:rsidR="00E36C8E" w:rsidRPr="00241E4B" w:rsidRDefault="00E36C8E" w:rsidP="00BD4391">
            <w:pPr>
              <w:pStyle w:val="nsr"/>
              <w:rPr>
                <w:rStyle w:val="italicus"/>
              </w:rPr>
            </w:pPr>
            <w:r w:rsidRPr="00241E4B">
              <w:rPr>
                <w:rStyle w:val="italicus"/>
              </w:rPr>
              <w:t>II, 15-18.</w:t>
            </w:r>
          </w:p>
        </w:tc>
        <w:tc>
          <w:tcPr>
            <w:tcW w:w="729" w:type="pct"/>
            <w:shd w:val="clear" w:color="auto" w:fill="FFFFFF"/>
          </w:tcPr>
          <w:p w:rsidR="00E36C8E" w:rsidRPr="00241E4B" w:rsidRDefault="00E36C8E" w:rsidP="00BD4391">
            <w:pPr>
              <w:pStyle w:val="centrum"/>
              <w:rPr>
                <w:rStyle w:val="italicus"/>
              </w:rPr>
            </w:pPr>
            <w:r w:rsidRPr="00241E4B">
              <w:rPr>
                <w:rStyle w:val="italicus"/>
              </w:rPr>
              <w:t xml:space="preserve"> »</w:t>
            </w:r>
          </w:p>
        </w:tc>
        <w:tc>
          <w:tcPr>
            <w:tcW w:w="739" w:type="pct"/>
            <w:shd w:val="clear" w:color="auto" w:fill="FFFFFF"/>
          </w:tcPr>
          <w:p w:rsidR="00E36C8E" w:rsidRPr="00241E4B" w:rsidRDefault="00E36C8E" w:rsidP="00BD4391">
            <w:pPr>
              <w:pStyle w:val="centrum"/>
              <w:rPr>
                <w:rStyle w:val="italicus"/>
              </w:rPr>
            </w:pPr>
            <w:r w:rsidRPr="00241E4B">
              <w:rPr>
                <w:rStyle w:val="italicus"/>
              </w:rPr>
              <w:t xml:space="preserve"> »</w:t>
            </w:r>
          </w:p>
        </w:tc>
        <w:tc>
          <w:tcPr>
            <w:tcW w:w="912" w:type="pct"/>
            <w:shd w:val="clear" w:color="auto" w:fill="FFFFFF"/>
          </w:tcPr>
          <w:p w:rsidR="00E36C8E" w:rsidRPr="00241E4B" w:rsidRDefault="00E36C8E" w:rsidP="00BD4391">
            <w:pPr>
              <w:pStyle w:val="centrum"/>
              <w:rPr>
                <w:rStyle w:val="italicus"/>
              </w:rPr>
            </w:pPr>
            <w:r w:rsidRPr="00241E4B">
              <w:rPr>
                <w:rStyle w:val="italicus"/>
              </w:rPr>
              <w:t xml:space="preserve"> »</w:t>
            </w:r>
          </w:p>
        </w:tc>
      </w:tr>
      <w:tr w:rsidR="00E36C8E" w:rsidRPr="00177118" w:rsidTr="00BD4391">
        <w:trPr>
          <w:cantSplit/>
          <w:trHeight w:val="20"/>
        </w:trPr>
        <w:tc>
          <w:tcPr>
            <w:tcW w:w="1879" w:type="pct"/>
            <w:shd w:val="clear" w:color="auto" w:fill="FFFFFF"/>
          </w:tcPr>
          <w:p w:rsidR="00E36C8E" w:rsidRPr="00177118" w:rsidRDefault="00E36C8E" w:rsidP="00BD4391">
            <w:pPr>
              <w:pStyle w:val="h"/>
            </w:pPr>
            <w:r w:rsidRPr="00177118">
              <w:t>Retour d</w:t>
            </w:r>
            <w:r>
              <w:t>e</w:t>
            </w:r>
            <w:r w:rsidRPr="00177118">
              <w:t xml:space="preserve"> la Ste Famille à Nazareth</w:t>
            </w:r>
          </w:p>
        </w:tc>
        <w:tc>
          <w:tcPr>
            <w:tcW w:w="742" w:type="pct"/>
            <w:shd w:val="clear" w:color="auto" w:fill="FFFFFF"/>
          </w:tcPr>
          <w:p w:rsidR="00E36C8E" w:rsidRPr="00A21E32" w:rsidRDefault="00E36C8E" w:rsidP="00BD4391">
            <w:pPr>
              <w:pStyle w:val="nsr"/>
            </w:pPr>
            <w:r>
              <w:t xml:space="preserve">II, </w:t>
            </w:r>
            <w:r w:rsidRPr="00A21E32">
              <w:t>19-23.</w:t>
            </w:r>
          </w:p>
        </w:tc>
        <w:tc>
          <w:tcPr>
            <w:tcW w:w="729" w:type="pct"/>
            <w:shd w:val="clear" w:color="auto" w:fill="FFFFFF"/>
          </w:tcPr>
          <w:p w:rsidR="00E36C8E" w:rsidRPr="00A21E32" w:rsidRDefault="00E36C8E" w:rsidP="00BD4391">
            <w:pPr>
              <w:pStyle w:val="centrum"/>
            </w:pPr>
            <w:r w:rsidRPr="00A21E32">
              <w:t xml:space="preserve"> »</w:t>
            </w:r>
          </w:p>
        </w:tc>
        <w:tc>
          <w:tcPr>
            <w:tcW w:w="739" w:type="pct"/>
            <w:shd w:val="clear" w:color="auto" w:fill="FFFFFF"/>
          </w:tcPr>
          <w:p w:rsidR="00E36C8E" w:rsidRPr="00A21E32" w:rsidRDefault="00E36C8E" w:rsidP="00BD4391">
            <w:pPr>
              <w:pStyle w:val="nsr"/>
            </w:pPr>
            <w:r w:rsidRPr="00A21E32">
              <w:t>II</w:t>
            </w:r>
            <w:r>
              <w:t xml:space="preserve">, </w:t>
            </w:r>
            <w:r w:rsidRPr="00A21E32">
              <w:t>39.</w:t>
            </w:r>
          </w:p>
        </w:tc>
        <w:tc>
          <w:tcPr>
            <w:tcW w:w="912" w:type="pct"/>
            <w:shd w:val="clear" w:color="auto" w:fill="FFFFFF"/>
          </w:tcPr>
          <w:p w:rsidR="00E36C8E" w:rsidRPr="00A21E32" w:rsidRDefault="00E36C8E" w:rsidP="00BD4391">
            <w:pPr>
              <w:pStyle w:val="centrum"/>
            </w:pPr>
            <w:r w:rsidRPr="00A21E32">
              <w:t xml:space="preserve"> »</w:t>
            </w:r>
          </w:p>
        </w:tc>
      </w:tr>
      <w:tr w:rsidR="00E36C8E" w:rsidRPr="00177118" w:rsidTr="00BD4391">
        <w:trPr>
          <w:cantSplit/>
          <w:trHeight w:val="20"/>
        </w:trPr>
        <w:tc>
          <w:tcPr>
            <w:tcW w:w="1879" w:type="pct"/>
            <w:shd w:val="clear" w:color="auto" w:fill="FFFFFF"/>
          </w:tcPr>
          <w:p w:rsidR="00E36C8E" w:rsidRPr="00177118" w:rsidRDefault="00E36C8E" w:rsidP="00BD4391">
            <w:pPr>
              <w:pStyle w:val="h"/>
            </w:pPr>
            <w:r w:rsidRPr="00177118">
              <w:t>Jésus parmi les docteurs</w:t>
            </w:r>
            <w:r>
              <w:t xml:space="preserve"> </w:t>
            </w:r>
          </w:p>
        </w:tc>
        <w:tc>
          <w:tcPr>
            <w:tcW w:w="742" w:type="pct"/>
            <w:shd w:val="clear" w:color="auto" w:fill="FFFFFF"/>
          </w:tcPr>
          <w:p w:rsidR="00E36C8E" w:rsidRPr="00A21E32" w:rsidRDefault="00E36C8E" w:rsidP="00BD4391">
            <w:pPr>
              <w:pStyle w:val="centrum"/>
            </w:pPr>
            <w:r w:rsidRPr="00A21E32">
              <w:t xml:space="preserve"> »</w:t>
            </w:r>
          </w:p>
        </w:tc>
        <w:tc>
          <w:tcPr>
            <w:tcW w:w="729" w:type="pct"/>
            <w:shd w:val="clear" w:color="auto" w:fill="FFFFFF"/>
          </w:tcPr>
          <w:p w:rsidR="00E36C8E" w:rsidRPr="00A21E32" w:rsidRDefault="00E36C8E" w:rsidP="00BD4391">
            <w:pPr>
              <w:pStyle w:val="centrum"/>
            </w:pPr>
            <w:r w:rsidRPr="00A21E32">
              <w:t xml:space="preserve"> »</w:t>
            </w:r>
          </w:p>
        </w:tc>
        <w:tc>
          <w:tcPr>
            <w:tcW w:w="739" w:type="pct"/>
            <w:shd w:val="clear" w:color="auto" w:fill="FFFFFF"/>
          </w:tcPr>
          <w:p w:rsidR="00E36C8E" w:rsidRPr="00A21E32" w:rsidRDefault="00E36C8E" w:rsidP="00BD4391">
            <w:pPr>
              <w:pStyle w:val="nsr"/>
            </w:pPr>
            <w:r>
              <w:t xml:space="preserve">II, </w:t>
            </w:r>
            <w:r w:rsidRPr="00A21E32">
              <w:t>40-50.</w:t>
            </w:r>
          </w:p>
        </w:tc>
        <w:tc>
          <w:tcPr>
            <w:tcW w:w="912" w:type="pct"/>
            <w:shd w:val="clear" w:color="auto" w:fill="FFFFFF"/>
          </w:tcPr>
          <w:p w:rsidR="00E36C8E" w:rsidRPr="00A21E32" w:rsidRDefault="00E36C8E" w:rsidP="00BD4391">
            <w:pPr>
              <w:pStyle w:val="nsr"/>
            </w:pPr>
            <w:r w:rsidRPr="00A21E32">
              <w:t>»</w:t>
            </w:r>
          </w:p>
        </w:tc>
      </w:tr>
      <w:tr w:rsidR="00E36C8E" w:rsidRPr="00177118" w:rsidTr="00BD4391">
        <w:trPr>
          <w:cantSplit/>
          <w:trHeight w:val="20"/>
        </w:trPr>
        <w:tc>
          <w:tcPr>
            <w:tcW w:w="1879" w:type="pct"/>
            <w:shd w:val="clear" w:color="auto" w:fill="FFFFFF"/>
          </w:tcPr>
          <w:p w:rsidR="00E36C8E" w:rsidRPr="00177118" w:rsidRDefault="00E36C8E" w:rsidP="00BD4391">
            <w:pPr>
              <w:pStyle w:val="h"/>
            </w:pPr>
            <w:r>
              <w:t>Résumé de la</w:t>
            </w:r>
            <w:r w:rsidRPr="00177118">
              <w:t xml:space="preserve"> vie cachée</w:t>
            </w:r>
            <w:r>
              <w:t xml:space="preserve"> </w:t>
            </w:r>
          </w:p>
        </w:tc>
        <w:tc>
          <w:tcPr>
            <w:tcW w:w="742" w:type="pct"/>
            <w:shd w:val="clear" w:color="auto" w:fill="FFFFFF"/>
          </w:tcPr>
          <w:p w:rsidR="00E36C8E" w:rsidRPr="00A21E32" w:rsidRDefault="00E36C8E" w:rsidP="00BD4391">
            <w:pPr>
              <w:pStyle w:val="centrum"/>
            </w:pPr>
            <w:r w:rsidRPr="00A21E32">
              <w:t xml:space="preserve"> »</w:t>
            </w:r>
          </w:p>
        </w:tc>
        <w:tc>
          <w:tcPr>
            <w:tcW w:w="729" w:type="pct"/>
            <w:shd w:val="clear" w:color="auto" w:fill="FFFFFF"/>
          </w:tcPr>
          <w:p w:rsidR="00E36C8E" w:rsidRPr="00A21E32" w:rsidRDefault="00E36C8E" w:rsidP="00BD4391">
            <w:pPr>
              <w:pStyle w:val="centrum"/>
            </w:pPr>
            <w:r w:rsidRPr="00A21E32">
              <w:t xml:space="preserve"> »</w:t>
            </w:r>
          </w:p>
        </w:tc>
        <w:tc>
          <w:tcPr>
            <w:tcW w:w="739" w:type="pct"/>
            <w:shd w:val="clear" w:color="auto" w:fill="FFFFFF"/>
          </w:tcPr>
          <w:p w:rsidR="00E36C8E" w:rsidRPr="00A21E32" w:rsidRDefault="00E36C8E" w:rsidP="00BD4391">
            <w:pPr>
              <w:pStyle w:val="nsr"/>
            </w:pPr>
            <w:r>
              <w:t>II, 51-52</w:t>
            </w:r>
            <w:r w:rsidRPr="00A21E32">
              <w:t>.</w:t>
            </w:r>
          </w:p>
        </w:tc>
        <w:tc>
          <w:tcPr>
            <w:tcW w:w="912" w:type="pct"/>
            <w:shd w:val="clear" w:color="auto" w:fill="FFFFFF"/>
          </w:tcPr>
          <w:p w:rsidR="00E36C8E" w:rsidRPr="00A21E32" w:rsidRDefault="00E36C8E" w:rsidP="00BD4391">
            <w:pPr>
              <w:pStyle w:val="centrum"/>
            </w:pPr>
            <w:r w:rsidRPr="00A21E32">
              <w:t xml:space="preserve"> »</w:t>
            </w:r>
          </w:p>
        </w:tc>
      </w:tr>
    </w:tbl>
    <w:p w:rsidR="00E36C8E" w:rsidRPr="00177118" w:rsidRDefault="00E36C8E" w:rsidP="00E36C8E">
      <w:pPr>
        <w:pStyle w:val="u2"/>
        <w:rPr>
          <w:lang w:eastAsia="fr-FR"/>
        </w:rPr>
      </w:pPr>
      <w:r>
        <w:rPr>
          <w:lang w:eastAsia="fr-FR"/>
        </w:rPr>
        <w:t>IIe PARTIE. — Vie publique de N</w:t>
      </w:r>
      <w:r w:rsidRPr="00177118">
        <w:rPr>
          <w:lang w:eastAsia="fr-FR"/>
        </w:rPr>
        <w:t>.-s. Jésus-Christ</w:t>
      </w:r>
    </w:p>
    <w:p w:rsidR="00E36C8E" w:rsidRPr="00123C9C" w:rsidRDefault="00E36C8E" w:rsidP="00E36C8E">
      <w:pPr>
        <w:pStyle w:val="u3"/>
      </w:pPr>
      <w:r w:rsidRPr="00123C9C">
        <w:t>§ I. — Depuis l</w:t>
      </w:r>
      <w:r w:rsidR="00557DE0">
        <w:t>’</w:t>
      </w:r>
      <w:r w:rsidRPr="00123C9C">
        <w:t>apparition du Précurseur jusqu</w:t>
      </w:r>
      <w:r w:rsidR="00557DE0">
        <w:t>’</w:t>
      </w:r>
      <w:r w:rsidRPr="00123C9C">
        <w:t>au premier voyage de Jésus à Jérusalem pour la Pâque.</w:t>
      </w:r>
    </w:p>
    <w:p w:rsidR="00E36C8E" w:rsidRDefault="00E36C8E" w:rsidP="00E36C8E">
      <w:pPr>
        <w:pStyle w:val="nsr"/>
      </w:pPr>
      <w:r w:rsidRPr="00177118">
        <w:t>(automn</w:t>
      </w:r>
      <w:r>
        <w:t>e de 779 — printemps de 780 u. c., 26-2</w:t>
      </w:r>
      <w:r w:rsidRPr="00177118">
        <w:t>7 de l</w:t>
      </w:r>
      <w:r w:rsidR="00557DE0">
        <w:t>’</w:t>
      </w:r>
      <w:r w:rsidRPr="00177118">
        <w:t>ère vulgaire).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3921"/>
        <w:gridCol w:w="1427"/>
        <w:gridCol w:w="1553"/>
        <w:gridCol w:w="1506"/>
        <w:gridCol w:w="2083"/>
      </w:tblGrid>
      <w:tr w:rsidR="00E36C8E" w:rsidRPr="005507CF" w:rsidTr="00BD4391">
        <w:trPr>
          <w:cantSplit/>
          <w:trHeight w:val="20"/>
        </w:trPr>
        <w:tc>
          <w:tcPr>
            <w:tcW w:w="1869" w:type="pct"/>
            <w:shd w:val="clear" w:color="auto" w:fill="FFFFFF"/>
          </w:tcPr>
          <w:p w:rsidR="00E36C8E" w:rsidRPr="00177118" w:rsidRDefault="00E36C8E" w:rsidP="00BD4391">
            <w:pPr>
              <w:pStyle w:val="h"/>
            </w:pPr>
            <w:r w:rsidRPr="00177118">
              <w:t>Apparition de Jean-Baptiste</w:t>
            </w:r>
            <w:r>
              <w:t xml:space="preserve"> </w:t>
            </w:r>
          </w:p>
        </w:tc>
        <w:tc>
          <w:tcPr>
            <w:tcW w:w="680" w:type="pct"/>
            <w:shd w:val="clear" w:color="auto" w:fill="FFFFFF"/>
          </w:tcPr>
          <w:p w:rsidR="00E36C8E" w:rsidRPr="00A21E32" w:rsidRDefault="00E36C8E" w:rsidP="00BD4391">
            <w:pPr>
              <w:pStyle w:val="nsr"/>
            </w:pPr>
            <w:r w:rsidRPr="00A21E32">
              <w:t>III</w:t>
            </w:r>
            <w:r>
              <w:t>, 1-6.</w:t>
            </w:r>
          </w:p>
        </w:tc>
        <w:tc>
          <w:tcPr>
            <w:tcW w:w="740" w:type="pct"/>
            <w:shd w:val="clear" w:color="auto" w:fill="FFFFFF"/>
          </w:tcPr>
          <w:p w:rsidR="00E36C8E" w:rsidRPr="00A21E32" w:rsidRDefault="00E36C8E" w:rsidP="00BD4391">
            <w:pPr>
              <w:pStyle w:val="nsr"/>
            </w:pPr>
            <w:r w:rsidRPr="00A21E32">
              <w:t>I</w:t>
            </w:r>
            <w:r>
              <w:t xml:space="preserve">, </w:t>
            </w:r>
            <w:r w:rsidRPr="00A21E32">
              <w:t>1-6.</w:t>
            </w:r>
          </w:p>
        </w:tc>
        <w:tc>
          <w:tcPr>
            <w:tcW w:w="718" w:type="pct"/>
            <w:shd w:val="clear" w:color="auto" w:fill="FFFFFF"/>
          </w:tcPr>
          <w:p w:rsidR="00E36C8E" w:rsidRPr="00A21E32" w:rsidRDefault="00E36C8E" w:rsidP="00BD4391">
            <w:pPr>
              <w:pStyle w:val="nsr"/>
            </w:pPr>
            <w:r w:rsidRPr="00A21E32">
              <w:t>III</w:t>
            </w:r>
            <w:r>
              <w:t xml:space="preserve">, </w:t>
            </w:r>
            <w:r w:rsidRPr="00A21E32">
              <w:t>1-6.</w:t>
            </w:r>
          </w:p>
        </w:tc>
        <w:tc>
          <w:tcPr>
            <w:tcW w:w="993" w:type="pct"/>
            <w:shd w:val="clear" w:color="auto" w:fill="FFFFFF"/>
          </w:tcPr>
          <w:p w:rsidR="00E36C8E" w:rsidRPr="00A21E32" w:rsidRDefault="00E36C8E" w:rsidP="00BD4391">
            <w:pPr>
              <w:pStyle w:val="centrum"/>
            </w:pPr>
            <w:r w:rsidRPr="00A21E32">
              <w:t xml:space="preserve"> »</w:t>
            </w:r>
          </w:p>
        </w:tc>
      </w:tr>
      <w:tr w:rsidR="00E36C8E" w:rsidRPr="00177118" w:rsidTr="00BD4391">
        <w:trPr>
          <w:cantSplit/>
          <w:trHeight w:val="20"/>
        </w:trPr>
        <w:tc>
          <w:tcPr>
            <w:tcW w:w="1869" w:type="pct"/>
            <w:shd w:val="clear" w:color="auto" w:fill="FFFFFF"/>
          </w:tcPr>
          <w:p w:rsidR="00E36C8E" w:rsidRPr="00177118" w:rsidRDefault="00E36C8E" w:rsidP="00BD4391">
            <w:pPr>
              <w:pStyle w:val="h"/>
            </w:pPr>
            <w:r w:rsidRPr="00177118">
              <w:t>Sa prédication.</w:t>
            </w:r>
            <w:r>
              <w:t xml:space="preserve"> </w:t>
            </w:r>
          </w:p>
        </w:tc>
        <w:tc>
          <w:tcPr>
            <w:tcW w:w="680" w:type="pct"/>
            <w:shd w:val="clear" w:color="auto" w:fill="FFFFFF"/>
          </w:tcPr>
          <w:p w:rsidR="00E36C8E" w:rsidRPr="00A21E32" w:rsidRDefault="00E36C8E" w:rsidP="00BD4391">
            <w:pPr>
              <w:pStyle w:val="nsr"/>
            </w:pPr>
            <w:r w:rsidRPr="00A21E32">
              <w:t>III</w:t>
            </w:r>
            <w:r>
              <w:t xml:space="preserve">, </w:t>
            </w:r>
            <w:r w:rsidRPr="00A21E32">
              <w:t>7-10.</w:t>
            </w:r>
          </w:p>
        </w:tc>
        <w:tc>
          <w:tcPr>
            <w:tcW w:w="740" w:type="pct"/>
            <w:shd w:val="clear" w:color="auto" w:fill="FFFFFF"/>
          </w:tcPr>
          <w:p w:rsidR="00E36C8E" w:rsidRPr="00A21E32" w:rsidRDefault="00E36C8E" w:rsidP="00BD4391">
            <w:pPr>
              <w:pStyle w:val="centrum"/>
            </w:pPr>
            <w:r w:rsidRPr="00A21E32">
              <w:t xml:space="preserve"> »</w:t>
            </w:r>
          </w:p>
        </w:tc>
        <w:tc>
          <w:tcPr>
            <w:tcW w:w="718" w:type="pct"/>
            <w:shd w:val="clear" w:color="auto" w:fill="FFFFFF"/>
          </w:tcPr>
          <w:p w:rsidR="00E36C8E" w:rsidRPr="00A21E32" w:rsidRDefault="00E36C8E" w:rsidP="00BD4391">
            <w:pPr>
              <w:pStyle w:val="nsr"/>
            </w:pPr>
            <w:r w:rsidRPr="00A21E32">
              <w:t>III</w:t>
            </w:r>
            <w:r>
              <w:t xml:space="preserve">, </w:t>
            </w:r>
            <w:r w:rsidRPr="00A21E32">
              <w:t>7-14.</w:t>
            </w:r>
          </w:p>
        </w:tc>
        <w:tc>
          <w:tcPr>
            <w:tcW w:w="993" w:type="pct"/>
            <w:shd w:val="clear" w:color="auto" w:fill="FFFFFF"/>
          </w:tcPr>
          <w:p w:rsidR="00E36C8E" w:rsidRPr="00A21E32" w:rsidRDefault="00E36C8E" w:rsidP="00BD4391">
            <w:pPr>
              <w:pStyle w:val="centrum"/>
            </w:pPr>
            <w:r w:rsidRPr="00A21E32">
              <w:t xml:space="preserve"> »</w:t>
            </w:r>
          </w:p>
        </w:tc>
      </w:tr>
      <w:tr w:rsidR="00E36C8E" w:rsidRPr="005507CF" w:rsidTr="00BD4391">
        <w:trPr>
          <w:cantSplit/>
          <w:trHeight w:val="20"/>
        </w:trPr>
        <w:tc>
          <w:tcPr>
            <w:tcW w:w="1869" w:type="pct"/>
            <w:shd w:val="clear" w:color="auto" w:fill="FFFFFF"/>
          </w:tcPr>
          <w:p w:rsidR="00E36C8E" w:rsidRPr="00177118" w:rsidRDefault="00E36C8E" w:rsidP="00BD4391">
            <w:pPr>
              <w:pStyle w:val="h"/>
            </w:pPr>
            <w:r w:rsidRPr="00177118">
              <w:t xml:space="preserve">Premier témoignage de </w:t>
            </w:r>
            <w:r>
              <w:t xml:space="preserve">St </w:t>
            </w:r>
            <w:r w:rsidRPr="00177118">
              <w:t>Jean</w:t>
            </w:r>
            <w:r>
              <w:t xml:space="preserve">, </w:t>
            </w:r>
            <w:r w:rsidRPr="00177118">
              <w:t>devant la foule</w:t>
            </w:r>
            <w:r>
              <w:t xml:space="preserve"> </w:t>
            </w:r>
          </w:p>
        </w:tc>
        <w:tc>
          <w:tcPr>
            <w:tcW w:w="680" w:type="pct"/>
            <w:shd w:val="clear" w:color="auto" w:fill="FFFFFF"/>
          </w:tcPr>
          <w:p w:rsidR="00E36C8E" w:rsidRPr="00A21E32" w:rsidRDefault="00E36C8E" w:rsidP="00BD4391">
            <w:pPr>
              <w:pStyle w:val="nsr"/>
            </w:pPr>
            <w:r>
              <w:t>II</w:t>
            </w:r>
            <w:r w:rsidRPr="00A21E32">
              <w:t>I</w:t>
            </w:r>
            <w:r>
              <w:t xml:space="preserve">, </w:t>
            </w:r>
            <w:r w:rsidRPr="00A21E32">
              <w:t>11-12.</w:t>
            </w:r>
          </w:p>
        </w:tc>
        <w:tc>
          <w:tcPr>
            <w:tcW w:w="740" w:type="pct"/>
            <w:shd w:val="clear" w:color="auto" w:fill="FFFFFF"/>
          </w:tcPr>
          <w:p w:rsidR="00E36C8E" w:rsidRPr="00A21E32" w:rsidRDefault="00E36C8E" w:rsidP="00BD4391">
            <w:pPr>
              <w:pStyle w:val="nsr"/>
            </w:pPr>
            <w:r>
              <w:t>I, 6</w:t>
            </w:r>
            <w:r w:rsidRPr="00A21E32">
              <w:t>b-8.</w:t>
            </w:r>
          </w:p>
        </w:tc>
        <w:tc>
          <w:tcPr>
            <w:tcW w:w="718" w:type="pct"/>
            <w:shd w:val="clear" w:color="auto" w:fill="FFFFFF"/>
          </w:tcPr>
          <w:p w:rsidR="00E36C8E" w:rsidRPr="00A21E32" w:rsidRDefault="00E36C8E" w:rsidP="00BD4391">
            <w:pPr>
              <w:pStyle w:val="nsr"/>
            </w:pPr>
            <w:r w:rsidRPr="00A21E32">
              <w:t>III</w:t>
            </w:r>
            <w:r>
              <w:t xml:space="preserve">, </w:t>
            </w:r>
            <w:r w:rsidRPr="00A21E32">
              <w:t>15-18.</w:t>
            </w:r>
          </w:p>
        </w:tc>
        <w:tc>
          <w:tcPr>
            <w:tcW w:w="993" w:type="pct"/>
            <w:shd w:val="clear" w:color="auto" w:fill="FFFFFF"/>
          </w:tcPr>
          <w:p w:rsidR="00E36C8E" w:rsidRPr="00A21E32" w:rsidRDefault="00E36C8E" w:rsidP="00BD4391">
            <w:pPr>
              <w:pStyle w:val="nsr"/>
            </w:pPr>
            <w:r w:rsidRPr="00A21E32">
              <w:t>»</w:t>
            </w:r>
          </w:p>
        </w:tc>
      </w:tr>
      <w:tr w:rsidR="00E36C8E" w:rsidRPr="00177118" w:rsidTr="00BD4391">
        <w:trPr>
          <w:cantSplit/>
          <w:trHeight w:val="20"/>
        </w:trPr>
        <w:tc>
          <w:tcPr>
            <w:tcW w:w="1869" w:type="pct"/>
            <w:shd w:val="clear" w:color="auto" w:fill="FFFFFF"/>
          </w:tcPr>
          <w:p w:rsidR="00E36C8E" w:rsidRPr="00177118" w:rsidRDefault="00E36C8E" w:rsidP="00BD4391">
            <w:pPr>
              <w:pStyle w:val="h"/>
            </w:pPr>
            <w:r w:rsidRPr="00177118">
              <w:t>Baptême de Jésus</w:t>
            </w:r>
            <w:r>
              <w:t xml:space="preserve"> </w:t>
            </w:r>
          </w:p>
        </w:tc>
        <w:tc>
          <w:tcPr>
            <w:tcW w:w="680" w:type="pct"/>
            <w:shd w:val="clear" w:color="auto" w:fill="FFFFFF"/>
          </w:tcPr>
          <w:p w:rsidR="00E36C8E" w:rsidRPr="00A21E32" w:rsidRDefault="00E36C8E" w:rsidP="00BD4391">
            <w:pPr>
              <w:pStyle w:val="nsr"/>
            </w:pPr>
            <w:r w:rsidRPr="00A21E32">
              <w:t>III</w:t>
            </w:r>
            <w:r>
              <w:t xml:space="preserve">, </w:t>
            </w:r>
            <w:r w:rsidRPr="00A21E32">
              <w:t>13-17.</w:t>
            </w:r>
          </w:p>
        </w:tc>
        <w:tc>
          <w:tcPr>
            <w:tcW w:w="740" w:type="pct"/>
            <w:shd w:val="clear" w:color="auto" w:fill="FFFFFF"/>
          </w:tcPr>
          <w:p w:rsidR="00E36C8E" w:rsidRPr="00A21E32" w:rsidRDefault="00E36C8E" w:rsidP="00BD4391">
            <w:pPr>
              <w:pStyle w:val="nsr"/>
            </w:pPr>
            <w:r w:rsidRPr="00A21E32">
              <w:t>I</w:t>
            </w:r>
            <w:r>
              <w:t xml:space="preserve">, </w:t>
            </w:r>
            <w:r w:rsidRPr="00A21E32">
              <w:t>9-11.</w:t>
            </w:r>
          </w:p>
        </w:tc>
        <w:tc>
          <w:tcPr>
            <w:tcW w:w="718" w:type="pct"/>
            <w:shd w:val="clear" w:color="auto" w:fill="FFFFFF"/>
          </w:tcPr>
          <w:p w:rsidR="00E36C8E" w:rsidRPr="00A21E32" w:rsidRDefault="00E36C8E" w:rsidP="00BD4391">
            <w:pPr>
              <w:pStyle w:val="nsr"/>
            </w:pPr>
            <w:r w:rsidRPr="00A21E32">
              <w:t>III</w:t>
            </w:r>
            <w:r>
              <w:t>, 21-23</w:t>
            </w:r>
            <w:r w:rsidRPr="00A21E32">
              <w:t>a.</w:t>
            </w:r>
          </w:p>
        </w:tc>
        <w:tc>
          <w:tcPr>
            <w:tcW w:w="993" w:type="pct"/>
            <w:shd w:val="clear" w:color="auto" w:fill="FFFFFF"/>
          </w:tcPr>
          <w:p w:rsidR="00E36C8E" w:rsidRPr="00A21E32" w:rsidRDefault="00E36C8E" w:rsidP="00BD4391">
            <w:pPr>
              <w:pStyle w:val="centrum"/>
            </w:pPr>
            <w:r w:rsidRPr="00A21E32">
              <w:t xml:space="preserve"> »</w:t>
            </w:r>
          </w:p>
        </w:tc>
      </w:tr>
      <w:tr w:rsidR="00E36C8E" w:rsidRPr="00177118" w:rsidTr="00BD4391">
        <w:trPr>
          <w:cantSplit/>
          <w:trHeight w:val="20"/>
        </w:trPr>
        <w:tc>
          <w:tcPr>
            <w:tcW w:w="1869" w:type="pct"/>
            <w:shd w:val="clear" w:color="auto" w:fill="FFFFFF"/>
          </w:tcPr>
          <w:p w:rsidR="00E36C8E" w:rsidRPr="00177118" w:rsidRDefault="00E36C8E" w:rsidP="00BD4391">
            <w:pPr>
              <w:pStyle w:val="h"/>
            </w:pPr>
            <w:r>
              <w:t>Jeû</w:t>
            </w:r>
            <w:r w:rsidRPr="00177118">
              <w:t>ne et tentation de Jésus</w:t>
            </w:r>
            <w:r>
              <w:t xml:space="preserve">, </w:t>
            </w:r>
          </w:p>
        </w:tc>
        <w:tc>
          <w:tcPr>
            <w:tcW w:w="680" w:type="pct"/>
            <w:shd w:val="clear" w:color="auto" w:fill="FFFFFF"/>
          </w:tcPr>
          <w:p w:rsidR="00E36C8E" w:rsidRPr="00A21E32" w:rsidRDefault="00E36C8E" w:rsidP="00BD4391">
            <w:pPr>
              <w:pStyle w:val="nsr"/>
            </w:pPr>
            <w:r>
              <w:t>IV, 1-11</w:t>
            </w:r>
            <w:r w:rsidRPr="00A21E32">
              <w:t>.</w:t>
            </w:r>
          </w:p>
        </w:tc>
        <w:tc>
          <w:tcPr>
            <w:tcW w:w="740" w:type="pct"/>
            <w:shd w:val="clear" w:color="auto" w:fill="FFFFFF"/>
          </w:tcPr>
          <w:p w:rsidR="00E36C8E" w:rsidRPr="00A21E32" w:rsidRDefault="00E36C8E" w:rsidP="00BD4391">
            <w:pPr>
              <w:pStyle w:val="nsr"/>
            </w:pPr>
            <w:r w:rsidRPr="00A21E32">
              <w:t>I</w:t>
            </w:r>
            <w:r>
              <w:t xml:space="preserve">, </w:t>
            </w:r>
            <w:r w:rsidRPr="00A21E32">
              <w:t>12-13.</w:t>
            </w:r>
          </w:p>
        </w:tc>
        <w:tc>
          <w:tcPr>
            <w:tcW w:w="718" w:type="pct"/>
            <w:shd w:val="clear" w:color="auto" w:fill="FFFFFF"/>
          </w:tcPr>
          <w:p w:rsidR="00E36C8E" w:rsidRPr="00A21E32" w:rsidRDefault="00E36C8E" w:rsidP="00BD4391">
            <w:pPr>
              <w:pStyle w:val="nsr"/>
            </w:pPr>
            <w:r w:rsidRPr="00A21E32">
              <w:t>IV</w:t>
            </w:r>
            <w:r>
              <w:t xml:space="preserve">, </w:t>
            </w:r>
            <w:r w:rsidRPr="00A21E32">
              <w:t>1-13.</w:t>
            </w:r>
          </w:p>
        </w:tc>
        <w:tc>
          <w:tcPr>
            <w:tcW w:w="993" w:type="pct"/>
            <w:shd w:val="clear" w:color="auto" w:fill="FFFFFF"/>
          </w:tcPr>
          <w:p w:rsidR="00E36C8E" w:rsidRPr="00A21E32" w:rsidRDefault="00E36C8E" w:rsidP="00BD4391">
            <w:pPr>
              <w:pStyle w:val="centrum"/>
            </w:pPr>
            <w:r w:rsidRPr="00A21E32">
              <w:t xml:space="preserve"> »</w:t>
            </w:r>
          </w:p>
        </w:tc>
      </w:tr>
      <w:tr w:rsidR="00E36C8E" w:rsidRPr="00177118" w:rsidTr="00BD4391">
        <w:trPr>
          <w:cantSplit/>
          <w:trHeight w:val="20"/>
        </w:trPr>
        <w:tc>
          <w:tcPr>
            <w:tcW w:w="1869" w:type="pct"/>
            <w:shd w:val="clear" w:color="auto" w:fill="FFFFFF"/>
          </w:tcPr>
          <w:p w:rsidR="00E36C8E" w:rsidRPr="00177118" w:rsidRDefault="00E36C8E" w:rsidP="00BD4391">
            <w:pPr>
              <w:pStyle w:val="h"/>
            </w:pPr>
            <w:r w:rsidRPr="00177118">
              <w:t xml:space="preserve">Second témoignage de </w:t>
            </w:r>
            <w:r>
              <w:t>St</w:t>
            </w:r>
            <w:r w:rsidRPr="00177118">
              <w:t xml:space="preserve"> Jean</w:t>
            </w:r>
            <w:r>
              <w:t xml:space="preserve">, </w:t>
            </w:r>
            <w:r w:rsidRPr="00177118">
              <w:t>devant les envoyés du Sanhédrin</w:t>
            </w:r>
            <w:r>
              <w:t xml:space="preserve"> </w:t>
            </w:r>
          </w:p>
        </w:tc>
        <w:tc>
          <w:tcPr>
            <w:tcW w:w="680" w:type="pct"/>
            <w:shd w:val="clear" w:color="auto" w:fill="FFFFFF"/>
          </w:tcPr>
          <w:p w:rsidR="00E36C8E" w:rsidRPr="00A21E32" w:rsidRDefault="00E36C8E" w:rsidP="00BD4391">
            <w:pPr>
              <w:pStyle w:val="centrum"/>
            </w:pPr>
            <w:r w:rsidRPr="00A21E32">
              <w:t xml:space="preserve"> »</w:t>
            </w:r>
          </w:p>
        </w:tc>
        <w:tc>
          <w:tcPr>
            <w:tcW w:w="740" w:type="pct"/>
            <w:shd w:val="clear" w:color="auto" w:fill="FFFFFF"/>
          </w:tcPr>
          <w:p w:rsidR="00E36C8E" w:rsidRPr="00A21E32" w:rsidRDefault="00E36C8E" w:rsidP="00BD4391">
            <w:pPr>
              <w:pStyle w:val="centrum"/>
            </w:pPr>
            <w:r w:rsidRPr="00A21E32">
              <w:t xml:space="preserve"> »</w:t>
            </w:r>
          </w:p>
        </w:tc>
        <w:tc>
          <w:tcPr>
            <w:tcW w:w="718" w:type="pct"/>
            <w:shd w:val="clear" w:color="auto" w:fill="FFFFFF"/>
          </w:tcPr>
          <w:p w:rsidR="00E36C8E" w:rsidRPr="00A21E32" w:rsidRDefault="00E36C8E" w:rsidP="00BD4391">
            <w:pPr>
              <w:pStyle w:val="centrum"/>
            </w:pPr>
            <w:r w:rsidRPr="00A21E32">
              <w:t xml:space="preserve"> »</w:t>
            </w:r>
          </w:p>
        </w:tc>
        <w:tc>
          <w:tcPr>
            <w:tcW w:w="993" w:type="pct"/>
            <w:shd w:val="clear" w:color="auto" w:fill="FFFFFF"/>
          </w:tcPr>
          <w:p w:rsidR="00E36C8E" w:rsidRPr="00A21E32" w:rsidRDefault="00E36C8E" w:rsidP="00BD4391">
            <w:pPr>
              <w:pStyle w:val="nsr"/>
            </w:pPr>
            <w:r w:rsidRPr="00A21E32">
              <w:t>I</w:t>
            </w:r>
            <w:r>
              <w:t xml:space="preserve">, </w:t>
            </w:r>
            <w:r w:rsidRPr="00A21E32">
              <w:t>19-28.</w:t>
            </w:r>
          </w:p>
        </w:tc>
      </w:tr>
      <w:tr w:rsidR="00E36C8E" w:rsidRPr="00177118" w:rsidTr="00BD4391">
        <w:trPr>
          <w:cantSplit/>
          <w:trHeight w:val="20"/>
        </w:trPr>
        <w:tc>
          <w:tcPr>
            <w:tcW w:w="1869" w:type="pct"/>
            <w:shd w:val="clear" w:color="auto" w:fill="FFFFFF"/>
          </w:tcPr>
          <w:p w:rsidR="00E36C8E" w:rsidRPr="00177118" w:rsidRDefault="00E36C8E" w:rsidP="00BD4391">
            <w:pPr>
              <w:pStyle w:val="h"/>
            </w:pPr>
            <w:r w:rsidRPr="00177118">
              <w:t xml:space="preserve">Troisième témoignage de </w:t>
            </w:r>
            <w:r>
              <w:t>St Je</w:t>
            </w:r>
            <w:r w:rsidRPr="00177118">
              <w:t>an devant ses propres disciples</w:t>
            </w:r>
          </w:p>
        </w:tc>
        <w:tc>
          <w:tcPr>
            <w:tcW w:w="680" w:type="pct"/>
            <w:shd w:val="clear" w:color="auto" w:fill="FFFFFF"/>
          </w:tcPr>
          <w:p w:rsidR="00E36C8E" w:rsidRPr="00A21E32" w:rsidRDefault="00E36C8E" w:rsidP="00BD4391">
            <w:pPr>
              <w:pStyle w:val="centrum"/>
            </w:pPr>
            <w:r w:rsidRPr="00A21E32">
              <w:t xml:space="preserve"> »</w:t>
            </w:r>
          </w:p>
        </w:tc>
        <w:tc>
          <w:tcPr>
            <w:tcW w:w="740" w:type="pct"/>
            <w:shd w:val="clear" w:color="auto" w:fill="FFFFFF"/>
          </w:tcPr>
          <w:p w:rsidR="00E36C8E" w:rsidRPr="00A21E32" w:rsidRDefault="00E36C8E" w:rsidP="00BD4391">
            <w:pPr>
              <w:pStyle w:val="centrum"/>
            </w:pPr>
            <w:r w:rsidRPr="00A21E32">
              <w:t xml:space="preserve"> »</w:t>
            </w:r>
          </w:p>
        </w:tc>
        <w:tc>
          <w:tcPr>
            <w:tcW w:w="718" w:type="pct"/>
            <w:shd w:val="clear" w:color="auto" w:fill="FFFFFF"/>
          </w:tcPr>
          <w:p w:rsidR="00E36C8E" w:rsidRPr="00A21E32" w:rsidRDefault="00E36C8E" w:rsidP="00BD4391">
            <w:pPr>
              <w:pStyle w:val="centrum"/>
            </w:pPr>
            <w:r w:rsidRPr="00A21E32">
              <w:t xml:space="preserve"> »</w:t>
            </w:r>
          </w:p>
        </w:tc>
        <w:tc>
          <w:tcPr>
            <w:tcW w:w="993" w:type="pct"/>
            <w:shd w:val="clear" w:color="auto" w:fill="FFFFFF"/>
          </w:tcPr>
          <w:p w:rsidR="00E36C8E" w:rsidRPr="00A21E32" w:rsidRDefault="00E36C8E" w:rsidP="00BD4391">
            <w:pPr>
              <w:pStyle w:val="nsr"/>
            </w:pPr>
            <w:r w:rsidRPr="00A21E32">
              <w:t>I</w:t>
            </w:r>
            <w:r>
              <w:t>, 29-31</w:t>
            </w:r>
            <w:r w:rsidRPr="00A21E32">
              <w:t>.</w:t>
            </w:r>
          </w:p>
        </w:tc>
      </w:tr>
      <w:tr w:rsidR="00E36C8E" w:rsidRPr="00177118" w:rsidTr="00BD4391">
        <w:trPr>
          <w:cantSplit/>
          <w:trHeight w:val="20"/>
        </w:trPr>
        <w:tc>
          <w:tcPr>
            <w:tcW w:w="1869" w:type="pct"/>
            <w:shd w:val="clear" w:color="auto" w:fill="FFFFFF"/>
          </w:tcPr>
          <w:p w:rsidR="00E36C8E" w:rsidRPr="00177118" w:rsidRDefault="00E36C8E" w:rsidP="00BD4391">
            <w:pPr>
              <w:pStyle w:val="h"/>
            </w:pPr>
            <w:r>
              <w:t>Le</w:t>
            </w:r>
            <w:r w:rsidRPr="00177118">
              <w:t>s premiers disciples du Sauveur</w:t>
            </w:r>
          </w:p>
        </w:tc>
        <w:tc>
          <w:tcPr>
            <w:tcW w:w="680" w:type="pct"/>
            <w:shd w:val="clear" w:color="auto" w:fill="FFFFFF"/>
          </w:tcPr>
          <w:p w:rsidR="00E36C8E" w:rsidRPr="00A21E32" w:rsidRDefault="00E36C8E" w:rsidP="00BD4391">
            <w:pPr>
              <w:pStyle w:val="centrum"/>
            </w:pPr>
            <w:r w:rsidRPr="00A21E32">
              <w:t xml:space="preserve"> »</w:t>
            </w:r>
          </w:p>
        </w:tc>
        <w:tc>
          <w:tcPr>
            <w:tcW w:w="740" w:type="pct"/>
            <w:shd w:val="clear" w:color="auto" w:fill="FFFFFF"/>
          </w:tcPr>
          <w:p w:rsidR="00E36C8E" w:rsidRPr="00A21E32" w:rsidRDefault="00E36C8E" w:rsidP="00BD4391">
            <w:pPr>
              <w:pStyle w:val="nsr"/>
            </w:pPr>
            <w:r w:rsidRPr="00A21E32">
              <w:t>»</w:t>
            </w:r>
          </w:p>
        </w:tc>
        <w:tc>
          <w:tcPr>
            <w:tcW w:w="718" w:type="pct"/>
            <w:shd w:val="clear" w:color="auto" w:fill="FFFFFF"/>
          </w:tcPr>
          <w:p w:rsidR="00E36C8E" w:rsidRPr="00A21E32" w:rsidRDefault="00E36C8E" w:rsidP="00BD4391">
            <w:pPr>
              <w:pStyle w:val="centrum"/>
            </w:pPr>
            <w:r w:rsidRPr="00A21E32">
              <w:t xml:space="preserve"> »</w:t>
            </w:r>
          </w:p>
        </w:tc>
        <w:tc>
          <w:tcPr>
            <w:tcW w:w="993" w:type="pct"/>
            <w:shd w:val="clear" w:color="auto" w:fill="FFFFFF"/>
          </w:tcPr>
          <w:p w:rsidR="00E36C8E" w:rsidRPr="00A21E32" w:rsidRDefault="00E36C8E" w:rsidP="00BD4391">
            <w:pPr>
              <w:pStyle w:val="nsr"/>
            </w:pPr>
            <w:r w:rsidRPr="00A21E32">
              <w:t>I</w:t>
            </w:r>
            <w:r>
              <w:t xml:space="preserve">, </w:t>
            </w:r>
            <w:r w:rsidRPr="00A21E32">
              <w:t>36-51.</w:t>
            </w:r>
          </w:p>
        </w:tc>
      </w:tr>
      <w:tr w:rsidR="00E36C8E" w:rsidRPr="00177118" w:rsidTr="00BD4391">
        <w:trPr>
          <w:cantSplit/>
          <w:trHeight w:val="20"/>
        </w:trPr>
        <w:tc>
          <w:tcPr>
            <w:tcW w:w="1869" w:type="pct"/>
            <w:shd w:val="clear" w:color="auto" w:fill="FFFFFF"/>
          </w:tcPr>
          <w:p w:rsidR="00E36C8E" w:rsidRPr="00177118" w:rsidRDefault="00E36C8E" w:rsidP="00BD4391">
            <w:pPr>
              <w:pStyle w:val="h"/>
            </w:pPr>
            <w:r w:rsidRPr="00177118">
              <w:t xml:space="preserve">Premier miracle </w:t>
            </w:r>
            <w:r>
              <w:t>de Jésus à Cana</w:t>
            </w:r>
          </w:p>
        </w:tc>
        <w:tc>
          <w:tcPr>
            <w:tcW w:w="680" w:type="pct"/>
            <w:shd w:val="clear" w:color="auto" w:fill="FFFFFF"/>
          </w:tcPr>
          <w:p w:rsidR="00E36C8E" w:rsidRPr="00A21E32" w:rsidRDefault="00E36C8E" w:rsidP="00BD4391">
            <w:pPr>
              <w:pStyle w:val="nsr"/>
            </w:pPr>
            <w:r w:rsidRPr="00A21E32">
              <w:t>»</w:t>
            </w:r>
          </w:p>
        </w:tc>
        <w:tc>
          <w:tcPr>
            <w:tcW w:w="740" w:type="pct"/>
            <w:shd w:val="clear" w:color="auto" w:fill="FFFFFF"/>
          </w:tcPr>
          <w:p w:rsidR="00E36C8E" w:rsidRPr="00A21E32" w:rsidRDefault="00E36C8E" w:rsidP="00BD4391">
            <w:pPr>
              <w:pStyle w:val="centrum"/>
            </w:pPr>
            <w:r w:rsidRPr="00A21E32">
              <w:t xml:space="preserve"> »</w:t>
            </w:r>
          </w:p>
        </w:tc>
        <w:tc>
          <w:tcPr>
            <w:tcW w:w="718" w:type="pct"/>
            <w:shd w:val="clear" w:color="auto" w:fill="FFFFFF"/>
          </w:tcPr>
          <w:p w:rsidR="00E36C8E" w:rsidRPr="00A21E32" w:rsidRDefault="00E36C8E" w:rsidP="00BD4391">
            <w:pPr>
              <w:pStyle w:val="centrum"/>
            </w:pPr>
            <w:r w:rsidRPr="00A21E32">
              <w:t xml:space="preserve"> »</w:t>
            </w:r>
          </w:p>
        </w:tc>
        <w:tc>
          <w:tcPr>
            <w:tcW w:w="993" w:type="pct"/>
            <w:shd w:val="clear" w:color="auto" w:fill="FFFFFF"/>
          </w:tcPr>
          <w:p w:rsidR="00E36C8E" w:rsidRPr="00A21E32" w:rsidRDefault="00E36C8E" w:rsidP="00BD4391">
            <w:pPr>
              <w:pStyle w:val="nsr"/>
            </w:pPr>
            <w:r>
              <w:t xml:space="preserve">II, </w:t>
            </w:r>
            <w:r w:rsidRPr="00A21E32">
              <w:t>1-12.</w:t>
            </w:r>
          </w:p>
        </w:tc>
      </w:tr>
    </w:tbl>
    <w:p w:rsidR="00E36C8E" w:rsidRPr="00123C9C" w:rsidRDefault="00E36C8E" w:rsidP="00E36C8E">
      <w:pPr>
        <w:pStyle w:val="u3"/>
      </w:pPr>
      <w:r w:rsidRPr="00123C9C">
        <w:t xml:space="preserve">§ II. — De la première à la seconde Pâque. </w:t>
      </w:r>
    </w:p>
    <w:p w:rsidR="00E36C8E" w:rsidRPr="00177118" w:rsidRDefault="00E36C8E" w:rsidP="00E36C8E">
      <w:pPr>
        <w:pStyle w:val="nsr"/>
      </w:pPr>
      <w:r w:rsidRPr="00177118">
        <w:t>(printemp</w:t>
      </w:r>
      <w:r>
        <w:t>s de 780 — printemps du 781 u. c. ;</w:t>
      </w:r>
      <w:r w:rsidRPr="00177118">
        <w:t xml:space="preserve"> 27-28 de l</w:t>
      </w:r>
      <w:r w:rsidR="00557DE0">
        <w:t>’</w:t>
      </w:r>
      <w:r w:rsidRPr="00177118">
        <w:t>ère vulgaire).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4103"/>
        <w:gridCol w:w="1575"/>
        <w:gridCol w:w="1546"/>
        <w:gridCol w:w="1546"/>
        <w:gridCol w:w="1720"/>
      </w:tblGrid>
      <w:tr w:rsidR="00E36C8E" w:rsidRPr="00177118" w:rsidTr="00BD4391">
        <w:trPr>
          <w:cantSplit/>
          <w:trHeight w:val="20"/>
        </w:trPr>
        <w:tc>
          <w:tcPr>
            <w:tcW w:w="1955" w:type="pct"/>
            <w:shd w:val="clear" w:color="auto" w:fill="FFFFFF"/>
          </w:tcPr>
          <w:p w:rsidR="00E36C8E" w:rsidRPr="00177118" w:rsidRDefault="00E36C8E" w:rsidP="00BD4391">
            <w:pPr>
              <w:pStyle w:val="h"/>
            </w:pPr>
            <w:r w:rsidRPr="00177118">
              <w:t>Jésus se rend à Jérusalem à l</w:t>
            </w:r>
            <w:r w:rsidR="00557DE0">
              <w:t>’</w:t>
            </w:r>
            <w:r w:rsidRPr="00177118">
              <w:t>occasion de la Pâque et chasse les vendeurs</w:t>
            </w:r>
          </w:p>
        </w:tc>
        <w:tc>
          <w:tcPr>
            <w:tcW w:w="750" w:type="pct"/>
            <w:shd w:val="clear" w:color="auto" w:fill="FFFFFF"/>
          </w:tcPr>
          <w:p w:rsidR="00E36C8E" w:rsidRPr="00D709E6" w:rsidRDefault="00E36C8E" w:rsidP="00BD4391">
            <w:pPr>
              <w:pStyle w:val="centrum"/>
            </w:pPr>
            <w:r w:rsidRPr="00D709E6">
              <w:t xml:space="preserve"> »</w:t>
            </w:r>
          </w:p>
        </w:tc>
        <w:tc>
          <w:tcPr>
            <w:tcW w:w="737" w:type="pct"/>
            <w:shd w:val="clear" w:color="auto" w:fill="FFFFFF"/>
          </w:tcPr>
          <w:p w:rsidR="00E36C8E" w:rsidRPr="00D709E6" w:rsidRDefault="00E36C8E" w:rsidP="00BD4391">
            <w:pPr>
              <w:pStyle w:val="centrum"/>
            </w:pPr>
            <w:r w:rsidRPr="00D709E6">
              <w:t xml:space="preserve"> »</w:t>
            </w:r>
          </w:p>
        </w:tc>
        <w:tc>
          <w:tcPr>
            <w:tcW w:w="737" w:type="pct"/>
            <w:shd w:val="clear" w:color="auto" w:fill="FFFFFF"/>
          </w:tcPr>
          <w:p w:rsidR="00E36C8E" w:rsidRPr="00D709E6" w:rsidRDefault="00E36C8E" w:rsidP="00BD4391">
            <w:pPr>
              <w:pStyle w:val="centrum"/>
            </w:pPr>
            <w:r w:rsidRPr="00D709E6">
              <w:t xml:space="preserve"> »</w:t>
            </w:r>
          </w:p>
        </w:tc>
        <w:tc>
          <w:tcPr>
            <w:tcW w:w="820" w:type="pct"/>
            <w:shd w:val="clear" w:color="auto" w:fill="FFFFFF"/>
          </w:tcPr>
          <w:p w:rsidR="00E36C8E" w:rsidRPr="00D709E6" w:rsidRDefault="00E36C8E" w:rsidP="00BD4391">
            <w:pPr>
              <w:pStyle w:val="nsr"/>
            </w:pPr>
            <w:r w:rsidRPr="00D709E6">
              <w:t>II, 13-25.</w:t>
            </w:r>
          </w:p>
        </w:tc>
      </w:tr>
      <w:tr w:rsidR="00E36C8E" w:rsidRPr="00177118" w:rsidTr="00BD4391">
        <w:trPr>
          <w:cantSplit/>
          <w:trHeight w:val="20"/>
        </w:trPr>
        <w:tc>
          <w:tcPr>
            <w:tcW w:w="1955" w:type="pct"/>
            <w:shd w:val="clear" w:color="auto" w:fill="FFFFFF"/>
          </w:tcPr>
          <w:p w:rsidR="00E36C8E" w:rsidRPr="00177118" w:rsidRDefault="00E36C8E" w:rsidP="00BD4391">
            <w:pPr>
              <w:pStyle w:val="h"/>
            </w:pPr>
            <w:r>
              <w:t>Entret</w:t>
            </w:r>
            <w:r w:rsidRPr="00177118">
              <w:t>ien avec Nicodème</w:t>
            </w:r>
            <w:r>
              <w:t xml:space="preserve"> </w:t>
            </w:r>
          </w:p>
        </w:tc>
        <w:tc>
          <w:tcPr>
            <w:tcW w:w="750" w:type="pct"/>
            <w:shd w:val="clear" w:color="auto" w:fill="FFFFFF"/>
          </w:tcPr>
          <w:p w:rsidR="00E36C8E" w:rsidRPr="00D709E6" w:rsidRDefault="00E36C8E" w:rsidP="00BD4391">
            <w:pPr>
              <w:pStyle w:val="centrum"/>
            </w:pPr>
            <w:r w:rsidRPr="00D709E6">
              <w:t xml:space="preserve"> »</w:t>
            </w:r>
          </w:p>
        </w:tc>
        <w:tc>
          <w:tcPr>
            <w:tcW w:w="737" w:type="pct"/>
            <w:shd w:val="clear" w:color="auto" w:fill="FFFFFF"/>
          </w:tcPr>
          <w:p w:rsidR="00E36C8E" w:rsidRPr="00D709E6" w:rsidRDefault="00E36C8E" w:rsidP="00BD4391">
            <w:pPr>
              <w:pStyle w:val="centrum"/>
            </w:pPr>
            <w:r w:rsidRPr="00D709E6">
              <w:t xml:space="preserve"> »</w:t>
            </w:r>
          </w:p>
        </w:tc>
        <w:tc>
          <w:tcPr>
            <w:tcW w:w="737" w:type="pct"/>
            <w:shd w:val="clear" w:color="auto" w:fill="FFFFFF"/>
          </w:tcPr>
          <w:p w:rsidR="00E36C8E" w:rsidRPr="00D709E6" w:rsidRDefault="00E36C8E" w:rsidP="00BD4391">
            <w:pPr>
              <w:pStyle w:val="centrum"/>
            </w:pPr>
            <w:r w:rsidRPr="00D709E6">
              <w:t xml:space="preserve"> »</w:t>
            </w:r>
          </w:p>
        </w:tc>
        <w:tc>
          <w:tcPr>
            <w:tcW w:w="820" w:type="pct"/>
            <w:shd w:val="clear" w:color="auto" w:fill="FFFFFF"/>
          </w:tcPr>
          <w:p w:rsidR="00E36C8E" w:rsidRPr="00D709E6" w:rsidRDefault="00E36C8E" w:rsidP="00BD4391">
            <w:pPr>
              <w:pStyle w:val="nsr"/>
            </w:pPr>
            <w:r w:rsidRPr="00D709E6">
              <w:t>III, 1-21.</w:t>
            </w:r>
          </w:p>
        </w:tc>
      </w:tr>
      <w:tr w:rsidR="00E36C8E" w:rsidRPr="00177118" w:rsidTr="00BD4391">
        <w:trPr>
          <w:cantSplit/>
          <w:trHeight w:val="20"/>
        </w:trPr>
        <w:tc>
          <w:tcPr>
            <w:tcW w:w="1955" w:type="pct"/>
            <w:shd w:val="clear" w:color="auto" w:fill="FFFFFF"/>
          </w:tcPr>
          <w:p w:rsidR="00E36C8E" w:rsidRPr="00177118" w:rsidRDefault="00E36C8E" w:rsidP="00BD4391">
            <w:pPr>
              <w:pStyle w:val="h"/>
            </w:pPr>
            <w:r w:rsidRPr="00177118">
              <w:t>Dernier témoignage de St Jean</w:t>
            </w:r>
            <w:r>
              <w:t xml:space="preserve"> </w:t>
            </w:r>
          </w:p>
        </w:tc>
        <w:tc>
          <w:tcPr>
            <w:tcW w:w="750" w:type="pct"/>
            <w:shd w:val="clear" w:color="auto" w:fill="FFFFFF"/>
          </w:tcPr>
          <w:p w:rsidR="00E36C8E" w:rsidRPr="00D709E6" w:rsidRDefault="001B4203" w:rsidP="00BD4391">
            <w:pPr>
              <w:pStyle w:val="centrum"/>
            </w:pPr>
            <w:r>
              <w:t xml:space="preserve"> </w:t>
            </w:r>
            <w:r w:rsidR="00E36C8E">
              <w:t>»</w:t>
            </w:r>
          </w:p>
        </w:tc>
        <w:tc>
          <w:tcPr>
            <w:tcW w:w="737" w:type="pct"/>
            <w:shd w:val="clear" w:color="auto" w:fill="FFFFFF"/>
          </w:tcPr>
          <w:p w:rsidR="00E36C8E" w:rsidRPr="00D709E6" w:rsidRDefault="00E36C8E" w:rsidP="00BD4391">
            <w:pPr>
              <w:pStyle w:val="centrum"/>
            </w:pPr>
            <w:r w:rsidRPr="00D709E6">
              <w:t xml:space="preserve"> »</w:t>
            </w:r>
          </w:p>
        </w:tc>
        <w:tc>
          <w:tcPr>
            <w:tcW w:w="737" w:type="pct"/>
            <w:shd w:val="clear" w:color="auto" w:fill="FFFFFF"/>
          </w:tcPr>
          <w:p w:rsidR="00E36C8E" w:rsidRPr="00D709E6" w:rsidRDefault="001B4203" w:rsidP="00BD4391">
            <w:pPr>
              <w:pStyle w:val="centrum"/>
            </w:pPr>
            <w:r>
              <w:t xml:space="preserve"> </w:t>
            </w:r>
            <w:r w:rsidR="00E36C8E" w:rsidRPr="00D709E6">
              <w:t>»</w:t>
            </w:r>
          </w:p>
        </w:tc>
        <w:tc>
          <w:tcPr>
            <w:tcW w:w="820" w:type="pct"/>
            <w:shd w:val="clear" w:color="auto" w:fill="FFFFFF"/>
          </w:tcPr>
          <w:p w:rsidR="00E36C8E" w:rsidRPr="00D709E6" w:rsidRDefault="00E36C8E" w:rsidP="00BD4391">
            <w:pPr>
              <w:pStyle w:val="nsr"/>
            </w:pPr>
            <w:r w:rsidRPr="00D709E6">
              <w:t xml:space="preserve">III, </w:t>
            </w:r>
            <w:r>
              <w:t>22-36</w:t>
            </w:r>
            <w:r w:rsidRPr="00D709E6">
              <w:t>.</w:t>
            </w:r>
          </w:p>
        </w:tc>
      </w:tr>
      <w:tr w:rsidR="00E36C8E" w:rsidRPr="00177118" w:rsidTr="00BD4391">
        <w:trPr>
          <w:cantSplit/>
          <w:trHeight w:val="20"/>
        </w:trPr>
        <w:tc>
          <w:tcPr>
            <w:tcW w:w="1955" w:type="pct"/>
            <w:shd w:val="clear" w:color="auto" w:fill="FFFFFF"/>
          </w:tcPr>
          <w:p w:rsidR="00E36C8E" w:rsidRPr="00177118" w:rsidRDefault="00E36C8E" w:rsidP="00BD4391">
            <w:pPr>
              <w:pStyle w:val="h"/>
            </w:pPr>
            <w:r w:rsidRPr="00177118">
              <w:t>Entretien de Jésus aveu la Samaritaine.</w:t>
            </w:r>
          </w:p>
        </w:tc>
        <w:tc>
          <w:tcPr>
            <w:tcW w:w="750" w:type="pct"/>
            <w:shd w:val="clear" w:color="auto" w:fill="FFFFFF"/>
          </w:tcPr>
          <w:p w:rsidR="00E36C8E" w:rsidRPr="00D709E6" w:rsidRDefault="00E36C8E" w:rsidP="00BD4391">
            <w:pPr>
              <w:pStyle w:val="centrum"/>
            </w:pPr>
            <w:r w:rsidRPr="00D709E6">
              <w:t xml:space="preserve"> »</w:t>
            </w:r>
          </w:p>
        </w:tc>
        <w:tc>
          <w:tcPr>
            <w:tcW w:w="737" w:type="pct"/>
            <w:shd w:val="clear" w:color="auto" w:fill="FFFFFF"/>
          </w:tcPr>
          <w:p w:rsidR="00E36C8E" w:rsidRPr="00D709E6" w:rsidRDefault="00E36C8E" w:rsidP="00BD4391">
            <w:pPr>
              <w:pStyle w:val="centrum"/>
            </w:pPr>
            <w:r w:rsidRPr="00D709E6">
              <w:t xml:space="preserve"> »</w:t>
            </w:r>
          </w:p>
        </w:tc>
        <w:tc>
          <w:tcPr>
            <w:tcW w:w="737" w:type="pct"/>
            <w:shd w:val="clear" w:color="auto" w:fill="FFFFFF"/>
          </w:tcPr>
          <w:p w:rsidR="00E36C8E" w:rsidRPr="00D709E6" w:rsidRDefault="001B4203" w:rsidP="00BD4391">
            <w:pPr>
              <w:pStyle w:val="centrum"/>
            </w:pPr>
            <w:r>
              <w:t xml:space="preserve"> </w:t>
            </w:r>
            <w:r w:rsidR="00E36C8E" w:rsidRPr="00D709E6">
              <w:t>»</w:t>
            </w:r>
          </w:p>
        </w:tc>
        <w:tc>
          <w:tcPr>
            <w:tcW w:w="820" w:type="pct"/>
            <w:shd w:val="clear" w:color="auto" w:fill="FFFFFF"/>
          </w:tcPr>
          <w:p w:rsidR="00E36C8E" w:rsidRPr="00D709E6" w:rsidRDefault="00E36C8E" w:rsidP="00BD4391">
            <w:pPr>
              <w:pStyle w:val="nsr"/>
            </w:pPr>
            <w:r w:rsidRPr="00D709E6">
              <w:t>IV, 1-42.</w:t>
            </w:r>
          </w:p>
        </w:tc>
      </w:tr>
      <w:tr w:rsidR="00E36C8E" w:rsidRPr="00177118" w:rsidTr="00BD4391">
        <w:trPr>
          <w:cantSplit/>
          <w:trHeight w:val="20"/>
        </w:trPr>
        <w:tc>
          <w:tcPr>
            <w:tcW w:w="1955" w:type="pct"/>
            <w:shd w:val="clear" w:color="auto" w:fill="FFFFFF"/>
          </w:tcPr>
          <w:p w:rsidR="00E36C8E" w:rsidRPr="00177118" w:rsidRDefault="00E36C8E" w:rsidP="00BD4391">
            <w:pPr>
              <w:pStyle w:val="h"/>
            </w:pPr>
            <w:r w:rsidRPr="00177118">
              <w:t>E</w:t>
            </w:r>
            <w:r>
              <w:t>mprisonnement de St Jean-Baptiste</w:t>
            </w:r>
          </w:p>
        </w:tc>
        <w:tc>
          <w:tcPr>
            <w:tcW w:w="750" w:type="pct"/>
            <w:shd w:val="clear" w:color="auto" w:fill="FFFFFF"/>
          </w:tcPr>
          <w:p w:rsidR="00E36C8E" w:rsidRPr="00D709E6" w:rsidRDefault="00E36C8E" w:rsidP="00BD4391">
            <w:pPr>
              <w:pStyle w:val="centrum"/>
            </w:pPr>
            <w:r w:rsidRPr="00D709E6">
              <w:t xml:space="preserve"> »</w:t>
            </w:r>
          </w:p>
        </w:tc>
        <w:tc>
          <w:tcPr>
            <w:tcW w:w="737" w:type="pct"/>
            <w:shd w:val="clear" w:color="auto" w:fill="FFFFFF"/>
          </w:tcPr>
          <w:p w:rsidR="00E36C8E" w:rsidRPr="00D709E6" w:rsidRDefault="001B4203" w:rsidP="00BD4391">
            <w:pPr>
              <w:pStyle w:val="centrum"/>
            </w:pPr>
            <w:r>
              <w:t xml:space="preserve"> </w:t>
            </w:r>
            <w:r w:rsidR="00E36C8E">
              <w:t>»</w:t>
            </w:r>
          </w:p>
        </w:tc>
        <w:tc>
          <w:tcPr>
            <w:tcW w:w="737" w:type="pct"/>
            <w:shd w:val="clear" w:color="auto" w:fill="FFFFFF"/>
          </w:tcPr>
          <w:p w:rsidR="00E36C8E" w:rsidRPr="00D709E6" w:rsidRDefault="00E36C8E" w:rsidP="00BD4391">
            <w:pPr>
              <w:pStyle w:val="nsr"/>
            </w:pPr>
            <w:r w:rsidRPr="00D709E6">
              <w:t>III, 19-20.</w:t>
            </w:r>
          </w:p>
        </w:tc>
        <w:tc>
          <w:tcPr>
            <w:tcW w:w="820" w:type="pct"/>
            <w:shd w:val="clear" w:color="auto" w:fill="FFFFFF"/>
          </w:tcPr>
          <w:p w:rsidR="00E36C8E" w:rsidRPr="00D709E6" w:rsidRDefault="001B4203" w:rsidP="00BD4391">
            <w:pPr>
              <w:pStyle w:val="centrum"/>
            </w:pPr>
            <w:r>
              <w:t xml:space="preserve"> </w:t>
            </w:r>
            <w:r w:rsidR="00E36C8E" w:rsidRPr="00D709E6">
              <w:t>»</w:t>
            </w:r>
          </w:p>
        </w:tc>
      </w:tr>
      <w:tr w:rsidR="00E36C8E" w:rsidRPr="00177118" w:rsidTr="00BD4391">
        <w:trPr>
          <w:cantSplit/>
          <w:trHeight w:val="20"/>
        </w:trPr>
        <w:tc>
          <w:tcPr>
            <w:tcW w:w="1955" w:type="pct"/>
            <w:shd w:val="clear" w:color="auto" w:fill="FFFFFF"/>
          </w:tcPr>
          <w:p w:rsidR="00E36C8E" w:rsidRPr="00177118" w:rsidRDefault="00E36C8E" w:rsidP="00BD4391">
            <w:pPr>
              <w:pStyle w:val="h"/>
            </w:pPr>
            <w:r w:rsidRPr="00177118">
              <w:t>Retour</w:t>
            </w:r>
            <w:r>
              <w:t xml:space="preserve"> de Jésus en Galilée. Il</w:t>
            </w:r>
            <w:r w:rsidRPr="00177118">
              <w:t xml:space="preserve"> prêche le royaume des cieux</w:t>
            </w:r>
            <w:r>
              <w:t xml:space="preserve"> </w:t>
            </w:r>
          </w:p>
        </w:tc>
        <w:tc>
          <w:tcPr>
            <w:tcW w:w="750" w:type="pct"/>
            <w:shd w:val="clear" w:color="auto" w:fill="FFFFFF"/>
          </w:tcPr>
          <w:p w:rsidR="00E36C8E" w:rsidRPr="00D709E6" w:rsidRDefault="00E36C8E" w:rsidP="00BD4391">
            <w:pPr>
              <w:pStyle w:val="nsr"/>
            </w:pPr>
            <w:r w:rsidRPr="00D709E6">
              <w:t>IV, 12.</w:t>
            </w:r>
          </w:p>
        </w:tc>
        <w:tc>
          <w:tcPr>
            <w:tcW w:w="737" w:type="pct"/>
            <w:shd w:val="clear" w:color="auto" w:fill="FFFFFF"/>
          </w:tcPr>
          <w:p w:rsidR="00E36C8E" w:rsidRPr="00D709E6" w:rsidRDefault="00E36C8E" w:rsidP="00BD4391">
            <w:pPr>
              <w:pStyle w:val="nsr"/>
            </w:pPr>
            <w:r w:rsidRPr="00D709E6">
              <w:t>I, 14-15.</w:t>
            </w:r>
          </w:p>
        </w:tc>
        <w:tc>
          <w:tcPr>
            <w:tcW w:w="737" w:type="pct"/>
            <w:shd w:val="clear" w:color="auto" w:fill="FFFFFF"/>
          </w:tcPr>
          <w:p w:rsidR="00E36C8E" w:rsidRPr="00D709E6" w:rsidRDefault="00E36C8E" w:rsidP="00BD4391">
            <w:pPr>
              <w:pStyle w:val="nsr"/>
            </w:pPr>
            <w:r w:rsidRPr="00D709E6">
              <w:t>IV</w:t>
            </w:r>
            <w:r>
              <w:t>,</w:t>
            </w:r>
            <w:r w:rsidRPr="00D709E6">
              <w:t xml:space="preserve"> 14-15.</w:t>
            </w:r>
          </w:p>
        </w:tc>
        <w:tc>
          <w:tcPr>
            <w:tcW w:w="820" w:type="pct"/>
            <w:shd w:val="clear" w:color="auto" w:fill="FFFFFF"/>
          </w:tcPr>
          <w:p w:rsidR="00E36C8E" w:rsidRPr="00D709E6" w:rsidRDefault="00E36C8E" w:rsidP="00BD4391">
            <w:pPr>
              <w:pStyle w:val="nsr"/>
            </w:pPr>
            <w:r w:rsidRPr="00D709E6">
              <w:t xml:space="preserve">IV, </w:t>
            </w:r>
            <w:r>
              <w:t>43-45</w:t>
            </w:r>
            <w:r w:rsidRPr="00D709E6">
              <w:t>.</w:t>
            </w:r>
          </w:p>
        </w:tc>
      </w:tr>
      <w:tr w:rsidR="00E36C8E" w:rsidRPr="00241E4B" w:rsidTr="00BD4391">
        <w:trPr>
          <w:cantSplit/>
          <w:trHeight w:val="20"/>
        </w:trPr>
        <w:tc>
          <w:tcPr>
            <w:tcW w:w="1955" w:type="pct"/>
            <w:shd w:val="clear" w:color="auto" w:fill="FFFFFF"/>
          </w:tcPr>
          <w:p w:rsidR="00E36C8E" w:rsidRPr="00241E4B" w:rsidRDefault="00E36C8E" w:rsidP="00BD4391">
            <w:pPr>
              <w:pStyle w:val="h"/>
              <w:rPr>
                <w:rStyle w:val="italicus"/>
              </w:rPr>
            </w:pPr>
            <w:r w:rsidRPr="00241E4B">
              <w:rPr>
                <w:rStyle w:val="italicus"/>
              </w:rPr>
              <w:t>Jésus dans la synagogue de Nazareth.</w:t>
            </w:r>
          </w:p>
        </w:tc>
        <w:tc>
          <w:tcPr>
            <w:tcW w:w="750" w:type="pct"/>
            <w:shd w:val="clear" w:color="auto" w:fill="FFFFFF"/>
          </w:tcPr>
          <w:p w:rsidR="00E36C8E" w:rsidRPr="00241E4B" w:rsidRDefault="001B4203" w:rsidP="00BD4391">
            <w:pPr>
              <w:pStyle w:val="centrum"/>
              <w:rPr>
                <w:rStyle w:val="italicus"/>
              </w:rPr>
            </w:pPr>
            <w:r>
              <w:rPr>
                <w:rStyle w:val="italicus"/>
              </w:rPr>
              <w:t xml:space="preserve"> </w:t>
            </w:r>
            <w:r w:rsidR="00E36C8E" w:rsidRPr="00241E4B">
              <w:rPr>
                <w:rStyle w:val="italicus"/>
              </w:rPr>
              <w:t>»</w:t>
            </w:r>
          </w:p>
        </w:tc>
        <w:tc>
          <w:tcPr>
            <w:tcW w:w="737" w:type="pct"/>
            <w:shd w:val="clear" w:color="auto" w:fill="FFFFFF"/>
          </w:tcPr>
          <w:p w:rsidR="00E36C8E" w:rsidRPr="00241E4B" w:rsidRDefault="00E36C8E" w:rsidP="00BD4391">
            <w:pPr>
              <w:pStyle w:val="centrum"/>
              <w:rPr>
                <w:rStyle w:val="italicus"/>
              </w:rPr>
            </w:pPr>
            <w:r w:rsidRPr="00241E4B">
              <w:rPr>
                <w:rStyle w:val="italicus"/>
              </w:rPr>
              <w:t xml:space="preserve"> »</w:t>
            </w:r>
          </w:p>
        </w:tc>
        <w:tc>
          <w:tcPr>
            <w:tcW w:w="737" w:type="pct"/>
            <w:shd w:val="clear" w:color="auto" w:fill="FFFFFF"/>
          </w:tcPr>
          <w:p w:rsidR="00E36C8E" w:rsidRPr="00241E4B" w:rsidRDefault="00E36C8E" w:rsidP="00BD4391">
            <w:pPr>
              <w:pStyle w:val="nsr"/>
              <w:rPr>
                <w:rStyle w:val="italicus"/>
              </w:rPr>
            </w:pPr>
            <w:r w:rsidRPr="00241E4B">
              <w:rPr>
                <w:rStyle w:val="italicus"/>
              </w:rPr>
              <w:t>IV, 16-30.</w:t>
            </w:r>
          </w:p>
        </w:tc>
        <w:tc>
          <w:tcPr>
            <w:tcW w:w="820" w:type="pct"/>
            <w:shd w:val="clear" w:color="auto" w:fill="FFFFFF"/>
          </w:tcPr>
          <w:p w:rsidR="00E36C8E" w:rsidRPr="00241E4B" w:rsidRDefault="00E36C8E" w:rsidP="00BD4391">
            <w:pPr>
              <w:pStyle w:val="centrum"/>
              <w:rPr>
                <w:rStyle w:val="italicus"/>
              </w:rPr>
            </w:pPr>
            <w:r w:rsidRPr="00241E4B">
              <w:rPr>
                <w:rStyle w:val="italicus"/>
              </w:rPr>
              <w:t xml:space="preserve"> »</w:t>
            </w:r>
          </w:p>
        </w:tc>
      </w:tr>
      <w:tr w:rsidR="00E36C8E" w:rsidRPr="00177118" w:rsidTr="00BD4391">
        <w:trPr>
          <w:cantSplit/>
          <w:trHeight w:val="20"/>
        </w:trPr>
        <w:tc>
          <w:tcPr>
            <w:tcW w:w="1955" w:type="pct"/>
            <w:shd w:val="clear" w:color="auto" w:fill="FFFFFF"/>
          </w:tcPr>
          <w:p w:rsidR="00E36C8E" w:rsidRPr="00177118" w:rsidRDefault="00E36C8E" w:rsidP="00BD4391">
            <w:pPr>
              <w:pStyle w:val="h"/>
            </w:pPr>
            <w:r>
              <w:t>Il guérit à Cana le f</w:t>
            </w:r>
            <w:r w:rsidRPr="00177118">
              <w:t>ils d</w:t>
            </w:r>
            <w:r w:rsidR="00557DE0">
              <w:t>’</w:t>
            </w:r>
            <w:r w:rsidRPr="00177118">
              <w:t>un officier royal</w:t>
            </w:r>
            <w:r>
              <w:t xml:space="preserve"> </w:t>
            </w:r>
          </w:p>
        </w:tc>
        <w:tc>
          <w:tcPr>
            <w:tcW w:w="750" w:type="pct"/>
            <w:shd w:val="clear" w:color="auto" w:fill="FFFFFF"/>
          </w:tcPr>
          <w:p w:rsidR="00E36C8E" w:rsidRPr="00D709E6" w:rsidRDefault="001B4203" w:rsidP="00BD4391">
            <w:pPr>
              <w:pStyle w:val="centrum"/>
            </w:pPr>
            <w:r>
              <w:t xml:space="preserve"> </w:t>
            </w:r>
            <w:r w:rsidR="00E36C8E">
              <w:t>»</w:t>
            </w:r>
          </w:p>
        </w:tc>
        <w:tc>
          <w:tcPr>
            <w:tcW w:w="737" w:type="pct"/>
            <w:shd w:val="clear" w:color="auto" w:fill="FFFFFF"/>
          </w:tcPr>
          <w:p w:rsidR="00E36C8E" w:rsidRPr="00D709E6" w:rsidRDefault="001B4203" w:rsidP="00BD4391">
            <w:pPr>
              <w:pStyle w:val="centrum"/>
            </w:pPr>
            <w:r>
              <w:t xml:space="preserve"> </w:t>
            </w:r>
            <w:r w:rsidR="00E36C8E">
              <w:t>»</w:t>
            </w:r>
          </w:p>
        </w:tc>
        <w:tc>
          <w:tcPr>
            <w:tcW w:w="737" w:type="pct"/>
            <w:shd w:val="clear" w:color="auto" w:fill="FFFFFF"/>
          </w:tcPr>
          <w:p w:rsidR="00E36C8E" w:rsidRPr="00D709E6" w:rsidRDefault="00E36C8E" w:rsidP="00BD4391">
            <w:pPr>
              <w:pStyle w:val="centrum"/>
            </w:pPr>
            <w:r w:rsidRPr="00D709E6">
              <w:t xml:space="preserve"> »</w:t>
            </w:r>
          </w:p>
        </w:tc>
        <w:tc>
          <w:tcPr>
            <w:tcW w:w="820" w:type="pct"/>
            <w:shd w:val="clear" w:color="auto" w:fill="FFFFFF"/>
          </w:tcPr>
          <w:p w:rsidR="00E36C8E" w:rsidRPr="00D709E6" w:rsidRDefault="00E36C8E" w:rsidP="00BD4391">
            <w:pPr>
              <w:pStyle w:val="nsr"/>
            </w:pPr>
            <w:r w:rsidRPr="00D709E6">
              <w:t>IV, 46-54.</w:t>
            </w:r>
          </w:p>
        </w:tc>
      </w:tr>
      <w:tr w:rsidR="00E36C8E" w:rsidRPr="00177118" w:rsidTr="00BD4391">
        <w:trPr>
          <w:cantSplit/>
          <w:trHeight w:val="20"/>
        </w:trPr>
        <w:tc>
          <w:tcPr>
            <w:tcW w:w="1955" w:type="pct"/>
            <w:shd w:val="clear" w:color="auto" w:fill="FFFFFF"/>
          </w:tcPr>
          <w:p w:rsidR="00E36C8E" w:rsidRPr="00177118" w:rsidRDefault="00E36C8E" w:rsidP="00BD4391">
            <w:pPr>
              <w:pStyle w:val="h"/>
            </w:pPr>
            <w:r>
              <w:t>Il se</w:t>
            </w:r>
            <w:r w:rsidRPr="00177118">
              <w:t xml:space="preserve"> fixe à Capharnaüm</w:t>
            </w:r>
            <w:r>
              <w:t xml:space="preserve"> </w:t>
            </w:r>
          </w:p>
        </w:tc>
        <w:tc>
          <w:tcPr>
            <w:tcW w:w="750" w:type="pct"/>
            <w:shd w:val="clear" w:color="auto" w:fill="FFFFFF"/>
          </w:tcPr>
          <w:p w:rsidR="00E36C8E" w:rsidRPr="00D709E6" w:rsidRDefault="00E36C8E" w:rsidP="00BD4391">
            <w:pPr>
              <w:pStyle w:val="nsr"/>
            </w:pPr>
            <w:r w:rsidRPr="00D709E6">
              <w:t>IV, 13-17.</w:t>
            </w:r>
          </w:p>
        </w:tc>
        <w:tc>
          <w:tcPr>
            <w:tcW w:w="737" w:type="pct"/>
            <w:shd w:val="clear" w:color="auto" w:fill="FFFFFF"/>
          </w:tcPr>
          <w:p w:rsidR="00E36C8E" w:rsidRPr="00D709E6" w:rsidRDefault="00E36C8E" w:rsidP="00BD4391">
            <w:pPr>
              <w:pStyle w:val="centrum"/>
            </w:pPr>
            <w:r w:rsidRPr="00D709E6">
              <w:t xml:space="preserve"> »</w:t>
            </w:r>
          </w:p>
        </w:tc>
        <w:tc>
          <w:tcPr>
            <w:tcW w:w="737" w:type="pct"/>
            <w:shd w:val="clear" w:color="auto" w:fill="FFFFFF"/>
          </w:tcPr>
          <w:p w:rsidR="00E36C8E" w:rsidRPr="00D709E6" w:rsidRDefault="001B4203" w:rsidP="00BD4391">
            <w:pPr>
              <w:pStyle w:val="centrum"/>
            </w:pPr>
            <w:r>
              <w:t xml:space="preserve"> </w:t>
            </w:r>
            <w:r w:rsidR="00E36C8E">
              <w:t>»</w:t>
            </w:r>
          </w:p>
        </w:tc>
        <w:tc>
          <w:tcPr>
            <w:tcW w:w="820" w:type="pct"/>
            <w:shd w:val="clear" w:color="auto" w:fill="FFFFFF"/>
          </w:tcPr>
          <w:p w:rsidR="00E36C8E" w:rsidRPr="00D709E6" w:rsidRDefault="001B4203" w:rsidP="00BD4391">
            <w:pPr>
              <w:pStyle w:val="centrum"/>
            </w:pPr>
            <w:r>
              <w:t xml:space="preserve"> </w:t>
            </w:r>
            <w:r w:rsidR="00E36C8E">
              <w:t>»</w:t>
            </w:r>
          </w:p>
        </w:tc>
      </w:tr>
      <w:tr w:rsidR="00E36C8E" w:rsidRPr="00177118" w:rsidTr="00BD4391">
        <w:trPr>
          <w:cantSplit/>
          <w:trHeight w:val="20"/>
        </w:trPr>
        <w:tc>
          <w:tcPr>
            <w:tcW w:w="1955" w:type="pct"/>
            <w:shd w:val="clear" w:color="auto" w:fill="FFFFFF"/>
          </w:tcPr>
          <w:p w:rsidR="00E36C8E" w:rsidRPr="00177118" w:rsidRDefault="00E36C8E" w:rsidP="00BD4391">
            <w:pPr>
              <w:pStyle w:val="h"/>
            </w:pPr>
            <w:r>
              <w:t>Vocation de Simon et d</w:t>
            </w:r>
            <w:r w:rsidR="00557DE0">
              <w:t>’</w:t>
            </w:r>
            <w:r w:rsidRPr="00177118">
              <w:t>André</w:t>
            </w:r>
            <w:r>
              <w:t>, de Jacques</w:t>
            </w:r>
          </w:p>
        </w:tc>
        <w:tc>
          <w:tcPr>
            <w:tcW w:w="750" w:type="pct"/>
            <w:shd w:val="clear" w:color="auto" w:fill="FFFFFF"/>
          </w:tcPr>
          <w:p w:rsidR="00E36C8E" w:rsidRPr="00D709E6" w:rsidRDefault="00E36C8E" w:rsidP="00BD4391">
            <w:pPr>
              <w:pStyle w:val="nsr"/>
            </w:pPr>
            <w:r>
              <w:t>IV</w:t>
            </w:r>
            <w:r w:rsidRPr="00D709E6">
              <w:t>, 18-22.</w:t>
            </w:r>
          </w:p>
        </w:tc>
        <w:tc>
          <w:tcPr>
            <w:tcW w:w="737" w:type="pct"/>
            <w:shd w:val="clear" w:color="auto" w:fill="FFFFFF"/>
          </w:tcPr>
          <w:p w:rsidR="00E36C8E" w:rsidRPr="00D709E6" w:rsidRDefault="00E36C8E" w:rsidP="00BD4391">
            <w:pPr>
              <w:pStyle w:val="nsr"/>
            </w:pPr>
            <w:r w:rsidRPr="00D709E6">
              <w:t>I, 16-20.</w:t>
            </w:r>
          </w:p>
        </w:tc>
        <w:tc>
          <w:tcPr>
            <w:tcW w:w="737" w:type="pct"/>
            <w:shd w:val="clear" w:color="auto" w:fill="FFFFFF"/>
          </w:tcPr>
          <w:p w:rsidR="00E36C8E" w:rsidRPr="00D709E6" w:rsidRDefault="00E36C8E" w:rsidP="00BD4391">
            <w:pPr>
              <w:pStyle w:val="nsr"/>
            </w:pPr>
            <w:r>
              <w:t>V</w:t>
            </w:r>
            <w:r w:rsidRPr="00D709E6">
              <w:t>, 1-</w:t>
            </w:r>
            <w:r>
              <w:t>11</w:t>
            </w:r>
            <w:r w:rsidRPr="00D709E6">
              <w:t>.</w:t>
            </w:r>
          </w:p>
        </w:tc>
        <w:tc>
          <w:tcPr>
            <w:tcW w:w="820" w:type="pct"/>
            <w:shd w:val="clear" w:color="auto" w:fill="FFFFFF"/>
          </w:tcPr>
          <w:p w:rsidR="00E36C8E" w:rsidRPr="00D709E6" w:rsidRDefault="001B4203" w:rsidP="00BD4391">
            <w:pPr>
              <w:pStyle w:val="centrum"/>
            </w:pPr>
            <w:r>
              <w:t xml:space="preserve"> </w:t>
            </w:r>
            <w:r w:rsidR="00E36C8E">
              <w:t>»</w:t>
            </w:r>
          </w:p>
        </w:tc>
      </w:tr>
      <w:tr w:rsidR="00E36C8E" w:rsidRPr="00177118" w:rsidTr="00BD4391">
        <w:trPr>
          <w:cantSplit/>
          <w:trHeight w:val="20"/>
        </w:trPr>
        <w:tc>
          <w:tcPr>
            <w:tcW w:w="1955" w:type="pct"/>
            <w:shd w:val="clear" w:color="auto" w:fill="FFFFFF"/>
          </w:tcPr>
          <w:p w:rsidR="00E36C8E" w:rsidRPr="00177118" w:rsidRDefault="00E36C8E" w:rsidP="00BD4391">
            <w:pPr>
              <w:pStyle w:val="h"/>
            </w:pPr>
            <w:r>
              <w:t>G</w:t>
            </w:r>
            <w:r w:rsidRPr="00177118">
              <w:t>uérison d</w:t>
            </w:r>
            <w:r w:rsidR="00557DE0">
              <w:t>’</w:t>
            </w:r>
            <w:r>
              <w:t xml:space="preserve">un possédé à </w:t>
            </w:r>
            <w:r w:rsidRPr="00177118">
              <w:t>Capharnaüm.</w:t>
            </w:r>
          </w:p>
        </w:tc>
        <w:tc>
          <w:tcPr>
            <w:tcW w:w="750" w:type="pct"/>
            <w:shd w:val="clear" w:color="auto" w:fill="FFFFFF"/>
          </w:tcPr>
          <w:p w:rsidR="00E36C8E" w:rsidRPr="00D709E6" w:rsidRDefault="00E36C8E" w:rsidP="00BD4391">
            <w:pPr>
              <w:pStyle w:val="centrum"/>
            </w:pPr>
            <w:r w:rsidRPr="00D709E6">
              <w:t xml:space="preserve"> » </w:t>
            </w:r>
          </w:p>
        </w:tc>
        <w:tc>
          <w:tcPr>
            <w:tcW w:w="737" w:type="pct"/>
            <w:shd w:val="clear" w:color="auto" w:fill="FFFFFF"/>
          </w:tcPr>
          <w:p w:rsidR="00E36C8E" w:rsidRPr="00D709E6" w:rsidRDefault="00E36C8E" w:rsidP="00BD4391">
            <w:pPr>
              <w:pStyle w:val="nsr"/>
            </w:pPr>
            <w:r>
              <w:t>I</w:t>
            </w:r>
            <w:r w:rsidRPr="00D709E6">
              <w:t>, 21-28.</w:t>
            </w:r>
          </w:p>
        </w:tc>
        <w:tc>
          <w:tcPr>
            <w:tcW w:w="737" w:type="pct"/>
            <w:shd w:val="clear" w:color="auto" w:fill="FFFFFF"/>
          </w:tcPr>
          <w:p w:rsidR="00E36C8E" w:rsidRPr="00D709E6" w:rsidRDefault="00E36C8E" w:rsidP="00BD4391">
            <w:pPr>
              <w:pStyle w:val="nsr"/>
            </w:pPr>
            <w:r w:rsidRPr="00D709E6">
              <w:t>IV, 31-37.</w:t>
            </w:r>
          </w:p>
        </w:tc>
        <w:tc>
          <w:tcPr>
            <w:tcW w:w="820" w:type="pct"/>
            <w:shd w:val="clear" w:color="auto" w:fill="FFFFFF"/>
          </w:tcPr>
          <w:p w:rsidR="00E36C8E" w:rsidRPr="00D709E6" w:rsidRDefault="001B4203" w:rsidP="00BD4391">
            <w:pPr>
              <w:pStyle w:val="centrum"/>
            </w:pPr>
            <w:r>
              <w:t xml:space="preserve"> </w:t>
            </w:r>
            <w:r w:rsidR="00E36C8E">
              <w:t>»</w:t>
            </w:r>
          </w:p>
        </w:tc>
      </w:tr>
      <w:tr w:rsidR="00E36C8E" w:rsidRPr="00177118" w:rsidTr="00BD4391">
        <w:trPr>
          <w:cantSplit/>
          <w:trHeight w:val="20"/>
        </w:trPr>
        <w:tc>
          <w:tcPr>
            <w:tcW w:w="1955" w:type="pct"/>
            <w:shd w:val="clear" w:color="auto" w:fill="FFFFFF"/>
          </w:tcPr>
          <w:p w:rsidR="00E36C8E" w:rsidRPr="00177118" w:rsidRDefault="00E36C8E" w:rsidP="00BD4391">
            <w:pPr>
              <w:pStyle w:val="h"/>
            </w:pPr>
            <w:r>
              <w:t xml:space="preserve">Guérison de </w:t>
            </w:r>
            <w:r w:rsidRPr="00177118">
              <w:t>la belle-mère de St Pierre.</w:t>
            </w:r>
          </w:p>
        </w:tc>
        <w:tc>
          <w:tcPr>
            <w:tcW w:w="750" w:type="pct"/>
            <w:shd w:val="clear" w:color="auto" w:fill="FFFFFF"/>
          </w:tcPr>
          <w:p w:rsidR="00E36C8E" w:rsidRPr="00D709E6" w:rsidRDefault="00E36C8E" w:rsidP="00BD4391">
            <w:pPr>
              <w:pStyle w:val="nsr"/>
            </w:pPr>
            <w:r w:rsidRPr="00D709E6">
              <w:t xml:space="preserve">VIII, </w:t>
            </w:r>
            <w:r>
              <w:t>14-17.</w:t>
            </w:r>
          </w:p>
        </w:tc>
        <w:tc>
          <w:tcPr>
            <w:tcW w:w="737" w:type="pct"/>
            <w:shd w:val="clear" w:color="auto" w:fill="FFFFFF"/>
          </w:tcPr>
          <w:p w:rsidR="00E36C8E" w:rsidRPr="00D709E6" w:rsidRDefault="00E36C8E" w:rsidP="00BD4391">
            <w:pPr>
              <w:pStyle w:val="nsr"/>
            </w:pPr>
            <w:r>
              <w:t>I, 29-34</w:t>
            </w:r>
            <w:r w:rsidRPr="00D709E6">
              <w:t>.</w:t>
            </w:r>
          </w:p>
        </w:tc>
        <w:tc>
          <w:tcPr>
            <w:tcW w:w="737" w:type="pct"/>
            <w:shd w:val="clear" w:color="auto" w:fill="FFFFFF"/>
          </w:tcPr>
          <w:p w:rsidR="00E36C8E" w:rsidRPr="00D709E6" w:rsidRDefault="00E36C8E" w:rsidP="00BD4391">
            <w:pPr>
              <w:pStyle w:val="nsr"/>
            </w:pPr>
            <w:r w:rsidRPr="00D709E6">
              <w:t>IV, 38-41.</w:t>
            </w:r>
          </w:p>
        </w:tc>
        <w:tc>
          <w:tcPr>
            <w:tcW w:w="820" w:type="pct"/>
            <w:shd w:val="clear" w:color="auto" w:fill="FFFFFF"/>
          </w:tcPr>
          <w:p w:rsidR="00E36C8E" w:rsidRPr="00D709E6" w:rsidRDefault="001B4203" w:rsidP="00BD4391">
            <w:pPr>
              <w:pStyle w:val="centrum"/>
            </w:pPr>
            <w:r>
              <w:t xml:space="preserve"> </w:t>
            </w:r>
            <w:r w:rsidR="00E36C8E">
              <w:t>»</w:t>
            </w:r>
          </w:p>
        </w:tc>
      </w:tr>
      <w:tr w:rsidR="00E36C8E" w:rsidRPr="00177118" w:rsidTr="00BD4391">
        <w:trPr>
          <w:cantSplit/>
          <w:trHeight w:val="20"/>
        </w:trPr>
        <w:tc>
          <w:tcPr>
            <w:tcW w:w="1955" w:type="pct"/>
            <w:shd w:val="clear" w:color="auto" w:fill="FFFFFF"/>
          </w:tcPr>
          <w:p w:rsidR="00E36C8E" w:rsidRPr="00177118" w:rsidRDefault="00E36C8E" w:rsidP="00BD4391">
            <w:pPr>
              <w:pStyle w:val="h"/>
            </w:pPr>
            <w:r w:rsidRPr="00177118">
              <w:t>Jésus</w:t>
            </w:r>
            <w:r>
              <w:t xml:space="preserve"> se retire au désert e</w:t>
            </w:r>
            <w:r w:rsidRPr="00177118">
              <w:t>t parcourt la Galilée</w:t>
            </w:r>
            <w:r>
              <w:t xml:space="preserve">, </w:t>
            </w:r>
            <w:r w:rsidRPr="00177118">
              <w:t>prêchant et faisant des miracles</w:t>
            </w:r>
            <w:r>
              <w:t xml:space="preserve"> </w:t>
            </w:r>
          </w:p>
        </w:tc>
        <w:tc>
          <w:tcPr>
            <w:tcW w:w="750" w:type="pct"/>
            <w:shd w:val="clear" w:color="auto" w:fill="FFFFFF"/>
          </w:tcPr>
          <w:p w:rsidR="00E36C8E" w:rsidRPr="00D709E6" w:rsidRDefault="00E36C8E" w:rsidP="00BD4391">
            <w:pPr>
              <w:pStyle w:val="nsr"/>
            </w:pPr>
            <w:r>
              <w:t>IV,</w:t>
            </w:r>
            <w:r w:rsidRPr="00D709E6">
              <w:t xml:space="preserve"> 23.</w:t>
            </w:r>
          </w:p>
        </w:tc>
        <w:tc>
          <w:tcPr>
            <w:tcW w:w="737" w:type="pct"/>
            <w:shd w:val="clear" w:color="auto" w:fill="FFFFFF"/>
          </w:tcPr>
          <w:p w:rsidR="00E36C8E" w:rsidRPr="00D709E6" w:rsidRDefault="00E36C8E" w:rsidP="00BD4391">
            <w:pPr>
              <w:pStyle w:val="nsr"/>
            </w:pPr>
            <w:r w:rsidRPr="00D709E6">
              <w:t>I, 35-39.</w:t>
            </w:r>
          </w:p>
        </w:tc>
        <w:tc>
          <w:tcPr>
            <w:tcW w:w="737" w:type="pct"/>
            <w:shd w:val="clear" w:color="auto" w:fill="FFFFFF"/>
          </w:tcPr>
          <w:p w:rsidR="00E36C8E" w:rsidRPr="00D709E6" w:rsidRDefault="00E36C8E" w:rsidP="00BD4391">
            <w:pPr>
              <w:pStyle w:val="nsr"/>
            </w:pPr>
            <w:r w:rsidRPr="00D709E6">
              <w:t>IV, 42-44.</w:t>
            </w:r>
          </w:p>
        </w:tc>
        <w:tc>
          <w:tcPr>
            <w:tcW w:w="820" w:type="pct"/>
            <w:shd w:val="clear" w:color="auto" w:fill="FFFFFF"/>
          </w:tcPr>
          <w:p w:rsidR="00E36C8E" w:rsidRPr="00D709E6" w:rsidRDefault="001B4203" w:rsidP="00BD4391">
            <w:pPr>
              <w:pStyle w:val="centrum"/>
            </w:pPr>
            <w:r>
              <w:t xml:space="preserve"> </w:t>
            </w:r>
            <w:r w:rsidR="00E36C8E">
              <w:t>»</w:t>
            </w:r>
          </w:p>
        </w:tc>
      </w:tr>
      <w:tr w:rsidR="00E36C8E" w:rsidRPr="00177118" w:rsidTr="00BD4391">
        <w:trPr>
          <w:cantSplit/>
          <w:trHeight w:val="20"/>
        </w:trPr>
        <w:tc>
          <w:tcPr>
            <w:tcW w:w="1955" w:type="pct"/>
            <w:shd w:val="clear" w:color="auto" w:fill="FFFFFF"/>
          </w:tcPr>
          <w:p w:rsidR="00E36C8E" w:rsidRPr="00177118" w:rsidRDefault="00E36C8E" w:rsidP="00BD4391">
            <w:pPr>
              <w:pStyle w:val="h"/>
            </w:pPr>
            <w:r w:rsidRPr="00177118">
              <w:t>Guérison d</w:t>
            </w:r>
            <w:r w:rsidR="00557DE0">
              <w:t>’</w:t>
            </w:r>
            <w:r w:rsidRPr="00177118">
              <w:t>un lépreux</w:t>
            </w:r>
            <w:r>
              <w:t xml:space="preserve"> </w:t>
            </w:r>
          </w:p>
        </w:tc>
        <w:tc>
          <w:tcPr>
            <w:tcW w:w="750" w:type="pct"/>
            <w:shd w:val="clear" w:color="auto" w:fill="FFFFFF"/>
          </w:tcPr>
          <w:p w:rsidR="00E36C8E" w:rsidRPr="00D709E6" w:rsidRDefault="00E36C8E" w:rsidP="00BD4391">
            <w:pPr>
              <w:pStyle w:val="nsr"/>
            </w:pPr>
            <w:r w:rsidRPr="00D709E6">
              <w:t>VIII, 2-4.</w:t>
            </w:r>
          </w:p>
        </w:tc>
        <w:tc>
          <w:tcPr>
            <w:tcW w:w="737" w:type="pct"/>
            <w:shd w:val="clear" w:color="auto" w:fill="FFFFFF"/>
          </w:tcPr>
          <w:p w:rsidR="00E36C8E" w:rsidRPr="00D709E6" w:rsidRDefault="00E36C8E" w:rsidP="00BD4391">
            <w:pPr>
              <w:pStyle w:val="nsr"/>
            </w:pPr>
            <w:r>
              <w:t>I, 40-45</w:t>
            </w:r>
            <w:r w:rsidRPr="00D709E6">
              <w:t>.</w:t>
            </w:r>
          </w:p>
        </w:tc>
        <w:tc>
          <w:tcPr>
            <w:tcW w:w="737" w:type="pct"/>
            <w:shd w:val="clear" w:color="auto" w:fill="FFFFFF"/>
          </w:tcPr>
          <w:p w:rsidR="00E36C8E" w:rsidRPr="00D709E6" w:rsidRDefault="00E36C8E" w:rsidP="00BD4391">
            <w:pPr>
              <w:pStyle w:val="nsr"/>
            </w:pPr>
            <w:r>
              <w:t>V</w:t>
            </w:r>
            <w:r w:rsidRPr="00D709E6">
              <w:t>, 12-16.</w:t>
            </w:r>
          </w:p>
        </w:tc>
        <w:tc>
          <w:tcPr>
            <w:tcW w:w="820" w:type="pct"/>
            <w:shd w:val="clear" w:color="auto" w:fill="FFFFFF"/>
          </w:tcPr>
          <w:p w:rsidR="00E36C8E" w:rsidRPr="00D709E6" w:rsidRDefault="001B4203" w:rsidP="00BD4391">
            <w:pPr>
              <w:pStyle w:val="centrum"/>
            </w:pPr>
            <w:r>
              <w:t xml:space="preserve"> </w:t>
            </w:r>
            <w:r w:rsidR="00E36C8E">
              <w:t>»</w:t>
            </w:r>
          </w:p>
        </w:tc>
      </w:tr>
      <w:tr w:rsidR="00E36C8E" w:rsidRPr="00177118" w:rsidTr="00BD4391">
        <w:trPr>
          <w:cantSplit/>
          <w:trHeight w:val="20"/>
        </w:trPr>
        <w:tc>
          <w:tcPr>
            <w:tcW w:w="1955" w:type="pct"/>
            <w:shd w:val="clear" w:color="auto" w:fill="FFFFFF"/>
          </w:tcPr>
          <w:p w:rsidR="00E36C8E" w:rsidRPr="00177118" w:rsidRDefault="00E36C8E" w:rsidP="00BD4391">
            <w:pPr>
              <w:pStyle w:val="h"/>
            </w:pPr>
            <w:r w:rsidRPr="00177118">
              <w:t xml:space="preserve">Retour à </w:t>
            </w:r>
            <w:r>
              <w:t>Capharnaüm et guérison</w:t>
            </w:r>
            <w:r w:rsidRPr="00177118">
              <w:t xml:space="preserve"> d</w:t>
            </w:r>
            <w:r w:rsidR="00557DE0">
              <w:t>’</w:t>
            </w:r>
            <w:r w:rsidRPr="00177118">
              <w:t>un paralytique</w:t>
            </w:r>
            <w:r>
              <w:t xml:space="preserve"> </w:t>
            </w:r>
          </w:p>
        </w:tc>
        <w:tc>
          <w:tcPr>
            <w:tcW w:w="750" w:type="pct"/>
            <w:shd w:val="clear" w:color="auto" w:fill="FFFFFF"/>
          </w:tcPr>
          <w:p w:rsidR="00E36C8E" w:rsidRPr="00D709E6" w:rsidRDefault="00E36C8E" w:rsidP="00BD4391">
            <w:pPr>
              <w:pStyle w:val="nsr"/>
            </w:pPr>
            <w:r>
              <w:t xml:space="preserve">IX, </w:t>
            </w:r>
            <w:r w:rsidRPr="00D709E6">
              <w:t>1-8.</w:t>
            </w:r>
          </w:p>
        </w:tc>
        <w:tc>
          <w:tcPr>
            <w:tcW w:w="737" w:type="pct"/>
            <w:shd w:val="clear" w:color="auto" w:fill="FFFFFF"/>
          </w:tcPr>
          <w:p w:rsidR="00E36C8E" w:rsidRPr="00D709E6" w:rsidRDefault="00E36C8E" w:rsidP="00BD4391">
            <w:pPr>
              <w:pStyle w:val="nsr"/>
            </w:pPr>
            <w:r>
              <w:t>II,</w:t>
            </w:r>
            <w:r w:rsidRPr="00D709E6">
              <w:t xml:space="preserve"> 1-12.</w:t>
            </w:r>
          </w:p>
        </w:tc>
        <w:tc>
          <w:tcPr>
            <w:tcW w:w="737" w:type="pct"/>
            <w:shd w:val="clear" w:color="auto" w:fill="FFFFFF"/>
          </w:tcPr>
          <w:p w:rsidR="00E36C8E" w:rsidRPr="00D709E6" w:rsidRDefault="00E36C8E" w:rsidP="00BD4391">
            <w:pPr>
              <w:pStyle w:val="nsr"/>
            </w:pPr>
            <w:r>
              <w:t>V, 17-26</w:t>
            </w:r>
            <w:r w:rsidRPr="00D709E6">
              <w:t>.</w:t>
            </w:r>
          </w:p>
        </w:tc>
        <w:tc>
          <w:tcPr>
            <w:tcW w:w="820" w:type="pct"/>
            <w:shd w:val="clear" w:color="auto" w:fill="FFFFFF"/>
          </w:tcPr>
          <w:p w:rsidR="00E36C8E" w:rsidRPr="00D709E6" w:rsidRDefault="001B4203" w:rsidP="00BD4391">
            <w:pPr>
              <w:pStyle w:val="centrum"/>
            </w:pPr>
            <w:r>
              <w:t xml:space="preserve"> </w:t>
            </w:r>
            <w:r w:rsidR="00E36C8E">
              <w:t>»</w:t>
            </w:r>
          </w:p>
        </w:tc>
      </w:tr>
      <w:tr w:rsidR="00E36C8E" w:rsidRPr="00177118" w:rsidTr="00BD4391">
        <w:trPr>
          <w:cantSplit/>
          <w:trHeight w:val="20"/>
        </w:trPr>
        <w:tc>
          <w:tcPr>
            <w:tcW w:w="1955" w:type="pct"/>
            <w:shd w:val="clear" w:color="auto" w:fill="FFFFFF"/>
          </w:tcPr>
          <w:p w:rsidR="00E36C8E" w:rsidRPr="00177118" w:rsidRDefault="00E36C8E" w:rsidP="00BD4391">
            <w:pPr>
              <w:pStyle w:val="h"/>
            </w:pPr>
            <w:r>
              <w:t>Vocation de Matthieu</w:t>
            </w:r>
          </w:p>
        </w:tc>
        <w:tc>
          <w:tcPr>
            <w:tcW w:w="750" w:type="pct"/>
            <w:shd w:val="clear" w:color="auto" w:fill="FFFFFF"/>
          </w:tcPr>
          <w:p w:rsidR="00E36C8E" w:rsidRPr="00D709E6" w:rsidRDefault="00E36C8E" w:rsidP="00BD4391">
            <w:pPr>
              <w:pStyle w:val="nsr"/>
            </w:pPr>
            <w:r>
              <w:t>IX</w:t>
            </w:r>
            <w:r w:rsidRPr="00D709E6">
              <w:t>, 9-17.</w:t>
            </w:r>
          </w:p>
        </w:tc>
        <w:tc>
          <w:tcPr>
            <w:tcW w:w="737" w:type="pct"/>
            <w:shd w:val="clear" w:color="auto" w:fill="FFFFFF"/>
          </w:tcPr>
          <w:p w:rsidR="00E36C8E" w:rsidRPr="00D709E6" w:rsidRDefault="00E36C8E" w:rsidP="00BD4391">
            <w:pPr>
              <w:pStyle w:val="nsr"/>
            </w:pPr>
            <w:r>
              <w:t>II, 13-22.</w:t>
            </w:r>
          </w:p>
        </w:tc>
        <w:tc>
          <w:tcPr>
            <w:tcW w:w="737" w:type="pct"/>
            <w:shd w:val="clear" w:color="auto" w:fill="FFFFFF"/>
          </w:tcPr>
          <w:p w:rsidR="00E36C8E" w:rsidRPr="00D709E6" w:rsidRDefault="00E36C8E" w:rsidP="00BD4391">
            <w:pPr>
              <w:pStyle w:val="nsr"/>
            </w:pPr>
            <w:r>
              <w:t xml:space="preserve">V, </w:t>
            </w:r>
            <w:r w:rsidRPr="00D709E6">
              <w:t>27-39.</w:t>
            </w:r>
          </w:p>
        </w:tc>
        <w:tc>
          <w:tcPr>
            <w:tcW w:w="820" w:type="pct"/>
            <w:shd w:val="clear" w:color="auto" w:fill="FFFFFF"/>
          </w:tcPr>
          <w:p w:rsidR="00E36C8E" w:rsidRPr="00D709E6" w:rsidRDefault="001B4203" w:rsidP="00BD4391">
            <w:pPr>
              <w:pStyle w:val="centrum"/>
            </w:pPr>
            <w:r>
              <w:t xml:space="preserve"> </w:t>
            </w:r>
            <w:r w:rsidR="00E36C8E">
              <w:t>»</w:t>
            </w:r>
          </w:p>
        </w:tc>
      </w:tr>
    </w:tbl>
    <w:p w:rsidR="00E36C8E" w:rsidRPr="00123C9C" w:rsidRDefault="00E36C8E" w:rsidP="00E36C8E">
      <w:pPr>
        <w:pStyle w:val="u3"/>
      </w:pPr>
      <w:r w:rsidRPr="00123C9C">
        <w:t xml:space="preserve">§ III. — De la seconde, à la troisième Pâque. </w:t>
      </w:r>
    </w:p>
    <w:p w:rsidR="00E36C8E" w:rsidRPr="00177118" w:rsidRDefault="00E36C8E" w:rsidP="00E36C8E">
      <w:pPr>
        <w:pStyle w:val="nsr"/>
      </w:pPr>
      <w:r w:rsidRPr="00177118">
        <w:t>(printemps de 781</w:t>
      </w:r>
      <w:r>
        <w:t xml:space="preserve"> — printemps de 782 ; 28-23 de l</w:t>
      </w:r>
      <w:r w:rsidR="00557DE0">
        <w:t>’</w:t>
      </w:r>
      <w:r w:rsidRPr="00177118">
        <w:t>ère vulgaire).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4422"/>
        <w:gridCol w:w="1588"/>
        <w:gridCol w:w="1582"/>
        <w:gridCol w:w="1553"/>
        <w:gridCol w:w="1345"/>
      </w:tblGrid>
      <w:tr w:rsidR="00E36C8E" w:rsidRPr="00241E4B" w:rsidTr="00BD4391">
        <w:trPr>
          <w:cantSplit/>
          <w:trHeight w:val="20"/>
        </w:trPr>
        <w:tc>
          <w:tcPr>
            <w:tcW w:w="2108" w:type="pct"/>
            <w:shd w:val="clear" w:color="auto" w:fill="FFFFFF"/>
          </w:tcPr>
          <w:p w:rsidR="00E36C8E" w:rsidRPr="00241E4B" w:rsidRDefault="00E36C8E" w:rsidP="00BD4391">
            <w:pPr>
              <w:pStyle w:val="h"/>
              <w:rPr>
                <w:rStyle w:val="italicus"/>
              </w:rPr>
            </w:pPr>
            <w:r w:rsidRPr="00241E4B">
              <w:rPr>
                <w:rStyle w:val="italicus"/>
              </w:rPr>
              <w:t>Guérison d</w:t>
            </w:r>
            <w:r w:rsidR="00557DE0">
              <w:rPr>
                <w:rStyle w:val="italicus"/>
              </w:rPr>
              <w:t>’</w:t>
            </w:r>
            <w:r w:rsidRPr="00241E4B">
              <w:rPr>
                <w:rStyle w:val="italicus"/>
              </w:rPr>
              <w:t>un malade auprès de la piscine probatique</w:t>
            </w:r>
          </w:p>
        </w:tc>
        <w:tc>
          <w:tcPr>
            <w:tcW w:w="757" w:type="pct"/>
            <w:shd w:val="clear" w:color="auto" w:fill="FFFFFF"/>
          </w:tcPr>
          <w:p w:rsidR="00E36C8E" w:rsidRPr="00241E4B" w:rsidRDefault="00E36C8E" w:rsidP="00BD4391">
            <w:pPr>
              <w:pStyle w:val="centrum"/>
              <w:rPr>
                <w:rStyle w:val="italicus"/>
              </w:rPr>
            </w:pPr>
            <w:r w:rsidRPr="00241E4B">
              <w:rPr>
                <w:rStyle w:val="italicus"/>
              </w:rPr>
              <w:t xml:space="preserve"> »</w:t>
            </w:r>
          </w:p>
        </w:tc>
        <w:tc>
          <w:tcPr>
            <w:tcW w:w="754" w:type="pct"/>
            <w:shd w:val="clear" w:color="auto" w:fill="FFFFFF"/>
          </w:tcPr>
          <w:p w:rsidR="00E36C8E" w:rsidRPr="00241E4B" w:rsidRDefault="001B4203" w:rsidP="00BD4391">
            <w:pPr>
              <w:pStyle w:val="centrum"/>
              <w:rPr>
                <w:rStyle w:val="italicus"/>
              </w:rPr>
            </w:pPr>
            <w:r>
              <w:rPr>
                <w:rStyle w:val="italicus"/>
              </w:rPr>
              <w:t xml:space="preserve"> </w:t>
            </w:r>
            <w:r w:rsidR="00E36C8E" w:rsidRPr="00241E4B">
              <w:rPr>
                <w:rStyle w:val="italicus"/>
              </w:rPr>
              <w:t>»</w:t>
            </w:r>
          </w:p>
        </w:tc>
        <w:tc>
          <w:tcPr>
            <w:tcW w:w="740" w:type="pct"/>
            <w:shd w:val="clear" w:color="auto" w:fill="FFFFFF"/>
          </w:tcPr>
          <w:p w:rsidR="00E36C8E" w:rsidRPr="00241E4B" w:rsidRDefault="00E36C8E" w:rsidP="00BD4391">
            <w:pPr>
              <w:pStyle w:val="centrum"/>
              <w:rPr>
                <w:rStyle w:val="italicus"/>
              </w:rPr>
            </w:pPr>
            <w:r w:rsidRPr="00241E4B">
              <w:rPr>
                <w:rStyle w:val="italicus"/>
              </w:rPr>
              <w:t xml:space="preserve"> »</w:t>
            </w:r>
          </w:p>
        </w:tc>
        <w:tc>
          <w:tcPr>
            <w:tcW w:w="641" w:type="pct"/>
            <w:shd w:val="clear" w:color="auto" w:fill="FFFFFF"/>
          </w:tcPr>
          <w:p w:rsidR="00E36C8E" w:rsidRPr="00241E4B" w:rsidRDefault="00E36C8E" w:rsidP="00BD4391">
            <w:pPr>
              <w:pStyle w:val="nsr"/>
              <w:rPr>
                <w:rStyle w:val="italicus"/>
              </w:rPr>
            </w:pPr>
            <w:r w:rsidRPr="00241E4B">
              <w:rPr>
                <w:rStyle w:val="italicus"/>
              </w:rPr>
              <w:t>V, 1-47.</w:t>
            </w:r>
          </w:p>
        </w:tc>
      </w:tr>
      <w:tr w:rsidR="00E36C8E" w:rsidRPr="005507CF" w:rsidTr="00BD4391">
        <w:trPr>
          <w:cantSplit/>
          <w:trHeight w:val="20"/>
        </w:trPr>
        <w:tc>
          <w:tcPr>
            <w:tcW w:w="2108" w:type="pct"/>
            <w:shd w:val="clear" w:color="auto" w:fill="FFFFFF"/>
          </w:tcPr>
          <w:p w:rsidR="00E36C8E" w:rsidRPr="00177118" w:rsidRDefault="00E36C8E" w:rsidP="00BD4391">
            <w:pPr>
              <w:pStyle w:val="h"/>
            </w:pPr>
            <w:r w:rsidRPr="00177118">
              <w:t>Épis rompus en un jour de sabbat</w:t>
            </w:r>
            <w:r>
              <w:t xml:space="preserve"> </w:t>
            </w:r>
          </w:p>
        </w:tc>
        <w:tc>
          <w:tcPr>
            <w:tcW w:w="757" w:type="pct"/>
            <w:shd w:val="clear" w:color="auto" w:fill="FFFFFF"/>
          </w:tcPr>
          <w:p w:rsidR="00E36C8E" w:rsidRPr="00123C9C" w:rsidRDefault="00E36C8E" w:rsidP="00BD4391">
            <w:pPr>
              <w:pStyle w:val="nsr"/>
            </w:pPr>
            <w:r w:rsidRPr="00123C9C">
              <w:t>XII</w:t>
            </w:r>
            <w:r>
              <w:t>,</w:t>
            </w:r>
            <w:r w:rsidRPr="00123C9C">
              <w:t xml:space="preserve"> 1-8.</w:t>
            </w:r>
          </w:p>
        </w:tc>
        <w:tc>
          <w:tcPr>
            <w:tcW w:w="754" w:type="pct"/>
            <w:shd w:val="clear" w:color="auto" w:fill="FFFFFF"/>
          </w:tcPr>
          <w:p w:rsidR="00E36C8E" w:rsidRPr="00123C9C" w:rsidRDefault="00E36C8E" w:rsidP="00BD4391">
            <w:pPr>
              <w:pStyle w:val="nsr"/>
            </w:pPr>
            <w:r w:rsidRPr="00123C9C">
              <w:t>II, 23-28.</w:t>
            </w:r>
          </w:p>
        </w:tc>
        <w:tc>
          <w:tcPr>
            <w:tcW w:w="740" w:type="pct"/>
            <w:shd w:val="clear" w:color="auto" w:fill="FFFFFF"/>
          </w:tcPr>
          <w:p w:rsidR="00E36C8E" w:rsidRPr="00123C9C" w:rsidRDefault="00A319EA" w:rsidP="00BD4391">
            <w:pPr>
              <w:pStyle w:val="nsr"/>
            </w:pPr>
            <w:r>
              <w:t>VI</w:t>
            </w:r>
            <w:r w:rsidR="00E36C8E" w:rsidRPr="00123C9C">
              <w:t>, 1-15.</w:t>
            </w:r>
          </w:p>
        </w:tc>
        <w:tc>
          <w:tcPr>
            <w:tcW w:w="641" w:type="pct"/>
            <w:shd w:val="clear" w:color="auto" w:fill="FFFFFF"/>
          </w:tcPr>
          <w:p w:rsidR="00E36C8E" w:rsidRPr="00D709E6" w:rsidRDefault="001B4203" w:rsidP="00BD4391">
            <w:pPr>
              <w:pStyle w:val="centrum"/>
            </w:pPr>
            <w:r>
              <w:t xml:space="preserve"> </w:t>
            </w:r>
            <w:r w:rsidR="00E36C8E" w:rsidRPr="00123C9C">
              <w:t>»</w:t>
            </w:r>
          </w:p>
        </w:tc>
      </w:tr>
      <w:tr w:rsidR="00E36C8E" w:rsidRPr="005507CF" w:rsidTr="00BD4391">
        <w:trPr>
          <w:cantSplit/>
          <w:trHeight w:val="20"/>
        </w:trPr>
        <w:tc>
          <w:tcPr>
            <w:tcW w:w="2108" w:type="pct"/>
            <w:shd w:val="clear" w:color="auto" w:fill="FFFFFF"/>
          </w:tcPr>
          <w:p w:rsidR="00E36C8E" w:rsidRPr="00177118" w:rsidRDefault="00E36C8E" w:rsidP="00BD4391">
            <w:pPr>
              <w:pStyle w:val="h"/>
            </w:pPr>
            <w:r w:rsidRPr="00177118">
              <w:t>Guérison de la main desséchée</w:t>
            </w:r>
            <w:r>
              <w:t xml:space="preserve"> </w:t>
            </w:r>
          </w:p>
        </w:tc>
        <w:tc>
          <w:tcPr>
            <w:tcW w:w="757" w:type="pct"/>
            <w:shd w:val="clear" w:color="auto" w:fill="FFFFFF"/>
          </w:tcPr>
          <w:p w:rsidR="00E36C8E" w:rsidRPr="00123C9C" w:rsidRDefault="00E36C8E" w:rsidP="00BD4391">
            <w:pPr>
              <w:pStyle w:val="nsr"/>
            </w:pPr>
            <w:r w:rsidRPr="00123C9C">
              <w:t xml:space="preserve">XII, </w:t>
            </w:r>
            <w:r>
              <w:t>9-14</w:t>
            </w:r>
            <w:r w:rsidRPr="00123C9C">
              <w:t>.</w:t>
            </w:r>
          </w:p>
        </w:tc>
        <w:tc>
          <w:tcPr>
            <w:tcW w:w="754" w:type="pct"/>
            <w:shd w:val="clear" w:color="auto" w:fill="FFFFFF"/>
          </w:tcPr>
          <w:p w:rsidR="00E36C8E" w:rsidRPr="00123C9C" w:rsidRDefault="00E36C8E" w:rsidP="00BD4391">
            <w:pPr>
              <w:pStyle w:val="nsr"/>
            </w:pPr>
            <w:r w:rsidRPr="00123C9C">
              <w:t>III, 1-6</w:t>
            </w:r>
            <w:r>
              <w:t>.</w:t>
            </w:r>
          </w:p>
        </w:tc>
        <w:tc>
          <w:tcPr>
            <w:tcW w:w="740" w:type="pct"/>
            <w:shd w:val="clear" w:color="auto" w:fill="FFFFFF"/>
          </w:tcPr>
          <w:p w:rsidR="00E36C8E" w:rsidRPr="00123C9C" w:rsidRDefault="00A319EA" w:rsidP="00BD4391">
            <w:pPr>
              <w:pStyle w:val="nsr"/>
            </w:pPr>
            <w:r>
              <w:t>VI</w:t>
            </w:r>
            <w:r w:rsidR="00E36C8E" w:rsidRPr="00123C9C">
              <w:t xml:space="preserve">, </w:t>
            </w:r>
            <w:r w:rsidR="00E36C8E">
              <w:t>6</w:t>
            </w:r>
            <w:r w:rsidR="00E36C8E" w:rsidRPr="00123C9C">
              <w:t>-11.</w:t>
            </w:r>
          </w:p>
        </w:tc>
        <w:tc>
          <w:tcPr>
            <w:tcW w:w="641" w:type="pct"/>
            <w:shd w:val="clear" w:color="auto" w:fill="FFFFFF"/>
          </w:tcPr>
          <w:p w:rsidR="00E36C8E" w:rsidRPr="00123C9C" w:rsidRDefault="00E36C8E" w:rsidP="00BD4391">
            <w:pPr>
              <w:pStyle w:val="centrum"/>
            </w:pPr>
            <w:r w:rsidRPr="00123C9C">
              <w:t xml:space="preserve"> »</w:t>
            </w:r>
          </w:p>
        </w:tc>
      </w:tr>
      <w:tr w:rsidR="00E36C8E" w:rsidRPr="00177118" w:rsidTr="00BD4391">
        <w:trPr>
          <w:cantSplit/>
          <w:trHeight w:val="20"/>
        </w:trPr>
        <w:tc>
          <w:tcPr>
            <w:tcW w:w="2108" w:type="pct"/>
            <w:shd w:val="clear" w:color="auto" w:fill="FFFFFF"/>
          </w:tcPr>
          <w:p w:rsidR="00E36C8E" w:rsidRPr="00177118" w:rsidRDefault="00E36C8E" w:rsidP="00BD4391">
            <w:pPr>
              <w:pStyle w:val="h"/>
            </w:pPr>
            <w:r w:rsidRPr="00177118">
              <w:t xml:space="preserve">Jésus vient auprès de la mer de Galilée </w:t>
            </w:r>
            <w:r>
              <w:t>et guérit de nombreux malades.</w:t>
            </w:r>
          </w:p>
        </w:tc>
        <w:tc>
          <w:tcPr>
            <w:tcW w:w="757" w:type="pct"/>
            <w:shd w:val="clear" w:color="auto" w:fill="FFFFFF"/>
          </w:tcPr>
          <w:p w:rsidR="00E36C8E" w:rsidRDefault="00E36C8E" w:rsidP="00BD4391">
            <w:pPr>
              <w:pStyle w:val="nsr"/>
            </w:pPr>
            <w:r w:rsidRPr="00123C9C">
              <w:t xml:space="preserve">XII, </w:t>
            </w:r>
            <w:r>
              <w:t xml:space="preserve">15-21. </w:t>
            </w:r>
          </w:p>
          <w:p w:rsidR="00E36C8E" w:rsidRPr="00123C9C" w:rsidRDefault="00E36C8E" w:rsidP="00BD4391">
            <w:pPr>
              <w:pStyle w:val="nsr"/>
            </w:pPr>
            <w:r w:rsidRPr="00123C9C">
              <w:t>IV 24-25.</w:t>
            </w:r>
          </w:p>
        </w:tc>
        <w:tc>
          <w:tcPr>
            <w:tcW w:w="754" w:type="pct"/>
            <w:shd w:val="clear" w:color="auto" w:fill="FFFFFF"/>
          </w:tcPr>
          <w:p w:rsidR="00E36C8E" w:rsidRPr="00123C9C" w:rsidRDefault="00E36C8E" w:rsidP="00BD4391">
            <w:pPr>
              <w:pStyle w:val="nsr"/>
            </w:pPr>
            <w:r w:rsidRPr="00123C9C">
              <w:t>III, 7-12.</w:t>
            </w:r>
          </w:p>
        </w:tc>
        <w:tc>
          <w:tcPr>
            <w:tcW w:w="740" w:type="pct"/>
            <w:shd w:val="clear" w:color="auto" w:fill="FFFFFF"/>
          </w:tcPr>
          <w:p w:rsidR="00E36C8E" w:rsidRPr="00123C9C" w:rsidRDefault="00A319EA" w:rsidP="00BD4391">
            <w:pPr>
              <w:pStyle w:val="nsr"/>
            </w:pPr>
            <w:r>
              <w:t>VI</w:t>
            </w:r>
            <w:r w:rsidR="00E36C8E" w:rsidRPr="00123C9C">
              <w:t>, 17-19.</w:t>
            </w:r>
          </w:p>
        </w:tc>
        <w:tc>
          <w:tcPr>
            <w:tcW w:w="641" w:type="pct"/>
            <w:shd w:val="clear" w:color="auto" w:fill="FFFFFF"/>
          </w:tcPr>
          <w:p w:rsidR="00E36C8E" w:rsidRPr="00123C9C" w:rsidRDefault="001B4203" w:rsidP="00BD4391">
            <w:pPr>
              <w:pStyle w:val="centrum"/>
            </w:pPr>
            <w:r>
              <w:t xml:space="preserve"> </w:t>
            </w:r>
            <w:r w:rsidR="00E36C8E" w:rsidRPr="00123C9C">
              <w:t>»</w:t>
            </w:r>
          </w:p>
        </w:tc>
      </w:tr>
      <w:tr w:rsidR="00E36C8E" w:rsidRPr="00177118" w:rsidTr="00BD4391">
        <w:trPr>
          <w:cantSplit/>
          <w:trHeight w:val="20"/>
        </w:trPr>
        <w:tc>
          <w:tcPr>
            <w:tcW w:w="2108" w:type="pct"/>
            <w:shd w:val="clear" w:color="auto" w:fill="FFFFFF"/>
          </w:tcPr>
          <w:p w:rsidR="00E36C8E" w:rsidRPr="00177118" w:rsidRDefault="00E36C8E" w:rsidP="00BD4391">
            <w:pPr>
              <w:pStyle w:val="h"/>
            </w:pPr>
            <w:r w:rsidRPr="00177118">
              <w:t>Choix définitif des apôtres</w:t>
            </w:r>
            <w:r>
              <w:t xml:space="preserve"> </w:t>
            </w:r>
          </w:p>
        </w:tc>
        <w:tc>
          <w:tcPr>
            <w:tcW w:w="757" w:type="pct"/>
            <w:shd w:val="clear" w:color="auto" w:fill="FFFFFF"/>
          </w:tcPr>
          <w:p w:rsidR="00E36C8E" w:rsidRPr="00123C9C" w:rsidRDefault="00E36C8E" w:rsidP="00BD4391">
            <w:pPr>
              <w:pStyle w:val="nsr"/>
            </w:pPr>
            <w:r w:rsidRPr="00123C9C">
              <w:t xml:space="preserve">X, </w:t>
            </w:r>
            <w:r>
              <w:t>24</w:t>
            </w:r>
            <w:r w:rsidRPr="00123C9C">
              <w:t>.</w:t>
            </w:r>
          </w:p>
        </w:tc>
        <w:tc>
          <w:tcPr>
            <w:tcW w:w="754" w:type="pct"/>
            <w:shd w:val="clear" w:color="auto" w:fill="FFFFFF"/>
          </w:tcPr>
          <w:p w:rsidR="00E36C8E" w:rsidRPr="00123C9C" w:rsidRDefault="00E36C8E" w:rsidP="00BD4391">
            <w:pPr>
              <w:pStyle w:val="nsr"/>
            </w:pPr>
            <w:r w:rsidRPr="00123C9C">
              <w:t>III, 13-19.</w:t>
            </w:r>
          </w:p>
        </w:tc>
        <w:tc>
          <w:tcPr>
            <w:tcW w:w="740" w:type="pct"/>
            <w:shd w:val="clear" w:color="auto" w:fill="FFFFFF"/>
          </w:tcPr>
          <w:p w:rsidR="00E36C8E" w:rsidRPr="00123C9C" w:rsidRDefault="00A319EA" w:rsidP="00BD4391">
            <w:pPr>
              <w:pStyle w:val="nsr"/>
            </w:pPr>
            <w:r>
              <w:t>VI</w:t>
            </w:r>
            <w:r w:rsidR="00E36C8E" w:rsidRPr="00123C9C">
              <w:t xml:space="preserve">, </w:t>
            </w:r>
            <w:r w:rsidR="00E36C8E">
              <w:t>12-16</w:t>
            </w:r>
            <w:r w:rsidR="00E36C8E" w:rsidRPr="00123C9C">
              <w:t>.</w:t>
            </w:r>
          </w:p>
        </w:tc>
        <w:tc>
          <w:tcPr>
            <w:tcW w:w="641" w:type="pct"/>
            <w:shd w:val="clear" w:color="auto" w:fill="FFFFFF"/>
          </w:tcPr>
          <w:p w:rsidR="00E36C8E" w:rsidRPr="00123C9C" w:rsidRDefault="00E36C8E" w:rsidP="00BD4391">
            <w:pPr>
              <w:pStyle w:val="centrum"/>
            </w:pPr>
            <w:r w:rsidRPr="00123C9C">
              <w:t xml:space="preserve"> »</w:t>
            </w:r>
          </w:p>
        </w:tc>
      </w:tr>
      <w:tr w:rsidR="00E36C8E" w:rsidRPr="00177118" w:rsidTr="00BD4391">
        <w:trPr>
          <w:cantSplit/>
          <w:trHeight w:val="20"/>
        </w:trPr>
        <w:tc>
          <w:tcPr>
            <w:tcW w:w="2108" w:type="pct"/>
            <w:shd w:val="clear" w:color="auto" w:fill="FFFFFF"/>
          </w:tcPr>
          <w:p w:rsidR="00E36C8E" w:rsidRPr="00177118" w:rsidRDefault="00E36C8E" w:rsidP="00BD4391">
            <w:pPr>
              <w:pStyle w:val="h"/>
            </w:pPr>
            <w:r>
              <w:t>Sermon sur la montagne</w:t>
            </w:r>
          </w:p>
        </w:tc>
        <w:tc>
          <w:tcPr>
            <w:tcW w:w="757" w:type="pct"/>
            <w:shd w:val="clear" w:color="auto" w:fill="FFFFFF"/>
          </w:tcPr>
          <w:p w:rsidR="00E36C8E" w:rsidRPr="00123C9C" w:rsidRDefault="00E36C8E" w:rsidP="00BD4391">
            <w:pPr>
              <w:pStyle w:val="nsr"/>
            </w:pPr>
            <w:r>
              <w:t>V-VIII</w:t>
            </w:r>
            <w:r w:rsidRPr="00123C9C">
              <w:t>.</w:t>
            </w:r>
          </w:p>
        </w:tc>
        <w:tc>
          <w:tcPr>
            <w:tcW w:w="754" w:type="pct"/>
            <w:shd w:val="clear" w:color="auto" w:fill="FFFFFF"/>
          </w:tcPr>
          <w:p w:rsidR="00E36C8E" w:rsidRPr="00123C9C" w:rsidRDefault="001B4203" w:rsidP="00BD4391">
            <w:pPr>
              <w:pStyle w:val="centrum"/>
            </w:pPr>
            <w:r>
              <w:t xml:space="preserve"> </w:t>
            </w:r>
            <w:r w:rsidR="00E36C8E" w:rsidRPr="00123C9C">
              <w:t>»</w:t>
            </w:r>
          </w:p>
        </w:tc>
        <w:tc>
          <w:tcPr>
            <w:tcW w:w="740" w:type="pct"/>
            <w:shd w:val="clear" w:color="auto" w:fill="FFFFFF"/>
          </w:tcPr>
          <w:p w:rsidR="00E36C8E" w:rsidRPr="00123C9C" w:rsidRDefault="00A319EA" w:rsidP="00BD4391">
            <w:pPr>
              <w:pStyle w:val="nsr"/>
            </w:pPr>
            <w:r>
              <w:t>VI</w:t>
            </w:r>
            <w:r w:rsidR="00E36C8E">
              <w:t>,</w:t>
            </w:r>
            <w:r w:rsidR="00E36C8E" w:rsidRPr="00123C9C">
              <w:t xml:space="preserve"> 17-49.</w:t>
            </w:r>
          </w:p>
        </w:tc>
        <w:tc>
          <w:tcPr>
            <w:tcW w:w="641" w:type="pct"/>
            <w:shd w:val="clear" w:color="auto" w:fill="FFFFFF"/>
          </w:tcPr>
          <w:p w:rsidR="00E36C8E" w:rsidRPr="00123C9C" w:rsidRDefault="00E36C8E" w:rsidP="00BD4391">
            <w:pPr>
              <w:pStyle w:val="centrum"/>
            </w:pPr>
            <w:r w:rsidRPr="00123C9C">
              <w:t xml:space="preserve"> »</w:t>
            </w:r>
          </w:p>
        </w:tc>
      </w:tr>
      <w:tr w:rsidR="00E36C8E" w:rsidRPr="00177118" w:rsidTr="00BD4391">
        <w:trPr>
          <w:cantSplit/>
          <w:trHeight w:val="20"/>
        </w:trPr>
        <w:tc>
          <w:tcPr>
            <w:tcW w:w="2108" w:type="pct"/>
            <w:shd w:val="clear" w:color="auto" w:fill="FFFFFF"/>
          </w:tcPr>
          <w:p w:rsidR="00E36C8E" w:rsidRPr="00177118" w:rsidRDefault="00E36C8E" w:rsidP="00BD4391">
            <w:pPr>
              <w:pStyle w:val="h"/>
            </w:pPr>
            <w:r w:rsidRPr="00177118">
              <w:t>Guérison du serviteur du centurion</w:t>
            </w:r>
          </w:p>
        </w:tc>
        <w:tc>
          <w:tcPr>
            <w:tcW w:w="757" w:type="pct"/>
            <w:shd w:val="clear" w:color="auto" w:fill="FFFFFF"/>
          </w:tcPr>
          <w:p w:rsidR="00E36C8E" w:rsidRPr="00123C9C" w:rsidRDefault="00E36C8E" w:rsidP="00BD4391">
            <w:pPr>
              <w:pStyle w:val="nsr"/>
            </w:pPr>
            <w:r w:rsidRPr="00123C9C">
              <w:t>VIII, 5-13.</w:t>
            </w:r>
          </w:p>
        </w:tc>
        <w:tc>
          <w:tcPr>
            <w:tcW w:w="754" w:type="pct"/>
            <w:shd w:val="clear" w:color="auto" w:fill="FFFFFF"/>
          </w:tcPr>
          <w:p w:rsidR="00E36C8E" w:rsidRPr="00123C9C" w:rsidRDefault="001B4203" w:rsidP="00BD4391">
            <w:pPr>
              <w:pStyle w:val="centrum"/>
            </w:pPr>
            <w:r>
              <w:t xml:space="preserve"> </w:t>
            </w:r>
            <w:r w:rsidR="00E36C8E" w:rsidRPr="00123C9C">
              <w:t>»</w:t>
            </w:r>
          </w:p>
        </w:tc>
        <w:tc>
          <w:tcPr>
            <w:tcW w:w="740" w:type="pct"/>
            <w:shd w:val="clear" w:color="auto" w:fill="FFFFFF"/>
          </w:tcPr>
          <w:p w:rsidR="00E36C8E" w:rsidRPr="00123C9C" w:rsidRDefault="00E36C8E" w:rsidP="00BD4391">
            <w:pPr>
              <w:pStyle w:val="nsr"/>
            </w:pPr>
            <w:r w:rsidRPr="00123C9C">
              <w:t>VII, 1-10.</w:t>
            </w:r>
          </w:p>
        </w:tc>
        <w:tc>
          <w:tcPr>
            <w:tcW w:w="641" w:type="pct"/>
            <w:shd w:val="clear" w:color="auto" w:fill="FFFFFF"/>
          </w:tcPr>
          <w:p w:rsidR="00E36C8E" w:rsidRPr="00123C9C" w:rsidRDefault="00E36C8E" w:rsidP="00BD4391">
            <w:pPr>
              <w:pStyle w:val="centrum"/>
            </w:pPr>
            <w:r w:rsidRPr="00123C9C">
              <w:t xml:space="preserve"> »</w:t>
            </w:r>
          </w:p>
        </w:tc>
      </w:tr>
      <w:tr w:rsidR="00E36C8E" w:rsidRPr="00177118" w:rsidTr="00BD4391">
        <w:trPr>
          <w:cantSplit/>
          <w:trHeight w:val="20"/>
        </w:trPr>
        <w:tc>
          <w:tcPr>
            <w:tcW w:w="2108" w:type="pct"/>
            <w:shd w:val="clear" w:color="auto" w:fill="FFFFFF"/>
          </w:tcPr>
          <w:p w:rsidR="00E36C8E" w:rsidRPr="00177118" w:rsidRDefault="00E36C8E" w:rsidP="00BD4391">
            <w:pPr>
              <w:pStyle w:val="h"/>
            </w:pPr>
            <w:r w:rsidRPr="00177118">
              <w:t>Résurrection du fils de la veuve de</w:t>
            </w:r>
            <w:r>
              <w:t xml:space="preserve"> Naïm</w:t>
            </w:r>
          </w:p>
        </w:tc>
        <w:tc>
          <w:tcPr>
            <w:tcW w:w="757" w:type="pct"/>
            <w:shd w:val="clear" w:color="auto" w:fill="FFFFFF"/>
          </w:tcPr>
          <w:p w:rsidR="00E36C8E" w:rsidRPr="00123C9C" w:rsidRDefault="00E36C8E" w:rsidP="00BD4391">
            <w:pPr>
              <w:pStyle w:val="centrum"/>
            </w:pPr>
            <w:r w:rsidRPr="00123C9C">
              <w:t xml:space="preserve"> »</w:t>
            </w:r>
          </w:p>
        </w:tc>
        <w:tc>
          <w:tcPr>
            <w:tcW w:w="754" w:type="pct"/>
            <w:shd w:val="clear" w:color="auto" w:fill="FFFFFF"/>
          </w:tcPr>
          <w:p w:rsidR="00E36C8E" w:rsidRPr="00123C9C" w:rsidRDefault="00E36C8E" w:rsidP="00BD4391">
            <w:pPr>
              <w:pStyle w:val="centrum"/>
            </w:pPr>
            <w:r w:rsidRPr="00123C9C">
              <w:t xml:space="preserve"> »</w:t>
            </w:r>
          </w:p>
        </w:tc>
        <w:tc>
          <w:tcPr>
            <w:tcW w:w="740" w:type="pct"/>
            <w:shd w:val="clear" w:color="auto" w:fill="FFFFFF"/>
          </w:tcPr>
          <w:p w:rsidR="00E36C8E" w:rsidRPr="00123C9C" w:rsidRDefault="00E36C8E" w:rsidP="00BD4391">
            <w:pPr>
              <w:pStyle w:val="nsr"/>
            </w:pPr>
            <w:r>
              <w:t>VII,</w:t>
            </w:r>
            <w:r w:rsidRPr="00123C9C">
              <w:t xml:space="preserve"> </w:t>
            </w:r>
            <w:r>
              <w:t>11</w:t>
            </w:r>
            <w:r w:rsidRPr="00123C9C">
              <w:t>-17.</w:t>
            </w:r>
          </w:p>
        </w:tc>
        <w:tc>
          <w:tcPr>
            <w:tcW w:w="641" w:type="pct"/>
            <w:shd w:val="clear" w:color="auto" w:fill="FFFFFF"/>
          </w:tcPr>
          <w:p w:rsidR="00E36C8E" w:rsidRPr="00123C9C" w:rsidRDefault="00E36C8E" w:rsidP="00BD4391">
            <w:pPr>
              <w:pStyle w:val="centrum"/>
            </w:pPr>
            <w:r w:rsidRPr="00123C9C">
              <w:t xml:space="preserve"> »</w:t>
            </w:r>
          </w:p>
        </w:tc>
      </w:tr>
      <w:tr w:rsidR="00E36C8E" w:rsidRPr="00177118" w:rsidTr="00BD4391">
        <w:trPr>
          <w:cantSplit/>
          <w:trHeight w:val="20"/>
        </w:trPr>
        <w:tc>
          <w:tcPr>
            <w:tcW w:w="2108" w:type="pct"/>
            <w:shd w:val="clear" w:color="auto" w:fill="FFFFFF"/>
          </w:tcPr>
          <w:p w:rsidR="00E36C8E" w:rsidRPr="00177118" w:rsidRDefault="00E36C8E" w:rsidP="00BD4391">
            <w:pPr>
              <w:pStyle w:val="h"/>
            </w:pPr>
            <w:r w:rsidRPr="00177118">
              <w:t>L</w:t>
            </w:r>
            <w:r w:rsidR="00557DE0">
              <w:t>’</w:t>
            </w:r>
            <w:r w:rsidRPr="00177118">
              <w:t>ambassade de Jean-Baptiste à N.-S</w:t>
            </w:r>
            <w:r>
              <w:t xml:space="preserve"> Jésus-Christ</w:t>
            </w:r>
          </w:p>
        </w:tc>
        <w:tc>
          <w:tcPr>
            <w:tcW w:w="757" w:type="pct"/>
            <w:shd w:val="clear" w:color="auto" w:fill="FFFFFF"/>
          </w:tcPr>
          <w:p w:rsidR="00E36C8E" w:rsidRPr="00123C9C" w:rsidRDefault="00E36C8E" w:rsidP="00BD4391">
            <w:pPr>
              <w:pStyle w:val="nsr"/>
            </w:pPr>
            <w:r w:rsidRPr="00123C9C">
              <w:t>XI, 2-30.</w:t>
            </w:r>
          </w:p>
        </w:tc>
        <w:tc>
          <w:tcPr>
            <w:tcW w:w="754" w:type="pct"/>
            <w:shd w:val="clear" w:color="auto" w:fill="FFFFFF"/>
          </w:tcPr>
          <w:p w:rsidR="00E36C8E" w:rsidRPr="00123C9C" w:rsidRDefault="00E36C8E" w:rsidP="00BD4391">
            <w:pPr>
              <w:pStyle w:val="centrum"/>
            </w:pPr>
            <w:r w:rsidRPr="00123C9C">
              <w:t xml:space="preserve"> »</w:t>
            </w:r>
          </w:p>
        </w:tc>
        <w:tc>
          <w:tcPr>
            <w:tcW w:w="740" w:type="pct"/>
            <w:shd w:val="clear" w:color="auto" w:fill="FFFFFF"/>
          </w:tcPr>
          <w:p w:rsidR="00E36C8E" w:rsidRPr="00123C9C" w:rsidRDefault="00E36C8E" w:rsidP="00BD4391">
            <w:pPr>
              <w:pStyle w:val="nsr"/>
            </w:pPr>
            <w:r w:rsidRPr="00123C9C">
              <w:t>VII, 18-35.</w:t>
            </w:r>
          </w:p>
        </w:tc>
        <w:tc>
          <w:tcPr>
            <w:tcW w:w="641" w:type="pct"/>
            <w:shd w:val="clear" w:color="auto" w:fill="FFFFFF"/>
          </w:tcPr>
          <w:p w:rsidR="00E36C8E" w:rsidRPr="00123C9C" w:rsidRDefault="001B4203" w:rsidP="00BD4391">
            <w:pPr>
              <w:pStyle w:val="centrum"/>
            </w:pPr>
            <w:r>
              <w:t xml:space="preserve"> </w:t>
            </w:r>
            <w:r w:rsidR="00E36C8E" w:rsidRPr="00123C9C">
              <w:t>»</w:t>
            </w:r>
          </w:p>
        </w:tc>
      </w:tr>
      <w:tr w:rsidR="00E36C8E" w:rsidRPr="00177118" w:rsidTr="00BD4391">
        <w:trPr>
          <w:cantSplit/>
          <w:trHeight w:val="20"/>
        </w:trPr>
        <w:tc>
          <w:tcPr>
            <w:tcW w:w="2108" w:type="pct"/>
            <w:shd w:val="clear" w:color="auto" w:fill="FFFFFF"/>
          </w:tcPr>
          <w:p w:rsidR="00E36C8E" w:rsidRPr="00177118" w:rsidRDefault="00E36C8E" w:rsidP="00BD4391">
            <w:pPr>
              <w:pStyle w:val="h"/>
            </w:pPr>
            <w:r>
              <w:t>Jésus chez Simon le pharisien</w:t>
            </w:r>
          </w:p>
        </w:tc>
        <w:tc>
          <w:tcPr>
            <w:tcW w:w="757" w:type="pct"/>
            <w:shd w:val="clear" w:color="auto" w:fill="FFFFFF"/>
          </w:tcPr>
          <w:p w:rsidR="00E36C8E" w:rsidRDefault="001B4203" w:rsidP="00BD4391">
            <w:pPr>
              <w:pStyle w:val="centrum"/>
            </w:pPr>
            <w:r>
              <w:t xml:space="preserve"> </w:t>
            </w:r>
            <w:r w:rsidR="00E36C8E" w:rsidRPr="007778FD">
              <w:t>»</w:t>
            </w:r>
          </w:p>
        </w:tc>
        <w:tc>
          <w:tcPr>
            <w:tcW w:w="754" w:type="pct"/>
            <w:shd w:val="clear" w:color="auto" w:fill="FFFFFF"/>
          </w:tcPr>
          <w:p w:rsidR="00E36C8E" w:rsidRDefault="001B4203" w:rsidP="00BD4391">
            <w:pPr>
              <w:pStyle w:val="centrum"/>
            </w:pPr>
            <w:r>
              <w:t xml:space="preserve"> </w:t>
            </w:r>
            <w:r w:rsidR="00E36C8E" w:rsidRPr="007778FD">
              <w:t>»</w:t>
            </w:r>
          </w:p>
        </w:tc>
        <w:tc>
          <w:tcPr>
            <w:tcW w:w="740" w:type="pct"/>
            <w:shd w:val="clear" w:color="auto" w:fill="FFFFFF"/>
          </w:tcPr>
          <w:p w:rsidR="00E36C8E" w:rsidRPr="00123C9C" w:rsidRDefault="00E36C8E" w:rsidP="00BD4391">
            <w:pPr>
              <w:pStyle w:val="nsr"/>
            </w:pPr>
            <w:r w:rsidRPr="00123C9C">
              <w:t>VII, 36-50.</w:t>
            </w:r>
          </w:p>
        </w:tc>
        <w:tc>
          <w:tcPr>
            <w:tcW w:w="641" w:type="pct"/>
            <w:shd w:val="clear" w:color="auto" w:fill="FFFFFF"/>
          </w:tcPr>
          <w:p w:rsidR="00E36C8E" w:rsidRPr="00123C9C" w:rsidRDefault="00E36C8E" w:rsidP="00BD4391">
            <w:pPr>
              <w:pStyle w:val="centrum"/>
            </w:pPr>
            <w:r w:rsidRPr="00123C9C">
              <w:t xml:space="preserve"> »</w:t>
            </w:r>
          </w:p>
        </w:tc>
      </w:tr>
      <w:tr w:rsidR="00E36C8E" w:rsidRPr="00177118" w:rsidTr="00BD4391">
        <w:trPr>
          <w:cantSplit/>
          <w:trHeight w:val="20"/>
        </w:trPr>
        <w:tc>
          <w:tcPr>
            <w:tcW w:w="2108" w:type="pct"/>
            <w:shd w:val="clear" w:color="auto" w:fill="FFFFFF"/>
          </w:tcPr>
          <w:p w:rsidR="00E36C8E" w:rsidRPr="00177118" w:rsidRDefault="00E36C8E" w:rsidP="00BD4391">
            <w:pPr>
              <w:pStyle w:val="h"/>
            </w:pPr>
            <w:r w:rsidRPr="00177118">
              <w:t>Les sain</w:t>
            </w:r>
            <w:r>
              <w:t>tes femmes à la suite du Messie</w:t>
            </w:r>
          </w:p>
        </w:tc>
        <w:tc>
          <w:tcPr>
            <w:tcW w:w="757" w:type="pct"/>
            <w:shd w:val="clear" w:color="auto" w:fill="FFFFFF"/>
          </w:tcPr>
          <w:p w:rsidR="00E36C8E" w:rsidRPr="00123C9C" w:rsidRDefault="00E36C8E" w:rsidP="00BD4391">
            <w:pPr>
              <w:pStyle w:val="centrum"/>
            </w:pPr>
            <w:r w:rsidRPr="00123C9C">
              <w:t xml:space="preserve"> »</w:t>
            </w:r>
          </w:p>
        </w:tc>
        <w:tc>
          <w:tcPr>
            <w:tcW w:w="754" w:type="pct"/>
            <w:shd w:val="clear" w:color="auto" w:fill="FFFFFF"/>
          </w:tcPr>
          <w:p w:rsidR="00E36C8E" w:rsidRPr="00123C9C" w:rsidRDefault="00E36C8E" w:rsidP="00BD4391">
            <w:pPr>
              <w:pStyle w:val="centrum"/>
            </w:pPr>
            <w:r w:rsidRPr="00123C9C">
              <w:t xml:space="preserve"> »</w:t>
            </w:r>
          </w:p>
        </w:tc>
        <w:tc>
          <w:tcPr>
            <w:tcW w:w="740" w:type="pct"/>
            <w:shd w:val="clear" w:color="auto" w:fill="FFFFFF"/>
          </w:tcPr>
          <w:p w:rsidR="00E36C8E" w:rsidRPr="00123C9C" w:rsidRDefault="00E36C8E" w:rsidP="00BD4391">
            <w:pPr>
              <w:pStyle w:val="nsr"/>
            </w:pPr>
            <w:r w:rsidRPr="00123C9C">
              <w:t>VIII, 1-3.</w:t>
            </w:r>
          </w:p>
        </w:tc>
        <w:tc>
          <w:tcPr>
            <w:tcW w:w="641" w:type="pct"/>
            <w:shd w:val="clear" w:color="auto" w:fill="FFFFFF"/>
          </w:tcPr>
          <w:p w:rsidR="00E36C8E" w:rsidRPr="00123C9C" w:rsidRDefault="001B4203" w:rsidP="00BD4391">
            <w:pPr>
              <w:pStyle w:val="centrum"/>
            </w:pPr>
            <w:r>
              <w:t xml:space="preserve"> </w:t>
            </w:r>
            <w:r w:rsidR="00E36C8E" w:rsidRPr="00123C9C">
              <w:t>»</w:t>
            </w:r>
          </w:p>
        </w:tc>
      </w:tr>
      <w:tr w:rsidR="00E36C8E" w:rsidRPr="00241E4B" w:rsidTr="00BD4391">
        <w:trPr>
          <w:cantSplit/>
          <w:trHeight w:val="20"/>
        </w:trPr>
        <w:tc>
          <w:tcPr>
            <w:tcW w:w="2108" w:type="pct"/>
            <w:shd w:val="clear" w:color="auto" w:fill="FFFFFF"/>
          </w:tcPr>
          <w:p w:rsidR="00E36C8E" w:rsidRPr="00241E4B" w:rsidRDefault="00E36C8E" w:rsidP="00BD4391">
            <w:pPr>
              <w:pStyle w:val="h"/>
              <w:rPr>
                <w:rStyle w:val="italicus"/>
              </w:rPr>
            </w:pPr>
            <w:r w:rsidRPr="00241E4B">
              <w:rPr>
                <w:rStyle w:val="italicus"/>
              </w:rPr>
              <w:t xml:space="preserve">Les parents de Jésus veulent se saisir de lui </w:t>
            </w:r>
          </w:p>
        </w:tc>
        <w:tc>
          <w:tcPr>
            <w:tcW w:w="757" w:type="pct"/>
            <w:shd w:val="clear" w:color="auto" w:fill="FFFFFF"/>
          </w:tcPr>
          <w:p w:rsidR="00E36C8E" w:rsidRPr="00241E4B" w:rsidRDefault="00E36C8E" w:rsidP="00BD4391">
            <w:pPr>
              <w:pStyle w:val="centrum"/>
              <w:rPr>
                <w:rStyle w:val="italicus"/>
              </w:rPr>
            </w:pPr>
            <w:r w:rsidRPr="00241E4B">
              <w:rPr>
                <w:rStyle w:val="italicus"/>
              </w:rPr>
              <w:t xml:space="preserve"> »</w:t>
            </w:r>
          </w:p>
        </w:tc>
        <w:tc>
          <w:tcPr>
            <w:tcW w:w="754" w:type="pct"/>
            <w:shd w:val="clear" w:color="auto" w:fill="FFFFFF"/>
          </w:tcPr>
          <w:p w:rsidR="00E36C8E" w:rsidRPr="00241E4B" w:rsidRDefault="00E36C8E" w:rsidP="00BD4391">
            <w:pPr>
              <w:pStyle w:val="nsr"/>
              <w:rPr>
                <w:rStyle w:val="italicus"/>
              </w:rPr>
            </w:pPr>
            <w:r w:rsidRPr="00241E4B">
              <w:rPr>
                <w:rStyle w:val="italicus"/>
              </w:rPr>
              <w:t>III, 20-21.</w:t>
            </w:r>
          </w:p>
        </w:tc>
        <w:tc>
          <w:tcPr>
            <w:tcW w:w="740" w:type="pct"/>
            <w:shd w:val="clear" w:color="auto" w:fill="FFFFFF"/>
          </w:tcPr>
          <w:p w:rsidR="00E36C8E" w:rsidRPr="00241E4B" w:rsidRDefault="00E36C8E" w:rsidP="00BD4391">
            <w:pPr>
              <w:pStyle w:val="centrum"/>
              <w:rPr>
                <w:rStyle w:val="italicus"/>
              </w:rPr>
            </w:pPr>
            <w:r w:rsidRPr="00241E4B">
              <w:rPr>
                <w:rStyle w:val="italicus"/>
              </w:rPr>
              <w:t xml:space="preserve"> »</w:t>
            </w:r>
          </w:p>
        </w:tc>
        <w:tc>
          <w:tcPr>
            <w:tcW w:w="641" w:type="pct"/>
            <w:shd w:val="clear" w:color="auto" w:fill="FFFFFF"/>
          </w:tcPr>
          <w:p w:rsidR="00E36C8E" w:rsidRPr="00241E4B" w:rsidRDefault="00E36C8E" w:rsidP="00BD4391">
            <w:pPr>
              <w:pStyle w:val="centrum"/>
              <w:rPr>
                <w:rStyle w:val="italicus"/>
              </w:rPr>
            </w:pPr>
            <w:r w:rsidRPr="00241E4B">
              <w:rPr>
                <w:rStyle w:val="italicus"/>
              </w:rPr>
              <w:t xml:space="preserve"> »</w:t>
            </w:r>
          </w:p>
        </w:tc>
      </w:tr>
      <w:tr w:rsidR="00E36C8E" w:rsidRPr="00177118" w:rsidTr="00BD4391">
        <w:trPr>
          <w:cantSplit/>
          <w:trHeight w:val="20"/>
        </w:trPr>
        <w:tc>
          <w:tcPr>
            <w:tcW w:w="2108" w:type="pct"/>
            <w:shd w:val="clear" w:color="auto" w:fill="FFFFFF"/>
          </w:tcPr>
          <w:p w:rsidR="00E36C8E" w:rsidRPr="00177118" w:rsidRDefault="00E36C8E" w:rsidP="00BD4391">
            <w:pPr>
              <w:pStyle w:val="h"/>
            </w:pPr>
            <w:r w:rsidRPr="00177118">
              <w:t>Guérison d</w:t>
            </w:r>
            <w:r w:rsidR="00557DE0">
              <w:t>’</w:t>
            </w:r>
            <w:r w:rsidRPr="00177118">
              <w:t>un démoniaque aveugle et</w:t>
            </w:r>
            <w:r>
              <w:t xml:space="preserve"> muet </w:t>
            </w:r>
          </w:p>
        </w:tc>
        <w:tc>
          <w:tcPr>
            <w:tcW w:w="757" w:type="pct"/>
            <w:shd w:val="clear" w:color="auto" w:fill="FFFFFF"/>
          </w:tcPr>
          <w:p w:rsidR="00E36C8E" w:rsidRPr="00123C9C" w:rsidRDefault="00E36C8E" w:rsidP="00BD4391">
            <w:pPr>
              <w:pStyle w:val="nsr"/>
            </w:pPr>
            <w:r w:rsidRPr="00123C9C">
              <w:t>XX</w:t>
            </w:r>
            <w:r>
              <w:t>I</w:t>
            </w:r>
            <w:r w:rsidRPr="00123C9C">
              <w:t xml:space="preserve">, </w:t>
            </w:r>
            <w:r>
              <w:t>21</w:t>
            </w:r>
            <w:r w:rsidRPr="00123C9C">
              <w:t>-23.</w:t>
            </w:r>
          </w:p>
        </w:tc>
        <w:tc>
          <w:tcPr>
            <w:tcW w:w="754" w:type="pct"/>
            <w:shd w:val="clear" w:color="auto" w:fill="FFFFFF"/>
          </w:tcPr>
          <w:p w:rsidR="00E36C8E" w:rsidRPr="00123C9C" w:rsidRDefault="00E36C8E" w:rsidP="00BD4391">
            <w:pPr>
              <w:pStyle w:val="centrum"/>
            </w:pPr>
            <w:r w:rsidRPr="00123C9C">
              <w:t xml:space="preserve"> »</w:t>
            </w:r>
          </w:p>
        </w:tc>
        <w:tc>
          <w:tcPr>
            <w:tcW w:w="740" w:type="pct"/>
            <w:shd w:val="clear" w:color="auto" w:fill="FFFFFF"/>
          </w:tcPr>
          <w:p w:rsidR="00E36C8E" w:rsidRPr="00123C9C" w:rsidRDefault="00E36C8E" w:rsidP="00BD4391">
            <w:pPr>
              <w:pStyle w:val="nsr"/>
            </w:pPr>
            <w:r w:rsidRPr="00123C9C">
              <w:t>XI, 14.</w:t>
            </w:r>
          </w:p>
        </w:tc>
        <w:tc>
          <w:tcPr>
            <w:tcW w:w="641" w:type="pct"/>
            <w:shd w:val="clear" w:color="auto" w:fill="FFFFFF"/>
          </w:tcPr>
          <w:p w:rsidR="00E36C8E" w:rsidRPr="00123C9C" w:rsidRDefault="001B4203" w:rsidP="00BD4391">
            <w:pPr>
              <w:pStyle w:val="centrum"/>
            </w:pPr>
            <w:r>
              <w:t xml:space="preserve"> </w:t>
            </w:r>
            <w:r w:rsidR="00E36C8E" w:rsidRPr="00123C9C">
              <w:t>»</w:t>
            </w:r>
          </w:p>
        </w:tc>
      </w:tr>
      <w:tr w:rsidR="00E36C8E" w:rsidRPr="00177118" w:rsidTr="00BD4391">
        <w:trPr>
          <w:cantSplit/>
          <w:trHeight w:val="20"/>
        </w:trPr>
        <w:tc>
          <w:tcPr>
            <w:tcW w:w="2108" w:type="pct"/>
            <w:shd w:val="clear" w:color="auto" w:fill="FFFFFF"/>
          </w:tcPr>
          <w:p w:rsidR="00E36C8E" w:rsidRPr="00177118" w:rsidRDefault="00E36C8E" w:rsidP="00BD4391">
            <w:pPr>
              <w:pStyle w:val="h"/>
            </w:pPr>
            <w:r w:rsidRPr="00177118">
              <w:t>Jésus</w:t>
            </w:r>
            <w:r>
              <w:t xml:space="preserve"> réfute les calomnies des Pharisiens </w:t>
            </w:r>
          </w:p>
        </w:tc>
        <w:tc>
          <w:tcPr>
            <w:tcW w:w="757" w:type="pct"/>
            <w:shd w:val="clear" w:color="auto" w:fill="FFFFFF"/>
          </w:tcPr>
          <w:p w:rsidR="00E36C8E" w:rsidRPr="00123C9C" w:rsidRDefault="00E36C8E" w:rsidP="00BD4391">
            <w:pPr>
              <w:pStyle w:val="nsr"/>
            </w:pPr>
            <w:r w:rsidRPr="00123C9C">
              <w:t>XII, 24-45.</w:t>
            </w:r>
          </w:p>
        </w:tc>
        <w:tc>
          <w:tcPr>
            <w:tcW w:w="754" w:type="pct"/>
            <w:shd w:val="clear" w:color="auto" w:fill="FFFFFF"/>
          </w:tcPr>
          <w:p w:rsidR="00E36C8E" w:rsidRPr="00123C9C" w:rsidRDefault="00E36C8E" w:rsidP="00BD4391">
            <w:pPr>
              <w:pStyle w:val="nsr"/>
            </w:pPr>
            <w:r w:rsidRPr="00123C9C">
              <w:t xml:space="preserve">III, </w:t>
            </w:r>
            <w:r>
              <w:t>22-30</w:t>
            </w:r>
            <w:r w:rsidRPr="00123C9C">
              <w:t>.</w:t>
            </w:r>
          </w:p>
        </w:tc>
        <w:tc>
          <w:tcPr>
            <w:tcW w:w="740" w:type="pct"/>
            <w:shd w:val="clear" w:color="auto" w:fill="FFFFFF"/>
          </w:tcPr>
          <w:p w:rsidR="00E36C8E" w:rsidRPr="00123C9C" w:rsidRDefault="00E36C8E" w:rsidP="00BD4391">
            <w:pPr>
              <w:pStyle w:val="nsr"/>
            </w:pPr>
            <w:r>
              <w:t>X</w:t>
            </w:r>
            <w:r w:rsidRPr="00123C9C">
              <w:t>I, 15-32.</w:t>
            </w:r>
          </w:p>
        </w:tc>
        <w:tc>
          <w:tcPr>
            <w:tcW w:w="641" w:type="pct"/>
            <w:shd w:val="clear" w:color="auto" w:fill="FFFFFF"/>
          </w:tcPr>
          <w:p w:rsidR="00E36C8E" w:rsidRPr="00123C9C" w:rsidRDefault="001B4203" w:rsidP="00BD4391">
            <w:pPr>
              <w:pStyle w:val="centrum"/>
            </w:pPr>
            <w:r>
              <w:t xml:space="preserve"> </w:t>
            </w:r>
            <w:r w:rsidR="00E36C8E" w:rsidRPr="00123C9C">
              <w:t>»</w:t>
            </w:r>
          </w:p>
        </w:tc>
      </w:tr>
      <w:tr w:rsidR="00E36C8E" w:rsidRPr="00241E4B" w:rsidTr="00BD4391">
        <w:trPr>
          <w:cantSplit/>
          <w:trHeight w:val="20"/>
        </w:trPr>
        <w:tc>
          <w:tcPr>
            <w:tcW w:w="2108" w:type="pct"/>
            <w:shd w:val="clear" w:color="auto" w:fill="FFFFFF"/>
          </w:tcPr>
          <w:p w:rsidR="00E36C8E" w:rsidRPr="00241E4B" w:rsidRDefault="00E36C8E" w:rsidP="00BD4391">
            <w:pPr>
              <w:pStyle w:val="h"/>
              <w:rPr>
                <w:rStyle w:val="italicus"/>
              </w:rPr>
            </w:pPr>
            <w:r w:rsidRPr="00241E4B">
              <w:rPr>
                <w:rStyle w:val="italicus"/>
              </w:rPr>
              <w:t>Quels sont les vrais parents de Jésus ?</w:t>
            </w:r>
          </w:p>
        </w:tc>
        <w:tc>
          <w:tcPr>
            <w:tcW w:w="757" w:type="pct"/>
            <w:shd w:val="clear" w:color="auto" w:fill="FFFFFF"/>
          </w:tcPr>
          <w:p w:rsidR="00E36C8E" w:rsidRPr="00241E4B" w:rsidRDefault="00E36C8E" w:rsidP="00BD4391">
            <w:pPr>
              <w:pStyle w:val="nsr"/>
              <w:rPr>
                <w:rStyle w:val="italicus"/>
              </w:rPr>
            </w:pPr>
            <w:r w:rsidRPr="00241E4B">
              <w:rPr>
                <w:rStyle w:val="italicus"/>
              </w:rPr>
              <w:t>XII, 46-30.</w:t>
            </w:r>
          </w:p>
        </w:tc>
        <w:tc>
          <w:tcPr>
            <w:tcW w:w="754" w:type="pct"/>
            <w:shd w:val="clear" w:color="auto" w:fill="FFFFFF"/>
          </w:tcPr>
          <w:p w:rsidR="00E36C8E" w:rsidRPr="00241E4B" w:rsidRDefault="00E36C8E" w:rsidP="00BD4391">
            <w:pPr>
              <w:pStyle w:val="nsr"/>
              <w:rPr>
                <w:rStyle w:val="italicus"/>
              </w:rPr>
            </w:pPr>
            <w:r w:rsidRPr="00241E4B">
              <w:rPr>
                <w:rStyle w:val="italicus"/>
              </w:rPr>
              <w:t>III, 31-35.</w:t>
            </w:r>
          </w:p>
        </w:tc>
        <w:tc>
          <w:tcPr>
            <w:tcW w:w="740" w:type="pct"/>
            <w:shd w:val="clear" w:color="auto" w:fill="FFFFFF"/>
          </w:tcPr>
          <w:p w:rsidR="00E36C8E" w:rsidRPr="00241E4B" w:rsidRDefault="00E36C8E" w:rsidP="00BD4391">
            <w:pPr>
              <w:pStyle w:val="nsr"/>
              <w:rPr>
                <w:rStyle w:val="italicus"/>
              </w:rPr>
            </w:pPr>
            <w:r w:rsidRPr="00241E4B">
              <w:rPr>
                <w:rStyle w:val="italicus"/>
              </w:rPr>
              <w:t>VIII, 19-21.</w:t>
            </w:r>
          </w:p>
        </w:tc>
        <w:tc>
          <w:tcPr>
            <w:tcW w:w="641" w:type="pct"/>
            <w:shd w:val="clear" w:color="auto" w:fill="FFFFFF"/>
          </w:tcPr>
          <w:p w:rsidR="00E36C8E" w:rsidRPr="00241E4B" w:rsidRDefault="001B4203" w:rsidP="00BD4391">
            <w:pPr>
              <w:pStyle w:val="centrum"/>
              <w:rPr>
                <w:rStyle w:val="italicus"/>
              </w:rPr>
            </w:pPr>
            <w:r>
              <w:rPr>
                <w:rStyle w:val="italicus"/>
              </w:rPr>
              <w:t xml:space="preserve"> </w:t>
            </w:r>
            <w:r w:rsidR="00E36C8E" w:rsidRPr="00241E4B">
              <w:rPr>
                <w:rStyle w:val="italicus"/>
              </w:rPr>
              <w:t>»</w:t>
            </w:r>
          </w:p>
        </w:tc>
      </w:tr>
      <w:tr w:rsidR="00E36C8E" w:rsidRPr="00177118" w:rsidTr="00BD4391">
        <w:trPr>
          <w:cantSplit/>
          <w:trHeight w:val="20"/>
        </w:trPr>
        <w:tc>
          <w:tcPr>
            <w:tcW w:w="2108" w:type="pct"/>
            <w:shd w:val="clear" w:color="auto" w:fill="FFFFFF"/>
          </w:tcPr>
          <w:p w:rsidR="00E36C8E" w:rsidRPr="00177118" w:rsidRDefault="00E36C8E" w:rsidP="00BD4391">
            <w:pPr>
              <w:pStyle w:val="h"/>
            </w:pPr>
            <w:r>
              <w:t>Parabole de la semence</w:t>
            </w:r>
          </w:p>
        </w:tc>
        <w:tc>
          <w:tcPr>
            <w:tcW w:w="757" w:type="pct"/>
            <w:shd w:val="clear" w:color="auto" w:fill="FFFFFF"/>
          </w:tcPr>
          <w:p w:rsidR="00E36C8E" w:rsidRPr="00123C9C" w:rsidRDefault="00E36C8E" w:rsidP="00BD4391">
            <w:pPr>
              <w:pStyle w:val="nsr"/>
            </w:pPr>
            <w:r w:rsidRPr="00123C9C">
              <w:t xml:space="preserve">XIII, </w:t>
            </w:r>
            <w:r>
              <w:t>1-9.</w:t>
            </w:r>
          </w:p>
        </w:tc>
        <w:tc>
          <w:tcPr>
            <w:tcW w:w="754" w:type="pct"/>
            <w:shd w:val="clear" w:color="auto" w:fill="FFFFFF"/>
          </w:tcPr>
          <w:p w:rsidR="00E36C8E" w:rsidRPr="00123C9C" w:rsidRDefault="00E36C8E" w:rsidP="00BD4391">
            <w:pPr>
              <w:pStyle w:val="nsr"/>
            </w:pPr>
            <w:r w:rsidRPr="00123C9C">
              <w:t>IV, 1-9.</w:t>
            </w:r>
          </w:p>
        </w:tc>
        <w:tc>
          <w:tcPr>
            <w:tcW w:w="740" w:type="pct"/>
            <w:shd w:val="clear" w:color="auto" w:fill="FFFFFF"/>
          </w:tcPr>
          <w:p w:rsidR="00E36C8E" w:rsidRPr="00123C9C" w:rsidRDefault="00E36C8E" w:rsidP="00BD4391">
            <w:pPr>
              <w:pStyle w:val="nsr"/>
            </w:pPr>
            <w:r>
              <w:t>VIII</w:t>
            </w:r>
            <w:r w:rsidRPr="00123C9C">
              <w:t>, 4-8.</w:t>
            </w:r>
          </w:p>
        </w:tc>
        <w:tc>
          <w:tcPr>
            <w:tcW w:w="641" w:type="pct"/>
            <w:shd w:val="clear" w:color="auto" w:fill="FFFFFF"/>
          </w:tcPr>
          <w:p w:rsidR="00E36C8E" w:rsidRPr="00123C9C" w:rsidRDefault="00E36C8E" w:rsidP="00BD4391">
            <w:pPr>
              <w:pStyle w:val="centrum"/>
            </w:pPr>
            <w:r w:rsidRPr="00123C9C">
              <w:t xml:space="preserve"> »</w:t>
            </w:r>
          </w:p>
        </w:tc>
      </w:tr>
      <w:tr w:rsidR="00E36C8E" w:rsidRPr="00177118" w:rsidTr="00BD4391">
        <w:trPr>
          <w:cantSplit/>
          <w:trHeight w:val="20"/>
        </w:trPr>
        <w:tc>
          <w:tcPr>
            <w:tcW w:w="2108" w:type="pct"/>
            <w:shd w:val="clear" w:color="auto" w:fill="FFFFFF"/>
          </w:tcPr>
          <w:p w:rsidR="00E36C8E" w:rsidRPr="00177118" w:rsidRDefault="00E36C8E" w:rsidP="00BD4391">
            <w:pPr>
              <w:pStyle w:val="h"/>
            </w:pPr>
            <w:r w:rsidRPr="00177118">
              <w:t>Pourquoi Jésus parle en paraboles.</w:t>
            </w:r>
          </w:p>
        </w:tc>
        <w:tc>
          <w:tcPr>
            <w:tcW w:w="757" w:type="pct"/>
            <w:shd w:val="clear" w:color="auto" w:fill="FFFFFF"/>
          </w:tcPr>
          <w:p w:rsidR="00E36C8E" w:rsidRPr="00123C9C" w:rsidRDefault="00E36C8E" w:rsidP="00BD4391">
            <w:pPr>
              <w:pStyle w:val="nsr"/>
            </w:pPr>
            <w:r w:rsidRPr="00123C9C">
              <w:t>X</w:t>
            </w:r>
            <w:r>
              <w:t>III</w:t>
            </w:r>
            <w:r w:rsidRPr="00123C9C">
              <w:t>, 10-17.</w:t>
            </w:r>
          </w:p>
        </w:tc>
        <w:tc>
          <w:tcPr>
            <w:tcW w:w="754" w:type="pct"/>
            <w:shd w:val="clear" w:color="auto" w:fill="FFFFFF"/>
          </w:tcPr>
          <w:p w:rsidR="00E36C8E" w:rsidRPr="00123C9C" w:rsidRDefault="00E36C8E" w:rsidP="00BD4391">
            <w:pPr>
              <w:pStyle w:val="nsr"/>
            </w:pPr>
            <w:r w:rsidRPr="00123C9C">
              <w:t>IV, 10-12.</w:t>
            </w:r>
          </w:p>
        </w:tc>
        <w:tc>
          <w:tcPr>
            <w:tcW w:w="740" w:type="pct"/>
            <w:shd w:val="clear" w:color="auto" w:fill="FFFFFF"/>
          </w:tcPr>
          <w:p w:rsidR="00E36C8E" w:rsidRPr="00123C9C" w:rsidRDefault="00E36C8E" w:rsidP="00BD4391">
            <w:pPr>
              <w:pStyle w:val="nsr"/>
            </w:pPr>
            <w:r w:rsidRPr="00123C9C">
              <w:t xml:space="preserve">VIII, </w:t>
            </w:r>
            <w:r>
              <w:t>9</w:t>
            </w:r>
            <w:r w:rsidRPr="00123C9C">
              <w:t>-10.</w:t>
            </w:r>
          </w:p>
        </w:tc>
        <w:tc>
          <w:tcPr>
            <w:tcW w:w="641" w:type="pct"/>
            <w:shd w:val="clear" w:color="auto" w:fill="FFFFFF"/>
          </w:tcPr>
          <w:p w:rsidR="00E36C8E" w:rsidRPr="00123C9C" w:rsidRDefault="00E36C8E" w:rsidP="00BD4391">
            <w:pPr>
              <w:pStyle w:val="centrum"/>
            </w:pPr>
            <w:r w:rsidRPr="00123C9C">
              <w:t xml:space="preserve"> »</w:t>
            </w:r>
          </w:p>
        </w:tc>
      </w:tr>
      <w:tr w:rsidR="00E36C8E" w:rsidRPr="00177118" w:rsidTr="00BD4391">
        <w:trPr>
          <w:cantSplit/>
          <w:trHeight w:val="20"/>
        </w:trPr>
        <w:tc>
          <w:tcPr>
            <w:tcW w:w="2108" w:type="pct"/>
            <w:shd w:val="clear" w:color="auto" w:fill="FFFFFF"/>
          </w:tcPr>
          <w:p w:rsidR="00E36C8E" w:rsidRPr="00177118" w:rsidRDefault="00E36C8E" w:rsidP="00BD4391">
            <w:pPr>
              <w:pStyle w:val="h"/>
            </w:pPr>
            <w:r w:rsidRPr="00177118">
              <w:t>Explication de la parabole de la sentence</w:t>
            </w:r>
            <w:r>
              <w:t xml:space="preserve"> </w:t>
            </w:r>
          </w:p>
        </w:tc>
        <w:tc>
          <w:tcPr>
            <w:tcW w:w="757" w:type="pct"/>
            <w:shd w:val="clear" w:color="auto" w:fill="FFFFFF"/>
          </w:tcPr>
          <w:p w:rsidR="00E36C8E" w:rsidRPr="00123C9C" w:rsidRDefault="00E36C8E" w:rsidP="00BD4391">
            <w:pPr>
              <w:pStyle w:val="nsr"/>
            </w:pPr>
            <w:r w:rsidRPr="00123C9C">
              <w:t>XIII, 18-23.</w:t>
            </w:r>
          </w:p>
        </w:tc>
        <w:tc>
          <w:tcPr>
            <w:tcW w:w="754" w:type="pct"/>
            <w:shd w:val="clear" w:color="auto" w:fill="FFFFFF"/>
          </w:tcPr>
          <w:p w:rsidR="00E36C8E" w:rsidRPr="00123C9C" w:rsidRDefault="00E36C8E" w:rsidP="00BD4391">
            <w:pPr>
              <w:pStyle w:val="nsr"/>
            </w:pPr>
            <w:r w:rsidRPr="00123C9C">
              <w:t xml:space="preserve">IV, </w:t>
            </w:r>
            <w:r>
              <w:t>13-20</w:t>
            </w:r>
            <w:r w:rsidRPr="00123C9C">
              <w:t>.</w:t>
            </w:r>
          </w:p>
        </w:tc>
        <w:tc>
          <w:tcPr>
            <w:tcW w:w="740" w:type="pct"/>
            <w:shd w:val="clear" w:color="auto" w:fill="FFFFFF"/>
          </w:tcPr>
          <w:p w:rsidR="00E36C8E" w:rsidRPr="00123C9C" w:rsidRDefault="00E36C8E" w:rsidP="00BD4391">
            <w:pPr>
              <w:pStyle w:val="nsr"/>
            </w:pPr>
            <w:r w:rsidRPr="00123C9C">
              <w:t>VIII, 11-15.</w:t>
            </w:r>
          </w:p>
        </w:tc>
        <w:tc>
          <w:tcPr>
            <w:tcW w:w="641" w:type="pct"/>
            <w:shd w:val="clear" w:color="auto" w:fill="FFFFFF"/>
          </w:tcPr>
          <w:p w:rsidR="00E36C8E" w:rsidRPr="00123C9C" w:rsidRDefault="00E36C8E" w:rsidP="00BD4391">
            <w:pPr>
              <w:pStyle w:val="centrum"/>
            </w:pPr>
            <w:r w:rsidRPr="00123C9C">
              <w:t xml:space="preserve"> »</w:t>
            </w:r>
          </w:p>
        </w:tc>
      </w:tr>
      <w:tr w:rsidR="00E36C8E" w:rsidRPr="005507CF" w:rsidTr="00BD4391">
        <w:trPr>
          <w:cantSplit/>
          <w:trHeight w:val="20"/>
        </w:trPr>
        <w:tc>
          <w:tcPr>
            <w:tcW w:w="2108" w:type="pct"/>
            <w:shd w:val="clear" w:color="auto" w:fill="FFFFFF"/>
          </w:tcPr>
          <w:p w:rsidR="00E36C8E" w:rsidRPr="00177118" w:rsidRDefault="00E36C8E" w:rsidP="00BD4391">
            <w:pPr>
              <w:pStyle w:val="h"/>
            </w:pPr>
            <w:r>
              <w:t xml:space="preserve">Écouter la parole de Dieu </w:t>
            </w:r>
          </w:p>
        </w:tc>
        <w:tc>
          <w:tcPr>
            <w:tcW w:w="757" w:type="pct"/>
            <w:shd w:val="clear" w:color="auto" w:fill="FFFFFF"/>
          </w:tcPr>
          <w:p w:rsidR="00E36C8E" w:rsidRPr="00123C9C" w:rsidRDefault="001B4203" w:rsidP="00BD4391">
            <w:pPr>
              <w:pStyle w:val="centrum"/>
            </w:pPr>
            <w:r>
              <w:t xml:space="preserve"> </w:t>
            </w:r>
            <w:r w:rsidR="00E36C8E" w:rsidRPr="00123C9C">
              <w:t>»</w:t>
            </w:r>
          </w:p>
        </w:tc>
        <w:tc>
          <w:tcPr>
            <w:tcW w:w="754" w:type="pct"/>
            <w:shd w:val="clear" w:color="auto" w:fill="FFFFFF"/>
          </w:tcPr>
          <w:p w:rsidR="00E36C8E" w:rsidRPr="00123C9C" w:rsidRDefault="00E36C8E" w:rsidP="00BD4391">
            <w:pPr>
              <w:pStyle w:val="nsr"/>
            </w:pPr>
            <w:r w:rsidRPr="00123C9C">
              <w:t>IV, 21-25.</w:t>
            </w:r>
          </w:p>
        </w:tc>
        <w:tc>
          <w:tcPr>
            <w:tcW w:w="740" w:type="pct"/>
            <w:shd w:val="clear" w:color="auto" w:fill="FFFFFF"/>
          </w:tcPr>
          <w:p w:rsidR="00E36C8E" w:rsidRPr="00123C9C" w:rsidRDefault="00E36C8E" w:rsidP="00BD4391">
            <w:pPr>
              <w:pStyle w:val="nsr"/>
            </w:pPr>
            <w:r w:rsidRPr="00123C9C">
              <w:t xml:space="preserve">VIII, </w:t>
            </w:r>
            <w:r>
              <w:t>16</w:t>
            </w:r>
            <w:r w:rsidRPr="00123C9C">
              <w:t>-18.</w:t>
            </w:r>
          </w:p>
        </w:tc>
        <w:tc>
          <w:tcPr>
            <w:tcW w:w="641" w:type="pct"/>
            <w:shd w:val="clear" w:color="auto" w:fill="FFFFFF"/>
          </w:tcPr>
          <w:p w:rsidR="00E36C8E" w:rsidRPr="00123C9C" w:rsidRDefault="001B4203" w:rsidP="00BD4391">
            <w:pPr>
              <w:pStyle w:val="centrum"/>
            </w:pPr>
            <w:r>
              <w:t xml:space="preserve"> </w:t>
            </w:r>
            <w:r w:rsidR="00E36C8E" w:rsidRPr="00D709E6">
              <w:t>»</w:t>
            </w:r>
          </w:p>
        </w:tc>
      </w:tr>
      <w:tr w:rsidR="00E36C8E" w:rsidRPr="00177118" w:rsidTr="00BD4391">
        <w:trPr>
          <w:cantSplit/>
          <w:trHeight w:val="20"/>
        </w:trPr>
        <w:tc>
          <w:tcPr>
            <w:tcW w:w="2108" w:type="pct"/>
            <w:shd w:val="clear" w:color="auto" w:fill="FFFFFF"/>
          </w:tcPr>
          <w:p w:rsidR="00E36C8E" w:rsidRPr="00177118" w:rsidRDefault="00E36C8E" w:rsidP="00BD4391">
            <w:pPr>
              <w:pStyle w:val="h"/>
            </w:pPr>
            <w:r>
              <w:t>Parabole de la graine qui germe doucement</w:t>
            </w:r>
          </w:p>
        </w:tc>
        <w:tc>
          <w:tcPr>
            <w:tcW w:w="757" w:type="pct"/>
            <w:shd w:val="clear" w:color="auto" w:fill="FFFFFF"/>
          </w:tcPr>
          <w:p w:rsidR="00E36C8E" w:rsidRPr="00123C9C" w:rsidRDefault="00E36C8E" w:rsidP="00BD4391">
            <w:pPr>
              <w:pStyle w:val="centrum"/>
            </w:pPr>
            <w:r w:rsidRPr="00123C9C">
              <w:t xml:space="preserve"> »</w:t>
            </w:r>
          </w:p>
        </w:tc>
        <w:tc>
          <w:tcPr>
            <w:tcW w:w="754" w:type="pct"/>
            <w:shd w:val="clear" w:color="auto" w:fill="FFFFFF"/>
          </w:tcPr>
          <w:p w:rsidR="00E36C8E" w:rsidRPr="00123C9C" w:rsidRDefault="00E36C8E" w:rsidP="00BD4391">
            <w:pPr>
              <w:pStyle w:val="nsr"/>
            </w:pPr>
            <w:r w:rsidRPr="00123C9C">
              <w:t>IV, 26-29.</w:t>
            </w:r>
          </w:p>
        </w:tc>
        <w:tc>
          <w:tcPr>
            <w:tcW w:w="740" w:type="pct"/>
            <w:shd w:val="clear" w:color="auto" w:fill="FFFFFF"/>
          </w:tcPr>
          <w:p w:rsidR="00E36C8E" w:rsidRPr="00123C9C" w:rsidRDefault="00E36C8E" w:rsidP="00BD4391">
            <w:pPr>
              <w:pStyle w:val="centrum"/>
            </w:pPr>
            <w:r w:rsidRPr="00123C9C">
              <w:t xml:space="preserve"> »</w:t>
            </w:r>
          </w:p>
        </w:tc>
        <w:tc>
          <w:tcPr>
            <w:tcW w:w="641" w:type="pct"/>
            <w:shd w:val="clear" w:color="auto" w:fill="FFFFFF"/>
          </w:tcPr>
          <w:p w:rsidR="00E36C8E" w:rsidRPr="00123C9C" w:rsidRDefault="001B4203" w:rsidP="00BD4391">
            <w:pPr>
              <w:pStyle w:val="centrum"/>
            </w:pPr>
            <w:r>
              <w:t xml:space="preserve"> </w:t>
            </w:r>
            <w:r w:rsidR="00E36C8E" w:rsidRPr="00D709E6">
              <w:t>»</w:t>
            </w:r>
          </w:p>
        </w:tc>
      </w:tr>
      <w:tr w:rsidR="00E36C8E" w:rsidRPr="00177118" w:rsidTr="00BD4391">
        <w:trPr>
          <w:cantSplit/>
          <w:trHeight w:val="20"/>
        </w:trPr>
        <w:tc>
          <w:tcPr>
            <w:tcW w:w="2108" w:type="pct"/>
            <w:shd w:val="clear" w:color="auto" w:fill="FFFFFF"/>
          </w:tcPr>
          <w:p w:rsidR="00E36C8E" w:rsidRPr="00177118" w:rsidRDefault="00E36C8E" w:rsidP="00BD4391">
            <w:pPr>
              <w:pStyle w:val="h"/>
            </w:pPr>
            <w:r>
              <w:t>La bonne semence et l</w:t>
            </w:r>
            <w:r w:rsidR="00557DE0">
              <w:t>’</w:t>
            </w:r>
            <w:r>
              <w:t>ivr</w:t>
            </w:r>
            <w:r w:rsidRPr="00177118">
              <w:t>aie</w:t>
            </w:r>
            <w:r>
              <w:t xml:space="preserve"> </w:t>
            </w:r>
          </w:p>
        </w:tc>
        <w:tc>
          <w:tcPr>
            <w:tcW w:w="757" w:type="pct"/>
            <w:shd w:val="clear" w:color="auto" w:fill="FFFFFF"/>
          </w:tcPr>
          <w:p w:rsidR="00E36C8E" w:rsidRPr="00123C9C" w:rsidRDefault="00E36C8E" w:rsidP="00BD4391">
            <w:pPr>
              <w:pStyle w:val="nsr"/>
            </w:pPr>
            <w:r w:rsidRPr="00123C9C">
              <w:t>XIII, 24-</w:t>
            </w:r>
            <w:r>
              <w:t>3</w:t>
            </w:r>
            <w:r w:rsidRPr="00123C9C">
              <w:t>0.</w:t>
            </w:r>
          </w:p>
        </w:tc>
        <w:tc>
          <w:tcPr>
            <w:tcW w:w="754" w:type="pct"/>
            <w:shd w:val="clear" w:color="auto" w:fill="FFFFFF"/>
          </w:tcPr>
          <w:p w:rsidR="00E36C8E" w:rsidRPr="00123C9C" w:rsidRDefault="001B4203" w:rsidP="00BD4391">
            <w:pPr>
              <w:pStyle w:val="centrum"/>
            </w:pPr>
            <w:r>
              <w:t xml:space="preserve"> </w:t>
            </w:r>
            <w:r w:rsidR="00E36C8E" w:rsidRPr="00123C9C">
              <w:t>»</w:t>
            </w:r>
          </w:p>
        </w:tc>
        <w:tc>
          <w:tcPr>
            <w:tcW w:w="740" w:type="pct"/>
            <w:shd w:val="clear" w:color="auto" w:fill="FFFFFF"/>
          </w:tcPr>
          <w:p w:rsidR="00E36C8E" w:rsidRPr="00123C9C" w:rsidRDefault="00E36C8E" w:rsidP="00BD4391">
            <w:pPr>
              <w:pStyle w:val="centrum"/>
            </w:pPr>
            <w:r w:rsidRPr="00123C9C">
              <w:t xml:space="preserve"> »</w:t>
            </w:r>
          </w:p>
        </w:tc>
        <w:tc>
          <w:tcPr>
            <w:tcW w:w="641" w:type="pct"/>
            <w:shd w:val="clear" w:color="auto" w:fill="FFFFFF"/>
          </w:tcPr>
          <w:p w:rsidR="00E36C8E" w:rsidRPr="00123C9C" w:rsidRDefault="001B4203" w:rsidP="00BD4391">
            <w:pPr>
              <w:pStyle w:val="centrum"/>
            </w:pPr>
            <w:r>
              <w:t xml:space="preserve"> </w:t>
            </w:r>
            <w:r w:rsidR="00E36C8E" w:rsidRPr="00123C9C">
              <w:t>»</w:t>
            </w:r>
          </w:p>
        </w:tc>
      </w:tr>
      <w:tr w:rsidR="00E36C8E" w:rsidRPr="00177118" w:rsidTr="00BD4391">
        <w:trPr>
          <w:cantSplit/>
          <w:trHeight w:val="20"/>
        </w:trPr>
        <w:tc>
          <w:tcPr>
            <w:tcW w:w="2108" w:type="pct"/>
            <w:shd w:val="clear" w:color="auto" w:fill="FFFFFF"/>
          </w:tcPr>
          <w:p w:rsidR="00E36C8E" w:rsidRPr="00177118" w:rsidRDefault="00E36C8E" w:rsidP="00BD4391">
            <w:pPr>
              <w:pStyle w:val="h"/>
            </w:pPr>
            <w:r>
              <w:t>Le grain de sénev</w:t>
            </w:r>
            <w:r w:rsidRPr="00177118">
              <w:t>é et le levain</w:t>
            </w:r>
            <w:r>
              <w:t xml:space="preserve"> </w:t>
            </w:r>
          </w:p>
        </w:tc>
        <w:tc>
          <w:tcPr>
            <w:tcW w:w="757" w:type="pct"/>
            <w:shd w:val="clear" w:color="auto" w:fill="FFFFFF"/>
          </w:tcPr>
          <w:p w:rsidR="00E36C8E" w:rsidRPr="00123C9C" w:rsidRDefault="00E36C8E" w:rsidP="00BD4391">
            <w:pPr>
              <w:pStyle w:val="nsr"/>
            </w:pPr>
            <w:r w:rsidRPr="00123C9C">
              <w:t>XIII, 31-35.</w:t>
            </w:r>
          </w:p>
        </w:tc>
        <w:tc>
          <w:tcPr>
            <w:tcW w:w="754" w:type="pct"/>
            <w:shd w:val="clear" w:color="auto" w:fill="FFFFFF"/>
          </w:tcPr>
          <w:p w:rsidR="00E36C8E" w:rsidRPr="00123C9C" w:rsidRDefault="00E36C8E" w:rsidP="00BD4391">
            <w:pPr>
              <w:pStyle w:val="nsr"/>
            </w:pPr>
            <w:r w:rsidRPr="00123C9C">
              <w:t>IV, 30-34.</w:t>
            </w:r>
          </w:p>
        </w:tc>
        <w:tc>
          <w:tcPr>
            <w:tcW w:w="740" w:type="pct"/>
            <w:shd w:val="clear" w:color="auto" w:fill="FFFFFF"/>
          </w:tcPr>
          <w:p w:rsidR="00E36C8E" w:rsidRPr="00123C9C" w:rsidRDefault="00E36C8E" w:rsidP="00BD4391">
            <w:pPr>
              <w:pStyle w:val="nsr"/>
            </w:pPr>
            <w:r>
              <w:t>XIII</w:t>
            </w:r>
            <w:r w:rsidRPr="00123C9C">
              <w:t xml:space="preserve">, </w:t>
            </w:r>
            <w:r>
              <w:t>18-2</w:t>
            </w:r>
            <w:r w:rsidRPr="00123C9C">
              <w:t>1.</w:t>
            </w:r>
          </w:p>
        </w:tc>
        <w:tc>
          <w:tcPr>
            <w:tcW w:w="641" w:type="pct"/>
            <w:shd w:val="clear" w:color="auto" w:fill="FFFFFF"/>
          </w:tcPr>
          <w:p w:rsidR="00E36C8E" w:rsidRPr="00123C9C" w:rsidRDefault="001B4203" w:rsidP="00BD4391">
            <w:pPr>
              <w:pStyle w:val="centrum"/>
            </w:pPr>
            <w:r>
              <w:t xml:space="preserve"> </w:t>
            </w:r>
            <w:r w:rsidR="00E36C8E" w:rsidRPr="00D709E6">
              <w:t>»</w:t>
            </w:r>
          </w:p>
        </w:tc>
      </w:tr>
      <w:tr w:rsidR="00E36C8E" w:rsidRPr="00177118" w:rsidTr="00BD4391">
        <w:trPr>
          <w:cantSplit/>
          <w:trHeight w:val="20"/>
        </w:trPr>
        <w:tc>
          <w:tcPr>
            <w:tcW w:w="2108" w:type="pct"/>
            <w:shd w:val="clear" w:color="auto" w:fill="FFFFFF"/>
          </w:tcPr>
          <w:p w:rsidR="00E36C8E" w:rsidRPr="00177118" w:rsidRDefault="00E36C8E" w:rsidP="00BD4391">
            <w:pPr>
              <w:pStyle w:val="h"/>
            </w:pPr>
            <w:r>
              <w:t>Explication de</w:t>
            </w:r>
            <w:r w:rsidRPr="00177118">
              <w:t xml:space="preserve"> la parabole de l</w:t>
            </w:r>
            <w:r w:rsidR="00557DE0">
              <w:t>’</w:t>
            </w:r>
            <w:r>
              <w:t>ivraie</w:t>
            </w:r>
          </w:p>
        </w:tc>
        <w:tc>
          <w:tcPr>
            <w:tcW w:w="757" w:type="pct"/>
            <w:shd w:val="clear" w:color="auto" w:fill="FFFFFF"/>
          </w:tcPr>
          <w:p w:rsidR="00E36C8E" w:rsidRPr="00123C9C" w:rsidRDefault="00E36C8E" w:rsidP="00BD4391">
            <w:pPr>
              <w:pStyle w:val="nsr"/>
            </w:pPr>
            <w:r>
              <w:t>XIII</w:t>
            </w:r>
            <w:r w:rsidRPr="00123C9C">
              <w:t>, 36-43.</w:t>
            </w:r>
          </w:p>
        </w:tc>
        <w:tc>
          <w:tcPr>
            <w:tcW w:w="754" w:type="pct"/>
            <w:shd w:val="clear" w:color="auto" w:fill="FFFFFF"/>
          </w:tcPr>
          <w:p w:rsidR="00E36C8E" w:rsidRPr="00123C9C" w:rsidRDefault="00E36C8E" w:rsidP="00BD4391">
            <w:pPr>
              <w:pStyle w:val="centrum"/>
            </w:pPr>
            <w:r w:rsidRPr="00123C9C">
              <w:t xml:space="preserve"> »</w:t>
            </w:r>
          </w:p>
        </w:tc>
        <w:tc>
          <w:tcPr>
            <w:tcW w:w="740" w:type="pct"/>
            <w:shd w:val="clear" w:color="auto" w:fill="FFFFFF"/>
          </w:tcPr>
          <w:p w:rsidR="00E36C8E" w:rsidRPr="00123C9C" w:rsidRDefault="00E36C8E" w:rsidP="00BD4391">
            <w:pPr>
              <w:pStyle w:val="centrum"/>
            </w:pPr>
            <w:r w:rsidRPr="00123C9C">
              <w:t xml:space="preserve"> »</w:t>
            </w:r>
          </w:p>
        </w:tc>
        <w:tc>
          <w:tcPr>
            <w:tcW w:w="641" w:type="pct"/>
            <w:shd w:val="clear" w:color="auto" w:fill="FFFFFF"/>
          </w:tcPr>
          <w:p w:rsidR="00E36C8E" w:rsidRPr="00123C9C" w:rsidRDefault="00E36C8E" w:rsidP="00BD4391">
            <w:pPr>
              <w:pStyle w:val="centrum"/>
            </w:pPr>
            <w:r w:rsidRPr="00123C9C">
              <w:t xml:space="preserve"> »</w:t>
            </w:r>
          </w:p>
        </w:tc>
      </w:tr>
      <w:tr w:rsidR="00E36C8E" w:rsidRPr="00177118" w:rsidTr="00BD4391">
        <w:trPr>
          <w:cantSplit/>
          <w:trHeight w:val="20"/>
        </w:trPr>
        <w:tc>
          <w:tcPr>
            <w:tcW w:w="2108" w:type="pct"/>
            <w:shd w:val="clear" w:color="auto" w:fill="FFFFFF"/>
          </w:tcPr>
          <w:p w:rsidR="00E36C8E" w:rsidRPr="00177118" w:rsidRDefault="00E36C8E" w:rsidP="00BD4391">
            <w:pPr>
              <w:pStyle w:val="h"/>
            </w:pPr>
            <w:r w:rsidRPr="00177118">
              <w:t xml:space="preserve">Le trésor </w:t>
            </w:r>
            <w:r>
              <w:t>caché et la perle précieuse</w:t>
            </w:r>
          </w:p>
        </w:tc>
        <w:tc>
          <w:tcPr>
            <w:tcW w:w="757" w:type="pct"/>
            <w:shd w:val="clear" w:color="auto" w:fill="FFFFFF"/>
          </w:tcPr>
          <w:p w:rsidR="00E36C8E" w:rsidRPr="00123C9C" w:rsidRDefault="00E36C8E" w:rsidP="00BD4391">
            <w:pPr>
              <w:pStyle w:val="nsr"/>
            </w:pPr>
            <w:r w:rsidRPr="00123C9C">
              <w:t>XIII, 44-40.</w:t>
            </w:r>
          </w:p>
        </w:tc>
        <w:tc>
          <w:tcPr>
            <w:tcW w:w="754" w:type="pct"/>
            <w:shd w:val="clear" w:color="auto" w:fill="FFFFFF"/>
          </w:tcPr>
          <w:p w:rsidR="00E36C8E" w:rsidRPr="00123C9C" w:rsidRDefault="00E36C8E" w:rsidP="00BD4391">
            <w:pPr>
              <w:pStyle w:val="centrum"/>
            </w:pPr>
            <w:r>
              <w:t xml:space="preserve"> </w:t>
            </w:r>
            <w:r w:rsidRPr="00123C9C">
              <w:t>»</w:t>
            </w:r>
          </w:p>
        </w:tc>
        <w:tc>
          <w:tcPr>
            <w:tcW w:w="740" w:type="pct"/>
            <w:shd w:val="clear" w:color="auto" w:fill="FFFFFF"/>
          </w:tcPr>
          <w:p w:rsidR="00E36C8E" w:rsidRPr="00123C9C" w:rsidRDefault="00E36C8E" w:rsidP="00BD4391">
            <w:pPr>
              <w:pStyle w:val="centrum"/>
            </w:pPr>
            <w:r w:rsidRPr="00123C9C">
              <w:t xml:space="preserve"> »</w:t>
            </w:r>
          </w:p>
        </w:tc>
        <w:tc>
          <w:tcPr>
            <w:tcW w:w="641" w:type="pct"/>
            <w:shd w:val="clear" w:color="auto" w:fill="FFFFFF"/>
          </w:tcPr>
          <w:p w:rsidR="00E36C8E" w:rsidRPr="00123C9C" w:rsidRDefault="001B4203" w:rsidP="00BD4391">
            <w:pPr>
              <w:pStyle w:val="centrum"/>
            </w:pPr>
            <w:r>
              <w:t xml:space="preserve"> </w:t>
            </w:r>
            <w:r w:rsidR="00E36C8E" w:rsidRPr="00123C9C">
              <w:t>»</w:t>
            </w:r>
          </w:p>
        </w:tc>
      </w:tr>
      <w:tr w:rsidR="00E36C8E" w:rsidRPr="00177118" w:rsidTr="00BD4391">
        <w:trPr>
          <w:cantSplit/>
          <w:trHeight w:val="20"/>
        </w:trPr>
        <w:tc>
          <w:tcPr>
            <w:tcW w:w="2108" w:type="pct"/>
            <w:shd w:val="clear" w:color="auto" w:fill="FFFFFF"/>
          </w:tcPr>
          <w:p w:rsidR="00E36C8E" w:rsidRPr="00177118" w:rsidRDefault="00E36C8E" w:rsidP="00BD4391">
            <w:pPr>
              <w:pStyle w:val="h"/>
            </w:pPr>
            <w:r w:rsidRPr="00177118">
              <w:t>Le filet jeté à la mer</w:t>
            </w:r>
            <w:r>
              <w:t xml:space="preserve"> </w:t>
            </w:r>
          </w:p>
        </w:tc>
        <w:tc>
          <w:tcPr>
            <w:tcW w:w="757" w:type="pct"/>
            <w:shd w:val="clear" w:color="auto" w:fill="FFFFFF"/>
          </w:tcPr>
          <w:p w:rsidR="00E36C8E" w:rsidRPr="00123C9C" w:rsidRDefault="00E36C8E" w:rsidP="00BD4391">
            <w:pPr>
              <w:pStyle w:val="nsr"/>
            </w:pPr>
            <w:r w:rsidRPr="00123C9C">
              <w:t>XIII, 47-53.</w:t>
            </w:r>
          </w:p>
        </w:tc>
        <w:tc>
          <w:tcPr>
            <w:tcW w:w="754" w:type="pct"/>
            <w:shd w:val="clear" w:color="auto" w:fill="FFFFFF"/>
          </w:tcPr>
          <w:p w:rsidR="00E36C8E" w:rsidRPr="00123C9C" w:rsidRDefault="00E36C8E" w:rsidP="00BD4391">
            <w:pPr>
              <w:pStyle w:val="centrum"/>
            </w:pPr>
            <w:r w:rsidRPr="00123C9C">
              <w:t xml:space="preserve"> »</w:t>
            </w:r>
          </w:p>
        </w:tc>
        <w:tc>
          <w:tcPr>
            <w:tcW w:w="740" w:type="pct"/>
            <w:shd w:val="clear" w:color="auto" w:fill="FFFFFF"/>
          </w:tcPr>
          <w:p w:rsidR="00E36C8E" w:rsidRPr="00123C9C" w:rsidRDefault="001B4203" w:rsidP="00BD4391">
            <w:pPr>
              <w:pStyle w:val="centrum"/>
            </w:pPr>
            <w:r>
              <w:t xml:space="preserve"> </w:t>
            </w:r>
            <w:r w:rsidR="00E36C8E" w:rsidRPr="00123C9C">
              <w:t>»</w:t>
            </w:r>
          </w:p>
        </w:tc>
        <w:tc>
          <w:tcPr>
            <w:tcW w:w="641" w:type="pct"/>
            <w:shd w:val="clear" w:color="auto" w:fill="FFFFFF"/>
          </w:tcPr>
          <w:p w:rsidR="00E36C8E" w:rsidRPr="00123C9C" w:rsidRDefault="00E36C8E" w:rsidP="00BD4391">
            <w:pPr>
              <w:pStyle w:val="centrum"/>
            </w:pPr>
            <w:r w:rsidRPr="00123C9C">
              <w:t xml:space="preserve"> »</w:t>
            </w:r>
          </w:p>
        </w:tc>
      </w:tr>
      <w:tr w:rsidR="00E36C8E" w:rsidRPr="00177118" w:rsidTr="00BD4391">
        <w:trPr>
          <w:cantSplit/>
          <w:trHeight w:val="20"/>
        </w:trPr>
        <w:tc>
          <w:tcPr>
            <w:tcW w:w="2108" w:type="pct"/>
            <w:shd w:val="clear" w:color="auto" w:fill="FFFFFF"/>
          </w:tcPr>
          <w:p w:rsidR="00E36C8E" w:rsidRPr="00177118" w:rsidRDefault="00E36C8E" w:rsidP="00BD4391">
            <w:pPr>
              <w:pStyle w:val="h"/>
            </w:pPr>
            <w:r>
              <w:t>Miracle de la t</w:t>
            </w:r>
            <w:r w:rsidRPr="00177118">
              <w:t>empête apaisée</w:t>
            </w:r>
            <w:r>
              <w:t xml:space="preserve"> </w:t>
            </w:r>
          </w:p>
        </w:tc>
        <w:tc>
          <w:tcPr>
            <w:tcW w:w="757" w:type="pct"/>
            <w:shd w:val="clear" w:color="auto" w:fill="FFFFFF"/>
          </w:tcPr>
          <w:p w:rsidR="00E36C8E" w:rsidRPr="00123C9C" w:rsidRDefault="00E36C8E" w:rsidP="00BD4391">
            <w:pPr>
              <w:pStyle w:val="nsr"/>
            </w:pPr>
            <w:r w:rsidRPr="00123C9C">
              <w:t>VIII, 18, 23-27.</w:t>
            </w:r>
          </w:p>
        </w:tc>
        <w:tc>
          <w:tcPr>
            <w:tcW w:w="754" w:type="pct"/>
            <w:shd w:val="clear" w:color="auto" w:fill="FFFFFF"/>
          </w:tcPr>
          <w:p w:rsidR="00E36C8E" w:rsidRPr="00123C9C" w:rsidRDefault="00E36C8E" w:rsidP="00BD4391">
            <w:pPr>
              <w:pStyle w:val="nsr"/>
            </w:pPr>
            <w:r w:rsidRPr="00123C9C">
              <w:t>IV, 35-40.</w:t>
            </w:r>
          </w:p>
        </w:tc>
        <w:tc>
          <w:tcPr>
            <w:tcW w:w="740" w:type="pct"/>
            <w:shd w:val="clear" w:color="auto" w:fill="FFFFFF"/>
          </w:tcPr>
          <w:p w:rsidR="00E36C8E" w:rsidRPr="00123C9C" w:rsidRDefault="00E36C8E" w:rsidP="00BD4391">
            <w:pPr>
              <w:pStyle w:val="nsr"/>
            </w:pPr>
            <w:r w:rsidRPr="00123C9C">
              <w:t>VIII, 22-25.</w:t>
            </w:r>
          </w:p>
        </w:tc>
        <w:tc>
          <w:tcPr>
            <w:tcW w:w="641" w:type="pct"/>
            <w:shd w:val="clear" w:color="auto" w:fill="FFFFFF"/>
          </w:tcPr>
          <w:p w:rsidR="00E36C8E" w:rsidRPr="00123C9C" w:rsidRDefault="00E36C8E" w:rsidP="00BD4391">
            <w:pPr>
              <w:pStyle w:val="centrum"/>
            </w:pPr>
            <w:r w:rsidRPr="00123C9C">
              <w:t xml:space="preserve"> »</w:t>
            </w:r>
          </w:p>
        </w:tc>
      </w:tr>
      <w:tr w:rsidR="00E36C8E" w:rsidRPr="00177118" w:rsidTr="00BD4391">
        <w:trPr>
          <w:cantSplit/>
          <w:trHeight w:val="20"/>
        </w:trPr>
        <w:tc>
          <w:tcPr>
            <w:tcW w:w="2108" w:type="pct"/>
            <w:shd w:val="clear" w:color="auto" w:fill="FFFFFF"/>
          </w:tcPr>
          <w:p w:rsidR="00E36C8E" w:rsidRPr="00177118" w:rsidRDefault="00E36C8E" w:rsidP="00BD4391">
            <w:pPr>
              <w:pStyle w:val="h"/>
            </w:pPr>
            <w:r w:rsidRPr="00177118">
              <w:t>Guérison des démoniaques Gérasé</w:t>
            </w:r>
            <w:r>
              <w:t xml:space="preserve">niens </w:t>
            </w:r>
          </w:p>
        </w:tc>
        <w:tc>
          <w:tcPr>
            <w:tcW w:w="757" w:type="pct"/>
            <w:shd w:val="clear" w:color="auto" w:fill="FFFFFF"/>
          </w:tcPr>
          <w:p w:rsidR="00E36C8E" w:rsidRPr="00123C9C" w:rsidRDefault="00E36C8E" w:rsidP="00BD4391">
            <w:pPr>
              <w:pStyle w:val="nsr"/>
            </w:pPr>
            <w:r>
              <w:t>IX</w:t>
            </w:r>
            <w:r w:rsidRPr="00123C9C">
              <w:t xml:space="preserve">, </w:t>
            </w:r>
            <w:r>
              <w:t>28-31</w:t>
            </w:r>
            <w:r w:rsidRPr="00123C9C">
              <w:t>.</w:t>
            </w:r>
          </w:p>
        </w:tc>
        <w:tc>
          <w:tcPr>
            <w:tcW w:w="754" w:type="pct"/>
            <w:shd w:val="clear" w:color="auto" w:fill="FFFFFF"/>
          </w:tcPr>
          <w:p w:rsidR="00E36C8E" w:rsidRPr="00123C9C" w:rsidRDefault="00E36C8E" w:rsidP="00BD4391">
            <w:pPr>
              <w:pStyle w:val="nsr"/>
            </w:pPr>
            <w:r>
              <w:t>V</w:t>
            </w:r>
            <w:r w:rsidRPr="00123C9C">
              <w:t>, 1-20.</w:t>
            </w:r>
          </w:p>
        </w:tc>
        <w:tc>
          <w:tcPr>
            <w:tcW w:w="740" w:type="pct"/>
            <w:shd w:val="clear" w:color="auto" w:fill="FFFFFF"/>
          </w:tcPr>
          <w:p w:rsidR="00E36C8E" w:rsidRPr="00123C9C" w:rsidRDefault="00E36C8E" w:rsidP="00BD4391">
            <w:pPr>
              <w:pStyle w:val="nsr"/>
            </w:pPr>
            <w:r w:rsidRPr="00123C9C">
              <w:t>VIII, 26-39.</w:t>
            </w:r>
          </w:p>
        </w:tc>
        <w:tc>
          <w:tcPr>
            <w:tcW w:w="641" w:type="pct"/>
            <w:shd w:val="clear" w:color="auto" w:fill="FFFFFF"/>
          </w:tcPr>
          <w:p w:rsidR="00E36C8E" w:rsidRPr="00123C9C" w:rsidRDefault="00E36C8E" w:rsidP="00BD4391">
            <w:pPr>
              <w:pStyle w:val="centrum"/>
            </w:pPr>
            <w:r w:rsidRPr="00123C9C">
              <w:t xml:space="preserve"> »</w:t>
            </w:r>
          </w:p>
        </w:tc>
      </w:tr>
      <w:tr w:rsidR="00E36C8E" w:rsidRPr="00177118" w:rsidTr="00BD4391">
        <w:trPr>
          <w:cantSplit/>
          <w:trHeight w:val="20"/>
        </w:trPr>
        <w:tc>
          <w:tcPr>
            <w:tcW w:w="2108" w:type="pct"/>
            <w:shd w:val="clear" w:color="auto" w:fill="FFFFFF"/>
          </w:tcPr>
          <w:p w:rsidR="00E36C8E" w:rsidRPr="00177118" w:rsidRDefault="00E36C8E" w:rsidP="00BD4391">
            <w:pPr>
              <w:pStyle w:val="h"/>
            </w:pPr>
            <w:r w:rsidRPr="00177118">
              <w:t>Guérison de l</w:t>
            </w:r>
            <w:r w:rsidR="00557DE0">
              <w:t>’</w:t>
            </w:r>
            <w:r w:rsidRPr="00177118">
              <w:t>hé</w:t>
            </w:r>
            <w:r>
              <w:t>morro</w:t>
            </w:r>
            <w:r w:rsidRPr="00177118">
              <w:t>ïsse et résurrection de la fille de Jaïre</w:t>
            </w:r>
            <w:r>
              <w:t xml:space="preserve"> </w:t>
            </w:r>
          </w:p>
        </w:tc>
        <w:tc>
          <w:tcPr>
            <w:tcW w:w="757" w:type="pct"/>
            <w:shd w:val="clear" w:color="auto" w:fill="FFFFFF"/>
          </w:tcPr>
          <w:p w:rsidR="00E36C8E" w:rsidRPr="00123C9C" w:rsidRDefault="00E36C8E" w:rsidP="00BD4391">
            <w:pPr>
              <w:pStyle w:val="nsr"/>
            </w:pPr>
            <w:r>
              <w:t>IX</w:t>
            </w:r>
            <w:r w:rsidRPr="00123C9C">
              <w:t xml:space="preserve">, 18-26. </w:t>
            </w:r>
          </w:p>
        </w:tc>
        <w:tc>
          <w:tcPr>
            <w:tcW w:w="754" w:type="pct"/>
            <w:shd w:val="clear" w:color="auto" w:fill="FFFFFF"/>
          </w:tcPr>
          <w:p w:rsidR="00E36C8E" w:rsidRPr="00123C9C" w:rsidRDefault="00E36C8E" w:rsidP="00BD4391">
            <w:pPr>
              <w:pStyle w:val="nsr"/>
            </w:pPr>
            <w:r>
              <w:t>V</w:t>
            </w:r>
            <w:r w:rsidRPr="00123C9C">
              <w:t>, 21-43.</w:t>
            </w:r>
          </w:p>
        </w:tc>
        <w:tc>
          <w:tcPr>
            <w:tcW w:w="740" w:type="pct"/>
            <w:shd w:val="clear" w:color="auto" w:fill="FFFFFF"/>
          </w:tcPr>
          <w:p w:rsidR="00E36C8E" w:rsidRPr="00123C9C" w:rsidRDefault="00E36C8E" w:rsidP="00BD4391">
            <w:pPr>
              <w:pStyle w:val="nsr"/>
            </w:pPr>
            <w:r w:rsidRPr="00123C9C">
              <w:t>VIII, 40-56.</w:t>
            </w:r>
          </w:p>
        </w:tc>
        <w:tc>
          <w:tcPr>
            <w:tcW w:w="641" w:type="pct"/>
            <w:shd w:val="clear" w:color="auto" w:fill="FFFFFF"/>
          </w:tcPr>
          <w:p w:rsidR="00E36C8E" w:rsidRPr="00123C9C" w:rsidRDefault="00E36C8E" w:rsidP="00BD4391">
            <w:pPr>
              <w:pStyle w:val="centrum"/>
            </w:pPr>
            <w:r w:rsidRPr="00123C9C">
              <w:t xml:space="preserve"> »</w:t>
            </w:r>
          </w:p>
        </w:tc>
      </w:tr>
      <w:tr w:rsidR="00E36C8E" w:rsidRPr="00177118" w:rsidTr="00BD4391">
        <w:trPr>
          <w:cantSplit/>
          <w:trHeight w:val="20"/>
        </w:trPr>
        <w:tc>
          <w:tcPr>
            <w:tcW w:w="2108" w:type="pct"/>
            <w:shd w:val="clear" w:color="auto" w:fill="FFFFFF"/>
          </w:tcPr>
          <w:p w:rsidR="00E36C8E" w:rsidRPr="00177118" w:rsidRDefault="00E36C8E" w:rsidP="00BD4391">
            <w:pPr>
              <w:pStyle w:val="h"/>
            </w:pPr>
            <w:r w:rsidRPr="00177118">
              <w:t>Guérison de deux aveugles et d</w:t>
            </w:r>
            <w:r w:rsidR="00557DE0">
              <w:t>’</w:t>
            </w:r>
            <w:r w:rsidRPr="00177118">
              <w:t>up</w:t>
            </w:r>
          </w:p>
        </w:tc>
        <w:tc>
          <w:tcPr>
            <w:tcW w:w="757" w:type="pct"/>
            <w:shd w:val="clear" w:color="auto" w:fill="FFFFFF"/>
          </w:tcPr>
          <w:p w:rsidR="00E36C8E" w:rsidRPr="00123C9C" w:rsidRDefault="00E36C8E" w:rsidP="00BD4391">
            <w:pPr>
              <w:pStyle w:val="nsr"/>
            </w:pPr>
            <w:r>
              <w:t>IX</w:t>
            </w:r>
            <w:r w:rsidRPr="00123C9C">
              <w:t xml:space="preserve">, </w:t>
            </w:r>
            <w:r>
              <w:t>2</w:t>
            </w:r>
            <w:r w:rsidRPr="00123C9C">
              <w:t>7-34.</w:t>
            </w:r>
          </w:p>
        </w:tc>
        <w:tc>
          <w:tcPr>
            <w:tcW w:w="754" w:type="pct"/>
            <w:shd w:val="clear" w:color="auto" w:fill="FFFFFF"/>
          </w:tcPr>
          <w:p w:rsidR="00E36C8E" w:rsidRPr="00123C9C" w:rsidRDefault="00E36C8E" w:rsidP="00BD4391">
            <w:pPr>
              <w:pStyle w:val="centrum"/>
            </w:pPr>
            <w:r w:rsidRPr="00123C9C">
              <w:t xml:space="preserve"> »</w:t>
            </w:r>
          </w:p>
        </w:tc>
        <w:tc>
          <w:tcPr>
            <w:tcW w:w="740" w:type="pct"/>
            <w:shd w:val="clear" w:color="auto" w:fill="FFFFFF"/>
          </w:tcPr>
          <w:p w:rsidR="00E36C8E" w:rsidRPr="00123C9C" w:rsidRDefault="00E36C8E" w:rsidP="00BD4391">
            <w:pPr>
              <w:pStyle w:val="centrum"/>
            </w:pPr>
            <w:r w:rsidRPr="00123C9C">
              <w:t xml:space="preserve"> »</w:t>
            </w:r>
          </w:p>
        </w:tc>
        <w:tc>
          <w:tcPr>
            <w:tcW w:w="641" w:type="pct"/>
            <w:shd w:val="clear" w:color="auto" w:fill="FFFFFF"/>
          </w:tcPr>
          <w:p w:rsidR="00E36C8E" w:rsidRPr="00123C9C" w:rsidRDefault="00E36C8E" w:rsidP="00BD4391">
            <w:pPr>
              <w:pStyle w:val="centrum"/>
            </w:pPr>
            <w:r w:rsidRPr="00123C9C">
              <w:t xml:space="preserve"> »</w:t>
            </w:r>
          </w:p>
        </w:tc>
      </w:tr>
      <w:tr w:rsidR="00E36C8E" w:rsidRPr="00177118" w:rsidTr="00BD4391">
        <w:trPr>
          <w:cantSplit/>
          <w:trHeight w:val="20"/>
        </w:trPr>
        <w:tc>
          <w:tcPr>
            <w:tcW w:w="2108" w:type="pct"/>
            <w:shd w:val="clear" w:color="auto" w:fill="FFFFFF"/>
          </w:tcPr>
          <w:p w:rsidR="00E36C8E" w:rsidRPr="00177118" w:rsidRDefault="00E36C8E" w:rsidP="00BD4391">
            <w:pPr>
              <w:pStyle w:val="h"/>
            </w:pPr>
            <w:r>
              <w:t xml:space="preserve">Jésus est de nouveau méprisé à Nazareth par ses compatriotes </w:t>
            </w:r>
          </w:p>
        </w:tc>
        <w:tc>
          <w:tcPr>
            <w:tcW w:w="757" w:type="pct"/>
            <w:shd w:val="clear" w:color="auto" w:fill="FFFFFF"/>
          </w:tcPr>
          <w:p w:rsidR="00E36C8E" w:rsidRPr="00123C9C" w:rsidRDefault="00E36C8E" w:rsidP="00BD4391">
            <w:pPr>
              <w:pStyle w:val="nsr"/>
            </w:pPr>
            <w:r w:rsidRPr="00123C9C">
              <w:t>XI</w:t>
            </w:r>
            <w:r>
              <w:t>II</w:t>
            </w:r>
            <w:r w:rsidRPr="00123C9C">
              <w:t xml:space="preserve">, </w:t>
            </w:r>
            <w:r>
              <w:t>54-58</w:t>
            </w:r>
            <w:r w:rsidRPr="00123C9C">
              <w:t>.</w:t>
            </w:r>
          </w:p>
        </w:tc>
        <w:tc>
          <w:tcPr>
            <w:tcW w:w="754" w:type="pct"/>
            <w:shd w:val="clear" w:color="auto" w:fill="FFFFFF"/>
          </w:tcPr>
          <w:p w:rsidR="00E36C8E" w:rsidRPr="00123C9C" w:rsidRDefault="00A319EA" w:rsidP="00BD4391">
            <w:pPr>
              <w:pStyle w:val="nsr"/>
            </w:pPr>
            <w:r>
              <w:t>VI</w:t>
            </w:r>
            <w:r w:rsidR="00E36C8E" w:rsidRPr="00123C9C">
              <w:t>, 1-6</w:t>
            </w:r>
            <w:r w:rsidR="00E36C8E">
              <w:t>a.</w:t>
            </w:r>
          </w:p>
        </w:tc>
        <w:tc>
          <w:tcPr>
            <w:tcW w:w="740" w:type="pct"/>
            <w:shd w:val="clear" w:color="auto" w:fill="FFFFFF"/>
          </w:tcPr>
          <w:p w:rsidR="00E36C8E" w:rsidRPr="00123C9C" w:rsidRDefault="00E36C8E" w:rsidP="00BD4391">
            <w:pPr>
              <w:pStyle w:val="centrum"/>
            </w:pPr>
            <w:r w:rsidRPr="00123C9C">
              <w:t xml:space="preserve"> »</w:t>
            </w:r>
          </w:p>
        </w:tc>
        <w:tc>
          <w:tcPr>
            <w:tcW w:w="641" w:type="pct"/>
            <w:shd w:val="clear" w:color="auto" w:fill="FFFFFF"/>
          </w:tcPr>
          <w:p w:rsidR="00E36C8E" w:rsidRPr="00123C9C" w:rsidRDefault="00E36C8E" w:rsidP="00BD4391">
            <w:pPr>
              <w:pStyle w:val="centrum"/>
            </w:pPr>
            <w:r w:rsidRPr="00123C9C">
              <w:t xml:space="preserve"> »</w:t>
            </w:r>
          </w:p>
        </w:tc>
      </w:tr>
      <w:tr w:rsidR="00E36C8E" w:rsidRPr="00177118" w:rsidTr="00BD4391">
        <w:trPr>
          <w:cantSplit/>
          <w:trHeight w:val="20"/>
        </w:trPr>
        <w:tc>
          <w:tcPr>
            <w:tcW w:w="2108" w:type="pct"/>
            <w:shd w:val="clear" w:color="auto" w:fill="FFFFFF"/>
          </w:tcPr>
          <w:p w:rsidR="00E36C8E" w:rsidRPr="00177118" w:rsidRDefault="00E36C8E" w:rsidP="00BD4391">
            <w:pPr>
              <w:pStyle w:val="h"/>
            </w:pPr>
            <w:r w:rsidRPr="00177118">
              <w:t>Troisiè</w:t>
            </w:r>
            <w:r>
              <w:t xml:space="preserve">me voyage à travers la Galilée </w:t>
            </w:r>
          </w:p>
        </w:tc>
        <w:tc>
          <w:tcPr>
            <w:tcW w:w="757" w:type="pct"/>
            <w:shd w:val="clear" w:color="auto" w:fill="FFFFFF"/>
          </w:tcPr>
          <w:p w:rsidR="00E36C8E" w:rsidRPr="00123C9C" w:rsidRDefault="00E36C8E" w:rsidP="00BD4391">
            <w:pPr>
              <w:pStyle w:val="nsr"/>
            </w:pPr>
            <w:r>
              <w:t>IX</w:t>
            </w:r>
            <w:r w:rsidRPr="00123C9C">
              <w:t>, 35-38.</w:t>
            </w:r>
          </w:p>
        </w:tc>
        <w:tc>
          <w:tcPr>
            <w:tcW w:w="754" w:type="pct"/>
            <w:shd w:val="clear" w:color="auto" w:fill="FFFFFF"/>
          </w:tcPr>
          <w:p w:rsidR="00E36C8E" w:rsidRPr="00123C9C" w:rsidRDefault="00A319EA" w:rsidP="00BD4391">
            <w:pPr>
              <w:pStyle w:val="nsr"/>
            </w:pPr>
            <w:r>
              <w:t>VI</w:t>
            </w:r>
            <w:r w:rsidR="00E36C8E" w:rsidRPr="00123C9C">
              <w:t xml:space="preserve">, </w:t>
            </w:r>
            <w:r w:rsidR="00E36C8E">
              <w:t>6</w:t>
            </w:r>
            <w:r w:rsidR="00E36C8E" w:rsidRPr="00123C9C">
              <w:t>b.</w:t>
            </w:r>
          </w:p>
        </w:tc>
        <w:tc>
          <w:tcPr>
            <w:tcW w:w="740" w:type="pct"/>
            <w:shd w:val="clear" w:color="auto" w:fill="FFFFFF"/>
          </w:tcPr>
          <w:p w:rsidR="00E36C8E" w:rsidRPr="00123C9C" w:rsidRDefault="00E36C8E" w:rsidP="00BD4391">
            <w:pPr>
              <w:pStyle w:val="centrum"/>
            </w:pPr>
            <w:r w:rsidRPr="00123C9C">
              <w:t xml:space="preserve"> »</w:t>
            </w:r>
          </w:p>
        </w:tc>
        <w:tc>
          <w:tcPr>
            <w:tcW w:w="641" w:type="pct"/>
            <w:shd w:val="clear" w:color="auto" w:fill="FFFFFF"/>
          </w:tcPr>
          <w:p w:rsidR="00E36C8E" w:rsidRPr="00123C9C" w:rsidRDefault="00E36C8E" w:rsidP="00BD4391">
            <w:pPr>
              <w:pStyle w:val="centrum"/>
            </w:pPr>
            <w:r w:rsidRPr="00123C9C">
              <w:t xml:space="preserve"> »</w:t>
            </w:r>
          </w:p>
        </w:tc>
      </w:tr>
      <w:tr w:rsidR="00E36C8E" w:rsidRPr="00177118" w:rsidTr="00BD4391">
        <w:trPr>
          <w:cantSplit/>
          <w:trHeight w:val="20"/>
        </w:trPr>
        <w:tc>
          <w:tcPr>
            <w:tcW w:w="2108" w:type="pct"/>
            <w:shd w:val="clear" w:color="auto" w:fill="FFFFFF"/>
          </w:tcPr>
          <w:p w:rsidR="00E36C8E" w:rsidRPr="00177118" w:rsidRDefault="00E36C8E" w:rsidP="00BD4391">
            <w:pPr>
              <w:pStyle w:val="h"/>
            </w:pPr>
            <w:r w:rsidRPr="00177118">
              <w:t>Discours aux Apôtres</w:t>
            </w:r>
            <w:r>
              <w:t> ; leur mission.</w:t>
            </w:r>
          </w:p>
        </w:tc>
        <w:tc>
          <w:tcPr>
            <w:tcW w:w="757" w:type="pct"/>
            <w:shd w:val="clear" w:color="auto" w:fill="FFFFFF"/>
          </w:tcPr>
          <w:p w:rsidR="00E36C8E" w:rsidRPr="00123C9C" w:rsidRDefault="00E36C8E" w:rsidP="00BD4391">
            <w:pPr>
              <w:pStyle w:val="nsr"/>
            </w:pPr>
            <w:r w:rsidRPr="00123C9C">
              <w:t xml:space="preserve">X, </w:t>
            </w:r>
            <w:r>
              <w:t>1-42. XI, 1.</w:t>
            </w:r>
          </w:p>
        </w:tc>
        <w:tc>
          <w:tcPr>
            <w:tcW w:w="754" w:type="pct"/>
            <w:shd w:val="clear" w:color="auto" w:fill="FFFFFF"/>
          </w:tcPr>
          <w:p w:rsidR="00E36C8E" w:rsidRPr="00123C9C" w:rsidRDefault="00A319EA" w:rsidP="00BD4391">
            <w:pPr>
              <w:pStyle w:val="nsr"/>
            </w:pPr>
            <w:r>
              <w:t>VI</w:t>
            </w:r>
            <w:r w:rsidR="00E36C8E" w:rsidRPr="00123C9C">
              <w:t>, 7-13.</w:t>
            </w:r>
          </w:p>
        </w:tc>
        <w:tc>
          <w:tcPr>
            <w:tcW w:w="740" w:type="pct"/>
            <w:shd w:val="clear" w:color="auto" w:fill="FFFFFF"/>
          </w:tcPr>
          <w:p w:rsidR="00E36C8E" w:rsidRPr="00123C9C" w:rsidRDefault="00E36C8E" w:rsidP="00BD4391">
            <w:pPr>
              <w:pStyle w:val="nsr"/>
            </w:pPr>
            <w:r>
              <w:t>IX</w:t>
            </w:r>
            <w:r w:rsidRPr="00123C9C">
              <w:t xml:space="preserve">, 1-6, </w:t>
            </w:r>
          </w:p>
        </w:tc>
        <w:tc>
          <w:tcPr>
            <w:tcW w:w="641" w:type="pct"/>
            <w:shd w:val="clear" w:color="auto" w:fill="FFFFFF"/>
          </w:tcPr>
          <w:p w:rsidR="00E36C8E" w:rsidRPr="00123C9C" w:rsidRDefault="00E36C8E" w:rsidP="00BD4391">
            <w:pPr>
              <w:pStyle w:val="centrum"/>
            </w:pPr>
            <w:r w:rsidRPr="00123C9C">
              <w:t xml:space="preserve"> »</w:t>
            </w:r>
          </w:p>
        </w:tc>
      </w:tr>
      <w:tr w:rsidR="00E36C8E" w:rsidRPr="00177118" w:rsidTr="00BD4391">
        <w:trPr>
          <w:cantSplit/>
          <w:trHeight w:val="20"/>
        </w:trPr>
        <w:tc>
          <w:tcPr>
            <w:tcW w:w="2108" w:type="pct"/>
            <w:shd w:val="clear" w:color="auto" w:fill="FFFFFF"/>
          </w:tcPr>
          <w:p w:rsidR="00E36C8E" w:rsidRPr="00177118" w:rsidRDefault="00E36C8E" w:rsidP="00BD4391">
            <w:pPr>
              <w:pStyle w:val="h"/>
            </w:pPr>
            <w:r>
              <w:t>Ce qu</w:t>
            </w:r>
            <w:r w:rsidR="00557DE0">
              <w:t>’</w:t>
            </w:r>
            <w:r>
              <w:t>Hérode pense de Jésus</w:t>
            </w:r>
          </w:p>
        </w:tc>
        <w:tc>
          <w:tcPr>
            <w:tcW w:w="757" w:type="pct"/>
            <w:shd w:val="clear" w:color="auto" w:fill="FFFFFF"/>
          </w:tcPr>
          <w:p w:rsidR="00E36C8E" w:rsidRPr="00123C9C" w:rsidRDefault="00E36C8E" w:rsidP="00BD4391">
            <w:pPr>
              <w:pStyle w:val="nsr"/>
            </w:pPr>
            <w:r w:rsidRPr="00123C9C">
              <w:t xml:space="preserve"> XIV, 1-2.</w:t>
            </w:r>
          </w:p>
        </w:tc>
        <w:tc>
          <w:tcPr>
            <w:tcW w:w="754" w:type="pct"/>
            <w:shd w:val="clear" w:color="auto" w:fill="FFFFFF"/>
          </w:tcPr>
          <w:p w:rsidR="00E36C8E" w:rsidRPr="00123C9C" w:rsidRDefault="00A319EA" w:rsidP="00BD4391">
            <w:pPr>
              <w:pStyle w:val="nsr"/>
            </w:pPr>
            <w:r>
              <w:t>VI</w:t>
            </w:r>
            <w:r w:rsidR="00E36C8E" w:rsidRPr="00123C9C">
              <w:t>, 14-16.</w:t>
            </w:r>
          </w:p>
        </w:tc>
        <w:tc>
          <w:tcPr>
            <w:tcW w:w="740" w:type="pct"/>
            <w:shd w:val="clear" w:color="auto" w:fill="FFFFFF"/>
          </w:tcPr>
          <w:p w:rsidR="00E36C8E" w:rsidRPr="00123C9C" w:rsidRDefault="00E36C8E" w:rsidP="00BD4391">
            <w:pPr>
              <w:pStyle w:val="nsr"/>
            </w:pPr>
            <w:r>
              <w:t>IX</w:t>
            </w:r>
            <w:r w:rsidRPr="00123C9C">
              <w:t>, 7-9.</w:t>
            </w:r>
          </w:p>
        </w:tc>
        <w:tc>
          <w:tcPr>
            <w:tcW w:w="641" w:type="pct"/>
            <w:shd w:val="clear" w:color="auto" w:fill="FFFFFF"/>
          </w:tcPr>
          <w:p w:rsidR="00E36C8E" w:rsidRPr="00123C9C" w:rsidRDefault="00E36C8E" w:rsidP="00BD4391">
            <w:pPr>
              <w:pStyle w:val="centrum"/>
            </w:pPr>
            <w:r w:rsidRPr="00123C9C">
              <w:t xml:space="preserve"> »</w:t>
            </w:r>
          </w:p>
        </w:tc>
      </w:tr>
      <w:tr w:rsidR="00E36C8E" w:rsidRPr="00177118" w:rsidTr="00BD4391">
        <w:trPr>
          <w:cantSplit/>
          <w:trHeight w:val="20"/>
        </w:trPr>
        <w:tc>
          <w:tcPr>
            <w:tcW w:w="2108" w:type="pct"/>
            <w:shd w:val="clear" w:color="auto" w:fill="FFFFFF"/>
          </w:tcPr>
          <w:p w:rsidR="00E36C8E" w:rsidRPr="00177118" w:rsidRDefault="00E36C8E" w:rsidP="00BD4391">
            <w:pPr>
              <w:pStyle w:val="h"/>
            </w:pPr>
            <w:r w:rsidRPr="00177118">
              <w:t xml:space="preserve">Martyre de </w:t>
            </w:r>
            <w:r>
              <w:t>St</w:t>
            </w:r>
            <w:r w:rsidRPr="00177118">
              <w:t xml:space="preserve"> Jean-Baptiste</w:t>
            </w:r>
            <w:r>
              <w:t xml:space="preserve"> </w:t>
            </w:r>
          </w:p>
        </w:tc>
        <w:tc>
          <w:tcPr>
            <w:tcW w:w="757" w:type="pct"/>
            <w:shd w:val="clear" w:color="auto" w:fill="FFFFFF"/>
          </w:tcPr>
          <w:p w:rsidR="00E36C8E" w:rsidRPr="00123C9C" w:rsidRDefault="00E36C8E" w:rsidP="00BD4391">
            <w:pPr>
              <w:pStyle w:val="nsr"/>
            </w:pPr>
            <w:r w:rsidRPr="00123C9C">
              <w:t>XIV, 3-12</w:t>
            </w:r>
            <w:r>
              <w:t>.</w:t>
            </w:r>
          </w:p>
        </w:tc>
        <w:tc>
          <w:tcPr>
            <w:tcW w:w="754" w:type="pct"/>
            <w:shd w:val="clear" w:color="auto" w:fill="FFFFFF"/>
          </w:tcPr>
          <w:p w:rsidR="00E36C8E" w:rsidRPr="00123C9C" w:rsidRDefault="00A319EA" w:rsidP="00BD4391">
            <w:pPr>
              <w:pStyle w:val="nsr"/>
            </w:pPr>
            <w:r>
              <w:t>VI</w:t>
            </w:r>
            <w:r w:rsidR="00E36C8E" w:rsidRPr="00123C9C">
              <w:t>, 17-29.</w:t>
            </w:r>
          </w:p>
        </w:tc>
        <w:tc>
          <w:tcPr>
            <w:tcW w:w="740" w:type="pct"/>
            <w:shd w:val="clear" w:color="auto" w:fill="FFFFFF"/>
          </w:tcPr>
          <w:p w:rsidR="00E36C8E" w:rsidRPr="00123C9C" w:rsidRDefault="00E36C8E" w:rsidP="00BD4391">
            <w:pPr>
              <w:pStyle w:val="centrum"/>
            </w:pPr>
            <w:r w:rsidRPr="00123C9C">
              <w:t xml:space="preserve"> »</w:t>
            </w:r>
          </w:p>
        </w:tc>
        <w:tc>
          <w:tcPr>
            <w:tcW w:w="641" w:type="pct"/>
            <w:shd w:val="clear" w:color="auto" w:fill="FFFFFF"/>
          </w:tcPr>
          <w:p w:rsidR="00E36C8E" w:rsidRPr="00123C9C" w:rsidRDefault="001B4203" w:rsidP="00BD4391">
            <w:pPr>
              <w:pStyle w:val="centrum"/>
            </w:pPr>
            <w:r>
              <w:t xml:space="preserve"> </w:t>
            </w:r>
            <w:r w:rsidR="00E36C8E" w:rsidRPr="00123C9C">
              <w:t>»</w:t>
            </w:r>
          </w:p>
        </w:tc>
      </w:tr>
      <w:tr w:rsidR="00E36C8E" w:rsidRPr="00177118" w:rsidTr="00BD4391">
        <w:trPr>
          <w:cantSplit/>
          <w:trHeight w:val="20"/>
        </w:trPr>
        <w:tc>
          <w:tcPr>
            <w:tcW w:w="2108" w:type="pct"/>
            <w:shd w:val="clear" w:color="auto" w:fill="FFFFFF"/>
          </w:tcPr>
          <w:p w:rsidR="00E36C8E" w:rsidRPr="00177118" w:rsidRDefault="00E36C8E" w:rsidP="00BD4391">
            <w:pPr>
              <w:pStyle w:val="h"/>
            </w:pPr>
            <w:r w:rsidRPr="00177118">
              <w:t>Pre</w:t>
            </w:r>
            <w:r>
              <w:t>mière multiplication des pains</w:t>
            </w:r>
          </w:p>
        </w:tc>
        <w:tc>
          <w:tcPr>
            <w:tcW w:w="757" w:type="pct"/>
            <w:shd w:val="clear" w:color="auto" w:fill="FFFFFF"/>
          </w:tcPr>
          <w:p w:rsidR="00E36C8E" w:rsidRPr="00123C9C" w:rsidRDefault="00E36C8E" w:rsidP="00BD4391">
            <w:pPr>
              <w:pStyle w:val="nsr"/>
            </w:pPr>
            <w:r w:rsidRPr="00123C9C">
              <w:t>XIV, 13-21.</w:t>
            </w:r>
          </w:p>
        </w:tc>
        <w:tc>
          <w:tcPr>
            <w:tcW w:w="754" w:type="pct"/>
            <w:shd w:val="clear" w:color="auto" w:fill="FFFFFF"/>
          </w:tcPr>
          <w:p w:rsidR="00E36C8E" w:rsidRPr="00123C9C" w:rsidRDefault="00A319EA" w:rsidP="00BD4391">
            <w:pPr>
              <w:pStyle w:val="nsr"/>
            </w:pPr>
            <w:r>
              <w:t>VI</w:t>
            </w:r>
            <w:r w:rsidR="00E36C8E" w:rsidRPr="00123C9C">
              <w:t>, 30-44.</w:t>
            </w:r>
          </w:p>
        </w:tc>
        <w:tc>
          <w:tcPr>
            <w:tcW w:w="740" w:type="pct"/>
            <w:shd w:val="clear" w:color="auto" w:fill="FFFFFF"/>
          </w:tcPr>
          <w:p w:rsidR="00E36C8E" w:rsidRPr="00123C9C" w:rsidRDefault="00E36C8E" w:rsidP="00BD4391">
            <w:pPr>
              <w:pStyle w:val="nsr"/>
            </w:pPr>
            <w:r>
              <w:t>IX</w:t>
            </w:r>
            <w:r w:rsidRPr="00123C9C">
              <w:t xml:space="preserve">, 10-17, </w:t>
            </w:r>
          </w:p>
        </w:tc>
        <w:tc>
          <w:tcPr>
            <w:tcW w:w="641" w:type="pct"/>
            <w:shd w:val="clear" w:color="auto" w:fill="FFFFFF"/>
          </w:tcPr>
          <w:p w:rsidR="00E36C8E" w:rsidRPr="00123C9C" w:rsidRDefault="00A319EA" w:rsidP="00BD4391">
            <w:pPr>
              <w:pStyle w:val="nsr"/>
            </w:pPr>
            <w:r>
              <w:t>VI</w:t>
            </w:r>
            <w:r w:rsidR="00E36C8E" w:rsidRPr="00123C9C">
              <w:t>, 1-13.</w:t>
            </w:r>
          </w:p>
        </w:tc>
      </w:tr>
      <w:tr w:rsidR="00E36C8E" w:rsidRPr="00177118" w:rsidTr="00BD4391">
        <w:trPr>
          <w:cantSplit/>
          <w:trHeight w:val="20"/>
        </w:trPr>
        <w:tc>
          <w:tcPr>
            <w:tcW w:w="2108" w:type="pct"/>
            <w:shd w:val="clear" w:color="auto" w:fill="FFFFFF"/>
          </w:tcPr>
          <w:p w:rsidR="00E36C8E" w:rsidRPr="00177118" w:rsidRDefault="00E36C8E" w:rsidP="00BD4391">
            <w:pPr>
              <w:pStyle w:val="h"/>
            </w:pPr>
            <w:r w:rsidRPr="00177118">
              <w:t>Jésus marche sur les eaux</w:t>
            </w:r>
            <w:r>
              <w:t xml:space="preserve"> </w:t>
            </w:r>
          </w:p>
        </w:tc>
        <w:tc>
          <w:tcPr>
            <w:tcW w:w="757" w:type="pct"/>
            <w:shd w:val="clear" w:color="auto" w:fill="FFFFFF"/>
          </w:tcPr>
          <w:p w:rsidR="00E36C8E" w:rsidRPr="00123C9C" w:rsidRDefault="00E36C8E" w:rsidP="00BD4391">
            <w:pPr>
              <w:pStyle w:val="nsr"/>
            </w:pPr>
            <w:r w:rsidRPr="00123C9C">
              <w:t>XIV, 22-33.</w:t>
            </w:r>
          </w:p>
        </w:tc>
        <w:tc>
          <w:tcPr>
            <w:tcW w:w="754" w:type="pct"/>
            <w:shd w:val="clear" w:color="auto" w:fill="FFFFFF"/>
          </w:tcPr>
          <w:p w:rsidR="00E36C8E" w:rsidRPr="00123C9C" w:rsidRDefault="00A319EA" w:rsidP="00BD4391">
            <w:pPr>
              <w:pStyle w:val="nsr"/>
            </w:pPr>
            <w:r>
              <w:t>VI</w:t>
            </w:r>
            <w:r w:rsidR="00E36C8E">
              <w:t>, 45-52</w:t>
            </w:r>
            <w:r w:rsidR="00E36C8E" w:rsidRPr="00123C9C">
              <w:t>.</w:t>
            </w:r>
          </w:p>
        </w:tc>
        <w:tc>
          <w:tcPr>
            <w:tcW w:w="740" w:type="pct"/>
            <w:shd w:val="clear" w:color="auto" w:fill="FFFFFF"/>
          </w:tcPr>
          <w:p w:rsidR="00E36C8E" w:rsidRPr="00123C9C" w:rsidRDefault="00E36C8E" w:rsidP="00BD4391">
            <w:pPr>
              <w:pStyle w:val="centrum"/>
            </w:pPr>
            <w:r w:rsidRPr="00123C9C">
              <w:t xml:space="preserve"> »</w:t>
            </w:r>
          </w:p>
        </w:tc>
        <w:tc>
          <w:tcPr>
            <w:tcW w:w="641" w:type="pct"/>
            <w:shd w:val="clear" w:color="auto" w:fill="FFFFFF"/>
          </w:tcPr>
          <w:p w:rsidR="00E36C8E" w:rsidRPr="00123C9C" w:rsidRDefault="00A319EA" w:rsidP="00BD4391">
            <w:pPr>
              <w:pStyle w:val="nsr"/>
            </w:pPr>
            <w:r>
              <w:t>VI</w:t>
            </w:r>
            <w:r w:rsidR="00E36C8E">
              <w:t>, 14-21</w:t>
            </w:r>
            <w:r w:rsidR="00E36C8E" w:rsidRPr="00123C9C">
              <w:t>.</w:t>
            </w:r>
          </w:p>
        </w:tc>
      </w:tr>
      <w:tr w:rsidR="00E36C8E" w:rsidRPr="00177118" w:rsidTr="00BD4391">
        <w:trPr>
          <w:cantSplit/>
          <w:trHeight w:val="20"/>
        </w:trPr>
        <w:tc>
          <w:tcPr>
            <w:tcW w:w="2108" w:type="pct"/>
            <w:shd w:val="clear" w:color="auto" w:fill="FFFFFF"/>
          </w:tcPr>
          <w:p w:rsidR="00E36C8E" w:rsidRPr="00177118" w:rsidRDefault="00E36C8E" w:rsidP="00BD4391">
            <w:pPr>
              <w:pStyle w:val="h"/>
            </w:pPr>
            <w:r>
              <w:t>Il</w:t>
            </w:r>
            <w:r w:rsidRPr="00177118">
              <w:t xml:space="preserve"> parcourt le territoire de Génésareth.</w:t>
            </w:r>
          </w:p>
        </w:tc>
        <w:tc>
          <w:tcPr>
            <w:tcW w:w="757" w:type="pct"/>
            <w:shd w:val="clear" w:color="auto" w:fill="FFFFFF"/>
          </w:tcPr>
          <w:p w:rsidR="00E36C8E" w:rsidRPr="00123C9C" w:rsidRDefault="00E36C8E" w:rsidP="00BD4391">
            <w:pPr>
              <w:pStyle w:val="nsr"/>
            </w:pPr>
            <w:r w:rsidRPr="00123C9C">
              <w:t>XIV, 34-36.</w:t>
            </w:r>
          </w:p>
        </w:tc>
        <w:tc>
          <w:tcPr>
            <w:tcW w:w="754" w:type="pct"/>
            <w:shd w:val="clear" w:color="auto" w:fill="FFFFFF"/>
          </w:tcPr>
          <w:p w:rsidR="00E36C8E" w:rsidRPr="00123C9C" w:rsidRDefault="00A319EA" w:rsidP="00BD4391">
            <w:pPr>
              <w:pStyle w:val="nsr"/>
            </w:pPr>
            <w:r>
              <w:t>VI</w:t>
            </w:r>
            <w:r w:rsidR="00E36C8E" w:rsidRPr="00123C9C">
              <w:t>, 53-56.</w:t>
            </w:r>
          </w:p>
        </w:tc>
        <w:tc>
          <w:tcPr>
            <w:tcW w:w="740" w:type="pct"/>
            <w:shd w:val="clear" w:color="auto" w:fill="FFFFFF"/>
          </w:tcPr>
          <w:p w:rsidR="00E36C8E" w:rsidRPr="00123C9C" w:rsidRDefault="00E36C8E" w:rsidP="00BD4391">
            <w:pPr>
              <w:pStyle w:val="centrum"/>
            </w:pPr>
            <w:r w:rsidRPr="00123C9C">
              <w:t xml:space="preserve"> »</w:t>
            </w:r>
          </w:p>
        </w:tc>
        <w:tc>
          <w:tcPr>
            <w:tcW w:w="641" w:type="pct"/>
            <w:shd w:val="clear" w:color="auto" w:fill="FFFFFF"/>
          </w:tcPr>
          <w:p w:rsidR="00E36C8E" w:rsidRPr="00123C9C" w:rsidRDefault="001B4203" w:rsidP="00BD4391">
            <w:pPr>
              <w:pStyle w:val="centrum"/>
            </w:pPr>
            <w:r>
              <w:t xml:space="preserve"> </w:t>
            </w:r>
            <w:r w:rsidR="00E36C8E" w:rsidRPr="00123C9C">
              <w:t>»</w:t>
            </w:r>
          </w:p>
        </w:tc>
      </w:tr>
      <w:tr w:rsidR="00E36C8E" w:rsidRPr="00177118" w:rsidTr="00BD4391">
        <w:trPr>
          <w:cantSplit/>
          <w:trHeight w:val="20"/>
        </w:trPr>
        <w:tc>
          <w:tcPr>
            <w:tcW w:w="2108" w:type="pct"/>
            <w:shd w:val="clear" w:color="auto" w:fill="FFFFFF"/>
          </w:tcPr>
          <w:p w:rsidR="00E36C8E" w:rsidRPr="00177118" w:rsidRDefault="00E36C8E" w:rsidP="00BD4391">
            <w:pPr>
              <w:pStyle w:val="h"/>
            </w:pPr>
            <w:r>
              <w:t>Discours sur le pain de vie</w:t>
            </w:r>
          </w:p>
        </w:tc>
        <w:tc>
          <w:tcPr>
            <w:tcW w:w="757" w:type="pct"/>
            <w:shd w:val="clear" w:color="auto" w:fill="FFFFFF"/>
          </w:tcPr>
          <w:p w:rsidR="00E36C8E" w:rsidRPr="00123C9C" w:rsidRDefault="00E36C8E" w:rsidP="00BD4391">
            <w:pPr>
              <w:pStyle w:val="centrum"/>
            </w:pPr>
            <w:r w:rsidRPr="00123C9C">
              <w:t xml:space="preserve"> »</w:t>
            </w:r>
          </w:p>
        </w:tc>
        <w:tc>
          <w:tcPr>
            <w:tcW w:w="754" w:type="pct"/>
            <w:shd w:val="clear" w:color="auto" w:fill="FFFFFF"/>
          </w:tcPr>
          <w:p w:rsidR="00E36C8E" w:rsidRPr="00123C9C" w:rsidRDefault="001B4203" w:rsidP="00BD4391">
            <w:pPr>
              <w:pStyle w:val="centrum"/>
            </w:pPr>
            <w:r>
              <w:t xml:space="preserve"> </w:t>
            </w:r>
            <w:r w:rsidR="00E36C8E" w:rsidRPr="00123C9C">
              <w:t>»</w:t>
            </w:r>
          </w:p>
        </w:tc>
        <w:tc>
          <w:tcPr>
            <w:tcW w:w="740" w:type="pct"/>
            <w:shd w:val="clear" w:color="auto" w:fill="FFFFFF"/>
          </w:tcPr>
          <w:p w:rsidR="00E36C8E" w:rsidRPr="00123C9C" w:rsidRDefault="001B4203" w:rsidP="00BD4391">
            <w:pPr>
              <w:pStyle w:val="centrum"/>
            </w:pPr>
            <w:r>
              <w:t xml:space="preserve"> </w:t>
            </w:r>
            <w:r w:rsidR="00E36C8E" w:rsidRPr="00123C9C">
              <w:t>»</w:t>
            </w:r>
          </w:p>
        </w:tc>
        <w:tc>
          <w:tcPr>
            <w:tcW w:w="641" w:type="pct"/>
            <w:shd w:val="clear" w:color="auto" w:fill="FFFFFF"/>
          </w:tcPr>
          <w:p w:rsidR="00E36C8E" w:rsidRPr="00123C9C" w:rsidRDefault="00A319EA" w:rsidP="00BD4391">
            <w:pPr>
              <w:pStyle w:val="nsr"/>
            </w:pPr>
            <w:r>
              <w:t>VI</w:t>
            </w:r>
            <w:r w:rsidR="00E36C8E">
              <w:t>, 22-VII</w:t>
            </w:r>
            <w:r w:rsidR="00E36C8E" w:rsidRPr="00123C9C">
              <w:t>, 1.</w:t>
            </w:r>
          </w:p>
        </w:tc>
      </w:tr>
    </w:tbl>
    <w:p w:rsidR="00E36C8E" w:rsidRPr="00123C9C" w:rsidRDefault="00E36C8E" w:rsidP="00E36C8E">
      <w:pPr>
        <w:pStyle w:val="u3"/>
      </w:pPr>
      <w:r w:rsidRPr="00123C9C">
        <w:t xml:space="preserve">§ IV. — De la troisième Pâque à la fête des Tabernacles. </w:t>
      </w:r>
    </w:p>
    <w:p w:rsidR="00E36C8E" w:rsidRPr="00177118" w:rsidRDefault="00E36C8E" w:rsidP="00E36C8E">
      <w:pPr>
        <w:pStyle w:val="nsr"/>
      </w:pPr>
      <w:r>
        <w:t>(avril à octobre 782 ; 29 de</w:t>
      </w:r>
      <w:r w:rsidRPr="00177118">
        <w:t xml:space="preserve"> l</w:t>
      </w:r>
      <w:r w:rsidR="00557DE0">
        <w:t>’</w:t>
      </w:r>
      <w:r w:rsidRPr="00177118">
        <w:t>ère vulgaire).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5302"/>
        <w:gridCol w:w="1559"/>
        <w:gridCol w:w="1276"/>
        <w:gridCol w:w="1348"/>
        <w:gridCol w:w="1005"/>
      </w:tblGrid>
      <w:tr w:rsidR="00E36C8E" w:rsidRPr="00177118" w:rsidTr="00BD4391">
        <w:trPr>
          <w:cantSplit/>
          <w:trHeight w:val="20"/>
        </w:trPr>
        <w:tc>
          <w:tcPr>
            <w:tcW w:w="5302" w:type="dxa"/>
            <w:shd w:val="clear" w:color="auto" w:fill="FFFFFF"/>
          </w:tcPr>
          <w:p w:rsidR="00E36C8E" w:rsidRPr="00177118" w:rsidRDefault="00E36C8E" w:rsidP="00BD4391">
            <w:pPr>
              <w:pStyle w:val="h"/>
            </w:pPr>
            <w:r w:rsidRPr="00177118">
              <w:t>Discussion avec les Pharisiens a</w:t>
            </w:r>
            <w:r>
              <w:t>u</w:t>
            </w:r>
            <w:r w:rsidRPr="00177118">
              <w:t xml:space="preserve"> sujet</w:t>
            </w:r>
            <w:r>
              <w:t xml:space="preserve"> des traditions</w:t>
            </w:r>
          </w:p>
        </w:tc>
        <w:tc>
          <w:tcPr>
            <w:tcW w:w="1559" w:type="dxa"/>
            <w:shd w:val="clear" w:color="auto" w:fill="FFFFFF"/>
          </w:tcPr>
          <w:p w:rsidR="00E36C8E" w:rsidRPr="00BA1CB4" w:rsidRDefault="00E36C8E" w:rsidP="00BD4391">
            <w:pPr>
              <w:pStyle w:val="nsr"/>
            </w:pPr>
            <w:r w:rsidRPr="00BA1CB4">
              <w:t>XV, 1-20.</w:t>
            </w:r>
          </w:p>
        </w:tc>
        <w:tc>
          <w:tcPr>
            <w:tcW w:w="1276" w:type="dxa"/>
            <w:shd w:val="clear" w:color="auto" w:fill="FFFFFF"/>
          </w:tcPr>
          <w:p w:rsidR="00E36C8E" w:rsidRPr="00BA1CB4" w:rsidRDefault="00E36C8E" w:rsidP="00BD4391">
            <w:pPr>
              <w:pStyle w:val="nsr"/>
            </w:pPr>
            <w:r w:rsidRPr="00BA1CB4">
              <w:t>VII, 1-23.</w:t>
            </w:r>
          </w:p>
        </w:tc>
        <w:tc>
          <w:tcPr>
            <w:tcW w:w="1348" w:type="dxa"/>
            <w:shd w:val="clear" w:color="auto" w:fill="FFFFFF"/>
          </w:tcPr>
          <w:p w:rsidR="00E36C8E" w:rsidRDefault="001B4203" w:rsidP="00BD4391">
            <w:pPr>
              <w:pStyle w:val="centrum"/>
            </w:pPr>
            <w:r>
              <w:t xml:space="preserve"> </w:t>
            </w:r>
            <w:r w:rsidR="00E36C8E" w:rsidRPr="007E4367">
              <w:t>»</w:t>
            </w:r>
          </w:p>
        </w:tc>
        <w:tc>
          <w:tcPr>
            <w:tcW w:w="0" w:type="auto"/>
            <w:shd w:val="clear" w:color="auto" w:fill="FFFFFF"/>
          </w:tcPr>
          <w:p w:rsidR="00E36C8E" w:rsidRDefault="001B4203" w:rsidP="00BD4391">
            <w:pPr>
              <w:pStyle w:val="centrum"/>
            </w:pPr>
            <w:r>
              <w:t xml:space="preserve"> </w:t>
            </w:r>
            <w:r w:rsidR="00E36C8E" w:rsidRPr="009F6A9E">
              <w:t>»</w:t>
            </w:r>
          </w:p>
        </w:tc>
      </w:tr>
      <w:tr w:rsidR="00E36C8E" w:rsidRPr="005507CF" w:rsidTr="00BD4391">
        <w:trPr>
          <w:cantSplit/>
          <w:trHeight w:val="20"/>
        </w:trPr>
        <w:tc>
          <w:tcPr>
            <w:tcW w:w="5302" w:type="dxa"/>
            <w:shd w:val="clear" w:color="auto" w:fill="FFFFFF"/>
          </w:tcPr>
          <w:p w:rsidR="00E36C8E" w:rsidRPr="00177118" w:rsidRDefault="00E36C8E" w:rsidP="00BD4391">
            <w:pPr>
              <w:pStyle w:val="h"/>
            </w:pPr>
            <w:r w:rsidRPr="00177118">
              <w:t xml:space="preserve">Guérison de la </w:t>
            </w:r>
            <w:r>
              <w:t>fille de la Chananéenne</w:t>
            </w:r>
          </w:p>
        </w:tc>
        <w:tc>
          <w:tcPr>
            <w:tcW w:w="1559" w:type="dxa"/>
            <w:shd w:val="clear" w:color="auto" w:fill="FFFFFF"/>
          </w:tcPr>
          <w:p w:rsidR="00E36C8E" w:rsidRPr="00BA1CB4" w:rsidRDefault="00E36C8E" w:rsidP="00BD4391">
            <w:pPr>
              <w:pStyle w:val="nsr"/>
            </w:pPr>
            <w:r w:rsidRPr="00BA1CB4">
              <w:t>XV, 21-28.</w:t>
            </w:r>
          </w:p>
        </w:tc>
        <w:tc>
          <w:tcPr>
            <w:tcW w:w="1276" w:type="dxa"/>
            <w:shd w:val="clear" w:color="auto" w:fill="FFFFFF"/>
          </w:tcPr>
          <w:p w:rsidR="00E36C8E" w:rsidRPr="00BA1CB4" w:rsidRDefault="00E36C8E" w:rsidP="00BD4391">
            <w:pPr>
              <w:pStyle w:val="nsr"/>
            </w:pPr>
            <w:r w:rsidRPr="00BA1CB4">
              <w:t>VII, 24-30.</w:t>
            </w:r>
          </w:p>
        </w:tc>
        <w:tc>
          <w:tcPr>
            <w:tcW w:w="1348" w:type="dxa"/>
            <w:shd w:val="clear" w:color="auto" w:fill="FFFFFF"/>
          </w:tcPr>
          <w:p w:rsidR="00E36C8E" w:rsidRDefault="001B4203" w:rsidP="00BD4391">
            <w:pPr>
              <w:pStyle w:val="centrum"/>
            </w:pPr>
            <w:r>
              <w:t xml:space="preserve"> </w:t>
            </w:r>
            <w:r w:rsidR="00E36C8E" w:rsidRPr="007E4367">
              <w:t>»</w:t>
            </w:r>
          </w:p>
        </w:tc>
        <w:tc>
          <w:tcPr>
            <w:tcW w:w="0" w:type="auto"/>
            <w:shd w:val="clear" w:color="auto" w:fill="FFFFFF"/>
          </w:tcPr>
          <w:p w:rsidR="00E36C8E" w:rsidRDefault="001B4203" w:rsidP="00BD4391">
            <w:pPr>
              <w:pStyle w:val="centrum"/>
            </w:pPr>
            <w:r>
              <w:t xml:space="preserve"> </w:t>
            </w:r>
            <w:r w:rsidR="00E36C8E" w:rsidRPr="009F6A9E">
              <w:t>»</w:t>
            </w:r>
          </w:p>
        </w:tc>
      </w:tr>
      <w:tr w:rsidR="00E36C8E" w:rsidRPr="00177118" w:rsidTr="00BD4391">
        <w:trPr>
          <w:cantSplit/>
          <w:trHeight w:val="20"/>
        </w:trPr>
        <w:tc>
          <w:tcPr>
            <w:tcW w:w="5302" w:type="dxa"/>
            <w:shd w:val="clear" w:color="auto" w:fill="FFFFFF"/>
          </w:tcPr>
          <w:p w:rsidR="00E36C8E" w:rsidRPr="00177118" w:rsidRDefault="00E36C8E" w:rsidP="00BD4391">
            <w:pPr>
              <w:pStyle w:val="h"/>
            </w:pPr>
            <w:r w:rsidRPr="00177118">
              <w:t>Retour vers la mer de Galilée</w:t>
            </w:r>
            <w:r>
              <w:t xml:space="preserve">, </w:t>
            </w:r>
            <w:r w:rsidRPr="00177118">
              <w:t>par la Phénicie et la Décapole</w:t>
            </w:r>
            <w:r>
              <w:t xml:space="preserve"> </w:t>
            </w:r>
          </w:p>
        </w:tc>
        <w:tc>
          <w:tcPr>
            <w:tcW w:w="1559" w:type="dxa"/>
            <w:shd w:val="clear" w:color="auto" w:fill="FFFFFF"/>
          </w:tcPr>
          <w:p w:rsidR="00E36C8E" w:rsidRPr="00BA1CB4" w:rsidRDefault="00E36C8E" w:rsidP="00BD4391">
            <w:pPr>
              <w:pStyle w:val="nsr"/>
            </w:pPr>
            <w:r w:rsidRPr="00BA1CB4">
              <w:t>XV, 29 31.</w:t>
            </w:r>
          </w:p>
        </w:tc>
        <w:tc>
          <w:tcPr>
            <w:tcW w:w="1276" w:type="dxa"/>
            <w:shd w:val="clear" w:color="auto" w:fill="FFFFFF"/>
          </w:tcPr>
          <w:p w:rsidR="00E36C8E" w:rsidRPr="00BA1CB4" w:rsidRDefault="00E36C8E" w:rsidP="00BD4391">
            <w:pPr>
              <w:pStyle w:val="nsr"/>
            </w:pPr>
            <w:r w:rsidRPr="00BA1CB4">
              <w:t>VII, 31-37.</w:t>
            </w:r>
          </w:p>
        </w:tc>
        <w:tc>
          <w:tcPr>
            <w:tcW w:w="1348" w:type="dxa"/>
            <w:shd w:val="clear" w:color="auto" w:fill="FFFFFF"/>
          </w:tcPr>
          <w:p w:rsidR="00E36C8E" w:rsidRDefault="001B4203" w:rsidP="00BD4391">
            <w:pPr>
              <w:pStyle w:val="centrum"/>
            </w:pPr>
            <w:r>
              <w:t xml:space="preserve"> </w:t>
            </w:r>
            <w:r w:rsidR="00E36C8E" w:rsidRPr="007E4367">
              <w:t>»</w:t>
            </w:r>
          </w:p>
        </w:tc>
        <w:tc>
          <w:tcPr>
            <w:tcW w:w="0" w:type="auto"/>
            <w:shd w:val="clear" w:color="auto" w:fill="FFFFFF"/>
          </w:tcPr>
          <w:p w:rsidR="00E36C8E" w:rsidRDefault="001B4203" w:rsidP="00BD4391">
            <w:pPr>
              <w:pStyle w:val="centrum"/>
            </w:pPr>
            <w:r>
              <w:t xml:space="preserve"> </w:t>
            </w:r>
            <w:r w:rsidR="00E36C8E" w:rsidRPr="009F6A9E">
              <w:t>»</w:t>
            </w:r>
          </w:p>
        </w:tc>
      </w:tr>
      <w:tr w:rsidR="00E36C8E" w:rsidRPr="00177118" w:rsidTr="00BD4391">
        <w:trPr>
          <w:cantSplit/>
          <w:trHeight w:val="20"/>
        </w:trPr>
        <w:tc>
          <w:tcPr>
            <w:tcW w:w="5302" w:type="dxa"/>
            <w:shd w:val="clear" w:color="auto" w:fill="FFFFFF"/>
          </w:tcPr>
          <w:p w:rsidR="00E36C8E" w:rsidRPr="00177118" w:rsidRDefault="00E36C8E" w:rsidP="00BD4391">
            <w:pPr>
              <w:pStyle w:val="h"/>
            </w:pPr>
            <w:r w:rsidRPr="00177118">
              <w:t>Seconde multiplication des pains</w:t>
            </w:r>
            <w:r>
              <w:t xml:space="preserve"> </w:t>
            </w:r>
          </w:p>
        </w:tc>
        <w:tc>
          <w:tcPr>
            <w:tcW w:w="1559" w:type="dxa"/>
            <w:shd w:val="clear" w:color="auto" w:fill="FFFFFF"/>
          </w:tcPr>
          <w:p w:rsidR="00E36C8E" w:rsidRPr="00BA1CB4" w:rsidRDefault="00E36C8E" w:rsidP="00BD4391">
            <w:pPr>
              <w:pStyle w:val="nsr"/>
            </w:pPr>
            <w:r w:rsidRPr="00BA1CB4">
              <w:t>XV, 32-39.</w:t>
            </w:r>
          </w:p>
        </w:tc>
        <w:tc>
          <w:tcPr>
            <w:tcW w:w="1276" w:type="dxa"/>
            <w:shd w:val="clear" w:color="auto" w:fill="FFFFFF"/>
          </w:tcPr>
          <w:p w:rsidR="00E36C8E" w:rsidRPr="00BA1CB4" w:rsidRDefault="00E36C8E" w:rsidP="00BD4391">
            <w:pPr>
              <w:pStyle w:val="nsr"/>
            </w:pPr>
            <w:r w:rsidRPr="00BA1CB4">
              <w:t>VIII, 1-10.</w:t>
            </w:r>
          </w:p>
        </w:tc>
        <w:tc>
          <w:tcPr>
            <w:tcW w:w="1348" w:type="dxa"/>
            <w:shd w:val="clear" w:color="auto" w:fill="FFFFFF"/>
          </w:tcPr>
          <w:p w:rsidR="00E36C8E" w:rsidRDefault="001B4203" w:rsidP="00BD4391">
            <w:pPr>
              <w:pStyle w:val="centrum"/>
            </w:pPr>
            <w:r>
              <w:t xml:space="preserve"> </w:t>
            </w:r>
            <w:r w:rsidR="00E36C8E" w:rsidRPr="007E4367">
              <w:t>»</w:t>
            </w:r>
          </w:p>
        </w:tc>
        <w:tc>
          <w:tcPr>
            <w:tcW w:w="0" w:type="auto"/>
            <w:shd w:val="clear" w:color="auto" w:fill="FFFFFF"/>
          </w:tcPr>
          <w:p w:rsidR="00E36C8E" w:rsidRDefault="001B4203" w:rsidP="00BD4391">
            <w:pPr>
              <w:pStyle w:val="centrum"/>
            </w:pPr>
            <w:r>
              <w:t xml:space="preserve"> </w:t>
            </w:r>
            <w:r w:rsidR="00E36C8E" w:rsidRPr="009F6A9E">
              <w:t>»</w:t>
            </w:r>
          </w:p>
        </w:tc>
      </w:tr>
      <w:tr w:rsidR="00E36C8E" w:rsidRPr="005507CF" w:rsidTr="00BD4391">
        <w:trPr>
          <w:cantSplit/>
          <w:trHeight w:val="20"/>
        </w:trPr>
        <w:tc>
          <w:tcPr>
            <w:tcW w:w="5302" w:type="dxa"/>
            <w:shd w:val="clear" w:color="auto" w:fill="FFFFFF"/>
          </w:tcPr>
          <w:p w:rsidR="00E36C8E" w:rsidRPr="00177118" w:rsidRDefault="00E36C8E" w:rsidP="00BD4391">
            <w:pPr>
              <w:pStyle w:val="h"/>
            </w:pPr>
            <w:r w:rsidRPr="00177118">
              <w:t xml:space="preserve">Les </w:t>
            </w:r>
            <w:r>
              <w:t>Pharisiens et les Sadducéens demandent un signe</w:t>
            </w:r>
          </w:p>
        </w:tc>
        <w:tc>
          <w:tcPr>
            <w:tcW w:w="1559" w:type="dxa"/>
            <w:shd w:val="clear" w:color="auto" w:fill="FFFFFF"/>
          </w:tcPr>
          <w:p w:rsidR="00E36C8E" w:rsidRPr="00BA1CB4" w:rsidRDefault="00E36C8E" w:rsidP="00BD4391">
            <w:pPr>
              <w:pStyle w:val="nsr"/>
            </w:pPr>
            <w:r w:rsidRPr="00BA1CB4">
              <w:t>XVI, 1-4.</w:t>
            </w:r>
          </w:p>
        </w:tc>
        <w:tc>
          <w:tcPr>
            <w:tcW w:w="1276" w:type="dxa"/>
            <w:shd w:val="clear" w:color="auto" w:fill="FFFFFF"/>
          </w:tcPr>
          <w:p w:rsidR="00E36C8E" w:rsidRPr="00BA1CB4" w:rsidRDefault="00E36C8E" w:rsidP="00BD4391">
            <w:pPr>
              <w:pStyle w:val="nsr"/>
            </w:pPr>
            <w:r w:rsidRPr="00BA1CB4">
              <w:t>VIII, 11-13.</w:t>
            </w:r>
          </w:p>
        </w:tc>
        <w:tc>
          <w:tcPr>
            <w:tcW w:w="1348" w:type="dxa"/>
            <w:shd w:val="clear" w:color="auto" w:fill="FFFFFF"/>
          </w:tcPr>
          <w:p w:rsidR="00E36C8E" w:rsidRDefault="001B4203" w:rsidP="00BD4391">
            <w:pPr>
              <w:pStyle w:val="centrum"/>
            </w:pPr>
            <w:r>
              <w:t xml:space="preserve"> </w:t>
            </w:r>
            <w:r w:rsidR="00E36C8E" w:rsidRPr="007E4367">
              <w:t>»</w:t>
            </w:r>
          </w:p>
        </w:tc>
        <w:tc>
          <w:tcPr>
            <w:tcW w:w="0" w:type="auto"/>
            <w:shd w:val="clear" w:color="auto" w:fill="FFFFFF"/>
          </w:tcPr>
          <w:p w:rsidR="00E36C8E" w:rsidRDefault="001B4203" w:rsidP="00BD4391">
            <w:pPr>
              <w:pStyle w:val="centrum"/>
            </w:pPr>
            <w:r>
              <w:t xml:space="preserve"> </w:t>
            </w:r>
            <w:r w:rsidR="00E36C8E" w:rsidRPr="009F6A9E">
              <w:t>»</w:t>
            </w:r>
          </w:p>
        </w:tc>
      </w:tr>
      <w:tr w:rsidR="00E36C8E" w:rsidRPr="00177118" w:rsidTr="00BD4391">
        <w:trPr>
          <w:cantSplit/>
          <w:trHeight w:val="20"/>
        </w:trPr>
        <w:tc>
          <w:tcPr>
            <w:tcW w:w="5302" w:type="dxa"/>
            <w:shd w:val="clear" w:color="auto" w:fill="FFFFFF"/>
          </w:tcPr>
          <w:p w:rsidR="00E36C8E" w:rsidRPr="00177118" w:rsidRDefault="00E36C8E" w:rsidP="00BD4391">
            <w:pPr>
              <w:pStyle w:val="h"/>
            </w:pPr>
            <w:r w:rsidRPr="00177118">
              <w:t>Le leva</w:t>
            </w:r>
            <w:r>
              <w:t>in des. Pharisiens et des Sadducéens</w:t>
            </w:r>
          </w:p>
        </w:tc>
        <w:tc>
          <w:tcPr>
            <w:tcW w:w="1559" w:type="dxa"/>
            <w:shd w:val="clear" w:color="auto" w:fill="FFFFFF"/>
          </w:tcPr>
          <w:p w:rsidR="00E36C8E" w:rsidRPr="00BA1CB4" w:rsidRDefault="00E36C8E" w:rsidP="00BD4391">
            <w:pPr>
              <w:pStyle w:val="nsr"/>
            </w:pPr>
            <w:r w:rsidRPr="00BA1CB4">
              <w:t>XVI, 5-12.</w:t>
            </w:r>
          </w:p>
        </w:tc>
        <w:tc>
          <w:tcPr>
            <w:tcW w:w="1276" w:type="dxa"/>
            <w:shd w:val="clear" w:color="auto" w:fill="FFFFFF"/>
          </w:tcPr>
          <w:p w:rsidR="00E36C8E" w:rsidRPr="00BA1CB4" w:rsidRDefault="00E36C8E" w:rsidP="00BD4391">
            <w:pPr>
              <w:pStyle w:val="nsr"/>
            </w:pPr>
            <w:r w:rsidRPr="00BA1CB4">
              <w:t>VIII, 14-21.</w:t>
            </w:r>
          </w:p>
        </w:tc>
        <w:tc>
          <w:tcPr>
            <w:tcW w:w="1348" w:type="dxa"/>
            <w:shd w:val="clear" w:color="auto" w:fill="FFFFFF"/>
          </w:tcPr>
          <w:p w:rsidR="00E36C8E" w:rsidRDefault="001B4203" w:rsidP="00BD4391">
            <w:pPr>
              <w:pStyle w:val="centrum"/>
            </w:pPr>
            <w:r>
              <w:t xml:space="preserve"> </w:t>
            </w:r>
            <w:r w:rsidR="00E36C8E" w:rsidRPr="007E4367">
              <w:t>»</w:t>
            </w:r>
          </w:p>
        </w:tc>
        <w:tc>
          <w:tcPr>
            <w:tcW w:w="0" w:type="auto"/>
            <w:shd w:val="clear" w:color="auto" w:fill="FFFFFF"/>
          </w:tcPr>
          <w:p w:rsidR="00E36C8E" w:rsidRDefault="001B4203" w:rsidP="00BD4391">
            <w:pPr>
              <w:pStyle w:val="centrum"/>
            </w:pPr>
            <w:r>
              <w:t xml:space="preserve"> </w:t>
            </w:r>
            <w:r w:rsidR="00E36C8E" w:rsidRPr="009F6A9E">
              <w:t>»</w:t>
            </w:r>
          </w:p>
        </w:tc>
      </w:tr>
      <w:tr w:rsidR="00E36C8E" w:rsidRPr="005507CF" w:rsidTr="00BD4391">
        <w:trPr>
          <w:cantSplit/>
          <w:trHeight w:val="20"/>
        </w:trPr>
        <w:tc>
          <w:tcPr>
            <w:tcW w:w="5302" w:type="dxa"/>
            <w:shd w:val="clear" w:color="auto" w:fill="FFFFFF"/>
          </w:tcPr>
          <w:p w:rsidR="00E36C8E" w:rsidRPr="00177118" w:rsidRDefault="00E36C8E" w:rsidP="00BD4391">
            <w:pPr>
              <w:pStyle w:val="h"/>
            </w:pPr>
            <w:r>
              <w:t>Guéri</w:t>
            </w:r>
            <w:r w:rsidRPr="00177118">
              <w:t>son d</w:t>
            </w:r>
            <w:r w:rsidR="00557DE0">
              <w:t>’</w:t>
            </w:r>
            <w:r w:rsidRPr="00177118">
              <w:t>un aveugle à Bethsáida</w:t>
            </w:r>
            <w:r>
              <w:t xml:space="preserve"> </w:t>
            </w:r>
          </w:p>
        </w:tc>
        <w:tc>
          <w:tcPr>
            <w:tcW w:w="1559" w:type="dxa"/>
            <w:shd w:val="clear" w:color="auto" w:fill="FFFFFF"/>
          </w:tcPr>
          <w:p w:rsidR="00E36C8E" w:rsidRPr="00BA1CB4" w:rsidRDefault="00E36C8E" w:rsidP="00BD4391">
            <w:pPr>
              <w:pStyle w:val="centrum"/>
            </w:pPr>
            <w:r w:rsidRPr="00BA1CB4">
              <w:t xml:space="preserve"> »</w:t>
            </w:r>
          </w:p>
        </w:tc>
        <w:tc>
          <w:tcPr>
            <w:tcW w:w="1276" w:type="dxa"/>
            <w:shd w:val="clear" w:color="auto" w:fill="FFFFFF"/>
          </w:tcPr>
          <w:p w:rsidR="00E36C8E" w:rsidRPr="00BA1CB4" w:rsidRDefault="00E36C8E" w:rsidP="00BD4391">
            <w:pPr>
              <w:pStyle w:val="nsr"/>
            </w:pPr>
            <w:r w:rsidRPr="00BA1CB4">
              <w:t>VIII, 22-26.</w:t>
            </w:r>
          </w:p>
        </w:tc>
        <w:tc>
          <w:tcPr>
            <w:tcW w:w="1348" w:type="dxa"/>
            <w:shd w:val="clear" w:color="auto" w:fill="FFFFFF"/>
          </w:tcPr>
          <w:p w:rsidR="00E36C8E" w:rsidRDefault="001B4203" w:rsidP="00BD4391">
            <w:pPr>
              <w:pStyle w:val="centrum"/>
            </w:pPr>
            <w:r>
              <w:t xml:space="preserve"> </w:t>
            </w:r>
            <w:r w:rsidR="00E36C8E" w:rsidRPr="007E4367">
              <w:t>»</w:t>
            </w:r>
          </w:p>
        </w:tc>
        <w:tc>
          <w:tcPr>
            <w:tcW w:w="0" w:type="auto"/>
            <w:shd w:val="clear" w:color="auto" w:fill="FFFFFF"/>
          </w:tcPr>
          <w:p w:rsidR="00E36C8E" w:rsidRDefault="001B4203" w:rsidP="00BD4391">
            <w:pPr>
              <w:pStyle w:val="centrum"/>
            </w:pPr>
            <w:r>
              <w:t xml:space="preserve"> </w:t>
            </w:r>
            <w:r w:rsidR="00E36C8E" w:rsidRPr="009F6A9E">
              <w:t>»</w:t>
            </w:r>
          </w:p>
        </w:tc>
      </w:tr>
      <w:tr w:rsidR="00E36C8E" w:rsidRPr="00177118" w:rsidTr="00BD4391">
        <w:trPr>
          <w:cantSplit/>
          <w:trHeight w:val="20"/>
        </w:trPr>
        <w:tc>
          <w:tcPr>
            <w:tcW w:w="5302" w:type="dxa"/>
            <w:shd w:val="clear" w:color="auto" w:fill="FFFFFF"/>
          </w:tcPr>
          <w:p w:rsidR="00E36C8E" w:rsidRPr="00177118" w:rsidRDefault="00E36C8E" w:rsidP="00BD4391">
            <w:pPr>
              <w:pStyle w:val="h"/>
            </w:pPr>
            <w:r w:rsidRPr="00177118">
              <w:t>La confession de S</w:t>
            </w:r>
            <w:r>
              <w:t>t</w:t>
            </w:r>
            <w:r w:rsidRPr="00177118">
              <w:t xml:space="preserve"> Pierre</w:t>
            </w:r>
            <w:r>
              <w:t xml:space="preserve"> </w:t>
            </w:r>
          </w:p>
        </w:tc>
        <w:tc>
          <w:tcPr>
            <w:tcW w:w="1559" w:type="dxa"/>
            <w:shd w:val="clear" w:color="auto" w:fill="FFFFFF"/>
          </w:tcPr>
          <w:p w:rsidR="00E36C8E" w:rsidRPr="00BA1CB4" w:rsidRDefault="00E36C8E" w:rsidP="00BD4391">
            <w:pPr>
              <w:pStyle w:val="nsr"/>
            </w:pPr>
            <w:r w:rsidRPr="00BA1CB4">
              <w:t>XVI, 13-19.</w:t>
            </w:r>
          </w:p>
        </w:tc>
        <w:tc>
          <w:tcPr>
            <w:tcW w:w="1276" w:type="dxa"/>
            <w:shd w:val="clear" w:color="auto" w:fill="FFFFFF"/>
          </w:tcPr>
          <w:p w:rsidR="00E36C8E" w:rsidRPr="00BA1CB4" w:rsidRDefault="00E36C8E" w:rsidP="00BD4391">
            <w:pPr>
              <w:pStyle w:val="nsr"/>
            </w:pPr>
            <w:r w:rsidRPr="00BA1CB4">
              <w:t>VIII, 27-29.</w:t>
            </w:r>
          </w:p>
        </w:tc>
        <w:tc>
          <w:tcPr>
            <w:tcW w:w="1348" w:type="dxa"/>
            <w:shd w:val="clear" w:color="auto" w:fill="FFFFFF"/>
          </w:tcPr>
          <w:p w:rsidR="00E36C8E" w:rsidRPr="00BA1CB4" w:rsidRDefault="00E36C8E" w:rsidP="00BD4391">
            <w:pPr>
              <w:pStyle w:val="nsr"/>
            </w:pPr>
            <w:r>
              <w:t>IX</w:t>
            </w:r>
            <w:r w:rsidRPr="00BA1CB4">
              <w:t>, 18-20.</w:t>
            </w:r>
          </w:p>
        </w:tc>
        <w:tc>
          <w:tcPr>
            <w:tcW w:w="0" w:type="auto"/>
            <w:shd w:val="clear" w:color="auto" w:fill="FFFFFF"/>
          </w:tcPr>
          <w:p w:rsidR="00E36C8E" w:rsidRDefault="001B4203" w:rsidP="00BD4391">
            <w:pPr>
              <w:pStyle w:val="centrum"/>
            </w:pPr>
            <w:r>
              <w:t xml:space="preserve"> </w:t>
            </w:r>
            <w:r w:rsidR="00E36C8E" w:rsidRPr="009F6A9E">
              <w:t>»</w:t>
            </w:r>
          </w:p>
        </w:tc>
      </w:tr>
      <w:tr w:rsidR="00E36C8E" w:rsidRPr="005507CF" w:rsidTr="00BD4391">
        <w:trPr>
          <w:cantSplit/>
          <w:trHeight w:val="20"/>
        </w:trPr>
        <w:tc>
          <w:tcPr>
            <w:tcW w:w="5302" w:type="dxa"/>
            <w:shd w:val="clear" w:color="auto" w:fill="FFFFFF"/>
          </w:tcPr>
          <w:p w:rsidR="00E36C8E" w:rsidRPr="00177118" w:rsidRDefault="00E36C8E" w:rsidP="00BD4391">
            <w:pPr>
              <w:pStyle w:val="h"/>
            </w:pPr>
            <w:r w:rsidRPr="00177118">
              <w:t>Prédiction de la Passion</w:t>
            </w:r>
            <w:r>
              <w:t xml:space="preserve"> </w:t>
            </w:r>
          </w:p>
        </w:tc>
        <w:tc>
          <w:tcPr>
            <w:tcW w:w="1559" w:type="dxa"/>
            <w:shd w:val="clear" w:color="auto" w:fill="FFFFFF"/>
          </w:tcPr>
          <w:p w:rsidR="00E36C8E" w:rsidRPr="00BA1CB4" w:rsidRDefault="00E36C8E" w:rsidP="00BD4391">
            <w:pPr>
              <w:pStyle w:val="nsr"/>
            </w:pPr>
            <w:r>
              <w:t>XVI,</w:t>
            </w:r>
            <w:r w:rsidRPr="00BA1CB4">
              <w:t xml:space="preserve"> 20-28. </w:t>
            </w:r>
          </w:p>
        </w:tc>
        <w:tc>
          <w:tcPr>
            <w:tcW w:w="1276" w:type="dxa"/>
            <w:shd w:val="clear" w:color="auto" w:fill="FFFFFF"/>
          </w:tcPr>
          <w:p w:rsidR="00E36C8E" w:rsidRPr="00BA1CB4" w:rsidRDefault="00E36C8E" w:rsidP="00BD4391">
            <w:pPr>
              <w:pStyle w:val="nsr"/>
            </w:pPr>
            <w:r>
              <w:t>VI</w:t>
            </w:r>
            <w:r w:rsidRPr="00BA1CB4">
              <w:t>II</w:t>
            </w:r>
            <w:r>
              <w:t>,</w:t>
            </w:r>
            <w:r w:rsidRPr="00BA1CB4">
              <w:t xml:space="preserve"> 30-39. </w:t>
            </w:r>
          </w:p>
        </w:tc>
        <w:tc>
          <w:tcPr>
            <w:tcW w:w="1348" w:type="dxa"/>
            <w:shd w:val="clear" w:color="auto" w:fill="FFFFFF"/>
          </w:tcPr>
          <w:p w:rsidR="00E36C8E" w:rsidRPr="00BA1CB4" w:rsidRDefault="00E36C8E" w:rsidP="00BD4391">
            <w:pPr>
              <w:pStyle w:val="nsr"/>
            </w:pPr>
            <w:r>
              <w:t>IX</w:t>
            </w:r>
            <w:r w:rsidRPr="00BA1CB4">
              <w:t xml:space="preserve">, 21 27. </w:t>
            </w:r>
          </w:p>
        </w:tc>
        <w:tc>
          <w:tcPr>
            <w:tcW w:w="0" w:type="auto"/>
            <w:shd w:val="clear" w:color="auto" w:fill="FFFFFF"/>
          </w:tcPr>
          <w:p w:rsidR="00E36C8E" w:rsidRDefault="001B4203" w:rsidP="00BD4391">
            <w:pPr>
              <w:pStyle w:val="centrum"/>
            </w:pPr>
            <w:r>
              <w:t xml:space="preserve"> </w:t>
            </w:r>
            <w:r w:rsidR="00E36C8E" w:rsidRPr="00974137">
              <w:t>»</w:t>
            </w:r>
          </w:p>
        </w:tc>
      </w:tr>
      <w:tr w:rsidR="00E36C8E" w:rsidRPr="005507CF" w:rsidTr="00BD4391">
        <w:trPr>
          <w:cantSplit/>
          <w:trHeight w:val="20"/>
        </w:trPr>
        <w:tc>
          <w:tcPr>
            <w:tcW w:w="5302" w:type="dxa"/>
            <w:shd w:val="clear" w:color="auto" w:fill="FFFFFF"/>
          </w:tcPr>
          <w:p w:rsidR="00E36C8E" w:rsidRPr="00177118" w:rsidRDefault="00E36C8E" w:rsidP="00BD4391">
            <w:pPr>
              <w:pStyle w:val="h"/>
            </w:pPr>
            <w:r>
              <w:t>La Transfiguration</w:t>
            </w:r>
          </w:p>
        </w:tc>
        <w:tc>
          <w:tcPr>
            <w:tcW w:w="1559" w:type="dxa"/>
            <w:shd w:val="clear" w:color="auto" w:fill="FFFFFF"/>
          </w:tcPr>
          <w:p w:rsidR="00E36C8E" w:rsidRDefault="00E36C8E" w:rsidP="00BD4391">
            <w:pPr>
              <w:pStyle w:val="nsr"/>
            </w:pPr>
            <w:r>
              <w:t>XV</w:t>
            </w:r>
            <w:r w:rsidRPr="00BA1CB4">
              <w:t>II, 1-13.</w:t>
            </w:r>
          </w:p>
        </w:tc>
        <w:tc>
          <w:tcPr>
            <w:tcW w:w="1276" w:type="dxa"/>
            <w:shd w:val="clear" w:color="auto" w:fill="FFFFFF"/>
          </w:tcPr>
          <w:p w:rsidR="00E36C8E" w:rsidRDefault="00E36C8E" w:rsidP="00BD4391">
            <w:pPr>
              <w:pStyle w:val="nsr"/>
            </w:pPr>
            <w:r>
              <w:t>IX</w:t>
            </w:r>
            <w:r w:rsidRPr="00BA1CB4">
              <w:t>, 1-12</w:t>
            </w:r>
          </w:p>
        </w:tc>
        <w:tc>
          <w:tcPr>
            <w:tcW w:w="1348" w:type="dxa"/>
            <w:shd w:val="clear" w:color="auto" w:fill="FFFFFF"/>
          </w:tcPr>
          <w:p w:rsidR="00E36C8E" w:rsidRDefault="00E36C8E" w:rsidP="00BD4391">
            <w:pPr>
              <w:pStyle w:val="nsr"/>
            </w:pPr>
            <w:r>
              <w:t>IX</w:t>
            </w:r>
            <w:r w:rsidRPr="00BA1CB4">
              <w:t>, 28-30.</w:t>
            </w:r>
          </w:p>
        </w:tc>
        <w:tc>
          <w:tcPr>
            <w:tcW w:w="0" w:type="auto"/>
            <w:shd w:val="clear" w:color="auto" w:fill="FFFFFF"/>
          </w:tcPr>
          <w:p w:rsidR="00E36C8E" w:rsidRPr="00974137" w:rsidRDefault="001B4203" w:rsidP="00BD4391">
            <w:pPr>
              <w:pStyle w:val="centrum"/>
            </w:pPr>
            <w:r>
              <w:t xml:space="preserve"> </w:t>
            </w:r>
            <w:r w:rsidR="00E36C8E" w:rsidRPr="00974137">
              <w:t>»</w:t>
            </w:r>
          </w:p>
        </w:tc>
      </w:tr>
      <w:tr w:rsidR="00E36C8E" w:rsidRPr="005507CF" w:rsidTr="00BD4391">
        <w:trPr>
          <w:cantSplit/>
          <w:trHeight w:val="20"/>
        </w:trPr>
        <w:tc>
          <w:tcPr>
            <w:tcW w:w="5302" w:type="dxa"/>
            <w:shd w:val="clear" w:color="auto" w:fill="FFFFFF"/>
          </w:tcPr>
          <w:p w:rsidR="00E36C8E" w:rsidRPr="00177118" w:rsidRDefault="00E36C8E" w:rsidP="00BD4391">
            <w:pPr>
              <w:pStyle w:val="h"/>
            </w:pPr>
            <w:r w:rsidRPr="00177118">
              <w:t>Guérison d</w:t>
            </w:r>
            <w:r w:rsidR="00557DE0">
              <w:t>’</w:t>
            </w:r>
            <w:r w:rsidRPr="00177118">
              <w:t>un lunatique.</w:t>
            </w:r>
            <w:r>
              <w:t xml:space="preserve"> </w:t>
            </w:r>
          </w:p>
        </w:tc>
        <w:tc>
          <w:tcPr>
            <w:tcW w:w="1559" w:type="dxa"/>
            <w:shd w:val="clear" w:color="auto" w:fill="FFFFFF"/>
          </w:tcPr>
          <w:p w:rsidR="00E36C8E" w:rsidRPr="00BA1CB4" w:rsidRDefault="00E36C8E" w:rsidP="00BD4391">
            <w:pPr>
              <w:pStyle w:val="nsr"/>
            </w:pPr>
            <w:r>
              <w:t>X</w:t>
            </w:r>
            <w:r w:rsidRPr="00BA1CB4">
              <w:t>VII, 14-20.</w:t>
            </w:r>
          </w:p>
        </w:tc>
        <w:tc>
          <w:tcPr>
            <w:tcW w:w="1276" w:type="dxa"/>
            <w:shd w:val="clear" w:color="auto" w:fill="FFFFFF"/>
          </w:tcPr>
          <w:p w:rsidR="00E36C8E" w:rsidRPr="00BA1CB4" w:rsidRDefault="00E36C8E" w:rsidP="00BD4391">
            <w:pPr>
              <w:pStyle w:val="nsr"/>
            </w:pPr>
            <w:r>
              <w:t>IX</w:t>
            </w:r>
            <w:r w:rsidRPr="00BA1CB4">
              <w:t>, 13-28.</w:t>
            </w:r>
          </w:p>
        </w:tc>
        <w:tc>
          <w:tcPr>
            <w:tcW w:w="1348" w:type="dxa"/>
            <w:shd w:val="clear" w:color="auto" w:fill="FFFFFF"/>
          </w:tcPr>
          <w:p w:rsidR="00E36C8E" w:rsidRPr="00BA1CB4" w:rsidRDefault="00E36C8E" w:rsidP="00BD4391">
            <w:pPr>
              <w:pStyle w:val="nsr"/>
            </w:pPr>
            <w:r>
              <w:t>IX, 37-44a.</w:t>
            </w:r>
          </w:p>
        </w:tc>
        <w:tc>
          <w:tcPr>
            <w:tcW w:w="0" w:type="auto"/>
            <w:shd w:val="clear" w:color="auto" w:fill="FFFFFF"/>
          </w:tcPr>
          <w:p w:rsidR="00E36C8E" w:rsidRDefault="001B4203" w:rsidP="00BD4391">
            <w:pPr>
              <w:pStyle w:val="centrum"/>
            </w:pPr>
            <w:r>
              <w:t xml:space="preserve"> </w:t>
            </w:r>
            <w:r w:rsidR="00E36C8E" w:rsidRPr="00974137">
              <w:t>»</w:t>
            </w:r>
          </w:p>
        </w:tc>
      </w:tr>
      <w:tr w:rsidR="00E36C8E" w:rsidRPr="00177118" w:rsidTr="00BD4391">
        <w:trPr>
          <w:cantSplit/>
          <w:trHeight w:val="20"/>
        </w:trPr>
        <w:tc>
          <w:tcPr>
            <w:tcW w:w="5302" w:type="dxa"/>
            <w:shd w:val="clear" w:color="auto" w:fill="FFFFFF"/>
          </w:tcPr>
          <w:p w:rsidR="00E36C8E" w:rsidRPr="00177118" w:rsidRDefault="00E36C8E" w:rsidP="00BD4391">
            <w:pPr>
              <w:pStyle w:val="h"/>
            </w:pPr>
            <w:r>
              <w:t>Nouvelle prédiction de la P</w:t>
            </w:r>
            <w:r w:rsidRPr="00177118">
              <w:t>assion et de</w:t>
            </w:r>
            <w:r>
              <w:t xml:space="preserve"> la Résurrection </w:t>
            </w:r>
          </w:p>
        </w:tc>
        <w:tc>
          <w:tcPr>
            <w:tcW w:w="1559" w:type="dxa"/>
            <w:shd w:val="clear" w:color="auto" w:fill="FFFFFF"/>
          </w:tcPr>
          <w:p w:rsidR="00E36C8E" w:rsidRPr="00BA1CB4" w:rsidRDefault="00E36C8E" w:rsidP="00BD4391">
            <w:pPr>
              <w:pStyle w:val="nsr"/>
            </w:pPr>
            <w:r w:rsidRPr="00BA1CB4">
              <w:t>XVI</w:t>
            </w:r>
            <w:r>
              <w:t>I,</w:t>
            </w:r>
            <w:r w:rsidRPr="00BA1CB4">
              <w:t xml:space="preserve"> 21-22.</w:t>
            </w:r>
          </w:p>
        </w:tc>
        <w:tc>
          <w:tcPr>
            <w:tcW w:w="1276" w:type="dxa"/>
            <w:shd w:val="clear" w:color="auto" w:fill="FFFFFF"/>
          </w:tcPr>
          <w:p w:rsidR="00E36C8E" w:rsidRPr="00BA1CB4" w:rsidRDefault="00E36C8E" w:rsidP="00BD4391">
            <w:pPr>
              <w:pStyle w:val="nsr"/>
            </w:pPr>
            <w:r>
              <w:t>IX</w:t>
            </w:r>
            <w:r w:rsidRPr="00BA1CB4">
              <w:t>, 29-31.</w:t>
            </w:r>
          </w:p>
        </w:tc>
        <w:tc>
          <w:tcPr>
            <w:tcW w:w="1348" w:type="dxa"/>
            <w:shd w:val="clear" w:color="auto" w:fill="FFFFFF"/>
          </w:tcPr>
          <w:p w:rsidR="00E36C8E" w:rsidRPr="00BA1CB4" w:rsidRDefault="00E36C8E" w:rsidP="00BD4391">
            <w:pPr>
              <w:pStyle w:val="nsr"/>
            </w:pPr>
            <w:r>
              <w:t>IX</w:t>
            </w:r>
            <w:r w:rsidRPr="00BA1CB4">
              <w:t>, 44b-45.</w:t>
            </w:r>
          </w:p>
        </w:tc>
        <w:tc>
          <w:tcPr>
            <w:tcW w:w="0" w:type="auto"/>
            <w:shd w:val="clear" w:color="auto" w:fill="FFFFFF"/>
          </w:tcPr>
          <w:p w:rsidR="00E36C8E" w:rsidRDefault="001B4203" w:rsidP="00BD4391">
            <w:pPr>
              <w:pStyle w:val="centrum"/>
            </w:pPr>
            <w:r>
              <w:t xml:space="preserve"> </w:t>
            </w:r>
            <w:r w:rsidR="00E36C8E" w:rsidRPr="00974137">
              <w:t>»</w:t>
            </w:r>
          </w:p>
        </w:tc>
      </w:tr>
      <w:tr w:rsidR="00E36C8E" w:rsidRPr="005507CF" w:rsidTr="00BD4391">
        <w:trPr>
          <w:cantSplit/>
          <w:trHeight w:val="20"/>
        </w:trPr>
        <w:tc>
          <w:tcPr>
            <w:tcW w:w="5302" w:type="dxa"/>
            <w:shd w:val="clear" w:color="auto" w:fill="FFFFFF"/>
          </w:tcPr>
          <w:p w:rsidR="00E36C8E" w:rsidRPr="00177118" w:rsidRDefault="00E36C8E" w:rsidP="00BD4391">
            <w:pPr>
              <w:pStyle w:val="h"/>
            </w:pPr>
            <w:r w:rsidRPr="00177118">
              <w:t>Le didrachme</w:t>
            </w:r>
            <w:r>
              <w:t xml:space="preserve"> </w:t>
            </w:r>
          </w:p>
        </w:tc>
        <w:tc>
          <w:tcPr>
            <w:tcW w:w="1559" w:type="dxa"/>
            <w:shd w:val="clear" w:color="auto" w:fill="FFFFFF"/>
          </w:tcPr>
          <w:p w:rsidR="00E36C8E" w:rsidRPr="00BA1CB4" w:rsidRDefault="00E36C8E" w:rsidP="00BD4391">
            <w:pPr>
              <w:pStyle w:val="nsr"/>
            </w:pPr>
            <w:r w:rsidRPr="00BA1CB4">
              <w:t>XV</w:t>
            </w:r>
            <w:r>
              <w:t>I</w:t>
            </w:r>
            <w:r w:rsidRPr="00BA1CB4">
              <w:t>I, 23-26.</w:t>
            </w:r>
          </w:p>
        </w:tc>
        <w:tc>
          <w:tcPr>
            <w:tcW w:w="1276" w:type="dxa"/>
            <w:shd w:val="clear" w:color="auto" w:fill="FFFFFF"/>
          </w:tcPr>
          <w:p w:rsidR="00E36C8E" w:rsidRPr="00BA1CB4" w:rsidRDefault="00E36C8E" w:rsidP="00BD4391">
            <w:pPr>
              <w:pStyle w:val="centrum"/>
            </w:pPr>
            <w:r w:rsidRPr="00BA1CB4">
              <w:t xml:space="preserve"> »</w:t>
            </w:r>
          </w:p>
        </w:tc>
        <w:tc>
          <w:tcPr>
            <w:tcW w:w="1348" w:type="dxa"/>
            <w:shd w:val="clear" w:color="auto" w:fill="FFFFFF"/>
          </w:tcPr>
          <w:p w:rsidR="00E36C8E" w:rsidRPr="00BA1CB4" w:rsidRDefault="00E36C8E" w:rsidP="00BD4391">
            <w:pPr>
              <w:pStyle w:val="centrum"/>
            </w:pPr>
            <w:r w:rsidRPr="00BA1CB4">
              <w:t xml:space="preserve"> »</w:t>
            </w:r>
          </w:p>
        </w:tc>
        <w:tc>
          <w:tcPr>
            <w:tcW w:w="0" w:type="auto"/>
            <w:shd w:val="clear" w:color="auto" w:fill="FFFFFF"/>
          </w:tcPr>
          <w:p w:rsidR="00E36C8E" w:rsidRDefault="001B4203" w:rsidP="00BD4391">
            <w:pPr>
              <w:pStyle w:val="centrum"/>
            </w:pPr>
            <w:r>
              <w:t xml:space="preserve"> </w:t>
            </w:r>
            <w:r w:rsidR="00E36C8E" w:rsidRPr="00974137">
              <w:t>»</w:t>
            </w:r>
          </w:p>
        </w:tc>
      </w:tr>
      <w:tr w:rsidR="00E36C8E" w:rsidRPr="00177118" w:rsidTr="00BD4391">
        <w:trPr>
          <w:cantSplit/>
          <w:trHeight w:val="20"/>
        </w:trPr>
        <w:tc>
          <w:tcPr>
            <w:tcW w:w="5302" w:type="dxa"/>
            <w:shd w:val="clear" w:color="auto" w:fill="FFFFFF"/>
          </w:tcPr>
          <w:p w:rsidR="00E36C8E" w:rsidRPr="00177118" w:rsidRDefault="00E36C8E" w:rsidP="00BD4391">
            <w:pPr>
              <w:pStyle w:val="h"/>
            </w:pPr>
            <w:r w:rsidRPr="00177118">
              <w:t>Enseignements du Sauveur sur l</w:t>
            </w:r>
            <w:r w:rsidR="00557DE0">
              <w:t>’</w:t>
            </w:r>
            <w:r>
              <w:t>humilité</w:t>
            </w:r>
          </w:p>
        </w:tc>
        <w:tc>
          <w:tcPr>
            <w:tcW w:w="1559" w:type="dxa"/>
            <w:shd w:val="clear" w:color="auto" w:fill="FFFFFF"/>
          </w:tcPr>
          <w:p w:rsidR="00E36C8E" w:rsidRPr="00BA1CB4" w:rsidRDefault="00E36C8E" w:rsidP="00BD4391">
            <w:pPr>
              <w:pStyle w:val="nsr"/>
            </w:pPr>
            <w:r w:rsidRPr="00BA1CB4">
              <w:t>XVI</w:t>
            </w:r>
            <w:r>
              <w:t>II,</w:t>
            </w:r>
            <w:r w:rsidRPr="00BA1CB4">
              <w:t xml:space="preserve"> 1-5.</w:t>
            </w:r>
          </w:p>
        </w:tc>
        <w:tc>
          <w:tcPr>
            <w:tcW w:w="1276" w:type="dxa"/>
            <w:shd w:val="clear" w:color="auto" w:fill="FFFFFF"/>
          </w:tcPr>
          <w:p w:rsidR="00E36C8E" w:rsidRPr="00BA1CB4" w:rsidRDefault="00E36C8E" w:rsidP="00BD4391">
            <w:pPr>
              <w:pStyle w:val="nsr"/>
            </w:pPr>
            <w:r>
              <w:t>IX</w:t>
            </w:r>
            <w:r w:rsidRPr="00BA1CB4">
              <w:t>, 32-36.</w:t>
            </w:r>
          </w:p>
        </w:tc>
        <w:tc>
          <w:tcPr>
            <w:tcW w:w="1348" w:type="dxa"/>
            <w:shd w:val="clear" w:color="auto" w:fill="FFFFFF"/>
          </w:tcPr>
          <w:p w:rsidR="00E36C8E" w:rsidRPr="00BA1CB4" w:rsidRDefault="00E36C8E" w:rsidP="00BD4391">
            <w:pPr>
              <w:pStyle w:val="nsr"/>
            </w:pPr>
            <w:r>
              <w:t>IX</w:t>
            </w:r>
            <w:r w:rsidRPr="00BA1CB4">
              <w:t>, 46-48.</w:t>
            </w:r>
          </w:p>
        </w:tc>
        <w:tc>
          <w:tcPr>
            <w:tcW w:w="0" w:type="auto"/>
            <w:shd w:val="clear" w:color="auto" w:fill="FFFFFF"/>
          </w:tcPr>
          <w:p w:rsidR="00E36C8E" w:rsidRDefault="001B4203" w:rsidP="00BD4391">
            <w:pPr>
              <w:pStyle w:val="centrum"/>
            </w:pPr>
            <w:r>
              <w:t xml:space="preserve"> </w:t>
            </w:r>
            <w:r w:rsidR="00E36C8E" w:rsidRPr="00974137">
              <w:t>»</w:t>
            </w:r>
          </w:p>
        </w:tc>
      </w:tr>
      <w:tr w:rsidR="00E36C8E" w:rsidRPr="005507CF" w:rsidTr="00BD4391">
        <w:trPr>
          <w:cantSplit/>
          <w:trHeight w:val="20"/>
        </w:trPr>
        <w:tc>
          <w:tcPr>
            <w:tcW w:w="5302" w:type="dxa"/>
            <w:shd w:val="clear" w:color="auto" w:fill="FFFFFF"/>
          </w:tcPr>
          <w:p w:rsidR="00E36C8E" w:rsidRPr="00177118" w:rsidRDefault="00E36C8E" w:rsidP="00BD4391">
            <w:pPr>
              <w:pStyle w:val="h12"/>
            </w:pPr>
            <w:r>
              <w:t xml:space="preserve">Sur la tolérance </w:t>
            </w:r>
          </w:p>
        </w:tc>
        <w:tc>
          <w:tcPr>
            <w:tcW w:w="1559" w:type="dxa"/>
            <w:shd w:val="clear" w:color="auto" w:fill="FFFFFF"/>
          </w:tcPr>
          <w:p w:rsidR="00E36C8E" w:rsidRPr="00BA1CB4" w:rsidRDefault="00E36C8E" w:rsidP="00BD4391">
            <w:pPr>
              <w:pStyle w:val="centrum"/>
            </w:pPr>
            <w:r w:rsidRPr="00BA1CB4">
              <w:t xml:space="preserve"> »</w:t>
            </w:r>
          </w:p>
        </w:tc>
        <w:tc>
          <w:tcPr>
            <w:tcW w:w="1276" w:type="dxa"/>
            <w:shd w:val="clear" w:color="auto" w:fill="FFFFFF"/>
          </w:tcPr>
          <w:p w:rsidR="00E36C8E" w:rsidRPr="00BA1CB4" w:rsidRDefault="00E36C8E" w:rsidP="00BD4391">
            <w:pPr>
              <w:pStyle w:val="nsr"/>
            </w:pPr>
            <w:r>
              <w:t>IX</w:t>
            </w:r>
            <w:r w:rsidRPr="00BA1CB4">
              <w:t>, 37-40.</w:t>
            </w:r>
          </w:p>
        </w:tc>
        <w:tc>
          <w:tcPr>
            <w:tcW w:w="1348" w:type="dxa"/>
            <w:shd w:val="clear" w:color="auto" w:fill="FFFFFF"/>
          </w:tcPr>
          <w:p w:rsidR="00E36C8E" w:rsidRPr="00BA1CB4" w:rsidRDefault="00E36C8E" w:rsidP="00BD4391">
            <w:pPr>
              <w:pStyle w:val="nsr"/>
            </w:pPr>
            <w:r>
              <w:t>IX</w:t>
            </w:r>
            <w:r w:rsidRPr="00BA1CB4">
              <w:t>, 49-50.</w:t>
            </w:r>
          </w:p>
        </w:tc>
        <w:tc>
          <w:tcPr>
            <w:tcW w:w="0" w:type="auto"/>
            <w:shd w:val="clear" w:color="auto" w:fill="FFFFFF"/>
          </w:tcPr>
          <w:p w:rsidR="00E36C8E" w:rsidRDefault="001B4203" w:rsidP="00BD4391">
            <w:pPr>
              <w:pStyle w:val="centrum"/>
            </w:pPr>
            <w:r>
              <w:t xml:space="preserve"> </w:t>
            </w:r>
            <w:r w:rsidR="00E36C8E" w:rsidRPr="00974137">
              <w:t>»</w:t>
            </w:r>
          </w:p>
        </w:tc>
      </w:tr>
      <w:tr w:rsidR="00E36C8E" w:rsidRPr="00177118" w:rsidTr="00BD4391">
        <w:trPr>
          <w:cantSplit/>
          <w:trHeight w:val="20"/>
        </w:trPr>
        <w:tc>
          <w:tcPr>
            <w:tcW w:w="5302" w:type="dxa"/>
            <w:shd w:val="clear" w:color="auto" w:fill="FFFFFF"/>
          </w:tcPr>
          <w:p w:rsidR="00E36C8E" w:rsidRPr="00177118" w:rsidRDefault="00E36C8E" w:rsidP="00BD4391">
            <w:pPr>
              <w:pStyle w:val="h12"/>
            </w:pPr>
            <w:r w:rsidRPr="00177118">
              <w:t>Sur le scandale</w:t>
            </w:r>
            <w:r>
              <w:t xml:space="preserve"> </w:t>
            </w:r>
          </w:p>
        </w:tc>
        <w:tc>
          <w:tcPr>
            <w:tcW w:w="1559" w:type="dxa"/>
            <w:shd w:val="clear" w:color="auto" w:fill="FFFFFF"/>
          </w:tcPr>
          <w:p w:rsidR="00E36C8E" w:rsidRPr="00BA1CB4" w:rsidRDefault="00E36C8E" w:rsidP="00BD4391">
            <w:pPr>
              <w:pStyle w:val="nsr"/>
            </w:pPr>
            <w:r>
              <w:t>XV</w:t>
            </w:r>
            <w:r w:rsidRPr="00BA1CB4">
              <w:t>III, 6 9.</w:t>
            </w:r>
          </w:p>
        </w:tc>
        <w:tc>
          <w:tcPr>
            <w:tcW w:w="1276" w:type="dxa"/>
            <w:shd w:val="clear" w:color="auto" w:fill="FFFFFF"/>
          </w:tcPr>
          <w:p w:rsidR="00E36C8E" w:rsidRPr="00BA1CB4" w:rsidRDefault="00E36C8E" w:rsidP="00BD4391">
            <w:pPr>
              <w:pStyle w:val="nsr"/>
            </w:pPr>
            <w:r>
              <w:t>IX</w:t>
            </w:r>
            <w:r w:rsidRPr="00BA1CB4">
              <w:t>, 41-49.</w:t>
            </w:r>
          </w:p>
        </w:tc>
        <w:tc>
          <w:tcPr>
            <w:tcW w:w="1348" w:type="dxa"/>
            <w:shd w:val="clear" w:color="auto" w:fill="FFFFFF"/>
          </w:tcPr>
          <w:p w:rsidR="00E36C8E" w:rsidRPr="00BA1CB4" w:rsidRDefault="00E36C8E" w:rsidP="00BD4391">
            <w:pPr>
              <w:pStyle w:val="centrum"/>
            </w:pPr>
            <w:r w:rsidRPr="00BA1CB4">
              <w:t xml:space="preserve"> »</w:t>
            </w:r>
          </w:p>
        </w:tc>
        <w:tc>
          <w:tcPr>
            <w:tcW w:w="0" w:type="auto"/>
            <w:shd w:val="clear" w:color="auto" w:fill="FFFFFF"/>
          </w:tcPr>
          <w:p w:rsidR="00E36C8E" w:rsidRDefault="001B4203" w:rsidP="00BD4391">
            <w:pPr>
              <w:pStyle w:val="centrum"/>
            </w:pPr>
            <w:r>
              <w:t xml:space="preserve"> </w:t>
            </w:r>
            <w:r w:rsidR="00E36C8E" w:rsidRPr="00974137">
              <w:t>»</w:t>
            </w:r>
          </w:p>
        </w:tc>
      </w:tr>
      <w:tr w:rsidR="00E36C8E" w:rsidRPr="00177118" w:rsidTr="00BD4391">
        <w:trPr>
          <w:cantSplit/>
          <w:trHeight w:val="20"/>
        </w:trPr>
        <w:tc>
          <w:tcPr>
            <w:tcW w:w="5302" w:type="dxa"/>
            <w:shd w:val="clear" w:color="auto" w:fill="FFFFFF"/>
          </w:tcPr>
          <w:p w:rsidR="00E36C8E" w:rsidRPr="00524B37" w:rsidRDefault="00E36C8E" w:rsidP="00BD4391">
            <w:pPr>
              <w:pStyle w:val="h12"/>
            </w:pPr>
            <w:r w:rsidRPr="00524B37">
              <w:t xml:space="preserve">Sur le grand prix des âmes. </w:t>
            </w:r>
          </w:p>
        </w:tc>
        <w:tc>
          <w:tcPr>
            <w:tcW w:w="1559" w:type="dxa"/>
            <w:shd w:val="clear" w:color="auto" w:fill="FFFFFF"/>
          </w:tcPr>
          <w:p w:rsidR="00E36C8E" w:rsidRPr="00BA1CB4" w:rsidRDefault="00E36C8E" w:rsidP="00BD4391">
            <w:pPr>
              <w:pStyle w:val="nsr"/>
            </w:pPr>
            <w:r w:rsidRPr="00BA1CB4">
              <w:t>XVIII, 10-14.-</w:t>
            </w:r>
          </w:p>
        </w:tc>
        <w:tc>
          <w:tcPr>
            <w:tcW w:w="1276" w:type="dxa"/>
            <w:shd w:val="clear" w:color="auto" w:fill="FFFFFF"/>
          </w:tcPr>
          <w:p w:rsidR="00E36C8E" w:rsidRPr="00BA1CB4" w:rsidRDefault="00E36C8E" w:rsidP="00BD4391">
            <w:pPr>
              <w:pStyle w:val="centrum"/>
            </w:pPr>
            <w:r w:rsidRPr="00BA1CB4">
              <w:t xml:space="preserve"> »</w:t>
            </w:r>
          </w:p>
        </w:tc>
        <w:tc>
          <w:tcPr>
            <w:tcW w:w="1348" w:type="dxa"/>
            <w:shd w:val="clear" w:color="auto" w:fill="FFFFFF"/>
          </w:tcPr>
          <w:p w:rsidR="00E36C8E" w:rsidRPr="00BA1CB4" w:rsidRDefault="00E36C8E" w:rsidP="00BD4391">
            <w:pPr>
              <w:pStyle w:val="centrum"/>
            </w:pPr>
            <w:r w:rsidRPr="00BA1CB4">
              <w:t xml:space="preserve"> »</w:t>
            </w:r>
          </w:p>
        </w:tc>
        <w:tc>
          <w:tcPr>
            <w:tcW w:w="0" w:type="auto"/>
            <w:shd w:val="clear" w:color="auto" w:fill="FFFFFF"/>
          </w:tcPr>
          <w:p w:rsidR="00E36C8E" w:rsidRDefault="001B4203" w:rsidP="00BD4391">
            <w:pPr>
              <w:pStyle w:val="centrum"/>
            </w:pPr>
            <w:r>
              <w:t xml:space="preserve"> </w:t>
            </w:r>
            <w:r w:rsidR="00E36C8E" w:rsidRPr="00974137">
              <w:t>»</w:t>
            </w:r>
          </w:p>
        </w:tc>
      </w:tr>
      <w:tr w:rsidR="00E36C8E" w:rsidRPr="00177118" w:rsidTr="00BD4391">
        <w:trPr>
          <w:cantSplit/>
          <w:trHeight w:val="20"/>
        </w:trPr>
        <w:tc>
          <w:tcPr>
            <w:tcW w:w="5302" w:type="dxa"/>
            <w:shd w:val="clear" w:color="auto" w:fill="FFFFFF"/>
          </w:tcPr>
          <w:p w:rsidR="00E36C8E" w:rsidRPr="00177118" w:rsidRDefault="00E36C8E" w:rsidP="00BD4391">
            <w:pPr>
              <w:pStyle w:val="h12"/>
            </w:pPr>
            <w:r w:rsidRPr="00177118">
              <w:t>Sur la correction fraternelle</w:t>
            </w:r>
            <w:r>
              <w:t xml:space="preserve"> et</w:t>
            </w:r>
            <w:r w:rsidRPr="00177118">
              <w:t xml:space="preserve"> le pardon des injures</w:t>
            </w:r>
            <w:r>
              <w:t xml:space="preserve"> </w:t>
            </w:r>
          </w:p>
        </w:tc>
        <w:tc>
          <w:tcPr>
            <w:tcW w:w="1559" w:type="dxa"/>
            <w:shd w:val="clear" w:color="auto" w:fill="FFFFFF"/>
          </w:tcPr>
          <w:p w:rsidR="00E36C8E" w:rsidRPr="00BA1CB4" w:rsidRDefault="00E36C8E" w:rsidP="00BD4391">
            <w:pPr>
              <w:pStyle w:val="nsr"/>
            </w:pPr>
            <w:r w:rsidRPr="00BA1CB4">
              <w:t>XVIII, 15-35.</w:t>
            </w:r>
          </w:p>
        </w:tc>
        <w:tc>
          <w:tcPr>
            <w:tcW w:w="1276" w:type="dxa"/>
            <w:shd w:val="clear" w:color="auto" w:fill="FFFFFF"/>
          </w:tcPr>
          <w:p w:rsidR="00E36C8E" w:rsidRPr="00BA1CB4" w:rsidRDefault="00E36C8E" w:rsidP="00BD4391">
            <w:pPr>
              <w:pStyle w:val="centrum"/>
            </w:pPr>
            <w:r w:rsidRPr="00BA1CB4">
              <w:t xml:space="preserve"> »</w:t>
            </w:r>
          </w:p>
        </w:tc>
        <w:tc>
          <w:tcPr>
            <w:tcW w:w="1348" w:type="dxa"/>
            <w:shd w:val="clear" w:color="auto" w:fill="FFFFFF"/>
          </w:tcPr>
          <w:p w:rsidR="00E36C8E" w:rsidRPr="00BA1CB4" w:rsidRDefault="00E36C8E" w:rsidP="00BD4391">
            <w:pPr>
              <w:pStyle w:val="centrum"/>
            </w:pPr>
            <w:r w:rsidRPr="00BA1CB4">
              <w:t xml:space="preserve"> »</w:t>
            </w:r>
          </w:p>
        </w:tc>
        <w:tc>
          <w:tcPr>
            <w:tcW w:w="0" w:type="auto"/>
            <w:shd w:val="clear" w:color="auto" w:fill="FFFFFF"/>
          </w:tcPr>
          <w:p w:rsidR="00E36C8E" w:rsidRDefault="001B4203" w:rsidP="00BD4391">
            <w:pPr>
              <w:pStyle w:val="centrum"/>
            </w:pPr>
            <w:r>
              <w:t xml:space="preserve"> </w:t>
            </w:r>
            <w:r w:rsidR="00E36C8E" w:rsidRPr="00974137">
              <w:t>»</w:t>
            </w:r>
          </w:p>
        </w:tc>
      </w:tr>
      <w:tr w:rsidR="00E36C8E" w:rsidRPr="00177118" w:rsidTr="00BD4391">
        <w:trPr>
          <w:cantSplit/>
          <w:trHeight w:val="20"/>
        </w:trPr>
        <w:tc>
          <w:tcPr>
            <w:tcW w:w="5302" w:type="dxa"/>
            <w:shd w:val="clear" w:color="auto" w:fill="FFFFFF"/>
          </w:tcPr>
          <w:p w:rsidR="00E36C8E" w:rsidRPr="00177118" w:rsidRDefault="00E36C8E" w:rsidP="00BD4391">
            <w:pPr>
              <w:pStyle w:val="h"/>
            </w:pPr>
            <w:r w:rsidRPr="00177118">
              <w:t>Jésus se rend à Jérusalem à l</w:t>
            </w:r>
            <w:r w:rsidR="00557DE0">
              <w:t>’</w:t>
            </w:r>
            <w:r w:rsidRPr="00177118">
              <w:t>occasion de la fête des Tabernacles</w:t>
            </w:r>
          </w:p>
        </w:tc>
        <w:tc>
          <w:tcPr>
            <w:tcW w:w="1559" w:type="dxa"/>
            <w:shd w:val="clear" w:color="auto" w:fill="FFFFFF"/>
          </w:tcPr>
          <w:p w:rsidR="00E36C8E" w:rsidRPr="00BA1CB4" w:rsidRDefault="00E36C8E" w:rsidP="00BD4391">
            <w:pPr>
              <w:pStyle w:val="centrum"/>
            </w:pPr>
            <w:r w:rsidRPr="00BA1CB4">
              <w:t xml:space="preserve"> »</w:t>
            </w:r>
          </w:p>
        </w:tc>
        <w:tc>
          <w:tcPr>
            <w:tcW w:w="1276" w:type="dxa"/>
            <w:shd w:val="clear" w:color="auto" w:fill="FFFFFF"/>
          </w:tcPr>
          <w:p w:rsidR="00E36C8E" w:rsidRPr="00BA1CB4" w:rsidRDefault="00E36C8E" w:rsidP="00BD4391">
            <w:pPr>
              <w:pStyle w:val="centrum"/>
            </w:pPr>
            <w:r w:rsidRPr="00BA1CB4">
              <w:t xml:space="preserve"> »</w:t>
            </w:r>
          </w:p>
        </w:tc>
        <w:tc>
          <w:tcPr>
            <w:tcW w:w="1348" w:type="dxa"/>
            <w:shd w:val="clear" w:color="auto" w:fill="FFFFFF"/>
          </w:tcPr>
          <w:p w:rsidR="00E36C8E" w:rsidRPr="00BA1CB4" w:rsidRDefault="00E36C8E" w:rsidP="00BD4391">
            <w:pPr>
              <w:pStyle w:val="centrum"/>
            </w:pPr>
            <w:r w:rsidRPr="00BA1CB4">
              <w:t xml:space="preserve"> »</w:t>
            </w:r>
          </w:p>
        </w:tc>
        <w:tc>
          <w:tcPr>
            <w:tcW w:w="0" w:type="auto"/>
            <w:shd w:val="clear" w:color="auto" w:fill="FFFFFF"/>
          </w:tcPr>
          <w:p w:rsidR="00E36C8E" w:rsidRPr="00BA1CB4" w:rsidRDefault="00E36C8E" w:rsidP="00BD4391">
            <w:pPr>
              <w:pStyle w:val="nsr"/>
            </w:pPr>
            <w:r w:rsidRPr="00BA1CB4">
              <w:t>VII, 2-10.</w:t>
            </w:r>
          </w:p>
        </w:tc>
      </w:tr>
      <w:tr w:rsidR="00E36C8E" w:rsidRPr="00241E4B" w:rsidTr="00BD4391">
        <w:trPr>
          <w:cantSplit/>
          <w:trHeight w:val="20"/>
        </w:trPr>
        <w:tc>
          <w:tcPr>
            <w:tcW w:w="5302" w:type="dxa"/>
            <w:shd w:val="clear" w:color="auto" w:fill="FFFFFF"/>
          </w:tcPr>
          <w:p w:rsidR="00E36C8E" w:rsidRPr="00241E4B" w:rsidRDefault="00E36C8E" w:rsidP="00BD4391">
            <w:pPr>
              <w:pStyle w:val="h"/>
              <w:rPr>
                <w:rStyle w:val="italicus"/>
              </w:rPr>
            </w:pPr>
            <w:r w:rsidRPr="00241E4B">
              <w:rPr>
                <w:rStyle w:val="italicus"/>
              </w:rPr>
              <w:t xml:space="preserve">Il passe par la Samarie </w:t>
            </w:r>
          </w:p>
        </w:tc>
        <w:tc>
          <w:tcPr>
            <w:tcW w:w="1559" w:type="dxa"/>
            <w:shd w:val="clear" w:color="auto" w:fill="FFFFFF"/>
          </w:tcPr>
          <w:p w:rsidR="00E36C8E" w:rsidRPr="00241E4B" w:rsidRDefault="00E36C8E" w:rsidP="00BD4391">
            <w:pPr>
              <w:pStyle w:val="centrum"/>
              <w:rPr>
                <w:rStyle w:val="italicus"/>
              </w:rPr>
            </w:pPr>
            <w:r w:rsidRPr="00241E4B">
              <w:rPr>
                <w:rStyle w:val="italicus"/>
              </w:rPr>
              <w:t xml:space="preserve"> »</w:t>
            </w:r>
          </w:p>
        </w:tc>
        <w:tc>
          <w:tcPr>
            <w:tcW w:w="1276" w:type="dxa"/>
            <w:shd w:val="clear" w:color="auto" w:fill="FFFFFF"/>
          </w:tcPr>
          <w:p w:rsidR="00E36C8E" w:rsidRPr="00241E4B" w:rsidRDefault="00E36C8E" w:rsidP="00BD4391">
            <w:pPr>
              <w:pStyle w:val="centrum"/>
              <w:rPr>
                <w:rStyle w:val="italicus"/>
              </w:rPr>
            </w:pPr>
            <w:r w:rsidRPr="00241E4B">
              <w:rPr>
                <w:rStyle w:val="italicus"/>
              </w:rPr>
              <w:t xml:space="preserve"> »</w:t>
            </w:r>
          </w:p>
        </w:tc>
        <w:tc>
          <w:tcPr>
            <w:tcW w:w="1348" w:type="dxa"/>
            <w:shd w:val="clear" w:color="auto" w:fill="FFFFFF"/>
          </w:tcPr>
          <w:p w:rsidR="00E36C8E" w:rsidRPr="00241E4B" w:rsidRDefault="00E36C8E" w:rsidP="00BD4391">
            <w:pPr>
              <w:pStyle w:val="nsr"/>
              <w:rPr>
                <w:rStyle w:val="italicus"/>
              </w:rPr>
            </w:pPr>
            <w:r w:rsidRPr="00241E4B">
              <w:rPr>
                <w:rStyle w:val="italicus"/>
              </w:rPr>
              <w:t>IX, 51 56.</w:t>
            </w:r>
          </w:p>
        </w:tc>
        <w:tc>
          <w:tcPr>
            <w:tcW w:w="0" w:type="auto"/>
            <w:shd w:val="clear" w:color="auto" w:fill="FFFFFF"/>
          </w:tcPr>
          <w:p w:rsidR="00E36C8E" w:rsidRPr="00241E4B" w:rsidRDefault="00E36C8E" w:rsidP="00BD4391">
            <w:pPr>
              <w:pStyle w:val="centrum"/>
              <w:rPr>
                <w:rStyle w:val="italicus"/>
              </w:rPr>
            </w:pPr>
            <w:r w:rsidRPr="00241E4B">
              <w:rPr>
                <w:rStyle w:val="italicus"/>
              </w:rPr>
              <w:t xml:space="preserve"> »</w:t>
            </w:r>
          </w:p>
        </w:tc>
      </w:tr>
      <w:tr w:rsidR="00E36C8E" w:rsidRPr="00177118" w:rsidTr="00BD4391">
        <w:trPr>
          <w:cantSplit/>
          <w:trHeight w:val="20"/>
        </w:trPr>
        <w:tc>
          <w:tcPr>
            <w:tcW w:w="5302" w:type="dxa"/>
            <w:shd w:val="clear" w:color="auto" w:fill="FFFFFF"/>
          </w:tcPr>
          <w:p w:rsidR="00E36C8E" w:rsidRPr="00177118" w:rsidRDefault="00E36C8E" w:rsidP="00BD4391">
            <w:pPr>
              <w:pStyle w:val="h"/>
            </w:pPr>
            <w:r w:rsidRPr="00177118">
              <w:t>Qualités d</w:t>
            </w:r>
            <w:r w:rsidR="00557DE0">
              <w:t>’</w:t>
            </w:r>
            <w:r>
              <w:t>un v</w:t>
            </w:r>
            <w:r w:rsidRPr="00177118">
              <w:t>rai disciple de Jésus- Christ</w:t>
            </w:r>
            <w:r>
              <w:t xml:space="preserve"> </w:t>
            </w:r>
          </w:p>
        </w:tc>
        <w:tc>
          <w:tcPr>
            <w:tcW w:w="1559" w:type="dxa"/>
            <w:shd w:val="clear" w:color="auto" w:fill="FFFFFF"/>
          </w:tcPr>
          <w:p w:rsidR="00E36C8E" w:rsidRPr="00BA1CB4" w:rsidRDefault="00E36C8E" w:rsidP="00BD4391">
            <w:pPr>
              <w:pStyle w:val="nsr"/>
            </w:pPr>
            <w:r w:rsidRPr="00BA1CB4">
              <w:t>VIII, 19-22.</w:t>
            </w:r>
          </w:p>
        </w:tc>
        <w:tc>
          <w:tcPr>
            <w:tcW w:w="1276" w:type="dxa"/>
            <w:shd w:val="clear" w:color="auto" w:fill="FFFFFF"/>
          </w:tcPr>
          <w:p w:rsidR="00E36C8E" w:rsidRPr="00BA1CB4" w:rsidRDefault="00E36C8E" w:rsidP="00BD4391">
            <w:pPr>
              <w:pStyle w:val="centrum"/>
            </w:pPr>
            <w:r w:rsidRPr="00BA1CB4">
              <w:t xml:space="preserve"> »</w:t>
            </w:r>
          </w:p>
        </w:tc>
        <w:tc>
          <w:tcPr>
            <w:tcW w:w="1348" w:type="dxa"/>
            <w:shd w:val="clear" w:color="auto" w:fill="FFFFFF"/>
          </w:tcPr>
          <w:p w:rsidR="00E36C8E" w:rsidRPr="00BA1CB4" w:rsidRDefault="00E36C8E" w:rsidP="00BD4391">
            <w:pPr>
              <w:pStyle w:val="nsr"/>
            </w:pPr>
            <w:r>
              <w:t>IX</w:t>
            </w:r>
            <w:r w:rsidRPr="00BA1CB4">
              <w:t>, 57-62.</w:t>
            </w:r>
          </w:p>
        </w:tc>
        <w:tc>
          <w:tcPr>
            <w:tcW w:w="0" w:type="auto"/>
            <w:shd w:val="clear" w:color="auto" w:fill="FFFFFF"/>
          </w:tcPr>
          <w:p w:rsidR="00E36C8E" w:rsidRPr="00BA1CB4" w:rsidRDefault="001B4203" w:rsidP="00BD4391">
            <w:pPr>
              <w:pStyle w:val="centrum"/>
            </w:pPr>
            <w:r>
              <w:t xml:space="preserve"> </w:t>
            </w:r>
            <w:r w:rsidR="00E36C8E" w:rsidRPr="00123C9C">
              <w:t>»</w:t>
            </w:r>
          </w:p>
        </w:tc>
      </w:tr>
      <w:tr w:rsidR="00E36C8E" w:rsidRPr="00177118" w:rsidTr="00BD4391">
        <w:trPr>
          <w:cantSplit/>
          <w:trHeight w:val="20"/>
        </w:trPr>
        <w:tc>
          <w:tcPr>
            <w:tcW w:w="5302" w:type="dxa"/>
            <w:shd w:val="clear" w:color="auto" w:fill="FFFFFF"/>
          </w:tcPr>
          <w:p w:rsidR="00E36C8E" w:rsidRPr="00177118" w:rsidRDefault="00E36C8E" w:rsidP="00BD4391">
            <w:pPr>
              <w:pStyle w:val="h"/>
            </w:pPr>
            <w:r w:rsidRPr="00177118">
              <w:t>Mission des 72 disciples</w:t>
            </w:r>
            <w:r>
              <w:t xml:space="preserve"> </w:t>
            </w:r>
          </w:p>
        </w:tc>
        <w:tc>
          <w:tcPr>
            <w:tcW w:w="1559" w:type="dxa"/>
            <w:shd w:val="clear" w:color="auto" w:fill="FFFFFF"/>
          </w:tcPr>
          <w:p w:rsidR="00E36C8E" w:rsidRPr="00BA1CB4" w:rsidRDefault="00E36C8E" w:rsidP="00BD4391">
            <w:pPr>
              <w:pStyle w:val="centrum"/>
            </w:pPr>
            <w:r w:rsidRPr="00BA1CB4">
              <w:t xml:space="preserve"> »</w:t>
            </w:r>
          </w:p>
        </w:tc>
        <w:tc>
          <w:tcPr>
            <w:tcW w:w="1276" w:type="dxa"/>
            <w:shd w:val="clear" w:color="auto" w:fill="FFFFFF"/>
          </w:tcPr>
          <w:p w:rsidR="00E36C8E" w:rsidRPr="00BA1CB4" w:rsidRDefault="00E36C8E" w:rsidP="00BD4391">
            <w:pPr>
              <w:pStyle w:val="centrum"/>
            </w:pPr>
            <w:r w:rsidRPr="00BA1CB4">
              <w:t xml:space="preserve"> » </w:t>
            </w:r>
          </w:p>
        </w:tc>
        <w:tc>
          <w:tcPr>
            <w:tcW w:w="1348" w:type="dxa"/>
            <w:shd w:val="clear" w:color="auto" w:fill="FFFFFF"/>
          </w:tcPr>
          <w:p w:rsidR="00E36C8E" w:rsidRPr="00BA1CB4" w:rsidRDefault="00E36C8E" w:rsidP="00BD4391">
            <w:pPr>
              <w:pStyle w:val="nsr"/>
            </w:pPr>
            <w:r w:rsidRPr="00BA1CB4">
              <w:t>X</w:t>
            </w:r>
            <w:r>
              <w:t>,</w:t>
            </w:r>
            <w:r w:rsidRPr="00BA1CB4">
              <w:t xml:space="preserve"> 1-16. </w:t>
            </w:r>
          </w:p>
        </w:tc>
        <w:tc>
          <w:tcPr>
            <w:tcW w:w="0" w:type="auto"/>
            <w:shd w:val="clear" w:color="auto" w:fill="FFFFFF"/>
          </w:tcPr>
          <w:p w:rsidR="00E36C8E" w:rsidRPr="00BA1CB4" w:rsidRDefault="00E36C8E" w:rsidP="00BD4391">
            <w:pPr>
              <w:pStyle w:val="centrum"/>
            </w:pPr>
            <w:r>
              <w:t xml:space="preserve"> </w:t>
            </w:r>
            <w:r w:rsidRPr="00BA1CB4">
              <w:t>»</w:t>
            </w:r>
          </w:p>
        </w:tc>
      </w:tr>
      <w:tr w:rsidR="00E36C8E" w:rsidRPr="00177118" w:rsidTr="00BD4391">
        <w:trPr>
          <w:cantSplit/>
          <w:trHeight w:val="20"/>
        </w:trPr>
        <w:tc>
          <w:tcPr>
            <w:tcW w:w="5302" w:type="dxa"/>
            <w:shd w:val="clear" w:color="auto" w:fill="FFFFFF"/>
          </w:tcPr>
          <w:p w:rsidR="00E36C8E" w:rsidRPr="00177118" w:rsidRDefault="00E36C8E" w:rsidP="00BD4391">
            <w:pPr>
              <w:pStyle w:val="h"/>
            </w:pPr>
            <w:r w:rsidRPr="00177118">
              <w:t>Leur retour</w:t>
            </w:r>
          </w:p>
        </w:tc>
        <w:tc>
          <w:tcPr>
            <w:tcW w:w="1559" w:type="dxa"/>
            <w:shd w:val="clear" w:color="auto" w:fill="FFFFFF"/>
          </w:tcPr>
          <w:p w:rsidR="00E36C8E" w:rsidRPr="00BA1CB4" w:rsidRDefault="00E36C8E" w:rsidP="00BD4391">
            <w:pPr>
              <w:pStyle w:val="centrum"/>
            </w:pPr>
            <w:r w:rsidRPr="00BA1CB4">
              <w:t xml:space="preserve"> »</w:t>
            </w:r>
          </w:p>
        </w:tc>
        <w:tc>
          <w:tcPr>
            <w:tcW w:w="1276" w:type="dxa"/>
            <w:shd w:val="clear" w:color="auto" w:fill="FFFFFF"/>
          </w:tcPr>
          <w:p w:rsidR="00E36C8E" w:rsidRPr="00BA1CB4" w:rsidRDefault="00E36C8E" w:rsidP="00BD4391">
            <w:pPr>
              <w:pStyle w:val="centrum"/>
            </w:pPr>
            <w:r w:rsidRPr="00BA1CB4">
              <w:t xml:space="preserve"> »</w:t>
            </w:r>
          </w:p>
        </w:tc>
        <w:tc>
          <w:tcPr>
            <w:tcW w:w="1348" w:type="dxa"/>
            <w:shd w:val="clear" w:color="auto" w:fill="FFFFFF"/>
          </w:tcPr>
          <w:p w:rsidR="00E36C8E" w:rsidRPr="00BA1CB4" w:rsidRDefault="00E36C8E" w:rsidP="00BD4391">
            <w:pPr>
              <w:pStyle w:val="nsr"/>
            </w:pPr>
            <w:r w:rsidRPr="00BA1CB4">
              <w:t xml:space="preserve">X, </w:t>
            </w:r>
            <w:r>
              <w:t>17-2</w:t>
            </w:r>
            <w:r w:rsidRPr="00BA1CB4">
              <w:t>4.</w:t>
            </w:r>
          </w:p>
        </w:tc>
        <w:tc>
          <w:tcPr>
            <w:tcW w:w="0" w:type="auto"/>
            <w:shd w:val="clear" w:color="auto" w:fill="FFFFFF"/>
          </w:tcPr>
          <w:p w:rsidR="00E36C8E" w:rsidRPr="00BA1CB4" w:rsidRDefault="00E36C8E" w:rsidP="00BD4391">
            <w:pPr>
              <w:pStyle w:val="centrum"/>
            </w:pPr>
            <w:r w:rsidRPr="00BA1CB4">
              <w:t xml:space="preserve"> »</w:t>
            </w:r>
          </w:p>
        </w:tc>
      </w:tr>
      <w:tr w:rsidR="00E36C8E" w:rsidRPr="00177118" w:rsidTr="00BD4391">
        <w:trPr>
          <w:cantSplit/>
          <w:trHeight w:val="20"/>
        </w:trPr>
        <w:tc>
          <w:tcPr>
            <w:tcW w:w="5302" w:type="dxa"/>
            <w:shd w:val="clear" w:color="auto" w:fill="FFFFFF"/>
          </w:tcPr>
          <w:p w:rsidR="00E36C8E" w:rsidRPr="00177118" w:rsidRDefault="00E36C8E" w:rsidP="00BD4391">
            <w:pPr>
              <w:pStyle w:val="h"/>
            </w:pPr>
            <w:r>
              <w:t>Parabole du bon Samaritain</w:t>
            </w:r>
          </w:p>
        </w:tc>
        <w:tc>
          <w:tcPr>
            <w:tcW w:w="1559" w:type="dxa"/>
            <w:shd w:val="clear" w:color="auto" w:fill="FFFFFF"/>
          </w:tcPr>
          <w:p w:rsidR="00E36C8E" w:rsidRPr="00BA1CB4" w:rsidRDefault="00E36C8E" w:rsidP="00BD4391">
            <w:pPr>
              <w:pStyle w:val="centrum"/>
            </w:pPr>
            <w:r w:rsidRPr="00BA1CB4">
              <w:t xml:space="preserve"> »</w:t>
            </w:r>
          </w:p>
        </w:tc>
        <w:tc>
          <w:tcPr>
            <w:tcW w:w="1276" w:type="dxa"/>
            <w:shd w:val="clear" w:color="auto" w:fill="FFFFFF"/>
          </w:tcPr>
          <w:p w:rsidR="00E36C8E" w:rsidRPr="00BA1CB4" w:rsidRDefault="00E36C8E" w:rsidP="00BD4391">
            <w:pPr>
              <w:pStyle w:val="centrum"/>
            </w:pPr>
            <w:r w:rsidRPr="00BA1CB4">
              <w:t xml:space="preserve"> »</w:t>
            </w:r>
          </w:p>
        </w:tc>
        <w:tc>
          <w:tcPr>
            <w:tcW w:w="1348" w:type="dxa"/>
            <w:shd w:val="clear" w:color="auto" w:fill="FFFFFF"/>
          </w:tcPr>
          <w:p w:rsidR="00E36C8E" w:rsidRPr="00BA1CB4" w:rsidRDefault="00E36C8E" w:rsidP="00BD4391">
            <w:pPr>
              <w:pStyle w:val="nsr"/>
            </w:pPr>
            <w:r w:rsidRPr="00BA1CB4">
              <w:t>X, 25-37.</w:t>
            </w:r>
          </w:p>
        </w:tc>
        <w:tc>
          <w:tcPr>
            <w:tcW w:w="0" w:type="auto"/>
            <w:shd w:val="clear" w:color="auto" w:fill="FFFFFF"/>
          </w:tcPr>
          <w:p w:rsidR="00E36C8E" w:rsidRPr="00BA1CB4" w:rsidRDefault="00E36C8E" w:rsidP="00BD4391">
            <w:pPr>
              <w:pStyle w:val="centrum"/>
            </w:pPr>
            <w:r w:rsidRPr="00BA1CB4">
              <w:t xml:space="preserve"> »</w:t>
            </w:r>
          </w:p>
        </w:tc>
      </w:tr>
      <w:tr w:rsidR="00E36C8E" w:rsidRPr="00177118" w:rsidTr="00BD4391">
        <w:trPr>
          <w:cantSplit/>
          <w:trHeight w:val="20"/>
        </w:trPr>
        <w:tc>
          <w:tcPr>
            <w:tcW w:w="5302" w:type="dxa"/>
            <w:shd w:val="clear" w:color="auto" w:fill="FFFFFF"/>
          </w:tcPr>
          <w:p w:rsidR="00E36C8E" w:rsidRPr="00177118" w:rsidRDefault="00E36C8E" w:rsidP="00BD4391">
            <w:pPr>
              <w:pStyle w:val="h"/>
            </w:pPr>
            <w:r w:rsidRPr="00177118">
              <w:t>Marth</w:t>
            </w:r>
            <w:r>
              <w:t xml:space="preserve">e </w:t>
            </w:r>
            <w:r w:rsidRPr="00177118">
              <w:t>et Marie</w:t>
            </w:r>
            <w:r>
              <w:t xml:space="preserve"> </w:t>
            </w:r>
          </w:p>
        </w:tc>
        <w:tc>
          <w:tcPr>
            <w:tcW w:w="1559" w:type="dxa"/>
            <w:shd w:val="clear" w:color="auto" w:fill="FFFFFF"/>
          </w:tcPr>
          <w:p w:rsidR="00E36C8E" w:rsidRPr="00BA1CB4" w:rsidRDefault="00E36C8E" w:rsidP="00BD4391">
            <w:pPr>
              <w:pStyle w:val="centrum"/>
            </w:pPr>
            <w:r w:rsidRPr="00BA1CB4">
              <w:t xml:space="preserve"> »</w:t>
            </w:r>
          </w:p>
        </w:tc>
        <w:tc>
          <w:tcPr>
            <w:tcW w:w="1276" w:type="dxa"/>
            <w:shd w:val="clear" w:color="auto" w:fill="FFFFFF"/>
          </w:tcPr>
          <w:p w:rsidR="00E36C8E" w:rsidRPr="00BA1CB4" w:rsidRDefault="001B4203" w:rsidP="00BD4391">
            <w:pPr>
              <w:pStyle w:val="centrum"/>
            </w:pPr>
            <w:r>
              <w:t xml:space="preserve"> </w:t>
            </w:r>
            <w:r w:rsidR="00E36C8E" w:rsidRPr="00123C9C">
              <w:t>»</w:t>
            </w:r>
          </w:p>
        </w:tc>
        <w:tc>
          <w:tcPr>
            <w:tcW w:w="1348" w:type="dxa"/>
            <w:shd w:val="clear" w:color="auto" w:fill="FFFFFF"/>
          </w:tcPr>
          <w:p w:rsidR="00E36C8E" w:rsidRPr="00BA1CB4" w:rsidRDefault="00E36C8E" w:rsidP="00BD4391">
            <w:pPr>
              <w:pStyle w:val="nsr"/>
            </w:pPr>
            <w:r w:rsidRPr="00BA1CB4">
              <w:t>X, 38-42.</w:t>
            </w:r>
          </w:p>
        </w:tc>
        <w:tc>
          <w:tcPr>
            <w:tcW w:w="0" w:type="auto"/>
            <w:shd w:val="clear" w:color="auto" w:fill="FFFFFF"/>
          </w:tcPr>
          <w:p w:rsidR="00E36C8E" w:rsidRPr="00BA1CB4" w:rsidRDefault="00E36C8E" w:rsidP="00BD4391">
            <w:pPr>
              <w:pStyle w:val="centrum"/>
            </w:pPr>
            <w:r w:rsidRPr="00BA1CB4">
              <w:t xml:space="preserve"> »</w:t>
            </w:r>
          </w:p>
        </w:tc>
      </w:tr>
    </w:tbl>
    <w:p w:rsidR="00E36C8E" w:rsidRPr="00123C9C" w:rsidRDefault="00E36C8E" w:rsidP="00E36C8E">
      <w:pPr>
        <w:pStyle w:val="u3"/>
      </w:pPr>
      <w:r w:rsidRPr="00123C9C">
        <w:t xml:space="preserve">§ </w:t>
      </w:r>
      <w:r>
        <w:t>V</w:t>
      </w:r>
      <w:r w:rsidRPr="00123C9C">
        <w:t xml:space="preserve">. — De la fêle des Tabernacles à celle de la Dédicace. </w:t>
      </w:r>
    </w:p>
    <w:p w:rsidR="00E36C8E" w:rsidRPr="00123C9C" w:rsidRDefault="00E36C8E" w:rsidP="00E36C8E">
      <w:pPr>
        <w:pStyle w:val="nsr"/>
      </w:pPr>
      <w:r w:rsidRPr="00123C9C">
        <w:t>(octobre I décembre 782 ;</w:t>
      </w:r>
      <w:r>
        <w:t xml:space="preserve"> 20 de l</w:t>
      </w:r>
      <w:r w:rsidR="00557DE0">
        <w:t>’</w:t>
      </w:r>
      <w:r>
        <w:t>èr</w:t>
      </w:r>
      <w:r w:rsidRPr="00123C9C">
        <w:t>e vulgaire).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4041"/>
        <w:gridCol w:w="1626"/>
        <w:gridCol w:w="1173"/>
        <w:gridCol w:w="2062"/>
        <w:gridCol w:w="1588"/>
      </w:tblGrid>
      <w:tr w:rsidR="00E36C8E" w:rsidRPr="005507CF" w:rsidTr="00BD4391">
        <w:trPr>
          <w:cantSplit/>
          <w:trHeight w:val="20"/>
        </w:trPr>
        <w:tc>
          <w:tcPr>
            <w:tcW w:w="1926" w:type="pct"/>
            <w:shd w:val="clear" w:color="auto" w:fill="FFFFFF"/>
          </w:tcPr>
          <w:p w:rsidR="00E36C8E" w:rsidRPr="00177118" w:rsidRDefault="00E36C8E" w:rsidP="00BD4391">
            <w:pPr>
              <w:pStyle w:val="h"/>
            </w:pPr>
            <w:r w:rsidRPr="00177118">
              <w:t xml:space="preserve">Jésus prêche sous les parvis du temple. </w:t>
            </w:r>
          </w:p>
        </w:tc>
        <w:tc>
          <w:tcPr>
            <w:tcW w:w="775" w:type="pct"/>
            <w:shd w:val="clear" w:color="auto" w:fill="FFFFFF"/>
          </w:tcPr>
          <w:p w:rsidR="00E36C8E" w:rsidRDefault="001B4203" w:rsidP="00BD4391">
            <w:pPr>
              <w:pStyle w:val="centrum"/>
            </w:pPr>
            <w:r>
              <w:t xml:space="preserve"> </w:t>
            </w:r>
            <w:r w:rsidR="00E36C8E" w:rsidRPr="00E3514D">
              <w:t>»</w:t>
            </w:r>
          </w:p>
        </w:tc>
        <w:tc>
          <w:tcPr>
            <w:tcW w:w="559" w:type="pct"/>
            <w:shd w:val="clear" w:color="auto" w:fill="FFFFFF"/>
          </w:tcPr>
          <w:p w:rsidR="00E36C8E" w:rsidRDefault="001B4203" w:rsidP="00BD4391">
            <w:pPr>
              <w:pStyle w:val="centrum"/>
            </w:pPr>
            <w:r>
              <w:t xml:space="preserve"> </w:t>
            </w:r>
            <w:r w:rsidR="00E36C8E" w:rsidRPr="00E3514D">
              <w:t>»</w:t>
            </w:r>
          </w:p>
        </w:tc>
        <w:tc>
          <w:tcPr>
            <w:tcW w:w="983" w:type="pct"/>
            <w:shd w:val="clear" w:color="auto" w:fill="FFFFFF"/>
          </w:tcPr>
          <w:p w:rsidR="00E36C8E" w:rsidRDefault="001B4203" w:rsidP="00BD4391">
            <w:pPr>
              <w:pStyle w:val="centrum"/>
            </w:pPr>
            <w:r>
              <w:t xml:space="preserve"> </w:t>
            </w:r>
            <w:r w:rsidR="00E36C8E" w:rsidRPr="00E3514D">
              <w:t>»</w:t>
            </w:r>
          </w:p>
        </w:tc>
        <w:tc>
          <w:tcPr>
            <w:tcW w:w="757" w:type="pct"/>
            <w:shd w:val="clear" w:color="auto" w:fill="FFFFFF"/>
          </w:tcPr>
          <w:p w:rsidR="00E36C8E" w:rsidRPr="00D709E6" w:rsidRDefault="00E36C8E" w:rsidP="00BD4391">
            <w:pPr>
              <w:pStyle w:val="nsr"/>
            </w:pPr>
            <w:r w:rsidRPr="00D709E6">
              <w:t>VII, 11-</w:t>
            </w:r>
            <w:r>
              <w:t>VIII</w:t>
            </w:r>
            <w:r w:rsidRPr="00D709E6">
              <w:t>, 1.</w:t>
            </w:r>
          </w:p>
        </w:tc>
      </w:tr>
      <w:tr w:rsidR="00E36C8E" w:rsidRPr="005507CF" w:rsidTr="00BD4391">
        <w:trPr>
          <w:cantSplit/>
          <w:trHeight w:val="20"/>
        </w:trPr>
        <w:tc>
          <w:tcPr>
            <w:tcW w:w="1926" w:type="pct"/>
            <w:shd w:val="clear" w:color="auto" w:fill="FFFFFF"/>
          </w:tcPr>
          <w:p w:rsidR="00E36C8E" w:rsidRPr="00177118" w:rsidRDefault="00E36C8E" w:rsidP="00BD4391">
            <w:pPr>
              <w:pStyle w:val="h"/>
            </w:pPr>
            <w:r w:rsidRPr="00177118">
              <w:t>La femme adultère</w:t>
            </w:r>
          </w:p>
        </w:tc>
        <w:tc>
          <w:tcPr>
            <w:tcW w:w="775" w:type="pct"/>
            <w:shd w:val="clear" w:color="auto" w:fill="FFFFFF"/>
          </w:tcPr>
          <w:p w:rsidR="00E36C8E" w:rsidRDefault="001B4203" w:rsidP="00BD4391">
            <w:pPr>
              <w:pStyle w:val="centrum"/>
            </w:pPr>
            <w:r>
              <w:t xml:space="preserve"> </w:t>
            </w:r>
            <w:r w:rsidR="00E36C8E" w:rsidRPr="00E3514D">
              <w:t>»</w:t>
            </w:r>
          </w:p>
        </w:tc>
        <w:tc>
          <w:tcPr>
            <w:tcW w:w="559" w:type="pct"/>
            <w:shd w:val="clear" w:color="auto" w:fill="FFFFFF"/>
          </w:tcPr>
          <w:p w:rsidR="00E36C8E" w:rsidRDefault="001B4203" w:rsidP="00BD4391">
            <w:pPr>
              <w:pStyle w:val="centrum"/>
            </w:pPr>
            <w:r>
              <w:t xml:space="preserve"> </w:t>
            </w:r>
            <w:r w:rsidR="00E36C8E" w:rsidRPr="00E3514D">
              <w:t>»</w:t>
            </w:r>
          </w:p>
        </w:tc>
        <w:tc>
          <w:tcPr>
            <w:tcW w:w="983" w:type="pct"/>
            <w:shd w:val="clear" w:color="auto" w:fill="FFFFFF"/>
          </w:tcPr>
          <w:p w:rsidR="00E36C8E" w:rsidRDefault="001B4203" w:rsidP="00BD4391">
            <w:pPr>
              <w:pStyle w:val="centrum"/>
            </w:pPr>
            <w:r>
              <w:t xml:space="preserve"> </w:t>
            </w:r>
            <w:r w:rsidR="00E36C8E" w:rsidRPr="00E3514D">
              <w:t>»</w:t>
            </w:r>
          </w:p>
        </w:tc>
        <w:tc>
          <w:tcPr>
            <w:tcW w:w="757" w:type="pct"/>
            <w:shd w:val="clear" w:color="auto" w:fill="FFFFFF"/>
          </w:tcPr>
          <w:p w:rsidR="00E36C8E" w:rsidRPr="00D709E6" w:rsidRDefault="00E36C8E" w:rsidP="00BD4391">
            <w:pPr>
              <w:pStyle w:val="nsr"/>
            </w:pPr>
            <w:r w:rsidRPr="00D709E6">
              <w:t>VIII, 2-11</w:t>
            </w:r>
          </w:p>
        </w:tc>
      </w:tr>
      <w:tr w:rsidR="00E36C8E" w:rsidRPr="005507CF" w:rsidTr="00BD4391">
        <w:trPr>
          <w:cantSplit/>
          <w:trHeight w:val="20"/>
        </w:trPr>
        <w:tc>
          <w:tcPr>
            <w:tcW w:w="1926" w:type="pct"/>
            <w:shd w:val="clear" w:color="auto" w:fill="FFFFFF"/>
          </w:tcPr>
          <w:p w:rsidR="00E36C8E" w:rsidRPr="00177118" w:rsidRDefault="00E36C8E" w:rsidP="00BD4391">
            <w:pPr>
              <w:pStyle w:val="h"/>
            </w:pPr>
            <w:r w:rsidRPr="00177118">
              <w:t>Jésus affirme sa divinité</w:t>
            </w:r>
            <w:r>
              <w:t xml:space="preserve"> </w:t>
            </w:r>
          </w:p>
        </w:tc>
        <w:tc>
          <w:tcPr>
            <w:tcW w:w="775" w:type="pct"/>
            <w:shd w:val="clear" w:color="auto" w:fill="FFFFFF"/>
          </w:tcPr>
          <w:p w:rsidR="00E36C8E" w:rsidRDefault="001B4203" w:rsidP="00BD4391">
            <w:pPr>
              <w:pStyle w:val="centrum"/>
            </w:pPr>
            <w:r>
              <w:t xml:space="preserve"> </w:t>
            </w:r>
            <w:r w:rsidR="00E36C8E" w:rsidRPr="00E3514D">
              <w:t>»</w:t>
            </w:r>
          </w:p>
        </w:tc>
        <w:tc>
          <w:tcPr>
            <w:tcW w:w="559" w:type="pct"/>
            <w:shd w:val="clear" w:color="auto" w:fill="FFFFFF"/>
          </w:tcPr>
          <w:p w:rsidR="00E36C8E" w:rsidRDefault="001B4203" w:rsidP="00BD4391">
            <w:pPr>
              <w:pStyle w:val="centrum"/>
            </w:pPr>
            <w:r>
              <w:t xml:space="preserve"> </w:t>
            </w:r>
            <w:r w:rsidR="00E36C8E" w:rsidRPr="00E3514D">
              <w:t>»</w:t>
            </w:r>
          </w:p>
        </w:tc>
        <w:tc>
          <w:tcPr>
            <w:tcW w:w="983" w:type="pct"/>
            <w:shd w:val="clear" w:color="auto" w:fill="FFFFFF"/>
          </w:tcPr>
          <w:p w:rsidR="00E36C8E" w:rsidRDefault="001B4203" w:rsidP="00BD4391">
            <w:pPr>
              <w:pStyle w:val="centrum"/>
            </w:pPr>
            <w:r>
              <w:t xml:space="preserve"> </w:t>
            </w:r>
            <w:r w:rsidR="00E36C8E" w:rsidRPr="00E3514D">
              <w:t>»</w:t>
            </w:r>
          </w:p>
        </w:tc>
        <w:tc>
          <w:tcPr>
            <w:tcW w:w="757" w:type="pct"/>
            <w:shd w:val="clear" w:color="auto" w:fill="FFFFFF"/>
          </w:tcPr>
          <w:p w:rsidR="00E36C8E" w:rsidRPr="00D709E6" w:rsidRDefault="00E36C8E" w:rsidP="00BD4391">
            <w:pPr>
              <w:pStyle w:val="nsr"/>
            </w:pPr>
            <w:r w:rsidRPr="00D709E6">
              <w:t>VIII, 12-59.</w:t>
            </w:r>
          </w:p>
        </w:tc>
      </w:tr>
      <w:tr w:rsidR="00E36C8E" w:rsidRPr="005507CF" w:rsidTr="00BD4391">
        <w:trPr>
          <w:cantSplit/>
          <w:trHeight w:val="20"/>
        </w:trPr>
        <w:tc>
          <w:tcPr>
            <w:tcW w:w="1926" w:type="pct"/>
            <w:shd w:val="clear" w:color="auto" w:fill="FFFFFF"/>
          </w:tcPr>
          <w:p w:rsidR="00E36C8E" w:rsidRPr="00177118" w:rsidRDefault="00E36C8E" w:rsidP="00BD4391">
            <w:pPr>
              <w:pStyle w:val="h"/>
            </w:pPr>
            <w:r w:rsidRPr="00177118">
              <w:t>Guérison de l</w:t>
            </w:r>
            <w:r w:rsidR="00557DE0">
              <w:t>’</w:t>
            </w:r>
            <w:r w:rsidRPr="00177118">
              <w:t>aveugle-né</w:t>
            </w:r>
            <w:r>
              <w:t xml:space="preserve"> </w:t>
            </w:r>
          </w:p>
        </w:tc>
        <w:tc>
          <w:tcPr>
            <w:tcW w:w="775" w:type="pct"/>
            <w:shd w:val="clear" w:color="auto" w:fill="FFFFFF"/>
          </w:tcPr>
          <w:p w:rsidR="00E36C8E" w:rsidRPr="00D709E6" w:rsidRDefault="00E36C8E" w:rsidP="00BD4391">
            <w:pPr>
              <w:pStyle w:val="centrum"/>
            </w:pPr>
            <w:r w:rsidRPr="00D709E6">
              <w:t xml:space="preserve"> »</w:t>
            </w:r>
          </w:p>
        </w:tc>
        <w:tc>
          <w:tcPr>
            <w:tcW w:w="559" w:type="pct"/>
            <w:shd w:val="clear" w:color="auto" w:fill="FFFFFF"/>
          </w:tcPr>
          <w:p w:rsidR="00E36C8E" w:rsidRPr="00D709E6" w:rsidRDefault="001B4203" w:rsidP="00BD4391">
            <w:pPr>
              <w:pStyle w:val="centrum"/>
            </w:pPr>
            <w:r>
              <w:t xml:space="preserve"> </w:t>
            </w:r>
            <w:r w:rsidR="00E36C8E" w:rsidRPr="00D709E6">
              <w:t>»</w:t>
            </w:r>
          </w:p>
        </w:tc>
        <w:tc>
          <w:tcPr>
            <w:tcW w:w="983" w:type="pct"/>
            <w:shd w:val="clear" w:color="auto" w:fill="FFFFFF"/>
          </w:tcPr>
          <w:p w:rsidR="00E36C8E" w:rsidRPr="00D709E6" w:rsidRDefault="00E36C8E" w:rsidP="00BD4391">
            <w:pPr>
              <w:pStyle w:val="centrum"/>
            </w:pPr>
            <w:r w:rsidRPr="00D709E6">
              <w:t xml:space="preserve"> »</w:t>
            </w:r>
          </w:p>
        </w:tc>
        <w:tc>
          <w:tcPr>
            <w:tcW w:w="757" w:type="pct"/>
            <w:shd w:val="clear" w:color="auto" w:fill="FFFFFF"/>
          </w:tcPr>
          <w:p w:rsidR="00E36C8E" w:rsidRPr="00D709E6" w:rsidRDefault="00E36C8E" w:rsidP="00BD4391">
            <w:pPr>
              <w:pStyle w:val="nsr"/>
            </w:pPr>
            <w:r>
              <w:t>IX</w:t>
            </w:r>
            <w:r w:rsidRPr="00D709E6">
              <w:t>, 1-41.</w:t>
            </w:r>
          </w:p>
        </w:tc>
      </w:tr>
      <w:tr w:rsidR="00E36C8E" w:rsidRPr="005507CF" w:rsidTr="00BD4391">
        <w:trPr>
          <w:cantSplit/>
          <w:trHeight w:val="20"/>
        </w:trPr>
        <w:tc>
          <w:tcPr>
            <w:tcW w:w="1926" w:type="pct"/>
            <w:shd w:val="clear" w:color="auto" w:fill="FFFFFF"/>
          </w:tcPr>
          <w:p w:rsidR="00E36C8E" w:rsidRPr="00177118" w:rsidRDefault="00E36C8E" w:rsidP="00BD4391">
            <w:pPr>
              <w:pStyle w:val="h"/>
            </w:pPr>
            <w:r w:rsidRPr="00177118">
              <w:t>Allégorie du bon pasteur</w:t>
            </w:r>
            <w:r>
              <w:t xml:space="preserve"> </w:t>
            </w:r>
          </w:p>
        </w:tc>
        <w:tc>
          <w:tcPr>
            <w:tcW w:w="775" w:type="pct"/>
            <w:shd w:val="clear" w:color="auto" w:fill="FFFFFF"/>
          </w:tcPr>
          <w:p w:rsidR="00E36C8E" w:rsidRPr="00D709E6" w:rsidRDefault="00E36C8E" w:rsidP="00BD4391">
            <w:pPr>
              <w:pStyle w:val="centrum"/>
            </w:pPr>
            <w:r w:rsidRPr="00D709E6">
              <w:t xml:space="preserve"> »</w:t>
            </w:r>
          </w:p>
        </w:tc>
        <w:tc>
          <w:tcPr>
            <w:tcW w:w="559" w:type="pct"/>
            <w:shd w:val="clear" w:color="auto" w:fill="FFFFFF"/>
          </w:tcPr>
          <w:p w:rsidR="00E36C8E" w:rsidRPr="00D709E6" w:rsidRDefault="00E36C8E" w:rsidP="00BD4391">
            <w:pPr>
              <w:pStyle w:val="centrum"/>
            </w:pPr>
            <w:r w:rsidRPr="00D709E6">
              <w:t xml:space="preserve"> »</w:t>
            </w:r>
          </w:p>
        </w:tc>
        <w:tc>
          <w:tcPr>
            <w:tcW w:w="983" w:type="pct"/>
            <w:shd w:val="clear" w:color="auto" w:fill="FFFFFF"/>
          </w:tcPr>
          <w:p w:rsidR="00E36C8E" w:rsidRPr="00D709E6" w:rsidRDefault="00E36C8E" w:rsidP="00BD4391">
            <w:pPr>
              <w:pStyle w:val="centrum"/>
            </w:pPr>
            <w:r w:rsidRPr="00D709E6">
              <w:t xml:space="preserve"> »</w:t>
            </w:r>
          </w:p>
        </w:tc>
        <w:tc>
          <w:tcPr>
            <w:tcW w:w="757" w:type="pct"/>
            <w:shd w:val="clear" w:color="auto" w:fill="FFFFFF"/>
          </w:tcPr>
          <w:p w:rsidR="00E36C8E" w:rsidRPr="00D709E6" w:rsidRDefault="00E36C8E" w:rsidP="00BD4391">
            <w:pPr>
              <w:pStyle w:val="nsr"/>
            </w:pPr>
            <w:r w:rsidRPr="00D709E6">
              <w:t>X, 1-21.</w:t>
            </w:r>
          </w:p>
        </w:tc>
      </w:tr>
      <w:tr w:rsidR="00E36C8E" w:rsidRPr="00177118" w:rsidTr="00BD4391">
        <w:trPr>
          <w:cantSplit/>
          <w:trHeight w:val="20"/>
        </w:trPr>
        <w:tc>
          <w:tcPr>
            <w:tcW w:w="1926" w:type="pct"/>
            <w:shd w:val="clear" w:color="auto" w:fill="FFFFFF"/>
          </w:tcPr>
          <w:p w:rsidR="00E36C8E" w:rsidRPr="00177118" w:rsidRDefault="00E36C8E" w:rsidP="00BD4391">
            <w:pPr>
              <w:pStyle w:val="h"/>
            </w:pPr>
            <w:r w:rsidRPr="00177118">
              <w:t>Jésus a</w:t>
            </w:r>
            <w:r>
              <w:t>pprend à ses disciples à prier</w:t>
            </w:r>
          </w:p>
        </w:tc>
        <w:tc>
          <w:tcPr>
            <w:tcW w:w="775" w:type="pct"/>
            <w:shd w:val="clear" w:color="auto" w:fill="FFFFFF"/>
          </w:tcPr>
          <w:p w:rsidR="00E36C8E" w:rsidRPr="00D709E6" w:rsidRDefault="00E36C8E" w:rsidP="00BD4391">
            <w:pPr>
              <w:pStyle w:val="centrum"/>
            </w:pPr>
            <w:r w:rsidRPr="00D709E6">
              <w:t xml:space="preserve"> »</w:t>
            </w:r>
          </w:p>
        </w:tc>
        <w:tc>
          <w:tcPr>
            <w:tcW w:w="559" w:type="pct"/>
            <w:shd w:val="clear" w:color="auto" w:fill="FFFFFF"/>
          </w:tcPr>
          <w:p w:rsidR="00E36C8E" w:rsidRPr="00D709E6" w:rsidRDefault="00E36C8E" w:rsidP="00BD4391">
            <w:pPr>
              <w:pStyle w:val="centrum"/>
            </w:pPr>
            <w:r w:rsidRPr="00D709E6">
              <w:t xml:space="preserve"> »</w:t>
            </w:r>
          </w:p>
        </w:tc>
        <w:tc>
          <w:tcPr>
            <w:tcW w:w="983" w:type="pct"/>
            <w:shd w:val="clear" w:color="auto" w:fill="FFFFFF"/>
          </w:tcPr>
          <w:p w:rsidR="00E36C8E" w:rsidRPr="00D709E6" w:rsidRDefault="00E36C8E" w:rsidP="00BD4391">
            <w:pPr>
              <w:pStyle w:val="nsr"/>
            </w:pPr>
            <w:r w:rsidRPr="00D709E6">
              <w:t>XI, 1-13.</w:t>
            </w:r>
          </w:p>
        </w:tc>
        <w:tc>
          <w:tcPr>
            <w:tcW w:w="757" w:type="pct"/>
            <w:shd w:val="clear" w:color="auto" w:fill="FFFFFF"/>
          </w:tcPr>
          <w:p w:rsidR="00E36C8E" w:rsidRDefault="001B4203" w:rsidP="00BD4391">
            <w:pPr>
              <w:pStyle w:val="centrum"/>
            </w:pPr>
            <w:r>
              <w:t xml:space="preserve"> </w:t>
            </w:r>
            <w:r w:rsidR="00E36C8E" w:rsidRPr="00E43A90">
              <w:t>»</w:t>
            </w:r>
          </w:p>
        </w:tc>
      </w:tr>
      <w:tr w:rsidR="00E36C8E" w:rsidRPr="00177118" w:rsidTr="00BD4391">
        <w:trPr>
          <w:cantSplit/>
          <w:trHeight w:val="20"/>
        </w:trPr>
        <w:tc>
          <w:tcPr>
            <w:tcW w:w="1926" w:type="pct"/>
            <w:shd w:val="clear" w:color="auto" w:fill="FFFFFF"/>
          </w:tcPr>
          <w:p w:rsidR="00E36C8E" w:rsidRPr="00177118" w:rsidRDefault="00E36C8E" w:rsidP="00BD4391">
            <w:pPr>
              <w:pStyle w:val="h"/>
            </w:pPr>
            <w:r w:rsidRPr="00177118">
              <w:t xml:space="preserve">Malédictions contre les Pharisiens et les docteurs de </w:t>
            </w:r>
            <w:r>
              <w:t>l</w:t>
            </w:r>
            <w:r w:rsidRPr="00177118">
              <w:t>a loi</w:t>
            </w:r>
            <w:r>
              <w:t xml:space="preserve"> </w:t>
            </w:r>
          </w:p>
        </w:tc>
        <w:tc>
          <w:tcPr>
            <w:tcW w:w="775" w:type="pct"/>
            <w:shd w:val="clear" w:color="auto" w:fill="FFFFFF"/>
          </w:tcPr>
          <w:p w:rsidR="00E36C8E" w:rsidRPr="00D709E6" w:rsidRDefault="00E36C8E" w:rsidP="00BD4391">
            <w:pPr>
              <w:pStyle w:val="centrum"/>
            </w:pPr>
            <w:r w:rsidRPr="00D709E6">
              <w:t xml:space="preserve"> »</w:t>
            </w:r>
          </w:p>
        </w:tc>
        <w:tc>
          <w:tcPr>
            <w:tcW w:w="559" w:type="pct"/>
            <w:shd w:val="clear" w:color="auto" w:fill="FFFFFF"/>
          </w:tcPr>
          <w:p w:rsidR="00E36C8E" w:rsidRPr="00D709E6" w:rsidRDefault="00E36C8E" w:rsidP="00BD4391">
            <w:pPr>
              <w:pStyle w:val="centrum"/>
            </w:pPr>
            <w:r w:rsidRPr="00D709E6">
              <w:t xml:space="preserve"> »</w:t>
            </w:r>
          </w:p>
        </w:tc>
        <w:tc>
          <w:tcPr>
            <w:tcW w:w="983" w:type="pct"/>
            <w:shd w:val="clear" w:color="auto" w:fill="FFFFFF"/>
          </w:tcPr>
          <w:p w:rsidR="00E36C8E" w:rsidRPr="00D709E6" w:rsidRDefault="00E36C8E" w:rsidP="00BD4391">
            <w:pPr>
              <w:pStyle w:val="nsr"/>
            </w:pPr>
            <w:r>
              <w:t>XI,</w:t>
            </w:r>
            <w:r w:rsidRPr="00D709E6">
              <w:t xml:space="preserve"> 37-54.</w:t>
            </w:r>
          </w:p>
        </w:tc>
        <w:tc>
          <w:tcPr>
            <w:tcW w:w="757" w:type="pct"/>
            <w:shd w:val="clear" w:color="auto" w:fill="FFFFFF"/>
          </w:tcPr>
          <w:p w:rsidR="00E36C8E" w:rsidRDefault="001B4203" w:rsidP="00BD4391">
            <w:pPr>
              <w:pStyle w:val="centrum"/>
            </w:pPr>
            <w:r>
              <w:t xml:space="preserve"> </w:t>
            </w:r>
            <w:r w:rsidR="00E36C8E" w:rsidRPr="00E43A90">
              <w:t>»</w:t>
            </w:r>
          </w:p>
        </w:tc>
      </w:tr>
      <w:tr w:rsidR="00E36C8E" w:rsidRPr="00177118" w:rsidTr="00BD4391">
        <w:trPr>
          <w:cantSplit/>
          <w:trHeight w:val="20"/>
        </w:trPr>
        <w:tc>
          <w:tcPr>
            <w:tcW w:w="1926" w:type="pct"/>
            <w:shd w:val="clear" w:color="auto" w:fill="FFFFFF"/>
          </w:tcPr>
          <w:p w:rsidR="00E36C8E" w:rsidRPr="00177118" w:rsidRDefault="00E36C8E" w:rsidP="00BD4391">
            <w:pPr>
              <w:pStyle w:val="h"/>
            </w:pPr>
            <w:r>
              <w:t>Exhortations contre l</w:t>
            </w:r>
            <w:r w:rsidR="00557DE0">
              <w:t>’</w:t>
            </w:r>
            <w:r>
              <w:t>hypocrisie</w:t>
            </w:r>
          </w:p>
        </w:tc>
        <w:tc>
          <w:tcPr>
            <w:tcW w:w="775" w:type="pct"/>
            <w:shd w:val="clear" w:color="auto" w:fill="FFFFFF"/>
          </w:tcPr>
          <w:p w:rsidR="00E36C8E" w:rsidRDefault="001B4203" w:rsidP="00BD4391">
            <w:pPr>
              <w:pStyle w:val="centrum"/>
            </w:pPr>
            <w:r>
              <w:t xml:space="preserve"> </w:t>
            </w:r>
            <w:r w:rsidR="00E36C8E" w:rsidRPr="00585ADF">
              <w:t>»</w:t>
            </w:r>
          </w:p>
        </w:tc>
        <w:tc>
          <w:tcPr>
            <w:tcW w:w="559" w:type="pct"/>
            <w:shd w:val="clear" w:color="auto" w:fill="FFFFFF"/>
          </w:tcPr>
          <w:p w:rsidR="00E36C8E" w:rsidRDefault="001B4203" w:rsidP="00BD4391">
            <w:pPr>
              <w:pStyle w:val="centrum"/>
            </w:pPr>
            <w:r>
              <w:t xml:space="preserve"> </w:t>
            </w:r>
            <w:r w:rsidR="00E36C8E" w:rsidRPr="00585ADF">
              <w:t>»</w:t>
            </w:r>
          </w:p>
        </w:tc>
        <w:tc>
          <w:tcPr>
            <w:tcW w:w="983" w:type="pct"/>
            <w:shd w:val="clear" w:color="auto" w:fill="FFFFFF"/>
          </w:tcPr>
          <w:p w:rsidR="00E36C8E" w:rsidRPr="00D709E6" w:rsidRDefault="00E36C8E" w:rsidP="00BD4391">
            <w:pPr>
              <w:pStyle w:val="nsr"/>
            </w:pPr>
            <w:r w:rsidRPr="00D709E6">
              <w:t>XII, 1-3.</w:t>
            </w:r>
          </w:p>
        </w:tc>
        <w:tc>
          <w:tcPr>
            <w:tcW w:w="757" w:type="pct"/>
            <w:shd w:val="clear" w:color="auto" w:fill="FFFFFF"/>
          </w:tcPr>
          <w:p w:rsidR="00E36C8E" w:rsidRDefault="001B4203" w:rsidP="00BD4391">
            <w:pPr>
              <w:pStyle w:val="centrum"/>
            </w:pPr>
            <w:r>
              <w:t xml:space="preserve"> </w:t>
            </w:r>
            <w:r w:rsidR="00E36C8E" w:rsidRPr="00E43A90">
              <w:t>»</w:t>
            </w:r>
          </w:p>
        </w:tc>
      </w:tr>
      <w:tr w:rsidR="00E36C8E" w:rsidRPr="00177118" w:rsidTr="00BD4391">
        <w:trPr>
          <w:cantSplit/>
          <w:trHeight w:val="20"/>
        </w:trPr>
        <w:tc>
          <w:tcPr>
            <w:tcW w:w="1926" w:type="pct"/>
            <w:shd w:val="clear" w:color="auto" w:fill="FFFFFF"/>
          </w:tcPr>
          <w:p w:rsidR="00E36C8E" w:rsidRPr="00177118" w:rsidRDefault="00E36C8E" w:rsidP="00BD4391">
            <w:pPr>
              <w:pStyle w:val="h12"/>
            </w:pPr>
            <w:r w:rsidRPr="00177118">
              <w:t>Sur la confiance en Dieu</w:t>
            </w:r>
            <w:r>
              <w:t xml:space="preserve"> </w:t>
            </w:r>
          </w:p>
        </w:tc>
        <w:tc>
          <w:tcPr>
            <w:tcW w:w="775" w:type="pct"/>
            <w:shd w:val="clear" w:color="auto" w:fill="FFFFFF"/>
          </w:tcPr>
          <w:p w:rsidR="00E36C8E" w:rsidRDefault="001B4203" w:rsidP="00BD4391">
            <w:pPr>
              <w:pStyle w:val="centrum"/>
            </w:pPr>
            <w:r>
              <w:t xml:space="preserve"> </w:t>
            </w:r>
            <w:r w:rsidR="00E36C8E" w:rsidRPr="00585ADF">
              <w:t>»</w:t>
            </w:r>
          </w:p>
        </w:tc>
        <w:tc>
          <w:tcPr>
            <w:tcW w:w="559" w:type="pct"/>
            <w:shd w:val="clear" w:color="auto" w:fill="FFFFFF"/>
          </w:tcPr>
          <w:p w:rsidR="00E36C8E" w:rsidRDefault="001B4203" w:rsidP="00BD4391">
            <w:pPr>
              <w:pStyle w:val="centrum"/>
            </w:pPr>
            <w:r>
              <w:t xml:space="preserve"> </w:t>
            </w:r>
            <w:r w:rsidR="00E36C8E" w:rsidRPr="00585ADF">
              <w:t>»</w:t>
            </w:r>
          </w:p>
        </w:tc>
        <w:tc>
          <w:tcPr>
            <w:tcW w:w="983" w:type="pct"/>
            <w:shd w:val="clear" w:color="auto" w:fill="FFFFFF"/>
          </w:tcPr>
          <w:p w:rsidR="00E36C8E" w:rsidRPr="00D709E6" w:rsidRDefault="00E36C8E" w:rsidP="00BD4391">
            <w:pPr>
              <w:pStyle w:val="nsr"/>
            </w:pPr>
            <w:r w:rsidRPr="00D709E6">
              <w:t>XII, 4-12.</w:t>
            </w:r>
          </w:p>
        </w:tc>
        <w:tc>
          <w:tcPr>
            <w:tcW w:w="757" w:type="pct"/>
            <w:shd w:val="clear" w:color="auto" w:fill="FFFFFF"/>
          </w:tcPr>
          <w:p w:rsidR="00E36C8E" w:rsidRDefault="001B4203" w:rsidP="00BD4391">
            <w:pPr>
              <w:pStyle w:val="centrum"/>
            </w:pPr>
            <w:r>
              <w:t xml:space="preserve"> </w:t>
            </w:r>
            <w:r w:rsidR="00E36C8E" w:rsidRPr="00E43A90">
              <w:t>»</w:t>
            </w:r>
          </w:p>
        </w:tc>
      </w:tr>
      <w:tr w:rsidR="00E36C8E" w:rsidRPr="00177118" w:rsidTr="00BD4391">
        <w:trPr>
          <w:cantSplit/>
          <w:trHeight w:val="20"/>
        </w:trPr>
        <w:tc>
          <w:tcPr>
            <w:tcW w:w="1926" w:type="pct"/>
            <w:shd w:val="clear" w:color="auto" w:fill="FFFFFF"/>
          </w:tcPr>
          <w:p w:rsidR="00E36C8E" w:rsidRPr="00177118" w:rsidRDefault="00E36C8E" w:rsidP="00BD4391">
            <w:pPr>
              <w:pStyle w:val="h12"/>
            </w:pPr>
            <w:r>
              <w:t>Contr</w:t>
            </w:r>
            <w:r w:rsidRPr="00177118">
              <w:t>e l</w:t>
            </w:r>
            <w:r w:rsidR="00557DE0">
              <w:t>’</w:t>
            </w:r>
            <w:r w:rsidRPr="00177118">
              <w:t>avarice</w:t>
            </w:r>
            <w:r>
              <w:t xml:space="preserve"> </w:t>
            </w:r>
          </w:p>
        </w:tc>
        <w:tc>
          <w:tcPr>
            <w:tcW w:w="775" w:type="pct"/>
            <w:shd w:val="clear" w:color="auto" w:fill="FFFFFF"/>
          </w:tcPr>
          <w:p w:rsidR="00E36C8E" w:rsidRDefault="001B4203" w:rsidP="00BD4391">
            <w:pPr>
              <w:pStyle w:val="centrum"/>
            </w:pPr>
            <w:r>
              <w:t xml:space="preserve"> </w:t>
            </w:r>
            <w:r w:rsidR="00E36C8E" w:rsidRPr="00585ADF">
              <w:t>»</w:t>
            </w:r>
          </w:p>
        </w:tc>
        <w:tc>
          <w:tcPr>
            <w:tcW w:w="559" w:type="pct"/>
            <w:shd w:val="clear" w:color="auto" w:fill="FFFFFF"/>
          </w:tcPr>
          <w:p w:rsidR="00E36C8E" w:rsidRDefault="001B4203" w:rsidP="00BD4391">
            <w:pPr>
              <w:pStyle w:val="centrum"/>
            </w:pPr>
            <w:r>
              <w:t xml:space="preserve"> </w:t>
            </w:r>
            <w:r w:rsidR="00E36C8E" w:rsidRPr="00585ADF">
              <w:t>»</w:t>
            </w:r>
          </w:p>
        </w:tc>
        <w:tc>
          <w:tcPr>
            <w:tcW w:w="983" w:type="pct"/>
            <w:shd w:val="clear" w:color="auto" w:fill="FFFFFF"/>
          </w:tcPr>
          <w:p w:rsidR="00E36C8E" w:rsidRPr="00D709E6" w:rsidRDefault="00E36C8E" w:rsidP="00BD4391">
            <w:pPr>
              <w:pStyle w:val="nsr"/>
            </w:pPr>
            <w:r w:rsidRPr="00D709E6">
              <w:t>XII, 13-21.</w:t>
            </w:r>
          </w:p>
        </w:tc>
        <w:tc>
          <w:tcPr>
            <w:tcW w:w="757" w:type="pct"/>
            <w:shd w:val="clear" w:color="auto" w:fill="FFFFFF"/>
          </w:tcPr>
          <w:p w:rsidR="00E36C8E" w:rsidRDefault="001B4203" w:rsidP="00BD4391">
            <w:pPr>
              <w:pStyle w:val="centrum"/>
            </w:pPr>
            <w:r>
              <w:t xml:space="preserve"> </w:t>
            </w:r>
            <w:r w:rsidR="00E36C8E" w:rsidRPr="00E43A90">
              <w:t>»</w:t>
            </w:r>
          </w:p>
        </w:tc>
      </w:tr>
      <w:tr w:rsidR="00E36C8E" w:rsidRPr="00177118" w:rsidTr="00BD4391">
        <w:trPr>
          <w:cantSplit/>
          <w:trHeight w:val="20"/>
        </w:trPr>
        <w:tc>
          <w:tcPr>
            <w:tcW w:w="1926" w:type="pct"/>
            <w:shd w:val="clear" w:color="auto" w:fill="FFFFFF"/>
          </w:tcPr>
          <w:p w:rsidR="00E36C8E" w:rsidRPr="00177118" w:rsidRDefault="00E36C8E" w:rsidP="00BD4391">
            <w:pPr>
              <w:pStyle w:val="h12"/>
            </w:pPr>
            <w:r w:rsidRPr="00177118">
              <w:t>Contre</w:t>
            </w:r>
            <w:r>
              <w:t xml:space="preserve"> les sollicitudes mondaines.</w:t>
            </w:r>
          </w:p>
        </w:tc>
        <w:tc>
          <w:tcPr>
            <w:tcW w:w="775" w:type="pct"/>
            <w:shd w:val="clear" w:color="auto" w:fill="FFFFFF"/>
          </w:tcPr>
          <w:p w:rsidR="00E36C8E" w:rsidRDefault="001B4203" w:rsidP="00BD4391">
            <w:pPr>
              <w:pStyle w:val="centrum"/>
            </w:pPr>
            <w:r>
              <w:t xml:space="preserve"> </w:t>
            </w:r>
            <w:r w:rsidR="00E36C8E" w:rsidRPr="00585ADF">
              <w:t>»</w:t>
            </w:r>
          </w:p>
        </w:tc>
        <w:tc>
          <w:tcPr>
            <w:tcW w:w="559" w:type="pct"/>
            <w:shd w:val="clear" w:color="auto" w:fill="FFFFFF"/>
          </w:tcPr>
          <w:p w:rsidR="00E36C8E" w:rsidRDefault="001B4203" w:rsidP="00BD4391">
            <w:pPr>
              <w:pStyle w:val="centrum"/>
            </w:pPr>
            <w:r>
              <w:t xml:space="preserve"> </w:t>
            </w:r>
            <w:r w:rsidR="00E36C8E" w:rsidRPr="00585ADF">
              <w:t>»</w:t>
            </w:r>
          </w:p>
        </w:tc>
        <w:tc>
          <w:tcPr>
            <w:tcW w:w="983" w:type="pct"/>
            <w:shd w:val="clear" w:color="auto" w:fill="FFFFFF"/>
          </w:tcPr>
          <w:p w:rsidR="00E36C8E" w:rsidRPr="00D709E6" w:rsidRDefault="00E36C8E" w:rsidP="00BD4391">
            <w:pPr>
              <w:pStyle w:val="nsr"/>
            </w:pPr>
            <w:r w:rsidRPr="00D709E6">
              <w:t>XII, 22-34.</w:t>
            </w:r>
          </w:p>
        </w:tc>
        <w:tc>
          <w:tcPr>
            <w:tcW w:w="757" w:type="pct"/>
            <w:shd w:val="clear" w:color="auto" w:fill="FFFFFF"/>
          </w:tcPr>
          <w:p w:rsidR="00E36C8E" w:rsidRDefault="001B4203" w:rsidP="00BD4391">
            <w:pPr>
              <w:pStyle w:val="centrum"/>
            </w:pPr>
            <w:r>
              <w:t xml:space="preserve"> </w:t>
            </w:r>
            <w:r w:rsidR="00E36C8E" w:rsidRPr="00E43A90">
              <w:t>»</w:t>
            </w:r>
          </w:p>
        </w:tc>
      </w:tr>
      <w:tr w:rsidR="00E36C8E" w:rsidRPr="00177118" w:rsidTr="00BD4391">
        <w:trPr>
          <w:cantSplit/>
          <w:trHeight w:val="20"/>
        </w:trPr>
        <w:tc>
          <w:tcPr>
            <w:tcW w:w="1926" w:type="pct"/>
            <w:shd w:val="clear" w:color="auto" w:fill="FFFFFF"/>
          </w:tcPr>
          <w:p w:rsidR="00E36C8E" w:rsidRPr="00177118" w:rsidRDefault="00E36C8E" w:rsidP="00BD4391">
            <w:pPr>
              <w:pStyle w:val="h12"/>
            </w:pPr>
            <w:r w:rsidRPr="00177118">
              <w:t>Sur la vigilance</w:t>
            </w:r>
            <w:r>
              <w:t xml:space="preserve"> </w:t>
            </w:r>
          </w:p>
        </w:tc>
        <w:tc>
          <w:tcPr>
            <w:tcW w:w="775" w:type="pct"/>
            <w:shd w:val="clear" w:color="auto" w:fill="FFFFFF"/>
          </w:tcPr>
          <w:p w:rsidR="00E36C8E" w:rsidRDefault="001B4203" w:rsidP="00BD4391">
            <w:pPr>
              <w:pStyle w:val="centrum"/>
            </w:pPr>
            <w:r>
              <w:t xml:space="preserve"> </w:t>
            </w:r>
            <w:r w:rsidR="00E36C8E" w:rsidRPr="00585ADF">
              <w:t>»</w:t>
            </w:r>
          </w:p>
        </w:tc>
        <w:tc>
          <w:tcPr>
            <w:tcW w:w="559" w:type="pct"/>
            <w:shd w:val="clear" w:color="auto" w:fill="FFFFFF"/>
          </w:tcPr>
          <w:p w:rsidR="00E36C8E" w:rsidRDefault="001B4203" w:rsidP="00BD4391">
            <w:pPr>
              <w:pStyle w:val="centrum"/>
            </w:pPr>
            <w:r>
              <w:t xml:space="preserve"> </w:t>
            </w:r>
            <w:r w:rsidR="00E36C8E" w:rsidRPr="00585ADF">
              <w:t>»</w:t>
            </w:r>
          </w:p>
        </w:tc>
        <w:tc>
          <w:tcPr>
            <w:tcW w:w="983" w:type="pct"/>
            <w:shd w:val="clear" w:color="auto" w:fill="FFFFFF"/>
          </w:tcPr>
          <w:p w:rsidR="00E36C8E" w:rsidRPr="00D709E6" w:rsidRDefault="00E36C8E" w:rsidP="00BD4391">
            <w:pPr>
              <w:pStyle w:val="nsr"/>
            </w:pPr>
            <w:r w:rsidRPr="00D709E6">
              <w:t>XII, 35-53.</w:t>
            </w:r>
          </w:p>
        </w:tc>
        <w:tc>
          <w:tcPr>
            <w:tcW w:w="757" w:type="pct"/>
            <w:shd w:val="clear" w:color="auto" w:fill="FFFFFF"/>
          </w:tcPr>
          <w:p w:rsidR="00E36C8E" w:rsidRDefault="001B4203" w:rsidP="00BD4391">
            <w:pPr>
              <w:pStyle w:val="centrum"/>
            </w:pPr>
            <w:r>
              <w:t xml:space="preserve"> </w:t>
            </w:r>
            <w:r w:rsidR="00E36C8E" w:rsidRPr="00E43A90">
              <w:t>»</w:t>
            </w:r>
          </w:p>
        </w:tc>
      </w:tr>
      <w:tr w:rsidR="00E36C8E" w:rsidRPr="00177118" w:rsidTr="00BD4391">
        <w:trPr>
          <w:cantSplit/>
          <w:trHeight w:val="20"/>
        </w:trPr>
        <w:tc>
          <w:tcPr>
            <w:tcW w:w="1926" w:type="pct"/>
            <w:shd w:val="clear" w:color="auto" w:fill="FFFFFF"/>
          </w:tcPr>
          <w:p w:rsidR="00E36C8E" w:rsidRPr="00177118" w:rsidRDefault="00E36C8E" w:rsidP="00BD4391">
            <w:pPr>
              <w:pStyle w:val="h"/>
            </w:pPr>
            <w:r w:rsidRPr="00177118">
              <w:t>Les signes des temps</w:t>
            </w:r>
            <w:r>
              <w:t xml:space="preserve"> </w:t>
            </w:r>
          </w:p>
        </w:tc>
        <w:tc>
          <w:tcPr>
            <w:tcW w:w="775" w:type="pct"/>
            <w:shd w:val="clear" w:color="auto" w:fill="FFFFFF"/>
          </w:tcPr>
          <w:p w:rsidR="00E36C8E" w:rsidRDefault="001B4203" w:rsidP="00BD4391">
            <w:pPr>
              <w:pStyle w:val="centrum"/>
            </w:pPr>
            <w:r>
              <w:t xml:space="preserve"> </w:t>
            </w:r>
            <w:r w:rsidR="00E36C8E" w:rsidRPr="00585ADF">
              <w:t>»</w:t>
            </w:r>
          </w:p>
        </w:tc>
        <w:tc>
          <w:tcPr>
            <w:tcW w:w="559" w:type="pct"/>
            <w:shd w:val="clear" w:color="auto" w:fill="FFFFFF"/>
          </w:tcPr>
          <w:p w:rsidR="00E36C8E" w:rsidRDefault="001B4203" w:rsidP="00BD4391">
            <w:pPr>
              <w:pStyle w:val="centrum"/>
            </w:pPr>
            <w:r>
              <w:t xml:space="preserve"> </w:t>
            </w:r>
            <w:r w:rsidR="00E36C8E" w:rsidRPr="00585ADF">
              <w:t>»</w:t>
            </w:r>
          </w:p>
        </w:tc>
        <w:tc>
          <w:tcPr>
            <w:tcW w:w="983" w:type="pct"/>
            <w:shd w:val="clear" w:color="auto" w:fill="FFFFFF"/>
          </w:tcPr>
          <w:p w:rsidR="00E36C8E" w:rsidRPr="00D709E6" w:rsidRDefault="00E36C8E" w:rsidP="00BD4391">
            <w:pPr>
              <w:pStyle w:val="nsr"/>
            </w:pPr>
            <w:r w:rsidRPr="00D709E6">
              <w:t>XII, 54-59.</w:t>
            </w:r>
          </w:p>
        </w:tc>
        <w:tc>
          <w:tcPr>
            <w:tcW w:w="757" w:type="pct"/>
            <w:shd w:val="clear" w:color="auto" w:fill="FFFFFF"/>
          </w:tcPr>
          <w:p w:rsidR="00E36C8E" w:rsidRDefault="001B4203" w:rsidP="00BD4391">
            <w:pPr>
              <w:pStyle w:val="centrum"/>
            </w:pPr>
            <w:r>
              <w:t xml:space="preserve"> </w:t>
            </w:r>
            <w:r w:rsidR="00E36C8E" w:rsidRPr="00E43A90">
              <w:t>»</w:t>
            </w:r>
          </w:p>
        </w:tc>
      </w:tr>
      <w:tr w:rsidR="00E36C8E" w:rsidRPr="00177118" w:rsidTr="00BD4391">
        <w:trPr>
          <w:cantSplit/>
          <w:trHeight w:val="20"/>
        </w:trPr>
        <w:tc>
          <w:tcPr>
            <w:tcW w:w="1926" w:type="pct"/>
            <w:shd w:val="clear" w:color="auto" w:fill="FFFFFF"/>
          </w:tcPr>
          <w:p w:rsidR="00E36C8E" w:rsidRPr="00177118" w:rsidRDefault="00E36C8E" w:rsidP="00BD4391">
            <w:pPr>
              <w:pStyle w:val="h"/>
            </w:pPr>
            <w:r w:rsidRPr="00177118">
              <w:t>Nécessité de la pénitence et parabole du figuier</w:t>
            </w:r>
          </w:p>
        </w:tc>
        <w:tc>
          <w:tcPr>
            <w:tcW w:w="775" w:type="pct"/>
            <w:shd w:val="clear" w:color="auto" w:fill="FFFFFF"/>
          </w:tcPr>
          <w:p w:rsidR="00E36C8E" w:rsidRDefault="001B4203" w:rsidP="00BD4391">
            <w:pPr>
              <w:pStyle w:val="centrum"/>
            </w:pPr>
            <w:r>
              <w:t xml:space="preserve"> </w:t>
            </w:r>
            <w:r w:rsidR="00E36C8E" w:rsidRPr="00585ADF">
              <w:t>»</w:t>
            </w:r>
          </w:p>
        </w:tc>
        <w:tc>
          <w:tcPr>
            <w:tcW w:w="559" w:type="pct"/>
            <w:shd w:val="clear" w:color="auto" w:fill="FFFFFF"/>
          </w:tcPr>
          <w:p w:rsidR="00E36C8E" w:rsidRDefault="001B4203" w:rsidP="00BD4391">
            <w:pPr>
              <w:pStyle w:val="centrum"/>
            </w:pPr>
            <w:r>
              <w:t xml:space="preserve"> </w:t>
            </w:r>
            <w:r w:rsidR="00E36C8E" w:rsidRPr="00585ADF">
              <w:t>»</w:t>
            </w:r>
          </w:p>
        </w:tc>
        <w:tc>
          <w:tcPr>
            <w:tcW w:w="983" w:type="pct"/>
            <w:shd w:val="clear" w:color="auto" w:fill="FFFFFF"/>
          </w:tcPr>
          <w:p w:rsidR="00E36C8E" w:rsidRPr="00D709E6" w:rsidRDefault="00E36C8E" w:rsidP="00BD4391">
            <w:pPr>
              <w:pStyle w:val="nsr"/>
            </w:pPr>
            <w:r w:rsidRPr="00D709E6">
              <w:t>XIII, 1-9.</w:t>
            </w:r>
          </w:p>
        </w:tc>
        <w:tc>
          <w:tcPr>
            <w:tcW w:w="757" w:type="pct"/>
            <w:shd w:val="clear" w:color="auto" w:fill="FFFFFF"/>
          </w:tcPr>
          <w:p w:rsidR="00E36C8E" w:rsidRDefault="001B4203" w:rsidP="00BD4391">
            <w:pPr>
              <w:pStyle w:val="centrum"/>
            </w:pPr>
            <w:r>
              <w:t xml:space="preserve"> </w:t>
            </w:r>
            <w:r w:rsidR="00E36C8E" w:rsidRPr="00585ADF">
              <w:t>»</w:t>
            </w:r>
          </w:p>
        </w:tc>
      </w:tr>
      <w:tr w:rsidR="00E36C8E" w:rsidRPr="00177118" w:rsidTr="00BD4391">
        <w:trPr>
          <w:cantSplit/>
          <w:trHeight w:val="20"/>
        </w:trPr>
        <w:tc>
          <w:tcPr>
            <w:tcW w:w="1926" w:type="pct"/>
            <w:shd w:val="clear" w:color="auto" w:fill="FFFFFF"/>
          </w:tcPr>
          <w:p w:rsidR="00E36C8E" w:rsidRPr="00177118" w:rsidRDefault="00E36C8E" w:rsidP="00BD4391">
            <w:pPr>
              <w:pStyle w:val="h"/>
            </w:pPr>
            <w:r w:rsidRPr="00177118">
              <w:t>Femme guérie le jour du sabbat</w:t>
            </w:r>
            <w:r>
              <w:t xml:space="preserve"> </w:t>
            </w:r>
          </w:p>
        </w:tc>
        <w:tc>
          <w:tcPr>
            <w:tcW w:w="775" w:type="pct"/>
            <w:shd w:val="clear" w:color="auto" w:fill="FFFFFF"/>
          </w:tcPr>
          <w:p w:rsidR="00E36C8E" w:rsidRDefault="001B4203" w:rsidP="00BD4391">
            <w:pPr>
              <w:pStyle w:val="centrum"/>
            </w:pPr>
            <w:r>
              <w:t xml:space="preserve"> </w:t>
            </w:r>
            <w:r w:rsidR="00E36C8E" w:rsidRPr="00585ADF">
              <w:t>»</w:t>
            </w:r>
          </w:p>
        </w:tc>
        <w:tc>
          <w:tcPr>
            <w:tcW w:w="559" w:type="pct"/>
            <w:shd w:val="clear" w:color="auto" w:fill="FFFFFF"/>
          </w:tcPr>
          <w:p w:rsidR="00E36C8E" w:rsidRDefault="001B4203" w:rsidP="00BD4391">
            <w:pPr>
              <w:pStyle w:val="centrum"/>
            </w:pPr>
            <w:r>
              <w:t xml:space="preserve"> </w:t>
            </w:r>
            <w:r w:rsidR="00E36C8E" w:rsidRPr="00585ADF">
              <w:t>»</w:t>
            </w:r>
          </w:p>
        </w:tc>
        <w:tc>
          <w:tcPr>
            <w:tcW w:w="983" w:type="pct"/>
            <w:shd w:val="clear" w:color="auto" w:fill="FFFFFF"/>
          </w:tcPr>
          <w:p w:rsidR="00E36C8E" w:rsidRPr="00D709E6" w:rsidRDefault="00E36C8E" w:rsidP="00BD4391">
            <w:pPr>
              <w:pStyle w:val="nsr"/>
            </w:pPr>
            <w:r w:rsidRPr="00D709E6">
              <w:t>XI</w:t>
            </w:r>
            <w:r>
              <w:t>II</w:t>
            </w:r>
            <w:r w:rsidRPr="00D709E6">
              <w:t xml:space="preserve">, 10-17. </w:t>
            </w:r>
          </w:p>
        </w:tc>
        <w:tc>
          <w:tcPr>
            <w:tcW w:w="757" w:type="pct"/>
            <w:shd w:val="clear" w:color="auto" w:fill="FFFFFF"/>
          </w:tcPr>
          <w:p w:rsidR="00E36C8E" w:rsidRDefault="001B4203" w:rsidP="00BD4391">
            <w:pPr>
              <w:pStyle w:val="centrum"/>
            </w:pPr>
            <w:r>
              <w:t xml:space="preserve"> </w:t>
            </w:r>
            <w:r w:rsidR="00E36C8E" w:rsidRPr="00585ADF">
              <w:t>»</w:t>
            </w:r>
          </w:p>
        </w:tc>
      </w:tr>
      <w:tr w:rsidR="00E36C8E" w:rsidRPr="00177118" w:rsidTr="00BD4391">
        <w:trPr>
          <w:cantSplit/>
          <w:trHeight w:val="20"/>
        </w:trPr>
        <w:tc>
          <w:tcPr>
            <w:tcW w:w="1926" w:type="pct"/>
            <w:shd w:val="clear" w:color="auto" w:fill="FFFFFF"/>
          </w:tcPr>
          <w:p w:rsidR="00E36C8E" w:rsidRPr="00177118" w:rsidRDefault="00E36C8E" w:rsidP="00BD4391">
            <w:pPr>
              <w:pStyle w:val="h"/>
            </w:pPr>
            <w:r w:rsidRPr="00177118">
              <w:t>La porte étroite</w:t>
            </w:r>
          </w:p>
        </w:tc>
        <w:tc>
          <w:tcPr>
            <w:tcW w:w="775" w:type="pct"/>
            <w:shd w:val="clear" w:color="auto" w:fill="FFFFFF"/>
          </w:tcPr>
          <w:p w:rsidR="00E36C8E" w:rsidRDefault="001B4203" w:rsidP="00BD4391">
            <w:pPr>
              <w:pStyle w:val="centrum"/>
            </w:pPr>
            <w:r>
              <w:t xml:space="preserve"> </w:t>
            </w:r>
            <w:r w:rsidR="00E36C8E" w:rsidRPr="00585ADF">
              <w:t>»</w:t>
            </w:r>
          </w:p>
        </w:tc>
        <w:tc>
          <w:tcPr>
            <w:tcW w:w="559" w:type="pct"/>
            <w:shd w:val="clear" w:color="auto" w:fill="FFFFFF"/>
          </w:tcPr>
          <w:p w:rsidR="00E36C8E" w:rsidRDefault="001B4203" w:rsidP="00BD4391">
            <w:pPr>
              <w:pStyle w:val="centrum"/>
            </w:pPr>
            <w:r>
              <w:t xml:space="preserve"> </w:t>
            </w:r>
            <w:r w:rsidR="00E36C8E" w:rsidRPr="00585ADF">
              <w:t>»</w:t>
            </w:r>
          </w:p>
        </w:tc>
        <w:tc>
          <w:tcPr>
            <w:tcW w:w="983" w:type="pct"/>
            <w:shd w:val="clear" w:color="auto" w:fill="FFFFFF"/>
          </w:tcPr>
          <w:p w:rsidR="00E36C8E" w:rsidRPr="00D709E6" w:rsidRDefault="00E36C8E" w:rsidP="00BD4391">
            <w:pPr>
              <w:pStyle w:val="nsr"/>
            </w:pPr>
            <w:r w:rsidRPr="00D709E6">
              <w:t>XIII, 22 30.</w:t>
            </w:r>
          </w:p>
        </w:tc>
        <w:tc>
          <w:tcPr>
            <w:tcW w:w="757" w:type="pct"/>
            <w:shd w:val="clear" w:color="auto" w:fill="FFFFFF"/>
          </w:tcPr>
          <w:p w:rsidR="00E36C8E" w:rsidRDefault="001B4203" w:rsidP="00BD4391">
            <w:pPr>
              <w:pStyle w:val="centrum"/>
            </w:pPr>
            <w:r>
              <w:t xml:space="preserve"> </w:t>
            </w:r>
            <w:r w:rsidR="00E36C8E" w:rsidRPr="00585ADF">
              <w:t>»</w:t>
            </w:r>
          </w:p>
        </w:tc>
      </w:tr>
      <w:tr w:rsidR="00E36C8E" w:rsidRPr="00177118" w:rsidTr="00BD4391">
        <w:trPr>
          <w:cantSplit/>
          <w:trHeight w:val="20"/>
        </w:trPr>
        <w:tc>
          <w:tcPr>
            <w:tcW w:w="1926" w:type="pct"/>
            <w:shd w:val="clear" w:color="auto" w:fill="FFFFFF"/>
          </w:tcPr>
          <w:p w:rsidR="00E36C8E" w:rsidRPr="00177118" w:rsidRDefault="00E36C8E" w:rsidP="00BD4391">
            <w:pPr>
              <w:pStyle w:val="h"/>
            </w:pPr>
            <w:r w:rsidRPr="00177118">
              <w:t>Les embûches d</w:t>
            </w:r>
            <w:r w:rsidR="00557DE0">
              <w:t>’</w:t>
            </w:r>
            <w:r w:rsidRPr="00177118">
              <w:t>Hérode</w:t>
            </w:r>
            <w:r>
              <w:t xml:space="preserve"> </w:t>
            </w:r>
          </w:p>
        </w:tc>
        <w:tc>
          <w:tcPr>
            <w:tcW w:w="775" w:type="pct"/>
            <w:shd w:val="clear" w:color="auto" w:fill="FFFFFF"/>
          </w:tcPr>
          <w:p w:rsidR="00E36C8E" w:rsidRDefault="001B4203" w:rsidP="00BD4391">
            <w:pPr>
              <w:pStyle w:val="centrum"/>
            </w:pPr>
            <w:r>
              <w:t xml:space="preserve"> </w:t>
            </w:r>
            <w:r w:rsidR="00E36C8E" w:rsidRPr="00585ADF">
              <w:t>»</w:t>
            </w:r>
          </w:p>
        </w:tc>
        <w:tc>
          <w:tcPr>
            <w:tcW w:w="559" w:type="pct"/>
            <w:shd w:val="clear" w:color="auto" w:fill="FFFFFF"/>
          </w:tcPr>
          <w:p w:rsidR="00E36C8E" w:rsidRDefault="001B4203" w:rsidP="00BD4391">
            <w:pPr>
              <w:pStyle w:val="centrum"/>
            </w:pPr>
            <w:r>
              <w:t xml:space="preserve"> </w:t>
            </w:r>
            <w:r w:rsidR="00E36C8E" w:rsidRPr="00585ADF">
              <w:t>»</w:t>
            </w:r>
          </w:p>
        </w:tc>
        <w:tc>
          <w:tcPr>
            <w:tcW w:w="983" w:type="pct"/>
            <w:shd w:val="clear" w:color="auto" w:fill="FFFFFF"/>
          </w:tcPr>
          <w:p w:rsidR="00E36C8E" w:rsidRPr="00D709E6" w:rsidRDefault="00E36C8E" w:rsidP="00BD4391">
            <w:pPr>
              <w:pStyle w:val="nsr"/>
            </w:pPr>
            <w:r w:rsidRPr="00D709E6">
              <w:t>XIII, 31 35.</w:t>
            </w:r>
          </w:p>
        </w:tc>
        <w:tc>
          <w:tcPr>
            <w:tcW w:w="757" w:type="pct"/>
            <w:shd w:val="clear" w:color="auto" w:fill="FFFFFF"/>
          </w:tcPr>
          <w:p w:rsidR="00E36C8E" w:rsidRDefault="001B4203" w:rsidP="00BD4391">
            <w:pPr>
              <w:pStyle w:val="centrum"/>
            </w:pPr>
            <w:r>
              <w:t xml:space="preserve"> </w:t>
            </w:r>
            <w:r w:rsidR="00E36C8E" w:rsidRPr="00585ADF">
              <w:t>»</w:t>
            </w:r>
          </w:p>
        </w:tc>
      </w:tr>
      <w:tr w:rsidR="00E36C8E" w:rsidRPr="00177118" w:rsidTr="00BD4391">
        <w:trPr>
          <w:cantSplit/>
          <w:trHeight w:val="20"/>
        </w:trPr>
        <w:tc>
          <w:tcPr>
            <w:tcW w:w="1926" w:type="pct"/>
            <w:shd w:val="clear" w:color="auto" w:fill="FFFFFF"/>
          </w:tcPr>
          <w:p w:rsidR="00E36C8E" w:rsidRPr="00177118" w:rsidRDefault="00E36C8E" w:rsidP="00BD4391">
            <w:pPr>
              <w:pStyle w:val="h"/>
            </w:pPr>
            <w:r w:rsidRPr="00177118">
              <w:t>Jésus chez un Pharisien en un jour de sabbat</w:t>
            </w:r>
            <w:r>
              <w:t xml:space="preserve"> </w:t>
            </w:r>
          </w:p>
        </w:tc>
        <w:tc>
          <w:tcPr>
            <w:tcW w:w="775" w:type="pct"/>
            <w:shd w:val="clear" w:color="auto" w:fill="FFFFFF"/>
          </w:tcPr>
          <w:p w:rsidR="00E36C8E" w:rsidRDefault="001B4203" w:rsidP="00BD4391">
            <w:pPr>
              <w:pStyle w:val="centrum"/>
            </w:pPr>
            <w:r>
              <w:t xml:space="preserve"> </w:t>
            </w:r>
            <w:r w:rsidR="00E36C8E" w:rsidRPr="005D63B4">
              <w:t>»</w:t>
            </w:r>
          </w:p>
        </w:tc>
        <w:tc>
          <w:tcPr>
            <w:tcW w:w="559" w:type="pct"/>
            <w:shd w:val="clear" w:color="auto" w:fill="FFFFFF"/>
          </w:tcPr>
          <w:p w:rsidR="00E36C8E" w:rsidRDefault="001B4203" w:rsidP="00BD4391">
            <w:pPr>
              <w:pStyle w:val="centrum"/>
            </w:pPr>
            <w:r>
              <w:t xml:space="preserve"> </w:t>
            </w:r>
            <w:r w:rsidR="00E36C8E" w:rsidRPr="005D63B4">
              <w:t>»</w:t>
            </w:r>
          </w:p>
        </w:tc>
        <w:tc>
          <w:tcPr>
            <w:tcW w:w="983" w:type="pct"/>
            <w:shd w:val="clear" w:color="auto" w:fill="FFFFFF"/>
          </w:tcPr>
          <w:p w:rsidR="00E36C8E" w:rsidRPr="00D709E6" w:rsidRDefault="00E36C8E" w:rsidP="00BD4391">
            <w:pPr>
              <w:pStyle w:val="nsr"/>
            </w:pPr>
            <w:r w:rsidRPr="00D709E6">
              <w:t>XIV, 1-24.</w:t>
            </w:r>
          </w:p>
        </w:tc>
        <w:tc>
          <w:tcPr>
            <w:tcW w:w="757"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1926" w:type="pct"/>
            <w:shd w:val="clear" w:color="auto" w:fill="FFFFFF"/>
          </w:tcPr>
          <w:p w:rsidR="00E36C8E" w:rsidRPr="00177118" w:rsidRDefault="00E36C8E" w:rsidP="00BD4391">
            <w:pPr>
              <w:pStyle w:val="h"/>
            </w:pPr>
            <w:r>
              <w:t>Ce que doivent ê</w:t>
            </w:r>
            <w:r w:rsidRPr="00177118">
              <w:t>tre les disciples de Jésus-Christ</w:t>
            </w:r>
            <w:r>
              <w:t xml:space="preserve"> </w:t>
            </w:r>
          </w:p>
        </w:tc>
        <w:tc>
          <w:tcPr>
            <w:tcW w:w="775" w:type="pct"/>
            <w:shd w:val="clear" w:color="auto" w:fill="FFFFFF"/>
          </w:tcPr>
          <w:p w:rsidR="00E36C8E" w:rsidRDefault="001B4203" w:rsidP="00BD4391">
            <w:pPr>
              <w:pStyle w:val="centrum"/>
            </w:pPr>
            <w:r>
              <w:t xml:space="preserve"> </w:t>
            </w:r>
            <w:r w:rsidR="00E36C8E" w:rsidRPr="005D63B4">
              <w:t>»</w:t>
            </w:r>
          </w:p>
        </w:tc>
        <w:tc>
          <w:tcPr>
            <w:tcW w:w="559" w:type="pct"/>
            <w:shd w:val="clear" w:color="auto" w:fill="FFFFFF"/>
          </w:tcPr>
          <w:p w:rsidR="00E36C8E" w:rsidRDefault="001B4203" w:rsidP="00BD4391">
            <w:pPr>
              <w:pStyle w:val="centrum"/>
            </w:pPr>
            <w:r>
              <w:t xml:space="preserve"> </w:t>
            </w:r>
            <w:r w:rsidR="00E36C8E" w:rsidRPr="005D63B4">
              <w:t>»</w:t>
            </w:r>
          </w:p>
        </w:tc>
        <w:tc>
          <w:tcPr>
            <w:tcW w:w="983" w:type="pct"/>
            <w:shd w:val="clear" w:color="auto" w:fill="FFFFFF"/>
          </w:tcPr>
          <w:p w:rsidR="00E36C8E" w:rsidRPr="00D709E6" w:rsidRDefault="00E36C8E" w:rsidP="00BD4391">
            <w:pPr>
              <w:pStyle w:val="nsr"/>
            </w:pPr>
            <w:r w:rsidRPr="00D709E6">
              <w:t>XIV, 25-35.</w:t>
            </w:r>
          </w:p>
        </w:tc>
        <w:tc>
          <w:tcPr>
            <w:tcW w:w="757" w:type="pct"/>
            <w:shd w:val="clear" w:color="auto" w:fill="FFFFFF"/>
          </w:tcPr>
          <w:p w:rsidR="00E36C8E" w:rsidRPr="00D709E6" w:rsidRDefault="001B4203" w:rsidP="00BD4391">
            <w:pPr>
              <w:pStyle w:val="centrum"/>
            </w:pPr>
            <w:r>
              <w:t xml:space="preserve"> </w:t>
            </w:r>
            <w:r w:rsidR="00E36C8E" w:rsidRPr="00D709E6">
              <w:t>»</w:t>
            </w:r>
          </w:p>
        </w:tc>
      </w:tr>
      <w:tr w:rsidR="00E36C8E" w:rsidRPr="00177118" w:rsidTr="00BD4391">
        <w:trPr>
          <w:cantSplit/>
          <w:trHeight w:val="20"/>
        </w:trPr>
        <w:tc>
          <w:tcPr>
            <w:tcW w:w="1926" w:type="pct"/>
            <w:shd w:val="clear" w:color="auto" w:fill="FFFFFF"/>
          </w:tcPr>
          <w:p w:rsidR="00E36C8E" w:rsidRPr="00177118" w:rsidRDefault="00E36C8E" w:rsidP="00BD4391">
            <w:pPr>
              <w:pStyle w:val="h"/>
            </w:pPr>
            <w:r w:rsidRPr="00177118">
              <w:t>Parabole d</w:t>
            </w:r>
            <w:r>
              <w:t>e</w:t>
            </w:r>
            <w:r w:rsidRPr="00177118">
              <w:t xml:space="preserve"> la brebis perdue</w:t>
            </w:r>
            <w:r>
              <w:t xml:space="preserve"> </w:t>
            </w:r>
          </w:p>
        </w:tc>
        <w:tc>
          <w:tcPr>
            <w:tcW w:w="775" w:type="pct"/>
            <w:shd w:val="clear" w:color="auto" w:fill="FFFFFF"/>
          </w:tcPr>
          <w:p w:rsidR="00E36C8E" w:rsidRPr="00D709E6" w:rsidRDefault="00E36C8E" w:rsidP="00BD4391">
            <w:pPr>
              <w:pStyle w:val="centrum"/>
            </w:pPr>
            <w:r w:rsidRPr="00D709E6">
              <w:t xml:space="preserve"> »</w:t>
            </w:r>
          </w:p>
        </w:tc>
        <w:tc>
          <w:tcPr>
            <w:tcW w:w="559" w:type="pct"/>
            <w:shd w:val="clear" w:color="auto" w:fill="FFFFFF"/>
          </w:tcPr>
          <w:p w:rsidR="00E36C8E" w:rsidRPr="00D709E6" w:rsidRDefault="00E36C8E" w:rsidP="00BD4391">
            <w:pPr>
              <w:pStyle w:val="centrum"/>
            </w:pPr>
            <w:r w:rsidRPr="00D709E6">
              <w:t xml:space="preserve"> »</w:t>
            </w:r>
          </w:p>
        </w:tc>
        <w:tc>
          <w:tcPr>
            <w:tcW w:w="983" w:type="pct"/>
            <w:shd w:val="clear" w:color="auto" w:fill="FFFFFF"/>
          </w:tcPr>
          <w:p w:rsidR="00E36C8E" w:rsidRPr="00D709E6" w:rsidRDefault="00E36C8E" w:rsidP="00BD4391">
            <w:pPr>
              <w:pStyle w:val="nsr"/>
            </w:pPr>
            <w:r w:rsidRPr="00D709E6">
              <w:t>XV, 1-7.</w:t>
            </w:r>
          </w:p>
        </w:tc>
        <w:tc>
          <w:tcPr>
            <w:tcW w:w="757"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1926" w:type="pct"/>
            <w:shd w:val="clear" w:color="auto" w:fill="FFFFFF"/>
          </w:tcPr>
          <w:p w:rsidR="00E36C8E" w:rsidRPr="00177118" w:rsidRDefault="00E36C8E" w:rsidP="00BD4391">
            <w:pPr>
              <w:pStyle w:val="h"/>
            </w:pPr>
            <w:r w:rsidRPr="00177118">
              <w:t>Parabole de</w:t>
            </w:r>
            <w:r>
              <w:t xml:space="preserve"> la</w:t>
            </w:r>
            <w:r w:rsidRPr="00177118">
              <w:t xml:space="preserve"> drachme perdue</w:t>
            </w:r>
            <w:r>
              <w:t xml:space="preserve"> </w:t>
            </w:r>
          </w:p>
        </w:tc>
        <w:tc>
          <w:tcPr>
            <w:tcW w:w="775" w:type="pct"/>
            <w:shd w:val="clear" w:color="auto" w:fill="FFFFFF"/>
          </w:tcPr>
          <w:p w:rsidR="00E36C8E" w:rsidRPr="00D709E6" w:rsidRDefault="00E36C8E" w:rsidP="00BD4391">
            <w:pPr>
              <w:pStyle w:val="centrum"/>
            </w:pPr>
            <w:r w:rsidRPr="00D709E6">
              <w:t xml:space="preserve"> »</w:t>
            </w:r>
          </w:p>
        </w:tc>
        <w:tc>
          <w:tcPr>
            <w:tcW w:w="559" w:type="pct"/>
            <w:shd w:val="clear" w:color="auto" w:fill="FFFFFF"/>
          </w:tcPr>
          <w:p w:rsidR="00E36C8E" w:rsidRPr="00D709E6" w:rsidRDefault="001B4203" w:rsidP="00BD4391">
            <w:pPr>
              <w:pStyle w:val="centrum"/>
            </w:pPr>
            <w:r>
              <w:t xml:space="preserve"> </w:t>
            </w:r>
            <w:r w:rsidR="00E36C8E" w:rsidRPr="00D709E6">
              <w:t>»</w:t>
            </w:r>
          </w:p>
        </w:tc>
        <w:tc>
          <w:tcPr>
            <w:tcW w:w="983" w:type="pct"/>
            <w:shd w:val="clear" w:color="auto" w:fill="FFFFFF"/>
          </w:tcPr>
          <w:p w:rsidR="00E36C8E" w:rsidRPr="00D709E6" w:rsidRDefault="00E36C8E" w:rsidP="00BD4391">
            <w:pPr>
              <w:pStyle w:val="nsr"/>
            </w:pPr>
            <w:r w:rsidRPr="00D709E6">
              <w:t>XV, 8-10.</w:t>
            </w:r>
          </w:p>
        </w:tc>
        <w:tc>
          <w:tcPr>
            <w:tcW w:w="757"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1926" w:type="pct"/>
            <w:shd w:val="clear" w:color="auto" w:fill="FFFFFF"/>
          </w:tcPr>
          <w:p w:rsidR="00E36C8E" w:rsidRPr="00177118" w:rsidRDefault="00E36C8E" w:rsidP="00BD4391">
            <w:pPr>
              <w:pStyle w:val="h"/>
            </w:pPr>
            <w:r w:rsidRPr="00177118">
              <w:t>Parabole de l</w:t>
            </w:r>
            <w:r w:rsidR="00557DE0">
              <w:t>’</w:t>
            </w:r>
            <w:r w:rsidRPr="00177118">
              <w:t>enfant prodigue</w:t>
            </w:r>
            <w:r>
              <w:t xml:space="preserve"> </w:t>
            </w:r>
          </w:p>
        </w:tc>
        <w:tc>
          <w:tcPr>
            <w:tcW w:w="775" w:type="pct"/>
            <w:shd w:val="clear" w:color="auto" w:fill="FFFFFF"/>
          </w:tcPr>
          <w:p w:rsidR="00E36C8E" w:rsidRPr="00D709E6" w:rsidRDefault="00E36C8E" w:rsidP="00BD4391">
            <w:pPr>
              <w:pStyle w:val="centrum"/>
            </w:pPr>
            <w:r w:rsidRPr="00D709E6">
              <w:t xml:space="preserve"> »</w:t>
            </w:r>
          </w:p>
        </w:tc>
        <w:tc>
          <w:tcPr>
            <w:tcW w:w="559" w:type="pct"/>
            <w:shd w:val="clear" w:color="auto" w:fill="FFFFFF"/>
          </w:tcPr>
          <w:p w:rsidR="00E36C8E" w:rsidRPr="00D709E6" w:rsidRDefault="00E36C8E" w:rsidP="00BD4391">
            <w:pPr>
              <w:pStyle w:val="centrum"/>
            </w:pPr>
            <w:r w:rsidRPr="00D709E6">
              <w:t xml:space="preserve"> »</w:t>
            </w:r>
          </w:p>
        </w:tc>
        <w:tc>
          <w:tcPr>
            <w:tcW w:w="983" w:type="pct"/>
            <w:shd w:val="clear" w:color="auto" w:fill="FFFFFF"/>
          </w:tcPr>
          <w:p w:rsidR="00E36C8E" w:rsidRPr="00D709E6" w:rsidRDefault="00E36C8E" w:rsidP="00BD4391">
            <w:pPr>
              <w:pStyle w:val="nsr"/>
            </w:pPr>
            <w:r w:rsidRPr="00D709E6">
              <w:t>XV, 11-32.</w:t>
            </w:r>
          </w:p>
        </w:tc>
        <w:tc>
          <w:tcPr>
            <w:tcW w:w="757"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1926" w:type="pct"/>
            <w:shd w:val="clear" w:color="auto" w:fill="FFFFFF"/>
          </w:tcPr>
          <w:p w:rsidR="00E36C8E" w:rsidRPr="00177118" w:rsidRDefault="00E36C8E" w:rsidP="00BD4391">
            <w:pPr>
              <w:pStyle w:val="h"/>
            </w:pPr>
            <w:r w:rsidRPr="00177118">
              <w:t>Parabole de 1</w:t>
            </w:r>
            <w:r w:rsidR="00557DE0">
              <w:t>’</w:t>
            </w:r>
            <w:r>
              <w:t>économ</w:t>
            </w:r>
            <w:r w:rsidRPr="00177118">
              <w:t>e infidèle</w:t>
            </w:r>
            <w:r>
              <w:t xml:space="preserve"> </w:t>
            </w:r>
          </w:p>
        </w:tc>
        <w:tc>
          <w:tcPr>
            <w:tcW w:w="775" w:type="pct"/>
            <w:shd w:val="clear" w:color="auto" w:fill="FFFFFF"/>
          </w:tcPr>
          <w:p w:rsidR="00E36C8E" w:rsidRPr="00D709E6" w:rsidRDefault="001B4203" w:rsidP="00BD4391">
            <w:pPr>
              <w:pStyle w:val="centrum"/>
            </w:pPr>
            <w:r>
              <w:t xml:space="preserve"> </w:t>
            </w:r>
            <w:r w:rsidR="00E36C8E" w:rsidRPr="00D709E6">
              <w:t>»</w:t>
            </w:r>
          </w:p>
        </w:tc>
        <w:tc>
          <w:tcPr>
            <w:tcW w:w="559" w:type="pct"/>
            <w:shd w:val="clear" w:color="auto" w:fill="FFFFFF"/>
          </w:tcPr>
          <w:p w:rsidR="00E36C8E" w:rsidRPr="00D709E6" w:rsidRDefault="00E36C8E" w:rsidP="00BD4391">
            <w:pPr>
              <w:pStyle w:val="centrum"/>
            </w:pPr>
            <w:r w:rsidRPr="00D709E6">
              <w:t xml:space="preserve"> »</w:t>
            </w:r>
          </w:p>
        </w:tc>
        <w:tc>
          <w:tcPr>
            <w:tcW w:w="983" w:type="pct"/>
            <w:shd w:val="clear" w:color="auto" w:fill="FFFFFF"/>
          </w:tcPr>
          <w:p w:rsidR="00E36C8E" w:rsidRPr="00D709E6" w:rsidRDefault="00E36C8E" w:rsidP="00BD4391">
            <w:pPr>
              <w:pStyle w:val="nsr"/>
            </w:pPr>
            <w:r w:rsidRPr="00D709E6">
              <w:t>XVI, 1-13.</w:t>
            </w:r>
          </w:p>
        </w:tc>
        <w:tc>
          <w:tcPr>
            <w:tcW w:w="757"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1926" w:type="pct"/>
            <w:shd w:val="clear" w:color="auto" w:fill="FFFFFF"/>
          </w:tcPr>
          <w:p w:rsidR="00E36C8E" w:rsidRPr="00177118" w:rsidRDefault="00E36C8E" w:rsidP="00BD4391">
            <w:pPr>
              <w:pStyle w:val="h"/>
            </w:pPr>
            <w:r w:rsidRPr="00177118">
              <w:t>Réponse aux murmures des Pharisiens</w:t>
            </w:r>
            <w:r>
              <w:t xml:space="preserve"> </w:t>
            </w:r>
          </w:p>
        </w:tc>
        <w:tc>
          <w:tcPr>
            <w:tcW w:w="775" w:type="pct"/>
            <w:shd w:val="clear" w:color="auto" w:fill="FFFFFF"/>
          </w:tcPr>
          <w:p w:rsidR="00E36C8E" w:rsidRPr="00D709E6" w:rsidRDefault="00E36C8E" w:rsidP="00BD4391">
            <w:pPr>
              <w:pStyle w:val="centrum"/>
            </w:pPr>
            <w:r w:rsidRPr="00D709E6">
              <w:t xml:space="preserve"> »</w:t>
            </w:r>
          </w:p>
        </w:tc>
        <w:tc>
          <w:tcPr>
            <w:tcW w:w="559" w:type="pct"/>
            <w:shd w:val="clear" w:color="auto" w:fill="FFFFFF"/>
          </w:tcPr>
          <w:p w:rsidR="00E36C8E" w:rsidRPr="00D709E6" w:rsidRDefault="001B4203" w:rsidP="00BD4391">
            <w:pPr>
              <w:pStyle w:val="centrum"/>
            </w:pPr>
            <w:r>
              <w:t xml:space="preserve"> </w:t>
            </w:r>
            <w:r w:rsidR="00E36C8E" w:rsidRPr="00D709E6">
              <w:t>»</w:t>
            </w:r>
          </w:p>
        </w:tc>
        <w:tc>
          <w:tcPr>
            <w:tcW w:w="983" w:type="pct"/>
            <w:shd w:val="clear" w:color="auto" w:fill="FFFFFF"/>
          </w:tcPr>
          <w:p w:rsidR="00E36C8E" w:rsidRPr="00D709E6" w:rsidRDefault="00E36C8E" w:rsidP="00BD4391">
            <w:pPr>
              <w:pStyle w:val="nsr"/>
            </w:pPr>
            <w:r>
              <w:t>XVI, 14-</w:t>
            </w:r>
            <w:r w:rsidRPr="00D709E6">
              <w:t>18.</w:t>
            </w:r>
          </w:p>
        </w:tc>
        <w:tc>
          <w:tcPr>
            <w:tcW w:w="757" w:type="pct"/>
            <w:shd w:val="clear" w:color="auto" w:fill="FFFFFF"/>
          </w:tcPr>
          <w:p w:rsidR="00E36C8E" w:rsidRPr="00D709E6" w:rsidRDefault="001B4203" w:rsidP="00BD4391">
            <w:pPr>
              <w:pStyle w:val="centrum"/>
            </w:pPr>
            <w:r>
              <w:t xml:space="preserve"> </w:t>
            </w:r>
            <w:r w:rsidR="00E36C8E" w:rsidRPr="00D709E6">
              <w:t>»</w:t>
            </w:r>
          </w:p>
        </w:tc>
      </w:tr>
      <w:tr w:rsidR="00E36C8E" w:rsidRPr="00177118" w:rsidTr="00BD4391">
        <w:trPr>
          <w:cantSplit/>
          <w:trHeight w:val="20"/>
        </w:trPr>
        <w:tc>
          <w:tcPr>
            <w:tcW w:w="1926" w:type="pct"/>
            <w:shd w:val="clear" w:color="auto" w:fill="FFFFFF"/>
          </w:tcPr>
          <w:p w:rsidR="00E36C8E" w:rsidRPr="00177118" w:rsidRDefault="00E36C8E" w:rsidP="00BD4391">
            <w:pPr>
              <w:pStyle w:val="h"/>
            </w:pPr>
            <w:r w:rsidRPr="00177118">
              <w:t>Lazare et le mauvais riche</w:t>
            </w:r>
            <w:r>
              <w:t xml:space="preserve"> </w:t>
            </w:r>
          </w:p>
        </w:tc>
        <w:tc>
          <w:tcPr>
            <w:tcW w:w="775" w:type="pct"/>
            <w:shd w:val="clear" w:color="auto" w:fill="FFFFFF"/>
          </w:tcPr>
          <w:p w:rsidR="00E36C8E" w:rsidRPr="00D709E6" w:rsidRDefault="00E36C8E" w:rsidP="00BD4391">
            <w:pPr>
              <w:pStyle w:val="centrum"/>
            </w:pPr>
            <w:r w:rsidRPr="00D709E6">
              <w:t xml:space="preserve"> »</w:t>
            </w:r>
          </w:p>
        </w:tc>
        <w:tc>
          <w:tcPr>
            <w:tcW w:w="559" w:type="pct"/>
            <w:shd w:val="clear" w:color="auto" w:fill="FFFFFF"/>
          </w:tcPr>
          <w:p w:rsidR="00E36C8E" w:rsidRPr="00D709E6" w:rsidRDefault="00E36C8E" w:rsidP="00BD4391">
            <w:pPr>
              <w:pStyle w:val="centrum"/>
            </w:pPr>
            <w:r w:rsidRPr="00D709E6">
              <w:t xml:space="preserve"> »</w:t>
            </w:r>
          </w:p>
        </w:tc>
        <w:tc>
          <w:tcPr>
            <w:tcW w:w="983" w:type="pct"/>
            <w:shd w:val="clear" w:color="auto" w:fill="FFFFFF"/>
          </w:tcPr>
          <w:p w:rsidR="00E36C8E" w:rsidRPr="00D709E6" w:rsidRDefault="00E36C8E" w:rsidP="00BD4391">
            <w:pPr>
              <w:pStyle w:val="nsr"/>
            </w:pPr>
            <w:r w:rsidRPr="00D709E6">
              <w:t>XVI, 19-31.</w:t>
            </w:r>
          </w:p>
        </w:tc>
        <w:tc>
          <w:tcPr>
            <w:tcW w:w="757" w:type="pct"/>
            <w:shd w:val="clear" w:color="auto" w:fill="FFFFFF"/>
          </w:tcPr>
          <w:p w:rsidR="00E36C8E" w:rsidRPr="00D709E6" w:rsidRDefault="001B4203" w:rsidP="00BD4391">
            <w:pPr>
              <w:pStyle w:val="centrum"/>
            </w:pPr>
            <w:r>
              <w:t xml:space="preserve"> </w:t>
            </w:r>
            <w:r w:rsidR="00E36C8E" w:rsidRPr="00D709E6">
              <w:t>»</w:t>
            </w:r>
          </w:p>
        </w:tc>
      </w:tr>
      <w:tr w:rsidR="00E36C8E" w:rsidRPr="00177118" w:rsidTr="00BD4391">
        <w:trPr>
          <w:cantSplit/>
          <w:trHeight w:val="20"/>
        </w:trPr>
        <w:tc>
          <w:tcPr>
            <w:tcW w:w="1926" w:type="pct"/>
            <w:shd w:val="clear" w:color="auto" w:fill="FFFFFF"/>
          </w:tcPr>
          <w:p w:rsidR="00E36C8E" w:rsidRPr="00177118" w:rsidRDefault="00E36C8E" w:rsidP="00BD4391">
            <w:pPr>
              <w:pStyle w:val="h"/>
            </w:pPr>
            <w:r w:rsidRPr="00177118">
              <w:t>Du scandale</w:t>
            </w:r>
            <w:r>
              <w:t xml:space="preserve">, </w:t>
            </w:r>
            <w:r w:rsidRPr="00177118">
              <w:t>du pardon des injures</w:t>
            </w:r>
            <w:r>
              <w:t xml:space="preserve">, </w:t>
            </w:r>
            <w:r w:rsidRPr="00177118">
              <w:t>de la foi et de l</w:t>
            </w:r>
            <w:r w:rsidR="00557DE0">
              <w:t>’</w:t>
            </w:r>
            <w:r w:rsidRPr="00177118">
              <w:t>humilité</w:t>
            </w:r>
            <w:r>
              <w:t xml:space="preserve"> </w:t>
            </w:r>
          </w:p>
        </w:tc>
        <w:tc>
          <w:tcPr>
            <w:tcW w:w="775" w:type="pct"/>
            <w:shd w:val="clear" w:color="auto" w:fill="FFFFFF"/>
          </w:tcPr>
          <w:p w:rsidR="00E36C8E" w:rsidRPr="00D709E6" w:rsidRDefault="00E36C8E" w:rsidP="00BD4391">
            <w:pPr>
              <w:pStyle w:val="centrum"/>
            </w:pPr>
            <w:r w:rsidRPr="00D709E6">
              <w:t xml:space="preserve"> »</w:t>
            </w:r>
          </w:p>
        </w:tc>
        <w:tc>
          <w:tcPr>
            <w:tcW w:w="559" w:type="pct"/>
            <w:shd w:val="clear" w:color="auto" w:fill="FFFFFF"/>
          </w:tcPr>
          <w:p w:rsidR="00E36C8E" w:rsidRPr="00D709E6" w:rsidRDefault="001B4203" w:rsidP="00BD4391">
            <w:pPr>
              <w:pStyle w:val="centrum"/>
            </w:pPr>
            <w:r>
              <w:t xml:space="preserve"> </w:t>
            </w:r>
            <w:r w:rsidR="00E36C8E" w:rsidRPr="00D709E6">
              <w:t>»</w:t>
            </w:r>
          </w:p>
        </w:tc>
        <w:tc>
          <w:tcPr>
            <w:tcW w:w="983" w:type="pct"/>
            <w:shd w:val="clear" w:color="auto" w:fill="FFFFFF"/>
          </w:tcPr>
          <w:p w:rsidR="00E36C8E" w:rsidRPr="00D709E6" w:rsidRDefault="00E36C8E" w:rsidP="00BD4391">
            <w:pPr>
              <w:pStyle w:val="nsr"/>
            </w:pPr>
            <w:r>
              <w:t>XVII,</w:t>
            </w:r>
            <w:r w:rsidRPr="00D709E6">
              <w:t xml:space="preserve"> 1-10.</w:t>
            </w:r>
          </w:p>
        </w:tc>
        <w:tc>
          <w:tcPr>
            <w:tcW w:w="757"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1926" w:type="pct"/>
            <w:shd w:val="clear" w:color="auto" w:fill="FFFFFF"/>
          </w:tcPr>
          <w:p w:rsidR="00E36C8E" w:rsidRPr="00177118" w:rsidRDefault="00E36C8E" w:rsidP="00BD4391">
            <w:pPr>
              <w:pStyle w:val="h"/>
            </w:pPr>
            <w:r w:rsidRPr="00177118">
              <w:t>Les dix lépreux</w:t>
            </w:r>
            <w:r>
              <w:t xml:space="preserve"> </w:t>
            </w:r>
          </w:p>
        </w:tc>
        <w:tc>
          <w:tcPr>
            <w:tcW w:w="775" w:type="pct"/>
            <w:shd w:val="clear" w:color="auto" w:fill="FFFFFF"/>
          </w:tcPr>
          <w:p w:rsidR="00E36C8E" w:rsidRPr="00D709E6" w:rsidRDefault="00E36C8E" w:rsidP="00BD4391">
            <w:pPr>
              <w:pStyle w:val="centrum"/>
            </w:pPr>
            <w:r w:rsidRPr="00D709E6">
              <w:t xml:space="preserve"> »</w:t>
            </w:r>
          </w:p>
        </w:tc>
        <w:tc>
          <w:tcPr>
            <w:tcW w:w="559" w:type="pct"/>
            <w:shd w:val="clear" w:color="auto" w:fill="FFFFFF"/>
          </w:tcPr>
          <w:p w:rsidR="00E36C8E" w:rsidRPr="00D709E6" w:rsidRDefault="00E36C8E" w:rsidP="00BD4391">
            <w:pPr>
              <w:pStyle w:val="centrum"/>
            </w:pPr>
            <w:r w:rsidRPr="00D709E6">
              <w:t xml:space="preserve"> »</w:t>
            </w:r>
          </w:p>
        </w:tc>
        <w:tc>
          <w:tcPr>
            <w:tcW w:w="983" w:type="pct"/>
            <w:shd w:val="clear" w:color="auto" w:fill="FFFFFF"/>
          </w:tcPr>
          <w:p w:rsidR="00E36C8E" w:rsidRPr="00D709E6" w:rsidRDefault="00E36C8E" w:rsidP="00BD4391">
            <w:pPr>
              <w:pStyle w:val="nsr"/>
            </w:pPr>
            <w:r w:rsidRPr="00D709E6">
              <w:t>XVII, 11-19.</w:t>
            </w:r>
          </w:p>
        </w:tc>
        <w:tc>
          <w:tcPr>
            <w:tcW w:w="757" w:type="pct"/>
            <w:shd w:val="clear" w:color="auto" w:fill="FFFFFF"/>
          </w:tcPr>
          <w:p w:rsidR="00E36C8E" w:rsidRPr="00D709E6" w:rsidRDefault="001B4203" w:rsidP="00BD4391">
            <w:pPr>
              <w:pStyle w:val="centrum"/>
            </w:pPr>
            <w:r>
              <w:t xml:space="preserve"> </w:t>
            </w:r>
            <w:r w:rsidR="00E36C8E" w:rsidRPr="00D709E6">
              <w:t>»</w:t>
            </w:r>
          </w:p>
        </w:tc>
      </w:tr>
      <w:tr w:rsidR="00E36C8E" w:rsidRPr="00177118" w:rsidTr="00BD4391">
        <w:trPr>
          <w:cantSplit/>
          <w:trHeight w:val="20"/>
        </w:trPr>
        <w:tc>
          <w:tcPr>
            <w:tcW w:w="1926" w:type="pct"/>
            <w:shd w:val="clear" w:color="auto" w:fill="FFFFFF"/>
          </w:tcPr>
          <w:p w:rsidR="00E36C8E" w:rsidRPr="00177118" w:rsidRDefault="00E36C8E" w:rsidP="00BD4391">
            <w:pPr>
              <w:pStyle w:val="h"/>
            </w:pPr>
            <w:r w:rsidRPr="00177118">
              <w:t>Le mariage et ta virginité</w:t>
            </w:r>
            <w:r>
              <w:t xml:space="preserve"> </w:t>
            </w:r>
          </w:p>
        </w:tc>
        <w:tc>
          <w:tcPr>
            <w:tcW w:w="775" w:type="pct"/>
            <w:shd w:val="clear" w:color="auto" w:fill="FFFFFF"/>
          </w:tcPr>
          <w:p w:rsidR="00E36C8E" w:rsidRPr="00D709E6" w:rsidRDefault="00E36C8E" w:rsidP="00BD4391">
            <w:pPr>
              <w:pStyle w:val="nsr"/>
            </w:pPr>
            <w:r w:rsidRPr="00D709E6">
              <w:t>XIX, 1-12.</w:t>
            </w:r>
          </w:p>
        </w:tc>
        <w:tc>
          <w:tcPr>
            <w:tcW w:w="559" w:type="pct"/>
            <w:shd w:val="clear" w:color="auto" w:fill="FFFFFF"/>
          </w:tcPr>
          <w:p w:rsidR="00E36C8E" w:rsidRPr="00D709E6" w:rsidRDefault="00E36C8E" w:rsidP="00BD4391">
            <w:pPr>
              <w:pStyle w:val="nsr"/>
            </w:pPr>
            <w:r w:rsidRPr="00D709E6">
              <w:t>X, 1-12.</w:t>
            </w:r>
          </w:p>
        </w:tc>
        <w:tc>
          <w:tcPr>
            <w:tcW w:w="983" w:type="pct"/>
            <w:shd w:val="clear" w:color="auto" w:fill="FFFFFF"/>
          </w:tcPr>
          <w:p w:rsidR="00E36C8E" w:rsidRDefault="001B4203" w:rsidP="00BD4391">
            <w:pPr>
              <w:pStyle w:val="centrum"/>
            </w:pPr>
            <w:r>
              <w:t xml:space="preserve"> </w:t>
            </w:r>
            <w:r w:rsidR="00E36C8E" w:rsidRPr="00CA7E3A">
              <w:t>»</w:t>
            </w:r>
          </w:p>
        </w:tc>
        <w:tc>
          <w:tcPr>
            <w:tcW w:w="757" w:type="pct"/>
            <w:shd w:val="clear" w:color="auto" w:fill="FFFFFF"/>
          </w:tcPr>
          <w:p w:rsidR="00E36C8E" w:rsidRDefault="001B4203" w:rsidP="00BD4391">
            <w:pPr>
              <w:pStyle w:val="centrum"/>
            </w:pPr>
            <w:r>
              <w:t xml:space="preserve"> </w:t>
            </w:r>
            <w:r w:rsidR="00E36C8E" w:rsidRPr="00CA7E3A">
              <w:t>»</w:t>
            </w:r>
          </w:p>
        </w:tc>
      </w:tr>
      <w:tr w:rsidR="00E36C8E" w:rsidRPr="00177118" w:rsidTr="00BD4391">
        <w:trPr>
          <w:cantSplit/>
          <w:trHeight w:val="20"/>
        </w:trPr>
        <w:tc>
          <w:tcPr>
            <w:tcW w:w="1926" w:type="pct"/>
            <w:shd w:val="clear" w:color="auto" w:fill="FFFFFF"/>
          </w:tcPr>
          <w:p w:rsidR="00E36C8E" w:rsidRPr="00177118" w:rsidRDefault="00E36C8E" w:rsidP="00BD4391">
            <w:pPr>
              <w:pStyle w:val="h"/>
            </w:pPr>
            <w:r w:rsidRPr="00177118">
              <w:t>Du l</w:t>
            </w:r>
            <w:r w:rsidR="00557DE0">
              <w:t>’</w:t>
            </w:r>
            <w:r>
              <w:t xml:space="preserve">avènement du royaume de Dieu </w:t>
            </w:r>
          </w:p>
        </w:tc>
        <w:tc>
          <w:tcPr>
            <w:tcW w:w="775" w:type="pct"/>
            <w:shd w:val="clear" w:color="auto" w:fill="FFFFFF"/>
          </w:tcPr>
          <w:p w:rsidR="00E36C8E" w:rsidRPr="00D709E6" w:rsidRDefault="00E36C8E" w:rsidP="00BD4391">
            <w:pPr>
              <w:pStyle w:val="centrum"/>
            </w:pPr>
            <w:r w:rsidRPr="00D709E6">
              <w:t xml:space="preserve"> »</w:t>
            </w:r>
          </w:p>
        </w:tc>
        <w:tc>
          <w:tcPr>
            <w:tcW w:w="559" w:type="pct"/>
            <w:shd w:val="clear" w:color="auto" w:fill="FFFFFF"/>
          </w:tcPr>
          <w:p w:rsidR="00E36C8E" w:rsidRPr="00D709E6" w:rsidRDefault="00E36C8E" w:rsidP="00BD4391">
            <w:pPr>
              <w:pStyle w:val="centrum"/>
            </w:pPr>
            <w:r w:rsidRPr="00D709E6">
              <w:t xml:space="preserve"> »</w:t>
            </w:r>
          </w:p>
        </w:tc>
        <w:tc>
          <w:tcPr>
            <w:tcW w:w="983" w:type="pct"/>
            <w:shd w:val="clear" w:color="auto" w:fill="FFFFFF"/>
          </w:tcPr>
          <w:p w:rsidR="00E36C8E" w:rsidRPr="00D709E6" w:rsidRDefault="00E36C8E" w:rsidP="00BD4391">
            <w:pPr>
              <w:pStyle w:val="nsr"/>
            </w:pPr>
            <w:r w:rsidRPr="00D709E6">
              <w:t>XVII, 20-37.</w:t>
            </w:r>
          </w:p>
        </w:tc>
        <w:tc>
          <w:tcPr>
            <w:tcW w:w="757" w:type="pct"/>
            <w:shd w:val="clear" w:color="auto" w:fill="FFFFFF"/>
          </w:tcPr>
          <w:p w:rsidR="00E36C8E" w:rsidRPr="00D709E6" w:rsidRDefault="001B4203" w:rsidP="00BD4391">
            <w:pPr>
              <w:pStyle w:val="centrum"/>
            </w:pPr>
            <w:r>
              <w:t xml:space="preserve"> </w:t>
            </w:r>
            <w:r w:rsidR="00E36C8E" w:rsidRPr="00D709E6">
              <w:t>»</w:t>
            </w:r>
          </w:p>
        </w:tc>
      </w:tr>
      <w:tr w:rsidR="00E36C8E" w:rsidRPr="00177118" w:rsidTr="00BD4391">
        <w:trPr>
          <w:cantSplit/>
          <w:trHeight w:val="20"/>
        </w:trPr>
        <w:tc>
          <w:tcPr>
            <w:tcW w:w="1926" w:type="pct"/>
            <w:shd w:val="clear" w:color="auto" w:fill="FFFFFF"/>
          </w:tcPr>
          <w:p w:rsidR="00E36C8E" w:rsidRPr="00177118" w:rsidRDefault="00E36C8E" w:rsidP="00BD4391">
            <w:pPr>
              <w:pStyle w:val="h"/>
            </w:pPr>
            <w:r w:rsidRPr="00177118">
              <w:t>Parabole du juge et de la veuve</w:t>
            </w:r>
            <w:r>
              <w:t xml:space="preserve"> </w:t>
            </w:r>
          </w:p>
        </w:tc>
        <w:tc>
          <w:tcPr>
            <w:tcW w:w="775" w:type="pct"/>
            <w:shd w:val="clear" w:color="auto" w:fill="FFFFFF"/>
          </w:tcPr>
          <w:p w:rsidR="00E36C8E" w:rsidRPr="00D709E6" w:rsidRDefault="00E36C8E" w:rsidP="00BD4391">
            <w:pPr>
              <w:pStyle w:val="centrum"/>
            </w:pPr>
            <w:r w:rsidRPr="00D709E6">
              <w:t xml:space="preserve"> »</w:t>
            </w:r>
          </w:p>
        </w:tc>
        <w:tc>
          <w:tcPr>
            <w:tcW w:w="559" w:type="pct"/>
            <w:shd w:val="clear" w:color="auto" w:fill="FFFFFF"/>
          </w:tcPr>
          <w:p w:rsidR="00E36C8E" w:rsidRPr="00D709E6" w:rsidRDefault="00E36C8E" w:rsidP="00BD4391">
            <w:pPr>
              <w:pStyle w:val="centrum"/>
            </w:pPr>
            <w:r w:rsidRPr="00D709E6">
              <w:t xml:space="preserve"> »</w:t>
            </w:r>
          </w:p>
        </w:tc>
        <w:tc>
          <w:tcPr>
            <w:tcW w:w="983" w:type="pct"/>
            <w:shd w:val="clear" w:color="auto" w:fill="FFFFFF"/>
          </w:tcPr>
          <w:p w:rsidR="00E36C8E" w:rsidRPr="00D709E6" w:rsidRDefault="00E36C8E" w:rsidP="00BD4391">
            <w:pPr>
              <w:pStyle w:val="nsr"/>
            </w:pPr>
            <w:r w:rsidRPr="00D709E6">
              <w:t>XVIII, 1-8.</w:t>
            </w:r>
          </w:p>
        </w:tc>
        <w:tc>
          <w:tcPr>
            <w:tcW w:w="757"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1926" w:type="pct"/>
            <w:shd w:val="clear" w:color="auto" w:fill="FFFFFF"/>
          </w:tcPr>
          <w:p w:rsidR="00E36C8E" w:rsidRPr="00177118" w:rsidRDefault="00E36C8E" w:rsidP="00BD4391">
            <w:pPr>
              <w:pStyle w:val="h"/>
            </w:pPr>
            <w:r w:rsidRPr="00177118">
              <w:t>Le Pharisien et le publicain</w:t>
            </w:r>
            <w:r>
              <w:t xml:space="preserve"> </w:t>
            </w:r>
          </w:p>
        </w:tc>
        <w:tc>
          <w:tcPr>
            <w:tcW w:w="775" w:type="pct"/>
            <w:shd w:val="clear" w:color="auto" w:fill="FFFFFF"/>
          </w:tcPr>
          <w:p w:rsidR="00E36C8E" w:rsidRPr="00D709E6" w:rsidRDefault="00E36C8E" w:rsidP="00BD4391">
            <w:pPr>
              <w:pStyle w:val="centrum"/>
            </w:pPr>
            <w:r w:rsidRPr="00D709E6">
              <w:t xml:space="preserve"> »</w:t>
            </w:r>
          </w:p>
        </w:tc>
        <w:tc>
          <w:tcPr>
            <w:tcW w:w="559" w:type="pct"/>
            <w:shd w:val="clear" w:color="auto" w:fill="FFFFFF"/>
          </w:tcPr>
          <w:p w:rsidR="00E36C8E" w:rsidRPr="00D709E6" w:rsidRDefault="00E36C8E" w:rsidP="00BD4391">
            <w:pPr>
              <w:pStyle w:val="centrum"/>
            </w:pPr>
            <w:r w:rsidRPr="00D709E6">
              <w:t xml:space="preserve"> »</w:t>
            </w:r>
          </w:p>
        </w:tc>
        <w:tc>
          <w:tcPr>
            <w:tcW w:w="983" w:type="pct"/>
            <w:shd w:val="clear" w:color="auto" w:fill="FFFFFF"/>
          </w:tcPr>
          <w:p w:rsidR="00E36C8E" w:rsidRPr="00D709E6" w:rsidRDefault="00E36C8E" w:rsidP="00BD4391">
            <w:pPr>
              <w:pStyle w:val="nsr"/>
            </w:pPr>
            <w:r>
              <w:t>XVIII, 9</w:t>
            </w:r>
            <w:r w:rsidRPr="00D709E6">
              <w:t>-14.</w:t>
            </w:r>
          </w:p>
        </w:tc>
        <w:tc>
          <w:tcPr>
            <w:tcW w:w="757"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1926" w:type="pct"/>
            <w:shd w:val="clear" w:color="auto" w:fill="FFFFFF"/>
          </w:tcPr>
          <w:p w:rsidR="00E36C8E" w:rsidRPr="00177118" w:rsidRDefault="00E36C8E" w:rsidP="00BD4391">
            <w:pPr>
              <w:pStyle w:val="h"/>
            </w:pPr>
            <w:r>
              <w:t>Jésus bénit les petits enfants</w:t>
            </w:r>
          </w:p>
        </w:tc>
        <w:tc>
          <w:tcPr>
            <w:tcW w:w="775" w:type="pct"/>
            <w:shd w:val="clear" w:color="auto" w:fill="FFFFFF"/>
          </w:tcPr>
          <w:p w:rsidR="00E36C8E" w:rsidRPr="00D709E6" w:rsidRDefault="00E36C8E" w:rsidP="00BD4391">
            <w:pPr>
              <w:pStyle w:val="nsr"/>
            </w:pPr>
            <w:r w:rsidRPr="00D709E6">
              <w:t>XIX, 13-15.</w:t>
            </w:r>
          </w:p>
        </w:tc>
        <w:tc>
          <w:tcPr>
            <w:tcW w:w="559" w:type="pct"/>
            <w:shd w:val="clear" w:color="auto" w:fill="FFFFFF"/>
          </w:tcPr>
          <w:p w:rsidR="00E36C8E" w:rsidRPr="00D709E6" w:rsidRDefault="00E36C8E" w:rsidP="00BD4391">
            <w:pPr>
              <w:pStyle w:val="nsr"/>
            </w:pPr>
            <w:r w:rsidRPr="00D709E6">
              <w:t>X, 13 16.</w:t>
            </w:r>
          </w:p>
        </w:tc>
        <w:tc>
          <w:tcPr>
            <w:tcW w:w="983" w:type="pct"/>
            <w:shd w:val="clear" w:color="auto" w:fill="FFFFFF"/>
          </w:tcPr>
          <w:p w:rsidR="00E36C8E" w:rsidRPr="00D709E6" w:rsidRDefault="00E36C8E" w:rsidP="00BD4391">
            <w:pPr>
              <w:pStyle w:val="nsr"/>
            </w:pPr>
            <w:r w:rsidRPr="00D709E6">
              <w:t>XV</w:t>
            </w:r>
            <w:r>
              <w:t>III, 15-1</w:t>
            </w:r>
            <w:r w:rsidRPr="00D709E6">
              <w:t>7.</w:t>
            </w:r>
          </w:p>
        </w:tc>
        <w:tc>
          <w:tcPr>
            <w:tcW w:w="757"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1926" w:type="pct"/>
            <w:shd w:val="clear" w:color="auto" w:fill="FFFFFF"/>
          </w:tcPr>
          <w:p w:rsidR="00E36C8E" w:rsidRPr="00177118" w:rsidRDefault="00E36C8E" w:rsidP="00BD4391">
            <w:pPr>
              <w:pStyle w:val="h"/>
            </w:pPr>
            <w:r>
              <w:t xml:space="preserve">Le jeune homme riche </w:t>
            </w:r>
          </w:p>
        </w:tc>
        <w:tc>
          <w:tcPr>
            <w:tcW w:w="775" w:type="pct"/>
            <w:shd w:val="clear" w:color="auto" w:fill="FFFFFF"/>
          </w:tcPr>
          <w:p w:rsidR="00E36C8E" w:rsidRPr="00D709E6" w:rsidRDefault="00E36C8E" w:rsidP="00BD4391">
            <w:pPr>
              <w:pStyle w:val="nsr"/>
            </w:pPr>
            <w:r w:rsidRPr="00D709E6">
              <w:t>XIX, 16-30.</w:t>
            </w:r>
          </w:p>
        </w:tc>
        <w:tc>
          <w:tcPr>
            <w:tcW w:w="559" w:type="pct"/>
            <w:shd w:val="clear" w:color="auto" w:fill="FFFFFF"/>
          </w:tcPr>
          <w:p w:rsidR="00E36C8E" w:rsidRPr="00D709E6" w:rsidRDefault="00E36C8E" w:rsidP="00BD4391">
            <w:pPr>
              <w:pStyle w:val="nsr"/>
            </w:pPr>
            <w:r w:rsidRPr="00D709E6">
              <w:t>X, 17-31.</w:t>
            </w:r>
          </w:p>
        </w:tc>
        <w:tc>
          <w:tcPr>
            <w:tcW w:w="983" w:type="pct"/>
            <w:shd w:val="clear" w:color="auto" w:fill="FFFFFF"/>
          </w:tcPr>
          <w:p w:rsidR="00E36C8E" w:rsidRPr="00D709E6" w:rsidRDefault="00E36C8E" w:rsidP="00BD4391">
            <w:pPr>
              <w:pStyle w:val="nsr"/>
            </w:pPr>
            <w:r>
              <w:t>XVIII</w:t>
            </w:r>
            <w:r w:rsidRPr="00D709E6">
              <w:t>, 18-30.</w:t>
            </w:r>
          </w:p>
        </w:tc>
        <w:tc>
          <w:tcPr>
            <w:tcW w:w="757"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1926" w:type="pct"/>
            <w:shd w:val="clear" w:color="auto" w:fill="FFFFFF"/>
          </w:tcPr>
          <w:p w:rsidR="00E36C8E" w:rsidRPr="00177118" w:rsidRDefault="00E36C8E" w:rsidP="00BD4391">
            <w:pPr>
              <w:pStyle w:val="h"/>
            </w:pPr>
            <w:r w:rsidRPr="00177118">
              <w:t>Les ouvriers de la vigne</w:t>
            </w:r>
            <w:r>
              <w:t xml:space="preserve"> </w:t>
            </w:r>
          </w:p>
        </w:tc>
        <w:tc>
          <w:tcPr>
            <w:tcW w:w="775" w:type="pct"/>
            <w:shd w:val="clear" w:color="auto" w:fill="FFFFFF"/>
          </w:tcPr>
          <w:p w:rsidR="00E36C8E" w:rsidRPr="00D709E6" w:rsidRDefault="00E36C8E" w:rsidP="00BD4391">
            <w:pPr>
              <w:pStyle w:val="nsr"/>
            </w:pPr>
            <w:r w:rsidRPr="00D709E6">
              <w:t>XX, 1-16.</w:t>
            </w:r>
          </w:p>
        </w:tc>
        <w:tc>
          <w:tcPr>
            <w:tcW w:w="559" w:type="pct"/>
            <w:shd w:val="clear" w:color="auto" w:fill="FFFFFF"/>
          </w:tcPr>
          <w:p w:rsidR="00E36C8E" w:rsidRPr="00D709E6" w:rsidRDefault="00E36C8E" w:rsidP="00BD4391">
            <w:pPr>
              <w:pStyle w:val="centrum"/>
            </w:pPr>
            <w:r w:rsidRPr="00D709E6">
              <w:t xml:space="preserve"> »</w:t>
            </w:r>
          </w:p>
        </w:tc>
        <w:tc>
          <w:tcPr>
            <w:tcW w:w="983" w:type="pct"/>
            <w:shd w:val="clear" w:color="auto" w:fill="FFFFFF"/>
          </w:tcPr>
          <w:p w:rsidR="00E36C8E" w:rsidRPr="00D709E6" w:rsidRDefault="00E36C8E" w:rsidP="00BD4391">
            <w:pPr>
              <w:pStyle w:val="centrum"/>
            </w:pPr>
            <w:r w:rsidRPr="00D709E6">
              <w:t xml:space="preserve"> »</w:t>
            </w:r>
          </w:p>
        </w:tc>
        <w:tc>
          <w:tcPr>
            <w:tcW w:w="757" w:type="pct"/>
            <w:shd w:val="clear" w:color="auto" w:fill="FFFFFF"/>
          </w:tcPr>
          <w:p w:rsidR="00E36C8E" w:rsidRPr="00D709E6" w:rsidRDefault="00E36C8E" w:rsidP="00BD4391">
            <w:pPr>
              <w:pStyle w:val="centrum"/>
            </w:pPr>
            <w:r w:rsidRPr="00D709E6">
              <w:t xml:space="preserve"> »</w:t>
            </w:r>
          </w:p>
        </w:tc>
      </w:tr>
    </w:tbl>
    <w:p w:rsidR="00E36C8E" w:rsidRPr="00123C9C" w:rsidRDefault="00E36C8E" w:rsidP="00E36C8E">
      <w:pPr>
        <w:pStyle w:val="u3"/>
      </w:pPr>
      <w:r w:rsidRPr="00123C9C">
        <w:t xml:space="preserve">§ </w:t>
      </w:r>
      <w:r w:rsidR="00A319EA">
        <w:t>VI</w:t>
      </w:r>
      <w:r w:rsidRPr="00123C9C">
        <w:t>. — De la fêle de la Dédicace à l</w:t>
      </w:r>
      <w:r w:rsidR="00557DE0">
        <w:t>’</w:t>
      </w:r>
      <w:r>
        <w:t>entré</w:t>
      </w:r>
      <w:r w:rsidRPr="00123C9C">
        <w:t xml:space="preserve">e triomphale de Jésus à Jérusalem </w:t>
      </w:r>
    </w:p>
    <w:p w:rsidR="00E36C8E" w:rsidRPr="00123C9C" w:rsidRDefault="00E36C8E" w:rsidP="00E36C8E">
      <w:pPr>
        <w:pStyle w:val="nsr"/>
      </w:pPr>
      <w:r w:rsidRPr="00123C9C">
        <w:t>(décembre 782 à avril 783 ; 25-30 de l</w:t>
      </w:r>
      <w:r w:rsidR="00557DE0">
        <w:t>’</w:t>
      </w:r>
      <w:r w:rsidRPr="00123C9C">
        <w:t>ère vulgaire).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3983"/>
        <w:gridCol w:w="1444"/>
        <w:gridCol w:w="1482"/>
        <w:gridCol w:w="1412"/>
        <w:gridCol w:w="2169"/>
      </w:tblGrid>
      <w:tr w:rsidR="00E36C8E" w:rsidRPr="00177118" w:rsidTr="00BD4391">
        <w:trPr>
          <w:cantSplit/>
          <w:trHeight w:val="20"/>
        </w:trPr>
        <w:tc>
          <w:tcPr>
            <w:tcW w:w="1898" w:type="pct"/>
            <w:shd w:val="clear" w:color="auto" w:fill="FFFFFF"/>
          </w:tcPr>
          <w:p w:rsidR="00E36C8E" w:rsidRPr="00177118" w:rsidRDefault="00E36C8E" w:rsidP="00BD4391">
            <w:pPr>
              <w:pStyle w:val="h"/>
            </w:pPr>
            <w:r w:rsidRPr="00177118">
              <w:t>Fêle de la Dédicace</w:t>
            </w:r>
            <w:r>
              <w:t xml:space="preserve"> </w:t>
            </w:r>
          </w:p>
        </w:tc>
        <w:tc>
          <w:tcPr>
            <w:tcW w:w="688" w:type="pct"/>
            <w:shd w:val="clear" w:color="auto" w:fill="FFFFFF"/>
          </w:tcPr>
          <w:p w:rsidR="00E36C8E" w:rsidRDefault="001B4203" w:rsidP="00BD4391">
            <w:pPr>
              <w:pStyle w:val="centrum"/>
            </w:pPr>
            <w:r>
              <w:t xml:space="preserve"> </w:t>
            </w:r>
            <w:r w:rsidR="00E36C8E" w:rsidRPr="00585ADF">
              <w:t>»</w:t>
            </w:r>
          </w:p>
        </w:tc>
        <w:tc>
          <w:tcPr>
            <w:tcW w:w="706" w:type="pct"/>
            <w:shd w:val="clear" w:color="auto" w:fill="FFFFFF"/>
          </w:tcPr>
          <w:p w:rsidR="00E36C8E" w:rsidRDefault="001B4203" w:rsidP="00BD4391">
            <w:pPr>
              <w:pStyle w:val="centrum"/>
            </w:pPr>
            <w:r>
              <w:t xml:space="preserve"> </w:t>
            </w:r>
            <w:r w:rsidR="00E36C8E" w:rsidRPr="00585ADF">
              <w:t>»</w:t>
            </w:r>
          </w:p>
        </w:tc>
        <w:tc>
          <w:tcPr>
            <w:tcW w:w="673" w:type="pct"/>
            <w:shd w:val="clear" w:color="auto" w:fill="FFFFFF"/>
          </w:tcPr>
          <w:p w:rsidR="00E36C8E" w:rsidRDefault="001B4203" w:rsidP="00BD4391">
            <w:pPr>
              <w:pStyle w:val="centrum"/>
            </w:pPr>
            <w:r>
              <w:t xml:space="preserve"> </w:t>
            </w:r>
            <w:r w:rsidR="00E36C8E" w:rsidRPr="00585ADF">
              <w:t>»</w:t>
            </w:r>
          </w:p>
        </w:tc>
        <w:tc>
          <w:tcPr>
            <w:tcW w:w="1034" w:type="pct"/>
            <w:shd w:val="clear" w:color="auto" w:fill="FFFFFF"/>
          </w:tcPr>
          <w:p w:rsidR="00E36C8E" w:rsidRPr="00D709E6" w:rsidRDefault="00E36C8E" w:rsidP="00BD4391">
            <w:pPr>
              <w:pStyle w:val="nsr"/>
            </w:pPr>
            <w:r w:rsidRPr="00D709E6">
              <w:t xml:space="preserve">X, 22-30, </w:t>
            </w:r>
          </w:p>
        </w:tc>
      </w:tr>
      <w:tr w:rsidR="00E36C8E" w:rsidRPr="00177118" w:rsidTr="00BD4391">
        <w:trPr>
          <w:cantSplit/>
          <w:trHeight w:val="20"/>
        </w:trPr>
        <w:tc>
          <w:tcPr>
            <w:tcW w:w="1898" w:type="pct"/>
            <w:shd w:val="clear" w:color="auto" w:fill="FFFFFF"/>
          </w:tcPr>
          <w:p w:rsidR="00E36C8E" w:rsidRPr="00177118" w:rsidRDefault="00E36C8E" w:rsidP="00BD4391">
            <w:pPr>
              <w:pStyle w:val="h"/>
            </w:pPr>
            <w:r>
              <w:t>Second séjour de Jésus en Jud</w:t>
            </w:r>
            <w:r w:rsidRPr="00177118">
              <w:t>ée</w:t>
            </w:r>
            <w:r>
              <w:t xml:space="preserve"> </w:t>
            </w:r>
          </w:p>
        </w:tc>
        <w:tc>
          <w:tcPr>
            <w:tcW w:w="688" w:type="pct"/>
            <w:shd w:val="clear" w:color="auto" w:fill="FFFFFF"/>
          </w:tcPr>
          <w:p w:rsidR="00E36C8E" w:rsidRDefault="001B4203" w:rsidP="00BD4391">
            <w:pPr>
              <w:pStyle w:val="centrum"/>
            </w:pPr>
            <w:r>
              <w:t xml:space="preserve"> </w:t>
            </w:r>
            <w:r w:rsidR="00E36C8E" w:rsidRPr="00585ADF">
              <w:t>»</w:t>
            </w:r>
          </w:p>
        </w:tc>
        <w:tc>
          <w:tcPr>
            <w:tcW w:w="706" w:type="pct"/>
            <w:shd w:val="clear" w:color="auto" w:fill="FFFFFF"/>
          </w:tcPr>
          <w:p w:rsidR="00E36C8E" w:rsidRDefault="001B4203" w:rsidP="00BD4391">
            <w:pPr>
              <w:pStyle w:val="centrum"/>
            </w:pPr>
            <w:r>
              <w:t xml:space="preserve"> </w:t>
            </w:r>
            <w:r w:rsidR="00E36C8E" w:rsidRPr="00585ADF">
              <w:t>»</w:t>
            </w:r>
          </w:p>
        </w:tc>
        <w:tc>
          <w:tcPr>
            <w:tcW w:w="673" w:type="pct"/>
            <w:shd w:val="clear" w:color="auto" w:fill="FFFFFF"/>
          </w:tcPr>
          <w:p w:rsidR="00E36C8E" w:rsidRDefault="001B4203" w:rsidP="00BD4391">
            <w:pPr>
              <w:pStyle w:val="centrum"/>
            </w:pPr>
            <w:r>
              <w:t xml:space="preserve"> </w:t>
            </w:r>
            <w:r w:rsidR="00E36C8E" w:rsidRPr="00585ADF">
              <w:t>»</w:t>
            </w:r>
          </w:p>
        </w:tc>
        <w:tc>
          <w:tcPr>
            <w:tcW w:w="1034" w:type="pct"/>
            <w:shd w:val="clear" w:color="auto" w:fill="FFFFFF"/>
          </w:tcPr>
          <w:p w:rsidR="00E36C8E" w:rsidRPr="00D709E6" w:rsidRDefault="00E36C8E" w:rsidP="00BD4391">
            <w:pPr>
              <w:pStyle w:val="nsr"/>
            </w:pPr>
            <w:r w:rsidRPr="00D709E6">
              <w:t>X, 40-42.</w:t>
            </w:r>
          </w:p>
        </w:tc>
      </w:tr>
      <w:tr w:rsidR="00E36C8E" w:rsidRPr="00177118" w:rsidTr="00BD4391">
        <w:trPr>
          <w:cantSplit/>
          <w:trHeight w:val="20"/>
        </w:trPr>
        <w:tc>
          <w:tcPr>
            <w:tcW w:w="1898" w:type="pct"/>
            <w:shd w:val="clear" w:color="auto" w:fill="FFFFFF"/>
          </w:tcPr>
          <w:p w:rsidR="00E36C8E" w:rsidRPr="00177118" w:rsidRDefault="00E36C8E" w:rsidP="00BD4391">
            <w:pPr>
              <w:pStyle w:val="h"/>
            </w:pPr>
            <w:r w:rsidRPr="00177118">
              <w:t>Résurrection de Lazare</w:t>
            </w:r>
            <w:r>
              <w:t xml:space="preserve"> </w:t>
            </w:r>
          </w:p>
        </w:tc>
        <w:tc>
          <w:tcPr>
            <w:tcW w:w="688" w:type="pct"/>
            <w:shd w:val="clear" w:color="auto" w:fill="FFFFFF"/>
          </w:tcPr>
          <w:p w:rsidR="00E36C8E" w:rsidRDefault="001B4203" w:rsidP="00BD4391">
            <w:pPr>
              <w:pStyle w:val="centrum"/>
            </w:pPr>
            <w:r>
              <w:t xml:space="preserve"> </w:t>
            </w:r>
            <w:r w:rsidR="00E36C8E" w:rsidRPr="00585ADF">
              <w:t>»</w:t>
            </w:r>
          </w:p>
        </w:tc>
        <w:tc>
          <w:tcPr>
            <w:tcW w:w="706" w:type="pct"/>
            <w:shd w:val="clear" w:color="auto" w:fill="FFFFFF"/>
          </w:tcPr>
          <w:p w:rsidR="00E36C8E" w:rsidRDefault="001B4203" w:rsidP="00BD4391">
            <w:pPr>
              <w:pStyle w:val="centrum"/>
            </w:pPr>
            <w:r>
              <w:t xml:space="preserve"> </w:t>
            </w:r>
            <w:r w:rsidR="00E36C8E" w:rsidRPr="00585ADF">
              <w:t>»</w:t>
            </w:r>
          </w:p>
        </w:tc>
        <w:tc>
          <w:tcPr>
            <w:tcW w:w="673" w:type="pct"/>
            <w:shd w:val="clear" w:color="auto" w:fill="FFFFFF"/>
          </w:tcPr>
          <w:p w:rsidR="00E36C8E" w:rsidRDefault="001B4203" w:rsidP="00BD4391">
            <w:pPr>
              <w:pStyle w:val="centrum"/>
            </w:pPr>
            <w:r>
              <w:t xml:space="preserve"> </w:t>
            </w:r>
            <w:r w:rsidR="00E36C8E" w:rsidRPr="00585ADF">
              <w:t>»</w:t>
            </w:r>
          </w:p>
        </w:tc>
        <w:tc>
          <w:tcPr>
            <w:tcW w:w="1034" w:type="pct"/>
            <w:shd w:val="clear" w:color="auto" w:fill="FFFFFF"/>
          </w:tcPr>
          <w:p w:rsidR="00E36C8E" w:rsidRPr="00D709E6" w:rsidRDefault="00E36C8E" w:rsidP="00BD4391">
            <w:pPr>
              <w:pStyle w:val="nsr"/>
            </w:pPr>
            <w:r w:rsidRPr="00D709E6">
              <w:t>XI, 1-46.</w:t>
            </w:r>
          </w:p>
        </w:tc>
      </w:tr>
      <w:tr w:rsidR="00E36C8E" w:rsidRPr="00177118" w:rsidTr="00BD4391">
        <w:trPr>
          <w:cantSplit/>
          <w:trHeight w:val="20"/>
        </w:trPr>
        <w:tc>
          <w:tcPr>
            <w:tcW w:w="1898" w:type="pct"/>
            <w:shd w:val="clear" w:color="auto" w:fill="FFFFFF"/>
          </w:tcPr>
          <w:p w:rsidR="00E36C8E" w:rsidRPr="00177118" w:rsidRDefault="00E36C8E" w:rsidP="00BD4391">
            <w:pPr>
              <w:pStyle w:val="h"/>
            </w:pPr>
            <w:r w:rsidRPr="00177118">
              <w:t>Colère des hiérarques</w:t>
            </w:r>
            <w:r>
              <w:t> ;</w:t>
            </w:r>
            <w:r w:rsidRPr="00177118">
              <w:t xml:space="preserve"> Jésus se retire à Ephrém</w:t>
            </w:r>
          </w:p>
        </w:tc>
        <w:tc>
          <w:tcPr>
            <w:tcW w:w="688" w:type="pct"/>
            <w:shd w:val="clear" w:color="auto" w:fill="FFFFFF"/>
          </w:tcPr>
          <w:p w:rsidR="00E36C8E" w:rsidRDefault="001B4203" w:rsidP="00BD4391">
            <w:pPr>
              <w:pStyle w:val="centrum"/>
            </w:pPr>
            <w:r>
              <w:t xml:space="preserve"> </w:t>
            </w:r>
            <w:r w:rsidR="00E36C8E" w:rsidRPr="00585ADF">
              <w:t>»</w:t>
            </w:r>
          </w:p>
        </w:tc>
        <w:tc>
          <w:tcPr>
            <w:tcW w:w="706" w:type="pct"/>
            <w:shd w:val="clear" w:color="auto" w:fill="FFFFFF"/>
          </w:tcPr>
          <w:p w:rsidR="00E36C8E" w:rsidRDefault="001B4203" w:rsidP="00BD4391">
            <w:pPr>
              <w:pStyle w:val="centrum"/>
            </w:pPr>
            <w:r>
              <w:t xml:space="preserve"> </w:t>
            </w:r>
            <w:r w:rsidR="00E36C8E" w:rsidRPr="00585ADF">
              <w:t>»</w:t>
            </w:r>
          </w:p>
        </w:tc>
        <w:tc>
          <w:tcPr>
            <w:tcW w:w="673" w:type="pct"/>
            <w:shd w:val="clear" w:color="auto" w:fill="FFFFFF"/>
          </w:tcPr>
          <w:p w:rsidR="00E36C8E" w:rsidRDefault="001B4203" w:rsidP="00BD4391">
            <w:pPr>
              <w:pStyle w:val="centrum"/>
            </w:pPr>
            <w:r>
              <w:t xml:space="preserve"> </w:t>
            </w:r>
            <w:r w:rsidR="00E36C8E" w:rsidRPr="00585ADF">
              <w:t>»</w:t>
            </w:r>
          </w:p>
        </w:tc>
        <w:tc>
          <w:tcPr>
            <w:tcW w:w="1034" w:type="pct"/>
            <w:shd w:val="clear" w:color="auto" w:fill="FFFFFF"/>
          </w:tcPr>
          <w:p w:rsidR="00E36C8E" w:rsidRPr="00D709E6" w:rsidRDefault="00E36C8E" w:rsidP="00BD4391">
            <w:pPr>
              <w:pStyle w:val="nsr"/>
            </w:pPr>
            <w:r w:rsidRPr="00D709E6">
              <w:t xml:space="preserve">XI, </w:t>
            </w:r>
            <w:r>
              <w:t>47-56.</w:t>
            </w:r>
          </w:p>
        </w:tc>
      </w:tr>
      <w:tr w:rsidR="00E36C8E" w:rsidRPr="00177118" w:rsidTr="00BD4391">
        <w:trPr>
          <w:cantSplit/>
          <w:trHeight w:val="20"/>
        </w:trPr>
        <w:tc>
          <w:tcPr>
            <w:tcW w:w="1898" w:type="pct"/>
            <w:shd w:val="clear" w:color="auto" w:fill="FFFFFF"/>
          </w:tcPr>
          <w:p w:rsidR="00E36C8E" w:rsidRPr="00177118" w:rsidRDefault="00E36C8E" w:rsidP="00BD4391">
            <w:pPr>
              <w:pStyle w:val="h"/>
            </w:pPr>
            <w:r w:rsidRPr="00177118">
              <w:t>Nouvelle prédiction de la Passion</w:t>
            </w:r>
            <w:r>
              <w:t xml:space="preserve"> </w:t>
            </w:r>
          </w:p>
        </w:tc>
        <w:tc>
          <w:tcPr>
            <w:tcW w:w="688" w:type="pct"/>
            <w:shd w:val="clear" w:color="auto" w:fill="FFFFFF"/>
          </w:tcPr>
          <w:p w:rsidR="00E36C8E" w:rsidRPr="00D709E6" w:rsidRDefault="00E36C8E" w:rsidP="00BD4391">
            <w:pPr>
              <w:pStyle w:val="nsr"/>
            </w:pPr>
            <w:r w:rsidRPr="00D709E6">
              <w:t>XX, 17-19.</w:t>
            </w:r>
          </w:p>
        </w:tc>
        <w:tc>
          <w:tcPr>
            <w:tcW w:w="706" w:type="pct"/>
            <w:shd w:val="clear" w:color="auto" w:fill="FFFFFF"/>
          </w:tcPr>
          <w:p w:rsidR="00E36C8E" w:rsidRPr="00D709E6" w:rsidRDefault="00E36C8E" w:rsidP="00BD4391">
            <w:pPr>
              <w:pStyle w:val="nsr"/>
            </w:pPr>
            <w:r w:rsidRPr="00D709E6">
              <w:t>X, 32-34.</w:t>
            </w:r>
          </w:p>
        </w:tc>
        <w:tc>
          <w:tcPr>
            <w:tcW w:w="673" w:type="pct"/>
            <w:shd w:val="clear" w:color="auto" w:fill="FFFFFF"/>
          </w:tcPr>
          <w:p w:rsidR="00E36C8E" w:rsidRPr="00D709E6" w:rsidRDefault="00E36C8E" w:rsidP="00BD4391">
            <w:pPr>
              <w:pStyle w:val="nsr"/>
            </w:pPr>
            <w:r w:rsidRPr="00D709E6">
              <w:t>XVIII, 31-34.</w:t>
            </w:r>
          </w:p>
        </w:tc>
        <w:tc>
          <w:tcPr>
            <w:tcW w:w="1034"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1898" w:type="pct"/>
            <w:shd w:val="clear" w:color="auto" w:fill="FFFFFF"/>
          </w:tcPr>
          <w:p w:rsidR="00E36C8E" w:rsidRPr="00177118" w:rsidRDefault="00E36C8E" w:rsidP="00BD4391">
            <w:pPr>
              <w:pStyle w:val="h"/>
            </w:pPr>
            <w:r>
              <w:t xml:space="preserve">Les fils de Zébédée et leur mère </w:t>
            </w:r>
          </w:p>
        </w:tc>
        <w:tc>
          <w:tcPr>
            <w:tcW w:w="688" w:type="pct"/>
            <w:shd w:val="clear" w:color="auto" w:fill="FFFFFF"/>
          </w:tcPr>
          <w:p w:rsidR="00E36C8E" w:rsidRPr="00D709E6" w:rsidRDefault="00E36C8E" w:rsidP="00BD4391">
            <w:pPr>
              <w:pStyle w:val="nsr"/>
            </w:pPr>
            <w:r w:rsidRPr="00D709E6">
              <w:t>XX, 20-28.</w:t>
            </w:r>
          </w:p>
        </w:tc>
        <w:tc>
          <w:tcPr>
            <w:tcW w:w="706" w:type="pct"/>
            <w:shd w:val="clear" w:color="auto" w:fill="FFFFFF"/>
          </w:tcPr>
          <w:p w:rsidR="00E36C8E" w:rsidRPr="00D709E6" w:rsidRDefault="00E36C8E" w:rsidP="00BD4391">
            <w:pPr>
              <w:pStyle w:val="nsr"/>
            </w:pPr>
            <w:r w:rsidRPr="00D709E6">
              <w:t>X, 35-45.</w:t>
            </w:r>
          </w:p>
        </w:tc>
        <w:tc>
          <w:tcPr>
            <w:tcW w:w="673" w:type="pct"/>
            <w:shd w:val="clear" w:color="auto" w:fill="FFFFFF"/>
          </w:tcPr>
          <w:p w:rsidR="00E36C8E" w:rsidRPr="00D709E6" w:rsidRDefault="00E36C8E" w:rsidP="00BD4391">
            <w:pPr>
              <w:pStyle w:val="centrum"/>
            </w:pPr>
            <w:r w:rsidRPr="00D709E6">
              <w:t xml:space="preserve"> »</w:t>
            </w:r>
          </w:p>
        </w:tc>
        <w:tc>
          <w:tcPr>
            <w:tcW w:w="1034" w:type="pct"/>
            <w:shd w:val="clear" w:color="auto" w:fill="FFFFFF"/>
          </w:tcPr>
          <w:p w:rsidR="00E36C8E" w:rsidRPr="00D709E6" w:rsidRDefault="001B4203" w:rsidP="00BD4391">
            <w:pPr>
              <w:pStyle w:val="centrum"/>
            </w:pPr>
            <w:r>
              <w:t xml:space="preserve"> </w:t>
            </w:r>
            <w:r w:rsidR="00E36C8E" w:rsidRPr="00D709E6">
              <w:t>»</w:t>
            </w:r>
          </w:p>
        </w:tc>
      </w:tr>
      <w:tr w:rsidR="00E36C8E" w:rsidRPr="00177118" w:rsidTr="00BD4391">
        <w:trPr>
          <w:cantSplit/>
          <w:trHeight w:val="20"/>
        </w:trPr>
        <w:tc>
          <w:tcPr>
            <w:tcW w:w="1898" w:type="pct"/>
            <w:shd w:val="clear" w:color="auto" w:fill="FFFFFF"/>
          </w:tcPr>
          <w:p w:rsidR="00E36C8E" w:rsidRPr="00177118" w:rsidRDefault="00E36C8E" w:rsidP="00BD4391">
            <w:pPr>
              <w:pStyle w:val="h"/>
            </w:pPr>
            <w:r w:rsidRPr="00177118">
              <w:t>Les aveugles de Jéricho</w:t>
            </w:r>
            <w:r>
              <w:t xml:space="preserve"> </w:t>
            </w:r>
          </w:p>
        </w:tc>
        <w:tc>
          <w:tcPr>
            <w:tcW w:w="688" w:type="pct"/>
            <w:shd w:val="clear" w:color="auto" w:fill="FFFFFF"/>
          </w:tcPr>
          <w:p w:rsidR="00E36C8E" w:rsidRPr="00D709E6" w:rsidRDefault="00E36C8E" w:rsidP="00BD4391">
            <w:pPr>
              <w:pStyle w:val="nsr"/>
            </w:pPr>
            <w:r w:rsidRPr="00D709E6">
              <w:t>XX, 29-34.</w:t>
            </w:r>
          </w:p>
        </w:tc>
        <w:tc>
          <w:tcPr>
            <w:tcW w:w="706" w:type="pct"/>
            <w:shd w:val="clear" w:color="auto" w:fill="FFFFFF"/>
          </w:tcPr>
          <w:p w:rsidR="00E36C8E" w:rsidRPr="00D709E6" w:rsidRDefault="00E36C8E" w:rsidP="00BD4391">
            <w:pPr>
              <w:pStyle w:val="nsr"/>
            </w:pPr>
            <w:r w:rsidRPr="00D709E6">
              <w:t xml:space="preserve">X, </w:t>
            </w:r>
            <w:r>
              <w:t>46</w:t>
            </w:r>
            <w:r w:rsidRPr="00D709E6">
              <w:t>-52</w:t>
            </w:r>
          </w:p>
        </w:tc>
        <w:tc>
          <w:tcPr>
            <w:tcW w:w="673" w:type="pct"/>
            <w:shd w:val="clear" w:color="auto" w:fill="FFFFFF"/>
          </w:tcPr>
          <w:p w:rsidR="00E36C8E" w:rsidRPr="00D709E6" w:rsidRDefault="00E36C8E" w:rsidP="00BD4391">
            <w:pPr>
              <w:pStyle w:val="nsr"/>
            </w:pPr>
            <w:r>
              <w:t>XV</w:t>
            </w:r>
            <w:r w:rsidRPr="00D709E6">
              <w:t>III, 35-43.</w:t>
            </w:r>
          </w:p>
        </w:tc>
        <w:tc>
          <w:tcPr>
            <w:tcW w:w="1034"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1898" w:type="pct"/>
            <w:shd w:val="clear" w:color="auto" w:fill="FFFFFF"/>
          </w:tcPr>
          <w:p w:rsidR="00E36C8E" w:rsidRPr="00177118" w:rsidRDefault="00E36C8E" w:rsidP="00BD4391">
            <w:pPr>
              <w:pStyle w:val="h"/>
            </w:pPr>
            <w:r w:rsidRPr="00177118">
              <w:t>Zachée.</w:t>
            </w:r>
            <w:r>
              <w:t xml:space="preserve"> </w:t>
            </w:r>
          </w:p>
        </w:tc>
        <w:tc>
          <w:tcPr>
            <w:tcW w:w="688" w:type="pct"/>
            <w:shd w:val="clear" w:color="auto" w:fill="FFFFFF"/>
          </w:tcPr>
          <w:p w:rsidR="00E36C8E" w:rsidRPr="00D709E6" w:rsidRDefault="001B4203" w:rsidP="00BD4391">
            <w:pPr>
              <w:pStyle w:val="centrum"/>
            </w:pPr>
            <w:r>
              <w:t xml:space="preserve"> </w:t>
            </w:r>
            <w:r w:rsidR="00E36C8E" w:rsidRPr="00D709E6">
              <w:t>»</w:t>
            </w:r>
          </w:p>
        </w:tc>
        <w:tc>
          <w:tcPr>
            <w:tcW w:w="706" w:type="pct"/>
            <w:shd w:val="clear" w:color="auto" w:fill="FFFFFF"/>
          </w:tcPr>
          <w:p w:rsidR="00E36C8E" w:rsidRPr="00D709E6" w:rsidRDefault="00E36C8E" w:rsidP="00BD4391">
            <w:pPr>
              <w:pStyle w:val="centrum"/>
            </w:pPr>
            <w:r w:rsidRPr="00D709E6">
              <w:t xml:space="preserve"> »</w:t>
            </w:r>
          </w:p>
        </w:tc>
        <w:tc>
          <w:tcPr>
            <w:tcW w:w="673" w:type="pct"/>
            <w:shd w:val="clear" w:color="auto" w:fill="FFFFFF"/>
          </w:tcPr>
          <w:p w:rsidR="00E36C8E" w:rsidRPr="00D709E6" w:rsidRDefault="00E36C8E" w:rsidP="00BD4391">
            <w:pPr>
              <w:pStyle w:val="nsr"/>
            </w:pPr>
            <w:r>
              <w:t>XX</w:t>
            </w:r>
            <w:r w:rsidRPr="00D709E6">
              <w:t>, 1-10.</w:t>
            </w:r>
          </w:p>
        </w:tc>
        <w:tc>
          <w:tcPr>
            <w:tcW w:w="1034"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1898" w:type="pct"/>
            <w:shd w:val="clear" w:color="auto" w:fill="FFFFFF"/>
          </w:tcPr>
          <w:p w:rsidR="00E36C8E" w:rsidRPr="00177118" w:rsidRDefault="00E36C8E" w:rsidP="00BD4391">
            <w:pPr>
              <w:pStyle w:val="h"/>
            </w:pPr>
            <w:r w:rsidRPr="00177118">
              <w:t>Parabole des mines</w:t>
            </w:r>
            <w:r>
              <w:t xml:space="preserve"> </w:t>
            </w:r>
          </w:p>
        </w:tc>
        <w:tc>
          <w:tcPr>
            <w:tcW w:w="688" w:type="pct"/>
            <w:shd w:val="clear" w:color="auto" w:fill="FFFFFF"/>
          </w:tcPr>
          <w:p w:rsidR="00E36C8E" w:rsidRPr="00D709E6" w:rsidRDefault="00E36C8E" w:rsidP="00BD4391">
            <w:pPr>
              <w:pStyle w:val="centrum"/>
            </w:pPr>
            <w:r w:rsidRPr="00D709E6">
              <w:t xml:space="preserve"> »</w:t>
            </w:r>
          </w:p>
        </w:tc>
        <w:tc>
          <w:tcPr>
            <w:tcW w:w="706" w:type="pct"/>
            <w:shd w:val="clear" w:color="auto" w:fill="FFFFFF"/>
          </w:tcPr>
          <w:p w:rsidR="00E36C8E" w:rsidRPr="00D709E6" w:rsidRDefault="001B4203" w:rsidP="00BD4391">
            <w:pPr>
              <w:pStyle w:val="centrum"/>
            </w:pPr>
            <w:r>
              <w:t xml:space="preserve"> </w:t>
            </w:r>
            <w:r w:rsidR="00E36C8E" w:rsidRPr="00D709E6">
              <w:t>»</w:t>
            </w:r>
          </w:p>
        </w:tc>
        <w:tc>
          <w:tcPr>
            <w:tcW w:w="673" w:type="pct"/>
            <w:shd w:val="clear" w:color="auto" w:fill="FFFFFF"/>
          </w:tcPr>
          <w:p w:rsidR="00E36C8E" w:rsidRPr="00D709E6" w:rsidRDefault="00E36C8E" w:rsidP="00BD4391">
            <w:pPr>
              <w:pStyle w:val="nsr"/>
            </w:pPr>
            <w:r w:rsidRPr="00D709E6">
              <w:t>XX, 11-28.</w:t>
            </w:r>
          </w:p>
        </w:tc>
        <w:tc>
          <w:tcPr>
            <w:tcW w:w="1034"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1898" w:type="pct"/>
            <w:shd w:val="clear" w:color="auto" w:fill="FFFFFF"/>
          </w:tcPr>
          <w:p w:rsidR="00E36C8E" w:rsidRPr="00177118" w:rsidRDefault="00E36C8E" w:rsidP="00BD4391">
            <w:pPr>
              <w:pStyle w:val="h"/>
            </w:pPr>
            <w:r w:rsidRPr="00177118">
              <w:t>Jésus chez Lazare à Béthanie</w:t>
            </w:r>
            <w:r>
              <w:t xml:space="preserve"> </w:t>
            </w:r>
          </w:p>
        </w:tc>
        <w:tc>
          <w:tcPr>
            <w:tcW w:w="688" w:type="pct"/>
            <w:shd w:val="clear" w:color="auto" w:fill="FFFFFF"/>
          </w:tcPr>
          <w:p w:rsidR="00E36C8E" w:rsidRPr="00D709E6" w:rsidRDefault="00E36C8E" w:rsidP="00BD4391">
            <w:pPr>
              <w:pStyle w:val="nsr"/>
            </w:pPr>
            <w:r w:rsidRPr="00D709E6">
              <w:t>XXVI, 6-13.</w:t>
            </w:r>
          </w:p>
        </w:tc>
        <w:tc>
          <w:tcPr>
            <w:tcW w:w="706" w:type="pct"/>
            <w:shd w:val="clear" w:color="auto" w:fill="FFFFFF"/>
          </w:tcPr>
          <w:p w:rsidR="00E36C8E" w:rsidRPr="00D709E6" w:rsidRDefault="00E36C8E" w:rsidP="00BD4391">
            <w:pPr>
              <w:pStyle w:val="nsr"/>
            </w:pPr>
            <w:r w:rsidRPr="00D709E6">
              <w:t>XIV, 3-9-</w:t>
            </w:r>
          </w:p>
        </w:tc>
        <w:tc>
          <w:tcPr>
            <w:tcW w:w="673" w:type="pct"/>
            <w:shd w:val="clear" w:color="auto" w:fill="FFFFFF"/>
          </w:tcPr>
          <w:p w:rsidR="00E36C8E" w:rsidRPr="00D709E6" w:rsidRDefault="001B4203" w:rsidP="00BD4391">
            <w:pPr>
              <w:pStyle w:val="centrum"/>
            </w:pPr>
            <w:r>
              <w:t xml:space="preserve"> </w:t>
            </w:r>
            <w:r w:rsidR="00E36C8E" w:rsidRPr="00D709E6">
              <w:t>»</w:t>
            </w:r>
          </w:p>
        </w:tc>
        <w:tc>
          <w:tcPr>
            <w:tcW w:w="1034" w:type="pct"/>
            <w:shd w:val="clear" w:color="auto" w:fill="FFFFFF"/>
          </w:tcPr>
          <w:p w:rsidR="00E36C8E" w:rsidRPr="00D709E6" w:rsidRDefault="00E36C8E" w:rsidP="00BD4391">
            <w:pPr>
              <w:pStyle w:val="nsr"/>
            </w:pPr>
            <w:r w:rsidRPr="00D709E6">
              <w:t>XII, 1-11.</w:t>
            </w:r>
          </w:p>
        </w:tc>
      </w:tr>
    </w:tbl>
    <w:p w:rsidR="00E36C8E" w:rsidRDefault="00E36C8E" w:rsidP="00E36C8E">
      <w:pPr>
        <w:pStyle w:val="u2"/>
        <w:rPr>
          <w:lang w:eastAsia="fr-FR"/>
        </w:rPr>
      </w:pPr>
      <w:r>
        <w:rPr>
          <w:lang w:eastAsia="fr-FR"/>
        </w:rPr>
        <w:t>IIIe</w:t>
      </w:r>
      <w:r w:rsidRPr="00177118">
        <w:rPr>
          <w:lang w:eastAsia="fr-FR"/>
        </w:rPr>
        <w:t xml:space="preserve"> PARTIE. — Vie souffrante et glorieuse de Jésus-Christ. </w:t>
      </w:r>
    </w:p>
    <w:p w:rsidR="00E36C8E" w:rsidRDefault="00E36C8E" w:rsidP="00E36C8E">
      <w:pPr>
        <w:pStyle w:val="nsr"/>
      </w:pPr>
      <w:r w:rsidRPr="00177118">
        <w:t>(avril 703</w:t>
      </w:r>
      <w:r>
        <w:t> ;</w:t>
      </w:r>
      <w:r w:rsidRPr="00177118">
        <w:t xml:space="preserve"> 30 de l</w:t>
      </w:r>
      <w:r w:rsidR="00557DE0">
        <w:t>’</w:t>
      </w:r>
      <w:r w:rsidRPr="00177118">
        <w:t xml:space="preserve">ère vulgaire). </w:t>
      </w:r>
    </w:p>
    <w:p w:rsidR="00E36C8E" w:rsidRPr="00177118" w:rsidRDefault="00E36C8E" w:rsidP="00E36C8E">
      <w:pPr>
        <w:pStyle w:val="u3"/>
        <w:rPr>
          <w:lang w:eastAsia="fr-FR"/>
        </w:rPr>
      </w:pPr>
      <w:r w:rsidRPr="005507CF">
        <w:rPr>
          <w:rStyle w:val="italicus"/>
        </w:rPr>
        <w:t>§ I. — Jésus dans le Temple de Jérusalem.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4380"/>
        <w:gridCol w:w="1469"/>
        <w:gridCol w:w="1372"/>
        <w:gridCol w:w="1532"/>
        <w:gridCol w:w="1737"/>
      </w:tblGrid>
      <w:tr w:rsidR="00E36C8E" w:rsidRPr="00177118" w:rsidTr="00BD4391">
        <w:trPr>
          <w:cantSplit/>
          <w:trHeight w:val="20"/>
        </w:trPr>
        <w:tc>
          <w:tcPr>
            <w:tcW w:w="2088" w:type="pct"/>
            <w:shd w:val="clear" w:color="auto" w:fill="FFFFFF"/>
          </w:tcPr>
          <w:p w:rsidR="00E36C8E" w:rsidRPr="00177118" w:rsidRDefault="00E36C8E" w:rsidP="00BD4391">
            <w:pPr>
              <w:pStyle w:val="h"/>
            </w:pPr>
            <w:r>
              <w:t>Entrée triomphale</w:t>
            </w:r>
            <w:r w:rsidRPr="00177118">
              <w:t xml:space="preserve"> de Jésus à Jé</w:t>
            </w:r>
            <w:r>
              <w:t xml:space="preserve">rusalem </w:t>
            </w:r>
          </w:p>
        </w:tc>
        <w:tc>
          <w:tcPr>
            <w:tcW w:w="700" w:type="pct"/>
            <w:shd w:val="clear" w:color="auto" w:fill="FFFFFF"/>
          </w:tcPr>
          <w:p w:rsidR="00E36C8E" w:rsidRPr="00D709E6" w:rsidRDefault="00E36C8E" w:rsidP="00BD4391">
            <w:pPr>
              <w:pStyle w:val="nsr"/>
            </w:pPr>
            <w:r w:rsidRPr="00D709E6">
              <w:t>XXI, 1-11.</w:t>
            </w:r>
          </w:p>
        </w:tc>
        <w:tc>
          <w:tcPr>
            <w:tcW w:w="654" w:type="pct"/>
            <w:shd w:val="clear" w:color="auto" w:fill="FFFFFF"/>
          </w:tcPr>
          <w:p w:rsidR="00E36C8E" w:rsidRPr="00D709E6" w:rsidRDefault="00E36C8E" w:rsidP="00BD4391">
            <w:pPr>
              <w:pStyle w:val="nsr"/>
            </w:pPr>
            <w:r w:rsidRPr="00D709E6">
              <w:t>XI, 1-11.</w:t>
            </w:r>
          </w:p>
        </w:tc>
        <w:tc>
          <w:tcPr>
            <w:tcW w:w="730" w:type="pct"/>
            <w:shd w:val="clear" w:color="auto" w:fill="FFFFFF"/>
          </w:tcPr>
          <w:p w:rsidR="00E36C8E" w:rsidRPr="00D709E6" w:rsidRDefault="00E36C8E" w:rsidP="00BD4391">
            <w:pPr>
              <w:pStyle w:val="nsr"/>
            </w:pPr>
            <w:r w:rsidRPr="00D709E6">
              <w:t>XIX, 29</w:t>
            </w:r>
            <w:r>
              <w:t>-</w:t>
            </w:r>
            <w:r w:rsidRPr="00D709E6">
              <w:t>44.</w:t>
            </w:r>
          </w:p>
        </w:tc>
        <w:tc>
          <w:tcPr>
            <w:tcW w:w="828" w:type="pct"/>
            <w:shd w:val="clear" w:color="auto" w:fill="FFFFFF"/>
          </w:tcPr>
          <w:p w:rsidR="00E36C8E" w:rsidRPr="00D709E6" w:rsidRDefault="00E36C8E" w:rsidP="00BD4391">
            <w:pPr>
              <w:pStyle w:val="nsr"/>
            </w:pPr>
            <w:r w:rsidRPr="00D709E6">
              <w:t>XII, 12-19.</w:t>
            </w:r>
          </w:p>
        </w:tc>
      </w:tr>
      <w:tr w:rsidR="00E36C8E" w:rsidRPr="00177118" w:rsidTr="00BD4391">
        <w:trPr>
          <w:cantSplit/>
          <w:trHeight w:val="20"/>
        </w:trPr>
        <w:tc>
          <w:tcPr>
            <w:tcW w:w="2088" w:type="pct"/>
            <w:shd w:val="clear" w:color="auto" w:fill="FFFFFF"/>
          </w:tcPr>
          <w:p w:rsidR="00E36C8E" w:rsidRPr="00177118" w:rsidRDefault="00E36C8E" w:rsidP="00BD4391">
            <w:pPr>
              <w:pStyle w:val="h"/>
            </w:pPr>
            <w:r w:rsidRPr="00177118">
              <w:t>Le figuier maudit</w:t>
            </w:r>
            <w:r>
              <w:t xml:space="preserve"> </w:t>
            </w:r>
          </w:p>
        </w:tc>
        <w:tc>
          <w:tcPr>
            <w:tcW w:w="700" w:type="pct"/>
            <w:shd w:val="clear" w:color="auto" w:fill="FFFFFF"/>
          </w:tcPr>
          <w:p w:rsidR="00E36C8E" w:rsidRPr="00D709E6" w:rsidRDefault="00E36C8E" w:rsidP="00BD4391">
            <w:pPr>
              <w:pStyle w:val="nsr"/>
            </w:pPr>
            <w:r w:rsidRPr="00D709E6">
              <w:t xml:space="preserve">XXI, </w:t>
            </w:r>
            <w:r>
              <w:t>18-1</w:t>
            </w:r>
            <w:r w:rsidRPr="00D709E6">
              <w:t>9.</w:t>
            </w:r>
          </w:p>
        </w:tc>
        <w:tc>
          <w:tcPr>
            <w:tcW w:w="654" w:type="pct"/>
            <w:shd w:val="clear" w:color="auto" w:fill="FFFFFF"/>
          </w:tcPr>
          <w:p w:rsidR="00E36C8E" w:rsidRPr="00D709E6" w:rsidRDefault="00E36C8E" w:rsidP="00BD4391">
            <w:pPr>
              <w:pStyle w:val="nsr"/>
            </w:pPr>
            <w:r w:rsidRPr="00D709E6">
              <w:t>XI, 12-14.</w:t>
            </w:r>
          </w:p>
        </w:tc>
        <w:tc>
          <w:tcPr>
            <w:tcW w:w="730" w:type="pct"/>
            <w:shd w:val="clear" w:color="auto" w:fill="FFFFFF"/>
          </w:tcPr>
          <w:p w:rsidR="00E36C8E" w:rsidRPr="00D709E6" w:rsidRDefault="00E36C8E" w:rsidP="00BD4391">
            <w:pPr>
              <w:pStyle w:val="centrum"/>
            </w:pPr>
            <w:r w:rsidRPr="00D709E6">
              <w:t xml:space="preserve"> »</w:t>
            </w:r>
          </w:p>
        </w:tc>
        <w:tc>
          <w:tcPr>
            <w:tcW w:w="828"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2088" w:type="pct"/>
            <w:shd w:val="clear" w:color="auto" w:fill="FFFFFF"/>
          </w:tcPr>
          <w:p w:rsidR="00E36C8E" w:rsidRPr="00177118" w:rsidRDefault="00E36C8E" w:rsidP="00BD4391">
            <w:pPr>
              <w:pStyle w:val="h"/>
            </w:pPr>
            <w:r w:rsidRPr="00177118">
              <w:t>Seconde expulsion des vendeurs du temple</w:t>
            </w:r>
            <w:r>
              <w:t xml:space="preserve"> </w:t>
            </w:r>
          </w:p>
        </w:tc>
        <w:tc>
          <w:tcPr>
            <w:tcW w:w="700" w:type="pct"/>
            <w:shd w:val="clear" w:color="auto" w:fill="FFFFFF"/>
          </w:tcPr>
          <w:p w:rsidR="00E36C8E" w:rsidRPr="00D709E6" w:rsidRDefault="00E36C8E" w:rsidP="00BD4391">
            <w:pPr>
              <w:pStyle w:val="nsr"/>
            </w:pPr>
            <w:r w:rsidRPr="00D709E6">
              <w:t>XXI, 12-17.</w:t>
            </w:r>
          </w:p>
        </w:tc>
        <w:tc>
          <w:tcPr>
            <w:tcW w:w="654" w:type="pct"/>
            <w:shd w:val="clear" w:color="auto" w:fill="FFFFFF"/>
          </w:tcPr>
          <w:p w:rsidR="00E36C8E" w:rsidRPr="00D709E6" w:rsidRDefault="00E36C8E" w:rsidP="00BD4391">
            <w:pPr>
              <w:pStyle w:val="nsr"/>
            </w:pPr>
            <w:r w:rsidRPr="00D709E6">
              <w:t>XI, 15-19.</w:t>
            </w:r>
          </w:p>
        </w:tc>
        <w:tc>
          <w:tcPr>
            <w:tcW w:w="730" w:type="pct"/>
            <w:shd w:val="clear" w:color="auto" w:fill="FFFFFF"/>
          </w:tcPr>
          <w:p w:rsidR="00E36C8E" w:rsidRPr="00D709E6" w:rsidRDefault="00E36C8E" w:rsidP="00BD4391">
            <w:pPr>
              <w:pStyle w:val="nsr"/>
            </w:pPr>
            <w:r w:rsidRPr="00D709E6">
              <w:t>XIX, 45-48.</w:t>
            </w:r>
          </w:p>
        </w:tc>
        <w:tc>
          <w:tcPr>
            <w:tcW w:w="828"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2088" w:type="pct"/>
            <w:shd w:val="clear" w:color="auto" w:fill="FFFFFF"/>
          </w:tcPr>
          <w:p w:rsidR="00E36C8E" w:rsidRPr="00177118" w:rsidRDefault="00E36C8E" w:rsidP="00BD4391">
            <w:pPr>
              <w:pStyle w:val="h"/>
            </w:pPr>
            <w:r w:rsidRPr="00177118">
              <w:t>Le figuier desséché</w:t>
            </w:r>
            <w:r>
              <w:t> ;</w:t>
            </w:r>
            <w:r w:rsidRPr="00177118">
              <w:t xml:space="preserve"> puissance de le</w:t>
            </w:r>
            <w:r>
              <w:t xml:space="preserve"> foi</w:t>
            </w:r>
          </w:p>
        </w:tc>
        <w:tc>
          <w:tcPr>
            <w:tcW w:w="700" w:type="pct"/>
            <w:shd w:val="clear" w:color="auto" w:fill="FFFFFF"/>
          </w:tcPr>
          <w:p w:rsidR="00E36C8E" w:rsidRPr="00D709E6" w:rsidRDefault="00E36C8E" w:rsidP="00BD4391">
            <w:pPr>
              <w:pStyle w:val="nsr"/>
            </w:pPr>
            <w:r w:rsidRPr="00D709E6">
              <w:t>XXI, 20-22.</w:t>
            </w:r>
          </w:p>
        </w:tc>
        <w:tc>
          <w:tcPr>
            <w:tcW w:w="654" w:type="pct"/>
            <w:shd w:val="clear" w:color="auto" w:fill="FFFFFF"/>
          </w:tcPr>
          <w:p w:rsidR="00E36C8E" w:rsidRPr="00D709E6" w:rsidRDefault="00E36C8E" w:rsidP="00BD4391">
            <w:pPr>
              <w:pStyle w:val="nsr"/>
            </w:pPr>
            <w:r w:rsidRPr="00D709E6">
              <w:t>XI, 20-26.</w:t>
            </w:r>
          </w:p>
        </w:tc>
        <w:tc>
          <w:tcPr>
            <w:tcW w:w="730" w:type="pct"/>
            <w:shd w:val="clear" w:color="auto" w:fill="FFFFFF"/>
          </w:tcPr>
          <w:p w:rsidR="00E36C8E" w:rsidRPr="00D709E6" w:rsidRDefault="00E36C8E" w:rsidP="00BD4391">
            <w:pPr>
              <w:pStyle w:val="centrum"/>
            </w:pPr>
            <w:r w:rsidRPr="00D709E6">
              <w:t xml:space="preserve"> »</w:t>
            </w:r>
          </w:p>
        </w:tc>
        <w:tc>
          <w:tcPr>
            <w:tcW w:w="828" w:type="pct"/>
            <w:shd w:val="clear" w:color="auto" w:fill="FFFFFF"/>
          </w:tcPr>
          <w:p w:rsidR="00E36C8E" w:rsidRPr="00D709E6" w:rsidRDefault="001B4203" w:rsidP="00BD4391">
            <w:pPr>
              <w:pStyle w:val="centrum"/>
            </w:pPr>
            <w:r>
              <w:t xml:space="preserve"> </w:t>
            </w:r>
            <w:r w:rsidR="00E36C8E" w:rsidRPr="00D709E6">
              <w:t>»</w:t>
            </w:r>
          </w:p>
        </w:tc>
      </w:tr>
      <w:tr w:rsidR="00E36C8E" w:rsidRPr="00177118" w:rsidTr="00BD4391">
        <w:trPr>
          <w:cantSplit/>
          <w:trHeight w:val="20"/>
        </w:trPr>
        <w:tc>
          <w:tcPr>
            <w:tcW w:w="2088" w:type="pct"/>
            <w:shd w:val="clear" w:color="auto" w:fill="FFFFFF"/>
          </w:tcPr>
          <w:p w:rsidR="00E36C8E" w:rsidRPr="00177118" w:rsidRDefault="00E36C8E" w:rsidP="00BD4391">
            <w:pPr>
              <w:pStyle w:val="h"/>
            </w:pPr>
            <w:r>
              <w:t xml:space="preserve">Jésus interrogé </w:t>
            </w:r>
            <w:r w:rsidRPr="00177118">
              <w:t>sur</w:t>
            </w:r>
            <w:r>
              <w:t xml:space="preserve"> </w:t>
            </w:r>
            <w:r w:rsidRPr="00177118">
              <w:t>son autorité</w:t>
            </w:r>
            <w:r>
              <w:t xml:space="preserve"> </w:t>
            </w:r>
          </w:p>
        </w:tc>
        <w:tc>
          <w:tcPr>
            <w:tcW w:w="700" w:type="pct"/>
            <w:shd w:val="clear" w:color="auto" w:fill="FFFFFF"/>
          </w:tcPr>
          <w:p w:rsidR="00E36C8E" w:rsidRPr="00D709E6" w:rsidRDefault="00E36C8E" w:rsidP="00BD4391">
            <w:pPr>
              <w:pStyle w:val="nsr"/>
            </w:pPr>
            <w:r w:rsidRPr="00D709E6">
              <w:t>X</w:t>
            </w:r>
            <w:r>
              <w:t>X</w:t>
            </w:r>
            <w:r w:rsidRPr="00D709E6">
              <w:t>I, 23-27.</w:t>
            </w:r>
          </w:p>
        </w:tc>
        <w:tc>
          <w:tcPr>
            <w:tcW w:w="654" w:type="pct"/>
            <w:shd w:val="clear" w:color="auto" w:fill="FFFFFF"/>
          </w:tcPr>
          <w:p w:rsidR="00E36C8E" w:rsidRPr="00D709E6" w:rsidRDefault="00E36C8E" w:rsidP="00BD4391">
            <w:pPr>
              <w:pStyle w:val="nsr"/>
            </w:pPr>
            <w:r w:rsidRPr="00D709E6">
              <w:t>XI, 27-33.</w:t>
            </w:r>
          </w:p>
        </w:tc>
        <w:tc>
          <w:tcPr>
            <w:tcW w:w="730" w:type="pct"/>
            <w:shd w:val="clear" w:color="auto" w:fill="FFFFFF"/>
          </w:tcPr>
          <w:p w:rsidR="00E36C8E" w:rsidRPr="00D709E6" w:rsidRDefault="00E36C8E" w:rsidP="00BD4391">
            <w:pPr>
              <w:pStyle w:val="nsr"/>
            </w:pPr>
            <w:r w:rsidRPr="00D709E6">
              <w:t>XX, 1-8</w:t>
            </w:r>
            <w:r>
              <w:t>.</w:t>
            </w:r>
          </w:p>
        </w:tc>
        <w:tc>
          <w:tcPr>
            <w:tcW w:w="828"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2088" w:type="pct"/>
            <w:shd w:val="clear" w:color="auto" w:fill="FFFFFF"/>
          </w:tcPr>
          <w:p w:rsidR="00E36C8E" w:rsidRPr="00177118" w:rsidRDefault="00E36C8E" w:rsidP="00BD4391">
            <w:pPr>
              <w:pStyle w:val="h"/>
            </w:pPr>
            <w:r w:rsidRPr="00177118">
              <w:t>Parabole des deux fils Envoyés dans la vigne</w:t>
            </w:r>
          </w:p>
        </w:tc>
        <w:tc>
          <w:tcPr>
            <w:tcW w:w="700" w:type="pct"/>
            <w:shd w:val="clear" w:color="auto" w:fill="FFFFFF"/>
          </w:tcPr>
          <w:p w:rsidR="00E36C8E" w:rsidRPr="00D709E6" w:rsidRDefault="00E36C8E" w:rsidP="00BD4391">
            <w:pPr>
              <w:pStyle w:val="nsr"/>
            </w:pPr>
            <w:r w:rsidRPr="00D709E6">
              <w:t>XXI, 28-32.</w:t>
            </w:r>
          </w:p>
        </w:tc>
        <w:tc>
          <w:tcPr>
            <w:tcW w:w="654" w:type="pct"/>
            <w:shd w:val="clear" w:color="auto" w:fill="FFFFFF"/>
          </w:tcPr>
          <w:p w:rsidR="00E36C8E" w:rsidRPr="00D709E6" w:rsidRDefault="001B4203" w:rsidP="00BD4391">
            <w:pPr>
              <w:pStyle w:val="centrum"/>
            </w:pPr>
            <w:r>
              <w:t xml:space="preserve"> </w:t>
            </w:r>
            <w:r w:rsidR="00E36C8E" w:rsidRPr="00D709E6">
              <w:t>»</w:t>
            </w:r>
          </w:p>
        </w:tc>
        <w:tc>
          <w:tcPr>
            <w:tcW w:w="730" w:type="pct"/>
            <w:shd w:val="clear" w:color="auto" w:fill="FFFFFF"/>
          </w:tcPr>
          <w:p w:rsidR="00E36C8E" w:rsidRPr="00D709E6" w:rsidRDefault="001B4203" w:rsidP="00BD4391">
            <w:pPr>
              <w:pStyle w:val="centrum"/>
            </w:pPr>
            <w:r>
              <w:t xml:space="preserve"> </w:t>
            </w:r>
            <w:r w:rsidR="00E36C8E" w:rsidRPr="00D709E6">
              <w:t>»</w:t>
            </w:r>
          </w:p>
        </w:tc>
        <w:tc>
          <w:tcPr>
            <w:tcW w:w="828"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2088" w:type="pct"/>
            <w:shd w:val="clear" w:color="auto" w:fill="FFFFFF"/>
          </w:tcPr>
          <w:p w:rsidR="00E36C8E" w:rsidRPr="00177118" w:rsidRDefault="00E36C8E" w:rsidP="00BD4391">
            <w:pPr>
              <w:pStyle w:val="h"/>
            </w:pPr>
            <w:r w:rsidRPr="00177118">
              <w:t>Parabole des vignerons perfides</w:t>
            </w:r>
            <w:r>
              <w:t xml:space="preserve"> </w:t>
            </w:r>
          </w:p>
        </w:tc>
        <w:tc>
          <w:tcPr>
            <w:tcW w:w="700" w:type="pct"/>
            <w:shd w:val="clear" w:color="auto" w:fill="FFFFFF"/>
          </w:tcPr>
          <w:p w:rsidR="00E36C8E" w:rsidRPr="00D709E6" w:rsidRDefault="00E36C8E" w:rsidP="00BD4391">
            <w:pPr>
              <w:pStyle w:val="nsr"/>
            </w:pPr>
            <w:r w:rsidRPr="00D709E6">
              <w:t>XXI, 33-46.</w:t>
            </w:r>
          </w:p>
        </w:tc>
        <w:tc>
          <w:tcPr>
            <w:tcW w:w="654" w:type="pct"/>
            <w:shd w:val="clear" w:color="auto" w:fill="FFFFFF"/>
          </w:tcPr>
          <w:p w:rsidR="00E36C8E" w:rsidRPr="00D709E6" w:rsidRDefault="00E36C8E" w:rsidP="00BD4391">
            <w:pPr>
              <w:pStyle w:val="nsr"/>
            </w:pPr>
            <w:r w:rsidRPr="00D709E6">
              <w:t>XII, 1-12.</w:t>
            </w:r>
          </w:p>
        </w:tc>
        <w:tc>
          <w:tcPr>
            <w:tcW w:w="730" w:type="pct"/>
            <w:shd w:val="clear" w:color="auto" w:fill="FFFFFF"/>
          </w:tcPr>
          <w:p w:rsidR="00E36C8E" w:rsidRPr="00D709E6" w:rsidRDefault="00E36C8E" w:rsidP="00BD4391">
            <w:pPr>
              <w:pStyle w:val="nsr"/>
            </w:pPr>
            <w:r w:rsidRPr="00D709E6">
              <w:t>XX, 9-19.</w:t>
            </w:r>
          </w:p>
        </w:tc>
        <w:tc>
          <w:tcPr>
            <w:tcW w:w="828" w:type="pct"/>
            <w:shd w:val="clear" w:color="auto" w:fill="FFFFFF"/>
          </w:tcPr>
          <w:p w:rsidR="00E36C8E" w:rsidRPr="00D709E6" w:rsidRDefault="001B4203" w:rsidP="00BD4391">
            <w:pPr>
              <w:pStyle w:val="centrum"/>
            </w:pPr>
            <w:r>
              <w:t xml:space="preserve"> </w:t>
            </w:r>
            <w:r w:rsidR="00E36C8E" w:rsidRPr="00D709E6">
              <w:t>»</w:t>
            </w:r>
          </w:p>
        </w:tc>
      </w:tr>
      <w:tr w:rsidR="00E36C8E" w:rsidRPr="00177118" w:rsidTr="00BD4391">
        <w:trPr>
          <w:cantSplit/>
          <w:trHeight w:val="20"/>
        </w:trPr>
        <w:tc>
          <w:tcPr>
            <w:tcW w:w="2088" w:type="pct"/>
            <w:shd w:val="clear" w:color="auto" w:fill="FFFFFF"/>
          </w:tcPr>
          <w:p w:rsidR="00E36C8E" w:rsidRPr="00177118" w:rsidRDefault="00E36C8E" w:rsidP="00BD4391">
            <w:pPr>
              <w:pStyle w:val="h"/>
            </w:pPr>
            <w:r w:rsidRPr="00177118">
              <w:t>Parabole du festin nuptial</w:t>
            </w:r>
            <w:r>
              <w:t xml:space="preserve"> </w:t>
            </w:r>
          </w:p>
        </w:tc>
        <w:tc>
          <w:tcPr>
            <w:tcW w:w="700" w:type="pct"/>
            <w:shd w:val="clear" w:color="auto" w:fill="FFFFFF"/>
          </w:tcPr>
          <w:p w:rsidR="00E36C8E" w:rsidRPr="00D709E6" w:rsidRDefault="00E36C8E" w:rsidP="00BD4391">
            <w:pPr>
              <w:pStyle w:val="nsr"/>
            </w:pPr>
            <w:r w:rsidRPr="00D709E6">
              <w:t>XXII, 1-14.</w:t>
            </w:r>
          </w:p>
        </w:tc>
        <w:tc>
          <w:tcPr>
            <w:tcW w:w="654" w:type="pct"/>
            <w:shd w:val="clear" w:color="auto" w:fill="FFFFFF"/>
          </w:tcPr>
          <w:p w:rsidR="00E36C8E" w:rsidRPr="00D709E6" w:rsidRDefault="00E36C8E" w:rsidP="00BD4391">
            <w:pPr>
              <w:pStyle w:val="centrum"/>
            </w:pPr>
            <w:r w:rsidRPr="00D709E6">
              <w:t xml:space="preserve"> »</w:t>
            </w:r>
          </w:p>
        </w:tc>
        <w:tc>
          <w:tcPr>
            <w:tcW w:w="730" w:type="pct"/>
            <w:shd w:val="clear" w:color="auto" w:fill="FFFFFF"/>
          </w:tcPr>
          <w:p w:rsidR="00E36C8E" w:rsidRPr="00D709E6" w:rsidRDefault="00E36C8E" w:rsidP="00BD4391">
            <w:pPr>
              <w:pStyle w:val="centrum"/>
            </w:pPr>
            <w:r w:rsidRPr="00D709E6">
              <w:t xml:space="preserve"> »</w:t>
            </w:r>
          </w:p>
        </w:tc>
        <w:tc>
          <w:tcPr>
            <w:tcW w:w="828"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2088" w:type="pct"/>
            <w:shd w:val="clear" w:color="auto" w:fill="FFFFFF"/>
          </w:tcPr>
          <w:p w:rsidR="00E36C8E" w:rsidRPr="00177118" w:rsidRDefault="00E36C8E" w:rsidP="00BD4391">
            <w:pPr>
              <w:pStyle w:val="h"/>
            </w:pPr>
            <w:r w:rsidRPr="00177118">
              <w:t>Les Pharisiens et l</w:t>
            </w:r>
            <w:r w:rsidR="00557DE0">
              <w:t>’</w:t>
            </w:r>
            <w:r w:rsidRPr="00177118">
              <w:t>impôt romain</w:t>
            </w:r>
            <w:r>
              <w:t xml:space="preserve"> </w:t>
            </w:r>
          </w:p>
        </w:tc>
        <w:tc>
          <w:tcPr>
            <w:tcW w:w="700" w:type="pct"/>
            <w:shd w:val="clear" w:color="auto" w:fill="FFFFFF"/>
          </w:tcPr>
          <w:p w:rsidR="00E36C8E" w:rsidRPr="00D709E6" w:rsidRDefault="00E36C8E" w:rsidP="00BD4391">
            <w:pPr>
              <w:pStyle w:val="nsr"/>
            </w:pPr>
            <w:r w:rsidRPr="00D709E6">
              <w:t>XXII</w:t>
            </w:r>
            <w:r>
              <w:t>,</w:t>
            </w:r>
            <w:r w:rsidRPr="00D709E6">
              <w:t xml:space="preserve"> 15-22.</w:t>
            </w:r>
          </w:p>
        </w:tc>
        <w:tc>
          <w:tcPr>
            <w:tcW w:w="654" w:type="pct"/>
            <w:shd w:val="clear" w:color="auto" w:fill="FFFFFF"/>
          </w:tcPr>
          <w:p w:rsidR="00E36C8E" w:rsidRPr="00D709E6" w:rsidRDefault="00E36C8E" w:rsidP="00BD4391">
            <w:pPr>
              <w:pStyle w:val="nsr"/>
            </w:pPr>
            <w:r w:rsidRPr="00D709E6">
              <w:t>XII, 13-17.</w:t>
            </w:r>
          </w:p>
        </w:tc>
        <w:tc>
          <w:tcPr>
            <w:tcW w:w="730" w:type="pct"/>
            <w:shd w:val="clear" w:color="auto" w:fill="FFFFFF"/>
          </w:tcPr>
          <w:p w:rsidR="00E36C8E" w:rsidRPr="00D709E6" w:rsidRDefault="00E36C8E" w:rsidP="00BD4391">
            <w:pPr>
              <w:pStyle w:val="nsr"/>
            </w:pPr>
            <w:r w:rsidRPr="00D709E6">
              <w:t xml:space="preserve">XX, </w:t>
            </w:r>
            <w:r>
              <w:t>20-26</w:t>
            </w:r>
            <w:r w:rsidRPr="00D709E6">
              <w:t>.</w:t>
            </w:r>
          </w:p>
        </w:tc>
        <w:tc>
          <w:tcPr>
            <w:tcW w:w="828"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2088" w:type="pct"/>
            <w:shd w:val="clear" w:color="auto" w:fill="FFFFFF"/>
          </w:tcPr>
          <w:p w:rsidR="00E36C8E" w:rsidRPr="00177118" w:rsidRDefault="00E36C8E" w:rsidP="00BD4391">
            <w:pPr>
              <w:pStyle w:val="h"/>
            </w:pPr>
            <w:r w:rsidRPr="00177118">
              <w:t>Les Sadducéens et la résurrection</w:t>
            </w:r>
            <w:r>
              <w:t xml:space="preserve"> </w:t>
            </w:r>
          </w:p>
        </w:tc>
        <w:tc>
          <w:tcPr>
            <w:tcW w:w="700" w:type="pct"/>
            <w:shd w:val="clear" w:color="auto" w:fill="FFFFFF"/>
          </w:tcPr>
          <w:p w:rsidR="00E36C8E" w:rsidRPr="00D709E6" w:rsidRDefault="00E36C8E" w:rsidP="00BD4391">
            <w:pPr>
              <w:pStyle w:val="nsr"/>
            </w:pPr>
            <w:r w:rsidRPr="00D709E6">
              <w:t xml:space="preserve">XXII, </w:t>
            </w:r>
            <w:r>
              <w:t>23-33.</w:t>
            </w:r>
          </w:p>
        </w:tc>
        <w:tc>
          <w:tcPr>
            <w:tcW w:w="654" w:type="pct"/>
            <w:shd w:val="clear" w:color="auto" w:fill="FFFFFF"/>
          </w:tcPr>
          <w:p w:rsidR="00E36C8E" w:rsidRPr="00D709E6" w:rsidRDefault="00E36C8E" w:rsidP="00BD4391">
            <w:pPr>
              <w:pStyle w:val="nsr"/>
            </w:pPr>
            <w:r w:rsidRPr="00D709E6">
              <w:t>XII, 18-27.</w:t>
            </w:r>
          </w:p>
        </w:tc>
        <w:tc>
          <w:tcPr>
            <w:tcW w:w="730" w:type="pct"/>
            <w:shd w:val="clear" w:color="auto" w:fill="FFFFFF"/>
          </w:tcPr>
          <w:p w:rsidR="00E36C8E" w:rsidRPr="00D709E6" w:rsidRDefault="00E36C8E" w:rsidP="00BD4391">
            <w:pPr>
              <w:pStyle w:val="nsr"/>
            </w:pPr>
            <w:r w:rsidRPr="00D709E6">
              <w:t>XX, 27-40.</w:t>
            </w:r>
          </w:p>
        </w:tc>
        <w:tc>
          <w:tcPr>
            <w:tcW w:w="828"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2088" w:type="pct"/>
            <w:shd w:val="clear" w:color="auto" w:fill="FFFFFF"/>
          </w:tcPr>
          <w:p w:rsidR="00E36C8E" w:rsidRPr="00177118" w:rsidRDefault="00E36C8E" w:rsidP="00BD4391">
            <w:pPr>
              <w:pStyle w:val="h"/>
            </w:pPr>
            <w:r w:rsidRPr="00177118">
              <w:t>Le grand commandement de la loi</w:t>
            </w:r>
            <w:r>
              <w:t xml:space="preserve"> </w:t>
            </w:r>
          </w:p>
        </w:tc>
        <w:tc>
          <w:tcPr>
            <w:tcW w:w="700" w:type="pct"/>
            <w:shd w:val="clear" w:color="auto" w:fill="FFFFFF"/>
          </w:tcPr>
          <w:p w:rsidR="00E36C8E" w:rsidRPr="00D709E6" w:rsidRDefault="00E36C8E" w:rsidP="00BD4391">
            <w:pPr>
              <w:pStyle w:val="nsr"/>
            </w:pPr>
            <w:r w:rsidRPr="00D709E6">
              <w:t>XXII, 34-40.</w:t>
            </w:r>
          </w:p>
        </w:tc>
        <w:tc>
          <w:tcPr>
            <w:tcW w:w="654" w:type="pct"/>
            <w:shd w:val="clear" w:color="auto" w:fill="FFFFFF"/>
          </w:tcPr>
          <w:p w:rsidR="00E36C8E" w:rsidRPr="00D709E6" w:rsidRDefault="00E36C8E" w:rsidP="00BD4391">
            <w:pPr>
              <w:pStyle w:val="nsr"/>
            </w:pPr>
            <w:r w:rsidRPr="00D709E6">
              <w:t>XII, 28-34.</w:t>
            </w:r>
          </w:p>
        </w:tc>
        <w:tc>
          <w:tcPr>
            <w:tcW w:w="730" w:type="pct"/>
            <w:shd w:val="clear" w:color="auto" w:fill="FFFFFF"/>
          </w:tcPr>
          <w:p w:rsidR="00E36C8E" w:rsidRPr="00D709E6" w:rsidRDefault="00E36C8E" w:rsidP="00BD4391">
            <w:pPr>
              <w:pStyle w:val="centrum"/>
            </w:pPr>
            <w:r w:rsidRPr="00D709E6">
              <w:t xml:space="preserve"> »</w:t>
            </w:r>
          </w:p>
        </w:tc>
        <w:tc>
          <w:tcPr>
            <w:tcW w:w="828" w:type="pct"/>
            <w:shd w:val="clear" w:color="auto" w:fill="FFFFFF"/>
          </w:tcPr>
          <w:p w:rsidR="00E36C8E" w:rsidRPr="00D709E6" w:rsidRDefault="001B4203" w:rsidP="00BD4391">
            <w:pPr>
              <w:pStyle w:val="centrum"/>
            </w:pPr>
            <w:r>
              <w:t xml:space="preserve"> </w:t>
            </w:r>
            <w:r w:rsidR="00E36C8E" w:rsidRPr="00D709E6">
              <w:t>»</w:t>
            </w:r>
          </w:p>
        </w:tc>
      </w:tr>
      <w:tr w:rsidR="00E36C8E" w:rsidRPr="00177118" w:rsidTr="00BD4391">
        <w:trPr>
          <w:cantSplit/>
          <w:trHeight w:val="20"/>
        </w:trPr>
        <w:tc>
          <w:tcPr>
            <w:tcW w:w="2088" w:type="pct"/>
            <w:shd w:val="clear" w:color="auto" w:fill="FFFFFF"/>
          </w:tcPr>
          <w:p w:rsidR="00E36C8E" w:rsidRPr="00177118" w:rsidRDefault="00E36C8E" w:rsidP="00BD4391">
            <w:pPr>
              <w:pStyle w:val="h"/>
            </w:pPr>
            <w:r w:rsidRPr="00177118">
              <w:t>Le Christ</w:t>
            </w:r>
            <w:r>
              <w:t xml:space="preserve">, </w:t>
            </w:r>
            <w:r w:rsidRPr="00177118">
              <w:t>fils de David</w:t>
            </w:r>
            <w:r>
              <w:t xml:space="preserve"> </w:t>
            </w:r>
          </w:p>
        </w:tc>
        <w:tc>
          <w:tcPr>
            <w:tcW w:w="700" w:type="pct"/>
            <w:shd w:val="clear" w:color="auto" w:fill="FFFFFF"/>
          </w:tcPr>
          <w:p w:rsidR="00E36C8E" w:rsidRPr="00D709E6" w:rsidRDefault="00E36C8E" w:rsidP="00BD4391">
            <w:pPr>
              <w:pStyle w:val="nsr"/>
            </w:pPr>
            <w:r w:rsidRPr="00D709E6">
              <w:t>XXII</w:t>
            </w:r>
            <w:r>
              <w:t>,</w:t>
            </w:r>
            <w:r w:rsidRPr="00D709E6">
              <w:t xml:space="preserve"> 41-46.</w:t>
            </w:r>
          </w:p>
        </w:tc>
        <w:tc>
          <w:tcPr>
            <w:tcW w:w="654" w:type="pct"/>
            <w:shd w:val="clear" w:color="auto" w:fill="FFFFFF"/>
          </w:tcPr>
          <w:p w:rsidR="00E36C8E" w:rsidRPr="00D709E6" w:rsidRDefault="00E36C8E" w:rsidP="00BD4391">
            <w:pPr>
              <w:pStyle w:val="nsr"/>
            </w:pPr>
            <w:r w:rsidRPr="00D709E6">
              <w:t>XII, 35-37.</w:t>
            </w:r>
          </w:p>
        </w:tc>
        <w:tc>
          <w:tcPr>
            <w:tcW w:w="730" w:type="pct"/>
            <w:shd w:val="clear" w:color="auto" w:fill="FFFFFF"/>
          </w:tcPr>
          <w:p w:rsidR="00E36C8E" w:rsidRPr="00D709E6" w:rsidRDefault="00E36C8E" w:rsidP="00BD4391">
            <w:pPr>
              <w:pStyle w:val="nsr"/>
            </w:pPr>
            <w:r>
              <w:t>XX, 41-4</w:t>
            </w:r>
            <w:r w:rsidRPr="00D709E6">
              <w:t>4.</w:t>
            </w:r>
          </w:p>
        </w:tc>
        <w:tc>
          <w:tcPr>
            <w:tcW w:w="828" w:type="pct"/>
            <w:shd w:val="clear" w:color="auto" w:fill="FFFFFF"/>
          </w:tcPr>
          <w:p w:rsidR="00E36C8E" w:rsidRPr="00D709E6" w:rsidRDefault="001B4203" w:rsidP="00BD4391">
            <w:pPr>
              <w:pStyle w:val="centrum"/>
            </w:pPr>
            <w:r>
              <w:t xml:space="preserve"> </w:t>
            </w:r>
            <w:r w:rsidR="00E36C8E" w:rsidRPr="00D709E6">
              <w:t>»</w:t>
            </w:r>
          </w:p>
        </w:tc>
      </w:tr>
      <w:tr w:rsidR="00E36C8E" w:rsidRPr="00177118" w:rsidTr="00BD4391">
        <w:trPr>
          <w:cantSplit/>
          <w:trHeight w:val="20"/>
        </w:trPr>
        <w:tc>
          <w:tcPr>
            <w:tcW w:w="2088" w:type="pct"/>
            <w:shd w:val="clear" w:color="auto" w:fill="FFFFFF"/>
          </w:tcPr>
          <w:p w:rsidR="00E36C8E" w:rsidRPr="00177118" w:rsidRDefault="00E36C8E" w:rsidP="00BD4391">
            <w:pPr>
              <w:pStyle w:val="h"/>
            </w:pPr>
            <w:r w:rsidRPr="00177118">
              <w:t>Contre les scribes et les pharisiens</w:t>
            </w:r>
            <w:r>
              <w:t xml:space="preserve"> </w:t>
            </w:r>
          </w:p>
        </w:tc>
        <w:tc>
          <w:tcPr>
            <w:tcW w:w="700" w:type="pct"/>
            <w:shd w:val="clear" w:color="auto" w:fill="FFFFFF"/>
          </w:tcPr>
          <w:p w:rsidR="00E36C8E" w:rsidRPr="00D709E6" w:rsidRDefault="00E36C8E" w:rsidP="00BD4391">
            <w:pPr>
              <w:pStyle w:val="nsr"/>
            </w:pPr>
            <w:r w:rsidRPr="00D709E6">
              <w:t>XXIII, 1-39.</w:t>
            </w:r>
          </w:p>
        </w:tc>
        <w:tc>
          <w:tcPr>
            <w:tcW w:w="654" w:type="pct"/>
            <w:shd w:val="clear" w:color="auto" w:fill="FFFFFF"/>
          </w:tcPr>
          <w:p w:rsidR="00E36C8E" w:rsidRPr="00D709E6" w:rsidRDefault="00E36C8E" w:rsidP="00BD4391">
            <w:pPr>
              <w:pStyle w:val="nsr"/>
            </w:pPr>
            <w:r w:rsidRPr="00D709E6">
              <w:t>X</w:t>
            </w:r>
            <w:r>
              <w:t>II</w:t>
            </w:r>
            <w:r w:rsidRPr="00D709E6">
              <w:t xml:space="preserve">, </w:t>
            </w:r>
            <w:r>
              <w:t>3</w:t>
            </w:r>
            <w:r w:rsidRPr="00D709E6">
              <w:t>8</w:t>
            </w:r>
            <w:r>
              <w:t>-</w:t>
            </w:r>
            <w:r w:rsidRPr="00D709E6">
              <w:t>40.</w:t>
            </w:r>
          </w:p>
        </w:tc>
        <w:tc>
          <w:tcPr>
            <w:tcW w:w="730" w:type="pct"/>
            <w:shd w:val="clear" w:color="auto" w:fill="FFFFFF"/>
          </w:tcPr>
          <w:p w:rsidR="00E36C8E" w:rsidRPr="00D709E6" w:rsidRDefault="00E36C8E" w:rsidP="00BD4391">
            <w:pPr>
              <w:pStyle w:val="nsr"/>
            </w:pPr>
            <w:r w:rsidRPr="00D709E6">
              <w:t>XX, 45-47.</w:t>
            </w:r>
          </w:p>
        </w:tc>
        <w:tc>
          <w:tcPr>
            <w:tcW w:w="828"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2088" w:type="pct"/>
            <w:shd w:val="clear" w:color="auto" w:fill="FFFFFF"/>
          </w:tcPr>
          <w:p w:rsidR="00E36C8E" w:rsidRPr="00177118" w:rsidRDefault="00E36C8E" w:rsidP="00BD4391">
            <w:pPr>
              <w:pStyle w:val="h"/>
            </w:pPr>
            <w:r>
              <w:t>Le denier de la veuve</w:t>
            </w:r>
          </w:p>
        </w:tc>
        <w:tc>
          <w:tcPr>
            <w:tcW w:w="700" w:type="pct"/>
            <w:shd w:val="clear" w:color="auto" w:fill="FFFFFF"/>
          </w:tcPr>
          <w:p w:rsidR="00E36C8E" w:rsidRPr="00D709E6" w:rsidRDefault="00E36C8E" w:rsidP="00BD4391">
            <w:pPr>
              <w:pStyle w:val="centrum"/>
            </w:pPr>
            <w:r w:rsidRPr="00D709E6">
              <w:t xml:space="preserve"> »</w:t>
            </w:r>
          </w:p>
        </w:tc>
        <w:tc>
          <w:tcPr>
            <w:tcW w:w="654" w:type="pct"/>
            <w:shd w:val="clear" w:color="auto" w:fill="FFFFFF"/>
          </w:tcPr>
          <w:p w:rsidR="00E36C8E" w:rsidRPr="00D709E6" w:rsidRDefault="00E36C8E" w:rsidP="00BD4391">
            <w:pPr>
              <w:pStyle w:val="nsr"/>
            </w:pPr>
            <w:r w:rsidRPr="00D709E6">
              <w:t>XII, 41-44.</w:t>
            </w:r>
          </w:p>
        </w:tc>
        <w:tc>
          <w:tcPr>
            <w:tcW w:w="730" w:type="pct"/>
            <w:shd w:val="clear" w:color="auto" w:fill="FFFFFF"/>
          </w:tcPr>
          <w:p w:rsidR="00E36C8E" w:rsidRPr="00D709E6" w:rsidRDefault="00E36C8E" w:rsidP="00BD4391">
            <w:pPr>
              <w:pStyle w:val="nsr"/>
            </w:pPr>
            <w:r w:rsidRPr="00D709E6">
              <w:t>XXI, 1-4.</w:t>
            </w:r>
          </w:p>
        </w:tc>
        <w:tc>
          <w:tcPr>
            <w:tcW w:w="828" w:type="pct"/>
            <w:shd w:val="clear" w:color="auto" w:fill="FFFFFF"/>
          </w:tcPr>
          <w:p w:rsidR="00E36C8E" w:rsidRPr="00D709E6" w:rsidRDefault="001B4203" w:rsidP="00BD4391">
            <w:pPr>
              <w:pStyle w:val="centrum"/>
            </w:pPr>
            <w:r>
              <w:t xml:space="preserve"> </w:t>
            </w:r>
            <w:r w:rsidR="00E36C8E" w:rsidRPr="00D709E6">
              <w:t>»</w:t>
            </w:r>
          </w:p>
        </w:tc>
      </w:tr>
      <w:tr w:rsidR="00E36C8E" w:rsidRPr="00177118" w:rsidTr="00BD4391">
        <w:trPr>
          <w:cantSplit/>
          <w:trHeight w:val="20"/>
        </w:trPr>
        <w:tc>
          <w:tcPr>
            <w:tcW w:w="2088" w:type="pct"/>
            <w:shd w:val="clear" w:color="auto" w:fill="FFFFFF"/>
          </w:tcPr>
          <w:p w:rsidR="00E36C8E" w:rsidRPr="00177118" w:rsidRDefault="00E36C8E" w:rsidP="00BD4391">
            <w:pPr>
              <w:pStyle w:val="h"/>
            </w:pPr>
            <w:r>
              <w:t>La ruine de Jérusalem</w:t>
            </w:r>
          </w:p>
        </w:tc>
        <w:tc>
          <w:tcPr>
            <w:tcW w:w="700" w:type="pct"/>
            <w:shd w:val="clear" w:color="auto" w:fill="FFFFFF"/>
          </w:tcPr>
          <w:p w:rsidR="00E36C8E" w:rsidRPr="00D709E6" w:rsidRDefault="00E36C8E" w:rsidP="00BD4391">
            <w:pPr>
              <w:pStyle w:val="nsr"/>
            </w:pPr>
            <w:r w:rsidRPr="00D709E6">
              <w:t>XXIV, 1-35.</w:t>
            </w:r>
          </w:p>
        </w:tc>
        <w:tc>
          <w:tcPr>
            <w:tcW w:w="654" w:type="pct"/>
            <w:shd w:val="clear" w:color="auto" w:fill="FFFFFF"/>
          </w:tcPr>
          <w:p w:rsidR="00E36C8E" w:rsidRPr="00D709E6" w:rsidRDefault="00E36C8E" w:rsidP="00BD4391">
            <w:pPr>
              <w:pStyle w:val="nsr"/>
            </w:pPr>
            <w:r w:rsidRPr="00D709E6">
              <w:t>XIII, 1-31.</w:t>
            </w:r>
          </w:p>
        </w:tc>
        <w:tc>
          <w:tcPr>
            <w:tcW w:w="730" w:type="pct"/>
            <w:shd w:val="clear" w:color="auto" w:fill="FFFFFF"/>
          </w:tcPr>
          <w:p w:rsidR="00E36C8E" w:rsidRPr="00D709E6" w:rsidRDefault="00E36C8E" w:rsidP="00BD4391">
            <w:pPr>
              <w:pStyle w:val="nsr"/>
            </w:pPr>
            <w:r w:rsidRPr="00D709E6">
              <w:t>XXI, 5-33.</w:t>
            </w:r>
          </w:p>
        </w:tc>
        <w:tc>
          <w:tcPr>
            <w:tcW w:w="828" w:type="pct"/>
            <w:shd w:val="clear" w:color="auto" w:fill="FFFFFF"/>
          </w:tcPr>
          <w:p w:rsidR="00E36C8E" w:rsidRPr="00D709E6" w:rsidRDefault="001B4203" w:rsidP="00BD4391">
            <w:pPr>
              <w:pStyle w:val="centrum"/>
            </w:pPr>
            <w:r>
              <w:t xml:space="preserve"> </w:t>
            </w:r>
            <w:r w:rsidR="00E36C8E" w:rsidRPr="00D709E6">
              <w:t>»</w:t>
            </w:r>
          </w:p>
        </w:tc>
      </w:tr>
      <w:tr w:rsidR="00E36C8E" w:rsidRPr="00177118" w:rsidTr="00BD4391">
        <w:trPr>
          <w:cantSplit/>
          <w:trHeight w:val="20"/>
        </w:trPr>
        <w:tc>
          <w:tcPr>
            <w:tcW w:w="2088" w:type="pct"/>
            <w:shd w:val="clear" w:color="auto" w:fill="FFFFFF"/>
          </w:tcPr>
          <w:p w:rsidR="00E36C8E" w:rsidRPr="00177118" w:rsidRDefault="00E36C8E" w:rsidP="00BD4391">
            <w:pPr>
              <w:pStyle w:val="h"/>
            </w:pPr>
            <w:r w:rsidRPr="00177118">
              <w:t>Exhortation à la vigilance</w:t>
            </w:r>
            <w:r>
              <w:t xml:space="preserve"> </w:t>
            </w:r>
          </w:p>
        </w:tc>
        <w:tc>
          <w:tcPr>
            <w:tcW w:w="700" w:type="pct"/>
            <w:shd w:val="clear" w:color="auto" w:fill="FFFFFF"/>
          </w:tcPr>
          <w:p w:rsidR="00E36C8E" w:rsidRPr="00D709E6" w:rsidRDefault="00E36C8E" w:rsidP="00BD4391">
            <w:pPr>
              <w:pStyle w:val="nsr"/>
            </w:pPr>
            <w:r w:rsidRPr="00D709E6">
              <w:t>XXIV, 36-51.</w:t>
            </w:r>
          </w:p>
        </w:tc>
        <w:tc>
          <w:tcPr>
            <w:tcW w:w="654" w:type="pct"/>
            <w:shd w:val="clear" w:color="auto" w:fill="FFFFFF"/>
          </w:tcPr>
          <w:p w:rsidR="00E36C8E" w:rsidRPr="00D709E6" w:rsidRDefault="00E36C8E" w:rsidP="00BD4391">
            <w:pPr>
              <w:pStyle w:val="nsr"/>
            </w:pPr>
            <w:r w:rsidRPr="00D709E6">
              <w:t>XIII, 32-37.</w:t>
            </w:r>
          </w:p>
        </w:tc>
        <w:tc>
          <w:tcPr>
            <w:tcW w:w="730" w:type="pct"/>
            <w:shd w:val="clear" w:color="auto" w:fill="FFFFFF"/>
          </w:tcPr>
          <w:p w:rsidR="00E36C8E" w:rsidRPr="00D709E6" w:rsidRDefault="00E36C8E" w:rsidP="00BD4391">
            <w:pPr>
              <w:pStyle w:val="nsr"/>
            </w:pPr>
            <w:r>
              <w:t>XXI, 34-36</w:t>
            </w:r>
            <w:r w:rsidRPr="00D709E6">
              <w:t>.</w:t>
            </w:r>
          </w:p>
        </w:tc>
        <w:tc>
          <w:tcPr>
            <w:tcW w:w="828"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2088" w:type="pct"/>
            <w:shd w:val="clear" w:color="auto" w:fill="FFFFFF"/>
          </w:tcPr>
          <w:p w:rsidR="00E36C8E" w:rsidRPr="00177118" w:rsidRDefault="00E36C8E" w:rsidP="00BD4391">
            <w:pPr>
              <w:pStyle w:val="h"/>
            </w:pPr>
            <w:r w:rsidRPr="00177118">
              <w:t>Parabole des dix vierges</w:t>
            </w:r>
            <w:r>
              <w:t xml:space="preserve"> </w:t>
            </w:r>
          </w:p>
        </w:tc>
        <w:tc>
          <w:tcPr>
            <w:tcW w:w="700" w:type="pct"/>
            <w:shd w:val="clear" w:color="auto" w:fill="FFFFFF"/>
          </w:tcPr>
          <w:p w:rsidR="00E36C8E" w:rsidRPr="00D709E6" w:rsidRDefault="00E36C8E" w:rsidP="00BD4391">
            <w:pPr>
              <w:pStyle w:val="nsr"/>
            </w:pPr>
            <w:r w:rsidRPr="00D709E6">
              <w:t>XXV, 1-13.</w:t>
            </w:r>
          </w:p>
        </w:tc>
        <w:tc>
          <w:tcPr>
            <w:tcW w:w="654" w:type="pct"/>
            <w:shd w:val="clear" w:color="auto" w:fill="FFFFFF"/>
          </w:tcPr>
          <w:p w:rsidR="00E36C8E" w:rsidRPr="00D709E6" w:rsidRDefault="00E36C8E" w:rsidP="00BD4391">
            <w:pPr>
              <w:pStyle w:val="centrum"/>
            </w:pPr>
            <w:r w:rsidRPr="00D709E6">
              <w:t xml:space="preserve"> »</w:t>
            </w:r>
          </w:p>
        </w:tc>
        <w:tc>
          <w:tcPr>
            <w:tcW w:w="730" w:type="pct"/>
            <w:shd w:val="clear" w:color="auto" w:fill="FFFFFF"/>
          </w:tcPr>
          <w:p w:rsidR="00E36C8E" w:rsidRPr="00D709E6" w:rsidRDefault="00E36C8E" w:rsidP="00BD4391">
            <w:pPr>
              <w:pStyle w:val="centrum"/>
            </w:pPr>
            <w:r w:rsidRPr="00D709E6">
              <w:t xml:space="preserve"> »</w:t>
            </w:r>
          </w:p>
        </w:tc>
        <w:tc>
          <w:tcPr>
            <w:tcW w:w="828" w:type="pct"/>
            <w:shd w:val="clear" w:color="auto" w:fill="FFFFFF"/>
          </w:tcPr>
          <w:p w:rsidR="00E36C8E" w:rsidRPr="00D709E6" w:rsidRDefault="001B4203" w:rsidP="00BD4391">
            <w:pPr>
              <w:pStyle w:val="centrum"/>
            </w:pPr>
            <w:r>
              <w:t xml:space="preserve"> </w:t>
            </w:r>
            <w:r w:rsidR="00E36C8E" w:rsidRPr="00D709E6">
              <w:t>»</w:t>
            </w:r>
          </w:p>
        </w:tc>
      </w:tr>
      <w:tr w:rsidR="00E36C8E" w:rsidRPr="00177118" w:rsidTr="00BD4391">
        <w:trPr>
          <w:cantSplit/>
          <w:trHeight w:val="20"/>
        </w:trPr>
        <w:tc>
          <w:tcPr>
            <w:tcW w:w="2088" w:type="pct"/>
            <w:shd w:val="clear" w:color="auto" w:fill="FFFFFF"/>
          </w:tcPr>
          <w:p w:rsidR="00E36C8E" w:rsidRPr="00177118" w:rsidRDefault="00E36C8E" w:rsidP="00BD4391">
            <w:pPr>
              <w:pStyle w:val="h"/>
            </w:pPr>
            <w:r w:rsidRPr="00177118">
              <w:t>Parabole des talents</w:t>
            </w:r>
            <w:r>
              <w:t xml:space="preserve"> </w:t>
            </w:r>
          </w:p>
        </w:tc>
        <w:tc>
          <w:tcPr>
            <w:tcW w:w="700" w:type="pct"/>
            <w:shd w:val="clear" w:color="auto" w:fill="FFFFFF"/>
          </w:tcPr>
          <w:p w:rsidR="00E36C8E" w:rsidRPr="00D709E6" w:rsidRDefault="00E36C8E" w:rsidP="00BD4391">
            <w:pPr>
              <w:pStyle w:val="nsr"/>
            </w:pPr>
            <w:r w:rsidRPr="00D709E6">
              <w:t>XXV, 14-30.</w:t>
            </w:r>
          </w:p>
        </w:tc>
        <w:tc>
          <w:tcPr>
            <w:tcW w:w="654" w:type="pct"/>
            <w:shd w:val="clear" w:color="auto" w:fill="FFFFFF"/>
          </w:tcPr>
          <w:p w:rsidR="00E36C8E" w:rsidRPr="00D709E6" w:rsidRDefault="00E36C8E" w:rsidP="00BD4391">
            <w:pPr>
              <w:pStyle w:val="centrum"/>
            </w:pPr>
            <w:r w:rsidRPr="00D709E6">
              <w:t xml:space="preserve"> »</w:t>
            </w:r>
          </w:p>
        </w:tc>
        <w:tc>
          <w:tcPr>
            <w:tcW w:w="730" w:type="pct"/>
            <w:shd w:val="clear" w:color="auto" w:fill="FFFFFF"/>
          </w:tcPr>
          <w:p w:rsidR="00E36C8E" w:rsidRPr="00D709E6" w:rsidRDefault="00E36C8E" w:rsidP="00BD4391">
            <w:pPr>
              <w:pStyle w:val="centrum"/>
            </w:pPr>
            <w:r w:rsidRPr="00D709E6">
              <w:t xml:space="preserve"> »</w:t>
            </w:r>
          </w:p>
        </w:tc>
        <w:tc>
          <w:tcPr>
            <w:tcW w:w="828"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2088" w:type="pct"/>
            <w:shd w:val="clear" w:color="auto" w:fill="FFFFFF"/>
          </w:tcPr>
          <w:p w:rsidR="00E36C8E" w:rsidRPr="00177118" w:rsidRDefault="00E36C8E" w:rsidP="00BD4391">
            <w:pPr>
              <w:pStyle w:val="h"/>
            </w:pPr>
            <w:r w:rsidRPr="00177118">
              <w:t>Le jugement dernier</w:t>
            </w:r>
            <w:r>
              <w:t xml:space="preserve"> </w:t>
            </w:r>
          </w:p>
        </w:tc>
        <w:tc>
          <w:tcPr>
            <w:tcW w:w="700" w:type="pct"/>
            <w:shd w:val="clear" w:color="auto" w:fill="FFFFFF"/>
          </w:tcPr>
          <w:p w:rsidR="00E36C8E" w:rsidRPr="00D709E6" w:rsidRDefault="00E36C8E" w:rsidP="00BD4391">
            <w:pPr>
              <w:pStyle w:val="nsr"/>
            </w:pPr>
            <w:r w:rsidRPr="00D709E6">
              <w:t>XXV, 31-46.</w:t>
            </w:r>
          </w:p>
        </w:tc>
        <w:tc>
          <w:tcPr>
            <w:tcW w:w="654" w:type="pct"/>
            <w:shd w:val="clear" w:color="auto" w:fill="FFFFFF"/>
          </w:tcPr>
          <w:p w:rsidR="00E36C8E" w:rsidRPr="00D709E6" w:rsidRDefault="001B4203" w:rsidP="00BD4391">
            <w:pPr>
              <w:pStyle w:val="centrum"/>
            </w:pPr>
            <w:r>
              <w:t xml:space="preserve"> </w:t>
            </w:r>
            <w:r w:rsidR="00E36C8E" w:rsidRPr="00D709E6">
              <w:t>»</w:t>
            </w:r>
          </w:p>
        </w:tc>
        <w:tc>
          <w:tcPr>
            <w:tcW w:w="730" w:type="pct"/>
            <w:shd w:val="clear" w:color="auto" w:fill="FFFFFF"/>
          </w:tcPr>
          <w:p w:rsidR="00E36C8E" w:rsidRPr="00D709E6" w:rsidRDefault="00E36C8E" w:rsidP="00BD4391">
            <w:pPr>
              <w:pStyle w:val="centrum"/>
            </w:pPr>
            <w:r w:rsidRPr="00D709E6">
              <w:t xml:space="preserve"> »</w:t>
            </w:r>
          </w:p>
        </w:tc>
        <w:tc>
          <w:tcPr>
            <w:tcW w:w="828"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2088" w:type="pct"/>
            <w:shd w:val="clear" w:color="auto" w:fill="FFFFFF"/>
          </w:tcPr>
          <w:p w:rsidR="00E36C8E" w:rsidRPr="00177118" w:rsidRDefault="00E36C8E" w:rsidP="00BD4391">
            <w:pPr>
              <w:pStyle w:val="h"/>
            </w:pPr>
            <w:r>
              <w:t>De</w:t>
            </w:r>
            <w:r w:rsidRPr="00177118">
              <w:t>s gentils demandent à voir Jésus</w:t>
            </w:r>
          </w:p>
        </w:tc>
        <w:tc>
          <w:tcPr>
            <w:tcW w:w="700" w:type="pct"/>
            <w:shd w:val="clear" w:color="auto" w:fill="FFFFFF"/>
          </w:tcPr>
          <w:p w:rsidR="00E36C8E" w:rsidRPr="00D709E6" w:rsidRDefault="001B4203" w:rsidP="00BD4391">
            <w:pPr>
              <w:pStyle w:val="centrum"/>
            </w:pPr>
            <w:r>
              <w:t xml:space="preserve"> </w:t>
            </w:r>
            <w:r w:rsidR="00E36C8E" w:rsidRPr="00D709E6">
              <w:t>»</w:t>
            </w:r>
          </w:p>
        </w:tc>
        <w:tc>
          <w:tcPr>
            <w:tcW w:w="654" w:type="pct"/>
            <w:shd w:val="clear" w:color="auto" w:fill="FFFFFF"/>
          </w:tcPr>
          <w:p w:rsidR="00E36C8E" w:rsidRPr="00D709E6" w:rsidRDefault="00E36C8E" w:rsidP="00BD4391">
            <w:pPr>
              <w:pStyle w:val="centrum"/>
            </w:pPr>
            <w:r w:rsidRPr="00D709E6">
              <w:t xml:space="preserve"> »</w:t>
            </w:r>
          </w:p>
        </w:tc>
        <w:tc>
          <w:tcPr>
            <w:tcW w:w="730" w:type="pct"/>
            <w:shd w:val="clear" w:color="auto" w:fill="FFFFFF"/>
          </w:tcPr>
          <w:p w:rsidR="00E36C8E" w:rsidRPr="00D709E6" w:rsidRDefault="00E36C8E" w:rsidP="00BD4391">
            <w:pPr>
              <w:pStyle w:val="centrum"/>
            </w:pPr>
            <w:r w:rsidRPr="00D709E6">
              <w:t xml:space="preserve"> »</w:t>
            </w:r>
          </w:p>
        </w:tc>
        <w:tc>
          <w:tcPr>
            <w:tcW w:w="828" w:type="pct"/>
            <w:shd w:val="clear" w:color="auto" w:fill="FFFFFF"/>
          </w:tcPr>
          <w:p w:rsidR="00E36C8E" w:rsidRPr="00D709E6" w:rsidRDefault="00E36C8E" w:rsidP="00BD4391">
            <w:pPr>
              <w:pStyle w:val="nsr"/>
            </w:pPr>
            <w:r w:rsidRPr="00D709E6">
              <w:t xml:space="preserve">XII, </w:t>
            </w:r>
            <w:r>
              <w:t>20-3</w:t>
            </w:r>
            <w:r w:rsidRPr="00D709E6">
              <w:t>6.</w:t>
            </w:r>
          </w:p>
        </w:tc>
      </w:tr>
      <w:tr w:rsidR="00E36C8E" w:rsidRPr="00177118" w:rsidTr="00BD4391">
        <w:trPr>
          <w:cantSplit/>
          <w:trHeight w:val="20"/>
        </w:trPr>
        <w:tc>
          <w:tcPr>
            <w:tcW w:w="2088" w:type="pct"/>
            <w:shd w:val="clear" w:color="auto" w:fill="FFFFFF"/>
          </w:tcPr>
          <w:p w:rsidR="00E36C8E" w:rsidRPr="00177118" w:rsidRDefault="00E36C8E" w:rsidP="00BD4391">
            <w:pPr>
              <w:pStyle w:val="h"/>
            </w:pPr>
            <w:r w:rsidRPr="00177118">
              <w:t>Aveuglement des Juifs et</w:t>
            </w:r>
            <w:r>
              <w:t xml:space="preserve"> </w:t>
            </w:r>
            <w:r w:rsidRPr="00177118">
              <w:t>mission divine de Jésus-Christ</w:t>
            </w:r>
          </w:p>
        </w:tc>
        <w:tc>
          <w:tcPr>
            <w:tcW w:w="700" w:type="pct"/>
            <w:shd w:val="clear" w:color="auto" w:fill="FFFFFF"/>
          </w:tcPr>
          <w:p w:rsidR="00E36C8E" w:rsidRPr="00D709E6" w:rsidRDefault="001B4203" w:rsidP="00BD4391">
            <w:pPr>
              <w:pStyle w:val="centrum"/>
            </w:pPr>
            <w:r>
              <w:t xml:space="preserve"> </w:t>
            </w:r>
            <w:r w:rsidR="00E36C8E" w:rsidRPr="00D709E6">
              <w:t>»</w:t>
            </w:r>
          </w:p>
        </w:tc>
        <w:tc>
          <w:tcPr>
            <w:tcW w:w="654" w:type="pct"/>
            <w:shd w:val="clear" w:color="auto" w:fill="FFFFFF"/>
          </w:tcPr>
          <w:p w:rsidR="00E36C8E" w:rsidRPr="00D709E6" w:rsidRDefault="001B4203" w:rsidP="00BD4391">
            <w:pPr>
              <w:pStyle w:val="centrum"/>
            </w:pPr>
            <w:r>
              <w:t xml:space="preserve"> </w:t>
            </w:r>
            <w:r w:rsidR="00E36C8E" w:rsidRPr="00D709E6">
              <w:t>»</w:t>
            </w:r>
          </w:p>
        </w:tc>
        <w:tc>
          <w:tcPr>
            <w:tcW w:w="730" w:type="pct"/>
            <w:shd w:val="clear" w:color="auto" w:fill="FFFFFF"/>
          </w:tcPr>
          <w:p w:rsidR="00E36C8E" w:rsidRPr="00D709E6" w:rsidRDefault="00E36C8E" w:rsidP="00BD4391">
            <w:pPr>
              <w:pStyle w:val="centrum"/>
            </w:pPr>
            <w:r w:rsidRPr="00D709E6">
              <w:t xml:space="preserve"> »</w:t>
            </w:r>
          </w:p>
        </w:tc>
        <w:tc>
          <w:tcPr>
            <w:tcW w:w="828" w:type="pct"/>
            <w:shd w:val="clear" w:color="auto" w:fill="FFFFFF"/>
          </w:tcPr>
          <w:p w:rsidR="00E36C8E" w:rsidRPr="00D709E6" w:rsidRDefault="00E36C8E" w:rsidP="00BD4391">
            <w:pPr>
              <w:pStyle w:val="nsr"/>
            </w:pPr>
            <w:r w:rsidRPr="00D709E6">
              <w:t>XII, 37-50.</w:t>
            </w:r>
          </w:p>
        </w:tc>
      </w:tr>
      <w:tr w:rsidR="00E36C8E" w:rsidRPr="00177118" w:rsidTr="00BD4391">
        <w:trPr>
          <w:cantSplit/>
          <w:trHeight w:val="20"/>
        </w:trPr>
        <w:tc>
          <w:tcPr>
            <w:tcW w:w="2088" w:type="pct"/>
            <w:shd w:val="clear" w:color="auto" w:fill="FFFFFF"/>
          </w:tcPr>
          <w:p w:rsidR="00E36C8E" w:rsidRPr="00177118" w:rsidRDefault="00E36C8E" w:rsidP="00BD4391">
            <w:pPr>
              <w:pStyle w:val="h"/>
            </w:pPr>
            <w:r w:rsidRPr="00177118">
              <w:t>Abrégé des derniers jours de la vie</w:t>
            </w:r>
            <w:r>
              <w:t xml:space="preserve"> de Jésus</w:t>
            </w:r>
          </w:p>
        </w:tc>
        <w:tc>
          <w:tcPr>
            <w:tcW w:w="700" w:type="pct"/>
            <w:shd w:val="clear" w:color="auto" w:fill="FFFFFF"/>
          </w:tcPr>
          <w:p w:rsidR="00E36C8E" w:rsidRPr="00D709E6" w:rsidRDefault="00E36C8E" w:rsidP="00BD4391">
            <w:pPr>
              <w:pStyle w:val="centrum"/>
            </w:pPr>
            <w:r w:rsidRPr="00D709E6">
              <w:t xml:space="preserve"> »</w:t>
            </w:r>
          </w:p>
        </w:tc>
        <w:tc>
          <w:tcPr>
            <w:tcW w:w="654" w:type="pct"/>
            <w:shd w:val="clear" w:color="auto" w:fill="FFFFFF"/>
          </w:tcPr>
          <w:p w:rsidR="00E36C8E" w:rsidRPr="00D709E6" w:rsidRDefault="001B4203" w:rsidP="00BD4391">
            <w:pPr>
              <w:pStyle w:val="centrum"/>
            </w:pPr>
            <w:r>
              <w:t xml:space="preserve"> </w:t>
            </w:r>
            <w:r w:rsidR="00E36C8E" w:rsidRPr="00D709E6">
              <w:t>»</w:t>
            </w:r>
          </w:p>
        </w:tc>
        <w:tc>
          <w:tcPr>
            <w:tcW w:w="730" w:type="pct"/>
            <w:shd w:val="clear" w:color="auto" w:fill="FFFFFF"/>
          </w:tcPr>
          <w:p w:rsidR="00E36C8E" w:rsidRPr="00D709E6" w:rsidRDefault="00E36C8E" w:rsidP="00BD4391">
            <w:pPr>
              <w:pStyle w:val="nsr"/>
            </w:pPr>
            <w:r>
              <w:t>XXI, 37-38.</w:t>
            </w:r>
          </w:p>
        </w:tc>
        <w:tc>
          <w:tcPr>
            <w:tcW w:w="828" w:type="pct"/>
            <w:shd w:val="clear" w:color="auto" w:fill="FFFFFF"/>
          </w:tcPr>
          <w:p w:rsidR="00E36C8E" w:rsidRPr="00D709E6" w:rsidRDefault="00E36C8E" w:rsidP="00BD4391">
            <w:pPr>
              <w:pStyle w:val="centrum"/>
            </w:pPr>
            <w:r w:rsidRPr="00D709E6">
              <w:t xml:space="preserve"> »</w:t>
            </w:r>
          </w:p>
        </w:tc>
      </w:tr>
    </w:tbl>
    <w:p w:rsidR="00E36C8E" w:rsidRPr="00BA1CB4" w:rsidRDefault="00E36C8E" w:rsidP="00E36C8E">
      <w:pPr>
        <w:pStyle w:val="u3"/>
      </w:pPr>
      <w:r w:rsidRPr="00BA1CB4">
        <w:t>§ II. —Passion de N.-</w:t>
      </w:r>
      <w:r>
        <w:t>St</w:t>
      </w:r>
      <w:r w:rsidRPr="00BA1CB4">
        <w:t xml:space="preserve"> Jésus-Christ.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4107"/>
        <w:gridCol w:w="1573"/>
        <w:gridCol w:w="1574"/>
        <w:gridCol w:w="1553"/>
        <w:gridCol w:w="1683"/>
      </w:tblGrid>
      <w:tr w:rsidR="00E36C8E" w:rsidRPr="00177118" w:rsidTr="00BD4391">
        <w:trPr>
          <w:cantSplit/>
          <w:trHeight w:val="20"/>
        </w:trPr>
        <w:tc>
          <w:tcPr>
            <w:tcW w:w="1958" w:type="pct"/>
            <w:shd w:val="clear" w:color="auto" w:fill="FFFFFF"/>
          </w:tcPr>
          <w:p w:rsidR="00E36C8E" w:rsidRPr="00177118" w:rsidRDefault="00E36C8E" w:rsidP="00BD4391">
            <w:pPr>
              <w:pStyle w:val="h"/>
            </w:pPr>
            <w:r w:rsidRPr="00177118">
              <w:t>Conspiration contre Jésus</w:t>
            </w:r>
            <w:r>
              <w:t xml:space="preserve"> </w:t>
            </w:r>
          </w:p>
        </w:tc>
        <w:tc>
          <w:tcPr>
            <w:tcW w:w="750" w:type="pct"/>
            <w:shd w:val="clear" w:color="auto" w:fill="FFFFFF"/>
          </w:tcPr>
          <w:p w:rsidR="00E36C8E" w:rsidRPr="00D709E6" w:rsidRDefault="00E36C8E" w:rsidP="00BD4391">
            <w:pPr>
              <w:pStyle w:val="nsr"/>
            </w:pPr>
            <w:r w:rsidRPr="00D709E6">
              <w:t>XXVI, 1-5.</w:t>
            </w:r>
          </w:p>
        </w:tc>
        <w:tc>
          <w:tcPr>
            <w:tcW w:w="750" w:type="pct"/>
            <w:shd w:val="clear" w:color="auto" w:fill="FFFFFF"/>
          </w:tcPr>
          <w:p w:rsidR="00E36C8E" w:rsidRPr="00D709E6" w:rsidRDefault="00E36C8E" w:rsidP="00BD4391">
            <w:pPr>
              <w:pStyle w:val="nsr"/>
            </w:pPr>
            <w:r w:rsidRPr="00D709E6">
              <w:t>XIV</w:t>
            </w:r>
            <w:r>
              <w:t>,</w:t>
            </w:r>
            <w:r w:rsidRPr="00D709E6">
              <w:t xml:space="preserve"> 1-2.</w:t>
            </w:r>
          </w:p>
        </w:tc>
        <w:tc>
          <w:tcPr>
            <w:tcW w:w="740" w:type="pct"/>
            <w:shd w:val="clear" w:color="auto" w:fill="FFFFFF"/>
          </w:tcPr>
          <w:p w:rsidR="00E36C8E" w:rsidRPr="00D709E6" w:rsidRDefault="00E36C8E" w:rsidP="00BD4391">
            <w:pPr>
              <w:pStyle w:val="nsr"/>
            </w:pPr>
            <w:r w:rsidRPr="00D709E6">
              <w:t xml:space="preserve">XIII, </w:t>
            </w:r>
            <w:r>
              <w:t>1-2.</w:t>
            </w:r>
          </w:p>
        </w:tc>
        <w:tc>
          <w:tcPr>
            <w:tcW w:w="803"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1958" w:type="pct"/>
            <w:shd w:val="clear" w:color="auto" w:fill="FFFFFF"/>
          </w:tcPr>
          <w:p w:rsidR="00E36C8E" w:rsidRPr="00177118" w:rsidRDefault="00E36C8E" w:rsidP="00BD4391">
            <w:pPr>
              <w:pStyle w:val="h"/>
            </w:pPr>
            <w:r w:rsidRPr="00177118">
              <w:t>Judas promet de livrer son Maître.</w:t>
            </w:r>
          </w:p>
        </w:tc>
        <w:tc>
          <w:tcPr>
            <w:tcW w:w="750" w:type="pct"/>
            <w:shd w:val="clear" w:color="auto" w:fill="FFFFFF"/>
          </w:tcPr>
          <w:p w:rsidR="00E36C8E" w:rsidRPr="00D709E6" w:rsidRDefault="00E36C8E" w:rsidP="00BD4391">
            <w:pPr>
              <w:pStyle w:val="nsr"/>
            </w:pPr>
            <w:r w:rsidRPr="00D709E6">
              <w:t>XXVI, 14-16.</w:t>
            </w:r>
          </w:p>
        </w:tc>
        <w:tc>
          <w:tcPr>
            <w:tcW w:w="750" w:type="pct"/>
            <w:shd w:val="clear" w:color="auto" w:fill="FFFFFF"/>
          </w:tcPr>
          <w:p w:rsidR="00E36C8E" w:rsidRPr="00D709E6" w:rsidRDefault="00E36C8E" w:rsidP="00BD4391">
            <w:pPr>
              <w:pStyle w:val="nsr"/>
            </w:pPr>
            <w:r w:rsidRPr="00D709E6">
              <w:t>XIV, 10-11.</w:t>
            </w:r>
          </w:p>
        </w:tc>
        <w:tc>
          <w:tcPr>
            <w:tcW w:w="740" w:type="pct"/>
            <w:shd w:val="clear" w:color="auto" w:fill="FFFFFF"/>
          </w:tcPr>
          <w:p w:rsidR="00E36C8E" w:rsidRPr="00D709E6" w:rsidRDefault="00E36C8E" w:rsidP="00BD4391">
            <w:pPr>
              <w:pStyle w:val="nsr"/>
            </w:pPr>
            <w:r w:rsidRPr="00D709E6">
              <w:t xml:space="preserve">XXII, </w:t>
            </w:r>
            <w:r>
              <w:t>3-</w:t>
            </w:r>
            <w:r w:rsidRPr="00D709E6">
              <w:t>6.</w:t>
            </w:r>
          </w:p>
        </w:tc>
        <w:tc>
          <w:tcPr>
            <w:tcW w:w="803"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1958" w:type="pct"/>
            <w:shd w:val="clear" w:color="auto" w:fill="FFFFFF"/>
          </w:tcPr>
          <w:p w:rsidR="00E36C8E" w:rsidRPr="00177118" w:rsidRDefault="00E36C8E" w:rsidP="00BD4391">
            <w:pPr>
              <w:pStyle w:val="h"/>
            </w:pPr>
            <w:r>
              <w:t>La Cène légale</w:t>
            </w:r>
          </w:p>
        </w:tc>
        <w:tc>
          <w:tcPr>
            <w:tcW w:w="750" w:type="pct"/>
            <w:shd w:val="clear" w:color="auto" w:fill="FFFFFF"/>
          </w:tcPr>
          <w:p w:rsidR="00E36C8E" w:rsidRPr="00D709E6" w:rsidRDefault="00E36C8E" w:rsidP="00BD4391">
            <w:pPr>
              <w:pStyle w:val="nsr"/>
            </w:pPr>
            <w:r w:rsidRPr="00D709E6">
              <w:t>XXVI, 17-20.</w:t>
            </w:r>
          </w:p>
        </w:tc>
        <w:tc>
          <w:tcPr>
            <w:tcW w:w="750" w:type="pct"/>
            <w:shd w:val="clear" w:color="auto" w:fill="FFFFFF"/>
          </w:tcPr>
          <w:p w:rsidR="00E36C8E" w:rsidRPr="00D709E6" w:rsidRDefault="00E36C8E" w:rsidP="00BD4391">
            <w:pPr>
              <w:pStyle w:val="nsr"/>
            </w:pPr>
            <w:r w:rsidRPr="00D709E6">
              <w:t>XIV, 12-17.</w:t>
            </w:r>
          </w:p>
        </w:tc>
        <w:tc>
          <w:tcPr>
            <w:tcW w:w="740" w:type="pct"/>
            <w:shd w:val="clear" w:color="auto" w:fill="FFFFFF"/>
          </w:tcPr>
          <w:p w:rsidR="00E36C8E" w:rsidRPr="00D709E6" w:rsidRDefault="00E36C8E" w:rsidP="00BD4391">
            <w:pPr>
              <w:pStyle w:val="nsr"/>
            </w:pPr>
            <w:r w:rsidRPr="00D709E6">
              <w:t>XXII, 7-14.</w:t>
            </w:r>
          </w:p>
        </w:tc>
        <w:tc>
          <w:tcPr>
            <w:tcW w:w="803"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1958" w:type="pct"/>
            <w:shd w:val="clear" w:color="auto" w:fill="FFFFFF"/>
          </w:tcPr>
          <w:p w:rsidR="00E36C8E" w:rsidRPr="00177118" w:rsidRDefault="00E36C8E" w:rsidP="00BD4391">
            <w:pPr>
              <w:pStyle w:val="h"/>
            </w:pPr>
            <w:r>
              <w:t xml:space="preserve">Contestation entre les apôtres </w:t>
            </w:r>
          </w:p>
        </w:tc>
        <w:tc>
          <w:tcPr>
            <w:tcW w:w="750" w:type="pct"/>
            <w:shd w:val="clear" w:color="auto" w:fill="FFFFFF"/>
          </w:tcPr>
          <w:p w:rsidR="00E36C8E" w:rsidRPr="00D709E6" w:rsidRDefault="00E36C8E" w:rsidP="00BD4391">
            <w:pPr>
              <w:pStyle w:val="centrum"/>
            </w:pPr>
            <w:r w:rsidRPr="00D709E6">
              <w:t xml:space="preserve"> »</w:t>
            </w:r>
          </w:p>
        </w:tc>
        <w:tc>
          <w:tcPr>
            <w:tcW w:w="750" w:type="pct"/>
            <w:shd w:val="clear" w:color="auto" w:fill="FFFFFF"/>
          </w:tcPr>
          <w:p w:rsidR="00E36C8E" w:rsidRPr="00D709E6" w:rsidRDefault="001B4203" w:rsidP="00BD4391">
            <w:pPr>
              <w:pStyle w:val="centrum"/>
            </w:pPr>
            <w:r>
              <w:t xml:space="preserve"> </w:t>
            </w:r>
            <w:r w:rsidR="00E36C8E" w:rsidRPr="00D709E6">
              <w:t>»</w:t>
            </w:r>
          </w:p>
        </w:tc>
        <w:tc>
          <w:tcPr>
            <w:tcW w:w="740" w:type="pct"/>
            <w:shd w:val="clear" w:color="auto" w:fill="FFFFFF"/>
          </w:tcPr>
          <w:p w:rsidR="00E36C8E" w:rsidRPr="00D709E6" w:rsidRDefault="00E36C8E" w:rsidP="00BD4391">
            <w:pPr>
              <w:pStyle w:val="nsr"/>
            </w:pPr>
            <w:r w:rsidRPr="00D709E6">
              <w:t>XXII, 24-30.</w:t>
            </w:r>
          </w:p>
        </w:tc>
        <w:tc>
          <w:tcPr>
            <w:tcW w:w="803"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1958" w:type="pct"/>
            <w:shd w:val="clear" w:color="auto" w:fill="FFFFFF"/>
          </w:tcPr>
          <w:p w:rsidR="00E36C8E" w:rsidRPr="00177118" w:rsidRDefault="00E36C8E" w:rsidP="00BD4391">
            <w:pPr>
              <w:pStyle w:val="h"/>
            </w:pPr>
            <w:r>
              <w:t>Le lavement des pieds</w:t>
            </w:r>
          </w:p>
        </w:tc>
        <w:tc>
          <w:tcPr>
            <w:tcW w:w="750" w:type="pct"/>
            <w:shd w:val="clear" w:color="auto" w:fill="FFFFFF"/>
          </w:tcPr>
          <w:p w:rsidR="00E36C8E" w:rsidRDefault="001B4203" w:rsidP="00BD4391">
            <w:pPr>
              <w:pStyle w:val="centrum"/>
            </w:pPr>
            <w:r>
              <w:t xml:space="preserve"> </w:t>
            </w:r>
            <w:r w:rsidR="00E36C8E" w:rsidRPr="00EE5C71">
              <w:t>»</w:t>
            </w:r>
          </w:p>
        </w:tc>
        <w:tc>
          <w:tcPr>
            <w:tcW w:w="750" w:type="pct"/>
            <w:shd w:val="clear" w:color="auto" w:fill="FFFFFF"/>
          </w:tcPr>
          <w:p w:rsidR="00E36C8E" w:rsidRDefault="001B4203" w:rsidP="00BD4391">
            <w:pPr>
              <w:pStyle w:val="centrum"/>
            </w:pPr>
            <w:r>
              <w:t xml:space="preserve"> </w:t>
            </w:r>
            <w:r w:rsidR="00E36C8E" w:rsidRPr="00EE5C71">
              <w:t>»</w:t>
            </w:r>
          </w:p>
        </w:tc>
        <w:tc>
          <w:tcPr>
            <w:tcW w:w="740" w:type="pct"/>
            <w:shd w:val="clear" w:color="auto" w:fill="FFFFFF"/>
          </w:tcPr>
          <w:p w:rsidR="00E36C8E" w:rsidRDefault="001B4203" w:rsidP="00BD4391">
            <w:pPr>
              <w:pStyle w:val="centrum"/>
            </w:pPr>
            <w:r>
              <w:t xml:space="preserve"> </w:t>
            </w:r>
            <w:r w:rsidR="00E36C8E" w:rsidRPr="00EE5C71">
              <w:t>»</w:t>
            </w:r>
          </w:p>
        </w:tc>
        <w:tc>
          <w:tcPr>
            <w:tcW w:w="803" w:type="pct"/>
            <w:shd w:val="clear" w:color="auto" w:fill="FFFFFF"/>
          </w:tcPr>
          <w:p w:rsidR="00E36C8E" w:rsidRPr="00D709E6" w:rsidRDefault="00E36C8E" w:rsidP="00BD4391">
            <w:pPr>
              <w:pStyle w:val="nsr"/>
            </w:pPr>
            <w:r w:rsidRPr="00D709E6">
              <w:t>XIII, 1-17.</w:t>
            </w:r>
          </w:p>
        </w:tc>
      </w:tr>
      <w:tr w:rsidR="00E36C8E" w:rsidRPr="00177118" w:rsidTr="00BD4391">
        <w:trPr>
          <w:cantSplit/>
          <w:trHeight w:val="20"/>
        </w:trPr>
        <w:tc>
          <w:tcPr>
            <w:tcW w:w="1958" w:type="pct"/>
            <w:shd w:val="clear" w:color="auto" w:fill="FFFFFF"/>
          </w:tcPr>
          <w:p w:rsidR="00E36C8E" w:rsidRPr="00177118" w:rsidRDefault="00E36C8E" w:rsidP="00BD4391">
            <w:pPr>
              <w:pStyle w:val="h"/>
            </w:pPr>
            <w:r>
              <w:t>Désignation du traitre</w:t>
            </w:r>
          </w:p>
        </w:tc>
        <w:tc>
          <w:tcPr>
            <w:tcW w:w="750" w:type="pct"/>
            <w:shd w:val="clear" w:color="auto" w:fill="FFFFFF"/>
          </w:tcPr>
          <w:p w:rsidR="00E36C8E" w:rsidRPr="00D709E6" w:rsidRDefault="00E36C8E" w:rsidP="00BD4391">
            <w:pPr>
              <w:pStyle w:val="nsr"/>
            </w:pPr>
            <w:r>
              <w:t>XXVI</w:t>
            </w:r>
            <w:r w:rsidRPr="00D709E6">
              <w:t>, 21-25.</w:t>
            </w:r>
          </w:p>
        </w:tc>
        <w:tc>
          <w:tcPr>
            <w:tcW w:w="750" w:type="pct"/>
            <w:shd w:val="clear" w:color="auto" w:fill="FFFFFF"/>
          </w:tcPr>
          <w:p w:rsidR="00E36C8E" w:rsidRPr="00D709E6" w:rsidRDefault="00E36C8E" w:rsidP="00BD4391">
            <w:pPr>
              <w:pStyle w:val="nsr"/>
            </w:pPr>
            <w:r w:rsidRPr="00D709E6">
              <w:t>XIV, 18-21</w:t>
            </w:r>
            <w:r>
              <w:t>.</w:t>
            </w:r>
          </w:p>
        </w:tc>
        <w:tc>
          <w:tcPr>
            <w:tcW w:w="740" w:type="pct"/>
            <w:shd w:val="clear" w:color="auto" w:fill="FFFFFF"/>
          </w:tcPr>
          <w:p w:rsidR="00E36C8E" w:rsidRPr="00D709E6" w:rsidRDefault="00E36C8E" w:rsidP="00BD4391">
            <w:pPr>
              <w:pStyle w:val="nsr"/>
            </w:pPr>
            <w:r w:rsidRPr="00D709E6">
              <w:t>XXII, 21-23.</w:t>
            </w:r>
          </w:p>
        </w:tc>
        <w:tc>
          <w:tcPr>
            <w:tcW w:w="803" w:type="pct"/>
            <w:shd w:val="clear" w:color="auto" w:fill="FFFFFF"/>
          </w:tcPr>
          <w:p w:rsidR="00E36C8E" w:rsidRPr="00D709E6" w:rsidRDefault="00E36C8E" w:rsidP="00BD4391">
            <w:pPr>
              <w:pStyle w:val="nsr"/>
            </w:pPr>
            <w:r w:rsidRPr="00D709E6">
              <w:t>XIII 18-30.</w:t>
            </w:r>
          </w:p>
        </w:tc>
      </w:tr>
      <w:tr w:rsidR="00E36C8E" w:rsidRPr="00177118" w:rsidTr="00BD4391">
        <w:trPr>
          <w:cantSplit/>
          <w:trHeight w:val="20"/>
        </w:trPr>
        <w:tc>
          <w:tcPr>
            <w:tcW w:w="1958" w:type="pct"/>
            <w:shd w:val="clear" w:color="auto" w:fill="FFFFFF"/>
          </w:tcPr>
          <w:p w:rsidR="00E36C8E" w:rsidRPr="00177118" w:rsidRDefault="00E36C8E" w:rsidP="00BD4391">
            <w:pPr>
              <w:pStyle w:val="h"/>
            </w:pPr>
            <w:r>
              <w:t>La charité fraternelle</w:t>
            </w:r>
          </w:p>
        </w:tc>
        <w:tc>
          <w:tcPr>
            <w:tcW w:w="750" w:type="pct"/>
            <w:shd w:val="clear" w:color="auto" w:fill="FFFFFF"/>
          </w:tcPr>
          <w:p w:rsidR="00E36C8E" w:rsidRDefault="001B4203" w:rsidP="00BD4391">
            <w:pPr>
              <w:pStyle w:val="centrum"/>
            </w:pPr>
            <w:r>
              <w:t xml:space="preserve"> </w:t>
            </w:r>
            <w:r w:rsidR="00E36C8E" w:rsidRPr="006F07D9">
              <w:t>»</w:t>
            </w:r>
          </w:p>
        </w:tc>
        <w:tc>
          <w:tcPr>
            <w:tcW w:w="750" w:type="pct"/>
            <w:shd w:val="clear" w:color="auto" w:fill="FFFFFF"/>
          </w:tcPr>
          <w:p w:rsidR="00E36C8E" w:rsidRDefault="001B4203" w:rsidP="00BD4391">
            <w:pPr>
              <w:pStyle w:val="centrum"/>
            </w:pPr>
            <w:r>
              <w:t xml:space="preserve"> </w:t>
            </w:r>
            <w:r w:rsidR="00E36C8E" w:rsidRPr="006F07D9">
              <w:t>»</w:t>
            </w:r>
          </w:p>
        </w:tc>
        <w:tc>
          <w:tcPr>
            <w:tcW w:w="740" w:type="pct"/>
            <w:shd w:val="clear" w:color="auto" w:fill="FFFFFF"/>
          </w:tcPr>
          <w:p w:rsidR="00E36C8E" w:rsidRDefault="001B4203" w:rsidP="00BD4391">
            <w:pPr>
              <w:pStyle w:val="centrum"/>
            </w:pPr>
            <w:r>
              <w:t xml:space="preserve"> </w:t>
            </w:r>
            <w:r w:rsidR="00E36C8E" w:rsidRPr="006F07D9">
              <w:t>»</w:t>
            </w:r>
          </w:p>
        </w:tc>
        <w:tc>
          <w:tcPr>
            <w:tcW w:w="803" w:type="pct"/>
            <w:shd w:val="clear" w:color="auto" w:fill="FFFFFF"/>
          </w:tcPr>
          <w:p w:rsidR="00E36C8E" w:rsidRPr="00D709E6" w:rsidRDefault="00E36C8E" w:rsidP="00BD4391">
            <w:pPr>
              <w:pStyle w:val="nsr"/>
            </w:pPr>
          </w:p>
        </w:tc>
      </w:tr>
      <w:tr w:rsidR="00E36C8E" w:rsidRPr="00177118" w:rsidTr="00BD4391">
        <w:trPr>
          <w:cantSplit/>
          <w:trHeight w:val="20"/>
        </w:trPr>
        <w:tc>
          <w:tcPr>
            <w:tcW w:w="1958" w:type="pct"/>
            <w:shd w:val="clear" w:color="auto" w:fill="FFFFFF"/>
          </w:tcPr>
          <w:p w:rsidR="00E36C8E" w:rsidRPr="00177118" w:rsidRDefault="00E36C8E" w:rsidP="00BD4391">
            <w:pPr>
              <w:pStyle w:val="h"/>
            </w:pPr>
            <w:r w:rsidRPr="00177118">
              <w:t>Institution de l</w:t>
            </w:r>
            <w:r w:rsidR="00557DE0">
              <w:t>’</w:t>
            </w:r>
            <w:r w:rsidRPr="00177118">
              <w:t>Eucharistie</w:t>
            </w:r>
            <w:r>
              <w:t xml:space="preserve"> </w:t>
            </w:r>
          </w:p>
        </w:tc>
        <w:tc>
          <w:tcPr>
            <w:tcW w:w="750" w:type="pct"/>
            <w:shd w:val="clear" w:color="auto" w:fill="FFFFFF"/>
          </w:tcPr>
          <w:p w:rsidR="00E36C8E" w:rsidRPr="00D709E6" w:rsidRDefault="00E36C8E" w:rsidP="00BD4391">
            <w:pPr>
              <w:pStyle w:val="nsr"/>
            </w:pPr>
            <w:r w:rsidRPr="00D709E6">
              <w:t>XXVI, 26-29.</w:t>
            </w:r>
          </w:p>
        </w:tc>
        <w:tc>
          <w:tcPr>
            <w:tcW w:w="750" w:type="pct"/>
            <w:shd w:val="clear" w:color="auto" w:fill="FFFFFF"/>
          </w:tcPr>
          <w:p w:rsidR="00E36C8E" w:rsidRPr="00D709E6" w:rsidRDefault="00E36C8E" w:rsidP="00BD4391">
            <w:pPr>
              <w:pStyle w:val="nsr"/>
            </w:pPr>
            <w:r w:rsidRPr="00D709E6">
              <w:t>XIV, 22-25</w:t>
            </w:r>
            <w:r>
              <w:t>.</w:t>
            </w:r>
          </w:p>
        </w:tc>
        <w:tc>
          <w:tcPr>
            <w:tcW w:w="740" w:type="pct"/>
            <w:shd w:val="clear" w:color="auto" w:fill="FFFFFF"/>
          </w:tcPr>
          <w:p w:rsidR="00E36C8E" w:rsidRPr="00D709E6" w:rsidRDefault="00E36C8E" w:rsidP="00BD4391">
            <w:pPr>
              <w:pStyle w:val="nsr"/>
            </w:pPr>
            <w:r w:rsidRPr="00D709E6">
              <w:t>XXII, 15-20.</w:t>
            </w:r>
          </w:p>
        </w:tc>
        <w:tc>
          <w:tcPr>
            <w:tcW w:w="803" w:type="pct"/>
            <w:shd w:val="clear" w:color="auto" w:fill="FFFFFF"/>
          </w:tcPr>
          <w:p w:rsidR="00E36C8E" w:rsidRPr="00D709E6" w:rsidRDefault="00E36C8E" w:rsidP="00BD4391">
            <w:pPr>
              <w:pStyle w:val="nsr"/>
            </w:pPr>
            <w:r w:rsidRPr="00D709E6">
              <w:t>XI</w:t>
            </w:r>
            <w:r>
              <w:t>II,</w:t>
            </w:r>
            <w:r w:rsidRPr="00D709E6">
              <w:t xml:space="preserve"> 31-35.</w:t>
            </w:r>
          </w:p>
        </w:tc>
      </w:tr>
      <w:tr w:rsidR="00E36C8E" w:rsidRPr="00177118" w:rsidTr="00BD4391">
        <w:trPr>
          <w:cantSplit/>
          <w:trHeight w:val="20"/>
        </w:trPr>
        <w:tc>
          <w:tcPr>
            <w:tcW w:w="1958" w:type="pct"/>
            <w:shd w:val="clear" w:color="auto" w:fill="FFFFFF"/>
          </w:tcPr>
          <w:p w:rsidR="00E36C8E" w:rsidRPr="00177118" w:rsidRDefault="00E36C8E" w:rsidP="00BD4391">
            <w:pPr>
              <w:pStyle w:val="h"/>
            </w:pPr>
            <w:r w:rsidRPr="00177118">
              <w:t xml:space="preserve">Prédiction du reniement de </w:t>
            </w:r>
            <w:r>
              <w:t>St Pierre</w:t>
            </w:r>
          </w:p>
        </w:tc>
        <w:tc>
          <w:tcPr>
            <w:tcW w:w="750" w:type="pct"/>
            <w:shd w:val="clear" w:color="auto" w:fill="FFFFFF"/>
          </w:tcPr>
          <w:p w:rsidR="00E36C8E" w:rsidRPr="00D709E6" w:rsidRDefault="00E36C8E" w:rsidP="00BD4391">
            <w:pPr>
              <w:pStyle w:val="nsr"/>
            </w:pPr>
            <w:r w:rsidRPr="00D709E6">
              <w:t>XXVI, 30-35.</w:t>
            </w:r>
          </w:p>
        </w:tc>
        <w:tc>
          <w:tcPr>
            <w:tcW w:w="750" w:type="pct"/>
            <w:shd w:val="clear" w:color="auto" w:fill="FFFFFF"/>
          </w:tcPr>
          <w:p w:rsidR="00E36C8E" w:rsidRPr="00D709E6" w:rsidRDefault="00E36C8E" w:rsidP="00BD4391">
            <w:pPr>
              <w:pStyle w:val="nsr"/>
            </w:pPr>
            <w:r w:rsidRPr="00D709E6">
              <w:t>XIV, 26-31</w:t>
            </w:r>
            <w:r>
              <w:t>.</w:t>
            </w:r>
            <w:r w:rsidRPr="00D709E6">
              <w:t xml:space="preserve"> </w:t>
            </w:r>
          </w:p>
        </w:tc>
        <w:tc>
          <w:tcPr>
            <w:tcW w:w="740" w:type="pct"/>
            <w:shd w:val="clear" w:color="auto" w:fill="FFFFFF"/>
          </w:tcPr>
          <w:p w:rsidR="00E36C8E" w:rsidRPr="00D709E6" w:rsidRDefault="00E36C8E" w:rsidP="00BD4391">
            <w:pPr>
              <w:pStyle w:val="nsr"/>
            </w:pPr>
            <w:r w:rsidRPr="00D709E6">
              <w:t xml:space="preserve">XXII, </w:t>
            </w:r>
            <w:r>
              <w:t>31-</w:t>
            </w:r>
            <w:r w:rsidRPr="00D709E6">
              <w:t>34.</w:t>
            </w:r>
          </w:p>
        </w:tc>
        <w:tc>
          <w:tcPr>
            <w:tcW w:w="803" w:type="pct"/>
            <w:shd w:val="clear" w:color="auto" w:fill="FFFFFF"/>
          </w:tcPr>
          <w:p w:rsidR="00E36C8E" w:rsidRPr="00D709E6" w:rsidRDefault="00E36C8E" w:rsidP="00BD4391">
            <w:pPr>
              <w:pStyle w:val="nsr"/>
            </w:pPr>
            <w:r w:rsidRPr="00D709E6">
              <w:t>XIII, 36-38.</w:t>
            </w:r>
          </w:p>
        </w:tc>
      </w:tr>
      <w:tr w:rsidR="00E36C8E" w:rsidRPr="00177118" w:rsidTr="00BD4391">
        <w:trPr>
          <w:cantSplit/>
          <w:trHeight w:val="20"/>
        </w:trPr>
        <w:tc>
          <w:tcPr>
            <w:tcW w:w="1958" w:type="pct"/>
            <w:shd w:val="clear" w:color="auto" w:fill="FFFFFF"/>
          </w:tcPr>
          <w:p w:rsidR="00E36C8E" w:rsidRPr="00177118" w:rsidRDefault="00E36C8E" w:rsidP="00BD4391">
            <w:pPr>
              <w:pStyle w:val="h"/>
            </w:pPr>
            <w:r>
              <w:t>Le glaive</w:t>
            </w:r>
          </w:p>
        </w:tc>
        <w:tc>
          <w:tcPr>
            <w:tcW w:w="750" w:type="pct"/>
            <w:shd w:val="clear" w:color="auto" w:fill="FFFFFF"/>
          </w:tcPr>
          <w:p w:rsidR="00E36C8E" w:rsidRPr="00D709E6" w:rsidRDefault="00E36C8E" w:rsidP="00BD4391">
            <w:pPr>
              <w:pStyle w:val="centrum"/>
            </w:pPr>
            <w:r w:rsidRPr="00D709E6">
              <w:t xml:space="preserve"> »</w:t>
            </w:r>
          </w:p>
        </w:tc>
        <w:tc>
          <w:tcPr>
            <w:tcW w:w="750" w:type="pct"/>
            <w:shd w:val="clear" w:color="auto" w:fill="FFFFFF"/>
          </w:tcPr>
          <w:p w:rsidR="00E36C8E" w:rsidRPr="00D709E6" w:rsidRDefault="00E36C8E" w:rsidP="00BD4391">
            <w:pPr>
              <w:pStyle w:val="centrum"/>
            </w:pPr>
            <w:r w:rsidRPr="00D709E6">
              <w:t xml:space="preserve"> »</w:t>
            </w:r>
          </w:p>
        </w:tc>
        <w:tc>
          <w:tcPr>
            <w:tcW w:w="740" w:type="pct"/>
            <w:shd w:val="clear" w:color="auto" w:fill="FFFFFF"/>
          </w:tcPr>
          <w:p w:rsidR="00E36C8E" w:rsidRPr="00D709E6" w:rsidRDefault="00E36C8E" w:rsidP="00BD4391">
            <w:pPr>
              <w:pStyle w:val="nsr"/>
            </w:pPr>
            <w:r w:rsidRPr="00D709E6">
              <w:t>XXII, 35-38.</w:t>
            </w:r>
          </w:p>
        </w:tc>
        <w:tc>
          <w:tcPr>
            <w:tcW w:w="803"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1958" w:type="pct"/>
            <w:shd w:val="clear" w:color="auto" w:fill="FFFFFF"/>
          </w:tcPr>
          <w:p w:rsidR="00E36C8E" w:rsidRPr="00177118" w:rsidRDefault="00E36C8E" w:rsidP="00BD4391">
            <w:pPr>
              <w:pStyle w:val="h"/>
            </w:pPr>
            <w:r>
              <w:t>Les discours après la Cène</w:t>
            </w:r>
          </w:p>
        </w:tc>
        <w:tc>
          <w:tcPr>
            <w:tcW w:w="750" w:type="pct"/>
            <w:shd w:val="clear" w:color="auto" w:fill="FFFFFF"/>
          </w:tcPr>
          <w:p w:rsidR="00E36C8E" w:rsidRPr="00D709E6" w:rsidRDefault="00E36C8E" w:rsidP="00BD4391">
            <w:pPr>
              <w:pStyle w:val="centrum"/>
            </w:pPr>
            <w:r w:rsidRPr="00D709E6">
              <w:t xml:space="preserve"> »</w:t>
            </w:r>
          </w:p>
        </w:tc>
        <w:tc>
          <w:tcPr>
            <w:tcW w:w="750" w:type="pct"/>
            <w:shd w:val="clear" w:color="auto" w:fill="FFFFFF"/>
          </w:tcPr>
          <w:p w:rsidR="00E36C8E" w:rsidRPr="00D709E6" w:rsidRDefault="00E36C8E" w:rsidP="00BD4391">
            <w:pPr>
              <w:pStyle w:val="centrum"/>
            </w:pPr>
            <w:r w:rsidRPr="00D709E6">
              <w:t xml:space="preserve"> »</w:t>
            </w:r>
          </w:p>
        </w:tc>
        <w:tc>
          <w:tcPr>
            <w:tcW w:w="740" w:type="pct"/>
            <w:shd w:val="clear" w:color="auto" w:fill="FFFFFF"/>
          </w:tcPr>
          <w:p w:rsidR="00E36C8E" w:rsidRPr="00D709E6" w:rsidRDefault="00E36C8E" w:rsidP="00BD4391">
            <w:pPr>
              <w:pStyle w:val="centrum"/>
            </w:pPr>
            <w:r w:rsidRPr="00D709E6">
              <w:t xml:space="preserve"> »</w:t>
            </w:r>
          </w:p>
        </w:tc>
        <w:tc>
          <w:tcPr>
            <w:tcW w:w="803" w:type="pct"/>
            <w:shd w:val="clear" w:color="auto" w:fill="FFFFFF"/>
          </w:tcPr>
          <w:p w:rsidR="00E36C8E" w:rsidRPr="00D709E6" w:rsidRDefault="00E36C8E" w:rsidP="00BD4391">
            <w:pPr>
              <w:pStyle w:val="nsr"/>
            </w:pPr>
            <w:r w:rsidRPr="00D709E6">
              <w:t>XIV- XVI.</w:t>
            </w:r>
          </w:p>
        </w:tc>
      </w:tr>
      <w:tr w:rsidR="00E36C8E" w:rsidRPr="00177118" w:rsidTr="00BD4391">
        <w:trPr>
          <w:cantSplit/>
          <w:trHeight w:val="20"/>
        </w:trPr>
        <w:tc>
          <w:tcPr>
            <w:tcW w:w="1958" w:type="pct"/>
            <w:shd w:val="clear" w:color="auto" w:fill="FFFFFF"/>
          </w:tcPr>
          <w:p w:rsidR="00E36C8E" w:rsidRPr="00177118" w:rsidRDefault="00E36C8E" w:rsidP="00BD4391">
            <w:pPr>
              <w:pStyle w:val="h"/>
            </w:pPr>
            <w:r w:rsidRPr="00177118">
              <w:t>Prière sacerdotale de Jésus</w:t>
            </w:r>
            <w:r>
              <w:t xml:space="preserve"> </w:t>
            </w:r>
          </w:p>
        </w:tc>
        <w:tc>
          <w:tcPr>
            <w:tcW w:w="750" w:type="pct"/>
            <w:shd w:val="clear" w:color="auto" w:fill="FFFFFF"/>
          </w:tcPr>
          <w:p w:rsidR="00E36C8E" w:rsidRPr="00D709E6" w:rsidRDefault="00E36C8E" w:rsidP="00BD4391">
            <w:pPr>
              <w:pStyle w:val="centrum"/>
            </w:pPr>
            <w:r w:rsidRPr="00D709E6">
              <w:t xml:space="preserve"> »</w:t>
            </w:r>
          </w:p>
        </w:tc>
        <w:tc>
          <w:tcPr>
            <w:tcW w:w="750" w:type="pct"/>
            <w:shd w:val="clear" w:color="auto" w:fill="FFFFFF"/>
          </w:tcPr>
          <w:p w:rsidR="00E36C8E" w:rsidRPr="00D709E6" w:rsidRDefault="001B4203" w:rsidP="00BD4391">
            <w:pPr>
              <w:pStyle w:val="centrum"/>
            </w:pPr>
            <w:r>
              <w:t xml:space="preserve"> </w:t>
            </w:r>
            <w:r w:rsidR="00E36C8E" w:rsidRPr="00D709E6">
              <w:t>»</w:t>
            </w:r>
          </w:p>
        </w:tc>
        <w:tc>
          <w:tcPr>
            <w:tcW w:w="740" w:type="pct"/>
            <w:shd w:val="clear" w:color="auto" w:fill="FFFFFF"/>
          </w:tcPr>
          <w:p w:rsidR="00E36C8E" w:rsidRPr="00D709E6" w:rsidRDefault="00E36C8E" w:rsidP="00BD4391">
            <w:pPr>
              <w:pStyle w:val="centrum"/>
            </w:pPr>
            <w:r w:rsidRPr="00D709E6">
              <w:t xml:space="preserve"> »</w:t>
            </w:r>
          </w:p>
        </w:tc>
        <w:tc>
          <w:tcPr>
            <w:tcW w:w="803" w:type="pct"/>
            <w:shd w:val="clear" w:color="auto" w:fill="FFFFFF"/>
          </w:tcPr>
          <w:p w:rsidR="00E36C8E" w:rsidRPr="00D709E6" w:rsidRDefault="00E36C8E" w:rsidP="00BD4391">
            <w:pPr>
              <w:pStyle w:val="nsr"/>
            </w:pPr>
            <w:r w:rsidRPr="00D709E6">
              <w:t>XVII.</w:t>
            </w:r>
          </w:p>
        </w:tc>
      </w:tr>
      <w:tr w:rsidR="00E36C8E" w:rsidRPr="00177118" w:rsidTr="00BD4391">
        <w:trPr>
          <w:cantSplit/>
          <w:trHeight w:val="20"/>
        </w:trPr>
        <w:tc>
          <w:tcPr>
            <w:tcW w:w="1958" w:type="pct"/>
            <w:shd w:val="clear" w:color="auto" w:fill="FFFFFF"/>
          </w:tcPr>
          <w:p w:rsidR="00E36C8E" w:rsidRPr="00177118" w:rsidRDefault="00E36C8E" w:rsidP="00BD4391">
            <w:pPr>
              <w:pStyle w:val="h"/>
            </w:pPr>
            <w:r w:rsidRPr="00177118">
              <w:t>L</w:t>
            </w:r>
            <w:r w:rsidR="00557DE0">
              <w:t>’</w:t>
            </w:r>
            <w:r w:rsidRPr="00177118">
              <w:t>agonie au jardin de Gethsémani</w:t>
            </w:r>
            <w:r>
              <w:t xml:space="preserve"> </w:t>
            </w:r>
          </w:p>
        </w:tc>
        <w:tc>
          <w:tcPr>
            <w:tcW w:w="750" w:type="pct"/>
            <w:shd w:val="clear" w:color="auto" w:fill="FFFFFF"/>
          </w:tcPr>
          <w:p w:rsidR="00E36C8E" w:rsidRPr="00D709E6" w:rsidRDefault="00E36C8E" w:rsidP="00BD4391">
            <w:pPr>
              <w:pStyle w:val="nsr"/>
            </w:pPr>
            <w:r w:rsidRPr="00D709E6">
              <w:t>XXVI</w:t>
            </w:r>
            <w:r>
              <w:t>,</w:t>
            </w:r>
            <w:r w:rsidRPr="00D709E6">
              <w:t xml:space="preserve"> 36-46.</w:t>
            </w:r>
          </w:p>
        </w:tc>
        <w:tc>
          <w:tcPr>
            <w:tcW w:w="750" w:type="pct"/>
            <w:shd w:val="clear" w:color="auto" w:fill="FFFFFF"/>
          </w:tcPr>
          <w:p w:rsidR="00E36C8E" w:rsidRPr="00D709E6" w:rsidRDefault="00E36C8E" w:rsidP="00BD4391">
            <w:pPr>
              <w:pStyle w:val="nsr"/>
            </w:pPr>
            <w:r w:rsidRPr="00D709E6">
              <w:t>XIV, 32-42.</w:t>
            </w:r>
          </w:p>
        </w:tc>
        <w:tc>
          <w:tcPr>
            <w:tcW w:w="740" w:type="pct"/>
            <w:shd w:val="clear" w:color="auto" w:fill="FFFFFF"/>
          </w:tcPr>
          <w:p w:rsidR="00E36C8E" w:rsidRPr="00D709E6" w:rsidRDefault="00E36C8E" w:rsidP="00BD4391">
            <w:pPr>
              <w:pStyle w:val="nsr"/>
            </w:pPr>
            <w:r w:rsidRPr="00D709E6">
              <w:t>XXII, 39-46.</w:t>
            </w:r>
          </w:p>
        </w:tc>
        <w:tc>
          <w:tcPr>
            <w:tcW w:w="803" w:type="pct"/>
            <w:shd w:val="clear" w:color="auto" w:fill="FFFFFF"/>
          </w:tcPr>
          <w:p w:rsidR="00E36C8E" w:rsidRPr="00D709E6" w:rsidRDefault="00E36C8E" w:rsidP="00BD4391">
            <w:pPr>
              <w:pStyle w:val="nsr"/>
            </w:pPr>
            <w:r w:rsidRPr="00D709E6">
              <w:t>XVIII, 1.</w:t>
            </w:r>
          </w:p>
        </w:tc>
      </w:tr>
      <w:tr w:rsidR="00E36C8E" w:rsidRPr="00177118" w:rsidTr="00BD4391">
        <w:trPr>
          <w:cantSplit/>
          <w:trHeight w:val="20"/>
        </w:trPr>
        <w:tc>
          <w:tcPr>
            <w:tcW w:w="1958" w:type="pct"/>
            <w:shd w:val="clear" w:color="auto" w:fill="FFFFFF"/>
          </w:tcPr>
          <w:p w:rsidR="00E36C8E" w:rsidRPr="00177118" w:rsidRDefault="00E36C8E" w:rsidP="00BD4391">
            <w:pPr>
              <w:pStyle w:val="h"/>
            </w:pPr>
            <w:r>
              <w:t>Arrestation de Jésus</w:t>
            </w:r>
          </w:p>
        </w:tc>
        <w:tc>
          <w:tcPr>
            <w:tcW w:w="750" w:type="pct"/>
            <w:shd w:val="clear" w:color="auto" w:fill="FFFFFF"/>
          </w:tcPr>
          <w:p w:rsidR="00E36C8E" w:rsidRPr="00D709E6" w:rsidRDefault="00E36C8E" w:rsidP="00BD4391">
            <w:pPr>
              <w:pStyle w:val="nsr"/>
            </w:pPr>
            <w:r w:rsidRPr="00D709E6">
              <w:t>XXVI, 47-56.</w:t>
            </w:r>
          </w:p>
        </w:tc>
        <w:tc>
          <w:tcPr>
            <w:tcW w:w="750" w:type="pct"/>
            <w:shd w:val="clear" w:color="auto" w:fill="FFFFFF"/>
          </w:tcPr>
          <w:p w:rsidR="00E36C8E" w:rsidRPr="00D709E6" w:rsidRDefault="00E36C8E" w:rsidP="00BD4391">
            <w:pPr>
              <w:pStyle w:val="nsr"/>
            </w:pPr>
            <w:r w:rsidRPr="00D709E6">
              <w:t>XIV, 43-52.</w:t>
            </w:r>
          </w:p>
        </w:tc>
        <w:tc>
          <w:tcPr>
            <w:tcW w:w="740" w:type="pct"/>
            <w:shd w:val="clear" w:color="auto" w:fill="FFFFFF"/>
          </w:tcPr>
          <w:p w:rsidR="00E36C8E" w:rsidRPr="00D709E6" w:rsidRDefault="00E36C8E" w:rsidP="00BD4391">
            <w:pPr>
              <w:pStyle w:val="nsr"/>
            </w:pPr>
            <w:r>
              <w:t>X</w:t>
            </w:r>
            <w:r w:rsidRPr="00D709E6">
              <w:t>XII, 47-53</w:t>
            </w:r>
            <w:r>
              <w:t>.</w:t>
            </w:r>
            <w:r w:rsidRPr="00D709E6">
              <w:t xml:space="preserve"> </w:t>
            </w:r>
          </w:p>
        </w:tc>
        <w:tc>
          <w:tcPr>
            <w:tcW w:w="803" w:type="pct"/>
            <w:shd w:val="clear" w:color="auto" w:fill="FFFFFF"/>
          </w:tcPr>
          <w:p w:rsidR="00E36C8E" w:rsidRPr="00D709E6" w:rsidRDefault="00E36C8E" w:rsidP="00BD4391">
            <w:pPr>
              <w:pStyle w:val="nsr"/>
            </w:pPr>
            <w:r w:rsidRPr="00D709E6">
              <w:t>XVIII, 2-11.</w:t>
            </w:r>
          </w:p>
        </w:tc>
      </w:tr>
      <w:tr w:rsidR="00E36C8E" w:rsidRPr="00177118" w:rsidTr="00BD4391">
        <w:trPr>
          <w:cantSplit/>
          <w:trHeight w:val="20"/>
        </w:trPr>
        <w:tc>
          <w:tcPr>
            <w:tcW w:w="1958" w:type="pct"/>
            <w:shd w:val="clear" w:color="auto" w:fill="FFFFFF"/>
          </w:tcPr>
          <w:p w:rsidR="00E36C8E" w:rsidRPr="00177118" w:rsidRDefault="00E36C8E" w:rsidP="00BD4391">
            <w:pPr>
              <w:pStyle w:val="h"/>
            </w:pPr>
            <w:r>
              <w:t>Jésus devant An</w:t>
            </w:r>
            <w:r w:rsidRPr="00177118">
              <w:t>ne</w:t>
            </w:r>
            <w:r>
              <w:t xml:space="preserve"> </w:t>
            </w:r>
          </w:p>
        </w:tc>
        <w:tc>
          <w:tcPr>
            <w:tcW w:w="750" w:type="pct"/>
            <w:shd w:val="clear" w:color="auto" w:fill="FFFFFF"/>
          </w:tcPr>
          <w:p w:rsidR="00E36C8E" w:rsidRPr="00D709E6" w:rsidRDefault="00E36C8E" w:rsidP="00BD4391">
            <w:pPr>
              <w:pStyle w:val="centrum"/>
            </w:pPr>
            <w:r w:rsidRPr="00D709E6">
              <w:t xml:space="preserve"> »</w:t>
            </w:r>
          </w:p>
        </w:tc>
        <w:tc>
          <w:tcPr>
            <w:tcW w:w="750" w:type="pct"/>
            <w:shd w:val="clear" w:color="auto" w:fill="FFFFFF"/>
          </w:tcPr>
          <w:p w:rsidR="00E36C8E" w:rsidRPr="00D709E6" w:rsidRDefault="00E36C8E" w:rsidP="00BD4391">
            <w:pPr>
              <w:pStyle w:val="centrum"/>
            </w:pPr>
            <w:r w:rsidRPr="00D709E6">
              <w:t xml:space="preserve"> »</w:t>
            </w:r>
          </w:p>
        </w:tc>
        <w:tc>
          <w:tcPr>
            <w:tcW w:w="740" w:type="pct"/>
            <w:shd w:val="clear" w:color="auto" w:fill="FFFFFF"/>
          </w:tcPr>
          <w:p w:rsidR="00E36C8E" w:rsidRPr="00D709E6" w:rsidRDefault="00E36C8E" w:rsidP="00BD4391">
            <w:pPr>
              <w:pStyle w:val="centrum"/>
            </w:pPr>
            <w:r w:rsidRPr="00D709E6">
              <w:t xml:space="preserve"> »</w:t>
            </w:r>
          </w:p>
        </w:tc>
        <w:tc>
          <w:tcPr>
            <w:tcW w:w="803" w:type="pct"/>
            <w:shd w:val="clear" w:color="auto" w:fill="FFFFFF"/>
          </w:tcPr>
          <w:p w:rsidR="00E36C8E" w:rsidRPr="00D709E6" w:rsidRDefault="00E36C8E" w:rsidP="00BD4391">
            <w:pPr>
              <w:pStyle w:val="nsr"/>
            </w:pPr>
            <w:r w:rsidRPr="00D709E6">
              <w:t>XVIII, 12-14.</w:t>
            </w:r>
          </w:p>
        </w:tc>
      </w:tr>
      <w:tr w:rsidR="00E36C8E" w:rsidRPr="00177118" w:rsidTr="00BD4391">
        <w:trPr>
          <w:cantSplit/>
          <w:trHeight w:val="20"/>
        </w:trPr>
        <w:tc>
          <w:tcPr>
            <w:tcW w:w="1958" w:type="pct"/>
            <w:shd w:val="clear" w:color="auto" w:fill="FFFFFF"/>
          </w:tcPr>
          <w:p w:rsidR="00E36C8E" w:rsidRPr="00177118" w:rsidRDefault="00E36C8E" w:rsidP="00BD4391">
            <w:pPr>
              <w:pStyle w:val="h"/>
            </w:pPr>
            <w:r>
              <w:t>Jésus chez Caïphe</w:t>
            </w:r>
          </w:p>
        </w:tc>
        <w:tc>
          <w:tcPr>
            <w:tcW w:w="750" w:type="pct"/>
            <w:shd w:val="clear" w:color="auto" w:fill="FFFFFF"/>
          </w:tcPr>
          <w:p w:rsidR="00E36C8E" w:rsidRPr="00D709E6" w:rsidRDefault="00E36C8E" w:rsidP="00BD4391">
            <w:pPr>
              <w:pStyle w:val="nsr"/>
            </w:pPr>
            <w:r w:rsidRPr="00D709E6">
              <w:t>XXVI, 57-66.</w:t>
            </w:r>
          </w:p>
        </w:tc>
        <w:tc>
          <w:tcPr>
            <w:tcW w:w="750" w:type="pct"/>
            <w:shd w:val="clear" w:color="auto" w:fill="FFFFFF"/>
          </w:tcPr>
          <w:p w:rsidR="00E36C8E" w:rsidRPr="00D709E6" w:rsidRDefault="00E36C8E" w:rsidP="00BD4391">
            <w:pPr>
              <w:pStyle w:val="nsr"/>
            </w:pPr>
            <w:r w:rsidRPr="00D709E6">
              <w:t>XIV, 53-64.</w:t>
            </w:r>
          </w:p>
        </w:tc>
        <w:tc>
          <w:tcPr>
            <w:tcW w:w="740" w:type="pct"/>
            <w:shd w:val="clear" w:color="auto" w:fill="FFFFFF"/>
          </w:tcPr>
          <w:p w:rsidR="00E36C8E" w:rsidRPr="00D709E6" w:rsidRDefault="00E36C8E" w:rsidP="00BD4391">
            <w:pPr>
              <w:pStyle w:val="nsr"/>
            </w:pPr>
            <w:r w:rsidRPr="00D709E6">
              <w:t>XXII, 54.</w:t>
            </w:r>
          </w:p>
        </w:tc>
        <w:tc>
          <w:tcPr>
            <w:tcW w:w="803" w:type="pct"/>
            <w:shd w:val="clear" w:color="auto" w:fill="FFFFFF"/>
          </w:tcPr>
          <w:p w:rsidR="00E36C8E" w:rsidRPr="00D709E6" w:rsidRDefault="00E36C8E" w:rsidP="00BD4391">
            <w:pPr>
              <w:pStyle w:val="nsr"/>
            </w:pPr>
            <w:r w:rsidRPr="00D709E6">
              <w:t>XVIII, 19-24.</w:t>
            </w:r>
          </w:p>
        </w:tc>
      </w:tr>
      <w:tr w:rsidR="00E36C8E" w:rsidRPr="00177118" w:rsidTr="00BD4391">
        <w:trPr>
          <w:cantSplit/>
          <w:trHeight w:val="20"/>
        </w:trPr>
        <w:tc>
          <w:tcPr>
            <w:tcW w:w="1958" w:type="pct"/>
            <w:shd w:val="clear" w:color="auto" w:fill="FFFFFF"/>
          </w:tcPr>
          <w:p w:rsidR="00E36C8E" w:rsidRPr="00177118" w:rsidRDefault="00E36C8E" w:rsidP="00BD4391">
            <w:pPr>
              <w:pStyle w:val="h"/>
            </w:pPr>
            <w:r>
              <w:t>Triple reniement de St</w:t>
            </w:r>
            <w:r w:rsidRPr="00177118">
              <w:t xml:space="preserve"> Pierre</w:t>
            </w:r>
            <w:r>
              <w:t xml:space="preserve"> </w:t>
            </w:r>
          </w:p>
        </w:tc>
        <w:tc>
          <w:tcPr>
            <w:tcW w:w="750" w:type="pct"/>
            <w:shd w:val="clear" w:color="auto" w:fill="FFFFFF"/>
          </w:tcPr>
          <w:p w:rsidR="00E36C8E" w:rsidRPr="00D709E6" w:rsidRDefault="00E36C8E" w:rsidP="00BD4391">
            <w:pPr>
              <w:pStyle w:val="nsr"/>
            </w:pPr>
            <w:r w:rsidRPr="00D709E6">
              <w:t>XXVI, 69-75.</w:t>
            </w:r>
          </w:p>
        </w:tc>
        <w:tc>
          <w:tcPr>
            <w:tcW w:w="750" w:type="pct"/>
            <w:shd w:val="clear" w:color="auto" w:fill="FFFFFF"/>
          </w:tcPr>
          <w:p w:rsidR="00E36C8E" w:rsidRPr="00D709E6" w:rsidRDefault="00E36C8E" w:rsidP="00BD4391">
            <w:pPr>
              <w:pStyle w:val="nsr"/>
            </w:pPr>
            <w:r w:rsidRPr="00D709E6">
              <w:t>XIV, 66-72.</w:t>
            </w:r>
          </w:p>
        </w:tc>
        <w:tc>
          <w:tcPr>
            <w:tcW w:w="740" w:type="pct"/>
            <w:shd w:val="clear" w:color="auto" w:fill="FFFFFF"/>
          </w:tcPr>
          <w:p w:rsidR="00E36C8E" w:rsidRPr="00D709E6" w:rsidRDefault="00E36C8E" w:rsidP="00BD4391">
            <w:pPr>
              <w:pStyle w:val="nsr"/>
            </w:pPr>
            <w:r w:rsidRPr="00D709E6">
              <w:t>XXII, 55</w:t>
            </w:r>
            <w:r>
              <w:t>-6</w:t>
            </w:r>
            <w:r w:rsidRPr="00D709E6">
              <w:t>2.</w:t>
            </w:r>
          </w:p>
        </w:tc>
        <w:tc>
          <w:tcPr>
            <w:tcW w:w="803" w:type="pct"/>
            <w:shd w:val="clear" w:color="auto" w:fill="FFFFFF"/>
          </w:tcPr>
          <w:p w:rsidR="00E36C8E" w:rsidRPr="00D709E6" w:rsidRDefault="00E36C8E" w:rsidP="00BD4391">
            <w:pPr>
              <w:pStyle w:val="nsr"/>
            </w:pPr>
            <w:r w:rsidRPr="00D709E6">
              <w:t>XVIII ; 15-18, 25-27.</w:t>
            </w:r>
          </w:p>
        </w:tc>
      </w:tr>
      <w:tr w:rsidR="00E36C8E" w:rsidRPr="00177118" w:rsidTr="00BD4391">
        <w:trPr>
          <w:cantSplit/>
          <w:trHeight w:val="20"/>
        </w:trPr>
        <w:tc>
          <w:tcPr>
            <w:tcW w:w="1958" w:type="pct"/>
            <w:shd w:val="clear" w:color="auto" w:fill="FFFFFF"/>
          </w:tcPr>
          <w:p w:rsidR="00E36C8E" w:rsidRPr="00177118" w:rsidRDefault="00E36C8E" w:rsidP="00BD4391">
            <w:pPr>
              <w:pStyle w:val="h"/>
            </w:pPr>
            <w:r w:rsidRPr="00177118">
              <w:t>Jésus outragé par les valets du Sanhédrin</w:t>
            </w:r>
          </w:p>
        </w:tc>
        <w:tc>
          <w:tcPr>
            <w:tcW w:w="750" w:type="pct"/>
            <w:shd w:val="clear" w:color="auto" w:fill="FFFFFF"/>
          </w:tcPr>
          <w:p w:rsidR="00E36C8E" w:rsidRPr="00D709E6" w:rsidRDefault="00E36C8E" w:rsidP="00BD4391">
            <w:pPr>
              <w:pStyle w:val="nsr"/>
            </w:pPr>
            <w:r w:rsidRPr="00D709E6">
              <w:t>XXVI, 67-68.</w:t>
            </w:r>
          </w:p>
        </w:tc>
        <w:tc>
          <w:tcPr>
            <w:tcW w:w="750" w:type="pct"/>
            <w:shd w:val="clear" w:color="auto" w:fill="FFFFFF"/>
          </w:tcPr>
          <w:p w:rsidR="00E36C8E" w:rsidRPr="00D709E6" w:rsidRDefault="00E36C8E" w:rsidP="00BD4391">
            <w:pPr>
              <w:pStyle w:val="nsr"/>
            </w:pPr>
            <w:r w:rsidRPr="00D709E6">
              <w:t>XIV, 65.</w:t>
            </w:r>
          </w:p>
        </w:tc>
        <w:tc>
          <w:tcPr>
            <w:tcW w:w="740" w:type="pct"/>
            <w:shd w:val="clear" w:color="auto" w:fill="FFFFFF"/>
          </w:tcPr>
          <w:p w:rsidR="00E36C8E" w:rsidRPr="00D709E6" w:rsidRDefault="00E36C8E" w:rsidP="00BD4391">
            <w:pPr>
              <w:pStyle w:val="nsr"/>
            </w:pPr>
            <w:r w:rsidRPr="00D709E6">
              <w:t>XXII, 63-65.</w:t>
            </w:r>
          </w:p>
        </w:tc>
        <w:tc>
          <w:tcPr>
            <w:tcW w:w="803"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1958" w:type="pct"/>
            <w:shd w:val="clear" w:color="auto" w:fill="FFFFFF"/>
          </w:tcPr>
          <w:p w:rsidR="00E36C8E" w:rsidRPr="00177118" w:rsidRDefault="00E36C8E" w:rsidP="00BD4391">
            <w:pPr>
              <w:pStyle w:val="h"/>
            </w:pPr>
            <w:r w:rsidRPr="00177118">
              <w:t>La condamnation à mort.</w:t>
            </w:r>
            <w:r>
              <w:t xml:space="preserve"> </w:t>
            </w:r>
          </w:p>
        </w:tc>
        <w:tc>
          <w:tcPr>
            <w:tcW w:w="750" w:type="pct"/>
            <w:shd w:val="clear" w:color="auto" w:fill="FFFFFF"/>
          </w:tcPr>
          <w:p w:rsidR="00E36C8E" w:rsidRPr="00D709E6" w:rsidRDefault="00E36C8E" w:rsidP="00BD4391">
            <w:pPr>
              <w:pStyle w:val="nsr"/>
            </w:pPr>
            <w:r w:rsidRPr="00D709E6">
              <w:t>XXVII, 1.</w:t>
            </w:r>
          </w:p>
        </w:tc>
        <w:tc>
          <w:tcPr>
            <w:tcW w:w="750" w:type="pct"/>
            <w:shd w:val="clear" w:color="auto" w:fill="FFFFFF"/>
          </w:tcPr>
          <w:p w:rsidR="00E36C8E" w:rsidRPr="00D709E6" w:rsidRDefault="00E36C8E" w:rsidP="00BD4391">
            <w:pPr>
              <w:pStyle w:val="nsr"/>
            </w:pPr>
            <w:r w:rsidRPr="00D709E6">
              <w:t xml:space="preserve">XV, </w:t>
            </w:r>
            <w:r>
              <w:t>1a</w:t>
            </w:r>
            <w:r w:rsidRPr="00D709E6">
              <w:t>.</w:t>
            </w:r>
          </w:p>
        </w:tc>
        <w:tc>
          <w:tcPr>
            <w:tcW w:w="740" w:type="pct"/>
            <w:shd w:val="clear" w:color="auto" w:fill="FFFFFF"/>
          </w:tcPr>
          <w:p w:rsidR="00E36C8E" w:rsidRPr="00D709E6" w:rsidRDefault="00E36C8E" w:rsidP="00BD4391">
            <w:pPr>
              <w:pStyle w:val="nsr"/>
            </w:pPr>
            <w:r w:rsidRPr="00D709E6">
              <w:t xml:space="preserve">XXII, </w:t>
            </w:r>
            <w:r>
              <w:t>66-7</w:t>
            </w:r>
            <w:r w:rsidRPr="00D709E6">
              <w:t>1.</w:t>
            </w:r>
          </w:p>
        </w:tc>
        <w:tc>
          <w:tcPr>
            <w:tcW w:w="803"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1958" w:type="pct"/>
            <w:shd w:val="clear" w:color="auto" w:fill="FFFFFF"/>
          </w:tcPr>
          <w:p w:rsidR="00E36C8E" w:rsidRPr="00177118" w:rsidRDefault="00E36C8E" w:rsidP="00BD4391">
            <w:pPr>
              <w:pStyle w:val="h"/>
            </w:pPr>
            <w:r>
              <w:t>Jésus est amené au prétoire</w:t>
            </w:r>
          </w:p>
        </w:tc>
        <w:tc>
          <w:tcPr>
            <w:tcW w:w="750" w:type="pct"/>
            <w:shd w:val="clear" w:color="auto" w:fill="FFFFFF"/>
          </w:tcPr>
          <w:p w:rsidR="00E36C8E" w:rsidRPr="00D709E6" w:rsidRDefault="00E36C8E" w:rsidP="00BD4391">
            <w:pPr>
              <w:pStyle w:val="nsr"/>
            </w:pPr>
            <w:r w:rsidRPr="00D709E6">
              <w:t xml:space="preserve">XXVII, </w:t>
            </w:r>
            <w:r>
              <w:t>2.</w:t>
            </w:r>
          </w:p>
        </w:tc>
        <w:tc>
          <w:tcPr>
            <w:tcW w:w="750" w:type="pct"/>
            <w:shd w:val="clear" w:color="auto" w:fill="FFFFFF"/>
          </w:tcPr>
          <w:p w:rsidR="00E36C8E" w:rsidRPr="00D709E6" w:rsidRDefault="00E36C8E" w:rsidP="00BD4391">
            <w:pPr>
              <w:pStyle w:val="nsr"/>
            </w:pPr>
            <w:r w:rsidRPr="00D709E6">
              <w:t xml:space="preserve">XV, </w:t>
            </w:r>
            <w:r>
              <w:t>1</w:t>
            </w:r>
            <w:r w:rsidRPr="00D709E6">
              <w:t>b.</w:t>
            </w:r>
          </w:p>
        </w:tc>
        <w:tc>
          <w:tcPr>
            <w:tcW w:w="740" w:type="pct"/>
            <w:shd w:val="clear" w:color="auto" w:fill="FFFFFF"/>
          </w:tcPr>
          <w:p w:rsidR="00E36C8E" w:rsidRPr="00D709E6" w:rsidRDefault="00E36C8E" w:rsidP="00BD4391">
            <w:pPr>
              <w:pStyle w:val="nsr"/>
            </w:pPr>
            <w:r w:rsidRPr="00D709E6">
              <w:t>XXIII, 1.</w:t>
            </w:r>
          </w:p>
        </w:tc>
        <w:tc>
          <w:tcPr>
            <w:tcW w:w="803" w:type="pct"/>
            <w:shd w:val="clear" w:color="auto" w:fill="FFFFFF"/>
          </w:tcPr>
          <w:p w:rsidR="00E36C8E" w:rsidRPr="00D709E6" w:rsidRDefault="00E36C8E" w:rsidP="00BD4391">
            <w:pPr>
              <w:pStyle w:val="nsr"/>
            </w:pPr>
            <w:r>
              <w:t>XV</w:t>
            </w:r>
            <w:r w:rsidRPr="00D709E6">
              <w:t xml:space="preserve">III, </w:t>
            </w:r>
            <w:r>
              <w:t>28</w:t>
            </w:r>
            <w:r w:rsidRPr="00D709E6">
              <w:t>.</w:t>
            </w:r>
          </w:p>
        </w:tc>
      </w:tr>
      <w:tr w:rsidR="00E36C8E" w:rsidRPr="005507CF" w:rsidTr="00BD4391">
        <w:trPr>
          <w:cantSplit/>
          <w:trHeight w:val="20"/>
        </w:trPr>
        <w:tc>
          <w:tcPr>
            <w:tcW w:w="1958" w:type="pct"/>
            <w:shd w:val="clear" w:color="auto" w:fill="FFFFFF"/>
          </w:tcPr>
          <w:p w:rsidR="00E36C8E" w:rsidRPr="00177118" w:rsidRDefault="00E36C8E" w:rsidP="00BD4391">
            <w:pPr>
              <w:pStyle w:val="h"/>
            </w:pPr>
            <w:r w:rsidRPr="00177118">
              <w:t>Désespoir et mort de Judas</w:t>
            </w:r>
            <w:r>
              <w:t xml:space="preserve"> </w:t>
            </w:r>
          </w:p>
        </w:tc>
        <w:tc>
          <w:tcPr>
            <w:tcW w:w="750" w:type="pct"/>
            <w:shd w:val="clear" w:color="auto" w:fill="FFFFFF"/>
          </w:tcPr>
          <w:p w:rsidR="00E36C8E" w:rsidRPr="00D709E6" w:rsidRDefault="00E36C8E" w:rsidP="00BD4391">
            <w:pPr>
              <w:pStyle w:val="nsr"/>
            </w:pPr>
            <w:r w:rsidRPr="00D709E6">
              <w:t>XXVII, 3-10.</w:t>
            </w:r>
          </w:p>
        </w:tc>
        <w:tc>
          <w:tcPr>
            <w:tcW w:w="750" w:type="pct"/>
            <w:shd w:val="clear" w:color="auto" w:fill="FFFFFF"/>
          </w:tcPr>
          <w:p w:rsidR="00E36C8E" w:rsidRPr="00D709E6" w:rsidRDefault="00E36C8E" w:rsidP="00BD4391">
            <w:pPr>
              <w:pStyle w:val="centrum"/>
            </w:pPr>
            <w:r w:rsidRPr="00D709E6">
              <w:t xml:space="preserve"> »</w:t>
            </w:r>
          </w:p>
        </w:tc>
        <w:tc>
          <w:tcPr>
            <w:tcW w:w="740" w:type="pct"/>
            <w:shd w:val="clear" w:color="auto" w:fill="FFFFFF"/>
          </w:tcPr>
          <w:p w:rsidR="00E36C8E" w:rsidRPr="00D709E6" w:rsidRDefault="00E36C8E" w:rsidP="00BD4391">
            <w:pPr>
              <w:pStyle w:val="centrum"/>
            </w:pPr>
            <w:r w:rsidRPr="00D709E6">
              <w:t xml:space="preserve"> »</w:t>
            </w:r>
          </w:p>
        </w:tc>
        <w:tc>
          <w:tcPr>
            <w:tcW w:w="803" w:type="pct"/>
            <w:shd w:val="clear" w:color="auto" w:fill="FFFFFF"/>
          </w:tcPr>
          <w:p w:rsidR="00E36C8E" w:rsidRPr="00D709E6" w:rsidRDefault="001B4203" w:rsidP="00BD4391">
            <w:pPr>
              <w:pStyle w:val="centrum"/>
            </w:pPr>
            <w:r>
              <w:t xml:space="preserve"> </w:t>
            </w:r>
            <w:r w:rsidR="00E36C8E" w:rsidRPr="00D709E6">
              <w:t>»</w:t>
            </w:r>
          </w:p>
        </w:tc>
      </w:tr>
      <w:tr w:rsidR="00E36C8E" w:rsidRPr="00177118" w:rsidTr="00BD4391">
        <w:trPr>
          <w:cantSplit/>
          <w:trHeight w:val="20"/>
        </w:trPr>
        <w:tc>
          <w:tcPr>
            <w:tcW w:w="1958" w:type="pct"/>
            <w:shd w:val="clear" w:color="auto" w:fill="FFFFFF"/>
          </w:tcPr>
          <w:p w:rsidR="00E36C8E" w:rsidRPr="00177118" w:rsidRDefault="00E36C8E" w:rsidP="00BD4391">
            <w:pPr>
              <w:pStyle w:val="h"/>
            </w:pPr>
            <w:r w:rsidRPr="00177118">
              <w:t>Jésus devant Pilate</w:t>
            </w:r>
            <w:r>
              <w:t xml:space="preserve"> </w:t>
            </w:r>
          </w:p>
        </w:tc>
        <w:tc>
          <w:tcPr>
            <w:tcW w:w="750" w:type="pct"/>
            <w:shd w:val="clear" w:color="auto" w:fill="FFFFFF"/>
          </w:tcPr>
          <w:p w:rsidR="00E36C8E" w:rsidRPr="00D709E6" w:rsidRDefault="00E36C8E" w:rsidP="00BD4391">
            <w:pPr>
              <w:pStyle w:val="nsr"/>
            </w:pPr>
            <w:r w:rsidRPr="00D709E6">
              <w:t>XXVII, 11-14.</w:t>
            </w:r>
          </w:p>
        </w:tc>
        <w:tc>
          <w:tcPr>
            <w:tcW w:w="750" w:type="pct"/>
            <w:shd w:val="clear" w:color="auto" w:fill="FFFFFF"/>
          </w:tcPr>
          <w:p w:rsidR="00E36C8E" w:rsidRPr="00D709E6" w:rsidRDefault="00E36C8E" w:rsidP="00BD4391">
            <w:pPr>
              <w:pStyle w:val="nsr"/>
            </w:pPr>
            <w:r w:rsidRPr="00D709E6">
              <w:t>XV, 2-5.</w:t>
            </w:r>
          </w:p>
        </w:tc>
        <w:tc>
          <w:tcPr>
            <w:tcW w:w="740" w:type="pct"/>
            <w:shd w:val="clear" w:color="auto" w:fill="FFFFFF"/>
          </w:tcPr>
          <w:p w:rsidR="00E36C8E" w:rsidRPr="00D709E6" w:rsidRDefault="00E36C8E" w:rsidP="00BD4391">
            <w:pPr>
              <w:pStyle w:val="nsr"/>
            </w:pPr>
            <w:r w:rsidRPr="00D709E6">
              <w:t>XXIII, 2-5.</w:t>
            </w:r>
          </w:p>
        </w:tc>
        <w:tc>
          <w:tcPr>
            <w:tcW w:w="803" w:type="pct"/>
            <w:shd w:val="clear" w:color="auto" w:fill="FFFFFF"/>
          </w:tcPr>
          <w:p w:rsidR="00E36C8E" w:rsidRPr="00D709E6" w:rsidRDefault="00E36C8E" w:rsidP="00BD4391">
            <w:pPr>
              <w:pStyle w:val="nsr"/>
            </w:pPr>
            <w:r w:rsidRPr="00D709E6">
              <w:t>XVIII, 29-38.</w:t>
            </w:r>
          </w:p>
        </w:tc>
      </w:tr>
      <w:tr w:rsidR="00E36C8E" w:rsidRPr="00177118" w:rsidTr="00BD4391">
        <w:trPr>
          <w:cantSplit/>
          <w:trHeight w:val="20"/>
        </w:trPr>
        <w:tc>
          <w:tcPr>
            <w:tcW w:w="1958" w:type="pct"/>
            <w:shd w:val="clear" w:color="auto" w:fill="FFFFFF"/>
          </w:tcPr>
          <w:p w:rsidR="00E36C8E" w:rsidRPr="00177118" w:rsidRDefault="00E36C8E" w:rsidP="00BD4391">
            <w:pPr>
              <w:pStyle w:val="h"/>
            </w:pPr>
            <w:r>
              <w:t>Jésus devant Hérode</w:t>
            </w:r>
          </w:p>
        </w:tc>
        <w:tc>
          <w:tcPr>
            <w:tcW w:w="750" w:type="pct"/>
            <w:shd w:val="clear" w:color="auto" w:fill="FFFFFF"/>
          </w:tcPr>
          <w:p w:rsidR="00E36C8E" w:rsidRPr="00D709E6" w:rsidRDefault="00E36C8E" w:rsidP="00BD4391">
            <w:pPr>
              <w:pStyle w:val="centrum"/>
            </w:pPr>
            <w:r w:rsidRPr="00D709E6">
              <w:t xml:space="preserve"> »</w:t>
            </w:r>
          </w:p>
        </w:tc>
        <w:tc>
          <w:tcPr>
            <w:tcW w:w="750" w:type="pct"/>
            <w:shd w:val="clear" w:color="auto" w:fill="FFFFFF"/>
          </w:tcPr>
          <w:p w:rsidR="00E36C8E" w:rsidRPr="00D709E6" w:rsidRDefault="001B4203" w:rsidP="00BD4391">
            <w:pPr>
              <w:pStyle w:val="centrum"/>
            </w:pPr>
            <w:r>
              <w:t xml:space="preserve"> </w:t>
            </w:r>
            <w:r w:rsidR="00E36C8E" w:rsidRPr="00D709E6">
              <w:t>»</w:t>
            </w:r>
          </w:p>
        </w:tc>
        <w:tc>
          <w:tcPr>
            <w:tcW w:w="740" w:type="pct"/>
            <w:shd w:val="clear" w:color="auto" w:fill="FFFFFF"/>
          </w:tcPr>
          <w:p w:rsidR="00E36C8E" w:rsidRPr="00D709E6" w:rsidRDefault="00E36C8E" w:rsidP="00BD4391">
            <w:pPr>
              <w:pStyle w:val="nsr"/>
            </w:pPr>
            <w:r w:rsidRPr="00D709E6">
              <w:t>XXIII, 6-12.</w:t>
            </w:r>
          </w:p>
        </w:tc>
        <w:tc>
          <w:tcPr>
            <w:tcW w:w="803" w:type="pct"/>
            <w:shd w:val="clear" w:color="auto" w:fill="FFFFFF"/>
          </w:tcPr>
          <w:p w:rsidR="00E36C8E" w:rsidRPr="00D709E6" w:rsidRDefault="001B4203" w:rsidP="00BD4391">
            <w:pPr>
              <w:pStyle w:val="centrum"/>
            </w:pPr>
            <w:r>
              <w:t xml:space="preserve"> </w:t>
            </w:r>
            <w:r w:rsidR="00E36C8E" w:rsidRPr="00D709E6">
              <w:t>»</w:t>
            </w:r>
          </w:p>
        </w:tc>
      </w:tr>
      <w:tr w:rsidR="00E36C8E" w:rsidRPr="00177118" w:rsidTr="00BD4391">
        <w:trPr>
          <w:cantSplit/>
          <w:trHeight w:val="20"/>
        </w:trPr>
        <w:tc>
          <w:tcPr>
            <w:tcW w:w="1958" w:type="pct"/>
            <w:shd w:val="clear" w:color="auto" w:fill="FFFFFF"/>
          </w:tcPr>
          <w:p w:rsidR="00E36C8E" w:rsidRPr="00177118" w:rsidRDefault="00E36C8E" w:rsidP="00BD4391">
            <w:pPr>
              <w:pStyle w:val="h"/>
            </w:pPr>
            <w:r w:rsidRPr="00177118">
              <w:t>Jésus et Barabbas</w:t>
            </w:r>
            <w:r>
              <w:t xml:space="preserve"> </w:t>
            </w:r>
          </w:p>
        </w:tc>
        <w:tc>
          <w:tcPr>
            <w:tcW w:w="750" w:type="pct"/>
            <w:shd w:val="clear" w:color="auto" w:fill="FFFFFF"/>
          </w:tcPr>
          <w:p w:rsidR="00E36C8E" w:rsidRPr="00D709E6" w:rsidRDefault="00E36C8E" w:rsidP="00BD4391">
            <w:pPr>
              <w:pStyle w:val="nsr"/>
            </w:pPr>
            <w:r w:rsidRPr="00D709E6">
              <w:t>XXVII, 15-23.</w:t>
            </w:r>
          </w:p>
        </w:tc>
        <w:tc>
          <w:tcPr>
            <w:tcW w:w="750" w:type="pct"/>
            <w:shd w:val="clear" w:color="auto" w:fill="FFFFFF"/>
          </w:tcPr>
          <w:p w:rsidR="00E36C8E" w:rsidRPr="00D709E6" w:rsidRDefault="00E36C8E" w:rsidP="00BD4391">
            <w:pPr>
              <w:pStyle w:val="nsr"/>
            </w:pPr>
            <w:r w:rsidRPr="00D709E6">
              <w:t>XV, 6-14.</w:t>
            </w:r>
          </w:p>
        </w:tc>
        <w:tc>
          <w:tcPr>
            <w:tcW w:w="740" w:type="pct"/>
            <w:shd w:val="clear" w:color="auto" w:fill="FFFFFF"/>
          </w:tcPr>
          <w:p w:rsidR="00E36C8E" w:rsidRPr="00D709E6" w:rsidRDefault="00E36C8E" w:rsidP="00BD4391">
            <w:pPr>
              <w:pStyle w:val="nsr"/>
            </w:pPr>
            <w:r w:rsidRPr="00D709E6">
              <w:t xml:space="preserve">XXIII, </w:t>
            </w:r>
            <w:r>
              <w:t>13-</w:t>
            </w:r>
            <w:r w:rsidRPr="00D709E6">
              <w:t>23.</w:t>
            </w:r>
          </w:p>
        </w:tc>
        <w:tc>
          <w:tcPr>
            <w:tcW w:w="803" w:type="pct"/>
            <w:shd w:val="clear" w:color="auto" w:fill="FFFFFF"/>
          </w:tcPr>
          <w:p w:rsidR="00E36C8E" w:rsidRPr="00D709E6" w:rsidRDefault="00E36C8E" w:rsidP="00BD4391">
            <w:pPr>
              <w:pStyle w:val="nsr"/>
            </w:pPr>
            <w:r w:rsidRPr="00D709E6">
              <w:t>XVIII, 39-40.</w:t>
            </w:r>
          </w:p>
        </w:tc>
      </w:tr>
      <w:tr w:rsidR="00E36C8E" w:rsidRPr="00177118" w:rsidTr="00BD4391">
        <w:trPr>
          <w:cantSplit/>
          <w:trHeight w:val="20"/>
        </w:trPr>
        <w:tc>
          <w:tcPr>
            <w:tcW w:w="1958" w:type="pct"/>
            <w:shd w:val="clear" w:color="auto" w:fill="FFFFFF"/>
          </w:tcPr>
          <w:p w:rsidR="00E36C8E" w:rsidRPr="00177118" w:rsidRDefault="00E36C8E" w:rsidP="00BD4391">
            <w:pPr>
              <w:pStyle w:val="h"/>
            </w:pPr>
            <w:r w:rsidRPr="00177118">
              <w:t>Flagellation et couronnement d</w:t>
            </w:r>
            <w:r w:rsidR="00557DE0">
              <w:t>’</w:t>
            </w:r>
            <w:r w:rsidRPr="00177118">
              <w:t>épines</w:t>
            </w:r>
            <w:r>
              <w:t> ;</w:t>
            </w:r>
            <w:r w:rsidRPr="00177118">
              <w:t xml:space="preserve"> dernier effort de Pilate pour délivrer</w:t>
            </w:r>
          </w:p>
        </w:tc>
        <w:tc>
          <w:tcPr>
            <w:tcW w:w="750" w:type="pct"/>
            <w:shd w:val="clear" w:color="auto" w:fill="FFFFFF"/>
          </w:tcPr>
          <w:p w:rsidR="00E36C8E" w:rsidRPr="00D709E6" w:rsidRDefault="00E36C8E" w:rsidP="00BD4391">
            <w:pPr>
              <w:pStyle w:val="nsr"/>
            </w:pPr>
            <w:r w:rsidRPr="00D709E6">
              <w:t xml:space="preserve">XXVII, </w:t>
            </w:r>
            <w:r>
              <w:t>24</w:t>
            </w:r>
            <w:r w:rsidRPr="00D709E6">
              <w:t>-30.</w:t>
            </w:r>
          </w:p>
        </w:tc>
        <w:tc>
          <w:tcPr>
            <w:tcW w:w="750" w:type="pct"/>
            <w:shd w:val="clear" w:color="auto" w:fill="FFFFFF"/>
          </w:tcPr>
          <w:p w:rsidR="00E36C8E" w:rsidRPr="00D709E6" w:rsidRDefault="00E36C8E" w:rsidP="00BD4391">
            <w:pPr>
              <w:pStyle w:val="nsr"/>
            </w:pPr>
            <w:r w:rsidRPr="00D709E6">
              <w:t>XV, 15-19.</w:t>
            </w:r>
          </w:p>
        </w:tc>
        <w:tc>
          <w:tcPr>
            <w:tcW w:w="740" w:type="pct"/>
            <w:shd w:val="clear" w:color="auto" w:fill="FFFFFF"/>
          </w:tcPr>
          <w:p w:rsidR="00E36C8E" w:rsidRPr="00D709E6" w:rsidRDefault="00E36C8E" w:rsidP="00BD4391">
            <w:pPr>
              <w:pStyle w:val="nsr"/>
            </w:pPr>
            <w:r w:rsidRPr="00D709E6">
              <w:t>XXIII, 24-25.</w:t>
            </w:r>
          </w:p>
        </w:tc>
        <w:tc>
          <w:tcPr>
            <w:tcW w:w="803" w:type="pct"/>
            <w:shd w:val="clear" w:color="auto" w:fill="FFFFFF"/>
          </w:tcPr>
          <w:p w:rsidR="00E36C8E" w:rsidRPr="00D709E6" w:rsidRDefault="00E36C8E" w:rsidP="00BD4391">
            <w:pPr>
              <w:pStyle w:val="nsr"/>
            </w:pPr>
            <w:r w:rsidRPr="00D709E6">
              <w:t xml:space="preserve">XIX, </w:t>
            </w:r>
            <w:r>
              <w:t>1-16a</w:t>
            </w:r>
            <w:r w:rsidRPr="00D709E6">
              <w:t>.</w:t>
            </w:r>
          </w:p>
        </w:tc>
      </w:tr>
      <w:tr w:rsidR="00E36C8E" w:rsidRPr="00177118" w:rsidTr="00BD4391">
        <w:trPr>
          <w:cantSplit/>
          <w:trHeight w:val="20"/>
        </w:trPr>
        <w:tc>
          <w:tcPr>
            <w:tcW w:w="1958" w:type="pct"/>
            <w:shd w:val="clear" w:color="auto" w:fill="FFFFFF"/>
          </w:tcPr>
          <w:p w:rsidR="00E36C8E" w:rsidRPr="00177118" w:rsidRDefault="00E36C8E" w:rsidP="00BD4391">
            <w:pPr>
              <w:pStyle w:val="h"/>
            </w:pPr>
            <w:r>
              <w:t>Du prétoire au Golgotha</w:t>
            </w:r>
          </w:p>
        </w:tc>
        <w:tc>
          <w:tcPr>
            <w:tcW w:w="750" w:type="pct"/>
            <w:shd w:val="clear" w:color="auto" w:fill="FFFFFF"/>
          </w:tcPr>
          <w:p w:rsidR="00E36C8E" w:rsidRPr="00D709E6" w:rsidRDefault="00E36C8E" w:rsidP="00BD4391">
            <w:pPr>
              <w:pStyle w:val="nsr"/>
            </w:pPr>
            <w:r w:rsidRPr="00D709E6">
              <w:t>XXVII, 31-34.</w:t>
            </w:r>
          </w:p>
        </w:tc>
        <w:tc>
          <w:tcPr>
            <w:tcW w:w="750" w:type="pct"/>
            <w:shd w:val="clear" w:color="auto" w:fill="FFFFFF"/>
          </w:tcPr>
          <w:p w:rsidR="00E36C8E" w:rsidRPr="00D709E6" w:rsidRDefault="00E36C8E" w:rsidP="00BD4391">
            <w:pPr>
              <w:pStyle w:val="nsr"/>
            </w:pPr>
            <w:r w:rsidRPr="00D709E6">
              <w:t>XV, 20-23.</w:t>
            </w:r>
          </w:p>
        </w:tc>
        <w:tc>
          <w:tcPr>
            <w:tcW w:w="740" w:type="pct"/>
            <w:shd w:val="clear" w:color="auto" w:fill="FFFFFF"/>
          </w:tcPr>
          <w:p w:rsidR="00E36C8E" w:rsidRPr="00D709E6" w:rsidRDefault="00E36C8E" w:rsidP="00BD4391">
            <w:pPr>
              <w:pStyle w:val="nsr"/>
            </w:pPr>
            <w:r w:rsidRPr="00D709E6">
              <w:t>XXIII, 26-32.</w:t>
            </w:r>
          </w:p>
        </w:tc>
        <w:tc>
          <w:tcPr>
            <w:tcW w:w="803" w:type="pct"/>
            <w:shd w:val="clear" w:color="auto" w:fill="FFFFFF"/>
          </w:tcPr>
          <w:p w:rsidR="00E36C8E" w:rsidRPr="00D709E6" w:rsidRDefault="00E36C8E" w:rsidP="00BD4391">
            <w:pPr>
              <w:pStyle w:val="nsr"/>
            </w:pPr>
            <w:r w:rsidRPr="00D709E6">
              <w:t xml:space="preserve">XIX, </w:t>
            </w:r>
            <w:r>
              <w:t>1</w:t>
            </w:r>
            <w:r w:rsidRPr="00D709E6">
              <w:t>6b-17.</w:t>
            </w:r>
          </w:p>
        </w:tc>
      </w:tr>
      <w:tr w:rsidR="00E36C8E" w:rsidRPr="00177118" w:rsidTr="00BD4391">
        <w:trPr>
          <w:cantSplit/>
          <w:trHeight w:val="20"/>
        </w:trPr>
        <w:tc>
          <w:tcPr>
            <w:tcW w:w="1958" w:type="pct"/>
            <w:shd w:val="clear" w:color="auto" w:fill="FFFFFF"/>
          </w:tcPr>
          <w:p w:rsidR="00E36C8E" w:rsidRPr="00177118" w:rsidRDefault="00E36C8E" w:rsidP="00BD4391">
            <w:pPr>
              <w:pStyle w:val="h"/>
            </w:pPr>
            <w:r>
              <w:t>Le crucifiement</w:t>
            </w:r>
          </w:p>
        </w:tc>
        <w:tc>
          <w:tcPr>
            <w:tcW w:w="750" w:type="pct"/>
            <w:shd w:val="clear" w:color="auto" w:fill="FFFFFF"/>
          </w:tcPr>
          <w:p w:rsidR="00E36C8E" w:rsidRPr="00D709E6" w:rsidRDefault="00E36C8E" w:rsidP="00BD4391">
            <w:pPr>
              <w:pStyle w:val="nsr"/>
            </w:pPr>
            <w:r w:rsidRPr="00D709E6">
              <w:t>XXVII, 35-38.</w:t>
            </w:r>
          </w:p>
        </w:tc>
        <w:tc>
          <w:tcPr>
            <w:tcW w:w="750" w:type="pct"/>
            <w:shd w:val="clear" w:color="auto" w:fill="FFFFFF"/>
          </w:tcPr>
          <w:p w:rsidR="00E36C8E" w:rsidRPr="00D709E6" w:rsidRDefault="00E36C8E" w:rsidP="00BD4391">
            <w:pPr>
              <w:pStyle w:val="nsr"/>
            </w:pPr>
            <w:r>
              <w:t>IV</w:t>
            </w:r>
            <w:r w:rsidRPr="00D709E6">
              <w:t>, 24-28.</w:t>
            </w:r>
          </w:p>
        </w:tc>
        <w:tc>
          <w:tcPr>
            <w:tcW w:w="740" w:type="pct"/>
            <w:shd w:val="clear" w:color="auto" w:fill="FFFFFF"/>
          </w:tcPr>
          <w:p w:rsidR="00E36C8E" w:rsidRPr="00D709E6" w:rsidRDefault="00E36C8E" w:rsidP="00BD4391">
            <w:pPr>
              <w:pStyle w:val="nsr"/>
            </w:pPr>
            <w:r w:rsidRPr="00D709E6">
              <w:t>XXIII, 33-34, 38.</w:t>
            </w:r>
          </w:p>
        </w:tc>
        <w:tc>
          <w:tcPr>
            <w:tcW w:w="803" w:type="pct"/>
            <w:shd w:val="clear" w:color="auto" w:fill="FFFFFF"/>
          </w:tcPr>
          <w:p w:rsidR="00E36C8E" w:rsidRPr="00D709E6" w:rsidRDefault="00E36C8E" w:rsidP="00BD4391">
            <w:pPr>
              <w:pStyle w:val="nsr"/>
            </w:pPr>
            <w:r w:rsidRPr="00D709E6">
              <w:t>XIX, 18-24.</w:t>
            </w:r>
          </w:p>
        </w:tc>
      </w:tr>
      <w:tr w:rsidR="00E36C8E" w:rsidRPr="00177118" w:rsidTr="00BD4391">
        <w:trPr>
          <w:cantSplit/>
          <w:trHeight w:val="20"/>
        </w:trPr>
        <w:tc>
          <w:tcPr>
            <w:tcW w:w="1958" w:type="pct"/>
            <w:shd w:val="clear" w:color="auto" w:fill="FFFFFF"/>
          </w:tcPr>
          <w:p w:rsidR="00E36C8E" w:rsidRPr="00177118" w:rsidRDefault="00E36C8E" w:rsidP="00BD4391">
            <w:pPr>
              <w:pStyle w:val="h"/>
            </w:pPr>
            <w:r>
              <w:t xml:space="preserve">Les insultes ; le bon Larron. </w:t>
            </w:r>
          </w:p>
        </w:tc>
        <w:tc>
          <w:tcPr>
            <w:tcW w:w="750" w:type="pct"/>
            <w:shd w:val="clear" w:color="auto" w:fill="FFFFFF"/>
          </w:tcPr>
          <w:p w:rsidR="00E36C8E" w:rsidRPr="00D709E6" w:rsidRDefault="00E36C8E" w:rsidP="00BD4391">
            <w:pPr>
              <w:pStyle w:val="nsr"/>
            </w:pPr>
            <w:r w:rsidRPr="00D709E6">
              <w:t>XXVII, 39-44.</w:t>
            </w:r>
          </w:p>
        </w:tc>
        <w:tc>
          <w:tcPr>
            <w:tcW w:w="750" w:type="pct"/>
            <w:shd w:val="clear" w:color="auto" w:fill="FFFFFF"/>
          </w:tcPr>
          <w:p w:rsidR="00E36C8E" w:rsidRPr="00D709E6" w:rsidRDefault="00E36C8E" w:rsidP="00BD4391">
            <w:pPr>
              <w:pStyle w:val="nsr"/>
            </w:pPr>
            <w:r w:rsidRPr="00D709E6">
              <w:t>XV, 29-32</w:t>
            </w:r>
          </w:p>
        </w:tc>
        <w:tc>
          <w:tcPr>
            <w:tcW w:w="740" w:type="pct"/>
            <w:shd w:val="clear" w:color="auto" w:fill="FFFFFF"/>
          </w:tcPr>
          <w:p w:rsidR="00E36C8E" w:rsidRPr="00D709E6" w:rsidRDefault="00E36C8E" w:rsidP="00BD4391">
            <w:pPr>
              <w:pStyle w:val="nsr"/>
            </w:pPr>
            <w:r w:rsidRPr="00D709E6">
              <w:t>XXIII, 35-37, 39-43.</w:t>
            </w:r>
          </w:p>
        </w:tc>
        <w:tc>
          <w:tcPr>
            <w:tcW w:w="803"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1958" w:type="pct"/>
            <w:shd w:val="clear" w:color="auto" w:fill="FFFFFF"/>
          </w:tcPr>
          <w:p w:rsidR="00E36C8E" w:rsidRPr="00177118" w:rsidRDefault="00E36C8E" w:rsidP="00BD4391">
            <w:pPr>
              <w:pStyle w:val="h"/>
            </w:pPr>
            <w:r>
              <w:t>La mè</w:t>
            </w:r>
            <w:r w:rsidRPr="00177118">
              <w:t xml:space="preserve">re de Jésus </w:t>
            </w:r>
            <w:r>
              <w:t>et</w:t>
            </w:r>
            <w:r w:rsidRPr="00177118">
              <w:t xml:space="preserve"> </w:t>
            </w:r>
            <w:r>
              <w:t>St</w:t>
            </w:r>
            <w:r w:rsidRPr="00177118">
              <w:t xml:space="preserve"> Jean</w:t>
            </w:r>
            <w:r>
              <w:t xml:space="preserve"> </w:t>
            </w:r>
          </w:p>
        </w:tc>
        <w:tc>
          <w:tcPr>
            <w:tcW w:w="750" w:type="pct"/>
            <w:shd w:val="clear" w:color="auto" w:fill="FFFFFF"/>
          </w:tcPr>
          <w:p w:rsidR="00E36C8E" w:rsidRPr="00D709E6" w:rsidRDefault="00E36C8E" w:rsidP="00BD4391">
            <w:pPr>
              <w:pStyle w:val="centrum"/>
            </w:pPr>
            <w:r w:rsidRPr="00D709E6">
              <w:t xml:space="preserve"> »</w:t>
            </w:r>
          </w:p>
        </w:tc>
        <w:tc>
          <w:tcPr>
            <w:tcW w:w="750" w:type="pct"/>
            <w:shd w:val="clear" w:color="auto" w:fill="FFFFFF"/>
          </w:tcPr>
          <w:p w:rsidR="00E36C8E" w:rsidRPr="00D709E6" w:rsidRDefault="001B4203" w:rsidP="00BD4391">
            <w:pPr>
              <w:pStyle w:val="centrum"/>
            </w:pPr>
            <w:r>
              <w:t xml:space="preserve"> </w:t>
            </w:r>
            <w:r w:rsidR="00E36C8E" w:rsidRPr="00D709E6">
              <w:t>»</w:t>
            </w:r>
          </w:p>
        </w:tc>
        <w:tc>
          <w:tcPr>
            <w:tcW w:w="740" w:type="pct"/>
            <w:shd w:val="clear" w:color="auto" w:fill="FFFFFF"/>
          </w:tcPr>
          <w:p w:rsidR="00E36C8E" w:rsidRPr="00D709E6" w:rsidRDefault="001B4203" w:rsidP="00BD4391">
            <w:pPr>
              <w:pStyle w:val="centrum"/>
            </w:pPr>
            <w:r>
              <w:t xml:space="preserve"> </w:t>
            </w:r>
            <w:r w:rsidR="00E36C8E" w:rsidRPr="00D709E6">
              <w:t>»</w:t>
            </w:r>
          </w:p>
        </w:tc>
        <w:tc>
          <w:tcPr>
            <w:tcW w:w="803" w:type="pct"/>
            <w:shd w:val="clear" w:color="auto" w:fill="FFFFFF"/>
          </w:tcPr>
          <w:p w:rsidR="00E36C8E" w:rsidRPr="00D709E6" w:rsidRDefault="00E36C8E" w:rsidP="00BD4391">
            <w:pPr>
              <w:pStyle w:val="nsr"/>
            </w:pPr>
            <w:r w:rsidRPr="00D709E6">
              <w:t>XIX, 25-27.</w:t>
            </w:r>
          </w:p>
        </w:tc>
      </w:tr>
      <w:tr w:rsidR="00E36C8E" w:rsidRPr="00177118" w:rsidTr="00BD4391">
        <w:trPr>
          <w:cantSplit/>
          <w:trHeight w:val="20"/>
        </w:trPr>
        <w:tc>
          <w:tcPr>
            <w:tcW w:w="1958" w:type="pct"/>
            <w:shd w:val="clear" w:color="auto" w:fill="FFFFFF"/>
          </w:tcPr>
          <w:p w:rsidR="00E36C8E" w:rsidRPr="00177118" w:rsidRDefault="00E36C8E" w:rsidP="00BD4391">
            <w:pPr>
              <w:pStyle w:val="h"/>
            </w:pPr>
            <w:r>
              <w:t>Dernier soupir de</w:t>
            </w:r>
            <w:r w:rsidRPr="00177118">
              <w:t xml:space="preserve"> Jésus</w:t>
            </w:r>
            <w:r>
              <w:t xml:space="preserve"> </w:t>
            </w:r>
          </w:p>
        </w:tc>
        <w:tc>
          <w:tcPr>
            <w:tcW w:w="750" w:type="pct"/>
            <w:shd w:val="clear" w:color="auto" w:fill="FFFFFF"/>
          </w:tcPr>
          <w:p w:rsidR="00E36C8E" w:rsidRPr="00D709E6" w:rsidRDefault="00E36C8E" w:rsidP="00BD4391">
            <w:pPr>
              <w:pStyle w:val="nsr"/>
            </w:pPr>
            <w:r w:rsidRPr="00D709E6">
              <w:t>XXVII, 47-50.</w:t>
            </w:r>
          </w:p>
        </w:tc>
        <w:tc>
          <w:tcPr>
            <w:tcW w:w="750" w:type="pct"/>
            <w:shd w:val="clear" w:color="auto" w:fill="FFFFFF"/>
          </w:tcPr>
          <w:p w:rsidR="00E36C8E" w:rsidRPr="00D709E6" w:rsidRDefault="00E36C8E" w:rsidP="00BD4391">
            <w:pPr>
              <w:pStyle w:val="nsr"/>
            </w:pPr>
            <w:r w:rsidRPr="00D709E6">
              <w:t>XV, 33-37.</w:t>
            </w:r>
          </w:p>
        </w:tc>
        <w:tc>
          <w:tcPr>
            <w:tcW w:w="740" w:type="pct"/>
            <w:shd w:val="clear" w:color="auto" w:fill="FFFFFF"/>
          </w:tcPr>
          <w:p w:rsidR="00E36C8E" w:rsidRPr="00D709E6" w:rsidRDefault="00E36C8E" w:rsidP="00BD4391">
            <w:pPr>
              <w:pStyle w:val="nsr"/>
            </w:pPr>
            <w:r w:rsidRPr="00D709E6">
              <w:t xml:space="preserve">XXIII, </w:t>
            </w:r>
            <w:r>
              <w:t>44-45</w:t>
            </w:r>
            <w:r w:rsidRPr="00D709E6">
              <w:t>, 46.</w:t>
            </w:r>
          </w:p>
        </w:tc>
        <w:tc>
          <w:tcPr>
            <w:tcW w:w="803" w:type="pct"/>
            <w:shd w:val="clear" w:color="auto" w:fill="FFFFFF"/>
          </w:tcPr>
          <w:p w:rsidR="00E36C8E" w:rsidRPr="00D709E6" w:rsidRDefault="00E36C8E" w:rsidP="00BD4391">
            <w:pPr>
              <w:pStyle w:val="nsr"/>
            </w:pPr>
            <w:r w:rsidRPr="00D709E6">
              <w:t>XIX, 28-30.</w:t>
            </w:r>
          </w:p>
        </w:tc>
      </w:tr>
      <w:tr w:rsidR="00E36C8E" w:rsidRPr="00177118" w:rsidTr="00BD4391">
        <w:trPr>
          <w:cantSplit/>
          <w:trHeight w:val="20"/>
        </w:trPr>
        <w:tc>
          <w:tcPr>
            <w:tcW w:w="1958" w:type="pct"/>
            <w:shd w:val="clear" w:color="auto" w:fill="FFFFFF"/>
          </w:tcPr>
          <w:p w:rsidR="00E36C8E" w:rsidRPr="00177118" w:rsidRDefault="00E36C8E" w:rsidP="00BD4391">
            <w:pPr>
              <w:pStyle w:val="h"/>
            </w:pPr>
            <w:r w:rsidRPr="00177118">
              <w:t>Prodiges à la mort du Sauveur</w:t>
            </w:r>
            <w:r>
              <w:t> ;</w:t>
            </w:r>
            <w:r w:rsidRPr="00177118">
              <w:t xml:space="preserve"> le centurion</w:t>
            </w:r>
            <w:r>
              <w:t xml:space="preserve"> </w:t>
            </w:r>
          </w:p>
        </w:tc>
        <w:tc>
          <w:tcPr>
            <w:tcW w:w="750" w:type="pct"/>
            <w:shd w:val="clear" w:color="auto" w:fill="FFFFFF"/>
          </w:tcPr>
          <w:p w:rsidR="00E36C8E" w:rsidRPr="00D709E6" w:rsidRDefault="00E36C8E" w:rsidP="00BD4391">
            <w:pPr>
              <w:pStyle w:val="nsr"/>
            </w:pPr>
            <w:r w:rsidRPr="00D709E6">
              <w:t xml:space="preserve">XXVII, </w:t>
            </w:r>
            <w:r>
              <w:t>51-56.</w:t>
            </w:r>
          </w:p>
        </w:tc>
        <w:tc>
          <w:tcPr>
            <w:tcW w:w="750" w:type="pct"/>
            <w:shd w:val="clear" w:color="auto" w:fill="FFFFFF"/>
          </w:tcPr>
          <w:p w:rsidR="00E36C8E" w:rsidRPr="00D709E6" w:rsidRDefault="00E36C8E" w:rsidP="00BD4391">
            <w:pPr>
              <w:pStyle w:val="nsr"/>
            </w:pPr>
            <w:r w:rsidRPr="00D709E6">
              <w:t>XV, 38-41.</w:t>
            </w:r>
          </w:p>
        </w:tc>
        <w:tc>
          <w:tcPr>
            <w:tcW w:w="740" w:type="pct"/>
            <w:shd w:val="clear" w:color="auto" w:fill="FFFFFF"/>
          </w:tcPr>
          <w:p w:rsidR="00E36C8E" w:rsidRPr="00D709E6" w:rsidRDefault="00E36C8E" w:rsidP="00BD4391">
            <w:pPr>
              <w:pStyle w:val="nsr"/>
            </w:pPr>
            <w:r w:rsidRPr="00D709E6">
              <w:t>XXIII, 45b, 47-49</w:t>
            </w:r>
            <w:r>
              <w:t>.</w:t>
            </w:r>
          </w:p>
        </w:tc>
        <w:tc>
          <w:tcPr>
            <w:tcW w:w="803" w:type="pct"/>
            <w:shd w:val="clear" w:color="auto" w:fill="FFFFFF"/>
          </w:tcPr>
          <w:p w:rsidR="00E36C8E" w:rsidRPr="00D709E6" w:rsidRDefault="00E36C8E" w:rsidP="00BD4391">
            <w:pPr>
              <w:pStyle w:val="centrum"/>
            </w:pPr>
            <w:r w:rsidRPr="00D709E6">
              <w:t xml:space="preserve"> »</w:t>
            </w:r>
          </w:p>
        </w:tc>
      </w:tr>
      <w:tr w:rsidR="00E36C8E" w:rsidRPr="00177118" w:rsidTr="00BD4391">
        <w:trPr>
          <w:cantSplit/>
          <w:trHeight w:val="20"/>
        </w:trPr>
        <w:tc>
          <w:tcPr>
            <w:tcW w:w="1958" w:type="pct"/>
            <w:shd w:val="clear" w:color="auto" w:fill="FFFFFF"/>
          </w:tcPr>
          <w:p w:rsidR="00E36C8E" w:rsidRPr="00177118" w:rsidRDefault="00E36C8E" w:rsidP="00BD4391">
            <w:pPr>
              <w:pStyle w:val="h"/>
            </w:pPr>
            <w:r>
              <w:t>Le côté de Jésus ouvert</w:t>
            </w:r>
          </w:p>
        </w:tc>
        <w:tc>
          <w:tcPr>
            <w:tcW w:w="750" w:type="pct"/>
            <w:shd w:val="clear" w:color="auto" w:fill="FFFFFF"/>
          </w:tcPr>
          <w:p w:rsidR="00E36C8E" w:rsidRPr="00D709E6" w:rsidRDefault="00E36C8E" w:rsidP="00BD4391">
            <w:pPr>
              <w:pStyle w:val="centrum"/>
            </w:pPr>
            <w:r w:rsidRPr="00D709E6">
              <w:t xml:space="preserve"> »</w:t>
            </w:r>
          </w:p>
        </w:tc>
        <w:tc>
          <w:tcPr>
            <w:tcW w:w="750" w:type="pct"/>
            <w:shd w:val="clear" w:color="auto" w:fill="FFFFFF"/>
          </w:tcPr>
          <w:p w:rsidR="00E36C8E" w:rsidRPr="00D709E6" w:rsidRDefault="001B4203" w:rsidP="00BD4391">
            <w:pPr>
              <w:pStyle w:val="centrum"/>
            </w:pPr>
            <w:r>
              <w:t xml:space="preserve"> </w:t>
            </w:r>
            <w:r w:rsidR="00E36C8E" w:rsidRPr="00D709E6">
              <w:t>»</w:t>
            </w:r>
          </w:p>
        </w:tc>
        <w:tc>
          <w:tcPr>
            <w:tcW w:w="740" w:type="pct"/>
            <w:shd w:val="clear" w:color="auto" w:fill="FFFFFF"/>
          </w:tcPr>
          <w:p w:rsidR="00E36C8E" w:rsidRPr="00D709E6" w:rsidRDefault="001B4203" w:rsidP="00BD4391">
            <w:pPr>
              <w:pStyle w:val="centrum"/>
            </w:pPr>
            <w:r>
              <w:t xml:space="preserve"> </w:t>
            </w:r>
            <w:r w:rsidR="00E36C8E" w:rsidRPr="00D709E6">
              <w:t>»</w:t>
            </w:r>
          </w:p>
        </w:tc>
        <w:tc>
          <w:tcPr>
            <w:tcW w:w="803" w:type="pct"/>
            <w:shd w:val="clear" w:color="auto" w:fill="FFFFFF"/>
          </w:tcPr>
          <w:p w:rsidR="00E36C8E" w:rsidRPr="00D709E6" w:rsidRDefault="00E36C8E" w:rsidP="00BD4391">
            <w:pPr>
              <w:pStyle w:val="nsr"/>
            </w:pPr>
            <w:r w:rsidRPr="00D709E6">
              <w:t>XIX, 31-37.</w:t>
            </w:r>
          </w:p>
        </w:tc>
      </w:tr>
      <w:tr w:rsidR="00E36C8E" w:rsidRPr="00177118" w:rsidTr="00BD4391">
        <w:trPr>
          <w:cantSplit/>
          <w:trHeight w:val="20"/>
        </w:trPr>
        <w:tc>
          <w:tcPr>
            <w:tcW w:w="1958" w:type="pct"/>
            <w:shd w:val="clear" w:color="auto" w:fill="FFFFFF"/>
          </w:tcPr>
          <w:p w:rsidR="00E36C8E" w:rsidRPr="00177118" w:rsidRDefault="00E36C8E" w:rsidP="00BD4391">
            <w:pPr>
              <w:pStyle w:val="h"/>
            </w:pPr>
            <w:r>
              <w:t>Sépulture du Sauveur</w:t>
            </w:r>
          </w:p>
        </w:tc>
        <w:tc>
          <w:tcPr>
            <w:tcW w:w="750" w:type="pct"/>
            <w:shd w:val="clear" w:color="auto" w:fill="FFFFFF"/>
          </w:tcPr>
          <w:p w:rsidR="00E36C8E" w:rsidRPr="00D709E6" w:rsidRDefault="00E36C8E" w:rsidP="00BD4391">
            <w:pPr>
              <w:pStyle w:val="nsr"/>
            </w:pPr>
            <w:r w:rsidRPr="00D709E6">
              <w:t>XXVII, 57-61.</w:t>
            </w:r>
          </w:p>
        </w:tc>
        <w:tc>
          <w:tcPr>
            <w:tcW w:w="750" w:type="pct"/>
            <w:shd w:val="clear" w:color="auto" w:fill="FFFFFF"/>
          </w:tcPr>
          <w:p w:rsidR="00E36C8E" w:rsidRPr="00D709E6" w:rsidRDefault="00E36C8E" w:rsidP="00BD4391">
            <w:pPr>
              <w:pStyle w:val="nsr"/>
            </w:pPr>
            <w:r w:rsidRPr="00D709E6">
              <w:t xml:space="preserve">XV, </w:t>
            </w:r>
            <w:r>
              <w:t>42-47</w:t>
            </w:r>
            <w:r w:rsidRPr="00D709E6">
              <w:t>.</w:t>
            </w:r>
          </w:p>
        </w:tc>
        <w:tc>
          <w:tcPr>
            <w:tcW w:w="740" w:type="pct"/>
            <w:shd w:val="clear" w:color="auto" w:fill="FFFFFF"/>
          </w:tcPr>
          <w:p w:rsidR="00E36C8E" w:rsidRPr="00D709E6" w:rsidRDefault="00E36C8E" w:rsidP="00BD4391">
            <w:pPr>
              <w:pStyle w:val="nsr"/>
            </w:pPr>
            <w:r w:rsidRPr="00D709E6">
              <w:t>XXIII, 50-56.</w:t>
            </w:r>
          </w:p>
        </w:tc>
        <w:tc>
          <w:tcPr>
            <w:tcW w:w="803" w:type="pct"/>
            <w:shd w:val="clear" w:color="auto" w:fill="FFFFFF"/>
          </w:tcPr>
          <w:p w:rsidR="00E36C8E" w:rsidRPr="00D709E6" w:rsidRDefault="00E36C8E" w:rsidP="00BD4391">
            <w:pPr>
              <w:pStyle w:val="nsr"/>
            </w:pPr>
            <w:r w:rsidRPr="00D709E6">
              <w:t>XIX</w:t>
            </w:r>
            <w:r>
              <w:t>,</w:t>
            </w:r>
            <w:r w:rsidRPr="00D709E6">
              <w:t xml:space="preserve"> 38-42.</w:t>
            </w:r>
          </w:p>
        </w:tc>
      </w:tr>
      <w:tr w:rsidR="00E36C8E" w:rsidRPr="00177118" w:rsidTr="00BD4391">
        <w:trPr>
          <w:cantSplit/>
          <w:trHeight w:val="20"/>
        </w:trPr>
        <w:tc>
          <w:tcPr>
            <w:tcW w:w="1958" w:type="pct"/>
            <w:shd w:val="clear" w:color="auto" w:fill="FFFFFF"/>
          </w:tcPr>
          <w:p w:rsidR="00E36C8E" w:rsidRPr="00177118" w:rsidRDefault="00E36C8E" w:rsidP="00BD4391">
            <w:pPr>
              <w:pStyle w:val="h"/>
            </w:pPr>
            <w:r>
              <w:t>La garde du sépulcre</w:t>
            </w:r>
          </w:p>
        </w:tc>
        <w:tc>
          <w:tcPr>
            <w:tcW w:w="750" w:type="pct"/>
            <w:shd w:val="clear" w:color="auto" w:fill="FFFFFF"/>
          </w:tcPr>
          <w:p w:rsidR="00E36C8E" w:rsidRPr="00D709E6" w:rsidRDefault="00E36C8E" w:rsidP="00BD4391">
            <w:pPr>
              <w:pStyle w:val="nsr"/>
            </w:pPr>
            <w:r w:rsidRPr="00D709E6">
              <w:t>XXVII, 62-66.</w:t>
            </w:r>
          </w:p>
        </w:tc>
        <w:tc>
          <w:tcPr>
            <w:tcW w:w="750" w:type="pct"/>
            <w:shd w:val="clear" w:color="auto" w:fill="FFFFFF"/>
          </w:tcPr>
          <w:p w:rsidR="00E36C8E" w:rsidRDefault="001B4203" w:rsidP="00BD4391">
            <w:pPr>
              <w:pStyle w:val="centrum"/>
            </w:pPr>
            <w:r>
              <w:t xml:space="preserve"> </w:t>
            </w:r>
            <w:r w:rsidR="00E36C8E" w:rsidRPr="00F816DB">
              <w:t>»</w:t>
            </w:r>
          </w:p>
        </w:tc>
        <w:tc>
          <w:tcPr>
            <w:tcW w:w="740" w:type="pct"/>
            <w:shd w:val="clear" w:color="auto" w:fill="FFFFFF"/>
          </w:tcPr>
          <w:p w:rsidR="00E36C8E" w:rsidRDefault="001B4203" w:rsidP="00BD4391">
            <w:pPr>
              <w:pStyle w:val="centrum"/>
            </w:pPr>
            <w:r>
              <w:t xml:space="preserve"> </w:t>
            </w:r>
            <w:r w:rsidR="00E36C8E" w:rsidRPr="00F816DB">
              <w:t>»</w:t>
            </w:r>
          </w:p>
        </w:tc>
        <w:tc>
          <w:tcPr>
            <w:tcW w:w="803" w:type="pct"/>
            <w:shd w:val="clear" w:color="auto" w:fill="FFFFFF"/>
          </w:tcPr>
          <w:p w:rsidR="00E36C8E" w:rsidRDefault="001B4203" w:rsidP="00BD4391">
            <w:pPr>
              <w:pStyle w:val="centrum"/>
            </w:pPr>
            <w:r>
              <w:t xml:space="preserve"> </w:t>
            </w:r>
            <w:r w:rsidR="00E36C8E" w:rsidRPr="00F816DB">
              <w:t>»</w:t>
            </w:r>
          </w:p>
        </w:tc>
      </w:tr>
    </w:tbl>
    <w:p w:rsidR="00E36C8E" w:rsidRPr="00177118" w:rsidRDefault="00E36C8E" w:rsidP="00E36C8E">
      <w:pPr>
        <w:pStyle w:val="u3"/>
        <w:rPr>
          <w:lang w:eastAsia="fr-FR"/>
        </w:rPr>
      </w:pPr>
      <w:r w:rsidRPr="00177118">
        <w:rPr>
          <w:lang w:eastAsia="fr-FR"/>
        </w:rPr>
        <w:t xml:space="preserve">§ </w:t>
      </w:r>
      <w:r>
        <w:rPr>
          <w:lang w:eastAsia="fr-FR"/>
        </w:rPr>
        <w:t>III</w:t>
      </w:r>
      <w:r w:rsidRPr="00177118">
        <w:rPr>
          <w:lang w:eastAsia="fr-FR"/>
        </w:rPr>
        <w:t>. —</w:t>
      </w:r>
      <w:r w:rsidRPr="005507CF">
        <w:rPr>
          <w:rStyle w:val="italicus"/>
        </w:rPr>
        <w:t xml:space="preserve"> La Résurrection et l</w:t>
      </w:r>
      <w:r w:rsidR="00557DE0">
        <w:rPr>
          <w:rStyle w:val="italicus"/>
        </w:rPr>
        <w:t>’</w:t>
      </w:r>
      <w:r w:rsidRPr="005507CF">
        <w:rPr>
          <w:rStyle w:val="italicus"/>
        </w:rPr>
        <w:t>Ascension.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4133"/>
        <w:gridCol w:w="1588"/>
        <w:gridCol w:w="1553"/>
        <w:gridCol w:w="1567"/>
        <w:gridCol w:w="1649"/>
      </w:tblGrid>
      <w:tr w:rsidR="00E36C8E" w:rsidRPr="00177118" w:rsidTr="00BD4391">
        <w:trPr>
          <w:cantSplit/>
        </w:trPr>
        <w:tc>
          <w:tcPr>
            <w:tcW w:w="1970" w:type="pct"/>
            <w:shd w:val="clear" w:color="auto" w:fill="FFFFFF"/>
          </w:tcPr>
          <w:p w:rsidR="00E36C8E" w:rsidRPr="00177118" w:rsidRDefault="00E36C8E" w:rsidP="00BD4391">
            <w:pPr>
              <w:pStyle w:val="h"/>
            </w:pPr>
            <w:r w:rsidRPr="00177118">
              <w:t>Les saintes femmes au sépulcre</w:t>
            </w:r>
            <w:r>
              <w:t xml:space="preserve"> </w:t>
            </w:r>
          </w:p>
        </w:tc>
        <w:tc>
          <w:tcPr>
            <w:tcW w:w="757" w:type="pct"/>
            <w:shd w:val="clear" w:color="auto" w:fill="FFFFFF"/>
          </w:tcPr>
          <w:p w:rsidR="00E36C8E" w:rsidRPr="00D709E6" w:rsidRDefault="00E36C8E" w:rsidP="00BD4391">
            <w:pPr>
              <w:pStyle w:val="nsr"/>
            </w:pPr>
            <w:r w:rsidRPr="00D709E6">
              <w:t>XXVIII, 1.</w:t>
            </w:r>
          </w:p>
        </w:tc>
        <w:tc>
          <w:tcPr>
            <w:tcW w:w="740" w:type="pct"/>
            <w:shd w:val="clear" w:color="auto" w:fill="FFFFFF"/>
          </w:tcPr>
          <w:p w:rsidR="00E36C8E" w:rsidRPr="00D709E6" w:rsidRDefault="00E36C8E" w:rsidP="00BD4391">
            <w:pPr>
              <w:pStyle w:val="nsr"/>
            </w:pPr>
            <w:r w:rsidRPr="00D709E6">
              <w:t>XVI, 1-4.</w:t>
            </w:r>
          </w:p>
        </w:tc>
        <w:tc>
          <w:tcPr>
            <w:tcW w:w="747" w:type="pct"/>
            <w:shd w:val="clear" w:color="auto" w:fill="FFFFFF"/>
          </w:tcPr>
          <w:p w:rsidR="00E36C8E" w:rsidRPr="00D709E6" w:rsidRDefault="00E36C8E" w:rsidP="00BD4391">
            <w:pPr>
              <w:pStyle w:val="nsr"/>
            </w:pPr>
            <w:r w:rsidRPr="00D709E6">
              <w:t>XXIV, 1-2.</w:t>
            </w:r>
          </w:p>
        </w:tc>
        <w:tc>
          <w:tcPr>
            <w:tcW w:w="786" w:type="pct"/>
            <w:shd w:val="clear" w:color="auto" w:fill="FFFFFF"/>
          </w:tcPr>
          <w:p w:rsidR="00E36C8E" w:rsidRPr="00D709E6" w:rsidRDefault="00E36C8E" w:rsidP="00BD4391">
            <w:pPr>
              <w:pStyle w:val="nsr"/>
            </w:pPr>
            <w:r w:rsidRPr="00D709E6">
              <w:t>XX, 1.</w:t>
            </w:r>
          </w:p>
        </w:tc>
      </w:tr>
      <w:tr w:rsidR="00E36C8E" w:rsidRPr="00177118" w:rsidTr="00BD4391">
        <w:trPr>
          <w:cantSplit/>
        </w:trPr>
        <w:tc>
          <w:tcPr>
            <w:tcW w:w="1970" w:type="pct"/>
            <w:shd w:val="clear" w:color="auto" w:fill="FFFFFF"/>
          </w:tcPr>
          <w:p w:rsidR="00E36C8E" w:rsidRPr="00177118" w:rsidRDefault="00E36C8E" w:rsidP="00BD4391">
            <w:pPr>
              <w:pStyle w:val="h"/>
            </w:pPr>
            <w:r>
              <w:t>L</w:t>
            </w:r>
            <w:r w:rsidRPr="00177118">
              <w:t>a pierre du tombeau est renversée par un ange</w:t>
            </w:r>
            <w:r>
              <w:t xml:space="preserve"> </w:t>
            </w:r>
          </w:p>
        </w:tc>
        <w:tc>
          <w:tcPr>
            <w:tcW w:w="757" w:type="pct"/>
            <w:shd w:val="clear" w:color="auto" w:fill="FFFFFF"/>
          </w:tcPr>
          <w:p w:rsidR="00E36C8E" w:rsidRPr="00D709E6" w:rsidRDefault="00E36C8E" w:rsidP="00BD4391">
            <w:pPr>
              <w:pStyle w:val="nsr"/>
            </w:pPr>
            <w:r w:rsidRPr="00D709E6">
              <w:t>XXVIII, 2-4.</w:t>
            </w:r>
          </w:p>
        </w:tc>
        <w:tc>
          <w:tcPr>
            <w:tcW w:w="740" w:type="pct"/>
            <w:shd w:val="clear" w:color="auto" w:fill="FFFFFF"/>
          </w:tcPr>
          <w:p w:rsidR="00E36C8E" w:rsidRPr="00D709E6" w:rsidRDefault="001B4203" w:rsidP="00BD4391">
            <w:pPr>
              <w:pStyle w:val="centrum"/>
            </w:pPr>
            <w:r>
              <w:t xml:space="preserve"> </w:t>
            </w:r>
            <w:r w:rsidR="00E36C8E" w:rsidRPr="00D709E6">
              <w:t>»</w:t>
            </w:r>
          </w:p>
        </w:tc>
        <w:tc>
          <w:tcPr>
            <w:tcW w:w="747" w:type="pct"/>
            <w:shd w:val="clear" w:color="auto" w:fill="FFFFFF"/>
          </w:tcPr>
          <w:p w:rsidR="00E36C8E" w:rsidRPr="00D709E6" w:rsidRDefault="00E36C8E" w:rsidP="00BD4391">
            <w:pPr>
              <w:pStyle w:val="centrum"/>
            </w:pPr>
            <w:r w:rsidRPr="00D709E6">
              <w:t xml:space="preserve"> »</w:t>
            </w:r>
          </w:p>
        </w:tc>
        <w:tc>
          <w:tcPr>
            <w:tcW w:w="786" w:type="pct"/>
            <w:shd w:val="clear" w:color="auto" w:fill="FFFFFF"/>
          </w:tcPr>
          <w:p w:rsidR="00E36C8E" w:rsidRPr="00D709E6" w:rsidRDefault="001B4203" w:rsidP="00BD4391">
            <w:pPr>
              <w:pStyle w:val="centrum"/>
            </w:pPr>
            <w:r>
              <w:t xml:space="preserve"> </w:t>
            </w:r>
            <w:r w:rsidR="00E36C8E" w:rsidRPr="00D709E6">
              <w:t>»</w:t>
            </w:r>
          </w:p>
        </w:tc>
      </w:tr>
      <w:tr w:rsidR="00E36C8E" w:rsidRPr="00241E4B" w:rsidTr="00BD4391">
        <w:trPr>
          <w:cantSplit/>
        </w:trPr>
        <w:tc>
          <w:tcPr>
            <w:tcW w:w="1970" w:type="pct"/>
            <w:shd w:val="clear" w:color="auto" w:fill="FFFFFF"/>
          </w:tcPr>
          <w:p w:rsidR="00E36C8E" w:rsidRPr="00241E4B" w:rsidRDefault="00E36C8E" w:rsidP="00BD4391">
            <w:pPr>
              <w:pStyle w:val="h"/>
              <w:rPr>
                <w:rStyle w:val="italicus"/>
              </w:rPr>
            </w:pPr>
            <w:r w:rsidRPr="00241E4B">
              <w:rPr>
                <w:rStyle w:val="italicus"/>
              </w:rPr>
              <w:t xml:space="preserve">St Pierre et St Jean au sépulcre </w:t>
            </w:r>
          </w:p>
        </w:tc>
        <w:tc>
          <w:tcPr>
            <w:tcW w:w="757" w:type="pct"/>
            <w:shd w:val="clear" w:color="auto" w:fill="FFFFFF"/>
          </w:tcPr>
          <w:p w:rsidR="00E36C8E" w:rsidRPr="00241E4B" w:rsidRDefault="001B4203" w:rsidP="00BD4391">
            <w:pPr>
              <w:pStyle w:val="centrum"/>
              <w:rPr>
                <w:rStyle w:val="italicus"/>
              </w:rPr>
            </w:pPr>
            <w:r>
              <w:rPr>
                <w:rStyle w:val="italicus"/>
              </w:rPr>
              <w:t xml:space="preserve"> </w:t>
            </w:r>
            <w:r w:rsidR="00E36C8E" w:rsidRPr="00241E4B">
              <w:rPr>
                <w:rStyle w:val="italicus"/>
              </w:rPr>
              <w:t>»</w:t>
            </w:r>
          </w:p>
        </w:tc>
        <w:tc>
          <w:tcPr>
            <w:tcW w:w="740" w:type="pct"/>
            <w:shd w:val="clear" w:color="auto" w:fill="FFFFFF"/>
          </w:tcPr>
          <w:p w:rsidR="00E36C8E" w:rsidRPr="00241E4B" w:rsidRDefault="001B4203" w:rsidP="00BD4391">
            <w:pPr>
              <w:pStyle w:val="centrum"/>
              <w:rPr>
                <w:rStyle w:val="italicus"/>
              </w:rPr>
            </w:pPr>
            <w:r>
              <w:rPr>
                <w:rStyle w:val="italicus"/>
              </w:rPr>
              <w:t xml:space="preserve"> </w:t>
            </w:r>
            <w:r w:rsidR="00E36C8E" w:rsidRPr="00241E4B">
              <w:rPr>
                <w:rStyle w:val="italicus"/>
              </w:rPr>
              <w:t>»</w:t>
            </w:r>
          </w:p>
        </w:tc>
        <w:tc>
          <w:tcPr>
            <w:tcW w:w="747" w:type="pct"/>
            <w:shd w:val="clear" w:color="auto" w:fill="FFFFFF"/>
          </w:tcPr>
          <w:p w:rsidR="00E36C8E" w:rsidRPr="00241E4B" w:rsidRDefault="00E36C8E" w:rsidP="00BD4391">
            <w:pPr>
              <w:pStyle w:val="nsr"/>
              <w:rPr>
                <w:rStyle w:val="italicus"/>
              </w:rPr>
            </w:pPr>
            <w:r w:rsidRPr="00241E4B">
              <w:rPr>
                <w:rStyle w:val="italicus"/>
              </w:rPr>
              <w:t>XXIV 12.</w:t>
            </w:r>
          </w:p>
        </w:tc>
        <w:tc>
          <w:tcPr>
            <w:tcW w:w="786" w:type="pct"/>
            <w:shd w:val="clear" w:color="auto" w:fill="FFFFFF"/>
          </w:tcPr>
          <w:p w:rsidR="00E36C8E" w:rsidRPr="00241E4B" w:rsidRDefault="00E36C8E" w:rsidP="00BD4391">
            <w:pPr>
              <w:pStyle w:val="nsr"/>
              <w:rPr>
                <w:rStyle w:val="italicus"/>
              </w:rPr>
            </w:pPr>
            <w:r w:rsidRPr="00241E4B">
              <w:rPr>
                <w:rStyle w:val="italicus"/>
              </w:rPr>
              <w:t>XX, 2-10.</w:t>
            </w:r>
          </w:p>
        </w:tc>
      </w:tr>
      <w:tr w:rsidR="00E36C8E" w:rsidRPr="00241E4B" w:rsidTr="00BD4391">
        <w:trPr>
          <w:cantSplit/>
        </w:trPr>
        <w:tc>
          <w:tcPr>
            <w:tcW w:w="1970" w:type="pct"/>
            <w:shd w:val="clear" w:color="auto" w:fill="FFFFFF"/>
          </w:tcPr>
          <w:p w:rsidR="00E36C8E" w:rsidRPr="00241E4B" w:rsidRDefault="00E36C8E" w:rsidP="00BD4391">
            <w:pPr>
              <w:pStyle w:val="h"/>
              <w:rPr>
                <w:rStyle w:val="italicus"/>
              </w:rPr>
            </w:pPr>
            <w:r w:rsidRPr="00241E4B">
              <w:rPr>
                <w:rStyle w:val="italicus"/>
              </w:rPr>
              <w:t>Apparition d</w:t>
            </w:r>
            <w:r w:rsidR="00557DE0">
              <w:rPr>
                <w:rStyle w:val="italicus"/>
              </w:rPr>
              <w:t>’</w:t>
            </w:r>
            <w:r w:rsidRPr="00241E4B">
              <w:rPr>
                <w:rStyle w:val="italicus"/>
              </w:rPr>
              <w:t>anges aux saintes</w:t>
            </w:r>
          </w:p>
        </w:tc>
        <w:tc>
          <w:tcPr>
            <w:tcW w:w="757" w:type="pct"/>
            <w:shd w:val="clear" w:color="auto" w:fill="FFFFFF"/>
          </w:tcPr>
          <w:p w:rsidR="00E36C8E" w:rsidRPr="00241E4B" w:rsidRDefault="00E36C8E" w:rsidP="00BD4391">
            <w:pPr>
              <w:pStyle w:val="nsr"/>
              <w:rPr>
                <w:rStyle w:val="italicus"/>
              </w:rPr>
            </w:pPr>
            <w:r w:rsidRPr="00241E4B">
              <w:rPr>
                <w:rStyle w:val="italicus"/>
              </w:rPr>
              <w:t>XXVIII, 5-7.</w:t>
            </w:r>
          </w:p>
        </w:tc>
        <w:tc>
          <w:tcPr>
            <w:tcW w:w="740" w:type="pct"/>
            <w:shd w:val="clear" w:color="auto" w:fill="FFFFFF"/>
          </w:tcPr>
          <w:p w:rsidR="00E36C8E" w:rsidRPr="00241E4B" w:rsidRDefault="00E36C8E" w:rsidP="00BD4391">
            <w:pPr>
              <w:pStyle w:val="nsr"/>
              <w:rPr>
                <w:rStyle w:val="italicus"/>
              </w:rPr>
            </w:pPr>
            <w:r w:rsidRPr="00241E4B">
              <w:rPr>
                <w:rStyle w:val="italicus"/>
              </w:rPr>
              <w:t>XVI, 5-7.</w:t>
            </w:r>
          </w:p>
        </w:tc>
        <w:tc>
          <w:tcPr>
            <w:tcW w:w="747" w:type="pct"/>
            <w:shd w:val="clear" w:color="auto" w:fill="FFFFFF"/>
          </w:tcPr>
          <w:p w:rsidR="00E36C8E" w:rsidRPr="00241E4B" w:rsidRDefault="00E36C8E" w:rsidP="00BD4391">
            <w:pPr>
              <w:pStyle w:val="nsr"/>
              <w:rPr>
                <w:rStyle w:val="italicus"/>
              </w:rPr>
            </w:pPr>
            <w:r w:rsidRPr="00241E4B">
              <w:rPr>
                <w:rStyle w:val="italicus"/>
              </w:rPr>
              <w:t>XXIV, 3-8.</w:t>
            </w:r>
          </w:p>
        </w:tc>
        <w:tc>
          <w:tcPr>
            <w:tcW w:w="786" w:type="pct"/>
            <w:shd w:val="clear" w:color="auto" w:fill="FFFFFF"/>
          </w:tcPr>
          <w:p w:rsidR="00E36C8E" w:rsidRPr="00241E4B" w:rsidRDefault="00E36C8E" w:rsidP="00BD4391">
            <w:pPr>
              <w:pStyle w:val="centrum"/>
              <w:rPr>
                <w:rStyle w:val="italicus"/>
              </w:rPr>
            </w:pPr>
            <w:r w:rsidRPr="00241E4B">
              <w:rPr>
                <w:rStyle w:val="italicus"/>
              </w:rPr>
              <w:t xml:space="preserve"> »</w:t>
            </w:r>
          </w:p>
        </w:tc>
      </w:tr>
      <w:tr w:rsidR="00E36C8E" w:rsidRPr="00241E4B" w:rsidTr="00BD4391">
        <w:trPr>
          <w:cantSplit/>
        </w:trPr>
        <w:tc>
          <w:tcPr>
            <w:tcW w:w="1970" w:type="pct"/>
            <w:shd w:val="clear" w:color="auto" w:fill="FFFFFF"/>
          </w:tcPr>
          <w:p w:rsidR="00E36C8E" w:rsidRPr="00241E4B" w:rsidRDefault="00E36C8E" w:rsidP="00BD4391">
            <w:pPr>
              <w:pStyle w:val="h"/>
              <w:rPr>
                <w:rStyle w:val="italicus"/>
              </w:rPr>
            </w:pPr>
            <w:r w:rsidRPr="00241E4B">
              <w:rPr>
                <w:rStyle w:val="italicus"/>
              </w:rPr>
              <w:t>Les saintes femmes de retour auprès des disciples</w:t>
            </w:r>
          </w:p>
        </w:tc>
        <w:tc>
          <w:tcPr>
            <w:tcW w:w="757" w:type="pct"/>
            <w:shd w:val="clear" w:color="auto" w:fill="FFFFFF"/>
          </w:tcPr>
          <w:p w:rsidR="00E36C8E" w:rsidRPr="00241E4B" w:rsidRDefault="00E36C8E" w:rsidP="00BD4391">
            <w:pPr>
              <w:pStyle w:val="nsr"/>
              <w:rPr>
                <w:rStyle w:val="italicus"/>
              </w:rPr>
            </w:pPr>
            <w:r w:rsidRPr="00241E4B">
              <w:rPr>
                <w:rStyle w:val="italicus"/>
              </w:rPr>
              <w:t>XXVIII, 8.</w:t>
            </w:r>
          </w:p>
        </w:tc>
        <w:tc>
          <w:tcPr>
            <w:tcW w:w="740" w:type="pct"/>
            <w:shd w:val="clear" w:color="auto" w:fill="FFFFFF"/>
          </w:tcPr>
          <w:p w:rsidR="00E36C8E" w:rsidRPr="00241E4B" w:rsidRDefault="00E36C8E" w:rsidP="00BD4391">
            <w:pPr>
              <w:pStyle w:val="nsr"/>
              <w:rPr>
                <w:rStyle w:val="italicus"/>
              </w:rPr>
            </w:pPr>
            <w:r w:rsidRPr="00241E4B">
              <w:rPr>
                <w:rStyle w:val="italicus"/>
              </w:rPr>
              <w:t>XVI, 8.</w:t>
            </w:r>
          </w:p>
        </w:tc>
        <w:tc>
          <w:tcPr>
            <w:tcW w:w="747" w:type="pct"/>
            <w:shd w:val="clear" w:color="auto" w:fill="FFFFFF"/>
          </w:tcPr>
          <w:p w:rsidR="00E36C8E" w:rsidRPr="00241E4B" w:rsidRDefault="00E36C8E" w:rsidP="00BD4391">
            <w:pPr>
              <w:pStyle w:val="nsr"/>
              <w:rPr>
                <w:rStyle w:val="italicus"/>
              </w:rPr>
            </w:pPr>
            <w:r w:rsidRPr="00241E4B">
              <w:rPr>
                <w:rStyle w:val="italicus"/>
              </w:rPr>
              <w:t>XXIV, 9-17.</w:t>
            </w:r>
          </w:p>
        </w:tc>
        <w:tc>
          <w:tcPr>
            <w:tcW w:w="786" w:type="pct"/>
            <w:shd w:val="clear" w:color="auto" w:fill="FFFFFF"/>
          </w:tcPr>
          <w:p w:rsidR="00E36C8E" w:rsidRPr="00241E4B" w:rsidRDefault="00E36C8E" w:rsidP="00BD4391">
            <w:pPr>
              <w:pStyle w:val="centrum"/>
              <w:rPr>
                <w:rStyle w:val="italicus"/>
              </w:rPr>
            </w:pPr>
            <w:r w:rsidRPr="00241E4B">
              <w:rPr>
                <w:rStyle w:val="italicus"/>
              </w:rPr>
              <w:t xml:space="preserve"> »</w:t>
            </w:r>
          </w:p>
        </w:tc>
      </w:tr>
      <w:tr w:rsidR="00E36C8E" w:rsidRPr="00241E4B" w:rsidTr="00BD4391">
        <w:trPr>
          <w:cantSplit/>
        </w:trPr>
        <w:tc>
          <w:tcPr>
            <w:tcW w:w="1970" w:type="pct"/>
            <w:shd w:val="clear" w:color="auto" w:fill="FFFFFF"/>
          </w:tcPr>
          <w:p w:rsidR="00E36C8E" w:rsidRPr="00241E4B" w:rsidRDefault="00E36C8E" w:rsidP="00BD4391">
            <w:pPr>
              <w:pStyle w:val="h"/>
              <w:rPr>
                <w:rStyle w:val="italicus"/>
              </w:rPr>
            </w:pPr>
            <w:r w:rsidRPr="00241E4B">
              <w:rPr>
                <w:rStyle w:val="italicus"/>
              </w:rPr>
              <w:t>Jésus apparaît à Marie Madeleine</w:t>
            </w:r>
          </w:p>
        </w:tc>
        <w:tc>
          <w:tcPr>
            <w:tcW w:w="757" w:type="pct"/>
            <w:shd w:val="clear" w:color="auto" w:fill="FFFFFF"/>
          </w:tcPr>
          <w:p w:rsidR="00E36C8E" w:rsidRPr="00241E4B" w:rsidRDefault="00E36C8E" w:rsidP="00BD4391">
            <w:pPr>
              <w:pStyle w:val="centrum"/>
              <w:rPr>
                <w:rStyle w:val="italicus"/>
              </w:rPr>
            </w:pPr>
            <w:r w:rsidRPr="00241E4B">
              <w:rPr>
                <w:rStyle w:val="italicus"/>
              </w:rPr>
              <w:t xml:space="preserve"> »</w:t>
            </w:r>
          </w:p>
        </w:tc>
        <w:tc>
          <w:tcPr>
            <w:tcW w:w="740" w:type="pct"/>
            <w:shd w:val="clear" w:color="auto" w:fill="FFFFFF"/>
          </w:tcPr>
          <w:p w:rsidR="00E36C8E" w:rsidRPr="00241E4B" w:rsidRDefault="00E36C8E" w:rsidP="00BD4391">
            <w:pPr>
              <w:pStyle w:val="nsr"/>
              <w:rPr>
                <w:rStyle w:val="italicus"/>
              </w:rPr>
            </w:pPr>
            <w:r w:rsidRPr="00241E4B">
              <w:rPr>
                <w:rStyle w:val="italicus"/>
              </w:rPr>
              <w:t>XVI, 9-11.</w:t>
            </w:r>
          </w:p>
        </w:tc>
        <w:tc>
          <w:tcPr>
            <w:tcW w:w="747" w:type="pct"/>
            <w:shd w:val="clear" w:color="auto" w:fill="FFFFFF"/>
          </w:tcPr>
          <w:p w:rsidR="00E36C8E" w:rsidRPr="00241E4B" w:rsidRDefault="00E36C8E" w:rsidP="00BD4391">
            <w:pPr>
              <w:pStyle w:val="centrum"/>
              <w:rPr>
                <w:rStyle w:val="italicus"/>
              </w:rPr>
            </w:pPr>
            <w:r w:rsidRPr="00241E4B">
              <w:rPr>
                <w:rStyle w:val="italicus"/>
              </w:rPr>
              <w:t xml:space="preserve"> »</w:t>
            </w:r>
          </w:p>
        </w:tc>
        <w:tc>
          <w:tcPr>
            <w:tcW w:w="786" w:type="pct"/>
            <w:shd w:val="clear" w:color="auto" w:fill="FFFFFF"/>
          </w:tcPr>
          <w:p w:rsidR="00E36C8E" w:rsidRPr="00241E4B" w:rsidRDefault="00E36C8E" w:rsidP="00BD4391">
            <w:pPr>
              <w:pStyle w:val="nsr"/>
              <w:rPr>
                <w:rStyle w:val="italicus"/>
              </w:rPr>
            </w:pPr>
            <w:r w:rsidRPr="00241E4B">
              <w:rPr>
                <w:rStyle w:val="italicus"/>
              </w:rPr>
              <w:t>XX, 11-18.</w:t>
            </w:r>
          </w:p>
        </w:tc>
      </w:tr>
      <w:tr w:rsidR="00E36C8E" w:rsidRPr="00241E4B" w:rsidTr="00BD4391">
        <w:trPr>
          <w:cantSplit/>
        </w:trPr>
        <w:tc>
          <w:tcPr>
            <w:tcW w:w="1970" w:type="pct"/>
            <w:shd w:val="clear" w:color="auto" w:fill="FFFFFF"/>
          </w:tcPr>
          <w:p w:rsidR="00E36C8E" w:rsidRPr="00241E4B" w:rsidRDefault="00E36C8E" w:rsidP="00BD4391">
            <w:pPr>
              <w:pStyle w:val="h"/>
              <w:rPr>
                <w:rStyle w:val="italicus"/>
              </w:rPr>
            </w:pPr>
            <w:r w:rsidRPr="00241E4B">
              <w:rPr>
                <w:rStyle w:val="italicus"/>
              </w:rPr>
              <w:t xml:space="preserve">Il apparaît aux saintes femmes </w:t>
            </w:r>
          </w:p>
        </w:tc>
        <w:tc>
          <w:tcPr>
            <w:tcW w:w="757" w:type="pct"/>
            <w:shd w:val="clear" w:color="auto" w:fill="FFFFFF"/>
          </w:tcPr>
          <w:p w:rsidR="00E36C8E" w:rsidRPr="00241E4B" w:rsidRDefault="00E36C8E" w:rsidP="00BD4391">
            <w:pPr>
              <w:pStyle w:val="nsr"/>
              <w:rPr>
                <w:rStyle w:val="italicus"/>
              </w:rPr>
            </w:pPr>
            <w:r w:rsidRPr="00241E4B">
              <w:rPr>
                <w:rStyle w:val="italicus"/>
              </w:rPr>
              <w:t>XXVIII, 9-10.</w:t>
            </w:r>
          </w:p>
        </w:tc>
        <w:tc>
          <w:tcPr>
            <w:tcW w:w="740" w:type="pct"/>
            <w:shd w:val="clear" w:color="auto" w:fill="FFFFFF"/>
          </w:tcPr>
          <w:p w:rsidR="00E36C8E" w:rsidRPr="00241E4B" w:rsidRDefault="001B4203" w:rsidP="00BD4391">
            <w:pPr>
              <w:pStyle w:val="centrum"/>
              <w:rPr>
                <w:rStyle w:val="italicus"/>
              </w:rPr>
            </w:pPr>
            <w:r>
              <w:rPr>
                <w:rStyle w:val="italicus"/>
              </w:rPr>
              <w:t xml:space="preserve"> </w:t>
            </w:r>
            <w:r w:rsidR="00E36C8E" w:rsidRPr="00241E4B">
              <w:rPr>
                <w:rStyle w:val="italicus"/>
              </w:rPr>
              <w:t>»</w:t>
            </w:r>
          </w:p>
        </w:tc>
        <w:tc>
          <w:tcPr>
            <w:tcW w:w="747" w:type="pct"/>
            <w:shd w:val="clear" w:color="auto" w:fill="FFFFFF"/>
          </w:tcPr>
          <w:p w:rsidR="00E36C8E" w:rsidRPr="00241E4B" w:rsidRDefault="001B4203" w:rsidP="00BD4391">
            <w:pPr>
              <w:pStyle w:val="centrum"/>
              <w:rPr>
                <w:rStyle w:val="italicus"/>
              </w:rPr>
            </w:pPr>
            <w:r>
              <w:rPr>
                <w:rStyle w:val="italicus"/>
              </w:rPr>
              <w:t xml:space="preserve"> </w:t>
            </w:r>
            <w:r w:rsidR="00E36C8E" w:rsidRPr="00241E4B">
              <w:rPr>
                <w:rStyle w:val="italicus"/>
              </w:rPr>
              <w:t>»</w:t>
            </w:r>
          </w:p>
        </w:tc>
        <w:tc>
          <w:tcPr>
            <w:tcW w:w="786" w:type="pct"/>
            <w:shd w:val="clear" w:color="auto" w:fill="FFFFFF"/>
          </w:tcPr>
          <w:p w:rsidR="00E36C8E" w:rsidRPr="00241E4B" w:rsidRDefault="001B4203" w:rsidP="00BD4391">
            <w:pPr>
              <w:pStyle w:val="centrum"/>
              <w:rPr>
                <w:rStyle w:val="italicus"/>
              </w:rPr>
            </w:pPr>
            <w:r>
              <w:rPr>
                <w:rStyle w:val="italicus"/>
              </w:rPr>
              <w:t xml:space="preserve"> </w:t>
            </w:r>
            <w:r w:rsidR="00E36C8E" w:rsidRPr="00241E4B">
              <w:rPr>
                <w:rStyle w:val="italicus"/>
              </w:rPr>
              <w:t>»</w:t>
            </w:r>
          </w:p>
        </w:tc>
      </w:tr>
      <w:tr w:rsidR="00E36C8E" w:rsidRPr="00177118" w:rsidTr="00BD4391">
        <w:trPr>
          <w:cantSplit/>
        </w:trPr>
        <w:tc>
          <w:tcPr>
            <w:tcW w:w="1970" w:type="pct"/>
            <w:shd w:val="clear" w:color="auto" w:fill="FFFFFF"/>
          </w:tcPr>
          <w:p w:rsidR="00E36C8E" w:rsidRPr="00177118" w:rsidRDefault="00E36C8E" w:rsidP="00BD4391">
            <w:pPr>
              <w:pStyle w:val="h"/>
            </w:pPr>
            <w:r w:rsidRPr="00177118">
              <w:t>Les</w:t>
            </w:r>
            <w:r>
              <w:t xml:space="preserve"> gardes soudoyés par les princes</w:t>
            </w:r>
            <w:r w:rsidRPr="00177118">
              <w:t xml:space="preserve"> des </w:t>
            </w:r>
            <w:r>
              <w:t>prêt</w:t>
            </w:r>
            <w:r w:rsidRPr="00177118">
              <w:t>res</w:t>
            </w:r>
            <w:r>
              <w:t xml:space="preserve"> </w:t>
            </w:r>
          </w:p>
        </w:tc>
        <w:tc>
          <w:tcPr>
            <w:tcW w:w="757" w:type="pct"/>
            <w:shd w:val="clear" w:color="auto" w:fill="FFFFFF"/>
          </w:tcPr>
          <w:p w:rsidR="00E36C8E" w:rsidRPr="00D709E6" w:rsidRDefault="00E36C8E" w:rsidP="00BD4391">
            <w:pPr>
              <w:pStyle w:val="nsr"/>
            </w:pPr>
            <w:r w:rsidRPr="00D709E6">
              <w:t xml:space="preserve">XXVIII, </w:t>
            </w:r>
            <w:r>
              <w:t>11</w:t>
            </w:r>
            <w:r w:rsidRPr="00D709E6">
              <w:t>-15.</w:t>
            </w:r>
          </w:p>
        </w:tc>
        <w:tc>
          <w:tcPr>
            <w:tcW w:w="740" w:type="pct"/>
            <w:shd w:val="clear" w:color="auto" w:fill="FFFFFF"/>
          </w:tcPr>
          <w:p w:rsidR="00E36C8E" w:rsidRPr="00D709E6" w:rsidRDefault="001B4203" w:rsidP="00BD4391">
            <w:pPr>
              <w:pStyle w:val="centrum"/>
            </w:pPr>
            <w:r>
              <w:t xml:space="preserve"> </w:t>
            </w:r>
            <w:r w:rsidR="00E36C8E" w:rsidRPr="00D709E6">
              <w:t>»</w:t>
            </w:r>
          </w:p>
        </w:tc>
        <w:tc>
          <w:tcPr>
            <w:tcW w:w="747" w:type="pct"/>
            <w:shd w:val="clear" w:color="auto" w:fill="FFFFFF"/>
          </w:tcPr>
          <w:p w:rsidR="00E36C8E" w:rsidRPr="00D709E6" w:rsidRDefault="001B4203" w:rsidP="00BD4391">
            <w:pPr>
              <w:pStyle w:val="centrum"/>
            </w:pPr>
            <w:r>
              <w:t xml:space="preserve"> </w:t>
            </w:r>
            <w:r w:rsidR="00E36C8E" w:rsidRPr="00D709E6">
              <w:t>»</w:t>
            </w:r>
          </w:p>
        </w:tc>
        <w:tc>
          <w:tcPr>
            <w:tcW w:w="786" w:type="pct"/>
            <w:shd w:val="clear" w:color="auto" w:fill="FFFFFF"/>
          </w:tcPr>
          <w:p w:rsidR="00E36C8E" w:rsidRDefault="001B4203" w:rsidP="00BD4391">
            <w:pPr>
              <w:pStyle w:val="centrum"/>
            </w:pPr>
            <w:r>
              <w:t xml:space="preserve"> </w:t>
            </w:r>
            <w:r w:rsidR="00E36C8E" w:rsidRPr="00362E9A">
              <w:t>»</w:t>
            </w:r>
          </w:p>
        </w:tc>
      </w:tr>
      <w:tr w:rsidR="00E36C8E" w:rsidRPr="00177118" w:rsidTr="00BD4391">
        <w:trPr>
          <w:cantSplit/>
        </w:trPr>
        <w:tc>
          <w:tcPr>
            <w:tcW w:w="1970" w:type="pct"/>
            <w:shd w:val="clear" w:color="auto" w:fill="FFFFFF"/>
          </w:tcPr>
          <w:p w:rsidR="00E36C8E" w:rsidRPr="00177118" w:rsidRDefault="00E36C8E" w:rsidP="00BD4391">
            <w:pPr>
              <w:pStyle w:val="h"/>
            </w:pPr>
            <w:r w:rsidRPr="00177118">
              <w:t>Apparition aux disciples d</w:t>
            </w:r>
            <w:r w:rsidR="00557DE0">
              <w:t>’</w:t>
            </w:r>
            <w:r>
              <w:t>Emmaü</w:t>
            </w:r>
            <w:r w:rsidRPr="00177118">
              <w:t xml:space="preserve">s. </w:t>
            </w:r>
          </w:p>
        </w:tc>
        <w:tc>
          <w:tcPr>
            <w:tcW w:w="757" w:type="pct"/>
            <w:shd w:val="clear" w:color="auto" w:fill="FFFFFF"/>
          </w:tcPr>
          <w:p w:rsidR="00E36C8E" w:rsidRPr="00D709E6" w:rsidRDefault="001B4203" w:rsidP="00BD4391">
            <w:pPr>
              <w:pStyle w:val="centrum"/>
            </w:pPr>
            <w:r>
              <w:t xml:space="preserve"> </w:t>
            </w:r>
            <w:r w:rsidR="00E36C8E" w:rsidRPr="00D709E6">
              <w:t>»</w:t>
            </w:r>
          </w:p>
        </w:tc>
        <w:tc>
          <w:tcPr>
            <w:tcW w:w="740" w:type="pct"/>
            <w:shd w:val="clear" w:color="auto" w:fill="FFFFFF"/>
          </w:tcPr>
          <w:p w:rsidR="00E36C8E" w:rsidRPr="00D709E6" w:rsidRDefault="00E36C8E" w:rsidP="00BD4391">
            <w:pPr>
              <w:pStyle w:val="nsr"/>
            </w:pPr>
            <w:r w:rsidRPr="00D709E6">
              <w:t>XVI, 12-13.</w:t>
            </w:r>
          </w:p>
        </w:tc>
        <w:tc>
          <w:tcPr>
            <w:tcW w:w="747" w:type="pct"/>
            <w:shd w:val="clear" w:color="auto" w:fill="FFFFFF"/>
          </w:tcPr>
          <w:p w:rsidR="00E36C8E" w:rsidRPr="00D709E6" w:rsidRDefault="00E36C8E" w:rsidP="00BD4391">
            <w:pPr>
              <w:pStyle w:val="nsr"/>
            </w:pPr>
            <w:r>
              <w:t>XXIV, 13-</w:t>
            </w:r>
            <w:r w:rsidRPr="00D709E6">
              <w:t>35.</w:t>
            </w:r>
          </w:p>
        </w:tc>
        <w:tc>
          <w:tcPr>
            <w:tcW w:w="786" w:type="pct"/>
            <w:shd w:val="clear" w:color="auto" w:fill="FFFFFF"/>
          </w:tcPr>
          <w:p w:rsidR="00E36C8E" w:rsidRDefault="001B4203" w:rsidP="00BD4391">
            <w:pPr>
              <w:pStyle w:val="centrum"/>
            </w:pPr>
            <w:r>
              <w:t xml:space="preserve"> </w:t>
            </w:r>
            <w:r w:rsidR="00E36C8E" w:rsidRPr="00362E9A">
              <w:t>»</w:t>
            </w:r>
          </w:p>
        </w:tc>
      </w:tr>
      <w:tr w:rsidR="00E36C8E" w:rsidRPr="00177118" w:rsidTr="00BD4391">
        <w:trPr>
          <w:cantSplit/>
        </w:trPr>
        <w:tc>
          <w:tcPr>
            <w:tcW w:w="1970" w:type="pct"/>
            <w:shd w:val="clear" w:color="auto" w:fill="FFFFFF"/>
          </w:tcPr>
          <w:p w:rsidR="00E36C8E" w:rsidRPr="00177118" w:rsidRDefault="00E36C8E" w:rsidP="00BD4391">
            <w:pPr>
              <w:pStyle w:val="h"/>
            </w:pPr>
            <w:r w:rsidRPr="00177118">
              <w:t>Apparition aux apôtres</w:t>
            </w:r>
            <w:r>
              <w:t xml:space="preserve">, </w:t>
            </w:r>
            <w:r w:rsidRPr="00177118">
              <w:t>en l</w:t>
            </w:r>
            <w:r w:rsidR="00557DE0">
              <w:t>’</w:t>
            </w:r>
            <w:r w:rsidRPr="00177118">
              <w:t>absence</w:t>
            </w:r>
            <w:r>
              <w:t xml:space="preserve"> de St Thomas</w:t>
            </w:r>
          </w:p>
        </w:tc>
        <w:tc>
          <w:tcPr>
            <w:tcW w:w="757" w:type="pct"/>
            <w:shd w:val="clear" w:color="auto" w:fill="FFFFFF"/>
          </w:tcPr>
          <w:p w:rsidR="00E36C8E" w:rsidRPr="00D709E6" w:rsidRDefault="001B4203" w:rsidP="00BD4391">
            <w:pPr>
              <w:pStyle w:val="centrum"/>
            </w:pPr>
            <w:r>
              <w:t xml:space="preserve"> </w:t>
            </w:r>
            <w:r w:rsidR="00E36C8E" w:rsidRPr="00D709E6">
              <w:t>»</w:t>
            </w:r>
          </w:p>
        </w:tc>
        <w:tc>
          <w:tcPr>
            <w:tcW w:w="740" w:type="pct"/>
            <w:shd w:val="clear" w:color="auto" w:fill="FFFFFF"/>
          </w:tcPr>
          <w:p w:rsidR="00E36C8E" w:rsidRPr="00D709E6" w:rsidRDefault="00E36C8E" w:rsidP="00BD4391">
            <w:pPr>
              <w:pStyle w:val="nsr"/>
            </w:pPr>
            <w:r w:rsidRPr="00D709E6">
              <w:t>XVI, 14.</w:t>
            </w:r>
          </w:p>
        </w:tc>
        <w:tc>
          <w:tcPr>
            <w:tcW w:w="747" w:type="pct"/>
            <w:shd w:val="clear" w:color="auto" w:fill="FFFFFF"/>
          </w:tcPr>
          <w:p w:rsidR="00E36C8E" w:rsidRPr="00D709E6" w:rsidRDefault="00E36C8E" w:rsidP="00BD4391">
            <w:pPr>
              <w:pStyle w:val="nsr"/>
            </w:pPr>
            <w:r w:rsidRPr="00D709E6">
              <w:t>XXIV, 36-43.</w:t>
            </w:r>
          </w:p>
        </w:tc>
        <w:tc>
          <w:tcPr>
            <w:tcW w:w="786" w:type="pct"/>
            <w:shd w:val="clear" w:color="auto" w:fill="FFFFFF"/>
          </w:tcPr>
          <w:p w:rsidR="00E36C8E" w:rsidRPr="00D709E6" w:rsidRDefault="00E36C8E" w:rsidP="00BD4391">
            <w:pPr>
              <w:pStyle w:val="nsr"/>
            </w:pPr>
            <w:r w:rsidRPr="00D709E6">
              <w:t>XX, 19-23.</w:t>
            </w:r>
          </w:p>
        </w:tc>
      </w:tr>
      <w:tr w:rsidR="00E36C8E" w:rsidRPr="00177118" w:rsidTr="00BD4391">
        <w:trPr>
          <w:cantSplit/>
        </w:trPr>
        <w:tc>
          <w:tcPr>
            <w:tcW w:w="1970" w:type="pct"/>
            <w:shd w:val="clear" w:color="auto" w:fill="FFFFFF"/>
          </w:tcPr>
          <w:p w:rsidR="00E36C8E" w:rsidRPr="00177118" w:rsidRDefault="00E36C8E" w:rsidP="00BD4391">
            <w:pPr>
              <w:pStyle w:val="h"/>
            </w:pPr>
            <w:r w:rsidRPr="00177118">
              <w:t xml:space="preserve">Apparition aux apôtres et à </w:t>
            </w:r>
            <w:r>
              <w:t>St</w:t>
            </w:r>
            <w:r w:rsidRPr="00177118">
              <w:t xml:space="preserve"> Thomas.</w:t>
            </w:r>
          </w:p>
        </w:tc>
        <w:tc>
          <w:tcPr>
            <w:tcW w:w="757" w:type="pct"/>
            <w:shd w:val="clear" w:color="auto" w:fill="FFFFFF"/>
          </w:tcPr>
          <w:p w:rsidR="00E36C8E" w:rsidRPr="00D709E6" w:rsidRDefault="001B4203" w:rsidP="00BD4391">
            <w:pPr>
              <w:pStyle w:val="centrum"/>
            </w:pPr>
            <w:r>
              <w:t xml:space="preserve"> </w:t>
            </w:r>
            <w:r w:rsidR="00E36C8E" w:rsidRPr="00D709E6">
              <w:t>»</w:t>
            </w:r>
          </w:p>
        </w:tc>
        <w:tc>
          <w:tcPr>
            <w:tcW w:w="740" w:type="pct"/>
            <w:shd w:val="clear" w:color="auto" w:fill="FFFFFF"/>
          </w:tcPr>
          <w:p w:rsidR="00E36C8E" w:rsidRPr="00D709E6" w:rsidRDefault="001B4203" w:rsidP="00BD4391">
            <w:pPr>
              <w:pStyle w:val="centrum"/>
            </w:pPr>
            <w:r>
              <w:t xml:space="preserve"> </w:t>
            </w:r>
            <w:r w:rsidR="00E36C8E" w:rsidRPr="00D709E6">
              <w:t>»</w:t>
            </w:r>
          </w:p>
        </w:tc>
        <w:tc>
          <w:tcPr>
            <w:tcW w:w="747" w:type="pct"/>
            <w:shd w:val="clear" w:color="auto" w:fill="FFFFFF"/>
          </w:tcPr>
          <w:p w:rsidR="00E36C8E" w:rsidRPr="00D709E6" w:rsidRDefault="001B4203" w:rsidP="00BD4391">
            <w:pPr>
              <w:pStyle w:val="centrum"/>
            </w:pPr>
            <w:r>
              <w:t xml:space="preserve"> </w:t>
            </w:r>
            <w:r w:rsidR="00E36C8E" w:rsidRPr="00D709E6">
              <w:t>»</w:t>
            </w:r>
          </w:p>
        </w:tc>
        <w:tc>
          <w:tcPr>
            <w:tcW w:w="786" w:type="pct"/>
            <w:shd w:val="clear" w:color="auto" w:fill="FFFFFF"/>
          </w:tcPr>
          <w:p w:rsidR="00E36C8E" w:rsidRPr="00D709E6" w:rsidRDefault="00E36C8E" w:rsidP="00BD4391">
            <w:pPr>
              <w:pStyle w:val="nsr"/>
            </w:pPr>
            <w:r w:rsidRPr="00D709E6">
              <w:t>XX, 24-29.</w:t>
            </w:r>
          </w:p>
        </w:tc>
      </w:tr>
      <w:tr w:rsidR="00E36C8E" w:rsidRPr="00177118" w:rsidTr="00BD4391">
        <w:trPr>
          <w:cantSplit/>
        </w:trPr>
        <w:tc>
          <w:tcPr>
            <w:tcW w:w="1970" w:type="pct"/>
            <w:shd w:val="clear" w:color="auto" w:fill="FFFFFF"/>
          </w:tcPr>
          <w:p w:rsidR="00E36C8E" w:rsidRPr="00177118" w:rsidRDefault="00E36C8E" w:rsidP="00BD4391">
            <w:pPr>
              <w:pStyle w:val="h"/>
            </w:pPr>
            <w:r w:rsidRPr="00177118">
              <w:t>Apparition près du lac de-Tibériade</w:t>
            </w:r>
          </w:p>
        </w:tc>
        <w:tc>
          <w:tcPr>
            <w:tcW w:w="757" w:type="pct"/>
            <w:shd w:val="clear" w:color="auto" w:fill="FFFFFF"/>
          </w:tcPr>
          <w:p w:rsidR="00E36C8E" w:rsidRPr="00D709E6" w:rsidRDefault="001B4203" w:rsidP="00BD4391">
            <w:pPr>
              <w:pStyle w:val="centrum"/>
            </w:pPr>
            <w:r>
              <w:t xml:space="preserve"> </w:t>
            </w:r>
            <w:r w:rsidR="00E36C8E" w:rsidRPr="00D709E6">
              <w:t>»</w:t>
            </w:r>
          </w:p>
        </w:tc>
        <w:tc>
          <w:tcPr>
            <w:tcW w:w="740" w:type="pct"/>
            <w:shd w:val="clear" w:color="auto" w:fill="FFFFFF"/>
          </w:tcPr>
          <w:p w:rsidR="00E36C8E" w:rsidRPr="00D709E6" w:rsidRDefault="001B4203" w:rsidP="00BD4391">
            <w:pPr>
              <w:pStyle w:val="centrum"/>
            </w:pPr>
            <w:r>
              <w:t xml:space="preserve"> </w:t>
            </w:r>
            <w:r w:rsidR="00E36C8E" w:rsidRPr="00D709E6">
              <w:t>»</w:t>
            </w:r>
          </w:p>
        </w:tc>
        <w:tc>
          <w:tcPr>
            <w:tcW w:w="747" w:type="pct"/>
            <w:shd w:val="clear" w:color="auto" w:fill="FFFFFF"/>
          </w:tcPr>
          <w:p w:rsidR="00E36C8E" w:rsidRPr="00D709E6" w:rsidRDefault="001B4203" w:rsidP="00BD4391">
            <w:pPr>
              <w:pStyle w:val="centrum"/>
            </w:pPr>
            <w:r>
              <w:t xml:space="preserve"> </w:t>
            </w:r>
            <w:r w:rsidR="00E36C8E" w:rsidRPr="00D709E6">
              <w:t>»</w:t>
            </w:r>
          </w:p>
        </w:tc>
        <w:tc>
          <w:tcPr>
            <w:tcW w:w="786" w:type="pct"/>
            <w:shd w:val="clear" w:color="auto" w:fill="FFFFFF"/>
          </w:tcPr>
          <w:p w:rsidR="00E36C8E" w:rsidRPr="00D709E6" w:rsidRDefault="00E36C8E" w:rsidP="00BD4391">
            <w:pPr>
              <w:pStyle w:val="nsr"/>
            </w:pPr>
            <w:r>
              <w:t>XXI, 1-24.</w:t>
            </w:r>
          </w:p>
        </w:tc>
      </w:tr>
      <w:tr w:rsidR="00E36C8E" w:rsidRPr="00177118" w:rsidTr="00BD4391">
        <w:trPr>
          <w:cantSplit/>
        </w:trPr>
        <w:tc>
          <w:tcPr>
            <w:tcW w:w="1970" w:type="pct"/>
            <w:shd w:val="clear" w:color="auto" w:fill="FFFFFF"/>
          </w:tcPr>
          <w:p w:rsidR="00E36C8E" w:rsidRPr="00177118" w:rsidRDefault="00E36C8E" w:rsidP="00BD4391">
            <w:pPr>
              <w:pStyle w:val="h"/>
            </w:pPr>
            <w:r w:rsidRPr="00177118">
              <w:t>Apparition sur une montagne de Galilée</w:t>
            </w:r>
            <w:r>
              <w:t xml:space="preserve"> </w:t>
            </w:r>
          </w:p>
        </w:tc>
        <w:tc>
          <w:tcPr>
            <w:tcW w:w="757" w:type="pct"/>
            <w:shd w:val="clear" w:color="auto" w:fill="FFFFFF"/>
          </w:tcPr>
          <w:p w:rsidR="00E36C8E" w:rsidRPr="00D709E6" w:rsidRDefault="00E36C8E" w:rsidP="00BD4391">
            <w:pPr>
              <w:pStyle w:val="nsr"/>
            </w:pPr>
            <w:r w:rsidRPr="00D709E6">
              <w:t>XXVIII, 16-20.</w:t>
            </w:r>
          </w:p>
        </w:tc>
        <w:tc>
          <w:tcPr>
            <w:tcW w:w="740" w:type="pct"/>
            <w:shd w:val="clear" w:color="auto" w:fill="FFFFFF"/>
          </w:tcPr>
          <w:p w:rsidR="00E36C8E" w:rsidRPr="00D709E6" w:rsidRDefault="001B4203" w:rsidP="00BD4391">
            <w:pPr>
              <w:pStyle w:val="centrum"/>
            </w:pPr>
            <w:r>
              <w:t xml:space="preserve"> </w:t>
            </w:r>
            <w:r w:rsidR="00E36C8E" w:rsidRPr="00D709E6">
              <w:t>»</w:t>
            </w:r>
          </w:p>
        </w:tc>
        <w:tc>
          <w:tcPr>
            <w:tcW w:w="747" w:type="pct"/>
            <w:shd w:val="clear" w:color="auto" w:fill="FFFFFF"/>
          </w:tcPr>
          <w:p w:rsidR="00E36C8E" w:rsidRPr="00D709E6" w:rsidRDefault="001B4203" w:rsidP="00BD4391">
            <w:pPr>
              <w:pStyle w:val="centrum"/>
            </w:pPr>
            <w:r>
              <w:t xml:space="preserve"> </w:t>
            </w:r>
            <w:r w:rsidR="00E36C8E" w:rsidRPr="00D709E6">
              <w:t>»</w:t>
            </w:r>
          </w:p>
        </w:tc>
        <w:tc>
          <w:tcPr>
            <w:tcW w:w="786" w:type="pct"/>
            <w:shd w:val="clear" w:color="auto" w:fill="FFFFFF"/>
          </w:tcPr>
          <w:p w:rsidR="00E36C8E" w:rsidRPr="00D709E6" w:rsidRDefault="001B4203" w:rsidP="00BD4391">
            <w:pPr>
              <w:pStyle w:val="centrum"/>
            </w:pPr>
            <w:r>
              <w:t xml:space="preserve"> </w:t>
            </w:r>
            <w:r w:rsidR="00E36C8E" w:rsidRPr="00D709E6">
              <w:t>»</w:t>
            </w:r>
          </w:p>
        </w:tc>
      </w:tr>
      <w:tr w:rsidR="00E36C8E" w:rsidRPr="00177118" w:rsidTr="00BD4391">
        <w:trPr>
          <w:cantSplit/>
        </w:trPr>
        <w:tc>
          <w:tcPr>
            <w:tcW w:w="1970" w:type="pct"/>
            <w:shd w:val="clear" w:color="auto" w:fill="FFFFFF"/>
          </w:tcPr>
          <w:p w:rsidR="00E36C8E" w:rsidRPr="00177118" w:rsidRDefault="00E36C8E" w:rsidP="00BD4391">
            <w:pPr>
              <w:pStyle w:val="h"/>
            </w:pPr>
            <w:r w:rsidRPr="00177118">
              <w:t>Dernières instructions de Jésus à ses</w:t>
            </w:r>
            <w:r>
              <w:t xml:space="preserve"> disciples</w:t>
            </w:r>
          </w:p>
        </w:tc>
        <w:tc>
          <w:tcPr>
            <w:tcW w:w="757" w:type="pct"/>
            <w:shd w:val="clear" w:color="auto" w:fill="FFFFFF"/>
          </w:tcPr>
          <w:p w:rsidR="00E36C8E" w:rsidRPr="00D709E6" w:rsidRDefault="00E36C8E" w:rsidP="00BD4391">
            <w:pPr>
              <w:pStyle w:val="centrum"/>
            </w:pPr>
            <w:r w:rsidRPr="00D709E6">
              <w:t xml:space="preserve"> »</w:t>
            </w:r>
          </w:p>
        </w:tc>
        <w:tc>
          <w:tcPr>
            <w:tcW w:w="740" w:type="pct"/>
            <w:shd w:val="clear" w:color="auto" w:fill="FFFFFF"/>
          </w:tcPr>
          <w:p w:rsidR="00E36C8E" w:rsidRPr="00D709E6" w:rsidRDefault="00E36C8E" w:rsidP="00BD4391">
            <w:pPr>
              <w:pStyle w:val="nsr"/>
            </w:pPr>
            <w:r w:rsidRPr="00D709E6">
              <w:t>XVI, 15-18.</w:t>
            </w:r>
          </w:p>
        </w:tc>
        <w:tc>
          <w:tcPr>
            <w:tcW w:w="747" w:type="pct"/>
            <w:shd w:val="clear" w:color="auto" w:fill="FFFFFF"/>
          </w:tcPr>
          <w:p w:rsidR="00E36C8E" w:rsidRPr="00D709E6" w:rsidRDefault="00E36C8E" w:rsidP="00BD4391">
            <w:pPr>
              <w:pStyle w:val="nsr"/>
            </w:pPr>
            <w:r>
              <w:t>XXIV, 44-49</w:t>
            </w:r>
            <w:r w:rsidRPr="00D709E6">
              <w:t>.</w:t>
            </w:r>
          </w:p>
        </w:tc>
        <w:tc>
          <w:tcPr>
            <w:tcW w:w="786" w:type="pct"/>
            <w:shd w:val="clear" w:color="auto" w:fill="FFFFFF"/>
          </w:tcPr>
          <w:p w:rsidR="00E36C8E" w:rsidRPr="00D709E6" w:rsidRDefault="001B4203" w:rsidP="00BD4391">
            <w:pPr>
              <w:pStyle w:val="centrum"/>
            </w:pPr>
            <w:r>
              <w:t xml:space="preserve"> </w:t>
            </w:r>
            <w:r w:rsidR="00E36C8E" w:rsidRPr="00D709E6">
              <w:t>»</w:t>
            </w:r>
          </w:p>
        </w:tc>
      </w:tr>
      <w:tr w:rsidR="00E36C8E" w:rsidRPr="00177118" w:rsidTr="00BD4391">
        <w:trPr>
          <w:cantSplit/>
        </w:trPr>
        <w:tc>
          <w:tcPr>
            <w:tcW w:w="1970" w:type="pct"/>
            <w:shd w:val="clear" w:color="auto" w:fill="FFFFFF"/>
          </w:tcPr>
          <w:p w:rsidR="00E36C8E" w:rsidRPr="00177118" w:rsidRDefault="00E36C8E" w:rsidP="00BD4391">
            <w:pPr>
              <w:pStyle w:val="h"/>
            </w:pPr>
            <w:r>
              <w:t>L</w:t>
            </w:r>
            <w:r w:rsidR="00557DE0">
              <w:t>’</w:t>
            </w:r>
            <w:r>
              <w:t xml:space="preserve">Ascension </w:t>
            </w:r>
          </w:p>
        </w:tc>
        <w:tc>
          <w:tcPr>
            <w:tcW w:w="757" w:type="pct"/>
            <w:shd w:val="clear" w:color="auto" w:fill="FFFFFF"/>
          </w:tcPr>
          <w:p w:rsidR="00E36C8E" w:rsidRPr="00D709E6" w:rsidRDefault="00E36C8E" w:rsidP="00BD4391">
            <w:pPr>
              <w:pStyle w:val="centrum"/>
            </w:pPr>
            <w:r w:rsidRPr="00D709E6">
              <w:t xml:space="preserve"> »</w:t>
            </w:r>
          </w:p>
        </w:tc>
        <w:tc>
          <w:tcPr>
            <w:tcW w:w="740" w:type="pct"/>
            <w:shd w:val="clear" w:color="auto" w:fill="FFFFFF"/>
          </w:tcPr>
          <w:p w:rsidR="00E36C8E" w:rsidRPr="00D709E6" w:rsidRDefault="00E36C8E" w:rsidP="00BD4391">
            <w:pPr>
              <w:pStyle w:val="nsr"/>
            </w:pPr>
            <w:r w:rsidRPr="00D709E6">
              <w:t>XVI, 13-20.</w:t>
            </w:r>
          </w:p>
        </w:tc>
        <w:tc>
          <w:tcPr>
            <w:tcW w:w="747" w:type="pct"/>
            <w:shd w:val="clear" w:color="auto" w:fill="FFFFFF"/>
          </w:tcPr>
          <w:p w:rsidR="00E36C8E" w:rsidRPr="00D709E6" w:rsidRDefault="00E36C8E" w:rsidP="00BD4391">
            <w:pPr>
              <w:pStyle w:val="nsr"/>
            </w:pPr>
            <w:r>
              <w:t>XXIV, 50-5</w:t>
            </w:r>
            <w:r w:rsidRPr="00D709E6">
              <w:t>3.</w:t>
            </w:r>
          </w:p>
        </w:tc>
        <w:tc>
          <w:tcPr>
            <w:tcW w:w="786" w:type="pct"/>
            <w:shd w:val="clear" w:color="auto" w:fill="FFFFFF"/>
          </w:tcPr>
          <w:p w:rsidR="00E36C8E" w:rsidRPr="00D709E6" w:rsidRDefault="001B4203" w:rsidP="00BD4391">
            <w:pPr>
              <w:pStyle w:val="centrum"/>
            </w:pPr>
            <w:r>
              <w:t xml:space="preserve"> </w:t>
            </w:r>
            <w:r w:rsidR="00E36C8E" w:rsidRPr="00D709E6">
              <w:t>»</w:t>
            </w:r>
          </w:p>
        </w:tc>
      </w:tr>
    </w:tbl>
    <w:p w:rsidR="00E36C8E" w:rsidRPr="00177118" w:rsidRDefault="00E36C8E" w:rsidP="00E36C8E">
      <w:pPr>
        <w:pStyle w:val="u2"/>
        <w:rPr>
          <w:lang w:eastAsia="fr-FR"/>
        </w:rPr>
      </w:pPr>
      <w:r w:rsidRPr="00177118">
        <w:rPr>
          <w:lang w:eastAsia="fr-FR"/>
        </w:rPr>
        <w:t>ÉPILOGUE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4405"/>
        <w:gridCol w:w="1215"/>
        <w:gridCol w:w="1567"/>
        <w:gridCol w:w="1299"/>
        <w:gridCol w:w="2004"/>
      </w:tblGrid>
      <w:tr w:rsidR="00E36C8E" w:rsidRPr="00177118" w:rsidTr="00BD4391">
        <w:trPr>
          <w:cantSplit/>
        </w:trPr>
        <w:tc>
          <w:tcPr>
            <w:tcW w:w="2100" w:type="pct"/>
            <w:shd w:val="clear" w:color="auto" w:fill="FFFFFF"/>
          </w:tcPr>
          <w:p w:rsidR="00E36C8E" w:rsidRPr="005507CF" w:rsidRDefault="00E36C8E" w:rsidP="00BD4391">
            <w:pPr>
              <w:pStyle w:val="h"/>
            </w:pPr>
            <w:r w:rsidRPr="005507CF">
              <w:t>Conclusion de l</w:t>
            </w:r>
            <w:r w:rsidR="00557DE0">
              <w:t>’</w:t>
            </w:r>
            <w:r w:rsidRPr="005507CF">
              <w:t xml:space="preserve">Évangile </w:t>
            </w:r>
            <w:r>
              <w:t xml:space="preserve">selon St Jean </w:t>
            </w:r>
          </w:p>
        </w:tc>
        <w:tc>
          <w:tcPr>
            <w:tcW w:w="579" w:type="pct"/>
            <w:shd w:val="clear" w:color="auto" w:fill="FFFFFF"/>
          </w:tcPr>
          <w:p w:rsidR="00E36C8E" w:rsidRDefault="001B4203" w:rsidP="00BD4391">
            <w:pPr>
              <w:pStyle w:val="centrum"/>
            </w:pPr>
            <w:r>
              <w:t xml:space="preserve"> </w:t>
            </w:r>
            <w:r w:rsidR="00E36C8E" w:rsidRPr="00554FDE">
              <w:t>»</w:t>
            </w:r>
          </w:p>
        </w:tc>
        <w:tc>
          <w:tcPr>
            <w:tcW w:w="747" w:type="pct"/>
            <w:shd w:val="clear" w:color="auto" w:fill="FFFFFF"/>
          </w:tcPr>
          <w:p w:rsidR="00E36C8E" w:rsidRDefault="001B4203" w:rsidP="00BD4391">
            <w:pPr>
              <w:pStyle w:val="centrum"/>
            </w:pPr>
            <w:r>
              <w:t xml:space="preserve"> </w:t>
            </w:r>
            <w:r w:rsidR="00E36C8E" w:rsidRPr="00554FDE">
              <w:t>»</w:t>
            </w:r>
          </w:p>
        </w:tc>
        <w:tc>
          <w:tcPr>
            <w:tcW w:w="619" w:type="pct"/>
            <w:shd w:val="clear" w:color="auto" w:fill="FFFFFF"/>
          </w:tcPr>
          <w:p w:rsidR="00E36C8E" w:rsidRDefault="001B4203" w:rsidP="00BD4391">
            <w:pPr>
              <w:pStyle w:val="centrum"/>
            </w:pPr>
            <w:r>
              <w:t xml:space="preserve"> </w:t>
            </w:r>
            <w:r w:rsidR="00E36C8E" w:rsidRPr="00554FDE">
              <w:t>»</w:t>
            </w:r>
          </w:p>
        </w:tc>
        <w:tc>
          <w:tcPr>
            <w:tcW w:w="955" w:type="pct"/>
            <w:shd w:val="clear" w:color="auto" w:fill="FFFFFF"/>
          </w:tcPr>
          <w:p w:rsidR="00E36C8E" w:rsidRPr="00BA1CB4" w:rsidRDefault="00E36C8E" w:rsidP="00BD4391">
            <w:pPr>
              <w:pStyle w:val="nsr"/>
            </w:pPr>
            <w:r>
              <w:t>XX, 30-31. XXI</w:t>
            </w:r>
            <w:r w:rsidRPr="00BA1CB4">
              <w:t>, 25.</w:t>
            </w:r>
          </w:p>
        </w:tc>
      </w:tr>
    </w:tbl>
    <w:p w:rsidR="000716BB" w:rsidRDefault="00E36C8E" w:rsidP="00E36C8E">
      <w:pPr>
        <w:pStyle w:val="nsr"/>
      </w:pPr>
      <w:r>
        <w:t>-.-</w:t>
      </w:r>
    </w:p>
    <w:p w:rsidR="00E36C8E" w:rsidRPr="00177118" w:rsidRDefault="00366671" w:rsidP="00E36C8E">
      <w:pPr>
        <w:pStyle w:val="nsr"/>
      </w:pPr>
      <w:r>
        <w:rPr>
          <w:rFonts w:eastAsia="Arial Unicode MS"/>
          <w:bCs/>
          <w:lang w:bidi="he-IL"/>
        </w:rPr>
        <w:t>{130</w:t>
      </w:r>
      <w:bookmarkStart w:id="191" w:name="pag130"/>
      <w:bookmarkEnd w:id="191"/>
      <w:r>
        <w:rPr>
          <w:rFonts w:eastAsia="Arial Unicode MS"/>
          <w:bCs/>
          <w:lang w:bidi="he-IL"/>
        </w:rPr>
        <w:t>}</w:t>
      </w:r>
    </w:p>
    <w:p w:rsidR="00E36C8E" w:rsidRDefault="008679AA" w:rsidP="004901F4">
      <w:pPr>
        <w:pStyle w:val="Titre4"/>
      </w:pPr>
      <w:bookmarkStart w:id="192" w:name="_Toc526755730"/>
      <w:r>
        <w:t>APPENDICE I</w:t>
      </w:r>
      <w:bookmarkStart w:id="193" w:name="evinap01"/>
      <w:bookmarkEnd w:id="192"/>
      <w:bookmarkEnd w:id="193"/>
    </w:p>
    <w:p w:rsidR="00E36C8E" w:rsidRDefault="008679AA" w:rsidP="00C2602D">
      <w:pPr>
        <w:rPr>
          <w:rFonts w:eastAsia="Arial Unicode MS"/>
          <w:bCs/>
          <w:lang w:eastAsia="fr-FR" w:bidi="he-IL"/>
        </w:rPr>
      </w:pPr>
      <w:r>
        <w:rPr>
          <w:rFonts w:eastAsia="Arial Unicode MS"/>
          <w:bCs/>
          <w:lang w:eastAsia="fr-FR" w:bidi="he-IL"/>
        </w:rPr>
        <w:t xml:space="preserve">Relations mutuelle des évangélistes synoptiques. </w:t>
      </w:r>
    </w:p>
    <w:p w:rsidR="00CD0601" w:rsidRDefault="00CD0601" w:rsidP="00CD0601">
      <w:pPr>
        <w:pStyle w:val="u3"/>
      </w:pPr>
      <w:r>
        <w:t>1° Liste des passages où il existe une harmonie générale de fond et de forme entre S. Matthieu, S. Marc et S. Luc.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1695"/>
        <w:gridCol w:w="1681"/>
        <w:gridCol w:w="2029"/>
      </w:tblGrid>
      <w:tr w:rsidR="00CD0601" w:rsidRPr="00CD0601" w:rsidTr="00CD0601">
        <w:trPr>
          <w:jc w:val="center"/>
        </w:trPr>
        <w:tc>
          <w:tcPr>
            <w:tcW w:w="0" w:type="auto"/>
          </w:tcPr>
          <w:p w:rsidR="00CD0601" w:rsidRDefault="00CD0601" w:rsidP="00CD0601">
            <w:pPr>
              <w:pStyle w:val="nsr"/>
            </w:pPr>
            <w:r>
              <w:t>S. Matthieu.</w:t>
            </w:r>
          </w:p>
          <w:p w:rsidR="00CD0601" w:rsidRDefault="00CD0601" w:rsidP="00CD0601">
            <w:pPr>
              <w:pStyle w:val="nsr"/>
            </w:pPr>
            <w:r>
              <w:t>III, 1-12.</w:t>
            </w:r>
          </w:p>
          <w:p w:rsidR="00CD0601" w:rsidRDefault="00CD0601" w:rsidP="00CD0601">
            <w:pPr>
              <w:pStyle w:val="nsr"/>
            </w:pPr>
            <w:r>
              <w:t>III, 13-17.</w:t>
            </w:r>
          </w:p>
          <w:p w:rsidR="00CD0601" w:rsidRDefault="00CD0601" w:rsidP="00CD0601">
            <w:pPr>
              <w:pStyle w:val="nsr"/>
            </w:pPr>
            <w:r>
              <w:t>IV, 1-11.</w:t>
            </w:r>
          </w:p>
          <w:p w:rsidR="00CD0601" w:rsidRDefault="00CD0601" w:rsidP="00CD0601">
            <w:pPr>
              <w:pStyle w:val="nsr"/>
            </w:pPr>
            <w:r>
              <w:t>IV, 12-17.</w:t>
            </w:r>
          </w:p>
          <w:p w:rsidR="00CD0601" w:rsidRDefault="00CD0601" w:rsidP="00CD0601">
            <w:pPr>
              <w:pStyle w:val="nsr"/>
            </w:pPr>
            <w:r w:rsidRPr="00250FF5">
              <w:t>IV 18-22</w:t>
            </w:r>
            <w:r>
              <w:t>.</w:t>
            </w:r>
          </w:p>
          <w:p w:rsidR="00CD0601" w:rsidRPr="00250FF5" w:rsidRDefault="00CD0601" w:rsidP="00CD0601">
            <w:pPr>
              <w:pStyle w:val="nsr"/>
            </w:pPr>
            <w:r w:rsidRPr="00250FF5">
              <w:t>V, 15.</w:t>
            </w:r>
          </w:p>
          <w:p w:rsidR="00CD0601" w:rsidRPr="00250FF5" w:rsidRDefault="00CD0601" w:rsidP="00CD0601">
            <w:pPr>
              <w:pStyle w:val="nsr"/>
            </w:pPr>
            <w:r w:rsidRPr="00250FF5">
              <w:t>VIII, 2-4.</w:t>
            </w:r>
          </w:p>
          <w:p w:rsidR="00CD0601" w:rsidRPr="00250FF5" w:rsidRDefault="00CD0601" w:rsidP="00CD0601">
            <w:pPr>
              <w:pStyle w:val="nsr"/>
            </w:pPr>
            <w:r w:rsidRPr="00250FF5">
              <w:t>VIII, 14-17.</w:t>
            </w:r>
          </w:p>
          <w:p w:rsidR="00CD0601" w:rsidRPr="00250FF5" w:rsidRDefault="00CD0601" w:rsidP="00CD0601">
            <w:pPr>
              <w:pStyle w:val="nsr"/>
            </w:pPr>
            <w:r w:rsidRPr="00250FF5">
              <w:t>VIII, 23-27.</w:t>
            </w:r>
          </w:p>
          <w:p w:rsidR="00CD0601" w:rsidRPr="00250FF5" w:rsidRDefault="00CD0601" w:rsidP="00CD0601">
            <w:pPr>
              <w:pStyle w:val="nsr"/>
            </w:pPr>
            <w:r w:rsidRPr="00250FF5">
              <w:t>VIII, 28-34.</w:t>
            </w:r>
          </w:p>
          <w:p w:rsidR="00CD0601" w:rsidRPr="00250FF5" w:rsidRDefault="00CD0601" w:rsidP="00CD0601">
            <w:pPr>
              <w:pStyle w:val="nsr"/>
            </w:pPr>
            <w:r w:rsidRPr="00250FF5">
              <w:t>IX, 1-8.</w:t>
            </w:r>
          </w:p>
          <w:p w:rsidR="00CD0601" w:rsidRPr="00250FF5" w:rsidRDefault="00CD0601" w:rsidP="00CD0601">
            <w:pPr>
              <w:pStyle w:val="nsr"/>
            </w:pPr>
            <w:r w:rsidRPr="00250FF5">
              <w:t>IX, 9.</w:t>
            </w:r>
          </w:p>
          <w:p w:rsidR="00CD0601" w:rsidRPr="00250FF5" w:rsidRDefault="00CD0601" w:rsidP="00CD0601">
            <w:pPr>
              <w:pStyle w:val="nsr"/>
            </w:pPr>
            <w:r w:rsidRPr="00250FF5">
              <w:t>IX, 10-17.</w:t>
            </w:r>
          </w:p>
          <w:p w:rsidR="00CD0601" w:rsidRPr="00250FF5" w:rsidRDefault="00CD0601" w:rsidP="00CD0601">
            <w:pPr>
              <w:pStyle w:val="nsr"/>
            </w:pPr>
            <w:r w:rsidRPr="00250FF5">
              <w:t>IX 18-26.</w:t>
            </w:r>
          </w:p>
          <w:p w:rsidR="00CD0601" w:rsidRPr="00250FF5" w:rsidRDefault="00CD0601" w:rsidP="00CD0601">
            <w:pPr>
              <w:pStyle w:val="nsr"/>
            </w:pPr>
            <w:r w:rsidRPr="00250FF5">
              <w:t>X, 1.</w:t>
            </w:r>
          </w:p>
          <w:p w:rsidR="00CD0601" w:rsidRPr="00250FF5" w:rsidRDefault="00CD0601" w:rsidP="00CD0601">
            <w:pPr>
              <w:pStyle w:val="nsr"/>
            </w:pPr>
            <w:r w:rsidRPr="00250FF5">
              <w:t>X, 2-4.</w:t>
            </w:r>
          </w:p>
          <w:p w:rsidR="00CD0601" w:rsidRPr="00250FF5" w:rsidRDefault="00CD0601" w:rsidP="00CD0601">
            <w:pPr>
              <w:pStyle w:val="nsr"/>
            </w:pPr>
            <w:r w:rsidRPr="00250FF5">
              <w:t>X, 5-14.</w:t>
            </w:r>
          </w:p>
          <w:p w:rsidR="00CD0601" w:rsidRPr="00250FF5" w:rsidRDefault="00CD0601" w:rsidP="00CD0601">
            <w:pPr>
              <w:pStyle w:val="nsr"/>
            </w:pPr>
            <w:r w:rsidRPr="00250FF5">
              <w:t>XII, 1-8.</w:t>
            </w:r>
          </w:p>
          <w:p w:rsidR="00CD0601" w:rsidRPr="00250FF5" w:rsidRDefault="00CD0601" w:rsidP="00CD0601">
            <w:pPr>
              <w:pStyle w:val="nsr"/>
            </w:pPr>
            <w:r w:rsidRPr="00250FF5">
              <w:t>XII, 9-14.</w:t>
            </w:r>
          </w:p>
          <w:p w:rsidR="00CD0601" w:rsidRPr="00250FF5" w:rsidRDefault="00CD0601" w:rsidP="00CD0601">
            <w:pPr>
              <w:pStyle w:val="nsr"/>
            </w:pPr>
            <w:r w:rsidRPr="00250FF5">
              <w:t>XII, 22-30.</w:t>
            </w:r>
          </w:p>
          <w:p w:rsidR="00CD0601" w:rsidRPr="00250FF5" w:rsidRDefault="00CD0601" w:rsidP="00CD0601">
            <w:pPr>
              <w:pStyle w:val="nsr"/>
            </w:pPr>
            <w:r w:rsidRPr="00250FF5">
              <w:t>XII, 46-50.</w:t>
            </w:r>
          </w:p>
          <w:p w:rsidR="00CD0601" w:rsidRPr="00250FF5" w:rsidRDefault="00CD0601" w:rsidP="00CD0601">
            <w:pPr>
              <w:pStyle w:val="nsr"/>
            </w:pPr>
            <w:r w:rsidRPr="00250FF5">
              <w:t>XIII, 1-23.</w:t>
            </w:r>
          </w:p>
          <w:p w:rsidR="00CD0601" w:rsidRPr="00250FF5" w:rsidRDefault="00CD0601" w:rsidP="00CD0601">
            <w:pPr>
              <w:pStyle w:val="nsr"/>
            </w:pPr>
            <w:r w:rsidRPr="00250FF5">
              <w:t>XIV, 1-2.</w:t>
            </w:r>
          </w:p>
          <w:p w:rsidR="00CD0601" w:rsidRPr="00250FF5" w:rsidRDefault="00CD0601" w:rsidP="00CD0601">
            <w:pPr>
              <w:pStyle w:val="nsr"/>
            </w:pPr>
            <w:r w:rsidRPr="00250FF5">
              <w:t>XIV, 3-4.</w:t>
            </w:r>
          </w:p>
          <w:p w:rsidR="00CD0601" w:rsidRPr="00250FF5" w:rsidRDefault="00CD0601" w:rsidP="00CD0601">
            <w:pPr>
              <w:pStyle w:val="nsr"/>
            </w:pPr>
            <w:r w:rsidRPr="00250FF5">
              <w:t>XIV, 13-21.</w:t>
            </w:r>
          </w:p>
          <w:p w:rsidR="00CD0601" w:rsidRDefault="00CD0601" w:rsidP="00CD0601">
            <w:pPr>
              <w:pStyle w:val="nsr"/>
            </w:pPr>
            <w:r>
              <w:t>X</w:t>
            </w:r>
            <w:r w:rsidRPr="00F93984">
              <w:t>VI, 13-28</w:t>
            </w:r>
            <w:r>
              <w:t>.</w:t>
            </w:r>
          </w:p>
          <w:p w:rsidR="00CD0601" w:rsidRDefault="00CD0601" w:rsidP="00CD0601">
            <w:pPr>
              <w:pStyle w:val="nsr"/>
            </w:pPr>
            <w:r w:rsidRPr="00F93984">
              <w:t>X</w:t>
            </w:r>
            <w:r>
              <w:t>VII</w:t>
            </w:r>
            <w:r w:rsidRPr="00F93984">
              <w:t>, 1-8</w:t>
            </w:r>
            <w:r>
              <w:t>.</w:t>
            </w:r>
          </w:p>
          <w:p w:rsidR="00CD0601" w:rsidRDefault="00CD0601" w:rsidP="00CD0601">
            <w:pPr>
              <w:pStyle w:val="nsr"/>
            </w:pPr>
            <w:r w:rsidRPr="00F93984">
              <w:t>X</w:t>
            </w:r>
            <w:r>
              <w:t>VII</w:t>
            </w:r>
            <w:r w:rsidRPr="00F93984">
              <w:t>, 14-18</w:t>
            </w:r>
            <w:r>
              <w:t>.</w:t>
            </w:r>
          </w:p>
          <w:p w:rsidR="00CD0601" w:rsidRDefault="00CD0601" w:rsidP="00CD0601">
            <w:pPr>
              <w:pStyle w:val="nsr"/>
            </w:pPr>
            <w:r w:rsidRPr="00F93984">
              <w:t>X</w:t>
            </w:r>
            <w:r>
              <w:t>VII</w:t>
            </w:r>
            <w:r w:rsidRPr="00F93984">
              <w:t>, 22-23</w:t>
            </w:r>
            <w:r>
              <w:t>.</w:t>
            </w:r>
          </w:p>
          <w:p w:rsidR="00CD0601" w:rsidRDefault="00CD0601" w:rsidP="00CD0601">
            <w:pPr>
              <w:pStyle w:val="nsr"/>
            </w:pPr>
            <w:r w:rsidRPr="00F93984">
              <w:t>X</w:t>
            </w:r>
            <w:r>
              <w:t>VIII</w:t>
            </w:r>
            <w:r w:rsidRPr="00F93984">
              <w:t>, 1-5</w:t>
            </w:r>
            <w:r>
              <w:t>.</w:t>
            </w:r>
          </w:p>
          <w:p w:rsidR="00CD0601" w:rsidRDefault="00CD0601" w:rsidP="00CD0601">
            <w:pPr>
              <w:pStyle w:val="nsr"/>
            </w:pPr>
            <w:r>
              <w:t>XI</w:t>
            </w:r>
            <w:r w:rsidRPr="00F93984">
              <w:t>X 13-15</w:t>
            </w:r>
            <w:r>
              <w:t>.</w:t>
            </w:r>
          </w:p>
          <w:p w:rsidR="00CD0601" w:rsidRDefault="00CD0601" w:rsidP="00CD0601">
            <w:pPr>
              <w:pStyle w:val="nsr"/>
            </w:pPr>
            <w:r>
              <w:t>XI</w:t>
            </w:r>
            <w:r w:rsidRPr="00F93984">
              <w:t>X, 16-30</w:t>
            </w:r>
            <w:r>
              <w:t>.</w:t>
            </w:r>
          </w:p>
          <w:p w:rsidR="00CD0601" w:rsidRDefault="00CD0601" w:rsidP="00CD0601">
            <w:pPr>
              <w:pStyle w:val="nsr"/>
            </w:pPr>
            <w:r>
              <w:t>XX</w:t>
            </w:r>
            <w:r w:rsidRPr="00F93984">
              <w:t xml:space="preserve"> 17-19</w:t>
            </w:r>
            <w:r>
              <w:t>.</w:t>
            </w:r>
          </w:p>
          <w:p w:rsidR="00CD0601" w:rsidRDefault="00CD0601" w:rsidP="00CD0601">
            <w:pPr>
              <w:pStyle w:val="nsr"/>
            </w:pPr>
            <w:r>
              <w:t>XX</w:t>
            </w:r>
            <w:r w:rsidRPr="00F93984">
              <w:t xml:space="preserve"> 29-34</w:t>
            </w:r>
            <w:r>
              <w:t>.</w:t>
            </w:r>
          </w:p>
          <w:p w:rsidR="00CD0601" w:rsidRDefault="00CD0601" w:rsidP="00CD0601">
            <w:pPr>
              <w:pStyle w:val="nsr"/>
            </w:pPr>
            <w:r w:rsidRPr="00250FF5">
              <w:t>XXI</w:t>
            </w:r>
            <w:r>
              <w:t>,</w:t>
            </w:r>
            <w:r w:rsidRPr="00250FF5">
              <w:t xml:space="preserve"> 1-9</w:t>
            </w:r>
            <w:r>
              <w:t>.</w:t>
            </w:r>
          </w:p>
          <w:p w:rsidR="00CD0601" w:rsidRPr="00250FF5" w:rsidRDefault="00CD0601" w:rsidP="00CD0601">
            <w:pPr>
              <w:pStyle w:val="nsr"/>
            </w:pPr>
            <w:r w:rsidRPr="00250FF5">
              <w:t>XXI, 12-13.</w:t>
            </w:r>
          </w:p>
          <w:p w:rsidR="00CD0601" w:rsidRPr="00250FF5" w:rsidRDefault="00CD0601" w:rsidP="00CD0601">
            <w:pPr>
              <w:pStyle w:val="nsr"/>
            </w:pPr>
            <w:r w:rsidRPr="00250FF5">
              <w:t>XXI, 23-27.</w:t>
            </w:r>
          </w:p>
          <w:p w:rsidR="00CD0601" w:rsidRPr="00250FF5" w:rsidRDefault="00CD0601" w:rsidP="00CD0601">
            <w:pPr>
              <w:pStyle w:val="nsr"/>
            </w:pPr>
            <w:r w:rsidRPr="00250FF5">
              <w:t>XXI, 33-46.</w:t>
            </w:r>
          </w:p>
          <w:p w:rsidR="00CD0601" w:rsidRPr="00250FF5" w:rsidRDefault="00CD0601" w:rsidP="00CD0601">
            <w:pPr>
              <w:pStyle w:val="nsr"/>
            </w:pPr>
            <w:r w:rsidRPr="00250FF5">
              <w:t>XXII, 15-22.</w:t>
            </w:r>
          </w:p>
          <w:p w:rsidR="00CD0601" w:rsidRPr="00250FF5" w:rsidRDefault="00CD0601" w:rsidP="00CD0601">
            <w:pPr>
              <w:pStyle w:val="nsr"/>
            </w:pPr>
            <w:r w:rsidRPr="00250FF5">
              <w:t>XXII, 23-33.</w:t>
            </w:r>
          </w:p>
          <w:p w:rsidR="00CD0601" w:rsidRPr="00250FF5" w:rsidRDefault="00CD0601" w:rsidP="00CD0601">
            <w:pPr>
              <w:pStyle w:val="nsr"/>
            </w:pPr>
            <w:r w:rsidRPr="00250FF5">
              <w:t>XXII, 41-46.</w:t>
            </w:r>
          </w:p>
          <w:p w:rsidR="00CD0601" w:rsidRDefault="00CD0601" w:rsidP="00CD0601">
            <w:pPr>
              <w:pStyle w:val="nsr"/>
            </w:pPr>
            <w:r w:rsidRPr="00250FF5">
              <w:t>XXIII, 1-14.</w:t>
            </w:r>
          </w:p>
          <w:p w:rsidR="00CD0601" w:rsidRPr="00250FF5" w:rsidRDefault="00CD0601" w:rsidP="00CD0601">
            <w:pPr>
              <w:pStyle w:val="nsr"/>
            </w:pPr>
            <w:r w:rsidRPr="00250FF5">
              <w:t>XXIV</w:t>
            </w:r>
            <w:r>
              <w:t>,</w:t>
            </w:r>
            <w:r w:rsidRPr="00250FF5">
              <w:t xml:space="preserve"> 1-36</w:t>
            </w:r>
            <w:r>
              <w:t>.</w:t>
            </w:r>
          </w:p>
          <w:p w:rsidR="00CD0601" w:rsidRPr="00250FF5" w:rsidRDefault="00CD0601" w:rsidP="00CD0601">
            <w:pPr>
              <w:pStyle w:val="nsr"/>
            </w:pPr>
            <w:r w:rsidRPr="00250FF5">
              <w:t>XXVI</w:t>
            </w:r>
            <w:r>
              <w:t>,</w:t>
            </w:r>
            <w:r w:rsidRPr="00250FF5">
              <w:t xml:space="preserve"> 1</w:t>
            </w:r>
            <w:r>
              <w:t>-</w:t>
            </w:r>
            <w:r w:rsidRPr="00250FF5">
              <w:t>5</w:t>
            </w:r>
            <w:r>
              <w:t>.</w:t>
            </w:r>
          </w:p>
          <w:p w:rsidR="00CD0601" w:rsidRPr="00250FF5" w:rsidRDefault="00CD0601" w:rsidP="00CD0601">
            <w:pPr>
              <w:pStyle w:val="nsr"/>
            </w:pPr>
            <w:r w:rsidRPr="00250FF5">
              <w:t>XXVI</w:t>
            </w:r>
            <w:r>
              <w:t>,</w:t>
            </w:r>
            <w:r w:rsidRPr="00250FF5">
              <w:t xml:space="preserve"> 14-16</w:t>
            </w:r>
            <w:r>
              <w:t>.</w:t>
            </w:r>
          </w:p>
          <w:p w:rsidR="00CD0601" w:rsidRPr="00250FF5" w:rsidRDefault="00CD0601" w:rsidP="00CD0601">
            <w:pPr>
              <w:pStyle w:val="nsr"/>
            </w:pPr>
            <w:r w:rsidRPr="00250FF5">
              <w:t>XXVI</w:t>
            </w:r>
            <w:r>
              <w:t>,</w:t>
            </w:r>
            <w:r w:rsidRPr="00250FF5">
              <w:t xml:space="preserve"> 17-29</w:t>
            </w:r>
            <w:r>
              <w:t>.</w:t>
            </w:r>
          </w:p>
          <w:p w:rsidR="00CD0601" w:rsidRPr="00250FF5" w:rsidRDefault="00CD0601" w:rsidP="00CD0601">
            <w:pPr>
              <w:pStyle w:val="nsr"/>
            </w:pPr>
            <w:r w:rsidRPr="00250FF5">
              <w:t>XXVI</w:t>
            </w:r>
            <w:r>
              <w:t>,</w:t>
            </w:r>
            <w:r w:rsidRPr="00250FF5">
              <w:t xml:space="preserve"> 36-56</w:t>
            </w:r>
            <w:r>
              <w:t>.</w:t>
            </w:r>
          </w:p>
          <w:p w:rsidR="00CD0601" w:rsidRPr="00250FF5" w:rsidRDefault="00CD0601" w:rsidP="00CD0601">
            <w:pPr>
              <w:pStyle w:val="nsr"/>
            </w:pPr>
            <w:r w:rsidRPr="00250FF5">
              <w:t>XXVI</w:t>
            </w:r>
            <w:r>
              <w:t>,</w:t>
            </w:r>
            <w:r w:rsidRPr="00250FF5">
              <w:t xml:space="preserve"> 57-58</w:t>
            </w:r>
            <w:r>
              <w:t>.</w:t>
            </w:r>
          </w:p>
          <w:p w:rsidR="00CD0601" w:rsidRPr="00250FF5" w:rsidRDefault="00CD0601" w:rsidP="00CD0601">
            <w:pPr>
              <w:pStyle w:val="nsr"/>
            </w:pPr>
            <w:r>
              <w:t>XXVII,</w:t>
            </w:r>
            <w:r w:rsidRPr="00250FF5">
              <w:t xml:space="preserve"> 69-75</w:t>
            </w:r>
            <w:r>
              <w:t>.</w:t>
            </w:r>
          </w:p>
          <w:p w:rsidR="00CD0601" w:rsidRPr="00250FF5" w:rsidRDefault="00CD0601" w:rsidP="00CD0601">
            <w:pPr>
              <w:pStyle w:val="nsr"/>
            </w:pPr>
            <w:r>
              <w:t>XXVII</w:t>
            </w:r>
            <w:r w:rsidRPr="00250FF5">
              <w:t>,</w:t>
            </w:r>
            <w:r>
              <w:t xml:space="preserve"> </w:t>
            </w:r>
            <w:r w:rsidRPr="00250FF5">
              <w:t>1-2</w:t>
            </w:r>
            <w:r>
              <w:t>.</w:t>
            </w:r>
          </w:p>
          <w:p w:rsidR="00CD0601" w:rsidRPr="00250FF5" w:rsidRDefault="00CD0601" w:rsidP="00CD0601">
            <w:pPr>
              <w:pStyle w:val="nsr"/>
            </w:pPr>
            <w:r>
              <w:t>XXVII</w:t>
            </w:r>
            <w:r w:rsidRPr="00250FF5">
              <w:t>, 11-23</w:t>
            </w:r>
            <w:r>
              <w:t>.</w:t>
            </w:r>
          </w:p>
          <w:p w:rsidR="00CD0601" w:rsidRPr="00250FF5" w:rsidRDefault="00CD0601" w:rsidP="00CD0601">
            <w:pPr>
              <w:pStyle w:val="nsr"/>
            </w:pPr>
            <w:r>
              <w:t>XXVII</w:t>
            </w:r>
            <w:r w:rsidRPr="00250FF5">
              <w:t>,</w:t>
            </w:r>
            <w:r>
              <w:t xml:space="preserve"> </w:t>
            </w:r>
            <w:r w:rsidRPr="00250FF5">
              <w:t>26</w:t>
            </w:r>
            <w:r>
              <w:t>.</w:t>
            </w:r>
          </w:p>
          <w:p w:rsidR="00CD0601" w:rsidRPr="00250FF5" w:rsidRDefault="00CD0601" w:rsidP="00CD0601">
            <w:pPr>
              <w:pStyle w:val="nsr"/>
            </w:pPr>
            <w:r>
              <w:t>XXVII</w:t>
            </w:r>
            <w:r w:rsidRPr="00250FF5">
              <w:t>,</w:t>
            </w:r>
            <w:r>
              <w:t xml:space="preserve"> </w:t>
            </w:r>
            <w:r w:rsidRPr="00250FF5">
              <w:t>32</w:t>
            </w:r>
            <w:r>
              <w:t>.</w:t>
            </w:r>
          </w:p>
          <w:p w:rsidR="00CD0601" w:rsidRPr="00250FF5" w:rsidRDefault="00CD0601" w:rsidP="00CD0601">
            <w:pPr>
              <w:pStyle w:val="nsr"/>
            </w:pPr>
            <w:r>
              <w:t>XXVII</w:t>
            </w:r>
            <w:r w:rsidRPr="00250FF5">
              <w:t>, 33</w:t>
            </w:r>
            <w:r>
              <w:t>.</w:t>
            </w:r>
          </w:p>
          <w:p w:rsidR="00CD0601" w:rsidRPr="00250FF5" w:rsidRDefault="00CD0601" w:rsidP="00CD0601">
            <w:pPr>
              <w:pStyle w:val="nsr"/>
            </w:pPr>
            <w:r>
              <w:t>XXVII</w:t>
            </w:r>
            <w:r w:rsidRPr="00250FF5">
              <w:t>, 34-38</w:t>
            </w:r>
            <w:r>
              <w:t>.</w:t>
            </w:r>
          </w:p>
          <w:p w:rsidR="00CD0601" w:rsidRPr="00250FF5" w:rsidRDefault="00CD0601" w:rsidP="00CD0601">
            <w:pPr>
              <w:pStyle w:val="nsr"/>
            </w:pPr>
            <w:r>
              <w:t>XXVII</w:t>
            </w:r>
            <w:r w:rsidRPr="00250FF5">
              <w:t>, 39-56</w:t>
            </w:r>
            <w:r>
              <w:t>.</w:t>
            </w:r>
          </w:p>
          <w:p w:rsidR="00CD0601" w:rsidRPr="00250FF5" w:rsidRDefault="00CD0601" w:rsidP="00CD0601">
            <w:pPr>
              <w:pStyle w:val="nsr"/>
            </w:pPr>
            <w:r>
              <w:t>XXVII</w:t>
            </w:r>
            <w:r w:rsidRPr="00250FF5">
              <w:t>,</w:t>
            </w:r>
            <w:r>
              <w:t xml:space="preserve"> 5</w:t>
            </w:r>
            <w:r w:rsidRPr="00250FF5">
              <w:t>7-61</w:t>
            </w:r>
            <w:r>
              <w:t>.</w:t>
            </w:r>
          </w:p>
          <w:p w:rsidR="00CD0601" w:rsidRPr="00CD0601" w:rsidRDefault="00CD0601" w:rsidP="00CD0601">
            <w:pPr>
              <w:pStyle w:val="nsr"/>
            </w:pPr>
            <w:r w:rsidRPr="00250FF5">
              <w:t>XXVIII, 1-8.</w:t>
            </w:r>
          </w:p>
        </w:tc>
        <w:tc>
          <w:tcPr>
            <w:tcW w:w="0" w:type="auto"/>
          </w:tcPr>
          <w:p w:rsidR="00CD0601" w:rsidRPr="00CD0601" w:rsidRDefault="00CD0601" w:rsidP="00CD0601">
            <w:pPr>
              <w:pStyle w:val="nsr"/>
              <w:rPr>
                <w:lang w:val="en-GB"/>
              </w:rPr>
            </w:pPr>
            <w:r w:rsidRPr="00CD0601">
              <w:rPr>
                <w:lang w:val="en-GB"/>
              </w:rPr>
              <w:t>S. Marc.</w:t>
            </w:r>
          </w:p>
          <w:p w:rsidR="00CD0601" w:rsidRPr="00CD0601" w:rsidRDefault="00CD0601" w:rsidP="00CD0601">
            <w:pPr>
              <w:pStyle w:val="nsr"/>
              <w:rPr>
                <w:lang w:val="en-GB"/>
              </w:rPr>
            </w:pPr>
            <w:r w:rsidRPr="00CD0601">
              <w:rPr>
                <w:lang w:val="en-GB"/>
              </w:rPr>
              <w:t>I, 2-8.</w:t>
            </w:r>
          </w:p>
          <w:p w:rsidR="00CD0601" w:rsidRPr="00CD0601" w:rsidRDefault="00CD0601" w:rsidP="00CD0601">
            <w:pPr>
              <w:pStyle w:val="nsr"/>
              <w:rPr>
                <w:lang w:val="en-GB"/>
              </w:rPr>
            </w:pPr>
            <w:r w:rsidRPr="00CD0601">
              <w:rPr>
                <w:lang w:val="en-GB"/>
              </w:rPr>
              <w:t>I, 9-11.</w:t>
            </w:r>
          </w:p>
          <w:p w:rsidR="00CD0601" w:rsidRPr="00CD0601" w:rsidRDefault="00CD0601" w:rsidP="00CD0601">
            <w:pPr>
              <w:pStyle w:val="nsr"/>
              <w:rPr>
                <w:lang w:val="en-GB"/>
              </w:rPr>
            </w:pPr>
            <w:r w:rsidRPr="00CD0601">
              <w:rPr>
                <w:lang w:val="en-GB"/>
              </w:rPr>
              <w:t>I, 12-13.</w:t>
            </w:r>
          </w:p>
          <w:p w:rsidR="00CD0601" w:rsidRPr="00CD0601" w:rsidRDefault="00CD0601" w:rsidP="00CD0601">
            <w:pPr>
              <w:pStyle w:val="nsr"/>
              <w:rPr>
                <w:lang w:val="en-GB"/>
              </w:rPr>
            </w:pPr>
            <w:r w:rsidRPr="00CD0601">
              <w:rPr>
                <w:lang w:val="en-GB"/>
              </w:rPr>
              <w:t>I, 14-15.</w:t>
            </w:r>
          </w:p>
          <w:p w:rsidR="00CD0601" w:rsidRPr="00CD0601" w:rsidRDefault="00CD0601" w:rsidP="00CD0601">
            <w:pPr>
              <w:pStyle w:val="nsr"/>
              <w:rPr>
                <w:lang w:val="en-GB"/>
              </w:rPr>
            </w:pPr>
            <w:r w:rsidRPr="00CD0601">
              <w:rPr>
                <w:lang w:val="en-GB"/>
              </w:rPr>
              <w:t>I, 16-20.</w:t>
            </w:r>
          </w:p>
          <w:p w:rsidR="00CD0601" w:rsidRPr="00CD0601" w:rsidRDefault="00CD0601" w:rsidP="00CD0601">
            <w:pPr>
              <w:pStyle w:val="nsr"/>
              <w:rPr>
                <w:lang w:val="en-GB"/>
              </w:rPr>
            </w:pPr>
            <w:r w:rsidRPr="00CD0601">
              <w:rPr>
                <w:lang w:val="en-GB"/>
              </w:rPr>
              <w:t>IV, 21.</w:t>
            </w:r>
          </w:p>
          <w:p w:rsidR="00CD0601" w:rsidRPr="00CD0601" w:rsidRDefault="00CD0601" w:rsidP="00CD0601">
            <w:pPr>
              <w:pStyle w:val="nsr"/>
              <w:rPr>
                <w:lang w:val="en-GB"/>
              </w:rPr>
            </w:pPr>
            <w:r w:rsidRPr="00CD0601">
              <w:rPr>
                <w:lang w:val="en-GB"/>
              </w:rPr>
              <w:t>I, 40-45.</w:t>
            </w:r>
          </w:p>
          <w:p w:rsidR="00CD0601" w:rsidRPr="00CD0601" w:rsidRDefault="00CD0601" w:rsidP="00CD0601">
            <w:pPr>
              <w:pStyle w:val="nsr"/>
              <w:rPr>
                <w:lang w:val="en-GB"/>
              </w:rPr>
            </w:pPr>
            <w:r w:rsidRPr="00CD0601">
              <w:rPr>
                <w:lang w:val="en-GB"/>
              </w:rPr>
              <w:t>I, 29-34.</w:t>
            </w:r>
          </w:p>
          <w:p w:rsidR="00CD0601" w:rsidRPr="00CD0601" w:rsidRDefault="00CD0601" w:rsidP="00CD0601">
            <w:pPr>
              <w:pStyle w:val="nsr"/>
              <w:rPr>
                <w:lang w:val="en-GB"/>
              </w:rPr>
            </w:pPr>
            <w:r w:rsidRPr="00CD0601">
              <w:rPr>
                <w:lang w:val="en-GB"/>
              </w:rPr>
              <w:t>IV, 30-41.</w:t>
            </w:r>
          </w:p>
          <w:p w:rsidR="00CD0601" w:rsidRPr="00CD0601" w:rsidRDefault="00CD0601" w:rsidP="00CD0601">
            <w:pPr>
              <w:pStyle w:val="nsr"/>
              <w:rPr>
                <w:lang w:val="en-GB"/>
              </w:rPr>
            </w:pPr>
            <w:r w:rsidRPr="00CD0601">
              <w:rPr>
                <w:lang w:val="en-GB"/>
              </w:rPr>
              <w:t>V, 1-20.</w:t>
            </w:r>
          </w:p>
          <w:p w:rsidR="00CD0601" w:rsidRPr="00CD0601" w:rsidRDefault="00CD0601" w:rsidP="00CD0601">
            <w:pPr>
              <w:pStyle w:val="nsr"/>
              <w:rPr>
                <w:lang w:val="en-GB"/>
              </w:rPr>
            </w:pPr>
            <w:r w:rsidRPr="00CD0601">
              <w:rPr>
                <w:lang w:val="en-GB"/>
              </w:rPr>
              <w:t>II, 1-12.</w:t>
            </w:r>
          </w:p>
          <w:p w:rsidR="00CD0601" w:rsidRPr="00CD0601" w:rsidRDefault="00CD0601" w:rsidP="00CD0601">
            <w:pPr>
              <w:pStyle w:val="nsr"/>
              <w:rPr>
                <w:lang w:val="en-GB"/>
              </w:rPr>
            </w:pPr>
            <w:r w:rsidRPr="00CD0601">
              <w:rPr>
                <w:lang w:val="en-GB"/>
              </w:rPr>
              <w:t>II, 13-14.</w:t>
            </w:r>
          </w:p>
          <w:p w:rsidR="00CD0601" w:rsidRDefault="00CD0601" w:rsidP="00CD0601">
            <w:pPr>
              <w:pStyle w:val="nsr"/>
            </w:pPr>
            <w:r>
              <w:t>II, 15-22.</w:t>
            </w:r>
          </w:p>
          <w:p w:rsidR="00CD0601" w:rsidRDefault="00CD0601" w:rsidP="00CD0601">
            <w:pPr>
              <w:pStyle w:val="nsr"/>
            </w:pPr>
            <w:r>
              <w:t>V, 22-43.</w:t>
            </w:r>
          </w:p>
          <w:p w:rsidR="00CD0601" w:rsidRDefault="00A319EA" w:rsidP="00CD0601">
            <w:pPr>
              <w:pStyle w:val="nsr"/>
            </w:pPr>
            <w:r>
              <w:t>VI</w:t>
            </w:r>
            <w:r w:rsidR="00CD0601">
              <w:t>, 7.</w:t>
            </w:r>
          </w:p>
          <w:p w:rsidR="00CD0601" w:rsidRDefault="00CD0601" w:rsidP="00CD0601">
            <w:pPr>
              <w:pStyle w:val="nsr"/>
            </w:pPr>
            <w:r>
              <w:t>II</w:t>
            </w:r>
            <w:r w:rsidRPr="00F93984">
              <w:t>I, 16-19</w:t>
            </w:r>
            <w:r>
              <w:t>.</w:t>
            </w:r>
          </w:p>
          <w:p w:rsidR="00CD0601" w:rsidRDefault="00A319EA" w:rsidP="00CD0601">
            <w:pPr>
              <w:pStyle w:val="nsr"/>
            </w:pPr>
            <w:r>
              <w:t>VI</w:t>
            </w:r>
            <w:r w:rsidR="00CD0601" w:rsidRPr="00F93984">
              <w:t>, 8-11</w:t>
            </w:r>
            <w:r w:rsidR="00CD0601">
              <w:t>.</w:t>
            </w:r>
          </w:p>
          <w:p w:rsidR="00CD0601" w:rsidRDefault="00CD0601" w:rsidP="00CD0601">
            <w:pPr>
              <w:pStyle w:val="nsr"/>
            </w:pPr>
            <w:r>
              <w:t>II</w:t>
            </w:r>
            <w:r w:rsidRPr="00F93984">
              <w:t>, 23-28</w:t>
            </w:r>
            <w:r>
              <w:t>.</w:t>
            </w:r>
          </w:p>
          <w:p w:rsidR="00CD0601" w:rsidRDefault="00CD0601" w:rsidP="00CD0601">
            <w:pPr>
              <w:pStyle w:val="nsr"/>
            </w:pPr>
            <w:r w:rsidRPr="00F93984">
              <w:t>III, 1-6</w:t>
            </w:r>
            <w:r>
              <w:t>.</w:t>
            </w:r>
          </w:p>
          <w:p w:rsidR="00CD0601" w:rsidRDefault="00CD0601" w:rsidP="00CD0601">
            <w:pPr>
              <w:pStyle w:val="nsr"/>
            </w:pPr>
            <w:r w:rsidRPr="00F93984">
              <w:t>III, 22-27</w:t>
            </w:r>
            <w:r>
              <w:t>.</w:t>
            </w:r>
          </w:p>
          <w:p w:rsidR="00CD0601" w:rsidRDefault="00CD0601" w:rsidP="00CD0601">
            <w:pPr>
              <w:pStyle w:val="nsr"/>
            </w:pPr>
            <w:r w:rsidRPr="00F93984">
              <w:t>III, 31-35</w:t>
            </w:r>
            <w:r>
              <w:t>.</w:t>
            </w:r>
          </w:p>
          <w:p w:rsidR="00CD0601" w:rsidRDefault="00CD0601" w:rsidP="00CD0601">
            <w:pPr>
              <w:pStyle w:val="nsr"/>
            </w:pPr>
            <w:r>
              <w:t>IV</w:t>
            </w:r>
            <w:r w:rsidRPr="00F93984">
              <w:t>,1-21</w:t>
            </w:r>
            <w:r>
              <w:t>.</w:t>
            </w:r>
          </w:p>
          <w:p w:rsidR="00CD0601" w:rsidRDefault="00A319EA" w:rsidP="00CD0601">
            <w:pPr>
              <w:pStyle w:val="nsr"/>
            </w:pPr>
            <w:r>
              <w:t>VI</w:t>
            </w:r>
            <w:r w:rsidR="00CD0601">
              <w:t>, 14-15.</w:t>
            </w:r>
          </w:p>
          <w:p w:rsidR="00CD0601" w:rsidRDefault="00A319EA" w:rsidP="00CD0601">
            <w:pPr>
              <w:pStyle w:val="nsr"/>
            </w:pPr>
            <w:r>
              <w:t>VI</w:t>
            </w:r>
            <w:r w:rsidR="00CD0601">
              <w:t>, 17-18.</w:t>
            </w:r>
          </w:p>
          <w:p w:rsidR="00CD0601" w:rsidRDefault="00A319EA" w:rsidP="00CD0601">
            <w:pPr>
              <w:pStyle w:val="nsr"/>
            </w:pPr>
            <w:r>
              <w:t>VI</w:t>
            </w:r>
            <w:r w:rsidR="00CD0601">
              <w:t>, 30-44.</w:t>
            </w:r>
          </w:p>
          <w:p w:rsidR="00CD0601" w:rsidRDefault="00CD0601" w:rsidP="00CD0601">
            <w:pPr>
              <w:pStyle w:val="nsr"/>
            </w:pPr>
            <w:r>
              <w:t>VIII</w:t>
            </w:r>
            <w:r w:rsidRPr="00F93984">
              <w:t>, 27-IX, 1</w:t>
            </w:r>
            <w:r>
              <w:t>.</w:t>
            </w:r>
          </w:p>
          <w:p w:rsidR="00CD0601" w:rsidRDefault="00CD0601" w:rsidP="00CD0601">
            <w:pPr>
              <w:pStyle w:val="nsr"/>
            </w:pPr>
            <w:r w:rsidRPr="00F93984">
              <w:t>IX, 2-8</w:t>
            </w:r>
            <w:r>
              <w:t>.</w:t>
            </w:r>
          </w:p>
          <w:p w:rsidR="00CD0601" w:rsidRPr="00250FF5" w:rsidRDefault="00CD0601" w:rsidP="00CD0601">
            <w:pPr>
              <w:pStyle w:val="nsr"/>
            </w:pPr>
            <w:r w:rsidRPr="00250FF5">
              <w:t>IX, 14-27</w:t>
            </w:r>
            <w:r>
              <w:t>.</w:t>
            </w:r>
          </w:p>
          <w:p w:rsidR="00CD0601" w:rsidRPr="00250FF5" w:rsidRDefault="00CD0601" w:rsidP="00CD0601">
            <w:pPr>
              <w:pStyle w:val="nsr"/>
            </w:pPr>
            <w:r w:rsidRPr="00250FF5">
              <w:t>IX, 30-32</w:t>
            </w:r>
            <w:r>
              <w:t>.</w:t>
            </w:r>
          </w:p>
          <w:p w:rsidR="00CD0601" w:rsidRPr="00250FF5" w:rsidRDefault="00CD0601" w:rsidP="00CD0601">
            <w:pPr>
              <w:pStyle w:val="nsr"/>
            </w:pPr>
            <w:r w:rsidRPr="00250FF5">
              <w:t>IX, 33-41</w:t>
            </w:r>
            <w:r>
              <w:t>.</w:t>
            </w:r>
          </w:p>
          <w:p w:rsidR="00CD0601" w:rsidRPr="00250FF5" w:rsidRDefault="00CD0601" w:rsidP="00CD0601">
            <w:pPr>
              <w:pStyle w:val="nsr"/>
            </w:pPr>
            <w:r w:rsidRPr="00250FF5">
              <w:t>X, 13-16</w:t>
            </w:r>
            <w:r>
              <w:t>.</w:t>
            </w:r>
          </w:p>
          <w:p w:rsidR="00CD0601" w:rsidRPr="00250FF5" w:rsidRDefault="00CD0601" w:rsidP="00CD0601">
            <w:pPr>
              <w:pStyle w:val="nsr"/>
            </w:pPr>
            <w:r w:rsidRPr="00250FF5">
              <w:t>X, 17-31</w:t>
            </w:r>
            <w:r>
              <w:t>.</w:t>
            </w:r>
          </w:p>
          <w:p w:rsidR="00CD0601" w:rsidRPr="00250FF5" w:rsidRDefault="00CD0601" w:rsidP="00CD0601">
            <w:pPr>
              <w:pStyle w:val="nsr"/>
            </w:pPr>
            <w:r w:rsidRPr="00250FF5">
              <w:t>X, 32-34</w:t>
            </w:r>
            <w:r>
              <w:t>.</w:t>
            </w:r>
          </w:p>
          <w:p w:rsidR="00CD0601" w:rsidRPr="00250FF5" w:rsidRDefault="00CD0601" w:rsidP="00CD0601">
            <w:pPr>
              <w:pStyle w:val="nsr"/>
            </w:pPr>
            <w:r w:rsidRPr="00250FF5">
              <w:t>X, 46-52</w:t>
            </w:r>
            <w:r>
              <w:t>.</w:t>
            </w:r>
          </w:p>
          <w:p w:rsidR="00CD0601" w:rsidRPr="00250FF5" w:rsidRDefault="00CD0601" w:rsidP="00CD0601">
            <w:pPr>
              <w:pStyle w:val="nsr"/>
            </w:pPr>
            <w:r w:rsidRPr="00250FF5">
              <w:t>XI, 1-10</w:t>
            </w:r>
            <w:r>
              <w:t>.</w:t>
            </w:r>
          </w:p>
          <w:p w:rsidR="00CD0601" w:rsidRPr="00250FF5" w:rsidRDefault="00CD0601" w:rsidP="00CD0601">
            <w:pPr>
              <w:pStyle w:val="nsr"/>
            </w:pPr>
            <w:r w:rsidRPr="00250FF5">
              <w:t>XI, 15-17</w:t>
            </w:r>
            <w:r>
              <w:t>.</w:t>
            </w:r>
          </w:p>
          <w:p w:rsidR="00CD0601" w:rsidRPr="00250FF5" w:rsidRDefault="00CD0601" w:rsidP="00CD0601">
            <w:pPr>
              <w:pStyle w:val="nsr"/>
            </w:pPr>
            <w:r w:rsidRPr="00250FF5">
              <w:t>XI, 27-33</w:t>
            </w:r>
            <w:r>
              <w:t>.</w:t>
            </w:r>
          </w:p>
          <w:p w:rsidR="00CD0601" w:rsidRPr="00250FF5" w:rsidRDefault="00CD0601" w:rsidP="00CD0601">
            <w:pPr>
              <w:pStyle w:val="nsr"/>
            </w:pPr>
            <w:r w:rsidRPr="00250FF5">
              <w:t>XII, 1-12</w:t>
            </w:r>
            <w:r>
              <w:t>.</w:t>
            </w:r>
          </w:p>
          <w:p w:rsidR="00CD0601" w:rsidRPr="00250FF5" w:rsidRDefault="00CD0601" w:rsidP="00CD0601">
            <w:pPr>
              <w:pStyle w:val="nsr"/>
            </w:pPr>
            <w:r w:rsidRPr="00250FF5">
              <w:t>XII, 13-17.</w:t>
            </w:r>
          </w:p>
          <w:p w:rsidR="00CD0601" w:rsidRPr="00250FF5" w:rsidRDefault="00CD0601" w:rsidP="00CD0601">
            <w:pPr>
              <w:pStyle w:val="nsr"/>
            </w:pPr>
            <w:r w:rsidRPr="00250FF5">
              <w:t>XII, 18-27.</w:t>
            </w:r>
          </w:p>
          <w:p w:rsidR="00CD0601" w:rsidRPr="00250FF5" w:rsidRDefault="00CD0601" w:rsidP="00CD0601">
            <w:pPr>
              <w:pStyle w:val="nsr"/>
            </w:pPr>
            <w:r w:rsidRPr="00250FF5">
              <w:t>XII, 35-37.</w:t>
            </w:r>
          </w:p>
          <w:p w:rsidR="00CD0601" w:rsidRDefault="00CD0601" w:rsidP="00CD0601">
            <w:pPr>
              <w:pStyle w:val="nsr"/>
            </w:pPr>
            <w:r w:rsidRPr="00250FF5">
              <w:t>XII, 38-40.</w:t>
            </w:r>
          </w:p>
          <w:p w:rsidR="00CD0601" w:rsidRPr="00CD0601" w:rsidRDefault="00CD0601" w:rsidP="00CD0601">
            <w:pPr>
              <w:pStyle w:val="nsr"/>
            </w:pPr>
            <w:r w:rsidRPr="00CD0601">
              <w:t>XXII, 1-32.</w:t>
            </w:r>
          </w:p>
          <w:p w:rsidR="00CD0601" w:rsidRPr="00B72191" w:rsidRDefault="00CD0601" w:rsidP="00CD0601">
            <w:pPr>
              <w:pStyle w:val="nsr"/>
            </w:pPr>
            <w:r w:rsidRPr="00B72191">
              <w:t>XIV, 1-2.</w:t>
            </w:r>
          </w:p>
          <w:p w:rsidR="00CD0601" w:rsidRPr="00B72191" w:rsidRDefault="00CD0601" w:rsidP="00CD0601">
            <w:pPr>
              <w:pStyle w:val="nsr"/>
            </w:pPr>
            <w:r w:rsidRPr="00B72191">
              <w:t>XIV, 10-11.</w:t>
            </w:r>
          </w:p>
          <w:p w:rsidR="00CD0601" w:rsidRPr="00B72191" w:rsidRDefault="00CD0601" w:rsidP="00CD0601">
            <w:pPr>
              <w:pStyle w:val="nsr"/>
            </w:pPr>
            <w:r w:rsidRPr="00B72191">
              <w:t>XIV, 12-25.</w:t>
            </w:r>
          </w:p>
          <w:p w:rsidR="00CD0601" w:rsidRPr="00B72191" w:rsidRDefault="00CD0601" w:rsidP="00CD0601">
            <w:pPr>
              <w:pStyle w:val="nsr"/>
            </w:pPr>
            <w:r w:rsidRPr="00B72191">
              <w:t>XIV, 32-52.</w:t>
            </w:r>
          </w:p>
          <w:p w:rsidR="00CD0601" w:rsidRPr="00B72191" w:rsidRDefault="00CD0601" w:rsidP="00CD0601">
            <w:pPr>
              <w:pStyle w:val="nsr"/>
            </w:pPr>
            <w:r w:rsidRPr="00B72191">
              <w:t>XIV, 53-54.</w:t>
            </w:r>
          </w:p>
          <w:p w:rsidR="00CD0601" w:rsidRPr="00B72191" w:rsidRDefault="00CD0601" w:rsidP="00CD0601">
            <w:pPr>
              <w:pStyle w:val="nsr"/>
            </w:pPr>
            <w:r w:rsidRPr="00B72191">
              <w:t>XIV, 66-72.</w:t>
            </w:r>
          </w:p>
          <w:p w:rsidR="00CD0601" w:rsidRPr="00B72191" w:rsidRDefault="00CD0601" w:rsidP="00CD0601">
            <w:pPr>
              <w:pStyle w:val="nsr"/>
            </w:pPr>
            <w:r w:rsidRPr="00B72191">
              <w:t>XV, 1.</w:t>
            </w:r>
          </w:p>
          <w:p w:rsidR="00CD0601" w:rsidRPr="00B72191" w:rsidRDefault="00CD0601" w:rsidP="00CD0601">
            <w:pPr>
              <w:pStyle w:val="nsr"/>
            </w:pPr>
            <w:r w:rsidRPr="00B72191">
              <w:t>XV, 2-14.</w:t>
            </w:r>
          </w:p>
          <w:p w:rsidR="00CD0601" w:rsidRPr="00B72191" w:rsidRDefault="00CD0601" w:rsidP="00CD0601">
            <w:pPr>
              <w:pStyle w:val="nsr"/>
            </w:pPr>
            <w:r w:rsidRPr="00B72191">
              <w:t>XV, 15.</w:t>
            </w:r>
          </w:p>
          <w:p w:rsidR="00CD0601" w:rsidRPr="00B72191" w:rsidRDefault="00CD0601" w:rsidP="00CD0601">
            <w:pPr>
              <w:pStyle w:val="nsr"/>
            </w:pPr>
            <w:r w:rsidRPr="00B72191">
              <w:t>XV, 21.</w:t>
            </w:r>
          </w:p>
          <w:p w:rsidR="00CD0601" w:rsidRPr="00B72191" w:rsidRDefault="00CD0601" w:rsidP="00CD0601">
            <w:pPr>
              <w:pStyle w:val="nsr"/>
            </w:pPr>
            <w:r w:rsidRPr="00B72191">
              <w:t>XV, 22.</w:t>
            </w:r>
          </w:p>
          <w:p w:rsidR="00CD0601" w:rsidRPr="00B72191" w:rsidRDefault="00CD0601" w:rsidP="00CD0601">
            <w:pPr>
              <w:pStyle w:val="nsr"/>
            </w:pPr>
            <w:r w:rsidRPr="00B72191">
              <w:t>XV, 24-28.</w:t>
            </w:r>
          </w:p>
          <w:p w:rsidR="00CD0601" w:rsidRPr="00B72191" w:rsidRDefault="00CD0601" w:rsidP="00CD0601">
            <w:pPr>
              <w:pStyle w:val="nsr"/>
            </w:pPr>
            <w:r w:rsidRPr="00B72191">
              <w:t>XV, 29-41.</w:t>
            </w:r>
          </w:p>
          <w:p w:rsidR="00CD0601" w:rsidRPr="00B72191" w:rsidRDefault="00CD0601" w:rsidP="00CD0601">
            <w:pPr>
              <w:pStyle w:val="nsr"/>
            </w:pPr>
            <w:r w:rsidRPr="00B72191">
              <w:t>XV, 42-47.</w:t>
            </w:r>
          </w:p>
          <w:p w:rsidR="00CD0601" w:rsidRPr="00B72191" w:rsidRDefault="00CD0601" w:rsidP="00CD0601">
            <w:pPr>
              <w:pStyle w:val="nsr"/>
            </w:pPr>
            <w:r w:rsidRPr="00B72191">
              <w:t>XVI, 1-8.</w:t>
            </w:r>
          </w:p>
        </w:tc>
        <w:tc>
          <w:tcPr>
            <w:tcW w:w="0" w:type="auto"/>
          </w:tcPr>
          <w:p w:rsidR="00CD0601" w:rsidRDefault="00CD0601" w:rsidP="00CD0601">
            <w:pPr>
              <w:pStyle w:val="nsr"/>
            </w:pPr>
            <w:r>
              <w:t>S. Luc.</w:t>
            </w:r>
          </w:p>
          <w:p w:rsidR="00CD0601" w:rsidRDefault="00CD0601" w:rsidP="00CD0601">
            <w:pPr>
              <w:pStyle w:val="nsr"/>
            </w:pPr>
            <w:r>
              <w:t>III, 1-18.</w:t>
            </w:r>
          </w:p>
          <w:p w:rsidR="00CD0601" w:rsidRDefault="00CD0601" w:rsidP="00CD0601">
            <w:pPr>
              <w:pStyle w:val="nsr"/>
            </w:pPr>
            <w:r>
              <w:t>III, 21-22.</w:t>
            </w:r>
          </w:p>
          <w:p w:rsidR="00CD0601" w:rsidRDefault="00CD0601" w:rsidP="00CD0601">
            <w:pPr>
              <w:pStyle w:val="nsr"/>
            </w:pPr>
            <w:r>
              <w:t>IV, 1-13.</w:t>
            </w:r>
          </w:p>
          <w:p w:rsidR="00CD0601" w:rsidRDefault="00CD0601" w:rsidP="00CD0601">
            <w:pPr>
              <w:pStyle w:val="nsr"/>
            </w:pPr>
            <w:r>
              <w:t>IV, 14-15.</w:t>
            </w:r>
          </w:p>
          <w:p w:rsidR="00CD0601" w:rsidRDefault="00CD0601" w:rsidP="00CD0601">
            <w:pPr>
              <w:pStyle w:val="nsr"/>
            </w:pPr>
            <w:r>
              <w:t>V, 1-11.</w:t>
            </w:r>
          </w:p>
          <w:p w:rsidR="00CD0601" w:rsidRDefault="00CD0601" w:rsidP="00CD0601">
            <w:pPr>
              <w:pStyle w:val="nsr"/>
            </w:pPr>
            <w:r>
              <w:t>VIII, 16 et XI, 33.</w:t>
            </w:r>
          </w:p>
          <w:p w:rsidR="00CD0601" w:rsidRDefault="00CD0601" w:rsidP="00CD0601">
            <w:pPr>
              <w:pStyle w:val="nsr"/>
            </w:pPr>
            <w:r w:rsidRPr="00F93984">
              <w:t>V, 12-16</w:t>
            </w:r>
            <w:r>
              <w:t>.</w:t>
            </w:r>
          </w:p>
          <w:p w:rsidR="00CD0601" w:rsidRDefault="00CD0601" w:rsidP="00CD0601">
            <w:pPr>
              <w:pStyle w:val="nsr"/>
            </w:pPr>
            <w:r>
              <w:t>IV, 38-41.</w:t>
            </w:r>
          </w:p>
          <w:p w:rsidR="00CD0601" w:rsidRDefault="00CD0601" w:rsidP="00CD0601">
            <w:pPr>
              <w:pStyle w:val="nsr"/>
            </w:pPr>
            <w:r w:rsidRPr="00250FF5">
              <w:t>VIII, 22-25</w:t>
            </w:r>
            <w:r>
              <w:t>.</w:t>
            </w:r>
          </w:p>
          <w:p w:rsidR="00CD0601" w:rsidRDefault="00CD0601" w:rsidP="00CD0601">
            <w:pPr>
              <w:pStyle w:val="nsr"/>
            </w:pPr>
            <w:r w:rsidRPr="00250FF5">
              <w:t>VIII, 26-39</w:t>
            </w:r>
            <w:r>
              <w:t>.</w:t>
            </w:r>
          </w:p>
          <w:p w:rsidR="00CD0601" w:rsidRDefault="00CD0601" w:rsidP="00CD0601">
            <w:pPr>
              <w:pStyle w:val="nsr"/>
            </w:pPr>
            <w:r>
              <w:t>V, 1</w:t>
            </w:r>
            <w:r w:rsidRPr="00F93984">
              <w:t>7-26</w:t>
            </w:r>
            <w:r>
              <w:t>.</w:t>
            </w:r>
          </w:p>
          <w:p w:rsidR="00CD0601" w:rsidRDefault="00CD0601" w:rsidP="00CD0601">
            <w:pPr>
              <w:pStyle w:val="nsr"/>
            </w:pPr>
            <w:r>
              <w:t>V, 27-28.</w:t>
            </w:r>
          </w:p>
          <w:p w:rsidR="00CD0601" w:rsidRDefault="00CD0601" w:rsidP="00CD0601">
            <w:pPr>
              <w:pStyle w:val="nsr"/>
            </w:pPr>
            <w:r>
              <w:t>V, 29 39.</w:t>
            </w:r>
          </w:p>
          <w:p w:rsidR="00CD0601" w:rsidRDefault="00CD0601" w:rsidP="00CD0601">
            <w:pPr>
              <w:pStyle w:val="nsr"/>
            </w:pPr>
            <w:r>
              <w:t>VIII, 41-56.</w:t>
            </w:r>
          </w:p>
          <w:p w:rsidR="00CD0601" w:rsidRDefault="00CD0601" w:rsidP="00CD0601">
            <w:pPr>
              <w:pStyle w:val="nsr"/>
            </w:pPr>
            <w:r>
              <w:t>IX, 1.</w:t>
            </w:r>
          </w:p>
          <w:p w:rsidR="00CD0601" w:rsidRDefault="00A319EA" w:rsidP="00CD0601">
            <w:pPr>
              <w:pStyle w:val="nsr"/>
            </w:pPr>
            <w:r>
              <w:t>VI</w:t>
            </w:r>
            <w:r w:rsidR="00CD0601">
              <w:t>, 13-16.</w:t>
            </w:r>
          </w:p>
          <w:p w:rsidR="00CD0601" w:rsidRDefault="00CD0601" w:rsidP="00CD0601">
            <w:pPr>
              <w:pStyle w:val="nsr"/>
            </w:pPr>
            <w:r>
              <w:t>IX, 2-5. .</w:t>
            </w:r>
          </w:p>
          <w:p w:rsidR="00CD0601" w:rsidRDefault="00A319EA" w:rsidP="00CD0601">
            <w:pPr>
              <w:pStyle w:val="nsr"/>
            </w:pPr>
            <w:r>
              <w:t>VI</w:t>
            </w:r>
            <w:r w:rsidR="00CD0601">
              <w:t>, 1-5.</w:t>
            </w:r>
          </w:p>
          <w:p w:rsidR="00CD0601" w:rsidRDefault="00A319EA" w:rsidP="00CD0601">
            <w:pPr>
              <w:pStyle w:val="nsr"/>
            </w:pPr>
            <w:r>
              <w:t>VI</w:t>
            </w:r>
            <w:r w:rsidR="00CD0601">
              <w:t>, 6-11.</w:t>
            </w:r>
          </w:p>
          <w:p w:rsidR="00CD0601" w:rsidRDefault="00CD0601" w:rsidP="00CD0601">
            <w:pPr>
              <w:pStyle w:val="nsr"/>
            </w:pPr>
            <w:r>
              <w:t>XI, 14-23.</w:t>
            </w:r>
          </w:p>
          <w:p w:rsidR="00CD0601" w:rsidRDefault="00CD0601" w:rsidP="00CD0601">
            <w:pPr>
              <w:pStyle w:val="nsr"/>
            </w:pPr>
            <w:r>
              <w:t>VIII, 19-21.</w:t>
            </w:r>
          </w:p>
          <w:p w:rsidR="00CD0601" w:rsidRDefault="00CD0601" w:rsidP="00CD0601">
            <w:pPr>
              <w:pStyle w:val="nsr"/>
            </w:pPr>
            <w:r>
              <w:t>VIII, 4-15.</w:t>
            </w:r>
          </w:p>
          <w:p w:rsidR="00CD0601" w:rsidRDefault="00CD0601" w:rsidP="00CD0601">
            <w:pPr>
              <w:pStyle w:val="nsr"/>
            </w:pPr>
            <w:r>
              <w:t>IX, 7-8.</w:t>
            </w:r>
          </w:p>
          <w:p w:rsidR="00CD0601" w:rsidRDefault="00CD0601" w:rsidP="00CD0601">
            <w:pPr>
              <w:pStyle w:val="nsr"/>
            </w:pPr>
            <w:r>
              <w:t>III, 19-20.</w:t>
            </w:r>
          </w:p>
          <w:p w:rsidR="00CD0601" w:rsidRDefault="00CD0601" w:rsidP="00CD0601">
            <w:pPr>
              <w:pStyle w:val="nsr"/>
            </w:pPr>
            <w:r>
              <w:t>IX, 10-17.</w:t>
            </w:r>
          </w:p>
          <w:p w:rsidR="00CD0601" w:rsidRDefault="00CD0601" w:rsidP="00CD0601">
            <w:pPr>
              <w:pStyle w:val="nsr"/>
            </w:pPr>
            <w:r>
              <w:t>IX, 18-27.</w:t>
            </w:r>
          </w:p>
          <w:p w:rsidR="00CD0601" w:rsidRDefault="00CD0601" w:rsidP="00CD0601">
            <w:pPr>
              <w:pStyle w:val="nsr"/>
            </w:pPr>
            <w:r>
              <w:t>IX, 28-36.</w:t>
            </w:r>
          </w:p>
          <w:p w:rsidR="00CD0601" w:rsidRDefault="00CD0601" w:rsidP="00CD0601">
            <w:pPr>
              <w:pStyle w:val="nsr"/>
            </w:pPr>
            <w:r>
              <w:t>IX 37-43.</w:t>
            </w:r>
          </w:p>
          <w:p w:rsidR="00CD0601" w:rsidRDefault="00CD0601" w:rsidP="00CD0601">
            <w:pPr>
              <w:pStyle w:val="nsr"/>
            </w:pPr>
            <w:r>
              <w:t>IX, 43-45.</w:t>
            </w:r>
          </w:p>
          <w:p w:rsidR="00CD0601" w:rsidRDefault="00CD0601" w:rsidP="00CD0601">
            <w:pPr>
              <w:pStyle w:val="nsr"/>
            </w:pPr>
            <w:r>
              <w:t>IX, 46-50.</w:t>
            </w:r>
          </w:p>
          <w:p w:rsidR="00CD0601" w:rsidRDefault="00CD0601" w:rsidP="00CD0601">
            <w:pPr>
              <w:pStyle w:val="nsr"/>
            </w:pPr>
            <w:r>
              <w:t>XVIII, 15-17.</w:t>
            </w:r>
          </w:p>
          <w:p w:rsidR="00CD0601" w:rsidRDefault="00CD0601" w:rsidP="00CD0601">
            <w:pPr>
              <w:pStyle w:val="nsr"/>
            </w:pPr>
            <w:r>
              <w:t>XVIII, 18-30.</w:t>
            </w:r>
          </w:p>
          <w:p w:rsidR="00CD0601" w:rsidRDefault="00CD0601" w:rsidP="00CD0601">
            <w:pPr>
              <w:pStyle w:val="nsr"/>
            </w:pPr>
            <w:r>
              <w:t>XVIII, 31-34.</w:t>
            </w:r>
          </w:p>
          <w:p w:rsidR="00CD0601" w:rsidRDefault="00CD0601" w:rsidP="00CD0601">
            <w:pPr>
              <w:pStyle w:val="nsr"/>
            </w:pPr>
            <w:r>
              <w:t>XVIII, 35-43.</w:t>
            </w:r>
          </w:p>
          <w:p w:rsidR="00CD0601" w:rsidRDefault="00CD0601" w:rsidP="00CD0601">
            <w:pPr>
              <w:pStyle w:val="nsr"/>
            </w:pPr>
            <w:r>
              <w:t>XIX, 29-38.</w:t>
            </w:r>
          </w:p>
          <w:p w:rsidR="00CD0601" w:rsidRDefault="00CD0601" w:rsidP="00CD0601">
            <w:pPr>
              <w:pStyle w:val="nsr"/>
            </w:pPr>
            <w:r>
              <w:t>XIX, 45-46.</w:t>
            </w:r>
          </w:p>
          <w:p w:rsidR="00CD0601" w:rsidRDefault="00CD0601" w:rsidP="00CD0601">
            <w:pPr>
              <w:pStyle w:val="nsr"/>
            </w:pPr>
            <w:r>
              <w:t>XX, 1-8.</w:t>
            </w:r>
          </w:p>
          <w:p w:rsidR="00CD0601" w:rsidRDefault="00CD0601" w:rsidP="00CD0601">
            <w:pPr>
              <w:pStyle w:val="nsr"/>
            </w:pPr>
            <w:r>
              <w:t>XX, 9-19.</w:t>
            </w:r>
          </w:p>
          <w:p w:rsidR="00CD0601" w:rsidRDefault="00CD0601" w:rsidP="00CD0601">
            <w:pPr>
              <w:pStyle w:val="nsr"/>
            </w:pPr>
            <w:r>
              <w:t>XX, 20-26.</w:t>
            </w:r>
          </w:p>
          <w:p w:rsidR="00CD0601" w:rsidRDefault="00CD0601" w:rsidP="00CD0601">
            <w:pPr>
              <w:pStyle w:val="nsr"/>
            </w:pPr>
            <w:r>
              <w:t>XX, 27-40.</w:t>
            </w:r>
          </w:p>
          <w:p w:rsidR="00CD0601" w:rsidRDefault="00CD0601" w:rsidP="00CD0601">
            <w:pPr>
              <w:pStyle w:val="nsr"/>
            </w:pPr>
            <w:r>
              <w:t>XX, 41-44.</w:t>
            </w:r>
          </w:p>
          <w:p w:rsidR="00CD0601" w:rsidRDefault="00CD0601" w:rsidP="00CD0601">
            <w:pPr>
              <w:pStyle w:val="nsr"/>
            </w:pPr>
            <w:r w:rsidRPr="00250FF5">
              <w:t>XX, 45-47</w:t>
            </w:r>
            <w:r>
              <w:t>.</w:t>
            </w:r>
          </w:p>
          <w:p w:rsidR="00CD0601" w:rsidRDefault="00CD0601" w:rsidP="00CD0601">
            <w:pPr>
              <w:pStyle w:val="nsr"/>
            </w:pPr>
            <w:r>
              <w:t>XXI, 5-33.</w:t>
            </w:r>
          </w:p>
          <w:p w:rsidR="00CD0601" w:rsidRDefault="00CD0601" w:rsidP="00CD0601">
            <w:pPr>
              <w:pStyle w:val="nsr"/>
            </w:pPr>
            <w:r>
              <w:t>XXII, 1-2.</w:t>
            </w:r>
          </w:p>
          <w:p w:rsidR="00CD0601" w:rsidRDefault="00CD0601" w:rsidP="00CD0601">
            <w:pPr>
              <w:pStyle w:val="nsr"/>
            </w:pPr>
            <w:r>
              <w:t>XXII, 3-6.</w:t>
            </w:r>
          </w:p>
          <w:p w:rsidR="00CD0601" w:rsidRDefault="00CD0601" w:rsidP="00CD0601">
            <w:pPr>
              <w:pStyle w:val="nsr"/>
            </w:pPr>
            <w:r>
              <w:t>XXII, 7-23.</w:t>
            </w:r>
          </w:p>
          <w:p w:rsidR="00CD0601" w:rsidRDefault="00CD0601" w:rsidP="00CD0601">
            <w:pPr>
              <w:pStyle w:val="nsr"/>
            </w:pPr>
            <w:r>
              <w:t>XXII, 40-53.</w:t>
            </w:r>
          </w:p>
          <w:p w:rsidR="00CD0601" w:rsidRDefault="00CD0601" w:rsidP="00CD0601">
            <w:pPr>
              <w:pStyle w:val="nsr"/>
            </w:pPr>
            <w:r>
              <w:t>XXII, 54-55.</w:t>
            </w:r>
          </w:p>
          <w:p w:rsidR="00CD0601" w:rsidRDefault="00CD0601" w:rsidP="00CD0601">
            <w:pPr>
              <w:pStyle w:val="nsr"/>
            </w:pPr>
            <w:r>
              <w:t>XXII, 56-71.</w:t>
            </w:r>
          </w:p>
          <w:p w:rsidR="00CD0601" w:rsidRDefault="00CD0601" w:rsidP="00CD0601">
            <w:pPr>
              <w:pStyle w:val="nsr"/>
            </w:pPr>
            <w:r>
              <w:t>XXIII, 1.</w:t>
            </w:r>
          </w:p>
          <w:p w:rsidR="00CD0601" w:rsidRDefault="00CD0601" w:rsidP="00CD0601">
            <w:pPr>
              <w:pStyle w:val="nsr"/>
            </w:pPr>
            <w:r>
              <w:t>XXIII, 2-23.</w:t>
            </w:r>
          </w:p>
          <w:p w:rsidR="00CD0601" w:rsidRDefault="00CD0601" w:rsidP="00CD0601">
            <w:pPr>
              <w:pStyle w:val="nsr"/>
            </w:pPr>
            <w:r>
              <w:t>XXIII, 24-25.</w:t>
            </w:r>
          </w:p>
          <w:p w:rsidR="00CD0601" w:rsidRDefault="00CD0601" w:rsidP="00CD0601">
            <w:pPr>
              <w:pStyle w:val="nsr"/>
            </w:pPr>
            <w:r>
              <w:t>XXIII, 26.</w:t>
            </w:r>
          </w:p>
          <w:p w:rsidR="00CD0601" w:rsidRDefault="00CD0601" w:rsidP="00CD0601">
            <w:pPr>
              <w:pStyle w:val="nsr"/>
            </w:pPr>
            <w:r>
              <w:t>XXIII, 33.</w:t>
            </w:r>
          </w:p>
          <w:p w:rsidR="00CD0601" w:rsidRDefault="00CD0601" w:rsidP="00CD0601">
            <w:pPr>
              <w:pStyle w:val="nsr"/>
            </w:pPr>
            <w:r>
              <w:t>XXIII, 33-34,38.</w:t>
            </w:r>
          </w:p>
          <w:p w:rsidR="00CD0601" w:rsidRDefault="00CD0601" w:rsidP="00CD0601">
            <w:pPr>
              <w:pStyle w:val="nsr"/>
            </w:pPr>
            <w:r>
              <w:t>XXIII, 35-49.</w:t>
            </w:r>
          </w:p>
          <w:p w:rsidR="00CD0601" w:rsidRDefault="00CD0601" w:rsidP="00CD0601">
            <w:pPr>
              <w:pStyle w:val="nsr"/>
            </w:pPr>
            <w:r>
              <w:t>XXIII, 50-56.</w:t>
            </w:r>
          </w:p>
          <w:p w:rsidR="00CD0601" w:rsidRPr="00CD0601" w:rsidRDefault="00CD0601" w:rsidP="00CD0601">
            <w:pPr>
              <w:pStyle w:val="nsr"/>
              <w:rPr>
                <w:lang w:val="en-GB"/>
              </w:rPr>
            </w:pPr>
            <w:r>
              <w:t>XXIV, 1-9.</w:t>
            </w:r>
          </w:p>
        </w:tc>
      </w:tr>
    </w:tbl>
    <w:p w:rsidR="00CD0601" w:rsidRDefault="00CD0601" w:rsidP="00CD0601">
      <w:pPr>
        <w:rPr>
          <w:lang w:val="en-GB"/>
        </w:rPr>
      </w:pPr>
    </w:p>
    <w:p w:rsidR="00CD0601" w:rsidRDefault="00CD0601" w:rsidP="00CD0601"/>
    <w:p w:rsidR="00CD0601" w:rsidRDefault="00CD0601" w:rsidP="00CD0601">
      <w:pPr>
        <w:pStyle w:val="u3"/>
      </w:pPr>
      <w:r>
        <w:t>2° Passages communs à S. Matthieu et à S. Marc.</w:t>
      </w:r>
    </w:p>
    <w:p w:rsidR="00CD0601" w:rsidRDefault="00CD0601" w:rsidP="00CD0601"/>
    <w:tbl>
      <w:tblPr>
        <w:tblW w:w="0" w:type="auto"/>
        <w:jc w:val="center"/>
        <w:tblCellMar>
          <w:top w:w="28" w:type="dxa"/>
          <w:bottom w:w="28" w:type="dxa"/>
        </w:tblCellMar>
        <w:tblLook w:val="04A0"/>
      </w:tblPr>
      <w:tblGrid>
        <w:gridCol w:w="1987"/>
        <w:gridCol w:w="222"/>
        <w:gridCol w:w="1959"/>
      </w:tblGrid>
      <w:tr w:rsidR="00CD0601" w:rsidRPr="00CD0601" w:rsidTr="00CD0601">
        <w:trPr>
          <w:jc w:val="center"/>
        </w:trPr>
        <w:tc>
          <w:tcPr>
            <w:tcW w:w="0" w:type="auto"/>
          </w:tcPr>
          <w:p w:rsidR="00CD0601" w:rsidRDefault="00CD0601" w:rsidP="00CD0601">
            <w:pPr>
              <w:pStyle w:val="nsr"/>
            </w:pPr>
            <w:r>
              <w:t>Matthieu.</w:t>
            </w:r>
          </w:p>
          <w:p w:rsidR="00CD0601" w:rsidRDefault="00CD0601" w:rsidP="00CD0601">
            <w:pPr>
              <w:pStyle w:val="nsr"/>
            </w:pPr>
            <w:r>
              <w:t>X, 42.</w:t>
            </w:r>
          </w:p>
          <w:p w:rsidR="00CD0601" w:rsidRDefault="00CD0601" w:rsidP="00CD0601">
            <w:pPr>
              <w:pStyle w:val="nsr"/>
            </w:pPr>
            <w:r>
              <w:t>XIII, 34-35.</w:t>
            </w:r>
          </w:p>
          <w:p w:rsidR="00CD0601" w:rsidRDefault="00CD0601" w:rsidP="00CD0601">
            <w:pPr>
              <w:pStyle w:val="nsr"/>
            </w:pPr>
            <w:r>
              <w:t>XIII, 54-58.</w:t>
            </w:r>
          </w:p>
          <w:p w:rsidR="00CD0601" w:rsidRDefault="00CD0601" w:rsidP="00CD0601">
            <w:pPr>
              <w:pStyle w:val="nsr"/>
            </w:pPr>
            <w:r>
              <w:t>XIV, 6-12.</w:t>
            </w:r>
          </w:p>
          <w:p w:rsidR="00CD0601" w:rsidRDefault="00CD0601" w:rsidP="00CD0601">
            <w:pPr>
              <w:pStyle w:val="nsr"/>
            </w:pPr>
            <w:r>
              <w:t>XIV, 22-23.</w:t>
            </w:r>
          </w:p>
          <w:p w:rsidR="00CD0601" w:rsidRDefault="00CD0601" w:rsidP="00CD0601">
            <w:pPr>
              <w:pStyle w:val="nsr"/>
            </w:pPr>
            <w:r>
              <w:t>XIV, 28-36.</w:t>
            </w:r>
          </w:p>
          <w:p w:rsidR="00CD0601" w:rsidRDefault="00CD0601" w:rsidP="00CD0601">
            <w:pPr>
              <w:pStyle w:val="nsr"/>
            </w:pPr>
            <w:r>
              <w:t>XV, 1-20.</w:t>
            </w:r>
          </w:p>
          <w:p w:rsidR="00CD0601" w:rsidRDefault="00CD0601" w:rsidP="00CD0601">
            <w:pPr>
              <w:pStyle w:val="nsr"/>
            </w:pPr>
            <w:r>
              <w:t>XV, 21-29.</w:t>
            </w:r>
          </w:p>
          <w:p w:rsidR="00CD0601" w:rsidRDefault="00CD0601" w:rsidP="00CD0601">
            <w:pPr>
              <w:pStyle w:val="nsr"/>
            </w:pPr>
            <w:r>
              <w:t>XV, 30-39.</w:t>
            </w:r>
          </w:p>
          <w:p w:rsidR="00CD0601" w:rsidRDefault="00CD0601" w:rsidP="00CD0601">
            <w:pPr>
              <w:pStyle w:val="nsr"/>
            </w:pPr>
            <w:r>
              <w:t>XVI, 1-4.</w:t>
            </w:r>
          </w:p>
          <w:p w:rsidR="00CD0601" w:rsidRDefault="00CD0601" w:rsidP="00CD0601">
            <w:pPr>
              <w:pStyle w:val="nsr"/>
            </w:pPr>
            <w:r>
              <w:t>XVI, 5-12.</w:t>
            </w:r>
          </w:p>
          <w:p w:rsidR="00CD0601" w:rsidRDefault="00CD0601" w:rsidP="00CD0601">
            <w:pPr>
              <w:pStyle w:val="nsr"/>
            </w:pPr>
            <w:r>
              <w:t>XVII, 9-13.</w:t>
            </w:r>
          </w:p>
          <w:p w:rsidR="00CD0601" w:rsidRDefault="00CD0601" w:rsidP="00CD0601">
            <w:pPr>
              <w:pStyle w:val="nsr"/>
            </w:pPr>
            <w:r>
              <w:t>XVII, 19-21.</w:t>
            </w:r>
          </w:p>
          <w:p w:rsidR="00CD0601" w:rsidRDefault="00CD0601" w:rsidP="00CD0601">
            <w:pPr>
              <w:pStyle w:val="nsr"/>
            </w:pPr>
            <w:r>
              <w:t>XVIII, 6-9.</w:t>
            </w:r>
          </w:p>
          <w:p w:rsidR="00CD0601" w:rsidRDefault="00CD0601" w:rsidP="00CD0601">
            <w:pPr>
              <w:pStyle w:val="nsr"/>
            </w:pPr>
            <w:r>
              <w:t>XIX, 1-9.</w:t>
            </w:r>
          </w:p>
          <w:p w:rsidR="00CD0601" w:rsidRDefault="00CD0601" w:rsidP="00CD0601">
            <w:pPr>
              <w:pStyle w:val="nsr"/>
            </w:pPr>
            <w:r>
              <w:t>XX, 20-28.</w:t>
            </w:r>
          </w:p>
          <w:p w:rsidR="00CD0601" w:rsidRDefault="00CD0601" w:rsidP="00CD0601">
            <w:pPr>
              <w:pStyle w:val="nsr"/>
            </w:pPr>
            <w:r>
              <w:t>XXI, 17-22.</w:t>
            </w:r>
          </w:p>
          <w:p w:rsidR="00CD0601" w:rsidRDefault="00CD0601" w:rsidP="00CD0601">
            <w:pPr>
              <w:pStyle w:val="nsr"/>
            </w:pPr>
            <w:r>
              <w:t>XXII, 34-40.</w:t>
            </w:r>
          </w:p>
          <w:p w:rsidR="00CD0601" w:rsidRDefault="00CD0601" w:rsidP="00CD0601">
            <w:pPr>
              <w:pStyle w:val="nsr"/>
            </w:pPr>
            <w:r>
              <w:t>XXIV, 22-26.</w:t>
            </w:r>
          </w:p>
          <w:p w:rsidR="00CD0601" w:rsidRDefault="00CD0601" w:rsidP="00CD0601">
            <w:pPr>
              <w:pStyle w:val="nsr"/>
            </w:pPr>
            <w:r>
              <w:t>XXVI, 6-13.</w:t>
            </w:r>
          </w:p>
          <w:p w:rsidR="00CD0601" w:rsidRDefault="00CD0601" w:rsidP="00CD0601">
            <w:pPr>
              <w:pStyle w:val="nsr"/>
            </w:pPr>
            <w:r>
              <w:t>XXVI, 42-46, 48.</w:t>
            </w:r>
          </w:p>
          <w:p w:rsidR="00CD0601" w:rsidRDefault="00CD0601" w:rsidP="00CD0601">
            <w:pPr>
              <w:pStyle w:val="nsr"/>
            </w:pPr>
            <w:r>
              <w:t>XXVI, 59-68.</w:t>
            </w:r>
          </w:p>
          <w:p w:rsidR="00CD0601" w:rsidRDefault="00CD0601" w:rsidP="00CD0601">
            <w:pPr>
              <w:pStyle w:val="nsr"/>
            </w:pPr>
            <w:r>
              <w:t>XXVII, 15-18.</w:t>
            </w:r>
          </w:p>
          <w:p w:rsidR="00CD0601" w:rsidRDefault="00CD0601" w:rsidP="00CD0601">
            <w:pPr>
              <w:pStyle w:val="nsr"/>
            </w:pPr>
            <w:r>
              <w:t>XXVII, 27-31.</w:t>
            </w:r>
          </w:p>
          <w:p w:rsidR="00CD0601" w:rsidRDefault="00CD0601" w:rsidP="00CD0601">
            <w:pPr>
              <w:pStyle w:val="nsr"/>
            </w:pPr>
            <w:r>
              <w:t>XXVII, 46-49.</w:t>
            </w:r>
          </w:p>
          <w:p w:rsidR="00CD0601" w:rsidRPr="007664F5" w:rsidRDefault="00CD0601" w:rsidP="00CD0601">
            <w:pPr>
              <w:pStyle w:val="nsr"/>
            </w:pPr>
            <w:r>
              <w:t>XXVIII, 7.</w:t>
            </w:r>
          </w:p>
        </w:tc>
        <w:tc>
          <w:tcPr>
            <w:tcW w:w="0" w:type="auto"/>
          </w:tcPr>
          <w:p w:rsidR="00CD0601" w:rsidRPr="007664F5" w:rsidRDefault="00CD0601" w:rsidP="00CD0601">
            <w:pPr>
              <w:pStyle w:val="nsr"/>
            </w:pPr>
          </w:p>
        </w:tc>
        <w:tc>
          <w:tcPr>
            <w:tcW w:w="0" w:type="auto"/>
          </w:tcPr>
          <w:p w:rsidR="00CD0601" w:rsidRDefault="00CD0601" w:rsidP="00CD0601">
            <w:pPr>
              <w:pStyle w:val="nsr"/>
            </w:pPr>
            <w:r>
              <w:t>S. Marc.</w:t>
            </w:r>
          </w:p>
          <w:p w:rsidR="00CD0601" w:rsidRDefault="00CD0601" w:rsidP="00CD0601">
            <w:pPr>
              <w:pStyle w:val="nsr"/>
            </w:pPr>
            <w:r>
              <w:t>IX, 41.</w:t>
            </w:r>
          </w:p>
          <w:p w:rsidR="00CD0601" w:rsidRDefault="00CD0601" w:rsidP="00CD0601">
            <w:pPr>
              <w:pStyle w:val="nsr"/>
            </w:pPr>
            <w:r>
              <w:t>IV, 33-34.</w:t>
            </w:r>
          </w:p>
          <w:p w:rsidR="00CD0601" w:rsidRDefault="00A319EA" w:rsidP="00CD0601">
            <w:pPr>
              <w:pStyle w:val="nsr"/>
            </w:pPr>
            <w:r>
              <w:t>VI</w:t>
            </w:r>
            <w:r w:rsidR="00CD0601">
              <w:t>, 2-6.</w:t>
            </w:r>
          </w:p>
          <w:p w:rsidR="00CD0601" w:rsidRDefault="00A319EA" w:rsidP="00CD0601">
            <w:pPr>
              <w:pStyle w:val="nsr"/>
            </w:pPr>
            <w:r>
              <w:t>VI</w:t>
            </w:r>
            <w:r w:rsidR="00CD0601">
              <w:t>, 21-29.</w:t>
            </w:r>
          </w:p>
          <w:p w:rsidR="00CD0601" w:rsidRDefault="00A319EA" w:rsidP="00CD0601">
            <w:pPr>
              <w:pStyle w:val="nsr"/>
            </w:pPr>
            <w:r>
              <w:t>VI</w:t>
            </w:r>
            <w:r w:rsidR="00CD0601">
              <w:t>, 45-46.</w:t>
            </w:r>
          </w:p>
          <w:p w:rsidR="00CD0601" w:rsidRDefault="00A319EA" w:rsidP="00CD0601">
            <w:pPr>
              <w:pStyle w:val="nsr"/>
            </w:pPr>
            <w:r>
              <w:t>VI</w:t>
            </w:r>
            <w:r w:rsidR="00CD0601">
              <w:t>, 50-56.</w:t>
            </w:r>
          </w:p>
          <w:p w:rsidR="00CD0601" w:rsidRDefault="00CD0601" w:rsidP="00CD0601">
            <w:pPr>
              <w:pStyle w:val="nsr"/>
            </w:pPr>
            <w:r>
              <w:t>VII, 1-23.</w:t>
            </w:r>
          </w:p>
          <w:p w:rsidR="00CD0601" w:rsidRDefault="00CD0601" w:rsidP="00CD0601">
            <w:pPr>
              <w:pStyle w:val="nsr"/>
            </w:pPr>
            <w:r>
              <w:t>VII, 24-31.</w:t>
            </w:r>
          </w:p>
          <w:p w:rsidR="00CD0601" w:rsidRDefault="00CD0601" w:rsidP="00CD0601">
            <w:pPr>
              <w:pStyle w:val="nsr"/>
            </w:pPr>
            <w:r>
              <w:t>VIII, 1-10.</w:t>
            </w:r>
          </w:p>
          <w:p w:rsidR="00CD0601" w:rsidRDefault="00CD0601" w:rsidP="00CD0601">
            <w:pPr>
              <w:pStyle w:val="nsr"/>
            </w:pPr>
            <w:r>
              <w:t>VII, 11-13.</w:t>
            </w:r>
          </w:p>
          <w:p w:rsidR="00CD0601" w:rsidRDefault="00CD0601" w:rsidP="00CD0601">
            <w:pPr>
              <w:pStyle w:val="nsr"/>
            </w:pPr>
            <w:r>
              <w:t>VIII, 14 21.</w:t>
            </w:r>
          </w:p>
          <w:p w:rsidR="00CD0601" w:rsidRDefault="00CD0601" w:rsidP="00CD0601">
            <w:pPr>
              <w:pStyle w:val="nsr"/>
            </w:pPr>
            <w:r>
              <w:t>IX, 9-13.</w:t>
            </w:r>
          </w:p>
          <w:p w:rsidR="00CD0601" w:rsidRDefault="00CD0601" w:rsidP="00CD0601">
            <w:pPr>
              <w:pStyle w:val="nsr"/>
            </w:pPr>
            <w:r>
              <w:t>IX, 28-29.</w:t>
            </w:r>
          </w:p>
          <w:p w:rsidR="00CD0601" w:rsidRDefault="00CD0601" w:rsidP="00CD0601">
            <w:pPr>
              <w:pStyle w:val="nsr"/>
            </w:pPr>
            <w:r>
              <w:t>IX, 42-48.</w:t>
            </w:r>
          </w:p>
          <w:p w:rsidR="00CD0601" w:rsidRDefault="00CD0601" w:rsidP="00CD0601">
            <w:pPr>
              <w:pStyle w:val="nsr"/>
            </w:pPr>
            <w:r>
              <w:t>X, 1-12.</w:t>
            </w:r>
          </w:p>
          <w:p w:rsidR="00CD0601" w:rsidRDefault="00CD0601" w:rsidP="00CD0601">
            <w:pPr>
              <w:pStyle w:val="nsr"/>
            </w:pPr>
            <w:r>
              <w:t>XI, 35-45.</w:t>
            </w:r>
          </w:p>
          <w:p w:rsidR="00CD0601" w:rsidRDefault="00CD0601" w:rsidP="00CD0601">
            <w:pPr>
              <w:pStyle w:val="nsr"/>
            </w:pPr>
            <w:r>
              <w:t>XI, 11-14, 19-26.</w:t>
            </w:r>
          </w:p>
          <w:p w:rsidR="00CD0601" w:rsidRDefault="00CD0601" w:rsidP="00CD0601">
            <w:pPr>
              <w:pStyle w:val="nsr"/>
            </w:pPr>
            <w:r>
              <w:t>XII, 28-34.</w:t>
            </w:r>
          </w:p>
          <w:p w:rsidR="00CD0601" w:rsidRDefault="00CD0601" w:rsidP="00CD0601">
            <w:pPr>
              <w:pStyle w:val="nsr"/>
            </w:pPr>
            <w:r>
              <w:t>XIII, 20-23.</w:t>
            </w:r>
          </w:p>
          <w:p w:rsidR="00CD0601" w:rsidRDefault="00CD0601" w:rsidP="00CD0601">
            <w:pPr>
              <w:pStyle w:val="nsr"/>
            </w:pPr>
            <w:r>
              <w:t>XIV, 3-9.</w:t>
            </w:r>
          </w:p>
          <w:p w:rsidR="00CD0601" w:rsidRDefault="00CD0601" w:rsidP="00CD0601">
            <w:pPr>
              <w:pStyle w:val="nsr"/>
            </w:pPr>
            <w:r>
              <w:t>XIV, 39-42, 44.</w:t>
            </w:r>
          </w:p>
          <w:p w:rsidR="00CD0601" w:rsidRDefault="00CD0601" w:rsidP="00CD0601">
            <w:pPr>
              <w:pStyle w:val="nsr"/>
            </w:pPr>
            <w:r>
              <w:t>XIV 55-65.</w:t>
            </w:r>
          </w:p>
          <w:p w:rsidR="00CD0601" w:rsidRDefault="00CD0601" w:rsidP="00CD0601">
            <w:pPr>
              <w:pStyle w:val="nsr"/>
            </w:pPr>
            <w:r>
              <w:t>XV, 6-10.</w:t>
            </w:r>
          </w:p>
          <w:p w:rsidR="00CD0601" w:rsidRDefault="00CD0601" w:rsidP="00CD0601">
            <w:pPr>
              <w:pStyle w:val="nsr"/>
            </w:pPr>
            <w:r>
              <w:t>XV, 16-20.</w:t>
            </w:r>
          </w:p>
          <w:p w:rsidR="00CD0601" w:rsidRDefault="00CD0601" w:rsidP="00CD0601">
            <w:pPr>
              <w:pStyle w:val="nsr"/>
            </w:pPr>
            <w:r>
              <w:t>XV, 34-36.</w:t>
            </w:r>
          </w:p>
          <w:p w:rsidR="00CD0601" w:rsidRPr="00CD0601" w:rsidRDefault="00CD0601" w:rsidP="00CD0601">
            <w:pPr>
              <w:pStyle w:val="nsr"/>
              <w:rPr>
                <w:lang w:val="en-GB"/>
              </w:rPr>
            </w:pPr>
            <w:r>
              <w:t>XVI, 7.</w:t>
            </w:r>
          </w:p>
        </w:tc>
      </w:tr>
    </w:tbl>
    <w:p w:rsidR="00CD0601" w:rsidRDefault="00CD0601" w:rsidP="00CD0601">
      <w:pPr>
        <w:pStyle w:val="nsr"/>
      </w:pPr>
    </w:p>
    <w:p w:rsidR="00CD0601" w:rsidRDefault="00CD0601" w:rsidP="00CD0601">
      <w:pPr>
        <w:pStyle w:val="nsr"/>
      </w:pPr>
    </w:p>
    <w:p w:rsidR="00CD0601" w:rsidRDefault="00CD0601" w:rsidP="00CD0601">
      <w:pPr>
        <w:pStyle w:val="u3"/>
      </w:pPr>
      <w:r>
        <w:t>3° Passages communs à S. Matthieu et à S. Luc.</w:t>
      </w:r>
    </w:p>
    <w:p w:rsidR="00CD0601" w:rsidRDefault="00CD0601" w:rsidP="00CD0601">
      <w:pPr>
        <w:pStyle w:val="nsr"/>
      </w:pPr>
    </w:p>
    <w:tbl>
      <w:tblPr>
        <w:tblW w:w="0" w:type="auto"/>
        <w:jc w:val="center"/>
        <w:tblCellMar>
          <w:top w:w="28" w:type="dxa"/>
          <w:bottom w:w="28" w:type="dxa"/>
        </w:tblCellMar>
        <w:tblLook w:val="04A0"/>
      </w:tblPr>
      <w:tblGrid>
        <w:gridCol w:w="3249"/>
        <w:gridCol w:w="2930"/>
      </w:tblGrid>
      <w:tr w:rsidR="00CD0601" w:rsidRPr="00CD0601" w:rsidTr="00CD0601">
        <w:trPr>
          <w:jc w:val="center"/>
        </w:trPr>
        <w:tc>
          <w:tcPr>
            <w:tcW w:w="0" w:type="auto"/>
          </w:tcPr>
          <w:p w:rsidR="00CD0601" w:rsidRPr="00B72191" w:rsidRDefault="00CD0601" w:rsidP="00CD0601">
            <w:pPr>
              <w:pStyle w:val="sv"/>
              <w:rPr>
                <w:lang w:val="fr-FR"/>
              </w:rPr>
            </w:pPr>
            <w:r w:rsidRPr="00B72191">
              <w:rPr>
                <w:lang w:val="fr-FR"/>
              </w:rPr>
              <w:t>S. Matthieu.</w:t>
            </w:r>
          </w:p>
          <w:p w:rsidR="00CD0601" w:rsidRPr="00B72191" w:rsidRDefault="00CD0601" w:rsidP="00CD0601">
            <w:pPr>
              <w:pStyle w:val="sv"/>
              <w:rPr>
                <w:lang w:val="fr-FR"/>
              </w:rPr>
            </w:pPr>
            <w:r w:rsidRPr="00B72191">
              <w:rPr>
                <w:lang w:val="fr-FR"/>
              </w:rPr>
              <w:t>IV, 3-11.</w:t>
            </w:r>
          </w:p>
          <w:p w:rsidR="00CD0601" w:rsidRPr="00B72191" w:rsidRDefault="00CD0601" w:rsidP="00CD0601">
            <w:pPr>
              <w:pStyle w:val="sv"/>
              <w:rPr>
                <w:lang w:val="fr-FR"/>
              </w:rPr>
            </w:pPr>
            <w:r w:rsidRPr="00B72191">
              <w:rPr>
                <w:lang w:val="fr-FR"/>
              </w:rPr>
              <w:t>V, 1-12.</w:t>
            </w:r>
          </w:p>
          <w:p w:rsidR="00CD0601" w:rsidRPr="00B72191" w:rsidRDefault="00CD0601" w:rsidP="00CD0601">
            <w:pPr>
              <w:pStyle w:val="sv"/>
              <w:rPr>
                <w:lang w:val="fr-FR"/>
              </w:rPr>
            </w:pPr>
            <w:r w:rsidRPr="00B72191">
              <w:rPr>
                <w:lang w:val="fr-FR"/>
              </w:rPr>
              <w:t>V, 39-48.</w:t>
            </w:r>
          </w:p>
          <w:p w:rsidR="00CD0601" w:rsidRPr="00B72191" w:rsidRDefault="00CD0601" w:rsidP="00CD0601">
            <w:pPr>
              <w:pStyle w:val="sv"/>
              <w:rPr>
                <w:lang w:val="fr-FR"/>
              </w:rPr>
            </w:pPr>
            <w:r w:rsidRPr="00B72191">
              <w:rPr>
                <w:lang w:val="fr-FR"/>
              </w:rPr>
              <w:t>V, 18.</w:t>
            </w:r>
          </w:p>
          <w:p w:rsidR="00CD0601" w:rsidRPr="00B72191" w:rsidRDefault="00CD0601" w:rsidP="00CD0601">
            <w:pPr>
              <w:pStyle w:val="sv"/>
              <w:rPr>
                <w:lang w:val="fr-FR"/>
              </w:rPr>
            </w:pPr>
            <w:r w:rsidRPr="00B72191">
              <w:rPr>
                <w:lang w:val="fr-FR"/>
              </w:rPr>
              <w:t>V, 25-26.</w:t>
            </w:r>
          </w:p>
          <w:p w:rsidR="00CD0601" w:rsidRPr="00B72191" w:rsidRDefault="00A319EA" w:rsidP="00CD0601">
            <w:pPr>
              <w:pStyle w:val="sv"/>
              <w:rPr>
                <w:lang w:val="fr-FR"/>
              </w:rPr>
            </w:pPr>
            <w:r>
              <w:rPr>
                <w:lang w:val="fr-FR"/>
              </w:rPr>
              <w:t>VI</w:t>
            </w:r>
            <w:r w:rsidR="00CD0601" w:rsidRPr="00B72191">
              <w:rPr>
                <w:lang w:val="fr-FR"/>
              </w:rPr>
              <w:t>, 7-13.</w:t>
            </w:r>
          </w:p>
          <w:p w:rsidR="00CD0601" w:rsidRPr="00B72191" w:rsidRDefault="00A319EA" w:rsidP="00CD0601">
            <w:pPr>
              <w:pStyle w:val="sv"/>
              <w:rPr>
                <w:lang w:val="fr-FR"/>
              </w:rPr>
            </w:pPr>
            <w:r>
              <w:rPr>
                <w:lang w:val="fr-FR"/>
              </w:rPr>
              <w:t>VI</w:t>
            </w:r>
            <w:r w:rsidR="00CD0601" w:rsidRPr="00B72191">
              <w:rPr>
                <w:lang w:val="fr-FR"/>
              </w:rPr>
              <w:t>, 19-21.</w:t>
            </w:r>
          </w:p>
          <w:p w:rsidR="00CD0601" w:rsidRPr="00B72191" w:rsidRDefault="00A319EA" w:rsidP="00CD0601">
            <w:pPr>
              <w:pStyle w:val="sv"/>
              <w:rPr>
                <w:lang w:val="fr-FR"/>
              </w:rPr>
            </w:pPr>
            <w:r>
              <w:rPr>
                <w:lang w:val="fr-FR"/>
              </w:rPr>
              <w:t>VI</w:t>
            </w:r>
            <w:r w:rsidR="00CD0601" w:rsidRPr="00B72191">
              <w:rPr>
                <w:lang w:val="fr-FR"/>
              </w:rPr>
              <w:t>, 22-23.</w:t>
            </w:r>
          </w:p>
          <w:p w:rsidR="00CD0601" w:rsidRPr="00B72191" w:rsidRDefault="00A319EA" w:rsidP="00CD0601">
            <w:pPr>
              <w:pStyle w:val="sv"/>
              <w:rPr>
                <w:lang w:val="fr-FR"/>
              </w:rPr>
            </w:pPr>
            <w:r>
              <w:rPr>
                <w:lang w:val="fr-FR"/>
              </w:rPr>
              <w:t>VI</w:t>
            </w:r>
            <w:r w:rsidR="00CD0601" w:rsidRPr="00B72191">
              <w:rPr>
                <w:lang w:val="fr-FR"/>
              </w:rPr>
              <w:t>, 24.</w:t>
            </w:r>
          </w:p>
          <w:p w:rsidR="00CD0601" w:rsidRPr="00B72191" w:rsidRDefault="00A319EA" w:rsidP="00CD0601">
            <w:pPr>
              <w:pStyle w:val="sv"/>
              <w:rPr>
                <w:lang w:val="fr-FR"/>
              </w:rPr>
            </w:pPr>
            <w:r>
              <w:rPr>
                <w:lang w:val="fr-FR"/>
              </w:rPr>
              <w:t>VI</w:t>
            </w:r>
            <w:r w:rsidR="00CD0601" w:rsidRPr="00B72191">
              <w:rPr>
                <w:lang w:val="fr-FR"/>
              </w:rPr>
              <w:t>, 25-33.</w:t>
            </w:r>
          </w:p>
          <w:p w:rsidR="00CD0601" w:rsidRPr="00B72191" w:rsidRDefault="00CD0601" w:rsidP="00CD0601">
            <w:pPr>
              <w:pStyle w:val="sv"/>
              <w:rPr>
                <w:lang w:val="fr-FR"/>
              </w:rPr>
            </w:pPr>
            <w:r w:rsidRPr="00B72191">
              <w:rPr>
                <w:lang w:val="fr-FR"/>
              </w:rPr>
              <w:t>VII, 1, 2, 3-5, 12, 16-20, 24-27.</w:t>
            </w:r>
          </w:p>
          <w:p w:rsidR="00CD0601" w:rsidRPr="00B72191" w:rsidRDefault="00CD0601" w:rsidP="00CD0601">
            <w:pPr>
              <w:pStyle w:val="sv"/>
              <w:rPr>
                <w:lang w:val="fr-FR"/>
              </w:rPr>
            </w:pPr>
            <w:r w:rsidRPr="00B72191">
              <w:rPr>
                <w:lang w:val="fr-FR"/>
              </w:rPr>
              <w:t>VIII, 5-13.</w:t>
            </w:r>
          </w:p>
          <w:p w:rsidR="00CD0601" w:rsidRPr="00B72191" w:rsidRDefault="00CD0601" w:rsidP="00CD0601">
            <w:pPr>
              <w:pStyle w:val="sv"/>
              <w:rPr>
                <w:lang w:val="fr-FR"/>
              </w:rPr>
            </w:pPr>
            <w:r w:rsidRPr="00B72191">
              <w:rPr>
                <w:lang w:val="fr-FR"/>
              </w:rPr>
              <w:t>VIII, 19-22.</w:t>
            </w:r>
          </w:p>
          <w:p w:rsidR="00CD0601" w:rsidRPr="00B72191" w:rsidRDefault="00CD0601" w:rsidP="00CD0601">
            <w:pPr>
              <w:pStyle w:val="sv"/>
              <w:rPr>
                <w:lang w:val="fr-FR"/>
              </w:rPr>
            </w:pPr>
            <w:r w:rsidRPr="00B72191">
              <w:rPr>
                <w:lang w:val="fr-FR"/>
              </w:rPr>
              <w:t>IX, 37-38.</w:t>
            </w:r>
          </w:p>
          <w:p w:rsidR="00CD0601" w:rsidRPr="00B72191" w:rsidRDefault="00CD0601" w:rsidP="00CD0601">
            <w:pPr>
              <w:pStyle w:val="sv"/>
              <w:rPr>
                <w:lang w:val="fr-FR"/>
              </w:rPr>
            </w:pPr>
            <w:r w:rsidRPr="00B72191">
              <w:rPr>
                <w:lang w:val="fr-FR"/>
              </w:rPr>
              <w:t>X, 12-13.</w:t>
            </w:r>
          </w:p>
          <w:p w:rsidR="00CD0601" w:rsidRPr="00B72191" w:rsidRDefault="00CD0601" w:rsidP="00CD0601">
            <w:pPr>
              <w:pStyle w:val="sv"/>
              <w:rPr>
                <w:lang w:val="fr-FR"/>
              </w:rPr>
            </w:pPr>
            <w:r w:rsidRPr="00B72191">
              <w:rPr>
                <w:lang w:val="fr-FR"/>
              </w:rPr>
              <w:t>X, 15.</w:t>
            </w:r>
          </w:p>
          <w:p w:rsidR="00CD0601" w:rsidRPr="00B72191" w:rsidRDefault="00CD0601" w:rsidP="00CD0601">
            <w:pPr>
              <w:pStyle w:val="sv"/>
              <w:rPr>
                <w:lang w:val="fr-FR"/>
              </w:rPr>
            </w:pPr>
            <w:r w:rsidRPr="00B72191">
              <w:rPr>
                <w:lang w:val="fr-FR"/>
              </w:rPr>
              <w:t>X, 16.</w:t>
            </w:r>
          </w:p>
          <w:p w:rsidR="00CD0601" w:rsidRPr="00B72191" w:rsidRDefault="00CD0601" w:rsidP="00CD0601">
            <w:pPr>
              <w:pStyle w:val="sv"/>
              <w:rPr>
                <w:lang w:val="fr-FR"/>
              </w:rPr>
            </w:pPr>
            <w:r w:rsidRPr="00B72191">
              <w:rPr>
                <w:lang w:val="fr-FR"/>
              </w:rPr>
              <w:t>X, 19-20.</w:t>
            </w:r>
          </w:p>
          <w:p w:rsidR="00CD0601" w:rsidRPr="00B72191" w:rsidRDefault="00CD0601" w:rsidP="00CD0601">
            <w:pPr>
              <w:pStyle w:val="sv"/>
              <w:rPr>
                <w:lang w:val="fr-FR"/>
              </w:rPr>
            </w:pPr>
            <w:r w:rsidRPr="00B72191">
              <w:rPr>
                <w:lang w:val="fr-FR"/>
              </w:rPr>
              <w:t>X, 24.</w:t>
            </w:r>
          </w:p>
          <w:p w:rsidR="00CD0601" w:rsidRPr="00B72191" w:rsidRDefault="00CD0601" w:rsidP="00CD0601">
            <w:pPr>
              <w:pStyle w:val="sv"/>
              <w:rPr>
                <w:lang w:val="fr-FR"/>
              </w:rPr>
            </w:pPr>
            <w:r w:rsidRPr="00B72191">
              <w:rPr>
                <w:lang w:val="fr-FR"/>
              </w:rPr>
              <w:t>X, 26-33.</w:t>
            </w:r>
          </w:p>
          <w:p w:rsidR="00CD0601" w:rsidRPr="00B72191" w:rsidRDefault="00CD0601" w:rsidP="00CD0601">
            <w:pPr>
              <w:pStyle w:val="sv"/>
              <w:rPr>
                <w:lang w:val="fr-FR"/>
              </w:rPr>
            </w:pPr>
            <w:r w:rsidRPr="00B72191">
              <w:rPr>
                <w:lang w:val="fr-FR"/>
              </w:rPr>
              <w:t>X, 34-35.</w:t>
            </w:r>
          </w:p>
          <w:p w:rsidR="00CD0601" w:rsidRPr="00B72191" w:rsidRDefault="00CD0601" w:rsidP="00CD0601">
            <w:pPr>
              <w:pStyle w:val="sv"/>
              <w:rPr>
                <w:lang w:val="fr-FR"/>
              </w:rPr>
            </w:pPr>
            <w:r w:rsidRPr="00B72191">
              <w:rPr>
                <w:lang w:val="fr-FR"/>
              </w:rPr>
              <w:t>XI, 2-19.</w:t>
            </w:r>
          </w:p>
          <w:p w:rsidR="00CD0601" w:rsidRPr="00B72191" w:rsidRDefault="00CD0601" w:rsidP="00CD0601">
            <w:pPr>
              <w:pStyle w:val="sv"/>
              <w:rPr>
                <w:lang w:val="fr-FR"/>
              </w:rPr>
            </w:pPr>
            <w:r w:rsidRPr="00B72191">
              <w:rPr>
                <w:lang w:val="fr-FR"/>
              </w:rPr>
              <w:t>XI, 21-23.</w:t>
            </w:r>
          </w:p>
          <w:p w:rsidR="00CD0601" w:rsidRPr="00B72191" w:rsidRDefault="00CD0601" w:rsidP="00CD0601">
            <w:pPr>
              <w:pStyle w:val="sv"/>
              <w:rPr>
                <w:lang w:val="fr-FR"/>
              </w:rPr>
            </w:pPr>
            <w:r w:rsidRPr="00B72191">
              <w:rPr>
                <w:lang w:val="fr-FR"/>
              </w:rPr>
              <w:t>XI, 25-27.</w:t>
            </w:r>
          </w:p>
          <w:p w:rsidR="00CD0601" w:rsidRPr="00B72191" w:rsidRDefault="00CD0601" w:rsidP="00CD0601">
            <w:pPr>
              <w:pStyle w:val="sv"/>
              <w:rPr>
                <w:lang w:val="fr-FR"/>
              </w:rPr>
            </w:pPr>
            <w:r w:rsidRPr="00B72191">
              <w:rPr>
                <w:lang w:val="fr-FR"/>
              </w:rPr>
              <w:t>XII, 23.</w:t>
            </w:r>
          </w:p>
          <w:p w:rsidR="00CD0601" w:rsidRPr="00B72191" w:rsidRDefault="00CD0601" w:rsidP="00CD0601">
            <w:pPr>
              <w:pStyle w:val="sv"/>
              <w:rPr>
                <w:lang w:val="fr-FR"/>
              </w:rPr>
            </w:pPr>
            <w:r w:rsidRPr="00B72191">
              <w:rPr>
                <w:lang w:val="fr-FR"/>
              </w:rPr>
              <w:t>XII, 38-42.</w:t>
            </w:r>
          </w:p>
          <w:p w:rsidR="00CD0601" w:rsidRPr="00B72191" w:rsidRDefault="00CD0601" w:rsidP="00CD0601">
            <w:pPr>
              <w:pStyle w:val="sv"/>
              <w:rPr>
                <w:lang w:val="fr-FR"/>
              </w:rPr>
            </w:pPr>
            <w:r w:rsidRPr="00B72191">
              <w:rPr>
                <w:lang w:val="fr-FR"/>
              </w:rPr>
              <w:t>XII, 43-45.</w:t>
            </w:r>
          </w:p>
          <w:p w:rsidR="00CD0601" w:rsidRPr="00B72191" w:rsidRDefault="00CD0601" w:rsidP="00CD0601">
            <w:pPr>
              <w:pStyle w:val="sv"/>
              <w:rPr>
                <w:lang w:val="fr-FR"/>
              </w:rPr>
            </w:pPr>
            <w:r w:rsidRPr="00B72191">
              <w:rPr>
                <w:lang w:val="fr-FR"/>
              </w:rPr>
              <w:t>XIII, 33.</w:t>
            </w:r>
          </w:p>
          <w:p w:rsidR="00CD0601" w:rsidRPr="00B72191" w:rsidRDefault="00CD0601" w:rsidP="00CD0601">
            <w:pPr>
              <w:pStyle w:val="sv"/>
              <w:rPr>
                <w:lang w:val="fr-FR"/>
              </w:rPr>
            </w:pPr>
            <w:r w:rsidRPr="00B72191">
              <w:rPr>
                <w:lang w:val="fr-FR"/>
              </w:rPr>
              <w:t>XVIII, 12-14.</w:t>
            </w:r>
          </w:p>
          <w:p w:rsidR="00CD0601" w:rsidRPr="007664F5" w:rsidRDefault="00CD0601" w:rsidP="00CD0601">
            <w:pPr>
              <w:pStyle w:val="sv"/>
            </w:pPr>
            <w:r w:rsidRPr="007664F5">
              <w:t>XXIII, 37-39.</w:t>
            </w:r>
          </w:p>
          <w:p w:rsidR="00CD0601" w:rsidRDefault="00CD0601" w:rsidP="00CD0601">
            <w:pPr>
              <w:pStyle w:val="sv"/>
            </w:pPr>
            <w:r>
              <w:t>XXIV, 45-51.</w:t>
            </w:r>
          </w:p>
          <w:p w:rsidR="00CD0601" w:rsidRPr="00CD0601" w:rsidRDefault="00CD0601" w:rsidP="00CD0601">
            <w:pPr>
              <w:pStyle w:val="sv"/>
              <w:rPr>
                <w:lang w:val="fr-FR"/>
              </w:rPr>
            </w:pPr>
            <w:r>
              <w:t>XXV, 14-30.</w:t>
            </w:r>
          </w:p>
        </w:tc>
        <w:tc>
          <w:tcPr>
            <w:tcW w:w="0" w:type="auto"/>
          </w:tcPr>
          <w:p w:rsidR="00CD0601" w:rsidRPr="00B72191" w:rsidRDefault="00CD0601" w:rsidP="00CD0601">
            <w:pPr>
              <w:pStyle w:val="sv"/>
              <w:rPr>
                <w:lang w:val="fr-FR"/>
              </w:rPr>
            </w:pPr>
            <w:r w:rsidRPr="00B72191">
              <w:rPr>
                <w:lang w:val="fr-FR"/>
              </w:rPr>
              <w:t>S. Luc.</w:t>
            </w:r>
          </w:p>
          <w:p w:rsidR="00CD0601" w:rsidRPr="00B72191" w:rsidRDefault="00CD0601" w:rsidP="00CD0601">
            <w:pPr>
              <w:pStyle w:val="sv"/>
              <w:rPr>
                <w:lang w:val="fr-FR"/>
              </w:rPr>
            </w:pPr>
            <w:r w:rsidRPr="00B72191">
              <w:rPr>
                <w:lang w:val="fr-FR"/>
              </w:rPr>
              <w:t>IV, 3-18.</w:t>
            </w:r>
          </w:p>
          <w:p w:rsidR="00CD0601" w:rsidRPr="00B72191" w:rsidRDefault="00A319EA" w:rsidP="00CD0601">
            <w:pPr>
              <w:pStyle w:val="sv"/>
              <w:rPr>
                <w:lang w:val="fr-FR"/>
              </w:rPr>
            </w:pPr>
            <w:r>
              <w:rPr>
                <w:lang w:val="fr-FR"/>
              </w:rPr>
              <w:t>VI</w:t>
            </w:r>
            <w:r w:rsidR="00CD0601" w:rsidRPr="00B72191">
              <w:rPr>
                <w:lang w:val="fr-FR"/>
              </w:rPr>
              <w:t>, 20-23.</w:t>
            </w:r>
          </w:p>
          <w:p w:rsidR="00CD0601" w:rsidRPr="00B72191" w:rsidRDefault="00A319EA" w:rsidP="00CD0601">
            <w:pPr>
              <w:pStyle w:val="sv"/>
              <w:rPr>
                <w:lang w:val="fr-FR"/>
              </w:rPr>
            </w:pPr>
            <w:r>
              <w:rPr>
                <w:lang w:val="fr-FR"/>
              </w:rPr>
              <w:t>VI</w:t>
            </w:r>
            <w:r w:rsidR="00CD0601" w:rsidRPr="00B72191">
              <w:rPr>
                <w:lang w:val="fr-FR"/>
              </w:rPr>
              <w:t>, 27-36.</w:t>
            </w:r>
          </w:p>
          <w:p w:rsidR="00CD0601" w:rsidRPr="00B72191" w:rsidRDefault="00CD0601" w:rsidP="00CD0601">
            <w:pPr>
              <w:pStyle w:val="sv"/>
              <w:rPr>
                <w:lang w:val="fr-FR"/>
              </w:rPr>
            </w:pPr>
            <w:r w:rsidRPr="00B72191">
              <w:rPr>
                <w:lang w:val="fr-FR"/>
              </w:rPr>
              <w:t>XVI, 17.</w:t>
            </w:r>
          </w:p>
          <w:p w:rsidR="00CD0601" w:rsidRPr="00B72191" w:rsidRDefault="00CD0601" w:rsidP="00CD0601">
            <w:pPr>
              <w:pStyle w:val="sv"/>
              <w:rPr>
                <w:lang w:val="fr-FR"/>
              </w:rPr>
            </w:pPr>
            <w:r w:rsidRPr="00B72191">
              <w:rPr>
                <w:lang w:val="fr-FR"/>
              </w:rPr>
              <w:t>XII, 58-59.</w:t>
            </w:r>
          </w:p>
          <w:p w:rsidR="00CD0601" w:rsidRPr="00B72191" w:rsidRDefault="00CD0601" w:rsidP="00CD0601">
            <w:pPr>
              <w:pStyle w:val="sv"/>
              <w:rPr>
                <w:lang w:val="fr-FR"/>
              </w:rPr>
            </w:pPr>
            <w:r w:rsidRPr="00B72191">
              <w:rPr>
                <w:lang w:val="fr-FR"/>
              </w:rPr>
              <w:t>XI, 1-4.</w:t>
            </w:r>
          </w:p>
          <w:p w:rsidR="00CD0601" w:rsidRPr="00B72191" w:rsidRDefault="00CD0601" w:rsidP="00CD0601">
            <w:pPr>
              <w:pStyle w:val="sv"/>
              <w:rPr>
                <w:lang w:val="fr-FR"/>
              </w:rPr>
            </w:pPr>
            <w:r w:rsidRPr="00B72191">
              <w:rPr>
                <w:lang w:val="fr-FR"/>
              </w:rPr>
              <w:t>XI, 33-34.</w:t>
            </w:r>
          </w:p>
          <w:p w:rsidR="00CD0601" w:rsidRPr="00B72191" w:rsidRDefault="00CD0601" w:rsidP="00CD0601">
            <w:pPr>
              <w:pStyle w:val="sv"/>
              <w:rPr>
                <w:lang w:val="fr-FR"/>
              </w:rPr>
            </w:pPr>
            <w:r w:rsidRPr="00B72191">
              <w:rPr>
                <w:lang w:val="fr-FR"/>
              </w:rPr>
              <w:t>XI, 34-36.</w:t>
            </w:r>
          </w:p>
          <w:p w:rsidR="00CD0601" w:rsidRPr="00B72191" w:rsidRDefault="00CD0601" w:rsidP="00CD0601">
            <w:pPr>
              <w:pStyle w:val="sv"/>
              <w:rPr>
                <w:lang w:val="fr-FR"/>
              </w:rPr>
            </w:pPr>
            <w:r w:rsidRPr="00B72191">
              <w:rPr>
                <w:lang w:val="fr-FR"/>
              </w:rPr>
              <w:t>XVI, 13.</w:t>
            </w:r>
          </w:p>
          <w:p w:rsidR="00CD0601" w:rsidRPr="00B72191" w:rsidRDefault="00CD0601" w:rsidP="00CD0601">
            <w:pPr>
              <w:pStyle w:val="sv"/>
              <w:rPr>
                <w:lang w:val="fr-FR"/>
              </w:rPr>
            </w:pPr>
            <w:r w:rsidRPr="00B72191">
              <w:rPr>
                <w:lang w:val="fr-FR"/>
              </w:rPr>
              <w:t>XII, 22-31.</w:t>
            </w:r>
          </w:p>
          <w:p w:rsidR="00CD0601" w:rsidRPr="00CD0601" w:rsidRDefault="00A319EA" w:rsidP="00CD0601">
            <w:pPr>
              <w:pStyle w:val="sv"/>
              <w:rPr>
                <w:lang w:val="fr-FR"/>
              </w:rPr>
            </w:pPr>
            <w:r>
              <w:rPr>
                <w:lang w:val="fr-FR"/>
              </w:rPr>
              <w:t>VI</w:t>
            </w:r>
            <w:r w:rsidR="00CD0601" w:rsidRPr="00CD0601">
              <w:rPr>
                <w:lang w:val="fr-FR"/>
              </w:rPr>
              <w:t>, 31, 37-38, 41-42, 44-49.</w:t>
            </w:r>
          </w:p>
          <w:p w:rsidR="00CD0601" w:rsidRPr="00CD0601" w:rsidRDefault="00CD0601" w:rsidP="00CD0601">
            <w:pPr>
              <w:pStyle w:val="sv"/>
              <w:rPr>
                <w:lang w:val="fr-FR"/>
              </w:rPr>
            </w:pPr>
            <w:r w:rsidRPr="00CD0601">
              <w:rPr>
                <w:lang w:val="fr-FR"/>
              </w:rPr>
              <w:t>VII, 1-10.</w:t>
            </w:r>
          </w:p>
          <w:p w:rsidR="00CD0601" w:rsidRPr="00CD0601" w:rsidRDefault="00CD0601" w:rsidP="00CD0601">
            <w:pPr>
              <w:pStyle w:val="sv"/>
              <w:rPr>
                <w:lang w:val="fr-FR"/>
              </w:rPr>
            </w:pPr>
            <w:r w:rsidRPr="00CD0601">
              <w:rPr>
                <w:lang w:val="fr-FR"/>
              </w:rPr>
              <w:t>XI, 57-60.</w:t>
            </w:r>
          </w:p>
          <w:p w:rsidR="00CD0601" w:rsidRPr="00CD0601" w:rsidRDefault="00CD0601" w:rsidP="00CD0601">
            <w:pPr>
              <w:pStyle w:val="sv"/>
              <w:rPr>
                <w:lang w:val="fr-FR"/>
              </w:rPr>
            </w:pPr>
            <w:r w:rsidRPr="00CD0601">
              <w:rPr>
                <w:lang w:val="fr-FR"/>
              </w:rPr>
              <w:t>X, 2.</w:t>
            </w:r>
          </w:p>
          <w:p w:rsidR="00CD0601" w:rsidRPr="00CD0601" w:rsidRDefault="00CD0601" w:rsidP="00CD0601">
            <w:pPr>
              <w:pStyle w:val="sv"/>
              <w:rPr>
                <w:lang w:val="fr-FR"/>
              </w:rPr>
            </w:pPr>
            <w:r w:rsidRPr="00CD0601">
              <w:rPr>
                <w:lang w:val="fr-FR"/>
              </w:rPr>
              <w:t>X, 5-6.</w:t>
            </w:r>
          </w:p>
          <w:p w:rsidR="00CD0601" w:rsidRPr="00CD0601" w:rsidRDefault="00CD0601" w:rsidP="00CD0601">
            <w:pPr>
              <w:pStyle w:val="sv"/>
              <w:rPr>
                <w:lang w:val="fr-FR"/>
              </w:rPr>
            </w:pPr>
            <w:r w:rsidRPr="00CD0601">
              <w:rPr>
                <w:lang w:val="fr-FR"/>
              </w:rPr>
              <w:t>X, 12.</w:t>
            </w:r>
          </w:p>
          <w:p w:rsidR="00CD0601" w:rsidRPr="00CD0601" w:rsidRDefault="00CD0601" w:rsidP="00CD0601">
            <w:pPr>
              <w:pStyle w:val="sv"/>
              <w:rPr>
                <w:lang w:val="fr-FR"/>
              </w:rPr>
            </w:pPr>
            <w:r w:rsidRPr="00CD0601">
              <w:rPr>
                <w:lang w:val="fr-FR"/>
              </w:rPr>
              <w:t>X, 3.</w:t>
            </w:r>
          </w:p>
          <w:p w:rsidR="00CD0601" w:rsidRPr="00CD0601" w:rsidRDefault="00CD0601" w:rsidP="00CD0601">
            <w:pPr>
              <w:pStyle w:val="sv"/>
              <w:rPr>
                <w:lang w:val="fr-FR"/>
              </w:rPr>
            </w:pPr>
            <w:r w:rsidRPr="00CD0601">
              <w:rPr>
                <w:lang w:val="fr-FR"/>
              </w:rPr>
              <w:t>XII, 11-12.</w:t>
            </w:r>
          </w:p>
          <w:p w:rsidR="00CD0601" w:rsidRPr="00B72191" w:rsidRDefault="00A319EA" w:rsidP="00CD0601">
            <w:pPr>
              <w:pStyle w:val="sv"/>
              <w:rPr>
                <w:lang w:val="fr-FR"/>
              </w:rPr>
            </w:pPr>
            <w:r>
              <w:rPr>
                <w:lang w:val="fr-FR"/>
              </w:rPr>
              <w:t>VI</w:t>
            </w:r>
            <w:r w:rsidR="00CD0601" w:rsidRPr="00B72191">
              <w:rPr>
                <w:lang w:val="fr-FR"/>
              </w:rPr>
              <w:t>, 40.</w:t>
            </w:r>
          </w:p>
          <w:p w:rsidR="00CD0601" w:rsidRPr="00B72191" w:rsidRDefault="00CD0601" w:rsidP="00CD0601">
            <w:pPr>
              <w:pStyle w:val="sv"/>
              <w:rPr>
                <w:lang w:val="fr-FR"/>
              </w:rPr>
            </w:pPr>
            <w:r w:rsidRPr="00B72191">
              <w:rPr>
                <w:lang w:val="fr-FR"/>
              </w:rPr>
              <w:t>XII, 2-9.</w:t>
            </w:r>
          </w:p>
          <w:p w:rsidR="00CD0601" w:rsidRPr="00B72191" w:rsidRDefault="00CD0601" w:rsidP="00CD0601">
            <w:pPr>
              <w:pStyle w:val="sv"/>
              <w:rPr>
                <w:lang w:val="fr-FR"/>
              </w:rPr>
            </w:pPr>
            <w:r w:rsidRPr="00B72191">
              <w:rPr>
                <w:lang w:val="fr-FR"/>
              </w:rPr>
              <w:t>XII, 51-53.</w:t>
            </w:r>
          </w:p>
          <w:p w:rsidR="00CD0601" w:rsidRPr="00B72191" w:rsidRDefault="00CD0601" w:rsidP="00CD0601">
            <w:pPr>
              <w:pStyle w:val="sv"/>
              <w:rPr>
                <w:lang w:val="fr-FR"/>
              </w:rPr>
            </w:pPr>
            <w:r w:rsidRPr="00B72191">
              <w:rPr>
                <w:lang w:val="fr-FR"/>
              </w:rPr>
              <w:t>VII, 18-33.</w:t>
            </w:r>
          </w:p>
          <w:p w:rsidR="00CD0601" w:rsidRPr="00B72191" w:rsidRDefault="00CD0601" w:rsidP="00CD0601">
            <w:pPr>
              <w:pStyle w:val="sv"/>
              <w:rPr>
                <w:lang w:val="fr-FR"/>
              </w:rPr>
            </w:pPr>
            <w:r w:rsidRPr="00B72191">
              <w:rPr>
                <w:lang w:val="fr-FR"/>
              </w:rPr>
              <w:t>X, 13-15.</w:t>
            </w:r>
          </w:p>
          <w:p w:rsidR="00CD0601" w:rsidRPr="00B72191" w:rsidRDefault="00CD0601" w:rsidP="00CD0601">
            <w:pPr>
              <w:pStyle w:val="sv"/>
              <w:rPr>
                <w:lang w:val="fr-FR"/>
              </w:rPr>
            </w:pPr>
            <w:r w:rsidRPr="00B72191">
              <w:rPr>
                <w:lang w:val="fr-FR"/>
              </w:rPr>
              <w:t>X, 21-22.</w:t>
            </w:r>
          </w:p>
          <w:p w:rsidR="00CD0601" w:rsidRPr="00B72191" w:rsidRDefault="00CD0601" w:rsidP="00CD0601">
            <w:pPr>
              <w:pStyle w:val="sv"/>
              <w:rPr>
                <w:lang w:val="fr-FR"/>
              </w:rPr>
            </w:pPr>
            <w:r w:rsidRPr="00B72191">
              <w:rPr>
                <w:lang w:val="fr-FR"/>
              </w:rPr>
              <w:t>XI, 14.</w:t>
            </w:r>
          </w:p>
          <w:p w:rsidR="00CD0601" w:rsidRPr="00B72191" w:rsidRDefault="00CD0601" w:rsidP="00CD0601">
            <w:pPr>
              <w:pStyle w:val="sv"/>
              <w:rPr>
                <w:lang w:val="fr-FR"/>
              </w:rPr>
            </w:pPr>
            <w:r w:rsidRPr="00B72191">
              <w:rPr>
                <w:lang w:val="fr-FR"/>
              </w:rPr>
              <w:t>XI, 16, 29-31.</w:t>
            </w:r>
          </w:p>
          <w:p w:rsidR="00CD0601" w:rsidRPr="00B72191" w:rsidRDefault="00CD0601" w:rsidP="00CD0601">
            <w:pPr>
              <w:pStyle w:val="sv"/>
              <w:rPr>
                <w:lang w:val="fr-FR"/>
              </w:rPr>
            </w:pPr>
            <w:r w:rsidRPr="00B72191">
              <w:rPr>
                <w:lang w:val="fr-FR"/>
              </w:rPr>
              <w:t>XI, 24-26.</w:t>
            </w:r>
          </w:p>
          <w:p w:rsidR="00CD0601" w:rsidRPr="00B72191" w:rsidRDefault="00CD0601" w:rsidP="00CD0601">
            <w:pPr>
              <w:pStyle w:val="sv"/>
              <w:rPr>
                <w:lang w:val="fr-FR"/>
              </w:rPr>
            </w:pPr>
            <w:r w:rsidRPr="00B72191">
              <w:rPr>
                <w:lang w:val="fr-FR"/>
              </w:rPr>
              <w:t>XIII, 20-21.</w:t>
            </w:r>
          </w:p>
          <w:p w:rsidR="00CD0601" w:rsidRPr="00B72191" w:rsidRDefault="00CD0601" w:rsidP="00CD0601">
            <w:pPr>
              <w:pStyle w:val="sv"/>
              <w:rPr>
                <w:lang w:val="fr-FR"/>
              </w:rPr>
            </w:pPr>
            <w:r w:rsidRPr="00B72191">
              <w:rPr>
                <w:lang w:val="fr-FR"/>
              </w:rPr>
              <w:t xml:space="preserve">XV, 4-7. </w:t>
            </w:r>
          </w:p>
          <w:p w:rsidR="00CD0601" w:rsidRPr="00B72191" w:rsidRDefault="00CD0601" w:rsidP="00CD0601">
            <w:pPr>
              <w:pStyle w:val="sv"/>
              <w:rPr>
                <w:lang w:val="fr-FR"/>
              </w:rPr>
            </w:pPr>
            <w:r w:rsidRPr="00B72191">
              <w:rPr>
                <w:lang w:val="fr-FR"/>
              </w:rPr>
              <w:t>XIII, 34-33.</w:t>
            </w:r>
          </w:p>
          <w:p w:rsidR="00CD0601" w:rsidRDefault="00CD0601" w:rsidP="00CD0601">
            <w:pPr>
              <w:pStyle w:val="sv"/>
            </w:pPr>
            <w:r>
              <w:t>XII, 42-48.</w:t>
            </w:r>
          </w:p>
          <w:p w:rsidR="00CD0601" w:rsidRPr="00CD0601" w:rsidRDefault="00CD0601" w:rsidP="00CD0601">
            <w:pPr>
              <w:pStyle w:val="sv"/>
              <w:rPr>
                <w:lang w:val="fr-FR"/>
              </w:rPr>
            </w:pPr>
            <w:r>
              <w:t>XIX, 11-28.</w:t>
            </w:r>
          </w:p>
        </w:tc>
      </w:tr>
    </w:tbl>
    <w:p w:rsidR="00CD0601" w:rsidRDefault="00CD0601" w:rsidP="00CD0601">
      <w:pPr>
        <w:pStyle w:val="nsr"/>
      </w:pPr>
    </w:p>
    <w:p w:rsidR="00CD0601" w:rsidRDefault="00CD0601" w:rsidP="00CD0601">
      <w:pPr>
        <w:pStyle w:val="u3"/>
      </w:pPr>
      <w:r>
        <w:t>4° Passages communs à S. Marc et à S. Luc.</w:t>
      </w:r>
    </w:p>
    <w:tbl>
      <w:tblPr>
        <w:tblW w:w="0" w:type="auto"/>
        <w:jc w:val="center"/>
        <w:tblCellMar>
          <w:top w:w="28" w:type="dxa"/>
          <w:bottom w:w="28" w:type="dxa"/>
        </w:tblCellMar>
        <w:tblLook w:val="04A0"/>
      </w:tblPr>
      <w:tblGrid>
        <w:gridCol w:w="1334"/>
        <w:gridCol w:w="1432"/>
      </w:tblGrid>
      <w:tr w:rsidR="00CD0601" w:rsidRPr="007664F5" w:rsidTr="00CD0601">
        <w:trPr>
          <w:jc w:val="center"/>
        </w:trPr>
        <w:tc>
          <w:tcPr>
            <w:tcW w:w="0" w:type="auto"/>
          </w:tcPr>
          <w:p w:rsidR="00CD0601" w:rsidRPr="00B72191" w:rsidRDefault="00CD0601" w:rsidP="00CD0601">
            <w:pPr>
              <w:pStyle w:val="nsr"/>
              <w:rPr>
                <w:lang w:val="en-GB"/>
              </w:rPr>
            </w:pPr>
            <w:r w:rsidRPr="00B72191">
              <w:rPr>
                <w:lang w:val="en-GB"/>
              </w:rPr>
              <w:t>S. Marc.</w:t>
            </w:r>
          </w:p>
          <w:p w:rsidR="00CD0601" w:rsidRPr="00CD0601" w:rsidRDefault="00CD0601" w:rsidP="00CD0601">
            <w:pPr>
              <w:pStyle w:val="nsr"/>
              <w:rPr>
                <w:lang w:val="en-GB"/>
              </w:rPr>
            </w:pPr>
            <w:r w:rsidRPr="00CD0601">
              <w:rPr>
                <w:lang w:val="en-GB"/>
              </w:rPr>
              <w:t>I, 21-28.</w:t>
            </w:r>
          </w:p>
          <w:p w:rsidR="00CD0601" w:rsidRPr="00CD0601" w:rsidRDefault="00CD0601" w:rsidP="00CD0601">
            <w:pPr>
              <w:pStyle w:val="nsr"/>
              <w:rPr>
                <w:lang w:val="en-GB"/>
              </w:rPr>
            </w:pPr>
            <w:r w:rsidRPr="00CD0601">
              <w:rPr>
                <w:lang w:val="en-GB"/>
              </w:rPr>
              <w:t>I, 35-39.</w:t>
            </w:r>
          </w:p>
          <w:p w:rsidR="00CD0601" w:rsidRPr="00CD0601" w:rsidRDefault="00CD0601" w:rsidP="00CD0601">
            <w:pPr>
              <w:pStyle w:val="nsr"/>
              <w:rPr>
                <w:lang w:val="en-GB"/>
              </w:rPr>
            </w:pPr>
            <w:r w:rsidRPr="00CD0601">
              <w:rPr>
                <w:lang w:val="en-GB"/>
              </w:rPr>
              <w:t>I, 45.</w:t>
            </w:r>
          </w:p>
          <w:p w:rsidR="00CD0601" w:rsidRPr="00CD0601" w:rsidRDefault="00CD0601" w:rsidP="00CD0601">
            <w:pPr>
              <w:pStyle w:val="nsr"/>
              <w:rPr>
                <w:lang w:val="en-GB"/>
              </w:rPr>
            </w:pPr>
            <w:r w:rsidRPr="00CD0601">
              <w:rPr>
                <w:lang w:val="en-GB"/>
              </w:rPr>
              <w:t>II, 4.</w:t>
            </w:r>
          </w:p>
          <w:p w:rsidR="00CD0601" w:rsidRPr="00B72191" w:rsidRDefault="00CD0601" w:rsidP="00CD0601">
            <w:pPr>
              <w:pStyle w:val="nsr"/>
            </w:pPr>
            <w:r w:rsidRPr="00B72191">
              <w:t>III, 13-15.</w:t>
            </w:r>
          </w:p>
          <w:p w:rsidR="00CD0601" w:rsidRPr="00B72191" w:rsidRDefault="00CD0601" w:rsidP="00CD0601">
            <w:pPr>
              <w:pStyle w:val="nsr"/>
            </w:pPr>
            <w:r w:rsidRPr="00B72191">
              <w:t>IV, 21-25.</w:t>
            </w:r>
          </w:p>
          <w:p w:rsidR="00CD0601" w:rsidRDefault="00CD0601" w:rsidP="00CD0601">
            <w:pPr>
              <w:pStyle w:val="nsr"/>
            </w:pPr>
            <w:r w:rsidRPr="00F93984">
              <w:t>V, 4</w:t>
            </w:r>
            <w:r>
              <w:t>.</w:t>
            </w:r>
          </w:p>
          <w:p w:rsidR="00CD0601" w:rsidRDefault="00CD0601" w:rsidP="00CD0601">
            <w:pPr>
              <w:pStyle w:val="nsr"/>
            </w:pPr>
            <w:r w:rsidRPr="00F93984">
              <w:t>V, 9-10</w:t>
            </w:r>
            <w:r>
              <w:t>.</w:t>
            </w:r>
          </w:p>
          <w:p w:rsidR="00CD0601" w:rsidRDefault="00CD0601" w:rsidP="00CD0601">
            <w:pPr>
              <w:pStyle w:val="nsr"/>
            </w:pPr>
            <w:r w:rsidRPr="00F93984">
              <w:t>V, 29-33</w:t>
            </w:r>
            <w:r>
              <w:t>.</w:t>
            </w:r>
          </w:p>
          <w:p w:rsidR="00CD0601" w:rsidRDefault="00CD0601" w:rsidP="00CD0601">
            <w:pPr>
              <w:pStyle w:val="nsr"/>
            </w:pPr>
            <w:r w:rsidRPr="00F93984">
              <w:t>V, 35-37</w:t>
            </w:r>
            <w:r>
              <w:t>.</w:t>
            </w:r>
          </w:p>
          <w:p w:rsidR="00CD0601" w:rsidRDefault="00A319EA" w:rsidP="00CD0601">
            <w:pPr>
              <w:pStyle w:val="nsr"/>
            </w:pPr>
            <w:r>
              <w:t>VI</w:t>
            </w:r>
            <w:r w:rsidR="00CD0601">
              <w:t>, 15-16.</w:t>
            </w:r>
          </w:p>
          <w:p w:rsidR="00CD0601" w:rsidRDefault="00A319EA" w:rsidP="00CD0601">
            <w:pPr>
              <w:pStyle w:val="nsr"/>
            </w:pPr>
            <w:r>
              <w:t>VI</w:t>
            </w:r>
            <w:r w:rsidR="00CD0601">
              <w:t>, 30-31.</w:t>
            </w:r>
          </w:p>
          <w:p w:rsidR="00CD0601" w:rsidRDefault="00CD0601" w:rsidP="00CD0601">
            <w:pPr>
              <w:pStyle w:val="nsr"/>
            </w:pPr>
            <w:r>
              <w:t>VIII, 38.</w:t>
            </w:r>
          </w:p>
          <w:p w:rsidR="00CD0601" w:rsidRDefault="00CD0601" w:rsidP="00CD0601">
            <w:pPr>
              <w:pStyle w:val="nsr"/>
            </w:pPr>
            <w:r>
              <w:t>IX, 38-40.</w:t>
            </w:r>
          </w:p>
          <w:p w:rsidR="00CD0601" w:rsidRDefault="00CD0601" w:rsidP="00CD0601">
            <w:pPr>
              <w:pStyle w:val="nsr"/>
            </w:pPr>
            <w:r>
              <w:t>XI, 18.</w:t>
            </w:r>
          </w:p>
          <w:p w:rsidR="00CD0601" w:rsidRDefault="00CD0601" w:rsidP="00CD0601">
            <w:pPr>
              <w:pStyle w:val="nsr"/>
            </w:pPr>
            <w:r>
              <w:t>XII, 41-44.</w:t>
            </w:r>
          </w:p>
          <w:p w:rsidR="00CD0601" w:rsidRPr="007664F5" w:rsidRDefault="00CD0601" w:rsidP="00CD0601">
            <w:pPr>
              <w:pStyle w:val="nsr"/>
            </w:pPr>
            <w:r>
              <w:t>XIII, 9-11.</w:t>
            </w:r>
          </w:p>
        </w:tc>
        <w:tc>
          <w:tcPr>
            <w:tcW w:w="0" w:type="auto"/>
          </w:tcPr>
          <w:p w:rsidR="00CD0601" w:rsidRDefault="00CD0601" w:rsidP="00CD0601">
            <w:pPr>
              <w:pStyle w:val="nsr"/>
            </w:pPr>
            <w:r>
              <w:t>S. Luc.</w:t>
            </w:r>
          </w:p>
          <w:p w:rsidR="00CD0601" w:rsidRDefault="00CD0601" w:rsidP="00CD0601">
            <w:pPr>
              <w:pStyle w:val="nsr"/>
            </w:pPr>
            <w:r>
              <w:t>IV, 31-37.</w:t>
            </w:r>
          </w:p>
          <w:p w:rsidR="00CD0601" w:rsidRDefault="00CD0601" w:rsidP="00CD0601">
            <w:pPr>
              <w:pStyle w:val="nsr"/>
            </w:pPr>
            <w:r>
              <w:t>IV, 42-44.</w:t>
            </w:r>
          </w:p>
          <w:p w:rsidR="00CD0601" w:rsidRDefault="00CD0601" w:rsidP="00CD0601">
            <w:pPr>
              <w:pStyle w:val="nsr"/>
            </w:pPr>
            <w:r>
              <w:t>V, 15-16.</w:t>
            </w:r>
          </w:p>
          <w:p w:rsidR="00CD0601" w:rsidRDefault="00CD0601" w:rsidP="00CD0601">
            <w:pPr>
              <w:pStyle w:val="nsr"/>
            </w:pPr>
            <w:r>
              <w:t>V, 19.</w:t>
            </w:r>
          </w:p>
          <w:p w:rsidR="00CD0601" w:rsidRDefault="00CD0601" w:rsidP="00CD0601">
            <w:pPr>
              <w:pStyle w:val="nsr"/>
            </w:pPr>
            <w:r>
              <w:t>V, 12-13.</w:t>
            </w:r>
          </w:p>
          <w:p w:rsidR="00CD0601" w:rsidRDefault="00CD0601" w:rsidP="00CD0601">
            <w:pPr>
              <w:pStyle w:val="nsr"/>
            </w:pPr>
            <w:r>
              <w:t>VIII, 16-18.</w:t>
            </w:r>
          </w:p>
          <w:p w:rsidR="00CD0601" w:rsidRDefault="00CD0601" w:rsidP="00CD0601">
            <w:pPr>
              <w:pStyle w:val="nsr"/>
            </w:pPr>
            <w:r>
              <w:t>VIII, 27.</w:t>
            </w:r>
          </w:p>
          <w:p w:rsidR="00CD0601" w:rsidRDefault="00CD0601" w:rsidP="00CD0601">
            <w:pPr>
              <w:pStyle w:val="nsr"/>
            </w:pPr>
            <w:r>
              <w:t>VIII, 30-31.</w:t>
            </w:r>
          </w:p>
          <w:p w:rsidR="00CD0601" w:rsidRDefault="00CD0601" w:rsidP="00CD0601">
            <w:pPr>
              <w:pStyle w:val="nsr"/>
            </w:pPr>
            <w:r>
              <w:t>VIII, 45-47.</w:t>
            </w:r>
          </w:p>
          <w:p w:rsidR="00CD0601" w:rsidRDefault="00CD0601" w:rsidP="00CD0601">
            <w:pPr>
              <w:pStyle w:val="nsr"/>
            </w:pPr>
            <w:r>
              <w:t>VIII, 48-51.</w:t>
            </w:r>
          </w:p>
          <w:p w:rsidR="00CD0601" w:rsidRDefault="00CD0601" w:rsidP="00CD0601">
            <w:pPr>
              <w:pStyle w:val="nsr"/>
            </w:pPr>
            <w:r>
              <w:t>IX, 8-9.</w:t>
            </w:r>
          </w:p>
          <w:p w:rsidR="00CD0601" w:rsidRDefault="00CD0601" w:rsidP="00CD0601">
            <w:pPr>
              <w:pStyle w:val="nsr"/>
            </w:pPr>
            <w:r>
              <w:t>IX, 10.</w:t>
            </w:r>
          </w:p>
          <w:p w:rsidR="00CD0601" w:rsidRDefault="00CD0601" w:rsidP="00CD0601">
            <w:pPr>
              <w:pStyle w:val="nsr"/>
            </w:pPr>
            <w:r>
              <w:t>IX, 26.</w:t>
            </w:r>
          </w:p>
          <w:p w:rsidR="00CD0601" w:rsidRDefault="00CD0601" w:rsidP="00CD0601">
            <w:pPr>
              <w:pStyle w:val="nsr"/>
            </w:pPr>
            <w:r>
              <w:t>IX, 49-50.</w:t>
            </w:r>
          </w:p>
          <w:p w:rsidR="00CD0601" w:rsidRDefault="00CD0601" w:rsidP="00CD0601">
            <w:pPr>
              <w:pStyle w:val="nsr"/>
            </w:pPr>
            <w:r>
              <w:t>XIX, 47-48.</w:t>
            </w:r>
          </w:p>
          <w:p w:rsidR="00CD0601" w:rsidRPr="00250FF5" w:rsidRDefault="00CD0601" w:rsidP="00CD0601">
            <w:pPr>
              <w:pStyle w:val="nsr"/>
            </w:pPr>
            <w:r w:rsidRPr="00250FF5">
              <w:t>XXI, 1-4</w:t>
            </w:r>
            <w:r>
              <w:t>.</w:t>
            </w:r>
          </w:p>
          <w:p w:rsidR="00CD0601" w:rsidRPr="007664F5" w:rsidRDefault="00CD0601" w:rsidP="00CD0601">
            <w:pPr>
              <w:pStyle w:val="nsr"/>
            </w:pPr>
            <w:r w:rsidRPr="00250FF5">
              <w:t>XXI, 12-15</w:t>
            </w:r>
            <w:r>
              <w:t>.</w:t>
            </w:r>
          </w:p>
        </w:tc>
      </w:tr>
    </w:tbl>
    <w:p w:rsidR="00CD0601" w:rsidRPr="00250FF5" w:rsidRDefault="00CD0601" w:rsidP="00CD0601">
      <w:pPr>
        <w:pStyle w:val="nsr"/>
      </w:pPr>
    </w:p>
    <w:p w:rsidR="00CD0601" w:rsidRDefault="00CD0601" w:rsidP="00CD0601">
      <w:pPr>
        <w:pStyle w:val="u3"/>
      </w:pPr>
      <w:r>
        <w:t>5° Quelques coïncidences verbales entre les trois synoptiques.</w:t>
      </w:r>
    </w:p>
    <w:p w:rsidR="00CD0601" w:rsidRDefault="00CD0601" w:rsidP="00CD0601">
      <w:pPr>
        <w:pStyle w:val="nsr"/>
      </w:pPr>
    </w:p>
    <w:tbl>
      <w:tblPr>
        <w:tblW w:w="0" w:type="auto"/>
        <w:jc w:val="center"/>
        <w:tblCellMar>
          <w:top w:w="28" w:type="dxa"/>
          <w:bottom w:w="28" w:type="dxa"/>
        </w:tblCellMar>
        <w:tblLook w:val="04A0"/>
      </w:tblPr>
      <w:tblGrid>
        <w:gridCol w:w="1446"/>
        <w:gridCol w:w="1418"/>
        <w:gridCol w:w="1557"/>
      </w:tblGrid>
      <w:tr w:rsidR="00CD0601" w:rsidRPr="007664F5" w:rsidTr="00CD0601">
        <w:trPr>
          <w:jc w:val="center"/>
        </w:trPr>
        <w:tc>
          <w:tcPr>
            <w:tcW w:w="0" w:type="auto"/>
          </w:tcPr>
          <w:p w:rsidR="00CD0601" w:rsidRDefault="00CD0601" w:rsidP="00CD0601">
            <w:pPr>
              <w:pStyle w:val="nsr"/>
            </w:pPr>
            <w:r>
              <w:t>S. Matthieu.</w:t>
            </w:r>
          </w:p>
          <w:p w:rsidR="00CD0601" w:rsidRDefault="00CD0601" w:rsidP="00CD0601">
            <w:pPr>
              <w:pStyle w:val="nsr"/>
            </w:pPr>
            <w:r>
              <w:t>III, 3.</w:t>
            </w:r>
          </w:p>
          <w:p w:rsidR="00CD0601" w:rsidRDefault="00CD0601" w:rsidP="00CD0601">
            <w:pPr>
              <w:pStyle w:val="nsr"/>
            </w:pPr>
            <w:r>
              <w:t>III, 11.</w:t>
            </w:r>
          </w:p>
          <w:p w:rsidR="00CD0601" w:rsidRDefault="00CD0601" w:rsidP="00CD0601">
            <w:pPr>
              <w:pStyle w:val="nsr"/>
            </w:pPr>
            <w:r>
              <w:t>VIII, 2-4.</w:t>
            </w:r>
          </w:p>
          <w:p w:rsidR="00CD0601" w:rsidRDefault="00CD0601" w:rsidP="00CD0601">
            <w:pPr>
              <w:pStyle w:val="nsr"/>
            </w:pPr>
            <w:r>
              <w:t>VIII, 15.</w:t>
            </w:r>
          </w:p>
          <w:p w:rsidR="00CD0601" w:rsidRDefault="00CD0601" w:rsidP="00CD0601">
            <w:pPr>
              <w:pStyle w:val="nsr"/>
            </w:pPr>
            <w:r>
              <w:t>IX, 2, 4-6.</w:t>
            </w:r>
          </w:p>
          <w:p w:rsidR="00CD0601" w:rsidRDefault="00CD0601" w:rsidP="00CD0601">
            <w:pPr>
              <w:pStyle w:val="nsr"/>
            </w:pPr>
            <w:r>
              <w:t>IX, 15.</w:t>
            </w:r>
          </w:p>
          <w:p w:rsidR="00CD0601" w:rsidRDefault="00CD0601" w:rsidP="00CD0601">
            <w:pPr>
              <w:pStyle w:val="nsr"/>
            </w:pPr>
            <w:r>
              <w:t>IX, 22.</w:t>
            </w:r>
          </w:p>
          <w:p w:rsidR="00CD0601" w:rsidRDefault="00CD0601" w:rsidP="00CD0601">
            <w:pPr>
              <w:pStyle w:val="nsr"/>
            </w:pPr>
            <w:r>
              <w:t>IX, 24.</w:t>
            </w:r>
          </w:p>
          <w:p w:rsidR="00CD0601" w:rsidRDefault="00CD0601" w:rsidP="00CD0601">
            <w:pPr>
              <w:pStyle w:val="nsr"/>
            </w:pPr>
            <w:r>
              <w:t>XII, 13.</w:t>
            </w:r>
          </w:p>
          <w:p w:rsidR="00CD0601" w:rsidRDefault="00CD0601" w:rsidP="00CD0601">
            <w:pPr>
              <w:pStyle w:val="nsr"/>
            </w:pPr>
            <w:r>
              <w:t>XIV, 19-20.</w:t>
            </w:r>
          </w:p>
          <w:p w:rsidR="00CD0601" w:rsidRDefault="00CD0601" w:rsidP="00CD0601">
            <w:pPr>
              <w:pStyle w:val="nsr"/>
            </w:pPr>
            <w:r>
              <w:t>XVI, 21.</w:t>
            </w:r>
          </w:p>
          <w:p w:rsidR="00CD0601" w:rsidRDefault="00CD0601" w:rsidP="00CD0601">
            <w:pPr>
              <w:pStyle w:val="nsr"/>
            </w:pPr>
            <w:r>
              <w:t>XVI, 24-26.</w:t>
            </w:r>
          </w:p>
          <w:p w:rsidR="00CD0601" w:rsidRDefault="00CD0601" w:rsidP="00CD0601">
            <w:pPr>
              <w:pStyle w:val="nsr"/>
            </w:pPr>
            <w:r>
              <w:t>XVI, 28.</w:t>
            </w:r>
          </w:p>
          <w:p w:rsidR="00CD0601" w:rsidRDefault="00CD0601" w:rsidP="00CD0601">
            <w:pPr>
              <w:pStyle w:val="nsr"/>
            </w:pPr>
            <w:r>
              <w:t>XVII, 5.</w:t>
            </w:r>
          </w:p>
          <w:p w:rsidR="00CD0601" w:rsidRDefault="00CD0601" w:rsidP="00CD0601">
            <w:pPr>
              <w:pStyle w:val="nsr"/>
            </w:pPr>
            <w:r>
              <w:t>XVII, 17.</w:t>
            </w:r>
          </w:p>
          <w:p w:rsidR="00CD0601" w:rsidRDefault="00CD0601" w:rsidP="00CD0601">
            <w:pPr>
              <w:pStyle w:val="nsr"/>
            </w:pPr>
            <w:r>
              <w:t>XIX, 29.</w:t>
            </w:r>
          </w:p>
          <w:p w:rsidR="00CD0601" w:rsidRDefault="00CD0601" w:rsidP="00CD0601">
            <w:pPr>
              <w:pStyle w:val="nsr"/>
            </w:pPr>
            <w:r>
              <w:t>XXI, 12-13.</w:t>
            </w:r>
          </w:p>
          <w:p w:rsidR="00CD0601" w:rsidRDefault="00CD0601" w:rsidP="00CD0601">
            <w:pPr>
              <w:pStyle w:val="nsr"/>
            </w:pPr>
            <w:r>
              <w:t>XXI, 23.</w:t>
            </w:r>
          </w:p>
          <w:p w:rsidR="00CD0601" w:rsidRDefault="00CD0601" w:rsidP="00CD0601">
            <w:pPr>
              <w:pStyle w:val="nsr"/>
            </w:pPr>
            <w:r>
              <w:t>XXI, 25-27.</w:t>
            </w:r>
          </w:p>
          <w:p w:rsidR="00CD0601" w:rsidRDefault="00CD0601" w:rsidP="00CD0601">
            <w:pPr>
              <w:pStyle w:val="nsr"/>
            </w:pPr>
            <w:r>
              <w:t>XXI, 42.</w:t>
            </w:r>
          </w:p>
          <w:p w:rsidR="00CD0601" w:rsidRDefault="00CD0601" w:rsidP="00CD0601">
            <w:pPr>
              <w:pStyle w:val="nsr"/>
            </w:pPr>
            <w:r>
              <w:t>XXII, 44.</w:t>
            </w:r>
          </w:p>
          <w:p w:rsidR="00CD0601" w:rsidRDefault="00CD0601" w:rsidP="00CD0601">
            <w:pPr>
              <w:pStyle w:val="nsr"/>
            </w:pPr>
            <w:r>
              <w:t>XXIV, 6-9.</w:t>
            </w:r>
          </w:p>
          <w:p w:rsidR="00CD0601" w:rsidRDefault="00CD0601" w:rsidP="00CD0601">
            <w:pPr>
              <w:pStyle w:val="nsr"/>
            </w:pPr>
            <w:r>
              <w:t>XXIV, 19.</w:t>
            </w:r>
          </w:p>
          <w:p w:rsidR="00CD0601" w:rsidRDefault="00CD0601" w:rsidP="00CD0601">
            <w:pPr>
              <w:pStyle w:val="nsr"/>
            </w:pPr>
            <w:r>
              <w:t>XXIV, 30.</w:t>
            </w:r>
          </w:p>
          <w:p w:rsidR="00CD0601" w:rsidRDefault="00CD0601" w:rsidP="00CD0601">
            <w:pPr>
              <w:pStyle w:val="nsr"/>
            </w:pPr>
            <w:r w:rsidRPr="00F93984">
              <w:t>X</w:t>
            </w:r>
            <w:r>
              <w:t>XIV</w:t>
            </w:r>
            <w:r w:rsidRPr="00F93984">
              <w:t>, 35</w:t>
            </w:r>
            <w:r>
              <w:t>.</w:t>
            </w:r>
          </w:p>
          <w:p w:rsidR="00CD0601" w:rsidRDefault="00CD0601" w:rsidP="00CD0601">
            <w:pPr>
              <w:pStyle w:val="nsr"/>
            </w:pPr>
            <w:r>
              <w:t>XXVI</w:t>
            </w:r>
            <w:r w:rsidRPr="00F93984">
              <w:t>, 29</w:t>
            </w:r>
            <w:r>
              <w:t>.</w:t>
            </w:r>
          </w:p>
          <w:p w:rsidR="00CD0601" w:rsidRPr="007664F5" w:rsidRDefault="00CD0601" w:rsidP="00CD0601">
            <w:pPr>
              <w:pStyle w:val="nsr"/>
            </w:pPr>
          </w:p>
        </w:tc>
        <w:tc>
          <w:tcPr>
            <w:tcW w:w="0" w:type="auto"/>
          </w:tcPr>
          <w:p w:rsidR="00CD0601" w:rsidRPr="00B72191" w:rsidRDefault="00CD0601" w:rsidP="00CD0601">
            <w:pPr>
              <w:pStyle w:val="nsr"/>
              <w:rPr>
                <w:lang w:val="en-GB"/>
              </w:rPr>
            </w:pPr>
            <w:r w:rsidRPr="00B72191">
              <w:rPr>
                <w:lang w:val="en-GB"/>
              </w:rPr>
              <w:t>S. Marc.</w:t>
            </w:r>
          </w:p>
          <w:p w:rsidR="00CD0601" w:rsidRPr="00CD0601" w:rsidRDefault="00CD0601" w:rsidP="00CD0601">
            <w:pPr>
              <w:pStyle w:val="nsr"/>
              <w:rPr>
                <w:lang w:val="en-GB"/>
              </w:rPr>
            </w:pPr>
            <w:r w:rsidRPr="00CD0601">
              <w:rPr>
                <w:lang w:val="en-GB"/>
              </w:rPr>
              <w:t>I, 3.</w:t>
            </w:r>
          </w:p>
          <w:p w:rsidR="00CD0601" w:rsidRPr="00CD0601" w:rsidRDefault="00CD0601" w:rsidP="00CD0601">
            <w:pPr>
              <w:pStyle w:val="nsr"/>
              <w:rPr>
                <w:lang w:val="en-GB"/>
              </w:rPr>
            </w:pPr>
            <w:r w:rsidRPr="00CD0601">
              <w:rPr>
                <w:lang w:val="en-GB"/>
              </w:rPr>
              <w:t>I,7.</w:t>
            </w:r>
          </w:p>
          <w:p w:rsidR="00CD0601" w:rsidRPr="00CD0601" w:rsidRDefault="00CD0601" w:rsidP="00CD0601">
            <w:pPr>
              <w:pStyle w:val="nsr"/>
              <w:rPr>
                <w:lang w:val="en-GB"/>
              </w:rPr>
            </w:pPr>
            <w:r w:rsidRPr="00CD0601">
              <w:rPr>
                <w:lang w:val="en-GB"/>
              </w:rPr>
              <w:t>I, 40-54.</w:t>
            </w:r>
          </w:p>
          <w:p w:rsidR="00CD0601" w:rsidRPr="00CD0601" w:rsidRDefault="00CD0601" w:rsidP="00CD0601">
            <w:pPr>
              <w:pStyle w:val="nsr"/>
              <w:rPr>
                <w:lang w:val="en-GB"/>
              </w:rPr>
            </w:pPr>
            <w:r w:rsidRPr="00CD0601">
              <w:rPr>
                <w:lang w:val="en-GB"/>
              </w:rPr>
              <w:t>I 31.</w:t>
            </w:r>
          </w:p>
          <w:p w:rsidR="00CD0601" w:rsidRPr="00CD0601" w:rsidRDefault="00CD0601" w:rsidP="00CD0601">
            <w:pPr>
              <w:pStyle w:val="nsr"/>
              <w:rPr>
                <w:lang w:val="en-GB"/>
              </w:rPr>
            </w:pPr>
            <w:r w:rsidRPr="00CD0601">
              <w:rPr>
                <w:lang w:val="en-GB"/>
              </w:rPr>
              <w:t>II, 5, 8-10.</w:t>
            </w:r>
          </w:p>
          <w:p w:rsidR="00CD0601" w:rsidRPr="00B72191" w:rsidRDefault="00CD0601" w:rsidP="00CD0601">
            <w:pPr>
              <w:pStyle w:val="nsr"/>
            </w:pPr>
            <w:r w:rsidRPr="00B72191">
              <w:t>II, 20.</w:t>
            </w:r>
          </w:p>
          <w:p w:rsidR="00CD0601" w:rsidRPr="00B72191" w:rsidRDefault="00CD0601" w:rsidP="00CD0601">
            <w:pPr>
              <w:pStyle w:val="nsr"/>
            </w:pPr>
            <w:r w:rsidRPr="00B72191">
              <w:t>V, 34.</w:t>
            </w:r>
          </w:p>
          <w:p w:rsidR="00CD0601" w:rsidRPr="00250FF5" w:rsidRDefault="00CD0601" w:rsidP="00CD0601">
            <w:pPr>
              <w:pStyle w:val="nsr"/>
            </w:pPr>
            <w:r w:rsidRPr="00250FF5">
              <w:t>V, 39</w:t>
            </w:r>
            <w:r>
              <w:t>.</w:t>
            </w:r>
          </w:p>
          <w:p w:rsidR="00CD0601" w:rsidRPr="00250FF5" w:rsidRDefault="00CD0601" w:rsidP="00CD0601">
            <w:pPr>
              <w:pStyle w:val="nsr"/>
            </w:pPr>
            <w:r w:rsidRPr="00250FF5">
              <w:t>III, 5</w:t>
            </w:r>
            <w:r>
              <w:t>.</w:t>
            </w:r>
          </w:p>
          <w:p w:rsidR="00CD0601" w:rsidRPr="00250FF5" w:rsidRDefault="00A319EA" w:rsidP="00CD0601">
            <w:pPr>
              <w:pStyle w:val="nsr"/>
            </w:pPr>
            <w:r>
              <w:t>VI</w:t>
            </w:r>
            <w:r w:rsidR="00CD0601" w:rsidRPr="00250FF5">
              <w:t>, 41-43</w:t>
            </w:r>
            <w:r w:rsidR="00CD0601">
              <w:t>.</w:t>
            </w:r>
          </w:p>
          <w:p w:rsidR="00CD0601" w:rsidRDefault="00CD0601" w:rsidP="00CD0601">
            <w:pPr>
              <w:pStyle w:val="nsr"/>
            </w:pPr>
            <w:r>
              <w:t>VII, 31.</w:t>
            </w:r>
          </w:p>
          <w:p w:rsidR="00CD0601" w:rsidRDefault="00CD0601" w:rsidP="00CD0601">
            <w:pPr>
              <w:pStyle w:val="nsr"/>
            </w:pPr>
            <w:r>
              <w:t>VIII, 34-37.</w:t>
            </w:r>
          </w:p>
          <w:p w:rsidR="00CD0601" w:rsidRDefault="00CD0601" w:rsidP="00CD0601">
            <w:pPr>
              <w:pStyle w:val="nsr"/>
            </w:pPr>
            <w:r>
              <w:t>IX, 1.</w:t>
            </w:r>
          </w:p>
          <w:p w:rsidR="00CD0601" w:rsidRDefault="00CD0601" w:rsidP="00CD0601">
            <w:pPr>
              <w:pStyle w:val="nsr"/>
            </w:pPr>
            <w:r>
              <w:t>IX, 7.</w:t>
            </w:r>
          </w:p>
          <w:p w:rsidR="00CD0601" w:rsidRDefault="00CD0601" w:rsidP="00CD0601">
            <w:pPr>
              <w:pStyle w:val="nsr"/>
            </w:pPr>
            <w:r>
              <w:t>IX, 19.</w:t>
            </w:r>
          </w:p>
          <w:p w:rsidR="00CD0601" w:rsidRDefault="00CD0601" w:rsidP="00CD0601">
            <w:pPr>
              <w:pStyle w:val="nsr"/>
            </w:pPr>
            <w:r>
              <w:t>X, 29.</w:t>
            </w:r>
          </w:p>
          <w:p w:rsidR="00CD0601" w:rsidRDefault="00CD0601" w:rsidP="00CD0601">
            <w:pPr>
              <w:pStyle w:val="nsr"/>
            </w:pPr>
            <w:r>
              <w:t>XI, 15-17.</w:t>
            </w:r>
          </w:p>
          <w:p w:rsidR="00CD0601" w:rsidRDefault="00CD0601" w:rsidP="00CD0601">
            <w:pPr>
              <w:pStyle w:val="nsr"/>
            </w:pPr>
            <w:r>
              <w:t>XI, 28.</w:t>
            </w:r>
          </w:p>
          <w:p w:rsidR="00CD0601" w:rsidRDefault="00CD0601" w:rsidP="00CD0601">
            <w:pPr>
              <w:pStyle w:val="nsr"/>
            </w:pPr>
            <w:r>
              <w:t>XI, 30-33.</w:t>
            </w:r>
          </w:p>
          <w:p w:rsidR="00CD0601" w:rsidRDefault="00CD0601" w:rsidP="00CD0601">
            <w:pPr>
              <w:pStyle w:val="nsr"/>
            </w:pPr>
            <w:r>
              <w:t>XII, 10.</w:t>
            </w:r>
          </w:p>
          <w:p w:rsidR="00CD0601" w:rsidRDefault="00CD0601" w:rsidP="00CD0601">
            <w:pPr>
              <w:pStyle w:val="nsr"/>
            </w:pPr>
            <w:r>
              <w:t>XII, 3.</w:t>
            </w:r>
          </w:p>
          <w:p w:rsidR="00CD0601" w:rsidRDefault="00CD0601" w:rsidP="00CD0601">
            <w:pPr>
              <w:pStyle w:val="nsr"/>
            </w:pPr>
            <w:r>
              <w:t>XIII, 7-13.</w:t>
            </w:r>
          </w:p>
          <w:p w:rsidR="00CD0601" w:rsidRDefault="00CD0601" w:rsidP="00CD0601">
            <w:pPr>
              <w:pStyle w:val="nsr"/>
            </w:pPr>
            <w:r>
              <w:t>XIII, ???.</w:t>
            </w:r>
          </w:p>
          <w:p w:rsidR="00CD0601" w:rsidRDefault="00CD0601" w:rsidP="00CD0601">
            <w:pPr>
              <w:pStyle w:val="nsr"/>
            </w:pPr>
            <w:r>
              <w:t>XIII, 2.</w:t>
            </w:r>
          </w:p>
          <w:p w:rsidR="00CD0601" w:rsidRDefault="00CD0601" w:rsidP="00CD0601">
            <w:pPr>
              <w:pStyle w:val="nsr"/>
            </w:pPr>
            <w:r>
              <w:t>XIII, 31.</w:t>
            </w:r>
          </w:p>
          <w:p w:rsidR="00CD0601" w:rsidRDefault="00CD0601" w:rsidP="00CD0601">
            <w:pPr>
              <w:pStyle w:val="nsr"/>
            </w:pPr>
            <w:r>
              <w:t>XIV, 25.</w:t>
            </w:r>
          </w:p>
          <w:p w:rsidR="00CD0601" w:rsidRPr="007664F5" w:rsidRDefault="00CD0601" w:rsidP="00CD0601">
            <w:pPr>
              <w:pStyle w:val="nsr"/>
            </w:pPr>
          </w:p>
        </w:tc>
        <w:tc>
          <w:tcPr>
            <w:tcW w:w="0" w:type="auto"/>
          </w:tcPr>
          <w:p w:rsidR="00CD0601" w:rsidRDefault="00CD0601" w:rsidP="00CD0601">
            <w:pPr>
              <w:pStyle w:val="nsr"/>
            </w:pPr>
            <w:r>
              <w:t>S. Luc.</w:t>
            </w:r>
          </w:p>
          <w:p w:rsidR="00CD0601" w:rsidRDefault="00CD0601" w:rsidP="00CD0601">
            <w:pPr>
              <w:pStyle w:val="nsr"/>
            </w:pPr>
            <w:r>
              <w:t>III, 4.</w:t>
            </w:r>
          </w:p>
          <w:p w:rsidR="00CD0601" w:rsidRDefault="00CD0601" w:rsidP="00CD0601">
            <w:pPr>
              <w:pStyle w:val="nsr"/>
            </w:pPr>
            <w:r>
              <w:t>III, 16.</w:t>
            </w:r>
          </w:p>
          <w:p w:rsidR="00CD0601" w:rsidRDefault="00CD0601" w:rsidP="00CD0601">
            <w:pPr>
              <w:pStyle w:val="nsr"/>
            </w:pPr>
            <w:r>
              <w:t>V, 12-14.</w:t>
            </w:r>
          </w:p>
          <w:p w:rsidR="00CD0601" w:rsidRDefault="00CD0601" w:rsidP="00CD0601">
            <w:pPr>
              <w:pStyle w:val="nsr"/>
            </w:pPr>
            <w:r>
              <w:t>IV, 39.</w:t>
            </w:r>
          </w:p>
          <w:p w:rsidR="00CD0601" w:rsidRDefault="00CD0601" w:rsidP="00CD0601">
            <w:pPr>
              <w:pStyle w:val="nsr"/>
            </w:pPr>
            <w:r>
              <w:t>V, 20, 22-24.</w:t>
            </w:r>
          </w:p>
          <w:p w:rsidR="00CD0601" w:rsidRDefault="00CD0601" w:rsidP="00CD0601">
            <w:pPr>
              <w:pStyle w:val="nsr"/>
            </w:pPr>
            <w:r>
              <w:t>V, 35.</w:t>
            </w:r>
          </w:p>
          <w:p w:rsidR="00CD0601" w:rsidRDefault="00CD0601" w:rsidP="00CD0601">
            <w:pPr>
              <w:pStyle w:val="nsr"/>
            </w:pPr>
            <w:r>
              <w:t>VIII, 48.</w:t>
            </w:r>
          </w:p>
          <w:p w:rsidR="00CD0601" w:rsidRDefault="00CD0601" w:rsidP="00CD0601">
            <w:pPr>
              <w:pStyle w:val="nsr"/>
            </w:pPr>
            <w:r>
              <w:t>VIII, 52.</w:t>
            </w:r>
          </w:p>
          <w:p w:rsidR="00CD0601" w:rsidRDefault="00A319EA" w:rsidP="00CD0601">
            <w:pPr>
              <w:pStyle w:val="nsr"/>
            </w:pPr>
            <w:r>
              <w:t>VI</w:t>
            </w:r>
            <w:r w:rsidR="00CD0601">
              <w:t>, 10.</w:t>
            </w:r>
          </w:p>
          <w:p w:rsidR="00CD0601" w:rsidRDefault="00CD0601" w:rsidP="00CD0601">
            <w:pPr>
              <w:pStyle w:val="nsr"/>
            </w:pPr>
            <w:r>
              <w:t>IX, 16-17.</w:t>
            </w:r>
          </w:p>
          <w:p w:rsidR="00CD0601" w:rsidRDefault="00CD0601" w:rsidP="00CD0601">
            <w:pPr>
              <w:pStyle w:val="nsr"/>
            </w:pPr>
            <w:r>
              <w:t>IX, 22.</w:t>
            </w:r>
          </w:p>
          <w:p w:rsidR="00CD0601" w:rsidRDefault="00CD0601" w:rsidP="00CD0601">
            <w:pPr>
              <w:pStyle w:val="nsr"/>
            </w:pPr>
            <w:r>
              <w:t>IX, 23-25.</w:t>
            </w:r>
          </w:p>
          <w:p w:rsidR="00CD0601" w:rsidRDefault="00CD0601" w:rsidP="00CD0601">
            <w:pPr>
              <w:pStyle w:val="nsr"/>
            </w:pPr>
            <w:r>
              <w:t>IX, 27.</w:t>
            </w:r>
          </w:p>
          <w:p w:rsidR="00CD0601" w:rsidRDefault="00CD0601" w:rsidP="00CD0601">
            <w:pPr>
              <w:pStyle w:val="nsr"/>
            </w:pPr>
            <w:r>
              <w:t>IX, 35.</w:t>
            </w:r>
          </w:p>
          <w:p w:rsidR="00CD0601" w:rsidRDefault="00CD0601" w:rsidP="00CD0601">
            <w:pPr>
              <w:pStyle w:val="nsr"/>
            </w:pPr>
            <w:r>
              <w:t>IX, 41.</w:t>
            </w:r>
          </w:p>
          <w:p w:rsidR="00CD0601" w:rsidRDefault="00CD0601" w:rsidP="00CD0601">
            <w:pPr>
              <w:pStyle w:val="nsr"/>
            </w:pPr>
            <w:r>
              <w:t>XVIII, 29.</w:t>
            </w:r>
          </w:p>
          <w:p w:rsidR="00CD0601" w:rsidRDefault="00CD0601" w:rsidP="00CD0601">
            <w:pPr>
              <w:pStyle w:val="nsr"/>
            </w:pPr>
            <w:r>
              <w:t>XIX, 45-46.</w:t>
            </w:r>
          </w:p>
          <w:p w:rsidR="00CD0601" w:rsidRDefault="00CD0601" w:rsidP="00CD0601">
            <w:pPr>
              <w:pStyle w:val="nsr"/>
            </w:pPr>
            <w:r>
              <w:t>XX, 2.</w:t>
            </w:r>
          </w:p>
          <w:p w:rsidR="00CD0601" w:rsidRDefault="00CD0601" w:rsidP="00CD0601">
            <w:pPr>
              <w:pStyle w:val="nsr"/>
            </w:pPr>
            <w:r>
              <w:t>XX, 4-5, 6-8.</w:t>
            </w:r>
          </w:p>
          <w:p w:rsidR="00CD0601" w:rsidRDefault="00CD0601" w:rsidP="00CD0601">
            <w:pPr>
              <w:pStyle w:val="nsr"/>
            </w:pPr>
            <w:r>
              <w:t>XX, 17.</w:t>
            </w:r>
          </w:p>
          <w:p w:rsidR="00CD0601" w:rsidRDefault="00CD0601" w:rsidP="00CD0601">
            <w:pPr>
              <w:pStyle w:val="nsr"/>
            </w:pPr>
            <w:r>
              <w:t>XX, 42-43.</w:t>
            </w:r>
          </w:p>
          <w:p w:rsidR="00CD0601" w:rsidRDefault="00CD0601" w:rsidP="00CD0601">
            <w:pPr>
              <w:pStyle w:val="nsr"/>
            </w:pPr>
            <w:r>
              <w:t>XXI, 9-17.</w:t>
            </w:r>
          </w:p>
          <w:p w:rsidR="00CD0601" w:rsidRDefault="00CD0601" w:rsidP="00CD0601">
            <w:pPr>
              <w:pStyle w:val="nsr"/>
            </w:pPr>
            <w:r>
              <w:t>XXI, 23.</w:t>
            </w:r>
          </w:p>
          <w:p w:rsidR="00CD0601" w:rsidRDefault="00CD0601" w:rsidP="00CD0601">
            <w:pPr>
              <w:pStyle w:val="nsr"/>
            </w:pPr>
            <w:r>
              <w:t>XXI, 27.</w:t>
            </w:r>
          </w:p>
          <w:p w:rsidR="00CD0601" w:rsidRDefault="00CD0601" w:rsidP="00CD0601">
            <w:pPr>
              <w:pStyle w:val="nsr"/>
            </w:pPr>
            <w:r>
              <w:t>XXI, 33.</w:t>
            </w:r>
          </w:p>
          <w:p w:rsidR="00CD0601" w:rsidRDefault="00CD0601" w:rsidP="00CD0601">
            <w:pPr>
              <w:pStyle w:val="nsr"/>
            </w:pPr>
            <w:r>
              <w:t>XXII, 18.</w:t>
            </w:r>
          </w:p>
          <w:p w:rsidR="00CD0601" w:rsidRPr="007664F5" w:rsidRDefault="00CD0601" w:rsidP="00CD0601">
            <w:pPr>
              <w:pStyle w:val="nsr"/>
            </w:pPr>
          </w:p>
        </w:tc>
      </w:tr>
    </w:tbl>
    <w:p w:rsidR="00CD0601" w:rsidRDefault="00CD0601" w:rsidP="00CD0601">
      <w:pPr>
        <w:pStyle w:val="nsr"/>
      </w:pPr>
    </w:p>
    <w:p w:rsidR="00CD0601" w:rsidRDefault="00CD0601" w:rsidP="00CD0601">
      <w:pPr>
        <w:pStyle w:val="u3"/>
      </w:pPr>
      <w:r>
        <w:t>6° Quelques coïncidences verbales entre S. Matthieu et S. Marc.</w:t>
      </w:r>
    </w:p>
    <w:p w:rsidR="00CD0601" w:rsidRDefault="00CD0601" w:rsidP="00CD0601">
      <w:pPr>
        <w:pStyle w:val="nsr"/>
      </w:pPr>
    </w:p>
    <w:tbl>
      <w:tblPr>
        <w:tblW w:w="0" w:type="auto"/>
        <w:jc w:val="center"/>
        <w:tblCellMar>
          <w:top w:w="28" w:type="dxa"/>
          <w:bottom w:w="28" w:type="dxa"/>
        </w:tblCellMar>
        <w:tblLook w:val="04A0"/>
      </w:tblPr>
      <w:tblGrid>
        <w:gridCol w:w="1446"/>
        <w:gridCol w:w="2022"/>
      </w:tblGrid>
      <w:tr w:rsidR="00CD0601" w:rsidRPr="007664F5" w:rsidTr="00CD0601">
        <w:trPr>
          <w:jc w:val="center"/>
        </w:trPr>
        <w:tc>
          <w:tcPr>
            <w:tcW w:w="0" w:type="auto"/>
          </w:tcPr>
          <w:p w:rsidR="00CD0601" w:rsidRDefault="00CD0601" w:rsidP="00CD0601">
            <w:pPr>
              <w:pStyle w:val="nsr"/>
            </w:pPr>
            <w:r>
              <w:t>S. Matthieu.</w:t>
            </w:r>
          </w:p>
          <w:p w:rsidR="00CD0601" w:rsidRDefault="00CD0601" w:rsidP="00CD0601">
            <w:pPr>
              <w:pStyle w:val="nsr"/>
            </w:pPr>
            <w:r>
              <w:t>XIV, 22,34.</w:t>
            </w:r>
          </w:p>
          <w:p w:rsidR="00CD0601" w:rsidRDefault="00CD0601" w:rsidP="00CD0601">
            <w:pPr>
              <w:pStyle w:val="nsr"/>
            </w:pPr>
            <w:r>
              <w:t>XV, 7-10.</w:t>
            </w:r>
          </w:p>
          <w:p w:rsidR="00CD0601" w:rsidRDefault="00CD0601" w:rsidP="00CD0601">
            <w:pPr>
              <w:pStyle w:val="nsr"/>
            </w:pPr>
            <w:r>
              <w:t>XV, 26,32.</w:t>
            </w:r>
          </w:p>
          <w:p w:rsidR="00CD0601" w:rsidRDefault="00CD0601" w:rsidP="00CD0601">
            <w:pPr>
              <w:pStyle w:val="nsr"/>
            </w:pPr>
            <w:r>
              <w:t>XIX, 5-6.</w:t>
            </w:r>
          </w:p>
          <w:p w:rsidR="00CD0601" w:rsidRDefault="00CD0601" w:rsidP="00CD0601">
            <w:pPr>
              <w:pStyle w:val="nsr"/>
            </w:pPr>
            <w:r>
              <w:t>XX, 22-28.</w:t>
            </w:r>
          </w:p>
          <w:p w:rsidR="00CD0601" w:rsidRPr="007664F5" w:rsidRDefault="00CD0601" w:rsidP="00CD0601">
            <w:pPr>
              <w:pStyle w:val="nsr"/>
            </w:pPr>
            <w:r>
              <w:t>XXIV, 22.</w:t>
            </w:r>
          </w:p>
        </w:tc>
        <w:tc>
          <w:tcPr>
            <w:tcW w:w="0" w:type="auto"/>
          </w:tcPr>
          <w:p w:rsidR="00CD0601" w:rsidRDefault="00CD0601" w:rsidP="00CD0601">
            <w:pPr>
              <w:pStyle w:val="nsr"/>
            </w:pPr>
            <w:r>
              <w:t>S. Marc.</w:t>
            </w:r>
          </w:p>
          <w:p w:rsidR="00CD0601" w:rsidRDefault="00A319EA" w:rsidP="00CD0601">
            <w:pPr>
              <w:pStyle w:val="nsr"/>
            </w:pPr>
            <w:r>
              <w:t>VI</w:t>
            </w:r>
            <w:r w:rsidR="00CD0601">
              <w:t>, 45,53.</w:t>
            </w:r>
          </w:p>
          <w:p w:rsidR="00CD0601" w:rsidRDefault="00CD0601" w:rsidP="00CD0601">
            <w:pPr>
              <w:pStyle w:val="nsr"/>
            </w:pPr>
            <w:r>
              <w:t>VII, 6-7, 14.</w:t>
            </w:r>
          </w:p>
          <w:p w:rsidR="00CD0601" w:rsidRDefault="00CD0601" w:rsidP="00CD0601">
            <w:pPr>
              <w:pStyle w:val="nsr"/>
            </w:pPr>
            <w:r>
              <w:t>VII, 27; VIII, 1-2.</w:t>
            </w:r>
          </w:p>
          <w:p w:rsidR="00CD0601" w:rsidRDefault="00CD0601" w:rsidP="00CD0601">
            <w:pPr>
              <w:pStyle w:val="nsr"/>
            </w:pPr>
            <w:r>
              <w:t>X, 7-9.</w:t>
            </w:r>
          </w:p>
          <w:p w:rsidR="00CD0601" w:rsidRDefault="00CD0601" w:rsidP="00CD0601">
            <w:pPr>
              <w:pStyle w:val="nsr"/>
            </w:pPr>
            <w:r>
              <w:t>X, 38-45.</w:t>
            </w:r>
          </w:p>
          <w:p w:rsidR="00CD0601" w:rsidRPr="007664F5" w:rsidRDefault="00CD0601" w:rsidP="00CD0601">
            <w:pPr>
              <w:pStyle w:val="nsr"/>
            </w:pPr>
            <w:r>
              <w:t>XIII, 20.</w:t>
            </w:r>
          </w:p>
        </w:tc>
      </w:tr>
    </w:tbl>
    <w:p w:rsidR="00CD0601" w:rsidRDefault="00CD0601" w:rsidP="00CD0601">
      <w:pPr>
        <w:pStyle w:val="nsr"/>
      </w:pPr>
    </w:p>
    <w:p w:rsidR="00CD0601" w:rsidRDefault="00CD0601" w:rsidP="00CD0601">
      <w:pPr>
        <w:pStyle w:val="u3"/>
      </w:pPr>
      <w:r>
        <w:t>7° Coïncidences verbales entre S. Matthieu et S. Luc.</w:t>
      </w:r>
    </w:p>
    <w:p w:rsidR="00CD0601" w:rsidRDefault="00CD0601" w:rsidP="00CD0601">
      <w:pPr>
        <w:pStyle w:val="nsr"/>
      </w:pPr>
    </w:p>
    <w:tbl>
      <w:tblPr>
        <w:tblW w:w="0" w:type="auto"/>
        <w:jc w:val="center"/>
        <w:tblCellMar>
          <w:top w:w="28" w:type="dxa"/>
          <w:bottom w:w="28" w:type="dxa"/>
        </w:tblCellMar>
        <w:tblLook w:val="04A0"/>
      </w:tblPr>
      <w:tblGrid>
        <w:gridCol w:w="1612"/>
        <w:gridCol w:w="1959"/>
      </w:tblGrid>
      <w:tr w:rsidR="00CD0601" w:rsidRPr="007664F5" w:rsidTr="00CD0601">
        <w:trPr>
          <w:jc w:val="center"/>
        </w:trPr>
        <w:tc>
          <w:tcPr>
            <w:tcW w:w="0" w:type="auto"/>
          </w:tcPr>
          <w:p w:rsidR="00CD0601" w:rsidRDefault="00CD0601" w:rsidP="00CD0601">
            <w:pPr>
              <w:pStyle w:val="nsr"/>
            </w:pPr>
            <w:r>
              <w:t>S. Matthieu.</w:t>
            </w:r>
          </w:p>
          <w:p w:rsidR="00CD0601" w:rsidRDefault="00CD0601" w:rsidP="00CD0601">
            <w:pPr>
              <w:pStyle w:val="nsr"/>
            </w:pPr>
            <w:r>
              <w:t>V, 44.</w:t>
            </w:r>
          </w:p>
          <w:p w:rsidR="00CD0601" w:rsidRDefault="00CD0601" w:rsidP="00CD0601">
            <w:pPr>
              <w:pStyle w:val="nsr"/>
            </w:pPr>
            <w:r>
              <w:t>VII, 5.</w:t>
            </w:r>
          </w:p>
          <w:p w:rsidR="00CD0601" w:rsidRDefault="00CD0601" w:rsidP="00CD0601">
            <w:pPr>
              <w:pStyle w:val="nsr"/>
            </w:pPr>
            <w:r>
              <w:t>VIII, 8-10.</w:t>
            </w:r>
          </w:p>
          <w:p w:rsidR="00CD0601" w:rsidRDefault="00CD0601" w:rsidP="00CD0601">
            <w:pPr>
              <w:pStyle w:val="nsr"/>
            </w:pPr>
            <w:r>
              <w:t>VIII, 20,22.</w:t>
            </w:r>
          </w:p>
          <w:p w:rsidR="00CD0601" w:rsidRDefault="00CD0601" w:rsidP="00CD0601">
            <w:pPr>
              <w:pStyle w:val="nsr"/>
            </w:pPr>
            <w:r>
              <w:t>XI, 3-11.</w:t>
            </w:r>
          </w:p>
          <w:p w:rsidR="00CD0601" w:rsidRDefault="00CD0601" w:rsidP="00CD0601">
            <w:pPr>
              <w:pStyle w:val="nsr"/>
            </w:pPr>
            <w:r>
              <w:t>XI, 16-19.</w:t>
            </w:r>
          </w:p>
          <w:p w:rsidR="00CD0601" w:rsidRDefault="00CD0601" w:rsidP="00CD0601">
            <w:pPr>
              <w:pStyle w:val="nsr"/>
            </w:pPr>
            <w:r>
              <w:t>XII, 41-45.</w:t>
            </w:r>
          </w:p>
          <w:p w:rsidR="00CD0601" w:rsidRDefault="00CD0601" w:rsidP="00CD0601">
            <w:pPr>
              <w:pStyle w:val="nsr"/>
            </w:pPr>
            <w:r>
              <w:t>XIII, 33.</w:t>
            </w:r>
          </w:p>
          <w:p w:rsidR="00CD0601" w:rsidRDefault="00CD0601" w:rsidP="00CD0601">
            <w:pPr>
              <w:pStyle w:val="nsr"/>
            </w:pPr>
            <w:r>
              <w:t>XXIII, 37-38.</w:t>
            </w:r>
          </w:p>
          <w:p w:rsidR="00CD0601" w:rsidRPr="007664F5" w:rsidRDefault="00CD0601" w:rsidP="00CD0601">
            <w:pPr>
              <w:pStyle w:val="nsr"/>
            </w:pPr>
            <w:r>
              <w:t>XXIV, 46-50.</w:t>
            </w:r>
          </w:p>
        </w:tc>
        <w:tc>
          <w:tcPr>
            <w:tcW w:w="0" w:type="auto"/>
          </w:tcPr>
          <w:p w:rsidR="00CD0601" w:rsidRDefault="00CD0601" w:rsidP="00CD0601">
            <w:pPr>
              <w:pStyle w:val="nsr"/>
            </w:pPr>
            <w:r>
              <w:t>S. Luc.</w:t>
            </w:r>
          </w:p>
          <w:p w:rsidR="00CD0601" w:rsidRDefault="00A319EA" w:rsidP="00CD0601">
            <w:pPr>
              <w:pStyle w:val="nsr"/>
            </w:pPr>
            <w:r>
              <w:t>VI</w:t>
            </w:r>
            <w:r w:rsidR="00CD0601">
              <w:t>, 27-28.</w:t>
            </w:r>
          </w:p>
          <w:p w:rsidR="00CD0601" w:rsidRDefault="00A319EA" w:rsidP="00CD0601">
            <w:pPr>
              <w:pStyle w:val="nsr"/>
            </w:pPr>
            <w:r>
              <w:t>VI</w:t>
            </w:r>
            <w:r w:rsidR="00CD0601">
              <w:t>, 42.</w:t>
            </w:r>
          </w:p>
          <w:p w:rsidR="00CD0601" w:rsidRDefault="00CD0601" w:rsidP="00CD0601">
            <w:pPr>
              <w:pStyle w:val="nsr"/>
            </w:pPr>
            <w:r>
              <w:t>VII, 6-9.</w:t>
            </w:r>
          </w:p>
          <w:p w:rsidR="00CD0601" w:rsidRDefault="00CD0601" w:rsidP="00CD0601">
            <w:pPr>
              <w:pStyle w:val="nsr"/>
            </w:pPr>
            <w:r>
              <w:t>IX, 58, 60.</w:t>
            </w:r>
          </w:p>
          <w:p w:rsidR="00CD0601" w:rsidRDefault="00CD0601" w:rsidP="00CD0601">
            <w:pPr>
              <w:pStyle w:val="nsr"/>
            </w:pPr>
            <w:r>
              <w:t>VII, 19-28.</w:t>
            </w:r>
          </w:p>
          <w:p w:rsidR="00CD0601" w:rsidRDefault="00CD0601" w:rsidP="00CD0601">
            <w:pPr>
              <w:pStyle w:val="nsr"/>
            </w:pPr>
            <w:r>
              <w:t>VII, 31-35.</w:t>
            </w:r>
          </w:p>
          <w:p w:rsidR="00CD0601" w:rsidRDefault="00CD0601" w:rsidP="00CD0601">
            <w:pPr>
              <w:pStyle w:val="nsr"/>
            </w:pPr>
            <w:r>
              <w:t>XI, 24-26, 31-32.</w:t>
            </w:r>
          </w:p>
          <w:p w:rsidR="00CD0601" w:rsidRDefault="00CD0601" w:rsidP="00CD0601">
            <w:pPr>
              <w:pStyle w:val="nsr"/>
            </w:pPr>
            <w:r>
              <w:t>XIII, 20-21.</w:t>
            </w:r>
          </w:p>
          <w:p w:rsidR="00CD0601" w:rsidRDefault="00CD0601" w:rsidP="00CD0601">
            <w:pPr>
              <w:pStyle w:val="nsr"/>
            </w:pPr>
            <w:r>
              <w:t>XIII, 34-35.</w:t>
            </w:r>
          </w:p>
          <w:p w:rsidR="00CD0601" w:rsidRPr="007664F5" w:rsidRDefault="00CD0601" w:rsidP="00CD0601">
            <w:pPr>
              <w:pStyle w:val="nsr"/>
            </w:pPr>
            <w:r>
              <w:t>XII, 43-46.</w:t>
            </w:r>
          </w:p>
        </w:tc>
      </w:tr>
    </w:tbl>
    <w:p w:rsidR="00CD0601" w:rsidRDefault="00CD0601" w:rsidP="00CD0601">
      <w:pPr>
        <w:pStyle w:val="nsr"/>
      </w:pPr>
    </w:p>
    <w:p w:rsidR="00CD0601" w:rsidRDefault="00CD0601" w:rsidP="00CD0601">
      <w:pPr>
        <w:pStyle w:val="u3"/>
      </w:pPr>
      <w:r>
        <w:t>8° Coïncidences verbales entre S. Marc et S. Luc.</w:t>
      </w:r>
    </w:p>
    <w:p w:rsidR="00CD0601" w:rsidRDefault="00CD0601" w:rsidP="00CD0601">
      <w:pPr>
        <w:pStyle w:val="nsr"/>
      </w:pPr>
    </w:p>
    <w:tbl>
      <w:tblPr>
        <w:tblW w:w="0" w:type="auto"/>
        <w:jc w:val="center"/>
        <w:tblCellMar>
          <w:top w:w="28" w:type="dxa"/>
          <w:bottom w:w="28" w:type="dxa"/>
        </w:tblCellMar>
        <w:tblLook w:val="04A0"/>
      </w:tblPr>
      <w:tblGrid>
        <w:gridCol w:w="1293"/>
        <w:gridCol w:w="1293"/>
      </w:tblGrid>
      <w:tr w:rsidR="00CD0601" w:rsidRPr="007664F5" w:rsidTr="00CD0601">
        <w:trPr>
          <w:jc w:val="center"/>
        </w:trPr>
        <w:tc>
          <w:tcPr>
            <w:tcW w:w="0" w:type="auto"/>
          </w:tcPr>
          <w:p w:rsidR="00CD0601" w:rsidRPr="00CD0601" w:rsidRDefault="00CD0601" w:rsidP="00CD0601">
            <w:pPr>
              <w:pStyle w:val="nsr"/>
              <w:rPr>
                <w:lang w:val="en-GB"/>
              </w:rPr>
            </w:pPr>
            <w:r w:rsidRPr="00CD0601">
              <w:rPr>
                <w:lang w:val="en-GB"/>
              </w:rPr>
              <w:t>S. Marc.</w:t>
            </w:r>
          </w:p>
          <w:p w:rsidR="00CD0601" w:rsidRPr="00CD0601" w:rsidRDefault="00CD0601" w:rsidP="00CD0601">
            <w:pPr>
              <w:pStyle w:val="nsr"/>
              <w:rPr>
                <w:lang w:val="en-GB"/>
              </w:rPr>
            </w:pPr>
            <w:r w:rsidRPr="00CD0601">
              <w:rPr>
                <w:lang w:val="en-GB"/>
              </w:rPr>
              <w:t>I, 24-25.</w:t>
            </w:r>
          </w:p>
          <w:p w:rsidR="00CD0601" w:rsidRPr="00CD0601" w:rsidRDefault="00CD0601" w:rsidP="00CD0601">
            <w:pPr>
              <w:pStyle w:val="nsr"/>
              <w:rPr>
                <w:lang w:val="en-GB"/>
              </w:rPr>
            </w:pPr>
            <w:r w:rsidRPr="00CD0601">
              <w:rPr>
                <w:lang w:val="en-GB"/>
              </w:rPr>
              <w:t>VIII, 38.</w:t>
            </w:r>
          </w:p>
          <w:p w:rsidR="00CD0601" w:rsidRPr="00CD0601" w:rsidRDefault="00CD0601" w:rsidP="00CD0601">
            <w:pPr>
              <w:pStyle w:val="nsr"/>
              <w:rPr>
                <w:lang w:val="en-GB"/>
              </w:rPr>
            </w:pPr>
            <w:r w:rsidRPr="00CD0601">
              <w:rPr>
                <w:lang w:val="en-GB"/>
              </w:rPr>
              <w:t>IX, 38, 40.</w:t>
            </w:r>
          </w:p>
        </w:tc>
        <w:tc>
          <w:tcPr>
            <w:tcW w:w="0" w:type="auto"/>
          </w:tcPr>
          <w:p w:rsidR="00CD0601" w:rsidRDefault="00CD0601" w:rsidP="00CD0601">
            <w:pPr>
              <w:pStyle w:val="nsr"/>
            </w:pPr>
            <w:r>
              <w:t>S. Luc.</w:t>
            </w:r>
          </w:p>
          <w:p w:rsidR="00CD0601" w:rsidRDefault="00CD0601" w:rsidP="00CD0601">
            <w:pPr>
              <w:pStyle w:val="nsr"/>
            </w:pPr>
            <w:r>
              <w:t>IV, 34-35.</w:t>
            </w:r>
          </w:p>
          <w:p w:rsidR="00CD0601" w:rsidRDefault="00CD0601" w:rsidP="00CD0601">
            <w:pPr>
              <w:pStyle w:val="nsr"/>
            </w:pPr>
            <w:r>
              <w:t>IX, 26.</w:t>
            </w:r>
          </w:p>
          <w:p w:rsidR="00CD0601" w:rsidRPr="007664F5" w:rsidRDefault="00CD0601" w:rsidP="00CD0601">
            <w:pPr>
              <w:pStyle w:val="nsr"/>
            </w:pPr>
            <w:r>
              <w:t>IX, 49, 50.</w:t>
            </w:r>
          </w:p>
        </w:tc>
      </w:tr>
    </w:tbl>
    <w:p w:rsidR="00CD0601" w:rsidRDefault="00CD0601" w:rsidP="00CD0601">
      <w:pPr>
        <w:pStyle w:val="nsr"/>
      </w:pPr>
    </w:p>
    <w:p w:rsidR="00CD0601" w:rsidRDefault="00CD0601" w:rsidP="00CD0601">
      <w:pPr>
        <w:rPr>
          <w:lang w:val="en-GB"/>
        </w:rPr>
      </w:pPr>
      <w:r w:rsidRPr="00EA28F4">
        <w:t>Ces listes sont empruntées à Davidson,</w:t>
      </w:r>
      <w:r w:rsidRPr="00F93984">
        <w:rPr>
          <w:lang w:val="en-GB"/>
        </w:rPr>
        <w:t xml:space="preserve"> </w:t>
      </w:r>
      <w:r w:rsidRPr="00F93984">
        <w:rPr>
          <w:rStyle w:val="italicus"/>
          <w:lang w:val="en-GB"/>
        </w:rPr>
        <w:t>An Introduction to the Study of the New Testament,</w:t>
      </w:r>
      <w:r>
        <w:rPr>
          <w:lang w:val="en-GB"/>
        </w:rPr>
        <w:t xml:space="preserve"> Londres 1868, t</w:t>
      </w:r>
      <w:r w:rsidRPr="00F93984">
        <w:rPr>
          <w:lang w:val="en-GB"/>
        </w:rPr>
        <w:t xml:space="preserve">ome </w:t>
      </w:r>
      <w:r>
        <w:rPr>
          <w:lang w:val="en-GB"/>
        </w:rPr>
        <w:t>I, p. 456</w:t>
      </w:r>
      <w:r w:rsidRPr="00F93984">
        <w:rPr>
          <w:lang w:val="en-GB"/>
        </w:rPr>
        <w:t>-461</w:t>
      </w:r>
      <w:r>
        <w:rPr>
          <w:lang w:val="en-GB"/>
        </w:rPr>
        <w:t>.</w:t>
      </w:r>
    </w:p>
    <w:p w:rsidR="00CD0601" w:rsidRPr="001B4203" w:rsidRDefault="00AD785B" w:rsidP="00CD0601">
      <w:r w:rsidRPr="000716BB">
        <w:rPr>
          <w:rFonts w:eastAsia="Arial Unicode MS"/>
          <w:bCs/>
          <w:lang w:eastAsia="fr-FR" w:bidi="he-IL"/>
        </w:rPr>
        <w:t>{</w:t>
      </w:r>
      <w:r>
        <w:rPr>
          <w:rFonts w:eastAsia="Arial Unicode MS"/>
          <w:bCs/>
          <w:lang w:eastAsia="fr-FR" w:bidi="he-IL"/>
        </w:rPr>
        <w:t>135</w:t>
      </w:r>
      <w:bookmarkStart w:id="194" w:name="pag135"/>
      <w:bookmarkEnd w:id="194"/>
      <w:r w:rsidRPr="000716BB">
        <w:rPr>
          <w:rFonts w:eastAsia="Arial Unicode MS"/>
          <w:bCs/>
          <w:lang w:eastAsia="fr-FR" w:bidi="he-IL"/>
        </w:rPr>
        <w:t>}</w:t>
      </w:r>
    </w:p>
    <w:p w:rsidR="00C2602D" w:rsidRPr="00C8701B" w:rsidRDefault="00B704AD" w:rsidP="004901F4">
      <w:pPr>
        <w:pStyle w:val="Titre4"/>
        <w:rPr>
          <w:lang w:bidi="he-IL"/>
        </w:rPr>
      </w:pPr>
      <w:bookmarkStart w:id="195" w:name="_Toc526755731"/>
      <w:r w:rsidRPr="00C8701B">
        <w:rPr>
          <w:lang w:bidi="he-IL"/>
        </w:rPr>
        <w:t>Appendice II</w:t>
      </w:r>
      <w:bookmarkStart w:id="196" w:name="evinap02"/>
      <w:bookmarkEnd w:id="195"/>
      <w:bookmarkEnd w:id="196"/>
      <w:r w:rsidR="00C2602D" w:rsidRPr="00C8701B">
        <w:rPr>
          <w:lang w:bidi="he-IL"/>
        </w:rPr>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Le système d</w:t>
      </w:r>
      <w:r w:rsidR="00557DE0">
        <w:rPr>
          <w:rFonts w:eastAsia="Arial Unicode MS"/>
          <w:bCs/>
          <w:lang w:eastAsia="fr-FR" w:bidi="he-IL"/>
        </w:rPr>
        <w:t>’</w:t>
      </w:r>
      <w:r w:rsidRPr="00C8701B">
        <w:rPr>
          <w:rFonts w:eastAsia="Arial Unicode MS"/>
          <w:bCs/>
          <w:lang w:eastAsia="fr-FR" w:bidi="he-IL"/>
        </w:rPr>
        <w:t>Ewald exposé typographiquement</w:t>
      </w:r>
      <w:r w:rsidR="00C2602D" w:rsidRPr="00C8701B">
        <w:rPr>
          <w:rFonts w:eastAsia="Arial Unicode MS"/>
          <w:bCs/>
          <w:lang w:eastAsia="fr-FR" w:bidi="he-IL"/>
        </w:rPr>
        <w:t xml:space="preserve"> </w:t>
      </w:r>
    </w:p>
    <w:p w:rsidR="00C2602D" w:rsidRPr="00B72191" w:rsidRDefault="00B704AD" w:rsidP="00B72191">
      <w:pPr>
        <w:pStyle w:val="ewald1"/>
      </w:pPr>
      <w:r w:rsidRPr="00B72191">
        <w:t>a.</w:t>
      </w:r>
      <w:r w:rsidR="00605074" w:rsidRPr="00B72191">
        <w:t xml:space="preserve"> </w:t>
      </w:r>
      <w:r w:rsidRPr="00B72191">
        <w:t>L</w:t>
      </w:r>
      <w:r w:rsidR="00557DE0">
        <w:t>’</w:t>
      </w:r>
      <w:r w:rsidRPr="00B72191">
        <w:t>Évangile-source.</w:t>
      </w:r>
      <w:r w:rsidR="00C2602D" w:rsidRPr="00B72191">
        <w:t xml:space="preserve"> </w:t>
      </w:r>
    </w:p>
    <w:p w:rsidR="00C2602D" w:rsidRPr="00B72191" w:rsidRDefault="00B704AD" w:rsidP="00B72191">
      <w:pPr>
        <w:pStyle w:val="ewald2"/>
      </w:pPr>
      <w:r w:rsidRPr="00B72191">
        <w:t>b.</w:t>
      </w:r>
      <w:r w:rsidR="00605074" w:rsidRPr="00B72191">
        <w:t xml:space="preserve"> </w:t>
      </w:r>
      <w:r w:rsidRPr="00B72191">
        <w:t>La collection des discours.</w:t>
      </w:r>
      <w:r w:rsidR="00C2602D" w:rsidRPr="00B72191">
        <w:t xml:space="preserve"> </w:t>
      </w:r>
    </w:p>
    <w:p w:rsidR="00C2602D" w:rsidRPr="00B72191" w:rsidRDefault="00B704AD" w:rsidP="00B72191">
      <w:pPr>
        <w:pStyle w:val="ewald3"/>
      </w:pPr>
      <w:r w:rsidRPr="00B72191">
        <w:t>c.</w:t>
      </w:r>
      <w:r w:rsidR="00605074" w:rsidRPr="00B72191">
        <w:t xml:space="preserve"> </w:t>
      </w:r>
      <w:r w:rsidRPr="00B72191">
        <w:t>L</w:t>
      </w:r>
      <w:r w:rsidR="00557DE0">
        <w:t>’</w:t>
      </w:r>
      <w:r w:rsidRPr="00B72191">
        <w:t>évangile actuel de S. Marc.</w:t>
      </w:r>
      <w:r w:rsidR="00C2602D" w:rsidRPr="00B72191">
        <w:t xml:space="preserve"> </w:t>
      </w:r>
    </w:p>
    <w:p w:rsidR="00C2602D" w:rsidRPr="00B72191" w:rsidRDefault="00B704AD" w:rsidP="00B72191">
      <w:pPr>
        <w:pStyle w:val="ewald4"/>
      </w:pPr>
      <w:r w:rsidRPr="00B72191">
        <w:t>d.</w:t>
      </w:r>
      <w:r w:rsidR="00605074" w:rsidRPr="00B72191">
        <w:t xml:space="preserve"> </w:t>
      </w:r>
      <w:r w:rsidRPr="00B72191">
        <w:t xml:space="preserve">Le livre de </w:t>
      </w:r>
      <w:r w:rsidR="00B72191">
        <w:t>l</w:t>
      </w:r>
      <w:r w:rsidR="00557DE0">
        <w:t>’</w:t>
      </w:r>
      <w:r w:rsidRPr="00B72191">
        <w:t>histoire plus relevée.</w:t>
      </w:r>
      <w:r w:rsidR="00C2602D" w:rsidRPr="00B72191">
        <w:t xml:space="preserve"> </w:t>
      </w:r>
    </w:p>
    <w:p w:rsidR="00C2602D" w:rsidRPr="00B72191" w:rsidRDefault="00B704AD" w:rsidP="00B72191">
      <w:pPr>
        <w:pStyle w:val="ewald5"/>
      </w:pPr>
      <w:r w:rsidRPr="00B72191">
        <w:t>e.</w:t>
      </w:r>
      <w:r w:rsidR="00605074" w:rsidRPr="00B72191">
        <w:t xml:space="preserve"> </w:t>
      </w:r>
      <w:r w:rsidRPr="00B72191">
        <w:t>L</w:t>
      </w:r>
      <w:r w:rsidR="00557DE0">
        <w:t>’</w:t>
      </w:r>
      <w:r w:rsidRPr="00B72191">
        <w:t>évangile actuel de S. Matthieu.</w:t>
      </w:r>
      <w:r w:rsidR="00C2602D" w:rsidRPr="00B72191">
        <w:t xml:space="preserve"> </w:t>
      </w:r>
    </w:p>
    <w:p w:rsidR="00C2602D" w:rsidRPr="00B72191" w:rsidRDefault="00B704AD" w:rsidP="00B72191">
      <w:pPr>
        <w:pStyle w:val="ewald6"/>
      </w:pPr>
      <w:r w:rsidRPr="00B72191">
        <w:t>f.</w:t>
      </w:r>
      <w:r w:rsidR="00605074" w:rsidRPr="00B72191">
        <w:t xml:space="preserve"> </w:t>
      </w:r>
      <w:r w:rsidRPr="00B72191">
        <w:t>Le sixième document.</w:t>
      </w:r>
      <w:r w:rsidR="00C2602D" w:rsidRPr="00B72191">
        <w:t xml:space="preserve"> </w:t>
      </w:r>
    </w:p>
    <w:p w:rsidR="00C2602D" w:rsidRPr="00B72191" w:rsidRDefault="00B72191" w:rsidP="00B72191">
      <w:pPr>
        <w:pStyle w:val="ewald7"/>
      </w:pPr>
      <w:r>
        <w:t>g.</w:t>
      </w:r>
      <w:r w:rsidR="00605074" w:rsidRPr="00B72191">
        <w:t xml:space="preserve"> </w:t>
      </w:r>
      <w:r w:rsidR="00B704AD" w:rsidRPr="00B72191">
        <w:t>Le septième document.</w:t>
      </w:r>
      <w:r w:rsidR="00C2602D" w:rsidRPr="00B72191">
        <w:t xml:space="preserve"> </w:t>
      </w:r>
    </w:p>
    <w:p w:rsidR="00C2602D" w:rsidRPr="00B72191" w:rsidRDefault="00B72191" w:rsidP="00B72191">
      <w:pPr>
        <w:pStyle w:val="ewald8"/>
      </w:pPr>
      <w:r>
        <w:t>h.</w:t>
      </w:r>
      <w:r w:rsidR="00605074" w:rsidRPr="00B72191">
        <w:t xml:space="preserve"> </w:t>
      </w:r>
      <w:r>
        <w:t>Le</w:t>
      </w:r>
      <w:r w:rsidR="00B704AD" w:rsidRPr="00B72191">
        <w:t xml:space="preserve"> huitième document.</w:t>
      </w:r>
      <w:r w:rsidR="00C2602D" w:rsidRPr="00B72191">
        <w:t xml:space="preserve"> </w:t>
      </w:r>
    </w:p>
    <w:p w:rsidR="00C2602D" w:rsidRPr="00B72191" w:rsidRDefault="00B72191" w:rsidP="00B72191">
      <w:pPr>
        <w:pStyle w:val="ewald9"/>
      </w:pPr>
      <w:r>
        <w:t xml:space="preserve">i. </w:t>
      </w:r>
      <w:r w:rsidR="00B704AD" w:rsidRPr="00B72191">
        <w:t>L</w:t>
      </w:r>
      <w:r w:rsidR="00557DE0">
        <w:t>’</w:t>
      </w:r>
      <w:r>
        <w:t>évangile actuel de S. Lu</w:t>
      </w:r>
      <w:r w:rsidR="00B704AD" w:rsidRPr="00B72191">
        <w:t>c.</w:t>
      </w:r>
      <w:r w:rsidR="00C2602D" w:rsidRPr="00B72191">
        <w:t xml:space="preserve"> </w:t>
      </w:r>
    </w:p>
    <w:p w:rsidR="00C2602D" w:rsidRPr="00C8701B" w:rsidRDefault="00B704AD" w:rsidP="00C2602D">
      <w:pPr>
        <w:rPr>
          <w:rFonts w:eastAsia="Arial Unicode MS"/>
          <w:bCs/>
          <w:lang w:eastAsia="fr-FR" w:bidi="he-IL"/>
        </w:rPr>
      </w:pPr>
      <w:r w:rsidRPr="00C8701B">
        <w:rPr>
          <w:rFonts w:eastAsia="Arial Unicode MS"/>
          <w:bCs/>
          <w:lang w:eastAsia="fr-FR" w:bidi="he-IL"/>
        </w:rPr>
        <w:t>Dans son ouvrage sur les trois synoptiques</w:t>
      </w:r>
      <w:r w:rsidR="00E65435">
        <w:rPr>
          <w:rFonts w:eastAsia="Arial Unicode MS"/>
          <w:bCs/>
          <w:lang w:eastAsia="fr-FR" w:bidi="he-IL"/>
        </w:rPr>
        <w:t xml:space="preserve">, </w:t>
      </w:r>
      <w:r w:rsidRPr="00C8701B">
        <w:rPr>
          <w:rFonts w:eastAsia="Arial Unicode MS"/>
          <w:bCs/>
          <w:lang w:eastAsia="fr-FR" w:bidi="he-IL"/>
        </w:rPr>
        <w:t>le D</w:t>
      </w:r>
      <w:r w:rsidRPr="00C8701B">
        <w:rPr>
          <w:rFonts w:eastAsia="Arial Unicode MS"/>
          <w:bCs/>
          <w:vertAlign w:val="superscript"/>
          <w:lang w:eastAsia="fr-FR" w:bidi="he-IL"/>
        </w:rPr>
        <w:t>r</w:t>
      </w:r>
      <w:r w:rsidRPr="00C8701B">
        <w:rPr>
          <w:rFonts w:eastAsia="Arial Unicode MS"/>
          <w:bCs/>
          <w:lang w:eastAsia="fr-FR" w:bidi="he-IL"/>
        </w:rPr>
        <w:t xml:space="preserve"> Ewald a essayé de reconstituer ces neuf documents</w:t>
      </w:r>
      <w:r w:rsidR="00E65435">
        <w:rPr>
          <w:rFonts w:eastAsia="Arial Unicode MS"/>
          <w:bCs/>
          <w:lang w:eastAsia="fr-FR" w:bidi="he-IL"/>
        </w:rPr>
        <w:t xml:space="preserve">, </w:t>
      </w:r>
      <w:r w:rsidRPr="00C8701B">
        <w:rPr>
          <w:rFonts w:eastAsia="Arial Unicode MS"/>
          <w:bCs/>
          <w:lang w:eastAsia="fr-FR" w:bidi="he-IL"/>
        </w:rPr>
        <w:t>et de les placer sous les yeux de ses lecteurs en employant des types de différents calibres. Nous allons lui emprunter deux ou trois pages. Ce sera le meilleur exposé</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ajoutons aussitôt</w:t>
      </w:r>
      <w:r w:rsidR="00C2602D" w:rsidRPr="00C8701B">
        <w:rPr>
          <w:rFonts w:eastAsia="Arial Unicode MS"/>
          <w:bCs/>
          <w:lang w:eastAsia="fr-FR" w:bidi="he-IL"/>
        </w:rPr>
        <w:t> :</w:t>
      </w:r>
      <w:r w:rsidRPr="00C8701B">
        <w:rPr>
          <w:rFonts w:eastAsia="Arial Unicode MS"/>
          <w:bCs/>
          <w:lang w:eastAsia="fr-FR" w:bidi="he-IL"/>
        </w:rPr>
        <w:t xml:space="preserve"> la meilleure réfutation</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de ces étranges systèmes.</w:t>
      </w:r>
      <w:r w:rsidR="00C2602D" w:rsidRPr="00C8701B">
        <w:rPr>
          <w:rFonts w:eastAsia="Arial Unicode MS"/>
          <w:bCs/>
          <w:lang w:eastAsia="fr-FR" w:bidi="he-IL"/>
        </w:rPr>
        <w:t xml:space="preserve"> </w:t>
      </w:r>
    </w:p>
    <w:p w:rsidR="00C2602D" w:rsidRPr="004D5ADA" w:rsidRDefault="00B704AD" w:rsidP="00D31267">
      <w:pPr>
        <w:pStyle w:val="u4"/>
      </w:pPr>
      <w:r w:rsidRPr="004D5ADA">
        <w:t>S. MATTHIEU</w:t>
      </w:r>
      <w:r w:rsidR="00C2602D" w:rsidRPr="004D5ADA">
        <w:t xml:space="preserve"> </w:t>
      </w:r>
    </w:p>
    <w:p w:rsidR="00C2602D" w:rsidRDefault="00B704AD" w:rsidP="004D5ADA">
      <w:pPr>
        <w:pStyle w:val="ewald5"/>
      </w:pPr>
      <w:r w:rsidRPr="004D5ADA">
        <w:t>III.</w:t>
      </w:r>
      <w:r w:rsidR="000F7DAA" w:rsidRPr="004D5ADA">
        <w:t xml:space="preserve"> </w:t>
      </w:r>
      <w:r w:rsidR="00D31267" w:rsidRPr="004D5ADA">
        <w:t>— 1 I</w:t>
      </w:r>
      <w:r w:rsidRPr="004D5ADA">
        <w:t>n di</w:t>
      </w:r>
      <w:r w:rsidR="0094118D" w:rsidRPr="004D5ADA">
        <w:t>ébus</w:t>
      </w:r>
      <w:r w:rsidRPr="004D5ADA">
        <w:t xml:space="preserve"> autem illis venit </w:t>
      </w:r>
      <w:r w:rsidR="004D5ADA" w:rsidRPr="004D5ADA">
        <w:t>Joánnes</w:t>
      </w:r>
      <w:r w:rsidRPr="004D5ADA">
        <w:t xml:space="preserve"> </w:t>
      </w:r>
      <w:r w:rsidR="004D5ADA" w:rsidRPr="004D5ADA">
        <w:t>Baptísta</w:t>
      </w:r>
      <w:r w:rsidRPr="004D5ADA">
        <w:t xml:space="preserve"> </w:t>
      </w:r>
      <w:r w:rsidR="004D5ADA" w:rsidRPr="004D5ADA">
        <w:t>prǽdicans</w:t>
      </w:r>
      <w:r w:rsidR="00D31267" w:rsidRPr="004D5ADA">
        <w:t xml:space="preserve"> in </w:t>
      </w:r>
      <w:r w:rsidR="004D5ADA" w:rsidRPr="004D5ADA">
        <w:t>desérto</w:t>
      </w:r>
      <w:r w:rsidR="00D31267" w:rsidRPr="004D5ADA">
        <w:t xml:space="preserve"> Judǽæ, 2 et dicens. Pœ</w:t>
      </w:r>
      <w:r w:rsidRPr="004D5ADA">
        <w:t>nit</w:t>
      </w:r>
      <w:r w:rsidR="000B732C" w:rsidRPr="004D5ADA">
        <w:t>éntiam</w:t>
      </w:r>
      <w:r w:rsidRPr="004D5ADA">
        <w:t xml:space="preserve"> agite</w:t>
      </w:r>
      <w:r w:rsidR="00C2602D" w:rsidRPr="004D5ADA">
        <w:t> </w:t>
      </w:r>
      <w:r w:rsidR="007F6508" w:rsidRPr="004D5ADA">
        <w:t xml:space="preserve">; </w:t>
      </w:r>
      <w:r w:rsidR="004D5ADA" w:rsidRPr="004D5ADA">
        <w:t>appropinquávit</w:t>
      </w:r>
      <w:r w:rsidRPr="004D5ADA">
        <w:t xml:space="preserve"> enim regnum cœl</w:t>
      </w:r>
      <w:r w:rsidR="003A07A7" w:rsidRPr="004D5ADA">
        <w:t>órum</w:t>
      </w:r>
      <w:r w:rsidRPr="004D5ADA">
        <w:t>. 3</w:t>
      </w:r>
      <w:r w:rsidR="00D31267" w:rsidRPr="004D5ADA">
        <w:t xml:space="preserve"> Hic est en</w:t>
      </w:r>
      <w:r w:rsidRPr="004D5ADA">
        <w:t xml:space="preserve">im qui dictus est per </w:t>
      </w:r>
      <w:r w:rsidR="004D5ADA" w:rsidRPr="004D5ADA">
        <w:t>Isaíam</w:t>
      </w:r>
      <w:r w:rsidRPr="004D5ADA">
        <w:t xml:space="preserve"> </w:t>
      </w:r>
      <w:r w:rsidR="004D5ADA" w:rsidRPr="004D5ADA">
        <w:t>prophétam</w:t>
      </w:r>
      <w:r w:rsidR="00E65435" w:rsidRPr="004D5ADA">
        <w:t xml:space="preserve">, </w:t>
      </w:r>
      <w:r w:rsidR="004D5ADA" w:rsidRPr="004D5ADA">
        <w:t>dicéntem</w:t>
      </w:r>
      <w:r w:rsidR="00C2602D" w:rsidRPr="004D5ADA">
        <w:t> :</w:t>
      </w:r>
      <w:r w:rsidRPr="004D5ADA">
        <w:t xml:space="preserve"> Vox c</w:t>
      </w:r>
      <w:r w:rsidR="00E939E7" w:rsidRPr="004D5ADA">
        <w:t>lamántis</w:t>
      </w:r>
      <w:r w:rsidRPr="004D5ADA">
        <w:t xml:space="preserve"> in </w:t>
      </w:r>
      <w:r w:rsidR="004D5ADA" w:rsidRPr="004D5ADA">
        <w:t>desérto</w:t>
      </w:r>
      <w:r w:rsidR="00C2602D" w:rsidRPr="004D5ADA">
        <w:t> :</w:t>
      </w:r>
      <w:r w:rsidRPr="004D5ADA">
        <w:t xml:space="preserve"> </w:t>
      </w:r>
      <w:r w:rsidR="004D5ADA" w:rsidRPr="004D5ADA">
        <w:t>Paráte</w:t>
      </w:r>
      <w:r w:rsidRPr="004D5ADA">
        <w:t xml:space="preserve"> viam</w:t>
      </w:r>
      <w:r w:rsidR="00D31267" w:rsidRPr="004D5ADA">
        <w:t xml:space="preserve"> </w:t>
      </w:r>
      <w:r w:rsidRPr="004D5ADA">
        <w:t>D</w:t>
      </w:r>
      <w:r w:rsidR="004D031F" w:rsidRPr="004D5ADA">
        <w:t>ómini</w:t>
      </w:r>
      <w:r w:rsidR="00C2602D" w:rsidRPr="004D5ADA">
        <w:t> </w:t>
      </w:r>
      <w:r w:rsidR="007F6508" w:rsidRPr="004D5ADA">
        <w:t xml:space="preserve">; </w:t>
      </w:r>
      <w:r w:rsidR="00D31267" w:rsidRPr="004D5ADA">
        <w:t xml:space="preserve">rectas </w:t>
      </w:r>
      <w:r w:rsidR="004D5ADA" w:rsidRPr="004D5ADA">
        <w:t>fácite</w:t>
      </w:r>
      <w:r w:rsidRPr="004D5ADA">
        <w:t xml:space="preserve"> </w:t>
      </w:r>
      <w:r w:rsidR="004D5ADA" w:rsidRPr="004D5ADA">
        <w:t>sémitas</w:t>
      </w:r>
      <w:r w:rsidRPr="004D5ADA">
        <w:t xml:space="preserve"> ejus.</w:t>
      </w:r>
      <w:r w:rsidR="00C2602D" w:rsidRPr="004D5ADA">
        <w:t xml:space="preserve"> </w:t>
      </w:r>
    </w:p>
    <w:p w:rsidR="005E62EB" w:rsidRPr="004D5ADA" w:rsidRDefault="005E62EB" w:rsidP="004D5ADA">
      <w:pPr>
        <w:pStyle w:val="ewald5"/>
      </w:pPr>
    </w:p>
    <w:p w:rsidR="00C2602D" w:rsidRDefault="00B704AD" w:rsidP="005E62EB">
      <w:pPr>
        <w:pStyle w:val="ewald2"/>
      </w:pPr>
      <w:r w:rsidRPr="004D5ADA">
        <w:t xml:space="preserve">4 Ipse autem </w:t>
      </w:r>
      <w:r w:rsidR="004D5ADA" w:rsidRPr="004D5ADA">
        <w:t>Joánnes</w:t>
      </w:r>
      <w:r w:rsidRPr="004D5ADA">
        <w:t xml:space="preserve"> </w:t>
      </w:r>
      <w:r w:rsidR="00473B23" w:rsidRPr="004D5ADA">
        <w:t>habébat</w:t>
      </w:r>
      <w:r w:rsidRPr="004D5ADA">
        <w:t xml:space="preserve"> ves</w:t>
      </w:r>
      <w:r w:rsidR="00E939E7" w:rsidRPr="004D5ADA">
        <w:t>timéntum</w:t>
      </w:r>
      <w:r w:rsidRPr="004D5ADA">
        <w:t xml:space="preserve"> de pilis camel</w:t>
      </w:r>
      <w:r w:rsidR="003A07A7" w:rsidRPr="004D5ADA">
        <w:t>órum</w:t>
      </w:r>
      <w:r w:rsidR="00E65435" w:rsidRPr="004D5ADA">
        <w:t xml:space="preserve">, </w:t>
      </w:r>
      <w:r w:rsidR="004D5ADA">
        <w:t>et zona</w:t>
      </w:r>
      <w:r w:rsidRPr="004D5ADA">
        <w:t xml:space="preserve">m </w:t>
      </w:r>
      <w:r w:rsidR="004D5ADA" w:rsidRPr="004D5ADA">
        <w:t>pellíceam</w:t>
      </w:r>
      <w:r w:rsidRPr="004D5ADA">
        <w:t xml:space="preserve"> circa lumbos suos</w:t>
      </w:r>
      <w:r w:rsidR="00C2602D" w:rsidRPr="004D5ADA">
        <w:t> </w:t>
      </w:r>
      <w:r w:rsidR="007F6508" w:rsidRPr="004D5ADA">
        <w:t xml:space="preserve">; </w:t>
      </w:r>
      <w:r w:rsidRPr="004D5ADA">
        <w:t xml:space="preserve">esca autem ejus erat </w:t>
      </w:r>
      <w:r w:rsidR="004D5ADA" w:rsidRPr="004D5ADA">
        <w:t>locústæ</w:t>
      </w:r>
      <w:r w:rsidRPr="004D5ADA">
        <w:t xml:space="preserve"> et mel </w:t>
      </w:r>
      <w:r w:rsidR="004D5ADA" w:rsidRPr="004D5ADA">
        <w:t>silvéstre</w:t>
      </w:r>
      <w:r w:rsidRPr="004D5ADA">
        <w:t xml:space="preserve">. 5 </w:t>
      </w:r>
      <w:r w:rsidR="002149F0" w:rsidRPr="004D5ADA">
        <w:t>Tunc</w:t>
      </w:r>
      <w:r w:rsidR="00D31267" w:rsidRPr="004D5ADA">
        <w:t xml:space="preserve"> </w:t>
      </w:r>
      <w:r w:rsidR="004D5ADA" w:rsidRPr="004D5ADA">
        <w:t>exíbat</w:t>
      </w:r>
      <w:r w:rsidR="00D31267" w:rsidRPr="004D5ADA">
        <w:t xml:space="preserve"> ad eu</w:t>
      </w:r>
      <w:r w:rsidRPr="004D5ADA">
        <w:t xml:space="preserve">m </w:t>
      </w:r>
      <w:r w:rsidR="004D5ADA" w:rsidRPr="004D5ADA">
        <w:t>Jerosólyma</w:t>
      </w:r>
      <w:r w:rsidR="00E65435" w:rsidRPr="004D5ADA">
        <w:t xml:space="preserve">, </w:t>
      </w:r>
      <w:r w:rsidRPr="004D5ADA">
        <w:t xml:space="preserve">et omnis </w:t>
      </w:r>
      <w:r w:rsidR="004D5ADA" w:rsidRPr="004D5ADA">
        <w:t>Judǽa</w:t>
      </w:r>
      <w:r w:rsidR="00E65435" w:rsidRPr="004D5ADA">
        <w:t xml:space="preserve">, </w:t>
      </w:r>
      <w:r w:rsidRPr="004D5ADA">
        <w:t xml:space="preserve">et omnis </w:t>
      </w:r>
      <w:r w:rsidR="004D5ADA" w:rsidRPr="004D5ADA">
        <w:t>régio</w:t>
      </w:r>
      <w:r w:rsidRPr="004D5ADA">
        <w:t xml:space="preserve"> circa </w:t>
      </w:r>
      <w:r w:rsidR="004D5ADA" w:rsidRPr="004D5ADA">
        <w:t>Jordánem</w:t>
      </w:r>
      <w:r w:rsidRPr="004D5ADA">
        <w:t>. 8 Et bapti</w:t>
      </w:r>
      <w:r w:rsidR="00C21120" w:rsidRPr="004D5ADA">
        <w:t>zabántur</w:t>
      </w:r>
      <w:r w:rsidRPr="004D5ADA">
        <w:t xml:space="preserve"> ab eo in </w:t>
      </w:r>
      <w:r w:rsidR="004D5ADA" w:rsidRPr="004D5ADA">
        <w:t>Jordáne</w:t>
      </w:r>
      <w:r w:rsidRPr="004D5ADA">
        <w:t xml:space="preserve"> </w:t>
      </w:r>
      <w:r w:rsidR="004D5ADA" w:rsidRPr="004D5ADA">
        <w:t>confiténtes</w:t>
      </w:r>
      <w:r w:rsidRPr="004D5ADA">
        <w:t xml:space="preserve"> </w:t>
      </w:r>
      <w:r w:rsidR="004D5ADA" w:rsidRPr="004D5ADA">
        <w:t>peccáta</w:t>
      </w:r>
      <w:r w:rsidRPr="004D5ADA">
        <w:t xml:space="preserve"> sua. 7 Videns autem multos </w:t>
      </w:r>
      <w:r w:rsidR="004D5ADA" w:rsidRPr="004D5ADA">
        <w:t>pharisæ</w:t>
      </w:r>
      <w:r w:rsidR="004D5ADA">
        <w:t>óru</w:t>
      </w:r>
      <w:r w:rsidR="004D5ADA" w:rsidRPr="004D5ADA">
        <w:t>m</w:t>
      </w:r>
      <w:r w:rsidR="00D31267" w:rsidRPr="004D5ADA">
        <w:t xml:space="preserve"> et </w:t>
      </w:r>
      <w:r w:rsidR="004D5ADA" w:rsidRPr="004D5ADA">
        <w:t>sadducæórum</w:t>
      </w:r>
      <w:r w:rsidRPr="004D5ADA">
        <w:t xml:space="preserve"> </w:t>
      </w:r>
      <w:r w:rsidR="004D5ADA" w:rsidRPr="004D5ADA">
        <w:t>veniéntes</w:t>
      </w:r>
      <w:r w:rsidRPr="004D5ADA">
        <w:t xml:space="preserve"> ad </w:t>
      </w:r>
      <w:r w:rsidR="004D5ADA" w:rsidRPr="004D5ADA">
        <w:t>baptísmum</w:t>
      </w:r>
      <w:r w:rsidRPr="004D5ADA">
        <w:t xml:space="preserve"> suum</w:t>
      </w:r>
      <w:r w:rsidR="00E65435" w:rsidRPr="004D5ADA">
        <w:t xml:space="preserve">, </w:t>
      </w:r>
      <w:r w:rsidR="00D31267" w:rsidRPr="004D5ADA">
        <w:t>dixit ei</w:t>
      </w:r>
      <w:r w:rsidRPr="004D5ADA">
        <w:t>s</w:t>
      </w:r>
      <w:r w:rsidR="00C2602D" w:rsidRPr="004D5ADA">
        <w:t> :</w:t>
      </w:r>
      <w:r w:rsidRPr="004D5ADA">
        <w:t xml:space="preserve"> </w:t>
      </w:r>
      <w:r w:rsidR="004D5ADA" w:rsidRPr="004D5ADA">
        <w:t>Progénies</w:t>
      </w:r>
      <w:r w:rsidRPr="004D5ADA">
        <w:t xml:space="preserve"> vip</w:t>
      </w:r>
      <w:r w:rsidR="00C21120" w:rsidRPr="004D5ADA">
        <w:t>erárum</w:t>
      </w:r>
      <w:r w:rsidR="00E65435" w:rsidRPr="004D5ADA">
        <w:t xml:space="preserve">, </w:t>
      </w:r>
      <w:r w:rsidR="004D5ADA" w:rsidRPr="004D5ADA">
        <w:t>quis</w:t>
      </w:r>
      <w:r w:rsidRPr="004D5ADA">
        <w:t xml:space="preserve"> demon</w:t>
      </w:r>
      <w:r w:rsidR="00473B23" w:rsidRPr="004D5ADA">
        <w:t>strávit</w:t>
      </w:r>
      <w:r w:rsidRPr="004D5ADA">
        <w:t xml:space="preserve"> vobis </w:t>
      </w:r>
      <w:r w:rsidR="004D5ADA" w:rsidRPr="004D5ADA">
        <w:t>fúgere</w:t>
      </w:r>
      <w:r w:rsidRPr="004D5ADA">
        <w:t xml:space="preserve"> a </w:t>
      </w:r>
      <w:r w:rsidR="004D5ADA" w:rsidRPr="004D5ADA">
        <w:t>ventúra</w:t>
      </w:r>
      <w:r w:rsidRPr="004D5ADA">
        <w:t xml:space="preserve"> ira</w:t>
      </w:r>
      <w:r w:rsidR="00C2602D" w:rsidRPr="004D5ADA">
        <w:t> ?</w:t>
      </w:r>
      <w:r w:rsidRPr="004D5ADA">
        <w:t>....</w:t>
      </w:r>
    </w:p>
    <w:p w:rsidR="004D5ADA" w:rsidRPr="004D5ADA" w:rsidRDefault="004D5ADA" w:rsidP="00C2602D"/>
    <w:p w:rsidR="00C2602D" w:rsidRPr="004D5ADA" w:rsidRDefault="00B704AD" w:rsidP="005E62EB">
      <w:pPr>
        <w:pStyle w:val="ewald5"/>
      </w:pPr>
      <w:r w:rsidRPr="004D5ADA">
        <w:t xml:space="preserve">13 </w:t>
      </w:r>
      <w:r w:rsidR="002149F0" w:rsidRPr="004D5ADA">
        <w:t>Tunc</w:t>
      </w:r>
      <w:r w:rsidR="004D5ADA">
        <w:t xml:space="preserve"> venit Jésus a Galilǽ</w:t>
      </w:r>
      <w:r w:rsidRPr="004D5ADA">
        <w:t xml:space="preserve">a in </w:t>
      </w:r>
      <w:r w:rsidR="004D5ADA" w:rsidRPr="004D5ADA">
        <w:t>Jordánem</w:t>
      </w:r>
      <w:r w:rsidRPr="004D5ADA">
        <w:t xml:space="preserve"> ad </w:t>
      </w:r>
      <w:r w:rsidR="004D5ADA" w:rsidRPr="004D5ADA">
        <w:t>Joánnem</w:t>
      </w:r>
      <w:r w:rsidR="00E65435" w:rsidRPr="004D5ADA">
        <w:t xml:space="preserve">, </w:t>
      </w:r>
      <w:r w:rsidRPr="004D5ADA">
        <w:t xml:space="preserve">ut </w:t>
      </w:r>
      <w:r w:rsidR="004D5ADA" w:rsidRPr="004D5ADA">
        <w:t>baptizarétur</w:t>
      </w:r>
      <w:r w:rsidRPr="004D5ADA">
        <w:t xml:space="preserve"> ab eo. 14 </w:t>
      </w:r>
      <w:r w:rsidR="004D5ADA" w:rsidRPr="004D5ADA">
        <w:t>Joánnes</w:t>
      </w:r>
      <w:r w:rsidRPr="004D5ADA">
        <w:t xml:space="preserve"> autem pro</w:t>
      </w:r>
      <w:r w:rsidR="00473B23" w:rsidRPr="004D5ADA">
        <w:t>hibébat</w:t>
      </w:r>
      <w:r w:rsidRPr="004D5ADA">
        <w:t xml:space="preserve"> eum</w:t>
      </w:r>
      <w:r w:rsidR="00E65435" w:rsidRPr="004D5ADA">
        <w:t xml:space="preserve">, </w:t>
      </w:r>
      <w:r w:rsidRPr="004D5ADA">
        <w:t>dicens</w:t>
      </w:r>
      <w:r w:rsidR="00C2602D" w:rsidRPr="004D5ADA">
        <w:t> :</w:t>
      </w:r>
      <w:r w:rsidR="00D31267" w:rsidRPr="004D5ADA">
        <w:t xml:space="preserve"> Ego a te </w:t>
      </w:r>
      <w:r w:rsidR="004D5ADA" w:rsidRPr="004D5ADA">
        <w:t>débeo</w:t>
      </w:r>
      <w:r w:rsidRPr="004D5ADA">
        <w:t xml:space="preserve"> </w:t>
      </w:r>
      <w:r w:rsidR="004D5ADA" w:rsidRPr="004D5ADA">
        <w:t>baptizári</w:t>
      </w:r>
      <w:r w:rsidR="00E65435" w:rsidRPr="004D5ADA">
        <w:t xml:space="preserve">, </w:t>
      </w:r>
      <w:r w:rsidRPr="004D5ADA">
        <w:t>et tu venis ad me</w:t>
      </w:r>
      <w:r w:rsidR="00C2602D" w:rsidRPr="004D5ADA">
        <w:t> !</w:t>
      </w:r>
      <w:r w:rsidR="005E62EB">
        <w:t xml:space="preserve"> </w:t>
      </w:r>
      <w:r w:rsidRPr="004D5ADA">
        <w:t xml:space="preserve">15 </w:t>
      </w:r>
      <w:r w:rsidR="004D5ADA" w:rsidRPr="004D5ADA">
        <w:t>Respóndens</w:t>
      </w:r>
      <w:r w:rsidRPr="004D5ADA">
        <w:t xml:space="preserve"> autem Jésus</w:t>
      </w:r>
      <w:r w:rsidR="00E65435" w:rsidRPr="004D5ADA">
        <w:t xml:space="preserve">, </w:t>
      </w:r>
      <w:r w:rsidRPr="004D5ADA">
        <w:t>dixit ei</w:t>
      </w:r>
      <w:r w:rsidR="00C2602D" w:rsidRPr="004D5ADA">
        <w:t> :</w:t>
      </w:r>
      <w:r w:rsidRPr="004D5ADA">
        <w:t xml:space="preserve"> Sine modo</w:t>
      </w:r>
      <w:r w:rsidR="00C2602D" w:rsidRPr="004D5ADA">
        <w:t> </w:t>
      </w:r>
      <w:r w:rsidR="007F6508" w:rsidRPr="004D5ADA">
        <w:t xml:space="preserve">; </w:t>
      </w:r>
      <w:r w:rsidRPr="004D5ADA">
        <w:t xml:space="preserve">sic enim decet nos </w:t>
      </w:r>
      <w:r w:rsidR="004D5ADA" w:rsidRPr="004D5ADA">
        <w:t>implére</w:t>
      </w:r>
      <w:r w:rsidRPr="004D5ADA">
        <w:t xml:space="preserve"> omnem just</w:t>
      </w:r>
      <w:r w:rsidR="00776C8C" w:rsidRPr="004D5ADA">
        <w:t>ítiam</w:t>
      </w:r>
      <w:r w:rsidRPr="004D5ADA">
        <w:t xml:space="preserve">. </w:t>
      </w:r>
      <w:r w:rsidR="002149F0" w:rsidRPr="004D5ADA">
        <w:t>Tunc</w:t>
      </w:r>
      <w:r w:rsidRPr="004D5ADA">
        <w:t xml:space="preserve"> </w:t>
      </w:r>
      <w:r w:rsidR="004D5ADA" w:rsidRPr="004D5ADA">
        <w:t>dimísit</w:t>
      </w:r>
      <w:r w:rsidRPr="004D5ADA">
        <w:t xml:space="preserve"> eum.</w:t>
      </w:r>
      <w:r w:rsidR="00C2602D" w:rsidRPr="004D5ADA">
        <w:t xml:space="preserve"> </w:t>
      </w:r>
    </w:p>
    <w:p w:rsidR="004D5ADA" w:rsidRDefault="004D5ADA" w:rsidP="00C2602D"/>
    <w:p w:rsidR="00C2602D" w:rsidRPr="004D5ADA" w:rsidRDefault="00B704AD" w:rsidP="005E62EB">
      <w:pPr>
        <w:pStyle w:val="ewald1"/>
      </w:pPr>
      <w:r w:rsidRPr="004D5ADA">
        <w:t>16 Bap</w:t>
      </w:r>
      <w:r w:rsidR="00776C8C" w:rsidRPr="004D5ADA">
        <w:t>tizátus</w:t>
      </w:r>
      <w:r w:rsidRPr="004D5ADA">
        <w:t xml:space="preserve"> autem Jésus</w:t>
      </w:r>
      <w:r w:rsidR="00E65435" w:rsidRPr="004D5ADA">
        <w:t xml:space="preserve">, </w:t>
      </w:r>
      <w:r w:rsidR="004D5ADA" w:rsidRPr="004D5ADA">
        <w:t>conféstim</w:t>
      </w:r>
      <w:r w:rsidRPr="004D5ADA">
        <w:t xml:space="preserve"> </w:t>
      </w:r>
      <w:r w:rsidR="004D5ADA" w:rsidRPr="004D5ADA">
        <w:t>ascéndit</w:t>
      </w:r>
      <w:r w:rsidRPr="004D5ADA">
        <w:t xml:space="preserve"> de aqua. Et ecce </w:t>
      </w:r>
      <w:r w:rsidR="004D5ADA" w:rsidRPr="004D5ADA">
        <w:t>apérti</w:t>
      </w:r>
      <w:r w:rsidRPr="004D5ADA">
        <w:t xml:space="preserve"> sunt ei cœli</w:t>
      </w:r>
      <w:r w:rsidR="00C2602D" w:rsidRPr="004D5ADA">
        <w:t> </w:t>
      </w:r>
      <w:r w:rsidR="007F6508" w:rsidRPr="004D5ADA">
        <w:t xml:space="preserve">; </w:t>
      </w:r>
      <w:r w:rsidRPr="004D5ADA">
        <w:t xml:space="preserve">et vidit Spiritual Dei </w:t>
      </w:r>
      <w:r w:rsidR="004D5ADA" w:rsidRPr="004D5ADA">
        <w:t>descendéntem</w:t>
      </w:r>
      <w:r w:rsidRPr="004D5ADA">
        <w:t xml:space="preserve"> sicut </w:t>
      </w:r>
      <w:r w:rsidR="004D5ADA" w:rsidRPr="004D5ADA">
        <w:t>colúmbam</w:t>
      </w:r>
      <w:r w:rsidR="00E65435" w:rsidRPr="004D5ADA">
        <w:t xml:space="preserve">, </w:t>
      </w:r>
      <w:r w:rsidRPr="004D5ADA">
        <w:t xml:space="preserve">et </w:t>
      </w:r>
      <w:r w:rsidR="004D5ADA" w:rsidRPr="004D5ADA">
        <w:t>veniéntem</w:t>
      </w:r>
      <w:r w:rsidRPr="004D5ADA">
        <w:t xml:space="preserve"> super se. 17 Et ecce vox de cœlis dicens</w:t>
      </w:r>
      <w:r w:rsidR="00C2602D" w:rsidRPr="004D5ADA">
        <w:t> :</w:t>
      </w:r>
      <w:r w:rsidRPr="004D5ADA">
        <w:t xml:space="preserve"> Hic est F</w:t>
      </w:r>
      <w:r w:rsidR="00C21120" w:rsidRPr="004D5ADA">
        <w:t>ílius</w:t>
      </w:r>
      <w:r w:rsidRPr="004D5ADA">
        <w:t xml:space="preserve"> meus </w:t>
      </w:r>
      <w:r w:rsidR="004D5ADA" w:rsidRPr="004D5ADA">
        <w:t>diléctus</w:t>
      </w:r>
      <w:r w:rsidR="00E65435" w:rsidRPr="004D5ADA">
        <w:t xml:space="preserve">, </w:t>
      </w:r>
      <w:r w:rsidRPr="004D5ADA">
        <w:t xml:space="preserve">in quo mihi </w:t>
      </w:r>
      <w:r w:rsidR="004D5ADA" w:rsidRPr="004D5ADA">
        <w:t>complácui</w:t>
      </w:r>
      <w:r w:rsidRPr="004D5ADA">
        <w:t>.</w:t>
      </w:r>
      <w:r w:rsidR="00C2602D" w:rsidRPr="004D5ADA">
        <w:t xml:space="preserve"> </w:t>
      </w:r>
    </w:p>
    <w:p w:rsidR="00D31267" w:rsidRPr="004D5ADA" w:rsidRDefault="00D31267" w:rsidP="00C2602D"/>
    <w:p w:rsidR="00D31267" w:rsidRDefault="005E62EB" w:rsidP="005E62EB">
      <w:pPr>
        <w:pStyle w:val="ewald2"/>
      </w:pPr>
      <w:r>
        <w:t>IV. — 1 Tunc Jesus ductus est in desértum a Spíritu, ut tentarétur a diabolo. 2 Et cum jejunásset quadragínta diébus et quadragínta nóctibus, póstea esúriit. 3 Et accédens tentátor, dixit ei : Si Fílius Dei es, dic ut lapides isti panes fiant. 4 Qui respóndens dixit : Scriptum est : Non in solo pane vivit homo, sed in omni verbo quod procédit de ore Dei…</w:t>
      </w:r>
    </w:p>
    <w:p w:rsidR="005E62EB" w:rsidRPr="004D5ADA" w:rsidRDefault="005E62EB" w:rsidP="005E62EB"/>
    <w:p w:rsidR="00C2602D" w:rsidRPr="004D5ADA" w:rsidRDefault="00D31267" w:rsidP="004D5ADA">
      <w:pPr>
        <w:pStyle w:val="ewald5"/>
      </w:pPr>
      <w:r w:rsidRPr="004D5ADA">
        <w:t>12</w:t>
      </w:r>
      <w:r w:rsidR="00B704AD" w:rsidRPr="004D5ADA">
        <w:t xml:space="preserve"> Cum autem </w:t>
      </w:r>
      <w:r w:rsidR="004D5ADA" w:rsidRPr="004D5ADA">
        <w:t>audísset</w:t>
      </w:r>
      <w:r w:rsidR="00B704AD" w:rsidRPr="004D5ADA">
        <w:t xml:space="preserve"> Jésus quod </w:t>
      </w:r>
      <w:r w:rsidR="004D5ADA" w:rsidRPr="004D5ADA">
        <w:t>Joánnes</w:t>
      </w:r>
      <w:r w:rsidR="00B704AD" w:rsidRPr="004D5ADA">
        <w:t xml:space="preserve"> </w:t>
      </w:r>
      <w:r w:rsidR="004D5ADA" w:rsidRPr="004D5ADA">
        <w:t>tráditus</w:t>
      </w:r>
      <w:r w:rsidR="00B704AD" w:rsidRPr="004D5ADA">
        <w:t xml:space="preserve"> esset</w:t>
      </w:r>
      <w:r w:rsidR="00E65435" w:rsidRPr="004D5ADA">
        <w:t xml:space="preserve">, </w:t>
      </w:r>
      <w:r w:rsidR="004D5ADA" w:rsidRPr="004D5ADA">
        <w:t>secéssit</w:t>
      </w:r>
      <w:r w:rsidR="00B704AD" w:rsidRPr="004D5ADA">
        <w:t xml:space="preserve"> in </w:t>
      </w:r>
      <w:r w:rsidR="004D5ADA">
        <w:t>Galilǽ</w:t>
      </w:r>
      <w:r w:rsidR="00B704AD" w:rsidRPr="004D5ADA">
        <w:t>am</w:t>
      </w:r>
      <w:r w:rsidR="00C2602D" w:rsidRPr="004D5ADA">
        <w:t> </w:t>
      </w:r>
      <w:r w:rsidR="007F6508" w:rsidRPr="004D5ADA">
        <w:t xml:space="preserve">; </w:t>
      </w:r>
      <w:r w:rsidR="00B704AD" w:rsidRPr="004D5ADA">
        <w:t>1</w:t>
      </w:r>
      <w:r w:rsidRPr="004D5ADA">
        <w:t>3</w:t>
      </w:r>
      <w:r w:rsidR="00B704AD" w:rsidRPr="004D5ADA">
        <w:t xml:space="preserve"> et </w:t>
      </w:r>
      <w:r w:rsidR="004D5ADA" w:rsidRPr="004D5ADA">
        <w:t>relícta</w:t>
      </w:r>
      <w:r w:rsidR="00B704AD" w:rsidRPr="004D5ADA">
        <w:t xml:space="preserve"> c</w:t>
      </w:r>
      <w:r w:rsidR="00736374" w:rsidRPr="004D5ADA">
        <w:t>ivitáte</w:t>
      </w:r>
      <w:r w:rsidR="00B704AD" w:rsidRPr="004D5ADA">
        <w:t xml:space="preserve"> Nazareth</w:t>
      </w:r>
      <w:r w:rsidR="00E65435" w:rsidRPr="004D5ADA">
        <w:t xml:space="preserve">, </w:t>
      </w:r>
      <w:r w:rsidR="00B704AD" w:rsidRPr="004D5ADA">
        <w:t>venit et ha</w:t>
      </w:r>
      <w:r w:rsidR="00473B23" w:rsidRPr="004D5ADA">
        <w:t>bitávit</w:t>
      </w:r>
      <w:r w:rsidR="00B704AD" w:rsidRPr="004D5ADA">
        <w:t xml:space="preserve"> in </w:t>
      </w:r>
      <w:r w:rsidR="00C215A6" w:rsidRPr="004D5ADA">
        <w:t>Capharnaüm</w:t>
      </w:r>
      <w:r w:rsidR="00B704AD" w:rsidRPr="004D5ADA">
        <w:t xml:space="preserve"> </w:t>
      </w:r>
      <w:r w:rsidR="004D5ADA" w:rsidRPr="004D5ADA">
        <w:t>marítima</w:t>
      </w:r>
      <w:r w:rsidR="00E65435" w:rsidRPr="004D5ADA">
        <w:t xml:space="preserve">, </w:t>
      </w:r>
      <w:r w:rsidR="00B704AD" w:rsidRPr="004D5ADA">
        <w:t>in f</w:t>
      </w:r>
      <w:r w:rsidR="00356A5E" w:rsidRPr="004D5ADA">
        <w:t>ínibus</w:t>
      </w:r>
      <w:r w:rsidR="00B704AD" w:rsidRPr="004D5ADA">
        <w:t xml:space="preserve"> Zabulon et </w:t>
      </w:r>
      <w:r w:rsidR="004D5ADA" w:rsidRPr="004D5ADA">
        <w:t>Nephthalím</w:t>
      </w:r>
      <w:r w:rsidR="00C2602D" w:rsidRPr="004D5ADA">
        <w:t> </w:t>
      </w:r>
      <w:r w:rsidR="007F6508" w:rsidRPr="004D5ADA">
        <w:t xml:space="preserve">; </w:t>
      </w:r>
      <w:r w:rsidRPr="004D5ADA">
        <w:t xml:space="preserve">14 </w:t>
      </w:r>
      <w:r w:rsidR="00B704AD" w:rsidRPr="004D5ADA">
        <w:t xml:space="preserve">ut </w:t>
      </w:r>
      <w:r w:rsidR="004D5ADA" w:rsidRPr="004D5ADA">
        <w:t>adimplerétur</w:t>
      </w:r>
      <w:r w:rsidR="00B704AD" w:rsidRPr="004D5ADA">
        <w:t xml:space="preserve"> quod dictum est per </w:t>
      </w:r>
      <w:r w:rsidR="004D5ADA" w:rsidRPr="004D5ADA">
        <w:t>Isaíam</w:t>
      </w:r>
      <w:r w:rsidR="00B704AD" w:rsidRPr="004D5ADA">
        <w:t xml:space="preserve"> </w:t>
      </w:r>
      <w:r w:rsidR="004D5ADA" w:rsidRPr="004D5ADA">
        <w:t>prophétam</w:t>
      </w:r>
      <w:r w:rsidR="00C2602D" w:rsidRPr="004D5ADA">
        <w:t> :</w:t>
      </w:r>
      <w:r w:rsidR="00B704AD" w:rsidRPr="004D5ADA">
        <w:t xml:space="preserve"> </w:t>
      </w:r>
      <w:r w:rsidRPr="004D5ADA">
        <w:t xml:space="preserve">15 </w:t>
      </w:r>
      <w:r w:rsidR="00B704AD" w:rsidRPr="004D5ADA">
        <w:t>Terra Zabulon</w:t>
      </w:r>
      <w:r w:rsidR="00E65435" w:rsidRPr="004D5ADA">
        <w:t xml:space="preserve">, </w:t>
      </w:r>
      <w:r w:rsidR="00B704AD" w:rsidRPr="004D5ADA">
        <w:t xml:space="preserve">et terra </w:t>
      </w:r>
      <w:r w:rsidR="004D5ADA" w:rsidRPr="004D5ADA">
        <w:t>Nephthalím</w:t>
      </w:r>
      <w:r w:rsidR="00E65435" w:rsidRPr="004D5ADA">
        <w:t xml:space="preserve">, </w:t>
      </w:r>
      <w:r w:rsidR="00B704AD" w:rsidRPr="004D5ADA">
        <w:t xml:space="preserve">via maris trans </w:t>
      </w:r>
      <w:r w:rsidR="004D5ADA" w:rsidRPr="004D5ADA">
        <w:t>Jordánem</w:t>
      </w:r>
      <w:r w:rsidR="00E65435" w:rsidRPr="004D5ADA">
        <w:t xml:space="preserve">, </w:t>
      </w:r>
      <w:r w:rsidR="00B704AD" w:rsidRPr="004D5ADA">
        <w:t>Ga</w:t>
      </w:r>
      <w:r w:rsidR="004D5ADA">
        <w:t>lilǽ</w:t>
      </w:r>
      <w:r w:rsidR="00B704AD" w:rsidRPr="004D5ADA">
        <w:t>a g</w:t>
      </w:r>
      <w:r w:rsidR="00652B4F" w:rsidRPr="004D5ADA">
        <w:t>éntium</w:t>
      </w:r>
      <w:r w:rsidR="00B704AD" w:rsidRPr="004D5ADA">
        <w:t xml:space="preserve">. 16 </w:t>
      </w:r>
      <w:r w:rsidR="004D5ADA" w:rsidRPr="004D5ADA">
        <w:t>Pópulus</w:t>
      </w:r>
      <w:r w:rsidR="00B704AD" w:rsidRPr="004D5ADA">
        <w:t xml:space="preserve"> qui </w:t>
      </w:r>
      <w:r w:rsidR="00473B23" w:rsidRPr="004D5ADA">
        <w:t>sedébat</w:t>
      </w:r>
      <w:r w:rsidR="00B704AD" w:rsidRPr="004D5ADA">
        <w:t xml:space="preserve"> in </w:t>
      </w:r>
      <w:r w:rsidR="004D5ADA" w:rsidRPr="004D5ADA">
        <w:t>ténebris</w:t>
      </w:r>
      <w:r w:rsidR="00E65435" w:rsidRPr="004D5ADA">
        <w:t xml:space="preserve">, </w:t>
      </w:r>
      <w:r w:rsidR="00B704AD" w:rsidRPr="004D5ADA">
        <w:t>vidit lucem magnam</w:t>
      </w:r>
      <w:r w:rsidR="00C2602D" w:rsidRPr="004D5ADA">
        <w:t> </w:t>
      </w:r>
      <w:r w:rsidR="007F6508" w:rsidRPr="004D5ADA">
        <w:t xml:space="preserve">; </w:t>
      </w:r>
      <w:r w:rsidR="00B704AD" w:rsidRPr="004D5ADA">
        <w:t>et sed</w:t>
      </w:r>
      <w:r w:rsidR="00356A5E" w:rsidRPr="004D5ADA">
        <w:t>éntibus</w:t>
      </w:r>
      <w:r w:rsidR="00B704AD" w:rsidRPr="004D5ADA">
        <w:t xml:space="preserve"> in reg</w:t>
      </w:r>
      <w:r w:rsidR="00356A5E" w:rsidRPr="004D5ADA">
        <w:t>ióne</w:t>
      </w:r>
      <w:r w:rsidR="00B704AD" w:rsidRPr="004D5ADA">
        <w:t xml:space="preserve"> umbr</w:t>
      </w:r>
      <w:r w:rsidR="0037178C" w:rsidRPr="004D5ADA">
        <w:t>æ</w:t>
      </w:r>
      <w:r w:rsidR="00B704AD" w:rsidRPr="004D5ADA">
        <w:t xml:space="preserve"> mortis</w:t>
      </w:r>
      <w:r w:rsidR="00E65435" w:rsidRPr="004D5ADA">
        <w:t xml:space="preserve">, </w:t>
      </w:r>
      <w:r w:rsidR="00B704AD" w:rsidRPr="004D5ADA">
        <w:t xml:space="preserve">lux orta est eis. 17 </w:t>
      </w:r>
      <w:r w:rsidR="004D5ADA" w:rsidRPr="004D5ADA">
        <w:t>Exínde</w:t>
      </w:r>
      <w:r w:rsidR="00B704AD" w:rsidRPr="004D5ADA">
        <w:t xml:space="preserve"> cœpit</w:t>
      </w:r>
      <w:r w:rsidR="00C2602D" w:rsidRPr="004D5ADA">
        <w:t xml:space="preserve"> </w:t>
      </w:r>
    </w:p>
    <w:p w:rsidR="00D31267" w:rsidRPr="004D5ADA" w:rsidRDefault="00D31267" w:rsidP="00C2602D"/>
    <w:p w:rsidR="00C2602D" w:rsidRPr="004D5ADA" w:rsidRDefault="00B704AD" w:rsidP="005E62EB">
      <w:pPr>
        <w:pStyle w:val="ewald3"/>
      </w:pPr>
      <w:r w:rsidRPr="004D5ADA">
        <w:t xml:space="preserve">Jésus </w:t>
      </w:r>
      <w:r w:rsidR="004D5ADA" w:rsidRPr="004D5ADA">
        <w:t>prædicáre</w:t>
      </w:r>
      <w:r w:rsidR="00E65435" w:rsidRPr="004D5ADA">
        <w:t xml:space="preserve">, </w:t>
      </w:r>
      <w:r w:rsidRPr="004D5ADA">
        <w:t xml:space="preserve">et </w:t>
      </w:r>
      <w:r w:rsidR="004D5ADA" w:rsidRPr="004D5ADA">
        <w:t>dícere</w:t>
      </w:r>
      <w:r w:rsidR="00C2602D" w:rsidRPr="004D5ADA">
        <w:t> :</w:t>
      </w:r>
      <w:r w:rsidRPr="004D5ADA">
        <w:t xml:space="preserve"> Pœnit</w:t>
      </w:r>
      <w:r w:rsidR="000B732C" w:rsidRPr="004D5ADA">
        <w:t>éntiam</w:t>
      </w:r>
      <w:r w:rsidRPr="004D5ADA">
        <w:t xml:space="preserve"> agite</w:t>
      </w:r>
      <w:r w:rsidR="00C2602D" w:rsidRPr="004D5ADA">
        <w:t> </w:t>
      </w:r>
      <w:r w:rsidR="007F6508" w:rsidRPr="004D5ADA">
        <w:t xml:space="preserve">; </w:t>
      </w:r>
      <w:r w:rsidRPr="004D5ADA">
        <w:t>appropi</w:t>
      </w:r>
      <w:r w:rsidR="00473B23" w:rsidRPr="004D5ADA">
        <w:t>nquávit</w:t>
      </w:r>
      <w:r w:rsidRPr="004D5ADA">
        <w:t xml:space="preserve"> enim regnum cœl</w:t>
      </w:r>
      <w:r w:rsidR="003A07A7" w:rsidRPr="004D5ADA">
        <w:t>órum</w:t>
      </w:r>
      <w:r w:rsidRPr="004D5ADA">
        <w:t xml:space="preserve">. 18 Ambulans autem Jésus juxta mare </w:t>
      </w:r>
      <w:r w:rsidR="004D5ADA" w:rsidRPr="004D5ADA">
        <w:t>Galilǽæ</w:t>
      </w:r>
      <w:r w:rsidR="00E65435" w:rsidRPr="004D5ADA">
        <w:t xml:space="preserve">, </w:t>
      </w:r>
      <w:r w:rsidRPr="004D5ADA">
        <w:t>vidit duos fratres</w:t>
      </w:r>
      <w:r w:rsidR="00E65435" w:rsidRPr="004D5ADA">
        <w:t xml:space="preserve">, </w:t>
      </w:r>
      <w:r w:rsidR="004D5ADA" w:rsidRPr="004D5ADA">
        <w:t>Simónem</w:t>
      </w:r>
      <w:r w:rsidR="00E65435" w:rsidRPr="004D5ADA">
        <w:t xml:space="preserve">, </w:t>
      </w:r>
      <w:r w:rsidRPr="004D5ADA">
        <w:t xml:space="preserve">qui </w:t>
      </w:r>
      <w:r w:rsidR="0096412E" w:rsidRPr="004D5ADA">
        <w:t>vocátur</w:t>
      </w:r>
      <w:r w:rsidRPr="004D5ADA">
        <w:t xml:space="preserve"> Petrus</w:t>
      </w:r>
      <w:r w:rsidR="00E65435" w:rsidRPr="004D5ADA">
        <w:t xml:space="preserve">, </w:t>
      </w:r>
      <w:r w:rsidRPr="004D5ADA">
        <w:t xml:space="preserve">et </w:t>
      </w:r>
      <w:r w:rsidR="004D5ADA" w:rsidRPr="004D5ADA">
        <w:t>Andréam</w:t>
      </w:r>
      <w:r w:rsidR="00E65435" w:rsidRPr="004D5ADA">
        <w:t xml:space="preserve">, </w:t>
      </w:r>
      <w:r w:rsidRPr="004D5ADA">
        <w:t>fratrem ejus</w:t>
      </w:r>
      <w:r w:rsidR="00E65435" w:rsidRPr="004D5ADA">
        <w:t xml:space="preserve">, </w:t>
      </w:r>
      <w:r w:rsidR="004D5ADA" w:rsidRPr="004D5ADA">
        <w:t>mitténtes</w:t>
      </w:r>
      <w:r w:rsidRPr="004D5ADA">
        <w:t xml:space="preserve"> rete in mare</w:t>
      </w:r>
      <w:r w:rsidR="00C2602D" w:rsidRPr="004D5ADA">
        <w:t> :</w:t>
      </w:r>
      <w:r w:rsidRPr="004D5ADA">
        <w:t xml:space="preserve"> erant enim </w:t>
      </w:r>
      <w:r w:rsidR="004D5ADA" w:rsidRPr="004D5ADA">
        <w:t>piscatóres</w:t>
      </w:r>
      <w:r w:rsidRPr="004D5ADA">
        <w:t>.19 Et ait illis</w:t>
      </w:r>
      <w:r w:rsidR="00C2602D" w:rsidRPr="004D5ADA">
        <w:t> :</w:t>
      </w:r>
      <w:r w:rsidR="00D31267" w:rsidRPr="004D5ADA">
        <w:t xml:space="preserve"> </w:t>
      </w:r>
      <w:r w:rsidR="004D5ADA" w:rsidRPr="004D5ADA">
        <w:t>Veníte</w:t>
      </w:r>
      <w:r w:rsidRPr="004D5ADA">
        <w:t xml:space="preserve"> post me</w:t>
      </w:r>
      <w:r w:rsidR="00E65435" w:rsidRPr="004D5ADA">
        <w:t xml:space="preserve">, </w:t>
      </w:r>
      <w:r w:rsidR="00D31267" w:rsidRPr="004D5ADA">
        <w:t xml:space="preserve">et </w:t>
      </w:r>
      <w:r w:rsidR="004D5ADA" w:rsidRPr="004D5ADA">
        <w:t>fáciam</w:t>
      </w:r>
      <w:r w:rsidR="00D31267" w:rsidRPr="004D5ADA">
        <w:t xml:space="preserve"> vos </w:t>
      </w:r>
      <w:r w:rsidR="004D5ADA" w:rsidRPr="004D5ADA">
        <w:t>fíeri</w:t>
      </w:r>
      <w:r w:rsidRPr="004D5ADA">
        <w:t xml:space="preserve"> </w:t>
      </w:r>
      <w:r w:rsidR="004D5ADA" w:rsidRPr="004D5ADA">
        <w:t>piscatóres</w:t>
      </w:r>
      <w:r w:rsidRPr="004D5ADA">
        <w:t xml:space="preserve"> </w:t>
      </w:r>
      <w:r w:rsidR="00402B9A" w:rsidRPr="004D5ADA">
        <w:t>hóminum</w:t>
      </w:r>
      <w:r w:rsidRPr="004D5ADA">
        <w:t>. 20 At illi continuo</w:t>
      </w:r>
      <w:r w:rsidR="00E65435" w:rsidRPr="004D5ADA">
        <w:t xml:space="preserve">, </w:t>
      </w:r>
      <w:r w:rsidR="004D5ADA" w:rsidRPr="004D5ADA">
        <w:t>relíctis</w:t>
      </w:r>
      <w:r w:rsidRPr="004D5ADA">
        <w:t xml:space="preserve"> r</w:t>
      </w:r>
      <w:r w:rsidR="00356A5E" w:rsidRPr="004D5ADA">
        <w:t>étibus</w:t>
      </w:r>
      <w:r w:rsidR="00E65435" w:rsidRPr="004D5ADA">
        <w:t xml:space="preserve">, </w:t>
      </w:r>
      <w:r w:rsidR="004D5ADA" w:rsidRPr="004D5ADA">
        <w:t>secúti</w:t>
      </w:r>
      <w:r w:rsidR="00D31267" w:rsidRPr="004D5ADA">
        <w:t xml:space="preserve"> sunt eum…. </w:t>
      </w:r>
    </w:p>
    <w:p w:rsidR="00D31267" w:rsidRPr="004D5ADA" w:rsidRDefault="00D31267" w:rsidP="00C2602D"/>
    <w:p w:rsidR="00C2602D" w:rsidRPr="004D5ADA" w:rsidRDefault="00B704AD" w:rsidP="004D5ADA">
      <w:pPr>
        <w:pStyle w:val="ewald5"/>
      </w:pPr>
      <w:r w:rsidRPr="004D5ADA">
        <w:t xml:space="preserve">23 Et </w:t>
      </w:r>
      <w:r w:rsidR="004D5ADA" w:rsidRPr="004D5ADA">
        <w:t>circuíbat</w:t>
      </w:r>
      <w:r w:rsidRPr="004D5ADA">
        <w:t xml:space="preserve"> Jésus totam </w:t>
      </w:r>
      <w:r w:rsidR="004D5ADA" w:rsidRPr="004D5ADA">
        <w:t>Galilǽam</w:t>
      </w:r>
      <w:r w:rsidR="00E65435" w:rsidRPr="004D5ADA">
        <w:t xml:space="preserve">, </w:t>
      </w:r>
      <w:r w:rsidRPr="004D5ADA">
        <w:t xml:space="preserve">docens in </w:t>
      </w:r>
      <w:r w:rsidR="004D5ADA" w:rsidRPr="004D5ADA">
        <w:t>synagógis</w:t>
      </w:r>
      <w:r w:rsidRPr="004D5ADA">
        <w:t xml:space="preserve"> </w:t>
      </w:r>
      <w:r w:rsidR="00473B23" w:rsidRPr="004D5ADA">
        <w:t>eórum</w:t>
      </w:r>
      <w:r w:rsidR="00E65435" w:rsidRPr="004D5ADA">
        <w:t xml:space="preserve">, </w:t>
      </w:r>
      <w:r w:rsidRPr="004D5ADA">
        <w:t xml:space="preserve">et </w:t>
      </w:r>
      <w:r w:rsidR="004D5ADA" w:rsidRPr="004D5ADA">
        <w:t>prædícens</w:t>
      </w:r>
      <w:r w:rsidRPr="004D5ADA">
        <w:t xml:space="preserve"> e</w:t>
      </w:r>
      <w:r w:rsidR="00736374" w:rsidRPr="004D5ADA">
        <w:t>vangélium</w:t>
      </w:r>
      <w:r w:rsidRPr="004D5ADA">
        <w:t xml:space="preserve"> regni</w:t>
      </w:r>
      <w:r w:rsidR="00E65435" w:rsidRPr="004D5ADA">
        <w:t xml:space="preserve">, </w:t>
      </w:r>
      <w:r w:rsidRPr="004D5ADA">
        <w:t xml:space="preserve">et sanans omnem </w:t>
      </w:r>
      <w:r w:rsidR="004D5ADA" w:rsidRPr="004D5ADA">
        <w:t>languórem</w:t>
      </w:r>
      <w:r w:rsidR="00E65435" w:rsidRPr="004D5ADA">
        <w:t xml:space="preserve">, </w:t>
      </w:r>
      <w:r w:rsidRPr="004D5ADA">
        <w:t>et omnem infirm</w:t>
      </w:r>
      <w:r w:rsidR="00C21120" w:rsidRPr="004D5ADA">
        <w:t>itátem</w:t>
      </w:r>
      <w:r w:rsidRPr="004D5ADA">
        <w:t xml:space="preserve"> in </w:t>
      </w:r>
      <w:r w:rsidR="00DF391E" w:rsidRPr="004D5ADA">
        <w:t>pópulo</w:t>
      </w:r>
      <w:r w:rsidRPr="004D5ADA">
        <w:t>.</w:t>
      </w:r>
      <w:r w:rsidR="00C2602D" w:rsidRPr="004D5ADA">
        <w:t xml:space="preserve"> </w:t>
      </w:r>
    </w:p>
    <w:p w:rsidR="00C2602D" w:rsidRPr="004D5ADA" w:rsidRDefault="00B704AD" w:rsidP="00D31267">
      <w:pPr>
        <w:pStyle w:val="u4"/>
      </w:pPr>
      <w:r w:rsidRPr="004D5ADA">
        <w:t>S. LUC</w:t>
      </w:r>
      <w:r w:rsidR="00C2602D" w:rsidRPr="004D5ADA">
        <w:t xml:space="preserve"> </w:t>
      </w:r>
    </w:p>
    <w:p w:rsidR="00C2602D" w:rsidRPr="004D5ADA" w:rsidRDefault="00D31267" w:rsidP="00BA7108">
      <w:pPr>
        <w:pStyle w:val="ewald8"/>
      </w:pPr>
      <w:r w:rsidRPr="004D5ADA">
        <w:t>II</w:t>
      </w:r>
      <w:r w:rsidR="00B704AD" w:rsidRPr="004D5ADA">
        <w:t>.</w:t>
      </w:r>
      <w:r w:rsidR="000F7DAA" w:rsidRPr="004D5ADA">
        <w:t xml:space="preserve"> —</w:t>
      </w:r>
      <w:r w:rsidR="008D0642" w:rsidRPr="004D5ADA">
        <w:t xml:space="preserve"> </w:t>
      </w:r>
      <w:r w:rsidRPr="004D5ADA">
        <w:t xml:space="preserve">40 Puer autem </w:t>
      </w:r>
      <w:r w:rsidR="004D5ADA" w:rsidRPr="004D5ADA">
        <w:t>crescébat</w:t>
      </w:r>
      <w:r w:rsidR="00E65435" w:rsidRPr="004D5ADA">
        <w:t xml:space="preserve">, </w:t>
      </w:r>
      <w:r w:rsidRPr="004D5ADA">
        <w:t>et c</w:t>
      </w:r>
      <w:r w:rsidR="00B704AD" w:rsidRPr="004D5ADA">
        <w:t>onfor</w:t>
      </w:r>
      <w:r w:rsidR="0096412E" w:rsidRPr="004D5ADA">
        <w:t>tabátur</w:t>
      </w:r>
      <w:r w:rsidR="00E65435" w:rsidRPr="004D5ADA">
        <w:t xml:space="preserve">, </w:t>
      </w:r>
      <w:r w:rsidR="00B704AD" w:rsidRPr="004D5ADA">
        <w:t>plenus sapi</w:t>
      </w:r>
      <w:r w:rsidR="00652B4F" w:rsidRPr="004D5ADA">
        <w:t>éntia</w:t>
      </w:r>
      <w:r w:rsidR="00E65435" w:rsidRPr="004D5ADA">
        <w:t xml:space="preserve">, </w:t>
      </w:r>
      <w:r w:rsidR="00B704AD" w:rsidRPr="004D5ADA">
        <w:t>et gratta Dei erat in illo.</w:t>
      </w:r>
      <w:r w:rsidR="00C2602D" w:rsidRPr="004D5ADA">
        <w:t xml:space="preserve"> </w:t>
      </w:r>
    </w:p>
    <w:p w:rsidR="00D31267" w:rsidRPr="004D5ADA" w:rsidRDefault="00D31267" w:rsidP="00C2602D"/>
    <w:p w:rsidR="00C2602D" w:rsidRPr="004D5ADA" w:rsidRDefault="00B704AD" w:rsidP="00BA7108">
      <w:pPr>
        <w:pStyle w:val="ewald4"/>
      </w:pPr>
      <w:r w:rsidRPr="004D5ADA">
        <w:t>41 Et ibant parentes ejus per omnes annos in Jérusalem</w:t>
      </w:r>
      <w:r w:rsidR="00E65435" w:rsidRPr="004D5ADA">
        <w:t xml:space="preserve">, </w:t>
      </w:r>
      <w:r w:rsidR="00D31267" w:rsidRPr="004D5ADA">
        <w:t xml:space="preserve">in die </w:t>
      </w:r>
      <w:r w:rsidR="004D5ADA" w:rsidRPr="004D5ADA">
        <w:t>solémni</w:t>
      </w:r>
      <w:r w:rsidR="00D31267" w:rsidRPr="004D5ADA">
        <w:t xml:space="preserve"> Paschæ. 42 </w:t>
      </w:r>
      <w:r w:rsidRPr="004D5ADA">
        <w:t>Et cum factus esset ann</w:t>
      </w:r>
      <w:r w:rsidR="003A07A7" w:rsidRPr="004D5ADA">
        <w:t>órum</w:t>
      </w:r>
      <w:r w:rsidRPr="004D5ADA">
        <w:t xml:space="preserve"> </w:t>
      </w:r>
      <w:r w:rsidR="004D5ADA" w:rsidRPr="004D5ADA">
        <w:t>duódecim</w:t>
      </w:r>
      <w:r w:rsidR="00E65435" w:rsidRPr="004D5ADA">
        <w:t xml:space="preserve">, </w:t>
      </w:r>
      <w:r w:rsidRPr="004D5ADA">
        <w:t>ascend</w:t>
      </w:r>
      <w:r w:rsidR="00356A5E" w:rsidRPr="004D5ADA">
        <w:t>éntibus</w:t>
      </w:r>
      <w:r w:rsidRPr="004D5ADA">
        <w:t xml:space="preserve"> illis </w:t>
      </w:r>
      <w:r w:rsidR="004D5ADA" w:rsidRPr="004D5ADA">
        <w:t>Jerosólymam</w:t>
      </w:r>
      <w:r w:rsidRPr="004D5ADA">
        <w:t xml:space="preserve"> </w:t>
      </w:r>
      <w:r w:rsidR="00E939E7" w:rsidRPr="004D5ADA">
        <w:t>secúndum</w:t>
      </w:r>
      <w:r w:rsidRPr="004D5ADA">
        <w:t xml:space="preserve"> </w:t>
      </w:r>
      <w:r w:rsidR="004D5ADA" w:rsidRPr="004D5ADA">
        <w:t>consuetúdinem</w:t>
      </w:r>
      <w:r w:rsidRPr="004D5ADA">
        <w:t xml:space="preserve"> </w:t>
      </w:r>
      <w:r w:rsidR="004D5ADA" w:rsidRPr="004D5ADA">
        <w:t>diéi</w:t>
      </w:r>
      <w:r w:rsidR="004D5ADA">
        <w:t xml:space="preserve"> </w:t>
      </w:r>
      <w:r w:rsidRPr="004D5ADA">
        <w:t>festi</w:t>
      </w:r>
      <w:r w:rsidR="00E65435" w:rsidRPr="004D5ADA">
        <w:t xml:space="preserve">, </w:t>
      </w:r>
      <w:r w:rsidRPr="004D5ADA">
        <w:t xml:space="preserve">43 </w:t>
      </w:r>
      <w:r w:rsidR="004D5ADA" w:rsidRPr="004D5ADA">
        <w:t>consummatísque</w:t>
      </w:r>
      <w:r w:rsidRPr="004D5ADA">
        <w:t xml:space="preserve"> di</w:t>
      </w:r>
      <w:r w:rsidR="0094118D" w:rsidRPr="004D5ADA">
        <w:t>ébus</w:t>
      </w:r>
      <w:r w:rsidR="00E65435" w:rsidRPr="004D5ADA">
        <w:t xml:space="preserve">, </w:t>
      </w:r>
      <w:r w:rsidRPr="004D5ADA">
        <w:t>eum redirent</w:t>
      </w:r>
      <w:r w:rsidR="00E65435" w:rsidRPr="004D5ADA">
        <w:t xml:space="preserve">, </w:t>
      </w:r>
      <w:r w:rsidR="004D5ADA" w:rsidRPr="004D5ADA">
        <w:t>remánsit</w:t>
      </w:r>
      <w:r w:rsidRPr="004D5ADA">
        <w:t xml:space="preserve"> puer Jésus in </w:t>
      </w:r>
      <w:r w:rsidR="004D5ADA" w:rsidRPr="004D5ADA">
        <w:t>Jerusalém</w:t>
      </w:r>
      <w:r w:rsidR="00E65435" w:rsidRPr="004D5ADA">
        <w:t xml:space="preserve">, </w:t>
      </w:r>
      <w:r w:rsidRPr="004D5ADA">
        <w:t>et non cog</w:t>
      </w:r>
      <w:r w:rsidR="00473B23" w:rsidRPr="004D5ADA">
        <w:t>novérunt</w:t>
      </w:r>
      <w:r w:rsidRPr="004D5ADA">
        <w:t xml:space="preserve"> parentes ejus. 4</w:t>
      </w:r>
      <w:r w:rsidR="00D31267" w:rsidRPr="004D5ADA">
        <w:t>4</w:t>
      </w:r>
      <w:r w:rsidRPr="004D5ADA">
        <w:t xml:space="preserve"> </w:t>
      </w:r>
      <w:r w:rsidR="004D5ADA" w:rsidRPr="004D5ADA">
        <w:t>Existimántes</w:t>
      </w:r>
      <w:r w:rsidRPr="004D5ADA">
        <w:t xml:space="preserve"> autem illum esse in </w:t>
      </w:r>
      <w:r w:rsidR="004D5ADA" w:rsidRPr="004D5ADA">
        <w:t>comitátu</w:t>
      </w:r>
      <w:r w:rsidR="00E65435" w:rsidRPr="004D5ADA">
        <w:t xml:space="preserve">, </w:t>
      </w:r>
      <w:r w:rsidR="00473B23" w:rsidRPr="004D5ADA">
        <w:t>venérunt</w:t>
      </w:r>
      <w:r w:rsidRPr="004D5ADA">
        <w:t xml:space="preserve"> iter </w:t>
      </w:r>
      <w:r w:rsidR="004D5ADA" w:rsidRPr="004D5ADA">
        <w:t>diéi</w:t>
      </w:r>
      <w:r w:rsidR="00E65435" w:rsidRPr="004D5ADA">
        <w:t xml:space="preserve">, </w:t>
      </w:r>
      <w:r w:rsidRPr="004D5ADA">
        <w:t>et req</w:t>
      </w:r>
      <w:r w:rsidR="00356A5E" w:rsidRPr="004D5ADA">
        <w:t>uirébant</w:t>
      </w:r>
      <w:r w:rsidRPr="004D5ADA">
        <w:t xml:space="preserve"> eum inter </w:t>
      </w:r>
      <w:r w:rsidR="004D5ADA" w:rsidRPr="004D5ADA">
        <w:t>cognátos</w:t>
      </w:r>
      <w:r w:rsidRPr="004D5ADA">
        <w:t xml:space="preserve"> et notos. 45 Et non </w:t>
      </w:r>
      <w:r w:rsidR="004D5ADA" w:rsidRPr="004D5ADA">
        <w:t>inveniéntes</w:t>
      </w:r>
      <w:r w:rsidR="00E65435" w:rsidRPr="004D5ADA">
        <w:t xml:space="preserve">, </w:t>
      </w:r>
      <w:r w:rsidR="004D5ADA" w:rsidRPr="004D5ADA">
        <w:t>regréssi</w:t>
      </w:r>
      <w:r w:rsidRPr="004D5ADA">
        <w:t xml:space="preserve"> sunt in </w:t>
      </w:r>
      <w:r w:rsidR="004D5ADA" w:rsidRPr="004D5ADA">
        <w:t>Jerusalém</w:t>
      </w:r>
      <w:r w:rsidR="00E65435" w:rsidRPr="004D5ADA">
        <w:t xml:space="preserve">, </w:t>
      </w:r>
      <w:r w:rsidR="004D5ADA" w:rsidRPr="004D5ADA">
        <w:t>requiréntes</w:t>
      </w:r>
      <w:r w:rsidR="00D31267" w:rsidRPr="004D5ADA">
        <w:t xml:space="preserve"> eum. 46 </w:t>
      </w:r>
      <w:r w:rsidRPr="004D5ADA">
        <w:t>Et factum est</w:t>
      </w:r>
      <w:r w:rsidR="00E65435" w:rsidRPr="004D5ADA">
        <w:t xml:space="preserve">, </w:t>
      </w:r>
      <w:r w:rsidRPr="004D5ADA">
        <w:t>post triduum in</w:t>
      </w:r>
      <w:r w:rsidR="00473B23" w:rsidRPr="004D5ADA">
        <w:t>venérunt</w:t>
      </w:r>
      <w:r w:rsidRPr="004D5ADA">
        <w:t xml:space="preserve"> illum in </w:t>
      </w:r>
      <w:r w:rsidR="004D5ADA" w:rsidRPr="004D5ADA">
        <w:t>templo</w:t>
      </w:r>
      <w:r w:rsidR="00E65435" w:rsidRPr="004D5ADA">
        <w:t xml:space="preserve">, </w:t>
      </w:r>
      <w:r w:rsidR="004D5ADA" w:rsidRPr="004D5ADA">
        <w:t>sedéntem</w:t>
      </w:r>
      <w:r w:rsidRPr="004D5ADA">
        <w:t xml:space="preserve"> in </w:t>
      </w:r>
      <w:r w:rsidR="00473B23" w:rsidRPr="004D5ADA">
        <w:t>médio</w:t>
      </w:r>
      <w:r w:rsidRPr="004D5ADA">
        <w:t xml:space="preserve"> doct</w:t>
      </w:r>
      <w:r w:rsidR="003A07A7" w:rsidRPr="004D5ADA">
        <w:t>órum</w:t>
      </w:r>
      <w:r w:rsidR="00E65435" w:rsidRPr="004D5ADA">
        <w:t xml:space="preserve">, </w:t>
      </w:r>
      <w:r w:rsidR="004D5ADA" w:rsidRPr="004D5ADA">
        <w:t>audiéntem</w:t>
      </w:r>
      <w:r w:rsidRPr="004D5ADA">
        <w:t xml:space="preserve"> illos et </w:t>
      </w:r>
      <w:r w:rsidR="004D5ADA" w:rsidRPr="004D5ADA">
        <w:t>interrogántem</w:t>
      </w:r>
      <w:r w:rsidRPr="004D5ADA">
        <w:t xml:space="preserve"> eos. 47 S</w:t>
      </w:r>
      <w:r w:rsidR="00356A5E" w:rsidRPr="004D5ADA">
        <w:t>tupébant</w:t>
      </w:r>
      <w:r w:rsidRPr="004D5ADA">
        <w:t xml:space="preserve"> autem omnes qui eum a</w:t>
      </w:r>
      <w:r w:rsidR="00356A5E" w:rsidRPr="004D5ADA">
        <w:t>udiébant</w:t>
      </w:r>
      <w:r w:rsidRPr="004D5ADA">
        <w:t xml:space="preserve"> super prud</w:t>
      </w:r>
      <w:r w:rsidR="00652B4F" w:rsidRPr="004D5ADA">
        <w:t>éntia</w:t>
      </w:r>
      <w:r w:rsidRPr="004D5ADA">
        <w:t xml:space="preserve"> et </w:t>
      </w:r>
      <w:r w:rsidR="004D5ADA" w:rsidRPr="004D5ADA">
        <w:t>respónsis</w:t>
      </w:r>
      <w:r w:rsidRPr="004D5ADA">
        <w:t xml:space="preserve"> ejus.</w:t>
      </w:r>
      <w:r w:rsidR="00D31267" w:rsidRPr="004D5ADA">
        <w:t xml:space="preserve"> </w:t>
      </w:r>
      <w:r w:rsidRPr="004D5ADA">
        <w:t xml:space="preserve">48 Et </w:t>
      </w:r>
      <w:r w:rsidR="004D5ADA" w:rsidRPr="004D5ADA">
        <w:t>vidéntes</w:t>
      </w:r>
      <w:r w:rsidRPr="004D5ADA">
        <w:t xml:space="preserve"> </w:t>
      </w:r>
      <w:r w:rsidR="004D5ADA">
        <w:t>admirát</w:t>
      </w:r>
      <w:r w:rsidR="004D5ADA" w:rsidRPr="004D5ADA">
        <w:t>i</w:t>
      </w:r>
      <w:r w:rsidRPr="004D5ADA">
        <w:t xml:space="preserve"> sunt. Et dixit mater ejus ad illum</w:t>
      </w:r>
      <w:r w:rsidR="00C2602D" w:rsidRPr="004D5ADA">
        <w:t> :</w:t>
      </w:r>
      <w:r w:rsidRPr="004D5ADA">
        <w:t xml:space="preserve"> Fili</w:t>
      </w:r>
      <w:r w:rsidR="00E65435" w:rsidRPr="004D5ADA">
        <w:t xml:space="preserve">, </w:t>
      </w:r>
      <w:r w:rsidRPr="004D5ADA">
        <w:t xml:space="preserve">quid </w:t>
      </w:r>
      <w:r w:rsidR="004D5ADA" w:rsidRPr="004D5ADA">
        <w:t>fecísti</w:t>
      </w:r>
      <w:r w:rsidRPr="004D5ADA">
        <w:t xml:space="preserve"> nobis sic</w:t>
      </w:r>
      <w:r w:rsidR="00D31267" w:rsidRPr="004D5ADA">
        <w:t> ?</w:t>
      </w:r>
      <w:r w:rsidRPr="004D5ADA">
        <w:t xml:space="preserve"> ecce</w:t>
      </w:r>
      <w:r w:rsidR="004D5ADA">
        <w:t xml:space="preserve"> pater tuus et ego dolentes quæ</w:t>
      </w:r>
      <w:r w:rsidR="004D5ADA" w:rsidRPr="004D5ADA">
        <w:t>rebámus</w:t>
      </w:r>
      <w:r w:rsidRPr="004D5ADA">
        <w:t xml:space="preserve"> te. 49 Et ait ad illos</w:t>
      </w:r>
      <w:r w:rsidR="00C2602D" w:rsidRPr="004D5ADA">
        <w:t> :</w:t>
      </w:r>
      <w:r w:rsidRPr="004D5ADA">
        <w:t xml:space="preserve"> Quid est quod me </w:t>
      </w:r>
      <w:r w:rsidR="004D5ADA" w:rsidRPr="004D5ADA">
        <w:t>quærebátis</w:t>
      </w:r>
      <w:r w:rsidR="00D31267" w:rsidRPr="004D5ADA">
        <w:t> ?</w:t>
      </w:r>
      <w:r w:rsidRPr="004D5ADA">
        <w:t xml:space="preserve"> </w:t>
      </w:r>
      <w:r w:rsidR="004D5ADA" w:rsidRPr="004D5ADA">
        <w:t>nesciebátis</w:t>
      </w:r>
      <w:r w:rsidRPr="004D5ADA">
        <w:t xml:space="preserve"> quia in his qu</w:t>
      </w:r>
      <w:r w:rsidR="0037178C" w:rsidRPr="004D5ADA">
        <w:t>æ</w:t>
      </w:r>
      <w:r w:rsidRPr="004D5ADA">
        <w:t xml:space="preserve"> Patris mei sunt</w:t>
      </w:r>
      <w:r w:rsidR="00E65435" w:rsidRPr="004D5ADA">
        <w:t xml:space="preserve">, </w:t>
      </w:r>
      <w:r w:rsidR="004D5ADA" w:rsidRPr="004D5ADA">
        <w:t>opórtet</w:t>
      </w:r>
      <w:r w:rsidRPr="004D5ADA">
        <w:t xml:space="preserve"> me esse</w:t>
      </w:r>
      <w:r w:rsidR="00C2602D" w:rsidRPr="004D5ADA">
        <w:t> ?</w:t>
      </w:r>
      <w:r w:rsidRPr="004D5ADA">
        <w:t xml:space="preserve"> 50</w:t>
      </w:r>
      <w:r w:rsidR="00D31267" w:rsidRPr="004D5ADA">
        <w:t xml:space="preserve"> </w:t>
      </w:r>
      <w:r w:rsidR="004D5ADA">
        <w:t>Et ipsi non in</w:t>
      </w:r>
      <w:r w:rsidRPr="004D5ADA">
        <w:t>tel</w:t>
      </w:r>
      <w:r w:rsidR="00473B23" w:rsidRPr="004D5ADA">
        <w:t>lexérunt</w:t>
      </w:r>
      <w:r w:rsidR="004D5ADA">
        <w:t xml:space="preserve"> verbum</w:t>
      </w:r>
      <w:r w:rsidRPr="004D5ADA">
        <w:t xml:space="preserve"> quod </w:t>
      </w:r>
      <w:r w:rsidR="004D5ADA" w:rsidRPr="004D5ADA">
        <w:t>locútus</w:t>
      </w:r>
      <w:r w:rsidRPr="004D5ADA">
        <w:t xml:space="preserve"> est ad eos. 51 Et descendit cum eis</w:t>
      </w:r>
      <w:r w:rsidR="00E65435" w:rsidRPr="004D5ADA">
        <w:t xml:space="preserve">, </w:t>
      </w:r>
      <w:r w:rsidRPr="004D5ADA">
        <w:t>et venit Nazareth</w:t>
      </w:r>
      <w:r w:rsidR="00C2602D" w:rsidRPr="004D5ADA">
        <w:t> </w:t>
      </w:r>
      <w:r w:rsidR="007F6508" w:rsidRPr="004D5ADA">
        <w:t xml:space="preserve">; </w:t>
      </w:r>
      <w:r w:rsidRPr="004D5ADA">
        <w:t xml:space="preserve">et </w:t>
      </w:r>
      <w:r w:rsidR="004D5ADA">
        <w:t>e</w:t>
      </w:r>
      <w:r w:rsidRPr="004D5ADA">
        <w:t xml:space="preserve">rat </w:t>
      </w:r>
      <w:r w:rsidR="004D5ADA" w:rsidRPr="004D5ADA">
        <w:t>súbditus</w:t>
      </w:r>
      <w:r w:rsidRPr="004D5ADA">
        <w:t xml:space="preserve"> illis.</w:t>
      </w:r>
      <w:r w:rsidR="00C2602D" w:rsidRPr="004D5ADA">
        <w:t xml:space="preserve"> </w:t>
      </w:r>
    </w:p>
    <w:p w:rsidR="00D31267" w:rsidRPr="004D5ADA" w:rsidRDefault="00D31267" w:rsidP="00C2602D"/>
    <w:p w:rsidR="00C2602D" w:rsidRPr="00BA7108" w:rsidRDefault="00B704AD" w:rsidP="00BA7108">
      <w:pPr>
        <w:pStyle w:val="ewald7"/>
      </w:pPr>
      <w:r w:rsidRPr="00BA7108">
        <w:t>Et mater ejus cons</w:t>
      </w:r>
      <w:r w:rsidR="00206793" w:rsidRPr="00BA7108">
        <w:t>ervábat</w:t>
      </w:r>
      <w:r w:rsidRPr="00BA7108">
        <w:t xml:space="preserve"> </w:t>
      </w:r>
      <w:r w:rsidR="00992D87" w:rsidRPr="00BA7108">
        <w:t>ómnia</w:t>
      </w:r>
      <w:r w:rsidRPr="00BA7108">
        <w:t xml:space="preserve"> verba </w:t>
      </w:r>
      <w:r w:rsidR="00E37C84" w:rsidRPr="00BA7108">
        <w:t>hæ</w:t>
      </w:r>
      <w:r w:rsidR="00D31267" w:rsidRPr="00BA7108">
        <w:t>c in corde su</w:t>
      </w:r>
      <w:r w:rsidRPr="00BA7108">
        <w:t>o</w:t>
      </w:r>
      <w:r w:rsidR="00BA7108">
        <w:t>. 52 E</w:t>
      </w:r>
      <w:r w:rsidRPr="00BA7108">
        <w:t xml:space="preserve">t Jésus </w:t>
      </w:r>
      <w:r w:rsidR="004D5ADA" w:rsidRPr="00BA7108">
        <w:t>proficiébat</w:t>
      </w:r>
      <w:r w:rsidRPr="00BA7108">
        <w:t xml:space="preserve"> sapi</w:t>
      </w:r>
      <w:r w:rsidR="00652B4F" w:rsidRPr="00BA7108">
        <w:t>éntia</w:t>
      </w:r>
      <w:r w:rsidR="00E65435" w:rsidRPr="00BA7108">
        <w:t xml:space="preserve">, </w:t>
      </w:r>
      <w:r w:rsidR="004D5ADA" w:rsidRPr="00BA7108">
        <w:t>et ætáte</w:t>
      </w:r>
      <w:r w:rsidR="00E65435" w:rsidRPr="00BA7108">
        <w:t xml:space="preserve">, </w:t>
      </w:r>
      <w:r w:rsidRPr="00BA7108">
        <w:t>et g</w:t>
      </w:r>
      <w:r w:rsidR="004D031F" w:rsidRPr="00BA7108">
        <w:t>rátia</w:t>
      </w:r>
      <w:r w:rsidR="004D5ADA" w:rsidRPr="00BA7108">
        <w:t xml:space="preserve"> apud Deum et </w:t>
      </w:r>
      <w:r w:rsidR="005E62EB" w:rsidRPr="00BA7108">
        <w:t>hómines</w:t>
      </w:r>
      <w:r w:rsidRPr="00BA7108">
        <w:t>.</w:t>
      </w:r>
      <w:r w:rsidR="00C2602D" w:rsidRPr="00BA7108">
        <w:t xml:space="preserve"> </w:t>
      </w:r>
    </w:p>
    <w:p w:rsidR="00C2602D" w:rsidRPr="004D5ADA" w:rsidRDefault="00FC445E" w:rsidP="00BA7108">
      <w:pPr>
        <w:pStyle w:val="ewald7"/>
      </w:pPr>
      <w:r w:rsidRPr="00BA7108">
        <w:t>III</w:t>
      </w:r>
      <w:r w:rsidR="00B704AD" w:rsidRPr="00BA7108">
        <w:t>.</w:t>
      </w:r>
      <w:r w:rsidR="000F7DAA" w:rsidRPr="00BA7108">
        <w:t xml:space="preserve"> —</w:t>
      </w:r>
      <w:r w:rsidR="008D0642" w:rsidRPr="00BA7108">
        <w:t xml:space="preserve"> </w:t>
      </w:r>
      <w:r w:rsidR="00B704AD" w:rsidRPr="00BA7108">
        <w:t>1</w:t>
      </w:r>
      <w:r w:rsidR="004D5ADA" w:rsidRPr="00BA7108">
        <w:t xml:space="preserve"> Anno autem quintodécimo</w:t>
      </w:r>
      <w:r w:rsidR="00B704AD" w:rsidRPr="00BA7108">
        <w:t xml:space="preserve"> </w:t>
      </w:r>
      <w:r w:rsidR="004D5ADA" w:rsidRPr="00BA7108">
        <w:t>impérii</w:t>
      </w:r>
      <w:r w:rsidR="00B704AD" w:rsidRPr="00BA7108">
        <w:t xml:space="preserve"> </w:t>
      </w:r>
      <w:r w:rsidR="004D5ADA" w:rsidRPr="00BA7108">
        <w:t>Tibérii Cǽ</w:t>
      </w:r>
      <w:r w:rsidR="00B704AD" w:rsidRPr="00BA7108">
        <w:t>saris</w:t>
      </w:r>
      <w:r w:rsidR="00E65435" w:rsidRPr="00BA7108">
        <w:t xml:space="preserve">, </w:t>
      </w:r>
      <w:r w:rsidR="004D5ADA" w:rsidRPr="00BA7108">
        <w:t>procuránte</w:t>
      </w:r>
      <w:r w:rsidR="00D31267" w:rsidRPr="00BA7108">
        <w:t xml:space="preserve"> </w:t>
      </w:r>
      <w:r w:rsidR="004D5ADA" w:rsidRPr="00BA7108">
        <w:t>Póntio</w:t>
      </w:r>
      <w:r w:rsidR="00D31267" w:rsidRPr="00BA7108">
        <w:t xml:space="preserve">. </w:t>
      </w:r>
      <w:r w:rsidR="004D5ADA" w:rsidRPr="00BA7108">
        <w:t>Piláto</w:t>
      </w:r>
      <w:r w:rsidR="00D31267" w:rsidRPr="00BA7108">
        <w:t xml:space="preserve"> Judǽ</w:t>
      </w:r>
      <w:r w:rsidR="00B704AD" w:rsidRPr="00BA7108">
        <w:t>am</w:t>
      </w:r>
      <w:r w:rsidR="00E65435" w:rsidRPr="00BA7108">
        <w:t xml:space="preserve">, </w:t>
      </w:r>
      <w:r w:rsidR="004D5ADA" w:rsidRPr="00BA7108">
        <w:t>tetrárcha</w:t>
      </w:r>
      <w:r w:rsidR="00D31267" w:rsidRPr="00BA7108">
        <w:t xml:space="preserve"> autem Galilǽ</w:t>
      </w:r>
      <w:r w:rsidR="0037178C" w:rsidRPr="00BA7108">
        <w:t>æ</w:t>
      </w:r>
      <w:r w:rsidR="00D31267" w:rsidRPr="00BA7108">
        <w:t xml:space="preserve"> </w:t>
      </w:r>
      <w:r w:rsidR="004D5ADA" w:rsidRPr="00BA7108">
        <w:t>Heróde</w:t>
      </w:r>
      <w:r w:rsidR="00E65435" w:rsidRPr="00BA7108">
        <w:t xml:space="preserve">, </w:t>
      </w:r>
      <w:r w:rsidR="004D5ADA" w:rsidRPr="00BA7108">
        <w:t>Philíppo</w:t>
      </w:r>
      <w:r w:rsidR="00B704AD" w:rsidRPr="00BA7108">
        <w:t xml:space="preserve"> autem</w:t>
      </w:r>
      <w:r w:rsidR="00E65435" w:rsidRPr="00BA7108">
        <w:t xml:space="preserve">, </w:t>
      </w:r>
      <w:r w:rsidR="00B704AD" w:rsidRPr="00BA7108">
        <w:t>fratre ejus</w:t>
      </w:r>
      <w:r w:rsidR="00E65435" w:rsidRPr="00BA7108">
        <w:t xml:space="preserve">, </w:t>
      </w:r>
      <w:r w:rsidR="004D5ADA" w:rsidRPr="00BA7108">
        <w:t>tetrárcha Iturǽæ</w:t>
      </w:r>
      <w:r w:rsidR="00B704AD" w:rsidRPr="00BA7108">
        <w:t xml:space="preserve"> et </w:t>
      </w:r>
      <w:r w:rsidR="004D5ADA" w:rsidRPr="00BA7108">
        <w:t>Trachonítidis</w:t>
      </w:r>
      <w:r w:rsidR="00B704AD" w:rsidRPr="00BA7108">
        <w:t xml:space="preserve"> reg</w:t>
      </w:r>
      <w:r w:rsidR="000B732C" w:rsidRPr="00BA7108">
        <w:t>iónis</w:t>
      </w:r>
      <w:r w:rsidR="00E65435" w:rsidRPr="00BA7108">
        <w:t xml:space="preserve">, </w:t>
      </w:r>
      <w:r w:rsidR="00D31267" w:rsidRPr="00BA7108">
        <w:t xml:space="preserve">et </w:t>
      </w:r>
      <w:r w:rsidR="004D5ADA" w:rsidRPr="00BA7108">
        <w:t>Lysánia</w:t>
      </w:r>
      <w:r w:rsidR="00D31267" w:rsidRPr="00BA7108">
        <w:t xml:space="preserve"> </w:t>
      </w:r>
      <w:r w:rsidR="004D5ADA" w:rsidRPr="00BA7108">
        <w:t>Abilínæ</w:t>
      </w:r>
      <w:r w:rsidR="00D31267" w:rsidRPr="00BA7108">
        <w:t xml:space="preserve"> </w:t>
      </w:r>
      <w:r w:rsidR="004D5ADA" w:rsidRPr="00BA7108">
        <w:t>tetrárcha</w:t>
      </w:r>
      <w:r w:rsidR="00D31267" w:rsidRPr="00BA7108">
        <w:t>, 2</w:t>
      </w:r>
      <w:r w:rsidR="00B704AD" w:rsidRPr="00BA7108">
        <w:t xml:space="preserve"> sub </w:t>
      </w:r>
      <w:r w:rsidR="004D5ADA" w:rsidRPr="00BA7108">
        <w:t>princípibus sacerdótum Anna et Cáipha</w:t>
      </w:r>
      <w:r w:rsidR="00E65435" w:rsidRPr="00BA7108">
        <w:t xml:space="preserve">, </w:t>
      </w:r>
      <w:r w:rsidR="00B704AD" w:rsidRPr="00BA7108">
        <w:t>factum est verbum D</w:t>
      </w:r>
      <w:r w:rsidR="004D031F" w:rsidRPr="00BA7108">
        <w:t>ómini</w:t>
      </w:r>
      <w:r w:rsidR="00B704AD" w:rsidRPr="00BA7108">
        <w:t xml:space="preserve"> super </w:t>
      </w:r>
      <w:r w:rsidR="004D5ADA" w:rsidRPr="00BA7108">
        <w:t>Joánnem</w:t>
      </w:r>
      <w:r w:rsidR="00E65435" w:rsidRPr="00BA7108">
        <w:t xml:space="preserve">, </w:t>
      </w:r>
      <w:r w:rsidR="004D5ADA" w:rsidRPr="00BA7108">
        <w:t>Zacharíæ</w:t>
      </w:r>
      <w:r w:rsidR="00D31267" w:rsidRPr="00BA7108">
        <w:t xml:space="preserve"> fí</w:t>
      </w:r>
      <w:r w:rsidR="00B704AD" w:rsidRPr="00BA7108">
        <w:t>lium</w:t>
      </w:r>
      <w:r w:rsidR="00E65435" w:rsidRPr="00BA7108">
        <w:t xml:space="preserve">, </w:t>
      </w:r>
      <w:r w:rsidR="00B704AD" w:rsidRPr="00BA7108">
        <w:t xml:space="preserve">in </w:t>
      </w:r>
      <w:r w:rsidR="004D5ADA" w:rsidRPr="00BA7108">
        <w:t>desérto</w:t>
      </w:r>
      <w:r w:rsidR="00B704AD" w:rsidRPr="00BA7108">
        <w:t xml:space="preserve">. </w:t>
      </w:r>
      <w:r w:rsidR="00D31267" w:rsidRPr="00BA7108">
        <w:t>3</w:t>
      </w:r>
      <w:r w:rsidR="00B704AD" w:rsidRPr="00BA7108">
        <w:t xml:space="preserve"> Et venit in omnem </w:t>
      </w:r>
      <w:r w:rsidR="004D5ADA" w:rsidRPr="00BA7108">
        <w:t>regiónem</w:t>
      </w:r>
      <w:r w:rsidR="00B704AD" w:rsidRPr="00BA7108">
        <w:t xml:space="preserve"> </w:t>
      </w:r>
      <w:r w:rsidR="004D5ADA" w:rsidRPr="00BA7108">
        <w:t>Jordánis</w:t>
      </w:r>
      <w:r w:rsidR="00E65435" w:rsidRPr="00BA7108">
        <w:t xml:space="preserve">, </w:t>
      </w:r>
      <w:r w:rsidR="004D5ADA" w:rsidRPr="00BA7108">
        <w:t>prǽdicans</w:t>
      </w:r>
      <w:r w:rsidR="00B704AD" w:rsidRPr="00BA7108">
        <w:t xml:space="preserve"> </w:t>
      </w:r>
      <w:r w:rsidR="004D5ADA" w:rsidRPr="00BA7108">
        <w:t>baptísmum pœ</w:t>
      </w:r>
      <w:r w:rsidR="00B704AD" w:rsidRPr="00BA7108">
        <w:t>nit</w:t>
      </w:r>
      <w:r w:rsidR="00652B4F" w:rsidRPr="00BA7108">
        <w:t>éntiæ</w:t>
      </w:r>
      <w:r w:rsidR="00B704AD" w:rsidRPr="00BA7108">
        <w:t xml:space="preserve"> in </w:t>
      </w:r>
      <w:r w:rsidR="004D5ADA" w:rsidRPr="00BA7108">
        <w:t>remissiónem</w:t>
      </w:r>
      <w:r w:rsidR="00B704AD" w:rsidRPr="00BA7108">
        <w:t xml:space="preserve"> peccat</w:t>
      </w:r>
      <w:r w:rsidR="003A07A7" w:rsidRPr="00BA7108">
        <w:t>órum</w:t>
      </w:r>
      <w:r w:rsidR="00E65435" w:rsidRPr="00BA7108">
        <w:t xml:space="preserve">, </w:t>
      </w:r>
      <w:r w:rsidR="00D31267" w:rsidRPr="00BA7108">
        <w:t>4</w:t>
      </w:r>
      <w:r w:rsidR="00B704AD" w:rsidRPr="00BA7108">
        <w:t xml:space="preserve"> sicut </w:t>
      </w:r>
      <w:r w:rsidR="004D5ADA" w:rsidRPr="00BA7108">
        <w:t>scriptúra est in</w:t>
      </w:r>
      <w:r w:rsidR="004D5ADA">
        <w:t xml:space="preserve"> libre sermónum</w:t>
      </w:r>
      <w:r w:rsidR="00D31267" w:rsidRPr="004D5ADA">
        <w:t xml:space="preserve"> </w:t>
      </w:r>
      <w:r w:rsidR="004D5ADA" w:rsidRPr="004D5ADA">
        <w:t>Isaíæ</w:t>
      </w:r>
      <w:r w:rsidR="00D31267" w:rsidRPr="004D5ADA">
        <w:t xml:space="preserve"> </w:t>
      </w:r>
      <w:r w:rsidR="004D5ADA" w:rsidRPr="004D5ADA">
        <w:t>prophétæ</w:t>
      </w:r>
      <w:r w:rsidR="00C2602D" w:rsidRPr="004D5ADA">
        <w:t> :</w:t>
      </w:r>
      <w:r w:rsidR="00B704AD" w:rsidRPr="004D5ADA">
        <w:t xml:space="preserve"> Vox c</w:t>
      </w:r>
      <w:r w:rsidR="00E939E7" w:rsidRPr="004D5ADA">
        <w:t>lamántis</w:t>
      </w:r>
      <w:r w:rsidR="00B704AD" w:rsidRPr="004D5ADA">
        <w:t xml:space="preserve"> in </w:t>
      </w:r>
      <w:r w:rsidR="004D5ADA" w:rsidRPr="004D5ADA">
        <w:t>desérto</w:t>
      </w:r>
      <w:r w:rsidR="00C2602D" w:rsidRPr="004D5ADA">
        <w:t> :</w:t>
      </w:r>
      <w:r w:rsidR="00D31267" w:rsidRPr="004D5ADA">
        <w:t xml:space="preserve"> </w:t>
      </w:r>
      <w:r w:rsidR="004D5ADA" w:rsidRPr="004D5ADA">
        <w:t>Paráte</w:t>
      </w:r>
      <w:r w:rsidR="00D31267" w:rsidRPr="004D5ADA">
        <w:t xml:space="preserve"> v</w:t>
      </w:r>
      <w:r w:rsidR="00B704AD" w:rsidRPr="004D5ADA">
        <w:t>iam D</w:t>
      </w:r>
      <w:r w:rsidR="004D031F" w:rsidRPr="004D5ADA">
        <w:t>ómini</w:t>
      </w:r>
      <w:r w:rsidR="00C2602D" w:rsidRPr="004D5ADA">
        <w:t> </w:t>
      </w:r>
      <w:r w:rsidR="007F6508" w:rsidRPr="004D5ADA">
        <w:t xml:space="preserve">; </w:t>
      </w:r>
      <w:r w:rsidR="004D5ADA">
        <w:t>rectas fácile sém</w:t>
      </w:r>
      <w:r w:rsidR="004D5ADA" w:rsidRPr="004D5ADA">
        <w:t>itas</w:t>
      </w:r>
      <w:r w:rsidR="00D31267" w:rsidRPr="004D5ADA">
        <w:t xml:space="preserve"> ejus. 5</w:t>
      </w:r>
      <w:r w:rsidR="00B704AD" w:rsidRPr="004D5ADA">
        <w:t xml:space="preserve"> Omnis vallis </w:t>
      </w:r>
      <w:r w:rsidR="004D5ADA" w:rsidRPr="004D5ADA">
        <w:t>imp</w:t>
      </w:r>
      <w:r w:rsidR="004D5ADA">
        <w:t>lé</w:t>
      </w:r>
      <w:r w:rsidR="004D5ADA" w:rsidRPr="004D5ADA">
        <w:t>bitur</w:t>
      </w:r>
      <w:r w:rsidR="00E65435" w:rsidRPr="004D5ADA">
        <w:t xml:space="preserve">, </w:t>
      </w:r>
      <w:r w:rsidR="00B704AD" w:rsidRPr="004D5ADA">
        <w:t>et omnis mons et collis hum</w:t>
      </w:r>
      <w:r w:rsidR="0096412E" w:rsidRPr="004D5ADA">
        <w:t>iliábitur</w:t>
      </w:r>
      <w:r w:rsidR="00E65435" w:rsidRPr="004D5ADA">
        <w:t xml:space="preserve">, </w:t>
      </w:r>
      <w:r w:rsidR="00B704AD" w:rsidRPr="004D5ADA">
        <w:t xml:space="preserve">et erunt prava in </w:t>
      </w:r>
      <w:r w:rsidR="004D5ADA" w:rsidRPr="004D5ADA">
        <w:t>dirécta</w:t>
      </w:r>
      <w:r w:rsidR="00E65435" w:rsidRPr="004D5ADA">
        <w:t xml:space="preserve">, </w:t>
      </w:r>
      <w:r w:rsidR="00B704AD" w:rsidRPr="004D5ADA">
        <w:t xml:space="preserve">et </w:t>
      </w:r>
      <w:r w:rsidR="004D5ADA" w:rsidRPr="004D5ADA">
        <w:t>áspera</w:t>
      </w:r>
      <w:r w:rsidR="004D5ADA">
        <w:t xml:space="preserve"> in</w:t>
      </w:r>
      <w:r w:rsidR="00B704AD" w:rsidRPr="004D5ADA">
        <w:t xml:space="preserve"> vias planas</w:t>
      </w:r>
      <w:r w:rsidR="00C2602D" w:rsidRPr="004D5ADA">
        <w:t> </w:t>
      </w:r>
      <w:r w:rsidR="007F6508" w:rsidRPr="004D5ADA">
        <w:t xml:space="preserve">; </w:t>
      </w:r>
      <w:r w:rsidR="00D31267" w:rsidRPr="004D5ADA">
        <w:t>6</w:t>
      </w:r>
      <w:r w:rsidR="00B704AD" w:rsidRPr="004D5ADA">
        <w:t xml:space="preserve"> et </w:t>
      </w:r>
      <w:r w:rsidR="00473B23" w:rsidRPr="004D5ADA">
        <w:t>vidébit</w:t>
      </w:r>
      <w:r w:rsidR="00B704AD" w:rsidRPr="004D5ADA">
        <w:t xml:space="preserve"> omnis caro </w:t>
      </w:r>
      <w:r w:rsidR="004D5ADA" w:rsidRPr="004D5ADA">
        <w:t>salutáre</w:t>
      </w:r>
      <w:r w:rsidR="00B704AD" w:rsidRPr="004D5ADA">
        <w:t xml:space="preserve"> Dei.</w:t>
      </w:r>
      <w:r w:rsidR="00D31267" w:rsidRPr="004D5ADA">
        <w:t xml:space="preserve"> 7</w:t>
      </w:r>
      <w:r w:rsidR="00E65435" w:rsidRPr="004D5ADA">
        <w:t xml:space="preserve"> </w:t>
      </w:r>
      <w:r w:rsidR="00473B23" w:rsidRPr="004D5ADA">
        <w:t>Dicébat</w:t>
      </w:r>
      <w:r w:rsidR="00B704AD" w:rsidRPr="004D5ADA">
        <w:t xml:space="preserve"> ergo ad turbas quas </w:t>
      </w:r>
      <w:r w:rsidR="004D5ADA" w:rsidRPr="004D5ADA">
        <w:t>exíbant</w:t>
      </w:r>
      <w:r w:rsidR="00B704AD" w:rsidRPr="004D5ADA">
        <w:t xml:space="preserve"> ut </w:t>
      </w:r>
      <w:r w:rsidR="004D5ADA" w:rsidRPr="004D5ADA">
        <w:t>baptizaréntur</w:t>
      </w:r>
      <w:r w:rsidR="00B704AD" w:rsidRPr="004D5ADA">
        <w:t xml:space="preserve"> ab ipso</w:t>
      </w:r>
      <w:r w:rsidR="00C2602D" w:rsidRPr="004D5ADA">
        <w:t xml:space="preserve"> : </w:t>
      </w:r>
    </w:p>
    <w:p w:rsidR="00D31267" w:rsidRPr="004D5ADA" w:rsidRDefault="00D31267" w:rsidP="00C2602D"/>
    <w:p w:rsidR="00C2602D" w:rsidRPr="004D5ADA" w:rsidRDefault="004D5ADA" w:rsidP="005E62EB">
      <w:pPr>
        <w:pStyle w:val="ewald2"/>
      </w:pPr>
      <w:r w:rsidRPr="004D5ADA">
        <w:t>Genímina</w:t>
      </w:r>
      <w:r w:rsidR="00B704AD" w:rsidRPr="004D5ADA">
        <w:t xml:space="preserve"> vip</w:t>
      </w:r>
      <w:r w:rsidR="00C21120" w:rsidRPr="004D5ADA">
        <w:t>erárum</w:t>
      </w:r>
      <w:r w:rsidR="00E65435" w:rsidRPr="004D5ADA">
        <w:t xml:space="preserve">, </w:t>
      </w:r>
      <w:r w:rsidR="00B704AD" w:rsidRPr="004D5ADA">
        <w:t xml:space="preserve">quis </w:t>
      </w:r>
      <w:r w:rsidRPr="004D5ADA">
        <w:t>osténdit</w:t>
      </w:r>
      <w:r w:rsidR="00B704AD" w:rsidRPr="004D5ADA">
        <w:t xml:space="preserve"> vobis </w:t>
      </w:r>
      <w:r w:rsidRPr="004D5ADA">
        <w:t>fúgere</w:t>
      </w:r>
      <w:r w:rsidR="00B704AD" w:rsidRPr="004D5ADA">
        <w:t xml:space="preserve"> a </w:t>
      </w:r>
      <w:r w:rsidRPr="004D5ADA">
        <w:t>ventúra</w:t>
      </w:r>
      <w:r w:rsidR="00B704AD" w:rsidRPr="004D5ADA">
        <w:t xml:space="preserve"> ira</w:t>
      </w:r>
      <w:r w:rsidR="00C2602D" w:rsidRPr="004D5ADA">
        <w:t> ?</w:t>
      </w:r>
      <w:r w:rsidR="00D31267" w:rsidRPr="004D5ADA">
        <w:t xml:space="preserve"> 8 </w:t>
      </w:r>
      <w:r w:rsidRPr="004D5ADA">
        <w:t>Fácite</w:t>
      </w:r>
      <w:r w:rsidR="00D31267" w:rsidRPr="004D5ADA">
        <w:t xml:space="preserve"> ergo fructus dignos pœnit</w:t>
      </w:r>
      <w:r w:rsidR="00652B4F" w:rsidRPr="004D5ADA">
        <w:t>éntiæ</w:t>
      </w:r>
      <w:r w:rsidR="00C2602D" w:rsidRPr="004D5ADA">
        <w:t> </w:t>
      </w:r>
      <w:r w:rsidR="007F6508" w:rsidRPr="004D5ADA">
        <w:t xml:space="preserve">; </w:t>
      </w:r>
      <w:r w:rsidR="00B704AD" w:rsidRPr="004D5ADA">
        <w:t xml:space="preserve">et ne </w:t>
      </w:r>
      <w:r w:rsidRPr="004D5ADA">
        <w:t>cœpéritis</w:t>
      </w:r>
      <w:r w:rsidR="00B704AD" w:rsidRPr="004D5ADA">
        <w:t xml:space="preserve"> </w:t>
      </w:r>
      <w:r w:rsidRPr="004D5ADA">
        <w:t>dícere</w:t>
      </w:r>
      <w:r w:rsidR="00C2602D" w:rsidRPr="004D5ADA">
        <w:t> :</w:t>
      </w:r>
      <w:r w:rsidR="00B704AD" w:rsidRPr="004D5ADA">
        <w:t xml:space="preserve"> Patrem </w:t>
      </w:r>
      <w:r w:rsidRPr="004D5ADA">
        <w:t>habémus</w:t>
      </w:r>
      <w:r w:rsidR="00B704AD" w:rsidRPr="004D5ADA">
        <w:t xml:space="preserve"> Abraham. Dico enim vobis</w:t>
      </w:r>
      <w:r w:rsidR="00E65435" w:rsidRPr="004D5ADA">
        <w:t xml:space="preserve">, </w:t>
      </w:r>
      <w:r w:rsidR="00B704AD" w:rsidRPr="004D5ADA">
        <w:t xml:space="preserve">quia </w:t>
      </w:r>
      <w:r w:rsidRPr="004D5ADA">
        <w:t>potens</w:t>
      </w:r>
      <w:r w:rsidR="00B704AD" w:rsidRPr="004D5ADA">
        <w:t xml:space="preserve"> est Deus de lap</w:t>
      </w:r>
      <w:r w:rsidR="00356A5E" w:rsidRPr="004D5ADA">
        <w:t>ídibus</w:t>
      </w:r>
      <w:r w:rsidR="00B704AD" w:rsidRPr="004D5ADA">
        <w:t xml:space="preserve"> istis </w:t>
      </w:r>
      <w:r w:rsidRPr="004D5ADA">
        <w:t>suscitáre</w:t>
      </w:r>
      <w:r w:rsidR="00B704AD" w:rsidRPr="004D5ADA">
        <w:t xml:space="preserve"> </w:t>
      </w:r>
      <w:r w:rsidRPr="004D5ADA">
        <w:t>fílios</w:t>
      </w:r>
      <w:r w:rsidR="00B704AD" w:rsidRPr="004D5ADA">
        <w:t xml:space="preserve"> </w:t>
      </w:r>
      <w:r w:rsidRPr="004D5ADA">
        <w:t>Abráhæ</w:t>
      </w:r>
      <w:r w:rsidR="00B704AD" w:rsidRPr="004D5ADA">
        <w:t xml:space="preserve">. 9 Jam enim </w:t>
      </w:r>
      <w:r w:rsidRPr="004D5ADA">
        <w:t>secúris</w:t>
      </w:r>
      <w:r w:rsidR="00B704AD" w:rsidRPr="004D5ADA">
        <w:t xml:space="preserve"> ad </w:t>
      </w:r>
      <w:r w:rsidRPr="004D5ADA">
        <w:t>radícem</w:t>
      </w:r>
      <w:r w:rsidR="00B704AD" w:rsidRPr="004D5ADA">
        <w:t xml:space="preserve"> </w:t>
      </w:r>
      <w:r w:rsidRPr="004D5ADA">
        <w:t>árborum</w:t>
      </w:r>
      <w:r w:rsidR="00B704AD" w:rsidRPr="004D5ADA">
        <w:t xml:space="preserve"> </w:t>
      </w:r>
      <w:r w:rsidRPr="004D5ADA">
        <w:t>pósita</w:t>
      </w:r>
      <w:r w:rsidR="00B704AD" w:rsidRPr="004D5ADA">
        <w:t xml:space="preserve"> est. Omnis ergo arbor non </w:t>
      </w:r>
      <w:r w:rsidRPr="004D5ADA">
        <w:t>fáciens</w:t>
      </w:r>
      <w:r w:rsidR="00B704AD" w:rsidRPr="004D5ADA">
        <w:t xml:space="preserve"> fructum bonum </w:t>
      </w:r>
      <w:r w:rsidRPr="004D5ADA">
        <w:t>excidétur</w:t>
      </w:r>
      <w:r w:rsidR="00E65435" w:rsidRPr="004D5ADA">
        <w:t xml:space="preserve">, </w:t>
      </w:r>
      <w:r w:rsidR="00B704AD" w:rsidRPr="004D5ADA">
        <w:t xml:space="preserve">et in ignem </w:t>
      </w:r>
      <w:r w:rsidRPr="004D5ADA">
        <w:t>mittétur</w:t>
      </w:r>
      <w:r w:rsidR="00B704AD" w:rsidRPr="004D5ADA">
        <w:t>.</w:t>
      </w:r>
      <w:r w:rsidR="00C2602D" w:rsidRPr="004D5ADA">
        <w:t xml:space="preserve"> </w:t>
      </w:r>
    </w:p>
    <w:p w:rsidR="00D31267" w:rsidRPr="004D5ADA" w:rsidRDefault="00D31267" w:rsidP="00C2602D"/>
    <w:p w:rsidR="00C2602D" w:rsidRPr="005E62EB" w:rsidRDefault="00B704AD" w:rsidP="005E62EB">
      <w:pPr>
        <w:pStyle w:val="ewald7"/>
      </w:pPr>
      <w:r w:rsidRPr="005E62EB">
        <w:t>10 Et inter</w:t>
      </w:r>
      <w:r w:rsidR="00356A5E" w:rsidRPr="005E62EB">
        <w:t>rogábant</w:t>
      </w:r>
      <w:r w:rsidR="004D5ADA" w:rsidRPr="005E62EB">
        <w:t xml:space="preserve"> eum</w:t>
      </w:r>
      <w:r w:rsidRPr="005E62EB">
        <w:t xml:space="preserve"> turb</w:t>
      </w:r>
      <w:r w:rsidR="00E37C84" w:rsidRPr="005E62EB">
        <w:t>æ</w:t>
      </w:r>
      <w:r w:rsidR="00E65435" w:rsidRPr="005E62EB">
        <w:t xml:space="preserve">, </w:t>
      </w:r>
      <w:r w:rsidR="004D5ADA" w:rsidRPr="005E62EB">
        <w:t>dicéntes</w:t>
      </w:r>
      <w:r w:rsidR="00C2602D" w:rsidRPr="005E62EB">
        <w:t> :</w:t>
      </w:r>
      <w:r w:rsidRPr="005E62EB">
        <w:t xml:space="preserve"> Quid ergo </w:t>
      </w:r>
      <w:r w:rsidR="004D5ADA" w:rsidRPr="005E62EB">
        <w:t>faciémus</w:t>
      </w:r>
      <w:r w:rsidR="00C2602D" w:rsidRPr="005E62EB">
        <w:t> ?</w:t>
      </w:r>
      <w:r w:rsidRPr="005E62EB">
        <w:t xml:space="preserve"> </w:t>
      </w:r>
      <w:r w:rsidR="00D31267" w:rsidRPr="005E62EB">
        <w:t>11</w:t>
      </w:r>
      <w:r w:rsidRPr="005E62EB">
        <w:t xml:space="preserve"> </w:t>
      </w:r>
      <w:r w:rsidR="004D5ADA" w:rsidRPr="005E62EB">
        <w:t>Respóndens</w:t>
      </w:r>
      <w:r w:rsidRPr="005E62EB">
        <w:t xml:space="preserve"> autem </w:t>
      </w:r>
      <w:r w:rsidR="00473B23" w:rsidRPr="005E62EB">
        <w:t>dicébat</w:t>
      </w:r>
      <w:r w:rsidRPr="005E62EB">
        <w:t xml:space="preserve"> illis</w:t>
      </w:r>
      <w:r w:rsidR="00C2602D" w:rsidRPr="005E62EB">
        <w:t> :</w:t>
      </w:r>
      <w:r w:rsidRPr="005E62EB">
        <w:t xml:space="preserve"> Qui habet duas </w:t>
      </w:r>
      <w:r w:rsidR="004D5ADA" w:rsidRPr="005E62EB">
        <w:t>túnicas</w:t>
      </w:r>
      <w:r w:rsidR="00E65435" w:rsidRPr="005E62EB">
        <w:t xml:space="preserve">, </w:t>
      </w:r>
      <w:r w:rsidRPr="005E62EB">
        <w:t xml:space="preserve">det non </w:t>
      </w:r>
      <w:r w:rsidR="004D5ADA" w:rsidRPr="005E62EB">
        <w:t>habénti</w:t>
      </w:r>
      <w:r w:rsidR="00C2602D" w:rsidRPr="005E62EB">
        <w:t> </w:t>
      </w:r>
      <w:r w:rsidR="007F6508" w:rsidRPr="005E62EB">
        <w:t xml:space="preserve">; </w:t>
      </w:r>
      <w:r w:rsidR="00D31267" w:rsidRPr="005E62EB">
        <w:t>ut qui habe</w:t>
      </w:r>
      <w:r w:rsidRPr="005E62EB">
        <w:t>t</w:t>
      </w:r>
      <w:r w:rsidR="004D5ADA" w:rsidRPr="005E62EB">
        <w:t xml:space="preserve"> esca</w:t>
      </w:r>
      <w:r w:rsidRPr="005E62EB">
        <w:t>s</w:t>
      </w:r>
      <w:r w:rsidR="00E65435" w:rsidRPr="005E62EB">
        <w:t xml:space="preserve">, </w:t>
      </w:r>
      <w:r w:rsidR="004D5ADA" w:rsidRPr="005E62EB">
        <w:t>simíliter fáciat</w:t>
      </w:r>
      <w:r w:rsidR="00D31267" w:rsidRPr="005E62EB">
        <w:t xml:space="preserve"> 12</w:t>
      </w:r>
      <w:r w:rsidRPr="005E62EB">
        <w:t xml:space="preserve"> </w:t>
      </w:r>
      <w:r w:rsidR="00473B23" w:rsidRPr="005E62EB">
        <w:t>Venérunt</w:t>
      </w:r>
      <w:r w:rsidRPr="005E62EB">
        <w:t xml:space="preserve"> autem et </w:t>
      </w:r>
      <w:r w:rsidR="004D5ADA" w:rsidRPr="005E62EB">
        <w:t>publicáni</w:t>
      </w:r>
      <w:r w:rsidRPr="005E62EB">
        <w:t xml:space="preserve"> ut bapti</w:t>
      </w:r>
      <w:r w:rsidR="00C21120" w:rsidRPr="005E62EB">
        <w:t>zaréntur</w:t>
      </w:r>
      <w:r w:rsidR="00E65435" w:rsidRPr="005E62EB">
        <w:t xml:space="preserve">, </w:t>
      </w:r>
      <w:r w:rsidR="004D5ADA" w:rsidRPr="005E62EB">
        <w:t>et dixérunt</w:t>
      </w:r>
      <w:r w:rsidRPr="005E62EB">
        <w:t xml:space="preserve"> ad illum</w:t>
      </w:r>
      <w:r w:rsidR="00C2602D" w:rsidRPr="005E62EB">
        <w:t> :</w:t>
      </w:r>
      <w:r w:rsidRPr="005E62EB">
        <w:t xml:space="preserve"> Magister</w:t>
      </w:r>
      <w:r w:rsidR="00E65435" w:rsidRPr="005E62EB">
        <w:t xml:space="preserve">, </w:t>
      </w:r>
      <w:r w:rsidRPr="005E62EB">
        <w:t xml:space="preserve">quid </w:t>
      </w:r>
      <w:r w:rsidR="004D5ADA" w:rsidRPr="005E62EB">
        <w:t>faciémus</w:t>
      </w:r>
      <w:r w:rsidR="00C2602D" w:rsidRPr="005E62EB">
        <w:t> ?</w:t>
      </w:r>
      <w:r w:rsidR="004D5ADA" w:rsidRPr="005E62EB">
        <w:t xml:space="preserve"> </w:t>
      </w:r>
      <w:r w:rsidRPr="005E62EB">
        <w:t>13</w:t>
      </w:r>
      <w:r w:rsidR="004D5ADA" w:rsidRPr="005E62EB">
        <w:t xml:space="preserve"> At ille dixit ad e</w:t>
      </w:r>
      <w:r w:rsidRPr="005E62EB">
        <w:t>os</w:t>
      </w:r>
      <w:r w:rsidR="00C2602D" w:rsidRPr="005E62EB">
        <w:t> :</w:t>
      </w:r>
      <w:r w:rsidRPr="005E62EB">
        <w:t xml:space="preserve"> Nihil </w:t>
      </w:r>
      <w:r w:rsidR="004D5ADA" w:rsidRPr="005E62EB">
        <w:t>ámplius</w:t>
      </w:r>
      <w:r w:rsidRPr="005E62EB">
        <w:t xml:space="preserve"> quam quod </w:t>
      </w:r>
      <w:r w:rsidR="004D5ADA" w:rsidRPr="005E62EB">
        <w:t>constitútum</w:t>
      </w:r>
      <w:r w:rsidRPr="005E62EB">
        <w:t xml:space="preserve"> est vobis </w:t>
      </w:r>
      <w:r w:rsidR="004D5ADA" w:rsidRPr="005E62EB">
        <w:t>faciátis</w:t>
      </w:r>
      <w:r w:rsidRPr="005E62EB">
        <w:t xml:space="preserve">. </w:t>
      </w:r>
      <w:r w:rsidR="004D5ADA" w:rsidRPr="005E62EB">
        <w:t>14</w:t>
      </w:r>
      <w:r w:rsidRPr="005E62EB">
        <w:t xml:space="preserve"> Inter</w:t>
      </w:r>
      <w:r w:rsidR="00356A5E" w:rsidRPr="005E62EB">
        <w:t>rogábant</w:t>
      </w:r>
      <w:r w:rsidRPr="005E62EB">
        <w:t xml:space="preserve"> autem eum et milites</w:t>
      </w:r>
      <w:r w:rsidR="00E65435" w:rsidRPr="005E62EB">
        <w:t xml:space="preserve">, </w:t>
      </w:r>
      <w:r w:rsidR="004D5ADA" w:rsidRPr="005E62EB">
        <w:t>dicéntes</w:t>
      </w:r>
      <w:r w:rsidR="00C2602D" w:rsidRPr="005E62EB">
        <w:t> :</w:t>
      </w:r>
      <w:r w:rsidRPr="005E62EB">
        <w:t xml:space="preserve"> Quid </w:t>
      </w:r>
      <w:r w:rsidR="004D5ADA" w:rsidRPr="005E62EB">
        <w:t>faciémus</w:t>
      </w:r>
      <w:r w:rsidRPr="005E62EB">
        <w:t xml:space="preserve"> et nos</w:t>
      </w:r>
      <w:r w:rsidR="00C2602D" w:rsidRPr="005E62EB">
        <w:t> ?</w:t>
      </w:r>
      <w:r w:rsidRPr="005E62EB">
        <w:t xml:space="preserve"> Et ait illis</w:t>
      </w:r>
      <w:r w:rsidR="00C2602D" w:rsidRPr="005E62EB">
        <w:t> :</w:t>
      </w:r>
      <w:r w:rsidRPr="005E62EB">
        <w:t xml:space="preserve"> </w:t>
      </w:r>
      <w:r w:rsidR="004D5ADA" w:rsidRPr="005E62EB">
        <w:t>Néminem</w:t>
      </w:r>
      <w:r w:rsidRPr="005E62EB">
        <w:t xml:space="preserve"> </w:t>
      </w:r>
      <w:r w:rsidR="004D5ADA" w:rsidRPr="005E62EB">
        <w:t>concutiátis</w:t>
      </w:r>
      <w:r w:rsidR="00E65435" w:rsidRPr="005E62EB">
        <w:t xml:space="preserve">, </w:t>
      </w:r>
      <w:r w:rsidRPr="005E62EB">
        <w:t xml:space="preserve">neque </w:t>
      </w:r>
      <w:r w:rsidR="004D5ADA" w:rsidRPr="005E62EB">
        <w:t>calúmniam</w:t>
      </w:r>
      <w:r w:rsidRPr="005E62EB">
        <w:t xml:space="preserve"> </w:t>
      </w:r>
      <w:r w:rsidR="004D5ADA" w:rsidRPr="005E62EB">
        <w:t>faciátis</w:t>
      </w:r>
      <w:r w:rsidR="00E65435" w:rsidRPr="005E62EB">
        <w:t xml:space="preserve">, </w:t>
      </w:r>
      <w:r w:rsidRPr="005E62EB">
        <w:t xml:space="preserve">et </w:t>
      </w:r>
      <w:r w:rsidR="004D5ADA" w:rsidRPr="005E62EB">
        <w:t>conténti</w:t>
      </w:r>
      <w:r w:rsidRPr="005E62EB">
        <w:t xml:space="preserve"> </w:t>
      </w:r>
      <w:r w:rsidR="004D5ADA" w:rsidRPr="005E62EB">
        <w:t>estóte</w:t>
      </w:r>
      <w:r w:rsidRPr="005E62EB">
        <w:t xml:space="preserve"> </w:t>
      </w:r>
      <w:r w:rsidR="004D5ADA" w:rsidRPr="005E62EB">
        <w:t>stipéndiis</w:t>
      </w:r>
      <w:r w:rsidRPr="005E62EB">
        <w:t xml:space="preserve"> vestris.</w:t>
      </w:r>
      <w:r w:rsidR="00C2602D" w:rsidRPr="005E62EB">
        <w:t xml:space="preserve"> </w:t>
      </w:r>
    </w:p>
    <w:p w:rsidR="004D5ADA" w:rsidRPr="004D5ADA" w:rsidRDefault="004D5ADA" w:rsidP="00C2602D"/>
    <w:p w:rsidR="00C2602D" w:rsidRPr="004D5ADA" w:rsidRDefault="004D5ADA" w:rsidP="005E62EB">
      <w:pPr>
        <w:pStyle w:val="ewald9"/>
      </w:pPr>
      <w:r w:rsidRPr="004D5ADA">
        <w:t>15</w:t>
      </w:r>
      <w:r w:rsidR="00B704AD" w:rsidRPr="004D5ADA">
        <w:t xml:space="preserve"> </w:t>
      </w:r>
      <w:r w:rsidRPr="004D5ADA">
        <w:t>Existimánte</w:t>
      </w:r>
      <w:r w:rsidR="00B704AD" w:rsidRPr="004D5ADA">
        <w:t xml:space="preserve"> autem </w:t>
      </w:r>
      <w:r w:rsidR="00DF391E" w:rsidRPr="004D5ADA">
        <w:t>pópulo</w:t>
      </w:r>
      <w:r w:rsidR="00E65435" w:rsidRPr="004D5ADA">
        <w:t xml:space="preserve">, </w:t>
      </w:r>
      <w:r w:rsidR="00B704AD" w:rsidRPr="004D5ADA">
        <w:t>et cogit</w:t>
      </w:r>
      <w:r w:rsidR="00356A5E" w:rsidRPr="004D5ADA">
        <w:t>ántibus</w:t>
      </w:r>
      <w:r w:rsidR="00B704AD" w:rsidRPr="004D5ADA">
        <w:t xml:space="preserve"> </w:t>
      </w:r>
      <w:r w:rsidR="00695548" w:rsidRPr="004D5ADA">
        <w:t>ómnibus</w:t>
      </w:r>
      <w:r w:rsidR="00B704AD" w:rsidRPr="004D5ADA">
        <w:t xml:space="preserve"> in c</w:t>
      </w:r>
      <w:r w:rsidR="00356A5E" w:rsidRPr="004D5ADA">
        <w:t>órdibus</w:t>
      </w:r>
      <w:r w:rsidR="00B704AD" w:rsidRPr="004D5ADA">
        <w:t xml:space="preserve"> suis de </w:t>
      </w:r>
      <w:r w:rsidRPr="004D5ADA">
        <w:t>Joánnæ</w:t>
      </w:r>
      <w:r w:rsidR="00E65435" w:rsidRPr="004D5ADA">
        <w:t xml:space="preserve">, </w:t>
      </w:r>
      <w:r w:rsidR="00B704AD" w:rsidRPr="004D5ADA">
        <w:t>ne forte ipse esset Christus</w:t>
      </w:r>
      <w:r w:rsidRPr="004D5ADA">
        <w:t>, 16 respóndit</w:t>
      </w:r>
      <w:r w:rsidR="00B704AD" w:rsidRPr="004D5ADA">
        <w:t xml:space="preserve"> </w:t>
      </w:r>
      <w:r w:rsidRPr="004D5ADA">
        <w:t>Joánnes</w:t>
      </w:r>
      <w:r w:rsidR="00E65435" w:rsidRPr="004D5ADA">
        <w:t xml:space="preserve">, </w:t>
      </w:r>
      <w:r w:rsidR="00B704AD" w:rsidRPr="004D5ADA">
        <w:t xml:space="preserve">dicens </w:t>
      </w:r>
      <w:r w:rsidR="00695548" w:rsidRPr="004D5ADA">
        <w:t>ómnibus</w:t>
      </w:r>
      <w:r w:rsidR="00C2602D" w:rsidRPr="004D5ADA">
        <w:t xml:space="preserve"> : </w:t>
      </w:r>
    </w:p>
    <w:p w:rsidR="004D5ADA" w:rsidRPr="004D5ADA" w:rsidRDefault="004D5ADA" w:rsidP="00C2602D"/>
    <w:p w:rsidR="00C2602D" w:rsidRPr="004D5ADA" w:rsidRDefault="00B704AD" w:rsidP="005E62EB">
      <w:pPr>
        <w:pStyle w:val="ewald2"/>
      </w:pPr>
      <w:r w:rsidRPr="004D5ADA">
        <w:t xml:space="preserve">Ego quidem aqua </w:t>
      </w:r>
      <w:r w:rsidR="004D5ADA" w:rsidRPr="004D5ADA">
        <w:t>baptízo</w:t>
      </w:r>
      <w:r w:rsidRPr="004D5ADA">
        <w:t xml:space="preserve"> vos</w:t>
      </w:r>
      <w:r w:rsidR="00C2602D" w:rsidRPr="004D5ADA">
        <w:t> </w:t>
      </w:r>
      <w:r w:rsidR="007F6508" w:rsidRPr="004D5ADA">
        <w:t xml:space="preserve">; </w:t>
      </w:r>
      <w:r w:rsidR="004D5ADA" w:rsidRPr="004D5ADA">
        <w:t>véniet</w:t>
      </w:r>
      <w:r w:rsidRPr="004D5ADA">
        <w:t xml:space="preserve"> autem </w:t>
      </w:r>
      <w:r w:rsidR="004D5ADA" w:rsidRPr="004D5ADA">
        <w:t>fórtior</w:t>
      </w:r>
      <w:r w:rsidRPr="004D5ADA">
        <w:t xml:space="preserve"> me</w:t>
      </w:r>
      <w:r w:rsidR="00E65435" w:rsidRPr="004D5ADA">
        <w:t xml:space="preserve">, </w:t>
      </w:r>
      <w:r w:rsidRPr="004D5ADA">
        <w:t xml:space="preserve">cujus non sum dignus </w:t>
      </w:r>
      <w:r w:rsidR="004D5ADA" w:rsidRPr="004D5ADA">
        <w:t>sólvere</w:t>
      </w:r>
      <w:r w:rsidRPr="004D5ADA">
        <w:t xml:space="preserve"> </w:t>
      </w:r>
      <w:r w:rsidR="004D5ADA" w:rsidRPr="004D5ADA">
        <w:t>corrígiam</w:t>
      </w:r>
      <w:r w:rsidRPr="004D5ADA">
        <w:t xml:space="preserve"> calceament</w:t>
      </w:r>
      <w:r w:rsidR="003A07A7" w:rsidRPr="004D5ADA">
        <w:t>órum</w:t>
      </w:r>
      <w:r w:rsidRPr="004D5ADA">
        <w:t xml:space="preserve"> ejus</w:t>
      </w:r>
      <w:r w:rsidR="00C2602D" w:rsidRPr="004D5ADA">
        <w:t> :</w:t>
      </w:r>
      <w:r w:rsidRPr="004D5ADA">
        <w:t xml:space="preserve"> ipse vos </w:t>
      </w:r>
      <w:r w:rsidR="004D5ADA" w:rsidRPr="004D5ADA">
        <w:t>baptizábit</w:t>
      </w:r>
      <w:r w:rsidR="004D5ADA">
        <w:t xml:space="preserve"> </w:t>
      </w:r>
      <w:r w:rsidRPr="004D5ADA">
        <w:t xml:space="preserve">in </w:t>
      </w:r>
      <w:r w:rsidR="004D5ADA" w:rsidRPr="004D5ADA">
        <w:t>Spíritu</w:t>
      </w:r>
      <w:r w:rsidRPr="004D5ADA">
        <w:t xml:space="preserve"> sancto et igni</w:t>
      </w:r>
      <w:r w:rsidR="00C2602D" w:rsidRPr="004D5ADA">
        <w:t> </w:t>
      </w:r>
      <w:r w:rsidR="007F6508" w:rsidRPr="004D5ADA">
        <w:t xml:space="preserve">; </w:t>
      </w:r>
      <w:r w:rsidR="004D5ADA" w:rsidRPr="004D5ADA">
        <w:t>17 cujus ventilábrum</w:t>
      </w:r>
      <w:r w:rsidRPr="004D5ADA">
        <w:t xml:space="preserve"> in manu ejus</w:t>
      </w:r>
      <w:r w:rsidR="00E65435" w:rsidRPr="004D5ADA">
        <w:t xml:space="preserve">, </w:t>
      </w:r>
      <w:r w:rsidRPr="004D5ADA">
        <w:t>et p</w:t>
      </w:r>
      <w:r w:rsidR="00206793" w:rsidRPr="004D5ADA">
        <w:t>urgábit</w:t>
      </w:r>
      <w:r w:rsidRPr="004D5ADA">
        <w:t xml:space="preserve"> </w:t>
      </w:r>
      <w:r w:rsidR="004D5ADA" w:rsidRPr="004D5ADA">
        <w:t>áream</w:t>
      </w:r>
      <w:r w:rsidRPr="004D5ADA">
        <w:t xml:space="preserve"> suam</w:t>
      </w:r>
      <w:r w:rsidR="00E65435" w:rsidRPr="004D5ADA">
        <w:t xml:space="preserve">, </w:t>
      </w:r>
      <w:r w:rsidRPr="004D5ADA">
        <w:t>et cong</w:t>
      </w:r>
      <w:r w:rsidR="00206793" w:rsidRPr="004D5ADA">
        <w:t>regábit</w:t>
      </w:r>
      <w:r w:rsidRPr="004D5ADA">
        <w:t xml:space="preserve"> </w:t>
      </w:r>
      <w:r w:rsidR="004D5ADA" w:rsidRPr="004D5ADA">
        <w:t>tríticum</w:t>
      </w:r>
      <w:r w:rsidRPr="004D5ADA">
        <w:t xml:space="preserve"> in </w:t>
      </w:r>
      <w:r w:rsidR="004D5ADA" w:rsidRPr="004D5ADA">
        <w:t>hórreum</w:t>
      </w:r>
      <w:r w:rsidRPr="004D5ADA">
        <w:t xml:space="preserve"> suum</w:t>
      </w:r>
      <w:r w:rsidR="00E65435" w:rsidRPr="004D5ADA">
        <w:t xml:space="preserve">, </w:t>
      </w:r>
      <w:r w:rsidR="004D5ADA" w:rsidRPr="004D5ADA">
        <w:t>páleas</w:t>
      </w:r>
      <w:r w:rsidRPr="004D5ADA">
        <w:t xml:space="preserve"> autem </w:t>
      </w:r>
      <w:r w:rsidR="004D5ADA" w:rsidRPr="004D5ADA">
        <w:t>combúret</w:t>
      </w:r>
      <w:r w:rsidRPr="004D5ADA">
        <w:t xml:space="preserve"> igni </w:t>
      </w:r>
      <w:r w:rsidR="004D5ADA" w:rsidRPr="004D5ADA">
        <w:t>inextinguíbili</w:t>
      </w:r>
      <w:r w:rsidRPr="004D5ADA">
        <w:t>.</w:t>
      </w:r>
      <w:r w:rsidR="00C2602D" w:rsidRPr="004D5ADA">
        <w:t xml:space="preserve"> </w:t>
      </w:r>
    </w:p>
    <w:p w:rsidR="004D5ADA" w:rsidRPr="004D5ADA" w:rsidRDefault="004D5ADA" w:rsidP="00C2602D"/>
    <w:p w:rsidR="00C2602D" w:rsidRPr="004D5ADA" w:rsidRDefault="00B704AD" w:rsidP="005E62EB">
      <w:pPr>
        <w:pStyle w:val="ewald9"/>
      </w:pPr>
      <w:r w:rsidRPr="004D5ADA">
        <w:t>18</w:t>
      </w:r>
      <w:r w:rsidR="004D5ADA">
        <w:t xml:space="preserve"> Multa quidem</w:t>
      </w:r>
      <w:r w:rsidRPr="004D5ADA">
        <w:t xml:space="preserve"> et </w:t>
      </w:r>
      <w:r w:rsidR="00EC764F" w:rsidRPr="004D5ADA">
        <w:t>ália</w:t>
      </w:r>
      <w:r w:rsidRPr="004D5ADA">
        <w:t xml:space="preserve"> exhortons evange</w:t>
      </w:r>
      <w:r w:rsidR="00206793" w:rsidRPr="004D5ADA">
        <w:t>lizábat</w:t>
      </w:r>
      <w:r w:rsidRPr="004D5ADA">
        <w:t xml:space="preserve"> </w:t>
      </w:r>
      <w:r w:rsidR="00DF391E" w:rsidRPr="004D5ADA">
        <w:t>pópulo</w:t>
      </w:r>
      <w:r w:rsidRPr="004D5ADA">
        <w:t>.</w:t>
      </w:r>
      <w:r w:rsidR="00C2602D" w:rsidRPr="004D5ADA">
        <w:t xml:space="preserve"> </w:t>
      </w:r>
    </w:p>
    <w:p w:rsidR="004D5ADA" w:rsidRPr="004D5ADA" w:rsidRDefault="004D5ADA" w:rsidP="00C2602D"/>
    <w:p w:rsidR="004D5ADA" w:rsidRPr="004D5ADA" w:rsidRDefault="004D5ADA" w:rsidP="005E62EB">
      <w:pPr>
        <w:pStyle w:val="ewald3"/>
      </w:pPr>
      <w:r w:rsidRPr="004D5ADA">
        <w:t>19</w:t>
      </w:r>
      <w:r w:rsidR="00B704AD" w:rsidRPr="004D5ADA">
        <w:t xml:space="preserve"> </w:t>
      </w:r>
      <w:r w:rsidRPr="004D5ADA">
        <w:t>Heródes</w:t>
      </w:r>
      <w:r w:rsidR="00B704AD" w:rsidRPr="004D5ADA">
        <w:t xml:space="preserve"> autem </w:t>
      </w:r>
      <w:r w:rsidRPr="004D5ADA">
        <w:t>tetrárcha</w:t>
      </w:r>
      <w:r>
        <w:t xml:space="preserve">, </w:t>
      </w:r>
      <w:r w:rsidR="00B704AD" w:rsidRPr="004D5ADA">
        <w:t xml:space="preserve">cum </w:t>
      </w:r>
      <w:r w:rsidRPr="004D5ADA">
        <w:t>corriperétur</w:t>
      </w:r>
      <w:r w:rsidR="00B704AD" w:rsidRPr="004D5ADA">
        <w:t xml:space="preserve"> ab illo de </w:t>
      </w:r>
      <w:r w:rsidRPr="004D5ADA">
        <w:t>Herodíade</w:t>
      </w:r>
      <w:r w:rsidR="00E65435" w:rsidRPr="004D5ADA">
        <w:t xml:space="preserve">, </w:t>
      </w:r>
      <w:r w:rsidRPr="004D5ADA">
        <w:t>uxóre</w:t>
      </w:r>
      <w:r w:rsidR="00B704AD" w:rsidRPr="004D5ADA">
        <w:t xml:space="preserve"> fratris sui</w:t>
      </w:r>
      <w:r w:rsidR="00E65435" w:rsidRPr="004D5ADA">
        <w:t xml:space="preserve">, </w:t>
      </w:r>
      <w:r w:rsidR="00B704AD" w:rsidRPr="004D5ADA">
        <w:t xml:space="preserve">et de </w:t>
      </w:r>
      <w:r w:rsidR="00695548" w:rsidRPr="004D5ADA">
        <w:t>ómnibus</w:t>
      </w:r>
      <w:r w:rsidR="00B704AD" w:rsidRPr="004D5ADA">
        <w:t xml:space="preserve"> malis qu</w:t>
      </w:r>
      <w:r w:rsidR="00E37C84" w:rsidRPr="004D5ADA">
        <w:t>æ</w:t>
      </w:r>
      <w:r w:rsidR="00B704AD" w:rsidRPr="004D5ADA">
        <w:t xml:space="preserve"> fecit </w:t>
      </w:r>
      <w:r w:rsidRPr="004D5ADA">
        <w:t>Heródes</w:t>
      </w:r>
      <w:r w:rsidR="00E65435" w:rsidRPr="004D5ADA">
        <w:t xml:space="preserve">, </w:t>
      </w:r>
      <w:r w:rsidRPr="004D5ADA">
        <w:t>20 adjécit et hoc super ómnia</w:t>
      </w:r>
      <w:r w:rsidR="00E65435" w:rsidRPr="004D5ADA">
        <w:t xml:space="preserve">, </w:t>
      </w:r>
      <w:r w:rsidR="00B704AD" w:rsidRPr="004D5ADA">
        <w:t>e</w:t>
      </w:r>
      <w:r w:rsidRPr="004D5ADA">
        <w:t>t inclúsit Joánnem in cárcere. 21</w:t>
      </w:r>
      <w:r w:rsidR="00B704AD" w:rsidRPr="004D5ADA">
        <w:t xml:space="preserve"> Factum est autem</w:t>
      </w:r>
      <w:r w:rsidR="00E65435" w:rsidRPr="004D5ADA">
        <w:t xml:space="preserve">, </w:t>
      </w:r>
      <w:r w:rsidR="00B704AD" w:rsidRPr="004D5ADA">
        <w:t xml:space="preserve">cum </w:t>
      </w:r>
      <w:r w:rsidRPr="004D5ADA">
        <w:t>baptizarétur</w:t>
      </w:r>
      <w:r w:rsidR="00B704AD" w:rsidRPr="004D5ADA">
        <w:t xml:space="preserve"> omnis </w:t>
      </w:r>
      <w:r w:rsidRPr="004D5ADA">
        <w:t>pópulus</w:t>
      </w:r>
      <w:r w:rsidR="00E65435" w:rsidRPr="004D5ADA">
        <w:t xml:space="preserve">, </w:t>
      </w:r>
      <w:r w:rsidR="00B704AD" w:rsidRPr="004D5ADA">
        <w:t xml:space="preserve">et Jesu </w:t>
      </w:r>
      <w:r w:rsidRPr="004D5ADA">
        <w:t>baptizáto</w:t>
      </w:r>
      <w:r w:rsidR="00B704AD" w:rsidRPr="004D5ADA">
        <w:t xml:space="preserve"> et orante</w:t>
      </w:r>
      <w:r w:rsidR="00E65435" w:rsidRPr="004D5ADA">
        <w:t xml:space="preserve">, </w:t>
      </w:r>
      <w:r w:rsidRPr="004D5ADA">
        <w:t>apértum</w:t>
      </w:r>
      <w:r w:rsidR="00B704AD" w:rsidRPr="004D5ADA">
        <w:t xml:space="preserve"> est cœlum</w:t>
      </w:r>
      <w:r w:rsidR="00C2602D" w:rsidRPr="004D5ADA">
        <w:t> </w:t>
      </w:r>
      <w:r w:rsidR="007F6508" w:rsidRPr="004D5ADA">
        <w:t xml:space="preserve">; </w:t>
      </w:r>
      <w:r w:rsidRPr="004D5ADA">
        <w:t>22</w:t>
      </w:r>
      <w:r w:rsidR="00B704AD" w:rsidRPr="004D5ADA">
        <w:t xml:space="preserve"> et descendit S</w:t>
      </w:r>
      <w:r w:rsidR="006E0209" w:rsidRPr="004D5ADA">
        <w:t>píritus</w:t>
      </w:r>
      <w:r w:rsidR="00B704AD" w:rsidRPr="004D5ADA">
        <w:t xml:space="preserve"> sanctus </w:t>
      </w:r>
      <w:r w:rsidRPr="004D5ADA">
        <w:t>corporáli</w:t>
      </w:r>
      <w:r w:rsidR="00B704AD" w:rsidRPr="004D5ADA">
        <w:t xml:space="preserve"> </w:t>
      </w:r>
      <w:r w:rsidRPr="004D5ADA">
        <w:t>spécie</w:t>
      </w:r>
      <w:r w:rsidR="00B704AD" w:rsidRPr="004D5ADA">
        <w:t xml:space="preserve"> sicut </w:t>
      </w:r>
      <w:r w:rsidRPr="004D5ADA">
        <w:t>colúmba</w:t>
      </w:r>
      <w:r w:rsidR="00B704AD" w:rsidRPr="004D5ADA">
        <w:t xml:space="preserve"> in ipsum</w:t>
      </w:r>
      <w:r w:rsidR="00C2602D" w:rsidRPr="004D5ADA">
        <w:t> </w:t>
      </w:r>
      <w:r w:rsidR="007F6508" w:rsidRPr="004D5ADA">
        <w:t xml:space="preserve">; </w:t>
      </w:r>
      <w:r w:rsidR="00B704AD" w:rsidRPr="004D5ADA">
        <w:t>et vox de cœlo facta est</w:t>
      </w:r>
      <w:r w:rsidR="00C2602D" w:rsidRPr="004D5ADA">
        <w:t> :</w:t>
      </w:r>
      <w:r w:rsidR="00B704AD" w:rsidRPr="004D5ADA">
        <w:t xml:space="preserve"> Tu es F</w:t>
      </w:r>
      <w:r w:rsidR="00C21120" w:rsidRPr="004D5ADA">
        <w:t>ílius</w:t>
      </w:r>
      <w:r w:rsidR="00B704AD" w:rsidRPr="004D5ADA">
        <w:t xml:space="preserve"> meus </w:t>
      </w:r>
      <w:r w:rsidRPr="004D5ADA">
        <w:t>diléctus</w:t>
      </w:r>
      <w:r w:rsidR="00E65435" w:rsidRPr="004D5ADA">
        <w:t xml:space="preserve">, </w:t>
      </w:r>
      <w:r w:rsidR="00B704AD" w:rsidRPr="004D5ADA">
        <w:t xml:space="preserve">in te </w:t>
      </w:r>
      <w:r w:rsidRPr="004D5ADA">
        <w:t>complácui</w:t>
      </w:r>
      <w:r w:rsidR="00B704AD" w:rsidRPr="004D5ADA">
        <w:t xml:space="preserve"> mihi</w:t>
      </w:r>
      <w:r w:rsidRPr="004D5ADA">
        <w:t xml:space="preserve">. </w:t>
      </w:r>
    </w:p>
    <w:p w:rsidR="004D5ADA" w:rsidRPr="004D5ADA" w:rsidRDefault="004D5ADA" w:rsidP="004D5ADA"/>
    <w:p w:rsidR="00C2602D" w:rsidRPr="004D5ADA" w:rsidRDefault="004D5ADA" w:rsidP="005E62EB">
      <w:pPr>
        <w:pStyle w:val="ewald9"/>
      </w:pPr>
      <w:r w:rsidRPr="004D5ADA">
        <w:t>23 Et ipse</w:t>
      </w:r>
      <w:r w:rsidR="00B704AD" w:rsidRPr="004D5ADA">
        <w:t xml:space="preserve"> Jésus erat </w:t>
      </w:r>
      <w:r w:rsidRPr="004D5ADA">
        <w:t>incípiens</w:t>
      </w:r>
      <w:r w:rsidR="00B704AD" w:rsidRPr="004D5ADA">
        <w:t xml:space="preserve"> quasi ann</w:t>
      </w:r>
      <w:r w:rsidR="003A07A7" w:rsidRPr="004D5ADA">
        <w:t>órum</w:t>
      </w:r>
      <w:r w:rsidRPr="004D5ADA">
        <w:t xml:space="preserve"> trigínta</w:t>
      </w:r>
      <w:r w:rsidR="00E65435" w:rsidRPr="004D5ADA">
        <w:t xml:space="preserve">, </w:t>
      </w:r>
      <w:r w:rsidR="00B704AD" w:rsidRPr="004D5ADA">
        <w:t>ut pu</w:t>
      </w:r>
      <w:r w:rsidR="0096412E" w:rsidRPr="004D5ADA">
        <w:t>tabátur</w:t>
      </w:r>
      <w:r w:rsidR="00C2602D" w:rsidRPr="004D5ADA">
        <w:t xml:space="preserve"> </w:t>
      </w:r>
    </w:p>
    <w:p w:rsidR="004D5ADA" w:rsidRPr="004D5ADA" w:rsidRDefault="004D5ADA" w:rsidP="00C2602D"/>
    <w:p w:rsidR="004D5ADA" w:rsidRPr="004D5ADA" w:rsidRDefault="00B704AD" w:rsidP="005E62EB">
      <w:pPr>
        <w:pStyle w:val="ewald7"/>
      </w:pPr>
      <w:r w:rsidRPr="004D5ADA">
        <w:t>f</w:t>
      </w:r>
      <w:r w:rsidR="00C21120" w:rsidRPr="004D5ADA">
        <w:t>ílius</w:t>
      </w:r>
      <w:r w:rsidRPr="004D5ADA">
        <w:t xml:space="preserve"> Joseph</w:t>
      </w:r>
      <w:r w:rsidR="00E65435" w:rsidRPr="004D5ADA">
        <w:t xml:space="preserve">, </w:t>
      </w:r>
      <w:r w:rsidRPr="004D5ADA">
        <w:t xml:space="preserve">qui fuit </w:t>
      </w:r>
      <w:r w:rsidR="004D5ADA" w:rsidRPr="004D5ADA">
        <w:t>Helí</w:t>
      </w:r>
      <w:r w:rsidR="00E65435" w:rsidRPr="004D5ADA">
        <w:t xml:space="preserve">, </w:t>
      </w:r>
      <w:r w:rsidRPr="004D5ADA">
        <w:t xml:space="preserve">qui fuit </w:t>
      </w:r>
      <w:r w:rsidR="004D5ADA" w:rsidRPr="004D5ADA">
        <w:t>Mathát</w:t>
      </w:r>
      <w:r w:rsidR="00E65435" w:rsidRPr="004D5ADA">
        <w:t xml:space="preserve">, </w:t>
      </w:r>
      <w:r w:rsidR="004D5ADA" w:rsidRPr="004D5ADA">
        <w:t>24</w:t>
      </w:r>
      <w:r w:rsidRPr="004D5ADA">
        <w:t xml:space="preserve"> qui fuit Levi</w:t>
      </w:r>
      <w:r w:rsidR="00E65435" w:rsidRPr="004D5ADA">
        <w:t xml:space="preserve">, </w:t>
      </w:r>
      <w:r w:rsidRPr="004D5ADA">
        <w:t xml:space="preserve">qui fuit </w:t>
      </w:r>
      <w:r w:rsidR="004D5ADA" w:rsidRPr="004D5ADA">
        <w:t>Melchí</w:t>
      </w:r>
      <w:r w:rsidR="00E65435" w:rsidRPr="004D5ADA">
        <w:t xml:space="preserve">, </w:t>
      </w:r>
      <w:r w:rsidR="004D5ADA" w:rsidRPr="004D5ADA">
        <w:t>qui fuit Joanne</w:t>
      </w:r>
      <w:r w:rsidR="00E65435" w:rsidRPr="004D5ADA">
        <w:t xml:space="preserve">, </w:t>
      </w:r>
      <w:r w:rsidRPr="004D5ADA">
        <w:t>qui fuit Jos</w:t>
      </w:r>
      <w:r w:rsidR="004D5ADA" w:rsidRPr="004D5ADA">
        <w:t>e</w:t>
      </w:r>
      <w:r w:rsidRPr="004D5ADA">
        <w:t>ph</w:t>
      </w:r>
      <w:r w:rsidR="00E65435" w:rsidRPr="004D5ADA">
        <w:t xml:space="preserve">, </w:t>
      </w:r>
      <w:r w:rsidR="004D5ADA" w:rsidRPr="004D5ADA">
        <w:t>25</w:t>
      </w:r>
      <w:r w:rsidRPr="004D5ADA">
        <w:t xml:space="preserve"> qui fuit </w:t>
      </w:r>
      <w:r w:rsidR="004D5ADA" w:rsidRPr="004D5ADA">
        <w:t>Mathathíæ</w:t>
      </w:r>
      <w:r w:rsidR="00E65435" w:rsidRPr="004D5ADA">
        <w:t xml:space="preserve">, </w:t>
      </w:r>
      <w:r w:rsidRPr="004D5ADA">
        <w:t>qui fuit Amos</w:t>
      </w:r>
      <w:r w:rsidR="00E65435" w:rsidRPr="004D5ADA">
        <w:t xml:space="preserve">, </w:t>
      </w:r>
      <w:r w:rsidR="004D5ADA">
        <w:t>qui fuit Na</w:t>
      </w:r>
      <w:r w:rsidRPr="004D5ADA">
        <w:t>hum</w:t>
      </w:r>
      <w:r w:rsidR="00E65435" w:rsidRPr="004D5ADA">
        <w:t xml:space="preserve">, </w:t>
      </w:r>
      <w:r w:rsidRPr="004D5ADA">
        <w:t xml:space="preserve">qui fuit </w:t>
      </w:r>
      <w:r w:rsidR="004D5ADA" w:rsidRPr="004D5ADA">
        <w:t>Heslí</w:t>
      </w:r>
      <w:r w:rsidR="00E65435" w:rsidRPr="004D5ADA">
        <w:t xml:space="preserve">, </w:t>
      </w:r>
      <w:r w:rsidR="004D5ADA" w:rsidRPr="004D5ADA">
        <w:t xml:space="preserve">qui fuit Naggé… </w:t>
      </w:r>
    </w:p>
    <w:p w:rsidR="004D5ADA" w:rsidRPr="004D5ADA" w:rsidRDefault="004D5ADA" w:rsidP="00C2602D"/>
    <w:p w:rsidR="004D5ADA" w:rsidRPr="004D5ADA" w:rsidRDefault="004D5ADA" w:rsidP="00BA7108">
      <w:pPr>
        <w:pStyle w:val="ewald6"/>
      </w:pPr>
      <w:r w:rsidRPr="004D5ADA">
        <w:t>IV. — 1</w:t>
      </w:r>
      <w:r>
        <w:t xml:space="preserve"> Je</w:t>
      </w:r>
      <w:r w:rsidRPr="004D5ADA">
        <w:t xml:space="preserve">sus autem, plenus Spíritu </w:t>
      </w:r>
      <w:r>
        <w:t xml:space="preserve">sancto, </w:t>
      </w:r>
      <w:r w:rsidRPr="004D5ADA">
        <w:t>regréssus est a Jordáne, et agebátur a Spíritu in desértum 2 diébus quadragínta,</w:t>
      </w:r>
      <w:r w:rsidR="001B4203">
        <w:t xml:space="preserve"> </w:t>
      </w:r>
      <w:r w:rsidRPr="004D5ADA">
        <w:t>et tentabátur</w:t>
      </w:r>
      <w:r>
        <w:t xml:space="preserve"> a diá</w:t>
      </w:r>
      <w:r w:rsidRPr="004D5ADA">
        <w:t>bolo. Et nihil manducávit in diébus illis ; et consummátis illis, esúriit·</w:t>
      </w:r>
    </w:p>
    <w:p w:rsidR="004D5ADA" w:rsidRDefault="004D5ADA" w:rsidP="00C2602D">
      <w:pPr>
        <w:rPr>
          <w:rFonts w:eastAsia="Arial Unicode MS"/>
          <w:lang w:eastAsia="fr-FR" w:bidi="he-IL"/>
        </w:rPr>
      </w:pPr>
      <w:r w:rsidRPr="004D5ADA">
        <w:t>²</w:t>
      </w:r>
    </w:p>
    <w:p w:rsidR="004D5ADA" w:rsidRDefault="004D5ADA" w:rsidP="00C2602D">
      <w:pPr>
        <w:rPr>
          <w:rFonts w:eastAsia="Arial Unicode MS"/>
          <w:lang w:eastAsia="fr-FR" w:bidi="he-IL"/>
        </w:rPr>
      </w:pPr>
    </w:p>
    <w:p w:rsidR="00C2602D" w:rsidRPr="00C8701B" w:rsidRDefault="00B704AD" w:rsidP="004D5ADA">
      <w:pPr>
        <w:pStyle w:val="w1"/>
        <w:rPr>
          <w:lang w:bidi="he-IL"/>
        </w:rPr>
      </w:pPr>
      <w:r w:rsidRPr="00C8701B">
        <w:rPr>
          <w:lang w:bidi="he-IL"/>
        </w:rPr>
        <w:t>TABLE DES MATIÈRES</w:t>
      </w:r>
      <w:r w:rsidR="00C2602D" w:rsidRPr="00C8701B">
        <w:rPr>
          <w:lang w:bidi="he-IL"/>
        </w:rPr>
        <w:t xml:space="preserve"> </w:t>
      </w:r>
    </w:p>
    <w:p w:rsidR="004901F4" w:rsidRDefault="00B704AD" w:rsidP="00E87D10">
      <w:pPr>
        <w:pStyle w:val="t1"/>
      </w:pPr>
      <w:r w:rsidRPr="00C8701B">
        <w:rPr>
          <w:rFonts w:eastAsia="Gungsuh"/>
          <w:bCs/>
          <w:lang w:eastAsia="fr-FR" w:bidi="he-IL"/>
        </w:rPr>
        <w:t>§ I.</w:t>
      </w:r>
      <w:r w:rsidR="000F7DAA">
        <w:rPr>
          <w:rFonts w:eastAsia="Gungsuh"/>
          <w:bCs/>
          <w:lang w:eastAsia="fr-FR" w:bidi="he-IL"/>
        </w:rPr>
        <w:t xml:space="preserve"> —</w:t>
      </w:r>
      <w:r w:rsidR="008D0642">
        <w:rPr>
          <w:rFonts w:eastAsia="Gungsuh"/>
          <w:bCs/>
          <w:lang w:eastAsia="fr-FR" w:bidi="he-IL"/>
        </w:rPr>
        <w:t xml:space="preserve"> </w:t>
      </w:r>
      <w:r w:rsidRPr="00C8701B">
        <w:rPr>
          <w:rFonts w:eastAsia="Gungsuh"/>
          <w:bCs/>
          <w:lang w:eastAsia="fr-FR" w:bidi="he-IL"/>
        </w:rPr>
        <w:t>Le mot</w:t>
      </w:r>
      <w:r w:rsidRPr="00DC4586">
        <w:rPr>
          <w:rStyle w:val="italicus"/>
        </w:rPr>
        <w:t xml:space="preserve"> </w:t>
      </w:r>
      <w:r w:rsidR="000439E9" w:rsidRPr="00DC4586">
        <w:rPr>
          <w:rStyle w:val="italicus"/>
        </w:rPr>
        <w:t>Évangile</w:t>
      </w:r>
      <w:r w:rsidR="00CE11E9" w:rsidRPr="00E87D10">
        <w:t xml:space="preserve"> </w:t>
      </w:r>
      <w:r w:rsidR="004901F4">
        <w:tab/>
      </w:r>
      <w:r w:rsidR="00691E6B">
        <w:fldChar w:fldCharType="begin"/>
      </w:r>
      <w:r w:rsidR="004901F4">
        <w:instrText xml:space="preserve"> PAGEREF evin01 \h </w:instrText>
      </w:r>
      <w:r w:rsidR="00691E6B">
        <w:fldChar w:fldCharType="separate"/>
      </w:r>
      <w:r w:rsidR="004901F4">
        <w:rPr>
          <w:noProof/>
        </w:rPr>
        <w:t>2</w:t>
      </w:r>
      <w:r w:rsidR="00691E6B">
        <w:fldChar w:fldCharType="end"/>
      </w:r>
    </w:p>
    <w:p w:rsidR="004901F4" w:rsidRDefault="00B704AD" w:rsidP="00E87D10">
      <w:pPr>
        <w:pStyle w:val="t1"/>
        <w:rPr>
          <w:rFonts w:eastAsia="Gungsuh"/>
          <w:bCs/>
          <w:lang w:eastAsia="fr-FR" w:bidi="he-IL"/>
        </w:rPr>
      </w:pPr>
      <w:r w:rsidRPr="00C8701B">
        <w:rPr>
          <w:rFonts w:eastAsia="Gungsuh"/>
          <w:bCs/>
          <w:lang w:eastAsia="fr-FR" w:bidi="he-IL"/>
        </w:rPr>
        <w:t>§ II.</w:t>
      </w:r>
      <w:r w:rsidR="000F7DAA">
        <w:rPr>
          <w:rFonts w:eastAsia="Gungsuh"/>
          <w:bCs/>
          <w:lang w:eastAsia="fr-FR" w:bidi="he-IL"/>
        </w:rPr>
        <w:t xml:space="preserve"> —</w:t>
      </w:r>
      <w:r w:rsidR="008D0642">
        <w:rPr>
          <w:rFonts w:eastAsia="Gungsuh"/>
          <w:bCs/>
          <w:lang w:eastAsia="fr-FR" w:bidi="he-IL"/>
        </w:rPr>
        <w:t xml:space="preserve"> </w:t>
      </w:r>
      <w:r w:rsidR="00E87D10">
        <w:rPr>
          <w:rFonts w:eastAsia="Gungsuh"/>
          <w:bCs/>
          <w:lang w:eastAsia="fr-FR" w:bidi="he-IL"/>
        </w:rPr>
        <w:t>Le nombre des évangiles</w:t>
      </w:r>
      <w:r w:rsidR="00CE11E9">
        <w:rPr>
          <w:rFonts w:eastAsia="Gungsuh"/>
          <w:bCs/>
          <w:lang w:eastAsia="fr-FR" w:bidi="he-IL"/>
        </w:rPr>
        <w:t xml:space="preserve"> </w:t>
      </w:r>
      <w:r w:rsidR="004901F4">
        <w:rPr>
          <w:rFonts w:eastAsia="Gungsuh"/>
          <w:bCs/>
          <w:lang w:eastAsia="fr-FR" w:bidi="he-IL"/>
        </w:rPr>
        <w:tab/>
      </w:r>
      <w:r w:rsidR="00691E6B">
        <w:rPr>
          <w:rFonts w:eastAsia="Gungsuh"/>
          <w:bCs/>
          <w:lang w:eastAsia="fr-FR" w:bidi="he-IL"/>
        </w:rPr>
        <w:fldChar w:fldCharType="begin"/>
      </w:r>
      <w:r w:rsidR="004901F4">
        <w:rPr>
          <w:rFonts w:eastAsia="Gungsuh"/>
          <w:bCs/>
          <w:lang w:eastAsia="fr-FR" w:bidi="he-IL"/>
        </w:rPr>
        <w:instrText xml:space="preserve"> PAGEREF evin02 \h </w:instrText>
      </w:r>
      <w:r w:rsidR="00691E6B">
        <w:rPr>
          <w:rFonts w:eastAsia="Gungsuh"/>
          <w:bCs/>
          <w:lang w:eastAsia="fr-FR" w:bidi="he-IL"/>
        </w:rPr>
      </w:r>
      <w:r w:rsidR="00691E6B">
        <w:rPr>
          <w:rFonts w:eastAsia="Gungsuh"/>
          <w:bCs/>
          <w:lang w:eastAsia="fr-FR" w:bidi="he-IL"/>
        </w:rPr>
        <w:fldChar w:fldCharType="separate"/>
      </w:r>
      <w:r w:rsidR="004901F4">
        <w:rPr>
          <w:rFonts w:eastAsia="Gungsuh"/>
          <w:bCs/>
          <w:noProof/>
          <w:lang w:eastAsia="fr-FR" w:bidi="he-IL"/>
        </w:rPr>
        <w:t>3</w:t>
      </w:r>
      <w:r w:rsidR="00691E6B">
        <w:rPr>
          <w:rFonts w:eastAsia="Gungsuh"/>
          <w:bCs/>
          <w:lang w:eastAsia="fr-FR" w:bidi="he-IL"/>
        </w:rPr>
        <w:fldChar w:fldCharType="end"/>
      </w:r>
    </w:p>
    <w:p w:rsidR="004901F4" w:rsidRDefault="00B704AD" w:rsidP="00E87D10">
      <w:pPr>
        <w:pStyle w:val="t1"/>
        <w:rPr>
          <w:rFonts w:eastAsia="Gungsuh"/>
          <w:bCs/>
          <w:lang w:eastAsia="fr-FR" w:bidi="he-IL"/>
        </w:rPr>
      </w:pPr>
      <w:r w:rsidRPr="00C8701B">
        <w:rPr>
          <w:rFonts w:eastAsia="Gungsuh"/>
          <w:bCs/>
          <w:lang w:eastAsia="fr-FR" w:bidi="he-IL"/>
        </w:rPr>
        <w:t>§ III.</w:t>
      </w:r>
      <w:r w:rsidR="000F7DAA">
        <w:rPr>
          <w:rFonts w:eastAsia="Gungsuh"/>
          <w:bCs/>
          <w:lang w:eastAsia="fr-FR" w:bidi="he-IL"/>
        </w:rPr>
        <w:t xml:space="preserve"> —</w:t>
      </w:r>
      <w:r w:rsidR="008D0642">
        <w:rPr>
          <w:rFonts w:eastAsia="Gungsuh"/>
          <w:bCs/>
          <w:lang w:eastAsia="fr-FR" w:bidi="he-IL"/>
        </w:rPr>
        <w:t xml:space="preserve"> </w:t>
      </w:r>
      <w:r w:rsidRPr="00C8701B">
        <w:rPr>
          <w:rFonts w:eastAsia="Gungsuh"/>
          <w:bCs/>
          <w:lang w:eastAsia="fr-FR" w:bidi="he-IL"/>
        </w:rPr>
        <w:t>L</w:t>
      </w:r>
      <w:r w:rsidR="00557DE0">
        <w:rPr>
          <w:rFonts w:eastAsia="Gungsuh"/>
          <w:bCs/>
          <w:lang w:eastAsia="fr-FR" w:bidi="he-IL"/>
        </w:rPr>
        <w:t>’</w:t>
      </w:r>
      <w:r w:rsidRPr="00C8701B">
        <w:rPr>
          <w:rFonts w:eastAsia="Gungsuh"/>
          <w:bCs/>
          <w:lang w:eastAsia="fr-FR" w:bidi="he-IL"/>
        </w:rPr>
        <w:t>ordre et la succession des évang</w:t>
      </w:r>
      <w:r w:rsidR="004D5ADA">
        <w:rPr>
          <w:rFonts w:eastAsia="Gungsuh"/>
          <w:bCs/>
          <w:lang w:eastAsia="fr-FR" w:bidi="he-IL"/>
        </w:rPr>
        <w:t>iles dans le canon du Nouveau Te</w:t>
      </w:r>
      <w:r w:rsidRPr="00C8701B">
        <w:rPr>
          <w:rFonts w:eastAsia="Gungsuh"/>
          <w:bCs/>
          <w:lang w:eastAsia="fr-FR" w:bidi="he-IL"/>
        </w:rPr>
        <w:t>stament</w:t>
      </w:r>
      <w:r w:rsidR="004D5ADA">
        <w:rPr>
          <w:rFonts w:eastAsia="Gungsuh"/>
          <w:bCs/>
          <w:lang w:eastAsia="fr-FR" w:bidi="he-IL"/>
        </w:rPr>
        <w:t xml:space="preserve"> </w:t>
      </w:r>
      <w:r w:rsidR="004901F4">
        <w:rPr>
          <w:rFonts w:eastAsia="Gungsuh"/>
          <w:bCs/>
          <w:lang w:eastAsia="fr-FR" w:bidi="he-IL"/>
        </w:rPr>
        <w:tab/>
      </w:r>
      <w:r w:rsidR="00691E6B">
        <w:rPr>
          <w:rFonts w:eastAsia="Gungsuh"/>
          <w:bCs/>
          <w:lang w:eastAsia="fr-FR" w:bidi="he-IL"/>
        </w:rPr>
        <w:fldChar w:fldCharType="begin"/>
      </w:r>
      <w:r w:rsidR="004901F4">
        <w:rPr>
          <w:rFonts w:eastAsia="Gungsuh"/>
          <w:bCs/>
          <w:lang w:eastAsia="fr-FR" w:bidi="he-IL"/>
        </w:rPr>
        <w:instrText xml:space="preserve"> PAGEREF evin03 \h </w:instrText>
      </w:r>
      <w:r w:rsidR="00691E6B">
        <w:rPr>
          <w:rFonts w:eastAsia="Gungsuh"/>
          <w:bCs/>
          <w:lang w:eastAsia="fr-FR" w:bidi="he-IL"/>
        </w:rPr>
      </w:r>
      <w:r w:rsidR="00691E6B">
        <w:rPr>
          <w:rFonts w:eastAsia="Gungsuh"/>
          <w:bCs/>
          <w:lang w:eastAsia="fr-FR" w:bidi="he-IL"/>
        </w:rPr>
        <w:fldChar w:fldCharType="separate"/>
      </w:r>
      <w:r w:rsidR="004901F4">
        <w:rPr>
          <w:rFonts w:eastAsia="Gungsuh"/>
          <w:bCs/>
          <w:noProof/>
          <w:lang w:eastAsia="fr-FR" w:bidi="he-IL"/>
        </w:rPr>
        <w:t>5</w:t>
      </w:r>
      <w:r w:rsidR="00691E6B">
        <w:rPr>
          <w:rFonts w:eastAsia="Gungsuh"/>
          <w:bCs/>
          <w:lang w:eastAsia="fr-FR" w:bidi="he-IL"/>
        </w:rPr>
        <w:fldChar w:fldCharType="end"/>
      </w:r>
    </w:p>
    <w:p w:rsidR="004901F4" w:rsidRDefault="004D5ADA" w:rsidP="00E87D10">
      <w:pPr>
        <w:pStyle w:val="t1"/>
        <w:rPr>
          <w:rFonts w:eastAsia="Gungsuh"/>
          <w:bCs/>
          <w:lang w:eastAsia="fr-FR" w:bidi="he-IL"/>
        </w:rPr>
      </w:pPr>
      <w:r>
        <w:rPr>
          <w:rFonts w:eastAsia="Gungsuh"/>
          <w:bCs/>
          <w:lang w:eastAsia="fr-FR" w:bidi="he-IL"/>
        </w:rPr>
        <w:t>§</w:t>
      </w:r>
      <w:r w:rsidR="00B704AD" w:rsidRPr="00C8701B">
        <w:rPr>
          <w:rFonts w:eastAsia="Gungsuh"/>
          <w:bCs/>
          <w:lang w:eastAsia="fr-FR" w:bidi="he-IL"/>
        </w:rPr>
        <w:t xml:space="preserve"> </w:t>
      </w:r>
      <w:r w:rsidR="0096281A">
        <w:rPr>
          <w:rFonts w:eastAsia="Gungsuh"/>
          <w:bCs/>
          <w:lang w:eastAsia="fr-FR" w:bidi="he-IL"/>
        </w:rPr>
        <w:t>IV</w:t>
      </w:r>
      <w:r w:rsidR="00B704AD" w:rsidRPr="00C8701B">
        <w:rPr>
          <w:rFonts w:eastAsia="Gungsuh"/>
          <w:bCs/>
          <w:lang w:eastAsia="fr-FR" w:bidi="he-IL"/>
        </w:rPr>
        <w:t>.</w:t>
      </w:r>
      <w:r w:rsidR="000F7DAA">
        <w:rPr>
          <w:rFonts w:eastAsia="Gungsuh"/>
          <w:bCs/>
          <w:lang w:eastAsia="fr-FR" w:bidi="he-IL"/>
        </w:rPr>
        <w:t xml:space="preserve"> —</w:t>
      </w:r>
      <w:r w:rsidR="008D0642">
        <w:rPr>
          <w:rFonts w:eastAsia="Gungsuh"/>
          <w:bCs/>
          <w:lang w:eastAsia="fr-FR" w:bidi="he-IL"/>
        </w:rPr>
        <w:t xml:space="preserve"> </w:t>
      </w:r>
      <w:r w:rsidR="00B704AD" w:rsidRPr="00C8701B">
        <w:rPr>
          <w:rFonts w:eastAsia="Gungsuh"/>
          <w:bCs/>
          <w:lang w:eastAsia="fr-FR" w:bidi="he-IL"/>
        </w:rPr>
        <w:t xml:space="preserve">Les représentations </w:t>
      </w:r>
      <w:r w:rsidRPr="00C8701B">
        <w:rPr>
          <w:rFonts w:eastAsia="Gungsuh"/>
          <w:bCs/>
          <w:lang w:eastAsia="fr-FR" w:bidi="he-IL"/>
        </w:rPr>
        <w:t>symboliques</w:t>
      </w:r>
      <w:r w:rsidR="00B704AD" w:rsidRPr="00C8701B">
        <w:rPr>
          <w:rFonts w:eastAsia="Gungsuh"/>
          <w:bCs/>
          <w:lang w:eastAsia="fr-FR" w:bidi="he-IL"/>
        </w:rPr>
        <w:t xml:space="preserve"> et arti</w:t>
      </w:r>
      <w:r w:rsidR="00E87D10">
        <w:rPr>
          <w:rFonts w:eastAsia="Gungsuh"/>
          <w:bCs/>
          <w:lang w:eastAsia="fr-FR" w:bidi="he-IL"/>
        </w:rPr>
        <w:t>stiques des quatre évangélistes</w:t>
      </w:r>
      <w:r w:rsidR="004901F4">
        <w:rPr>
          <w:rFonts w:eastAsia="Gungsuh"/>
          <w:bCs/>
          <w:lang w:eastAsia="fr-FR" w:bidi="he-IL"/>
        </w:rPr>
        <w:tab/>
      </w:r>
      <w:r w:rsidR="00691E6B">
        <w:rPr>
          <w:rFonts w:eastAsia="Gungsuh"/>
          <w:bCs/>
          <w:lang w:eastAsia="fr-FR" w:bidi="he-IL"/>
        </w:rPr>
        <w:fldChar w:fldCharType="begin"/>
      </w:r>
      <w:r w:rsidR="004901F4">
        <w:rPr>
          <w:rFonts w:eastAsia="Gungsuh"/>
          <w:bCs/>
          <w:lang w:eastAsia="fr-FR" w:bidi="he-IL"/>
        </w:rPr>
        <w:instrText xml:space="preserve"> PAGEREF evin04 \h </w:instrText>
      </w:r>
      <w:r w:rsidR="00691E6B">
        <w:rPr>
          <w:rFonts w:eastAsia="Gungsuh"/>
          <w:bCs/>
          <w:lang w:eastAsia="fr-FR" w:bidi="he-IL"/>
        </w:rPr>
      </w:r>
      <w:r w:rsidR="00691E6B">
        <w:rPr>
          <w:rFonts w:eastAsia="Gungsuh"/>
          <w:bCs/>
          <w:lang w:eastAsia="fr-FR" w:bidi="he-IL"/>
        </w:rPr>
        <w:fldChar w:fldCharType="separate"/>
      </w:r>
      <w:r w:rsidR="004901F4">
        <w:rPr>
          <w:rFonts w:eastAsia="Gungsuh"/>
          <w:bCs/>
          <w:noProof/>
          <w:lang w:eastAsia="fr-FR" w:bidi="he-IL"/>
        </w:rPr>
        <w:t>6</w:t>
      </w:r>
      <w:r w:rsidR="00691E6B">
        <w:rPr>
          <w:rFonts w:eastAsia="Gungsuh"/>
          <w:bCs/>
          <w:lang w:eastAsia="fr-FR" w:bidi="he-IL"/>
        </w:rPr>
        <w:fldChar w:fldCharType="end"/>
      </w:r>
    </w:p>
    <w:p w:rsidR="004901F4" w:rsidRDefault="00B704AD" w:rsidP="00E87D10">
      <w:pPr>
        <w:pStyle w:val="t1"/>
        <w:rPr>
          <w:rFonts w:eastAsia="Gungsuh"/>
          <w:bCs/>
          <w:lang w:eastAsia="fr-FR" w:bidi="he-IL"/>
        </w:rPr>
      </w:pPr>
      <w:r w:rsidRPr="00C8701B">
        <w:rPr>
          <w:rFonts w:eastAsia="Gungsuh"/>
          <w:bCs/>
          <w:lang w:eastAsia="fr-FR" w:bidi="he-IL"/>
        </w:rPr>
        <w:t xml:space="preserve">§ </w:t>
      </w:r>
      <w:r w:rsidR="00835131">
        <w:rPr>
          <w:rFonts w:eastAsia="Gungsuh"/>
          <w:bCs/>
          <w:lang w:eastAsia="fr-FR" w:bidi="he-IL"/>
        </w:rPr>
        <w:t>V</w:t>
      </w:r>
      <w:r w:rsidRPr="00C8701B">
        <w:rPr>
          <w:rFonts w:eastAsia="Gungsuh"/>
          <w:bCs/>
          <w:lang w:eastAsia="fr-FR" w:bidi="he-IL"/>
        </w:rPr>
        <w:t>.</w:t>
      </w:r>
      <w:r w:rsidR="000F7DAA">
        <w:rPr>
          <w:rFonts w:eastAsia="Gungsuh"/>
          <w:bCs/>
          <w:lang w:eastAsia="fr-FR" w:bidi="he-IL"/>
        </w:rPr>
        <w:t xml:space="preserve"> —</w:t>
      </w:r>
      <w:r w:rsidR="008D0642">
        <w:rPr>
          <w:rFonts w:eastAsia="Gungsuh"/>
          <w:bCs/>
          <w:lang w:eastAsia="fr-FR" w:bidi="he-IL"/>
        </w:rPr>
        <w:t xml:space="preserve"> </w:t>
      </w:r>
      <w:r w:rsidRPr="00C8701B">
        <w:rPr>
          <w:rFonts w:eastAsia="Gungsuh"/>
          <w:bCs/>
          <w:lang w:eastAsia="fr-FR" w:bidi="he-IL"/>
        </w:rPr>
        <w:t>Les ti</w:t>
      </w:r>
      <w:r w:rsidR="004D5ADA">
        <w:rPr>
          <w:rFonts w:eastAsia="Gungsuh"/>
          <w:bCs/>
          <w:lang w:eastAsia="fr-FR" w:bidi="he-IL"/>
        </w:rPr>
        <w:t>t</w:t>
      </w:r>
      <w:r w:rsidRPr="00C8701B">
        <w:rPr>
          <w:rFonts w:eastAsia="Gungsuh"/>
          <w:bCs/>
          <w:lang w:eastAsia="fr-FR" w:bidi="he-IL"/>
        </w:rPr>
        <w:t>res des évangiles</w:t>
      </w:r>
      <w:r w:rsidR="00CE11E9">
        <w:rPr>
          <w:rFonts w:eastAsia="Gungsuh"/>
          <w:bCs/>
          <w:lang w:eastAsia="fr-FR" w:bidi="he-IL"/>
        </w:rPr>
        <w:t xml:space="preserve"> </w:t>
      </w:r>
      <w:r w:rsidR="004901F4">
        <w:rPr>
          <w:rFonts w:eastAsia="Gungsuh"/>
          <w:bCs/>
          <w:lang w:eastAsia="fr-FR" w:bidi="he-IL"/>
        </w:rPr>
        <w:tab/>
      </w:r>
      <w:r w:rsidR="00691E6B">
        <w:rPr>
          <w:rFonts w:eastAsia="Gungsuh"/>
          <w:bCs/>
          <w:lang w:eastAsia="fr-FR" w:bidi="he-IL"/>
        </w:rPr>
        <w:fldChar w:fldCharType="begin"/>
      </w:r>
      <w:r w:rsidR="004901F4">
        <w:rPr>
          <w:rFonts w:eastAsia="Gungsuh"/>
          <w:bCs/>
          <w:lang w:eastAsia="fr-FR" w:bidi="he-IL"/>
        </w:rPr>
        <w:instrText xml:space="preserve"> PAGEREF evin05 \h </w:instrText>
      </w:r>
      <w:r w:rsidR="00691E6B">
        <w:rPr>
          <w:rFonts w:eastAsia="Gungsuh"/>
          <w:bCs/>
          <w:lang w:eastAsia="fr-FR" w:bidi="he-IL"/>
        </w:rPr>
      </w:r>
      <w:r w:rsidR="00691E6B">
        <w:rPr>
          <w:rFonts w:eastAsia="Gungsuh"/>
          <w:bCs/>
          <w:lang w:eastAsia="fr-FR" w:bidi="he-IL"/>
        </w:rPr>
        <w:fldChar w:fldCharType="separate"/>
      </w:r>
      <w:r w:rsidR="004901F4">
        <w:rPr>
          <w:rFonts w:eastAsia="Gungsuh"/>
          <w:bCs/>
          <w:noProof/>
          <w:lang w:eastAsia="fr-FR" w:bidi="he-IL"/>
        </w:rPr>
        <w:t>9</w:t>
      </w:r>
      <w:r w:rsidR="00691E6B">
        <w:rPr>
          <w:rFonts w:eastAsia="Gungsuh"/>
          <w:bCs/>
          <w:lang w:eastAsia="fr-FR" w:bidi="he-IL"/>
        </w:rPr>
        <w:fldChar w:fldCharType="end"/>
      </w:r>
    </w:p>
    <w:p w:rsidR="004901F4" w:rsidRDefault="00B704AD" w:rsidP="00E87D10">
      <w:pPr>
        <w:pStyle w:val="t1"/>
        <w:rPr>
          <w:rFonts w:eastAsia="Gungsuh"/>
          <w:bCs/>
          <w:lang w:eastAsia="fr-FR" w:bidi="he-IL"/>
        </w:rPr>
      </w:pPr>
      <w:r w:rsidRPr="00C8701B">
        <w:rPr>
          <w:rFonts w:eastAsia="Gungsuh"/>
          <w:bCs/>
          <w:lang w:eastAsia="fr-FR" w:bidi="he-IL"/>
        </w:rPr>
        <w:t xml:space="preserve">§ </w:t>
      </w:r>
      <w:r w:rsidR="00A319EA">
        <w:rPr>
          <w:rFonts w:eastAsia="Gungsuh"/>
          <w:bCs/>
          <w:lang w:eastAsia="fr-FR" w:bidi="he-IL"/>
        </w:rPr>
        <w:t>VI</w:t>
      </w:r>
      <w:r w:rsidRPr="00C8701B">
        <w:rPr>
          <w:rFonts w:eastAsia="Gungsuh"/>
          <w:bCs/>
          <w:lang w:eastAsia="fr-FR" w:bidi="he-IL"/>
        </w:rPr>
        <w:t>.</w:t>
      </w:r>
      <w:r w:rsidR="000F7DAA">
        <w:rPr>
          <w:rFonts w:eastAsia="Gungsuh"/>
          <w:bCs/>
          <w:lang w:eastAsia="fr-FR" w:bidi="he-IL"/>
        </w:rPr>
        <w:t xml:space="preserve"> —</w:t>
      </w:r>
      <w:r w:rsidR="008D0642">
        <w:rPr>
          <w:rFonts w:eastAsia="Gungsuh"/>
          <w:bCs/>
          <w:lang w:eastAsia="fr-FR" w:bidi="he-IL"/>
        </w:rPr>
        <w:t xml:space="preserve"> </w:t>
      </w:r>
      <w:r w:rsidRPr="00C8701B">
        <w:rPr>
          <w:rFonts w:eastAsia="Gungsuh"/>
          <w:bCs/>
          <w:lang w:eastAsia="fr-FR" w:bidi="he-IL"/>
        </w:rPr>
        <w:t>Le contenu des évangiles</w:t>
      </w:r>
      <w:r w:rsidR="00605074" w:rsidRPr="00C8701B">
        <w:rPr>
          <w:rFonts w:eastAsia="Gungsuh"/>
          <w:bCs/>
          <w:lang w:eastAsia="fr-FR" w:bidi="he-IL"/>
        </w:rPr>
        <w:t xml:space="preserve"> </w:t>
      </w:r>
      <w:r w:rsidR="004901F4">
        <w:rPr>
          <w:rFonts w:eastAsia="Gungsuh"/>
          <w:bCs/>
          <w:lang w:eastAsia="fr-FR" w:bidi="he-IL"/>
        </w:rPr>
        <w:tab/>
      </w:r>
      <w:r w:rsidR="00691E6B">
        <w:rPr>
          <w:rFonts w:eastAsia="Gungsuh"/>
          <w:bCs/>
          <w:lang w:eastAsia="fr-FR" w:bidi="he-IL"/>
        </w:rPr>
        <w:fldChar w:fldCharType="begin"/>
      </w:r>
      <w:r w:rsidR="004901F4">
        <w:rPr>
          <w:rFonts w:eastAsia="Gungsuh"/>
          <w:bCs/>
          <w:lang w:eastAsia="fr-FR" w:bidi="he-IL"/>
        </w:rPr>
        <w:instrText xml:space="preserve"> PAGEREF evin06 \h </w:instrText>
      </w:r>
      <w:r w:rsidR="00691E6B">
        <w:rPr>
          <w:rFonts w:eastAsia="Gungsuh"/>
          <w:bCs/>
          <w:lang w:eastAsia="fr-FR" w:bidi="he-IL"/>
        </w:rPr>
      </w:r>
      <w:r w:rsidR="00691E6B">
        <w:rPr>
          <w:rFonts w:eastAsia="Gungsuh"/>
          <w:bCs/>
          <w:lang w:eastAsia="fr-FR" w:bidi="he-IL"/>
        </w:rPr>
        <w:fldChar w:fldCharType="separate"/>
      </w:r>
      <w:r w:rsidR="004901F4">
        <w:rPr>
          <w:rFonts w:eastAsia="Gungsuh"/>
          <w:bCs/>
          <w:noProof/>
          <w:lang w:eastAsia="fr-FR" w:bidi="he-IL"/>
        </w:rPr>
        <w:t>11</w:t>
      </w:r>
      <w:r w:rsidR="00691E6B">
        <w:rPr>
          <w:rFonts w:eastAsia="Gungsuh"/>
          <w:bCs/>
          <w:lang w:eastAsia="fr-FR" w:bidi="he-IL"/>
        </w:rPr>
        <w:fldChar w:fldCharType="end"/>
      </w:r>
    </w:p>
    <w:p w:rsidR="004901F4" w:rsidRDefault="00B704AD" w:rsidP="00E87D10">
      <w:pPr>
        <w:pStyle w:val="t1"/>
        <w:rPr>
          <w:rFonts w:eastAsia="Gungsuh"/>
          <w:bCs/>
          <w:lang w:eastAsia="fr-FR" w:bidi="he-IL"/>
        </w:rPr>
      </w:pPr>
      <w:r w:rsidRPr="00C8701B">
        <w:rPr>
          <w:rFonts w:eastAsia="Gungsuh"/>
          <w:bCs/>
          <w:lang w:eastAsia="fr-FR" w:bidi="he-IL"/>
        </w:rPr>
        <w:t>§ VII.</w:t>
      </w:r>
      <w:r w:rsidR="000F7DAA">
        <w:rPr>
          <w:rFonts w:eastAsia="Gungsuh"/>
          <w:bCs/>
          <w:lang w:eastAsia="fr-FR" w:bidi="he-IL"/>
        </w:rPr>
        <w:t xml:space="preserve"> —</w:t>
      </w:r>
      <w:r w:rsidR="008D0642">
        <w:rPr>
          <w:rFonts w:eastAsia="Gungsuh"/>
          <w:bCs/>
          <w:lang w:eastAsia="fr-FR" w:bidi="he-IL"/>
        </w:rPr>
        <w:t xml:space="preserve"> </w:t>
      </w:r>
      <w:r w:rsidRPr="00C8701B">
        <w:rPr>
          <w:rFonts w:eastAsia="Gungsuh"/>
          <w:bCs/>
          <w:lang w:eastAsia="fr-FR" w:bidi="he-IL"/>
        </w:rPr>
        <w:t>Rapports des quatre évangélistes entre eux</w:t>
      </w:r>
      <w:r w:rsidR="00C2602D" w:rsidRPr="00C8701B">
        <w:rPr>
          <w:rFonts w:eastAsia="Gungsuh"/>
          <w:bCs/>
          <w:lang w:eastAsia="fr-FR" w:bidi="he-IL"/>
        </w:rPr>
        <w:t> :</w:t>
      </w:r>
      <w:r w:rsidRPr="00C8701B">
        <w:rPr>
          <w:rFonts w:eastAsia="Gungsuh"/>
          <w:bCs/>
          <w:lang w:eastAsia="fr-FR" w:bidi="he-IL"/>
        </w:rPr>
        <w:t xml:space="preserve"> leurs ressemblances et leurs</w:t>
      </w:r>
      <w:r w:rsidR="004D5ADA">
        <w:rPr>
          <w:rFonts w:eastAsia="Gungsuh"/>
          <w:bCs/>
          <w:lang w:eastAsia="fr-FR" w:bidi="he-IL"/>
        </w:rPr>
        <w:t xml:space="preserve"> </w:t>
      </w:r>
      <w:r w:rsidRPr="00C8701B">
        <w:rPr>
          <w:rFonts w:eastAsia="Gungsuh"/>
          <w:bCs/>
          <w:lang w:eastAsia="fr-FR" w:bidi="he-IL"/>
        </w:rPr>
        <w:t>diffé</w:t>
      </w:r>
      <w:r w:rsidRPr="004D5ADA">
        <w:t>rences</w:t>
      </w:r>
      <w:r w:rsidR="00E65435" w:rsidRPr="004D5ADA">
        <w:t xml:space="preserve">, </w:t>
      </w:r>
      <w:r w:rsidRPr="00C8701B">
        <w:rPr>
          <w:rFonts w:eastAsia="Gungsuh"/>
          <w:bCs/>
          <w:lang w:eastAsia="fr-FR" w:bidi="he-IL"/>
        </w:rPr>
        <w:t>les raisons de ces diff</w:t>
      </w:r>
      <w:r w:rsidR="004D5ADA">
        <w:rPr>
          <w:rFonts w:eastAsia="Gungsuh"/>
          <w:bCs/>
          <w:lang w:eastAsia="fr-FR" w:bidi="he-IL"/>
        </w:rPr>
        <w:t>érences et de ces ressemblances</w:t>
      </w:r>
      <w:r w:rsidR="004901F4">
        <w:rPr>
          <w:rFonts w:eastAsia="Gungsuh"/>
          <w:bCs/>
          <w:lang w:eastAsia="fr-FR" w:bidi="he-IL"/>
        </w:rPr>
        <w:tab/>
      </w:r>
      <w:r w:rsidR="00691E6B">
        <w:rPr>
          <w:rFonts w:eastAsia="Gungsuh"/>
          <w:bCs/>
          <w:lang w:eastAsia="fr-FR" w:bidi="he-IL"/>
        </w:rPr>
        <w:fldChar w:fldCharType="begin"/>
      </w:r>
      <w:r w:rsidR="004901F4">
        <w:rPr>
          <w:rFonts w:eastAsia="Gungsuh"/>
          <w:bCs/>
          <w:lang w:eastAsia="fr-FR" w:bidi="he-IL"/>
        </w:rPr>
        <w:instrText xml:space="preserve"> PAGEREF evin07 \h </w:instrText>
      </w:r>
      <w:r w:rsidR="00691E6B">
        <w:rPr>
          <w:rFonts w:eastAsia="Gungsuh"/>
          <w:bCs/>
          <w:lang w:eastAsia="fr-FR" w:bidi="he-IL"/>
        </w:rPr>
      </w:r>
      <w:r w:rsidR="00691E6B">
        <w:rPr>
          <w:rFonts w:eastAsia="Gungsuh"/>
          <w:bCs/>
          <w:lang w:eastAsia="fr-FR" w:bidi="he-IL"/>
        </w:rPr>
        <w:fldChar w:fldCharType="separate"/>
      </w:r>
      <w:r w:rsidR="004901F4">
        <w:rPr>
          <w:rFonts w:eastAsia="Gungsuh"/>
          <w:bCs/>
          <w:noProof/>
          <w:lang w:eastAsia="fr-FR" w:bidi="he-IL"/>
        </w:rPr>
        <w:t>19</w:t>
      </w:r>
      <w:r w:rsidR="00691E6B">
        <w:rPr>
          <w:rFonts w:eastAsia="Gungsuh"/>
          <w:bCs/>
          <w:lang w:eastAsia="fr-FR" w:bidi="he-IL"/>
        </w:rPr>
        <w:fldChar w:fldCharType="end"/>
      </w:r>
    </w:p>
    <w:p w:rsidR="004901F4" w:rsidRDefault="00B704AD" w:rsidP="00E87D10">
      <w:pPr>
        <w:pStyle w:val="t2"/>
        <w:rPr>
          <w:lang w:eastAsia="fr-FR" w:bidi="he-IL"/>
        </w:rPr>
      </w:pPr>
      <w:r w:rsidRPr="00C8701B">
        <w:rPr>
          <w:lang w:eastAsia="fr-FR" w:bidi="he-IL"/>
        </w:rPr>
        <w:t>I.</w:t>
      </w:r>
      <w:r w:rsidR="00605074" w:rsidRPr="00C8701B">
        <w:rPr>
          <w:lang w:eastAsia="fr-FR" w:bidi="he-IL"/>
        </w:rPr>
        <w:t xml:space="preserve"> </w:t>
      </w:r>
      <w:r w:rsidRPr="00C8701B">
        <w:rPr>
          <w:lang w:eastAsia="fr-FR" w:bidi="he-IL"/>
        </w:rPr>
        <w:t>L</w:t>
      </w:r>
      <w:r w:rsidR="00557DE0">
        <w:rPr>
          <w:lang w:eastAsia="fr-FR" w:bidi="he-IL"/>
        </w:rPr>
        <w:t>’</w:t>
      </w:r>
      <w:r w:rsidRPr="00C8701B">
        <w:rPr>
          <w:lang w:eastAsia="fr-FR" w:bidi="he-IL"/>
        </w:rPr>
        <w:t>état de la question</w:t>
      </w:r>
      <w:r w:rsidR="004D5ADA">
        <w:rPr>
          <w:lang w:eastAsia="fr-FR" w:bidi="he-IL"/>
        </w:rPr>
        <w:t xml:space="preserve"> </w:t>
      </w:r>
      <w:r w:rsidR="004901F4">
        <w:rPr>
          <w:lang w:eastAsia="fr-FR" w:bidi="he-IL"/>
        </w:rPr>
        <w:tab/>
      </w:r>
      <w:r w:rsidR="00691E6B">
        <w:rPr>
          <w:lang w:eastAsia="fr-FR" w:bidi="he-IL"/>
        </w:rPr>
        <w:fldChar w:fldCharType="begin"/>
      </w:r>
      <w:r w:rsidR="004901F4">
        <w:rPr>
          <w:lang w:eastAsia="fr-FR" w:bidi="he-IL"/>
        </w:rPr>
        <w:instrText xml:space="preserve"> PAGEREF evin0701 \h </w:instrText>
      </w:r>
      <w:r w:rsidR="00691E6B">
        <w:rPr>
          <w:lang w:eastAsia="fr-FR" w:bidi="he-IL"/>
        </w:rPr>
      </w:r>
      <w:r w:rsidR="00691E6B">
        <w:rPr>
          <w:lang w:eastAsia="fr-FR" w:bidi="he-IL"/>
        </w:rPr>
        <w:fldChar w:fldCharType="separate"/>
      </w:r>
      <w:r w:rsidR="004901F4">
        <w:rPr>
          <w:noProof/>
          <w:lang w:eastAsia="fr-FR" w:bidi="he-IL"/>
        </w:rPr>
        <w:t>20</w:t>
      </w:r>
      <w:r w:rsidR="00691E6B">
        <w:rPr>
          <w:lang w:eastAsia="fr-FR" w:bidi="he-IL"/>
        </w:rPr>
        <w:fldChar w:fldCharType="end"/>
      </w:r>
    </w:p>
    <w:p w:rsidR="004901F4" w:rsidRDefault="00B704AD" w:rsidP="00E87D10">
      <w:pPr>
        <w:pStyle w:val="t2"/>
        <w:rPr>
          <w:lang w:eastAsia="fr-FR" w:bidi="he-IL"/>
        </w:rPr>
      </w:pPr>
      <w:r w:rsidRPr="00C8701B">
        <w:rPr>
          <w:lang w:eastAsia="fr-FR" w:bidi="he-IL"/>
        </w:rPr>
        <w:t>II.</w:t>
      </w:r>
      <w:r w:rsidR="00605074" w:rsidRPr="00C8701B">
        <w:rPr>
          <w:lang w:eastAsia="fr-FR" w:bidi="he-IL"/>
        </w:rPr>
        <w:t xml:space="preserve"> </w:t>
      </w:r>
      <w:r w:rsidRPr="00C8701B">
        <w:rPr>
          <w:lang w:eastAsia="fr-FR" w:bidi="he-IL"/>
        </w:rPr>
        <w:t>Rapports mu</w:t>
      </w:r>
      <w:r w:rsidR="00E87D10">
        <w:rPr>
          <w:lang w:eastAsia="fr-FR" w:bidi="he-IL"/>
        </w:rPr>
        <w:t>tuels des évangiles synoptiques</w:t>
      </w:r>
      <w:r w:rsidR="004901F4">
        <w:rPr>
          <w:lang w:eastAsia="fr-FR" w:bidi="he-IL"/>
        </w:rPr>
        <w:tab/>
      </w:r>
      <w:r w:rsidR="00691E6B">
        <w:rPr>
          <w:lang w:eastAsia="fr-FR" w:bidi="he-IL"/>
        </w:rPr>
        <w:fldChar w:fldCharType="begin"/>
      </w:r>
      <w:r w:rsidR="004901F4">
        <w:rPr>
          <w:lang w:eastAsia="fr-FR" w:bidi="he-IL"/>
        </w:rPr>
        <w:instrText xml:space="preserve"> PAGEREF evin0702 \h </w:instrText>
      </w:r>
      <w:r w:rsidR="00691E6B">
        <w:rPr>
          <w:lang w:eastAsia="fr-FR" w:bidi="he-IL"/>
        </w:rPr>
      </w:r>
      <w:r w:rsidR="00691E6B">
        <w:rPr>
          <w:lang w:eastAsia="fr-FR" w:bidi="he-IL"/>
        </w:rPr>
        <w:fldChar w:fldCharType="separate"/>
      </w:r>
      <w:r w:rsidR="004901F4">
        <w:rPr>
          <w:noProof/>
          <w:lang w:eastAsia="fr-FR" w:bidi="he-IL"/>
        </w:rPr>
        <w:t>21</w:t>
      </w:r>
      <w:r w:rsidR="00691E6B">
        <w:rPr>
          <w:lang w:eastAsia="fr-FR" w:bidi="he-IL"/>
        </w:rPr>
        <w:fldChar w:fldCharType="end"/>
      </w:r>
    </w:p>
    <w:p w:rsidR="004901F4" w:rsidRDefault="00B704AD" w:rsidP="00E87D10">
      <w:pPr>
        <w:pStyle w:val="t2"/>
        <w:rPr>
          <w:lang w:eastAsia="fr-FR" w:bidi="he-IL"/>
        </w:rPr>
      </w:pPr>
      <w:r w:rsidRPr="00C8701B">
        <w:rPr>
          <w:lang w:eastAsia="fr-FR" w:bidi="he-IL"/>
        </w:rPr>
        <w:t>III.</w:t>
      </w:r>
      <w:r w:rsidR="00605074" w:rsidRPr="00C8701B">
        <w:rPr>
          <w:lang w:eastAsia="fr-FR" w:bidi="he-IL"/>
        </w:rPr>
        <w:t xml:space="preserve"> </w:t>
      </w:r>
      <w:r w:rsidRPr="00C8701B">
        <w:rPr>
          <w:lang w:eastAsia="fr-FR" w:bidi="he-IL"/>
        </w:rPr>
        <w:t>Rapports du quatrième évangile avec les trois premiers</w:t>
      </w:r>
      <w:r w:rsidR="004901F4">
        <w:rPr>
          <w:lang w:eastAsia="fr-FR" w:bidi="he-IL"/>
        </w:rPr>
        <w:tab/>
      </w:r>
      <w:r w:rsidR="00691E6B">
        <w:rPr>
          <w:lang w:eastAsia="fr-FR" w:bidi="he-IL"/>
        </w:rPr>
        <w:fldChar w:fldCharType="begin"/>
      </w:r>
      <w:r w:rsidR="004901F4">
        <w:rPr>
          <w:lang w:eastAsia="fr-FR" w:bidi="he-IL"/>
        </w:rPr>
        <w:instrText xml:space="preserve"> PAGEREF evin0703 \h </w:instrText>
      </w:r>
      <w:r w:rsidR="00691E6B">
        <w:rPr>
          <w:lang w:eastAsia="fr-FR" w:bidi="he-IL"/>
        </w:rPr>
      </w:r>
      <w:r w:rsidR="00691E6B">
        <w:rPr>
          <w:lang w:eastAsia="fr-FR" w:bidi="he-IL"/>
        </w:rPr>
        <w:fldChar w:fldCharType="separate"/>
      </w:r>
      <w:r w:rsidR="004901F4">
        <w:rPr>
          <w:noProof/>
          <w:lang w:eastAsia="fr-FR" w:bidi="he-IL"/>
        </w:rPr>
        <w:t>42</w:t>
      </w:r>
      <w:r w:rsidR="00691E6B">
        <w:rPr>
          <w:lang w:eastAsia="fr-FR" w:bidi="he-IL"/>
        </w:rPr>
        <w:fldChar w:fldCharType="end"/>
      </w:r>
    </w:p>
    <w:p w:rsidR="004901F4" w:rsidRDefault="00B704AD" w:rsidP="00E87D10">
      <w:pPr>
        <w:pStyle w:val="t1"/>
        <w:rPr>
          <w:rFonts w:eastAsia="Arial Unicode MS"/>
          <w:bCs/>
          <w:lang w:eastAsia="fr-FR" w:bidi="he-IL"/>
        </w:rPr>
      </w:pPr>
      <w:r w:rsidRPr="00C8701B">
        <w:rPr>
          <w:rFonts w:eastAsia="Arial Unicode MS"/>
          <w:bCs/>
          <w:lang w:eastAsia="fr-FR" w:bidi="he-IL"/>
        </w:rPr>
        <w:t>§ VIII.</w:t>
      </w:r>
      <w:r w:rsidR="000F7DAA">
        <w:rPr>
          <w:rFonts w:eastAsia="Arial Unicode MS"/>
          <w:bCs/>
          <w:lang w:eastAsia="fr-FR" w:bidi="he-IL"/>
        </w:rPr>
        <w:t xml:space="preserve"> —</w:t>
      </w:r>
      <w:r w:rsidR="008D0642">
        <w:rPr>
          <w:rFonts w:eastAsia="Arial Unicode MS"/>
          <w:bCs/>
          <w:lang w:eastAsia="fr-FR" w:bidi="he-IL"/>
        </w:rPr>
        <w:t xml:space="preserve"> </w:t>
      </w:r>
      <w:r w:rsidR="00E87D10">
        <w:rPr>
          <w:rFonts w:eastAsia="Arial Unicode MS"/>
          <w:bCs/>
          <w:lang w:eastAsia="fr-FR" w:bidi="he-IL"/>
        </w:rPr>
        <w:t>La chronologie des évangiles</w:t>
      </w:r>
      <w:r w:rsidR="004901F4">
        <w:rPr>
          <w:rFonts w:eastAsia="Arial Unicode MS"/>
          <w:bCs/>
          <w:lang w:eastAsia="fr-FR" w:bidi="he-IL"/>
        </w:rPr>
        <w:tab/>
      </w:r>
      <w:r w:rsidR="00691E6B">
        <w:rPr>
          <w:rFonts w:eastAsia="Arial Unicode MS"/>
          <w:bCs/>
          <w:lang w:eastAsia="fr-FR" w:bidi="he-IL"/>
        </w:rPr>
        <w:fldChar w:fldCharType="begin"/>
      </w:r>
      <w:r w:rsidR="004901F4">
        <w:rPr>
          <w:rFonts w:eastAsia="Arial Unicode MS"/>
          <w:bCs/>
          <w:lang w:eastAsia="fr-FR" w:bidi="he-IL"/>
        </w:rPr>
        <w:instrText xml:space="preserve"> PAGEREF evin08 \h </w:instrText>
      </w:r>
      <w:r w:rsidR="00691E6B">
        <w:rPr>
          <w:rFonts w:eastAsia="Arial Unicode MS"/>
          <w:bCs/>
          <w:lang w:eastAsia="fr-FR" w:bidi="he-IL"/>
        </w:rPr>
      </w:r>
      <w:r w:rsidR="00691E6B">
        <w:rPr>
          <w:rFonts w:eastAsia="Arial Unicode MS"/>
          <w:bCs/>
          <w:lang w:eastAsia="fr-FR" w:bidi="he-IL"/>
        </w:rPr>
        <w:fldChar w:fldCharType="separate"/>
      </w:r>
      <w:r w:rsidR="004901F4">
        <w:rPr>
          <w:rFonts w:eastAsia="Arial Unicode MS"/>
          <w:bCs/>
          <w:noProof/>
          <w:lang w:eastAsia="fr-FR" w:bidi="he-IL"/>
        </w:rPr>
        <w:t>49</w:t>
      </w:r>
      <w:r w:rsidR="00691E6B">
        <w:rPr>
          <w:rFonts w:eastAsia="Arial Unicode MS"/>
          <w:bCs/>
          <w:lang w:eastAsia="fr-FR" w:bidi="he-IL"/>
        </w:rPr>
        <w:fldChar w:fldCharType="end"/>
      </w:r>
    </w:p>
    <w:p w:rsidR="004901F4" w:rsidRDefault="00B704AD" w:rsidP="00E87D10">
      <w:pPr>
        <w:pStyle w:val="t2"/>
        <w:rPr>
          <w:lang w:eastAsia="fr-FR" w:bidi="he-IL"/>
        </w:rPr>
      </w:pPr>
      <w:r w:rsidRPr="00C8701B">
        <w:rPr>
          <w:lang w:eastAsia="fr-FR" w:bidi="he-IL"/>
        </w:rPr>
        <w:t>I.</w:t>
      </w:r>
      <w:r w:rsidR="00605074" w:rsidRPr="00C8701B">
        <w:rPr>
          <w:lang w:eastAsia="fr-FR" w:bidi="he-IL"/>
        </w:rPr>
        <w:t xml:space="preserve"> </w:t>
      </w:r>
      <w:r w:rsidRPr="00C8701B">
        <w:rPr>
          <w:lang w:eastAsia="fr-FR" w:bidi="he-IL"/>
        </w:rPr>
        <w:t>L</w:t>
      </w:r>
      <w:r w:rsidR="00557DE0">
        <w:rPr>
          <w:lang w:eastAsia="fr-FR" w:bidi="he-IL"/>
        </w:rPr>
        <w:t>’</w:t>
      </w:r>
      <w:r w:rsidRPr="00C8701B">
        <w:rPr>
          <w:lang w:eastAsia="fr-FR" w:bidi="he-IL"/>
        </w:rPr>
        <w:t>année de la na</w:t>
      </w:r>
      <w:r w:rsidR="004D5ADA">
        <w:rPr>
          <w:lang w:eastAsia="fr-FR" w:bidi="he-IL"/>
        </w:rPr>
        <w:t xml:space="preserve">issance de Jésus-Christ </w:t>
      </w:r>
      <w:r w:rsidR="004901F4">
        <w:rPr>
          <w:lang w:eastAsia="fr-FR" w:bidi="he-IL"/>
        </w:rPr>
        <w:tab/>
      </w:r>
      <w:r w:rsidR="00691E6B">
        <w:rPr>
          <w:lang w:eastAsia="fr-FR" w:bidi="he-IL"/>
        </w:rPr>
        <w:fldChar w:fldCharType="begin"/>
      </w:r>
      <w:r w:rsidR="004901F4">
        <w:rPr>
          <w:lang w:eastAsia="fr-FR" w:bidi="he-IL"/>
        </w:rPr>
        <w:instrText xml:space="preserve"> PAGEREF evin0801 \h </w:instrText>
      </w:r>
      <w:r w:rsidR="00691E6B">
        <w:rPr>
          <w:lang w:eastAsia="fr-FR" w:bidi="he-IL"/>
        </w:rPr>
      </w:r>
      <w:r w:rsidR="00691E6B">
        <w:rPr>
          <w:lang w:eastAsia="fr-FR" w:bidi="he-IL"/>
        </w:rPr>
        <w:fldChar w:fldCharType="separate"/>
      </w:r>
      <w:r w:rsidR="004901F4">
        <w:rPr>
          <w:noProof/>
          <w:lang w:eastAsia="fr-FR" w:bidi="he-IL"/>
        </w:rPr>
        <w:t>51</w:t>
      </w:r>
      <w:r w:rsidR="00691E6B">
        <w:rPr>
          <w:lang w:eastAsia="fr-FR" w:bidi="he-IL"/>
        </w:rPr>
        <w:fldChar w:fldCharType="end"/>
      </w:r>
    </w:p>
    <w:p w:rsidR="004901F4" w:rsidRDefault="00B704AD" w:rsidP="00E87D10">
      <w:pPr>
        <w:pStyle w:val="t2"/>
        <w:rPr>
          <w:lang w:eastAsia="fr-FR" w:bidi="he-IL"/>
        </w:rPr>
      </w:pPr>
      <w:r w:rsidRPr="00C8701B">
        <w:rPr>
          <w:lang w:eastAsia="fr-FR" w:bidi="he-IL"/>
        </w:rPr>
        <w:t>II.</w:t>
      </w:r>
      <w:r w:rsidR="00605074" w:rsidRPr="00C8701B">
        <w:rPr>
          <w:lang w:eastAsia="fr-FR" w:bidi="he-IL"/>
        </w:rPr>
        <w:t xml:space="preserve"> </w:t>
      </w:r>
      <w:r w:rsidRPr="00C8701B">
        <w:rPr>
          <w:lang w:eastAsia="fr-FR" w:bidi="he-IL"/>
        </w:rPr>
        <w:t>Début et du</w:t>
      </w:r>
      <w:r w:rsidR="004D5ADA">
        <w:rPr>
          <w:lang w:eastAsia="fr-FR" w:bidi="he-IL"/>
        </w:rPr>
        <w:t xml:space="preserve">rée de la Vie publique de Jésus </w:t>
      </w:r>
      <w:r w:rsidR="004901F4">
        <w:rPr>
          <w:lang w:eastAsia="fr-FR" w:bidi="he-IL"/>
        </w:rPr>
        <w:tab/>
      </w:r>
      <w:r w:rsidR="00691E6B">
        <w:rPr>
          <w:lang w:eastAsia="fr-FR" w:bidi="he-IL"/>
        </w:rPr>
        <w:fldChar w:fldCharType="begin"/>
      </w:r>
      <w:r w:rsidR="004901F4">
        <w:rPr>
          <w:lang w:eastAsia="fr-FR" w:bidi="he-IL"/>
        </w:rPr>
        <w:instrText xml:space="preserve"> PAGEREF evin0802 \h </w:instrText>
      </w:r>
      <w:r w:rsidR="00691E6B">
        <w:rPr>
          <w:lang w:eastAsia="fr-FR" w:bidi="he-IL"/>
        </w:rPr>
      </w:r>
      <w:r w:rsidR="00691E6B">
        <w:rPr>
          <w:lang w:eastAsia="fr-FR" w:bidi="he-IL"/>
        </w:rPr>
        <w:fldChar w:fldCharType="separate"/>
      </w:r>
      <w:r w:rsidR="004901F4">
        <w:rPr>
          <w:noProof/>
          <w:lang w:eastAsia="fr-FR" w:bidi="he-IL"/>
        </w:rPr>
        <w:t>54</w:t>
      </w:r>
      <w:r w:rsidR="00691E6B">
        <w:rPr>
          <w:lang w:eastAsia="fr-FR" w:bidi="he-IL"/>
        </w:rPr>
        <w:fldChar w:fldCharType="end"/>
      </w:r>
    </w:p>
    <w:p w:rsidR="004901F4" w:rsidRDefault="00B704AD" w:rsidP="00E87D10">
      <w:pPr>
        <w:pStyle w:val="t2"/>
        <w:rPr>
          <w:lang w:eastAsia="fr-FR" w:bidi="he-IL"/>
        </w:rPr>
      </w:pPr>
      <w:r w:rsidRPr="00C8701B">
        <w:rPr>
          <w:lang w:eastAsia="fr-FR" w:bidi="he-IL"/>
        </w:rPr>
        <w:t>III.</w:t>
      </w:r>
      <w:r w:rsidR="00605074" w:rsidRPr="00C8701B">
        <w:rPr>
          <w:lang w:eastAsia="fr-FR" w:bidi="he-IL"/>
        </w:rPr>
        <w:t xml:space="preserve"> </w:t>
      </w:r>
      <w:r w:rsidRPr="00C8701B">
        <w:rPr>
          <w:lang w:eastAsia="fr-FR" w:bidi="he-IL"/>
        </w:rPr>
        <w:t>L</w:t>
      </w:r>
      <w:r w:rsidR="00557DE0">
        <w:rPr>
          <w:lang w:eastAsia="fr-FR" w:bidi="he-IL"/>
        </w:rPr>
        <w:t>’</w:t>
      </w:r>
      <w:r w:rsidRPr="00C8701B">
        <w:rPr>
          <w:lang w:eastAsia="fr-FR" w:bidi="he-IL"/>
        </w:rPr>
        <w:t>année d</w:t>
      </w:r>
      <w:r w:rsidR="004D5ADA">
        <w:rPr>
          <w:lang w:eastAsia="fr-FR" w:bidi="he-IL"/>
        </w:rPr>
        <w:t xml:space="preserve">e la mort de N.-S. Jésus-Christ </w:t>
      </w:r>
      <w:r w:rsidR="004901F4">
        <w:rPr>
          <w:lang w:eastAsia="fr-FR" w:bidi="he-IL"/>
        </w:rPr>
        <w:tab/>
      </w:r>
      <w:r w:rsidR="00691E6B">
        <w:rPr>
          <w:lang w:eastAsia="fr-FR" w:bidi="he-IL"/>
        </w:rPr>
        <w:fldChar w:fldCharType="begin"/>
      </w:r>
      <w:r w:rsidR="004901F4">
        <w:rPr>
          <w:lang w:eastAsia="fr-FR" w:bidi="he-IL"/>
        </w:rPr>
        <w:instrText xml:space="preserve"> PAGEREF evin0803 \h </w:instrText>
      </w:r>
      <w:r w:rsidR="00691E6B">
        <w:rPr>
          <w:lang w:eastAsia="fr-FR" w:bidi="he-IL"/>
        </w:rPr>
      </w:r>
      <w:r w:rsidR="00691E6B">
        <w:rPr>
          <w:lang w:eastAsia="fr-FR" w:bidi="he-IL"/>
        </w:rPr>
        <w:fldChar w:fldCharType="separate"/>
      </w:r>
      <w:r w:rsidR="004901F4">
        <w:rPr>
          <w:noProof/>
          <w:lang w:eastAsia="fr-FR" w:bidi="he-IL"/>
        </w:rPr>
        <w:t>56</w:t>
      </w:r>
      <w:r w:rsidR="00691E6B">
        <w:rPr>
          <w:lang w:eastAsia="fr-FR" w:bidi="he-IL"/>
        </w:rPr>
        <w:fldChar w:fldCharType="end"/>
      </w:r>
    </w:p>
    <w:p w:rsidR="004901F4" w:rsidRDefault="00B704AD" w:rsidP="00E87D10">
      <w:pPr>
        <w:pStyle w:val="t1"/>
        <w:rPr>
          <w:rFonts w:eastAsia="Arial Unicode MS"/>
          <w:bCs/>
          <w:lang w:eastAsia="fr-FR" w:bidi="he-IL"/>
        </w:rPr>
      </w:pPr>
      <w:r w:rsidRPr="00C8701B">
        <w:rPr>
          <w:rFonts w:eastAsia="Arial Unicode MS"/>
          <w:bCs/>
          <w:lang w:eastAsia="fr-FR" w:bidi="he-IL"/>
        </w:rPr>
        <w:t>§ IX.</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Le texte primitif des évangiles et la critique du texte</w:t>
      </w:r>
      <w:r w:rsidR="004901F4">
        <w:rPr>
          <w:rFonts w:eastAsia="Arial Unicode MS"/>
          <w:bCs/>
          <w:lang w:eastAsia="fr-FR" w:bidi="he-IL"/>
        </w:rPr>
        <w:tab/>
      </w:r>
      <w:r w:rsidR="00691E6B">
        <w:rPr>
          <w:rFonts w:eastAsia="Arial Unicode MS"/>
          <w:bCs/>
          <w:lang w:eastAsia="fr-FR" w:bidi="he-IL"/>
        </w:rPr>
        <w:fldChar w:fldCharType="begin"/>
      </w:r>
      <w:r w:rsidR="004901F4">
        <w:rPr>
          <w:rFonts w:eastAsia="Arial Unicode MS"/>
          <w:bCs/>
          <w:lang w:eastAsia="fr-FR" w:bidi="he-IL"/>
        </w:rPr>
        <w:instrText xml:space="preserve"> PAGEREF evin09 \h </w:instrText>
      </w:r>
      <w:r w:rsidR="00691E6B">
        <w:rPr>
          <w:rFonts w:eastAsia="Arial Unicode MS"/>
          <w:bCs/>
          <w:lang w:eastAsia="fr-FR" w:bidi="he-IL"/>
        </w:rPr>
      </w:r>
      <w:r w:rsidR="00691E6B">
        <w:rPr>
          <w:rFonts w:eastAsia="Arial Unicode MS"/>
          <w:bCs/>
          <w:lang w:eastAsia="fr-FR" w:bidi="he-IL"/>
        </w:rPr>
        <w:fldChar w:fldCharType="separate"/>
      </w:r>
      <w:r w:rsidR="004901F4">
        <w:rPr>
          <w:rFonts w:eastAsia="Arial Unicode MS"/>
          <w:bCs/>
          <w:noProof/>
          <w:lang w:eastAsia="fr-FR" w:bidi="he-IL"/>
        </w:rPr>
        <w:t>56</w:t>
      </w:r>
      <w:r w:rsidR="00691E6B">
        <w:rPr>
          <w:rFonts w:eastAsia="Arial Unicode MS"/>
          <w:bCs/>
          <w:lang w:eastAsia="fr-FR" w:bidi="he-IL"/>
        </w:rPr>
        <w:fldChar w:fldCharType="end"/>
      </w:r>
    </w:p>
    <w:p w:rsidR="004901F4" w:rsidRDefault="00B704AD" w:rsidP="00E87D10">
      <w:pPr>
        <w:pStyle w:val="t1"/>
        <w:rPr>
          <w:rFonts w:eastAsia="Arial Unicode MS"/>
          <w:bCs/>
          <w:lang w:eastAsia="fr-FR" w:bidi="he-IL"/>
        </w:rPr>
      </w:pPr>
      <w:r w:rsidRPr="00C8701B">
        <w:rPr>
          <w:rFonts w:eastAsia="Arial Unicode MS"/>
          <w:bCs/>
          <w:lang w:eastAsia="fr-FR" w:bidi="he-IL"/>
        </w:rPr>
        <w:t xml:space="preserve">§ </w:t>
      </w:r>
      <w:r w:rsidR="001157C4">
        <w:rPr>
          <w:rFonts w:eastAsia="Arial Unicode MS"/>
          <w:bCs/>
          <w:lang w:eastAsia="fr-FR" w:bidi="he-IL"/>
        </w:rPr>
        <w:t>X</w:t>
      </w:r>
      <w:r w:rsidRPr="00C8701B">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Les évangi</w:t>
      </w:r>
      <w:r w:rsidR="004D5ADA">
        <w:rPr>
          <w:rFonts w:eastAsia="Arial Unicode MS"/>
          <w:bCs/>
          <w:lang w:eastAsia="fr-FR" w:bidi="he-IL"/>
        </w:rPr>
        <w:t>les et la critique rationaliste</w:t>
      </w:r>
      <w:r w:rsidR="004901F4">
        <w:rPr>
          <w:rFonts w:eastAsia="Arial Unicode MS"/>
          <w:bCs/>
          <w:lang w:eastAsia="fr-FR" w:bidi="he-IL"/>
        </w:rPr>
        <w:tab/>
      </w:r>
      <w:r w:rsidR="00691E6B">
        <w:rPr>
          <w:rFonts w:eastAsia="Arial Unicode MS"/>
          <w:bCs/>
          <w:lang w:eastAsia="fr-FR" w:bidi="he-IL"/>
        </w:rPr>
        <w:fldChar w:fldCharType="begin"/>
      </w:r>
      <w:r w:rsidR="004901F4">
        <w:rPr>
          <w:rFonts w:eastAsia="Arial Unicode MS"/>
          <w:bCs/>
          <w:lang w:eastAsia="fr-FR" w:bidi="he-IL"/>
        </w:rPr>
        <w:instrText xml:space="preserve"> PAGEREF evin10 \h </w:instrText>
      </w:r>
      <w:r w:rsidR="00691E6B">
        <w:rPr>
          <w:rFonts w:eastAsia="Arial Unicode MS"/>
          <w:bCs/>
          <w:lang w:eastAsia="fr-FR" w:bidi="he-IL"/>
        </w:rPr>
      </w:r>
      <w:r w:rsidR="00691E6B">
        <w:rPr>
          <w:rFonts w:eastAsia="Arial Unicode MS"/>
          <w:bCs/>
          <w:lang w:eastAsia="fr-FR" w:bidi="he-IL"/>
        </w:rPr>
        <w:fldChar w:fldCharType="separate"/>
      </w:r>
      <w:r w:rsidR="004901F4">
        <w:rPr>
          <w:rFonts w:eastAsia="Arial Unicode MS"/>
          <w:bCs/>
          <w:noProof/>
          <w:lang w:eastAsia="fr-FR" w:bidi="he-IL"/>
        </w:rPr>
        <w:t>61</w:t>
      </w:r>
      <w:r w:rsidR="00691E6B">
        <w:rPr>
          <w:rFonts w:eastAsia="Arial Unicode MS"/>
          <w:bCs/>
          <w:lang w:eastAsia="fr-FR" w:bidi="he-IL"/>
        </w:rPr>
        <w:fldChar w:fldCharType="end"/>
      </w:r>
    </w:p>
    <w:p w:rsidR="004901F4" w:rsidRDefault="00B704AD" w:rsidP="00E87D10">
      <w:pPr>
        <w:pStyle w:val="t1"/>
        <w:rPr>
          <w:rFonts w:eastAsia="Arial Unicode MS"/>
          <w:bCs/>
          <w:lang w:eastAsia="fr-FR" w:bidi="he-IL"/>
        </w:rPr>
      </w:pPr>
      <w:r w:rsidRPr="00C8701B">
        <w:rPr>
          <w:rFonts w:eastAsia="Arial Unicode MS"/>
          <w:bCs/>
          <w:lang w:eastAsia="fr-FR" w:bidi="he-IL"/>
        </w:rPr>
        <w:t>§ XI.</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Divinité des évangiles</w:t>
      </w:r>
      <w:r w:rsidR="004901F4">
        <w:rPr>
          <w:rFonts w:eastAsia="Arial Unicode MS"/>
          <w:bCs/>
          <w:lang w:eastAsia="fr-FR" w:bidi="he-IL"/>
        </w:rPr>
        <w:tab/>
      </w:r>
      <w:r w:rsidR="00691E6B">
        <w:rPr>
          <w:rFonts w:eastAsia="Arial Unicode MS"/>
          <w:bCs/>
          <w:lang w:eastAsia="fr-FR" w:bidi="he-IL"/>
        </w:rPr>
        <w:fldChar w:fldCharType="begin"/>
      </w:r>
      <w:r w:rsidR="004901F4">
        <w:rPr>
          <w:rFonts w:eastAsia="Arial Unicode MS"/>
          <w:bCs/>
          <w:lang w:eastAsia="fr-FR" w:bidi="he-IL"/>
        </w:rPr>
        <w:instrText xml:space="preserve"> PAGEREF evin11 \h </w:instrText>
      </w:r>
      <w:r w:rsidR="00691E6B">
        <w:rPr>
          <w:rFonts w:eastAsia="Arial Unicode MS"/>
          <w:bCs/>
          <w:lang w:eastAsia="fr-FR" w:bidi="he-IL"/>
        </w:rPr>
      </w:r>
      <w:r w:rsidR="00691E6B">
        <w:rPr>
          <w:rFonts w:eastAsia="Arial Unicode MS"/>
          <w:bCs/>
          <w:lang w:eastAsia="fr-FR" w:bidi="he-IL"/>
        </w:rPr>
        <w:fldChar w:fldCharType="separate"/>
      </w:r>
      <w:r w:rsidR="004901F4">
        <w:rPr>
          <w:rFonts w:eastAsia="Arial Unicode MS"/>
          <w:bCs/>
          <w:noProof/>
          <w:lang w:eastAsia="fr-FR" w:bidi="he-IL"/>
        </w:rPr>
        <w:t>69</w:t>
      </w:r>
      <w:r w:rsidR="00691E6B">
        <w:rPr>
          <w:rFonts w:eastAsia="Arial Unicode MS"/>
          <w:bCs/>
          <w:lang w:eastAsia="fr-FR" w:bidi="he-IL"/>
        </w:rPr>
        <w:fldChar w:fldCharType="end"/>
      </w:r>
    </w:p>
    <w:p w:rsidR="004901F4" w:rsidRDefault="00B704AD" w:rsidP="00E87D10">
      <w:pPr>
        <w:pStyle w:val="t1"/>
        <w:rPr>
          <w:rFonts w:eastAsia="Arial Unicode MS"/>
          <w:bCs/>
          <w:lang w:eastAsia="fr-FR" w:bidi="he-IL"/>
        </w:rPr>
      </w:pPr>
      <w:r w:rsidRPr="00C8701B">
        <w:rPr>
          <w:rFonts w:eastAsia="Arial Unicode MS"/>
          <w:bCs/>
          <w:lang w:eastAsia="fr-FR" w:bidi="he-IL"/>
        </w:rPr>
        <w:t>§ XII</w:t>
      </w:r>
      <w:r w:rsidR="00B35391">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Beauté des évangiles</w:t>
      </w:r>
      <w:r w:rsidR="004901F4">
        <w:rPr>
          <w:rFonts w:eastAsia="Arial Unicode MS"/>
          <w:bCs/>
          <w:lang w:eastAsia="fr-FR" w:bidi="he-IL"/>
        </w:rPr>
        <w:tab/>
      </w:r>
      <w:r w:rsidR="00691E6B">
        <w:rPr>
          <w:rFonts w:eastAsia="Arial Unicode MS"/>
          <w:bCs/>
          <w:lang w:eastAsia="fr-FR" w:bidi="he-IL"/>
        </w:rPr>
        <w:fldChar w:fldCharType="begin"/>
      </w:r>
      <w:r w:rsidR="004901F4">
        <w:rPr>
          <w:rFonts w:eastAsia="Arial Unicode MS"/>
          <w:bCs/>
          <w:lang w:eastAsia="fr-FR" w:bidi="he-IL"/>
        </w:rPr>
        <w:instrText xml:space="preserve"> PAGEREF evin12 \h </w:instrText>
      </w:r>
      <w:r w:rsidR="00691E6B">
        <w:rPr>
          <w:rFonts w:eastAsia="Arial Unicode MS"/>
          <w:bCs/>
          <w:lang w:eastAsia="fr-FR" w:bidi="he-IL"/>
        </w:rPr>
      </w:r>
      <w:r w:rsidR="00691E6B">
        <w:rPr>
          <w:rFonts w:eastAsia="Arial Unicode MS"/>
          <w:bCs/>
          <w:lang w:eastAsia="fr-FR" w:bidi="he-IL"/>
        </w:rPr>
        <w:fldChar w:fldCharType="separate"/>
      </w:r>
      <w:r w:rsidR="004901F4">
        <w:rPr>
          <w:rFonts w:eastAsia="Arial Unicode MS"/>
          <w:bCs/>
          <w:noProof/>
          <w:lang w:eastAsia="fr-FR" w:bidi="he-IL"/>
        </w:rPr>
        <w:t>74</w:t>
      </w:r>
      <w:r w:rsidR="00691E6B">
        <w:rPr>
          <w:rFonts w:eastAsia="Arial Unicode MS"/>
          <w:bCs/>
          <w:lang w:eastAsia="fr-FR" w:bidi="he-IL"/>
        </w:rPr>
        <w:fldChar w:fldCharType="end"/>
      </w:r>
    </w:p>
    <w:p w:rsidR="004901F4" w:rsidRDefault="00B704AD" w:rsidP="00E87D10">
      <w:pPr>
        <w:pStyle w:val="t1"/>
        <w:rPr>
          <w:rFonts w:eastAsia="Arial Unicode MS"/>
          <w:bCs/>
          <w:lang w:eastAsia="fr-FR" w:bidi="he-IL"/>
        </w:rPr>
      </w:pPr>
      <w:r w:rsidRPr="00C8701B">
        <w:rPr>
          <w:rFonts w:eastAsia="Arial Unicode MS"/>
          <w:bCs/>
          <w:lang w:eastAsia="fr-FR" w:bidi="he-IL"/>
        </w:rPr>
        <w:t xml:space="preserve">§ </w:t>
      </w:r>
      <w:r w:rsidR="003A247F">
        <w:rPr>
          <w:rFonts w:eastAsia="Arial Unicode MS"/>
          <w:bCs/>
          <w:lang w:eastAsia="fr-FR" w:bidi="he-IL"/>
        </w:rPr>
        <w:t>XIII</w:t>
      </w:r>
      <w:r w:rsidRPr="00C8701B">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La littérature</w:t>
      </w:r>
      <w:r w:rsidR="00E65435">
        <w:rPr>
          <w:rFonts w:eastAsia="Arial Unicode MS"/>
          <w:bCs/>
          <w:lang w:eastAsia="fr-FR" w:bidi="he-IL"/>
        </w:rPr>
        <w:t xml:space="preserve">, </w:t>
      </w:r>
      <w:r w:rsidRPr="00C8701B">
        <w:rPr>
          <w:rFonts w:eastAsia="Arial Unicode MS"/>
          <w:bCs/>
          <w:lang w:eastAsia="fr-FR" w:bidi="he-IL"/>
        </w:rPr>
        <w:t>les arts et l</w:t>
      </w:r>
      <w:r w:rsidR="00557DE0">
        <w:rPr>
          <w:rFonts w:eastAsia="Arial Unicode MS"/>
          <w:bCs/>
          <w:lang w:eastAsia="fr-FR" w:bidi="he-IL"/>
        </w:rPr>
        <w:t>’</w:t>
      </w:r>
      <w:r w:rsidR="004D5ADA">
        <w:rPr>
          <w:rFonts w:eastAsia="Arial Unicode MS"/>
          <w:bCs/>
          <w:lang w:eastAsia="fr-FR" w:bidi="he-IL"/>
        </w:rPr>
        <w:t xml:space="preserve">évangile </w:t>
      </w:r>
      <w:r w:rsidR="004901F4">
        <w:rPr>
          <w:rFonts w:eastAsia="Arial Unicode MS"/>
          <w:bCs/>
          <w:lang w:eastAsia="fr-FR" w:bidi="he-IL"/>
        </w:rPr>
        <w:tab/>
      </w:r>
      <w:r w:rsidR="00691E6B">
        <w:rPr>
          <w:rFonts w:eastAsia="Arial Unicode MS"/>
          <w:bCs/>
          <w:lang w:eastAsia="fr-FR" w:bidi="he-IL"/>
        </w:rPr>
        <w:fldChar w:fldCharType="begin"/>
      </w:r>
      <w:r w:rsidR="004901F4">
        <w:rPr>
          <w:rFonts w:eastAsia="Arial Unicode MS"/>
          <w:bCs/>
          <w:lang w:eastAsia="fr-FR" w:bidi="he-IL"/>
        </w:rPr>
        <w:instrText xml:space="preserve"> PAGEREF evin13 \h </w:instrText>
      </w:r>
      <w:r w:rsidR="00691E6B">
        <w:rPr>
          <w:rFonts w:eastAsia="Arial Unicode MS"/>
          <w:bCs/>
          <w:lang w:eastAsia="fr-FR" w:bidi="he-IL"/>
        </w:rPr>
      </w:r>
      <w:r w:rsidR="00691E6B">
        <w:rPr>
          <w:rFonts w:eastAsia="Arial Unicode MS"/>
          <w:bCs/>
          <w:lang w:eastAsia="fr-FR" w:bidi="he-IL"/>
        </w:rPr>
        <w:fldChar w:fldCharType="separate"/>
      </w:r>
      <w:r w:rsidR="004901F4">
        <w:rPr>
          <w:rFonts w:eastAsia="Arial Unicode MS"/>
          <w:bCs/>
          <w:noProof/>
          <w:lang w:eastAsia="fr-FR" w:bidi="he-IL"/>
        </w:rPr>
        <w:t>79</w:t>
      </w:r>
      <w:r w:rsidR="00691E6B">
        <w:rPr>
          <w:rFonts w:eastAsia="Arial Unicode MS"/>
          <w:bCs/>
          <w:lang w:eastAsia="fr-FR" w:bidi="he-IL"/>
        </w:rPr>
        <w:fldChar w:fldCharType="end"/>
      </w:r>
    </w:p>
    <w:p w:rsidR="004901F4" w:rsidRDefault="00B704AD" w:rsidP="00E87D10">
      <w:pPr>
        <w:pStyle w:val="t1"/>
        <w:rPr>
          <w:rFonts w:eastAsia="Arial Unicode MS"/>
          <w:bCs/>
          <w:lang w:eastAsia="fr-FR" w:bidi="he-IL"/>
        </w:rPr>
      </w:pPr>
      <w:r w:rsidRPr="00C8701B">
        <w:rPr>
          <w:rFonts w:eastAsia="Arial Unicode MS"/>
          <w:bCs/>
          <w:lang w:eastAsia="fr-FR" w:bidi="he-IL"/>
        </w:rPr>
        <w:t>§ XIV.</w:t>
      </w:r>
      <w:r w:rsidR="000F7DAA">
        <w:rPr>
          <w:rFonts w:eastAsia="Arial Unicode MS"/>
          <w:bCs/>
          <w:lang w:eastAsia="fr-FR" w:bidi="he-IL"/>
        </w:rPr>
        <w:t xml:space="preserve"> —</w:t>
      </w:r>
      <w:r w:rsidR="008D0642">
        <w:rPr>
          <w:rFonts w:eastAsia="Arial Unicode MS"/>
          <w:bCs/>
          <w:lang w:eastAsia="fr-FR" w:bidi="he-IL"/>
        </w:rPr>
        <w:t xml:space="preserve"> </w:t>
      </w:r>
      <w:r w:rsidR="004D5ADA">
        <w:rPr>
          <w:rFonts w:eastAsia="Arial Unicode MS"/>
          <w:bCs/>
          <w:lang w:eastAsia="fr-FR" w:bidi="he-IL"/>
        </w:rPr>
        <w:t>Les évangiles apocryphes</w:t>
      </w:r>
      <w:r w:rsidR="00C2602D" w:rsidRPr="00C8701B">
        <w:rPr>
          <w:rFonts w:eastAsia="Arial Unicode MS"/>
          <w:bCs/>
          <w:lang w:eastAsia="fr-FR" w:bidi="he-IL"/>
        </w:rPr>
        <w:t xml:space="preserve"> </w:t>
      </w:r>
      <w:r w:rsidR="004901F4">
        <w:rPr>
          <w:rFonts w:eastAsia="Arial Unicode MS"/>
          <w:bCs/>
          <w:lang w:eastAsia="fr-FR" w:bidi="he-IL"/>
        </w:rPr>
        <w:tab/>
      </w:r>
      <w:r w:rsidR="00691E6B">
        <w:rPr>
          <w:rFonts w:eastAsia="Arial Unicode MS"/>
          <w:bCs/>
          <w:lang w:eastAsia="fr-FR" w:bidi="he-IL"/>
        </w:rPr>
        <w:fldChar w:fldCharType="begin"/>
      </w:r>
      <w:r w:rsidR="004901F4">
        <w:rPr>
          <w:rFonts w:eastAsia="Arial Unicode MS"/>
          <w:bCs/>
          <w:lang w:eastAsia="fr-FR" w:bidi="he-IL"/>
        </w:rPr>
        <w:instrText xml:space="preserve"> PAGEREF evin14 \h </w:instrText>
      </w:r>
      <w:r w:rsidR="00691E6B">
        <w:rPr>
          <w:rFonts w:eastAsia="Arial Unicode MS"/>
          <w:bCs/>
          <w:lang w:eastAsia="fr-FR" w:bidi="he-IL"/>
        </w:rPr>
      </w:r>
      <w:r w:rsidR="00691E6B">
        <w:rPr>
          <w:rFonts w:eastAsia="Arial Unicode MS"/>
          <w:bCs/>
          <w:lang w:eastAsia="fr-FR" w:bidi="he-IL"/>
        </w:rPr>
        <w:fldChar w:fldCharType="separate"/>
      </w:r>
      <w:r w:rsidR="004901F4">
        <w:rPr>
          <w:rFonts w:eastAsia="Arial Unicode MS"/>
          <w:bCs/>
          <w:noProof/>
          <w:lang w:eastAsia="fr-FR" w:bidi="he-IL"/>
        </w:rPr>
        <w:t>84</w:t>
      </w:r>
      <w:r w:rsidR="00691E6B">
        <w:rPr>
          <w:rFonts w:eastAsia="Arial Unicode MS"/>
          <w:bCs/>
          <w:lang w:eastAsia="fr-FR" w:bidi="he-IL"/>
        </w:rPr>
        <w:fldChar w:fldCharType="end"/>
      </w:r>
    </w:p>
    <w:p w:rsidR="004901F4" w:rsidRDefault="00B704AD" w:rsidP="00E87D10">
      <w:pPr>
        <w:pStyle w:val="t1"/>
        <w:rPr>
          <w:rFonts w:eastAsia="Arial Unicode MS"/>
          <w:bCs/>
          <w:lang w:eastAsia="fr-FR" w:bidi="he-IL"/>
        </w:rPr>
      </w:pPr>
      <w:r w:rsidRPr="00C8701B">
        <w:rPr>
          <w:rFonts w:eastAsia="Arial Unicode MS"/>
          <w:bCs/>
          <w:lang w:eastAsia="fr-FR" w:bidi="he-IL"/>
        </w:rPr>
        <w:t xml:space="preserve">§ </w:t>
      </w:r>
      <w:r w:rsidR="00D72CBC">
        <w:rPr>
          <w:rFonts w:eastAsia="Arial Unicode MS"/>
          <w:bCs/>
          <w:lang w:eastAsia="fr-FR" w:bidi="he-IL"/>
        </w:rPr>
        <w:t>XV</w:t>
      </w:r>
      <w:r w:rsidRPr="00C8701B">
        <w:rPr>
          <w:rFonts w:eastAsia="Arial Unicode MS"/>
          <w:bCs/>
          <w:lang w:eastAsia="fr-FR" w:bidi="he-IL"/>
        </w:rPr>
        <w:t>.</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Harmonie évangélique</w:t>
      </w:r>
      <w:r w:rsidR="00CE11E9">
        <w:rPr>
          <w:rFonts w:eastAsia="Arial Unicode MS"/>
          <w:bCs/>
          <w:lang w:eastAsia="fr-FR" w:bidi="he-IL"/>
        </w:rPr>
        <w:t xml:space="preserve"> </w:t>
      </w:r>
      <w:r w:rsidR="004901F4">
        <w:rPr>
          <w:rFonts w:eastAsia="Arial Unicode MS"/>
          <w:bCs/>
          <w:lang w:eastAsia="fr-FR" w:bidi="he-IL"/>
        </w:rPr>
        <w:tab/>
      </w:r>
      <w:r w:rsidR="00691E6B">
        <w:rPr>
          <w:rFonts w:eastAsia="Arial Unicode MS"/>
          <w:bCs/>
          <w:lang w:eastAsia="fr-FR" w:bidi="he-IL"/>
        </w:rPr>
        <w:fldChar w:fldCharType="begin"/>
      </w:r>
      <w:r w:rsidR="004901F4">
        <w:rPr>
          <w:rFonts w:eastAsia="Arial Unicode MS"/>
          <w:bCs/>
          <w:lang w:eastAsia="fr-FR" w:bidi="he-IL"/>
        </w:rPr>
        <w:instrText xml:space="preserve"> PAGEREF evin15 \h </w:instrText>
      </w:r>
      <w:r w:rsidR="00691E6B">
        <w:rPr>
          <w:rFonts w:eastAsia="Arial Unicode MS"/>
          <w:bCs/>
          <w:lang w:eastAsia="fr-FR" w:bidi="he-IL"/>
        </w:rPr>
      </w:r>
      <w:r w:rsidR="00691E6B">
        <w:rPr>
          <w:rFonts w:eastAsia="Arial Unicode MS"/>
          <w:bCs/>
          <w:lang w:eastAsia="fr-FR" w:bidi="he-IL"/>
        </w:rPr>
        <w:fldChar w:fldCharType="separate"/>
      </w:r>
      <w:r w:rsidR="004901F4">
        <w:rPr>
          <w:rFonts w:eastAsia="Arial Unicode MS"/>
          <w:bCs/>
          <w:noProof/>
          <w:lang w:eastAsia="fr-FR" w:bidi="he-IL"/>
        </w:rPr>
        <w:t>97</w:t>
      </w:r>
      <w:r w:rsidR="00691E6B">
        <w:rPr>
          <w:rFonts w:eastAsia="Arial Unicode MS"/>
          <w:bCs/>
          <w:lang w:eastAsia="fr-FR" w:bidi="he-IL"/>
        </w:rPr>
        <w:fldChar w:fldCharType="end"/>
      </w:r>
    </w:p>
    <w:p w:rsidR="004901F4" w:rsidRDefault="00B704AD" w:rsidP="00E87D10">
      <w:pPr>
        <w:pStyle w:val="t1"/>
        <w:rPr>
          <w:rFonts w:eastAsia="Arial Unicode MS"/>
          <w:bCs/>
          <w:lang w:eastAsia="fr-FR" w:bidi="he-IL"/>
        </w:rPr>
      </w:pPr>
      <w:r w:rsidRPr="00C8701B">
        <w:rPr>
          <w:rFonts w:eastAsia="Arial Unicode MS"/>
          <w:bCs/>
          <w:lang w:eastAsia="fr-FR" w:bidi="he-IL"/>
        </w:rPr>
        <w:t>Appendice I.</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bCs/>
          <w:lang w:eastAsia="fr-FR" w:bidi="he-IL"/>
        </w:rPr>
        <w:t>Relations mutuell</w:t>
      </w:r>
      <w:r w:rsidR="00E87D10">
        <w:rPr>
          <w:rFonts w:eastAsia="Arial Unicode MS"/>
          <w:bCs/>
          <w:lang w:eastAsia="fr-FR" w:bidi="he-IL"/>
        </w:rPr>
        <w:t xml:space="preserve">es des évangélistes synoptiques </w:t>
      </w:r>
      <w:r w:rsidR="004901F4">
        <w:rPr>
          <w:rFonts w:eastAsia="Arial Unicode MS"/>
          <w:bCs/>
          <w:lang w:eastAsia="fr-FR" w:bidi="he-IL"/>
        </w:rPr>
        <w:tab/>
      </w:r>
      <w:r w:rsidR="00691E6B">
        <w:rPr>
          <w:rFonts w:eastAsia="Arial Unicode MS"/>
          <w:bCs/>
          <w:lang w:eastAsia="fr-FR" w:bidi="he-IL"/>
        </w:rPr>
        <w:fldChar w:fldCharType="begin"/>
      </w:r>
      <w:r w:rsidR="004901F4">
        <w:rPr>
          <w:rFonts w:eastAsia="Arial Unicode MS"/>
          <w:bCs/>
          <w:lang w:eastAsia="fr-FR" w:bidi="he-IL"/>
        </w:rPr>
        <w:instrText xml:space="preserve"> PAGEREF evinap01 \h </w:instrText>
      </w:r>
      <w:r w:rsidR="00691E6B">
        <w:rPr>
          <w:rFonts w:eastAsia="Arial Unicode MS"/>
          <w:bCs/>
          <w:lang w:eastAsia="fr-FR" w:bidi="he-IL"/>
        </w:rPr>
      </w:r>
      <w:r w:rsidR="00691E6B">
        <w:rPr>
          <w:rFonts w:eastAsia="Arial Unicode MS"/>
          <w:bCs/>
          <w:lang w:eastAsia="fr-FR" w:bidi="he-IL"/>
        </w:rPr>
        <w:fldChar w:fldCharType="separate"/>
      </w:r>
      <w:r w:rsidR="004901F4">
        <w:rPr>
          <w:rFonts w:eastAsia="Arial Unicode MS"/>
          <w:bCs/>
          <w:noProof/>
          <w:lang w:eastAsia="fr-FR" w:bidi="he-IL"/>
        </w:rPr>
        <w:t>104</w:t>
      </w:r>
      <w:r w:rsidR="00691E6B">
        <w:rPr>
          <w:rFonts w:eastAsia="Arial Unicode MS"/>
          <w:bCs/>
          <w:lang w:eastAsia="fr-FR" w:bidi="he-IL"/>
        </w:rPr>
        <w:fldChar w:fldCharType="end"/>
      </w:r>
    </w:p>
    <w:p w:rsidR="004901F4" w:rsidRDefault="00B704AD" w:rsidP="00E87D10">
      <w:pPr>
        <w:pStyle w:val="t1"/>
        <w:rPr>
          <w:rFonts w:eastAsia="Arial Unicode MS"/>
          <w:lang w:eastAsia="fr-FR" w:bidi="he-IL"/>
        </w:rPr>
      </w:pPr>
      <w:r w:rsidRPr="00C8701B">
        <w:rPr>
          <w:rFonts w:eastAsia="Arial Unicode MS"/>
          <w:bCs/>
          <w:lang w:eastAsia="fr-FR" w:bidi="he-IL"/>
        </w:rPr>
        <w:t>Appendice II.</w:t>
      </w:r>
      <w:r w:rsidR="000F7DAA">
        <w:rPr>
          <w:rFonts w:eastAsia="Arial Unicode MS"/>
          <w:bCs/>
          <w:lang w:eastAsia="fr-FR" w:bidi="he-IL"/>
        </w:rPr>
        <w:t xml:space="preserve"> —</w:t>
      </w:r>
      <w:r w:rsidR="008D0642">
        <w:rPr>
          <w:rFonts w:eastAsia="Arial Unicode MS"/>
          <w:bCs/>
          <w:lang w:eastAsia="fr-FR" w:bidi="he-IL"/>
        </w:rPr>
        <w:t xml:space="preserve"> </w:t>
      </w:r>
      <w:r w:rsidRPr="00C8701B">
        <w:rPr>
          <w:rFonts w:eastAsia="Arial Unicode MS"/>
          <w:lang w:eastAsia="fr-FR" w:bidi="he-IL"/>
        </w:rPr>
        <w:t>Le système</w:t>
      </w:r>
      <w:r w:rsidRPr="00C8701B">
        <w:rPr>
          <w:rFonts w:eastAsia="Arial Unicode MS"/>
          <w:bCs/>
          <w:lang w:eastAsia="fr-FR" w:bidi="he-IL"/>
        </w:rPr>
        <w:t xml:space="preserve"> d</w:t>
      </w:r>
      <w:r w:rsidR="00557DE0">
        <w:rPr>
          <w:rFonts w:eastAsia="Arial Unicode MS"/>
          <w:bCs/>
          <w:lang w:eastAsia="fr-FR" w:bidi="he-IL"/>
        </w:rPr>
        <w:t>’</w:t>
      </w:r>
      <w:r w:rsidRPr="00C8701B">
        <w:rPr>
          <w:rFonts w:eastAsia="Arial Unicode MS"/>
          <w:bCs/>
          <w:lang w:eastAsia="fr-FR" w:bidi="he-IL"/>
        </w:rPr>
        <w:t>Ewald</w:t>
      </w:r>
      <w:r w:rsidRPr="00C8701B">
        <w:rPr>
          <w:rFonts w:eastAsia="Arial Unicode MS"/>
          <w:lang w:eastAsia="fr-FR" w:bidi="he-IL"/>
        </w:rPr>
        <w:t xml:space="preserve"> sur</w:t>
      </w:r>
      <w:r w:rsidRPr="00C8701B">
        <w:rPr>
          <w:rFonts w:eastAsia="Arial Unicode MS"/>
          <w:bCs/>
          <w:lang w:eastAsia="fr-FR" w:bidi="he-IL"/>
        </w:rPr>
        <w:t xml:space="preserve"> l</w:t>
      </w:r>
      <w:r w:rsidR="00557DE0">
        <w:rPr>
          <w:rFonts w:eastAsia="Arial Unicode MS"/>
          <w:lang w:eastAsia="fr-FR" w:bidi="he-IL"/>
        </w:rPr>
        <w:t>’</w:t>
      </w:r>
      <w:r w:rsidRPr="00C8701B">
        <w:rPr>
          <w:rFonts w:eastAsia="Arial Unicode MS"/>
          <w:lang w:eastAsia="fr-FR" w:bidi="he-IL"/>
        </w:rPr>
        <w:t>origine des synoptiques exposé typographiquement</w:t>
      </w:r>
      <w:r w:rsidR="00CE11E9">
        <w:rPr>
          <w:rFonts w:eastAsia="Arial Unicode MS"/>
          <w:lang w:eastAsia="fr-FR" w:bidi="he-IL"/>
        </w:rPr>
        <w:t xml:space="preserve"> </w:t>
      </w:r>
      <w:r w:rsidR="004901F4">
        <w:rPr>
          <w:rFonts w:eastAsia="Arial Unicode MS"/>
          <w:lang w:eastAsia="fr-FR" w:bidi="he-IL"/>
        </w:rPr>
        <w:tab/>
      </w:r>
      <w:r w:rsidR="00691E6B">
        <w:rPr>
          <w:rFonts w:eastAsia="Arial Unicode MS"/>
          <w:lang w:eastAsia="fr-FR" w:bidi="he-IL"/>
        </w:rPr>
        <w:fldChar w:fldCharType="begin"/>
      </w:r>
      <w:r w:rsidR="004901F4">
        <w:rPr>
          <w:rFonts w:eastAsia="Arial Unicode MS"/>
          <w:lang w:eastAsia="fr-FR" w:bidi="he-IL"/>
        </w:rPr>
        <w:instrText xml:space="preserve"> PAGEREF evinap02 \h </w:instrText>
      </w:r>
      <w:r w:rsidR="00691E6B">
        <w:rPr>
          <w:rFonts w:eastAsia="Arial Unicode MS"/>
          <w:lang w:eastAsia="fr-FR" w:bidi="he-IL"/>
        </w:rPr>
      </w:r>
      <w:r w:rsidR="00691E6B">
        <w:rPr>
          <w:rFonts w:eastAsia="Arial Unicode MS"/>
          <w:lang w:eastAsia="fr-FR" w:bidi="he-IL"/>
        </w:rPr>
        <w:fldChar w:fldCharType="separate"/>
      </w:r>
      <w:r w:rsidR="004901F4">
        <w:rPr>
          <w:rFonts w:eastAsia="Arial Unicode MS"/>
          <w:noProof/>
          <w:lang w:eastAsia="fr-FR" w:bidi="he-IL"/>
        </w:rPr>
        <w:t>108</w:t>
      </w:r>
      <w:r w:rsidR="00691E6B">
        <w:rPr>
          <w:rFonts w:eastAsia="Arial Unicode MS"/>
          <w:lang w:eastAsia="fr-FR" w:bidi="he-IL"/>
        </w:rPr>
        <w:fldChar w:fldCharType="end"/>
      </w:r>
    </w:p>
    <w:p w:rsidR="004D5ADA" w:rsidRDefault="004D5ADA" w:rsidP="00C2602D">
      <w:pPr>
        <w:rPr>
          <w:rFonts w:eastAsia="Arial Unicode MS"/>
          <w:lang w:eastAsia="fr-FR" w:bidi="he-IL"/>
        </w:rPr>
      </w:pPr>
    </w:p>
    <w:sectPr w:rsidR="004D5ADA" w:rsidSect="007E25A6">
      <w:pgSz w:w="11907" w:h="16839" w:code="9"/>
      <w:pgMar w:top="1134" w:right="567" w:bottom="567" w:left="964" w:header="397" w:footer="284" w:gutter="0"/>
      <w:cols w:space="720"/>
      <w:noEndnote/>
      <w:docGrid w:linePitch="3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F68" w:rsidRDefault="00FC6F68" w:rsidP="00605074">
      <w:r>
        <w:separator/>
      </w:r>
    </w:p>
  </w:endnote>
  <w:endnote w:type="continuationSeparator" w:id="0">
    <w:p w:rsidR="00FC6F68" w:rsidRDefault="00FC6F68" w:rsidP="00605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ngsuh">
    <w:altName w:val="Arial Unicode MS"/>
    <w:charset w:val="81"/>
    <w:family w:val="roman"/>
    <w:pitch w:val="variable"/>
    <w:sig w:usb0="00000000"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F68" w:rsidRDefault="00FC6F68" w:rsidP="00605074">
      <w:r>
        <w:separator/>
      </w:r>
    </w:p>
  </w:footnote>
  <w:footnote w:type="continuationSeparator" w:id="0">
    <w:p w:rsidR="00FC6F68" w:rsidRDefault="00FC6F68" w:rsidP="00605074">
      <w:r>
        <w:continuationSeparator/>
      </w:r>
    </w:p>
  </w:footnote>
  <w:footnote w:id="1">
    <w:p w:rsidR="00941AA6" w:rsidRPr="00C77B3A" w:rsidRDefault="00941AA6" w:rsidP="009068D6">
      <w:pPr>
        <w:pStyle w:val="Notedebasdepage"/>
        <w:rPr>
          <w:lang w:eastAsia="fr-FR" w:bidi="he-IL"/>
        </w:rPr>
      </w:pPr>
      <w:r w:rsidRPr="00C406FF">
        <w:rPr>
          <w:rStyle w:val="Appelnotedebasdep"/>
        </w:rPr>
        <w:footnoteRef/>
      </w:r>
      <w:r>
        <w:t xml:space="preserve"> </w:t>
      </w:r>
      <w:r w:rsidRPr="00C2602D">
        <w:rPr>
          <w:lang w:eastAsia="fr-FR" w:bidi="he-IL"/>
        </w:rPr>
        <w:t>« Évangile</w:t>
      </w:r>
      <w:r>
        <w:rPr>
          <w:lang w:eastAsia="fr-FR" w:bidi="he-IL"/>
        </w:rPr>
        <w:t xml:space="preserve">, </w:t>
      </w:r>
      <w:r w:rsidRPr="00C2602D">
        <w:rPr>
          <w:lang w:eastAsia="fr-FR" w:bidi="he-IL"/>
        </w:rPr>
        <w:t>ce qui annonce les choses les plus excellentes. »</w:t>
      </w:r>
      <w:r w:rsidRPr="00DC4586">
        <w:rPr>
          <w:rStyle w:val="italicus"/>
        </w:rPr>
        <w:t xml:space="preserve"> Lexic.</w:t>
      </w:r>
      <w:r>
        <w:rPr>
          <w:rStyle w:val="italicus"/>
        </w:rPr>
        <w:t>, s. v.</w:t>
      </w:r>
      <w:r w:rsidRPr="00C2602D">
        <w:rPr>
          <w:lang w:val="el-GR" w:eastAsia="fr-FR" w:bidi="he-IL"/>
        </w:rPr>
        <w:t xml:space="preserve"> ε</w:t>
      </w:r>
      <w:r>
        <w:rPr>
          <w:lang w:val="el-GR" w:eastAsia="fr-FR" w:bidi="he-IL"/>
        </w:rPr>
        <w:t>ὐα</w:t>
      </w:r>
      <w:r w:rsidRPr="00C2602D">
        <w:rPr>
          <w:lang w:val="el-GR" w:eastAsia="fr-FR" w:bidi="he-IL"/>
        </w:rPr>
        <w:t>γγ</w:t>
      </w:r>
      <w:r>
        <w:rPr>
          <w:lang w:val="el-GR" w:eastAsia="fr-FR" w:bidi="he-IL"/>
        </w:rPr>
        <w:t>έ</w:t>
      </w:r>
      <w:r w:rsidRPr="00C2602D">
        <w:rPr>
          <w:lang w:val="el-GR" w:eastAsia="fr-FR" w:bidi="he-IL"/>
        </w:rPr>
        <w:t xml:space="preserve">λιον </w:t>
      </w:r>
      <w:r w:rsidRPr="00C2602D">
        <w:rPr>
          <w:lang w:eastAsia="fr-FR" w:bidi="he-IL"/>
        </w:rPr>
        <w:t>Comp. Suiceri</w:t>
      </w:r>
      <w:r>
        <w:rPr>
          <w:lang w:eastAsia="fr-FR" w:bidi="he-IL"/>
        </w:rPr>
        <w:t xml:space="preserve">, </w:t>
      </w:r>
      <w:r w:rsidRPr="00DC4586">
        <w:rPr>
          <w:rStyle w:val="italicus"/>
        </w:rPr>
        <w:t>Thesaur. eccles.</w:t>
      </w:r>
      <w:r>
        <w:rPr>
          <w:rStyle w:val="italicus"/>
        </w:rPr>
        <w:t>, s. v.</w:t>
      </w:r>
      <w:r>
        <w:rPr>
          <w:lang w:eastAsia="fr-FR" w:bidi="he-IL"/>
        </w:rPr>
        <w:t xml:space="preserve"> </w:t>
      </w:r>
    </w:p>
  </w:footnote>
  <w:footnote w:id="2">
    <w:p w:rsidR="00941AA6" w:rsidRPr="00A71697" w:rsidRDefault="00941AA6" w:rsidP="009068D6">
      <w:pPr>
        <w:pStyle w:val="Notedebasdepage"/>
        <w:rPr>
          <w:lang w:eastAsia="fr-FR" w:bidi="he-IL"/>
        </w:rPr>
      </w:pPr>
      <w:r w:rsidRPr="00C406FF">
        <w:rPr>
          <w:rStyle w:val="Appelnotedebasdep"/>
        </w:rPr>
        <w:footnoteRef/>
      </w:r>
      <w:r>
        <w:t xml:space="preserve"> </w:t>
      </w:r>
      <w:r w:rsidRPr="00C2602D">
        <w:rPr>
          <w:lang w:eastAsia="fr-FR" w:bidi="he-IL"/>
        </w:rPr>
        <w:t>Dans Homère</w:t>
      </w:r>
      <w:r>
        <w:rPr>
          <w:lang w:eastAsia="fr-FR" w:bidi="he-IL"/>
        </w:rPr>
        <w:t xml:space="preserve">, </w:t>
      </w:r>
      <w:r w:rsidRPr="00DC4586">
        <w:rPr>
          <w:rStyle w:val="italicus"/>
        </w:rPr>
        <w:t>Odyss.</w:t>
      </w:r>
      <w:r>
        <w:rPr>
          <w:rStyle w:val="italicus"/>
        </w:rPr>
        <w:t xml:space="preserve">, </w:t>
      </w:r>
      <w:r w:rsidRPr="00C2602D">
        <w:rPr>
          <w:lang w:eastAsia="fr-FR" w:bidi="he-IL"/>
        </w:rPr>
        <w:t>XIV</w:t>
      </w:r>
      <w:r>
        <w:rPr>
          <w:lang w:eastAsia="fr-FR" w:bidi="he-IL"/>
        </w:rPr>
        <w:t xml:space="preserve">, </w:t>
      </w:r>
      <w:r w:rsidRPr="00C2602D">
        <w:rPr>
          <w:lang w:eastAsia="fr-FR" w:bidi="he-IL"/>
        </w:rPr>
        <w:t>152 et 166</w:t>
      </w:r>
      <w:r>
        <w:rPr>
          <w:lang w:eastAsia="fr-FR" w:bidi="he-IL"/>
        </w:rPr>
        <w:t xml:space="preserve">, </w:t>
      </w:r>
      <w:r w:rsidRPr="00C2602D">
        <w:rPr>
          <w:lang w:eastAsia="fr-FR" w:bidi="he-IL"/>
        </w:rPr>
        <w:t xml:space="preserve">un messager de ce genre : </w:t>
      </w:r>
      <w:r>
        <w:rPr>
          <w:lang w:val="el-GR" w:eastAsia="fr-FR" w:bidi="he-IL"/>
        </w:rPr>
        <w:t>Εὐα</w:t>
      </w:r>
      <w:r w:rsidRPr="00C2602D">
        <w:rPr>
          <w:lang w:val="el-GR" w:eastAsia="fr-FR" w:bidi="he-IL"/>
        </w:rPr>
        <w:t>γγ</w:t>
      </w:r>
      <w:r>
        <w:rPr>
          <w:lang w:val="el-GR" w:eastAsia="fr-FR" w:bidi="he-IL"/>
        </w:rPr>
        <w:t>έ</w:t>
      </w:r>
      <w:r w:rsidRPr="00C2602D">
        <w:rPr>
          <w:lang w:val="el-GR" w:eastAsia="fr-FR" w:bidi="he-IL"/>
        </w:rPr>
        <w:t xml:space="preserve">λιον </w:t>
      </w:r>
      <w:r>
        <w:rPr>
          <w:lang w:val="el-GR" w:eastAsia="fr-FR" w:bidi="he-IL"/>
        </w:rPr>
        <w:t>δέ</w:t>
      </w:r>
      <w:r w:rsidRPr="00C2602D">
        <w:rPr>
          <w:lang w:eastAsia="fr-FR" w:bidi="he-IL"/>
        </w:rPr>
        <w:t xml:space="preserve"> </w:t>
      </w:r>
      <w:r>
        <w:rPr>
          <w:lang w:val="el-GR" w:eastAsia="fr-FR" w:bidi="he-IL"/>
        </w:rPr>
        <w:t xml:space="preserve">μος </w:t>
      </w:r>
      <w:r>
        <w:rPr>
          <w:lang w:eastAsia="fr-FR" w:bidi="he-IL"/>
        </w:rPr>
        <w:t>ἔ</w:t>
      </w:r>
      <w:r w:rsidRPr="00C2602D">
        <w:rPr>
          <w:lang w:val="el-GR" w:eastAsia="fr-FR" w:bidi="he-IL"/>
        </w:rPr>
        <w:t xml:space="preserve">στω </w:t>
      </w:r>
      <w:r w:rsidRPr="00F12048">
        <w:rPr>
          <w:lang w:eastAsia="fr-FR" w:bidi="he-IL"/>
        </w:rPr>
        <w:t>(</w:t>
      </w:r>
      <w:r w:rsidRPr="00C2602D">
        <w:rPr>
          <w:lang w:eastAsia="fr-FR" w:bidi="he-IL"/>
        </w:rPr>
        <w:t>littéralement : Donnez-moi un</w:t>
      </w:r>
      <w:r w:rsidRPr="00DC4586">
        <w:rPr>
          <w:rStyle w:val="italicus"/>
        </w:rPr>
        <w:t xml:space="preserve"> évangile</w:t>
      </w:r>
      <w:r w:rsidRPr="00F12048">
        <w:rPr>
          <w:iCs/>
          <w:lang w:eastAsia="fr-FR" w:bidi="he-IL"/>
        </w:rPr>
        <w:t>)</w:t>
      </w:r>
      <w:r w:rsidRPr="00C77B3A">
        <w:rPr>
          <w:iCs/>
          <w:lang w:eastAsia="fr-FR" w:bidi="he-IL"/>
        </w:rPr>
        <w:t>.</w:t>
      </w:r>
      <w:r w:rsidRPr="00C2602D">
        <w:rPr>
          <w:lang w:eastAsia="fr-FR" w:bidi="he-IL"/>
        </w:rPr>
        <w:t xml:space="preserve"> On lui </w:t>
      </w:r>
      <w:r w:rsidRPr="00895E11">
        <w:t>répond : Ὦ γέρον, oῦτ’ ἃρ ἐγων εὐαγγέλιον τόδε τίσω</w:t>
      </w:r>
      <w:r w:rsidRPr="00EA28F4">
        <w:t xml:space="preserve"> </w:t>
      </w:r>
      <w:r w:rsidRPr="00F12048">
        <w:rPr>
          <w:lang w:val="el-GR" w:eastAsia="fr-FR" w:bidi="he-IL"/>
        </w:rPr>
        <w:t>(</w:t>
      </w:r>
      <w:r>
        <w:rPr>
          <w:lang w:eastAsia="fr-FR" w:bidi="he-IL"/>
        </w:rPr>
        <w:t>Ô</w:t>
      </w:r>
      <w:r w:rsidRPr="00C2602D">
        <w:rPr>
          <w:lang w:val="el-GR" w:eastAsia="fr-FR" w:bidi="he-IL"/>
        </w:rPr>
        <w:t xml:space="preserve"> </w:t>
      </w:r>
      <w:r>
        <w:rPr>
          <w:lang w:eastAsia="fr-FR" w:bidi="he-IL"/>
        </w:rPr>
        <w:t>viei</w:t>
      </w:r>
      <w:r w:rsidRPr="00C2602D">
        <w:rPr>
          <w:lang w:eastAsia="fr-FR" w:bidi="he-IL"/>
        </w:rPr>
        <w:t>llard</w:t>
      </w:r>
      <w:r>
        <w:rPr>
          <w:lang w:eastAsia="fr-FR" w:bidi="he-IL"/>
        </w:rPr>
        <w:t xml:space="preserve">, </w:t>
      </w:r>
      <w:r w:rsidRPr="00C2602D">
        <w:rPr>
          <w:lang w:eastAsia="fr-FR" w:bidi="he-IL"/>
        </w:rPr>
        <w:t>je ne te donnerai pas cet</w:t>
      </w:r>
      <w:r w:rsidRPr="00DC4586">
        <w:rPr>
          <w:rStyle w:val="italicus"/>
        </w:rPr>
        <w:t xml:space="preserve"> évangile</w:t>
      </w:r>
      <w:r w:rsidRPr="00F12048">
        <w:rPr>
          <w:iCs/>
          <w:lang w:eastAsia="fr-FR" w:bidi="he-IL"/>
        </w:rPr>
        <w:t>)</w:t>
      </w:r>
      <w:r w:rsidRPr="00DC4586">
        <w:rPr>
          <w:rStyle w:val="italicus"/>
        </w:rPr>
        <w:t>.</w:t>
      </w:r>
      <w:r>
        <w:rPr>
          <w:lang w:eastAsia="fr-FR" w:bidi="he-IL"/>
        </w:rPr>
        <w:t xml:space="preserve"> Ces lignes de Ci</w:t>
      </w:r>
      <w:r w:rsidRPr="00C2602D">
        <w:rPr>
          <w:lang w:eastAsia="fr-FR" w:bidi="he-IL"/>
        </w:rPr>
        <w:t>céron</w:t>
      </w:r>
      <w:r>
        <w:rPr>
          <w:lang w:eastAsia="fr-FR" w:bidi="he-IL"/>
        </w:rPr>
        <w:t xml:space="preserve">, </w:t>
      </w:r>
      <w:r w:rsidRPr="00DC4586">
        <w:rPr>
          <w:rStyle w:val="italicus"/>
        </w:rPr>
        <w:t>ad Allic.</w:t>
      </w:r>
      <w:r>
        <w:rPr>
          <w:rStyle w:val="italicus"/>
        </w:rPr>
        <w:t xml:space="preserve">, </w:t>
      </w:r>
      <w:r>
        <w:rPr>
          <w:lang w:eastAsia="fr-FR" w:bidi="he-IL"/>
        </w:rPr>
        <w:t>II, 12, sont bien connues : « O</w:t>
      </w:r>
      <w:r w:rsidRPr="00C2602D">
        <w:rPr>
          <w:lang w:eastAsia="fr-FR" w:bidi="he-IL"/>
        </w:rPr>
        <w:t xml:space="preserve"> suaves epístolas tuas</w:t>
      </w:r>
      <w:r>
        <w:rPr>
          <w:lang w:eastAsia="fr-FR" w:bidi="he-IL"/>
        </w:rPr>
        <w:t xml:space="preserve">, </w:t>
      </w:r>
      <w:r w:rsidRPr="00C2602D">
        <w:rPr>
          <w:lang w:eastAsia="fr-FR" w:bidi="he-IL"/>
        </w:rPr>
        <w:t xml:space="preserve">uno </w:t>
      </w:r>
      <w:r>
        <w:rPr>
          <w:lang w:eastAsia="fr-FR" w:bidi="he-IL"/>
        </w:rPr>
        <w:t>témpore</w:t>
      </w:r>
      <w:r w:rsidRPr="00C2602D">
        <w:rPr>
          <w:lang w:eastAsia="fr-FR" w:bidi="he-IL"/>
        </w:rPr>
        <w:t xml:space="preserve"> mihi datas</w:t>
      </w:r>
      <w:r>
        <w:rPr>
          <w:lang w:eastAsia="fr-FR" w:bidi="he-IL"/>
        </w:rPr>
        <w:t xml:space="preserve">, </w:t>
      </w:r>
      <w:r w:rsidRPr="00C2602D">
        <w:rPr>
          <w:lang w:eastAsia="fr-FR" w:bidi="he-IL"/>
        </w:rPr>
        <w:t xml:space="preserve">duas ! Quibus </w:t>
      </w:r>
      <w:r w:rsidRPr="00C2602D">
        <w:rPr>
          <w:lang w:val="el-GR" w:eastAsia="fr-FR" w:bidi="he-IL"/>
        </w:rPr>
        <w:t>ε</w:t>
      </w:r>
      <w:r>
        <w:rPr>
          <w:lang w:val="el-GR" w:eastAsia="fr-FR" w:bidi="he-IL"/>
        </w:rPr>
        <w:t>ὐα</w:t>
      </w:r>
      <w:r w:rsidRPr="00C2602D">
        <w:rPr>
          <w:lang w:val="el-GR" w:eastAsia="fr-FR" w:bidi="he-IL"/>
        </w:rPr>
        <w:t>γγ</w:t>
      </w:r>
      <w:r>
        <w:rPr>
          <w:lang w:val="el-GR" w:eastAsia="fr-FR" w:bidi="he-IL"/>
        </w:rPr>
        <w:t>έ</w:t>
      </w:r>
      <w:r w:rsidRPr="00C2602D">
        <w:rPr>
          <w:lang w:val="el-GR" w:eastAsia="fr-FR" w:bidi="he-IL"/>
        </w:rPr>
        <w:t>λι</w:t>
      </w:r>
      <w:r>
        <w:rPr>
          <w:lang w:val="el-GR" w:eastAsia="fr-FR" w:bidi="he-IL"/>
        </w:rPr>
        <w:t>α</w:t>
      </w:r>
      <w:r w:rsidRPr="00C2602D">
        <w:rPr>
          <w:lang w:val="el-GR" w:eastAsia="fr-FR" w:bidi="he-IL"/>
        </w:rPr>
        <w:t xml:space="preserve"> </w:t>
      </w:r>
      <w:r>
        <w:rPr>
          <w:lang w:eastAsia="fr-FR" w:bidi="he-IL"/>
        </w:rPr>
        <w:t>quæ</w:t>
      </w:r>
      <w:r w:rsidRPr="00C2602D">
        <w:rPr>
          <w:lang w:eastAsia="fr-FR" w:bidi="he-IL"/>
        </w:rPr>
        <w:t xml:space="preserve"> reddam</w:t>
      </w:r>
      <w:r>
        <w:rPr>
          <w:lang w:eastAsia="fr-FR" w:bidi="he-IL"/>
        </w:rPr>
        <w:t xml:space="preserve">, </w:t>
      </w:r>
      <w:r w:rsidRPr="00C2602D">
        <w:rPr>
          <w:lang w:eastAsia="fr-FR" w:bidi="he-IL"/>
        </w:rPr>
        <w:t>néscio </w:t>
      </w:r>
      <w:r>
        <w:rPr>
          <w:lang w:eastAsia="fr-FR" w:bidi="he-IL"/>
        </w:rPr>
        <w:t xml:space="preserve">; </w:t>
      </w:r>
      <w:r w:rsidRPr="00C2602D">
        <w:rPr>
          <w:lang w:eastAsia="fr-FR" w:bidi="he-IL"/>
        </w:rPr>
        <w:t>debéri</w:t>
      </w:r>
      <w:r>
        <w:rPr>
          <w:lang w:eastAsia="fr-FR" w:bidi="he-IL"/>
        </w:rPr>
        <w:t xml:space="preserve"> quidem plan</w:t>
      </w:r>
      <w:r w:rsidRPr="00C2602D">
        <w:rPr>
          <w:lang w:eastAsia="fr-FR" w:bidi="he-IL"/>
        </w:rPr>
        <w:t>e fáteor ». Comp. S. Jean Chrysost.</w:t>
      </w:r>
      <w:r>
        <w:rPr>
          <w:lang w:eastAsia="fr-FR" w:bidi="he-IL"/>
        </w:rPr>
        <w:t xml:space="preserve">, </w:t>
      </w:r>
      <w:r w:rsidRPr="00DC4586">
        <w:rPr>
          <w:rStyle w:val="italicus"/>
        </w:rPr>
        <w:t>Hom.</w:t>
      </w:r>
      <w:r w:rsidRPr="00C2602D">
        <w:rPr>
          <w:lang w:eastAsia="fr-FR" w:bidi="he-IL"/>
        </w:rPr>
        <w:t xml:space="preserve"> </w:t>
      </w:r>
      <w:r>
        <w:rPr>
          <w:lang w:eastAsia="fr-FR" w:bidi="he-IL"/>
        </w:rPr>
        <w:t>XIX</w:t>
      </w:r>
      <w:r w:rsidRPr="00DC4586">
        <w:rPr>
          <w:rStyle w:val="italicus"/>
        </w:rPr>
        <w:t xml:space="preserve"> in Acta</w:t>
      </w:r>
      <w:r>
        <w:rPr>
          <w:rStyle w:val="italicus"/>
        </w:rPr>
        <w:t xml:space="preserve">, </w:t>
      </w:r>
      <w:r w:rsidRPr="00C2602D">
        <w:rPr>
          <w:lang w:eastAsia="fr-FR" w:bidi="he-IL"/>
        </w:rPr>
        <w:t>et surtout la traduction des Septante au passage II Rois</w:t>
      </w:r>
      <w:r>
        <w:rPr>
          <w:lang w:eastAsia="fr-FR" w:bidi="he-IL"/>
        </w:rPr>
        <w:t xml:space="preserve">, IV, </w:t>
      </w:r>
      <w:r w:rsidRPr="00C2602D">
        <w:rPr>
          <w:lang w:eastAsia="fr-FR" w:bidi="he-IL"/>
        </w:rPr>
        <w:t xml:space="preserve">10 </w:t>
      </w:r>
      <w:r w:rsidRPr="00F12048">
        <w:rPr>
          <w:lang w:val="el-GR" w:eastAsia="fr-FR" w:bidi="he-IL"/>
        </w:rPr>
        <w:t>(</w:t>
      </w:r>
      <w:r w:rsidRPr="00C2602D">
        <w:rPr>
          <w:lang w:val="el-GR" w:eastAsia="fr-FR" w:bidi="he-IL"/>
        </w:rPr>
        <w:t>ε</w:t>
      </w:r>
      <w:r>
        <w:rPr>
          <w:lang w:val="el-GR" w:eastAsia="fr-FR" w:bidi="he-IL"/>
        </w:rPr>
        <w:t>ὐα</w:t>
      </w:r>
      <w:r w:rsidRPr="00C2602D">
        <w:rPr>
          <w:lang w:val="el-GR" w:eastAsia="fr-FR" w:bidi="he-IL"/>
        </w:rPr>
        <w:t>γγ</w:t>
      </w:r>
      <w:r>
        <w:rPr>
          <w:lang w:val="el-GR" w:eastAsia="fr-FR" w:bidi="he-IL"/>
        </w:rPr>
        <w:t>έ</w:t>
      </w:r>
      <w:r w:rsidRPr="00C2602D">
        <w:rPr>
          <w:lang w:val="el-GR" w:eastAsia="fr-FR" w:bidi="he-IL"/>
        </w:rPr>
        <w:t>λι</w:t>
      </w:r>
      <w:r>
        <w:rPr>
          <w:lang w:val="el-GR" w:eastAsia="fr-FR" w:bidi="he-IL"/>
        </w:rPr>
        <w:t>α</w:t>
      </w:r>
      <w:r w:rsidRPr="00C2602D">
        <w:rPr>
          <w:lang w:val="el-GR" w:eastAsia="fr-FR" w:bidi="he-IL"/>
        </w:rPr>
        <w:t xml:space="preserve"> </w:t>
      </w:r>
      <w:r w:rsidRPr="00C2602D">
        <w:rPr>
          <w:lang w:eastAsia="fr-FR" w:bidi="he-IL"/>
        </w:rPr>
        <w:t>y correspond à « m</w:t>
      </w:r>
      <w:r>
        <w:rPr>
          <w:lang w:eastAsia="fr-FR" w:bidi="he-IL"/>
        </w:rPr>
        <w:t>ercédem pro núntio » de la Vulga</w:t>
      </w:r>
      <w:r w:rsidRPr="00C2602D">
        <w:rPr>
          <w:lang w:eastAsia="fr-FR" w:bidi="he-IL"/>
        </w:rPr>
        <w:t>te</w:t>
      </w:r>
      <w:r w:rsidRPr="00F12048">
        <w:rPr>
          <w:lang w:eastAsia="fr-FR" w:bidi="he-IL"/>
        </w:rPr>
        <w:t>)</w:t>
      </w:r>
      <w:r w:rsidRPr="00C2602D">
        <w:rPr>
          <w:lang w:eastAsia="fr-FR" w:bidi="he-IL"/>
        </w:rPr>
        <w:t xml:space="preserve">. </w:t>
      </w:r>
    </w:p>
  </w:footnote>
  <w:footnote w:id="3">
    <w:p w:rsidR="00941AA6" w:rsidRPr="00DC4586" w:rsidRDefault="00941AA6" w:rsidP="009068D6">
      <w:pPr>
        <w:pStyle w:val="Notedebasdepage"/>
        <w:rPr>
          <w:rStyle w:val="italicus"/>
        </w:rPr>
      </w:pPr>
      <w:r w:rsidRPr="00C406FF">
        <w:rPr>
          <w:rStyle w:val="Appelnotedebasdep"/>
        </w:rPr>
        <w:footnoteRef/>
      </w:r>
      <w:r>
        <w:t xml:space="preserve"> </w:t>
      </w:r>
      <w:r>
        <w:rPr>
          <w:lang w:eastAsia="fr-FR" w:bidi="he-IL"/>
        </w:rPr>
        <w:t xml:space="preserve">Comp. </w:t>
      </w:r>
      <w:r w:rsidRPr="00EA28F4">
        <w:t>Xenoph.</w:t>
      </w:r>
      <w:r>
        <w:rPr>
          <w:lang w:eastAsia="fr-FR" w:bidi="he-IL"/>
        </w:rPr>
        <w:t xml:space="preserve">, </w:t>
      </w:r>
      <w:r w:rsidRPr="00DC4586">
        <w:rPr>
          <w:rStyle w:val="italicus"/>
        </w:rPr>
        <w:t>Hell.</w:t>
      </w:r>
      <w:r>
        <w:rPr>
          <w:rStyle w:val="italicus"/>
        </w:rPr>
        <w:t xml:space="preserve">, I, </w:t>
      </w:r>
      <w:r w:rsidRPr="00C2602D">
        <w:rPr>
          <w:lang w:eastAsia="fr-FR" w:bidi="he-IL"/>
        </w:rPr>
        <w:t xml:space="preserve">6. 37 : </w:t>
      </w:r>
      <w:r>
        <w:rPr>
          <w:lang w:val="el-GR" w:eastAsia="fr-FR" w:bidi="he-IL"/>
        </w:rPr>
        <w:t>Ἔθ</w:t>
      </w:r>
      <w:r w:rsidRPr="00C2602D">
        <w:rPr>
          <w:lang w:val="el-GR" w:eastAsia="fr-FR" w:bidi="he-IL"/>
        </w:rPr>
        <w:t>υε τ</w:t>
      </w:r>
      <w:r>
        <w:rPr>
          <w:lang w:val="el-GR" w:eastAsia="fr-FR" w:bidi="he-IL"/>
        </w:rPr>
        <w:t>ὰ</w:t>
      </w:r>
      <w:r w:rsidRPr="00C2602D">
        <w:rPr>
          <w:lang w:val="el-GR" w:eastAsia="fr-FR" w:bidi="he-IL"/>
        </w:rPr>
        <w:t xml:space="preserve"> ε</w:t>
      </w:r>
      <w:r>
        <w:rPr>
          <w:lang w:val="el-GR" w:eastAsia="fr-FR" w:bidi="he-IL"/>
        </w:rPr>
        <w:t>ὐα</w:t>
      </w:r>
      <w:r w:rsidRPr="00C2602D">
        <w:rPr>
          <w:lang w:val="el-GR" w:eastAsia="fr-FR" w:bidi="he-IL"/>
        </w:rPr>
        <w:t>γγ</w:t>
      </w:r>
      <w:r>
        <w:rPr>
          <w:lang w:val="el-GR" w:eastAsia="fr-FR" w:bidi="he-IL"/>
        </w:rPr>
        <w:t>έ</w:t>
      </w:r>
      <w:r w:rsidRPr="00C2602D">
        <w:rPr>
          <w:lang w:val="el-GR" w:eastAsia="fr-FR" w:bidi="he-IL"/>
        </w:rPr>
        <w:t>λι</w:t>
      </w:r>
      <w:r>
        <w:rPr>
          <w:lang w:val="el-GR" w:eastAsia="fr-FR" w:bidi="he-IL"/>
        </w:rPr>
        <w:t>α</w:t>
      </w:r>
      <w:r w:rsidRPr="00C2602D">
        <w:rPr>
          <w:lang w:val="el-GR" w:eastAsia="fr-FR" w:bidi="he-IL"/>
        </w:rPr>
        <w:t xml:space="preserve"> </w:t>
      </w:r>
      <w:r w:rsidRPr="00F12048">
        <w:rPr>
          <w:lang w:eastAsia="fr-FR" w:bidi="he-IL"/>
        </w:rPr>
        <w:t>(</w:t>
      </w:r>
      <w:r w:rsidRPr="00C2602D">
        <w:rPr>
          <w:lang w:eastAsia="fr-FR" w:bidi="he-IL"/>
        </w:rPr>
        <w:t>il immolait les</w:t>
      </w:r>
      <w:r w:rsidRPr="00DC4586">
        <w:rPr>
          <w:rStyle w:val="italicus"/>
        </w:rPr>
        <w:t xml:space="preserve"> évangiles</w:t>
      </w:r>
      <w:r w:rsidRPr="00F12048">
        <w:rPr>
          <w:iCs/>
          <w:lang w:eastAsia="fr-FR" w:bidi="he-IL"/>
        </w:rPr>
        <w:t>)</w:t>
      </w:r>
      <w:r w:rsidRPr="00C2602D">
        <w:rPr>
          <w:lang w:eastAsia="fr-FR" w:bidi="he-IL"/>
        </w:rPr>
        <w:t> </w:t>
      </w:r>
      <w:r>
        <w:rPr>
          <w:lang w:eastAsia="fr-FR" w:bidi="he-IL"/>
        </w:rPr>
        <w:t xml:space="preserve">; </w:t>
      </w:r>
      <w:r w:rsidRPr="00C2602D">
        <w:rPr>
          <w:lang w:eastAsia="fr-FR" w:bidi="he-IL"/>
        </w:rPr>
        <w:t xml:space="preserve">Diod. Sic. </w:t>
      </w:r>
      <w:r>
        <w:rPr>
          <w:lang w:eastAsia="fr-FR" w:bidi="he-IL"/>
        </w:rPr>
        <w:t xml:space="preserve">XV, </w:t>
      </w:r>
      <w:r w:rsidRPr="00C2602D">
        <w:rPr>
          <w:lang w:eastAsia="fr-FR" w:bidi="he-IL"/>
        </w:rPr>
        <w:t xml:space="preserve">74 : </w:t>
      </w:r>
      <w:r w:rsidRPr="00C2602D">
        <w:rPr>
          <w:lang w:val="el-GR" w:eastAsia="fr-FR" w:bidi="he-IL"/>
        </w:rPr>
        <w:t>Το</w:t>
      </w:r>
      <w:r>
        <w:rPr>
          <w:lang w:val="el-GR" w:eastAsia="fr-FR" w:bidi="he-IL"/>
        </w:rPr>
        <w:t>ί</w:t>
      </w:r>
      <w:r w:rsidRPr="00C2602D">
        <w:rPr>
          <w:lang w:val="el-GR" w:eastAsia="fr-FR" w:bidi="he-IL"/>
        </w:rPr>
        <w:t xml:space="preserve">ς </w:t>
      </w:r>
      <w:r>
        <w:rPr>
          <w:lang w:val="el-GR" w:eastAsia="fr-FR" w:bidi="he-IL"/>
        </w:rPr>
        <w:t>θεοῖ</w:t>
      </w:r>
      <w:r w:rsidRPr="00C2602D">
        <w:rPr>
          <w:lang w:val="el-GR" w:eastAsia="fr-FR" w:bidi="he-IL"/>
        </w:rPr>
        <w:t>ς ε</w:t>
      </w:r>
      <w:r>
        <w:rPr>
          <w:lang w:val="el-GR" w:eastAsia="fr-FR" w:bidi="he-IL"/>
        </w:rPr>
        <w:t>ὐαγγέλια θύ</w:t>
      </w:r>
      <w:r w:rsidRPr="00C2602D">
        <w:rPr>
          <w:lang w:val="el-GR" w:eastAsia="fr-FR" w:bidi="he-IL"/>
        </w:rPr>
        <w:t>σ</w:t>
      </w:r>
      <w:r>
        <w:rPr>
          <w:lang w:val="el-GR" w:eastAsia="fr-FR" w:bidi="he-IL"/>
        </w:rPr>
        <w:t>α</w:t>
      </w:r>
      <w:r w:rsidRPr="00C2602D">
        <w:rPr>
          <w:lang w:val="el-GR" w:eastAsia="fr-FR" w:bidi="he-IL"/>
        </w:rPr>
        <w:t>ς </w:t>
      </w:r>
      <w:r>
        <w:rPr>
          <w:lang w:val="el-GR" w:eastAsia="fr-FR" w:bidi="he-IL"/>
        </w:rPr>
        <w:t xml:space="preserve">; </w:t>
      </w:r>
      <w:r w:rsidRPr="00F12048">
        <w:rPr>
          <w:lang w:eastAsia="fr-FR" w:bidi="he-IL"/>
        </w:rPr>
        <w:t>(</w:t>
      </w:r>
      <w:r w:rsidRPr="00C2602D">
        <w:rPr>
          <w:lang w:eastAsia="fr-FR" w:bidi="he-IL"/>
        </w:rPr>
        <w:t>ayant immolé aux dieux des</w:t>
      </w:r>
      <w:r w:rsidRPr="00DC4586">
        <w:rPr>
          <w:rStyle w:val="italicus"/>
        </w:rPr>
        <w:t xml:space="preserve"> évangiles</w:t>
      </w:r>
      <w:r w:rsidRPr="00F12048">
        <w:rPr>
          <w:iCs/>
          <w:lang w:eastAsia="fr-FR" w:bidi="he-IL"/>
        </w:rPr>
        <w:t>)</w:t>
      </w:r>
      <w:r w:rsidRPr="00DC4586">
        <w:rPr>
          <w:rStyle w:val="italicus"/>
        </w:rPr>
        <w:t>.</w:t>
      </w:r>
      <w:r w:rsidRPr="00C2602D">
        <w:rPr>
          <w:lang w:eastAsia="fr-FR" w:bidi="he-IL"/>
        </w:rPr>
        <w:t xml:space="preserve"> Etc. Voyez </w:t>
      </w:r>
      <w:r>
        <w:rPr>
          <w:lang w:eastAsia="fr-FR" w:bidi="he-IL"/>
        </w:rPr>
        <w:t>H. É</w:t>
      </w:r>
      <w:r w:rsidRPr="00C2602D">
        <w:rPr>
          <w:lang w:eastAsia="fr-FR" w:bidi="he-IL"/>
        </w:rPr>
        <w:t>tienne</w:t>
      </w:r>
      <w:r>
        <w:rPr>
          <w:lang w:eastAsia="fr-FR" w:bidi="he-IL"/>
        </w:rPr>
        <w:t xml:space="preserve">, </w:t>
      </w:r>
      <w:r w:rsidRPr="00EA28F4">
        <w:rPr>
          <w:rStyle w:val="italicus"/>
        </w:rPr>
        <w:t>Thesaurus linguæ græcæ,</w:t>
      </w:r>
      <w:r>
        <w:rPr>
          <w:rStyle w:val="italicus"/>
        </w:rPr>
        <w:t xml:space="preserve"> </w:t>
      </w:r>
      <w:r w:rsidRPr="00C2602D">
        <w:rPr>
          <w:lang w:eastAsia="fr-FR" w:bidi="he-IL"/>
        </w:rPr>
        <w:t>édit. Firmin Didot</w:t>
      </w:r>
      <w:r>
        <w:rPr>
          <w:lang w:eastAsia="fr-FR" w:bidi="he-IL"/>
        </w:rPr>
        <w:t xml:space="preserve">, </w:t>
      </w:r>
      <w:r w:rsidRPr="00C2602D">
        <w:rPr>
          <w:lang w:eastAsia="fr-FR" w:bidi="he-IL"/>
        </w:rPr>
        <w:t>t. III</w:t>
      </w:r>
      <w:r>
        <w:rPr>
          <w:lang w:eastAsia="fr-FR" w:bidi="he-IL"/>
        </w:rPr>
        <w:t xml:space="preserve">, </w:t>
      </w:r>
      <w:r w:rsidRPr="00C2602D">
        <w:rPr>
          <w:lang w:eastAsia="fr-FR" w:bidi="he-IL"/>
        </w:rPr>
        <w:t>col. 2174</w:t>
      </w:r>
      <w:r>
        <w:rPr>
          <w:lang w:eastAsia="fr-FR" w:bidi="he-IL"/>
        </w:rPr>
        <w:t xml:space="preserve">, </w:t>
      </w:r>
      <w:r w:rsidRPr="00C2602D">
        <w:rPr>
          <w:lang w:eastAsia="fr-FR" w:bidi="he-IL"/>
        </w:rPr>
        <w:t>et Cremer</w:t>
      </w:r>
      <w:r>
        <w:rPr>
          <w:lang w:eastAsia="fr-FR" w:bidi="he-IL"/>
        </w:rPr>
        <w:t xml:space="preserve">, </w:t>
      </w:r>
      <w:r w:rsidRPr="00EA28F4">
        <w:rPr>
          <w:rStyle w:val="italicus"/>
        </w:rPr>
        <w:t>Biblisch.-theologisches Wœrterbuch der neutestam. Græcitæt,</w:t>
      </w:r>
      <w:r>
        <w:rPr>
          <w:rStyle w:val="italicus"/>
        </w:rPr>
        <w:t xml:space="preserve"> </w:t>
      </w:r>
      <w:r w:rsidRPr="00C2602D">
        <w:rPr>
          <w:lang w:eastAsia="fr-FR" w:bidi="he-IL"/>
        </w:rPr>
        <w:t>3</w:t>
      </w:r>
      <w:r w:rsidRPr="00C2602D">
        <w:rPr>
          <w:vertAlign w:val="superscript"/>
          <w:lang w:eastAsia="fr-FR" w:bidi="he-IL"/>
        </w:rPr>
        <w:t>e</w:t>
      </w:r>
      <w:r w:rsidRPr="00C2602D">
        <w:rPr>
          <w:lang w:eastAsia="fr-FR" w:bidi="he-IL"/>
        </w:rPr>
        <w:t xml:space="preserve"> édit.</w:t>
      </w:r>
      <w:r>
        <w:rPr>
          <w:lang w:eastAsia="fr-FR" w:bidi="he-IL"/>
        </w:rPr>
        <w:t xml:space="preserve">, </w:t>
      </w:r>
      <w:r w:rsidRPr="00C2602D">
        <w:rPr>
          <w:lang w:eastAsia="fr-FR" w:bidi="he-IL"/>
        </w:rPr>
        <w:t>Gotha 1883</w:t>
      </w:r>
      <w:r>
        <w:rPr>
          <w:lang w:eastAsia="fr-FR" w:bidi="he-IL"/>
        </w:rPr>
        <w:t xml:space="preserve">, </w:t>
      </w:r>
      <w:r w:rsidRPr="00C2602D">
        <w:rPr>
          <w:lang w:eastAsia="fr-FR" w:bidi="he-IL"/>
        </w:rPr>
        <w:t xml:space="preserve">p. 29. </w:t>
      </w:r>
    </w:p>
  </w:footnote>
  <w:footnote w:id="4">
    <w:p w:rsidR="00941AA6" w:rsidRPr="00A71697" w:rsidRDefault="00941AA6" w:rsidP="009068D6">
      <w:pPr>
        <w:pStyle w:val="Notedebasdepage"/>
        <w:rPr>
          <w:lang w:eastAsia="fr-FR" w:bidi="he-IL"/>
        </w:rPr>
      </w:pPr>
      <w:r w:rsidRPr="00C406FF">
        <w:rPr>
          <w:rStyle w:val="Appelnotedebasdep"/>
        </w:rPr>
        <w:footnoteRef/>
      </w:r>
      <w:r>
        <w:rPr>
          <w:lang w:eastAsia="fr-FR" w:bidi="he-IL"/>
        </w:rPr>
        <w:t xml:space="preserve"> </w:t>
      </w:r>
      <w:r w:rsidRPr="00DC4586">
        <w:rPr>
          <w:rStyle w:val="italicus"/>
        </w:rPr>
        <w:t>Civ.</w:t>
      </w:r>
      <w:r>
        <w:rPr>
          <w:rStyle w:val="italicus"/>
        </w:rPr>
        <w:t xml:space="preserve">, </w:t>
      </w:r>
      <w:r>
        <w:rPr>
          <w:lang w:eastAsia="fr-FR" w:bidi="he-IL"/>
        </w:rPr>
        <w:t xml:space="preserve">IV, 20. </w:t>
      </w:r>
    </w:p>
  </w:footnote>
  <w:footnote w:id="5">
    <w:p w:rsidR="00941AA6" w:rsidRPr="00401D7F" w:rsidRDefault="00941AA6" w:rsidP="009068D6">
      <w:pPr>
        <w:pStyle w:val="Notedebasdepage"/>
        <w:rPr>
          <w:lang w:eastAsia="fr-FR" w:bidi="he-IL"/>
        </w:rPr>
      </w:pPr>
      <w:r w:rsidRPr="00C406FF">
        <w:rPr>
          <w:rStyle w:val="Appelnotedebasdep"/>
        </w:rPr>
        <w:footnoteRef/>
      </w:r>
      <w:r>
        <w:t xml:space="preserve"> </w:t>
      </w:r>
      <w:r w:rsidRPr="00C2602D">
        <w:rPr>
          <w:lang w:eastAsia="fr-FR" w:bidi="he-IL"/>
        </w:rPr>
        <w:t>En prenant une concordance grecque ou latine de la Bible</w:t>
      </w:r>
      <w:r>
        <w:rPr>
          <w:lang w:eastAsia="fr-FR" w:bidi="he-IL"/>
        </w:rPr>
        <w:t xml:space="preserve">, </w:t>
      </w:r>
      <w:r w:rsidRPr="00C2602D">
        <w:rPr>
          <w:lang w:eastAsia="fr-FR" w:bidi="he-IL"/>
        </w:rPr>
        <w:t>au mot</w:t>
      </w:r>
      <w:r>
        <w:rPr>
          <w:lang w:eastAsia="fr-FR" w:bidi="he-IL"/>
        </w:rPr>
        <w:t xml:space="preserve"> </w:t>
      </w:r>
      <w:r w:rsidRPr="00C2602D">
        <w:rPr>
          <w:lang w:val="el-GR" w:eastAsia="fr-FR" w:bidi="he-IL"/>
        </w:rPr>
        <w:t>ε</w:t>
      </w:r>
      <w:r>
        <w:rPr>
          <w:lang w:val="el-GR" w:eastAsia="fr-FR" w:bidi="he-IL"/>
        </w:rPr>
        <w:t>ὐα</w:t>
      </w:r>
      <w:r w:rsidRPr="00C2602D">
        <w:rPr>
          <w:lang w:val="el-GR" w:eastAsia="fr-FR" w:bidi="he-IL"/>
        </w:rPr>
        <w:t>γγ</w:t>
      </w:r>
      <w:r>
        <w:rPr>
          <w:lang w:val="el-GR" w:eastAsia="fr-FR" w:bidi="he-IL"/>
        </w:rPr>
        <w:t>έ</w:t>
      </w:r>
      <w:r w:rsidRPr="00C2602D">
        <w:rPr>
          <w:lang w:val="el-GR" w:eastAsia="fr-FR" w:bidi="he-IL"/>
        </w:rPr>
        <w:t xml:space="preserve">λιον </w:t>
      </w:r>
      <w:r w:rsidRPr="00C2602D">
        <w:rPr>
          <w:lang w:eastAsia="fr-FR" w:bidi="he-IL"/>
        </w:rPr>
        <w:t xml:space="preserve">ou </w:t>
      </w:r>
      <w:r w:rsidRPr="00DC4586">
        <w:rPr>
          <w:rStyle w:val="italicus"/>
        </w:rPr>
        <w:t>e</w:t>
      </w:r>
      <w:r>
        <w:rPr>
          <w:rStyle w:val="italicus"/>
        </w:rPr>
        <w:t xml:space="preserve">vangélium, </w:t>
      </w:r>
      <w:r w:rsidRPr="00C2602D">
        <w:rPr>
          <w:lang w:eastAsia="fr-FR" w:bidi="he-IL"/>
        </w:rPr>
        <w:t>le lecteur pourra étudier avec</w:t>
      </w:r>
      <w:r>
        <w:rPr>
          <w:lang w:eastAsia="fr-FR" w:bidi="he-IL"/>
        </w:rPr>
        <w:t xml:space="preserve"> </w:t>
      </w:r>
      <w:r w:rsidRPr="00C2602D">
        <w:rPr>
          <w:lang w:eastAsia="fr-FR" w:bidi="he-IL"/>
        </w:rPr>
        <w:t>intérêt et avec profit les nuances diverses de son emploi dans le Nouveau Testament. Voyez aussi Cremer</w:t>
      </w:r>
      <w:r>
        <w:rPr>
          <w:lang w:eastAsia="fr-FR" w:bidi="he-IL"/>
        </w:rPr>
        <w:t xml:space="preserve">, </w:t>
      </w:r>
      <w:r w:rsidRPr="00DC4586">
        <w:rPr>
          <w:rStyle w:val="italicus"/>
        </w:rPr>
        <w:t>l. c.</w:t>
      </w:r>
      <w:r>
        <w:rPr>
          <w:rStyle w:val="italicus"/>
        </w:rPr>
        <w:t xml:space="preserve">, </w:t>
      </w:r>
      <w:r w:rsidRPr="00C2602D">
        <w:rPr>
          <w:lang w:eastAsia="fr-FR" w:bidi="he-IL"/>
        </w:rPr>
        <w:t xml:space="preserve">et </w:t>
      </w:r>
      <w:r w:rsidRPr="00C2602D">
        <w:rPr>
          <w:lang w:val="el-GR" w:eastAsia="fr-FR" w:bidi="he-IL"/>
        </w:rPr>
        <w:t xml:space="preserve">ΝΙΚ. </w:t>
      </w:r>
      <w:r w:rsidRPr="00C2602D">
        <w:rPr>
          <w:lang w:eastAsia="fr-FR" w:bidi="he-IL"/>
        </w:rPr>
        <w:t xml:space="preserve">M. </w:t>
      </w:r>
      <w:r w:rsidRPr="00C2602D">
        <w:rPr>
          <w:lang w:val="el-GR" w:eastAsia="fr-FR" w:bidi="he-IL"/>
        </w:rPr>
        <w:t>Δ</w:t>
      </w:r>
      <w:r>
        <w:rPr>
          <w:lang w:val="el-GR" w:eastAsia="fr-FR" w:bidi="he-IL"/>
        </w:rPr>
        <w:t>Α</w:t>
      </w:r>
      <w:r w:rsidRPr="00C2602D">
        <w:rPr>
          <w:lang w:val="el-GR" w:eastAsia="fr-FR" w:bidi="he-IL"/>
        </w:rPr>
        <w:t>Μ</w:t>
      </w:r>
      <w:r>
        <w:rPr>
          <w:lang w:val="el-GR" w:eastAsia="fr-FR" w:bidi="he-IL"/>
        </w:rPr>
        <w:t>Α</w:t>
      </w:r>
      <w:r w:rsidRPr="00C2602D">
        <w:rPr>
          <w:lang w:val="el-GR" w:eastAsia="fr-FR" w:bidi="he-IL"/>
        </w:rPr>
        <w:t>Λ</w:t>
      </w:r>
      <w:r>
        <w:rPr>
          <w:lang w:val="el-GR" w:eastAsia="fr-FR" w:bidi="he-IL"/>
        </w:rPr>
        <w:t>Α</w:t>
      </w:r>
      <w:r w:rsidRPr="00C2602D">
        <w:rPr>
          <w:lang w:val="el-GR" w:eastAsia="fr-FR" w:bidi="he-IL"/>
        </w:rPr>
        <w:t>Σ</w:t>
      </w:r>
      <w:r>
        <w:rPr>
          <w:lang w:val="el-GR" w:eastAsia="fr-FR" w:bidi="he-IL"/>
        </w:rPr>
        <w:t xml:space="preserve">, </w:t>
      </w:r>
      <w:r w:rsidRPr="00A71697">
        <w:rPr>
          <w:lang w:val="el-GR" w:eastAsia="fr-FR" w:bidi="he-IL"/>
        </w:rPr>
        <w:t>Ἐ</w:t>
      </w:r>
      <w:r w:rsidRPr="00C2602D">
        <w:rPr>
          <w:lang w:val="el-GR" w:eastAsia="fr-FR" w:bidi="he-IL"/>
        </w:rPr>
        <w:t>ρμηνε</w:t>
      </w:r>
      <w:r>
        <w:rPr>
          <w:lang w:val="el-GR" w:eastAsia="fr-FR" w:bidi="he-IL"/>
        </w:rPr>
        <w:t>ῖα</w:t>
      </w:r>
      <w:r w:rsidRPr="00C2602D">
        <w:rPr>
          <w:lang w:val="el-GR" w:eastAsia="fr-FR" w:bidi="he-IL"/>
        </w:rPr>
        <w:t xml:space="preserve"> ε</w:t>
      </w:r>
      <w:r>
        <w:rPr>
          <w:lang w:val="el-GR" w:eastAsia="fr-FR" w:bidi="he-IL"/>
        </w:rPr>
        <w:t>ἰς</w:t>
      </w:r>
      <w:r w:rsidRPr="00C2602D">
        <w:rPr>
          <w:lang w:eastAsia="fr-FR" w:bidi="he-IL"/>
        </w:rPr>
        <w:t xml:space="preserve"> </w:t>
      </w:r>
      <w:r w:rsidRPr="00C2602D">
        <w:rPr>
          <w:lang w:val="el-GR" w:eastAsia="fr-FR" w:bidi="he-IL"/>
        </w:rPr>
        <w:t>τ</w:t>
      </w:r>
      <w:r>
        <w:rPr>
          <w:lang w:val="el-GR" w:eastAsia="fr-FR" w:bidi="he-IL"/>
        </w:rPr>
        <w:t>ὴ</w:t>
      </w:r>
      <w:r w:rsidRPr="00C2602D">
        <w:rPr>
          <w:lang w:val="el-GR" w:eastAsia="fr-FR" w:bidi="he-IL"/>
        </w:rPr>
        <w:t>ν Κ</w:t>
      </w:r>
      <w:r>
        <w:rPr>
          <w:lang w:val="el-GR" w:eastAsia="fr-FR" w:bidi="he-IL"/>
        </w:rPr>
        <w:t>αί</w:t>
      </w:r>
      <w:r w:rsidRPr="00C2602D">
        <w:rPr>
          <w:lang w:val="el-GR" w:eastAsia="fr-FR" w:bidi="he-IL"/>
        </w:rPr>
        <w:t>νην Δι</w:t>
      </w:r>
      <w:r>
        <w:rPr>
          <w:lang w:val="el-GR" w:eastAsia="fr-FR" w:bidi="he-IL"/>
        </w:rPr>
        <w:t>α</w:t>
      </w:r>
      <w:r w:rsidRPr="00C2602D">
        <w:rPr>
          <w:lang w:val="el-GR" w:eastAsia="fr-FR" w:bidi="he-IL"/>
        </w:rPr>
        <w:t>θ</w:t>
      </w:r>
      <w:r>
        <w:rPr>
          <w:lang w:val="el-GR" w:eastAsia="fr-FR" w:bidi="he-IL"/>
        </w:rPr>
        <w:t>ή</w:t>
      </w:r>
      <w:r w:rsidRPr="00C2602D">
        <w:rPr>
          <w:lang w:val="el-GR" w:eastAsia="fr-FR" w:bidi="he-IL"/>
        </w:rPr>
        <w:t>χην</w:t>
      </w:r>
      <w:r>
        <w:rPr>
          <w:lang w:val="el-GR" w:eastAsia="fr-FR" w:bidi="he-IL"/>
        </w:rPr>
        <w:t xml:space="preserve">, </w:t>
      </w:r>
      <w:r w:rsidRPr="00C2602D">
        <w:rPr>
          <w:lang w:eastAsia="fr-FR" w:bidi="he-IL"/>
        </w:rPr>
        <w:t>Athènes 1876</w:t>
      </w:r>
      <w:r>
        <w:rPr>
          <w:lang w:eastAsia="fr-FR" w:bidi="he-IL"/>
        </w:rPr>
        <w:t xml:space="preserve">, </w:t>
      </w:r>
      <w:r w:rsidRPr="00C2602D">
        <w:rPr>
          <w:lang w:val="el-GR" w:eastAsia="fr-FR" w:bidi="he-IL"/>
        </w:rPr>
        <w:t>τ</w:t>
      </w:r>
      <w:r>
        <w:rPr>
          <w:lang w:val="el-GR" w:eastAsia="fr-FR" w:bidi="he-IL"/>
        </w:rPr>
        <w:t>ό</w:t>
      </w:r>
      <w:r w:rsidRPr="00C2602D">
        <w:rPr>
          <w:lang w:val="el-GR" w:eastAsia="fr-FR" w:bidi="he-IL"/>
        </w:rPr>
        <w:t xml:space="preserve">μος </w:t>
      </w:r>
      <w:r w:rsidRPr="00C2602D">
        <w:rPr>
          <w:lang w:eastAsia="fr-FR" w:bidi="he-IL"/>
        </w:rPr>
        <w:t>A</w:t>
      </w:r>
      <w:r>
        <w:rPr>
          <w:lang w:eastAsia="fr-FR" w:bidi="he-IL"/>
        </w:rPr>
        <w:t xml:space="preserve">, </w:t>
      </w:r>
      <w:r w:rsidRPr="00C2602D">
        <w:rPr>
          <w:lang w:eastAsia="fr-FR" w:bidi="he-IL"/>
        </w:rPr>
        <w:t>p. 32-34.</w:t>
      </w:r>
      <w:r>
        <w:rPr>
          <w:lang w:eastAsia="fr-FR" w:bidi="he-IL"/>
        </w:rPr>
        <w:t xml:space="preserve"> </w:t>
      </w:r>
    </w:p>
  </w:footnote>
  <w:footnote w:id="6">
    <w:p w:rsidR="00941AA6" w:rsidRDefault="00941AA6" w:rsidP="009068D6">
      <w:pPr>
        <w:pStyle w:val="Notedebasdepage"/>
      </w:pPr>
      <w:r w:rsidRPr="00C406FF">
        <w:rPr>
          <w:rStyle w:val="Appelnotedebasdep"/>
        </w:rPr>
        <w:footnoteRef/>
      </w:r>
      <w:r>
        <w:t xml:space="preserve"> </w:t>
      </w:r>
      <w:r w:rsidRPr="00401D7F">
        <w:rPr>
          <w:lang w:eastAsia="fr-FR" w:bidi="he-IL"/>
        </w:rPr>
        <w:t>Voyez Gesenius</w:t>
      </w:r>
      <w:r>
        <w:rPr>
          <w:lang w:eastAsia="fr-FR" w:bidi="he-IL"/>
        </w:rPr>
        <w:t xml:space="preserve">, </w:t>
      </w:r>
      <w:r w:rsidRPr="00EA28F4">
        <w:rPr>
          <w:rStyle w:val="italicus"/>
        </w:rPr>
        <w:t>Thesaurus philológicus críticus linguæ hebrǽæ et chaldǽæ Véteris Testam.,</w:t>
      </w:r>
      <w:r>
        <w:rPr>
          <w:rStyle w:val="italicus"/>
        </w:rPr>
        <w:t xml:space="preserve"> </w:t>
      </w:r>
      <w:r w:rsidRPr="00401D7F">
        <w:rPr>
          <w:lang w:eastAsia="fr-FR" w:bidi="he-IL"/>
        </w:rPr>
        <w:t>t. I</w:t>
      </w:r>
      <w:r>
        <w:rPr>
          <w:lang w:eastAsia="fr-FR" w:bidi="he-IL"/>
        </w:rPr>
        <w:t xml:space="preserve">, </w:t>
      </w:r>
      <w:r w:rsidRPr="00401D7F">
        <w:rPr>
          <w:lang w:eastAsia="fr-FR" w:bidi="he-IL"/>
        </w:rPr>
        <w:t>p. 248.</w:t>
      </w:r>
    </w:p>
  </w:footnote>
  <w:footnote w:id="7">
    <w:p w:rsidR="00941AA6" w:rsidRDefault="00941AA6" w:rsidP="009068D6">
      <w:pPr>
        <w:pStyle w:val="Notedebasdepage"/>
      </w:pPr>
      <w:r w:rsidRPr="00C406FF">
        <w:rPr>
          <w:rStyle w:val="Appelnotedebasdep"/>
        </w:rPr>
        <w:footnoteRef/>
      </w:r>
      <w:r>
        <w:t xml:space="preserve"> </w:t>
      </w:r>
      <w:r w:rsidRPr="00C2602D">
        <w:rPr>
          <w:lang w:eastAsia="fr-FR" w:bidi="he-IL"/>
        </w:rPr>
        <w:t>Cf. Luc</w:t>
      </w:r>
      <w:r>
        <w:rPr>
          <w:lang w:eastAsia="fr-FR" w:bidi="he-IL"/>
        </w:rPr>
        <w:t xml:space="preserve">. IV, </w:t>
      </w:r>
      <w:r w:rsidRPr="00C2602D">
        <w:rPr>
          <w:lang w:eastAsia="fr-FR" w:bidi="he-IL"/>
        </w:rPr>
        <w:t>18</w:t>
      </w:r>
      <w:r>
        <w:rPr>
          <w:lang w:eastAsia="fr-FR" w:bidi="he-IL"/>
        </w:rPr>
        <w:t xml:space="preserve">, </w:t>
      </w:r>
      <w:r w:rsidRPr="00C2602D">
        <w:rPr>
          <w:lang w:eastAsia="fr-FR" w:bidi="he-IL"/>
        </w:rPr>
        <w:t>dans le texte grec.</w:t>
      </w:r>
    </w:p>
  </w:footnote>
  <w:footnote w:id="8">
    <w:p w:rsidR="00941AA6" w:rsidRPr="00EA28F4" w:rsidRDefault="00941AA6" w:rsidP="009068D6">
      <w:pPr>
        <w:pStyle w:val="Notedebasdepage"/>
        <w:rPr>
          <w:rStyle w:val="italicus"/>
          <w:lang w:val="de-AT"/>
        </w:rPr>
      </w:pPr>
      <w:r w:rsidRPr="00C406FF">
        <w:rPr>
          <w:rStyle w:val="Appelnotedebasdep"/>
        </w:rPr>
        <w:footnoteRef/>
      </w:r>
      <w:r w:rsidRPr="0017332F">
        <w:t xml:space="preserve"> </w:t>
      </w:r>
      <w:r w:rsidRPr="00C2602D">
        <w:rPr>
          <w:lang w:eastAsia="fr-FR" w:bidi="he-IL"/>
        </w:rPr>
        <w:t>Peut-être même saint Ignace</w:t>
      </w:r>
      <w:r>
        <w:rPr>
          <w:lang w:eastAsia="fr-FR" w:bidi="he-IL"/>
        </w:rPr>
        <w:t xml:space="preserve">, </w:t>
      </w:r>
      <w:r w:rsidRPr="00DC4586">
        <w:rPr>
          <w:rStyle w:val="italicus"/>
        </w:rPr>
        <w:t>Epist. ad Phil.</w:t>
      </w:r>
      <w:r w:rsidRPr="00C2602D">
        <w:rPr>
          <w:lang w:eastAsia="fr-FR" w:bidi="he-IL"/>
        </w:rPr>
        <w:t xml:space="preserve"> 8</w:t>
      </w:r>
      <w:r>
        <w:rPr>
          <w:lang w:eastAsia="fr-FR" w:bidi="he-IL"/>
        </w:rPr>
        <w:t xml:space="preserve">, </w:t>
      </w:r>
      <w:r w:rsidRPr="00C2602D">
        <w:rPr>
          <w:lang w:eastAsia="fr-FR" w:bidi="he-IL"/>
        </w:rPr>
        <w:t>et</w:t>
      </w:r>
      <w:r w:rsidRPr="00DC4586">
        <w:rPr>
          <w:rStyle w:val="italicus"/>
        </w:rPr>
        <w:t xml:space="preserve"> Epist. ad Smyrn.</w:t>
      </w:r>
      <w:r w:rsidRPr="00C2602D">
        <w:rPr>
          <w:lang w:eastAsia="fr-FR" w:bidi="he-IL"/>
        </w:rPr>
        <w:t xml:space="preserve"> </w:t>
      </w:r>
      <w:r w:rsidRPr="00A74F01">
        <w:rPr>
          <w:lang w:val="en-US" w:eastAsia="fr-FR" w:bidi="he-IL"/>
        </w:rPr>
        <w:t>7. Cf. Kaulen</w:t>
      </w:r>
      <w:r>
        <w:rPr>
          <w:lang w:val="en-US" w:eastAsia="fr-FR" w:bidi="he-IL"/>
        </w:rPr>
        <w:t xml:space="preserve">, </w:t>
      </w:r>
      <w:r w:rsidRPr="00A74F01">
        <w:rPr>
          <w:rStyle w:val="italicus"/>
          <w:lang w:val="en-US"/>
        </w:rPr>
        <w:t>Einleitung in die heil.</w:t>
      </w:r>
      <w:r>
        <w:rPr>
          <w:rStyle w:val="italicus"/>
          <w:lang w:val="en-US"/>
        </w:rPr>
        <w:t xml:space="preserve"> </w:t>
      </w:r>
      <w:r w:rsidRPr="00EA28F4">
        <w:rPr>
          <w:rStyle w:val="italicus"/>
          <w:lang w:val="de-AT"/>
        </w:rPr>
        <w:t xml:space="preserve">Schrift Allen und Neuen Testamentes, </w:t>
      </w:r>
      <w:r w:rsidRPr="00EA28F4">
        <w:rPr>
          <w:lang w:val="de-AT" w:eastAsia="fr-FR" w:bidi="he-IL"/>
        </w:rPr>
        <w:t xml:space="preserve">Fribourg-en-Brisgau, 1886, t. </w:t>
      </w:r>
      <w:r w:rsidRPr="00C2602D">
        <w:rPr>
          <w:lang w:val="el-GR" w:eastAsia="fr-FR" w:bidi="he-IL"/>
        </w:rPr>
        <w:t>Π</w:t>
      </w:r>
      <w:r>
        <w:rPr>
          <w:lang w:val="el-GR" w:eastAsia="fr-FR" w:bidi="he-IL"/>
        </w:rPr>
        <w:t xml:space="preserve">, </w:t>
      </w:r>
      <w:r w:rsidRPr="00EA28F4">
        <w:rPr>
          <w:lang w:val="de-AT" w:eastAsia="fr-FR" w:bidi="he-IL"/>
        </w:rPr>
        <w:t>p. 3</w:t>
      </w:r>
      <w:r w:rsidRPr="00EA28F4">
        <w:rPr>
          <w:rStyle w:val="italicus"/>
          <w:lang w:val="de-AT"/>
        </w:rPr>
        <w:t>13.</w:t>
      </w:r>
    </w:p>
  </w:footnote>
  <w:footnote w:id="9">
    <w:p w:rsidR="00941AA6" w:rsidRDefault="00941AA6" w:rsidP="009068D6">
      <w:pPr>
        <w:pStyle w:val="Notedebasdepage"/>
      </w:pPr>
      <w:r w:rsidRPr="00C406FF">
        <w:rPr>
          <w:rStyle w:val="Appelnotedebasdep"/>
        </w:rPr>
        <w:footnoteRef/>
      </w:r>
      <w:r>
        <w:t xml:space="preserve"> </w:t>
      </w:r>
      <w:r w:rsidRPr="00C2602D">
        <w:rPr>
          <w:lang w:eastAsia="fr-FR" w:bidi="he-IL"/>
        </w:rPr>
        <w:t>Comp.</w:t>
      </w:r>
      <w:r w:rsidRPr="00DC4586">
        <w:rPr>
          <w:rStyle w:val="italicus"/>
        </w:rPr>
        <w:t xml:space="preserve"> </w:t>
      </w:r>
      <w:r>
        <w:rPr>
          <w:iCs/>
          <w:lang w:eastAsia="fr-FR" w:bidi="he-IL"/>
        </w:rPr>
        <w:t>l’</w:t>
      </w:r>
      <w:r w:rsidRPr="00DC4586">
        <w:rPr>
          <w:rStyle w:val="italicus"/>
        </w:rPr>
        <w:t>Épitre à Diognète</w:t>
      </w:r>
      <w:r>
        <w:rPr>
          <w:rStyle w:val="italicus"/>
        </w:rPr>
        <w:t xml:space="preserve">, </w:t>
      </w:r>
      <w:r w:rsidRPr="00C2602D">
        <w:rPr>
          <w:lang w:eastAsia="fr-FR" w:bidi="he-IL"/>
        </w:rPr>
        <w:t>11</w:t>
      </w:r>
      <w:r>
        <w:rPr>
          <w:lang w:eastAsia="fr-FR" w:bidi="he-IL"/>
        </w:rPr>
        <w:t xml:space="preserve">, </w:t>
      </w:r>
      <w:r w:rsidRPr="00C2602D">
        <w:rPr>
          <w:lang w:eastAsia="fr-FR" w:bidi="he-IL"/>
        </w:rPr>
        <w:t>et Orig.</w:t>
      </w:r>
      <w:r w:rsidRPr="00DC4586">
        <w:rPr>
          <w:rStyle w:val="italicus"/>
        </w:rPr>
        <w:t xml:space="preserve"> In Joan.</w:t>
      </w:r>
      <w:r>
        <w:rPr>
          <w:rStyle w:val="italicus"/>
        </w:rPr>
        <w:t xml:space="preserve">, </w:t>
      </w:r>
      <w:r>
        <w:rPr>
          <w:lang w:eastAsia="fr-FR" w:bidi="he-IL"/>
        </w:rPr>
        <w:t xml:space="preserve">t. I, </w:t>
      </w:r>
      <w:r w:rsidRPr="00C2602D">
        <w:rPr>
          <w:lang w:eastAsia="fr-FR" w:bidi="he-IL"/>
        </w:rPr>
        <w:t>6</w:t>
      </w:r>
      <w:r>
        <w:rPr>
          <w:lang w:eastAsia="fr-FR" w:bidi="he-IL"/>
        </w:rPr>
        <w:t xml:space="preserve">, </w:t>
      </w:r>
    </w:p>
  </w:footnote>
  <w:footnote w:id="10">
    <w:p w:rsidR="00941AA6" w:rsidRPr="0017332F" w:rsidRDefault="00941AA6" w:rsidP="009068D6">
      <w:pPr>
        <w:pStyle w:val="Notedebasdepage"/>
        <w:rPr>
          <w:lang w:eastAsia="fr-FR" w:bidi="he-IL"/>
        </w:rPr>
      </w:pPr>
      <w:r w:rsidRPr="00C406FF">
        <w:rPr>
          <w:rStyle w:val="Appelnotedebasdep"/>
        </w:rPr>
        <w:footnoteRef/>
      </w:r>
      <w:r>
        <w:t xml:space="preserve"> </w:t>
      </w:r>
      <w:r w:rsidRPr="00C2602D">
        <w:rPr>
          <w:lang w:eastAsia="fr-FR" w:bidi="he-IL"/>
        </w:rPr>
        <w:t>Tertullien préfère encore le nom</w:t>
      </w:r>
      <w:r w:rsidRPr="00DC4586">
        <w:rPr>
          <w:rStyle w:val="italicus"/>
        </w:rPr>
        <w:t xml:space="preserve"> de commentárii</w:t>
      </w:r>
      <w:r>
        <w:rPr>
          <w:rStyle w:val="italicus"/>
        </w:rPr>
        <w:t xml:space="preserve">, </w:t>
      </w:r>
      <w:r w:rsidRPr="00C2602D">
        <w:rPr>
          <w:lang w:eastAsia="fr-FR" w:bidi="he-IL"/>
        </w:rPr>
        <w:t xml:space="preserve">calqué sur le grec </w:t>
      </w:r>
      <w:r>
        <w:rPr>
          <w:lang w:eastAsia="fr-FR" w:bidi="he-IL"/>
        </w:rPr>
        <w:t>ἀ</w:t>
      </w:r>
      <w:r w:rsidRPr="00C2602D">
        <w:rPr>
          <w:lang w:val="el-GR" w:eastAsia="fr-FR" w:bidi="he-IL"/>
        </w:rPr>
        <w:t>πομνημονε</w:t>
      </w:r>
      <w:r>
        <w:rPr>
          <w:lang w:val="el-GR" w:eastAsia="fr-FR" w:bidi="he-IL"/>
        </w:rPr>
        <w:t>ύ</w:t>
      </w:r>
      <w:r w:rsidRPr="00C2602D">
        <w:rPr>
          <w:lang w:val="el-GR" w:eastAsia="fr-FR" w:bidi="he-IL"/>
        </w:rPr>
        <w:t>μ</w:t>
      </w:r>
      <w:r>
        <w:rPr>
          <w:lang w:val="el-GR" w:eastAsia="fr-FR" w:bidi="he-IL"/>
        </w:rPr>
        <w:t>α</w:t>
      </w:r>
      <w:r w:rsidRPr="00C2602D">
        <w:rPr>
          <w:lang w:val="el-GR" w:eastAsia="fr-FR" w:bidi="he-IL"/>
        </w:rPr>
        <w:t>τ</w:t>
      </w:r>
      <w:r>
        <w:rPr>
          <w:lang w:val="el-GR" w:eastAsia="fr-FR" w:bidi="he-IL"/>
        </w:rPr>
        <w:t xml:space="preserve">α, </w:t>
      </w:r>
      <w:r>
        <w:rPr>
          <w:lang w:eastAsia="fr-FR" w:bidi="he-IL"/>
        </w:rPr>
        <w:t>et il appelle les évangélistes des « Evangélii commentatóres ». Cf</w:t>
      </w:r>
      <w:r w:rsidRPr="00C2602D">
        <w:rPr>
          <w:lang w:eastAsia="fr-FR" w:bidi="he-IL"/>
        </w:rPr>
        <w:t>.</w:t>
      </w:r>
      <w:r w:rsidRPr="00DC4586">
        <w:rPr>
          <w:rStyle w:val="italicus"/>
        </w:rPr>
        <w:t xml:space="preserve"> De carn. Christi</w:t>
      </w:r>
      <w:r>
        <w:rPr>
          <w:lang w:eastAsia="fr-FR" w:bidi="he-IL"/>
        </w:rPr>
        <w:t xml:space="preserve">, </w:t>
      </w:r>
      <w:r w:rsidRPr="00C2602D">
        <w:rPr>
          <w:lang w:eastAsia="fr-FR" w:bidi="he-IL"/>
        </w:rPr>
        <w:t>c. 22. Mais S. Jérôme écrit</w:t>
      </w:r>
      <w:r>
        <w:rPr>
          <w:lang w:eastAsia="fr-FR" w:bidi="he-IL"/>
        </w:rPr>
        <w:t xml:space="preserve">, </w:t>
      </w:r>
      <w:r w:rsidRPr="00C2602D">
        <w:rPr>
          <w:lang w:eastAsia="fr-FR" w:bidi="he-IL"/>
        </w:rPr>
        <w:t>comme on le ferait de nos jours : « Matt</w:t>
      </w:r>
      <w:r>
        <w:rPr>
          <w:lang w:eastAsia="fr-FR" w:bidi="he-IL"/>
        </w:rPr>
        <w:t>hǽ</w:t>
      </w:r>
      <w:r w:rsidRPr="00C2602D">
        <w:rPr>
          <w:lang w:eastAsia="fr-FR" w:bidi="he-IL"/>
        </w:rPr>
        <w:t>us e</w:t>
      </w:r>
      <w:r>
        <w:rPr>
          <w:lang w:eastAsia="fr-FR" w:bidi="he-IL"/>
        </w:rPr>
        <w:t>vangélium</w:t>
      </w:r>
      <w:r w:rsidRPr="00C2602D">
        <w:rPr>
          <w:lang w:eastAsia="fr-FR" w:bidi="he-IL"/>
        </w:rPr>
        <w:t xml:space="preserve"> Christi composuit. »</w:t>
      </w:r>
      <w:r w:rsidRPr="00DC4586">
        <w:rPr>
          <w:rStyle w:val="italicus"/>
        </w:rPr>
        <w:t xml:space="preserve"> Catal.</w:t>
      </w:r>
      <w:r>
        <w:rPr>
          <w:rStyle w:val="italicus"/>
        </w:rPr>
        <w:t xml:space="preserve">, </w:t>
      </w:r>
      <w:r>
        <w:rPr>
          <w:lang w:eastAsia="fr-FR" w:bidi="he-IL"/>
        </w:rPr>
        <w:t xml:space="preserve">c. 3. </w:t>
      </w:r>
    </w:p>
  </w:footnote>
  <w:footnote w:id="11">
    <w:p w:rsidR="00941AA6" w:rsidRPr="005D6EC4" w:rsidRDefault="00941AA6" w:rsidP="0021458E">
      <w:pPr>
        <w:pStyle w:val="Notedebasdepage"/>
        <w:rPr>
          <w:lang w:val="el-GR"/>
        </w:rPr>
      </w:pPr>
      <w:r w:rsidRPr="00C406FF">
        <w:rPr>
          <w:rStyle w:val="Appelnotedebasdep"/>
        </w:rPr>
        <w:footnoteRef/>
      </w:r>
      <w:r>
        <w:t xml:space="preserve"> </w:t>
      </w:r>
      <w:r w:rsidRPr="00C2602D">
        <w:rPr>
          <w:lang w:eastAsia="fr-FR" w:bidi="he-IL"/>
        </w:rPr>
        <w:t>Expression tout à fait délicate. « </w:t>
      </w:r>
      <w:r>
        <w:rPr>
          <w:lang w:eastAsia="fr-FR" w:bidi="he-IL"/>
        </w:rPr>
        <w:t>Suaviss</w:t>
      </w:r>
      <w:r w:rsidRPr="00C2602D">
        <w:rPr>
          <w:lang w:eastAsia="fr-FR" w:bidi="he-IL"/>
        </w:rPr>
        <w:t>i</w:t>
      </w:r>
      <w:r>
        <w:rPr>
          <w:lang w:eastAsia="fr-FR" w:bidi="he-IL"/>
        </w:rPr>
        <w:t>me</w:t>
      </w:r>
      <w:r w:rsidRPr="00C2602D">
        <w:rPr>
          <w:lang w:eastAsia="fr-FR" w:bidi="he-IL"/>
        </w:rPr>
        <w:t> ! »</w:t>
      </w:r>
      <w:r>
        <w:rPr>
          <w:lang w:eastAsia="fr-FR" w:bidi="he-IL"/>
        </w:rPr>
        <w:t xml:space="preserve"> dit Bengel, </w:t>
      </w:r>
      <w:r w:rsidRPr="00DC4586">
        <w:rPr>
          <w:rStyle w:val="italicus"/>
        </w:rPr>
        <w:t>Gnomon</w:t>
      </w:r>
      <w:r>
        <w:rPr>
          <w:rStyle w:val="italicus"/>
        </w:rPr>
        <w:t>, h. l.</w:t>
      </w:r>
      <w:r w:rsidRPr="00C2602D">
        <w:rPr>
          <w:lang w:eastAsia="fr-FR" w:bidi="he-IL"/>
        </w:rPr>
        <w:t xml:space="preserve"> Il s</w:t>
      </w:r>
      <w:r>
        <w:rPr>
          <w:lang w:eastAsia="fr-FR" w:bidi="he-IL"/>
        </w:rPr>
        <w:t>’</w:t>
      </w:r>
      <w:r w:rsidRPr="00C2602D">
        <w:rPr>
          <w:lang w:eastAsia="fr-FR" w:bidi="he-IL"/>
        </w:rPr>
        <w:t>agit d</w:t>
      </w:r>
      <w:r>
        <w:rPr>
          <w:lang w:eastAsia="fr-FR" w:bidi="he-IL"/>
        </w:rPr>
        <w:t>’</w:t>
      </w:r>
      <w:r w:rsidRPr="00C2602D">
        <w:rPr>
          <w:lang w:eastAsia="fr-FR" w:bidi="he-IL"/>
        </w:rPr>
        <w:t>Abraham</w:t>
      </w:r>
      <w:r>
        <w:rPr>
          <w:lang w:eastAsia="fr-FR" w:bidi="he-IL"/>
        </w:rPr>
        <w:t xml:space="preserve">, </w:t>
      </w:r>
      <w:r w:rsidRPr="00C2602D">
        <w:rPr>
          <w:lang w:eastAsia="fr-FR" w:bidi="he-IL"/>
        </w:rPr>
        <w:t>recevant l</w:t>
      </w:r>
      <w:r>
        <w:rPr>
          <w:lang w:eastAsia="fr-FR" w:bidi="he-IL"/>
        </w:rPr>
        <w:t>’évangile. Voyez Cre</w:t>
      </w:r>
      <w:r w:rsidRPr="00C2602D">
        <w:rPr>
          <w:lang w:eastAsia="fr-FR" w:bidi="he-IL"/>
        </w:rPr>
        <w:t>m</w:t>
      </w:r>
      <w:r>
        <w:rPr>
          <w:lang w:eastAsia="fr-FR" w:bidi="he-IL"/>
        </w:rPr>
        <w:t>e</w:t>
      </w:r>
      <w:r w:rsidRPr="00C2602D">
        <w:rPr>
          <w:lang w:eastAsia="fr-FR" w:bidi="he-IL"/>
        </w:rPr>
        <w:t>r</w:t>
      </w:r>
      <w:r>
        <w:rPr>
          <w:lang w:eastAsia="fr-FR" w:bidi="he-IL"/>
        </w:rPr>
        <w:t xml:space="preserve">, </w:t>
      </w:r>
      <w:r w:rsidRPr="00DC4586">
        <w:rPr>
          <w:rStyle w:val="italicus"/>
        </w:rPr>
        <w:t>l. c.</w:t>
      </w:r>
      <w:r>
        <w:rPr>
          <w:rStyle w:val="italicus"/>
        </w:rPr>
        <w:t xml:space="preserve">, </w:t>
      </w:r>
      <w:r w:rsidRPr="00C2602D">
        <w:rPr>
          <w:lang w:eastAsia="fr-FR" w:bidi="he-IL"/>
        </w:rPr>
        <w:t xml:space="preserve">p. 32. </w:t>
      </w:r>
    </w:p>
  </w:footnote>
  <w:footnote w:id="12">
    <w:p w:rsidR="00941AA6" w:rsidRPr="00933C60" w:rsidRDefault="00941AA6">
      <w:pPr>
        <w:pStyle w:val="Notedebasdepage"/>
      </w:pPr>
      <w:r w:rsidRPr="00C406FF">
        <w:rPr>
          <w:rStyle w:val="Appelnotedebasdep"/>
        </w:rPr>
        <w:footnoteRef/>
      </w:r>
      <w:r>
        <w:rPr>
          <w:lang w:eastAsia="fr-FR" w:bidi="he-IL"/>
        </w:rPr>
        <w:t xml:space="preserve"> </w:t>
      </w:r>
      <w:r w:rsidRPr="00DC4586">
        <w:rPr>
          <w:rStyle w:val="italicus"/>
        </w:rPr>
        <w:t xml:space="preserve">Contr. </w:t>
      </w:r>
      <w:r>
        <w:rPr>
          <w:rStyle w:val="italicus"/>
        </w:rPr>
        <w:t>hæ</w:t>
      </w:r>
      <w:r w:rsidRPr="00DC4586">
        <w:rPr>
          <w:rStyle w:val="italicus"/>
        </w:rPr>
        <w:t>r.</w:t>
      </w:r>
      <w:r>
        <w:rPr>
          <w:rStyle w:val="italicus"/>
        </w:rPr>
        <w:t xml:space="preserve">, </w:t>
      </w:r>
      <w:r>
        <w:rPr>
          <w:lang w:eastAsia="fr-FR" w:bidi="he-IL"/>
        </w:rPr>
        <w:t xml:space="preserve">III, </w:t>
      </w:r>
      <w:r w:rsidRPr="00C2602D">
        <w:rPr>
          <w:lang w:eastAsia="fr-FR" w:bidi="he-IL"/>
        </w:rPr>
        <w:t>11</w:t>
      </w:r>
      <w:r>
        <w:rPr>
          <w:lang w:eastAsia="fr-FR" w:bidi="he-IL"/>
        </w:rPr>
        <w:t xml:space="preserve">, </w:t>
      </w:r>
      <w:r w:rsidRPr="00C2602D">
        <w:rPr>
          <w:lang w:eastAsia="fr-FR" w:bidi="he-IL"/>
        </w:rPr>
        <w:t>8.</w:t>
      </w:r>
    </w:p>
  </w:footnote>
  <w:footnote w:id="13">
    <w:p w:rsidR="00941AA6" w:rsidRPr="00933C60" w:rsidRDefault="00941AA6">
      <w:pPr>
        <w:pStyle w:val="Notedebasdepage"/>
      </w:pPr>
      <w:r w:rsidRPr="00C406FF">
        <w:rPr>
          <w:rStyle w:val="Appelnotedebasdep"/>
        </w:rPr>
        <w:footnoteRef/>
      </w:r>
      <w:r w:rsidRPr="00B654D4">
        <w:rPr>
          <w:rStyle w:val="italicus"/>
          <w:lang w:val="el-GR"/>
        </w:rPr>
        <w:t xml:space="preserve"> </w:t>
      </w:r>
      <w:r w:rsidRPr="00DC4586">
        <w:rPr>
          <w:rStyle w:val="italicus"/>
        </w:rPr>
        <w:t>Comm</w:t>
      </w:r>
      <w:r w:rsidRPr="00B654D4">
        <w:rPr>
          <w:rStyle w:val="italicus"/>
          <w:lang w:val="el-GR"/>
        </w:rPr>
        <w:t xml:space="preserve">. </w:t>
      </w:r>
      <w:r w:rsidRPr="00DC4586">
        <w:rPr>
          <w:rStyle w:val="italicus"/>
        </w:rPr>
        <w:t>in</w:t>
      </w:r>
      <w:r w:rsidRPr="00B654D4">
        <w:rPr>
          <w:rStyle w:val="italicus"/>
          <w:lang w:val="el-GR"/>
        </w:rPr>
        <w:t xml:space="preserve"> </w:t>
      </w:r>
      <w:r w:rsidRPr="00DC4586">
        <w:rPr>
          <w:rStyle w:val="italicus"/>
        </w:rPr>
        <w:t>Joan</w:t>
      </w:r>
      <w:r w:rsidRPr="00B654D4">
        <w:rPr>
          <w:rStyle w:val="italicus"/>
          <w:lang w:val="el-GR"/>
        </w:rPr>
        <w:t xml:space="preserve">., </w:t>
      </w:r>
      <w:r w:rsidRPr="00C2602D">
        <w:rPr>
          <w:lang w:eastAsia="fr-FR" w:bidi="he-IL"/>
        </w:rPr>
        <w:t>t</w:t>
      </w:r>
      <w:r w:rsidRPr="00401D7F">
        <w:rPr>
          <w:lang w:val="el-GR" w:eastAsia="fr-FR" w:bidi="he-IL"/>
        </w:rPr>
        <w:t>.</w:t>
      </w:r>
      <w:r>
        <w:rPr>
          <w:lang w:val="el-GR" w:eastAsia="fr-FR" w:bidi="he-IL"/>
        </w:rPr>
        <w:t xml:space="preserve"> </w:t>
      </w:r>
      <w:r>
        <w:rPr>
          <w:lang w:eastAsia="fr-FR" w:bidi="he-IL"/>
        </w:rPr>
        <w:t>I</w:t>
      </w:r>
      <w:r>
        <w:rPr>
          <w:lang w:val="el-GR" w:eastAsia="fr-FR" w:bidi="he-IL"/>
        </w:rPr>
        <w:t xml:space="preserve">, </w:t>
      </w:r>
      <w:r w:rsidRPr="00401D7F">
        <w:rPr>
          <w:lang w:val="el-GR" w:eastAsia="fr-FR" w:bidi="he-IL"/>
        </w:rPr>
        <w:t>5</w:t>
      </w:r>
      <w:r w:rsidRPr="00C2602D">
        <w:rPr>
          <w:lang w:eastAsia="fr-FR" w:bidi="he-IL"/>
        </w:rPr>
        <w:t> </w:t>
      </w:r>
      <w:r>
        <w:rPr>
          <w:lang w:val="el-GR" w:eastAsia="fr-FR" w:bidi="he-IL"/>
        </w:rPr>
        <w:t xml:space="preserve">; </w:t>
      </w:r>
      <w:r w:rsidRPr="00C2602D">
        <w:rPr>
          <w:lang w:eastAsia="fr-FR" w:bidi="he-IL"/>
        </w:rPr>
        <w:t>ou</w:t>
      </w:r>
      <w:r w:rsidRPr="00401D7F">
        <w:rPr>
          <w:lang w:val="el-GR" w:eastAsia="fr-FR" w:bidi="he-IL"/>
        </w:rPr>
        <w:t xml:space="preserve"> </w:t>
      </w:r>
      <w:r w:rsidRPr="00C2602D">
        <w:rPr>
          <w:lang w:eastAsia="fr-FR" w:bidi="he-IL"/>
        </w:rPr>
        <w:t>encore </w:t>
      </w:r>
      <w:r w:rsidRPr="00401D7F">
        <w:rPr>
          <w:lang w:val="el-GR" w:eastAsia="fr-FR" w:bidi="he-IL"/>
        </w:rPr>
        <w:t>:</w:t>
      </w:r>
      <w:r>
        <w:rPr>
          <w:lang w:val="el-GR" w:eastAsia="fr-FR" w:bidi="he-IL"/>
        </w:rPr>
        <w:t xml:space="preserve"> </w:t>
      </w:r>
      <w:r w:rsidRPr="0017332F">
        <w:rPr>
          <w:lang w:val="el-GR" w:eastAsia="fr-FR" w:bidi="he-IL"/>
        </w:rPr>
        <w:t xml:space="preserve">ἡ </w:t>
      </w:r>
      <w:r w:rsidRPr="00C2602D">
        <w:rPr>
          <w:lang w:val="el-GR" w:eastAsia="fr-FR" w:bidi="he-IL"/>
        </w:rPr>
        <w:t>τ</w:t>
      </w:r>
      <w:r>
        <w:rPr>
          <w:lang w:val="el-GR" w:eastAsia="fr-FR" w:bidi="he-IL"/>
        </w:rPr>
        <w:t>ῶ</w:t>
      </w:r>
      <w:r w:rsidRPr="00C2602D">
        <w:rPr>
          <w:lang w:val="el-GR" w:eastAsia="fr-FR" w:bidi="he-IL"/>
        </w:rPr>
        <w:t>ν</w:t>
      </w:r>
      <w:r>
        <w:rPr>
          <w:lang w:val="el-GR" w:eastAsia="fr-FR" w:bidi="he-IL"/>
        </w:rPr>
        <w:t xml:space="preserve"> εὐαγ</w:t>
      </w:r>
      <w:r w:rsidRPr="00C2602D">
        <w:rPr>
          <w:lang w:val="el-GR" w:eastAsia="fr-FR" w:bidi="he-IL"/>
        </w:rPr>
        <w:t>γελ</w:t>
      </w:r>
      <w:r>
        <w:rPr>
          <w:lang w:val="el-GR" w:eastAsia="fr-FR" w:bidi="he-IL"/>
        </w:rPr>
        <w:t>ί</w:t>
      </w:r>
      <w:r w:rsidRPr="00C2602D">
        <w:rPr>
          <w:lang w:val="el-GR" w:eastAsia="fr-FR" w:bidi="he-IL"/>
        </w:rPr>
        <w:t xml:space="preserve">ων </w:t>
      </w:r>
      <w:r>
        <w:rPr>
          <w:lang w:val="el-GR" w:eastAsia="fr-FR" w:bidi="he-IL"/>
        </w:rPr>
        <w:t>ἀ</w:t>
      </w:r>
      <w:r w:rsidRPr="00C2602D">
        <w:rPr>
          <w:lang w:val="el-GR" w:eastAsia="fr-FR" w:bidi="he-IL"/>
        </w:rPr>
        <w:t>γ</w:t>
      </w:r>
      <w:r>
        <w:rPr>
          <w:lang w:val="el-GR" w:eastAsia="fr-FR" w:bidi="he-IL"/>
        </w:rPr>
        <w:t>ία</w:t>
      </w:r>
      <w:r w:rsidRPr="00C2602D">
        <w:rPr>
          <w:lang w:val="el-GR" w:eastAsia="fr-FR" w:bidi="he-IL"/>
        </w:rPr>
        <w:t xml:space="preserve"> τετρ</w:t>
      </w:r>
      <w:r>
        <w:rPr>
          <w:lang w:val="el-GR" w:eastAsia="fr-FR" w:bidi="he-IL"/>
        </w:rPr>
        <w:t>α</w:t>
      </w:r>
      <w:r w:rsidRPr="00C2602D">
        <w:rPr>
          <w:lang w:val="el-GR" w:eastAsia="fr-FR" w:bidi="he-IL"/>
        </w:rPr>
        <w:t>χτ</w:t>
      </w:r>
      <w:r>
        <w:rPr>
          <w:lang w:val="el-GR" w:eastAsia="fr-FR" w:bidi="he-IL"/>
        </w:rPr>
        <w:t>ή</w:t>
      </w:r>
      <w:r w:rsidRPr="005D6EC4">
        <w:rPr>
          <w:lang w:val="el-GR" w:eastAsia="fr-FR" w:bidi="he-IL"/>
        </w:rPr>
        <w:t>.</w:t>
      </w:r>
    </w:p>
  </w:footnote>
  <w:footnote w:id="14">
    <w:p w:rsidR="00941AA6" w:rsidRPr="0021458E" w:rsidRDefault="00941AA6">
      <w:pPr>
        <w:pStyle w:val="Notedebasdepage"/>
      </w:pPr>
      <w:r w:rsidRPr="00C406FF">
        <w:rPr>
          <w:rStyle w:val="Appelnotedebasdep"/>
        </w:rPr>
        <w:footnoteRef/>
      </w:r>
      <w:r w:rsidRPr="00A74F01">
        <w:rPr>
          <w:lang w:val="en-US" w:eastAsia="fr-FR" w:bidi="he-IL"/>
        </w:rPr>
        <w:t xml:space="preserve"> </w:t>
      </w:r>
      <w:r w:rsidRPr="00A74F01">
        <w:rPr>
          <w:rStyle w:val="italicus"/>
          <w:lang w:val="en-US"/>
        </w:rPr>
        <w:t xml:space="preserve">De vera fide, </w:t>
      </w:r>
      <w:r w:rsidRPr="0021458E">
        <w:t>1.</w:t>
      </w:r>
    </w:p>
  </w:footnote>
  <w:footnote w:id="15">
    <w:p w:rsidR="00941AA6" w:rsidRPr="00933C60" w:rsidRDefault="00941AA6">
      <w:pPr>
        <w:pStyle w:val="Notedebasdepage"/>
      </w:pPr>
      <w:r w:rsidRPr="00C406FF">
        <w:rPr>
          <w:rStyle w:val="Appelnotedebasdep"/>
        </w:rPr>
        <w:footnoteRef/>
      </w:r>
      <w:r w:rsidRPr="00A74F01">
        <w:rPr>
          <w:rStyle w:val="italicus"/>
          <w:lang w:val="en-US"/>
        </w:rPr>
        <w:t xml:space="preserve"> Tract, in Joan.</w:t>
      </w:r>
      <w:r w:rsidRPr="00C8701B">
        <w:rPr>
          <w:rFonts w:eastAsia="Arial Unicode MS"/>
          <w:bCs/>
          <w:lang w:val="en-US" w:eastAsia="fr-FR" w:bidi="he-IL"/>
        </w:rPr>
        <w:t xml:space="preserve"> </w:t>
      </w:r>
      <w:r>
        <w:rPr>
          <w:rFonts w:eastAsia="Arial Unicode MS"/>
          <w:bCs/>
          <w:lang w:val="en-US" w:eastAsia="fr-FR" w:bidi="he-IL"/>
        </w:rPr>
        <w:t xml:space="preserve">XXXVI, </w:t>
      </w:r>
      <w:r w:rsidRPr="00C8701B">
        <w:rPr>
          <w:rFonts w:eastAsia="Arial Unicode MS"/>
          <w:bCs/>
          <w:lang w:val="en-US" w:eastAsia="fr-FR" w:bidi="he-IL"/>
        </w:rPr>
        <w:t>1. Cf.</w:t>
      </w:r>
      <w:r w:rsidRPr="00A74F01">
        <w:rPr>
          <w:rStyle w:val="italicus"/>
          <w:lang w:val="en-US"/>
        </w:rPr>
        <w:t xml:space="preserve"> Serm.</w:t>
      </w:r>
      <w:r w:rsidRPr="00C8701B">
        <w:rPr>
          <w:rFonts w:eastAsia="Arial Unicode MS"/>
          <w:bCs/>
          <w:lang w:val="en-US" w:eastAsia="fr-FR" w:bidi="he-IL"/>
        </w:rPr>
        <w:t xml:space="preserve"> </w:t>
      </w:r>
      <w:r w:rsidRPr="00A74F01">
        <w:rPr>
          <w:rFonts w:eastAsia="Arial Unicode MS"/>
          <w:bCs/>
          <w:lang w:eastAsia="fr-FR" w:bidi="he-IL"/>
        </w:rPr>
        <w:t>CCXXXI, 1.</w:t>
      </w:r>
    </w:p>
  </w:footnote>
  <w:footnote w:id="16">
    <w:p w:rsidR="00941AA6" w:rsidRPr="00933C60" w:rsidRDefault="00941AA6">
      <w:pPr>
        <w:pStyle w:val="Notedebasdepage"/>
      </w:pPr>
      <w:r w:rsidRPr="00C406FF">
        <w:rPr>
          <w:rStyle w:val="Appelnotedebasdep"/>
        </w:rPr>
        <w:footnoteRef/>
      </w:r>
      <w:r w:rsidRPr="00C8701B">
        <w:t xml:space="preserve"> </w:t>
      </w:r>
      <w:r>
        <w:rPr>
          <w:rStyle w:val="italicus"/>
        </w:rPr>
        <w:t>In Luc. Proœm.</w:t>
      </w:r>
    </w:p>
  </w:footnote>
  <w:footnote w:id="17">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Qu</w:t>
      </w:r>
      <w:r>
        <w:rPr>
          <w:rFonts w:eastAsia="Arial Unicode MS"/>
          <w:bCs/>
          <w:lang w:eastAsia="fr-FR" w:bidi="he-IL"/>
        </w:rPr>
        <w:t xml:space="preserve">’il suffise de mentionner les </w:t>
      </w:r>
      <w:r w:rsidRPr="00C8701B">
        <w:rPr>
          <w:rFonts w:eastAsia="Arial Unicode MS"/>
          <w:bCs/>
          <w:lang w:eastAsia="fr-FR" w:bidi="he-IL"/>
        </w:rPr>
        <w:t>plus récents</w:t>
      </w:r>
      <w:r>
        <w:rPr>
          <w:rFonts w:eastAsia="Arial Unicode MS"/>
          <w:bCs/>
          <w:lang w:eastAsia="fr-FR" w:bidi="he-IL"/>
        </w:rPr>
        <w:t>, ce</w:t>
      </w:r>
      <w:r w:rsidRPr="00C8701B">
        <w:rPr>
          <w:rFonts w:eastAsia="Arial Unicode MS"/>
          <w:bCs/>
          <w:lang w:eastAsia="fr-FR" w:bidi="he-IL"/>
        </w:rPr>
        <w:t>ux de Trente</w:t>
      </w:r>
      <w:r>
        <w:rPr>
          <w:rFonts w:eastAsia="Arial Unicode MS"/>
          <w:bCs/>
          <w:lang w:eastAsia="fr-FR" w:bidi="he-IL"/>
        </w:rPr>
        <w:t xml:space="preserve">, Sess. IV, </w:t>
      </w:r>
      <w:r w:rsidRPr="00C8701B">
        <w:rPr>
          <w:rFonts w:eastAsia="Arial Unicode MS"/>
          <w:bCs/>
          <w:lang w:eastAsia="fr-FR" w:bidi="he-IL"/>
        </w:rPr>
        <w:t>et d</w:t>
      </w:r>
      <w:r>
        <w:rPr>
          <w:rFonts w:eastAsia="Arial Unicode MS"/>
          <w:bCs/>
          <w:lang w:eastAsia="fr-FR" w:bidi="he-IL"/>
        </w:rPr>
        <w:t>u Vatican, X</w:t>
      </w:r>
      <w:r w:rsidRPr="00C8701B">
        <w:rPr>
          <w:rFonts w:eastAsia="Arial Unicode MS"/>
          <w:bCs/>
          <w:lang w:eastAsia="fr-FR" w:bidi="he-IL"/>
        </w:rPr>
        <w:t xml:space="preserve"> </w:t>
      </w:r>
      <w:r w:rsidRPr="00DC4586">
        <w:rPr>
          <w:rStyle w:val="italicus"/>
        </w:rPr>
        <w:t>Const. dogm.</w:t>
      </w:r>
      <w:r>
        <w:rPr>
          <w:rStyle w:val="italicus"/>
        </w:rPr>
        <w:t xml:space="preserve">, </w:t>
      </w:r>
      <w:r>
        <w:rPr>
          <w:rFonts w:eastAsia="Arial Unicode MS"/>
          <w:bCs/>
          <w:lang w:eastAsia="fr-FR" w:bidi="he-IL"/>
        </w:rPr>
        <w:t xml:space="preserve">II, </w:t>
      </w:r>
      <w:r w:rsidRPr="00C8701B">
        <w:rPr>
          <w:rFonts w:eastAsia="Arial Unicode MS"/>
          <w:bCs/>
          <w:lang w:eastAsia="fr-FR" w:bidi="he-IL"/>
        </w:rPr>
        <w:t>can. 4.</w:t>
      </w:r>
    </w:p>
  </w:footnote>
  <w:footnote w:id="18">
    <w:p w:rsidR="00941AA6" w:rsidRPr="00933C60" w:rsidRDefault="00941AA6">
      <w:pPr>
        <w:pStyle w:val="Notedebasdepage"/>
      </w:pPr>
      <w:r w:rsidRPr="00C406FF">
        <w:rPr>
          <w:rStyle w:val="Appelnotedebasdep"/>
        </w:rPr>
        <w:footnoteRef/>
      </w:r>
      <w:r w:rsidRPr="00C8701B">
        <w:rPr>
          <w:rFonts w:eastAsia="Arial Unicode MS"/>
          <w:bCs/>
          <w:lang w:eastAsia="fr-FR" w:bidi="he-IL"/>
        </w:rPr>
        <w:t xml:space="preserve"> Les fameuses syzygies</w:t>
      </w:r>
      <w:r>
        <w:rPr>
          <w:rFonts w:eastAsia="Arial Unicode MS"/>
          <w:bCs/>
          <w:lang w:eastAsia="fr-FR" w:bidi="he-IL"/>
        </w:rPr>
        <w:t>, ou couples mystiques. Voyez notre commentaire sur l’</w:t>
      </w:r>
      <w:r w:rsidRPr="00C8701B">
        <w:rPr>
          <w:rFonts w:eastAsia="Arial Unicode MS"/>
          <w:bCs/>
          <w:lang w:eastAsia="fr-FR" w:bidi="he-IL"/>
        </w:rPr>
        <w:t>évangile selon S. Jean</w:t>
      </w:r>
      <w:r>
        <w:rPr>
          <w:rFonts w:eastAsia="Arial Unicode MS"/>
          <w:bCs/>
          <w:lang w:eastAsia="fr-FR" w:bidi="he-IL"/>
        </w:rPr>
        <w:t>, Pari</w:t>
      </w:r>
      <w:r w:rsidRPr="00C8701B">
        <w:rPr>
          <w:rFonts w:eastAsia="Arial Unicode MS"/>
          <w:bCs/>
          <w:lang w:eastAsia="fr-FR" w:bidi="he-IL"/>
        </w:rPr>
        <w:t>s 1887</w:t>
      </w:r>
      <w:r>
        <w:rPr>
          <w:rFonts w:eastAsia="Arial Unicode MS"/>
          <w:bCs/>
          <w:lang w:eastAsia="fr-FR" w:bidi="he-IL"/>
        </w:rPr>
        <w:t xml:space="preserve">, </w:t>
      </w:r>
      <w:r w:rsidRPr="00C8701B">
        <w:rPr>
          <w:rFonts w:eastAsia="Arial Unicode MS"/>
          <w:bCs/>
          <w:lang w:eastAsia="fr-FR" w:bidi="he-IL"/>
        </w:rPr>
        <w:t>p. 4.</w:t>
      </w:r>
    </w:p>
  </w:footnote>
  <w:footnote w:id="19">
    <w:p w:rsidR="00941AA6" w:rsidRPr="00933C60" w:rsidRDefault="00941AA6" w:rsidP="0021458E">
      <w:pPr>
        <w:pStyle w:val="Notedebasdepage"/>
      </w:pPr>
      <w:r w:rsidRPr="00C406FF">
        <w:rPr>
          <w:rStyle w:val="Appelnotedebasdep"/>
        </w:rPr>
        <w:footnoteRef/>
      </w:r>
      <w:r w:rsidRPr="00C8701B">
        <w:rPr>
          <w:lang w:val="en-US"/>
        </w:rPr>
        <w:t xml:space="preserve"> </w:t>
      </w:r>
      <w:r w:rsidRPr="00A74F01">
        <w:rPr>
          <w:rStyle w:val="italicus"/>
          <w:lang w:val="en-US"/>
        </w:rPr>
        <w:t>Hom.</w:t>
      </w:r>
      <w:r w:rsidRPr="00C8701B">
        <w:rPr>
          <w:bCs/>
          <w:lang w:val="en-US"/>
        </w:rPr>
        <w:t xml:space="preserve"> </w:t>
      </w:r>
      <w:r>
        <w:rPr>
          <w:bCs/>
          <w:lang w:val="en-US"/>
        </w:rPr>
        <w:t>I</w:t>
      </w:r>
      <w:r w:rsidRPr="00A74F01">
        <w:rPr>
          <w:rStyle w:val="italicus"/>
          <w:lang w:val="en-US"/>
        </w:rPr>
        <w:t xml:space="preserve"> in Luc.</w:t>
      </w:r>
    </w:p>
  </w:footnote>
  <w:footnote w:id="20">
    <w:p w:rsidR="00941AA6" w:rsidRPr="00933C60" w:rsidRDefault="00941AA6">
      <w:pPr>
        <w:pStyle w:val="Notedebasdepage"/>
      </w:pPr>
      <w:r w:rsidRPr="00C406FF">
        <w:rPr>
          <w:rStyle w:val="Appelnotedebasdep"/>
        </w:rPr>
        <w:footnoteRef/>
      </w:r>
      <w:r w:rsidRPr="00C8701B">
        <w:rPr>
          <w:rFonts w:eastAsia="Arial Unicode MS"/>
          <w:lang w:val="en-US" w:eastAsia="fr-FR" w:bidi="he-IL"/>
        </w:rPr>
        <w:t xml:space="preserve"> </w:t>
      </w:r>
      <w:r w:rsidRPr="00A74F01">
        <w:rPr>
          <w:rStyle w:val="italicus"/>
          <w:lang w:val="en-US"/>
        </w:rPr>
        <w:t>In Jos. hom. VII,</w:t>
      </w:r>
      <w:r w:rsidRPr="00A74F01">
        <w:rPr>
          <w:lang w:val="en-US"/>
        </w:rPr>
        <w:t xml:space="preserve"> 1.</w:t>
      </w:r>
    </w:p>
  </w:footnote>
  <w:footnote w:id="21">
    <w:p w:rsidR="00941AA6" w:rsidRPr="00933C60" w:rsidRDefault="00941AA6">
      <w:pPr>
        <w:pStyle w:val="Notedebasdepage"/>
      </w:pPr>
      <w:r w:rsidRPr="00C406FF">
        <w:rPr>
          <w:rStyle w:val="Appelnotedebasdep"/>
        </w:rPr>
        <w:footnoteRef/>
      </w:r>
      <w:r w:rsidRPr="00EA28F4">
        <w:t xml:space="preserve"> Ou encore, cette énergique parole citée par </w:t>
      </w:r>
      <w:r w:rsidRPr="00A74F01">
        <w:rPr>
          <w:rFonts w:eastAsia="Arial Unicode MS"/>
          <w:bCs/>
          <w:lang w:val="en-US" w:eastAsia="fr-FR" w:bidi="he-IL"/>
        </w:rPr>
        <w:t xml:space="preserve">Eusèbe, </w:t>
      </w:r>
      <w:r w:rsidRPr="00A74F01">
        <w:rPr>
          <w:rStyle w:val="italicus"/>
          <w:lang w:val="en-US"/>
        </w:rPr>
        <w:t>Hist. eccl.,</w:t>
      </w:r>
      <w:r w:rsidRPr="00A74F01">
        <w:rPr>
          <w:lang w:val="en-US"/>
        </w:rPr>
        <w:t xml:space="preserve"> </w:t>
      </w:r>
      <w:r>
        <w:rPr>
          <w:lang w:val="en-US"/>
        </w:rPr>
        <w:t>VI</w:t>
      </w:r>
      <w:r w:rsidRPr="00A74F01">
        <w:rPr>
          <w:rFonts w:eastAsia="Arial Unicode MS"/>
          <w:bCs/>
          <w:lang w:val="en-US" w:eastAsia="fr-FR" w:bidi="he-IL"/>
        </w:rPr>
        <w:t xml:space="preserve">, 23 : </w:t>
      </w:r>
      <w:r w:rsidRPr="00AA7E0E">
        <w:t>Μ</w:t>
      </w:r>
      <w:r>
        <w:t>ό</w:t>
      </w:r>
      <w:r w:rsidRPr="00AA7E0E">
        <w:t>ν</w:t>
      </w:r>
      <w:r>
        <w:t>α</w:t>
      </w:r>
      <w:r w:rsidRPr="00A74F01">
        <w:rPr>
          <w:lang w:val="en-US"/>
        </w:rPr>
        <w:t xml:space="preserve"> </w:t>
      </w:r>
      <w:r w:rsidRPr="00AA7E0E">
        <w:t>ἀν</w:t>
      </w:r>
      <w:r>
        <w:t>α</w:t>
      </w:r>
      <w:r w:rsidRPr="00AA7E0E">
        <w:t>ντ</w:t>
      </w:r>
      <w:r>
        <w:t>ί</w:t>
      </w:r>
      <w:r w:rsidRPr="00AA7E0E">
        <w:t>ῤῥητ</w:t>
      </w:r>
      <w:r>
        <w:t>ά</w:t>
      </w:r>
      <w:r w:rsidRPr="00A74F01">
        <w:rPr>
          <w:lang w:val="en-US"/>
        </w:rPr>
        <w:t xml:space="preserve"> </w:t>
      </w:r>
      <w:r w:rsidRPr="00AA7E0E">
        <w:t>ἐστιν</w:t>
      </w:r>
      <w:r w:rsidRPr="00A74F01">
        <w:rPr>
          <w:lang w:val="en-US"/>
        </w:rPr>
        <w:t xml:space="preserve"> </w:t>
      </w:r>
      <w:r w:rsidRPr="00AA7E0E">
        <w:t>ἐν</w:t>
      </w:r>
      <w:r w:rsidRPr="00A74F01">
        <w:rPr>
          <w:lang w:val="en-US"/>
        </w:rPr>
        <w:t xml:space="preserve"> </w:t>
      </w:r>
      <w:r w:rsidRPr="00AA7E0E">
        <w:t>τῇ</w:t>
      </w:r>
      <w:r w:rsidRPr="00A74F01">
        <w:rPr>
          <w:lang w:val="en-US"/>
        </w:rPr>
        <w:t xml:space="preserve"> </w:t>
      </w:r>
      <w:r w:rsidRPr="00AA7E0E">
        <w:t>ὑπὸ</w:t>
      </w:r>
      <w:r w:rsidRPr="00A74F01">
        <w:rPr>
          <w:lang w:val="en-US"/>
        </w:rPr>
        <w:t xml:space="preserve"> </w:t>
      </w:r>
      <w:r w:rsidRPr="00AA7E0E">
        <w:t>τὸν</w:t>
      </w:r>
      <w:r w:rsidRPr="00A74F01">
        <w:rPr>
          <w:lang w:val="en-US"/>
        </w:rPr>
        <w:t xml:space="preserve"> </w:t>
      </w:r>
      <w:r w:rsidRPr="00AA7E0E">
        <w:t>οὐρ</w:t>
      </w:r>
      <w:r>
        <w:t>α</w:t>
      </w:r>
      <w:r w:rsidRPr="00AA7E0E">
        <w:t>ν</w:t>
      </w:r>
      <w:r>
        <w:t>ό</w:t>
      </w:r>
      <w:r w:rsidRPr="00AA7E0E">
        <w:t>ν</w:t>
      </w:r>
      <w:r w:rsidRPr="00A74F01">
        <w:rPr>
          <w:lang w:val="en-US"/>
        </w:rPr>
        <w:t xml:space="preserve"> </w:t>
      </w:r>
      <w:r w:rsidRPr="00AA7E0E">
        <w:t>ἐκκλησ</w:t>
      </w:r>
      <w:r>
        <w:t>ί</w:t>
      </w:r>
      <w:r w:rsidRPr="00AA7E0E">
        <w:t>ᾳ</w:t>
      </w:r>
      <w:r w:rsidRPr="00A74F01">
        <w:rPr>
          <w:lang w:val="en-US"/>
        </w:rPr>
        <w:t xml:space="preserve"> </w:t>
      </w:r>
      <w:r w:rsidRPr="00AA7E0E">
        <w:t>τοῦ</w:t>
      </w:r>
      <w:r w:rsidRPr="00A74F01">
        <w:rPr>
          <w:lang w:val="en-US"/>
        </w:rPr>
        <w:t xml:space="preserve"> </w:t>
      </w:r>
      <w:r w:rsidRPr="00AA7E0E">
        <w:t>Θ</w:t>
      </w:r>
      <w:r>
        <w:t>εοῦ</w:t>
      </w:r>
      <w:r w:rsidRPr="00A74F01">
        <w:rPr>
          <w:lang w:val="en-US"/>
        </w:rPr>
        <w:t>.</w:t>
      </w:r>
    </w:p>
  </w:footnote>
  <w:footnote w:id="22">
    <w:p w:rsidR="00941AA6" w:rsidRPr="00933C60" w:rsidRDefault="00941AA6">
      <w:pPr>
        <w:pStyle w:val="Notedebasdepage"/>
      </w:pPr>
      <w:r w:rsidRPr="00C406FF">
        <w:rPr>
          <w:rStyle w:val="Appelnotedebasdep"/>
        </w:rPr>
        <w:footnoteRef/>
      </w:r>
      <w:r w:rsidRPr="00C8701B">
        <w:rPr>
          <w:rFonts w:eastAsia="Arial Unicode MS"/>
          <w:bCs/>
          <w:lang w:val="en-US" w:eastAsia="fr-FR" w:bidi="he-IL"/>
        </w:rPr>
        <w:t xml:space="preserve"> </w:t>
      </w:r>
      <w:r w:rsidRPr="00A74F01">
        <w:rPr>
          <w:lang w:val="en-US"/>
        </w:rPr>
        <w:t>Eusèbe</w:t>
      </w:r>
      <w:r>
        <w:rPr>
          <w:rFonts w:eastAsia="Arial Unicode MS"/>
          <w:bCs/>
          <w:lang w:val="en-US" w:eastAsia="fr-FR" w:bidi="he-IL"/>
        </w:rPr>
        <w:t xml:space="preserve">, </w:t>
      </w:r>
      <w:r w:rsidRPr="00A74F01">
        <w:rPr>
          <w:rStyle w:val="italicus"/>
          <w:lang w:val="en-US"/>
        </w:rPr>
        <w:t>Hist. eccl.,</w:t>
      </w:r>
      <w:r w:rsidRPr="00A74F01">
        <w:rPr>
          <w:lang w:val="en-US"/>
        </w:rPr>
        <w:t xml:space="preserve"> </w:t>
      </w:r>
      <w:r>
        <w:rPr>
          <w:lang w:val="en-US"/>
        </w:rPr>
        <w:t>VI</w:t>
      </w:r>
      <w:r w:rsidRPr="00A74F01">
        <w:rPr>
          <w:lang w:val="en-US"/>
        </w:rPr>
        <w:t>, 14</w:t>
      </w:r>
      <w:r>
        <w:rPr>
          <w:lang w:val="en-US"/>
        </w:rPr>
        <w:t>.</w:t>
      </w:r>
    </w:p>
  </w:footnote>
  <w:footnote w:id="23">
    <w:p w:rsidR="00941AA6" w:rsidRPr="00933C60" w:rsidRDefault="00941AA6" w:rsidP="0021458E">
      <w:pPr>
        <w:pStyle w:val="Notedebasdepage"/>
      </w:pPr>
      <w:r w:rsidRPr="00C406FF">
        <w:rPr>
          <w:rStyle w:val="Appelnotedebasdep"/>
        </w:rPr>
        <w:footnoteRef/>
      </w:r>
      <w:r w:rsidRPr="00C8701B">
        <w:rPr>
          <w:rFonts w:eastAsia="Arial Unicode MS"/>
          <w:lang w:val="en-US" w:eastAsia="fr-FR" w:bidi="he-IL"/>
        </w:rPr>
        <w:t xml:space="preserve"> </w:t>
      </w:r>
      <w:r w:rsidRPr="00A74F01">
        <w:rPr>
          <w:rStyle w:val="italicus"/>
          <w:lang w:val="en-US"/>
        </w:rPr>
        <w:t xml:space="preserve">Strom., </w:t>
      </w:r>
      <w:r w:rsidRPr="00C8701B">
        <w:rPr>
          <w:rFonts w:eastAsia="Arial Unicode MS"/>
          <w:bCs/>
          <w:lang w:val="en-US" w:eastAsia="fr-FR" w:bidi="he-IL"/>
        </w:rPr>
        <w:t>III</w:t>
      </w:r>
      <w:r>
        <w:rPr>
          <w:rFonts w:eastAsia="Arial Unicode MS"/>
          <w:bCs/>
          <w:lang w:val="en-US" w:eastAsia="fr-FR" w:bidi="he-IL"/>
        </w:rPr>
        <w:t>, 13.</w:t>
      </w:r>
    </w:p>
  </w:footnote>
  <w:footnote w:id="24">
    <w:p w:rsidR="00941AA6" w:rsidRPr="00933C60" w:rsidRDefault="00941AA6">
      <w:pPr>
        <w:pStyle w:val="Notedebasdepage"/>
      </w:pPr>
      <w:r w:rsidRPr="00C406FF">
        <w:rPr>
          <w:rStyle w:val="Appelnotedebasdep"/>
        </w:rPr>
        <w:footnoteRef/>
      </w:r>
      <w:r w:rsidRPr="008A667C">
        <w:rPr>
          <w:lang w:val="en-GB"/>
        </w:rPr>
        <w:t xml:space="preserve"> </w:t>
      </w:r>
      <w:r w:rsidRPr="008A667C">
        <w:rPr>
          <w:rStyle w:val="italicus"/>
          <w:lang w:val="en-GB"/>
        </w:rPr>
        <w:t xml:space="preserve">Contr. </w:t>
      </w:r>
      <w:r w:rsidRPr="00DC4586">
        <w:rPr>
          <w:rStyle w:val="italicus"/>
        </w:rPr>
        <w:t>Marc.</w:t>
      </w:r>
      <w:r>
        <w:rPr>
          <w:rStyle w:val="italicus"/>
        </w:rPr>
        <w:t xml:space="preserve">, </w:t>
      </w:r>
      <w:r w:rsidRPr="00A74F01">
        <w:rPr>
          <w:bCs/>
        </w:rPr>
        <w:t>IV, 2, 5.</w:t>
      </w:r>
    </w:p>
  </w:footnote>
  <w:footnote w:id="25">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F. Vigouroux</w:t>
      </w:r>
      <w:r>
        <w:rPr>
          <w:rFonts w:eastAsia="Arial Unicode MS"/>
          <w:bCs/>
          <w:lang w:eastAsia="fr-FR" w:bidi="he-IL"/>
        </w:rPr>
        <w:t xml:space="preserve">, </w:t>
      </w:r>
      <w:r w:rsidRPr="00DC4586">
        <w:rPr>
          <w:rStyle w:val="italicus"/>
        </w:rPr>
        <w:t>Manuel biblique</w:t>
      </w:r>
      <w:r>
        <w:rPr>
          <w:rStyle w:val="italicus"/>
        </w:rPr>
        <w:t xml:space="preserve">, </w:t>
      </w:r>
      <w:r>
        <w:rPr>
          <w:rFonts w:eastAsia="Arial Unicode MS"/>
          <w:bCs/>
          <w:lang w:eastAsia="fr-FR" w:bidi="he-IL"/>
        </w:rPr>
        <w:t>t</w:t>
      </w:r>
      <w:r w:rsidRPr="00C8701B">
        <w:rPr>
          <w:rFonts w:eastAsia="Arial Unicode MS"/>
          <w:bCs/>
          <w:lang w:eastAsia="fr-FR" w:bidi="he-IL"/>
        </w:rPr>
        <w:t>.</w:t>
      </w:r>
      <w:r>
        <w:rPr>
          <w:rFonts w:eastAsia="Arial Unicode MS"/>
          <w:bCs/>
          <w:lang w:eastAsia="fr-FR" w:bidi="he-IL"/>
        </w:rPr>
        <w:t xml:space="preserve"> I, </w:t>
      </w:r>
      <w:r w:rsidRPr="00C8701B">
        <w:rPr>
          <w:rFonts w:eastAsia="Arial Unicode MS"/>
          <w:bCs/>
          <w:lang w:eastAsia="fr-FR" w:bidi="he-IL"/>
        </w:rPr>
        <w:t>nn. 122</w:t>
      </w:r>
      <w:r>
        <w:rPr>
          <w:rFonts w:eastAsia="Arial Unicode MS"/>
          <w:bCs/>
          <w:lang w:eastAsia="fr-FR" w:bidi="he-IL"/>
        </w:rPr>
        <w:t>, 125</w:t>
      </w:r>
      <w:r w:rsidRPr="00C8701B">
        <w:rPr>
          <w:rFonts w:eastAsia="Arial Unicode MS"/>
          <w:bCs/>
          <w:lang w:eastAsia="fr-FR" w:bidi="he-IL"/>
        </w:rPr>
        <w:t>.</w:t>
      </w:r>
    </w:p>
  </w:footnote>
  <w:footnote w:id="26">
    <w:p w:rsidR="00941AA6" w:rsidRPr="00933C60" w:rsidRDefault="00941AA6">
      <w:pPr>
        <w:pStyle w:val="Notedebasdepage"/>
      </w:pPr>
      <w:r w:rsidRPr="00C406FF">
        <w:rPr>
          <w:rStyle w:val="Appelnotedebasdep"/>
        </w:rPr>
        <w:footnoteRef/>
      </w:r>
      <w:r w:rsidRPr="008A667C">
        <w:rPr>
          <w:rFonts w:eastAsia="Arial Unicode MS"/>
          <w:lang w:val="de-AT" w:eastAsia="fr-FR" w:bidi="he-IL"/>
        </w:rPr>
        <w:t xml:space="preserve"> </w:t>
      </w:r>
      <w:r w:rsidRPr="008A667C">
        <w:rPr>
          <w:rFonts w:eastAsia="Arial Unicode MS"/>
          <w:bCs/>
          <w:lang w:val="de-AT" w:eastAsia="fr-FR" w:bidi="he-IL"/>
        </w:rPr>
        <w:t xml:space="preserve">Voyez Eusèbe, </w:t>
      </w:r>
      <w:r w:rsidRPr="008A667C">
        <w:rPr>
          <w:rStyle w:val="italicus"/>
          <w:lang w:val="de-AT"/>
        </w:rPr>
        <w:t>Hist. eccl.</w:t>
      </w:r>
      <w:r w:rsidRPr="008A667C">
        <w:rPr>
          <w:rFonts w:eastAsia="Arial Unicode MS"/>
          <w:bCs/>
          <w:lang w:val="de-AT" w:eastAsia="fr-FR" w:bidi="he-IL"/>
        </w:rPr>
        <w:t xml:space="preserve">, IV, 29 ; T. Zahn, </w:t>
      </w:r>
      <w:r w:rsidRPr="008A667C">
        <w:rPr>
          <w:rStyle w:val="italicus"/>
          <w:lang w:val="de-AT"/>
        </w:rPr>
        <w:t xml:space="preserve">Forschungen zur Geschichte des neutestamentl. </w:t>
      </w:r>
      <w:r w:rsidRPr="00DC4586">
        <w:rPr>
          <w:rStyle w:val="italicus"/>
        </w:rPr>
        <w:t>Kanons</w:t>
      </w:r>
      <w:r>
        <w:rPr>
          <w:rStyle w:val="italicus"/>
        </w:rPr>
        <w:t xml:space="preserve">, </w:t>
      </w:r>
      <w:r>
        <w:rPr>
          <w:rFonts w:eastAsia="Arial Unicode MS"/>
          <w:bCs/>
          <w:lang w:eastAsia="fr-FR" w:bidi="he-IL"/>
        </w:rPr>
        <w:t xml:space="preserve">t. I, </w:t>
      </w:r>
      <w:r w:rsidRPr="00DC4586">
        <w:rPr>
          <w:rStyle w:val="italicus"/>
        </w:rPr>
        <w:t>Tatian</w:t>
      </w:r>
      <w:r>
        <w:rPr>
          <w:rStyle w:val="italicus"/>
        </w:rPr>
        <w:t>’</w:t>
      </w:r>
      <w:r w:rsidRPr="00DC4586">
        <w:rPr>
          <w:rStyle w:val="italicus"/>
        </w:rPr>
        <w:t>s Diatessaron</w:t>
      </w:r>
      <w:r>
        <w:rPr>
          <w:rStyle w:val="italicus"/>
        </w:rPr>
        <w:t xml:space="preserve">, </w:t>
      </w:r>
      <w:r>
        <w:rPr>
          <w:rFonts w:eastAsia="Arial Unicode MS"/>
          <w:bCs/>
          <w:lang w:eastAsia="fr-FR" w:bidi="he-IL"/>
        </w:rPr>
        <w:t>Erlange</w:t>
      </w:r>
      <w:r w:rsidRPr="00C8701B">
        <w:rPr>
          <w:rFonts w:eastAsia="Arial Unicode MS"/>
          <w:bCs/>
          <w:lang w:eastAsia="fr-FR" w:bidi="he-IL"/>
        </w:rPr>
        <w:t>n</w:t>
      </w:r>
      <w:r>
        <w:rPr>
          <w:rFonts w:eastAsia="Arial Unicode MS"/>
          <w:bCs/>
          <w:lang w:eastAsia="fr-FR" w:bidi="he-IL"/>
        </w:rPr>
        <w:t xml:space="preserve">, </w:t>
      </w:r>
      <w:r w:rsidRPr="00C8701B">
        <w:rPr>
          <w:rFonts w:eastAsia="Arial Unicode MS"/>
          <w:bCs/>
          <w:lang w:eastAsia="fr-FR" w:bidi="he-IL"/>
        </w:rPr>
        <w:t>1881.</w:t>
      </w:r>
    </w:p>
  </w:footnote>
  <w:footnote w:id="27">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Pr>
          <w:rFonts w:eastAsia="Arial Unicode MS"/>
          <w:bCs/>
          <w:lang w:eastAsia="fr-FR" w:bidi="he-IL"/>
        </w:rPr>
        <w:t>S. Jérôme parle aussi d’une</w:t>
      </w:r>
      <w:r w:rsidRPr="00C8701B">
        <w:rPr>
          <w:rFonts w:eastAsia="Arial Unicode MS"/>
          <w:bCs/>
          <w:lang w:eastAsia="fr-FR" w:bidi="he-IL"/>
        </w:rPr>
        <w:t xml:space="preserve"> autre harmonie évangélique</w:t>
      </w:r>
      <w:r>
        <w:rPr>
          <w:rFonts w:eastAsia="Arial Unicode MS"/>
          <w:bCs/>
          <w:lang w:eastAsia="fr-FR" w:bidi="he-IL"/>
        </w:rPr>
        <w:t xml:space="preserve">, </w:t>
      </w:r>
      <w:r w:rsidRPr="00C8701B">
        <w:rPr>
          <w:rFonts w:eastAsia="Arial Unicode MS"/>
          <w:bCs/>
          <w:lang w:eastAsia="fr-FR" w:bidi="he-IL"/>
        </w:rPr>
        <w:t>composée pareillement au milieu du second siècle par S. Théophile</w:t>
      </w:r>
      <w:r>
        <w:rPr>
          <w:rFonts w:eastAsia="Arial Unicode MS"/>
          <w:bCs/>
          <w:lang w:eastAsia="fr-FR" w:bidi="he-IL"/>
        </w:rPr>
        <w:t xml:space="preserve">, </w:t>
      </w:r>
      <w:r w:rsidRPr="00C8701B">
        <w:rPr>
          <w:rFonts w:eastAsia="Arial Unicode MS"/>
          <w:bCs/>
          <w:lang w:eastAsia="fr-FR" w:bidi="he-IL"/>
        </w:rPr>
        <w:t>évêque d</w:t>
      </w:r>
      <w:r>
        <w:rPr>
          <w:rFonts w:eastAsia="Arial Unicode MS"/>
          <w:bCs/>
          <w:lang w:eastAsia="fr-FR" w:bidi="he-IL"/>
        </w:rPr>
        <w:t>’</w:t>
      </w:r>
      <w:r w:rsidRPr="00C8701B">
        <w:rPr>
          <w:rFonts w:eastAsia="Arial Unicode MS"/>
          <w:bCs/>
          <w:lang w:eastAsia="fr-FR" w:bidi="he-IL"/>
        </w:rPr>
        <w:t>Antioche : « </w:t>
      </w:r>
      <w:r>
        <w:rPr>
          <w:rFonts w:eastAsia="Arial Unicode MS"/>
          <w:bCs/>
          <w:lang w:eastAsia="fr-FR" w:bidi="he-IL"/>
        </w:rPr>
        <w:t>Quátuor</w:t>
      </w:r>
      <w:r w:rsidRPr="00C8701B">
        <w:rPr>
          <w:rFonts w:eastAsia="Arial Unicode MS"/>
          <w:bCs/>
          <w:lang w:eastAsia="fr-FR" w:bidi="he-IL"/>
        </w:rPr>
        <w:t xml:space="preserve"> evangelist</w:t>
      </w:r>
      <w:r>
        <w:rPr>
          <w:rFonts w:eastAsia="Arial Unicode MS"/>
          <w:bCs/>
          <w:lang w:eastAsia="fr-FR" w:bidi="he-IL"/>
        </w:rPr>
        <w:t>árum in unum opus dicta compí</w:t>
      </w:r>
      <w:r w:rsidRPr="00C8701B">
        <w:rPr>
          <w:rFonts w:eastAsia="Arial Unicode MS"/>
          <w:bCs/>
          <w:lang w:eastAsia="fr-FR" w:bidi="he-IL"/>
        </w:rPr>
        <w:t>ngens</w:t>
      </w:r>
      <w:r>
        <w:rPr>
          <w:rFonts w:eastAsia="Arial Unicode MS"/>
          <w:bCs/>
          <w:lang w:eastAsia="fr-FR" w:bidi="he-IL"/>
        </w:rPr>
        <w:t>, ingénu</w:t>
      </w:r>
      <w:r w:rsidRPr="00C8701B">
        <w:rPr>
          <w:rFonts w:eastAsia="Arial Unicode MS"/>
          <w:bCs/>
          <w:lang w:eastAsia="fr-FR" w:bidi="he-IL"/>
        </w:rPr>
        <w:t xml:space="preserve"> sui nobis monum</w:t>
      </w:r>
      <w:r>
        <w:rPr>
          <w:rFonts w:eastAsia="Arial Unicode MS"/>
          <w:bCs/>
          <w:lang w:eastAsia="fr-FR" w:bidi="he-IL"/>
        </w:rPr>
        <w:t>é</w:t>
      </w:r>
      <w:r w:rsidRPr="00C8701B">
        <w:rPr>
          <w:rFonts w:eastAsia="Arial Unicode MS"/>
          <w:bCs/>
          <w:lang w:eastAsia="fr-FR" w:bidi="he-IL"/>
        </w:rPr>
        <w:t>ntum relíquit. »</w:t>
      </w:r>
      <w:r w:rsidRPr="00DC4586">
        <w:rPr>
          <w:rStyle w:val="italicus"/>
        </w:rPr>
        <w:t xml:space="preserve"> Ad Algas.</w:t>
      </w:r>
      <w:r>
        <w:rPr>
          <w:rStyle w:val="italicus"/>
        </w:rPr>
        <w:t xml:space="preserve">, </w:t>
      </w:r>
      <w:r w:rsidRPr="00F8578E">
        <w:t>ep</w:t>
      </w:r>
      <w:r w:rsidRPr="00C8701B">
        <w:rPr>
          <w:rFonts w:eastAsia="Arial Unicode MS"/>
          <w:bCs/>
          <w:lang w:eastAsia="fr-FR" w:bidi="he-IL"/>
        </w:rPr>
        <w:t xml:space="preserve">. </w:t>
      </w:r>
      <w:r>
        <w:rPr>
          <w:rFonts w:eastAsia="Arial Unicode MS"/>
          <w:bCs/>
          <w:lang w:eastAsia="fr-FR" w:bidi="he-IL"/>
        </w:rPr>
        <w:t>CXXI, 6</w:t>
      </w:r>
      <w:r w:rsidRPr="00C8701B">
        <w:rPr>
          <w:rFonts w:eastAsia="Arial Unicode MS"/>
          <w:bCs/>
          <w:lang w:val="el-GR" w:eastAsia="fr-FR" w:bidi="he-IL"/>
        </w:rPr>
        <w:t xml:space="preserve">. </w:t>
      </w:r>
      <w:r w:rsidRPr="00C8701B">
        <w:rPr>
          <w:rFonts w:eastAsia="Arial Unicode MS"/>
          <w:bCs/>
          <w:lang w:eastAsia="fr-FR" w:bidi="he-IL"/>
        </w:rPr>
        <w:t>Cf.</w:t>
      </w:r>
      <w:r w:rsidRPr="00DC4586">
        <w:rPr>
          <w:rStyle w:val="italicus"/>
        </w:rPr>
        <w:t xml:space="preserve"> De</w:t>
      </w:r>
      <w:r>
        <w:rPr>
          <w:rStyle w:val="italicus"/>
        </w:rPr>
        <w:t xml:space="preserve"> </w:t>
      </w:r>
      <w:r w:rsidRPr="00DC4586">
        <w:rPr>
          <w:rStyle w:val="italicus"/>
        </w:rPr>
        <w:t>vir. illustr.</w:t>
      </w:r>
      <w:r>
        <w:rPr>
          <w:rStyle w:val="italicus"/>
        </w:rPr>
        <w:t xml:space="preserve">, </w:t>
      </w:r>
      <w:r w:rsidRPr="00C8701B">
        <w:rPr>
          <w:rFonts w:eastAsia="Arial Unicode MS"/>
          <w:bCs/>
          <w:lang w:eastAsia="fr-FR" w:bidi="he-IL"/>
        </w:rPr>
        <w:t>25.</w:t>
      </w:r>
    </w:p>
  </w:footnote>
  <w:footnote w:id="28">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notre commentaire</w:t>
      </w:r>
      <w:r>
        <w:rPr>
          <w:rFonts w:eastAsia="Arial Unicode MS"/>
          <w:bCs/>
          <w:lang w:eastAsia="fr-FR" w:bidi="he-IL"/>
        </w:rPr>
        <w:t xml:space="preserve">, </w:t>
      </w:r>
      <w:r w:rsidRPr="00C8701B">
        <w:rPr>
          <w:rFonts w:eastAsia="Arial Unicode MS"/>
          <w:bCs/>
          <w:lang w:eastAsia="fr-FR" w:bidi="he-IL"/>
        </w:rPr>
        <w:t>p. 27.</w:t>
      </w:r>
    </w:p>
  </w:footnote>
  <w:footnote w:id="29">
    <w:p w:rsidR="00941AA6" w:rsidRPr="00933C60" w:rsidRDefault="00941AA6">
      <w:pPr>
        <w:pStyle w:val="Notedebasdepage"/>
      </w:pPr>
      <w:r w:rsidRPr="00C406FF">
        <w:rPr>
          <w:rStyle w:val="Appelnotedebasdep"/>
        </w:rPr>
        <w:footnoteRef/>
      </w:r>
      <w:r w:rsidRPr="00C8701B">
        <w:rPr>
          <w:lang w:eastAsia="fr-FR" w:bidi="he-IL"/>
        </w:rPr>
        <w:t xml:space="preserve"> Voyez le § XIV.</w:t>
      </w:r>
    </w:p>
  </w:footnote>
  <w:footnote w:id="30">
    <w:p w:rsidR="00941AA6" w:rsidRPr="00933C60" w:rsidRDefault="00941AA6">
      <w:pPr>
        <w:pStyle w:val="Notedebasdepage"/>
      </w:pPr>
      <w:r w:rsidRPr="00C406FF">
        <w:rPr>
          <w:rStyle w:val="Appelnotedebasdep"/>
        </w:rPr>
        <w:footnoteRef/>
      </w:r>
      <w:r w:rsidRPr="00C8701B">
        <w:t xml:space="preserve"> </w:t>
      </w:r>
      <w:r w:rsidRPr="00DC4586">
        <w:rPr>
          <w:rStyle w:val="italicus"/>
        </w:rPr>
        <w:t xml:space="preserve">Contr. </w:t>
      </w:r>
      <w:r>
        <w:rPr>
          <w:rStyle w:val="italicus"/>
        </w:rPr>
        <w:t>hær.</w:t>
      </w:r>
      <w:r>
        <w:t xml:space="preserve">, III, </w:t>
      </w:r>
      <w:r w:rsidRPr="00C8701B">
        <w:t>11</w:t>
      </w:r>
      <w:r>
        <w:t xml:space="preserve">, </w:t>
      </w:r>
      <w:r w:rsidRPr="00C8701B">
        <w:t xml:space="preserve">8. </w:t>
      </w:r>
      <w:r w:rsidRPr="00C8701B">
        <w:rPr>
          <w:lang w:val="en-US"/>
        </w:rPr>
        <w:t>Comp. Orig.</w:t>
      </w:r>
      <w:r w:rsidRPr="00A74F01">
        <w:rPr>
          <w:rStyle w:val="italicus"/>
          <w:lang w:val="en-US"/>
        </w:rPr>
        <w:t xml:space="preserve"> In Joan.</w:t>
      </w:r>
      <w:r>
        <w:rPr>
          <w:lang w:val="en-US"/>
        </w:rPr>
        <w:t xml:space="preserve">, </w:t>
      </w:r>
      <w:r w:rsidRPr="00C8701B">
        <w:rPr>
          <w:lang w:val="en-US"/>
        </w:rPr>
        <w:t>tom.</w:t>
      </w:r>
      <w:r>
        <w:rPr>
          <w:lang w:val="en-US"/>
        </w:rPr>
        <w:t xml:space="preserve"> I, </w:t>
      </w:r>
      <w:r w:rsidRPr="00C8701B">
        <w:rPr>
          <w:lang w:val="en-US"/>
        </w:rPr>
        <w:t>6</w:t>
      </w:r>
      <w:r>
        <w:rPr>
          <w:lang w:val="en-US"/>
        </w:rPr>
        <w:t xml:space="preserve">, </w:t>
      </w:r>
      <w:r w:rsidRPr="00C8701B">
        <w:rPr>
          <w:lang w:val="en-US"/>
        </w:rPr>
        <w:t>et</w:t>
      </w:r>
      <w:r w:rsidRPr="00A74F01">
        <w:rPr>
          <w:rStyle w:val="italicus"/>
          <w:lang w:val="en-US"/>
        </w:rPr>
        <w:t xml:space="preserve"> </w:t>
      </w:r>
      <w:r>
        <w:rPr>
          <w:rStyle w:val="italicus"/>
          <w:lang w:val="en-US"/>
        </w:rPr>
        <w:t xml:space="preserve">Hom. I </w:t>
      </w:r>
      <w:r w:rsidRPr="00A74F01">
        <w:rPr>
          <w:rStyle w:val="italicus"/>
          <w:lang w:val="en-US"/>
        </w:rPr>
        <w:t>in Luc.</w:t>
      </w:r>
    </w:p>
  </w:footnote>
  <w:footnote w:id="31">
    <w:p w:rsidR="00941AA6" w:rsidRPr="00933C60" w:rsidRDefault="00941AA6">
      <w:pPr>
        <w:pStyle w:val="Notedebasdepage"/>
      </w:pPr>
      <w:r w:rsidRPr="00C406FF">
        <w:rPr>
          <w:rStyle w:val="Appelnotedebasdep"/>
        </w:rPr>
        <w:footnoteRef/>
      </w:r>
      <w:r w:rsidRPr="00C8701B">
        <w:rPr>
          <w:lang w:val="en-US"/>
        </w:rPr>
        <w:t xml:space="preserve"> S. Cypr.</w:t>
      </w:r>
      <w:r>
        <w:rPr>
          <w:lang w:val="en-US"/>
        </w:rPr>
        <w:t xml:space="preserve">, </w:t>
      </w:r>
      <w:r>
        <w:rPr>
          <w:rStyle w:val="italicus"/>
          <w:lang w:val="en-GB"/>
        </w:rPr>
        <w:t>Epist.</w:t>
      </w:r>
      <w:r w:rsidRPr="00116664">
        <w:rPr>
          <w:rStyle w:val="italicus"/>
          <w:lang w:val="en-GB"/>
        </w:rPr>
        <w:t xml:space="preserve"> ad Jubaian., </w:t>
      </w:r>
      <w:r w:rsidRPr="00C8701B">
        <w:rPr>
          <w:lang w:val="en-US"/>
        </w:rPr>
        <w:t>10 </w:t>
      </w:r>
      <w:r>
        <w:rPr>
          <w:lang w:val="en-US"/>
        </w:rPr>
        <w:t xml:space="preserve">; </w:t>
      </w:r>
      <w:r w:rsidRPr="00C8701B">
        <w:rPr>
          <w:lang w:val="en-US"/>
        </w:rPr>
        <w:t xml:space="preserve">S. </w:t>
      </w:r>
      <w:r w:rsidRPr="00A74F01">
        <w:rPr>
          <w:lang w:val="en-US"/>
        </w:rPr>
        <w:t>Jérôme,</w:t>
      </w:r>
      <w:r>
        <w:rPr>
          <w:lang w:val="en-US"/>
        </w:rPr>
        <w:t xml:space="preserve"> </w:t>
      </w:r>
      <w:r w:rsidRPr="00A74F01">
        <w:rPr>
          <w:rStyle w:val="italicus"/>
          <w:lang w:val="en-US"/>
        </w:rPr>
        <w:t xml:space="preserve">In Matth. </w:t>
      </w:r>
      <w:r w:rsidRPr="008A667C">
        <w:rPr>
          <w:rStyle w:val="italicus"/>
          <w:lang w:val="de-AT"/>
        </w:rPr>
        <w:t>Prólogus</w:t>
      </w:r>
      <w:r w:rsidRPr="008A667C">
        <w:rPr>
          <w:lang w:val="de-AT"/>
        </w:rPr>
        <w:t> ;</w:t>
      </w:r>
      <w:r w:rsidRPr="008A667C">
        <w:rPr>
          <w:rStyle w:val="italicus"/>
          <w:lang w:val="de-AT"/>
        </w:rPr>
        <w:t xml:space="preserve"> </w:t>
      </w:r>
      <w:r w:rsidRPr="008A667C">
        <w:rPr>
          <w:lang w:val="de-AT"/>
        </w:rPr>
        <w:t xml:space="preserve">S. Isid. Hisp., </w:t>
      </w:r>
      <w:r w:rsidRPr="008A667C">
        <w:rPr>
          <w:rStyle w:val="italicus"/>
          <w:lang w:val="de-AT"/>
        </w:rPr>
        <w:t xml:space="preserve">Quæst. in Gen., </w:t>
      </w:r>
      <w:r w:rsidRPr="008A667C">
        <w:rPr>
          <w:lang w:val="de-AT"/>
        </w:rPr>
        <w:t>III, 3, etc.</w:t>
      </w:r>
    </w:p>
  </w:footnote>
  <w:footnote w:id="32">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Pr>
          <w:rStyle w:val="italicus"/>
        </w:rPr>
        <w:t>De c</w:t>
      </w:r>
      <w:r w:rsidRPr="00DC4586">
        <w:rPr>
          <w:rStyle w:val="italicus"/>
        </w:rPr>
        <w:t>ons. evang.</w:t>
      </w:r>
      <w:r>
        <w:rPr>
          <w:rStyle w:val="italicus"/>
        </w:rPr>
        <w:t>,</w:t>
      </w:r>
      <w:r w:rsidRPr="0021458E">
        <w:t xml:space="preserve"> I, 2.</w:t>
      </w:r>
    </w:p>
  </w:footnote>
  <w:footnote w:id="33">
    <w:p w:rsidR="00941AA6" w:rsidRPr="00933C60" w:rsidRDefault="00941AA6">
      <w:pPr>
        <w:pStyle w:val="Notedebasdepage"/>
      </w:pPr>
      <w:r w:rsidRPr="00C406FF">
        <w:rPr>
          <w:rStyle w:val="Appelnotedebasdep"/>
        </w:rPr>
        <w:footnoteRef/>
      </w:r>
      <w:r w:rsidRPr="00C8701B">
        <w:rPr>
          <w:rFonts w:eastAsia="Arial Unicode MS"/>
          <w:lang w:val="en-US" w:eastAsia="fr-FR" w:bidi="he-IL"/>
        </w:rPr>
        <w:t xml:space="preserve"> </w:t>
      </w:r>
      <w:r w:rsidRPr="00A74F01">
        <w:rPr>
          <w:rStyle w:val="italicus"/>
          <w:lang w:val="en-US"/>
        </w:rPr>
        <w:t>C. hær.</w:t>
      </w:r>
      <w:r w:rsidRPr="00C8701B">
        <w:rPr>
          <w:rFonts w:eastAsia="Arial Unicode MS"/>
          <w:bCs/>
          <w:lang w:val="en-US" w:eastAsia="fr-FR" w:bidi="he-IL"/>
        </w:rPr>
        <w:t xml:space="preserve"> III</w:t>
      </w:r>
      <w:r>
        <w:rPr>
          <w:rFonts w:eastAsia="Arial Unicode MS"/>
          <w:bCs/>
          <w:lang w:val="en-US" w:eastAsia="fr-FR" w:bidi="he-IL"/>
        </w:rPr>
        <w:t xml:space="preserve">, I, </w:t>
      </w:r>
      <w:r w:rsidRPr="00C8701B">
        <w:rPr>
          <w:rFonts w:eastAsia="Arial Unicode MS"/>
          <w:bCs/>
          <w:lang w:val="en-US" w:eastAsia="fr-FR" w:bidi="he-IL"/>
        </w:rPr>
        <w:t>1.</w:t>
      </w:r>
    </w:p>
  </w:footnote>
  <w:footnote w:id="34">
    <w:p w:rsidR="00941AA6" w:rsidRPr="00933C60" w:rsidRDefault="00941AA6">
      <w:pPr>
        <w:pStyle w:val="Notedebasdepage"/>
      </w:pPr>
      <w:r w:rsidRPr="00C406FF">
        <w:rPr>
          <w:rStyle w:val="Appelnotedebasdep"/>
        </w:rPr>
        <w:footnoteRef/>
      </w:r>
      <w:r w:rsidRPr="0021458E">
        <w:t xml:space="preserve"> </w:t>
      </w:r>
      <w:r w:rsidRPr="0021458E">
        <w:rPr>
          <w:rStyle w:val="italicus"/>
        </w:rPr>
        <w:t>In Matth.</w:t>
      </w:r>
      <w:r w:rsidRPr="0021458E">
        <w:rPr>
          <w:bCs/>
        </w:rPr>
        <w:t xml:space="preserve"> tom. 1.</w:t>
      </w:r>
    </w:p>
  </w:footnote>
  <w:footnote w:id="35">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Vigouroux</w:t>
      </w:r>
      <w:r>
        <w:rPr>
          <w:rFonts w:eastAsia="Arial Unicode MS"/>
          <w:bCs/>
          <w:lang w:eastAsia="fr-FR" w:bidi="he-IL"/>
        </w:rPr>
        <w:t xml:space="preserve">, </w:t>
      </w:r>
      <w:r w:rsidRPr="00DC4586">
        <w:rPr>
          <w:rStyle w:val="italicus"/>
        </w:rPr>
        <w:t>Manuel biblique</w:t>
      </w:r>
      <w:r w:rsidRPr="00C8701B">
        <w:rPr>
          <w:rFonts w:eastAsia="Arial Unicode MS"/>
          <w:bCs/>
          <w:lang w:eastAsia="fr-FR" w:bidi="he-IL"/>
        </w:rPr>
        <w:t xml:space="preserve"> </w:t>
      </w:r>
      <w:r>
        <w:rPr>
          <w:rFonts w:eastAsia="Arial Unicode MS"/>
          <w:bCs/>
          <w:lang w:eastAsia="fr-FR" w:bidi="he-IL"/>
        </w:rPr>
        <w:t xml:space="preserve">t. I, </w:t>
      </w:r>
      <w:r w:rsidRPr="00C8701B">
        <w:rPr>
          <w:rFonts w:eastAsia="Arial Unicode MS"/>
          <w:bCs/>
          <w:lang w:eastAsia="fr-FR" w:bidi="he-IL"/>
        </w:rPr>
        <w:t>n° 40.</w:t>
      </w:r>
    </w:p>
  </w:footnote>
  <w:footnote w:id="36">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nos commentaires sur</w:t>
      </w:r>
      <w:r w:rsidRPr="00C8701B">
        <w:rPr>
          <w:rFonts w:eastAsia="Arial Unicode MS"/>
          <w:lang w:eastAsia="fr-FR" w:bidi="he-IL"/>
        </w:rPr>
        <w:t xml:space="preserve"> S.</w:t>
      </w:r>
      <w:r w:rsidRPr="00C8701B">
        <w:rPr>
          <w:rFonts w:eastAsia="Arial Unicode MS"/>
          <w:bCs/>
          <w:lang w:eastAsia="fr-FR" w:bidi="he-IL"/>
        </w:rPr>
        <w:t xml:space="preserve"> Matthieu</w:t>
      </w:r>
      <w:r>
        <w:rPr>
          <w:rFonts w:eastAsia="Arial Unicode MS"/>
          <w:bCs/>
          <w:lang w:eastAsia="fr-FR" w:bidi="he-IL"/>
        </w:rPr>
        <w:t xml:space="preserve">, </w:t>
      </w:r>
      <w:r w:rsidRPr="00C8701B">
        <w:rPr>
          <w:rFonts w:eastAsia="Arial Unicode MS"/>
          <w:bCs/>
          <w:lang w:eastAsia="fr-FR" w:bidi="he-IL"/>
        </w:rPr>
        <w:t>p. 14-15 </w:t>
      </w:r>
      <w:r>
        <w:rPr>
          <w:rFonts w:eastAsia="Arial Unicode MS"/>
          <w:bCs/>
          <w:lang w:eastAsia="fr-FR" w:bidi="he-IL"/>
        </w:rPr>
        <w:t xml:space="preserve">; </w:t>
      </w:r>
      <w:r w:rsidRPr="00C8701B">
        <w:rPr>
          <w:rFonts w:eastAsia="Arial Unicode MS"/>
          <w:bCs/>
          <w:lang w:eastAsia="fr-FR" w:bidi="he-IL"/>
        </w:rPr>
        <w:t>sur</w:t>
      </w:r>
      <w:r w:rsidRPr="00C8701B">
        <w:rPr>
          <w:rFonts w:eastAsia="Arial Unicode MS"/>
          <w:lang w:eastAsia="fr-FR" w:bidi="he-IL"/>
        </w:rPr>
        <w:t xml:space="preserve"> S.</w:t>
      </w:r>
      <w:r w:rsidRPr="00C8701B">
        <w:rPr>
          <w:rFonts w:eastAsia="Arial Unicode MS"/>
          <w:bCs/>
          <w:lang w:eastAsia="fr-FR" w:bidi="he-IL"/>
        </w:rPr>
        <w:t xml:space="preserve"> Marc</w:t>
      </w:r>
      <w:r>
        <w:rPr>
          <w:rFonts w:eastAsia="Arial Unicode MS"/>
          <w:bCs/>
          <w:lang w:eastAsia="fr-FR" w:bidi="he-IL"/>
        </w:rPr>
        <w:t xml:space="preserve">, </w:t>
      </w:r>
      <w:r w:rsidRPr="00C8701B">
        <w:rPr>
          <w:rFonts w:eastAsia="Arial Unicode MS"/>
          <w:bCs/>
          <w:lang w:eastAsia="fr-FR" w:bidi="he-IL"/>
        </w:rPr>
        <w:t>p. 14 </w:t>
      </w:r>
      <w:r>
        <w:rPr>
          <w:rFonts w:eastAsia="Arial Unicode MS"/>
          <w:bCs/>
          <w:lang w:eastAsia="fr-FR" w:bidi="he-IL"/>
        </w:rPr>
        <w:t xml:space="preserve">; </w:t>
      </w:r>
      <w:r w:rsidRPr="00C8701B">
        <w:rPr>
          <w:rFonts w:eastAsia="Arial Unicode MS"/>
          <w:bCs/>
          <w:lang w:eastAsia="fr-FR" w:bidi="he-IL"/>
        </w:rPr>
        <w:t>sur</w:t>
      </w:r>
      <w:r w:rsidRPr="00C8701B">
        <w:rPr>
          <w:rFonts w:eastAsia="Arial Unicode MS"/>
          <w:lang w:eastAsia="fr-FR" w:bidi="he-IL"/>
        </w:rPr>
        <w:t xml:space="preserve"> S.</w:t>
      </w:r>
      <w:r w:rsidRPr="00C8701B">
        <w:rPr>
          <w:rFonts w:eastAsia="Arial Unicode MS"/>
          <w:bCs/>
          <w:lang w:eastAsia="fr-FR" w:bidi="he-IL"/>
        </w:rPr>
        <w:t xml:space="preserve"> Luc</w:t>
      </w:r>
      <w:r>
        <w:rPr>
          <w:rFonts w:eastAsia="Arial Unicode MS"/>
          <w:bCs/>
          <w:lang w:eastAsia="fr-FR" w:bidi="he-IL"/>
        </w:rPr>
        <w:t xml:space="preserve">, </w:t>
      </w:r>
      <w:r w:rsidRPr="00C8701B">
        <w:rPr>
          <w:rFonts w:eastAsia="Arial Unicode MS"/>
          <w:bCs/>
          <w:lang w:eastAsia="fr-FR" w:bidi="he-IL"/>
        </w:rPr>
        <w:t>p. 18 </w:t>
      </w:r>
      <w:r>
        <w:rPr>
          <w:rFonts w:eastAsia="Arial Unicode MS"/>
          <w:bCs/>
          <w:lang w:eastAsia="fr-FR" w:bidi="he-IL"/>
        </w:rPr>
        <w:t xml:space="preserve">; </w:t>
      </w:r>
      <w:r w:rsidRPr="00C8701B">
        <w:rPr>
          <w:rFonts w:eastAsia="Arial Unicode MS"/>
          <w:bCs/>
          <w:lang w:eastAsia="fr-FR" w:bidi="he-IL"/>
        </w:rPr>
        <w:t>sur S. Jean</w:t>
      </w:r>
      <w:r>
        <w:rPr>
          <w:rFonts w:eastAsia="Arial Unicode MS"/>
          <w:bCs/>
          <w:lang w:eastAsia="fr-FR" w:bidi="he-IL"/>
        </w:rPr>
        <w:t xml:space="preserve">, </w:t>
      </w:r>
      <w:r w:rsidRPr="00C8701B">
        <w:rPr>
          <w:rFonts w:eastAsia="Arial Unicode MS"/>
          <w:bCs/>
          <w:lang w:eastAsia="fr-FR" w:bidi="he-IL"/>
        </w:rPr>
        <w:t xml:space="preserve">p. </w:t>
      </w:r>
      <w:r>
        <w:rPr>
          <w:rFonts w:eastAsia="Arial Unicode MS"/>
          <w:bCs/>
          <w:lang w:eastAsia="fr-FR" w:bidi="he-IL"/>
        </w:rPr>
        <w:t>XLVI</w:t>
      </w:r>
      <w:r w:rsidRPr="00C8701B">
        <w:rPr>
          <w:rFonts w:eastAsia="Arial Unicode MS"/>
          <w:bCs/>
          <w:lang w:eastAsia="fr-FR" w:bidi="he-IL"/>
        </w:rPr>
        <w:t>-</w:t>
      </w:r>
      <w:r>
        <w:rPr>
          <w:rFonts w:eastAsia="Arial Unicode MS"/>
          <w:bCs/>
          <w:lang w:eastAsia="fr-FR" w:bidi="he-IL"/>
        </w:rPr>
        <w:t>XLVI</w:t>
      </w:r>
      <w:r w:rsidRPr="00C8701B">
        <w:rPr>
          <w:rFonts w:eastAsia="Arial Unicode MS"/>
          <w:bCs/>
          <w:lang w:eastAsia="fr-FR" w:bidi="he-IL"/>
        </w:rPr>
        <w:t>I.</w:t>
      </w:r>
    </w:p>
  </w:footnote>
  <w:footnote w:id="37">
    <w:p w:rsidR="00941AA6" w:rsidRPr="00933C60" w:rsidRDefault="00941AA6">
      <w:pPr>
        <w:pStyle w:val="Notedebasdepage"/>
      </w:pPr>
      <w:r w:rsidRPr="00C406FF">
        <w:rPr>
          <w:rStyle w:val="Appelnotedebasdep"/>
        </w:rPr>
        <w:footnoteRef/>
      </w:r>
      <w:r w:rsidRPr="00C8701B">
        <w:rPr>
          <w:rFonts w:eastAsia="Arial Unicode MS"/>
          <w:lang w:val="en-US" w:eastAsia="fr-FR" w:bidi="he-IL"/>
        </w:rPr>
        <w:t xml:space="preserve"> </w:t>
      </w:r>
      <w:r w:rsidRPr="00A74F01">
        <w:rPr>
          <w:rStyle w:val="italicus"/>
          <w:lang w:val="en-US"/>
        </w:rPr>
        <w:t>Hom.</w:t>
      </w:r>
      <w:r w:rsidRPr="00C8701B">
        <w:rPr>
          <w:rFonts w:eastAsia="Arial Unicode MS"/>
          <w:bCs/>
          <w:lang w:val="en-US" w:eastAsia="fr-FR" w:bidi="he-IL"/>
        </w:rPr>
        <w:t xml:space="preserve"> VII</w:t>
      </w:r>
      <w:r w:rsidRPr="00A74F01">
        <w:rPr>
          <w:rStyle w:val="italicus"/>
          <w:lang w:val="en-US"/>
        </w:rPr>
        <w:t xml:space="preserve"> in Jósue.</w:t>
      </w:r>
    </w:p>
  </w:footnote>
  <w:footnote w:id="38">
    <w:p w:rsidR="00941AA6" w:rsidRPr="00933C60" w:rsidRDefault="00941AA6">
      <w:pPr>
        <w:pStyle w:val="Notedebasdepage"/>
      </w:pPr>
      <w:r w:rsidRPr="00C406FF">
        <w:rPr>
          <w:rStyle w:val="Appelnotedebasdep"/>
        </w:rPr>
        <w:footnoteRef/>
      </w:r>
      <w:r w:rsidRPr="00557DE0">
        <w:rPr>
          <w:rFonts w:eastAsia="Arial Unicode MS"/>
          <w:lang w:eastAsia="fr-FR" w:bidi="he-IL"/>
        </w:rPr>
        <w:t xml:space="preserve"> </w:t>
      </w:r>
      <w:r w:rsidRPr="00557DE0">
        <w:rPr>
          <w:rStyle w:val="italicus"/>
        </w:rPr>
        <w:t>Hist. eccl.</w:t>
      </w:r>
      <w:r w:rsidRPr="00557DE0">
        <w:rPr>
          <w:rFonts w:eastAsia="Arial Unicode MS"/>
          <w:bCs/>
          <w:lang w:eastAsia="fr-FR" w:bidi="he-IL"/>
        </w:rPr>
        <w:t>, VI, 28.</w:t>
      </w:r>
    </w:p>
  </w:footnote>
  <w:footnote w:id="39">
    <w:p w:rsidR="00941AA6" w:rsidRPr="00933C60" w:rsidRDefault="00941AA6">
      <w:pPr>
        <w:pStyle w:val="Notedebasdepage"/>
      </w:pPr>
      <w:r w:rsidRPr="00C406FF">
        <w:rPr>
          <w:rStyle w:val="Appelnotedebasdep"/>
        </w:rPr>
        <w:footnoteRef/>
      </w:r>
      <w:r w:rsidRPr="00A74F01">
        <w:rPr>
          <w:rFonts w:eastAsia="Arial Unicode MS"/>
          <w:lang w:eastAsia="fr-FR" w:bidi="he-IL"/>
        </w:rPr>
        <w:t xml:space="preserve"> </w:t>
      </w:r>
      <w:r w:rsidRPr="00DC4586">
        <w:rPr>
          <w:rStyle w:val="italicus"/>
        </w:rPr>
        <w:t>De</w:t>
      </w:r>
      <w:r>
        <w:rPr>
          <w:rStyle w:val="italicus"/>
        </w:rPr>
        <w:t xml:space="preserve"> </w:t>
      </w:r>
      <w:r w:rsidRPr="00DC4586">
        <w:rPr>
          <w:rStyle w:val="italicus"/>
        </w:rPr>
        <w:t>cons. evang.</w:t>
      </w:r>
      <w:r>
        <w:rPr>
          <w:rStyle w:val="italicus"/>
        </w:rPr>
        <w:t xml:space="preserve"> </w:t>
      </w:r>
      <w:r w:rsidRPr="002F5969">
        <w:t>t</w:t>
      </w:r>
      <w:r>
        <w:t>.</w:t>
      </w:r>
      <w:r w:rsidRPr="002F5969">
        <w:t xml:space="preserve"> </w:t>
      </w:r>
      <w:r w:rsidRPr="00A74F01">
        <w:rPr>
          <w:rFonts w:eastAsia="Arial Unicode MS"/>
          <w:bCs/>
          <w:lang w:eastAsia="fr-FR" w:bidi="he-IL"/>
        </w:rPr>
        <w:t>I, 3.</w:t>
      </w:r>
    </w:p>
  </w:footnote>
  <w:footnote w:id="40">
    <w:p w:rsidR="00941AA6" w:rsidRPr="00933C60" w:rsidRDefault="00941AA6">
      <w:pPr>
        <w:pStyle w:val="Notedebasdepage"/>
      </w:pPr>
      <w:r w:rsidRPr="00C406FF">
        <w:rPr>
          <w:rStyle w:val="Appelnotedebasdep"/>
        </w:rPr>
        <w:footnoteRef/>
      </w:r>
      <w:r w:rsidRPr="00A74F01">
        <w:rPr>
          <w:rFonts w:eastAsia="Arial Unicode MS"/>
          <w:lang w:eastAsia="fr-FR" w:bidi="he-IL"/>
        </w:rPr>
        <w:t xml:space="preserve"> </w:t>
      </w:r>
      <w:r w:rsidRPr="00A74F01">
        <w:rPr>
          <w:rFonts w:eastAsia="Arial Unicode MS"/>
          <w:bCs/>
          <w:lang w:eastAsia="fr-FR" w:bidi="he-IL"/>
        </w:rPr>
        <w:t xml:space="preserve">Cf. Mansi, </w:t>
      </w:r>
      <w:r w:rsidRPr="00DC4586">
        <w:rPr>
          <w:rStyle w:val="italicus"/>
        </w:rPr>
        <w:t>Coll. Concil</w:t>
      </w:r>
      <w:r>
        <w:rPr>
          <w:rStyle w:val="italicus"/>
        </w:rPr>
        <w:t xml:space="preserve">., </w:t>
      </w:r>
      <w:r w:rsidRPr="00C8701B">
        <w:rPr>
          <w:rFonts w:eastAsia="Arial Unicode MS"/>
          <w:bCs/>
          <w:lang w:eastAsia="fr-FR" w:bidi="he-IL"/>
        </w:rPr>
        <w:t>t</w:t>
      </w:r>
      <w:r>
        <w:rPr>
          <w:rFonts w:eastAsia="Arial Unicode MS"/>
          <w:bCs/>
          <w:lang w:eastAsia="fr-FR" w:bidi="he-IL"/>
        </w:rPr>
        <w:t>. IV, p. 733 et s</w:t>
      </w:r>
      <w:r w:rsidRPr="00C8701B">
        <w:rPr>
          <w:rFonts w:eastAsia="Arial Unicode MS"/>
          <w:bCs/>
          <w:lang w:eastAsia="fr-FR" w:bidi="he-IL"/>
        </w:rPr>
        <w:t>s. </w:t>
      </w:r>
      <w:r>
        <w:rPr>
          <w:rFonts w:eastAsia="Arial Unicode MS"/>
          <w:bCs/>
          <w:lang w:eastAsia="fr-FR" w:bidi="he-IL"/>
        </w:rPr>
        <w:t xml:space="preserve">; </w:t>
      </w:r>
      <w:r w:rsidRPr="00C8701B">
        <w:rPr>
          <w:rFonts w:eastAsia="Arial Unicode MS"/>
          <w:bCs/>
          <w:lang w:eastAsia="fr-FR" w:bidi="he-IL"/>
        </w:rPr>
        <w:t>les</w:t>
      </w:r>
      <w:r>
        <w:rPr>
          <w:rStyle w:val="italicus"/>
        </w:rPr>
        <w:t xml:space="preserve"> Constit. apost</w:t>
      </w:r>
      <w:r w:rsidRPr="00DC4586">
        <w:rPr>
          <w:rStyle w:val="italicus"/>
        </w:rPr>
        <w:t>ol.</w:t>
      </w:r>
      <w:r>
        <w:rPr>
          <w:rStyle w:val="italicus"/>
        </w:rPr>
        <w:t xml:space="preserve">, </w:t>
      </w:r>
      <w:r>
        <w:rPr>
          <w:rFonts w:eastAsia="Arial Unicode MS"/>
          <w:bCs/>
          <w:lang w:eastAsia="fr-FR" w:bidi="he-IL"/>
        </w:rPr>
        <w:t xml:space="preserve">II, </w:t>
      </w:r>
      <w:r w:rsidRPr="00C8701B">
        <w:rPr>
          <w:rFonts w:eastAsia="Arial Unicode MS"/>
          <w:bCs/>
          <w:lang w:eastAsia="fr-FR" w:bidi="he-IL"/>
        </w:rPr>
        <w:t>57 </w:t>
      </w:r>
      <w:r>
        <w:rPr>
          <w:rFonts w:eastAsia="Arial Unicode MS"/>
          <w:bCs/>
          <w:lang w:eastAsia="fr-FR" w:bidi="he-IL"/>
        </w:rPr>
        <w:t xml:space="preserve">; </w:t>
      </w:r>
      <w:r w:rsidRPr="00C8701B">
        <w:rPr>
          <w:rFonts w:eastAsia="Arial Unicode MS"/>
          <w:bCs/>
          <w:lang w:eastAsia="fr-FR" w:bidi="he-IL"/>
        </w:rPr>
        <w:t>les</w:t>
      </w:r>
      <w:r>
        <w:rPr>
          <w:rStyle w:val="italicus"/>
        </w:rPr>
        <w:t xml:space="preserve"> Co</w:t>
      </w:r>
      <w:r w:rsidRPr="00DC4586">
        <w:rPr>
          <w:rStyle w:val="italicus"/>
        </w:rPr>
        <w:t>d.</w:t>
      </w:r>
      <w:r>
        <w:rPr>
          <w:rStyle w:val="italicus"/>
        </w:rPr>
        <w:t xml:space="preserve">, </w:t>
      </w:r>
      <w:r w:rsidRPr="00C8701B">
        <w:rPr>
          <w:rFonts w:eastAsia="Arial Unicode MS"/>
          <w:bCs/>
          <w:lang w:eastAsia="fr-FR" w:bidi="he-IL"/>
        </w:rPr>
        <w:t>Vercell.</w:t>
      </w:r>
      <w:r>
        <w:rPr>
          <w:rFonts w:eastAsia="Arial Unicode MS"/>
          <w:bCs/>
          <w:lang w:eastAsia="fr-FR" w:bidi="he-IL"/>
        </w:rPr>
        <w:t xml:space="preserve"> </w:t>
      </w:r>
      <w:r w:rsidRPr="00C8701B">
        <w:rPr>
          <w:rFonts w:eastAsia="Arial Unicode MS"/>
          <w:bCs/>
          <w:lang w:eastAsia="fr-FR" w:bidi="he-IL"/>
        </w:rPr>
        <w:t>et Veron.</w:t>
      </w:r>
      <w:r>
        <w:rPr>
          <w:rFonts w:eastAsia="Arial Unicode MS"/>
          <w:bCs/>
          <w:lang w:eastAsia="fr-FR" w:bidi="he-IL"/>
        </w:rPr>
        <w:t xml:space="preserve"> </w:t>
      </w:r>
      <w:r w:rsidRPr="00C8701B">
        <w:rPr>
          <w:rFonts w:eastAsia="Arial Unicode MS"/>
          <w:bCs/>
          <w:lang w:eastAsia="fr-FR" w:bidi="he-IL"/>
        </w:rPr>
        <w:t xml:space="preserve">de </w:t>
      </w:r>
      <w:r>
        <w:rPr>
          <w:rFonts w:eastAsia="Arial Unicode MS"/>
          <w:bCs/>
          <w:lang w:eastAsia="fr-FR" w:bidi="he-IL"/>
        </w:rPr>
        <w:t>l’</w:t>
      </w:r>
      <w:r w:rsidRPr="00C8701B">
        <w:rPr>
          <w:rFonts w:eastAsia="Arial Unicode MS"/>
          <w:bCs/>
          <w:lang w:eastAsia="fr-FR" w:bidi="he-IL"/>
        </w:rPr>
        <w:t>Itala </w:t>
      </w:r>
      <w:r>
        <w:rPr>
          <w:rFonts w:eastAsia="Arial Unicode MS"/>
          <w:bCs/>
          <w:lang w:eastAsia="fr-FR" w:bidi="he-IL"/>
        </w:rPr>
        <w:t xml:space="preserve">; </w:t>
      </w:r>
      <w:r w:rsidRPr="00C8701B">
        <w:rPr>
          <w:rFonts w:eastAsia="Arial Unicode MS"/>
          <w:bCs/>
          <w:lang w:eastAsia="fr-FR" w:bidi="he-IL"/>
        </w:rPr>
        <w:t>la version gothique</w:t>
      </w:r>
      <w:r>
        <w:rPr>
          <w:rFonts w:eastAsia="Arial Unicode MS"/>
          <w:bCs/>
          <w:lang w:eastAsia="fr-FR" w:bidi="he-IL"/>
        </w:rPr>
        <w:t xml:space="preserve">, </w:t>
      </w:r>
      <w:r w:rsidRPr="00C8701B">
        <w:rPr>
          <w:rFonts w:eastAsia="Arial Unicode MS"/>
          <w:bCs/>
          <w:lang w:eastAsia="fr-FR" w:bidi="he-IL"/>
        </w:rPr>
        <w:t>etc. Voyez aussi Tischendorf</w:t>
      </w:r>
      <w:r>
        <w:rPr>
          <w:rFonts w:eastAsia="Arial Unicode MS"/>
          <w:bCs/>
          <w:lang w:eastAsia="fr-FR" w:bidi="he-IL"/>
        </w:rPr>
        <w:t xml:space="preserve">, </w:t>
      </w:r>
      <w:r>
        <w:rPr>
          <w:rStyle w:val="italicus"/>
        </w:rPr>
        <w:t>Νοv. Te</w:t>
      </w:r>
      <w:r w:rsidRPr="00DC4586">
        <w:rPr>
          <w:rStyle w:val="italicus"/>
        </w:rPr>
        <w:t>st.</w:t>
      </w:r>
      <w:r>
        <w:rPr>
          <w:rStyle w:val="italicus"/>
        </w:rPr>
        <w:t xml:space="preserve">, </w:t>
      </w:r>
      <w:r w:rsidRPr="00C8701B">
        <w:rPr>
          <w:rFonts w:eastAsia="Arial Unicode MS"/>
          <w:bCs/>
          <w:lang w:eastAsia="fr-FR" w:bidi="he-IL"/>
        </w:rPr>
        <w:t>édit. 8</w:t>
      </w:r>
      <w:r>
        <w:rPr>
          <w:rFonts w:eastAsia="Arial Unicode MS"/>
          <w:bCs/>
          <w:lang w:eastAsia="fr-FR" w:bidi="he-IL"/>
        </w:rPr>
        <w:t xml:space="preserve">, </w:t>
      </w:r>
      <w:r w:rsidRPr="00C8701B">
        <w:rPr>
          <w:rFonts w:eastAsia="Arial Unicode MS"/>
          <w:bCs/>
          <w:lang w:eastAsia="fr-FR" w:bidi="he-IL"/>
        </w:rPr>
        <w:t>vol. III</w:t>
      </w:r>
      <w:r>
        <w:rPr>
          <w:rFonts w:eastAsia="Arial Unicode MS"/>
          <w:bCs/>
          <w:lang w:eastAsia="fr-FR" w:bidi="he-IL"/>
        </w:rPr>
        <w:t xml:space="preserve">, </w:t>
      </w:r>
      <w:r w:rsidRPr="00C8701B">
        <w:rPr>
          <w:rFonts w:eastAsia="Arial Unicode MS"/>
          <w:bCs/>
          <w:lang w:eastAsia="fr-FR" w:bidi="he-IL"/>
        </w:rPr>
        <w:t>p. 137.</w:t>
      </w:r>
    </w:p>
  </w:footnote>
  <w:footnote w:id="41">
    <w:p w:rsidR="00941AA6" w:rsidRPr="00EA28F4" w:rsidRDefault="00941AA6">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C. Marcion.</w:t>
      </w:r>
      <w:r>
        <w:rPr>
          <w:rStyle w:val="italicus"/>
        </w:rPr>
        <w:t xml:space="preserve">, </w:t>
      </w:r>
      <w:r>
        <w:rPr>
          <w:rFonts w:eastAsia="Arial Unicode MS"/>
          <w:bCs/>
          <w:lang w:eastAsia="fr-FR" w:bidi="he-IL"/>
        </w:rPr>
        <w:t xml:space="preserve">IV, </w:t>
      </w:r>
      <w:r w:rsidRPr="00C8701B">
        <w:rPr>
          <w:rFonts w:eastAsia="Arial Unicode MS"/>
          <w:bCs/>
          <w:lang w:eastAsia="fr-FR" w:bidi="he-IL"/>
        </w:rPr>
        <w:t>2.</w:t>
      </w:r>
    </w:p>
  </w:footnote>
  <w:footnote w:id="42">
    <w:p w:rsidR="00941AA6" w:rsidRPr="003A68DB" w:rsidRDefault="00941AA6" w:rsidP="00EA28F4">
      <w:pPr>
        <w:pStyle w:val="Notedebasdepage"/>
        <w:rPr>
          <w:lang w:val="en-US"/>
        </w:rPr>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notre</w:t>
      </w:r>
      <w:r w:rsidRPr="00DC4586">
        <w:rPr>
          <w:rStyle w:val="italicus"/>
        </w:rPr>
        <w:t xml:space="preserve"> Atlas archéologique de la Bible</w:t>
      </w:r>
      <w:r>
        <w:rPr>
          <w:rFonts w:eastAsia="Arial Unicode MS"/>
          <w:bCs/>
          <w:lang w:eastAsia="fr-FR" w:bidi="he-IL"/>
        </w:rPr>
        <w:t xml:space="preserve">, </w:t>
      </w:r>
      <w:r w:rsidRPr="00C8701B">
        <w:rPr>
          <w:rFonts w:eastAsia="Arial Unicode MS"/>
          <w:bCs/>
          <w:lang w:eastAsia="fr-FR" w:bidi="he-IL"/>
        </w:rPr>
        <w:t>pl. CV</w:t>
      </w:r>
      <w:r>
        <w:rPr>
          <w:rFonts w:eastAsia="Arial Unicode MS"/>
          <w:bCs/>
          <w:lang w:eastAsia="fr-FR" w:bidi="he-IL"/>
        </w:rPr>
        <w:t xml:space="preserve">, </w:t>
      </w:r>
      <w:r w:rsidRPr="00C8701B">
        <w:rPr>
          <w:rFonts w:eastAsia="Arial Unicode MS"/>
          <w:bCs/>
          <w:lang w:eastAsia="fr-FR" w:bidi="he-IL"/>
        </w:rPr>
        <w:t>fig. 7 de la 2</w:t>
      </w:r>
      <w:r w:rsidRPr="00C8701B">
        <w:rPr>
          <w:rFonts w:eastAsia="Arial Unicode MS"/>
          <w:bCs/>
          <w:vertAlign w:val="superscript"/>
          <w:lang w:eastAsia="fr-FR" w:bidi="he-IL"/>
        </w:rPr>
        <w:t>e</w:t>
      </w:r>
      <w:r w:rsidRPr="00C8701B">
        <w:rPr>
          <w:rFonts w:eastAsia="Arial Unicode MS"/>
          <w:bCs/>
          <w:lang w:eastAsia="fr-FR" w:bidi="he-IL"/>
        </w:rPr>
        <w:t xml:space="preserve"> édition.</w:t>
      </w:r>
    </w:p>
  </w:footnote>
  <w:footnote w:id="43">
    <w:p w:rsidR="00941AA6" w:rsidRPr="003A68DB" w:rsidRDefault="00941AA6" w:rsidP="0021458E">
      <w:pPr>
        <w:pStyle w:val="Notedebasdepage"/>
        <w:rPr>
          <w:lang w:val="en-US"/>
        </w:rPr>
      </w:pPr>
      <w:r w:rsidRPr="00C406FF">
        <w:rPr>
          <w:rStyle w:val="Appelnotedebasdep"/>
        </w:rPr>
        <w:footnoteRef/>
      </w:r>
      <w:r w:rsidRPr="00946A1C">
        <w:rPr>
          <w:rFonts w:eastAsia="Arial Unicode MS"/>
          <w:lang w:val="en-US" w:eastAsia="fr-FR" w:bidi="he-IL"/>
        </w:rPr>
        <w:t xml:space="preserve"> </w:t>
      </w:r>
      <w:r w:rsidRPr="00946A1C">
        <w:rPr>
          <w:rStyle w:val="italicus"/>
          <w:lang w:val="en-US"/>
        </w:rPr>
        <w:t>Contr. hær.,</w:t>
      </w:r>
      <w:r w:rsidRPr="00946A1C">
        <w:rPr>
          <w:lang w:val="en-US"/>
        </w:rPr>
        <w:t xml:space="preserve"> III, </w:t>
      </w:r>
      <w:r w:rsidRPr="0021458E">
        <w:t>11</w:t>
      </w:r>
      <w:r w:rsidRPr="00946A1C">
        <w:rPr>
          <w:lang w:val="en-US"/>
        </w:rPr>
        <w:t>.</w:t>
      </w:r>
    </w:p>
  </w:footnote>
  <w:footnote w:id="44">
    <w:p w:rsidR="00941AA6" w:rsidRPr="003A68DB" w:rsidRDefault="00941AA6" w:rsidP="0021458E">
      <w:pPr>
        <w:pStyle w:val="Notedebasdepage"/>
      </w:pPr>
      <w:r w:rsidRPr="00C406FF">
        <w:rPr>
          <w:rStyle w:val="Appelnotedebasdep"/>
        </w:rPr>
        <w:footnoteRef/>
      </w:r>
      <w:r w:rsidRPr="00C8701B">
        <w:t xml:space="preserve"> </w:t>
      </w:r>
      <w:r w:rsidRPr="00A74F01">
        <w:rPr>
          <w:rStyle w:val="italicus"/>
          <w:lang w:val="en-US"/>
        </w:rPr>
        <w:t>Evang. hist. Præf.</w:t>
      </w:r>
      <w:r w:rsidRPr="00C8701B">
        <w:rPr>
          <w:bCs/>
        </w:rPr>
        <w:t xml:space="preserve"> Cf. Theophylact.</w:t>
      </w:r>
      <w:r>
        <w:rPr>
          <w:bCs/>
        </w:rPr>
        <w:t xml:space="preserve">, </w:t>
      </w:r>
      <w:r w:rsidRPr="00A74F01">
        <w:rPr>
          <w:rStyle w:val="italicus"/>
          <w:lang w:val="en-US"/>
        </w:rPr>
        <w:t>In Marc, præfat.</w:t>
      </w:r>
    </w:p>
  </w:footnote>
  <w:footnote w:id="45">
    <w:p w:rsidR="00941AA6" w:rsidRPr="003A68DB" w:rsidRDefault="00941AA6">
      <w:pPr>
        <w:pStyle w:val="Notedebasdepage"/>
        <w:rPr>
          <w:lang w:val="en-US"/>
        </w:rPr>
      </w:pPr>
      <w:r w:rsidRPr="00C406FF">
        <w:rPr>
          <w:rStyle w:val="Appelnotedebasdep"/>
        </w:rPr>
        <w:footnoteRef/>
      </w:r>
      <w:r w:rsidRPr="00C8701B">
        <w:rPr>
          <w:rFonts w:eastAsia="Arial Unicode MS"/>
          <w:lang w:eastAsia="fr-FR" w:bidi="he-IL"/>
        </w:rPr>
        <w:t xml:space="preserve"> </w:t>
      </w:r>
      <w:r w:rsidRPr="00DC4586">
        <w:rPr>
          <w:rStyle w:val="italicus"/>
        </w:rPr>
        <w:t xml:space="preserve">In Luc. </w:t>
      </w:r>
      <w:r>
        <w:rPr>
          <w:rStyle w:val="italicus"/>
        </w:rPr>
        <w:t>Præ</w:t>
      </w:r>
      <w:r w:rsidRPr="00DC4586">
        <w:rPr>
          <w:rStyle w:val="italicus"/>
        </w:rPr>
        <w:t>f.</w:t>
      </w:r>
    </w:p>
  </w:footnote>
  <w:footnote w:id="46">
    <w:p w:rsidR="00941AA6" w:rsidRPr="003A68DB" w:rsidRDefault="00941AA6">
      <w:pPr>
        <w:pStyle w:val="Notedebasdepage"/>
        <w:rPr>
          <w:lang w:val="en-US"/>
        </w:rPr>
      </w:pPr>
      <w:r w:rsidRPr="00C406FF">
        <w:rPr>
          <w:rStyle w:val="Appelnotedebasdep"/>
        </w:rPr>
        <w:footnoteRef/>
      </w:r>
      <w:r w:rsidRPr="00C8701B">
        <w:rPr>
          <w:rFonts w:eastAsia="Arial Unicode MS"/>
          <w:lang w:eastAsia="fr-FR" w:bidi="he-IL"/>
        </w:rPr>
        <w:t xml:space="preserve"> </w:t>
      </w:r>
      <w:r w:rsidRPr="00DC4586">
        <w:rPr>
          <w:rStyle w:val="italicus"/>
        </w:rPr>
        <w:t>De consens</w:t>
      </w:r>
      <w:r>
        <w:rPr>
          <w:rStyle w:val="italicus"/>
        </w:rPr>
        <w:t xml:space="preserve">, </w:t>
      </w:r>
      <w:r w:rsidRPr="00DC4586">
        <w:rPr>
          <w:rStyle w:val="italicus"/>
        </w:rPr>
        <w:t>evang.</w:t>
      </w:r>
      <w:r>
        <w:rPr>
          <w:rFonts w:eastAsia="Arial Unicode MS"/>
          <w:bCs/>
          <w:lang w:eastAsia="fr-FR" w:bidi="he-IL"/>
        </w:rPr>
        <w:t xml:space="preserve"> </w:t>
      </w:r>
      <w:r w:rsidRPr="00A74F01">
        <w:rPr>
          <w:rFonts w:eastAsia="Arial Unicode MS"/>
          <w:bCs/>
          <w:lang w:val="en-US" w:eastAsia="fr-FR" w:bidi="he-IL"/>
        </w:rPr>
        <w:t xml:space="preserve">I, </w:t>
      </w:r>
      <w:r w:rsidRPr="00C8701B">
        <w:rPr>
          <w:rFonts w:eastAsia="Arial Unicode MS"/>
          <w:bCs/>
          <w:lang w:val="en-US" w:eastAsia="fr-FR" w:bidi="he-IL"/>
        </w:rPr>
        <w:t>6</w:t>
      </w:r>
      <w:r>
        <w:rPr>
          <w:rFonts w:eastAsia="Arial Unicode MS"/>
          <w:bCs/>
          <w:lang w:val="en-US" w:eastAsia="fr-FR" w:bidi="he-IL"/>
        </w:rPr>
        <w:t xml:space="preserve">, </w:t>
      </w:r>
      <w:r w:rsidRPr="00C8701B">
        <w:rPr>
          <w:rFonts w:eastAsia="Arial Unicode MS"/>
          <w:bCs/>
          <w:lang w:val="en-US" w:eastAsia="fr-FR" w:bidi="he-IL"/>
        </w:rPr>
        <w:t>Cf.</w:t>
      </w:r>
      <w:r w:rsidRPr="00A74F01">
        <w:rPr>
          <w:rStyle w:val="italicus"/>
          <w:lang w:val="en-US"/>
        </w:rPr>
        <w:t xml:space="preserve"> In Joan. tract., </w:t>
      </w:r>
      <w:r>
        <w:rPr>
          <w:rFonts w:eastAsia="Arial Unicode MS"/>
          <w:bCs/>
          <w:lang w:val="en-US" w:eastAsia="fr-FR" w:bidi="he-IL"/>
        </w:rPr>
        <w:t xml:space="preserve">XXXVI, </w:t>
      </w:r>
      <w:r w:rsidRPr="00C8701B">
        <w:rPr>
          <w:rFonts w:eastAsia="Arial Unicode MS"/>
          <w:bCs/>
          <w:lang w:val="en-US" w:eastAsia="fr-FR" w:bidi="he-IL"/>
        </w:rPr>
        <w:t>5.</w:t>
      </w:r>
    </w:p>
  </w:footnote>
  <w:footnote w:id="47">
    <w:p w:rsidR="00941AA6" w:rsidRPr="003A68DB" w:rsidRDefault="00941AA6">
      <w:pPr>
        <w:pStyle w:val="Notedebasdepage"/>
        <w:rPr>
          <w:lang w:val="en-US"/>
        </w:rPr>
      </w:pPr>
      <w:r w:rsidRPr="00C406FF">
        <w:rPr>
          <w:rStyle w:val="Appelnotedebasdep"/>
        </w:rPr>
        <w:footnoteRef/>
      </w:r>
      <w:r w:rsidRPr="00C8701B">
        <w:rPr>
          <w:rFonts w:eastAsia="Arial Unicode MS"/>
          <w:lang w:eastAsia="fr-FR" w:bidi="he-IL"/>
        </w:rPr>
        <w:t xml:space="preserve"> </w:t>
      </w:r>
      <w:r w:rsidRPr="00DC4586">
        <w:rPr>
          <w:rStyle w:val="italicus"/>
        </w:rPr>
        <w:t>Expos. Evang. S. Luc.</w:t>
      </w:r>
      <w:r>
        <w:rPr>
          <w:rStyle w:val="italicus"/>
        </w:rPr>
        <w:t xml:space="preserve">, </w:t>
      </w:r>
      <w:r w:rsidRPr="00DC4586">
        <w:rPr>
          <w:rStyle w:val="italicus"/>
        </w:rPr>
        <w:t>Proœm.</w:t>
      </w:r>
    </w:p>
  </w:footnote>
  <w:footnote w:id="48">
    <w:p w:rsidR="00941AA6" w:rsidRPr="003A68DB" w:rsidRDefault="00941AA6">
      <w:pPr>
        <w:pStyle w:val="Notedebasdepage"/>
        <w:rPr>
          <w:lang w:val="en-US"/>
        </w:rPr>
      </w:pPr>
      <w:r w:rsidRPr="00C406FF">
        <w:rPr>
          <w:rStyle w:val="Appelnotedebasdep"/>
        </w:rPr>
        <w:footnoteRef/>
      </w:r>
      <w:r w:rsidRPr="00C8701B">
        <w:rPr>
          <w:rFonts w:eastAsia="Arial Unicode MS"/>
          <w:lang w:val="en-US" w:eastAsia="fr-FR" w:bidi="he-IL"/>
        </w:rPr>
        <w:t xml:space="preserve"> </w:t>
      </w:r>
      <w:r w:rsidRPr="00A74F01">
        <w:rPr>
          <w:rStyle w:val="italicus"/>
          <w:lang w:val="en-US"/>
        </w:rPr>
        <w:t>In Ezech. Hom.</w:t>
      </w:r>
      <w:r>
        <w:rPr>
          <w:rFonts w:eastAsia="Arial Unicode MS"/>
          <w:bCs/>
          <w:lang w:val="en-US" w:eastAsia="fr-FR" w:bidi="he-IL"/>
        </w:rPr>
        <w:t xml:space="preserve"> I, </w:t>
      </w:r>
      <w:r w:rsidRPr="00C8701B">
        <w:rPr>
          <w:rFonts w:eastAsia="Arial Unicode MS"/>
          <w:bCs/>
          <w:lang w:val="en-US" w:eastAsia="fr-FR" w:bidi="he-IL"/>
        </w:rPr>
        <w:t>4</w:t>
      </w:r>
      <w:r>
        <w:rPr>
          <w:rFonts w:eastAsia="Arial Unicode MS"/>
          <w:bCs/>
          <w:lang w:val="en-US" w:eastAsia="fr-FR" w:bidi="he-IL"/>
        </w:rPr>
        <w:t xml:space="preserve">, </w:t>
      </w:r>
      <w:r w:rsidRPr="00C8701B">
        <w:rPr>
          <w:rFonts w:eastAsia="Arial Unicode MS"/>
          <w:bCs/>
          <w:lang w:val="en-US" w:eastAsia="fr-FR" w:bidi="he-IL"/>
        </w:rPr>
        <w:t>1.</w:t>
      </w:r>
    </w:p>
  </w:footnote>
  <w:footnote w:id="49">
    <w:p w:rsidR="00941AA6" w:rsidRPr="003A68DB" w:rsidRDefault="00941AA6" w:rsidP="0021458E">
      <w:pPr>
        <w:pStyle w:val="Notedebasdepage"/>
      </w:pPr>
      <w:r w:rsidRPr="00C406FF">
        <w:rPr>
          <w:rStyle w:val="Appelnotedebasdep"/>
        </w:rPr>
        <w:footnoteRef/>
      </w:r>
      <w:r w:rsidRPr="00C8701B">
        <w:rPr>
          <w:lang w:val="en-US"/>
        </w:rPr>
        <w:t xml:space="preserve"> </w:t>
      </w:r>
      <w:r w:rsidRPr="00A74F01">
        <w:rPr>
          <w:rStyle w:val="italicus"/>
          <w:lang w:val="en-US"/>
        </w:rPr>
        <w:t xml:space="preserve">In Ezech. </w:t>
      </w:r>
      <w:r w:rsidRPr="00A74F01">
        <w:rPr>
          <w:lang w:val="en-US"/>
        </w:rPr>
        <w:t>I, 7.</w:t>
      </w:r>
      <w:r w:rsidRPr="00A74F01">
        <w:rPr>
          <w:bCs/>
          <w:lang w:val="en-US"/>
        </w:rPr>
        <w:t xml:space="preserve"> Cf.</w:t>
      </w:r>
      <w:r w:rsidRPr="00A74F01">
        <w:rPr>
          <w:rStyle w:val="italicus"/>
          <w:lang w:val="en-US"/>
        </w:rPr>
        <w:t xml:space="preserve"> In Matth. Prolog.</w:t>
      </w:r>
    </w:p>
  </w:footnote>
  <w:footnote w:id="50">
    <w:p w:rsidR="00941AA6" w:rsidRPr="00946A1C"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aussi Alcuin</w:t>
      </w:r>
      <w:r>
        <w:rPr>
          <w:rFonts w:eastAsia="Arial Unicode MS"/>
          <w:bCs/>
          <w:lang w:eastAsia="fr-FR" w:bidi="he-IL"/>
        </w:rPr>
        <w:t xml:space="preserve">, </w:t>
      </w:r>
      <w:r w:rsidRPr="00DC4586">
        <w:rPr>
          <w:rStyle w:val="italicus"/>
        </w:rPr>
        <w:t>Disput. puer.</w:t>
      </w:r>
      <w:r>
        <w:rPr>
          <w:rStyle w:val="italicus"/>
        </w:rPr>
        <w:t xml:space="preserve">, </w:t>
      </w:r>
      <w:r w:rsidRPr="00C8701B">
        <w:rPr>
          <w:rFonts w:eastAsia="Arial Unicode MS"/>
          <w:bCs/>
          <w:lang w:eastAsia="fr-FR" w:bidi="he-IL"/>
        </w:rPr>
        <w:t>9 </w:t>
      </w:r>
      <w:r>
        <w:rPr>
          <w:rFonts w:eastAsia="Arial Unicode MS"/>
          <w:bCs/>
          <w:lang w:eastAsia="fr-FR" w:bidi="he-IL"/>
        </w:rPr>
        <w:t xml:space="preserve">; </w:t>
      </w:r>
      <w:r w:rsidRPr="00C8701B">
        <w:rPr>
          <w:rFonts w:eastAsia="Arial Unicode MS"/>
          <w:bCs/>
          <w:lang w:eastAsia="fr-FR" w:bidi="he-IL"/>
        </w:rPr>
        <w:t>etc.</w:t>
      </w:r>
    </w:p>
  </w:footnote>
  <w:footnote w:id="51">
    <w:p w:rsidR="00941AA6" w:rsidRPr="00946A1C"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Cf. Sedúlius</w:t>
      </w:r>
      <w:r>
        <w:rPr>
          <w:rFonts w:eastAsia="Arial Unicode MS"/>
          <w:bCs/>
          <w:lang w:eastAsia="fr-FR" w:bidi="he-IL"/>
        </w:rPr>
        <w:t xml:space="preserve">, </w:t>
      </w:r>
      <w:r w:rsidRPr="00DC4586">
        <w:rPr>
          <w:rStyle w:val="italicus"/>
        </w:rPr>
        <w:t>Carmen pasch.</w:t>
      </w:r>
    </w:p>
  </w:footnote>
  <w:footnote w:id="52">
    <w:p w:rsidR="00941AA6" w:rsidRPr="003A68DB" w:rsidRDefault="00941AA6">
      <w:pPr>
        <w:pStyle w:val="Notedebasdepage"/>
        <w:rPr>
          <w:lang w:val="en-US"/>
        </w:rPr>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II vivait au X</w:t>
      </w:r>
      <w:r>
        <w:rPr>
          <w:rFonts w:eastAsia="Arial Unicode MS"/>
          <w:bCs/>
          <w:lang w:eastAsia="fr-FR" w:bidi="he-IL"/>
        </w:rPr>
        <w:t>II</w:t>
      </w:r>
      <w:r w:rsidRPr="00C8701B">
        <w:rPr>
          <w:rFonts w:eastAsia="Arial Unicode MS"/>
          <w:bCs/>
          <w:vertAlign w:val="superscript"/>
          <w:lang w:eastAsia="fr-FR" w:bidi="he-IL"/>
        </w:rPr>
        <w:t>e</w:t>
      </w:r>
      <w:r w:rsidRPr="00C8701B">
        <w:rPr>
          <w:rFonts w:eastAsia="Arial Unicode MS"/>
          <w:bCs/>
          <w:lang w:eastAsia="fr-FR" w:bidi="he-IL"/>
        </w:rPr>
        <w:t xml:space="preserve"> siècle. </w:t>
      </w:r>
      <w:r w:rsidRPr="00C8701B">
        <w:rPr>
          <w:rFonts w:eastAsia="Arial Unicode MS"/>
          <w:bCs/>
          <w:lang w:val="en-US" w:eastAsia="fr-FR" w:bidi="he-IL"/>
        </w:rPr>
        <w:t>Cf. Trench</w:t>
      </w:r>
      <w:r>
        <w:rPr>
          <w:rFonts w:eastAsia="Arial Unicode MS"/>
          <w:bCs/>
          <w:lang w:val="en-US" w:eastAsia="fr-FR" w:bidi="he-IL"/>
        </w:rPr>
        <w:t xml:space="preserve">, </w:t>
      </w:r>
      <w:r w:rsidRPr="00A74F01">
        <w:rPr>
          <w:rStyle w:val="italicus"/>
          <w:lang w:val="en-US"/>
        </w:rPr>
        <w:t xml:space="preserve">Sacred Latin Poetry, </w:t>
      </w:r>
      <w:r w:rsidRPr="00C8701B">
        <w:rPr>
          <w:rFonts w:eastAsia="Arial Unicode MS"/>
          <w:bCs/>
          <w:lang w:val="en-US" w:eastAsia="fr-FR" w:bidi="he-IL"/>
        </w:rPr>
        <w:t>p. 67.</w:t>
      </w:r>
    </w:p>
  </w:footnote>
  <w:footnote w:id="53">
    <w:p w:rsidR="00941AA6" w:rsidRPr="003A68DB" w:rsidRDefault="00941AA6">
      <w:pPr>
        <w:pStyle w:val="Notedebasdepage"/>
        <w:rPr>
          <w:lang w:val="en-US"/>
        </w:rPr>
      </w:pPr>
      <w:r w:rsidRPr="00C406FF">
        <w:rPr>
          <w:rStyle w:val="Appelnotedebasdep"/>
        </w:rPr>
        <w:footnoteRef/>
      </w:r>
      <w:r w:rsidRPr="00946A1C">
        <w:rPr>
          <w:rFonts w:eastAsia="Arial Unicode MS"/>
          <w:lang w:val="es-ES" w:eastAsia="fr-FR" w:bidi="he-IL"/>
        </w:rPr>
        <w:t xml:space="preserve"> </w:t>
      </w:r>
      <w:r w:rsidRPr="0086643C">
        <w:t>Voyez Garrucci</w:t>
      </w:r>
      <w:r w:rsidRPr="00946A1C">
        <w:rPr>
          <w:rFonts w:eastAsia="Arial Unicode MS"/>
          <w:bCs/>
          <w:lang w:val="es-ES" w:eastAsia="fr-FR" w:bidi="he-IL"/>
        </w:rPr>
        <w:t xml:space="preserve">, </w:t>
      </w:r>
      <w:r w:rsidRPr="00946A1C">
        <w:rPr>
          <w:rStyle w:val="italicus"/>
          <w:lang w:val="es-ES"/>
        </w:rPr>
        <w:t>Storia dell</w:t>
      </w:r>
      <w:r>
        <w:rPr>
          <w:rStyle w:val="italicus"/>
          <w:lang w:val="es-ES"/>
        </w:rPr>
        <w:t>’</w:t>
      </w:r>
      <w:r w:rsidRPr="00946A1C">
        <w:rPr>
          <w:rStyle w:val="italicus"/>
          <w:lang w:val="es-ES"/>
        </w:rPr>
        <w:t xml:space="preserve">arte cristiana, </w:t>
      </w:r>
      <w:r w:rsidRPr="00946A1C">
        <w:rPr>
          <w:rFonts w:eastAsia="Arial Unicode MS"/>
          <w:bCs/>
          <w:lang w:val="es-ES" w:eastAsia="fr-FR" w:bidi="he-IL"/>
        </w:rPr>
        <w:t xml:space="preserve">Rome 1864, tav. </w:t>
      </w:r>
      <w:r w:rsidRPr="00C8701B">
        <w:rPr>
          <w:rFonts w:eastAsia="Arial Unicode MS"/>
          <w:bCs/>
          <w:lang w:eastAsia="fr-FR" w:bidi="he-IL"/>
        </w:rPr>
        <w:t>CC</w:t>
      </w:r>
      <w:r>
        <w:rPr>
          <w:rFonts w:eastAsia="Arial Unicode MS"/>
          <w:bCs/>
          <w:lang w:eastAsia="fr-FR" w:bidi="he-IL"/>
        </w:rPr>
        <w:t>VIII</w:t>
      </w:r>
      <w:r w:rsidRPr="00C8701B">
        <w:rPr>
          <w:rFonts w:eastAsia="Arial Unicode MS"/>
          <w:bCs/>
          <w:lang w:eastAsia="fr-FR" w:bidi="he-IL"/>
        </w:rPr>
        <w:t>.</w:t>
      </w:r>
    </w:p>
  </w:footnote>
  <w:footnote w:id="54">
    <w:p w:rsidR="00941AA6" w:rsidRPr="003A68DB" w:rsidRDefault="00941AA6">
      <w:pPr>
        <w:pStyle w:val="Notedebasdepage"/>
        <w:rPr>
          <w:lang w:val="en-US"/>
        </w:rPr>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Garrucci</w:t>
      </w:r>
      <w:r>
        <w:rPr>
          <w:rFonts w:eastAsia="Arial Unicode MS"/>
          <w:bCs/>
          <w:lang w:eastAsia="fr-FR" w:bidi="he-IL"/>
        </w:rPr>
        <w:t xml:space="preserve">, </w:t>
      </w:r>
      <w:r w:rsidRPr="00DC4586">
        <w:rPr>
          <w:rStyle w:val="italicus"/>
        </w:rPr>
        <w:t>ibid.</w:t>
      </w:r>
      <w:r>
        <w:rPr>
          <w:rStyle w:val="italicus"/>
        </w:rPr>
        <w:t xml:space="preserve">, </w:t>
      </w:r>
      <w:r w:rsidRPr="00C8701B">
        <w:rPr>
          <w:rFonts w:eastAsia="Arial Unicode MS"/>
          <w:bCs/>
          <w:lang w:eastAsia="fr-FR" w:bidi="he-IL"/>
        </w:rPr>
        <w:t>tav. CCX</w:t>
      </w:r>
      <w:r>
        <w:rPr>
          <w:rFonts w:eastAsia="Arial Unicode MS"/>
          <w:bCs/>
          <w:lang w:eastAsia="fr-FR" w:bidi="he-IL"/>
        </w:rPr>
        <w:t>, CC</w:t>
      </w:r>
      <w:r w:rsidRPr="00C8701B">
        <w:rPr>
          <w:rFonts w:eastAsia="Arial Unicode MS"/>
          <w:bCs/>
          <w:lang w:eastAsia="fr-FR" w:bidi="he-IL"/>
        </w:rPr>
        <w:t>XI.</w:t>
      </w:r>
    </w:p>
  </w:footnote>
  <w:footnote w:id="55">
    <w:p w:rsidR="00941AA6" w:rsidRPr="003A68DB" w:rsidRDefault="00941AA6">
      <w:pPr>
        <w:pStyle w:val="Notedebasdepage"/>
        <w:rPr>
          <w:lang w:val="en-US"/>
        </w:rPr>
      </w:pPr>
      <w:r w:rsidRPr="00C406FF">
        <w:rPr>
          <w:rStyle w:val="Appelnotedebasdep"/>
        </w:rPr>
        <w:footnoteRef/>
      </w:r>
      <w:r w:rsidRPr="00A74F01">
        <w:rPr>
          <w:rFonts w:eastAsia="Arial Unicode MS"/>
          <w:lang w:eastAsia="fr-FR" w:bidi="he-IL"/>
        </w:rPr>
        <w:t xml:space="preserve"> </w:t>
      </w:r>
      <w:r w:rsidRPr="00A74F01">
        <w:rPr>
          <w:rFonts w:eastAsia="Arial Unicode MS"/>
          <w:bCs/>
          <w:lang w:eastAsia="fr-FR" w:bidi="he-IL"/>
        </w:rPr>
        <w:t xml:space="preserve">Garrucci, </w:t>
      </w:r>
      <w:r w:rsidRPr="00DC4586">
        <w:rPr>
          <w:rStyle w:val="italicus"/>
        </w:rPr>
        <w:t>ibid.</w:t>
      </w:r>
      <w:r>
        <w:rPr>
          <w:rStyle w:val="italicus"/>
        </w:rPr>
        <w:t xml:space="preserve">, </w:t>
      </w:r>
      <w:r w:rsidRPr="00A74F01">
        <w:rPr>
          <w:rFonts w:eastAsia="Arial Unicode MS"/>
          <w:bCs/>
          <w:lang w:eastAsia="fr-FR" w:bidi="he-IL"/>
        </w:rPr>
        <w:t>tav. CCLIII, CCLVII, CCLXV.</w:t>
      </w:r>
    </w:p>
  </w:footnote>
  <w:footnote w:id="56">
    <w:p w:rsidR="00941AA6" w:rsidRPr="00557DE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 xml:space="preserve">Voyez F. </w:t>
      </w:r>
      <w:r>
        <w:rPr>
          <w:rFonts w:eastAsia="Arial Unicode MS"/>
          <w:bCs/>
          <w:lang w:eastAsia="fr-FR" w:bidi="he-IL"/>
        </w:rPr>
        <w:t>X</w:t>
      </w:r>
      <w:r w:rsidRPr="00C8701B">
        <w:rPr>
          <w:rFonts w:eastAsia="Arial Unicode MS"/>
          <w:bCs/>
          <w:lang w:eastAsia="fr-FR" w:bidi="he-IL"/>
        </w:rPr>
        <w:t>. Kraus</w:t>
      </w:r>
      <w:r w:rsidRPr="00DC4586">
        <w:rPr>
          <w:rStyle w:val="italicus"/>
        </w:rPr>
        <w:t>. Rea</w:t>
      </w:r>
      <w:r>
        <w:rPr>
          <w:rStyle w:val="italicus"/>
        </w:rPr>
        <w:t>l</w:t>
      </w:r>
      <w:r w:rsidRPr="00DC4586">
        <w:rPr>
          <w:rStyle w:val="italicus"/>
        </w:rPr>
        <w:t>-Encykl</w:t>
      </w:r>
      <w:r>
        <w:rPr>
          <w:rStyle w:val="italicus"/>
        </w:rPr>
        <w:t>opædie der christlichen Alterthü</w:t>
      </w:r>
      <w:r w:rsidRPr="00DC4586">
        <w:rPr>
          <w:rStyle w:val="italicus"/>
        </w:rPr>
        <w:t>mer</w:t>
      </w:r>
      <w:r>
        <w:rPr>
          <w:rStyle w:val="italicus"/>
        </w:rPr>
        <w:t xml:space="preserve">, </w:t>
      </w:r>
      <w:r w:rsidRPr="00C8701B">
        <w:rPr>
          <w:rFonts w:eastAsia="Arial Unicode MS"/>
          <w:bCs/>
          <w:lang w:eastAsia="fr-FR" w:bidi="he-IL"/>
        </w:rPr>
        <w:t>Fribourg</w:t>
      </w:r>
      <w:r>
        <w:rPr>
          <w:rFonts w:eastAsia="Arial Unicode MS"/>
          <w:bCs/>
          <w:lang w:eastAsia="fr-FR" w:bidi="he-IL"/>
        </w:rPr>
        <w:t>-</w:t>
      </w:r>
      <w:r w:rsidRPr="00C8701B">
        <w:rPr>
          <w:rFonts w:eastAsia="Arial Unicode MS"/>
          <w:bCs/>
          <w:lang w:eastAsia="fr-FR" w:bidi="he-IL"/>
        </w:rPr>
        <w:t>en</w:t>
      </w:r>
      <w:r>
        <w:rPr>
          <w:rFonts w:eastAsia="Arial Unicode MS"/>
          <w:bCs/>
          <w:lang w:eastAsia="fr-FR" w:bidi="he-IL"/>
        </w:rPr>
        <w:t>-</w:t>
      </w:r>
      <w:r w:rsidRPr="00C8701B">
        <w:rPr>
          <w:rFonts w:eastAsia="Arial Unicode MS"/>
          <w:bCs/>
          <w:lang w:eastAsia="fr-FR" w:bidi="he-IL"/>
        </w:rPr>
        <w:t>Brisgau</w:t>
      </w:r>
      <w:r>
        <w:rPr>
          <w:rFonts w:eastAsia="Arial Unicode MS"/>
          <w:bCs/>
          <w:lang w:eastAsia="fr-FR" w:bidi="he-IL"/>
        </w:rPr>
        <w:t xml:space="preserve">, </w:t>
      </w:r>
      <w:r w:rsidRPr="00C8701B">
        <w:rPr>
          <w:rFonts w:eastAsia="Arial Unicode MS"/>
          <w:bCs/>
          <w:lang w:eastAsia="fr-FR" w:bidi="he-IL"/>
        </w:rPr>
        <w:t>1879 et ss.</w:t>
      </w:r>
      <w:r>
        <w:rPr>
          <w:rFonts w:eastAsia="Arial Unicode MS"/>
          <w:bCs/>
          <w:lang w:eastAsia="fr-FR" w:bidi="he-IL"/>
        </w:rPr>
        <w:t xml:space="preserve">, </w:t>
      </w:r>
      <w:r w:rsidRPr="00C8701B">
        <w:rPr>
          <w:rFonts w:eastAsia="Arial Unicode MS"/>
          <w:bCs/>
          <w:lang w:eastAsia="fr-FR" w:bidi="he-IL"/>
        </w:rPr>
        <w:t>p. 460 461 </w:t>
      </w:r>
      <w:r>
        <w:rPr>
          <w:rFonts w:eastAsia="Arial Unicode MS"/>
          <w:bCs/>
          <w:lang w:eastAsia="fr-FR" w:bidi="he-IL"/>
        </w:rPr>
        <w:t xml:space="preserve">; </w:t>
      </w:r>
      <w:r w:rsidRPr="00C8701B">
        <w:rPr>
          <w:rFonts w:eastAsia="Arial Unicode MS"/>
          <w:bCs/>
          <w:lang w:eastAsia="fr-FR" w:bidi="he-IL"/>
        </w:rPr>
        <w:t>Martigny</w:t>
      </w:r>
      <w:r>
        <w:rPr>
          <w:rFonts w:eastAsia="Arial Unicode MS"/>
          <w:bCs/>
          <w:lang w:eastAsia="fr-FR" w:bidi="he-IL"/>
        </w:rPr>
        <w:t xml:space="preserve">, </w:t>
      </w:r>
      <w:r w:rsidRPr="00DC4586">
        <w:rPr>
          <w:rStyle w:val="italicus"/>
        </w:rPr>
        <w:t>Dictionnaire des antiquités chrétiennes</w:t>
      </w:r>
      <w:r>
        <w:rPr>
          <w:rStyle w:val="italicus"/>
        </w:rPr>
        <w:t xml:space="preserve">, </w:t>
      </w:r>
      <w:r w:rsidRPr="00C8701B">
        <w:rPr>
          <w:rFonts w:eastAsia="Arial Unicode MS"/>
          <w:bCs/>
          <w:lang w:eastAsia="fr-FR" w:bidi="he-IL"/>
        </w:rPr>
        <w:t>aux mots Éva</w:t>
      </w:r>
      <w:r>
        <w:rPr>
          <w:rFonts w:eastAsia="Arial Unicode MS"/>
          <w:bCs/>
          <w:lang w:eastAsia="fr-FR" w:bidi="he-IL"/>
        </w:rPr>
        <w:t>n</w:t>
      </w:r>
      <w:r w:rsidRPr="00C8701B">
        <w:rPr>
          <w:rFonts w:eastAsia="Arial Unicode MS"/>
          <w:bCs/>
          <w:lang w:eastAsia="fr-FR" w:bidi="he-IL"/>
        </w:rPr>
        <w:t>gélistes</w:t>
      </w:r>
      <w:r>
        <w:rPr>
          <w:rFonts w:eastAsia="Arial Unicode MS"/>
          <w:bCs/>
          <w:lang w:eastAsia="fr-FR" w:bidi="he-IL"/>
        </w:rPr>
        <w:t>, Évangile</w:t>
      </w:r>
      <w:r w:rsidRPr="00C8701B">
        <w:rPr>
          <w:rFonts w:eastAsia="Arial Unicode MS"/>
          <w:bCs/>
          <w:lang w:eastAsia="fr-FR" w:bidi="he-IL"/>
        </w:rPr>
        <w:t>s </w:t>
      </w:r>
      <w:r>
        <w:rPr>
          <w:rFonts w:eastAsia="Arial Unicode MS"/>
          <w:bCs/>
          <w:lang w:eastAsia="fr-FR" w:bidi="he-IL"/>
        </w:rPr>
        <w:t xml:space="preserve">; </w:t>
      </w:r>
      <w:r w:rsidRPr="00C8701B">
        <w:rPr>
          <w:rFonts w:eastAsia="Arial Unicode MS"/>
          <w:bCs/>
          <w:lang w:eastAsia="fr-FR" w:bidi="he-IL"/>
        </w:rPr>
        <w:t>Viollet-le-Duc</w:t>
      </w:r>
      <w:r>
        <w:rPr>
          <w:rFonts w:eastAsia="Arial Unicode MS"/>
          <w:bCs/>
          <w:lang w:eastAsia="fr-FR" w:bidi="he-IL"/>
        </w:rPr>
        <w:t xml:space="preserve">, </w:t>
      </w:r>
      <w:r w:rsidRPr="00DC4586">
        <w:rPr>
          <w:rStyle w:val="italicus"/>
        </w:rPr>
        <w:t>Dictionnaire de l</w:t>
      </w:r>
      <w:r>
        <w:rPr>
          <w:rStyle w:val="italicus"/>
        </w:rPr>
        <w:t>’architecture fran</w:t>
      </w:r>
      <w:r w:rsidRPr="00DC4586">
        <w:rPr>
          <w:rStyle w:val="italicus"/>
        </w:rPr>
        <w:t>çaise du</w:t>
      </w:r>
      <w:r w:rsidRPr="00C8701B">
        <w:rPr>
          <w:rFonts w:eastAsia="Arial Unicode MS"/>
          <w:bCs/>
          <w:lang w:eastAsia="fr-FR" w:bidi="he-IL"/>
        </w:rPr>
        <w:t xml:space="preserve"> </w:t>
      </w:r>
      <w:r>
        <w:rPr>
          <w:rFonts w:eastAsia="Arial Unicode MS"/>
          <w:bCs/>
          <w:lang w:eastAsia="fr-FR" w:bidi="he-IL"/>
        </w:rPr>
        <w:t>XIe</w:t>
      </w:r>
      <w:r w:rsidRPr="00DC4586">
        <w:rPr>
          <w:rStyle w:val="italicus"/>
        </w:rPr>
        <w:t xml:space="preserve"> siècle au</w:t>
      </w:r>
      <w:r w:rsidRPr="00C8701B">
        <w:rPr>
          <w:rFonts w:eastAsia="Arial Unicode MS"/>
          <w:bCs/>
          <w:lang w:eastAsia="fr-FR" w:bidi="he-IL"/>
        </w:rPr>
        <w:t xml:space="preserve"> </w:t>
      </w:r>
      <w:r>
        <w:rPr>
          <w:rFonts w:eastAsia="Arial Unicode MS"/>
          <w:bCs/>
          <w:lang w:val="el-GR" w:eastAsia="fr-FR" w:bidi="he-IL"/>
        </w:rPr>
        <w:t>XVI</w:t>
      </w:r>
      <w:r>
        <w:rPr>
          <w:rFonts w:eastAsia="Arial Unicode MS"/>
          <w:bCs/>
          <w:lang w:eastAsia="fr-FR" w:bidi="he-IL"/>
        </w:rPr>
        <w:t xml:space="preserve">e </w:t>
      </w:r>
      <w:r w:rsidRPr="00DC4586">
        <w:rPr>
          <w:rStyle w:val="italicus"/>
        </w:rPr>
        <w:t>siècle</w:t>
      </w:r>
      <w:r>
        <w:rPr>
          <w:rStyle w:val="italicus"/>
        </w:rPr>
        <w:t xml:space="preserve">, </w:t>
      </w:r>
      <w:r w:rsidRPr="00C8701B">
        <w:rPr>
          <w:rFonts w:eastAsia="Arial Unicode MS"/>
          <w:bCs/>
          <w:lang w:eastAsia="fr-FR" w:bidi="he-IL"/>
        </w:rPr>
        <w:t>t. I</w:t>
      </w:r>
      <w:r>
        <w:rPr>
          <w:rFonts w:eastAsia="Arial Unicode MS"/>
          <w:bCs/>
          <w:lang w:eastAsia="fr-FR" w:bidi="he-IL"/>
        </w:rPr>
        <w:t xml:space="preserve">, </w:t>
      </w:r>
      <w:r w:rsidRPr="00C8701B">
        <w:rPr>
          <w:rFonts w:eastAsia="Arial Unicode MS"/>
          <w:bCs/>
          <w:lang w:eastAsia="fr-FR" w:bidi="he-IL"/>
        </w:rPr>
        <w:t>p. 20 et s.</w:t>
      </w:r>
      <w:r>
        <w:rPr>
          <w:rFonts w:eastAsia="Arial Unicode MS"/>
          <w:bCs/>
          <w:lang w:eastAsia="fr-FR" w:bidi="he-IL"/>
        </w:rPr>
        <w:t xml:space="preserve">, </w:t>
      </w:r>
      <w:r w:rsidRPr="00C8701B">
        <w:rPr>
          <w:rFonts w:eastAsia="Arial Unicode MS"/>
          <w:bCs/>
          <w:lang w:eastAsia="fr-FR" w:bidi="he-IL"/>
        </w:rPr>
        <w:t>t</w:t>
      </w:r>
      <w:r>
        <w:rPr>
          <w:rFonts w:eastAsia="Arial Unicode MS"/>
          <w:bCs/>
          <w:lang w:eastAsia="fr-FR" w:bidi="he-IL"/>
        </w:rPr>
        <w:t xml:space="preserve">, V, </w:t>
      </w:r>
      <w:r w:rsidRPr="00C8701B">
        <w:rPr>
          <w:rFonts w:eastAsia="Arial Unicode MS"/>
          <w:bCs/>
          <w:lang w:eastAsia="fr-FR" w:bidi="he-IL"/>
        </w:rPr>
        <w:t>p. 350.</w:t>
      </w:r>
    </w:p>
  </w:footnote>
  <w:footnote w:id="57">
    <w:p w:rsidR="00941AA6" w:rsidRPr="00946A1C" w:rsidRDefault="00941AA6">
      <w:pPr>
        <w:pStyle w:val="Notedebasdepage"/>
        <w:rPr>
          <w:lang w:val="en-US"/>
        </w:rPr>
      </w:pPr>
      <w:r w:rsidRPr="00C406FF">
        <w:rPr>
          <w:rStyle w:val="Appelnotedebasdep"/>
        </w:rPr>
        <w:footnoteRef/>
      </w:r>
      <w:r w:rsidRPr="00C8701B">
        <w:rPr>
          <w:lang w:eastAsia="fr-FR" w:bidi="he-IL"/>
        </w:rPr>
        <w:t xml:space="preserve"> Voyez Garrucci</w:t>
      </w:r>
      <w:r>
        <w:rPr>
          <w:lang w:eastAsia="fr-FR" w:bidi="he-IL"/>
        </w:rPr>
        <w:t xml:space="preserve">, </w:t>
      </w:r>
      <w:r w:rsidRPr="00DC4586">
        <w:rPr>
          <w:rStyle w:val="italicus"/>
        </w:rPr>
        <w:t>Storia</w:t>
      </w:r>
      <w:r>
        <w:rPr>
          <w:rStyle w:val="italicus"/>
        </w:rPr>
        <w:t xml:space="preserve">, </w:t>
      </w:r>
      <w:r w:rsidRPr="00C8701B">
        <w:rPr>
          <w:lang w:eastAsia="fr-FR" w:bidi="he-IL"/>
        </w:rPr>
        <w:t>tav. CCLXI</w:t>
      </w:r>
      <w:r>
        <w:rPr>
          <w:lang w:eastAsia="fr-FR" w:bidi="he-IL"/>
        </w:rPr>
        <w:t>, CCLXIII</w:t>
      </w:r>
      <w:r w:rsidRPr="00C8701B">
        <w:rPr>
          <w:lang w:eastAsia="fr-FR" w:bidi="he-IL"/>
        </w:rPr>
        <w:t> </w:t>
      </w:r>
      <w:r>
        <w:rPr>
          <w:lang w:eastAsia="fr-FR" w:bidi="he-IL"/>
        </w:rPr>
        <w:t xml:space="preserve">; </w:t>
      </w:r>
      <w:r w:rsidRPr="00C8701B">
        <w:rPr>
          <w:lang w:eastAsia="fr-FR" w:bidi="he-IL"/>
        </w:rPr>
        <w:t xml:space="preserve">F. </w:t>
      </w:r>
      <w:r>
        <w:rPr>
          <w:lang w:eastAsia="fr-FR" w:bidi="he-IL"/>
        </w:rPr>
        <w:t>X</w:t>
      </w:r>
      <w:r w:rsidRPr="00C8701B">
        <w:rPr>
          <w:lang w:eastAsia="fr-FR" w:bidi="he-IL"/>
        </w:rPr>
        <w:t>. Kraus</w:t>
      </w:r>
      <w:r>
        <w:rPr>
          <w:lang w:eastAsia="fr-FR" w:bidi="he-IL"/>
        </w:rPr>
        <w:t xml:space="preserve">, </w:t>
      </w:r>
      <w:r w:rsidRPr="00E6137B">
        <w:rPr>
          <w:rStyle w:val="italicus"/>
        </w:rPr>
        <w:t>t. c.,</w:t>
      </w:r>
      <w:r>
        <w:rPr>
          <w:rStyle w:val="italicus"/>
        </w:rPr>
        <w:t xml:space="preserve"> </w:t>
      </w:r>
      <w:r w:rsidRPr="00C8701B">
        <w:rPr>
          <w:lang w:eastAsia="fr-FR" w:bidi="he-IL"/>
        </w:rPr>
        <w:t>p. 462 </w:t>
      </w:r>
      <w:r>
        <w:rPr>
          <w:lang w:eastAsia="fr-FR" w:bidi="he-IL"/>
        </w:rPr>
        <w:t xml:space="preserve">; </w:t>
      </w:r>
      <w:r w:rsidRPr="00C8701B">
        <w:rPr>
          <w:lang w:eastAsia="fr-FR" w:bidi="he-IL"/>
        </w:rPr>
        <w:t>Cahier</w:t>
      </w:r>
      <w:r>
        <w:rPr>
          <w:lang w:eastAsia="fr-FR" w:bidi="he-IL"/>
        </w:rPr>
        <w:t xml:space="preserve">, </w:t>
      </w:r>
      <w:r w:rsidRPr="00DC4586">
        <w:rPr>
          <w:rStyle w:val="italicus"/>
        </w:rPr>
        <w:t>Caractéristique des Saints</w:t>
      </w:r>
      <w:r>
        <w:rPr>
          <w:rStyle w:val="italicus"/>
        </w:rPr>
        <w:t xml:space="preserve">, </w:t>
      </w:r>
      <w:r w:rsidRPr="00C8701B">
        <w:rPr>
          <w:lang w:eastAsia="fr-FR" w:bidi="he-IL"/>
        </w:rPr>
        <w:t>t. I</w:t>
      </w:r>
      <w:r>
        <w:rPr>
          <w:lang w:eastAsia="fr-FR" w:bidi="he-IL"/>
        </w:rPr>
        <w:t xml:space="preserve">, </w:t>
      </w:r>
      <w:r w:rsidRPr="00C8701B">
        <w:rPr>
          <w:lang w:eastAsia="fr-FR" w:bidi="he-IL"/>
        </w:rPr>
        <w:t>p. 395.</w:t>
      </w:r>
    </w:p>
  </w:footnote>
  <w:footnote w:id="58">
    <w:p w:rsidR="00941AA6" w:rsidRPr="00946A1C" w:rsidRDefault="00941AA6">
      <w:pPr>
        <w:pStyle w:val="Notedebasdepage"/>
      </w:pPr>
      <w:r w:rsidRPr="00C406FF">
        <w:rPr>
          <w:rStyle w:val="Appelnotedebasdep"/>
        </w:rPr>
        <w:footnoteRef/>
      </w:r>
      <w:r w:rsidRPr="00C8701B">
        <w:rPr>
          <w:lang w:eastAsia="fr-FR" w:bidi="he-IL"/>
        </w:rPr>
        <w:t xml:space="preserve"> Tours</w:t>
      </w:r>
      <w:r>
        <w:rPr>
          <w:lang w:eastAsia="fr-FR" w:bidi="he-IL"/>
        </w:rPr>
        <w:t xml:space="preserve">, </w:t>
      </w:r>
      <w:r w:rsidRPr="00C8701B">
        <w:rPr>
          <w:lang w:eastAsia="fr-FR" w:bidi="he-IL"/>
        </w:rPr>
        <w:t>1874.</w:t>
      </w:r>
    </w:p>
  </w:footnote>
  <w:footnote w:id="59">
    <w:p w:rsidR="00941AA6" w:rsidRPr="00946A1C" w:rsidRDefault="00941AA6" w:rsidP="001A4F8D">
      <w:pPr>
        <w:pStyle w:val="Notedebasdepage"/>
      </w:pPr>
      <w:r w:rsidRPr="00C406FF">
        <w:rPr>
          <w:rStyle w:val="Appelnotedebasdep"/>
        </w:rPr>
        <w:footnoteRef/>
      </w:r>
      <w:r w:rsidRPr="00C8701B">
        <w:rPr>
          <w:lang w:eastAsia="fr-FR" w:bidi="he-IL"/>
        </w:rPr>
        <w:t xml:space="preserve"> Voyez la page </w:t>
      </w:r>
      <w:r w:rsidR="00691E6B">
        <w:rPr>
          <w:lang w:eastAsia="fr-FR" w:bidi="he-IL"/>
        </w:rPr>
        <w:fldChar w:fldCharType="begin"/>
      </w:r>
      <w:r w:rsidR="001A4F8D">
        <w:rPr>
          <w:lang w:eastAsia="fr-FR" w:bidi="he-IL"/>
        </w:rPr>
        <w:instrText xml:space="preserve"> PAGEREF evin02 \h </w:instrText>
      </w:r>
      <w:r w:rsidR="00691E6B">
        <w:rPr>
          <w:lang w:eastAsia="fr-FR" w:bidi="he-IL"/>
        </w:rPr>
      </w:r>
      <w:r w:rsidR="00691E6B">
        <w:rPr>
          <w:lang w:eastAsia="fr-FR" w:bidi="he-IL"/>
        </w:rPr>
        <w:fldChar w:fldCharType="separate"/>
      </w:r>
      <w:r w:rsidR="00635395">
        <w:rPr>
          <w:noProof/>
          <w:lang w:eastAsia="fr-FR" w:bidi="he-IL"/>
        </w:rPr>
        <w:t>3</w:t>
      </w:r>
      <w:r w:rsidR="00691E6B">
        <w:rPr>
          <w:lang w:eastAsia="fr-FR" w:bidi="he-IL"/>
        </w:rPr>
        <w:fldChar w:fldCharType="end"/>
      </w:r>
      <w:r>
        <w:rPr>
          <w:lang w:eastAsia="fr-FR" w:bidi="he-IL"/>
        </w:rPr>
        <w:t>[</w:t>
      </w:r>
      <w:r w:rsidRPr="00C8701B">
        <w:rPr>
          <w:lang w:eastAsia="fr-FR" w:bidi="he-IL"/>
        </w:rPr>
        <w:t>3</w:t>
      </w:r>
      <w:r>
        <w:rPr>
          <w:lang w:eastAsia="fr-FR" w:bidi="he-IL"/>
        </w:rPr>
        <w:t>]</w:t>
      </w:r>
      <w:r w:rsidRPr="00C8701B">
        <w:rPr>
          <w:lang w:eastAsia="fr-FR" w:bidi="he-IL"/>
        </w:rPr>
        <w:t>.</w:t>
      </w:r>
    </w:p>
  </w:footnote>
  <w:footnote w:id="60">
    <w:p w:rsidR="00941AA6" w:rsidRPr="00946A1C" w:rsidRDefault="00941AA6" w:rsidP="00946A1C">
      <w:pPr>
        <w:pStyle w:val="Notedebasdepage"/>
      </w:pPr>
      <w:r w:rsidRPr="00C406FF">
        <w:rPr>
          <w:rStyle w:val="Appelnotedebasdep"/>
        </w:rPr>
        <w:footnoteRef/>
      </w:r>
      <w:r w:rsidRPr="00C8701B">
        <w:rPr>
          <w:lang w:eastAsia="fr-FR" w:bidi="he-IL"/>
        </w:rPr>
        <w:t xml:space="preserve"> Voyez Kraus</w:t>
      </w:r>
      <w:r>
        <w:rPr>
          <w:lang w:eastAsia="fr-FR" w:bidi="he-IL"/>
        </w:rPr>
        <w:t xml:space="preserve">, </w:t>
      </w:r>
      <w:r>
        <w:rPr>
          <w:rStyle w:val="italicus"/>
        </w:rPr>
        <w:t>loc. cit</w:t>
      </w:r>
      <w:r w:rsidRPr="00DC4586">
        <w:rPr>
          <w:rStyle w:val="italicus"/>
        </w:rPr>
        <w:t>.</w:t>
      </w:r>
    </w:p>
  </w:footnote>
  <w:footnote w:id="61">
    <w:p w:rsidR="00941AA6" w:rsidRPr="00946A1C" w:rsidRDefault="00941AA6">
      <w:pPr>
        <w:pStyle w:val="Notedebasdepage"/>
        <w:rPr>
          <w:lang w:val="en-US"/>
        </w:rPr>
      </w:pPr>
      <w:r w:rsidRPr="00C406FF">
        <w:rPr>
          <w:rStyle w:val="Appelnotedebasdep"/>
        </w:rPr>
        <w:footnoteRef/>
      </w:r>
      <w:r w:rsidRPr="00A74F01">
        <w:rPr>
          <w:lang w:val="en-US" w:eastAsia="fr-FR" w:bidi="he-IL"/>
        </w:rPr>
        <w:t xml:space="preserve"> Garrucci, </w:t>
      </w:r>
      <w:r w:rsidRPr="00A74F01">
        <w:rPr>
          <w:rStyle w:val="italicus"/>
          <w:lang w:val="en-US"/>
        </w:rPr>
        <w:t xml:space="preserve">l. c., </w:t>
      </w:r>
      <w:r w:rsidRPr="00A74F01">
        <w:rPr>
          <w:lang w:val="en-US" w:eastAsia="fr-FR" w:bidi="he-IL"/>
        </w:rPr>
        <w:t>tav. XVII, 2 ; CCLIV.</w:t>
      </w:r>
    </w:p>
  </w:footnote>
  <w:footnote w:id="62">
    <w:p w:rsidR="00941AA6" w:rsidRPr="00C8701B" w:rsidRDefault="00941AA6" w:rsidP="00946A1C">
      <w:pPr>
        <w:pStyle w:val="Notedebasdepage"/>
        <w:rPr>
          <w:lang w:eastAsia="fr-FR" w:bidi="he-IL"/>
        </w:rPr>
      </w:pPr>
      <w:r w:rsidRPr="00C406FF">
        <w:rPr>
          <w:rStyle w:val="Appelnotedebasdep"/>
        </w:rPr>
        <w:footnoteRef/>
      </w:r>
      <w:r w:rsidRPr="00A74F01">
        <w:rPr>
          <w:lang w:val="en-US" w:eastAsia="fr-FR" w:bidi="he-IL"/>
        </w:rPr>
        <w:t xml:space="preserve"> </w:t>
      </w:r>
      <w:r w:rsidRPr="00A74F01">
        <w:rPr>
          <w:rStyle w:val="italicus"/>
          <w:lang w:val="en-US"/>
        </w:rPr>
        <w:t xml:space="preserve">Ibid., </w:t>
      </w:r>
      <w:r w:rsidRPr="00A74F01">
        <w:rPr>
          <w:lang w:val="en-US" w:eastAsia="fr-FR" w:bidi="he-IL"/>
        </w:rPr>
        <w:t xml:space="preserve">tav. </w:t>
      </w:r>
      <w:r w:rsidRPr="00C8701B">
        <w:rPr>
          <w:lang w:eastAsia="fr-FR" w:bidi="he-IL"/>
        </w:rPr>
        <w:t>CCVII</w:t>
      </w:r>
      <w:r>
        <w:rPr>
          <w:lang w:eastAsia="fr-FR" w:bidi="he-IL"/>
        </w:rPr>
        <w:t xml:space="preserve">, </w:t>
      </w:r>
      <w:r w:rsidRPr="00C8701B">
        <w:rPr>
          <w:lang w:eastAsia="fr-FR" w:bidi="he-IL"/>
        </w:rPr>
        <w:t>1. S. Paulin</w:t>
      </w:r>
      <w:r>
        <w:rPr>
          <w:lang w:eastAsia="fr-FR" w:bidi="he-IL"/>
        </w:rPr>
        <w:t xml:space="preserve">, </w:t>
      </w:r>
      <w:r w:rsidRPr="00DC4586">
        <w:rPr>
          <w:rStyle w:val="italicus"/>
        </w:rPr>
        <w:t>Epist.</w:t>
      </w:r>
      <w:r w:rsidRPr="00C8701B">
        <w:rPr>
          <w:lang w:eastAsia="fr-FR" w:bidi="he-IL"/>
        </w:rPr>
        <w:t xml:space="preserve"> </w:t>
      </w:r>
      <w:r>
        <w:rPr>
          <w:lang w:eastAsia="fr-FR" w:bidi="he-IL"/>
        </w:rPr>
        <w:t xml:space="preserve">XII, </w:t>
      </w:r>
      <w:r w:rsidRPr="00C8701B">
        <w:rPr>
          <w:lang w:eastAsia="fr-FR" w:bidi="he-IL"/>
        </w:rPr>
        <w:t xml:space="preserve">a décrit cette représentation dans les trois vers suivants : </w:t>
      </w:r>
    </w:p>
    <w:p w:rsidR="00941AA6" w:rsidRPr="00C833D7" w:rsidRDefault="00941AA6" w:rsidP="00946A1C">
      <w:pPr>
        <w:pStyle w:val="Notedebasdepage"/>
      </w:pPr>
      <w:r w:rsidRPr="00C833D7">
        <w:t>Pe</w:t>
      </w:r>
      <w:r>
        <w:t>tram supérstat Ipse petra Ecclés</w:t>
      </w:r>
      <w:r w:rsidRPr="00C833D7">
        <w:t xml:space="preserve">iæ, </w:t>
      </w:r>
    </w:p>
    <w:p w:rsidR="00941AA6" w:rsidRPr="00C833D7" w:rsidRDefault="00941AA6" w:rsidP="00946A1C">
      <w:pPr>
        <w:pStyle w:val="Notedebasdepage"/>
      </w:pPr>
      <w:r>
        <w:t>De qua sonó</w:t>
      </w:r>
      <w:r w:rsidRPr="00C833D7">
        <w:t xml:space="preserve">ri quátuor fonte meant </w:t>
      </w:r>
    </w:p>
    <w:p w:rsidR="00941AA6" w:rsidRPr="00946A1C" w:rsidRDefault="00941AA6" w:rsidP="00946A1C">
      <w:pPr>
        <w:pStyle w:val="Notedebasdepage"/>
        <w:rPr>
          <w:lang w:val="en-US"/>
        </w:rPr>
      </w:pPr>
      <w:r w:rsidRPr="00C833D7">
        <w:t>Evangelístæ, viva Christi flúmina.</w:t>
      </w:r>
    </w:p>
  </w:footnote>
  <w:footnote w:id="63">
    <w:p w:rsidR="00941AA6" w:rsidRPr="00946A1C" w:rsidRDefault="00941AA6">
      <w:pPr>
        <w:pStyle w:val="Notedebasdepage"/>
        <w:rPr>
          <w:lang w:val="en-US"/>
        </w:rPr>
      </w:pPr>
      <w:r w:rsidRPr="00C406FF">
        <w:rPr>
          <w:rStyle w:val="Appelnotedebasdep"/>
        </w:rPr>
        <w:footnoteRef/>
      </w:r>
      <w:r w:rsidRPr="00C8701B">
        <w:rPr>
          <w:lang w:eastAsia="fr-FR" w:bidi="he-IL"/>
        </w:rPr>
        <w:t xml:space="preserve"> Voyez Le Blant</w:t>
      </w:r>
      <w:r>
        <w:rPr>
          <w:lang w:eastAsia="fr-FR" w:bidi="he-IL"/>
        </w:rPr>
        <w:t xml:space="preserve">, </w:t>
      </w:r>
      <w:r w:rsidRPr="00DC4586">
        <w:rPr>
          <w:rStyle w:val="italicus"/>
        </w:rPr>
        <w:t>Inscriptions chrétiennes de la Gaule</w:t>
      </w:r>
      <w:r>
        <w:rPr>
          <w:rStyle w:val="italicus"/>
        </w:rPr>
        <w:t xml:space="preserve">, </w:t>
      </w:r>
      <w:r w:rsidRPr="00C8701B">
        <w:rPr>
          <w:lang w:eastAsia="fr-FR" w:bidi="he-IL"/>
        </w:rPr>
        <w:t>n. 624 </w:t>
      </w:r>
      <w:r>
        <w:rPr>
          <w:lang w:eastAsia="fr-FR" w:bidi="he-IL"/>
        </w:rPr>
        <w:t xml:space="preserve">; </w:t>
      </w:r>
      <w:r w:rsidRPr="00C8701B">
        <w:rPr>
          <w:lang w:eastAsia="fr-FR" w:bidi="he-IL"/>
        </w:rPr>
        <w:t>Garrucci</w:t>
      </w:r>
      <w:r>
        <w:rPr>
          <w:lang w:eastAsia="fr-FR" w:bidi="he-IL"/>
        </w:rPr>
        <w:t xml:space="preserve">, </w:t>
      </w:r>
      <w:r w:rsidRPr="00DC4586">
        <w:rPr>
          <w:rStyle w:val="italicus"/>
        </w:rPr>
        <w:t>l.</w:t>
      </w:r>
      <w:r w:rsidRPr="00C8701B">
        <w:rPr>
          <w:lang w:eastAsia="fr-FR" w:bidi="he-IL"/>
        </w:rPr>
        <w:t xml:space="preserve"> c.</w:t>
      </w:r>
      <w:r>
        <w:rPr>
          <w:lang w:eastAsia="fr-FR" w:bidi="he-IL"/>
        </w:rPr>
        <w:t xml:space="preserve">, </w:t>
      </w:r>
      <w:r w:rsidRPr="00C8701B">
        <w:rPr>
          <w:lang w:eastAsia="fr-FR" w:bidi="he-IL"/>
        </w:rPr>
        <w:t xml:space="preserve">tav. </w:t>
      </w:r>
      <w:r>
        <w:rPr>
          <w:lang w:eastAsia="fr-FR" w:bidi="he-IL"/>
        </w:rPr>
        <w:t xml:space="preserve">CCCXXX, </w:t>
      </w:r>
      <w:r w:rsidRPr="00C8701B">
        <w:rPr>
          <w:lang w:eastAsia="fr-FR" w:bidi="he-IL"/>
        </w:rPr>
        <w:t>2.</w:t>
      </w:r>
    </w:p>
  </w:footnote>
  <w:footnote w:id="64">
    <w:p w:rsidR="00941AA6" w:rsidRPr="00946A1C" w:rsidRDefault="00941AA6">
      <w:pPr>
        <w:pStyle w:val="Notedebasdepage"/>
        <w:rPr>
          <w:lang w:val="en-US"/>
        </w:rPr>
      </w:pPr>
      <w:r w:rsidRPr="00C406FF">
        <w:rPr>
          <w:rStyle w:val="Appelnotedebasdep"/>
        </w:rPr>
        <w:footnoteRef/>
      </w:r>
      <w:r w:rsidRPr="00C8701B">
        <w:rPr>
          <w:lang w:eastAsia="fr-FR" w:bidi="he-IL"/>
        </w:rPr>
        <w:t xml:space="preserve"> Le Blant</w:t>
      </w:r>
      <w:r>
        <w:rPr>
          <w:lang w:eastAsia="fr-FR" w:bidi="he-IL"/>
        </w:rPr>
        <w:t xml:space="preserve">, </w:t>
      </w:r>
      <w:r w:rsidRPr="00DC4586">
        <w:rPr>
          <w:rStyle w:val="italicus"/>
        </w:rPr>
        <w:t>Sarcophage d</w:t>
      </w:r>
      <w:r>
        <w:rPr>
          <w:rStyle w:val="italicus"/>
        </w:rPr>
        <w:t>’</w:t>
      </w:r>
      <w:r w:rsidRPr="00DC4586">
        <w:rPr>
          <w:rStyle w:val="italicus"/>
        </w:rPr>
        <w:t>Arles</w:t>
      </w:r>
      <w:r>
        <w:rPr>
          <w:rStyle w:val="italicus"/>
        </w:rPr>
        <w:t xml:space="preserve">, </w:t>
      </w:r>
      <w:r w:rsidRPr="00C8701B">
        <w:rPr>
          <w:lang w:eastAsia="fr-FR" w:bidi="he-IL"/>
        </w:rPr>
        <w:t>n. 6</w:t>
      </w:r>
      <w:r>
        <w:rPr>
          <w:lang w:eastAsia="fr-FR" w:bidi="he-IL"/>
        </w:rPr>
        <w:t>, p. 7 et su</w:t>
      </w:r>
      <w:r w:rsidRPr="00C8701B">
        <w:rPr>
          <w:lang w:eastAsia="fr-FR" w:bidi="he-IL"/>
        </w:rPr>
        <w:t>iv. </w:t>
      </w:r>
      <w:r>
        <w:rPr>
          <w:lang w:eastAsia="fr-FR" w:bidi="he-IL"/>
        </w:rPr>
        <w:t xml:space="preserve">; </w:t>
      </w:r>
      <w:r w:rsidRPr="00C8701B">
        <w:rPr>
          <w:lang w:eastAsia="fr-FR" w:bidi="he-IL"/>
        </w:rPr>
        <w:t>Garrucci</w:t>
      </w:r>
      <w:r>
        <w:rPr>
          <w:lang w:eastAsia="fr-FR" w:bidi="he-IL"/>
        </w:rPr>
        <w:t xml:space="preserve">, </w:t>
      </w:r>
      <w:r w:rsidRPr="00DC4586">
        <w:rPr>
          <w:rStyle w:val="italicus"/>
        </w:rPr>
        <w:t>l.</w:t>
      </w:r>
      <w:r w:rsidRPr="00C8701B">
        <w:rPr>
          <w:lang w:eastAsia="fr-FR" w:bidi="he-IL"/>
        </w:rPr>
        <w:t xml:space="preserve"> c.</w:t>
      </w:r>
      <w:r>
        <w:rPr>
          <w:lang w:eastAsia="fr-FR" w:bidi="he-IL"/>
        </w:rPr>
        <w:t xml:space="preserve">, </w:t>
      </w:r>
      <w:r w:rsidRPr="00C8701B">
        <w:rPr>
          <w:lang w:eastAsia="fr-FR" w:bidi="he-IL"/>
        </w:rPr>
        <w:t xml:space="preserve">tav. </w:t>
      </w:r>
      <w:r>
        <w:rPr>
          <w:lang w:eastAsia="fr-FR" w:bidi="he-IL"/>
        </w:rPr>
        <w:t xml:space="preserve">CCCXLIII, </w:t>
      </w:r>
      <w:r w:rsidRPr="00C8701B">
        <w:rPr>
          <w:lang w:eastAsia="fr-FR" w:bidi="he-IL"/>
        </w:rPr>
        <w:t>3.</w:t>
      </w:r>
    </w:p>
  </w:footnote>
  <w:footnote w:id="65">
    <w:p w:rsidR="00941AA6" w:rsidRPr="00946A1C" w:rsidRDefault="00941AA6">
      <w:pPr>
        <w:pStyle w:val="Notedebasdepage"/>
        <w:rPr>
          <w:lang w:val="en-US"/>
        </w:rPr>
      </w:pPr>
      <w:r w:rsidRPr="00C406FF">
        <w:rPr>
          <w:rStyle w:val="Appelnotedebasdep"/>
        </w:rPr>
        <w:footnoteRef/>
      </w:r>
      <w:r w:rsidRPr="00C8701B">
        <w:rPr>
          <w:lang w:eastAsia="fr-FR" w:bidi="he-IL"/>
        </w:rPr>
        <w:t xml:space="preserve"> Voyez Garrucci</w:t>
      </w:r>
      <w:r>
        <w:rPr>
          <w:lang w:eastAsia="fr-FR" w:bidi="he-IL"/>
        </w:rPr>
        <w:t xml:space="preserve">, </w:t>
      </w:r>
      <w:r>
        <w:rPr>
          <w:rStyle w:val="italicus"/>
        </w:rPr>
        <w:t>l</w:t>
      </w:r>
      <w:r w:rsidRPr="00DC4586">
        <w:rPr>
          <w:rStyle w:val="italicus"/>
        </w:rPr>
        <w:t>oc. cit.</w:t>
      </w:r>
      <w:r>
        <w:rPr>
          <w:rStyle w:val="italicus"/>
        </w:rPr>
        <w:t xml:space="preserve">, </w:t>
      </w:r>
      <w:r w:rsidRPr="00C8701B">
        <w:rPr>
          <w:lang w:eastAsia="fr-FR" w:bidi="he-IL"/>
        </w:rPr>
        <w:t xml:space="preserve">tav. </w:t>
      </w:r>
      <w:r>
        <w:rPr>
          <w:lang w:eastAsia="fr-FR" w:bidi="he-IL"/>
        </w:rPr>
        <w:t>CCC</w:t>
      </w:r>
      <w:r w:rsidRPr="00C8701B">
        <w:rPr>
          <w:lang w:eastAsia="fr-FR" w:bidi="he-IL"/>
        </w:rPr>
        <w:t>XCV</w:t>
      </w:r>
      <w:r>
        <w:rPr>
          <w:lang w:eastAsia="fr-FR" w:bidi="he-IL"/>
        </w:rPr>
        <w:t xml:space="preserve">, </w:t>
      </w:r>
      <w:r w:rsidRPr="00C8701B">
        <w:rPr>
          <w:lang w:eastAsia="fr-FR" w:bidi="he-IL"/>
        </w:rPr>
        <w:t>6 </w:t>
      </w:r>
      <w:r>
        <w:rPr>
          <w:lang w:eastAsia="fr-FR" w:bidi="he-IL"/>
        </w:rPr>
        <w:t xml:space="preserve">; </w:t>
      </w:r>
      <w:r w:rsidRPr="00C8701B">
        <w:rPr>
          <w:lang w:eastAsia="fr-FR" w:bidi="he-IL"/>
        </w:rPr>
        <w:t xml:space="preserve">F. </w:t>
      </w:r>
      <w:r>
        <w:rPr>
          <w:lang w:eastAsia="fr-FR" w:bidi="he-IL"/>
        </w:rPr>
        <w:t>X</w:t>
      </w:r>
      <w:r w:rsidRPr="00C8701B">
        <w:rPr>
          <w:lang w:eastAsia="fr-FR" w:bidi="he-IL"/>
        </w:rPr>
        <w:t>. Kraus</w:t>
      </w:r>
      <w:r>
        <w:rPr>
          <w:lang w:eastAsia="fr-FR" w:bidi="he-IL"/>
        </w:rPr>
        <w:t xml:space="preserve">, </w:t>
      </w:r>
      <w:r>
        <w:rPr>
          <w:rStyle w:val="italicus"/>
        </w:rPr>
        <w:t>Real-Encyklopæ</w:t>
      </w:r>
      <w:r w:rsidRPr="00DC4586">
        <w:rPr>
          <w:rStyle w:val="italicus"/>
        </w:rPr>
        <w:t>die</w:t>
      </w:r>
      <w:r>
        <w:rPr>
          <w:rStyle w:val="italicus"/>
        </w:rPr>
        <w:t xml:space="preserve">, </w:t>
      </w:r>
      <w:r w:rsidRPr="00C8701B">
        <w:rPr>
          <w:lang w:eastAsia="fr-FR" w:bidi="he-IL"/>
        </w:rPr>
        <w:t>t. I</w:t>
      </w:r>
      <w:r>
        <w:rPr>
          <w:lang w:eastAsia="fr-FR" w:bidi="he-IL"/>
        </w:rPr>
        <w:t xml:space="preserve">, </w:t>
      </w:r>
      <w:r w:rsidRPr="00C8701B">
        <w:rPr>
          <w:lang w:eastAsia="fr-FR" w:bidi="he-IL"/>
        </w:rPr>
        <w:t>p. 459 </w:t>
      </w:r>
      <w:r>
        <w:rPr>
          <w:lang w:eastAsia="fr-FR" w:bidi="he-IL"/>
        </w:rPr>
        <w:t xml:space="preserve">; </w:t>
      </w:r>
      <w:r w:rsidRPr="00C8701B">
        <w:rPr>
          <w:lang w:eastAsia="fr-FR" w:bidi="he-IL"/>
        </w:rPr>
        <w:t>t. II</w:t>
      </w:r>
      <w:r>
        <w:rPr>
          <w:lang w:eastAsia="fr-FR" w:bidi="he-IL"/>
        </w:rPr>
        <w:t xml:space="preserve">, </w:t>
      </w:r>
      <w:r w:rsidRPr="00C8701B">
        <w:rPr>
          <w:lang w:eastAsia="fr-FR" w:bidi="he-IL"/>
        </w:rPr>
        <w:t>p</w:t>
      </w:r>
      <w:r>
        <w:rPr>
          <w:lang w:eastAsia="fr-FR" w:bidi="he-IL"/>
        </w:rPr>
        <w:t xml:space="preserve">, </w:t>
      </w:r>
      <w:r w:rsidRPr="00C8701B">
        <w:rPr>
          <w:lang w:eastAsia="fr-FR" w:bidi="he-IL"/>
        </w:rPr>
        <w:t>731.</w:t>
      </w:r>
    </w:p>
  </w:footnote>
  <w:footnote w:id="66">
    <w:p w:rsidR="00941AA6" w:rsidRPr="00946A1C" w:rsidRDefault="00941AA6">
      <w:pPr>
        <w:pStyle w:val="Notedebasdepage"/>
      </w:pPr>
      <w:r w:rsidRPr="00C406FF">
        <w:rPr>
          <w:rStyle w:val="Appelnotedebasdep"/>
        </w:rPr>
        <w:footnoteRef/>
      </w:r>
      <w:r w:rsidRPr="00946A1C">
        <w:t xml:space="preserve"> </w:t>
      </w:r>
      <w:r w:rsidRPr="00C8701B">
        <w:rPr>
          <w:rFonts w:eastAsia="Arial Unicode MS"/>
          <w:bCs/>
          <w:lang w:eastAsia="fr-FR" w:bidi="he-IL"/>
        </w:rPr>
        <w:t>Rohault de Fleury</w:t>
      </w:r>
      <w:r>
        <w:rPr>
          <w:rFonts w:eastAsia="Arial Unicode MS"/>
          <w:bCs/>
          <w:lang w:eastAsia="fr-FR" w:bidi="he-IL"/>
        </w:rPr>
        <w:t xml:space="preserve">, </w:t>
      </w:r>
      <w:r w:rsidRPr="00DC4586">
        <w:rPr>
          <w:rStyle w:val="italicus"/>
        </w:rPr>
        <w:t>l</w:t>
      </w:r>
      <w:r>
        <w:rPr>
          <w:rStyle w:val="italicus"/>
        </w:rPr>
        <w:t>’</w:t>
      </w:r>
      <w:r w:rsidRPr="00DC4586">
        <w:rPr>
          <w:rStyle w:val="italicus"/>
        </w:rPr>
        <w:t>Évangile</w:t>
      </w:r>
      <w:r>
        <w:rPr>
          <w:rStyle w:val="italicus"/>
        </w:rPr>
        <w:t xml:space="preserve">, </w:t>
      </w:r>
      <w:r w:rsidRPr="00DC4586">
        <w:rPr>
          <w:rStyle w:val="italicus"/>
        </w:rPr>
        <w:t>Études iconograph.</w:t>
      </w:r>
      <w:r>
        <w:rPr>
          <w:rStyle w:val="italicus"/>
        </w:rPr>
        <w:t xml:space="preserve"> et arché</w:t>
      </w:r>
      <w:r w:rsidRPr="00DC4586">
        <w:rPr>
          <w:rStyle w:val="italicus"/>
        </w:rPr>
        <w:t>olog.</w:t>
      </w:r>
      <w:r>
        <w:rPr>
          <w:rStyle w:val="italicus"/>
        </w:rPr>
        <w:t xml:space="preserve">, </w:t>
      </w:r>
      <w:r w:rsidRPr="00C8701B">
        <w:rPr>
          <w:rFonts w:eastAsia="Arial Unicode MS"/>
          <w:bCs/>
          <w:lang w:eastAsia="fr-FR" w:bidi="he-IL"/>
        </w:rPr>
        <w:t xml:space="preserve">t. </w:t>
      </w:r>
      <w:r>
        <w:rPr>
          <w:rFonts w:eastAsia="Arial Unicode MS"/>
          <w:bCs/>
          <w:lang w:eastAsia="fr-FR" w:bidi="he-IL"/>
        </w:rPr>
        <w:t>II</w:t>
      </w:r>
      <w:r w:rsidRPr="00946A1C">
        <w:rPr>
          <w:rFonts w:eastAsia="Arial Unicode MS"/>
          <w:bCs/>
          <w:lang w:eastAsia="fr-FR" w:bidi="he-IL"/>
        </w:rPr>
        <w:t xml:space="preserve">, </w:t>
      </w:r>
      <w:r w:rsidRPr="00C8701B">
        <w:rPr>
          <w:rFonts w:eastAsia="Arial Unicode MS"/>
          <w:bCs/>
          <w:lang w:eastAsia="fr-FR" w:bidi="he-IL"/>
        </w:rPr>
        <w:t>p. 305.</w:t>
      </w:r>
    </w:p>
  </w:footnote>
  <w:footnote w:id="67">
    <w:p w:rsidR="00941AA6" w:rsidRPr="00946A1C" w:rsidRDefault="00941AA6">
      <w:pPr>
        <w:pStyle w:val="Notedebasdepage"/>
        <w:rPr>
          <w:lang w:val="en-US"/>
        </w:rPr>
      </w:pPr>
      <w:r w:rsidRPr="00C406FF">
        <w:rPr>
          <w:rStyle w:val="Appelnotedebasdep"/>
        </w:rPr>
        <w:footnoteRef/>
      </w:r>
      <w:r w:rsidRPr="0086643C">
        <w:t xml:space="preserve"> </w:t>
      </w:r>
      <w:r w:rsidRPr="00C8701B">
        <w:rPr>
          <w:rFonts w:eastAsia="Arial Unicode MS"/>
          <w:bCs/>
          <w:lang w:eastAsia="fr-FR" w:bidi="he-IL"/>
        </w:rPr>
        <w:t>P. Durand</w:t>
      </w:r>
      <w:r>
        <w:rPr>
          <w:rFonts w:eastAsia="Arial Unicode MS"/>
          <w:bCs/>
          <w:lang w:eastAsia="fr-FR" w:bidi="he-IL"/>
        </w:rPr>
        <w:t xml:space="preserve">, </w:t>
      </w:r>
      <w:r w:rsidRPr="00DC4586">
        <w:rPr>
          <w:rStyle w:val="italicus"/>
        </w:rPr>
        <w:t>Monographie de Notre-Dame de Chartres</w:t>
      </w:r>
      <w:r>
        <w:rPr>
          <w:rStyle w:val="italicus"/>
        </w:rPr>
        <w:t> :</w:t>
      </w:r>
      <w:r w:rsidRPr="00DC4586">
        <w:rPr>
          <w:rStyle w:val="italicus"/>
        </w:rPr>
        <w:t xml:space="preserve"> Explication des Planches</w:t>
      </w:r>
      <w:r>
        <w:rPr>
          <w:rStyle w:val="italicus"/>
        </w:rPr>
        <w:t xml:space="preserve">, </w:t>
      </w:r>
      <w:r w:rsidRPr="00C8701B">
        <w:rPr>
          <w:rFonts w:eastAsia="Arial Unicode MS"/>
          <w:bCs/>
          <w:lang w:eastAsia="fr-FR" w:bidi="he-IL"/>
        </w:rPr>
        <w:t>p. 129-131</w:t>
      </w:r>
      <w:r>
        <w:rPr>
          <w:rFonts w:eastAsia="Arial Unicode MS"/>
          <w:bCs/>
          <w:lang w:eastAsia="fr-FR" w:bidi="he-IL"/>
        </w:rPr>
        <w:t xml:space="preserve">, </w:t>
      </w:r>
      <w:r w:rsidRPr="00C8701B">
        <w:rPr>
          <w:rFonts w:eastAsia="Arial Unicode MS"/>
          <w:bCs/>
          <w:lang w:eastAsia="fr-FR" w:bidi="he-IL"/>
        </w:rPr>
        <w:t>Paris 1881</w:t>
      </w:r>
      <w:r>
        <w:rPr>
          <w:rFonts w:eastAsia="Arial Unicode MS"/>
          <w:bCs/>
          <w:lang w:eastAsia="fr-FR" w:bidi="he-IL"/>
        </w:rPr>
        <w:t xml:space="preserve">, </w:t>
      </w:r>
      <w:r w:rsidRPr="00C8701B">
        <w:rPr>
          <w:rFonts w:eastAsia="Arial Unicode MS"/>
          <w:bCs/>
          <w:lang w:eastAsia="fr-FR" w:bidi="he-IL"/>
        </w:rPr>
        <w:t xml:space="preserve">Imprimerie Nationale. M. Durand ajoute : « Ces figures de Prophètes et </w:t>
      </w:r>
      <w:r>
        <w:rPr>
          <w:rFonts w:eastAsia="Arial Unicode MS"/>
          <w:bCs/>
          <w:lang w:eastAsia="fr-FR" w:bidi="he-IL"/>
        </w:rPr>
        <w:t>d’</w:t>
      </w:r>
      <w:r w:rsidRPr="00C8701B">
        <w:rPr>
          <w:rFonts w:eastAsia="Arial Unicode MS"/>
          <w:bCs/>
          <w:lang w:eastAsia="fr-FR" w:bidi="he-IL"/>
        </w:rPr>
        <w:t>Apôtres ainsi réunies sont encore une manière</w:t>
      </w:r>
      <w:r>
        <w:rPr>
          <w:rFonts w:eastAsia="Arial Unicode MS"/>
          <w:bCs/>
          <w:lang w:eastAsia="fr-FR" w:bidi="he-IL"/>
        </w:rPr>
        <w:t xml:space="preserve"> de nous montrer la connexion de</w:t>
      </w:r>
      <w:r w:rsidRPr="00C8701B">
        <w:rPr>
          <w:rFonts w:eastAsia="Arial Unicode MS"/>
          <w:bCs/>
          <w:lang w:eastAsia="fr-FR" w:bidi="he-IL"/>
        </w:rPr>
        <w:t xml:space="preserve"> l</w:t>
      </w:r>
      <w:r>
        <w:rPr>
          <w:rFonts w:eastAsia="Arial Unicode MS"/>
          <w:bCs/>
          <w:lang w:eastAsia="fr-FR" w:bidi="he-IL"/>
        </w:rPr>
        <w:t>’</w:t>
      </w:r>
      <w:r w:rsidRPr="00C8701B">
        <w:rPr>
          <w:rFonts w:eastAsia="Arial Unicode MS"/>
          <w:bCs/>
          <w:lang w:eastAsia="fr-FR" w:bidi="he-IL"/>
        </w:rPr>
        <w:t>Ancien et du Nouveau Testament. C</w:t>
      </w:r>
      <w:r>
        <w:rPr>
          <w:rFonts w:eastAsia="Arial Unicode MS"/>
          <w:bCs/>
          <w:lang w:eastAsia="fr-FR" w:bidi="he-IL"/>
        </w:rPr>
        <w:t>’</w:t>
      </w:r>
      <w:r w:rsidRPr="00C8701B">
        <w:rPr>
          <w:rFonts w:eastAsia="Arial Unicode MS"/>
          <w:bCs/>
          <w:lang w:eastAsia="fr-FR" w:bidi="he-IL"/>
        </w:rPr>
        <w:t>était</w:t>
      </w:r>
      <w:r>
        <w:rPr>
          <w:rFonts w:eastAsia="Arial Unicode MS"/>
          <w:bCs/>
          <w:lang w:eastAsia="fr-FR" w:bidi="he-IL"/>
        </w:rPr>
        <w:t xml:space="preserve">, </w:t>
      </w:r>
      <w:r w:rsidRPr="00C8701B">
        <w:rPr>
          <w:rFonts w:eastAsia="Arial Unicode MS"/>
          <w:bCs/>
          <w:lang w:eastAsia="fr-FR" w:bidi="he-IL"/>
        </w:rPr>
        <w:t>au moyen âge</w:t>
      </w:r>
      <w:r>
        <w:rPr>
          <w:rFonts w:eastAsia="Arial Unicode MS"/>
          <w:bCs/>
          <w:lang w:eastAsia="fr-FR" w:bidi="he-IL"/>
        </w:rPr>
        <w:t xml:space="preserve">, </w:t>
      </w:r>
      <w:r w:rsidRPr="00C8701B">
        <w:rPr>
          <w:rFonts w:eastAsia="Arial Unicode MS"/>
          <w:bCs/>
          <w:lang w:eastAsia="fr-FR" w:bidi="he-IL"/>
        </w:rPr>
        <w:t>un sujet que l</w:t>
      </w:r>
      <w:r>
        <w:rPr>
          <w:rFonts w:eastAsia="Arial Unicode MS"/>
          <w:bCs/>
          <w:lang w:eastAsia="fr-FR" w:bidi="he-IL"/>
        </w:rPr>
        <w:t>’</w:t>
      </w:r>
      <w:r w:rsidRPr="00C8701B">
        <w:rPr>
          <w:rFonts w:eastAsia="Arial Unicode MS"/>
          <w:bCs/>
          <w:lang w:eastAsia="fr-FR" w:bidi="he-IL"/>
        </w:rPr>
        <w:t>on aimait à montrer aux fidèles</w:t>
      </w:r>
      <w:r>
        <w:rPr>
          <w:rFonts w:eastAsia="Arial Unicode MS"/>
          <w:bCs/>
          <w:lang w:eastAsia="fr-FR" w:bidi="he-IL"/>
        </w:rPr>
        <w:t xml:space="preserve">, </w:t>
      </w:r>
      <w:r w:rsidRPr="00C8701B">
        <w:rPr>
          <w:rFonts w:eastAsia="Arial Unicode MS"/>
          <w:bCs/>
          <w:lang w:eastAsia="fr-FR" w:bidi="he-IL"/>
        </w:rPr>
        <w:t>et dont nous trouvons de nombreux exemples. Cette allégorie de la réunion de</w:t>
      </w:r>
      <w:r>
        <w:rPr>
          <w:rFonts w:eastAsia="Arial Unicode MS"/>
          <w:bCs/>
          <w:lang w:eastAsia="fr-FR" w:bidi="he-IL"/>
        </w:rPr>
        <w:t xml:space="preserve"> l’</w:t>
      </w:r>
      <w:r w:rsidRPr="00C8701B">
        <w:rPr>
          <w:rFonts w:eastAsia="Arial Unicode MS"/>
          <w:bCs/>
          <w:lang w:eastAsia="fr-FR" w:bidi="he-IL"/>
        </w:rPr>
        <w:t>Ancien et du Nouveau Testament se retrouve non seulement dans les œuvres savantes des théologiens</w:t>
      </w:r>
      <w:r>
        <w:rPr>
          <w:rFonts w:eastAsia="Arial Unicode MS"/>
          <w:bCs/>
          <w:lang w:eastAsia="fr-FR" w:bidi="he-IL"/>
        </w:rPr>
        <w:t xml:space="preserve">, </w:t>
      </w:r>
      <w:r w:rsidRPr="00C8701B">
        <w:rPr>
          <w:rFonts w:eastAsia="Arial Unicode MS"/>
          <w:bCs/>
          <w:lang w:eastAsia="fr-FR" w:bidi="he-IL"/>
        </w:rPr>
        <w:t>mais aussi dans une foule de compositions littéraires et artistiques à l</w:t>
      </w:r>
      <w:r>
        <w:rPr>
          <w:rFonts w:eastAsia="Arial Unicode MS"/>
          <w:bCs/>
          <w:lang w:eastAsia="fr-FR" w:bidi="he-IL"/>
        </w:rPr>
        <w:t>’</w:t>
      </w:r>
      <w:r w:rsidRPr="00C8701B">
        <w:rPr>
          <w:rFonts w:eastAsia="Arial Unicode MS"/>
          <w:bCs/>
          <w:lang w:eastAsia="fr-FR" w:bidi="he-IL"/>
        </w:rPr>
        <w:t>usage du public moins lettré. Elle s</w:t>
      </w:r>
      <w:r>
        <w:rPr>
          <w:rFonts w:eastAsia="Arial Unicode MS"/>
          <w:bCs/>
          <w:lang w:eastAsia="fr-FR" w:bidi="he-IL"/>
        </w:rPr>
        <w:t>’</w:t>
      </w:r>
      <w:r w:rsidRPr="00C8701B">
        <w:rPr>
          <w:rFonts w:eastAsia="Arial Unicode MS"/>
          <w:bCs/>
          <w:lang w:eastAsia="fr-FR" w:bidi="he-IL"/>
        </w:rPr>
        <w:t>y montre quelquefois développée ave</w:t>
      </w:r>
      <w:r w:rsidRPr="00C833D7">
        <w:t xml:space="preserve">c des détails fort étendus. Ainsi, </w:t>
      </w:r>
      <w:r>
        <w:t>dans les calendriers qu</w:t>
      </w:r>
      <w:r w:rsidRPr="00C833D7">
        <w:t>i sont au comme</w:t>
      </w:r>
      <w:r>
        <w:t>n</w:t>
      </w:r>
      <w:r w:rsidRPr="00C833D7">
        <w:t>cement de plusi</w:t>
      </w:r>
      <w:r w:rsidRPr="00C8701B">
        <w:rPr>
          <w:rFonts w:eastAsia="Arial Unicode MS"/>
          <w:bCs/>
          <w:lang w:eastAsia="fr-FR" w:bidi="he-IL"/>
        </w:rPr>
        <w:t>eurs magnifiques manuscrits de livres d</w:t>
      </w:r>
      <w:r>
        <w:rPr>
          <w:rFonts w:eastAsia="Arial Unicode MS"/>
          <w:bCs/>
          <w:lang w:eastAsia="fr-FR" w:bidi="he-IL"/>
        </w:rPr>
        <w:t>’</w:t>
      </w:r>
      <w:r w:rsidRPr="00C8701B">
        <w:rPr>
          <w:rFonts w:eastAsia="Arial Unicode MS"/>
          <w:bCs/>
          <w:lang w:eastAsia="fr-FR" w:bidi="he-IL"/>
        </w:rPr>
        <w:t>Heures dans notre Bibliothèque Nationale à Paris</w:t>
      </w:r>
      <w:r>
        <w:rPr>
          <w:rFonts w:eastAsia="Arial Unicode MS"/>
          <w:bCs/>
          <w:lang w:eastAsia="fr-FR" w:bidi="he-IL"/>
        </w:rPr>
        <w:t xml:space="preserve">, </w:t>
      </w:r>
      <w:r w:rsidRPr="00C8701B">
        <w:rPr>
          <w:rFonts w:eastAsia="Arial Unicode MS"/>
          <w:bCs/>
          <w:lang w:eastAsia="fr-FR" w:bidi="he-IL"/>
        </w:rPr>
        <w:t>on voit les Prophètes et les Apôtres tenant en main des portions de texte où les deux lois sont mises en parallèle. Dans un autre manuscrit</w:t>
      </w:r>
      <w:r>
        <w:rPr>
          <w:rFonts w:eastAsia="Arial Unicode MS"/>
          <w:bCs/>
          <w:lang w:eastAsia="fr-FR" w:bidi="he-IL"/>
        </w:rPr>
        <w:t xml:space="preserve">, </w:t>
      </w:r>
      <w:r w:rsidRPr="00C8701B">
        <w:rPr>
          <w:rFonts w:eastAsia="Arial Unicode MS"/>
          <w:bCs/>
          <w:lang w:eastAsia="fr-FR" w:bidi="he-IL"/>
        </w:rPr>
        <w:t>où sont renfermées un grand nombre d</w:t>
      </w:r>
      <w:r>
        <w:rPr>
          <w:rFonts w:eastAsia="Arial Unicode MS"/>
          <w:bCs/>
          <w:lang w:eastAsia="fr-FR" w:bidi="he-IL"/>
        </w:rPr>
        <w:t>’</w:t>
      </w:r>
      <w:r w:rsidRPr="00C8701B">
        <w:rPr>
          <w:rFonts w:eastAsia="Arial Unicode MS"/>
          <w:bCs/>
          <w:lang w:eastAsia="fr-FR" w:bidi="he-IL"/>
        </w:rPr>
        <w:t>histoires et de moralités tirées de la Bible et de la Vie des Saints</w:t>
      </w:r>
      <w:r>
        <w:rPr>
          <w:rFonts w:eastAsia="Arial Unicode MS"/>
          <w:bCs/>
          <w:lang w:eastAsia="fr-FR" w:bidi="he-IL"/>
        </w:rPr>
        <w:t xml:space="preserve">, </w:t>
      </w:r>
      <w:r w:rsidRPr="00C8701B">
        <w:rPr>
          <w:rFonts w:eastAsia="Arial Unicode MS"/>
          <w:bCs/>
          <w:lang w:eastAsia="fr-FR" w:bidi="he-IL"/>
        </w:rPr>
        <w:t xml:space="preserve">on lit au commencement que ce livre </w:t>
      </w:r>
      <w:r w:rsidRPr="0086643C">
        <w:t>va nous</w:t>
      </w:r>
      <w:r>
        <w:rPr>
          <w:rFonts w:eastAsia="Arial Unicode MS"/>
          <w:bCs/>
          <w:lang w:eastAsia="fr-FR" w:bidi="he-IL"/>
        </w:rPr>
        <w:t xml:space="preserve"> parl</w:t>
      </w:r>
      <w:r w:rsidRPr="00C8701B">
        <w:rPr>
          <w:rFonts w:eastAsia="Arial Unicode MS"/>
          <w:bCs/>
          <w:lang w:eastAsia="fr-FR" w:bidi="he-IL"/>
        </w:rPr>
        <w:t>er du</w:t>
      </w:r>
      <w:r w:rsidRPr="00DC4586">
        <w:rPr>
          <w:rStyle w:val="italicus"/>
        </w:rPr>
        <w:t xml:space="preserve"> plus bel</w:t>
      </w:r>
      <w:r>
        <w:rPr>
          <w:rStyle w:val="italicus"/>
        </w:rPr>
        <w:t xml:space="preserve"> du vieil Testam</w:t>
      </w:r>
      <w:r w:rsidRPr="00DC4586">
        <w:rPr>
          <w:rStyle w:val="italicus"/>
        </w:rPr>
        <w:t>ent et du Nouvel conjont</w:t>
      </w:r>
      <w:r w:rsidRPr="00C8701B">
        <w:rPr>
          <w:rFonts w:eastAsia="Arial Unicode MS"/>
          <w:bCs/>
          <w:lang w:eastAsia="fr-FR" w:bidi="he-IL"/>
        </w:rPr>
        <w:t xml:space="preserve"> ensemble.</w:t>
      </w:r>
      <w:r>
        <w:rPr>
          <w:rStyle w:val="italicus"/>
        </w:rPr>
        <w:t xml:space="preserve"> </w:t>
      </w:r>
      <w:r>
        <w:t>L’</w:t>
      </w:r>
      <w:r w:rsidRPr="00DC4586">
        <w:rPr>
          <w:rStyle w:val="italicus"/>
        </w:rPr>
        <w:t>Hortus delici</w:t>
      </w:r>
      <w:r>
        <w:rPr>
          <w:rStyle w:val="italicus"/>
        </w:rPr>
        <w:t>árum</w:t>
      </w:r>
      <w:r w:rsidRPr="00C8701B">
        <w:rPr>
          <w:rFonts w:eastAsia="Arial Unicode MS"/>
          <w:bCs/>
          <w:lang w:eastAsia="fr-FR" w:bidi="he-IL"/>
        </w:rPr>
        <w:t xml:space="preserve"> de l</w:t>
      </w:r>
      <w:r>
        <w:rPr>
          <w:rFonts w:eastAsia="Arial Unicode MS"/>
          <w:bCs/>
          <w:lang w:eastAsia="fr-FR" w:bidi="he-IL"/>
        </w:rPr>
        <w:t>’</w:t>
      </w:r>
      <w:r w:rsidRPr="00C8701B">
        <w:rPr>
          <w:rFonts w:eastAsia="Arial Unicode MS"/>
          <w:bCs/>
          <w:lang w:eastAsia="fr-FR" w:bidi="he-IL"/>
        </w:rPr>
        <w:t>abbesse Herrade</w:t>
      </w:r>
      <w:r>
        <w:rPr>
          <w:rFonts w:eastAsia="Arial Unicode MS"/>
          <w:bCs/>
          <w:lang w:eastAsia="fr-FR" w:bidi="he-IL"/>
        </w:rPr>
        <w:t xml:space="preserve">, </w:t>
      </w:r>
      <w:r w:rsidRPr="00C8701B">
        <w:rPr>
          <w:rFonts w:eastAsia="Arial Unicode MS"/>
          <w:bCs/>
          <w:lang w:eastAsia="fr-FR" w:bidi="he-IL"/>
        </w:rPr>
        <w:t>précieux manuscrit de la Bibliothèque de Strasbourg</w:t>
      </w:r>
      <w:r>
        <w:rPr>
          <w:rFonts w:eastAsia="Arial Unicode MS"/>
          <w:bCs/>
          <w:lang w:eastAsia="fr-FR" w:bidi="he-IL"/>
        </w:rPr>
        <w:t xml:space="preserve">, </w:t>
      </w:r>
      <w:r w:rsidRPr="00C8701B">
        <w:rPr>
          <w:rFonts w:eastAsia="Arial Unicode MS"/>
          <w:bCs/>
          <w:lang w:eastAsia="fr-FR" w:bidi="he-IL"/>
        </w:rPr>
        <w:t>détruit en 1870 par les bombes ennemies</w:t>
      </w:r>
      <w:r>
        <w:rPr>
          <w:rFonts w:eastAsia="Arial Unicode MS"/>
          <w:bCs/>
          <w:lang w:eastAsia="fr-FR" w:bidi="he-IL"/>
        </w:rPr>
        <w:t xml:space="preserve">, </w:t>
      </w:r>
      <w:r w:rsidRPr="00C8701B">
        <w:rPr>
          <w:rFonts w:eastAsia="Arial Unicode MS"/>
          <w:bCs/>
          <w:lang w:eastAsia="fr-FR" w:bidi="he-IL"/>
        </w:rPr>
        <w:t>contenait une grande miniature qui portait pour titre :</w:t>
      </w:r>
      <w:r>
        <w:rPr>
          <w:rStyle w:val="italicus"/>
        </w:rPr>
        <w:t xml:space="preserve"> Ve</w:t>
      </w:r>
      <w:r w:rsidRPr="00DC4586">
        <w:rPr>
          <w:rStyle w:val="italicus"/>
        </w:rPr>
        <w:t>tus Testam</w:t>
      </w:r>
      <w:r>
        <w:rPr>
          <w:rStyle w:val="italicus"/>
        </w:rPr>
        <w:t>é</w:t>
      </w:r>
      <w:r w:rsidRPr="00DC4586">
        <w:rPr>
          <w:rStyle w:val="italicus"/>
        </w:rPr>
        <w:t>ntum cum novo conjúnctum</w:t>
      </w:r>
      <w:r>
        <w:rPr>
          <w:rStyle w:val="italicus"/>
        </w:rPr>
        <w:t xml:space="preserve">, </w:t>
      </w:r>
      <w:r w:rsidRPr="00C8701B">
        <w:rPr>
          <w:rFonts w:eastAsia="Arial Unicode MS"/>
          <w:bCs/>
          <w:lang w:eastAsia="fr-FR" w:bidi="he-IL"/>
        </w:rPr>
        <w:t>et j</w:t>
      </w:r>
      <w:r>
        <w:rPr>
          <w:rFonts w:eastAsia="Arial Unicode MS"/>
          <w:bCs/>
          <w:lang w:eastAsia="fr-FR" w:bidi="he-IL"/>
        </w:rPr>
        <w:t>’</w:t>
      </w:r>
      <w:r w:rsidRPr="00C8701B">
        <w:rPr>
          <w:rFonts w:eastAsia="Arial Unicode MS"/>
          <w:bCs/>
          <w:lang w:eastAsia="fr-FR" w:bidi="he-IL"/>
        </w:rPr>
        <w:t>ai pu copier dans ce même manuscrit quatre médaillons dans lesquels on voit</w:t>
      </w:r>
      <w:r>
        <w:rPr>
          <w:rFonts w:eastAsia="Arial Unicode MS"/>
          <w:bCs/>
          <w:lang w:eastAsia="fr-FR" w:bidi="he-IL"/>
        </w:rPr>
        <w:t xml:space="preserve">, </w:t>
      </w:r>
      <w:r w:rsidRPr="00C8701B">
        <w:rPr>
          <w:rFonts w:eastAsia="Arial Unicode MS"/>
          <w:bCs/>
          <w:lang w:eastAsia="fr-FR" w:bidi="he-IL"/>
        </w:rPr>
        <w:t>deux par deux</w:t>
      </w:r>
      <w:r>
        <w:rPr>
          <w:rFonts w:eastAsia="Arial Unicode MS"/>
          <w:bCs/>
          <w:lang w:eastAsia="fr-FR" w:bidi="he-IL"/>
        </w:rPr>
        <w:t xml:space="preserve">, </w:t>
      </w:r>
      <w:r w:rsidRPr="00C8701B">
        <w:rPr>
          <w:rFonts w:eastAsia="Arial Unicode MS"/>
          <w:bCs/>
          <w:lang w:eastAsia="fr-FR" w:bidi="he-IL"/>
        </w:rPr>
        <w:t>un Prophète et un Évangéliste (ou plutôt son symbole) semblant converser ensemble : Isaïe</w:t>
      </w:r>
      <w:r>
        <w:rPr>
          <w:rFonts w:eastAsia="Arial Unicode MS"/>
          <w:bCs/>
          <w:lang w:eastAsia="fr-FR" w:bidi="he-IL"/>
        </w:rPr>
        <w:t>, en face de l’</w:t>
      </w:r>
      <w:r w:rsidRPr="00C8701B">
        <w:rPr>
          <w:rFonts w:eastAsia="Arial Unicode MS"/>
          <w:bCs/>
          <w:lang w:eastAsia="fr-FR" w:bidi="he-IL"/>
        </w:rPr>
        <w:t>Ange de S. Matthieu </w:t>
      </w:r>
      <w:r>
        <w:rPr>
          <w:rFonts w:eastAsia="Arial Unicode MS"/>
          <w:bCs/>
          <w:lang w:eastAsia="fr-FR" w:bidi="he-IL"/>
        </w:rPr>
        <w:t xml:space="preserve">; </w:t>
      </w:r>
      <w:r w:rsidRPr="00C8701B">
        <w:rPr>
          <w:rFonts w:eastAsia="Arial Unicode MS"/>
          <w:bCs/>
          <w:lang w:eastAsia="fr-FR" w:bidi="he-IL"/>
        </w:rPr>
        <w:t>Jérémie</w:t>
      </w:r>
      <w:r>
        <w:rPr>
          <w:rFonts w:eastAsia="Arial Unicode MS"/>
          <w:bCs/>
          <w:lang w:eastAsia="fr-FR" w:bidi="he-IL"/>
        </w:rPr>
        <w:t xml:space="preserve">, </w:t>
      </w:r>
      <w:r w:rsidRPr="00C8701B">
        <w:rPr>
          <w:rFonts w:eastAsia="Arial Unicode MS"/>
          <w:bCs/>
          <w:lang w:eastAsia="fr-FR" w:bidi="he-IL"/>
        </w:rPr>
        <w:t>en face de l</w:t>
      </w:r>
      <w:r>
        <w:rPr>
          <w:rFonts w:eastAsia="Arial Unicode MS"/>
          <w:bCs/>
          <w:lang w:eastAsia="fr-FR" w:bidi="he-IL"/>
        </w:rPr>
        <w:t>’</w:t>
      </w:r>
      <w:r w:rsidRPr="00C8701B">
        <w:rPr>
          <w:rFonts w:eastAsia="Arial Unicode MS"/>
          <w:bCs/>
          <w:lang w:eastAsia="fr-FR" w:bidi="he-IL"/>
        </w:rPr>
        <w:t>Aigle de</w:t>
      </w:r>
      <w:r w:rsidRPr="00C8701B">
        <w:rPr>
          <w:rFonts w:eastAsia="Arial Unicode MS"/>
          <w:lang w:eastAsia="fr-FR" w:bidi="he-IL"/>
        </w:rPr>
        <w:t xml:space="preserve"> S.</w:t>
      </w:r>
      <w:r w:rsidRPr="00C8701B">
        <w:rPr>
          <w:rFonts w:eastAsia="Arial Unicode MS"/>
          <w:bCs/>
          <w:lang w:eastAsia="fr-FR" w:bidi="he-IL"/>
        </w:rPr>
        <w:t xml:space="preserve"> Jean </w:t>
      </w:r>
      <w:r>
        <w:rPr>
          <w:rFonts w:eastAsia="Arial Unicode MS"/>
          <w:bCs/>
          <w:lang w:eastAsia="fr-FR" w:bidi="he-IL"/>
        </w:rPr>
        <w:t xml:space="preserve">; </w:t>
      </w:r>
      <w:r w:rsidRPr="00C8701B">
        <w:rPr>
          <w:rFonts w:eastAsia="Arial Unicode MS"/>
          <w:bCs/>
          <w:lang w:eastAsia="fr-FR" w:bidi="he-IL"/>
        </w:rPr>
        <w:t>Ézéchiel et le Lion de S. Marc </w:t>
      </w:r>
      <w:r>
        <w:rPr>
          <w:rFonts w:eastAsia="Arial Unicode MS"/>
          <w:bCs/>
          <w:lang w:eastAsia="fr-FR" w:bidi="he-IL"/>
        </w:rPr>
        <w:t xml:space="preserve">; </w:t>
      </w:r>
      <w:r w:rsidRPr="00C8701B">
        <w:rPr>
          <w:rFonts w:eastAsia="Arial Unicode MS"/>
          <w:bCs/>
          <w:lang w:eastAsia="fr-FR" w:bidi="he-IL"/>
        </w:rPr>
        <w:t>Daniel av</w:t>
      </w:r>
      <w:r>
        <w:rPr>
          <w:rFonts w:eastAsia="Arial Unicode MS"/>
          <w:bCs/>
          <w:lang w:eastAsia="fr-FR" w:bidi="he-IL"/>
        </w:rPr>
        <w:t>ec le Bœuf de S. Luc. Chacune de</w:t>
      </w:r>
      <w:r w:rsidRPr="00C8701B">
        <w:rPr>
          <w:rFonts w:eastAsia="Arial Unicode MS"/>
          <w:bCs/>
          <w:lang w:eastAsia="fr-FR" w:bidi="he-IL"/>
        </w:rPr>
        <w:t>s grandes cathédrales de France contenait autrefois un vitrail dans lequel on pouvait contempler</w:t>
      </w:r>
      <w:r>
        <w:rPr>
          <w:rFonts w:eastAsia="Arial Unicode MS"/>
          <w:bCs/>
          <w:lang w:eastAsia="fr-FR" w:bidi="he-IL"/>
        </w:rPr>
        <w:t xml:space="preserve">, </w:t>
      </w:r>
      <w:r w:rsidRPr="00C8701B">
        <w:rPr>
          <w:rFonts w:eastAsia="Arial Unicode MS"/>
          <w:bCs/>
          <w:lang w:eastAsia="fr-FR" w:bidi="he-IL"/>
        </w:rPr>
        <w:t>dans une suite de compartiments</w:t>
      </w:r>
      <w:r>
        <w:rPr>
          <w:rFonts w:eastAsia="Arial Unicode MS"/>
          <w:bCs/>
          <w:lang w:eastAsia="fr-FR" w:bidi="he-IL"/>
        </w:rPr>
        <w:t xml:space="preserve">, </w:t>
      </w:r>
      <w:r w:rsidRPr="00C8701B">
        <w:rPr>
          <w:rFonts w:eastAsia="Arial Unicode MS"/>
          <w:bCs/>
          <w:lang w:eastAsia="fr-FR" w:bidi="he-IL"/>
        </w:rPr>
        <w:t xml:space="preserve">les </w:t>
      </w:r>
      <w:r>
        <w:rPr>
          <w:rFonts w:eastAsia="Arial Unicode MS"/>
          <w:bCs/>
          <w:lang w:eastAsia="fr-FR" w:bidi="he-IL"/>
        </w:rPr>
        <w:t>p</w:t>
      </w:r>
      <w:r w:rsidRPr="00C8701B">
        <w:rPr>
          <w:rFonts w:eastAsia="Arial Unicode MS"/>
          <w:bCs/>
          <w:lang w:eastAsia="fr-FR" w:bidi="he-IL"/>
        </w:rPr>
        <w:t xml:space="preserve">rincipaux événements du Nouveau Testament mis en parallèle avec les événements de </w:t>
      </w:r>
      <w:r>
        <w:rPr>
          <w:rFonts w:eastAsia="Arial Unicode MS"/>
          <w:bCs/>
          <w:lang w:eastAsia="fr-FR" w:bidi="he-IL"/>
        </w:rPr>
        <w:t>l’</w:t>
      </w:r>
      <w:r w:rsidRPr="00C8701B">
        <w:rPr>
          <w:rFonts w:eastAsia="Arial Unicode MS"/>
          <w:bCs/>
          <w:lang w:eastAsia="fr-FR" w:bidi="he-IL"/>
        </w:rPr>
        <w:t>Ancien Testament qui en étaient la figure et l</w:t>
      </w:r>
      <w:r>
        <w:rPr>
          <w:rFonts w:eastAsia="Arial Unicode MS"/>
          <w:bCs/>
          <w:lang w:eastAsia="fr-FR" w:bidi="he-IL"/>
        </w:rPr>
        <w:t>’</w:t>
      </w:r>
      <w:r w:rsidRPr="00C8701B">
        <w:rPr>
          <w:rFonts w:eastAsia="Arial Unicode MS"/>
          <w:bCs/>
          <w:lang w:eastAsia="fr-FR" w:bidi="he-IL"/>
        </w:rPr>
        <w:t>annonce. Ces peintures</w:t>
      </w:r>
      <w:r>
        <w:rPr>
          <w:rFonts w:eastAsia="Arial Unicode MS"/>
          <w:bCs/>
          <w:lang w:eastAsia="fr-FR" w:bidi="he-IL"/>
        </w:rPr>
        <w:t xml:space="preserve">, </w:t>
      </w:r>
      <w:r w:rsidRPr="00C8701B">
        <w:rPr>
          <w:rFonts w:eastAsia="Arial Unicode MS"/>
          <w:bCs/>
          <w:lang w:eastAsia="fr-FR" w:bidi="he-IL"/>
        </w:rPr>
        <w:t>exposées aux regards du public</w:t>
      </w:r>
      <w:r>
        <w:rPr>
          <w:rFonts w:eastAsia="Arial Unicode MS"/>
          <w:bCs/>
          <w:lang w:eastAsia="fr-FR" w:bidi="he-IL"/>
        </w:rPr>
        <w:t xml:space="preserve">, </w:t>
      </w:r>
      <w:r w:rsidRPr="00C8701B">
        <w:rPr>
          <w:rFonts w:eastAsia="Arial Unicode MS"/>
          <w:bCs/>
          <w:lang w:eastAsia="fr-FR" w:bidi="he-IL"/>
        </w:rPr>
        <w:t>présentaient aux fidèles</w:t>
      </w:r>
      <w:r>
        <w:rPr>
          <w:rFonts w:eastAsia="Arial Unicode MS"/>
          <w:bCs/>
          <w:lang w:eastAsia="fr-FR" w:bidi="he-IL"/>
        </w:rPr>
        <w:t xml:space="preserve">, </w:t>
      </w:r>
      <w:r w:rsidRPr="00C8701B">
        <w:rPr>
          <w:rFonts w:eastAsia="Arial Unicode MS"/>
          <w:bCs/>
          <w:lang w:eastAsia="fr-FR" w:bidi="he-IL"/>
        </w:rPr>
        <w:t>d</w:t>
      </w:r>
      <w:r>
        <w:rPr>
          <w:rFonts w:eastAsia="Arial Unicode MS"/>
          <w:bCs/>
          <w:lang w:eastAsia="fr-FR" w:bidi="he-IL"/>
        </w:rPr>
        <w:t>’</w:t>
      </w:r>
      <w:r w:rsidRPr="00C8701B">
        <w:rPr>
          <w:rFonts w:eastAsia="Arial Unicode MS"/>
          <w:bCs/>
          <w:lang w:eastAsia="fr-FR" w:bidi="he-IL"/>
        </w:rPr>
        <w:t>une manière quotidienne et perpétuelle</w:t>
      </w:r>
      <w:r>
        <w:rPr>
          <w:rFonts w:eastAsia="Arial Unicode MS"/>
          <w:bCs/>
          <w:lang w:eastAsia="fr-FR" w:bidi="he-IL"/>
        </w:rPr>
        <w:t xml:space="preserve">, </w:t>
      </w:r>
      <w:r w:rsidRPr="00C8701B">
        <w:rPr>
          <w:rFonts w:eastAsia="Arial Unicode MS"/>
          <w:bCs/>
          <w:lang w:eastAsia="fr-FR" w:bidi="he-IL"/>
        </w:rPr>
        <w:t>les principales vérités de la religion</w:t>
      </w:r>
      <w:r>
        <w:rPr>
          <w:rFonts w:eastAsia="Arial Unicode MS"/>
          <w:bCs/>
          <w:lang w:eastAsia="fr-FR" w:bidi="he-IL"/>
        </w:rPr>
        <w:t xml:space="preserve">, </w:t>
      </w:r>
      <w:r w:rsidRPr="00C8701B">
        <w:rPr>
          <w:rFonts w:eastAsia="Arial Unicode MS"/>
          <w:bCs/>
          <w:lang w:eastAsia="fr-FR" w:bidi="he-IL"/>
        </w:rPr>
        <w:t>que les faits historiques gravaient dans leur mémoire. Un semblable vitrail existe à Chartres </w:t>
      </w:r>
      <w:r>
        <w:rPr>
          <w:rFonts w:eastAsia="Arial Unicode MS"/>
          <w:bCs/>
          <w:lang w:eastAsia="fr-FR" w:bidi="he-IL"/>
        </w:rPr>
        <w:t xml:space="preserve">; </w:t>
      </w:r>
      <w:r w:rsidRPr="00C8701B">
        <w:rPr>
          <w:rFonts w:eastAsia="Arial Unicode MS"/>
          <w:bCs/>
          <w:lang w:eastAsia="fr-FR" w:bidi="he-IL"/>
        </w:rPr>
        <w:t>mal</w:t>
      </w:r>
      <w:r>
        <w:rPr>
          <w:rFonts w:eastAsia="Arial Unicode MS"/>
          <w:bCs/>
          <w:lang w:eastAsia="fr-FR" w:bidi="he-IL"/>
        </w:rPr>
        <w:t>heureusement il est incomplet. »</w:t>
      </w:r>
      <w:r w:rsidRPr="00C8701B">
        <w:rPr>
          <w:rFonts w:eastAsia="Arial Unicode MS"/>
          <w:bCs/>
          <w:lang w:eastAsia="fr-FR" w:bidi="he-IL"/>
        </w:rPr>
        <w:t xml:space="preserve"> Voyez notre</w:t>
      </w:r>
      <w:r w:rsidRPr="00DC4586">
        <w:rPr>
          <w:rStyle w:val="italicus"/>
        </w:rPr>
        <w:t xml:space="preserve"> Idée centrale de la Bible</w:t>
      </w:r>
      <w:r>
        <w:rPr>
          <w:rStyle w:val="italicus"/>
        </w:rPr>
        <w:t xml:space="preserve">, </w:t>
      </w:r>
      <w:r w:rsidRPr="00C8701B">
        <w:rPr>
          <w:rFonts w:eastAsia="Arial Unicode MS"/>
          <w:bCs/>
          <w:lang w:eastAsia="fr-FR" w:bidi="he-IL"/>
        </w:rPr>
        <w:t>Lyon</w:t>
      </w:r>
      <w:r>
        <w:rPr>
          <w:rFonts w:eastAsia="Arial Unicode MS"/>
          <w:bCs/>
          <w:lang w:eastAsia="fr-FR" w:bidi="he-IL"/>
        </w:rPr>
        <w:t xml:space="preserve">, </w:t>
      </w:r>
      <w:r w:rsidRPr="00C8701B">
        <w:rPr>
          <w:rFonts w:eastAsia="Arial Unicode MS"/>
          <w:bCs/>
          <w:lang w:eastAsia="fr-FR" w:bidi="he-IL"/>
        </w:rPr>
        <w:t>1888.</w:t>
      </w:r>
    </w:p>
  </w:footnote>
  <w:footnote w:id="68">
    <w:p w:rsidR="00941AA6" w:rsidRDefault="00941AA6">
      <w:pPr>
        <w:pStyle w:val="Notedebasdepage"/>
      </w:pPr>
      <w:r w:rsidRPr="00C406FF">
        <w:rPr>
          <w:rStyle w:val="Appelnotedebasdep"/>
        </w:rPr>
        <w:footnoteRef/>
      </w:r>
      <w:r w:rsidRPr="00A74F01">
        <w:rPr>
          <w:lang w:val="en-US"/>
        </w:rPr>
        <w:t xml:space="preserve"> </w:t>
      </w:r>
      <w:r w:rsidRPr="00A74F01">
        <w:rPr>
          <w:rFonts w:eastAsia="Arial Unicode MS"/>
          <w:bCs/>
          <w:lang w:val="en-US" w:eastAsia="fr-FR" w:bidi="he-IL"/>
        </w:rPr>
        <w:t xml:space="preserve">Cf. Reithmayr, </w:t>
      </w:r>
      <w:r w:rsidRPr="00A74F01">
        <w:rPr>
          <w:rStyle w:val="italicus"/>
          <w:lang w:val="en-US"/>
        </w:rPr>
        <w:t xml:space="preserve">Einleitung in die canon. </w:t>
      </w:r>
      <w:r>
        <w:rPr>
          <w:rStyle w:val="italicus"/>
        </w:rPr>
        <w:t>Bü</w:t>
      </w:r>
      <w:r w:rsidRPr="00DC4586">
        <w:rPr>
          <w:rStyle w:val="italicus"/>
        </w:rPr>
        <w:t>cher des neuen Bundes</w:t>
      </w:r>
      <w:r>
        <w:rPr>
          <w:rStyle w:val="italicus"/>
        </w:rPr>
        <w:t xml:space="preserve">, </w:t>
      </w:r>
      <w:r w:rsidRPr="00C8701B">
        <w:rPr>
          <w:rFonts w:eastAsia="Arial Unicode MS"/>
          <w:bCs/>
          <w:lang w:eastAsia="fr-FR" w:bidi="he-IL"/>
        </w:rPr>
        <w:t>Ratisbonne</w:t>
      </w:r>
      <w:r>
        <w:rPr>
          <w:rFonts w:eastAsia="Arial Unicode MS"/>
          <w:bCs/>
          <w:lang w:eastAsia="fr-FR" w:bidi="he-IL"/>
        </w:rPr>
        <w:t xml:space="preserve"> I, </w:t>
      </w:r>
      <w:r w:rsidRPr="00C8701B">
        <w:rPr>
          <w:rFonts w:eastAsia="Arial Unicode MS"/>
          <w:lang w:eastAsia="fr-FR" w:bidi="he-IL"/>
        </w:rPr>
        <w:t>852</w:t>
      </w:r>
      <w:r>
        <w:rPr>
          <w:rFonts w:eastAsia="Arial Unicode MS"/>
          <w:lang w:eastAsia="fr-FR" w:bidi="he-IL"/>
        </w:rPr>
        <w:t xml:space="preserve">, </w:t>
      </w:r>
      <w:r w:rsidRPr="00C8701B">
        <w:rPr>
          <w:rFonts w:eastAsia="Arial Unicode MS"/>
          <w:lang w:eastAsia="fr-FR" w:bidi="he-IL"/>
        </w:rPr>
        <w:t>p. 125.</w:t>
      </w:r>
    </w:p>
  </w:footnote>
  <w:footnote w:id="69">
    <w:p w:rsidR="00941AA6" w:rsidRDefault="00941AA6">
      <w:pPr>
        <w:pStyle w:val="Notedebasdepage"/>
      </w:pPr>
      <w:r w:rsidRPr="00C406FF">
        <w:rPr>
          <w:rStyle w:val="Appelnotedebasdep"/>
        </w:rPr>
        <w:footnoteRef/>
      </w:r>
      <w:r>
        <w:t xml:space="preserve"> </w:t>
      </w:r>
      <w:r>
        <w:rPr>
          <w:rFonts w:eastAsia="Arial Unicode MS"/>
          <w:bCs/>
          <w:lang w:eastAsia="fr-FR" w:bidi="he-IL"/>
        </w:rPr>
        <w:t>N. B</w:t>
      </w:r>
      <w:r w:rsidRPr="00C8701B">
        <w:rPr>
          <w:rFonts w:eastAsia="Arial Unicode MS"/>
          <w:bCs/>
          <w:lang w:val="el-GR" w:eastAsia="fr-FR" w:bidi="he-IL"/>
        </w:rPr>
        <w:t xml:space="preserve">. </w:t>
      </w:r>
      <w:r w:rsidRPr="00C8701B">
        <w:rPr>
          <w:rFonts w:eastAsia="Arial Unicode MS"/>
          <w:bCs/>
          <w:lang w:eastAsia="fr-FR" w:bidi="he-IL"/>
        </w:rPr>
        <w:t xml:space="preserve">De même quelques manuscrits de </w:t>
      </w:r>
      <w:r>
        <w:rPr>
          <w:rFonts w:eastAsia="Arial Unicode MS"/>
          <w:bCs/>
          <w:lang w:eastAsia="fr-FR" w:bidi="he-IL"/>
        </w:rPr>
        <w:t>l’It</w:t>
      </w:r>
      <w:r w:rsidRPr="00C8701B">
        <w:rPr>
          <w:rFonts w:eastAsia="Arial Unicode MS"/>
          <w:bCs/>
          <w:lang w:eastAsia="fr-FR" w:bidi="he-IL"/>
        </w:rPr>
        <w:t>ala et de la Vulgate.</w:t>
      </w:r>
    </w:p>
  </w:footnote>
  <w:footnote w:id="70">
    <w:p w:rsidR="00941AA6" w:rsidRPr="00A74F01" w:rsidRDefault="00941AA6">
      <w:pPr>
        <w:pStyle w:val="Notedebasdepage"/>
        <w:rPr>
          <w:lang w:val="en-US"/>
        </w:rPr>
      </w:pPr>
      <w:r w:rsidRPr="00C406FF">
        <w:rPr>
          <w:rStyle w:val="Appelnotedebasdep"/>
        </w:rPr>
        <w:footnoteRef/>
      </w:r>
      <w:r w:rsidRPr="00A74F01">
        <w:rPr>
          <w:lang w:val="en-US"/>
        </w:rPr>
        <w:t xml:space="preserve"> </w:t>
      </w:r>
      <w:r w:rsidRPr="00C8701B">
        <w:rPr>
          <w:rFonts w:eastAsia="Arial Unicode MS"/>
          <w:bCs/>
          <w:lang w:val="en-US" w:eastAsia="fr-FR" w:bidi="he-IL"/>
        </w:rPr>
        <w:t>Cf. Reithmayr</w:t>
      </w:r>
      <w:r>
        <w:rPr>
          <w:rFonts w:eastAsia="Arial Unicode MS"/>
          <w:bCs/>
          <w:lang w:val="en-US" w:eastAsia="fr-FR" w:bidi="he-IL"/>
        </w:rPr>
        <w:t xml:space="preserve">, </w:t>
      </w:r>
      <w:r w:rsidRPr="00A74F01">
        <w:rPr>
          <w:rStyle w:val="italicus"/>
          <w:lang w:val="en-US"/>
        </w:rPr>
        <w:t>l. c.</w:t>
      </w:r>
    </w:p>
  </w:footnote>
  <w:footnote w:id="71">
    <w:p w:rsidR="00941AA6" w:rsidRPr="00A74F01" w:rsidRDefault="00941AA6" w:rsidP="0021458E">
      <w:pPr>
        <w:pStyle w:val="Notedebasdepage"/>
      </w:pPr>
      <w:r w:rsidRPr="00C406FF">
        <w:rPr>
          <w:rStyle w:val="Appelnotedebasdep"/>
        </w:rPr>
        <w:footnoteRef/>
      </w:r>
      <w:r w:rsidRPr="00A74F01">
        <w:rPr>
          <w:lang w:val="en-US"/>
        </w:rPr>
        <w:t xml:space="preserve"> </w:t>
      </w:r>
      <w:r w:rsidRPr="00A74F01">
        <w:rPr>
          <w:rStyle w:val="italicus"/>
          <w:lang w:val="en-US"/>
        </w:rPr>
        <w:t>Hom.</w:t>
      </w:r>
      <w:r w:rsidRPr="00C8701B">
        <w:rPr>
          <w:bCs/>
          <w:lang w:val="en-US"/>
        </w:rPr>
        <w:t xml:space="preserve"> </w:t>
      </w:r>
      <w:r>
        <w:rPr>
          <w:bCs/>
          <w:lang w:val="en-US"/>
        </w:rPr>
        <w:t>I</w:t>
      </w:r>
      <w:r w:rsidRPr="00A74F01">
        <w:rPr>
          <w:rStyle w:val="italicus"/>
          <w:lang w:val="en-US"/>
        </w:rPr>
        <w:t xml:space="preserve"> in epist. ad Rom., </w:t>
      </w:r>
      <w:r w:rsidRPr="00A74F01">
        <w:rPr>
          <w:bCs/>
          <w:lang w:val="en-US"/>
        </w:rPr>
        <w:t>n.</w:t>
      </w:r>
      <w:r w:rsidRPr="00C8701B">
        <w:rPr>
          <w:bCs/>
          <w:lang w:val="el-GR"/>
        </w:rPr>
        <w:t xml:space="preserve"> </w:t>
      </w:r>
      <w:r w:rsidRPr="00C8701B">
        <w:rPr>
          <w:bCs/>
          <w:lang w:val="en-US"/>
        </w:rPr>
        <w:t>1. Cf.</w:t>
      </w:r>
      <w:r w:rsidRPr="00A74F01">
        <w:rPr>
          <w:rStyle w:val="italicus"/>
          <w:lang w:val="en-US"/>
        </w:rPr>
        <w:t xml:space="preserve"> Hom.</w:t>
      </w:r>
      <w:r w:rsidRPr="00C8701B">
        <w:rPr>
          <w:bCs/>
          <w:lang w:val="en-US"/>
        </w:rPr>
        <w:t xml:space="preserve"> </w:t>
      </w:r>
      <w:r>
        <w:rPr>
          <w:bCs/>
          <w:lang w:val="en-US"/>
        </w:rPr>
        <w:t>I</w:t>
      </w:r>
      <w:r w:rsidRPr="00A74F01">
        <w:rPr>
          <w:rStyle w:val="italicus"/>
          <w:lang w:val="en-US"/>
        </w:rPr>
        <w:t xml:space="preserve"> in Matth., </w:t>
      </w:r>
      <w:r w:rsidRPr="00C8701B">
        <w:rPr>
          <w:bCs/>
          <w:lang w:val="en-US"/>
        </w:rPr>
        <w:t>n. 2.</w:t>
      </w:r>
    </w:p>
  </w:footnote>
  <w:footnote w:id="72">
    <w:p w:rsidR="00941AA6" w:rsidRDefault="00941AA6">
      <w:pPr>
        <w:pStyle w:val="Notedebasdepage"/>
      </w:pPr>
      <w:r w:rsidRPr="00C406FF">
        <w:rPr>
          <w:rStyle w:val="Appelnotedebasdep"/>
        </w:rPr>
        <w:footnoteRef/>
      </w:r>
      <w:r>
        <w:t xml:space="preserve"> </w:t>
      </w:r>
      <w:r w:rsidRPr="00C8701B">
        <w:rPr>
          <w:rFonts w:eastAsia="Arial Unicode MS"/>
          <w:bCs/>
          <w:lang w:eastAsia="fr-FR" w:bidi="he-IL"/>
        </w:rPr>
        <w:t xml:space="preserve">Le saint docteur suppose pourtant que S. Matthieu plaça le simple </w:t>
      </w:r>
      <w:r w:rsidRPr="001E304C">
        <w:t>mot εὐ</w:t>
      </w:r>
      <w:r>
        <w:t>α</w:t>
      </w:r>
      <w:r w:rsidRPr="001E304C">
        <w:t>γγ</w:t>
      </w:r>
      <w:r>
        <w:t>έ</w:t>
      </w:r>
      <w:r w:rsidRPr="001E304C">
        <w:t xml:space="preserve">λιον en </w:t>
      </w:r>
      <w:r w:rsidRPr="00C8701B">
        <w:rPr>
          <w:rFonts w:eastAsia="Arial Unicode MS"/>
          <w:bCs/>
          <w:lang w:eastAsia="fr-FR" w:bidi="he-IL"/>
        </w:rPr>
        <w:t>avant de son volume.</w:t>
      </w:r>
    </w:p>
  </w:footnote>
  <w:footnote w:id="73">
    <w:p w:rsidR="00941AA6" w:rsidRPr="00362CA4" w:rsidRDefault="00941AA6">
      <w:pPr>
        <w:pStyle w:val="Notedebasdepage"/>
        <w:rPr>
          <w:lang w:val="de-AT"/>
        </w:rPr>
      </w:pPr>
      <w:r w:rsidRPr="00C406FF">
        <w:rPr>
          <w:rStyle w:val="Appelnotedebasdep"/>
        </w:rPr>
        <w:footnoteRef/>
      </w:r>
      <w:r w:rsidRPr="00362CA4">
        <w:rPr>
          <w:lang w:val="de-AT"/>
        </w:rPr>
        <w:t xml:space="preserve"> </w:t>
      </w:r>
      <w:r w:rsidRPr="00362CA4">
        <w:rPr>
          <w:rFonts w:eastAsia="Arial Unicode MS"/>
          <w:bCs/>
          <w:lang w:val="de-AT" w:eastAsia="fr-FR" w:bidi="he-IL"/>
        </w:rPr>
        <w:t xml:space="preserve">S. </w:t>
      </w:r>
      <w:r w:rsidRPr="00362CA4">
        <w:rPr>
          <w:lang w:val="de-AT"/>
        </w:rPr>
        <w:t>Iren.</w:t>
      </w:r>
      <w:r w:rsidRPr="00362CA4">
        <w:rPr>
          <w:rFonts w:eastAsia="Arial Unicode MS"/>
          <w:bCs/>
          <w:lang w:val="de-AT" w:eastAsia="fr-FR" w:bidi="he-IL"/>
        </w:rPr>
        <w:t xml:space="preserve">, </w:t>
      </w:r>
      <w:r w:rsidRPr="00362CA4">
        <w:rPr>
          <w:rStyle w:val="italicus"/>
          <w:lang w:val="de-AT"/>
        </w:rPr>
        <w:t xml:space="preserve">C. Hær., </w:t>
      </w:r>
      <w:r w:rsidRPr="00362CA4">
        <w:rPr>
          <w:rFonts w:eastAsia="Arial Unicode MS"/>
          <w:bCs/>
          <w:lang w:val="de-AT" w:eastAsia="fr-FR" w:bidi="he-IL"/>
        </w:rPr>
        <w:t>III, 11.</w:t>
      </w:r>
    </w:p>
  </w:footnote>
  <w:footnote w:id="74">
    <w:p w:rsidR="00941AA6" w:rsidRPr="00A74F01" w:rsidRDefault="00941AA6">
      <w:pPr>
        <w:pStyle w:val="Notedebasdepage"/>
        <w:rPr>
          <w:lang w:val="en-US"/>
        </w:rPr>
      </w:pPr>
      <w:r w:rsidRPr="00C406FF">
        <w:rPr>
          <w:rStyle w:val="Appelnotedebasdep"/>
        </w:rPr>
        <w:footnoteRef/>
      </w:r>
      <w:r w:rsidRPr="00A74F01">
        <w:rPr>
          <w:lang w:val="en-US"/>
        </w:rPr>
        <w:t xml:space="preserve"> </w:t>
      </w:r>
      <w:r w:rsidRPr="00A74F01">
        <w:rPr>
          <w:rFonts w:eastAsia="Arial Unicode MS"/>
          <w:bCs/>
          <w:lang w:val="en-US" w:eastAsia="fr-FR" w:bidi="he-IL"/>
        </w:rPr>
        <w:t xml:space="preserve">Clem. Alex., </w:t>
      </w:r>
      <w:r w:rsidRPr="00A74F01">
        <w:rPr>
          <w:rStyle w:val="italicus"/>
          <w:lang w:val="en-US"/>
        </w:rPr>
        <w:t xml:space="preserve">Strom., </w:t>
      </w:r>
      <w:r w:rsidRPr="00A74F01">
        <w:rPr>
          <w:lang w:val="en-US"/>
        </w:rPr>
        <w:t>I, 21.</w:t>
      </w:r>
    </w:p>
  </w:footnote>
  <w:footnote w:id="75">
    <w:p w:rsidR="00941AA6" w:rsidRPr="00A74F01" w:rsidRDefault="00941AA6">
      <w:pPr>
        <w:pStyle w:val="Notedebasdepage"/>
        <w:rPr>
          <w:lang w:val="en-US"/>
        </w:rPr>
      </w:pPr>
      <w:r w:rsidRPr="00C406FF">
        <w:rPr>
          <w:rStyle w:val="Appelnotedebasdep"/>
        </w:rPr>
        <w:footnoteRef/>
      </w:r>
      <w:r w:rsidRPr="00A74F01">
        <w:rPr>
          <w:lang w:val="en-US"/>
        </w:rPr>
        <w:t xml:space="preserve"> </w:t>
      </w:r>
      <w:r w:rsidRPr="00A74F01">
        <w:rPr>
          <w:rStyle w:val="italicus"/>
          <w:lang w:val="en-US"/>
        </w:rPr>
        <w:t>Contr. Marcion.,</w:t>
      </w:r>
      <w:r w:rsidRPr="00A74F01">
        <w:rPr>
          <w:lang w:val="en-US"/>
        </w:rPr>
        <w:t xml:space="preserve"> IV</w:t>
      </w:r>
      <w:r>
        <w:rPr>
          <w:rFonts w:eastAsia="Arial Unicode MS"/>
          <w:bCs/>
          <w:lang w:val="el-GR" w:eastAsia="fr-FR" w:bidi="he-IL"/>
        </w:rPr>
        <w:t xml:space="preserve">, </w:t>
      </w:r>
      <w:r w:rsidRPr="00A74F01">
        <w:rPr>
          <w:rFonts w:eastAsia="Arial Unicode MS"/>
          <w:bCs/>
          <w:lang w:val="en-US" w:eastAsia="fr-FR" w:bidi="he-IL"/>
        </w:rPr>
        <w:t>2.</w:t>
      </w:r>
    </w:p>
  </w:footnote>
  <w:footnote w:id="76">
    <w:p w:rsidR="00941AA6" w:rsidRPr="00A74F01" w:rsidRDefault="00941AA6">
      <w:pPr>
        <w:pStyle w:val="Notedebasdepage"/>
        <w:rPr>
          <w:lang w:val="en-US"/>
        </w:rPr>
      </w:pPr>
      <w:r w:rsidRPr="00C406FF">
        <w:rPr>
          <w:rStyle w:val="Appelnotedebasdep"/>
        </w:rPr>
        <w:footnoteRef/>
      </w:r>
      <w:r w:rsidRPr="00A74F01">
        <w:rPr>
          <w:lang w:val="en-US"/>
        </w:rPr>
        <w:t xml:space="preserve"> </w:t>
      </w:r>
      <w:r w:rsidRPr="00946A1C">
        <w:t>Voyez Routh</w:t>
      </w:r>
      <w:r w:rsidRPr="00A74F01">
        <w:rPr>
          <w:rFonts w:eastAsia="Arial Unicode MS"/>
          <w:bCs/>
          <w:lang w:val="en-US" w:eastAsia="fr-FR" w:bidi="he-IL"/>
        </w:rPr>
        <w:t xml:space="preserve">, </w:t>
      </w:r>
      <w:r w:rsidRPr="00A74F01">
        <w:rPr>
          <w:rStyle w:val="italicus"/>
          <w:lang w:val="en-US"/>
        </w:rPr>
        <w:t xml:space="preserve">Reliq. sacr., </w:t>
      </w:r>
      <w:r w:rsidRPr="00A74F01">
        <w:rPr>
          <w:rFonts w:eastAsia="Arial Unicode MS"/>
          <w:bCs/>
          <w:lang w:val="en-US" w:eastAsia="fr-FR" w:bidi="he-IL"/>
        </w:rPr>
        <w:t>t. I, p. 405.</w:t>
      </w:r>
    </w:p>
  </w:footnote>
  <w:footnote w:id="77">
    <w:p w:rsidR="00941AA6" w:rsidRDefault="00941AA6">
      <w:pPr>
        <w:pStyle w:val="Notedebasdepage"/>
      </w:pPr>
      <w:r w:rsidRPr="00C406FF">
        <w:rPr>
          <w:rStyle w:val="Appelnotedebasdep"/>
        </w:rPr>
        <w:footnoteRef/>
      </w:r>
      <w:r>
        <w:t xml:space="preserve"> </w:t>
      </w:r>
      <w:r>
        <w:rPr>
          <w:rStyle w:val="italicus"/>
        </w:rPr>
        <w:t>Contr.</w:t>
      </w:r>
      <w:r w:rsidRPr="00DC4586">
        <w:rPr>
          <w:rStyle w:val="italicus"/>
        </w:rPr>
        <w:t xml:space="preserve"> Faust.</w:t>
      </w:r>
      <w:r>
        <w:rPr>
          <w:rStyle w:val="italicus"/>
        </w:rPr>
        <w:t xml:space="preserve">, </w:t>
      </w:r>
      <w:r>
        <w:rPr>
          <w:rFonts w:eastAsia="Arial Unicode MS"/>
          <w:bCs/>
          <w:lang w:eastAsia="fr-FR" w:bidi="he-IL"/>
        </w:rPr>
        <w:t xml:space="preserve">XVII, </w:t>
      </w:r>
      <w:r w:rsidRPr="00C8701B">
        <w:rPr>
          <w:rFonts w:eastAsia="Arial Unicode MS"/>
          <w:bCs/>
          <w:lang w:eastAsia="fr-FR" w:bidi="he-IL"/>
        </w:rPr>
        <w:t>2.</w:t>
      </w:r>
    </w:p>
  </w:footnote>
  <w:footnote w:id="78">
    <w:p w:rsidR="00941AA6" w:rsidRDefault="00941AA6">
      <w:pPr>
        <w:pStyle w:val="Notedebasdepage"/>
      </w:pPr>
      <w:r w:rsidRPr="00C406FF">
        <w:rPr>
          <w:rStyle w:val="Appelnotedebasdep"/>
        </w:rPr>
        <w:footnoteRef/>
      </w:r>
      <w:r>
        <w:t xml:space="preserve"> </w:t>
      </w:r>
      <w:r w:rsidRPr="00C8701B">
        <w:rPr>
          <w:rFonts w:eastAsia="Arial Unicode MS"/>
          <w:bCs/>
          <w:lang w:eastAsia="fr-FR" w:bidi="he-IL"/>
        </w:rPr>
        <w:t>E. Renan.</w:t>
      </w:r>
      <w:r w:rsidRPr="00DC4586">
        <w:rPr>
          <w:rStyle w:val="italicus"/>
        </w:rPr>
        <w:t xml:space="preserve"> Vie de Jésus</w:t>
      </w:r>
      <w:r>
        <w:rPr>
          <w:rStyle w:val="italicus"/>
        </w:rPr>
        <w:t xml:space="preserve">, </w:t>
      </w:r>
      <w:r w:rsidRPr="00C8701B">
        <w:rPr>
          <w:rFonts w:eastAsia="Arial Unicode MS"/>
          <w:bCs/>
          <w:lang w:eastAsia="fr-FR" w:bidi="he-IL"/>
        </w:rPr>
        <w:t>Paris</w:t>
      </w:r>
      <w:r>
        <w:rPr>
          <w:rFonts w:eastAsia="Arial Unicode MS"/>
          <w:bCs/>
          <w:lang w:eastAsia="fr-FR" w:bidi="he-IL"/>
        </w:rPr>
        <w:t xml:space="preserve">, </w:t>
      </w:r>
      <w:r w:rsidRPr="00C8701B">
        <w:rPr>
          <w:rFonts w:eastAsia="Arial Unicode MS"/>
          <w:bCs/>
          <w:lang w:eastAsia="fr-FR" w:bidi="he-IL"/>
        </w:rPr>
        <w:t>1863</w:t>
      </w:r>
      <w:r>
        <w:rPr>
          <w:rFonts w:eastAsia="Arial Unicode MS"/>
          <w:bCs/>
          <w:lang w:eastAsia="fr-FR" w:bidi="he-IL"/>
        </w:rPr>
        <w:t xml:space="preserve">, </w:t>
      </w:r>
      <w:r w:rsidRPr="00C8701B">
        <w:rPr>
          <w:rFonts w:eastAsia="Arial Unicode MS"/>
          <w:bCs/>
          <w:lang w:eastAsia="fr-FR" w:bidi="he-IL"/>
        </w:rPr>
        <w:t xml:space="preserve">p. </w:t>
      </w:r>
      <w:r>
        <w:rPr>
          <w:rFonts w:eastAsia="Arial Unicode MS"/>
          <w:bCs/>
          <w:lang w:eastAsia="fr-FR" w:bidi="he-IL"/>
        </w:rPr>
        <w:t>XVI</w:t>
      </w:r>
      <w:r w:rsidRPr="00C8701B">
        <w:rPr>
          <w:rFonts w:eastAsia="Arial Unicode MS"/>
          <w:bCs/>
          <w:lang w:eastAsia="fr-FR" w:bidi="he-IL"/>
        </w:rPr>
        <w:t>. Comp. Volkmar</w:t>
      </w:r>
      <w:r>
        <w:rPr>
          <w:rFonts w:eastAsia="Arial Unicode MS"/>
          <w:bCs/>
          <w:lang w:eastAsia="fr-FR" w:bidi="he-IL"/>
        </w:rPr>
        <w:t xml:space="preserve">, </w:t>
      </w:r>
      <w:r w:rsidRPr="00DC4586">
        <w:rPr>
          <w:rStyle w:val="italicus"/>
        </w:rPr>
        <w:t>Ursprung der Evangelien</w:t>
      </w:r>
      <w:r>
        <w:rPr>
          <w:rStyle w:val="italicus"/>
        </w:rPr>
        <w:t xml:space="preserve">, </w:t>
      </w:r>
      <w:r w:rsidRPr="00C8701B">
        <w:rPr>
          <w:rFonts w:eastAsia="Arial Unicode MS"/>
          <w:bCs/>
          <w:lang w:eastAsia="fr-FR" w:bidi="he-IL"/>
        </w:rPr>
        <w:t>Zurich 1866</w:t>
      </w:r>
      <w:r>
        <w:rPr>
          <w:rFonts w:eastAsia="Arial Unicode MS"/>
          <w:bCs/>
          <w:lang w:eastAsia="fr-FR" w:bidi="he-IL"/>
        </w:rPr>
        <w:t xml:space="preserve">, </w:t>
      </w:r>
      <w:r w:rsidRPr="00C8701B">
        <w:rPr>
          <w:rFonts w:eastAsia="Arial Unicode MS"/>
          <w:bCs/>
          <w:lang w:eastAsia="fr-FR" w:bidi="he-IL"/>
        </w:rPr>
        <w:t>p. 7 </w:t>
      </w:r>
      <w:r>
        <w:rPr>
          <w:rFonts w:eastAsia="Arial Unicode MS"/>
          <w:bCs/>
          <w:lang w:eastAsia="fr-FR" w:bidi="he-IL"/>
        </w:rPr>
        <w:t xml:space="preserve">; </w:t>
      </w:r>
      <w:r w:rsidRPr="00C8701B">
        <w:rPr>
          <w:rFonts w:eastAsia="Arial Unicode MS"/>
          <w:bCs/>
          <w:lang w:eastAsia="fr-FR" w:bidi="he-IL"/>
        </w:rPr>
        <w:t>etc.</w:t>
      </w:r>
    </w:p>
  </w:footnote>
  <w:footnote w:id="79">
    <w:p w:rsidR="00941AA6" w:rsidRDefault="00941AA6">
      <w:pPr>
        <w:pStyle w:val="Notedebasdepage"/>
      </w:pPr>
      <w:r w:rsidRPr="00C406FF">
        <w:rPr>
          <w:rStyle w:val="Appelnotedebasdep"/>
        </w:rPr>
        <w:footnoteRef/>
      </w:r>
      <w:r>
        <w:t xml:space="preserve"> </w:t>
      </w:r>
      <w:r w:rsidRPr="00C8701B">
        <w:rPr>
          <w:rFonts w:eastAsia="Arial Unicode MS"/>
          <w:bCs/>
          <w:lang w:eastAsia="fr-FR" w:bidi="he-IL"/>
        </w:rPr>
        <w:t>Par M. Renan dans les éditions les plus récentes de sa</w:t>
      </w:r>
      <w:r w:rsidRPr="00DC4586">
        <w:rPr>
          <w:rStyle w:val="italicus"/>
        </w:rPr>
        <w:t xml:space="preserve"> Vie de Jésus.</w:t>
      </w:r>
      <w:r w:rsidRPr="00C8701B">
        <w:rPr>
          <w:rFonts w:eastAsia="Arial Unicode MS"/>
          <w:bCs/>
          <w:lang w:eastAsia="fr-FR" w:bidi="he-IL"/>
        </w:rPr>
        <w:t xml:space="preserve"> Voyez aussi de Wette</w:t>
      </w:r>
      <w:r>
        <w:rPr>
          <w:rFonts w:eastAsia="Arial Unicode MS"/>
          <w:bCs/>
          <w:lang w:eastAsia="fr-FR" w:bidi="he-IL"/>
        </w:rPr>
        <w:t xml:space="preserve">, </w:t>
      </w:r>
      <w:r w:rsidRPr="00C31E3A">
        <w:rPr>
          <w:rStyle w:val="italicus"/>
        </w:rPr>
        <w:t>Einleitung in</w:t>
      </w:r>
      <w:r>
        <w:rPr>
          <w:rStyle w:val="italicus"/>
        </w:rPr>
        <w:t>’</w:t>
      </w:r>
      <w:r w:rsidRPr="00C31E3A">
        <w:rPr>
          <w:rStyle w:val="italicus"/>
        </w:rPr>
        <w:t>s N. Testam.,</w:t>
      </w:r>
      <w:r>
        <w:rPr>
          <w:rStyle w:val="italicus"/>
        </w:rPr>
        <w:t xml:space="preserve"> </w:t>
      </w:r>
      <w:r w:rsidRPr="00C8701B">
        <w:rPr>
          <w:rFonts w:eastAsia="Arial Unicode MS"/>
          <w:bCs/>
          <w:lang w:eastAsia="fr-FR" w:bidi="he-IL"/>
        </w:rPr>
        <w:t>6</w:t>
      </w:r>
      <w:r w:rsidRPr="00C31E3A">
        <w:rPr>
          <w:rFonts w:eastAsia="Arial Unicode MS"/>
          <w:bCs/>
          <w:vertAlign w:val="superscript"/>
          <w:lang w:eastAsia="fr-FR" w:bidi="he-IL"/>
        </w:rPr>
        <w:t>e</w:t>
      </w:r>
      <w:r>
        <w:rPr>
          <w:rFonts w:eastAsia="Arial Unicode MS"/>
          <w:bCs/>
          <w:lang w:eastAsia="fr-FR" w:bidi="he-IL"/>
        </w:rPr>
        <w:t xml:space="preserve"> </w:t>
      </w:r>
      <w:r w:rsidRPr="00C8701B">
        <w:rPr>
          <w:rFonts w:eastAsia="Arial Unicode MS"/>
          <w:bCs/>
          <w:lang w:eastAsia="fr-FR" w:bidi="he-IL"/>
        </w:rPr>
        <w:t>édition</w:t>
      </w:r>
      <w:r>
        <w:rPr>
          <w:rFonts w:eastAsia="Arial Unicode MS"/>
          <w:bCs/>
          <w:lang w:eastAsia="fr-FR" w:bidi="he-IL"/>
        </w:rPr>
        <w:t xml:space="preserve">, </w:t>
      </w:r>
      <w:r w:rsidRPr="00C8701B">
        <w:rPr>
          <w:rFonts w:eastAsia="Arial Unicode MS"/>
          <w:bCs/>
          <w:lang w:eastAsia="fr-FR" w:bidi="he-IL"/>
        </w:rPr>
        <w:t>Berlin</w:t>
      </w:r>
      <w:r>
        <w:rPr>
          <w:rFonts w:eastAsia="Arial Unicode MS"/>
          <w:bCs/>
          <w:lang w:eastAsia="fr-FR" w:bidi="he-IL"/>
        </w:rPr>
        <w:t xml:space="preserve">, </w:t>
      </w:r>
      <w:r w:rsidRPr="00C8701B">
        <w:rPr>
          <w:rFonts w:eastAsia="Arial Unicode MS"/>
          <w:bCs/>
          <w:lang w:eastAsia="fr-FR" w:bidi="he-IL"/>
        </w:rPr>
        <w:t>1860</w:t>
      </w:r>
      <w:r>
        <w:rPr>
          <w:rFonts w:eastAsia="Arial Unicode MS"/>
          <w:bCs/>
          <w:lang w:eastAsia="fr-FR" w:bidi="he-IL"/>
        </w:rPr>
        <w:t xml:space="preserve">, </w:t>
      </w:r>
      <w:r w:rsidRPr="00C8701B">
        <w:rPr>
          <w:rFonts w:eastAsia="Arial Unicode MS"/>
          <w:bCs/>
          <w:lang w:eastAsia="fr-FR" w:bidi="he-IL"/>
        </w:rPr>
        <w:t>p. 143.</w:t>
      </w:r>
    </w:p>
  </w:footnote>
  <w:footnote w:id="80">
    <w:p w:rsidR="00941AA6" w:rsidRDefault="00941AA6">
      <w:pPr>
        <w:pStyle w:val="Notedebasdepage"/>
      </w:pPr>
      <w:r w:rsidRPr="00C406FF">
        <w:rPr>
          <w:rStyle w:val="Appelnotedebasdep"/>
        </w:rPr>
        <w:footnoteRef/>
      </w:r>
      <w:r>
        <w:t xml:space="preserve"> </w:t>
      </w:r>
      <w:r w:rsidRPr="00C31E3A">
        <w:t xml:space="preserve">Hilgenfeld, partisan de la critique </w:t>
      </w:r>
      <w:r w:rsidRPr="00C8701B">
        <w:rPr>
          <w:rFonts w:eastAsia="Arial Unicode MS"/>
          <w:bCs/>
          <w:lang w:eastAsia="fr-FR" w:bidi="he-IL"/>
        </w:rPr>
        <w:t>négative</w:t>
      </w:r>
      <w:r>
        <w:rPr>
          <w:rFonts w:eastAsia="Arial Unicode MS"/>
          <w:bCs/>
          <w:lang w:eastAsia="fr-FR" w:bidi="he-IL"/>
        </w:rPr>
        <w:t xml:space="preserve">, </w:t>
      </w:r>
      <w:r w:rsidRPr="00DC4586">
        <w:rPr>
          <w:rStyle w:val="italicus"/>
        </w:rPr>
        <w:t>Einleitung</w:t>
      </w:r>
      <w:r>
        <w:rPr>
          <w:rStyle w:val="italicus"/>
        </w:rPr>
        <w:t xml:space="preserve">, </w:t>
      </w:r>
      <w:r w:rsidRPr="00C8701B">
        <w:rPr>
          <w:rFonts w:eastAsia="Arial Unicode MS"/>
          <w:bCs/>
          <w:lang w:eastAsia="fr-FR" w:bidi="he-IL"/>
        </w:rPr>
        <w:t>p. 149</w:t>
      </w:r>
      <w:r>
        <w:rPr>
          <w:rFonts w:eastAsia="Arial Unicode MS"/>
          <w:bCs/>
          <w:lang w:eastAsia="fr-FR" w:bidi="he-IL"/>
        </w:rPr>
        <w:t>.</w:t>
      </w:r>
    </w:p>
  </w:footnote>
  <w:footnote w:id="81">
    <w:p w:rsidR="00941AA6" w:rsidRPr="00A74F01" w:rsidRDefault="00941AA6">
      <w:pPr>
        <w:pStyle w:val="Notedebasdepage"/>
        <w:rPr>
          <w:lang w:val="en-US"/>
        </w:rPr>
      </w:pPr>
      <w:r w:rsidRPr="00C406FF">
        <w:rPr>
          <w:rStyle w:val="Appelnotedebasdep"/>
        </w:rPr>
        <w:footnoteRef/>
      </w:r>
      <w:r w:rsidRPr="00A74F01">
        <w:rPr>
          <w:lang w:val="en-US"/>
        </w:rPr>
        <w:t xml:space="preserve"> </w:t>
      </w:r>
      <w:r w:rsidRPr="00A74F01">
        <w:rPr>
          <w:rStyle w:val="italicus"/>
          <w:lang w:val="en-US"/>
        </w:rPr>
        <w:t xml:space="preserve">Hist. eccl., </w:t>
      </w:r>
      <w:r w:rsidRPr="00A74F01">
        <w:rPr>
          <w:rFonts w:eastAsia="Arial Unicode MS"/>
          <w:lang w:val="en-US" w:eastAsia="fr-FR" w:bidi="he-IL"/>
        </w:rPr>
        <w:t xml:space="preserve">III, </w:t>
      </w:r>
      <w:r w:rsidRPr="00A74F01">
        <w:rPr>
          <w:rFonts w:eastAsia="Arial Unicode MS"/>
          <w:bCs/>
          <w:lang w:val="en-US" w:eastAsia="fr-FR" w:bidi="he-IL"/>
        </w:rPr>
        <w:t>24.</w:t>
      </w:r>
    </w:p>
  </w:footnote>
  <w:footnote w:id="82">
    <w:p w:rsidR="00941AA6" w:rsidRPr="00A74F01" w:rsidRDefault="00941AA6">
      <w:pPr>
        <w:pStyle w:val="Notedebasdepage"/>
        <w:rPr>
          <w:lang w:val="en-US"/>
        </w:rPr>
      </w:pPr>
      <w:r w:rsidRPr="00C406FF">
        <w:rPr>
          <w:rStyle w:val="Appelnotedebasdep"/>
        </w:rPr>
        <w:footnoteRef/>
      </w:r>
      <w:r w:rsidRPr="00A74F01">
        <w:rPr>
          <w:lang w:val="en-US"/>
        </w:rPr>
        <w:t xml:space="preserve"> </w:t>
      </w:r>
      <w:r w:rsidRPr="00A74F01">
        <w:rPr>
          <w:rStyle w:val="italicus"/>
          <w:lang w:val="en-US"/>
        </w:rPr>
        <w:t xml:space="preserve">Adv. hær., </w:t>
      </w:r>
      <w:r w:rsidRPr="00A74F01">
        <w:rPr>
          <w:rFonts w:eastAsia="Arial Unicode MS"/>
          <w:bCs/>
          <w:lang w:val="en-US" w:eastAsia="fr-FR" w:bidi="he-IL"/>
        </w:rPr>
        <w:t>VIII, 4.</w:t>
      </w:r>
    </w:p>
  </w:footnote>
  <w:footnote w:id="83">
    <w:p w:rsidR="00941AA6" w:rsidRPr="00A74F01" w:rsidRDefault="00941AA6">
      <w:pPr>
        <w:pStyle w:val="Notedebasdepage"/>
        <w:rPr>
          <w:lang w:val="en-US"/>
        </w:rPr>
      </w:pPr>
      <w:r w:rsidRPr="00C406FF">
        <w:rPr>
          <w:rStyle w:val="Appelnotedebasdep"/>
        </w:rPr>
        <w:footnoteRef/>
      </w:r>
      <w:r w:rsidRPr="00A74F01">
        <w:rPr>
          <w:lang w:val="en-US"/>
        </w:rPr>
        <w:t xml:space="preserve"> </w:t>
      </w:r>
      <w:r w:rsidRPr="00A74F01">
        <w:rPr>
          <w:rFonts w:eastAsia="Arial Unicode MS"/>
          <w:bCs/>
          <w:lang w:val="en-US" w:eastAsia="fr-FR" w:bidi="he-IL"/>
        </w:rPr>
        <w:t>Page 3, 1°.</w:t>
      </w:r>
    </w:p>
  </w:footnote>
  <w:footnote w:id="84">
    <w:p w:rsidR="00941AA6" w:rsidRPr="00A74F01" w:rsidRDefault="00941AA6">
      <w:pPr>
        <w:pStyle w:val="Notedebasdepage"/>
        <w:rPr>
          <w:lang w:val="en-US"/>
        </w:rPr>
      </w:pPr>
      <w:r w:rsidRPr="00C406FF">
        <w:rPr>
          <w:rStyle w:val="Appelnotedebasdep"/>
        </w:rPr>
        <w:footnoteRef/>
      </w:r>
      <w:r w:rsidRPr="00A74F01">
        <w:rPr>
          <w:lang w:val="en-US"/>
        </w:rPr>
        <w:t xml:space="preserve"> </w:t>
      </w:r>
      <w:r w:rsidRPr="0086643C">
        <w:t>Comparez les locutions analogues : Ὄμηρος κατ</w:t>
      </w:r>
      <w:r>
        <w:t>ὰ</w:t>
      </w:r>
      <w:r w:rsidRPr="0086643C">
        <w:t xml:space="preserve"> Ἀρίσταρχον, κατ</w:t>
      </w:r>
      <w:r>
        <w:t>ὰ</w:t>
      </w:r>
      <w:r w:rsidRPr="0086643C">
        <w:t xml:space="preserve"> Ζηνὼδοτον, κατ</w:t>
      </w:r>
      <w:r>
        <w:t>ὰ</w:t>
      </w:r>
      <w:r w:rsidRPr="0086643C">
        <w:t xml:space="preserve"> Ἀρίστοφην</w:t>
      </w:r>
      <w:r w:rsidRPr="00A74F01">
        <w:rPr>
          <w:lang w:val="en-US"/>
        </w:rPr>
        <w:t>.</w:t>
      </w:r>
    </w:p>
  </w:footnote>
  <w:footnote w:id="85">
    <w:p w:rsidR="00941AA6" w:rsidRPr="00A74F01" w:rsidRDefault="00941AA6" w:rsidP="0021458E">
      <w:pPr>
        <w:pStyle w:val="Notedebasdepage"/>
      </w:pPr>
      <w:r w:rsidRPr="00C406FF">
        <w:rPr>
          <w:rStyle w:val="Appelnotedebasdep"/>
        </w:rPr>
        <w:footnoteRef/>
      </w:r>
      <w:r w:rsidRPr="00A74F01">
        <w:rPr>
          <w:lang w:val="en-US"/>
        </w:rPr>
        <w:t xml:space="preserve"> </w:t>
      </w:r>
      <w:r>
        <w:rPr>
          <w:lang w:val="en-US"/>
        </w:rPr>
        <w:t>Co</w:t>
      </w:r>
      <w:r w:rsidRPr="00C8701B">
        <w:rPr>
          <w:bCs/>
          <w:lang w:val="en-US"/>
        </w:rPr>
        <w:t>mm.</w:t>
      </w:r>
      <w:r w:rsidRPr="00A74F01">
        <w:rPr>
          <w:rStyle w:val="italicus"/>
          <w:lang w:val="en-US"/>
        </w:rPr>
        <w:t xml:space="preserve"> in Matth.</w:t>
      </w:r>
      <w:r>
        <w:rPr>
          <w:bCs/>
          <w:lang w:val="en-US"/>
        </w:rPr>
        <w:t xml:space="preserve"> I, 1</w:t>
      </w:r>
      <w:r w:rsidRPr="00A74F01">
        <w:rPr>
          <w:bCs/>
          <w:lang w:val="en-US"/>
        </w:rPr>
        <w:t xml:space="preserve">. </w:t>
      </w:r>
      <w:r w:rsidRPr="00C8701B">
        <w:rPr>
          <w:bCs/>
          <w:lang w:val="en-US"/>
        </w:rPr>
        <w:t>Cf. F</w:t>
      </w:r>
      <w:r>
        <w:rPr>
          <w:bCs/>
          <w:lang w:val="en-US"/>
        </w:rPr>
        <w:t xml:space="preserve">. </w:t>
      </w:r>
      <w:r w:rsidRPr="00C8701B">
        <w:rPr>
          <w:bCs/>
          <w:lang w:val="en-US"/>
        </w:rPr>
        <w:t>Delitzsch</w:t>
      </w:r>
      <w:r>
        <w:rPr>
          <w:bCs/>
          <w:lang w:val="en-US"/>
        </w:rPr>
        <w:t xml:space="preserve">, </w:t>
      </w:r>
      <w:r w:rsidRPr="00A74F01">
        <w:rPr>
          <w:rStyle w:val="italicus"/>
          <w:lang w:val="en-US"/>
        </w:rPr>
        <w:t xml:space="preserve">Untersuchungen über Untstehung und Anlage der kanon. Evangel., </w:t>
      </w:r>
      <w:r w:rsidRPr="00C8701B">
        <w:rPr>
          <w:bCs/>
          <w:lang w:val="en-US"/>
        </w:rPr>
        <w:t>Leipzig</w:t>
      </w:r>
      <w:r>
        <w:rPr>
          <w:bCs/>
          <w:lang w:val="en-US"/>
        </w:rPr>
        <w:t xml:space="preserve">, </w:t>
      </w:r>
      <w:r w:rsidRPr="00C8701B">
        <w:rPr>
          <w:bCs/>
          <w:lang w:val="en-US"/>
        </w:rPr>
        <w:t>1853</w:t>
      </w:r>
      <w:r>
        <w:rPr>
          <w:bCs/>
          <w:lang w:val="en-US"/>
        </w:rPr>
        <w:t xml:space="preserve">, </w:t>
      </w:r>
      <w:r w:rsidRPr="00C8701B">
        <w:rPr>
          <w:bCs/>
          <w:lang w:val="en-US"/>
        </w:rPr>
        <w:t>t. I</w:t>
      </w:r>
      <w:r>
        <w:rPr>
          <w:bCs/>
          <w:lang w:val="en-US"/>
        </w:rPr>
        <w:t xml:space="preserve">, </w:t>
      </w:r>
      <w:r w:rsidRPr="00C8701B">
        <w:rPr>
          <w:bCs/>
          <w:lang w:val="en-US"/>
        </w:rPr>
        <w:t>p. 7.</w:t>
      </w:r>
    </w:p>
  </w:footnote>
  <w:footnote w:id="86">
    <w:p w:rsidR="00941AA6" w:rsidRPr="00A74F01" w:rsidRDefault="00941AA6" w:rsidP="0021458E">
      <w:pPr>
        <w:pStyle w:val="Notedebasdepage"/>
      </w:pPr>
      <w:r w:rsidRPr="00C406FF">
        <w:rPr>
          <w:rStyle w:val="Appelnotedebasdep"/>
        </w:rPr>
        <w:footnoteRef/>
      </w:r>
      <w:r w:rsidRPr="00A74F01">
        <w:t xml:space="preserve"> </w:t>
      </w:r>
      <w:r w:rsidRPr="00A74F01">
        <w:rPr>
          <w:rStyle w:val="italicus"/>
          <w:lang w:val="en-US"/>
        </w:rPr>
        <w:t>Hom.</w:t>
      </w:r>
      <w:r w:rsidRPr="00A74F01">
        <w:rPr>
          <w:bCs/>
        </w:rPr>
        <w:t xml:space="preserve"> I</w:t>
      </w:r>
      <w:r w:rsidRPr="00A74F01">
        <w:rPr>
          <w:rStyle w:val="italicus"/>
          <w:lang w:val="en-US"/>
        </w:rPr>
        <w:t xml:space="preserve"> in Matth.</w:t>
      </w:r>
      <w:r w:rsidRPr="00A74F01">
        <w:rPr>
          <w:bCs/>
        </w:rPr>
        <w:t xml:space="preserve"> I, 2.</w:t>
      </w:r>
    </w:p>
  </w:footnote>
  <w:footnote w:id="87">
    <w:p w:rsidR="00941AA6" w:rsidRDefault="00941AA6">
      <w:pPr>
        <w:pStyle w:val="Notedebasdepage"/>
      </w:pPr>
      <w:r w:rsidRPr="00C406FF">
        <w:rPr>
          <w:rStyle w:val="Appelnotedebasdep"/>
        </w:rPr>
        <w:footnoteRef/>
      </w:r>
      <w:r>
        <w:t xml:space="preserve"> </w:t>
      </w:r>
      <w:r w:rsidRPr="00DC4586">
        <w:rPr>
          <w:rStyle w:val="italicus"/>
        </w:rPr>
        <w:t>Lettres</w:t>
      </w:r>
      <w:r w:rsidRPr="00C8701B">
        <w:rPr>
          <w:rFonts w:eastAsia="Arial Unicode MS"/>
          <w:bCs/>
          <w:lang w:eastAsia="fr-FR" w:bidi="he-IL"/>
        </w:rPr>
        <w:t xml:space="preserve"> à</w:t>
      </w:r>
      <w:r w:rsidRPr="00DC4586">
        <w:rPr>
          <w:rStyle w:val="italicus"/>
        </w:rPr>
        <w:t xml:space="preserve"> un jeune homme sur la Vie chrétienne</w:t>
      </w:r>
      <w:r>
        <w:rPr>
          <w:rFonts w:eastAsia="Arial Unicode MS"/>
          <w:bCs/>
          <w:lang w:eastAsia="fr-FR" w:bidi="he-IL"/>
        </w:rPr>
        <w:t xml:space="preserve">, </w:t>
      </w:r>
      <w:r w:rsidRPr="00C8701B">
        <w:rPr>
          <w:rFonts w:eastAsia="Arial Unicode MS"/>
          <w:bCs/>
          <w:lang w:eastAsia="fr-FR" w:bidi="he-IL"/>
        </w:rPr>
        <w:t>Paris</w:t>
      </w:r>
      <w:r>
        <w:rPr>
          <w:rFonts w:eastAsia="Arial Unicode MS"/>
          <w:bCs/>
          <w:lang w:eastAsia="fr-FR" w:bidi="he-IL"/>
        </w:rPr>
        <w:t xml:space="preserve">, </w:t>
      </w:r>
      <w:r w:rsidRPr="00C8701B">
        <w:rPr>
          <w:rFonts w:eastAsia="Arial Unicode MS"/>
          <w:bCs/>
          <w:lang w:eastAsia="fr-FR" w:bidi="he-IL"/>
        </w:rPr>
        <w:t>3</w:t>
      </w:r>
      <w:r w:rsidRPr="00C8701B">
        <w:rPr>
          <w:rFonts w:eastAsia="Arial Unicode MS"/>
          <w:bCs/>
          <w:vertAlign w:val="superscript"/>
          <w:lang w:eastAsia="fr-FR" w:bidi="he-IL"/>
        </w:rPr>
        <w:t>e</w:t>
      </w:r>
      <w:r w:rsidRPr="00C8701B">
        <w:rPr>
          <w:rFonts w:eastAsia="Arial Unicode MS"/>
          <w:bCs/>
          <w:lang w:eastAsia="fr-FR" w:bidi="he-IL"/>
        </w:rPr>
        <w:t xml:space="preserve"> édition</w:t>
      </w:r>
      <w:r>
        <w:rPr>
          <w:rFonts w:eastAsia="Arial Unicode MS"/>
          <w:bCs/>
          <w:lang w:eastAsia="fr-FR" w:bidi="he-IL"/>
        </w:rPr>
        <w:t xml:space="preserve">, </w:t>
      </w:r>
      <w:r w:rsidRPr="00C8701B">
        <w:rPr>
          <w:rFonts w:eastAsia="Arial Unicode MS"/>
          <w:bCs/>
          <w:lang w:eastAsia="fr-FR" w:bidi="he-IL"/>
        </w:rPr>
        <w:t>p. 16-17.</w:t>
      </w:r>
    </w:p>
  </w:footnote>
  <w:footnote w:id="88">
    <w:p w:rsidR="00941AA6" w:rsidRDefault="00941AA6">
      <w:pPr>
        <w:pStyle w:val="Notedebasdepage"/>
        <w:rPr>
          <w:rFonts w:eastAsia="Arial Unicode MS"/>
          <w:bCs/>
          <w:lang w:eastAsia="fr-FR" w:bidi="he-IL"/>
        </w:rPr>
      </w:pPr>
      <w:r w:rsidRPr="00C406FF">
        <w:rPr>
          <w:rStyle w:val="Appelnotedebasdep"/>
        </w:rPr>
        <w:footnoteRef/>
      </w:r>
      <w:r>
        <w:t xml:space="preserve"> </w:t>
      </w:r>
      <w:r w:rsidRPr="00DC4586">
        <w:rPr>
          <w:rStyle w:val="italicus"/>
        </w:rPr>
        <w:t>Ibid.</w:t>
      </w:r>
      <w:r>
        <w:rPr>
          <w:rStyle w:val="italicus"/>
        </w:rPr>
        <w:t xml:space="preserve">, </w:t>
      </w:r>
      <w:r w:rsidRPr="00C8701B">
        <w:rPr>
          <w:rFonts w:eastAsia="Arial Unicode MS"/>
          <w:bCs/>
          <w:lang w:eastAsia="fr-FR" w:bidi="he-IL"/>
        </w:rPr>
        <w:t xml:space="preserve">p. 117-122. Nous espérons ne pas abuser du droit de citation en transcrivant encore les pages 180-182 du </w:t>
      </w:r>
      <w:r>
        <w:rPr>
          <w:rFonts w:eastAsia="Arial Unicode MS"/>
          <w:bCs/>
          <w:lang w:eastAsia="fr-FR" w:bidi="he-IL"/>
        </w:rPr>
        <w:t>même</w:t>
      </w:r>
      <w:r w:rsidRPr="00C8701B">
        <w:rPr>
          <w:rFonts w:eastAsia="Arial Unicode MS"/>
          <w:bCs/>
          <w:lang w:eastAsia="fr-FR" w:bidi="he-IL"/>
        </w:rPr>
        <w:t xml:space="preserve"> opuscule</w:t>
      </w:r>
      <w:r>
        <w:rPr>
          <w:rFonts w:eastAsia="Arial Unicode MS"/>
          <w:bCs/>
          <w:lang w:eastAsia="fr-FR" w:bidi="he-IL"/>
        </w:rPr>
        <w:t xml:space="preserve">, </w:t>
      </w:r>
      <w:r w:rsidRPr="00C8701B">
        <w:rPr>
          <w:rFonts w:eastAsia="Arial Unicode MS"/>
          <w:bCs/>
          <w:lang w:eastAsia="fr-FR" w:bidi="he-IL"/>
        </w:rPr>
        <w:t>dont la diction poétique met si bien en relief la vérité des faits. De telles splendeurs sont un repos pour l</w:t>
      </w:r>
      <w:r>
        <w:rPr>
          <w:rFonts w:eastAsia="Arial Unicode MS"/>
          <w:bCs/>
          <w:lang w:eastAsia="fr-FR" w:bidi="he-IL"/>
        </w:rPr>
        <w:t>’</w:t>
      </w:r>
      <w:r w:rsidRPr="00C8701B">
        <w:rPr>
          <w:rFonts w:eastAsia="Arial Unicode MS"/>
          <w:bCs/>
          <w:lang w:eastAsia="fr-FR" w:bidi="he-IL"/>
        </w:rPr>
        <w:t xml:space="preserve">exégète comme pour ses lecteurs. </w:t>
      </w:r>
    </w:p>
    <w:p w:rsidR="00941AA6" w:rsidRDefault="00941AA6">
      <w:pPr>
        <w:pStyle w:val="Notedebasdepage"/>
      </w:pPr>
      <w:r w:rsidRPr="00652B4F">
        <w:t>« Vous commencerez donc par l</w:t>
      </w:r>
      <w:r>
        <w:t>’</w:t>
      </w:r>
      <w:r w:rsidRPr="00652B4F">
        <w:t>Évangile, qui est Jésus-Christ vivant. Là, dans sa chair, expression de son âme et voile transparent de sa divinité, vous le verrez lui-même</w:t>
      </w:r>
      <w:r>
        <w:t xml:space="preserve">. </w:t>
      </w:r>
      <w:r w:rsidRPr="00652B4F">
        <w:t>Ce n</w:t>
      </w:r>
      <w:r>
        <w:t>’</w:t>
      </w:r>
      <w:r w:rsidRPr="00652B4F">
        <w:t>est pas Moïse, ni David, ni le prophète Isaïe, si grands qu</w:t>
      </w:r>
      <w:r>
        <w:t>’</w:t>
      </w:r>
      <w:r w:rsidRPr="00652B4F">
        <w:t>ils soient, qui vous parleront de lui : c</w:t>
      </w:r>
      <w:r>
        <w:t>’</w:t>
      </w:r>
      <w:r w:rsidRPr="00652B4F">
        <w:t xml:space="preserve">est sa propre bouche qui vous dira sa pensée, ses regards qui vous diront son amour, </w:t>
      </w:r>
      <w:r>
        <w:t>s</w:t>
      </w:r>
      <w:r w:rsidRPr="00652B4F">
        <w:t>a main qui pressera la vôtre pour vous encourager en vous bénissant. Vous le verrez naître dans le silence d</w:t>
      </w:r>
      <w:r>
        <w:t>’</w:t>
      </w:r>
      <w:r w:rsidRPr="00652B4F">
        <w:t>une nuit, sur la paille d</w:t>
      </w:r>
      <w:r>
        <w:t>’</w:t>
      </w:r>
      <w:r w:rsidRPr="00652B4F">
        <w:t>une étable, et vous lui apporterez avec d</w:t>
      </w:r>
      <w:r>
        <w:t>’</w:t>
      </w:r>
      <w:r w:rsidRPr="00652B4F">
        <w:t>humbles bergers les prémices de l</w:t>
      </w:r>
      <w:r>
        <w:t>’</w:t>
      </w:r>
      <w:r w:rsidRPr="00652B4F">
        <w:t>adoration du genre humain. L</w:t>
      </w:r>
      <w:r>
        <w:t>’</w:t>
      </w:r>
      <w:r w:rsidRPr="00652B4F">
        <w:t>Orient, terre antique des ressouvenirs, enverra visiter son berceau, et, dès cet éveil d</w:t>
      </w:r>
      <w:r>
        <w:t>’une gloir</w:t>
      </w:r>
      <w:r w:rsidRPr="00652B4F">
        <w:t>e qui doit remplir le monde, le sang innocent coulera pour l</w:t>
      </w:r>
      <w:r>
        <w:t>’étou</w:t>
      </w:r>
      <w:r w:rsidRPr="00652B4F">
        <w:t>ffer. Une terre impure recevra dans l</w:t>
      </w:r>
      <w:r>
        <w:t>’</w:t>
      </w:r>
      <w:r w:rsidRPr="00652B4F">
        <w:t>exil l</w:t>
      </w:r>
      <w:r>
        <w:t>’enfant q</w:t>
      </w:r>
      <w:r w:rsidRPr="00652B4F">
        <w:t>ui justifiera tout et fera de l</w:t>
      </w:r>
      <w:r>
        <w:t>’</w:t>
      </w:r>
      <w:r w:rsidRPr="00652B4F">
        <w:t>univers une seule patrie. Vous reviendrez avec lui au toit de ses ancêtres, non plus le palais de David, dont il est le dernier fils, mais l</w:t>
      </w:r>
      <w:r>
        <w:t>’</w:t>
      </w:r>
      <w:r w:rsidRPr="00652B4F">
        <w:t>obscure maison d</w:t>
      </w:r>
      <w:r>
        <w:t>’</w:t>
      </w:r>
      <w:r w:rsidRPr="00652B4F">
        <w:t>un artisan qui vit de ses mains, et là vous ad</w:t>
      </w:r>
      <w:r w:rsidRPr="00C8701B">
        <w:rPr>
          <w:rFonts w:eastAsia="Arial Unicode MS"/>
          <w:bCs/>
          <w:lang w:eastAsia="fr-FR" w:bidi="he-IL"/>
        </w:rPr>
        <w:t>mirerez cette enfance</w:t>
      </w:r>
      <w:r>
        <w:rPr>
          <w:rFonts w:eastAsia="Arial Unicode MS"/>
          <w:bCs/>
          <w:lang w:eastAsia="fr-FR" w:bidi="he-IL"/>
        </w:rPr>
        <w:t xml:space="preserve">, </w:t>
      </w:r>
      <w:r w:rsidRPr="00C8701B">
        <w:rPr>
          <w:rFonts w:eastAsia="Arial Unicode MS"/>
          <w:bCs/>
          <w:lang w:eastAsia="fr-FR" w:bidi="he-IL"/>
        </w:rPr>
        <w:t>objet de tant présages et ensevelie dans de si simples vertus. Vous retiendrez votre souffle pour entendre le sien</w:t>
      </w:r>
      <w:r>
        <w:rPr>
          <w:rFonts w:eastAsia="Arial Unicode MS"/>
          <w:bCs/>
          <w:lang w:eastAsia="fr-FR" w:bidi="he-IL"/>
        </w:rPr>
        <w:t xml:space="preserve">, </w:t>
      </w:r>
      <w:r w:rsidRPr="00C8701B">
        <w:rPr>
          <w:rFonts w:eastAsia="Arial Unicode MS"/>
          <w:bCs/>
          <w:lang w:eastAsia="fr-FR" w:bidi="he-IL"/>
        </w:rPr>
        <w:t>et l</w:t>
      </w:r>
      <w:r>
        <w:rPr>
          <w:rFonts w:eastAsia="Arial Unicode MS"/>
          <w:bCs/>
          <w:lang w:eastAsia="fr-FR" w:bidi="he-IL"/>
        </w:rPr>
        <w:t>’</w:t>
      </w:r>
      <w:r w:rsidRPr="00C8701B">
        <w:rPr>
          <w:rFonts w:eastAsia="Arial Unicode MS"/>
          <w:bCs/>
          <w:lang w:eastAsia="fr-FR" w:bidi="he-IL"/>
        </w:rPr>
        <w:t>histoire</w:t>
      </w:r>
      <w:r>
        <w:rPr>
          <w:rFonts w:eastAsia="Arial Unicode MS"/>
          <w:bCs/>
          <w:lang w:eastAsia="fr-FR" w:bidi="he-IL"/>
        </w:rPr>
        <w:t xml:space="preserve">, </w:t>
      </w:r>
      <w:r w:rsidRPr="00C8701B">
        <w:rPr>
          <w:rFonts w:eastAsia="Arial Unicode MS"/>
          <w:bCs/>
          <w:lang w:eastAsia="fr-FR" w:bidi="he-IL"/>
        </w:rPr>
        <w:t>muette tout exprès</w:t>
      </w:r>
      <w:r>
        <w:rPr>
          <w:rFonts w:eastAsia="Arial Unicode MS"/>
          <w:bCs/>
          <w:lang w:eastAsia="fr-FR" w:bidi="he-IL"/>
        </w:rPr>
        <w:t xml:space="preserve">, </w:t>
      </w:r>
      <w:r w:rsidRPr="00C8701B">
        <w:rPr>
          <w:rFonts w:eastAsia="Arial Unicode MS"/>
          <w:bCs/>
          <w:lang w:eastAsia="fr-FR" w:bidi="he-IL"/>
        </w:rPr>
        <w:t>ne vous apportera qu</w:t>
      </w:r>
      <w:r>
        <w:rPr>
          <w:rFonts w:eastAsia="Arial Unicode MS"/>
          <w:bCs/>
          <w:lang w:eastAsia="fr-FR" w:bidi="he-IL"/>
        </w:rPr>
        <w:t>’</w:t>
      </w:r>
      <w:r w:rsidRPr="00C8701B">
        <w:rPr>
          <w:rFonts w:eastAsia="Arial Unicode MS"/>
          <w:bCs/>
          <w:lang w:eastAsia="fr-FR" w:bidi="he-IL"/>
        </w:rPr>
        <w:t>un mot ou deux</w:t>
      </w:r>
      <w:r>
        <w:rPr>
          <w:rFonts w:eastAsia="Arial Unicode MS"/>
          <w:bCs/>
          <w:lang w:eastAsia="fr-FR" w:bidi="he-IL"/>
        </w:rPr>
        <w:t xml:space="preserve">, </w:t>
      </w:r>
      <w:r w:rsidRPr="00C8701B">
        <w:rPr>
          <w:rFonts w:eastAsia="Arial Unicode MS"/>
          <w:bCs/>
          <w:lang w:eastAsia="fr-FR" w:bidi="he-IL"/>
        </w:rPr>
        <w:t>mots énigmatiques qu</w:t>
      </w:r>
      <w:r>
        <w:rPr>
          <w:rFonts w:eastAsia="Arial Unicode MS"/>
          <w:bCs/>
          <w:lang w:eastAsia="fr-FR" w:bidi="he-IL"/>
        </w:rPr>
        <w:t>’</w:t>
      </w:r>
      <w:r w:rsidRPr="00C8701B">
        <w:rPr>
          <w:rFonts w:eastAsia="Arial Unicode MS"/>
          <w:bCs/>
          <w:lang w:eastAsia="fr-FR" w:bidi="he-IL"/>
        </w:rPr>
        <w:t>une mère alarmée pèse dans le sanctuaire de son inaltérable virginité. Sion enfin s</w:t>
      </w:r>
      <w:r>
        <w:rPr>
          <w:rFonts w:eastAsia="Arial Unicode MS"/>
          <w:bCs/>
          <w:lang w:eastAsia="fr-FR" w:bidi="he-IL"/>
        </w:rPr>
        <w:t>’</w:t>
      </w:r>
      <w:r w:rsidRPr="00C8701B">
        <w:rPr>
          <w:rFonts w:eastAsia="Arial Unicode MS"/>
          <w:bCs/>
          <w:lang w:eastAsia="fr-FR" w:bidi="he-IL"/>
        </w:rPr>
        <w:t>émeut</w:t>
      </w:r>
      <w:r>
        <w:rPr>
          <w:rFonts w:eastAsia="Arial Unicode MS"/>
          <w:bCs/>
          <w:lang w:eastAsia="fr-FR" w:bidi="he-IL"/>
        </w:rPr>
        <w:t xml:space="preserve">, </w:t>
      </w:r>
      <w:r w:rsidRPr="00C8701B">
        <w:rPr>
          <w:rFonts w:eastAsia="Arial Unicode MS"/>
          <w:bCs/>
          <w:lang w:eastAsia="fr-FR" w:bidi="he-IL"/>
        </w:rPr>
        <w:t>la Judée se trouble </w:t>
      </w:r>
      <w:r>
        <w:rPr>
          <w:rFonts w:eastAsia="Arial Unicode MS"/>
          <w:bCs/>
          <w:lang w:eastAsia="fr-FR" w:bidi="he-IL"/>
        </w:rPr>
        <w:t xml:space="preserve">; </w:t>
      </w:r>
      <w:r w:rsidRPr="00C8701B">
        <w:rPr>
          <w:rFonts w:eastAsia="Arial Unicode MS"/>
          <w:bCs/>
          <w:lang w:eastAsia="fr-FR" w:bidi="he-IL"/>
        </w:rPr>
        <w:t>toutes les douleurs accourent au devant de Celui qu</w:t>
      </w:r>
      <w:r>
        <w:rPr>
          <w:rFonts w:eastAsia="Arial Unicode MS"/>
          <w:bCs/>
          <w:lang w:eastAsia="fr-FR" w:bidi="he-IL"/>
        </w:rPr>
        <w:t>’</w:t>
      </w:r>
      <w:r w:rsidRPr="00C8701B">
        <w:rPr>
          <w:rFonts w:eastAsia="Arial Unicode MS"/>
          <w:bCs/>
          <w:lang w:eastAsia="fr-FR" w:bidi="he-IL"/>
        </w:rPr>
        <w:t>elles attendaient </w:t>
      </w:r>
      <w:r>
        <w:rPr>
          <w:rFonts w:eastAsia="Arial Unicode MS"/>
          <w:bCs/>
          <w:lang w:eastAsia="fr-FR" w:bidi="he-IL"/>
        </w:rPr>
        <w:t xml:space="preserve">; </w:t>
      </w:r>
      <w:r w:rsidRPr="00C8701B">
        <w:rPr>
          <w:rFonts w:eastAsia="Arial Unicode MS"/>
          <w:bCs/>
          <w:lang w:eastAsia="fr-FR" w:bidi="he-IL"/>
        </w:rPr>
        <w:t>Jean le baptise</w:t>
      </w:r>
      <w:r>
        <w:rPr>
          <w:rFonts w:eastAsia="Arial Unicode MS"/>
          <w:bCs/>
          <w:lang w:eastAsia="fr-FR" w:bidi="he-IL"/>
        </w:rPr>
        <w:t xml:space="preserve">, </w:t>
      </w:r>
      <w:r w:rsidRPr="00C8701B">
        <w:rPr>
          <w:rFonts w:eastAsia="Arial Unicode MS"/>
          <w:bCs/>
          <w:lang w:eastAsia="fr-FR" w:bidi="he-IL"/>
        </w:rPr>
        <w:t>le peuple l</w:t>
      </w:r>
      <w:r>
        <w:rPr>
          <w:rFonts w:eastAsia="Arial Unicode MS"/>
          <w:bCs/>
          <w:lang w:eastAsia="fr-FR" w:bidi="he-IL"/>
        </w:rPr>
        <w:t>’</w:t>
      </w:r>
      <w:r w:rsidRPr="00C8701B">
        <w:rPr>
          <w:rFonts w:eastAsia="Arial Unicode MS"/>
          <w:bCs/>
          <w:lang w:eastAsia="fr-FR" w:bidi="he-IL"/>
        </w:rPr>
        <w:t>écoute</w:t>
      </w:r>
      <w:r>
        <w:rPr>
          <w:rFonts w:eastAsia="Arial Unicode MS"/>
          <w:bCs/>
          <w:lang w:eastAsia="fr-FR" w:bidi="he-IL"/>
        </w:rPr>
        <w:t xml:space="preserve">, </w:t>
      </w:r>
      <w:r w:rsidRPr="00C8701B">
        <w:rPr>
          <w:rFonts w:eastAsia="Arial Unicode MS"/>
          <w:bCs/>
          <w:lang w:eastAsia="fr-FR" w:bidi="he-IL"/>
        </w:rPr>
        <w:t>les docteurs le haïssent et le persécutent</w:t>
      </w:r>
      <w:r>
        <w:rPr>
          <w:rFonts w:eastAsia="Arial Unicode MS"/>
          <w:bCs/>
          <w:lang w:eastAsia="fr-FR" w:bidi="he-IL"/>
        </w:rPr>
        <w:t xml:space="preserve">, </w:t>
      </w:r>
      <w:r w:rsidRPr="00C8701B">
        <w:rPr>
          <w:rFonts w:eastAsia="Arial Unicode MS"/>
          <w:bCs/>
          <w:lang w:eastAsia="fr-FR" w:bidi="he-IL"/>
        </w:rPr>
        <w:t>les pêcheurs quittent leurs barques pour le suivre</w:t>
      </w:r>
      <w:r>
        <w:rPr>
          <w:rFonts w:eastAsia="Arial Unicode MS"/>
          <w:bCs/>
          <w:lang w:eastAsia="fr-FR" w:bidi="he-IL"/>
        </w:rPr>
        <w:t xml:space="preserve">, </w:t>
      </w:r>
      <w:r w:rsidRPr="00C8701B">
        <w:rPr>
          <w:rFonts w:eastAsia="Arial Unicode MS"/>
          <w:bCs/>
          <w:lang w:eastAsia="fr-FR" w:bidi="he-IL"/>
        </w:rPr>
        <w:t>et la parole de Dieu</w:t>
      </w:r>
      <w:r>
        <w:rPr>
          <w:rFonts w:eastAsia="Arial Unicode MS"/>
          <w:bCs/>
          <w:lang w:eastAsia="fr-FR" w:bidi="he-IL"/>
        </w:rPr>
        <w:t xml:space="preserve">, </w:t>
      </w:r>
      <w:r w:rsidRPr="00C8701B">
        <w:rPr>
          <w:rFonts w:eastAsia="Arial Unicode MS"/>
          <w:bCs/>
          <w:lang w:eastAsia="fr-FR" w:bidi="he-IL"/>
        </w:rPr>
        <w:t>s</w:t>
      </w:r>
      <w:r>
        <w:rPr>
          <w:rFonts w:eastAsia="Arial Unicode MS"/>
          <w:bCs/>
          <w:lang w:eastAsia="fr-FR" w:bidi="he-IL"/>
        </w:rPr>
        <w:t>’</w:t>
      </w:r>
      <w:r w:rsidRPr="00C8701B">
        <w:rPr>
          <w:rFonts w:eastAsia="Arial Unicode MS"/>
          <w:bCs/>
          <w:lang w:eastAsia="fr-FR" w:bidi="he-IL"/>
        </w:rPr>
        <w:t>échappant de sa source à toute heure</w:t>
      </w:r>
      <w:r>
        <w:rPr>
          <w:rFonts w:eastAsia="Arial Unicode MS"/>
          <w:bCs/>
          <w:lang w:eastAsia="fr-FR" w:bidi="he-IL"/>
        </w:rPr>
        <w:t xml:space="preserve">, </w:t>
      </w:r>
      <w:r w:rsidRPr="00C8701B">
        <w:rPr>
          <w:rFonts w:eastAsia="Arial Unicode MS"/>
          <w:bCs/>
          <w:lang w:eastAsia="fr-FR" w:bidi="he-IL"/>
        </w:rPr>
        <w:t>court du tombeau des âmes au tombeau des corps pour rappeler partout la vie. L</w:t>
      </w:r>
      <w:r>
        <w:rPr>
          <w:rFonts w:eastAsia="Arial Unicode MS"/>
          <w:bCs/>
          <w:lang w:eastAsia="fr-FR" w:bidi="he-IL"/>
        </w:rPr>
        <w:t>’</w:t>
      </w:r>
      <w:r w:rsidRPr="00C8701B">
        <w:rPr>
          <w:rFonts w:eastAsia="Arial Unicode MS"/>
          <w:bCs/>
          <w:lang w:eastAsia="fr-FR" w:bidi="he-IL"/>
        </w:rPr>
        <w:t>homme voit ce qu</w:t>
      </w:r>
      <w:r>
        <w:rPr>
          <w:rFonts w:eastAsia="Arial Unicode MS"/>
          <w:bCs/>
          <w:lang w:eastAsia="fr-FR" w:bidi="he-IL"/>
        </w:rPr>
        <w:t>’</w:t>
      </w:r>
      <w:r w:rsidRPr="00C8701B">
        <w:rPr>
          <w:rFonts w:eastAsia="Arial Unicode MS"/>
          <w:bCs/>
          <w:lang w:eastAsia="fr-FR" w:bidi="he-IL"/>
        </w:rPr>
        <w:t>il n</w:t>
      </w:r>
      <w:r>
        <w:rPr>
          <w:rFonts w:eastAsia="Arial Unicode MS"/>
          <w:bCs/>
          <w:lang w:eastAsia="fr-FR" w:bidi="he-IL"/>
        </w:rPr>
        <w:t>’</w:t>
      </w:r>
      <w:r w:rsidRPr="00C8701B">
        <w:rPr>
          <w:rFonts w:eastAsia="Arial Unicode MS"/>
          <w:bCs/>
          <w:lang w:eastAsia="fr-FR" w:bidi="he-IL"/>
        </w:rPr>
        <w:t>avait jamais vu</w:t>
      </w:r>
      <w:r>
        <w:rPr>
          <w:rFonts w:eastAsia="Arial Unicode MS"/>
          <w:bCs/>
          <w:lang w:eastAsia="fr-FR" w:bidi="he-IL"/>
        </w:rPr>
        <w:t xml:space="preserve">, </w:t>
      </w:r>
      <w:r w:rsidRPr="00C8701B">
        <w:rPr>
          <w:rFonts w:eastAsia="Arial Unicode MS"/>
          <w:bCs/>
          <w:lang w:eastAsia="fr-FR" w:bidi="he-IL"/>
        </w:rPr>
        <w:t>la souveraine bonté dans la souveraine puissance</w:t>
      </w:r>
      <w:r>
        <w:rPr>
          <w:rFonts w:eastAsia="Arial Unicode MS"/>
          <w:bCs/>
          <w:lang w:eastAsia="fr-FR" w:bidi="he-IL"/>
        </w:rPr>
        <w:t xml:space="preserve">, </w:t>
      </w:r>
      <w:r w:rsidRPr="00C8701B">
        <w:rPr>
          <w:rFonts w:eastAsia="Arial Unicode MS"/>
          <w:bCs/>
          <w:lang w:eastAsia="fr-FR" w:bidi="he-IL"/>
        </w:rPr>
        <w:t>et la plus haute lumière dans la plus populaire simplicité. »</w:t>
      </w:r>
    </w:p>
  </w:footnote>
  <w:footnote w:id="89">
    <w:p w:rsidR="00941AA6" w:rsidRDefault="00941AA6">
      <w:pPr>
        <w:pStyle w:val="Notedebasdepage"/>
      </w:pPr>
      <w:r w:rsidRPr="00C406FF">
        <w:rPr>
          <w:rStyle w:val="Appelnotedebasdep"/>
        </w:rPr>
        <w:footnoteRef/>
      </w:r>
      <w:r>
        <w:t xml:space="preserve"> </w:t>
      </w:r>
      <w:r w:rsidRPr="00DC4586">
        <w:rPr>
          <w:rStyle w:val="italicus"/>
        </w:rPr>
        <w:t>Contr. Faust.</w:t>
      </w:r>
      <w:r w:rsidRPr="00652B4F">
        <w:t xml:space="preserve"> II, 2.</w:t>
      </w:r>
    </w:p>
  </w:footnote>
  <w:footnote w:id="90">
    <w:p w:rsidR="00941AA6" w:rsidRDefault="00941AA6">
      <w:pPr>
        <w:pStyle w:val="Notedebasdepage"/>
      </w:pPr>
      <w:r w:rsidRPr="00C406FF">
        <w:rPr>
          <w:rStyle w:val="Appelnotedebasdep"/>
        </w:rPr>
        <w:footnoteRef/>
      </w:r>
      <w:r>
        <w:t xml:space="preserve"> </w:t>
      </w:r>
      <w:r>
        <w:rPr>
          <w:rFonts w:eastAsia="Arial Unicode MS"/>
          <w:bCs/>
          <w:lang w:eastAsia="fr-FR" w:bidi="he-IL"/>
        </w:rPr>
        <w:t xml:space="preserve">Luc. II, </w:t>
      </w:r>
      <w:r w:rsidRPr="00C8701B">
        <w:rPr>
          <w:rFonts w:eastAsia="Arial Unicode MS"/>
          <w:bCs/>
          <w:lang w:eastAsia="fr-FR" w:bidi="he-IL"/>
        </w:rPr>
        <w:t>52.</w:t>
      </w:r>
    </w:p>
  </w:footnote>
  <w:footnote w:id="91">
    <w:p w:rsidR="00941AA6" w:rsidRPr="00A74F01" w:rsidRDefault="00941AA6">
      <w:pPr>
        <w:pStyle w:val="Notedebasdepage"/>
        <w:rPr>
          <w:lang w:val="en-US"/>
        </w:rPr>
      </w:pPr>
      <w:r w:rsidRPr="00C406FF">
        <w:rPr>
          <w:rStyle w:val="Appelnotedebasdep"/>
        </w:rPr>
        <w:footnoteRef/>
      </w:r>
      <w:r w:rsidRPr="00A74F01">
        <w:rPr>
          <w:lang w:val="en-US"/>
        </w:rPr>
        <w:t xml:space="preserve"> </w:t>
      </w:r>
      <w:r w:rsidRPr="00A74F01">
        <w:rPr>
          <w:rFonts w:eastAsia="Arial Unicode MS"/>
          <w:bCs/>
          <w:lang w:val="en-US" w:eastAsia="fr-FR" w:bidi="he-IL"/>
        </w:rPr>
        <w:t>Joan. III, 12.</w:t>
      </w:r>
    </w:p>
  </w:footnote>
  <w:footnote w:id="92">
    <w:p w:rsidR="00941AA6" w:rsidRPr="00A74F01" w:rsidRDefault="00941AA6">
      <w:pPr>
        <w:pStyle w:val="Notedebasdepage"/>
        <w:rPr>
          <w:lang w:val="en-US"/>
        </w:rPr>
      </w:pPr>
      <w:r w:rsidRPr="00C406FF">
        <w:rPr>
          <w:rStyle w:val="Appelnotedebasdep"/>
        </w:rPr>
        <w:footnoteRef/>
      </w:r>
      <w:r w:rsidRPr="00A74F01">
        <w:rPr>
          <w:lang w:val="en-US"/>
        </w:rPr>
        <w:t xml:space="preserve"> </w:t>
      </w:r>
      <w:r w:rsidRPr="00A74F01">
        <w:rPr>
          <w:rFonts w:eastAsia="Arial Unicode MS"/>
          <w:bCs/>
          <w:lang w:val="en-US" w:eastAsia="fr-FR" w:bidi="he-IL"/>
        </w:rPr>
        <w:t>Luc. IV,</w:t>
      </w:r>
      <w:r>
        <w:rPr>
          <w:rFonts w:eastAsia="Arial Unicode MS"/>
          <w:bCs/>
          <w:lang w:val="en-US" w:eastAsia="fr-FR" w:bidi="he-IL"/>
        </w:rPr>
        <w:t xml:space="preserve"> </w:t>
      </w:r>
      <w:r w:rsidRPr="00C8701B">
        <w:rPr>
          <w:rFonts w:eastAsia="Arial Unicode MS"/>
          <w:bCs/>
          <w:lang w:val="en-US" w:eastAsia="fr-FR" w:bidi="he-IL"/>
        </w:rPr>
        <w:t>14-15.</w:t>
      </w:r>
    </w:p>
  </w:footnote>
  <w:footnote w:id="93">
    <w:p w:rsidR="00941AA6" w:rsidRPr="00A74F01" w:rsidRDefault="00941AA6">
      <w:pPr>
        <w:pStyle w:val="Notedebasdepage"/>
        <w:rPr>
          <w:lang w:val="en-US"/>
        </w:rPr>
      </w:pPr>
      <w:r w:rsidRPr="00C406FF">
        <w:rPr>
          <w:rStyle w:val="Appelnotedebasdep"/>
        </w:rPr>
        <w:footnoteRef/>
      </w:r>
      <w:r w:rsidRPr="00A74F01">
        <w:rPr>
          <w:lang w:val="en-US"/>
        </w:rPr>
        <w:t xml:space="preserve"> </w:t>
      </w:r>
      <w:r w:rsidRPr="00C8701B">
        <w:rPr>
          <w:rFonts w:eastAsia="Arial Unicode MS"/>
          <w:bCs/>
          <w:lang w:val="en-US" w:eastAsia="fr-FR" w:bidi="he-IL"/>
        </w:rPr>
        <w:t>Matth</w:t>
      </w:r>
      <w:r>
        <w:rPr>
          <w:rFonts w:eastAsia="Arial Unicode MS"/>
          <w:bCs/>
          <w:lang w:val="en-US" w:eastAsia="fr-FR" w:bidi="he-IL"/>
        </w:rPr>
        <w:t xml:space="preserve">. IV, </w:t>
      </w:r>
      <w:r w:rsidRPr="00C8701B">
        <w:rPr>
          <w:rFonts w:eastAsia="Arial Unicode MS"/>
          <w:bCs/>
          <w:lang w:val="en-US" w:eastAsia="fr-FR" w:bidi="he-IL"/>
        </w:rPr>
        <w:t>13-17.</w:t>
      </w:r>
    </w:p>
  </w:footnote>
  <w:footnote w:id="94">
    <w:p w:rsidR="00941AA6" w:rsidRPr="00A74F01" w:rsidRDefault="00941AA6">
      <w:pPr>
        <w:pStyle w:val="Notedebasdepage"/>
        <w:rPr>
          <w:lang w:val="en-US"/>
        </w:rPr>
      </w:pPr>
      <w:r w:rsidRPr="00C406FF">
        <w:rPr>
          <w:rStyle w:val="Appelnotedebasdep"/>
        </w:rPr>
        <w:footnoteRef/>
      </w:r>
      <w:r w:rsidRPr="00A74F01">
        <w:rPr>
          <w:lang w:val="en-US"/>
        </w:rPr>
        <w:t xml:space="preserve"> </w:t>
      </w:r>
      <w:r w:rsidRPr="00C8701B">
        <w:rPr>
          <w:rFonts w:eastAsia="Arial Unicode MS"/>
          <w:bCs/>
          <w:lang w:val="en-US" w:eastAsia="fr-FR" w:bidi="he-IL"/>
        </w:rPr>
        <w:t>Marc.</w:t>
      </w:r>
      <w:r>
        <w:rPr>
          <w:rFonts w:eastAsia="Arial Unicode MS"/>
          <w:bCs/>
          <w:lang w:val="en-US" w:eastAsia="fr-FR" w:bidi="he-IL"/>
        </w:rPr>
        <w:t xml:space="preserve"> I, </w:t>
      </w:r>
      <w:r w:rsidRPr="00C8701B">
        <w:rPr>
          <w:rFonts w:eastAsia="Arial Unicode MS"/>
          <w:bCs/>
          <w:lang w:val="en-US" w:eastAsia="fr-FR" w:bidi="he-IL"/>
        </w:rPr>
        <w:t>39.</w:t>
      </w:r>
    </w:p>
  </w:footnote>
  <w:footnote w:id="95">
    <w:p w:rsidR="00941AA6" w:rsidRPr="00A74F01" w:rsidRDefault="00941AA6">
      <w:pPr>
        <w:pStyle w:val="Notedebasdepage"/>
        <w:rPr>
          <w:lang w:val="en-US"/>
        </w:rPr>
      </w:pPr>
      <w:r w:rsidRPr="00C406FF">
        <w:rPr>
          <w:rStyle w:val="Appelnotedebasdep"/>
        </w:rPr>
        <w:footnoteRef/>
      </w:r>
      <w:r w:rsidRPr="00A74F01">
        <w:rPr>
          <w:lang w:val="en-US"/>
        </w:rPr>
        <w:t xml:space="preserve"> </w:t>
      </w:r>
      <w:r w:rsidRPr="00C8701B">
        <w:rPr>
          <w:rFonts w:eastAsia="Arial Unicode MS"/>
          <w:bCs/>
          <w:lang w:val="en-US" w:eastAsia="fr-FR" w:bidi="he-IL"/>
        </w:rPr>
        <w:t xml:space="preserve">Matth. </w:t>
      </w:r>
      <w:r>
        <w:rPr>
          <w:rFonts w:eastAsia="Arial Unicode MS"/>
          <w:bCs/>
          <w:lang w:val="en-US" w:eastAsia="fr-FR" w:bidi="he-IL"/>
        </w:rPr>
        <w:t>IX, 35.</w:t>
      </w:r>
    </w:p>
  </w:footnote>
  <w:footnote w:id="96">
    <w:p w:rsidR="00941AA6" w:rsidRDefault="00941AA6">
      <w:pPr>
        <w:pStyle w:val="Notedebasdepage"/>
      </w:pPr>
      <w:r w:rsidRPr="00C406FF">
        <w:rPr>
          <w:rStyle w:val="Appelnotedebasdep"/>
        </w:rPr>
        <w:footnoteRef/>
      </w:r>
      <w:r>
        <w:t xml:space="preserve"> </w:t>
      </w:r>
      <w:r w:rsidRPr="00C8701B">
        <w:rPr>
          <w:rFonts w:eastAsia="Arial Unicode MS"/>
          <w:bCs/>
          <w:lang w:eastAsia="fr-FR" w:bidi="he-IL"/>
        </w:rPr>
        <w:t xml:space="preserve">Joan. </w:t>
      </w:r>
      <w:r>
        <w:rPr>
          <w:rFonts w:eastAsia="Arial Unicode MS"/>
          <w:bCs/>
          <w:lang w:eastAsia="fr-FR" w:bidi="he-IL"/>
        </w:rPr>
        <w:t xml:space="preserve">XX, </w:t>
      </w:r>
      <w:r w:rsidRPr="00C8701B">
        <w:rPr>
          <w:rFonts w:eastAsia="Arial Unicode MS"/>
          <w:bCs/>
          <w:lang w:eastAsia="fr-FR" w:bidi="he-IL"/>
        </w:rPr>
        <w:t>30.</w:t>
      </w:r>
    </w:p>
  </w:footnote>
  <w:footnote w:id="97">
    <w:p w:rsidR="00941AA6" w:rsidRDefault="00941AA6" w:rsidP="001A4F8D">
      <w:pPr>
        <w:pStyle w:val="Notedebasdepage"/>
      </w:pPr>
      <w:r w:rsidRPr="00C406FF">
        <w:rPr>
          <w:rStyle w:val="Appelnotedebasdep"/>
        </w:rPr>
        <w:footnoteRef/>
      </w:r>
      <w:r>
        <w:t xml:space="preserve"> </w:t>
      </w:r>
      <w:r w:rsidRPr="00C8701B">
        <w:rPr>
          <w:rFonts w:eastAsia="Arial Unicode MS"/>
          <w:bCs/>
          <w:lang w:eastAsia="fr-FR" w:bidi="he-IL"/>
        </w:rPr>
        <w:t>Joan. XXI</w:t>
      </w:r>
      <w:r>
        <w:rPr>
          <w:rFonts w:eastAsia="Arial Unicode MS"/>
          <w:bCs/>
          <w:lang w:eastAsia="fr-FR" w:bidi="he-IL"/>
        </w:rPr>
        <w:t xml:space="preserve">, </w:t>
      </w:r>
      <w:r w:rsidRPr="00C8701B">
        <w:rPr>
          <w:rFonts w:eastAsia="Arial Unicode MS"/>
          <w:bCs/>
          <w:lang w:eastAsia="fr-FR" w:bidi="he-IL"/>
        </w:rPr>
        <w:t>25. Voyez notre commentaire</w:t>
      </w:r>
      <w:r>
        <w:rPr>
          <w:rFonts w:eastAsia="Arial Unicode MS"/>
          <w:bCs/>
          <w:lang w:eastAsia="fr-FR" w:bidi="he-IL"/>
        </w:rPr>
        <w:t xml:space="preserve">, </w:t>
      </w:r>
      <w:r w:rsidRPr="00C8701B">
        <w:rPr>
          <w:rFonts w:eastAsia="Arial Unicode MS"/>
          <w:bCs/>
          <w:lang w:eastAsia="fr-FR" w:bidi="he-IL"/>
        </w:rPr>
        <w:t>p. 388.</w:t>
      </w:r>
    </w:p>
  </w:footnote>
  <w:footnote w:id="98">
    <w:p w:rsidR="00941AA6" w:rsidRDefault="00941AA6">
      <w:pPr>
        <w:pStyle w:val="Notedebasdepage"/>
      </w:pPr>
      <w:r w:rsidRPr="00C406FF">
        <w:rPr>
          <w:rStyle w:val="Appelnotedebasdep"/>
        </w:rPr>
        <w:footnoteRef/>
      </w:r>
      <w:r>
        <w:t xml:space="preserve"> </w:t>
      </w:r>
      <w:r>
        <w:rPr>
          <w:rFonts w:eastAsia="Arial Unicode MS"/>
          <w:bCs/>
          <w:lang w:eastAsia="fr-FR" w:bidi="he-IL"/>
        </w:rPr>
        <w:t>Évangile</w:t>
      </w:r>
      <w:r w:rsidRPr="00C8701B">
        <w:rPr>
          <w:rFonts w:eastAsia="Arial Unicode MS"/>
          <w:bCs/>
          <w:lang w:eastAsia="fr-FR" w:bidi="he-IL"/>
        </w:rPr>
        <w:t xml:space="preserve"> selon S. Matthieu</w:t>
      </w:r>
      <w:r>
        <w:rPr>
          <w:rFonts w:eastAsia="Arial Unicode MS"/>
          <w:bCs/>
          <w:lang w:eastAsia="fr-FR" w:bidi="he-IL"/>
        </w:rPr>
        <w:t xml:space="preserve">, </w:t>
      </w:r>
      <w:r w:rsidRPr="00C8701B">
        <w:rPr>
          <w:rFonts w:eastAsia="Arial Unicode MS"/>
          <w:bCs/>
          <w:lang w:eastAsia="fr-FR" w:bidi="he-IL"/>
        </w:rPr>
        <w:t>p. 16-18 </w:t>
      </w:r>
      <w:r>
        <w:rPr>
          <w:rFonts w:eastAsia="Arial Unicode MS"/>
          <w:bCs/>
          <w:lang w:eastAsia="fr-FR" w:bidi="he-IL"/>
        </w:rPr>
        <w:t>; Évangile</w:t>
      </w:r>
      <w:r w:rsidRPr="00C8701B">
        <w:rPr>
          <w:rFonts w:eastAsia="Arial Unicode MS"/>
          <w:bCs/>
          <w:lang w:eastAsia="fr-FR" w:bidi="he-IL"/>
        </w:rPr>
        <w:t xml:space="preserve"> selon S. Marc</w:t>
      </w:r>
      <w:r>
        <w:rPr>
          <w:rFonts w:eastAsia="Arial Unicode MS"/>
          <w:bCs/>
          <w:lang w:eastAsia="fr-FR" w:bidi="he-IL"/>
        </w:rPr>
        <w:t xml:space="preserve">, </w:t>
      </w:r>
      <w:r w:rsidRPr="00C8701B">
        <w:rPr>
          <w:rFonts w:eastAsia="Arial Unicode MS"/>
          <w:bCs/>
          <w:lang w:eastAsia="fr-FR" w:bidi="he-IL"/>
        </w:rPr>
        <w:t>p. 9 et ss.</w:t>
      </w:r>
      <w:r>
        <w:rPr>
          <w:rFonts w:eastAsia="Arial Unicode MS"/>
          <w:bCs/>
          <w:lang w:eastAsia="fr-FR" w:bidi="he-IL"/>
        </w:rPr>
        <w:t xml:space="preserve">, </w:t>
      </w:r>
      <w:r w:rsidRPr="00C8701B">
        <w:rPr>
          <w:rFonts w:eastAsia="Arial Unicode MS"/>
          <w:bCs/>
          <w:lang w:eastAsia="fr-FR" w:bidi="he-IL"/>
        </w:rPr>
        <w:t>15 et ss.</w:t>
      </w:r>
      <w:r>
        <w:rPr>
          <w:rFonts w:eastAsia="Arial Unicode MS"/>
          <w:bCs/>
          <w:lang w:eastAsia="fr-FR" w:bidi="he-IL"/>
        </w:rPr>
        <w:t xml:space="preserve">, </w:t>
      </w:r>
      <w:r w:rsidRPr="00C8701B">
        <w:rPr>
          <w:rFonts w:eastAsia="Arial Unicode MS"/>
          <w:bCs/>
          <w:lang w:eastAsia="fr-FR" w:bidi="he-IL"/>
        </w:rPr>
        <w:t>18 </w:t>
      </w:r>
      <w:r>
        <w:rPr>
          <w:rFonts w:eastAsia="Arial Unicode MS"/>
          <w:bCs/>
          <w:lang w:eastAsia="fr-FR" w:bidi="he-IL"/>
        </w:rPr>
        <w:t>; Évangile</w:t>
      </w:r>
      <w:r w:rsidRPr="00C8701B">
        <w:rPr>
          <w:rFonts w:eastAsia="Arial Unicode MS"/>
          <w:bCs/>
          <w:lang w:eastAsia="fr-FR" w:bidi="he-IL"/>
        </w:rPr>
        <w:t xml:space="preserve"> selon S. Luc</w:t>
      </w:r>
      <w:r>
        <w:rPr>
          <w:rFonts w:eastAsia="Arial Unicode MS"/>
          <w:bCs/>
          <w:lang w:eastAsia="fr-FR" w:bidi="he-IL"/>
        </w:rPr>
        <w:t xml:space="preserve">, </w:t>
      </w:r>
      <w:r w:rsidRPr="00C8701B">
        <w:rPr>
          <w:rFonts w:eastAsia="Arial Unicode MS"/>
          <w:bCs/>
          <w:lang w:eastAsia="fr-FR" w:bidi="he-IL"/>
        </w:rPr>
        <w:t>p. 13 </w:t>
      </w:r>
      <w:r>
        <w:rPr>
          <w:rFonts w:eastAsia="Arial Unicode MS"/>
          <w:bCs/>
          <w:lang w:eastAsia="fr-FR" w:bidi="he-IL"/>
        </w:rPr>
        <w:t>; Évangile</w:t>
      </w:r>
      <w:r w:rsidRPr="00C8701B">
        <w:rPr>
          <w:rFonts w:eastAsia="Arial Unicode MS"/>
          <w:bCs/>
          <w:lang w:eastAsia="fr-FR" w:bidi="he-IL"/>
        </w:rPr>
        <w:t xml:space="preserve"> selon S. Jean</w:t>
      </w:r>
      <w:r>
        <w:rPr>
          <w:rFonts w:eastAsia="Arial Unicode MS"/>
          <w:bCs/>
          <w:lang w:eastAsia="fr-FR" w:bidi="he-IL"/>
        </w:rPr>
        <w:t xml:space="preserve">, </w:t>
      </w:r>
      <w:r w:rsidRPr="00C8701B">
        <w:rPr>
          <w:rFonts w:eastAsia="Arial Unicode MS"/>
          <w:bCs/>
          <w:lang w:eastAsia="fr-FR" w:bidi="he-IL"/>
        </w:rPr>
        <w:t>p. XLI et ss.</w:t>
      </w:r>
    </w:p>
  </w:footnote>
  <w:footnote w:id="99">
    <w:p w:rsidR="00941AA6" w:rsidRDefault="00941AA6" w:rsidP="001A4F8D">
      <w:pPr>
        <w:pStyle w:val="Notedebasdepage"/>
      </w:pPr>
      <w:r w:rsidRPr="00C406FF">
        <w:rPr>
          <w:rStyle w:val="Appelnotedebasdep"/>
        </w:rPr>
        <w:footnoteRef/>
      </w:r>
      <w:r>
        <w:t xml:space="preserve"> </w:t>
      </w:r>
      <w:r w:rsidRPr="00C8701B">
        <w:rPr>
          <w:rFonts w:eastAsia="Arial Unicode MS"/>
          <w:bCs/>
          <w:lang w:eastAsia="fr-FR" w:bidi="he-IL"/>
        </w:rPr>
        <w:t xml:space="preserve">Voyez la page </w:t>
      </w:r>
      <w:r w:rsidR="00691E6B">
        <w:rPr>
          <w:rFonts w:eastAsia="Arial Unicode MS"/>
          <w:bCs/>
          <w:lang w:eastAsia="fr-FR" w:bidi="he-IL"/>
        </w:rPr>
        <w:fldChar w:fldCharType="begin"/>
      </w:r>
      <w:r w:rsidR="001A4F8D">
        <w:rPr>
          <w:rFonts w:eastAsia="Arial Unicode MS"/>
          <w:bCs/>
          <w:lang w:eastAsia="fr-FR" w:bidi="he-IL"/>
        </w:rPr>
        <w:instrText xml:space="preserve"> PAGEREF evin0103 \h </w:instrText>
      </w:r>
      <w:r w:rsidR="00691E6B">
        <w:rPr>
          <w:rFonts w:eastAsia="Arial Unicode MS"/>
          <w:bCs/>
          <w:lang w:eastAsia="fr-FR" w:bidi="he-IL"/>
        </w:rPr>
      </w:r>
      <w:r w:rsidR="00691E6B">
        <w:rPr>
          <w:rFonts w:eastAsia="Arial Unicode MS"/>
          <w:bCs/>
          <w:lang w:eastAsia="fr-FR" w:bidi="he-IL"/>
        </w:rPr>
        <w:fldChar w:fldCharType="separate"/>
      </w:r>
      <w:r w:rsidR="00635395">
        <w:rPr>
          <w:rFonts w:eastAsia="Arial Unicode MS"/>
          <w:bCs/>
          <w:noProof/>
          <w:lang w:eastAsia="fr-FR" w:bidi="he-IL"/>
        </w:rPr>
        <w:t>3</w:t>
      </w:r>
      <w:r w:rsidR="00691E6B">
        <w:rPr>
          <w:rFonts w:eastAsia="Arial Unicode MS"/>
          <w:bCs/>
          <w:lang w:eastAsia="fr-FR" w:bidi="he-IL"/>
        </w:rPr>
        <w:fldChar w:fldCharType="end"/>
      </w:r>
      <w:r>
        <w:rPr>
          <w:rFonts w:eastAsia="Arial Unicode MS"/>
          <w:bCs/>
          <w:lang w:eastAsia="fr-FR" w:bidi="he-IL"/>
        </w:rPr>
        <w:t>[</w:t>
      </w:r>
      <w:r w:rsidRPr="00C8701B">
        <w:rPr>
          <w:rFonts w:eastAsia="Arial Unicode MS"/>
          <w:bCs/>
          <w:lang w:eastAsia="fr-FR" w:bidi="he-IL"/>
        </w:rPr>
        <w:t>2</w:t>
      </w:r>
      <w:r>
        <w:rPr>
          <w:rFonts w:eastAsia="Arial Unicode MS"/>
          <w:bCs/>
          <w:lang w:eastAsia="fr-FR" w:bidi="he-IL"/>
        </w:rPr>
        <w:t xml:space="preserve">], </w:t>
      </w:r>
      <w:r w:rsidRPr="00C8701B">
        <w:rPr>
          <w:rFonts w:eastAsia="Arial Unicode MS"/>
          <w:bCs/>
          <w:lang w:eastAsia="fr-FR" w:bidi="he-IL"/>
        </w:rPr>
        <w:t xml:space="preserve">3° et note </w:t>
      </w:r>
      <w:r w:rsidR="00691E6B">
        <w:rPr>
          <w:rFonts w:eastAsia="Arial Unicode MS"/>
          <w:bCs/>
          <w:lang w:eastAsia="fr-FR" w:bidi="he-IL"/>
        </w:rPr>
        <w:fldChar w:fldCharType="begin"/>
      </w:r>
      <w:r w:rsidR="001A4F8D">
        <w:rPr>
          <w:rFonts w:eastAsia="Arial Unicode MS"/>
          <w:bCs/>
          <w:lang w:eastAsia="fr-FR" w:bidi="he-IL"/>
        </w:rPr>
        <w:instrText xml:space="preserve"> NOTEREF _Ref520298406 \h </w:instrText>
      </w:r>
      <w:r w:rsidR="00691E6B">
        <w:rPr>
          <w:rFonts w:eastAsia="Arial Unicode MS"/>
          <w:bCs/>
          <w:lang w:eastAsia="fr-FR" w:bidi="he-IL"/>
        </w:rPr>
      </w:r>
      <w:r w:rsidR="00691E6B">
        <w:rPr>
          <w:rFonts w:eastAsia="Arial Unicode MS"/>
          <w:bCs/>
          <w:lang w:eastAsia="fr-FR" w:bidi="he-IL"/>
        </w:rPr>
        <w:fldChar w:fldCharType="separate"/>
      </w:r>
      <w:r w:rsidR="00635395">
        <w:rPr>
          <w:rFonts w:eastAsia="Arial Unicode MS"/>
          <w:bCs/>
          <w:lang w:eastAsia="fr-FR" w:bidi="he-IL"/>
        </w:rPr>
        <w:t>10</w:t>
      </w:r>
      <w:r w:rsidR="00691E6B">
        <w:rPr>
          <w:rFonts w:eastAsia="Arial Unicode MS"/>
          <w:bCs/>
          <w:lang w:eastAsia="fr-FR" w:bidi="he-IL"/>
        </w:rPr>
        <w:fldChar w:fldCharType="end"/>
      </w:r>
      <w:r>
        <w:rPr>
          <w:rFonts w:eastAsia="Arial Unicode MS"/>
          <w:bCs/>
          <w:lang w:eastAsia="fr-FR" w:bidi="he-IL"/>
        </w:rPr>
        <w:t>[</w:t>
      </w:r>
      <w:r w:rsidRPr="00C8701B">
        <w:rPr>
          <w:rFonts w:eastAsia="Arial Unicode MS"/>
          <w:bCs/>
          <w:lang w:eastAsia="fr-FR" w:bidi="he-IL"/>
        </w:rPr>
        <w:t>6</w:t>
      </w:r>
      <w:r>
        <w:rPr>
          <w:rFonts w:eastAsia="Arial Unicode MS"/>
          <w:bCs/>
          <w:lang w:eastAsia="fr-FR" w:bidi="he-IL"/>
        </w:rPr>
        <w:t>]</w:t>
      </w:r>
      <w:r w:rsidRPr="00C8701B">
        <w:rPr>
          <w:rFonts w:eastAsia="Arial Unicode MS"/>
          <w:bCs/>
          <w:lang w:eastAsia="fr-FR" w:bidi="he-IL"/>
        </w:rPr>
        <w:t>.</w:t>
      </w:r>
    </w:p>
  </w:footnote>
  <w:footnote w:id="100">
    <w:p w:rsidR="00941AA6" w:rsidRDefault="00941AA6">
      <w:pPr>
        <w:pStyle w:val="Notedebasdepage"/>
      </w:pPr>
      <w:r w:rsidRPr="00C406FF">
        <w:rPr>
          <w:rStyle w:val="Appelnotedebasdep"/>
        </w:rPr>
        <w:footnoteRef/>
      </w:r>
      <w:r>
        <w:t xml:space="preserve"> </w:t>
      </w:r>
      <w:r w:rsidRPr="00C8701B">
        <w:rPr>
          <w:rFonts w:eastAsia="Arial Unicode MS"/>
          <w:bCs/>
          <w:lang w:eastAsia="fr-FR" w:bidi="he-IL"/>
        </w:rPr>
        <w:t>Grimm</w:t>
      </w:r>
      <w:r>
        <w:rPr>
          <w:rFonts w:eastAsia="Arial Unicode MS"/>
          <w:bCs/>
          <w:lang w:eastAsia="fr-FR" w:bidi="he-IL"/>
        </w:rPr>
        <w:t xml:space="preserve">, </w:t>
      </w:r>
      <w:r w:rsidRPr="00DC4586">
        <w:rPr>
          <w:rStyle w:val="italicus"/>
        </w:rPr>
        <w:t>Die</w:t>
      </w:r>
      <w:r>
        <w:rPr>
          <w:rStyle w:val="italicus"/>
        </w:rPr>
        <w:t xml:space="preserve"> </w:t>
      </w:r>
      <w:r w:rsidRPr="00DC4586">
        <w:rPr>
          <w:rStyle w:val="italicus"/>
        </w:rPr>
        <w:t>Einheit der vier Evangelien</w:t>
      </w:r>
      <w:r>
        <w:rPr>
          <w:rStyle w:val="italicus"/>
        </w:rPr>
        <w:t xml:space="preserve">, </w:t>
      </w:r>
      <w:r w:rsidRPr="00C8701B">
        <w:rPr>
          <w:rFonts w:eastAsia="Arial Unicode MS"/>
          <w:bCs/>
          <w:lang w:eastAsia="fr-FR" w:bidi="he-IL"/>
        </w:rPr>
        <w:t>Ratisbonne 1868</w:t>
      </w:r>
      <w:r>
        <w:rPr>
          <w:rFonts w:eastAsia="Arial Unicode MS"/>
          <w:bCs/>
          <w:lang w:eastAsia="fr-FR" w:bidi="he-IL"/>
        </w:rPr>
        <w:t xml:space="preserve">, </w:t>
      </w:r>
      <w:r w:rsidRPr="00C8701B">
        <w:rPr>
          <w:rFonts w:eastAsia="Arial Unicode MS"/>
          <w:bCs/>
          <w:lang w:eastAsia="fr-FR" w:bidi="he-IL"/>
        </w:rPr>
        <w:t>p. 28. « Relativement au Christ</w:t>
      </w:r>
      <w:r>
        <w:rPr>
          <w:rFonts w:eastAsia="Arial Unicode MS"/>
          <w:bCs/>
          <w:lang w:eastAsia="fr-FR" w:bidi="he-IL"/>
        </w:rPr>
        <w:t xml:space="preserve">, </w:t>
      </w:r>
      <w:r w:rsidRPr="00C8701B">
        <w:rPr>
          <w:rFonts w:eastAsia="Arial Unicode MS"/>
          <w:bCs/>
          <w:lang w:eastAsia="fr-FR" w:bidi="he-IL"/>
        </w:rPr>
        <w:t>écrit le même auteur</w:t>
      </w:r>
      <w:r>
        <w:rPr>
          <w:rFonts w:eastAsia="Arial Unicode MS"/>
          <w:bCs/>
          <w:lang w:eastAsia="fr-FR" w:bidi="he-IL"/>
        </w:rPr>
        <w:t xml:space="preserve">, </w:t>
      </w:r>
      <w:r w:rsidRPr="00DC4586">
        <w:rPr>
          <w:rStyle w:val="italicus"/>
        </w:rPr>
        <w:t>ibid.</w:t>
      </w:r>
      <w:r>
        <w:rPr>
          <w:rStyle w:val="italicus"/>
        </w:rPr>
        <w:t xml:space="preserve">, </w:t>
      </w:r>
      <w:r w:rsidRPr="00C8701B">
        <w:rPr>
          <w:rFonts w:eastAsia="Arial Unicode MS"/>
          <w:bCs/>
          <w:lang w:eastAsia="fr-FR" w:bidi="he-IL"/>
        </w:rPr>
        <w:t>l</w:t>
      </w:r>
      <w:r>
        <w:rPr>
          <w:rFonts w:eastAsia="Arial Unicode MS"/>
          <w:bCs/>
          <w:lang w:eastAsia="fr-FR" w:bidi="he-IL"/>
        </w:rPr>
        <w:t>’</w:t>
      </w:r>
      <w:r w:rsidRPr="00C8701B">
        <w:rPr>
          <w:rFonts w:eastAsia="Arial Unicode MS"/>
          <w:bCs/>
          <w:lang w:eastAsia="fr-FR" w:bidi="he-IL"/>
        </w:rPr>
        <w:t>histoire ne peut qu</w:t>
      </w:r>
      <w:r>
        <w:rPr>
          <w:rFonts w:eastAsia="Arial Unicode MS"/>
          <w:bCs/>
          <w:lang w:eastAsia="fr-FR" w:bidi="he-IL"/>
        </w:rPr>
        <w:t>’</w:t>
      </w:r>
      <w:r w:rsidRPr="00C8701B">
        <w:rPr>
          <w:rFonts w:eastAsia="Arial Unicode MS"/>
          <w:bCs/>
          <w:lang w:eastAsia="fr-FR" w:bidi="he-IL"/>
        </w:rPr>
        <w:t>enregistrer les phénomènes</w:t>
      </w:r>
      <w:r>
        <w:rPr>
          <w:rFonts w:eastAsia="Arial Unicode MS"/>
          <w:bCs/>
          <w:lang w:eastAsia="fr-FR" w:bidi="he-IL"/>
        </w:rPr>
        <w:t xml:space="preserve">, </w:t>
      </w:r>
      <w:r w:rsidRPr="00C8701B">
        <w:rPr>
          <w:rFonts w:eastAsia="Arial Unicode MS"/>
          <w:bCs/>
          <w:lang w:eastAsia="fr-FR" w:bidi="he-IL"/>
        </w:rPr>
        <w:t>les manifestations visibles et constatées</w:t>
      </w:r>
      <w:r>
        <w:rPr>
          <w:rFonts w:eastAsia="Arial Unicode MS"/>
          <w:bCs/>
          <w:lang w:eastAsia="fr-FR" w:bidi="he-IL"/>
        </w:rPr>
        <w:t>, qui nous font conclur</w:t>
      </w:r>
      <w:r w:rsidRPr="00C8701B">
        <w:rPr>
          <w:rFonts w:eastAsia="Arial Unicode MS"/>
          <w:bCs/>
          <w:lang w:eastAsia="fr-FR" w:bidi="he-IL"/>
        </w:rPr>
        <w:t>e à une nature supérieure placée à leur base</w:t>
      </w:r>
      <w:r>
        <w:rPr>
          <w:rFonts w:eastAsia="Arial Unicode MS"/>
          <w:bCs/>
          <w:lang w:eastAsia="fr-FR" w:bidi="he-IL"/>
        </w:rPr>
        <w:t xml:space="preserve">, </w:t>
      </w:r>
      <w:r w:rsidRPr="00C8701B">
        <w:rPr>
          <w:rFonts w:eastAsia="Arial Unicode MS"/>
          <w:bCs/>
          <w:lang w:eastAsia="fr-FR" w:bidi="he-IL"/>
        </w:rPr>
        <w:t>et dans lesquels apparaît la divinité même. Qu</w:t>
      </w:r>
      <w:r>
        <w:rPr>
          <w:rFonts w:eastAsia="Arial Unicode MS"/>
          <w:bCs/>
          <w:lang w:eastAsia="fr-FR" w:bidi="he-IL"/>
        </w:rPr>
        <w:t>’</w:t>
      </w:r>
      <w:r w:rsidRPr="00C8701B">
        <w:rPr>
          <w:rFonts w:eastAsia="Arial Unicode MS"/>
          <w:bCs/>
          <w:lang w:eastAsia="fr-FR" w:bidi="he-IL"/>
        </w:rPr>
        <w:t>un évangéliste</w:t>
      </w:r>
      <w:r>
        <w:rPr>
          <w:rFonts w:eastAsia="Arial Unicode MS"/>
          <w:bCs/>
          <w:lang w:eastAsia="fr-FR" w:bidi="he-IL"/>
        </w:rPr>
        <w:t xml:space="preserve">, </w:t>
      </w:r>
      <w:r w:rsidRPr="00C8701B">
        <w:rPr>
          <w:rFonts w:eastAsia="Arial Unicode MS"/>
          <w:bCs/>
          <w:lang w:eastAsia="fr-FR" w:bidi="he-IL"/>
        </w:rPr>
        <w:t>S. Matthieu</w:t>
      </w:r>
      <w:r>
        <w:rPr>
          <w:rFonts w:eastAsia="Arial Unicode MS"/>
          <w:bCs/>
          <w:lang w:eastAsia="fr-FR" w:bidi="he-IL"/>
        </w:rPr>
        <w:t xml:space="preserve">, </w:t>
      </w:r>
      <w:r w:rsidRPr="00C8701B">
        <w:rPr>
          <w:rFonts w:eastAsia="Arial Unicode MS"/>
          <w:bCs/>
          <w:lang w:eastAsia="fr-FR" w:bidi="he-IL"/>
        </w:rPr>
        <w:t>ou S. Jean</w:t>
      </w:r>
      <w:r>
        <w:rPr>
          <w:rFonts w:eastAsia="Arial Unicode MS"/>
          <w:bCs/>
          <w:lang w:eastAsia="fr-FR" w:bidi="he-IL"/>
        </w:rPr>
        <w:t xml:space="preserve">, </w:t>
      </w:r>
      <w:r w:rsidRPr="00C8701B">
        <w:rPr>
          <w:rFonts w:eastAsia="Arial Unicode MS"/>
          <w:bCs/>
          <w:lang w:eastAsia="fr-FR" w:bidi="he-IL"/>
        </w:rPr>
        <w:t>me</w:t>
      </w:r>
      <w:r>
        <w:rPr>
          <w:rFonts w:eastAsia="Arial Unicode MS"/>
          <w:bCs/>
          <w:lang w:eastAsia="fr-FR" w:bidi="he-IL"/>
        </w:rPr>
        <w:t xml:space="preserve"> rapporte une série de faits mi</w:t>
      </w:r>
      <w:r w:rsidRPr="00C8701B">
        <w:rPr>
          <w:rFonts w:eastAsia="Arial Unicode MS"/>
          <w:bCs/>
          <w:lang w:eastAsia="fr-FR" w:bidi="he-IL"/>
        </w:rPr>
        <w:t>raculeux où se révèle une puissance supérieure et cachée :</w:t>
      </w:r>
      <w:r>
        <w:rPr>
          <w:rFonts w:eastAsia="Arial Unicode MS"/>
          <w:bCs/>
          <w:lang w:eastAsia="fr-FR" w:bidi="he-IL"/>
        </w:rPr>
        <w:t xml:space="preserve"> </w:t>
      </w:r>
      <w:r w:rsidRPr="00C8701B">
        <w:rPr>
          <w:rFonts w:eastAsia="Arial Unicode MS"/>
          <w:bCs/>
          <w:lang w:eastAsia="fr-FR" w:bidi="he-IL"/>
        </w:rPr>
        <w:t>cela me suffit. Cent miracles ne me disent rien de plus que dix</w:t>
      </w:r>
      <w:r>
        <w:rPr>
          <w:rFonts w:eastAsia="Arial Unicode MS"/>
          <w:bCs/>
          <w:lang w:eastAsia="fr-FR" w:bidi="he-IL"/>
        </w:rPr>
        <w:t xml:space="preserve">, </w:t>
      </w:r>
      <w:r w:rsidRPr="00C8701B">
        <w:rPr>
          <w:rFonts w:eastAsia="Arial Unicode MS"/>
          <w:bCs/>
          <w:lang w:eastAsia="fr-FR" w:bidi="he-IL"/>
        </w:rPr>
        <w:t>qu</w:t>
      </w:r>
      <w:r>
        <w:rPr>
          <w:rFonts w:eastAsia="Arial Unicode MS"/>
          <w:bCs/>
          <w:lang w:eastAsia="fr-FR" w:bidi="he-IL"/>
        </w:rPr>
        <w:t>’</w:t>
      </w:r>
      <w:r w:rsidRPr="00C8701B">
        <w:rPr>
          <w:rFonts w:eastAsia="Arial Unicode MS"/>
          <w:bCs/>
          <w:lang w:eastAsia="fr-FR" w:bidi="he-IL"/>
        </w:rPr>
        <w:t>un seul</w:t>
      </w:r>
      <w:r>
        <w:rPr>
          <w:rFonts w:eastAsia="Arial Unicode MS"/>
          <w:bCs/>
          <w:lang w:eastAsia="fr-FR" w:bidi="he-IL"/>
        </w:rPr>
        <w:t xml:space="preserve">, </w:t>
      </w:r>
      <w:r w:rsidRPr="00C8701B">
        <w:rPr>
          <w:rFonts w:eastAsia="Arial Unicode MS"/>
          <w:bCs/>
          <w:lang w:eastAsia="fr-FR" w:bidi="he-IL"/>
        </w:rPr>
        <w:t>dès que cette apparition d</w:t>
      </w:r>
      <w:r>
        <w:rPr>
          <w:rFonts w:eastAsia="Arial Unicode MS"/>
          <w:bCs/>
          <w:lang w:eastAsia="fr-FR" w:bidi="he-IL"/>
        </w:rPr>
        <w:t>’</w:t>
      </w:r>
      <w:r w:rsidRPr="00C8701B">
        <w:rPr>
          <w:rFonts w:eastAsia="Arial Unicode MS"/>
          <w:bCs/>
          <w:lang w:eastAsia="fr-FR" w:bidi="he-IL"/>
        </w:rPr>
        <w:t>une force divine est historiquement prouvée. Et quant à l</w:t>
      </w:r>
      <w:r>
        <w:rPr>
          <w:rFonts w:eastAsia="Arial Unicode MS"/>
          <w:bCs/>
          <w:lang w:eastAsia="fr-FR" w:bidi="he-IL"/>
        </w:rPr>
        <w:t>’</w:t>
      </w:r>
      <w:r w:rsidRPr="00C8701B">
        <w:rPr>
          <w:rFonts w:eastAsia="Arial Unicode MS"/>
          <w:bCs/>
          <w:lang w:eastAsia="fr-FR" w:bidi="he-IL"/>
        </w:rPr>
        <w:t>enseignement du Messie</w:t>
      </w:r>
      <w:r>
        <w:rPr>
          <w:rFonts w:eastAsia="Arial Unicode MS"/>
          <w:bCs/>
          <w:lang w:eastAsia="fr-FR" w:bidi="he-IL"/>
        </w:rPr>
        <w:t xml:space="preserve">, </w:t>
      </w:r>
      <w:r w:rsidRPr="00C8701B">
        <w:rPr>
          <w:rFonts w:eastAsia="Arial Unicode MS"/>
          <w:bCs/>
          <w:lang w:eastAsia="fr-FR" w:bidi="he-IL"/>
        </w:rPr>
        <w:t xml:space="preserve">sans doute les </w:t>
      </w:r>
      <w:r>
        <w:rPr>
          <w:rFonts w:eastAsia="Arial Unicode MS"/>
          <w:bCs/>
          <w:lang w:eastAsia="fr-FR" w:bidi="he-IL"/>
        </w:rPr>
        <w:t>Évangile</w:t>
      </w:r>
      <w:r w:rsidRPr="00C8701B">
        <w:rPr>
          <w:rFonts w:eastAsia="Arial Unicode MS"/>
          <w:bCs/>
          <w:lang w:eastAsia="fr-FR" w:bidi="he-IL"/>
        </w:rPr>
        <w:t>s pourraient être plus explicites </w:t>
      </w:r>
      <w:r>
        <w:rPr>
          <w:rFonts w:eastAsia="Arial Unicode MS"/>
          <w:bCs/>
          <w:lang w:eastAsia="fr-FR" w:bidi="he-IL"/>
        </w:rPr>
        <w:t>; mais une exposition plus dét</w:t>
      </w:r>
      <w:r w:rsidRPr="00C8701B">
        <w:rPr>
          <w:rFonts w:eastAsia="Arial Unicode MS"/>
          <w:bCs/>
          <w:lang w:eastAsia="fr-FR" w:bidi="he-IL"/>
        </w:rPr>
        <w:t>aillée n</w:t>
      </w:r>
      <w:r>
        <w:rPr>
          <w:rFonts w:eastAsia="Arial Unicode MS"/>
          <w:bCs/>
          <w:lang w:eastAsia="fr-FR" w:bidi="he-IL"/>
        </w:rPr>
        <w:t>’</w:t>
      </w:r>
      <w:r w:rsidRPr="00C8701B">
        <w:rPr>
          <w:rFonts w:eastAsia="Arial Unicode MS"/>
          <w:bCs/>
          <w:lang w:eastAsia="fr-FR" w:bidi="he-IL"/>
        </w:rPr>
        <w:t>épuiserait pas la substance de la nouvelle doctrine</w:t>
      </w:r>
      <w:r>
        <w:rPr>
          <w:rFonts w:eastAsia="Arial Unicode MS"/>
          <w:bCs/>
          <w:lang w:eastAsia="fr-FR" w:bidi="he-IL"/>
        </w:rPr>
        <w:t xml:space="preserve">, </w:t>
      </w:r>
      <w:r w:rsidRPr="00C8701B">
        <w:rPr>
          <w:rFonts w:eastAsia="Arial Unicode MS"/>
          <w:bCs/>
          <w:lang w:eastAsia="fr-FR" w:bidi="he-IL"/>
        </w:rPr>
        <w:t>ni son caractère divin. Bien plus</w:t>
      </w:r>
      <w:r>
        <w:rPr>
          <w:rFonts w:eastAsia="Arial Unicode MS"/>
          <w:bCs/>
          <w:lang w:eastAsia="fr-FR" w:bidi="he-IL"/>
        </w:rPr>
        <w:t xml:space="preserve">, </w:t>
      </w:r>
      <w:r w:rsidRPr="00C8701B">
        <w:rPr>
          <w:rFonts w:eastAsia="Arial Unicode MS"/>
          <w:bCs/>
          <w:lang w:eastAsia="fr-FR" w:bidi="he-IL"/>
        </w:rPr>
        <w:t>la plupart des développements que nous pourrions souhaiter sous ce rapport n</w:t>
      </w:r>
      <w:r>
        <w:rPr>
          <w:rFonts w:eastAsia="Arial Unicode MS"/>
          <w:bCs/>
          <w:lang w:eastAsia="fr-FR" w:bidi="he-IL"/>
        </w:rPr>
        <w:t>’</w:t>
      </w:r>
      <w:r w:rsidRPr="00C8701B">
        <w:rPr>
          <w:rFonts w:eastAsia="Arial Unicode MS"/>
          <w:bCs/>
          <w:lang w:eastAsia="fr-FR" w:bidi="he-IL"/>
        </w:rPr>
        <w:t>appartiennent point à la prédication terrestre du Christ </w:t>
      </w:r>
      <w:r>
        <w:rPr>
          <w:rFonts w:eastAsia="Arial Unicode MS"/>
          <w:bCs/>
          <w:lang w:eastAsia="fr-FR" w:bidi="he-IL"/>
        </w:rPr>
        <w:t xml:space="preserve">; </w:t>
      </w:r>
      <w:r w:rsidRPr="00C8701B">
        <w:rPr>
          <w:rFonts w:eastAsia="Arial Unicode MS"/>
          <w:bCs/>
          <w:lang w:eastAsia="fr-FR" w:bidi="he-IL"/>
        </w:rPr>
        <w:t>ils étaient réservés aux révélations ultérieures de l</w:t>
      </w:r>
      <w:r>
        <w:rPr>
          <w:rFonts w:eastAsia="Arial Unicode MS"/>
          <w:bCs/>
          <w:lang w:eastAsia="fr-FR" w:bidi="he-IL"/>
        </w:rPr>
        <w:t>’</w:t>
      </w:r>
      <w:r w:rsidRPr="00C8701B">
        <w:rPr>
          <w:rFonts w:eastAsia="Arial Unicode MS"/>
          <w:bCs/>
          <w:lang w:eastAsia="fr-FR" w:bidi="he-IL"/>
        </w:rPr>
        <w:t>Esprit-Saint</w:t>
      </w:r>
      <w:r>
        <w:rPr>
          <w:rFonts w:eastAsia="Arial Unicode MS"/>
          <w:bCs/>
          <w:lang w:eastAsia="fr-FR" w:bidi="he-IL"/>
        </w:rPr>
        <w:t xml:space="preserve">, </w:t>
      </w:r>
      <w:r w:rsidRPr="00C8701B">
        <w:rPr>
          <w:rFonts w:eastAsia="Arial Unicode MS"/>
          <w:bCs/>
          <w:lang w:eastAsia="fr-FR" w:bidi="he-IL"/>
        </w:rPr>
        <w:t>parce qu</w:t>
      </w:r>
      <w:r>
        <w:rPr>
          <w:rFonts w:eastAsia="Arial Unicode MS"/>
          <w:bCs/>
          <w:lang w:eastAsia="fr-FR" w:bidi="he-IL"/>
        </w:rPr>
        <w:t>’</w:t>
      </w:r>
      <w:r w:rsidRPr="00C8701B">
        <w:rPr>
          <w:rFonts w:eastAsia="Arial Unicode MS"/>
          <w:bCs/>
          <w:lang w:eastAsia="fr-FR" w:bidi="he-IL"/>
        </w:rPr>
        <w:t>on n</w:t>
      </w:r>
      <w:r>
        <w:rPr>
          <w:rFonts w:eastAsia="Arial Unicode MS"/>
          <w:bCs/>
          <w:lang w:eastAsia="fr-FR" w:bidi="he-IL"/>
        </w:rPr>
        <w:t>’</w:t>
      </w:r>
      <w:r w:rsidRPr="00C8701B">
        <w:rPr>
          <w:rFonts w:eastAsia="Arial Unicode MS"/>
          <w:bCs/>
          <w:lang w:eastAsia="fr-FR" w:bidi="he-IL"/>
        </w:rPr>
        <w:t>en aurait pas eu avant lui l</w:t>
      </w:r>
      <w:r>
        <w:rPr>
          <w:rFonts w:eastAsia="Arial Unicode MS"/>
          <w:bCs/>
          <w:lang w:eastAsia="fr-FR" w:bidi="he-IL"/>
        </w:rPr>
        <w:t>’</w:t>
      </w:r>
      <w:r w:rsidRPr="00C8701B">
        <w:rPr>
          <w:rFonts w:eastAsia="Arial Unicode MS"/>
          <w:bCs/>
          <w:lang w:eastAsia="fr-FR" w:bidi="he-IL"/>
        </w:rPr>
        <w:t>intelligence. Ainsi donc</w:t>
      </w:r>
      <w:r>
        <w:rPr>
          <w:rFonts w:eastAsia="Arial Unicode MS"/>
          <w:bCs/>
          <w:lang w:eastAsia="fr-FR" w:bidi="he-IL"/>
        </w:rPr>
        <w:t xml:space="preserve">, </w:t>
      </w:r>
      <w:r w:rsidRPr="00C8701B">
        <w:rPr>
          <w:rFonts w:eastAsia="Arial Unicode MS"/>
          <w:bCs/>
          <w:lang w:eastAsia="fr-FR" w:bidi="he-IL"/>
        </w:rPr>
        <w:t>un évangile très complet pourrait bien nous donner quelques détails de plus</w:t>
      </w:r>
      <w:r>
        <w:rPr>
          <w:rFonts w:eastAsia="Arial Unicode MS"/>
          <w:bCs/>
          <w:lang w:eastAsia="fr-FR" w:bidi="he-IL"/>
        </w:rPr>
        <w:t xml:space="preserve">, </w:t>
      </w:r>
      <w:r w:rsidRPr="00C8701B">
        <w:rPr>
          <w:rFonts w:eastAsia="Arial Unicode MS"/>
          <w:bCs/>
          <w:lang w:eastAsia="fr-FR" w:bidi="he-IL"/>
        </w:rPr>
        <w:t>mais nullement cette exposition absolument exacte et achevée de la doctrine messianique que l</w:t>
      </w:r>
      <w:r>
        <w:rPr>
          <w:rFonts w:eastAsia="Arial Unicode MS"/>
          <w:bCs/>
          <w:lang w:eastAsia="fr-FR" w:bidi="he-IL"/>
        </w:rPr>
        <w:t>’</w:t>
      </w:r>
      <w:r w:rsidRPr="00C8701B">
        <w:rPr>
          <w:rFonts w:eastAsia="Arial Unicode MS"/>
          <w:bCs/>
          <w:lang w:eastAsia="fr-FR" w:bidi="he-IL"/>
        </w:rPr>
        <w:t>on pourrait souhaiter ».</w:t>
      </w:r>
    </w:p>
  </w:footnote>
  <w:footnote w:id="101">
    <w:p w:rsidR="00941AA6" w:rsidRDefault="00941AA6">
      <w:pPr>
        <w:pStyle w:val="Notedebasdepage"/>
      </w:pPr>
      <w:r w:rsidRPr="00C406FF">
        <w:rPr>
          <w:rStyle w:val="Appelnotedebasdep"/>
        </w:rPr>
        <w:footnoteRef/>
      </w:r>
      <w:r>
        <w:t xml:space="preserve"> </w:t>
      </w:r>
      <w:r w:rsidRPr="00C8701B">
        <w:rPr>
          <w:rFonts w:eastAsia="Arial Unicode MS"/>
          <w:bCs/>
          <w:lang w:eastAsia="fr-FR" w:bidi="he-IL"/>
        </w:rPr>
        <w:t>Voyez notre commentaire sur l</w:t>
      </w:r>
      <w:r>
        <w:rPr>
          <w:rFonts w:eastAsia="Arial Unicode MS"/>
          <w:bCs/>
          <w:lang w:eastAsia="fr-FR" w:bidi="he-IL"/>
        </w:rPr>
        <w:t>’Évangile</w:t>
      </w:r>
      <w:r w:rsidRPr="00C8701B">
        <w:rPr>
          <w:rFonts w:eastAsia="Arial Unicode MS"/>
          <w:bCs/>
          <w:lang w:eastAsia="fr-FR" w:bidi="he-IL"/>
        </w:rPr>
        <w:t xml:space="preserve"> selon S. Matthieu</w:t>
      </w:r>
      <w:r>
        <w:rPr>
          <w:rFonts w:eastAsia="Arial Unicode MS"/>
          <w:bCs/>
          <w:lang w:eastAsia="fr-FR" w:bidi="he-IL"/>
        </w:rPr>
        <w:t xml:space="preserve">, pp. 63, </w:t>
      </w:r>
      <w:r w:rsidRPr="00C8701B">
        <w:rPr>
          <w:rFonts w:eastAsia="Arial Unicode MS"/>
          <w:bCs/>
          <w:lang w:eastAsia="fr-FR" w:bidi="he-IL"/>
        </w:rPr>
        <w:t>96-97.</w:t>
      </w:r>
    </w:p>
  </w:footnote>
  <w:footnote w:id="102">
    <w:p w:rsidR="00941AA6" w:rsidRPr="00A74F01" w:rsidRDefault="00941AA6">
      <w:pPr>
        <w:pStyle w:val="Notedebasdepage"/>
        <w:rPr>
          <w:lang w:val="en-US"/>
        </w:rPr>
      </w:pPr>
      <w:r w:rsidRPr="00C406FF">
        <w:rPr>
          <w:rStyle w:val="Appelnotedebasdep"/>
        </w:rPr>
        <w:footnoteRef/>
      </w:r>
      <w:r w:rsidRPr="00A74F01">
        <w:rPr>
          <w:lang w:val="en-US"/>
        </w:rPr>
        <w:t xml:space="preserve"> </w:t>
      </w:r>
      <w:r w:rsidRPr="00C8701B">
        <w:rPr>
          <w:rFonts w:eastAsia="Arial Unicode MS"/>
          <w:bCs/>
          <w:lang w:val="en-US" w:eastAsia="fr-FR" w:bidi="he-IL"/>
        </w:rPr>
        <w:t>Joan.</w:t>
      </w:r>
      <w:r>
        <w:rPr>
          <w:rFonts w:eastAsia="Arial Unicode MS"/>
          <w:bCs/>
          <w:lang w:val="en-US" w:eastAsia="fr-FR" w:bidi="he-IL"/>
        </w:rPr>
        <w:t xml:space="preserve"> I, </w:t>
      </w:r>
      <w:r w:rsidRPr="00C8701B">
        <w:rPr>
          <w:rFonts w:eastAsia="Arial Unicode MS"/>
          <w:bCs/>
          <w:lang w:val="en-US" w:eastAsia="fr-FR" w:bidi="he-IL"/>
        </w:rPr>
        <w:t>14</w:t>
      </w:r>
      <w:r>
        <w:rPr>
          <w:rFonts w:eastAsia="Arial Unicode MS"/>
          <w:bCs/>
          <w:lang w:val="en-US" w:eastAsia="fr-FR" w:bidi="he-IL"/>
        </w:rPr>
        <w:t xml:space="preserve">, </w:t>
      </w:r>
      <w:r w:rsidRPr="00C8701B">
        <w:rPr>
          <w:rFonts w:eastAsia="Arial Unicode MS"/>
          <w:bCs/>
          <w:lang w:val="en-US" w:eastAsia="fr-FR" w:bidi="he-IL"/>
        </w:rPr>
        <w:t>16.</w:t>
      </w:r>
    </w:p>
  </w:footnote>
  <w:footnote w:id="103">
    <w:p w:rsidR="00941AA6" w:rsidRDefault="00941AA6">
      <w:pPr>
        <w:pStyle w:val="Notedebasdepage"/>
      </w:pPr>
      <w:r w:rsidRPr="00C406FF">
        <w:rPr>
          <w:rStyle w:val="Appelnotedebasdep"/>
        </w:rPr>
        <w:footnoteRef/>
      </w:r>
      <w:r w:rsidRPr="00A74F01">
        <w:rPr>
          <w:lang w:val="en-US"/>
        </w:rPr>
        <w:t xml:space="preserve"> </w:t>
      </w:r>
      <w:r>
        <w:rPr>
          <w:rFonts w:eastAsia="Arial Unicode MS"/>
          <w:bCs/>
          <w:lang w:val="en-US" w:eastAsia="fr-FR" w:bidi="he-IL"/>
        </w:rPr>
        <w:t xml:space="preserve">Joan. II, </w:t>
      </w:r>
      <w:r w:rsidRPr="00C8701B">
        <w:rPr>
          <w:rFonts w:eastAsia="Arial Unicode MS"/>
          <w:bCs/>
          <w:lang w:val="en-US" w:eastAsia="fr-FR" w:bidi="he-IL"/>
        </w:rPr>
        <w:t>24</w:t>
      </w:r>
      <w:r>
        <w:rPr>
          <w:rFonts w:eastAsia="Arial Unicode MS"/>
          <w:bCs/>
          <w:lang w:val="en-US" w:eastAsia="fr-FR" w:bidi="he-IL"/>
        </w:rPr>
        <w:t xml:space="preserve">, </w:t>
      </w:r>
      <w:r w:rsidRPr="00C8701B">
        <w:rPr>
          <w:rFonts w:eastAsia="Arial Unicode MS"/>
          <w:bCs/>
          <w:lang w:val="en-US" w:eastAsia="fr-FR" w:bidi="he-IL"/>
        </w:rPr>
        <w:t xml:space="preserve">25. Cf. </w:t>
      </w:r>
      <w:r>
        <w:rPr>
          <w:rFonts w:eastAsia="Arial Unicode MS"/>
          <w:bCs/>
          <w:lang w:val="en-US" w:eastAsia="fr-FR" w:bidi="he-IL"/>
        </w:rPr>
        <w:t xml:space="preserve">XX, </w:t>
      </w:r>
      <w:r w:rsidRPr="00C8701B">
        <w:rPr>
          <w:rFonts w:eastAsia="Arial Unicode MS"/>
          <w:bCs/>
          <w:lang w:val="en-US" w:eastAsia="fr-FR" w:bidi="he-IL"/>
        </w:rPr>
        <w:t>30 </w:t>
      </w:r>
      <w:r>
        <w:rPr>
          <w:rFonts w:eastAsia="Arial Unicode MS"/>
          <w:bCs/>
          <w:lang w:val="en-US" w:eastAsia="fr-FR" w:bidi="he-IL"/>
        </w:rPr>
        <w:t xml:space="preserve">; </w:t>
      </w:r>
      <w:r w:rsidRPr="00C8701B">
        <w:rPr>
          <w:rFonts w:eastAsia="Arial Unicode MS"/>
          <w:bCs/>
          <w:lang w:val="en-US" w:eastAsia="fr-FR" w:bidi="he-IL"/>
        </w:rPr>
        <w:t>XXI</w:t>
      </w:r>
      <w:r>
        <w:rPr>
          <w:rFonts w:eastAsia="Arial Unicode MS"/>
          <w:bCs/>
          <w:lang w:val="en-US" w:eastAsia="fr-FR" w:bidi="he-IL"/>
        </w:rPr>
        <w:t xml:space="preserve">, </w:t>
      </w:r>
      <w:r w:rsidRPr="00C8701B">
        <w:rPr>
          <w:rFonts w:eastAsia="Arial Unicode MS"/>
          <w:bCs/>
          <w:lang w:val="en-US" w:eastAsia="fr-FR" w:bidi="he-IL"/>
        </w:rPr>
        <w:t xml:space="preserve">23. </w:t>
      </w:r>
      <w:r w:rsidRPr="00C8701B">
        <w:rPr>
          <w:rFonts w:eastAsia="Arial Unicode MS"/>
          <w:bCs/>
          <w:lang w:eastAsia="fr-FR" w:bidi="he-IL"/>
        </w:rPr>
        <w:t>La plupart de ces réflexions sont propres au quatrième évangéliste.</w:t>
      </w:r>
    </w:p>
  </w:footnote>
  <w:footnote w:id="104">
    <w:p w:rsidR="00941AA6" w:rsidRDefault="00941AA6">
      <w:pPr>
        <w:pStyle w:val="Notedebasdepage"/>
      </w:pPr>
      <w:r w:rsidRPr="00C406FF">
        <w:rPr>
          <w:rStyle w:val="Appelnotedebasdep"/>
        </w:rPr>
        <w:footnoteRef/>
      </w:r>
      <w:r>
        <w:t xml:space="preserve"> </w:t>
      </w:r>
      <w:r w:rsidRPr="00C8701B">
        <w:rPr>
          <w:rFonts w:eastAsia="Arial Unicode MS"/>
          <w:bCs/>
          <w:lang w:eastAsia="fr-FR" w:bidi="he-IL"/>
        </w:rPr>
        <w:t>C</w:t>
      </w:r>
      <w:r>
        <w:rPr>
          <w:rFonts w:eastAsia="Arial Unicode MS"/>
          <w:bCs/>
          <w:lang w:eastAsia="fr-FR" w:bidi="he-IL"/>
        </w:rPr>
        <w:t>’</w:t>
      </w:r>
      <w:r w:rsidRPr="00C8701B">
        <w:rPr>
          <w:rFonts w:eastAsia="Arial Unicode MS"/>
          <w:bCs/>
          <w:lang w:eastAsia="fr-FR" w:bidi="he-IL"/>
        </w:rPr>
        <w:t>est sur leurs narrations que l</w:t>
      </w:r>
      <w:r>
        <w:rPr>
          <w:rFonts w:eastAsia="Arial Unicode MS"/>
          <w:bCs/>
          <w:lang w:eastAsia="fr-FR" w:bidi="he-IL"/>
        </w:rPr>
        <w:t>’</w:t>
      </w:r>
      <w:r w:rsidRPr="00C8701B">
        <w:rPr>
          <w:rFonts w:eastAsia="Arial Unicode MS"/>
          <w:bCs/>
          <w:lang w:eastAsia="fr-FR" w:bidi="he-IL"/>
        </w:rPr>
        <w:t>on s</w:t>
      </w:r>
      <w:r>
        <w:rPr>
          <w:rFonts w:eastAsia="Arial Unicode MS"/>
          <w:bCs/>
          <w:lang w:eastAsia="fr-FR" w:bidi="he-IL"/>
        </w:rPr>
        <w:t>’</w:t>
      </w:r>
      <w:r w:rsidRPr="00C8701B">
        <w:rPr>
          <w:rFonts w:eastAsia="Arial Unicode MS"/>
          <w:bCs/>
          <w:lang w:eastAsia="fr-FR" w:bidi="he-IL"/>
        </w:rPr>
        <w:t>appuie de préférence quand on veut composer une Synopse des Évangiles.</w:t>
      </w:r>
    </w:p>
  </w:footnote>
  <w:footnote w:id="105">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nos commentaires sur S. Luc</w:t>
      </w:r>
      <w:r>
        <w:rPr>
          <w:rFonts w:eastAsia="Arial Unicode MS"/>
          <w:bCs/>
          <w:lang w:eastAsia="fr-FR" w:bidi="he-IL"/>
        </w:rPr>
        <w:t xml:space="preserve">, </w:t>
      </w:r>
      <w:r w:rsidRPr="00C8701B">
        <w:rPr>
          <w:rFonts w:eastAsia="Arial Unicode MS"/>
          <w:bCs/>
          <w:lang w:eastAsia="fr-FR" w:bidi="he-IL"/>
        </w:rPr>
        <w:t>p. 27 </w:t>
      </w:r>
      <w:r>
        <w:rPr>
          <w:rFonts w:eastAsia="Arial Unicode MS"/>
          <w:bCs/>
          <w:lang w:eastAsia="fr-FR" w:bidi="he-IL"/>
        </w:rPr>
        <w:t xml:space="preserve">; </w:t>
      </w:r>
      <w:r w:rsidRPr="00C8701B">
        <w:rPr>
          <w:rFonts w:eastAsia="Arial Unicode MS"/>
          <w:bCs/>
          <w:lang w:eastAsia="fr-FR" w:bidi="he-IL"/>
        </w:rPr>
        <w:t>sur S. Jean</w:t>
      </w:r>
      <w:r>
        <w:rPr>
          <w:rFonts w:eastAsia="Arial Unicode MS"/>
          <w:bCs/>
          <w:lang w:eastAsia="fr-FR" w:bidi="he-IL"/>
        </w:rPr>
        <w:t xml:space="preserve">, </w:t>
      </w:r>
      <w:r w:rsidRPr="00C8701B">
        <w:rPr>
          <w:rFonts w:eastAsia="Arial Unicode MS"/>
          <w:bCs/>
          <w:lang w:eastAsia="fr-FR" w:bidi="he-IL"/>
        </w:rPr>
        <w:t xml:space="preserve">pp. </w:t>
      </w:r>
      <w:r w:rsidRPr="000819BA">
        <w:rPr>
          <w:rFonts w:eastAsia="Arial Unicode MS"/>
          <w:bCs/>
          <w:lang w:val="de-AT" w:eastAsia="fr-FR" w:bidi="he-IL"/>
        </w:rPr>
        <w:t>L, LVII-LVIII.</w:t>
      </w:r>
    </w:p>
  </w:footnote>
  <w:footnote w:id="106">
    <w:p w:rsidR="00941AA6" w:rsidRPr="00933C60" w:rsidRDefault="00941AA6">
      <w:pPr>
        <w:pStyle w:val="Notedebasdepage"/>
      </w:pPr>
      <w:r w:rsidRPr="00C406FF">
        <w:rPr>
          <w:rStyle w:val="Appelnotedebasdep"/>
        </w:rPr>
        <w:footnoteRef/>
      </w:r>
      <w:r w:rsidRPr="000819BA">
        <w:rPr>
          <w:rFonts w:eastAsia="Arial Unicode MS"/>
          <w:lang w:val="de-AT" w:eastAsia="fr-FR" w:bidi="he-IL"/>
        </w:rPr>
        <w:t xml:space="preserve"> </w:t>
      </w:r>
      <w:r w:rsidRPr="000819BA">
        <w:rPr>
          <w:rFonts w:eastAsia="Arial Unicode MS"/>
          <w:bCs/>
          <w:lang w:val="de-AT" w:eastAsia="fr-FR" w:bidi="he-IL"/>
        </w:rPr>
        <w:t xml:space="preserve">Cf. Kraus, </w:t>
      </w:r>
      <w:r w:rsidRPr="000819BA">
        <w:rPr>
          <w:rStyle w:val="italicus"/>
          <w:lang w:val="de-AT"/>
        </w:rPr>
        <w:t xml:space="preserve">Einleitung in die heil. Schrift Allen und Neuen Testamentes, </w:t>
      </w:r>
      <w:r w:rsidRPr="000819BA">
        <w:rPr>
          <w:rFonts w:eastAsia="Arial Unicode MS"/>
          <w:bCs/>
          <w:lang w:val="de-AT" w:eastAsia="fr-FR" w:bidi="he-IL"/>
        </w:rPr>
        <w:t>Fribourg-en-Brisgau, 1885, t. II, p. 374.</w:t>
      </w:r>
    </w:p>
  </w:footnote>
  <w:footnote w:id="107">
    <w:p w:rsidR="00941AA6" w:rsidRPr="00933C60" w:rsidRDefault="00941AA6">
      <w:pPr>
        <w:pStyle w:val="Notedebasdepage"/>
      </w:pPr>
      <w:r w:rsidRPr="00C406FF">
        <w:rPr>
          <w:rStyle w:val="Appelnotedebasdep"/>
        </w:rPr>
        <w:footnoteRef/>
      </w:r>
      <w:r w:rsidRPr="00C8701B">
        <w:rPr>
          <w:rFonts w:eastAsia="Arial Unicode MS"/>
          <w:lang w:val="en-US" w:eastAsia="fr-FR" w:bidi="he-IL"/>
        </w:rPr>
        <w:t xml:space="preserve"> </w:t>
      </w:r>
      <w:r w:rsidRPr="00C8701B">
        <w:rPr>
          <w:rFonts w:eastAsia="Arial Unicode MS"/>
          <w:bCs/>
          <w:lang w:val="en-US" w:eastAsia="fr-FR" w:bidi="he-IL"/>
        </w:rPr>
        <w:t>Ap. Euseb.</w:t>
      </w:r>
      <w:r>
        <w:rPr>
          <w:rFonts w:eastAsia="Arial Unicode MS"/>
          <w:bCs/>
          <w:lang w:val="en-US" w:eastAsia="fr-FR" w:bidi="he-IL"/>
        </w:rPr>
        <w:t xml:space="preserve">, </w:t>
      </w:r>
      <w:r w:rsidRPr="00A74F01">
        <w:rPr>
          <w:rStyle w:val="italicus"/>
          <w:lang w:val="en-US"/>
        </w:rPr>
        <w:t>Hist. eccl.</w:t>
      </w:r>
      <w:r w:rsidRPr="00C8701B">
        <w:rPr>
          <w:rFonts w:eastAsia="Arial Unicode MS"/>
          <w:lang w:val="en-US" w:eastAsia="fr-FR" w:bidi="he-IL"/>
        </w:rPr>
        <w:t xml:space="preserve"> </w:t>
      </w:r>
      <w:r>
        <w:rPr>
          <w:rFonts w:eastAsia="Arial Unicode MS"/>
          <w:lang w:val="en-US" w:eastAsia="fr-FR" w:bidi="he-IL"/>
        </w:rPr>
        <w:t xml:space="preserve">III, </w:t>
      </w:r>
      <w:r w:rsidRPr="00C8701B">
        <w:rPr>
          <w:rFonts w:eastAsia="Arial Unicode MS"/>
          <w:bCs/>
          <w:lang w:val="en-US" w:eastAsia="fr-FR" w:bidi="he-IL"/>
        </w:rPr>
        <w:t>39.</w:t>
      </w:r>
    </w:p>
  </w:footnote>
  <w:footnote w:id="108">
    <w:p w:rsidR="00941AA6" w:rsidRPr="00933C60" w:rsidRDefault="00941AA6">
      <w:pPr>
        <w:pStyle w:val="Notedebasdepage"/>
      </w:pPr>
      <w:r w:rsidRPr="00C406FF">
        <w:rPr>
          <w:rStyle w:val="Appelnotedebasdep"/>
        </w:rPr>
        <w:footnoteRef/>
      </w:r>
      <w:r w:rsidRPr="0021458E">
        <w:rPr>
          <w:rFonts w:eastAsia="Arial Unicode MS"/>
          <w:lang w:eastAsia="fr-FR" w:bidi="he-IL"/>
        </w:rPr>
        <w:t xml:space="preserve"> </w:t>
      </w:r>
      <w:r w:rsidRPr="0021458E">
        <w:rPr>
          <w:rStyle w:val="italicus"/>
        </w:rPr>
        <w:t xml:space="preserve">Ibid., </w:t>
      </w:r>
      <w:r w:rsidRPr="0021458E">
        <w:rPr>
          <w:rFonts w:eastAsia="Arial Unicode MS"/>
          <w:bCs/>
          <w:lang w:eastAsia="fr-FR" w:bidi="he-IL"/>
        </w:rPr>
        <w:t>II, 15 ; VI, 14.</w:t>
      </w:r>
    </w:p>
  </w:footnote>
  <w:footnote w:id="109">
    <w:p w:rsidR="00941AA6" w:rsidRPr="00757FC7" w:rsidRDefault="00941AA6" w:rsidP="00757FC7">
      <w:pPr>
        <w:pStyle w:val="Notedebasdepage"/>
      </w:pPr>
      <w:r w:rsidRPr="00C406FF">
        <w:rPr>
          <w:rStyle w:val="Appelnotedebasdep"/>
        </w:rPr>
        <w:footnoteRef/>
      </w:r>
      <w:r w:rsidRPr="0021458E">
        <w:rPr>
          <w:rFonts w:eastAsia="Arial Unicode MS"/>
          <w:lang w:eastAsia="fr-FR" w:bidi="he-IL"/>
        </w:rPr>
        <w:t xml:space="preserve"> </w:t>
      </w:r>
      <w:r w:rsidRPr="0021458E">
        <w:rPr>
          <w:rFonts w:eastAsia="Arial Unicode MS"/>
          <w:bCs/>
          <w:lang w:eastAsia="fr-FR" w:bidi="he-IL"/>
        </w:rPr>
        <w:t xml:space="preserve">Ce sont les paroles de S. Irénée, </w:t>
      </w:r>
      <w:r w:rsidRPr="0021458E">
        <w:rPr>
          <w:rStyle w:val="italicus"/>
        </w:rPr>
        <w:t xml:space="preserve">Adv. Hær., </w:t>
      </w:r>
      <w:r w:rsidRPr="0021458E">
        <w:rPr>
          <w:rFonts w:eastAsia="Arial Unicode MS"/>
          <w:bCs/>
          <w:lang w:eastAsia="fr-FR" w:bidi="he-IL"/>
        </w:rPr>
        <w:t>III,</w:t>
      </w:r>
      <w:r w:rsidRPr="0021458E">
        <w:t xml:space="preserve"> I, 1 : </w:t>
      </w:r>
      <w:r w:rsidRPr="00CF66E3">
        <w:t>Μ</w:t>
      </w:r>
      <w:r>
        <w:t>άρκ</w:t>
      </w:r>
      <w:r w:rsidRPr="00CF66E3">
        <w:t>ος</w:t>
      </w:r>
      <w:r w:rsidRPr="0021458E">
        <w:t xml:space="preserve">... </w:t>
      </w:r>
      <w:r w:rsidRPr="00CF66E3">
        <w:t>τὸ</w:t>
      </w:r>
      <w:r w:rsidRPr="0021458E">
        <w:t xml:space="preserve"> </w:t>
      </w:r>
      <w:r w:rsidRPr="00CF66E3">
        <w:t>ὑπὸ</w:t>
      </w:r>
      <w:r w:rsidRPr="0021458E">
        <w:t xml:space="preserve"> </w:t>
      </w:r>
      <w:r w:rsidRPr="00CF66E3">
        <w:t>Π</w:t>
      </w:r>
      <w:r>
        <w:t>έ</w:t>
      </w:r>
      <w:r w:rsidRPr="00CF66E3">
        <w:t>τρου</w:t>
      </w:r>
      <w:r w:rsidRPr="0021458E">
        <w:t xml:space="preserve"> </w:t>
      </w:r>
      <w:r w:rsidRPr="00CF66E3">
        <w:t>κηρυσσ</w:t>
      </w:r>
      <w:r>
        <w:t>ό</w:t>
      </w:r>
      <w:r w:rsidRPr="00CF66E3">
        <w:t>μεν</w:t>
      </w:r>
      <w:r>
        <w:t>α</w:t>
      </w:r>
      <w:r w:rsidRPr="0021458E">
        <w:t xml:space="preserve"> </w:t>
      </w:r>
      <w:r w:rsidRPr="00CF66E3">
        <w:t>ἐγγρ</w:t>
      </w:r>
      <w:r>
        <w:t>ά</w:t>
      </w:r>
      <w:r w:rsidRPr="00CF66E3">
        <w:t>φως</w:t>
      </w:r>
      <w:r w:rsidRPr="0021458E">
        <w:t xml:space="preserve"> </w:t>
      </w:r>
      <w:r w:rsidRPr="00CF66E3">
        <w:t>ἡμῖν</w:t>
      </w:r>
      <w:r w:rsidRPr="0021458E">
        <w:t xml:space="preserve"> </w:t>
      </w:r>
      <w:r w:rsidRPr="00CF66E3">
        <w:t>π</w:t>
      </w:r>
      <w:r>
        <w:t>α</w:t>
      </w:r>
      <w:r w:rsidRPr="00CF66E3">
        <w:t>ρ</w:t>
      </w:r>
      <w:r>
        <w:t>έ</w:t>
      </w:r>
      <w:r w:rsidRPr="00CF66E3">
        <w:t>δωκεν</w:t>
      </w:r>
      <w:r w:rsidRPr="0021458E">
        <w:t xml:space="preserve">.., </w:t>
      </w:r>
      <w:r>
        <w:t>καὶ</w:t>
      </w:r>
      <w:r w:rsidRPr="0021458E">
        <w:t xml:space="preserve"> </w:t>
      </w:r>
      <w:r w:rsidRPr="00CF66E3">
        <w:t>ὁ</w:t>
      </w:r>
      <w:r w:rsidRPr="0021458E">
        <w:t xml:space="preserve"> </w:t>
      </w:r>
      <w:r>
        <w:t>Λουκ</w:t>
      </w:r>
      <w:r w:rsidRPr="00CF66E3">
        <w:t>ᾶς</w:t>
      </w:r>
      <w:r w:rsidRPr="0021458E">
        <w:t xml:space="preserve">.... </w:t>
      </w:r>
      <w:r w:rsidRPr="00CF66E3">
        <w:t>τὸ</w:t>
      </w:r>
      <w:r w:rsidRPr="00CF66E3">
        <w:rPr>
          <w:rtl/>
        </w:rPr>
        <w:t xml:space="preserve"> </w:t>
      </w:r>
      <w:r w:rsidRPr="00CF66E3">
        <w:t>ὑπὸ</w:t>
      </w:r>
      <w:r w:rsidRPr="00A74F01">
        <w:rPr>
          <w:lang w:val="en-US"/>
        </w:rPr>
        <w:t xml:space="preserve"> </w:t>
      </w:r>
      <w:r w:rsidRPr="00757FC7">
        <w:t xml:space="preserve">Παύλου κηρυσσόμενον ἐναγγέλιον ἐν βιβλίῳ κατέθετο. Voyez nos commentaires sur S. Marc, pp. 4-5, 11-12, et sur S. Luc, p. </w:t>
      </w:r>
      <w:r>
        <w:t>9-11</w:t>
      </w:r>
      <w:r w:rsidRPr="00757FC7">
        <w:t>.</w:t>
      </w:r>
    </w:p>
  </w:footnote>
  <w:footnote w:id="110">
    <w:p w:rsidR="00941AA6" w:rsidRPr="00933C60" w:rsidRDefault="00941AA6">
      <w:pPr>
        <w:pStyle w:val="Notedebasdepage"/>
      </w:pPr>
      <w:r w:rsidRPr="00C406FF">
        <w:rPr>
          <w:rStyle w:val="Appelnotedebasdep"/>
        </w:rPr>
        <w:footnoteRef/>
      </w:r>
      <w:r w:rsidRPr="00A74F01">
        <w:rPr>
          <w:rStyle w:val="italicus"/>
          <w:lang w:val="en-US"/>
        </w:rPr>
        <w:t xml:space="preserve"> Adv. Hær., </w:t>
      </w:r>
      <w:r w:rsidRPr="00C8701B">
        <w:rPr>
          <w:rFonts w:eastAsia="Arial Unicode MS"/>
          <w:bCs/>
          <w:lang w:val="en-US" w:eastAsia="fr-FR" w:bidi="he-IL"/>
        </w:rPr>
        <w:t>III</w:t>
      </w:r>
      <w:r>
        <w:rPr>
          <w:rFonts w:eastAsia="Arial Unicode MS"/>
          <w:bCs/>
          <w:lang w:val="en-US" w:eastAsia="fr-FR" w:bidi="he-IL"/>
        </w:rPr>
        <w:t xml:space="preserve">, </w:t>
      </w:r>
      <w:r w:rsidRPr="00C8701B">
        <w:rPr>
          <w:rFonts w:eastAsia="Arial Unicode MS"/>
          <w:bCs/>
          <w:lang w:val="en-US" w:eastAsia="fr-FR" w:bidi="he-IL"/>
        </w:rPr>
        <w:t>1. Cf.</w:t>
      </w:r>
      <w:r>
        <w:rPr>
          <w:rFonts w:eastAsia="Arial Unicode MS"/>
          <w:bCs/>
          <w:lang w:val="en-US" w:eastAsia="fr-FR" w:bidi="he-IL"/>
        </w:rPr>
        <w:t xml:space="preserve"> </w:t>
      </w:r>
      <w:r w:rsidRPr="00C8701B">
        <w:rPr>
          <w:rFonts w:eastAsia="Arial Unicode MS"/>
          <w:bCs/>
          <w:lang w:val="en-US" w:eastAsia="fr-FR" w:bidi="he-IL"/>
        </w:rPr>
        <w:t>Euseb.</w:t>
      </w:r>
      <w:r>
        <w:rPr>
          <w:rFonts w:eastAsia="Arial Unicode MS"/>
          <w:bCs/>
          <w:lang w:val="en-US" w:eastAsia="fr-FR" w:bidi="he-IL"/>
        </w:rPr>
        <w:t xml:space="preserve">, </w:t>
      </w:r>
      <w:r w:rsidRPr="00A74F01">
        <w:rPr>
          <w:rStyle w:val="italicus"/>
          <w:lang w:val="en-US"/>
        </w:rPr>
        <w:t>Hist. eccl.,</w:t>
      </w:r>
      <w:r>
        <w:rPr>
          <w:rStyle w:val="italicus"/>
          <w:lang w:val="en-US"/>
        </w:rPr>
        <w:t xml:space="preserve"> III,</w:t>
      </w:r>
      <w:r>
        <w:rPr>
          <w:rFonts w:eastAsia="Arial Unicode MS"/>
          <w:bCs/>
          <w:lang w:val="en-US" w:eastAsia="fr-FR" w:bidi="he-IL"/>
        </w:rPr>
        <w:t xml:space="preserve"> </w:t>
      </w:r>
      <w:r w:rsidRPr="00C8701B">
        <w:rPr>
          <w:rFonts w:eastAsia="Arial Unicode MS"/>
          <w:bCs/>
          <w:lang w:val="en-US" w:eastAsia="fr-FR" w:bidi="he-IL"/>
        </w:rPr>
        <w:t>24</w:t>
      </w:r>
      <w:r>
        <w:rPr>
          <w:rFonts w:eastAsia="Arial Unicode MS"/>
          <w:bCs/>
          <w:lang w:val="en-US" w:eastAsia="fr-FR" w:bidi="he-IL"/>
        </w:rPr>
        <w:t xml:space="preserve">, </w:t>
      </w:r>
      <w:r w:rsidRPr="00C8701B">
        <w:rPr>
          <w:rFonts w:eastAsia="Arial Unicode MS"/>
          <w:bCs/>
          <w:lang w:val="en-US" w:eastAsia="fr-FR" w:bidi="he-IL"/>
        </w:rPr>
        <w:t xml:space="preserve">6. </w:t>
      </w:r>
      <w:r w:rsidRPr="00C8701B">
        <w:rPr>
          <w:rFonts w:eastAsia="Arial Unicode MS"/>
          <w:bCs/>
          <w:lang w:eastAsia="fr-FR" w:bidi="he-IL"/>
        </w:rPr>
        <w:t>Sur l</w:t>
      </w:r>
      <w:r>
        <w:rPr>
          <w:rFonts w:eastAsia="Arial Unicode MS"/>
          <w:bCs/>
          <w:lang w:eastAsia="fr-FR" w:bidi="he-IL"/>
        </w:rPr>
        <w:t>es rapports exacts de cette préd</w:t>
      </w:r>
      <w:r w:rsidRPr="00C8701B">
        <w:rPr>
          <w:rFonts w:eastAsia="Arial Unicode MS"/>
          <w:bCs/>
          <w:lang w:eastAsia="fr-FR" w:bidi="he-IL"/>
        </w:rPr>
        <w:t>ication ou de</w:t>
      </w:r>
      <w:r>
        <w:rPr>
          <w:rFonts w:eastAsia="Arial Unicode MS"/>
          <w:bCs/>
          <w:lang w:eastAsia="fr-FR" w:bidi="he-IL"/>
        </w:rPr>
        <w:t xml:space="preserve"> l’</w:t>
      </w:r>
      <w:r w:rsidRPr="00C8701B">
        <w:rPr>
          <w:rFonts w:eastAsia="Arial Unicode MS"/>
          <w:bCs/>
          <w:lang w:eastAsia="fr-FR" w:bidi="he-IL"/>
        </w:rPr>
        <w:t>évangile</w:t>
      </w:r>
      <w:r w:rsidRPr="00DC4586">
        <w:rPr>
          <w:rStyle w:val="italicus"/>
        </w:rPr>
        <w:t xml:space="preserve"> oral</w:t>
      </w:r>
      <w:r>
        <w:rPr>
          <w:rStyle w:val="italicus"/>
        </w:rPr>
        <w:t xml:space="preserve">, </w:t>
      </w:r>
      <w:r w:rsidRPr="00C8701B">
        <w:rPr>
          <w:rFonts w:eastAsia="Arial Unicode MS"/>
          <w:bCs/>
          <w:lang w:eastAsia="fr-FR" w:bidi="he-IL"/>
        </w:rPr>
        <w:t>avec l</w:t>
      </w:r>
      <w:r>
        <w:rPr>
          <w:rFonts w:eastAsia="Arial Unicode MS"/>
          <w:bCs/>
          <w:lang w:eastAsia="fr-FR" w:bidi="he-IL"/>
        </w:rPr>
        <w:t>’</w:t>
      </w:r>
      <w:r w:rsidRPr="00C8701B">
        <w:rPr>
          <w:rFonts w:eastAsia="Arial Unicode MS"/>
          <w:bCs/>
          <w:lang w:eastAsia="fr-FR" w:bidi="he-IL"/>
        </w:rPr>
        <w:t>évangile écrit</w:t>
      </w:r>
      <w:r>
        <w:rPr>
          <w:rFonts w:eastAsia="Arial Unicode MS"/>
          <w:bCs/>
          <w:lang w:eastAsia="fr-FR" w:bidi="he-IL"/>
        </w:rPr>
        <w:t xml:space="preserve">, </w:t>
      </w:r>
      <w:r w:rsidRPr="00C8701B">
        <w:rPr>
          <w:rFonts w:eastAsia="Arial Unicode MS"/>
          <w:bCs/>
          <w:lang w:eastAsia="fr-FR" w:bidi="he-IL"/>
        </w:rPr>
        <w:t>voyez le § VII.</w:t>
      </w:r>
    </w:p>
  </w:footnote>
  <w:footnote w:id="111">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Danko</w:t>
      </w:r>
      <w:r>
        <w:rPr>
          <w:rFonts w:eastAsia="Arial Unicode MS"/>
          <w:bCs/>
          <w:lang w:eastAsia="fr-FR" w:bidi="he-IL"/>
        </w:rPr>
        <w:t xml:space="preserve">, </w:t>
      </w:r>
      <w:r>
        <w:rPr>
          <w:rStyle w:val="italicus"/>
        </w:rPr>
        <w:t>Histó</w:t>
      </w:r>
      <w:r w:rsidRPr="00DC4586">
        <w:rPr>
          <w:rStyle w:val="italicus"/>
        </w:rPr>
        <w:t>ria revelat</w:t>
      </w:r>
      <w:r>
        <w:rPr>
          <w:rStyle w:val="italicus"/>
        </w:rPr>
        <w:t>iónis</w:t>
      </w:r>
      <w:r w:rsidRPr="00DC4586">
        <w:rPr>
          <w:rStyle w:val="italicus"/>
        </w:rPr>
        <w:t xml:space="preserve"> Novi Testaménti</w:t>
      </w:r>
      <w:r>
        <w:rPr>
          <w:rStyle w:val="italicus"/>
        </w:rPr>
        <w:t xml:space="preserve">, </w:t>
      </w:r>
      <w:r w:rsidRPr="00C8701B">
        <w:rPr>
          <w:rFonts w:eastAsia="Arial Unicode MS"/>
          <w:bCs/>
          <w:lang w:eastAsia="fr-FR" w:bidi="he-IL"/>
        </w:rPr>
        <w:t xml:space="preserve">p. </w:t>
      </w:r>
      <w:r>
        <w:rPr>
          <w:rFonts w:eastAsia="Arial Unicode MS"/>
          <w:bCs/>
          <w:lang w:eastAsia="fr-FR" w:bidi="he-IL"/>
        </w:rPr>
        <w:t>XIX</w:t>
      </w:r>
      <w:r w:rsidRPr="00C8701B">
        <w:rPr>
          <w:rFonts w:eastAsia="Arial Unicode MS"/>
          <w:bCs/>
          <w:lang w:eastAsia="fr-FR" w:bidi="he-IL"/>
        </w:rPr>
        <w:t xml:space="preserve"> et ss. </w:t>
      </w:r>
      <w:r>
        <w:rPr>
          <w:rFonts w:eastAsia="Arial Unicode MS"/>
          <w:bCs/>
          <w:lang w:eastAsia="fr-FR" w:bidi="he-IL"/>
        </w:rPr>
        <w:t xml:space="preserve">; </w:t>
      </w:r>
      <w:r w:rsidRPr="00C8701B">
        <w:rPr>
          <w:rFonts w:eastAsia="Arial Unicode MS"/>
          <w:bCs/>
          <w:lang w:eastAsia="fr-FR" w:bidi="he-IL"/>
        </w:rPr>
        <w:t>Cornely</w:t>
      </w:r>
      <w:r>
        <w:rPr>
          <w:rFonts w:eastAsia="Arial Unicode MS"/>
          <w:bCs/>
          <w:lang w:eastAsia="fr-FR" w:bidi="he-IL"/>
        </w:rPr>
        <w:t xml:space="preserve">., </w:t>
      </w:r>
      <w:r w:rsidRPr="00DC4586">
        <w:rPr>
          <w:rStyle w:val="italicus"/>
        </w:rPr>
        <w:t>Histórica</w:t>
      </w:r>
      <w:r>
        <w:rPr>
          <w:rStyle w:val="italicus"/>
        </w:rPr>
        <w:t xml:space="preserve"> et crí</w:t>
      </w:r>
      <w:r w:rsidRPr="00DC4586">
        <w:rPr>
          <w:rStyle w:val="italicus"/>
        </w:rPr>
        <w:t>tica introdúctio in utri</w:t>
      </w:r>
      <w:r>
        <w:rPr>
          <w:rStyle w:val="italicus"/>
        </w:rPr>
        <w:t>ú</w:t>
      </w:r>
      <w:r w:rsidRPr="00DC4586">
        <w:rPr>
          <w:rStyle w:val="italicus"/>
        </w:rPr>
        <w:t>sque Testaménti libros sacros</w:t>
      </w:r>
      <w:r>
        <w:rPr>
          <w:rStyle w:val="italicus"/>
        </w:rPr>
        <w:t xml:space="preserve">, </w:t>
      </w:r>
      <w:r w:rsidRPr="00C8701B">
        <w:rPr>
          <w:rFonts w:eastAsia="Arial Unicode MS"/>
          <w:bCs/>
          <w:lang w:eastAsia="fr-FR" w:bidi="he-IL"/>
        </w:rPr>
        <w:t>t. III</w:t>
      </w:r>
      <w:r>
        <w:rPr>
          <w:rFonts w:eastAsia="Arial Unicode MS"/>
          <w:bCs/>
          <w:lang w:eastAsia="fr-FR" w:bidi="he-IL"/>
        </w:rPr>
        <w:t xml:space="preserve">, </w:t>
      </w:r>
      <w:r w:rsidRPr="00C8701B">
        <w:rPr>
          <w:rFonts w:eastAsia="Arial Unicode MS"/>
          <w:bCs/>
          <w:lang w:eastAsia="fr-FR" w:bidi="he-IL"/>
        </w:rPr>
        <w:t>p. 278-281</w:t>
      </w:r>
      <w:r>
        <w:rPr>
          <w:rFonts w:eastAsia="Arial Unicode MS"/>
          <w:bCs/>
          <w:lang w:eastAsia="fr-FR" w:bidi="he-IL"/>
        </w:rPr>
        <w:t xml:space="preserve">, </w:t>
      </w:r>
      <w:r w:rsidRPr="00C8701B">
        <w:rPr>
          <w:rFonts w:eastAsia="Arial Unicode MS"/>
          <w:bCs/>
          <w:lang w:eastAsia="fr-FR" w:bidi="he-IL"/>
        </w:rPr>
        <w:t>et notre</w:t>
      </w:r>
      <w:r w:rsidRPr="00DC4586">
        <w:rPr>
          <w:rStyle w:val="italicus"/>
        </w:rPr>
        <w:t xml:space="preserve"> Synopsis evangélica</w:t>
      </w:r>
      <w:r>
        <w:rPr>
          <w:rStyle w:val="italicus"/>
        </w:rPr>
        <w:t xml:space="preserve">, </w:t>
      </w:r>
      <w:r w:rsidRPr="00DC4586">
        <w:rPr>
          <w:rStyle w:val="italicus"/>
        </w:rPr>
        <w:t xml:space="preserve">seu </w:t>
      </w:r>
      <w:r>
        <w:rPr>
          <w:rStyle w:val="italicus"/>
        </w:rPr>
        <w:t>quátuor</w:t>
      </w:r>
      <w:r w:rsidRPr="00DC4586">
        <w:rPr>
          <w:rStyle w:val="italicus"/>
        </w:rPr>
        <w:t xml:space="preserve"> sancta Jesu Christi evangélia sec</w:t>
      </w:r>
      <w:r>
        <w:rPr>
          <w:rStyle w:val="italicus"/>
        </w:rPr>
        <w:t>ú</w:t>
      </w:r>
      <w:r w:rsidRPr="00DC4586">
        <w:rPr>
          <w:rStyle w:val="italicus"/>
        </w:rPr>
        <w:t>ndum Vulgátam edit</w:t>
      </w:r>
      <w:r>
        <w:rPr>
          <w:rStyle w:val="italicus"/>
        </w:rPr>
        <w:t>iónem</w:t>
      </w:r>
      <w:r w:rsidRPr="00DC4586">
        <w:rPr>
          <w:rStyle w:val="italicus"/>
        </w:rPr>
        <w:t xml:space="preserve"> órdine</w:t>
      </w:r>
      <w:r>
        <w:rPr>
          <w:rStyle w:val="italicus"/>
        </w:rPr>
        <w:t xml:space="preserve"> chronológico in harmóniam concinná</w:t>
      </w:r>
      <w:r w:rsidRPr="00DC4586">
        <w:rPr>
          <w:rStyle w:val="italicus"/>
        </w:rPr>
        <w:t>ta</w:t>
      </w:r>
      <w:r>
        <w:rPr>
          <w:rStyle w:val="italicus"/>
        </w:rPr>
        <w:t xml:space="preserve">, </w:t>
      </w:r>
      <w:r w:rsidRPr="00C8701B">
        <w:rPr>
          <w:rFonts w:eastAsia="Arial Unicode MS"/>
          <w:bCs/>
          <w:lang w:eastAsia="fr-FR" w:bidi="he-IL"/>
        </w:rPr>
        <w:t>Paris 1882.</w:t>
      </w:r>
    </w:p>
  </w:footnote>
  <w:footnote w:id="112">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La Vie de N.-S. Jésus-Christ</w:t>
      </w:r>
      <w:r>
        <w:rPr>
          <w:rStyle w:val="italicus"/>
        </w:rPr>
        <w:t xml:space="preserve">, </w:t>
      </w:r>
      <w:r w:rsidRPr="00C8701B">
        <w:rPr>
          <w:rFonts w:eastAsia="Arial Unicode MS"/>
          <w:bCs/>
          <w:lang w:eastAsia="fr-FR" w:bidi="he-IL"/>
        </w:rPr>
        <w:t>Paris 1882 (2</w:t>
      </w:r>
      <w:r>
        <w:rPr>
          <w:rFonts w:eastAsia="Arial Unicode MS"/>
          <w:bCs/>
          <w:lang w:eastAsia="fr-FR" w:bidi="he-IL"/>
        </w:rPr>
        <w:t>e</w:t>
      </w:r>
      <w:r w:rsidRPr="00C8701B">
        <w:rPr>
          <w:rFonts w:eastAsia="Arial Unicode MS"/>
          <w:bCs/>
          <w:lang w:eastAsia="fr-FR" w:bidi="he-IL"/>
        </w:rPr>
        <w:t xml:space="preserve"> édit.). Les titres mis entre parenthèses sont ceux des chapitres.</w:t>
      </w:r>
    </w:p>
  </w:footnote>
  <w:footnote w:id="113">
    <w:p w:rsidR="00941AA6" w:rsidRPr="00CA121C" w:rsidRDefault="00941AA6">
      <w:pPr>
        <w:pStyle w:val="Notedebasdepage"/>
        <w:rPr>
          <w:lang w:val="en-GB"/>
        </w:rPr>
      </w:pPr>
      <w:r>
        <w:rPr>
          <w:rStyle w:val="Appelnotedebasdep"/>
        </w:rPr>
        <w:footnoteRef/>
      </w:r>
      <w:r w:rsidRPr="00CA121C">
        <w:rPr>
          <w:lang w:val="en-GB" w:eastAsia="fr-FR" w:bidi="he-IL"/>
        </w:rPr>
        <w:t xml:space="preserve"> </w:t>
      </w:r>
      <w:r w:rsidRPr="00CA121C">
        <w:rPr>
          <w:rStyle w:val="italicus"/>
          <w:lang w:val="en-GB"/>
        </w:rPr>
        <w:t>Das Leben Jesu</w:t>
      </w:r>
      <w:r w:rsidRPr="00CA121C">
        <w:rPr>
          <w:bCs/>
          <w:lang w:val="en-GB" w:eastAsia="fr-FR" w:bidi="he-IL"/>
        </w:rPr>
        <w:t>, Berlin 1882.</w:t>
      </w:r>
    </w:p>
  </w:footnote>
  <w:footnote w:id="114">
    <w:p w:rsidR="00941AA6" w:rsidRPr="00CA121C" w:rsidRDefault="00941AA6" w:rsidP="00CA121C">
      <w:pPr>
        <w:pStyle w:val="Notedebasdepage"/>
        <w:rPr>
          <w:lang w:val="en-GB"/>
        </w:rPr>
      </w:pPr>
      <w:r w:rsidRPr="00C406FF">
        <w:rPr>
          <w:rStyle w:val="Appelnotedebasdep"/>
        </w:rPr>
        <w:footnoteRef/>
      </w:r>
      <w:r w:rsidRPr="00C8701B">
        <w:rPr>
          <w:lang w:val="en-US" w:eastAsia="fr-FR" w:bidi="he-IL"/>
        </w:rPr>
        <w:t xml:space="preserve"> </w:t>
      </w:r>
      <w:r w:rsidRPr="00A74F01">
        <w:rPr>
          <w:rStyle w:val="italicus"/>
          <w:lang w:val="en-US"/>
        </w:rPr>
        <w:t xml:space="preserve">The Life and Times of Jesus the Messiah, </w:t>
      </w:r>
      <w:r w:rsidRPr="00A74F01">
        <w:rPr>
          <w:lang w:val="en-US"/>
        </w:rPr>
        <w:t>Londres, 1883.</w:t>
      </w:r>
    </w:p>
  </w:footnote>
  <w:footnote w:id="115">
    <w:p w:rsidR="00941AA6" w:rsidRPr="00B907E8" w:rsidRDefault="00941AA6" w:rsidP="00CA121C">
      <w:pPr>
        <w:pStyle w:val="Notedebasdepage"/>
      </w:pPr>
      <w:r w:rsidRPr="00C406FF">
        <w:rPr>
          <w:rStyle w:val="Appelnotedebasdep"/>
        </w:rPr>
        <w:footnoteRef/>
      </w:r>
      <w:r w:rsidRPr="00C8701B">
        <w:rPr>
          <w:lang w:bidi="he-IL"/>
        </w:rPr>
        <w:t xml:space="preserve"> Nouvelle édition</w:t>
      </w:r>
      <w:r>
        <w:rPr>
          <w:lang w:bidi="he-IL"/>
        </w:rPr>
        <w:t xml:space="preserve">, </w:t>
      </w:r>
      <w:r w:rsidRPr="00C8701B">
        <w:rPr>
          <w:lang w:bidi="he-IL"/>
        </w:rPr>
        <w:t>Paris</w:t>
      </w:r>
      <w:r>
        <w:rPr>
          <w:lang w:bidi="he-IL"/>
        </w:rPr>
        <w:t xml:space="preserve">, </w:t>
      </w:r>
      <w:r w:rsidRPr="00C8701B">
        <w:rPr>
          <w:lang w:bidi="he-IL"/>
        </w:rPr>
        <w:t>1887.</w:t>
      </w:r>
    </w:p>
  </w:footnote>
  <w:footnote w:id="116">
    <w:p w:rsidR="00941AA6" w:rsidRPr="00B907E8" w:rsidRDefault="00941AA6">
      <w:pPr>
        <w:pStyle w:val="Notedebasdepage"/>
      </w:pPr>
      <w:r>
        <w:rPr>
          <w:rStyle w:val="Appelnotedebasdep"/>
        </w:rPr>
        <w:footnoteRef/>
      </w:r>
      <w:r>
        <w:rPr>
          <w:lang w:eastAsia="fr-FR" w:bidi="he-IL"/>
        </w:rPr>
        <w:t xml:space="preserve"> Si nous nous sommes arrêt</w:t>
      </w:r>
      <w:r w:rsidRPr="00C8701B">
        <w:rPr>
          <w:lang w:eastAsia="fr-FR" w:bidi="he-IL"/>
        </w:rPr>
        <w:t>é assez longuement sur ce sujet</w:t>
      </w:r>
      <w:r>
        <w:rPr>
          <w:lang w:eastAsia="fr-FR" w:bidi="he-IL"/>
        </w:rPr>
        <w:t xml:space="preserve">, </w:t>
      </w:r>
      <w:r w:rsidRPr="00C8701B">
        <w:rPr>
          <w:lang w:eastAsia="fr-FR" w:bidi="he-IL"/>
        </w:rPr>
        <w:t>c</w:t>
      </w:r>
      <w:r>
        <w:rPr>
          <w:lang w:eastAsia="fr-FR" w:bidi="he-IL"/>
        </w:rPr>
        <w:t>’</w:t>
      </w:r>
      <w:r w:rsidRPr="00C8701B">
        <w:rPr>
          <w:lang w:eastAsia="fr-FR" w:bidi="he-IL"/>
        </w:rPr>
        <w:t>est que nous avons été à même de voir</w:t>
      </w:r>
      <w:r>
        <w:rPr>
          <w:lang w:eastAsia="fr-FR" w:bidi="he-IL"/>
        </w:rPr>
        <w:t xml:space="preserve">, </w:t>
      </w:r>
      <w:r w:rsidRPr="00C8701B">
        <w:rPr>
          <w:lang w:eastAsia="fr-FR" w:bidi="he-IL"/>
        </w:rPr>
        <w:t>par une fréquente expérience</w:t>
      </w:r>
      <w:r>
        <w:rPr>
          <w:lang w:eastAsia="fr-FR" w:bidi="he-IL"/>
        </w:rPr>
        <w:t xml:space="preserve">, </w:t>
      </w:r>
      <w:r w:rsidRPr="00C8701B">
        <w:rPr>
          <w:lang w:eastAsia="fr-FR" w:bidi="he-IL"/>
        </w:rPr>
        <w:t>combien il présente d</w:t>
      </w:r>
      <w:r>
        <w:rPr>
          <w:lang w:eastAsia="fr-FR" w:bidi="he-IL"/>
        </w:rPr>
        <w:t>’</w:t>
      </w:r>
      <w:r w:rsidRPr="00C8701B">
        <w:rPr>
          <w:lang w:eastAsia="fr-FR" w:bidi="he-IL"/>
        </w:rPr>
        <w:t>utilité</w:t>
      </w:r>
      <w:r>
        <w:rPr>
          <w:lang w:eastAsia="fr-FR" w:bidi="he-IL"/>
        </w:rPr>
        <w:t xml:space="preserve">, </w:t>
      </w:r>
      <w:r w:rsidRPr="00C8701B">
        <w:rPr>
          <w:lang w:eastAsia="fr-FR" w:bidi="he-IL"/>
        </w:rPr>
        <w:t>soit en fournissant des plans aux prédicateurs</w:t>
      </w:r>
      <w:r>
        <w:rPr>
          <w:lang w:eastAsia="fr-FR" w:bidi="he-IL"/>
        </w:rPr>
        <w:t xml:space="preserve">, </w:t>
      </w:r>
      <w:r w:rsidRPr="00C8701B">
        <w:rPr>
          <w:lang w:eastAsia="fr-FR" w:bidi="he-IL"/>
        </w:rPr>
        <w:t>soit en facilitant</w:t>
      </w:r>
      <w:r>
        <w:rPr>
          <w:lang w:eastAsia="fr-FR" w:bidi="he-IL"/>
        </w:rPr>
        <w:t xml:space="preserve">, </w:t>
      </w:r>
      <w:r w:rsidRPr="00C8701B">
        <w:rPr>
          <w:lang w:eastAsia="fr-FR" w:bidi="he-IL"/>
        </w:rPr>
        <w:t>en jalonnant pour ainsi dire</w:t>
      </w:r>
      <w:r>
        <w:rPr>
          <w:lang w:eastAsia="fr-FR" w:bidi="he-IL"/>
        </w:rPr>
        <w:t>, la lecture de</w:t>
      </w:r>
      <w:r w:rsidRPr="00C8701B">
        <w:rPr>
          <w:lang w:eastAsia="fr-FR" w:bidi="he-IL"/>
        </w:rPr>
        <w:t>s saints-</w:t>
      </w:r>
      <w:r>
        <w:rPr>
          <w:lang w:eastAsia="fr-FR" w:bidi="he-IL"/>
        </w:rPr>
        <w:t>Évangile</w:t>
      </w:r>
      <w:r w:rsidRPr="00C8701B">
        <w:rPr>
          <w:lang w:eastAsia="fr-FR" w:bidi="he-IL"/>
        </w:rPr>
        <w:t>s. Nos élèves ont toujours beaucoup goûté ces sommaires.</w:t>
      </w:r>
    </w:p>
  </w:footnote>
  <w:footnote w:id="117">
    <w:p w:rsidR="00941AA6" w:rsidRPr="00B907E8" w:rsidRDefault="00941AA6" w:rsidP="00B907E8">
      <w:pPr>
        <w:pStyle w:val="Notedebasdepage"/>
      </w:pPr>
      <w:r w:rsidRPr="00C406FF">
        <w:rPr>
          <w:rStyle w:val="Appelnotedebasdep"/>
        </w:rPr>
        <w:footnoteRef/>
      </w:r>
      <w:r w:rsidRPr="00C8701B">
        <w:rPr>
          <w:lang w:eastAsia="fr-FR" w:bidi="he-IL"/>
        </w:rPr>
        <w:t xml:space="preserve"> Voyez notre</w:t>
      </w:r>
      <w:r w:rsidRPr="00DC4586">
        <w:rPr>
          <w:rStyle w:val="italicus"/>
        </w:rPr>
        <w:t xml:space="preserve"> Synopsis evangélica</w:t>
      </w:r>
      <w:r>
        <w:rPr>
          <w:rStyle w:val="italicus"/>
        </w:rPr>
        <w:t xml:space="preserve">, </w:t>
      </w:r>
      <w:r w:rsidRPr="00C8701B">
        <w:rPr>
          <w:lang w:eastAsia="fr-FR" w:bidi="he-IL"/>
        </w:rPr>
        <w:t>p. 3-8</w:t>
      </w:r>
      <w:r>
        <w:rPr>
          <w:lang w:eastAsia="fr-FR" w:bidi="he-IL"/>
        </w:rPr>
        <w:t>.</w:t>
      </w:r>
    </w:p>
  </w:footnote>
  <w:footnote w:id="118">
    <w:p w:rsidR="00941AA6" w:rsidRPr="00B907E8" w:rsidRDefault="00941AA6">
      <w:pPr>
        <w:pStyle w:val="Notedebasdepage"/>
      </w:pPr>
      <w:r w:rsidRPr="00C406FF">
        <w:rPr>
          <w:rStyle w:val="Appelnotedebasdep"/>
        </w:rPr>
        <w:footnoteRef/>
      </w:r>
      <w:r w:rsidRPr="00C8701B">
        <w:rPr>
          <w:lang w:eastAsia="fr-FR" w:bidi="he-IL"/>
        </w:rPr>
        <w:t xml:space="preserve"> Voyez le § VIII</w:t>
      </w:r>
      <w:r w:rsidR="001A4F8D">
        <w:rPr>
          <w:lang w:eastAsia="fr-FR" w:bidi="he-IL"/>
        </w:rPr>
        <w:t>, p. </w:t>
      </w:r>
      <w:r w:rsidR="00691E6B">
        <w:rPr>
          <w:lang w:eastAsia="fr-FR" w:bidi="he-IL"/>
        </w:rPr>
        <w:fldChar w:fldCharType="begin"/>
      </w:r>
      <w:r w:rsidR="001A4F8D">
        <w:rPr>
          <w:lang w:eastAsia="fr-FR" w:bidi="he-IL"/>
        </w:rPr>
        <w:instrText xml:space="preserve"> PAGEREF evin08 \h </w:instrText>
      </w:r>
      <w:r w:rsidR="00691E6B">
        <w:rPr>
          <w:lang w:eastAsia="fr-FR" w:bidi="he-IL"/>
        </w:rPr>
      </w:r>
      <w:r w:rsidR="00691E6B">
        <w:rPr>
          <w:lang w:eastAsia="fr-FR" w:bidi="he-IL"/>
        </w:rPr>
        <w:fldChar w:fldCharType="separate"/>
      </w:r>
      <w:r w:rsidR="00635395">
        <w:rPr>
          <w:noProof/>
          <w:lang w:eastAsia="fr-FR" w:bidi="he-IL"/>
        </w:rPr>
        <w:t>49</w:t>
      </w:r>
      <w:r w:rsidR="00691E6B">
        <w:rPr>
          <w:lang w:eastAsia="fr-FR" w:bidi="he-IL"/>
        </w:rPr>
        <w:fldChar w:fldCharType="end"/>
      </w:r>
      <w:r w:rsidRPr="00C8701B">
        <w:rPr>
          <w:lang w:eastAsia="fr-FR" w:bidi="he-IL"/>
        </w:rPr>
        <w:t>.</w:t>
      </w:r>
    </w:p>
  </w:footnote>
  <w:footnote w:id="119">
    <w:p w:rsidR="00941AA6" w:rsidRPr="00B907E8"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notre</w:t>
      </w:r>
      <w:r w:rsidRPr="00DC4586">
        <w:rPr>
          <w:rStyle w:val="italicus"/>
        </w:rPr>
        <w:t xml:space="preserve"> Synopsis e</w:t>
      </w:r>
      <w:r>
        <w:rPr>
          <w:rStyle w:val="italicus"/>
        </w:rPr>
        <w:t>vangélica</w:t>
      </w:r>
      <w:r w:rsidRPr="00DC4586">
        <w:rPr>
          <w:rStyle w:val="italicus"/>
        </w:rPr>
        <w:t>.</w:t>
      </w:r>
      <w:r w:rsidRPr="00C8701B">
        <w:rPr>
          <w:rFonts w:eastAsia="Arial Unicode MS"/>
          <w:bCs/>
          <w:lang w:eastAsia="fr-FR" w:bidi="he-IL"/>
        </w:rPr>
        <w:t xml:space="preserve"> p. 9-13.</w:t>
      </w:r>
    </w:p>
  </w:footnote>
  <w:footnote w:id="120">
    <w:p w:rsidR="00941AA6" w:rsidRPr="00B907E8" w:rsidRDefault="00941AA6">
      <w:pPr>
        <w:pStyle w:val="Notedebasdepage"/>
        <w:rPr>
          <w:lang w:val="en-GB"/>
        </w:rPr>
      </w:pPr>
      <w:r w:rsidRPr="00C406FF">
        <w:rPr>
          <w:rStyle w:val="Appelnotedebasdep"/>
        </w:rPr>
        <w:footnoteRef/>
      </w:r>
      <w:r>
        <w:rPr>
          <w:rFonts w:eastAsia="Arial Unicode MS"/>
          <w:lang w:val="en-US" w:eastAsia="fr-FR" w:bidi="he-IL"/>
        </w:rPr>
        <w:t xml:space="preserve"> </w:t>
      </w:r>
      <w:r w:rsidRPr="00A74F01">
        <w:rPr>
          <w:rStyle w:val="italicus"/>
          <w:lang w:val="en-US"/>
        </w:rPr>
        <w:t xml:space="preserve">Ibid., </w:t>
      </w:r>
      <w:r w:rsidRPr="00C8701B">
        <w:rPr>
          <w:rFonts w:eastAsia="Arial Unicode MS"/>
          <w:bCs/>
          <w:lang w:val="en-US" w:eastAsia="fr-FR" w:bidi="he-IL"/>
        </w:rPr>
        <w:t>p. 14-23.</w:t>
      </w:r>
    </w:p>
  </w:footnote>
  <w:footnote w:id="121">
    <w:p w:rsidR="00941AA6" w:rsidRPr="00B907E8" w:rsidRDefault="00941AA6">
      <w:pPr>
        <w:pStyle w:val="Notedebasdepage"/>
        <w:rPr>
          <w:lang w:val="en-GB"/>
        </w:rPr>
      </w:pPr>
      <w:r w:rsidRPr="00C406FF">
        <w:rPr>
          <w:rStyle w:val="Appelnotedebasdep"/>
        </w:rPr>
        <w:footnoteRef/>
      </w:r>
      <w:r w:rsidRPr="00A74F01">
        <w:rPr>
          <w:rFonts w:eastAsia="Arial Unicode MS"/>
          <w:bCs/>
          <w:lang w:val="en-US" w:eastAsia="fr-FR" w:bidi="he-IL"/>
        </w:rPr>
        <w:t xml:space="preserve"> </w:t>
      </w:r>
      <w:r w:rsidRPr="00A74F01">
        <w:rPr>
          <w:rStyle w:val="italicus"/>
          <w:lang w:val="en-US"/>
        </w:rPr>
        <w:t xml:space="preserve">Ibid., </w:t>
      </w:r>
      <w:r w:rsidRPr="00C8701B">
        <w:rPr>
          <w:rFonts w:eastAsia="Arial Unicode MS"/>
          <w:bCs/>
          <w:lang w:val="en-US" w:eastAsia="fr-FR" w:bidi="he-IL"/>
        </w:rPr>
        <w:t>p. 24-55.</w:t>
      </w:r>
    </w:p>
  </w:footnote>
  <w:footnote w:id="122">
    <w:p w:rsidR="00941AA6" w:rsidRPr="00B907E8" w:rsidRDefault="00941AA6">
      <w:pPr>
        <w:pStyle w:val="Notedebasdepage"/>
        <w:rPr>
          <w:lang w:val="en-GB"/>
        </w:rPr>
      </w:pPr>
      <w:r w:rsidRPr="00C406FF">
        <w:rPr>
          <w:rStyle w:val="Appelnotedebasdep"/>
        </w:rPr>
        <w:footnoteRef/>
      </w:r>
      <w:r w:rsidRPr="00A74F01">
        <w:rPr>
          <w:rStyle w:val="italicus"/>
          <w:lang w:val="en-US"/>
        </w:rPr>
        <w:t xml:space="preserve"> Ibid., </w:t>
      </w:r>
      <w:r w:rsidRPr="00C8701B">
        <w:rPr>
          <w:rFonts w:eastAsia="Arial Unicode MS"/>
          <w:bCs/>
          <w:lang w:val="en-US" w:eastAsia="fr-FR" w:bidi="he-IL"/>
        </w:rPr>
        <w:t>p. 66-69.</w:t>
      </w:r>
    </w:p>
  </w:footnote>
  <w:footnote w:id="123">
    <w:p w:rsidR="00941AA6" w:rsidRPr="00B907E8" w:rsidRDefault="00941AA6">
      <w:pPr>
        <w:pStyle w:val="Notedebasdepage"/>
        <w:rPr>
          <w:lang w:val="en-GB"/>
        </w:rPr>
      </w:pPr>
      <w:r w:rsidRPr="00C406FF">
        <w:rPr>
          <w:rStyle w:val="Appelnotedebasdep"/>
        </w:rPr>
        <w:footnoteRef/>
      </w:r>
      <w:r w:rsidRPr="00B907E8">
        <w:rPr>
          <w:rStyle w:val="italicus"/>
          <w:lang w:val="en-GB"/>
        </w:rPr>
        <w:t xml:space="preserve"> Ibid., </w:t>
      </w:r>
      <w:r w:rsidRPr="00B907E8">
        <w:rPr>
          <w:rFonts w:eastAsia="Arial Unicode MS"/>
          <w:bCs/>
          <w:lang w:val="en-GB" w:eastAsia="fr-FR" w:bidi="he-IL"/>
        </w:rPr>
        <w:t>p. 69-87.</w:t>
      </w:r>
    </w:p>
  </w:footnote>
  <w:footnote w:id="124">
    <w:p w:rsidR="00941AA6" w:rsidRPr="00B907E8" w:rsidRDefault="00941AA6">
      <w:pPr>
        <w:pStyle w:val="Notedebasdepage"/>
        <w:rPr>
          <w:lang w:val="en-GB"/>
        </w:rPr>
      </w:pPr>
      <w:r w:rsidRPr="00C406FF">
        <w:rPr>
          <w:rStyle w:val="Appelnotedebasdep"/>
        </w:rPr>
        <w:footnoteRef/>
      </w:r>
      <w:r w:rsidRPr="00A74F01">
        <w:rPr>
          <w:rStyle w:val="italicus"/>
          <w:lang w:val="en-US"/>
        </w:rPr>
        <w:t xml:space="preserve"> Synopsis e</w:t>
      </w:r>
      <w:r>
        <w:rPr>
          <w:rStyle w:val="italicus"/>
          <w:lang w:val="en-US"/>
        </w:rPr>
        <w:t>vangélica</w:t>
      </w:r>
      <w:r w:rsidRPr="00A74F01">
        <w:rPr>
          <w:rStyle w:val="italicus"/>
          <w:lang w:val="en-US"/>
        </w:rPr>
        <w:t xml:space="preserve">, </w:t>
      </w:r>
      <w:r w:rsidRPr="00C8701B">
        <w:rPr>
          <w:lang w:val="en-US" w:eastAsia="fr-FR" w:bidi="he-IL"/>
        </w:rPr>
        <w:t>p. 88-9</w:t>
      </w:r>
      <w:r>
        <w:rPr>
          <w:lang w:val="en-US" w:eastAsia="fr-FR" w:bidi="he-IL"/>
        </w:rPr>
        <w:t>3.</w:t>
      </w:r>
    </w:p>
  </w:footnote>
  <w:footnote w:id="125">
    <w:p w:rsidR="00941AA6" w:rsidRPr="00CA121C" w:rsidRDefault="00941AA6">
      <w:pPr>
        <w:pStyle w:val="Notedebasdepage"/>
        <w:rPr>
          <w:lang w:val="de-AT"/>
        </w:rPr>
      </w:pPr>
      <w:r w:rsidRPr="00C406FF">
        <w:rPr>
          <w:rStyle w:val="Appelnotedebasdep"/>
        </w:rPr>
        <w:footnoteRef/>
      </w:r>
      <w:r w:rsidRPr="00B907E8">
        <w:rPr>
          <w:rStyle w:val="italicus"/>
          <w:lang w:val="de-AT"/>
        </w:rPr>
        <w:t xml:space="preserve"> Ibid., </w:t>
      </w:r>
      <w:r w:rsidRPr="00B907E8">
        <w:rPr>
          <w:lang w:val="de-AT" w:eastAsia="fr-FR" w:bidi="he-IL"/>
        </w:rPr>
        <w:t>p. 94-132.</w:t>
      </w:r>
    </w:p>
  </w:footnote>
  <w:footnote w:id="126">
    <w:p w:rsidR="00941AA6" w:rsidRPr="00CA121C" w:rsidRDefault="00941AA6">
      <w:pPr>
        <w:pStyle w:val="Notedebasdepage"/>
        <w:rPr>
          <w:lang w:val="de-AT"/>
        </w:rPr>
      </w:pPr>
      <w:r w:rsidRPr="00C406FF">
        <w:rPr>
          <w:rStyle w:val="Appelnotedebasdep"/>
        </w:rPr>
        <w:footnoteRef/>
      </w:r>
      <w:r w:rsidRPr="001C15F9">
        <w:rPr>
          <w:rStyle w:val="italicus"/>
        </w:rPr>
        <w:t xml:space="preserve"> Ibid., </w:t>
      </w:r>
      <w:r w:rsidRPr="001C15F9">
        <w:rPr>
          <w:lang w:eastAsia="fr-FR" w:bidi="he-IL"/>
        </w:rPr>
        <w:t>p. 132-138.</w:t>
      </w:r>
    </w:p>
  </w:footnote>
  <w:footnote w:id="127">
    <w:p w:rsidR="00941AA6" w:rsidRPr="00B907E8" w:rsidRDefault="00941AA6" w:rsidP="00B907E8">
      <w:pPr>
        <w:pStyle w:val="Notedebasdepage"/>
        <w:rPr>
          <w:lang w:val="de-AT"/>
        </w:rPr>
      </w:pPr>
      <w:r w:rsidRPr="00C406FF">
        <w:rPr>
          <w:rStyle w:val="Appelnotedebasdep"/>
        </w:rPr>
        <w:footnoteRef/>
      </w:r>
      <w:r w:rsidRPr="000819BA">
        <w:rPr>
          <w:rFonts w:eastAsia="Arial Unicode MS"/>
          <w:lang w:val="de-AT" w:eastAsia="fr-FR" w:bidi="he-IL"/>
        </w:rPr>
        <w:t xml:space="preserve"> </w:t>
      </w:r>
      <w:r w:rsidRPr="000819BA">
        <w:rPr>
          <w:rFonts w:eastAsia="Arial Unicode MS"/>
          <w:bCs/>
          <w:lang w:val="de-AT" w:eastAsia="fr-FR" w:bidi="he-IL"/>
        </w:rPr>
        <w:t xml:space="preserve">Reithmayr, </w:t>
      </w:r>
      <w:r w:rsidRPr="000819BA">
        <w:rPr>
          <w:rStyle w:val="italicus"/>
          <w:lang w:val="de-AT"/>
        </w:rPr>
        <w:t xml:space="preserve">Einleitung in die canon. Bücher des neuen Bundes, </w:t>
      </w:r>
      <w:r w:rsidRPr="000819BA">
        <w:rPr>
          <w:rFonts w:eastAsia="Arial Unicode MS"/>
          <w:bCs/>
          <w:lang w:val="de-AT" w:eastAsia="fr-FR" w:bidi="he-IL"/>
        </w:rPr>
        <w:t>p. 348 : « eine dorni</w:t>
      </w:r>
      <w:r w:rsidRPr="00B907E8">
        <w:rPr>
          <w:rFonts w:eastAsia="Arial Unicode MS"/>
          <w:bCs/>
          <w:lang w:val="de-AT" w:eastAsia="fr-FR" w:bidi="he-IL"/>
        </w:rPr>
        <w:t>ge Aufgabe ».</w:t>
      </w:r>
    </w:p>
  </w:footnote>
  <w:footnote w:id="128">
    <w:p w:rsidR="00941AA6" w:rsidRPr="00CA121C" w:rsidRDefault="00941AA6" w:rsidP="00B907E8">
      <w:pPr>
        <w:pStyle w:val="Notedebasdepage"/>
        <w:rPr>
          <w:lang w:val="de-AT"/>
        </w:rPr>
      </w:pPr>
      <w:r w:rsidRPr="00C406FF">
        <w:rPr>
          <w:rStyle w:val="Appelnotedebasdep"/>
        </w:rPr>
        <w:footnoteRef/>
      </w:r>
      <w:r w:rsidRPr="00B907E8">
        <w:rPr>
          <w:rFonts w:eastAsia="Arial Unicode MS"/>
          <w:lang w:val="de-AT" w:eastAsia="fr-FR" w:bidi="he-IL"/>
        </w:rPr>
        <w:t xml:space="preserve"> </w:t>
      </w:r>
      <w:r w:rsidRPr="00B907E8">
        <w:rPr>
          <w:rFonts w:eastAsia="Arial Unicode MS"/>
          <w:bCs/>
          <w:lang w:val="de-AT" w:eastAsia="fr-FR" w:bidi="he-IL"/>
        </w:rPr>
        <w:t xml:space="preserve">« Vix ália est quǽstio, quæ nostra hac ætáte intérpretum Novi Testaménti ingénia magis exercúerit magísque vexáverit ; Innúmera sunt systémata excogitáta..., et vix non quotánnis novum systéma vetéribus ádditur ». </w:t>
      </w:r>
      <w:r w:rsidRPr="00A74F01">
        <w:rPr>
          <w:rFonts w:eastAsia="Arial Unicode MS"/>
          <w:bCs/>
          <w:lang w:eastAsia="fr-FR" w:bidi="he-IL"/>
        </w:rPr>
        <w:t xml:space="preserve">Cornely, </w:t>
      </w:r>
      <w:r>
        <w:rPr>
          <w:rStyle w:val="italicus"/>
        </w:rPr>
        <w:t>Histórica et cr</w:t>
      </w:r>
      <w:r w:rsidRPr="00DC4586">
        <w:rPr>
          <w:rStyle w:val="italicus"/>
        </w:rPr>
        <w:t>ítica Introdúctio in utri</w:t>
      </w:r>
      <w:r>
        <w:rPr>
          <w:rStyle w:val="italicus"/>
        </w:rPr>
        <w:t>ú</w:t>
      </w:r>
      <w:r w:rsidRPr="00DC4586">
        <w:rPr>
          <w:rStyle w:val="italicus"/>
        </w:rPr>
        <w:t>sque Testaménti libros sacros</w:t>
      </w:r>
      <w:r>
        <w:rPr>
          <w:rStyle w:val="italicus"/>
        </w:rPr>
        <w:t xml:space="preserve">, </w:t>
      </w:r>
      <w:r w:rsidRPr="00A74F01">
        <w:rPr>
          <w:rFonts w:eastAsia="Arial Unicode MS"/>
          <w:bCs/>
          <w:lang w:eastAsia="fr-FR" w:bidi="he-IL"/>
        </w:rPr>
        <w:t xml:space="preserve">t. III, p. 170. </w:t>
      </w:r>
    </w:p>
  </w:footnote>
  <w:footnote w:id="129">
    <w:p w:rsidR="00941AA6" w:rsidRPr="00B907E8" w:rsidRDefault="00941AA6" w:rsidP="00B907E8">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Keim</w:t>
      </w:r>
      <w:r>
        <w:rPr>
          <w:rFonts w:eastAsia="Arial Unicode MS"/>
          <w:bCs/>
          <w:lang w:eastAsia="fr-FR" w:bidi="he-IL"/>
        </w:rPr>
        <w:t xml:space="preserve">, </w:t>
      </w:r>
      <w:r w:rsidRPr="00DC4586">
        <w:rPr>
          <w:rStyle w:val="italicus"/>
        </w:rPr>
        <w:t>Geschichte Jesu von Nazara</w:t>
      </w:r>
      <w:r>
        <w:rPr>
          <w:rFonts w:eastAsia="Arial Unicode MS"/>
          <w:bCs/>
          <w:lang w:eastAsia="fr-FR" w:bidi="he-IL"/>
        </w:rPr>
        <w:t xml:space="preserve">, </w:t>
      </w:r>
      <w:r w:rsidRPr="00C8701B">
        <w:rPr>
          <w:rFonts w:eastAsia="Arial Unicode MS"/>
          <w:bCs/>
          <w:lang w:eastAsia="fr-FR" w:bidi="he-IL"/>
        </w:rPr>
        <w:t>Zurich</w:t>
      </w:r>
      <w:r>
        <w:rPr>
          <w:rFonts w:eastAsia="Arial Unicode MS"/>
          <w:bCs/>
          <w:lang w:eastAsia="fr-FR" w:bidi="he-IL"/>
        </w:rPr>
        <w:t xml:space="preserve">, </w:t>
      </w:r>
      <w:r w:rsidRPr="00C8701B">
        <w:rPr>
          <w:rFonts w:eastAsia="Arial Unicode MS"/>
          <w:bCs/>
          <w:lang w:eastAsia="fr-FR" w:bidi="he-IL"/>
        </w:rPr>
        <w:t>1867</w:t>
      </w:r>
      <w:r>
        <w:rPr>
          <w:rFonts w:eastAsia="Arial Unicode MS"/>
          <w:bCs/>
          <w:lang w:eastAsia="fr-FR" w:bidi="he-IL"/>
        </w:rPr>
        <w:t xml:space="preserve">, t. I, </w:t>
      </w:r>
      <w:r w:rsidRPr="00C8701B">
        <w:rPr>
          <w:rFonts w:eastAsia="Arial Unicode MS"/>
          <w:bCs/>
          <w:lang w:eastAsia="fr-FR" w:bidi="he-IL"/>
        </w:rPr>
        <w:t>p. 44</w:t>
      </w:r>
      <w:r>
        <w:rPr>
          <w:rFonts w:eastAsia="Arial Unicode MS"/>
          <w:bCs/>
          <w:lang w:eastAsia="fr-FR" w:bidi="he-IL"/>
        </w:rPr>
        <w:t xml:space="preserve">, </w:t>
      </w:r>
      <w:r w:rsidRPr="00C8701B">
        <w:rPr>
          <w:rFonts w:eastAsia="Arial Unicode MS"/>
          <w:bCs/>
          <w:lang w:eastAsia="fr-FR" w:bidi="he-IL"/>
        </w:rPr>
        <w:t xml:space="preserve">dit à bon droit que « la </w:t>
      </w:r>
      <w:r>
        <w:rPr>
          <w:rFonts w:eastAsia="Arial Unicode MS"/>
          <w:bCs/>
          <w:lang w:eastAsia="fr-FR" w:bidi="he-IL"/>
        </w:rPr>
        <w:t>critique des É</w:t>
      </w:r>
      <w:r w:rsidRPr="00C8701B">
        <w:rPr>
          <w:rFonts w:eastAsia="Arial Unicode MS"/>
          <w:bCs/>
          <w:lang w:eastAsia="fr-FR" w:bidi="he-IL"/>
        </w:rPr>
        <w:t>vangiles est devenue une science à part. »</w:t>
      </w:r>
      <w:r>
        <w:rPr>
          <w:rFonts w:eastAsia="Arial Unicode MS"/>
          <w:bCs/>
          <w:lang w:eastAsia="fr-FR" w:bidi="he-IL"/>
        </w:rPr>
        <w:t xml:space="preserve"> — </w:t>
      </w:r>
      <w:r w:rsidRPr="00C8701B">
        <w:rPr>
          <w:rFonts w:eastAsia="Arial Unicode MS"/>
          <w:bCs/>
          <w:lang w:eastAsia="fr-FR" w:bidi="he-IL"/>
        </w:rPr>
        <w:t>« L</w:t>
      </w:r>
      <w:r>
        <w:rPr>
          <w:rFonts w:eastAsia="Arial Unicode MS"/>
          <w:bCs/>
          <w:lang w:eastAsia="fr-FR" w:bidi="he-IL"/>
        </w:rPr>
        <w:t>’</w:t>
      </w:r>
      <w:r w:rsidRPr="00C8701B">
        <w:rPr>
          <w:rFonts w:eastAsia="Arial Unicode MS"/>
          <w:bCs/>
          <w:lang w:eastAsia="fr-FR" w:bidi="he-IL"/>
        </w:rPr>
        <w:t>enquête qui porte sur l</w:t>
      </w:r>
      <w:r>
        <w:rPr>
          <w:rFonts w:eastAsia="Arial Unicode MS"/>
          <w:bCs/>
          <w:lang w:eastAsia="fr-FR" w:bidi="he-IL"/>
        </w:rPr>
        <w:t>’</w:t>
      </w:r>
      <w:r w:rsidRPr="00C8701B">
        <w:rPr>
          <w:rFonts w:eastAsia="Arial Unicode MS"/>
          <w:bCs/>
          <w:lang w:eastAsia="fr-FR" w:bidi="he-IL"/>
        </w:rPr>
        <w:t>origine et la dépendance mutuelle des trois premiers évangiles est aujourd</w:t>
      </w:r>
      <w:r>
        <w:rPr>
          <w:rFonts w:eastAsia="Arial Unicode MS"/>
          <w:bCs/>
          <w:lang w:eastAsia="fr-FR" w:bidi="he-IL"/>
        </w:rPr>
        <w:t>’</w:t>
      </w:r>
      <w:r w:rsidRPr="00C8701B">
        <w:rPr>
          <w:rFonts w:eastAsia="Arial Unicode MS"/>
          <w:bCs/>
          <w:lang w:eastAsia="fr-FR" w:bidi="he-IL"/>
        </w:rPr>
        <w:t>hui le plus souvent nommée :</w:t>
      </w:r>
      <w:r w:rsidRPr="00DC4586">
        <w:rPr>
          <w:rStyle w:val="italicus"/>
        </w:rPr>
        <w:t xml:space="preserve"> La question synoptique</w:t>
      </w:r>
      <w:r>
        <w:rPr>
          <w:rStyle w:val="italicus"/>
        </w:rPr>
        <w:t xml:space="preserve">, </w:t>
      </w:r>
      <w:r w:rsidRPr="00C8701B">
        <w:rPr>
          <w:rFonts w:eastAsia="Arial Unicode MS"/>
          <w:bCs/>
          <w:lang w:eastAsia="fr-FR" w:bidi="he-IL"/>
        </w:rPr>
        <w:t>ou :</w:t>
      </w:r>
      <w:r w:rsidRPr="00DC4586">
        <w:rPr>
          <w:rStyle w:val="italicus"/>
        </w:rPr>
        <w:t xml:space="preserve"> La question des Évangiles.</w:t>
      </w:r>
      <w:r w:rsidRPr="00C8701B">
        <w:rPr>
          <w:rFonts w:eastAsia="Arial Unicode MS"/>
          <w:bCs/>
          <w:lang w:eastAsia="fr-FR" w:bidi="he-IL"/>
        </w:rPr>
        <w:t xml:space="preserve"> Cette question est surtout traitée par des savants protestants </w:t>
      </w:r>
      <w:r>
        <w:rPr>
          <w:rFonts w:eastAsia="Arial Unicode MS"/>
          <w:bCs/>
          <w:lang w:eastAsia="fr-FR" w:bidi="he-IL"/>
        </w:rPr>
        <w:t xml:space="preserve">; </w:t>
      </w:r>
      <w:r w:rsidRPr="00C8701B">
        <w:rPr>
          <w:rFonts w:eastAsia="Arial Unicode MS"/>
          <w:bCs/>
          <w:lang w:eastAsia="fr-FR" w:bidi="he-IL"/>
        </w:rPr>
        <w:t>depuis Lessing</w:t>
      </w:r>
      <w:r>
        <w:rPr>
          <w:rFonts w:eastAsia="Arial Unicode MS"/>
          <w:bCs/>
          <w:lang w:eastAsia="fr-FR" w:bidi="he-IL"/>
        </w:rPr>
        <w:t xml:space="preserve">, </w:t>
      </w:r>
      <w:r w:rsidRPr="00C8701B">
        <w:rPr>
          <w:rFonts w:eastAsia="Arial Unicode MS"/>
          <w:bCs/>
          <w:lang w:eastAsia="fr-FR" w:bidi="he-IL"/>
        </w:rPr>
        <w:t>elle forme chez les protestants</w:t>
      </w:r>
      <w:r>
        <w:rPr>
          <w:rFonts w:eastAsia="Arial Unicode MS"/>
          <w:bCs/>
          <w:lang w:eastAsia="fr-FR" w:bidi="he-IL"/>
        </w:rPr>
        <w:t xml:space="preserve">, </w:t>
      </w:r>
      <w:r w:rsidRPr="00C8701B">
        <w:rPr>
          <w:rFonts w:eastAsia="Arial Unicode MS"/>
          <w:bCs/>
          <w:lang w:eastAsia="fr-FR" w:bidi="he-IL"/>
        </w:rPr>
        <w:t>au grand détriment de la science et de la foi</w:t>
      </w:r>
      <w:r>
        <w:rPr>
          <w:rFonts w:eastAsia="Arial Unicode MS"/>
          <w:bCs/>
          <w:lang w:eastAsia="fr-FR" w:bidi="he-IL"/>
        </w:rPr>
        <w:t xml:space="preserve">, </w:t>
      </w:r>
      <w:r w:rsidRPr="00C8701B">
        <w:rPr>
          <w:rFonts w:eastAsia="Arial Unicode MS"/>
          <w:bCs/>
          <w:lang w:eastAsia="fr-FR" w:bidi="he-IL"/>
        </w:rPr>
        <w:t>le point principal des études relatives au Nouveau Testament</w:t>
      </w:r>
      <w:r>
        <w:rPr>
          <w:rFonts w:eastAsia="Arial Unicode MS"/>
          <w:bCs/>
          <w:lang w:eastAsia="fr-FR" w:bidi="he-IL"/>
        </w:rPr>
        <w:t xml:space="preserve">, </w:t>
      </w:r>
      <w:r w:rsidRPr="00C8701B">
        <w:rPr>
          <w:rFonts w:eastAsia="Arial Unicode MS"/>
          <w:bCs/>
          <w:lang w:eastAsia="fr-FR" w:bidi="he-IL"/>
        </w:rPr>
        <w:t>et</w:t>
      </w:r>
      <w:r>
        <w:rPr>
          <w:rFonts w:eastAsia="Arial Unicode MS"/>
          <w:bCs/>
          <w:lang w:eastAsia="fr-FR" w:bidi="he-IL"/>
        </w:rPr>
        <w:t xml:space="preserve">, </w:t>
      </w:r>
      <w:r w:rsidRPr="00C8701B">
        <w:rPr>
          <w:rFonts w:eastAsia="Arial Unicode MS"/>
          <w:bCs/>
          <w:lang w:eastAsia="fr-FR" w:bidi="he-IL"/>
        </w:rPr>
        <w:t>spécialement durant les trente dernières années</w:t>
      </w:r>
      <w:r>
        <w:rPr>
          <w:rFonts w:eastAsia="Arial Unicode MS"/>
          <w:bCs/>
          <w:lang w:eastAsia="fr-FR" w:bidi="he-IL"/>
        </w:rPr>
        <w:t xml:space="preserve">, </w:t>
      </w:r>
      <w:r w:rsidRPr="00C8701B">
        <w:rPr>
          <w:rFonts w:eastAsia="Arial Unicode MS"/>
          <w:bCs/>
          <w:lang w:eastAsia="fr-FR" w:bidi="he-IL"/>
        </w:rPr>
        <w:t>elle a suscité une immense série (</w:t>
      </w:r>
      <w:r w:rsidRPr="00933C60">
        <w:rPr>
          <w:rStyle w:val="italicus"/>
        </w:rPr>
        <w:t>eine unübersehbare Reihe</w:t>
      </w:r>
      <w:r w:rsidRPr="00C8701B">
        <w:rPr>
          <w:rFonts w:eastAsia="Arial Unicode MS"/>
          <w:bCs/>
          <w:iCs/>
          <w:lang w:eastAsia="fr-FR" w:bidi="he-IL"/>
        </w:rPr>
        <w:t>)</w:t>
      </w:r>
      <w:r w:rsidRPr="00C8701B">
        <w:rPr>
          <w:rFonts w:eastAsia="Arial Unicode MS"/>
          <w:bCs/>
          <w:lang w:eastAsia="fr-FR" w:bidi="he-IL"/>
        </w:rPr>
        <w:t xml:space="preserve"> d</w:t>
      </w:r>
      <w:r>
        <w:rPr>
          <w:rFonts w:eastAsia="Arial Unicode MS"/>
          <w:bCs/>
          <w:lang w:eastAsia="fr-FR" w:bidi="he-IL"/>
        </w:rPr>
        <w:t>’</w:t>
      </w:r>
      <w:r w:rsidRPr="00C8701B">
        <w:rPr>
          <w:rFonts w:eastAsia="Arial Unicode MS"/>
          <w:bCs/>
          <w:lang w:eastAsia="fr-FR" w:bidi="he-IL"/>
        </w:rPr>
        <w:t xml:space="preserve">articles et de volumes. » </w:t>
      </w:r>
      <w:r w:rsidRPr="000819BA">
        <w:rPr>
          <w:rFonts w:eastAsia="Arial Unicode MS"/>
          <w:bCs/>
          <w:lang w:val="de-AT" w:eastAsia="fr-FR" w:bidi="he-IL"/>
        </w:rPr>
        <w:t xml:space="preserve">Kaulen, </w:t>
      </w:r>
      <w:r w:rsidRPr="000819BA">
        <w:rPr>
          <w:rStyle w:val="italicus"/>
          <w:lang w:val="de-AT"/>
        </w:rPr>
        <w:t xml:space="preserve">Einleitung in die à. Schrift, </w:t>
      </w:r>
      <w:r w:rsidRPr="000819BA">
        <w:rPr>
          <w:rFonts w:eastAsia="Arial Unicode MS"/>
          <w:bCs/>
          <w:lang w:val="de-AT" w:eastAsia="fr-FR" w:bidi="he-IL"/>
        </w:rPr>
        <w:t xml:space="preserve">t. II, p. 379 et suiv. Cf. Langen, </w:t>
      </w:r>
      <w:r w:rsidRPr="000819BA">
        <w:rPr>
          <w:rStyle w:val="italicus"/>
          <w:lang w:val="de-AT"/>
        </w:rPr>
        <w:t xml:space="preserve">Grundriss der Einleitung in das Neue Testament, </w:t>
      </w:r>
      <w:r w:rsidRPr="000819BA">
        <w:rPr>
          <w:rFonts w:eastAsia="Arial Unicode MS"/>
          <w:bCs/>
          <w:lang w:val="de-AT" w:eastAsia="fr-FR" w:bidi="he-IL"/>
        </w:rPr>
        <w:t>Fribourg-en-Brisgau, 1868, p. 54.</w:t>
      </w:r>
    </w:p>
  </w:footnote>
  <w:footnote w:id="130">
    <w:p w:rsidR="00941AA6" w:rsidRPr="00B907E8" w:rsidRDefault="00941AA6">
      <w:pPr>
        <w:pStyle w:val="Notedebasdepage"/>
      </w:pPr>
      <w:r w:rsidRPr="00C406FF">
        <w:rPr>
          <w:rStyle w:val="Appelnotedebasdep"/>
        </w:rPr>
        <w:footnoteRef/>
      </w:r>
      <w:r w:rsidRPr="00C8701B">
        <w:rPr>
          <w:lang w:eastAsia="fr-FR" w:bidi="he-IL"/>
        </w:rPr>
        <w:t xml:space="preserve"> Keim</w:t>
      </w:r>
      <w:r>
        <w:rPr>
          <w:lang w:eastAsia="fr-FR" w:bidi="he-IL"/>
        </w:rPr>
        <w:t xml:space="preserve">, </w:t>
      </w:r>
      <w:r w:rsidRPr="00DC4586">
        <w:rPr>
          <w:rStyle w:val="italicus"/>
        </w:rPr>
        <w:t>l. c.</w:t>
      </w:r>
      <w:r>
        <w:rPr>
          <w:rStyle w:val="italicus"/>
        </w:rPr>
        <w:t xml:space="preserve">, </w:t>
      </w:r>
      <w:r w:rsidRPr="00C8701B">
        <w:rPr>
          <w:lang w:eastAsia="fr-FR" w:bidi="he-IL"/>
        </w:rPr>
        <w:t>avoue que cette « science à part » est une « science douteuse et contestable » dans les conditions où elle se trouve actuellement.</w:t>
      </w:r>
    </w:p>
  </w:footnote>
  <w:footnote w:id="131">
    <w:p w:rsidR="00941AA6" w:rsidRPr="00B907E8" w:rsidRDefault="00941AA6">
      <w:pPr>
        <w:pStyle w:val="Notedebasdepage"/>
        <w:rPr>
          <w:lang w:val="en-GB"/>
        </w:rPr>
      </w:pPr>
      <w:r w:rsidRPr="00C406FF">
        <w:rPr>
          <w:rStyle w:val="Appelnotedebasdep"/>
        </w:rPr>
        <w:footnoteRef/>
      </w:r>
      <w:r w:rsidRPr="00C8701B">
        <w:rPr>
          <w:rFonts w:eastAsia="Arial Unicode MS"/>
          <w:lang w:val="en-US" w:eastAsia="fr-FR" w:bidi="he-IL"/>
        </w:rPr>
        <w:t xml:space="preserve"> </w:t>
      </w:r>
      <w:r w:rsidRPr="00C8701B">
        <w:rPr>
          <w:rFonts w:eastAsia="Arial Unicode MS"/>
          <w:bCs/>
          <w:lang w:val="en-US" w:eastAsia="fr-FR" w:bidi="he-IL"/>
        </w:rPr>
        <w:t>Ellicott</w:t>
      </w:r>
      <w:r>
        <w:rPr>
          <w:rFonts w:eastAsia="Arial Unicode MS"/>
          <w:bCs/>
          <w:lang w:val="en-US" w:eastAsia="fr-FR" w:bidi="he-IL"/>
        </w:rPr>
        <w:t xml:space="preserve">, </w:t>
      </w:r>
      <w:r w:rsidRPr="00A74F01">
        <w:rPr>
          <w:rStyle w:val="italicus"/>
          <w:lang w:val="en-US"/>
        </w:rPr>
        <w:t xml:space="preserve">Life of Christ, </w:t>
      </w:r>
      <w:r w:rsidRPr="00C8701B">
        <w:rPr>
          <w:rFonts w:eastAsia="Arial Unicode MS"/>
          <w:bCs/>
          <w:lang w:val="en-US" w:eastAsia="fr-FR" w:bidi="he-IL"/>
        </w:rPr>
        <w:t>p. 46</w:t>
      </w:r>
      <w:r>
        <w:rPr>
          <w:rFonts w:eastAsia="Arial Unicode MS"/>
          <w:bCs/>
          <w:lang w:val="en-US" w:eastAsia="fr-FR" w:bidi="he-IL"/>
        </w:rPr>
        <w:t xml:space="preserve">, </w:t>
      </w:r>
      <w:r w:rsidRPr="00C8701B">
        <w:rPr>
          <w:rFonts w:eastAsia="Arial Unicode MS"/>
          <w:bCs/>
          <w:lang w:val="en-US" w:eastAsia="fr-FR" w:bidi="he-IL"/>
        </w:rPr>
        <w:t>note.</w:t>
      </w:r>
    </w:p>
  </w:footnote>
  <w:footnote w:id="132">
    <w:p w:rsidR="00941AA6" w:rsidRPr="00CA121C" w:rsidRDefault="00941AA6">
      <w:pPr>
        <w:pStyle w:val="Notedebasdepage"/>
        <w:rPr>
          <w:lang w:val="de-AT"/>
        </w:rPr>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 xml:space="preserve">« Par un prodige non moins admirable que </w:t>
      </w:r>
      <w:r>
        <w:rPr>
          <w:rFonts w:eastAsia="Arial Unicode MS"/>
          <w:bCs/>
          <w:lang w:eastAsia="fr-FR" w:bidi="he-IL"/>
        </w:rPr>
        <w:t>(l’Évangile</w:t>
      </w:r>
      <w:r w:rsidRPr="00C8701B">
        <w:rPr>
          <w:rFonts w:eastAsia="Arial Unicode MS"/>
          <w:bCs/>
          <w:lang w:eastAsia="fr-FR" w:bidi="he-IL"/>
        </w:rPr>
        <w:t>) lui-même</w:t>
      </w:r>
      <w:r>
        <w:rPr>
          <w:rFonts w:eastAsia="Arial Unicode MS"/>
          <w:bCs/>
          <w:lang w:eastAsia="fr-FR" w:bidi="he-IL"/>
        </w:rPr>
        <w:t xml:space="preserve">, </w:t>
      </w:r>
      <w:r w:rsidRPr="00C8701B">
        <w:rPr>
          <w:rFonts w:eastAsia="Arial Unicode MS"/>
          <w:bCs/>
          <w:lang w:eastAsia="fr-FR" w:bidi="he-IL"/>
        </w:rPr>
        <w:t>quatre hommes l</w:t>
      </w:r>
      <w:r>
        <w:rPr>
          <w:rFonts w:eastAsia="Arial Unicode MS"/>
          <w:bCs/>
          <w:lang w:eastAsia="fr-FR" w:bidi="he-IL"/>
        </w:rPr>
        <w:t>’</w:t>
      </w:r>
      <w:r w:rsidRPr="00C8701B">
        <w:rPr>
          <w:rFonts w:eastAsia="Arial Unicode MS"/>
          <w:bCs/>
          <w:lang w:eastAsia="fr-FR" w:bidi="he-IL"/>
        </w:rPr>
        <w:t>ont écrit sous l</w:t>
      </w:r>
      <w:r>
        <w:rPr>
          <w:rFonts w:eastAsia="Arial Unicode MS"/>
          <w:bCs/>
          <w:lang w:eastAsia="fr-FR" w:bidi="he-IL"/>
        </w:rPr>
        <w:t>’</w:t>
      </w:r>
      <w:r w:rsidRPr="00C8701B">
        <w:rPr>
          <w:rFonts w:eastAsia="Arial Unicode MS"/>
          <w:bCs/>
          <w:lang w:eastAsia="fr-FR" w:bidi="he-IL"/>
        </w:rPr>
        <w:t>inspiration de Celui qui l</w:t>
      </w:r>
      <w:r>
        <w:rPr>
          <w:rFonts w:eastAsia="Arial Unicode MS"/>
          <w:bCs/>
          <w:lang w:eastAsia="fr-FR" w:bidi="he-IL"/>
        </w:rPr>
        <w:t>’</w:t>
      </w:r>
      <w:r w:rsidRPr="00C8701B">
        <w:rPr>
          <w:rFonts w:eastAsia="Arial Unicode MS"/>
          <w:bCs/>
          <w:lang w:eastAsia="fr-FR" w:bidi="he-IL"/>
        </w:rPr>
        <w:t>avait parlé</w:t>
      </w:r>
      <w:r>
        <w:rPr>
          <w:rFonts w:eastAsia="Arial Unicode MS"/>
          <w:bCs/>
          <w:lang w:eastAsia="fr-FR" w:bidi="he-IL"/>
        </w:rPr>
        <w:t xml:space="preserve">, </w:t>
      </w:r>
      <w:r w:rsidRPr="00C8701B">
        <w:rPr>
          <w:rFonts w:eastAsia="Arial Unicode MS"/>
          <w:bCs/>
          <w:lang w:eastAsia="fr-FR" w:bidi="he-IL"/>
        </w:rPr>
        <w:t>et</w:t>
      </w:r>
      <w:r>
        <w:rPr>
          <w:rFonts w:eastAsia="Arial Unicode MS"/>
          <w:bCs/>
          <w:lang w:eastAsia="fr-FR" w:bidi="he-IL"/>
        </w:rPr>
        <w:t xml:space="preserve">, </w:t>
      </w:r>
      <w:r w:rsidRPr="00C8701B">
        <w:rPr>
          <w:rFonts w:eastAsia="Arial Unicode MS"/>
          <w:bCs/>
          <w:lang w:eastAsia="fr-FR" w:bidi="he-IL"/>
        </w:rPr>
        <w:t>malgré la différence personnelle de leur caractère et de leur génie</w:t>
      </w:r>
      <w:r>
        <w:rPr>
          <w:rFonts w:eastAsia="Arial Unicode MS"/>
          <w:bCs/>
          <w:lang w:eastAsia="fr-FR" w:bidi="he-IL"/>
        </w:rPr>
        <w:t xml:space="preserve">, </w:t>
      </w:r>
      <w:r w:rsidRPr="00C8701B">
        <w:rPr>
          <w:rFonts w:eastAsia="Arial Unicode MS"/>
          <w:bCs/>
          <w:lang w:eastAsia="fr-FR" w:bidi="he-IL"/>
        </w:rPr>
        <w:t>on retrouve en tous quatre le même naturel sublime et simple</w:t>
      </w:r>
      <w:r>
        <w:rPr>
          <w:rFonts w:eastAsia="Arial Unicode MS"/>
          <w:bCs/>
          <w:lang w:eastAsia="fr-FR" w:bidi="he-IL"/>
        </w:rPr>
        <w:t xml:space="preserve">, </w:t>
      </w:r>
      <w:r w:rsidRPr="00C8701B">
        <w:rPr>
          <w:rFonts w:eastAsia="Arial Unicode MS"/>
          <w:bCs/>
          <w:lang w:eastAsia="fr-FR" w:bidi="he-IL"/>
        </w:rPr>
        <w:t>le même accent</w:t>
      </w:r>
      <w:r>
        <w:rPr>
          <w:rFonts w:eastAsia="Arial Unicode MS"/>
          <w:bCs/>
          <w:lang w:eastAsia="fr-FR" w:bidi="he-IL"/>
        </w:rPr>
        <w:t xml:space="preserve">, </w:t>
      </w:r>
      <w:r w:rsidRPr="00C8701B">
        <w:rPr>
          <w:rFonts w:eastAsia="Arial Unicode MS"/>
          <w:bCs/>
          <w:lang w:eastAsia="fr-FR" w:bidi="he-IL"/>
        </w:rPr>
        <w:t>la même vérité</w:t>
      </w:r>
      <w:r>
        <w:rPr>
          <w:rFonts w:eastAsia="Arial Unicode MS"/>
          <w:bCs/>
          <w:lang w:eastAsia="fr-FR" w:bidi="he-IL"/>
        </w:rPr>
        <w:t xml:space="preserve">, </w:t>
      </w:r>
      <w:r w:rsidRPr="00C8701B">
        <w:rPr>
          <w:rFonts w:eastAsia="Arial Unicode MS"/>
          <w:bCs/>
          <w:lang w:eastAsia="fr-FR" w:bidi="he-IL"/>
        </w:rPr>
        <w:t xml:space="preserve">le même amour et le </w:t>
      </w:r>
      <w:r>
        <w:rPr>
          <w:rFonts w:eastAsia="Arial Unicode MS"/>
          <w:bCs/>
          <w:lang w:eastAsia="fr-FR" w:bidi="he-IL"/>
        </w:rPr>
        <w:t>même</w:t>
      </w:r>
      <w:r w:rsidRPr="00C8701B">
        <w:rPr>
          <w:rFonts w:eastAsia="Arial Unicode MS"/>
          <w:bCs/>
          <w:lang w:eastAsia="fr-FR" w:bidi="he-IL"/>
        </w:rPr>
        <w:t xml:space="preserve"> Dieu. C</w:t>
      </w:r>
      <w:r>
        <w:rPr>
          <w:rFonts w:eastAsia="Arial Unicode MS"/>
          <w:bCs/>
          <w:lang w:eastAsia="fr-FR" w:bidi="he-IL"/>
        </w:rPr>
        <w:t>’</w:t>
      </w:r>
      <w:r w:rsidRPr="00C8701B">
        <w:rPr>
          <w:rFonts w:eastAsia="Arial Unicode MS"/>
          <w:bCs/>
          <w:lang w:eastAsia="fr-FR" w:bidi="he-IL"/>
        </w:rPr>
        <w:t>est toujours l</w:t>
      </w:r>
      <w:r>
        <w:rPr>
          <w:rFonts w:eastAsia="Arial Unicode MS"/>
          <w:bCs/>
          <w:lang w:eastAsia="fr-FR" w:bidi="he-IL"/>
        </w:rPr>
        <w:t>’</w:t>
      </w:r>
      <w:r w:rsidRPr="00C8701B">
        <w:rPr>
          <w:rFonts w:eastAsia="Arial Unicode MS"/>
          <w:bCs/>
          <w:lang w:eastAsia="fr-FR" w:bidi="he-IL"/>
        </w:rPr>
        <w:t>évangile</w:t>
      </w:r>
      <w:r>
        <w:rPr>
          <w:rFonts w:eastAsia="Arial Unicode MS"/>
          <w:bCs/>
          <w:lang w:eastAsia="fr-FR" w:bidi="he-IL"/>
        </w:rPr>
        <w:t xml:space="preserve">, </w:t>
      </w:r>
      <w:r w:rsidRPr="00C8701B">
        <w:rPr>
          <w:rFonts w:eastAsia="Arial Unicode MS"/>
          <w:bCs/>
          <w:lang w:eastAsia="fr-FR" w:bidi="he-IL"/>
        </w:rPr>
        <w:t>parce que c</w:t>
      </w:r>
      <w:r>
        <w:rPr>
          <w:rFonts w:eastAsia="Arial Unicode MS"/>
          <w:bCs/>
          <w:lang w:eastAsia="fr-FR" w:bidi="he-IL"/>
        </w:rPr>
        <w:t>’est toujours Jésus-Christ</w:t>
      </w:r>
      <w:r w:rsidRPr="00C8701B">
        <w:rPr>
          <w:rFonts w:eastAsia="Arial Unicode MS"/>
          <w:bCs/>
          <w:lang w:eastAsia="fr-FR" w:bidi="he-IL"/>
        </w:rPr>
        <w:t>.</w:t>
      </w:r>
      <w:r>
        <w:rPr>
          <w:rFonts w:eastAsia="Arial Unicode MS"/>
          <w:bCs/>
          <w:lang w:eastAsia="fr-FR" w:bidi="he-IL"/>
        </w:rPr>
        <w:t> »</w:t>
      </w:r>
      <w:r w:rsidRPr="00C8701B">
        <w:rPr>
          <w:rFonts w:eastAsia="Arial Unicode MS"/>
          <w:bCs/>
          <w:lang w:eastAsia="fr-FR" w:bidi="he-IL"/>
        </w:rPr>
        <w:t xml:space="preserve"> Lacordaire</w:t>
      </w:r>
      <w:r>
        <w:rPr>
          <w:rFonts w:eastAsia="Arial Unicode MS"/>
          <w:bCs/>
          <w:lang w:eastAsia="fr-FR" w:bidi="he-IL"/>
        </w:rPr>
        <w:t xml:space="preserve">, </w:t>
      </w:r>
      <w:r w:rsidRPr="00DC4586">
        <w:rPr>
          <w:rStyle w:val="italicus"/>
        </w:rPr>
        <w:t>Lettres à un jeune homme sur la vie chrétienne</w:t>
      </w:r>
      <w:r>
        <w:rPr>
          <w:rStyle w:val="italicus"/>
        </w:rPr>
        <w:t xml:space="preserve">, </w:t>
      </w:r>
      <w:r w:rsidRPr="00C8701B">
        <w:rPr>
          <w:rFonts w:eastAsia="Arial Unicode MS"/>
          <w:bCs/>
          <w:lang w:eastAsia="fr-FR" w:bidi="he-IL"/>
        </w:rPr>
        <w:t>p. 184 de la 3</w:t>
      </w:r>
      <w:r w:rsidRPr="00C8701B">
        <w:rPr>
          <w:rFonts w:eastAsia="Arial Unicode MS"/>
          <w:bCs/>
          <w:vertAlign w:val="superscript"/>
          <w:lang w:eastAsia="fr-FR" w:bidi="he-IL"/>
        </w:rPr>
        <w:t>e</w:t>
      </w:r>
      <w:r w:rsidRPr="00C8701B">
        <w:rPr>
          <w:rFonts w:eastAsia="Arial Unicode MS"/>
          <w:bCs/>
          <w:lang w:eastAsia="fr-FR" w:bidi="he-IL"/>
        </w:rPr>
        <w:t xml:space="preserve"> édition.</w:t>
      </w:r>
    </w:p>
  </w:footnote>
  <w:footnote w:id="133">
    <w:p w:rsidR="00941AA6" w:rsidRPr="00CA121C" w:rsidRDefault="00941AA6">
      <w:pPr>
        <w:pStyle w:val="Notedebasdepage"/>
        <w:rPr>
          <w:lang w:val="de-AT"/>
        </w:rPr>
      </w:pPr>
      <w:r w:rsidRPr="00C406FF">
        <w:rPr>
          <w:rStyle w:val="Appelnotedebasdep"/>
        </w:rPr>
        <w:footnoteRef/>
      </w:r>
      <w:r w:rsidRPr="00C8701B">
        <w:rPr>
          <w:lang w:eastAsia="fr-FR" w:bidi="he-IL"/>
        </w:rPr>
        <w:t xml:space="preserve"> Joan</w:t>
      </w:r>
      <w:r>
        <w:rPr>
          <w:lang w:eastAsia="fr-FR" w:bidi="he-IL"/>
        </w:rPr>
        <w:t xml:space="preserve">. IV, </w:t>
      </w:r>
      <w:r w:rsidRPr="00C8701B">
        <w:rPr>
          <w:lang w:eastAsia="fr-FR" w:bidi="he-IL"/>
        </w:rPr>
        <w:t>45 et ss. </w:t>
      </w:r>
      <w:r>
        <w:rPr>
          <w:lang w:eastAsia="fr-FR" w:bidi="he-IL"/>
        </w:rPr>
        <w:t xml:space="preserve">; VI, 1 </w:t>
      </w:r>
      <w:r w:rsidRPr="00C8701B">
        <w:rPr>
          <w:lang w:eastAsia="fr-FR" w:bidi="he-IL"/>
        </w:rPr>
        <w:t>et suiv.</w:t>
      </w:r>
    </w:p>
  </w:footnote>
  <w:footnote w:id="134">
    <w:p w:rsidR="00941AA6" w:rsidRPr="00CA121C" w:rsidRDefault="00941AA6">
      <w:pPr>
        <w:pStyle w:val="Notedebasdepage"/>
        <w:rPr>
          <w:lang w:val="de-AT"/>
        </w:rPr>
      </w:pPr>
      <w:r w:rsidRPr="00C406FF">
        <w:rPr>
          <w:rStyle w:val="Appelnotedebasdep"/>
        </w:rPr>
        <w:footnoteRef/>
      </w:r>
      <w:r w:rsidRPr="00C8701B">
        <w:rPr>
          <w:lang w:eastAsia="fr-FR" w:bidi="he-IL"/>
        </w:rPr>
        <w:t xml:space="preserve"> Joan. </w:t>
      </w:r>
      <w:r>
        <w:rPr>
          <w:lang w:eastAsia="fr-FR" w:bidi="he-IL"/>
        </w:rPr>
        <w:t xml:space="preserve">X, </w:t>
      </w:r>
      <w:r w:rsidRPr="00C8701B">
        <w:rPr>
          <w:lang w:eastAsia="fr-FR" w:bidi="he-IL"/>
        </w:rPr>
        <w:t>40-42.</w:t>
      </w:r>
    </w:p>
  </w:footnote>
  <w:footnote w:id="135">
    <w:p w:rsidR="00941AA6" w:rsidRPr="00B907E8" w:rsidRDefault="00941AA6" w:rsidP="00B907E8">
      <w:pPr>
        <w:pStyle w:val="Notedebasdepage"/>
      </w:pPr>
      <w:r w:rsidRPr="00C406FF">
        <w:rPr>
          <w:rStyle w:val="Appelnotedebasdep"/>
        </w:rPr>
        <w:footnoteRef/>
      </w:r>
      <w:r w:rsidRPr="00C8701B">
        <w:rPr>
          <w:lang w:eastAsia="fr-FR" w:bidi="he-IL"/>
        </w:rPr>
        <w:t xml:space="preserve"> Voyez notre commentaire de l</w:t>
      </w:r>
      <w:r>
        <w:rPr>
          <w:lang w:eastAsia="fr-FR" w:bidi="he-IL"/>
        </w:rPr>
        <w:t>’</w:t>
      </w:r>
      <w:r w:rsidRPr="00C8701B">
        <w:rPr>
          <w:lang w:eastAsia="fr-FR" w:bidi="he-IL"/>
        </w:rPr>
        <w:t>évangile selon S. Jean</w:t>
      </w:r>
      <w:r>
        <w:rPr>
          <w:lang w:eastAsia="fr-FR" w:bidi="he-IL"/>
        </w:rPr>
        <w:t xml:space="preserve">, </w:t>
      </w:r>
      <w:r w:rsidRPr="00C8701B">
        <w:rPr>
          <w:lang w:eastAsia="fr-FR" w:bidi="he-IL"/>
        </w:rPr>
        <w:t xml:space="preserve">p. </w:t>
      </w:r>
      <w:r>
        <w:rPr>
          <w:lang w:eastAsia="fr-FR" w:bidi="he-IL"/>
        </w:rPr>
        <w:t xml:space="preserve">XII </w:t>
      </w:r>
      <w:r w:rsidRPr="00C8701B">
        <w:rPr>
          <w:lang w:eastAsia="fr-FR" w:bidi="he-IL"/>
        </w:rPr>
        <w:t>et ss.</w:t>
      </w:r>
      <w:r>
        <w:rPr>
          <w:lang w:eastAsia="fr-FR" w:bidi="he-IL"/>
        </w:rPr>
        <w:t>, XLVIII</w:t>
      </w:r>
      <w:r w:rsidRPr="00C8701B">
        <w:rPr>
          <w:lang w:eastAsia="fr-FR" w:bidi="he-IL"/>
        </w:rPr>
        <w:t xml:space="preserve"> et ss.</w:t>
      </w:r>
    </w:p>
  </w:footnote>
  <w:footnote w:id="136">
    <w:p w:rsidR="00941AA6" w:rsidRPr="00B907E8" w:rsidRDefault="00941AA6">
      <w:pPr>
        <w:pStyle w:val="Notedebasdepage"/>
      </w:pPr>
      <w:r w:rsidRPr="00C406FF">
        <w:rPr>
          <w:rStyle w:val="Appelnotedebasdep"/>
        </w:rPr>
        <w:footnoteRef/>
      </w:r>
      <w:r w:rsidRPr="00C8701B">
        <w:rPr>
          <w:lang w:eastAsia="fr-FR" w:bidi="he-IL"/>
        </w:rPr>
        <w:t xml:space="preserve"> </w:t>
      </w:r>
      <w:r w:rsidRPr="00C8701B">
        <w:rPr>
          <w:lang w:val="el-GR" w:eastAsia="fr-FR" w:bidi="he-IL"/>
        </w:rPr>
        <w:t>Σ</w:t>
      </w:r>
      <w:r>
        <w:rPr>
          <w:lang w:val="el-GR" w:eastAsia="fr-FR" w:bidi="he-IL"/>
        </w:rPr>
        <w:t>ύ</w:t>
      </w:r>
      <w:r w:rsidRPr="00C8701B">
        <w:rPr>
          <w:lang w:val="el-GR" w:eastAsia="fr-FR" w:bidi="he-IL"/>
        </w:rPr>
        <w:t>νοψις</w:t>
      </w:r>
      <w:r>
        <w:rPr>
          <w:lang w:val="el-GR" w:eastAsia="fr-FR" w:bidi="he-IL"/>
        </w:rPr>
        <w:t xml:space="preserve">, </w:t>
      </w:r>
      <w:r w:rsidRPr="00C8701B">
        <w:rPr>
          <w:lang w:eastAsia="fr-FR" w:bidi="he-IL"/>
        </w:rPr>
        <w:t>ce qu</w:t>
      </w:r>
      <w:r>
        <w:rPr>
          <w:lang w:eastAsia="fr-FR" w:bidi="he-IL"/>
        </w:rPr>
        <w:t>’</w:t>
      </w:r>
      <w:r w:rsidRPr="00C8701B">
        <w:rPr>
          <w:lang w:eastAsia="fr-FR" w:bidi="he-IL"/>
        </w:rPr>
        <w:t>on contemple d</w:t>
      </w:r>
      <w:r>
        <w:rPr>
          <w:lang w:eastAsia="fr-FR" w:bidi="he-IL"/>
        </w:rPr>
        <w:t>’</w:t>
      </w:r>
      <w:r w:rsidRPr="00C8701B">
        <w:rPr>
          <w:lang w:eastAsia="fr-FR" w:bidi="he-IL"/>
        </w:rPr>
        <w:t>un seul coup d</w:t>
      </w:r>
      <w:r>
        <w:rPr>
          <w:lang w:eastAsia="fr-FR" w:bidi="he-IL"/>
        </w:rPr>
        <w:t>’</w:t>
      </w:r>
      <w:r w:rsidRPr="00C8701B">
        <w:rPr>
          <w:lang w:eastAsia="fr-FR" w:bidi="he-IL"/>
        </w:rPr>
        <w:t>œil.</w:t>
      </w:r>
    </w:p>
  </w:footnote>
  <w:footnote w:id="137">
    <w:p w:rsidR="00941AA6" w:rsidRPr="00CA121C" w:rsidRDefault="00941AA6">
      <w:pPr>
        <w:pStyle w:val="Notedebasdepage"/>
        <w:rPr>
          <w:lang w:val="de-AT"/>
        </w:rPr>
      </w:pPr>
      <w:r w:rsidRPr="00C406FF">
        <w:rPr>
          <w:rStyle w:val="Appelnotedebasdep"/>
        </w:rPr>
        <w:footnoteRef/>
      </w:r>
      <w:r w:rsidRPr="00C8701B">
        <w:rPr>
          <w:lang w:eastAsia="fr-FR" w:bidi="he-IL"/>
        </w:rPr>
        <w:t xml:space="preserve"> « C.-à-d. susceptibles d</w:t>
      </w:r>
      <w:r>
        <w:rPr>
          <w:lang w:eastAsia="fr-FR" w:bidi="he-IL"/>
        </w:rPr>
        <w:t>’</w:t>
      </w:r>
      <w:r w:rsidRPr="00C8701B">
        <w:rPr>
          <w:lang w:eastAsia="fr-FR" w:bidi="he-IL"/>
        </w:rPr>
        <w:t>être mis en regard les uns des autres ». Reuss</w:t>
      </w:r>
      <w:r>
        <w:rPr>
          <w:lang w:eastAsia="fr-FR" w:bidi="he-IL"/>
        </w:rPr>
        <w:t xml:space="preserve">, </w:t>
      </w:r>
      <w:r w:rsidRPr="00DC4586">
        <w:rPr>
          <w:rStyle w:val="italicus"/>
        </w:rPr>
        <w:t xml:space="preserve">Histoire </w:t>
      </w:r>
      <w:r>
        <w:rPr>
          <w:rStyle w:val="italicus"/>
        </w:rPr>
        <w:t>é</w:t>
      </w:r>
      <w:r w:rsidRPr="00DC4586">
        <w:rPr>
          <w:rStyle w:val="italicus"/>
        </w:rPr>
        <w:t>vangélique : Synopse des trois premiers évangiles</w:t>
      </w:r>
      <w:r>
        <w:rPr>
          <w:rStyle w:val="italicus"/>
        </w:rPr>
        <w:t xml:space="preserve">, </w:t>
      </w:r>
      <w:r w:rsidRPr="00C8701B">
        <w:rPr>
          <w:lang w:eastAsia="fr-FR" w:bidi="he-IL"/>
        </w:rPr>
        <w:t>Paris</w:t>
      </w:r>
      <w:r>
        <w:rPr>
          <w:lang w:eastAsia="fr-FR" w:bidi="he-IL"/>
        </w:rPr>
        <w:t xml:space="preserve">, </w:t>
      </w:r>
      <w:r w:rsidRPr="00C8701B">
        <w:rPr>
          <w:lang w:eastAsia="fr-FR" w:bidi="he-IL"/>
        </w:rPr>
        <w:t>1876</w:t>
      </w:r>
      <w:r>
        <w:rPr>
          <w:lang w:eastAsia="fr-FR" w:bidi="he-IL"/>
        </w:rPr>
        <w:t xml:space="preserve">, </w:t>
      </w:r>
      <w:r w:rsidRPr="00C8701B">
        <w:rPr>
          <w:lang w:eastAsia="fr-FR" w:bidi="he-IL"/>
        </w:rPr>
        <w:t>p. 15. « Ils nous présentent la vie de Jésus</w:t>
      </w:r>
      <w:r w:rsidRPr="00DC4586">
        <w:rPr>
          <w:rStyle w:val="italicus"/>
        </w:rPr>
        <w:t xml:space="preserve"> sous un même aspect</w:t>
      </w:r>
      <w:r w:rsidRPr="00C8701B">
        <w:rPr>
          <w:lang w:eastAsia="fr-FR" w:bidi="he-IL"/>
        </w:rPr>
        <w:t> »</w:t>
      </w:r>
      <w:r>
        <w:rPr>
          <w:lang w:eastAsia="fr-FR" w:bidi="he-IL"/>
        </w:rPr>
        <w:t xml:space="preserve">, </w:t>
      </w:r>
      <w:r w:rsidRPr="00C8701B">
        <w:rPr>
          <w:lang w:eastAsia="fr-FR" w:bidi="he-IL"/>
        </w:rPr>
        <w:t>dit un autre auteur.</w:t>
      </w:r>
    </w:p>
  </w:footnote>
  <w:footnote w:id="138">
    <w:p w:rsidR="00941AA6" w:rsidRPr="00CA121C" w:rsidRDefault="00941AA6">
      <w:pPr>
        <w:pStyle w:val="Notedebasdepage"/>
        <w:rPr>
          <w:lang w:val="de-AT"/>
        </w:rPr>
      </w:pPr>
      <w:r w:rsidRPr="00C406FF">
        <w:rPr>
          <w:rStyle w:val="Appelnotedebasdep"/>
        </w:rPr>
        <w:footnoteRef/>
      </w:r>
      <w:r w:rsidRPr="00C8701B">
        <w:rPr>
          <w:lang w:eastAsia="fr-FR" w:bidi="he-IL"/>
        </w:rPr>
        <w:t xml:space="preserve"> « Étonnant mélange d</w:t>
      </w:r>
      <w:r>
        <w:rPr>
          <w:lang w:eastAsia="fr-FR" w:bidi="he-IL"/>
        </w:rPr>
        <w:t>’</w:t>
      </w:r>
      <w:r w:rsidRPr="00C8701B">
        <w:rPr>
          <w:lang w:eastAsia="fr-FR" w:bidi="he-IL"/>
        </w:rPr>
        <w:t>harmonie et de différence »</w:t>
      </w:r>
      <w:r>
        <w:rPr>
          <w:lang w:eastAsia="fr-FR" w:bidi="he-IL"/>
        </w:rPr>
        <w:t xml:space="preserve">, </w:t>
      </w:r>
      <w:r w:rsidRPr="00C8701B">
        <w:rPr>
          <w:lang w:eastAsia="fr-FR" w:bidi="he-IL"/>
        </w:rPr>
        <w:t xml:space="preserve">dit </w:t>
      </w:r>
      <w:r>
        <w:rPr>
          <w:lang w:eastAsia="fr-FR" w:bidi="he-IL"/>
        </w:rPr>
        <w:t>H</w:t>
      </w:r>
      <w:r w:rsidRPr="00C8701B">
        <w:rPr>
          <w:lang w:eastAsia="fr-FR" w:bidi="he-IL"/>
        </w:rPr>
        <w:t>. W. Meyer</w:t>
      </w:r>
      <w:r>
        <w:rPr>
          <w:lang w:eastAsia="fr-FR" w:bidi="he-IL"/>
        </w:rPr>
        <w:t xml:space="preserve">, </w:t>
      </w:r>
      <w:r>
        <w:rPr>
          <w:rStyle w:val="italicus"/>
        </w:rPr>
        <w:t>Krit.-exeget. Handbuch ü</w:t>
      </w:r>
      <w:r w:rsidRPr="00DC4586">
        <w:rPr>
          <w:rStyle w:val="italicus"/>
        </w:rPr>
        <w:t>ber das Evangélium des Mat</w:t>
      </w:r>
      <w:r>
        <w:rPr>
          <w:rStyle w:val="italicus"/>
        </w:rPr>
        <w:t>t</w:t>
      </w:r>
      <w:r w:rsidRPr="00DC4586">
        <w:rPr>
          <w:rStyle w:val="italicus"/>
        </w:rPr>
        <w:t>h</w:t>
      </w:r>
      <w:r>
        <w:rPr>
          <w:rStyle w:val="italicus"/>
        </w:rPr>
        <w:t>ǽ</w:t>
      </w:r>
      <w:r w:rsidRPr="00DC4586">
        <w:rPr>
          <w:rStyle w:val="italicus"/>
        </w:rPr>
        <w:t>us</w:t>
      </w:r>
      <w:r>
        <w:rPr>
          <w:rStyle w:val="italicus"/>
        </w:rPr>
        <w:t xml:space="preserve">, </w:t>
      </w:r>
      <w:r w:rsidRPr="00C8701B">
        <w:rPr>
          <w:lang w:eastAsia="fr-FR" w:bidi="he-IL"/>
        </w:rPr>
        <w:t>2° édit.</w:t>
      </w:r>
      <w:r>
        <w:rPr>
          <w:lang w:eastAsia="fr-FR" w:bidi="he-IL"/>
        </w:rPr>
        <w:t xml:space="preserve">, </w:t>
      </w:r>
      <w:r w:rsidRPr="00C8701B">
        <w:rPr>
          <w:lang w:eastAsia="fr-FR" w:bidi="he-IL"/>
        </w:rPr>
        <w:t>p. 23.</w:t>
      </w:r>
    </w:p>
  </w:footnote>
  <w:footnote w:id="139">
    <w:p w:rsidR="00941AA6" w:rsidRPr="00B907E8" w:rsidRDefault="00941AA6">
      <w:pPr>
        <w:pStyle w:val="Notedebasdepage"/>
      </w:pPr>
      <w:r w:rsidRPr="00C406FF">
        <w:rPr>
          <w:rStyle w:val="Appelnotedebasdep"/>
        </w:rPr>
        <w:footnoteRef/>
      </w:r>
      <w:r w:rsidRPr="00C8701B">
        <w:rPr>
          <w:lang w:eastAsia="fr-FR" w:bidi="he-IL"/>
        </w:rPr>
        <w:t xml:space="preserve"> Keim</w:t>
      </w:r>
      <w:r>
        <w:rPr>
          <w:lang w:eastAsia="fr-FR" w:bidi="he-IL"/>
        </w:rPr>
        <w:t xml:space="preserve">, </w:t>
      </w:r>
      <w:r w:rsidRPr="00DC4586">
        <w:rPr>
          <w:rStyle w:val="italicus"/>
        </w:rPr>
        <w:t>l. c.</w:t>
      </w:r>
      <w:r>
        <w:rPr>
          <w:rStyle w:val="italicus"/>
        </w:rPr>
        <w:t xml:space="preserve">, </w:t>
      </w:r>
      <w:r>
        <w:rPr>
          <w:lang w:eastAsia="fr-FR" w:bidi="he-IL"/>
        </w:rPr>
        <w:t>p. 45</w:t>
      </w:r>
      <w:r w:rsidRPr="00C8701B">
        <w:rPr>
          <w:lang w:eastAsia="fr-FR" w:bidi="he-IL"/>
        </w:rPr>
        <w:t>.</w:t>
      </w:r>
    </w:p>
  </w:footnote>
  <w:footnote w:id="140">
    <w:p w:rsidR="00941AA6" w:rsidRPr="00B907E8" w:rsidRDefault="00941AA6">
      <w:pPr>
        <w:pStyle w:val="Notedebasdepage"/>
      </w:pPr>
      <w:r w:rsidRPr="00C406FF">
        <w:rPr>
          <w:rStyle w:val="Appelnotedebasdep"/>
        </w:rPr>
        <w:footnoteRef/>
      </w:r>
      <w:r w:rsidRPr="00C8701B">
        <w:rPr>
          <w:lang w:eastAsia="fr-FR" w:bidi="he-IL"/>
        </w:rPr>
        <w:t xml:space="preserve"> Pages 26 et 27.</w:t>
      </w:r>
    </w:p>
  </w:footnote>
  <w:footnote w:id="141">
    <w:p w:rsidR="00941AA6" w:rsidRPr="00B907E8" w:rsidRDefault="00941AA6">
      <w:pPr>
        <w:pStyle w:val="Notedebasdepage"/>
      </w:pPr>
      <w:r w:rsidRPr="00C406FF">
        <w:rPr>
          <w:rStyle w:val="Appelnotedebasdep"/>
        </w:rPr>
        <w:footnoteRef/>
      </w:r>
      <w:r w:rsidRPr="00C8701B">
        <w:rPr>
          <w:lang w:eastAsia="fr-FR" w:bidi="he-IL"/>
        </w:rPr>
        <w:t xml:space="preserve"> Voyez notre</w:t>
      </w:r>
      <w:r w:rsidRPr="00DC4586">
        <w:rPr>
          <w:rStyle w:val="italicus"/>
        </w:rPr>
        <w:t xml:space="preserve"> Synopsis evangélica</w:t>
      </w:r>
      <w:r>
        <w:rPr>
          <w:rStyle w:val="italicus"/>
        </w:rPr>
        <w:t xml:space="preserve">, </w:t>
      </w:r>
      <w:r w:rsidRPr="00C8701B">
        <w:rPr>
          <w:lang w:eastAsia="fr-FR" w:bidi="he-IL"/>
        </w:rPr>
        <w:t>passim </w:t>
      </w:r>
      <w:r>
        <w:rPr>
          <w:lang w:eastAsia="fr-FR" w:bidi="he-IL"/>
        </w:rPr>
        <w:t xml:space="preserve">; </w:t>
      </w:r>
      <w:r w:rsidRPr="00C8701B">
        <w:rPr>
          <w:lang w:eastAsia="fr-FR" w:bidi="he-IL"/>
        </w:rPr>
        <w:t>Reithmayr</w:t>
      </w:r>
      <w:r>
        <w:rPr>
          <w:lang w:eastAsia="fr-FR" w:bidi="he-IL"/>
        </w:rPr>
        <w:t xml:space="preserve">, </w:t>
      </w:r>
      <w:r w:rsidRPr="00DC4586">
        <w:rPr>
          <w:rStyle w:val="italicus"/>
        </w:rPr>
        <w:t>Einleitung</w:t>
      </w:r>
      <w:r>
        <w:rPr>
          <w:lang w:eastAsia="fr-FR" w:bidi="he-IL"/>
        </w:rPr>
        <w:t xml:space="preserve">, </w:t>
      </w:r>
      <w:r w:rsidRPr="00C8701B">
        <w:rPr>
          <w:lang w:eastAsia="fr-FR" w:bidi="he-IL"/>
        </w:rPr>
        <w:t>p. 348-349</w:t>
      </w:r>
      <w:r>
        <w:rPr>
          <w:lang w:eastAsia="fr-FR" w:bidi="he-IL"/>
        </w:rPr>
        <w:t xml:space="preserve">, </w:t>
      </w:r>
      <w:r w:rsidRPr="00C8701B">
        <w:rPr>
          <w:lang w:eastAsia="fr-FR" w:bidi="he-IL"/>
        </w:rPr>
        <w:t>La ressemblance commence dès la prédication de Jean-Baptiste </w:t>
      </w:r>
      <w:r>
        <w:rPr>
          <w:lang w:eastAsia="fr-FR" w:bidi="he-IL"/>
        </w:rPr>
        <w:t xml:space="preserve">; </w:t>
      </w:r>
      <w:r w:rsidRPr="00C8701B">
        <w:rPr>
          <w:lang w:eastAsia="fr-FR" w:bidi="he-IL"/>
        </w:rPr>
        <w:t>elle atteint son maximum pour les récits de la Passion.</w:t>
      </w:r>
    </w:p>
  </w:footnote>
  <w:footnote w:id="142">
    <w:p w:rsidR="00941AA6" w:rsidRPr="00B907E8" w:rsidRDefault="00941AA6">
      <w:pPr>
        <w:pStyle w:val="Notedebasdepage"/>
        <w:rPr>
          <w:lang w:val="en-GB"/>
        </w:rPr>
      </w:pPr>
      <w:r w:rsidRPr="00C406FF">
        <w:rPr>
          <w:rStyle w:val="Appelnotedebasdep"/>
        </w:rPr>
        <w:footnoteRef/>
      </w:r>
      <w:r w:rsidRPr="00C8701B">
        <w:rPr>
          <w:lang w:val="en-US" w:eastAsia="fr-FR" w:bidi="he-IL"/>
        </w:rPr>
        <w:t xml:space="preserve"> W. Thomson</w:t>
      </w:r>
      <w:r>
        <w:rPr>
          <w:lang w:val="en-US" w:eastAsia="fr-FR" w:bidi="he-IL"/>
        </w:rPr>
        <w:t xml:space="preserve">, </w:t>
      </w:r>
      <w:r w:rsidRPr="00A74F01">
        <w:rPr>
          <w:rStyle w:val="italicus"/>
          <w:lang w:val="en-US"/>
        </w:rPr>
        <w:t xml:space="preserve">Word, Work and Will, </w:t>
      </w:r>
      <w:r w:rsidRPr="00A74F01">
        <w:rPr>
          <w:lang w:val="en-US"/>
        </w:rPr>
        <w:t>Londres</w:t>
      </w:r>
      <w:r>
        <w:rPr>
          <w:lang w:val="en-US" w:eastAsia="fr-FR" w:bidi="he-IL"/>
        </w:rPr>
        <w:t xml:space="preserve">, </w:t>
      </w:r>
      <w:r w:rsidRPr="00C8701B">
        <w:rPr>
          <w:lang w:val="en-US" w:eastAsia="fr-FR" w:bidi="he-IL"/>
        </w:rPr>
        <w:t>187</w:t>
      </w:r>
      <w:r>
        <w:rPr>
          <w:lang w:val="en-US" w:eastAsia="fr-FR" w:bidi="he-IL"/>
        </w:rPr>
        <w:t xml:space="preserve">9, </w:t>
      </w:r>
      <w:r w:rsidRPr="00C8701B">
        <w:rPr>
          <w:lang w:val="en-US" w:eastAsia="fr-FR" w:bidi="he-IL"/>
        </w:rPr>
        <w:t>p. 5.</w:t>
      </w:r>
    </w:p>
  </w:footnote>
  <w:footnote w:id="143">
    <w:p w:rsidR="00941AA6" w:rsidRPr="00B907E8" w:rsidRDefault="00941AA6">
      <w:pPr>
        <w:pStyle w:val="Notedebasdepage"/>
      </w:pPr>
      <w:r w:rsidRPr="00C406FF">
        <w:rPr>
          <w:rStyle w:val="Appelnotedebasdep"/>
        </w:rPr>
        <w:footnoteRef/>
      </w:r>
      <w:r w:rsidRPr="00C8701B">
        <w:rPr>
          <w:lang w:eastAsia="fr-FR" w:bidi="he-IL"/>
        </w:rPr>
        <w:t xml:space="preserve"> Dans la nôtre</w:t>
      </w:r>
      <w:r>
        <w:rPr>
          <w:lang w:eastAsia="fr-FR" w:bidi="he-IL"/>
        </w:rPr>
        <w:t xml:space="preserve">, </w:t>
      </w:r>
      <w:r w:rsidRPr="00C8701B">
        <w:rPr>
          <w:lang w:eastAsia="fr-FR" w:bidi="he-IL"/>
        </w:rPr>
        <w:t>pp. 9 et ss.</w:t>
      </w:r>
    </w:p>
  </w:footnote>
  <w:footnote w:id="144">
    <w:p w:rsidR="00941AA6" w:rsidRPr="00B907E8"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notre</w:t>
      </w:r>
      <w:r w:rsidRPr="00DC4586">
        <w:rPr>
          <w:rStyle w:val="italicus"/>
        </w:rPr>
        <w:t xml:space="preserve"> Synopsis</w:t>
      </w:r>
      <w:r>
        <w:rPr>
          <w:rStyle w:val="italicus"/>
        </w:rPr>
        <w:t>,</w:t>
      </w:r>
      <w:r w:rsidRPr="00594D4D">
        <w:t xml:space="preserve"> p.</w:t>
      </w:r>
      <w:r>
        <w:t xml:space="preserve"> </w:t>
      </w:r>
      <w:r w:rsidRPr="00C8701B">
        <w:rPr>
          <w:rFonts w:eastAsia="Arial Unicode MS"/>
          <w:bCs/>
          <w:lang w:eastAsia="fr-FR" w:bidi="he-IL"/>
        </w:rPr>
        <w:t>37 et ss.</w:t>
      </w:r>
    </w:p>
  </w:footnote>
  <w:footnote w:id="145">
    <w:p w:rsidR="00941AA6" w:rsidRPr="00CA121C" w:rsidRDefault="00941AA6">
      <w:pPr>
        <w:pStyle w:val="Notedebasdepage"/>
        <w:rPr>
          <w:lang w:val="de-AT"/>
        </w:rPr>
      </w:pPr>
      <w:r w:rsidRPr="00C406FF">
        <w:rPr>
          <w:rStyle w:val="Appelnotedebasdep"/>
        </w:rPr>
        <w:footnoteRef/>
      </w:r>
      <w:r w:rsidRPr="000819BA">
        <w:rPr>
          <w:rFonts w:eastAsia="Arial Unicode MS"/>
          <w:lang w:val="de-AT" w:eastAsia="fr-FR" w:bidi="he-IL"/>
        </w:rPr>
        <w:t xml:space="preserve"> </w:t>
      </w:r>
      <w:r w:rsidRPr="000819BA">
        <w:rPr>
          <w:rStyle w:val="italicus"/>
          <w:lang w:val="de-AT"/>
        </w:rPr>
        <w:t xml:space="preserve">Ibid., </w:t>
      </w:r>
      <w:r w:rsidRPr="000819BA">
        <w:rPr>
          <w:rFonts w:eastAsia="Arial Unicode MS"/>
          <w:bCs/>
          <w:lang w:val="de-AT" w:eastAsia="fr-FR" w:bidi="he-IL"/>
        </w:rPr>
        <w:t>p. 44 et ss.</w:t>
      </w:r>
    </w:p>
  </w:footnote>
  <w:footnote w:id="146">
    <w:p w:rsidR="00941AA6" w:rsidRPr="00CA121C" w:rsidRDefault="00941AA6">
      <w:pPr>
        <w:pStyle w:val="Notedebasdepage"/>
        <w:rPr>
          <w:lang w:val="de-AT"/>
        </w:rPr>
      </w:pPr>
      <w:r w:rsidRPr="00C406FF">
        <w:rPr>
          <w:rStyle w:val="Appelnotedebasdep"/>
        </w:rPr>
        <w:footnoteRef/>
      </w:r>
      <w:r w:rsidRPr="000819BA">
        <w:rPr>
          <w:rFonts w:eastAsia="Arial Unicode MS"/>
          <w:bCs/>
          <w:lang w:val="de-AT" w:eastAsia="fr-FR" w:bidi="he-IL"/>
        </w:rPr>
        <w:t xml:space="preserve"> Cf. Ebrard, </w:t>
      </w:r>
      <w:r w:rsidRPr="000819BA">
        <w:rPr>
          <w:rStyle w:val="italicus"/>
          <w:lang w:val="de-AT"/>
        </w:rPr>
        <w:t xml:space="preserve">Wissenschaftliche Kritik der evangelischen Geschichte, </w:t>
      </w:r>
      <w:r w:rsidRPr="00757FC7">
        <w:t xml:space="preserve">Francfort-sur-le-Main, </w:t>
      </w:r>
      <w:r w:rsidRPr="000819BA">
        <w:rPr>
          <w:rFonts w:eastAsia="Arial Unicode MS"/>
          <w:bCs/>
          <w:lang w:val="de-AT" w:eastAsia="fr-FR" w:bidi="he-IL"/>
        </w:rPr>
        <w:t>1842, §§ 28-30, 35.</w:t>
      </w:r>
    </w:p>
  </w:footnote>
  <w:footnote w:id="147">
    <w:p w:rsidR="00941AA6" w:rsidRPr="00557DE0" w:rsidRDefault="00941AA6">
      <w:pPr>
        <w:pStyle w:val="Notedebasdepage"/>
      </w:pPr>
      <w:r w:rsidRPr="00C406FF">
        <w:rPr>
          <w:rStyle w:val="Appelnotedebasdep"/>
        </w:rPr>
        <w:footnoteRef/>
      </w:r>
      <w:r w:rsidRPr="00C8701B">
        <w:rPr>
          <w:rFonts w:eastAsia="Arial Unicode MS"/>
          <w:bCs/>
          <w:lang w:eastAsia="fr-FR" w:bidi="he-IL"/>
        </w:rPr>
        <w:t xml:space="preserve"> Voyez notre</w:t>
      </w:r>
      <w:r w:rsidRPr="00DC4586">
        <w:rPr>
          <w:rStyle w:val="italicus"/>
        </w:rPr>
        <w:t xml:space="preserve"> Synopsis</w:t>
      </w:r>
      <w:r>
        <w:rPr>
          <w:rStyle w:val="italicus"/>
        </w:rPr>
        <w:t xml:space="preserve">, </w:t>
      </w:r>
      <w:r w:rsidRPr="00C8701B">
        <w:rPr>
          <w:rFonts w:eastAsia="Arial Unicode MS"/>
          <w:bCs/>
          <w:lang w:eastAsia="fr-FR" w:bidi="he-IL"/>
        </w:rPr>
        <w:t>p. 20.</w:t>
      </w:r>
    </w:p>
  </w:footnote>
  <w:footnote w:id="148">
    <w:p w:rsidR="00941AA6" w:rsidRDefault="00941AA6">
      <w:pPr>
        <w:pStyle w:val="Notedebasdepage"/>
      </w:pPr>
      <w:r w:rsidRPr="00C406FF">
        <w:rPr>
          <w:rStyle w:val="Appelnotedebasdep"/>
        </w:rPr>
        <w:footnoteRef/>
      </w:r>
      <w:r>
        <w:t xml:space="preserve"> </w:t>
      </w:r>
      <w:r w:rsidRPr="00C8701B">
        <w:rPr>
          <w:bCs/>
          <w:lang w:eastAsia="fr-FR"/>
        </w:rPr>
        <w:t>Page 30.</w:t>
      </w:r>
    </w:p>
  </w:footnote>
  <w:footnote w:id="149">
    <w:p w:rsidR="00941AA6" w:rsidRDefault="00941AA6">
      <w:pPr>
        <w:pStyle w:val="Notedebasdepage"/>
      </w:pPr>
      <w:r w:rsidRPr="00C406FF">
        <w:rPr>
          <w:rStyle w:val="Appelnotedebasdep"/>
        </w:rPr>
        <w:footnoteRef/>
      </w:r>
      <w:r>
        <w:t xml:space="preserve"> Cf. Is. XL, 3.</w:t>
      </w:r>
    </w:p>
  </w:footnote>
  <w:footnote w:id="150">
    <w:p w:rsidR="00941AA6" w:rsidRPr="00933C60" w:rsidRDefault="00941AA6">
      <w:pPr>
        <w:pStyle w:val="Notedebasdepage"/>
      </w:pPr>
      <w:r w:rsidRPr="00C406FF">
        <w:rPr>
          <w:rStyle w:val="Appelnotedebasdep"/>
        </w:rPr>
        <w:footnoteRef/>
      </w:r>
      <w:r w:rsidRPr="00954AA2">
        <w:rPr>
          <w:rFonts w:eastAsia="Arial Unicode MS"/>
          <w:bCs/>
          <w:lang w:eastAsia="fr-FR" w:bidi="he-IL"/>
        </w:rPr>
        <w:t xml:space="preserve"> S. Luc n</w:t>
      </w:r>
      <w:r>
        <w:rPr>
          <w:rFonts w:eastAsia="Arial Unicode MS"/>
          <w:bCs/>
          <w:lang w:eastAsia="fr-FR" w:bidi="he-IL"/>
        </w:rPr>
        <w:t>’</w:t>
      </w:r>
      <w:r w:rsidRPr="00954AA2">
        <w:rPr>
          <w:rFonts w:eastAsia="Arial Unicode MS"/>
          <w:bCs/>
          <w:lang w:eastAsia="fr-FR" w:bidi="he-IL"/>
        </w:rPr>
        <w:t>a point ce passage.</w:t>
      </w:r>
    </w:p>
  </w:footnote>
  <w:footnote w:id="151">
    <w:p w:rsidR="00941AA6" w:rsidRPr="00933C60" w:rsidRDefault="00941AA6">
      <w:pPr>
        <w:pStyle w:val="Notedebasdepage"/>
      </w:pPr>
      <w:r w:rsidRPr="00C406FF">
        <w:rPr>
          <w:rStyle w:val="Appelnotedebasdep"/>
        </w:rPr>
        <w:footnoteRef/>
      </w:r>
      <w:r w:rsidRPr="00954AA2">
        <w:rPr>
          <w:rFonts w:eastAsia="Arial Unicode MS"/>
          <w:bCs/>
          <w:lang w:eastAsia="fr-FR" w:bidi="he-IL"/>
        </w:rPr>
        <w:t xml:space="preserve"> Comparez aussi Matth. XV, 8</w:t>
      </w:r>
      <w:r>
        <w:rPr>
          <w:rFonts w:eastAsia="Arial Unicode MS"/>
          <w:bCs/>
          <w:lang w:eastAsia="fr-FR" w:bidi="he-IL"/>
        </w:rPr>
        <w:t> ; Marc, VII, 6 </w:t>
      </w:r>
      <w:r w:rsidRPr="00954AA2">
        <w:rPr>
          <w:rFonts w:eastAsia="Arial Unicode MS"/>
          <w:bCs/>
          <w:lang w:eastAsia="fr-FR" w:bidi="he-IL"/>
        </w:rPr>
        <w:t>; et Is. XXIX, 13, d</w:t>
      </w:r>
      <w:r>
        <w:rPr>
          <w:rFonts w:eastAsia="Arial Unicode MS"/>
          <w:bCs/>
          <w:lang w:eastAsia="fr-FR" w:bidi="he-IL"/>
        </w:rPr>
        <w:t>’</w:t>
      </w:r>
      <w:r w:rsidRPr="00954AA2">
        <w:rPr>
          <w:rFonts w:eastAsia="Arial Unicode MS"/>
          <w:bCs/>
          <w:lang w:eastAsia="fr-FR" w:bidi="he-IL"/>
        </w:rPr>
        <w:t>après l</w:t>
      </w:r>
      <w:r>
        <w:rPr>
          <w:rFonts w:eastAsia="Arial Unicode MS"/>
          <w:bCs/>
          <w:lang w:eastAsia="fr-FR" w:bidi="he-IL"/>
        </w:rPr>
        <w:t>’</w:t>
      </w:r>
      <w:r w:rsidRPr="00954AA2">
        <w:rPr>
          <w:rFonts w:eastAsia="Arial Unicode MS"/>
          <w:bCs/>
          <w:lang w:eastAsia="fr-FR" w:bidi="he-IL"/>
        </w:rPr>
        <w:t>hébreu et les Septante.</w:t>
      </w:r>
    </w:p>
  </w:footnote>
  <w:footnote w:id="152">
    <w:p w:rsidR="00941AA6" w:rsidRPr="00933C60" w:rsidRDefault="00941AA6">
      <w:pPr>
        <w:pStyle w:val="Notedebasdepage"/>
      </w:pPr>
      <w:r w:rsidRPr="00C406FF">
        <w:rPr>
          <w:rStyle w:val="Appelnotedebasdep"/>
        </w:rPr>
        <w:footnoteRef/>
      </w:r>
      <w:r w:rsidRPr="00954AA2">
        <w:rPr>
          <w:rFonts w:eastAsia="Arial Unicode MS"/>
          <w:bCs/>
          <w:lang w:eastAsia="fr-FR" w:bidi="he-IL"/>
        </w:rPr>
        <w:t xml:space="preserve"> Reuss, </w:t>
      </w:r>
      <w:r w:rsidRPr="00557DE0">
        <w:rPr>
          <w:rStyle w:val="italicus"/>
        </w:rPr>
        <w:t>Histoire évangélique,</w:t>
      </w:r>
      <w:r w:rsidRPr="00954AA2">
        <w:rPr>
          <w:rFonts w:eastAsia="Arial Unicode MS"/>
          <w:bCs/>
          <w:lang w:eastAsia="fr-FR" w:bidi="he-IL"/>
        </w:rPr>
        <w:t xml:space="preserve"> p. 15.</w:t>
      </w:r>
    </w:p>
  </w:footnote>
  <w:footnote w:id="153">
    <w:p w:rsidR="00941AA6" w:rsidRPr="00933C60" w:rsidRDefault="00941AA6">
      <w:pPr>
        <w:pStyle w:val="Notedebasdepage"/>
      </w:pPr>
      <w:r w:rsidRPr="00C406FF">
        <w:rPr>
          <w:rStyle w:val="Appelnotedebasdep"/>
        </w:rPr>
        <w:footnoteRef/>
      </w:r>
      <w:r w:rsidRPr="00954AA2">
        <w:rPr>
          <w:rFonts w:eastAsia="Arial Unicode MS"/>
          <w:bCs/>
          <w:lang w:eastAsia="fr-FR" w:bidi="he-IL"/>
        </w:rPr>
        <w:t xml:space="preserve"> Et qu</w:t>
      </w:r>
      <w:r>
        <w:rPr>
          <w:rFonts w:eastAsia="Arial Unicode MS"/>
          <w:bCs/>
          <w:lang w:eastAsia="fr-FR" w:bidi="he-IL"/>
        </w:rPr>
        <w:t>’</w:t>
      </w:r>
      <w:r w:rsidRPr="00954AA2">
        <w:rPr>
          <w:rFonts w:eastAsia="Arial Unicode MS"/>
          <w:bCs/>
          <w:lang w:eastAsia="fr-FR" w:bidi="he-IL"/>
        </w:rPr>
        <w:t>on veuille bien remarquer que nous avons à peine effleuré ce sujet. Voir, en appendice (Append. I), plusieurs tableaux qui aideront le lecteur à faire des comparaisons plus complètes.</w:t>
      </w:r>
    </w:p>
  </w:footnote>
  <w:footnote w:id="154">
    <w:p w:rsidR="00941AA6" w:rsidRPr="00933C60" w:rsidRDefault="00941AA6">
      <w:pPr>
        <w:pStyle w:val="Notedebasdepage"/>
      </w:pPr>
      <w:r w:rsidRPr="00C406FF">
        <w:rPr>
          <w:rStyle w:val="Appelnotedebasdep"/>
        </w:rPr>
        <w:footnoteRef/>
      </w:r>
      <w:r w:rsidRPr="00954AA2">
        <w:rPr>
          <w:rFonts w:eastAsia="Arial Unicode MS"/>
          <w:bCs/>
          <w:lang w:eastAsia="fr-FR" w:bidi="he-IL"/>
        </w:rPr>
        <w:t xml:space="preserve"> Reuss, </w:t>
      </w:r>
      <w:r w:rsidRPr="00557DE0">
        <w:rPr>
          <w:rStyle w:val="italicus"/>
        </w:rPr>
        <w:t>ibid.</w:t>
      </w:r>
    </w:p>
  </w:footnote>
  <w:footnote w:id="155">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 xml:space="preserve">Luc. </w:t>
      </w:r>
      <w:r>
        <w:rPr>
          <w:rFonts w:eastAsia="Arial Unicode MS"/>
          <w:bCs/>
          <w:lang w:eastAsia="fr-FR" w:bidi="he-IL"/>
        </w:rPr>
        <w:t xml:space="preserve">IX, </w:t>
      </w:r>
      <w:r w:rsidRPr="00C8701B">
        <w:rPr>
          <w:rFonts w:eastAsia="Arial Unicode MS"/>
          <w:bCs/>
          <w:lang w:eastAsia="fr-FR" w:bidi="he-IL"/>
        </w:rPr>
        <w:t>51 et ss. Voyez notre</w:t>
      </w:r>
      <w:r w:rsidRPr="00DC4586">
        <w:rPr>
          <w:rStyle w:val="italicus"/>
        </w:rPr>
        <w:t xml:space="preserve"> Synopsis evangélica</w:t>
      </w:r>
      <w:r>
        <w:rPr>
          <w:rFonts w:eastAsia="Arial Unicode MS"/>
          <w:bCs/>
          <w:lang w:eastAsia="fr-FR" w:bidi="he-IL"/>
        </w:rPr>
        <w:t xml:space="preserve">, </w:t>
      </w:r>
      <w:r w:rsidRPr="00C8701B">
        <w:rPr>
          <w:rFonts w:eastAsia="Arial Unicode MS"/>
          <w:bCs/>
          <w:lang w:eastAsia="fr-FR" w:bidi="he-IL"/>
        </w:rPr>
        <w:t>p. 66 et ss.</w:t>
      </w:r>
    </w:p>
  </w:footnote>
  <w:footnote w:id="156">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Marc</w:t>
      </w:r>
      <w:r>
        <w:rPr>
          <w:rFonts w:eastAsia="Arial Unicode MS"/>
          <w:bCs/>
          <w:lang w:eastAsia="fr-FR" w:bidi="he-IL"/>
        </w:rPr>
        <w:t xml:space="preserve">, VII, </w:t>
      </w:r>
      <w:r w:rsidRPr="00C8701B">
        <w:rPr>
          <w:rFonts w:eastAsia="Arial Unicode MS"/>
          <w:bCs/>
          <w:lang w:eastAsia="fr-FR" w:bidi="he-IL"/>
        </w:rPr>
        <w:t>31 et ss. </w:t>
      </w:r>
      <w:r>
        <w:rPr>
          <w:rFonts w:eastAsia="Arial Unicode MS"/>
          <w:bCs/>
          <w:lang w:eastAsia="fr-FR" w:bidi="he-IL"/>
        </w:rPr>
        <w:t xml:space="preserve">; VIII, </w:t>
      </w:r>
      <w:r w:rsidRPr="00C8701B">
        <w:rPr>
          <w:rFonts w:eastAsia="Arial Unicode MS"/>
          <w:bCs/>
          <w:lang w:eastAsia="fr-FR" w:bidi="he-IL"/>
        </w:rPr>
        <w:t>22 et ss.</w:t>
      </w:r>
    </w:p>
  </w:footnote>
  <w:footnote w:id="157">
    <w:p w:rsidR="00941AA6" w:rsidRPr="00933C60" w:rsidRDefault="00941AA6">
      <w:pPr>
        <w:pStyle w:val="Notedebasdepage"/>
      </w:pPr>
      <w:r w:rsidRPr="00C406FF">
        <w:rPr>
          <w:rStyle w:val="Appelnotedebasdep"/>
        </w:rPr>
        <w:footnoteRef/>
      </w:r>
      <w:r w:rsidRPr="00C8701B">
        <w:rPr>
          <w:rFonts w:eastAsia="Arial Unicode MS"/>
          <w:bCs/>
          <w:lang w:eastAsia="fr-FR" w:bidi="he-IL"/>
        </w:rPr>
        <w:t xml:space="preserve"> Marc</w:t>
      </w:r>
      <w:r>
        <w:rPr>
          <w:rFonts w:eastAsia="Arial Unicode MS"/>
          <w:bCs/>
          <w:lang w:eastAsia="fr-FR" w:bidi="he-IL"/>
        </w:rPr>
        <w:t xml:space="preserve">, IV, </w:t>
      </w:r>
      <w:r w:rsidRPr="00C8701B">
        <w:rPr>
          <w:rFonts w:eastAsia="Arial Unicode MS"/>
          <w:bCs/>
          <w:lang w:eastAsia="fr-FR" w:bidi="he-IL"/>
        </w:rPr>
        <w:t>26 et ss. </w:t>
      </w:r>
      <w:r>
        <w:rPr>
          <w:rFonts w:eastAsia="Arial Unicode MS"/>
          <w:bCs/>
          <w:lang w:eastAsia="fr-FR" w:bidi="he-IL"/>
        </w:rPr>
        <w:t xml:space="preserve">; XIII, </w:t>
      </w:r>
      <w:r w:rsidRPr="00C8701B">
        <w:rPr>
          <w:rFonts w:eastAsia="Arial Unicode MS"/>
          <w:bCs/>
          <w:lang w:eastAsia="fr-FR" w:bidi="he-IL"/>
        </w:rPr>
        <w:t>33 et ss.</w:t>
      </w:r>
    </w:p>
  </w:footnote>
  <w:footnote w:id="158">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aussi notre</w:t>
      </w:r>
      <w:r w:rsidRPr="00DC4586">
        <w:rPr>
          <w:rStyle w:val="italicus"/>
        </w:rPr>
        <w:t xml:space="preserve"> Synopsis</w:t>
      </w:r>
      <w:r>
        <w:rPr>
          <w:rFonts w:eastAsia="Arial Unicode MS"/>
          <w:bCs/>
          <w:lang w:eastAsia="fr-FR" w:bidi="he-IL"/>
        </w:rPr>
        <w:t>, pass</w:t>
      </w:r>
      <w:r w:rsidRPr="00C8701B">
        <w:rPr>
          <w:rFonts w:eastAsia="Arial Unicode MS"/>
          <w:bCs/>
          <w:lang w:eastAsia="fr-FR" w:bidi="he-IL"/>
        </w:rPr>
        <w:t>im. On n</w:t>
      </w:r>
      <w:r>
        <w:rPr>
          <w:rFonts w:eastAsia="Arial Unicode MS"/>
          <w:bCs/>
          <w:lang w:eastAsia="fr-FR" w:bidi="he-IL"/>
        </w:rPr>
        <w:t>’</w:t>
      </w:r>
      <w:r w:rsidRPr="00C8701B">
        <w:rPr>
          <w:rFonts w:eastAsia="Arial Unicode MS"/>
          <w:bCs/>
          <w:lang w:eastAsia="fr-FR" w:bidi="he-IL"/>
        </w:rPr>
        <w:t>a qu</w:t>
      </w:r>
      <w:r>
        <w:rPr>
          <w:rFonts w:eastAsia="Arial Unicode MS"/>
          <w:bCs/>
          <w:lang w:eastAsia="fr-FR" w:bidi="he-IL"/>
        </w:rPr>
        <w:t>’</w:t>
      </w:r>
      <w:r w:rsidRPr="00C8701B">
        <w:rPr>
          <w:rFonts w:eastAsia="Arial Unicode MS"/>
          <w:bCs/>
          <w:lang w:eastAsia="fr-FR" w:bidi="he-IL"/>
        </w:rPr>
        <w:t>à y jeter un coup d</w:t>
      </w:r>
      <w:r>
        <w:rPr>
          <w:rFonts w:eastAsia="Arial Unicode MS"/>
          <w:bCs/>
          <w:lang w:eastAsia="fr-FR" w:bidi="he-IL"/>
        </w:rPr>
        <w:t>’</w:t>
      </w:r>
      <w:r w:rsidRPr="00C8701B">
        <w:rPr>
          <w:rFonts w:eastAsia="Arial Unicode MS"/>
          <w:bCs/>
          <w:lang w:eastAsia="fr-FR" w:bidi="he-IL"/>
        </w:rPr>
        <w:t>œil rapide pour se rendre compte de cette dissemblance de</w:t>
      </w:r>
      <w:r>
        <w:rPr>
          <w:rFonts w:eastAsia="Arial Unicode MS"/>
          <w:bCs/>
          <w:lang w:eastAsia="fr-FR" w:bidi="he-IL"/>
        </w:rPr>
        <w:t xml:space="preserve"> la</w:t>
      </w:r>
      <w:r w:rsidRPr="00C8701B">
        <w:rPr>
          <w:rFonts w:eastAsia="Arial Unicode MS"/>
          <w:bCs/>
          <w:lang w:eastAsia="fr-FR" w:bidi="he-IL"/>
        </w:rPr>
        <w:t xml:space="preserve"> matière. Voir</w:t>
      </w:r>
      <w:r>
        <w:rPr>
          <w:rFonts w:eastAsia="Arial Unicode MS"/>
          <w:bCs/>
          <w:lang w:eastAsia="fr-FR" w:bidi="he-IL"/>
        </w:rPr>
        <w:t xml:space="preserve"> d’ailleurs l’Appendice</w:t>
      </w:r>
      <w:r w:rsidRPr="00C8701B">
        <w:rPr>
          <w:rFonts w:eastAsia="Arial Unicode MS"/>
          <w:bCs/>
          <w:lang w:eastAsia="fr-FR" w:bidi="he-IL"/>
        </w:rPr>
        <w:t xml:space="preserve"> I.</w:t>
      </w:r>
    </w:p>
  </w:footnote>
  <w:footnote w:id="159">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151D4">
        <w:t>Ζητ</w:t>
      </w:r>
      <w:r>
        <w:t>ή</w:t>
      </w:r>
      <w:r w:rsidRPr="00C151D4">
        <w:t>μ</w:t>
      </w:r>
      <w:r>
        <w:t>α</w:t>
      </w:r>
      <w:r w:rsidRPr="00C151D4">
        <w:t>τ</w:t>
      </w:r>
      <w:r>
        <w:t>α</w:t>
      </w:r>
      <w:r w:rsidRPr="00C151D4">
        <w:t xml:space="preserve"> κ</w:t>
      </w:r>
      <w:r>
        <w:t>α</w:t>
      </w:r>
      <w:r w:rsidRPr="00C151D4">
        <w:t>ὶ λ</w:t>
      </w:r>
      <w:r>
        <w:t>ύ</w:t>
      </w:r>
      <w:r w:rsidRPr="00C151D4">
        <w:t>σεις</w:t>
      </w:r>
      <w:r>
        <w:rPr>
          <w:rFonts w:eastAsia="Arial Unicode MS"/>
          <w:bCs/>
          <w:lang w:val="el-GR" w:eastAsia="fr-FR" w:bidi="he-IL"/>
        </w:rPr>
        <w:t xml:space="preserve">, </w:t>
      </w:r>
      <w:r w:rsidRPr="00C8701B">
        <w:rPr>
          <w:rFonts w:eastAsia="Arial Unicode MS"/>
          <w:bCs/>
          <w:lang w:eastAsia="fr-FR" w:bidi="he-IL"/>
        </w:rPr>
        <w:t xml:space="preserve">ouvrage intitulé aussi </w:t>
      </w:r>
      <w:r w:rsidRPr="00C151D4">
        <w:t>Περὶ τῆς τῶν εὐ</w:t>
      </w:r>
      <w:r>
        <w:t>α</w:t>
      </w:r>
      <w:r w:rsidRPr="00C151D4">
        <w:t>γγ</w:t>
      </w:r>
      <w:r>
        <w:t>έ</w:t>
      </w:r>
      <w:r w:rsidRPr="00C151D4">
        <w:t>λιων δι</w:t>
      </w:r>
      <w:r>
        <w:t>α</w:t>
      </w:r>
      <w:r w:rsidRPr="00C151D4">
        <w:t>φων</w:t>
      </w:r>
      <w:r>
        <w:t>ία</w:t>
      </w:r>
      <w:r w:rsidRPr="00C151D4">
        <w:t xml:space="preserve">ς, ap. Mai, </w:t>
      </w:r>
      <w:r>
        <w:rPr>
          <w:rStyle w:val="italicus"/>
        </w:rPr>
        <w:t>Scriptur. veter. nova Col</w:t>
      </w:r>
      <w:r w:rsidRPr="00DC4586">
        <w:rPr>
          <w:rStyle w:val="italicus"/>
        </w:rPr>
        <w:t>léctio.</w:t>
      </w:r>
    </w:p>
  </w:footnote>
  <w:footnote w:id="160">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De consénsu evangelist</w:t>
      </w:r>
      <w:r>
        <w:rPr>
          <w:rStyle w:val="italicus"/>
        </w:rPr>
        <w:t>árum</w:t>
      </w:r>
      <w:r w:rsidRPr="00DC4586">
        <w:rPr>
          <w:rStyle w:val="italicus"/>
        </w:rPr>
        <w:t xml:space="preserve"> libri </w:t>
      </w:r>
      <w:r>
        <w:rPr>
          <w:rStyle w:val="italicus"/>
        </w:rPr>
        <w:t>quátuor</w:t>
      </w:r>
      <w:r w:rsidRPr="00DC4586">
        <w:rPr>
          <w:rStyle w:val="italicus"/>
        </w:rPr>
        <w:t>.</w:t>
      </w:r>
    </w:p>
  </w:footnote>
  <w:footnote w:id="161">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Pour notre époque</w:t>
      </w:r>
      <w:r>
        <w:rPr>
          <w:rFonts w:eastAsia="Arial Unicode MS"/>
          <w:bCs/>
          <w:lang w:eastAsia="fr-FR" w:bidi="he-IL"/>
        </w:rPr>
        <w:t xml:space="preserve">, </w:t>
      </w:r>
      <w:r w:rsidRPr="00C8701B">
        <w:rPr>
          <w:rFonts w:eastAsia="Arial Unicode MS"/>
          <w:bCs/>
          <w:lang w:eastAsia="fr-FR" w:bidi="he-IL"/>
        </w:rPr>
        <w:t>indépendamment des commentaires</w:t>
      </w:r>
      <w:r>
        <w:rPr>
          <w:rFonts w:eastAsia="Arial Unicode MS"/>
          <w:bCs/>
          <w:lang w:eastAsia="fr-FR" w:bidi="he-IL"/>
        </w:rPr>
        <w:t xml:space="preserve">, </w:t>
      </w:r>
      <w:r w:rsidRPr="00C8701B">
        <w:rPr>
          <w:rFonts w:eastAsia="Arial Unicode MS"/>
          <w:bCs/>
          <w:lang w:eastAsia="fr-FR" w:bidi="he-IL"/>
        </w:rPr>
        <w:t>voy</w:t>
      </w:r>
      <w:r>
        <w:rPr>
          <w:rFonts w:eastAsia="Arial Unicode MS"/>
          <w:bCs/>
          <w:lang w:eastAsia="fr-FR" w:bidi="he-IL"/>
        </w:rPr>
        <w:t>e</w:t>
      </w:r>
      <w:r w:rsidRPr="00C8701B">
        <w:rPr>
          <w:rFonts w:eastAsia="Arial Unicode MS"/>
          <w:bCs/>
          <w:lang w:eastAsia="fr-FR" w:bidi="he-IL"/>
        </w:rPr>
        <w:t>z Patrizi</w:t>
      </w:r>
      <w:r>
        <w:rPr>
          <w:rFonts w:eastAsia="Arial Unicode MS"/>
          <w:bCs/>
          <w:lang w:eastAsia="fr-FR" w:bidi="he-IL"/>
        </w:rPr>
        <w:t xml:space="preserve">, </w:t>
      </w:r>
      <w:r w:rsidRPr="00DC4586">
        <w:rPr>
          <w:rStyle w:val="italicus"/>
        </w:rPr>
        <w:t>De</w:t>
      </w:r>
      <w:r>
        <w:rPr>
          <w:rStyle w:val="italicus"/>
        </w:rPr>
        <w:t xml:space="preserve"> evangéli</w:t>
      </w:r>
      <w:r w:rsidRPr="00DC4586">
        <w:rPr>
          <w:rStyle w:val="italicus"/>
        </w:rPr>
        <w:t xml:space="preserve">is </w:t>
      </w:r>
      <w:r>
        <w:rPr>
          <w:rStyle w:val="italicus"/>
        </w:rPr>
        <w:t>libri t</w:t>
      </w:r>
      <w:r w:rsidRPr="00DC4586">
        <w:rPr>
          <w:rStyle w:val="italicus"/>
        </w:rPr>
        <w:t>res</w:t>
      </w:r>
      <w:r>
        <w:rPr>
          <w:rStyle w:val="italicus"/>
        </w:rPr>
        <w:t xml:space="preserve">, </w:t>
      </w:r>
      <w:r w:rsidRPr="00C8701B">
        <w:rPr>
          <w:rFonts w:eastAsia="Arial Unicode MS"/>
          <w:bCs/>
          <w:lang w:eastAsia="fr-FR" w:bidi="he-IL"/>
        </w:rPr>
        <w:t>passim : Grimm</w:t>
      </w:r>
      <w:r>
        <w:rPr>
          <w:rFonts w:eastAsia="Arial Unicode MS"/>
          <w:bCs/>
          <w:lang w:eastAsia="fr-FR" w:bidi="he-IL"/>
        </w:rPr>
        <w:t xml:space="preserve">, </w:t>
      </w:r>
      <w:r>
        <w:rPr>
          <w:rStyle w:val="italicus"/>
        </w:rPr>
        <w:t>Die Einheit de</w:t>
      </w:r>
      <w:r w:rsidRPr="00DC4586">
        <w:rPr>
          <w:rStyle w:val="italicus"/>
        </w:rPr>
        <w:t>r vier Evangelien</w:t>
      </w:r>
      <w:r>
        <w:rPr>
          <w:rStyle w:val="italicus"/>
        </w:rPr>
        <w:t xml:space="preserve">, </w:t>
      </w:r>
      <w:r w:rsidRPr="00C8701B">
        <w:rPr>
          <w:rFonts w:eastAsia="Arial Unicode MS"/>
          <w:bCs/>
          <w:lang w:eastAsia="fr-FR" w:bidi="he-IL"/>
        </w:rPr>
        <w:t>Ratisbonne</w:t>
      </w:r>
      <w:r>
        <w:rPr>
          <w:rFonts w:eastAsia="Arial Unicode MS"/>
          <w:bCs/>
          <w:lang w:eastAsia="fr-FR" w:bidi="he-IL"/>
        </w:rPr>
        <w:t xml:space="preserve">, </w:t>
      </w:r>
      <w:r w:rsidRPr="00C8701B">
        <w:rPr>
          <w:rFonts w:eastAsia="Arial Unicode MS"/>
          <w:bCs/>
          <w:lang w:eastAsia="fr-FR" w:bidi="he-IL"/>
        </w:rPr>
        <w:t>1858 </w:t>
      </w:r>
      <w:r>
        <w:rPr>
          <w:rFonts w:eastAsia="Arial Unicode MS"/>
          <w:bCs/>
          <w:lang w:eastAsia="fr-FR" w:bidi="he-IL"/>
        </w:rPr>
        <w:t xml:space="preserve">; Cornely, </w:t>
      </w:r>
      <w:r w:rsidRPr="00DC4586">
        <w:rPr>
          <w:rStyle w:val="italicus"/>
        </w:rPr>
        <w:t>Histórica et crítica introdúctio in utri</w:t>
      </w:r>
      <w:r>
        <w:rPr>
          <w:rStyle w:val="italicus"/>
        </w:rPr>
        <w:t>ú</w:t>
      </w:r>
      <w:r w:rsidRPr="00DC4586">
        <w:rPr>
          <w:rStyle w:val="italicus"/>
        </w:rPr>
        <w:t>sque Testaménti libros sacros</w:t>
      </w:r>
      <w:r>
        <w:rPr>
          <w:rStyle w:val="italicus"/>
        </w:rPr>
        <w:t xml:space="preserve">, </w:t>
      </w:r>
      <w:r w:rsidRPr="00C8701B">
        <w:rPr>
          <w:rFonts w:eastAsia="Arial Unicode MS"/>
          <w:bCs/>
          <w:lang w:eastAsia="fr-FR" w:bidi="he-IL"/>
        </w:rPr>
        <w:t>t. lit</w:t>
      </w:r>
      <w:r>
        <w:rPr>
          <w:rFonts w:eastAsia="Arial Unicode MS"/>
          <w:bCs/>
          <w:lang w:eastAsia="fr-FR" w:bidi="he-IL"/>
        </w:rPr>
        <w:t>, p. 189-205</w:t>
      </w:r>
      <w:r w:rsidRPr="00C8701B">
        <w:rPr>
          <w:rFonts w:eastAsia="Arial Unicode MS"/>
          <w:bCs/>
          <w:lang w:eastAsia="fr-FR" w:bidi="he-IL"/>
        </w:rPr>
        <w:t>.</w:t>
      </w:r>
    </w:p>
  </w:footnote>
  <w:footnote w:id="162">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 xml:space="preserve">Cf. </w:t>
      </w:r>
      <w:r>
        <w:rPr>
          <w:rFonts w:eastAsia="Arial Unicode MS"/>
          <w:bCs/>
          <w:lang w:eastAsia="fr-FR" w:bidi="he-IL"/>
        </w:rPr>
        <w:t xml:space="preserve">V, </w:t>
      </w:r>
      <w:r w:rsidRPr="00C8701B">
        <w:rPr>
          <w:rFonts w:eastAsia="Arial Unicode MS"/>
          <w:bCs/>
          <w:lang w:eastAsia="fr-FR" w:bidi="he-IL"/>
        </w:rPr>
        <w:t>1-VII</w:t>
      </w:r>
      <w:r>
        <w:rPr>
          <w:rFonts w:eastAsia="Arial Unicode MS"/>
          <w:bCs/>
          <w:lang w:eastAsia="fr-FR" w:bidi="he-IL"/>
        </w:rPr>
        <w:t xml:space="preserve">, </w:t>
      </w:r>
      <w:r w:rsidRPr="00C8701B">
        <w:rPr>
          <w:rFonts w:eastAsia="Arial Unicode MS"/>
          <w:bCs/>
          <w:lang w:eastAsia="fr-FR" w:bidi="he-IL"/>
        </w:rPr>
        <w:t>29.</w:t>
      </w:r>
    </w:p>
  </w:footnote>
  <w:footnote w:id="163">
    <w:p w:rsidR="00941AA6" w:rsidRPr="00933C60" w:rsidRDefault="00941AA6">
      <w:pPr>
        <w:pStyle w:val="Notedebasdepage"/>
      </w:pPr>
      <w:r w:rsidRPr="00C406FF">
        <w:rPr>
          <w:rStyle w:val="Appelnotedebasdep"/>
        </w:rPr>
        <w:footnoteRef/>
      </w:r>
      <w:r>
        <w:rPr>
          <w:rFonts w:eastAsia="Arial Unicode MS"/>
          <w:lang w:eastAsia="fr-FR" w:bidi="he-IL"/>
        </w:rPr>
        <w:t xml:space="preserve"> </w:t>
      </w:r>
      <w:r>
        <w:rPr>
          <w:rFonts w:eastAsia="Arial Unicode MS"/>
          <w:bCs/>
          <w:lang w:eastAsia="fr-FR" w:bidi="he-IL"/>
        </w:rPr>
        <w:t xml:space="preserve">XIII, </w:t>
      </w:r>
      <w:r w:rsidRPr="00C8701B">
        <w:rPr>
          <w:rFonts w:eastAsia="Arial Unicode MS"/>
          <w:bCs/>
          <w:lang w:eastAsia="fr-FR" w:bidi="he-IL"/>
        </w:rPr>
        <w:t>1</w:t>
      </w:r>
      <w:r>
        <w:rPr>
          <w:rFonts w:eastAsia="Arial Unicode MS"/>
          <w:bCs/>
          <w:lang w:eastAsia="fr-FR" w:bidi="he-IL"/>
        </w:rPr>
        <w:t>-5</w:t>
      </w:r>
      <w:r w:rsidRPr="00C8701B">
        <w:rPr>
          <w:rFonts w:eastAsia="Arial Unicode MS"/>
          <w:bCs/>
          <w:lang w:eastAsia="fr-FR" w:bidi="he-IL"/>
        </w:rPr>
        <w:t>3.</w:t>
      </w:r>
    </w:p>
  </w:footnote>
  <w:footnote w:id="164">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notre</w:t>
      </w:r>
      <w:r w:rsidRPr="00DC4586">
        <w:rPr>
          <w:rStyle w:val="italicus"/>
        </w:rPr>
        <w:t xml:space="preserve"> Synopsis</w:t>
      </w:r>
      <w:r>
        <w:rPr>
          <w:rStyle w:val="italicus"/>
        </w:rPr>
        <w:t xml:space="preserve">, </w:t>
      </w:r>
      <w:r w:rsidRPr="00C8701B">
        <w:rPr>
          <w:rFonts w:eastAsia="Arial Unicode MS"/>
          <w:bCs/>
          <w:lang w:eastAsia="fr-FR" w:bidi="he-IL"/>
        </w:rPr>
        <w:t>p. 23 et ss. </w:t>
      </w:r>
      <w:r>
        <w:rPr>
          <w:rFonts w:eastAsia="Arial Unicode MS"/>
          <w:bCs/>
          <w:lang w:eastAsia="fr-FR" w:bidi="he-IL"/>
        </w:rPr>
        <w:t xml:space="preserve">; </w:t>
      </w:r>
      <w:r w:rsidRPr="00C8701B">
        <w:rPr>
          <w:rFonts w:eastAsia="Arial Unicode MS"/>
          <w:bCs/>
          <w:lang w:eastAsia="fr-FR" w:bidi="he-IL"/>
        </w:rPr>
        <w:t>40 et ss.</w:t>
      </w:r>
    </w:p>
  </w:footnote>
  <w:footnote w:id="165">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notre commentaire sur l</w:t>
      </w:r>
      <w:r>
        <w:rPr>
          <w:rFonts w:eastAsia="Arial Unicode MS"/>
          <w:bCs/>
          <w:lang w:eastAsia="fr-FR" w:bidi="he-IL"/>
        </w:rPr>
        <w:t>’</w:t>
      </w:r>
      <w:r w:rsidRPr="00C8701B">
        <w:rPr>
          <w:rFonts w:eastAsia="Arial Unicode MS"/>
          <w:bCs/>
          <w:lang w:eastAsia="fr-FR" w:bidi="he-IL"/>
        </w:rPr>
        <w:t>Evang. selon S. Matth.</w:t>
      </w:r>
      <w:r>
        <w:rPr>
          <w:rFonts w:eastAsia="Arial Unicode MS"/>
          <w:bCs/>
          <w:lang w:eastAsia="fr-FR" w:bidi="he-IL"/>
        </w:rPr>
        <w:t xml:space="preserve">, </w:t>
      </w:r>
      <w:r w:rsidRPr="00C8701B">
        <w:rPr>
          <w:rFonts w:eastAsia="Arial Unicode MS"/>
          <w:bCs/>
          <w:lang w:eastAsia="fr-FR" w:bidi="he-IL"/>
        </w:rPr>
        <w:t>p. 27.</w:t>
      </w:r>
    </w:p>
  </w:footnote>
  <w:footnote w:id="166">
    <w:p w:rsidR="00941AA6" w:rsidRPr="00557DE0" w:rsidRDefault="00941AA6">
      <w:pPr>
        <w:pStyle w:val="Notedebasdepage"/>
        <w:rPr>
          <w:lang w:val="de-AT"/>
        </w:rPr>
      </w:pPr>
      <w:r w:rsidRPr="00C406FF">
        <w:rPr>
          <w:rStyle w:val="Appelnotedebasdep"/>
        </w:rPr>
        <w:footnoteRef/>
      </w:r>
      <w:r w:rsidRPr="000819BA">
        <w:rPr>
          <w:rFonts w:eastAsia="Arial Unicode MS"/>
          <w:lang w:val="de-AT" w:eastAsia="fr-FR" w:bidi="he-IL"/>
        </w:rPr>
        <w:t xml:space="preserve"> </w:t>
      </w:r>
      <w:r w:rsidRPr="000819BA">
        <w:rPr>
          <w:rFonts w:eastAsia="Arial Unicode MS"/>
          <w:bCs/>
          <w:lang w:val="de-AT" w:eastAsia="fr-FR" w:bidi="he-IL"/>
        </w:rPr>
        <w:t xml:space="preserve">Cf. A. Maier, </w:t>
      </w:r>
      <w:r w:rsidRPr="000819BA">
        <w:rPr>
          <w:rStyle w:val="italicus"/>
          <w:lang w:val="de-AT"/>
        </w:rPr>
        <w:t>Einleitung in die Schriften des Neuen Testamentes</w:t>
      </w:r>
      <w:r w:rsidRPr="000819BA">
        <w:rPr>
          <w:rFonts w:eastAsia="Arial Unicode MS"/>
          <w:bCs/>
          <w:lang w:val="de-AT" w:eastAsia="fr-FR" w:bidi="he-IL"/>
        </w:rPr>
        <w:t xml:space="preserve">, Fribourg-en-Brisgau, 1852, p. </w:t>
      </w:r>
      <w:r w:rsidRPr="00757FC7">
        <w:t xml:space="preserve">13, note, </w:t>
      </w:r>
      <w:r w:rsidRPr="001C15F9">
        <w:rPr>
          <w:lang w:val="de-AT"/>
        </w:rPr>
        <w:t xml:space="preserve">et notre </w:t>
      </w:r>
      <w:r w:rsidRPr="000819BA">
        <w:rPr>
          <w:rStyle w:val="italicus"/>
          <w:lang w:val="de-AT"/>
        </w:rPr>
        <w:t xml:space="preserve">Synopsis, </w:t>
      </w:r>
      <w:r w:rsidRPr="000819BA">
        <w:rPr>
          <w:rFonts w:eastAsia="Arial Unicode MS"/>
          <w:bCs/>
          <w:lang w:val="de-AT" w:eastAsia="fr-FR" w:bidi="he-IL"/>
        </w:rPr>
        <w:t>passim.</w:t>
      </w:r>
    </w:p>
  </w:footnote>
  <w:footnote w:id="167">
    <w:p w:rsidR="00941AA6" w:rsidRPr="00557DE0" w:rsidRDefault="00941AA6">
      <w:pPr>
        <w:pStyle w:val="Notedebasdepage"/>
        <w:rPr>
          <w:lang w:val="de-AT"/>
        </w:rPr>
      </w:pPr>
      <w:r w:rsidRPr="00C406FF">
        <w:rPr>
          <w:rStyle w:val="Appelnotedebasdep"/>
        </w:rPr>
        <w:footnoteRef/>
      </w:r>
      <w:r w:rsidRPr="000819BA">
        <w:rPr>
          <w:rFonts w:eastAsia="Arial Unicode MS"/>
          <w:lang w:val="de-AT" w:eastAsia="fr-FR" w:bidi="he-IL"/>
        </w:rPr>
        <w:t xml:space="preserve"> </w:t>
      </w:r>
      <w:r w:rsidRPr="000819BA">
        <w:rPr>
          <w:rStyle w:val="italicus"/>
          <w:lang w:val="de-AT"/>
        </w:rPr>
        <w:t xml:space="preserve">Die synoptischen Evangelien, </w:t>
      </w:r>
      <w:r w:rsidRPr="000819BA">
        <w:rPr>
          <w:rFonts w:eastAsia="Arial Unicode MS"/>
          <w:bCs/>
          <w:lang w:val="de-AT" w:eastAsia="fr-FR" w:bidi="he-IL"/>
        </w:rPr>
        <w:t>Heilbronn, 1883.</w:t>
      </w:r>
    </w:p>
  </w:footnote>
  <w:footnote w:id="168">
    <w:p w:rsidR="00941AA6" w:rsidRPr="00933C60" w:rsidRDefault="00941AA6">
      <w:pPr>
        <w:pStyle w:val="Notedebasdepage"/>
      </w:pPr>
      <w:r w:rsidRPr="00C406FF">
        <w:rPr>
          <w:rStyle w:val="Appelnotedebasdep"/>
        </w:rPr>
        <w:footnoteRef/>
      </w:r>
      <w:r w:rsidRPr="000819BA">
        <w:rPr>
          <w:rFonts w:eastAsia="Arial Unicode MS"/>
          <w:lang w:val="de-AT" w:eastAsia="fr-FR" w:bidi="he-IL"/>
        </w:rPr>
        <w:t xml:space="preserve"> </w:t>
      </w:r>
      <w:r w:rsidRPr="000819BA">
        <w:rPr>
          <w:rFonts w:eastAsia="Arial Unicode MS"/>
          <w:bCs/>
          <w:lang w:val="de-AT" w:eastAsia="fr-FR" w:bidi="he-IL"/>
        </w:rPr>
        <w:t xml:space="preserve">Cf. Matth. </w:t>
      </w:r>
      <w:r>
        <w:rPr>
          <w:rFonts w:eastAsia="Arial Unicode MS"/>
          <w:bCs/>
          <w:lang w:eastAsia="fr-FR" w:bidi="he-IL"/>
        </w:rPr>
        <w:t xml:space="preserve">XII, </w:t>
      </w:r>
      <w:r w:rsidRPr="00C8701B">
        <w:rPr>
          <w:rFonts w:eastAsia="Arial Unicode MS"/>
          <w:bCs/>
          <w:lang w:eastAsia="fr-FR" w:bidi="he-IL"/>
        </w:rPr>
        <w:t>22-45 </w:t>
      </w:r>
      <w:r>
        <w:rPr>
          <w:rFonts w:eastAsia="Arial Unicode MS"/>
          <w:bCs/>
          <w:lang w:eastAsia="fr-FR" w:bidi="he-IL"/>
        </w:rPr>
        <w:t xml:space="preserve">; </w:t>
      </w:r>
      <w:r w:rsidRPr="00C8701B">
        <w:rPr>
          <w:rFonts w:eastAsia="Arial Unicode MS"/>
          <w:bCs/>
          <w:lang w:eastAsia="fr-FR" w:bidi="he-IL"/>
        </w:rPr>
        <w:t>Marc</w:t>
      </w:r>
      <w:r>
        <w:rPr>
          <w:rFonts w:eastAsia="Arial Unicode MS"/>
          <w:bCs/>
          <w:lang w:eastAsia="fr-FR" w:bidi="he-IL"/>
        </w:rPr>
        <w:t xml:space="preserve">, </w:t>
      </w:r>
      <w:r w:rsidRPr="00C8701B">
        <w:rPr>
          <w:rFonts w:eastAsia="Arial Unicode MS"/>
          <w:bCs/>
          <w:lang w:eastAsia="fr-FR" w:bidi="he-IL"/>
        </w:rPr>
        <w:t>III</w:t>
      </w:r>
      <w:r>
        <w:rPr>
          <w:rFonts w:eastAsia="Arial Unicode MS"/>
          <w:bCs/>
          <w:lang w:eastAsia="fr-FR" w:bidi="he-IL"/>
        </w:rPr>
        <w:t xml:space="preserve">, </w:t>
      </w:r>
      <w:r w:rsidRPr="00C8701B">
        <w:rPr>
          <w:rFonts w:eastAsia="Arial Unicode MS"/>
          <w:bCs/>
          <w:lang w:eastAsia="fr-FR" w:bidi="he-IL"/>
        </w:rPr>
        <w:t>20-30 </w:t>
      </w:r>
      <w:r>
        <w:rPr>
          <w:rFonts w:eastAsia="Arial Unicode MS"/>
          <w:bCs/>
          <w:lang w:eastAsia="fr-FR" w:bidi="he-IL"/>
        </w:rPr>
        <w:t xml:space="preserve">; </w:t>
      </w:r>
      <w:r w:rsidRPr="00C8701B">
        <w:rPr>
          <w:rFonts w:eastAsia="Arial Unicode MS"/>
          <w:bCs/>
          <w:lang w:eastAsia="fr-FR" w:bidi="he-IL"/>
        </w:rPr>
        <w:t>Luc.</w:t>
      </w:r>
      <w:r>
        <w:rPr>
          <w:rFonts w:eastAsia="Arial Unicode MS"/>
          <w:bCs/>
          <w:lang w:eastAsia="fr-FR" w:bidi="he-IL"/>
        </w:rPr>
        <w:t xml:space="preserve"> XI, </w:t>
      </w:r>
      <w:r w:rsidRPr="00C8701B">
        <w:rPr>
          <w:rFonts w:eastAsia="Arial Unicode MS"/>
          <w:bCs/>
          <w:lang w:eastAsia="fr-FR" w:bidi="he-IL"/>
        </w:rPr>
        <w:t>14-36. Voyez notre</w:t>
      </w:r>
      <w:r w:rsidRPr="00DC4586">
        <w:rPr>
          <w:rStyle w:val="italicus"/>
        </w:rPr>
        <w:t xml:space="preserve"> Synopsis</w:t>
      </w:r>
      <w:r>
        <w:rPr>
          <w:rStyle w:val="italicus"/>
        </w:rPr>
        <w:t xml:space="preserve">, </w:t>
      </w:r>
      <w:r w:rsidRPr="00C8701B">
        <w:rPr>
          <w:rFonts w:eastAsia="Arial Unicode MS"/>
          <w:bCs/>
          <w:lang w:val="el-GR" w:eastAsia="fr-FR" w:bidi="he-IL"/>
        </w:rPr>
        <w:t>ρ</w:t>
      </w:r>
      <w:r w:rsidRPr="00C8701B">
        <w:rPr>
          <w:rFonts w:eastAsia="Arial Unicode MS"/>
          <w:bCs/>
          <w:lang w:eastAsia="fr-FR" w:bidi="he-IL"/>
        </w:rPr>
        <w:t>. 37-39.</w:t>
      </w:r>
    </w:p>
  </w:footnote>
  <w:footnote w:id="169">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Marc</w:t>
      </w:r>
      <w:r>
        <w:rPr>
          <w:rFonts w:eastAsia="Arial Unicode MS"/>
          <w:bCs/>
          <w:lang w:eastAsia="fr-FR" w:bidi="he-IL"/>
        </w:rPr>
        <w:t xml:space="preserve">, </w:t>
      </w:r>
      <w:r w:rsidRPr="00C8701B">
        <w:rPr>
          <w:rFonts w:eastAsia="Arial Unicode MS"/>
          <w:bCs/>
          <w:lang w:eastAsia="fr-FR" w:bidi="he-IL"/>
        </w:rPr>
        <w:t>III</w:t>
      </w:r>
      <w:r>
        <w:rPr>
          <w:rFonts w:eastAsia="Arial Unicode MS"/>
          <w:bCs/>
          <w:lang w:eastAsia="fr-FR" w:bidi="he-IL"/>
        </w:rPr>
        <w:t xml:space="preserve">, </w:t>
      </w:r>
      <w:r w:rsidRPr="00C8701B">
        <w:rPr>
          <w:rFonts w:eastAsia="Arial Unicode MS"/>
          <w:bCs/>
          <w:lang w:eastAsia="fr-FR" w:bidi="he-IL"/>
        </w:rPr>
        <w:t>20.</w:t>
      </w:r>
    </w:p>
  </w:footnote>
  <w:footnote w:id="170">
    <w:p w:rsidR="00941AA6" w:rsidRPr="00933C60" w:rsidRDefault="00941AA6">
      <w:pPr>
        <w:pStyle w:val="Notedebasdepage"/>
      </w:pPr>
      <w:r w:rsidRPr="00C406FF">
        <w:rPr>
          <w:rStyle w:val="Appelnotedebasdep"/>
        </w:rPr>
        <w:footnoteRef/>
      </w:r>
      <w:r w:rsidRPr="003A44BB">
        <w:t xml:space="preserve"> Matth. XII, 22-23. Cf. Luc. XI, 14.</w:t>
      </w:r>
    </w:p>
  </w:footnote>
  <w:footnote w:id="171">
    <w:p w:rsidR="00941AA6" w:rsidRPr="00933C60" w:rsidRDefault="00941AA6">
      <w:pPr>
        <w:pStyle w:val="Notedebasdepage"/>
      </w:pPr>
      <w:r w:rsidRPr="00C406FF">
        <w:rPr>
          <w:rStyle w:val="Appelnotedebasdep"/>
        </w:rPr>
        <w:footnoteRef/>
      </w:r>
      <w:r w:rsidRPr="003A44BB">
        <w:t xml:space="preserve"> Matth. XII, 38.</w:t>
      </w:r>
    </w:p>
  </w:footnote>
  <w:footnote w:id="172">
    <w:p w:rsidR="00941AA6" w:rsidRPr="00933C60" w:rsidRDefault="00941AA6">
      <w:pPr>
        <w:pStyle w:val="Notedebasdepage"/>
      </w:pPr>
      <w:r w:rsidRPr="00C406FF">
        <w:rPr>
          <w:rStyle w:val="Appelnotedebasdep"/>
        </w:rPr>
        <w:footnoteRef/>
      </w:r>
      <w:r w:rsidRPr="003A44BB">
        <w:t xml:space="preserve"> Luc. XI, 6.</w:t>
      </w:r>
    </w:p>
  </w:footnote>
  <w:footnote w:id="173">
    <w:p w:rsidR="00941AA6" w:rsidRPr="00933C60" w:rsidRDefault="00941AA6">
      <w:pPr>
        <w:pStyle w:val="Notedebasdepage"/>
      </w:pPr>
      <w:r w:rsidRPr="00C406FF">
        <w:rPr>
          <w:rStyle w:val="Appelnotedebasdep"/>
        </w:rPr>
        <w:footnoteRef/>
      </w:r>
      <w:r w:rsidRPr="003A44BB">
        <w:t xml:space="preserve"> Cf. Matth. XXVI, 69-75 ; Marc, XIV, 66-72 ; Luc. XXII, 56-62. Voyez notre </w:t>
      </w:r>
      <w:r w:rsidRPr="003A44BB">
        <w:rPr>
          <w:rStyle w:val="italicus"/>
        </w:rPr>
        <w:t>Synopsis,</w:t>
      </w:r>
      <w:r w:rsidRPr="003A44BB">
        <w:t xml:space="preserve"> p. 121-122.</w:t>
      </w:r>
    </w:p>
  </w:footnote>
  <w:footnote w:id="174">
    <w:p w:rsidR="00941AA6" w:rsidRPr="00933C60" w:rsidRDefault="00941AA6">
      <w:pPr>
        <w:pStyle w:val="Notedebasdepage"/>
      </w:pPr>
      <w:r w:rsidRPr="00C406FF">
        <w:rPr>
          <w:rStyle w:val="Appelnotedebasdep"/>
        </w:rPr>
        <w:footnoteRef/>
      </w:r>
      <w:r w:rsidRPr="003A44BB">
        <w:t xml:space="preserve"> Pages 29-32.</w:t>
      </w:r>
    </w:p>
  </w:footnote>
  <w:footnote w:id="175">
    <w:p w:rsidR="00941AA6" w:rsidRPr="00933C60" w:rsidRDefault="00941AA6">
      <w:pPr>
        <w:pStyle w:val="Notedebasdepage"/>
      </w:pPr>
      <w:r w:rsidRPr="00C406FF">
        <w:rPr>
          <w:rStyle w:val="Appelnotedebasdep"/>
        </w:rPr>
        <w:footnoteRef/>
      </w:r>
      <w:r>
        <w:rPr>
          <w:lang w:eastAsia="fr-FR" w:bidi="he-IL"/>
        </w:rPr>
        <w:t xml:space="preserve"> </w:t>
      </w:r>
      <w:r w:rsidRPr="00C8701B">
        <w:rPr>
          <w:lang w:eastAsia="fr-FR" w:bidi="he-IL"/>
        </w:rPr>
        <w:t>« Si l</w:t>
      </w:r>
      <w:r>
        <w:rPr>
          <w:lang w:eastAsia="fr-FR" w:bidi="he-IL"/>
        </w:rPr>
        <w:t>’</w:t>
      </w:r>
      <w:r w:rsidRPr="00C8701B">
        <w:rPr>
          <w:lang w:eastAsia="fr-FR" w:bidi="he-IL"/>
        </w:rPr>
        <w:t>on compare S. Matthieu</w:t>
      </w:r>
      <w:r>
        <w:rPr>
          <w:lang w:eastAsia="fr-FR" w:bidi="he-IL"/>
        </w:rPr>
        <w:t xml:space="preserve">, XI, </w:t>
      </w:r>
      <w:r w:rsidRPr="00C8701B">
        <w:rPr>
          <w:lang w:eastAsia="fr-FR" w:bidi="he-IL"/>
        </w:rPr>
        <w:t>25-27</w:t>
      </w:r>
      <w:r>
        <w:rPr>
          <w:lang w:eastAsia="fr-FR" w:bidi="he-IL"/>
        </w:rPr>
        <w:t xml:space="preserve">, </w:t>
      </w:r>
      <w:r w:rsidRPr="00C8701B">
        <w:rPr>
          <w:lang w:eastAsia="fr-FR" w:bidi="he-IL"/>
        </w:rPr>
        <w:t>et S. Luc</w:t>
      </w:r>
      <w:r>
        <w:rPr>
          <w:lang w:eastAsia="fr-FR" w:bidi="he-IL"/>
        </w:rPr>
        <w:t xml:space="preserve">, X, </w:t>
      </w:r>
      <w:r w:rsidRPr="00C8701B">
        <w:rPr>
          <w:lang w:eastAsia="fr-FR" w:bidi="he-IL"/>
        </w:rPr>
        <w:t>21-22</w:t>
      </w:r>
      <w:r>
        <w:rPr>
          <w:lang w:eastAsia="fr-FR" w:bidi="he-IL"/>
        </w:rPr>
        <w:t xml:space="preserve">, </w:t>
      </w:r>
      <w:r w:rsidRPr="00C8701B">
        <w:rPr>
          <w:lang w:eastAsia="fr-FR" w:bidi="he-IL"/>
        </w:rPr>
        <w:t>on voit qu</w:t>
      </w:r>
      <w:r>
        <w:rPr>
          <w:lang w:eastAsia="fr-FR" w:bidi="he-IL"/>
        </w:rPr>
        <w:t>’</w:t>
      </w:r>
      <w:r w:rsidRPr="00C8701B">
        <w:rPr>
          <w:lang w:eastAsia="fr-FR" w:bidi="he-IL"/>
        </w:rPr>
        <w:t>ils rapportent les paroles de Notre-Seigneur avec une coïncidence si parfaite</w:t>
      </w:r>
      <w:r>
        <w:rPr>
          <w:lang w:eastAsia="fr-FR" w:bidi="he-IL"/>
        </w:rPr>
        <w:t xml:space="preserve">, </w:t>
      </w:r>
      <w:r w:rsidRPr="00C8701B">
        <w:rPr>
          <w:lang w:eastAsia="fr-FR" w:bidi="he-IL"/>
        </w:rPr>
        <w:t>qu</w:t>
      </w:r>
      <w:r>
        <w:rPr>
          <w:lang w:eastAsia="fr-FR" w:bidi="he-IL"/>
        </w:rPr>
        <w:t>’</w:t>
      </w:r>
      <w:r w:rsidRPr="00C8701B">
        <w:rPr>
          <w:lang w:eastAsia="fr-FR" w:bidi="he-IL"/>
        </w:rPr>
        <w:t>il serait impossi</w:t>
      </w:r>
      <w:r>
        <w:rPr>
          <w:lang w:eastAsia="fr-FR" w:bidi="he-IL"/>
        </w:rPr>
        <w:t>ble de trouver deux écrivains tr</w:t>
      </w:r>
      <w:r w:rsidRPr="00C8701B">
        <w:rPr>
          <w:lang w:eastAsia="fr-FR" w:bidi="he-IL"/>
        </w:rPr>
        <w:t>aduisant en grec</w:t>
      </w:r>
      <w:r>
        <w:rPr>
          <w:lang w:eastAsia="fr-FR" w:bidi="he-IL"/>
        </w:rPr>
        <w:t xml:space="preserve">, </w:t>
      </w:r>
      <w:r w:rsidRPr="00C8701B">
        <w:rPr>
          <w:lang w:eastAsia="fr-FR" w:bidi="he-IL"/>
        </w:rPr>
        <w:t>d</w:t>
      </w:r>
      <w:r>
        <w:rPr>
          <w:lang w:eastAsia="fr-FR" w:bidi="he-IL"/>
        </w:rPr>
        <w:t>’une manière aus</w:t>
      </w:r>
      <w:r w:rsidRPr="00C8701B">
        <w:rPr>
          <w:lang w:eastAsia="fr-FR" w:bidi="he-IL"/>
        </w:rPr>
        <w:t>si complètement semblable</w:t>
      </w:r>
      <w:r>
        <w:rPr>
          <w:lang w:eastAsia="fr-FR" w:bidi="he-IL"/>
        </w:rPr>
        <w:t xml:space="preserve">, un seul </w:t>
      </w:r>
      <w:r w:rsidRPr="00C8701B">
        <w:rPr>
          <w:lang w:eastAsia="fr-FR" w:bidi="he-IL"/>
        </w:rPr>
        <w:t>et même passage</w:t>
      </w:r>
      <w:r>
        <w:rPr>
          <w:lang w:eastAsia="fr-FR" w:bidi="he-IL"/>
        </w:rPr>
        <w:t xml:space="preserve">, </w:t>
      </w:r>
      <w:r w:rsidRPr="00C8701B">
        <w:rPr>
          <w:lang w:eastAsia="fr-FR" w:bidi="he-IL"/>
        </w:rPr>
        <w:t>quoique bien court. Et pourtant</w:t>
      </w:r>
      <w:r>
        <w:rPr>
          <w:lang w:eastAsia="fr-FR" w:bidi="he-IL"/>
        </w:rPr>
        <w:t xml:space="preserve">, </w:t>
      </w:r>
      <w:r w:rsidRPr="00C8701B">
        <w:rPr>
          <w:lang w:eastAsia="fr-FR" w:bidi="he-IL"/>
        </w:rPr>
        <w:t>quoique la ressemblanc</w:t>
      </w:r>
      <w:r>
        <w:rPr>
          <w:lang w:eastAsia="fr-FR" w:bidi="he-IL"/>
        </w:rPr>
        <w:t>e a</w:t>
      </w:r>
      <w:r w:rsidRPr="00C8701B">
        <w:rPr>
          <w:lang w:eastAsia="fr-FR" w:bidi="he-IL"/>
        </w:rPr>
        <w:t>ille jusqu</w:t>
      </w:r>
      <w:r>
        <w:rPr>
          <w:lang w:eastAsia="fr-FR" w:bidi="he-IL"/>
        </w:rPr>
        <w:t>’</w:t>
      </w:r>
      <w:r w:rsidRPr="00C8701B">
        <w:rPr>
          <w:lang w:eastAsia="fr-FR" w:bidi="he-IL"/>
        </w:rPr>
        <w:t>aux expressions les moins importantes</w:t>
      </w:r>
      <w:r>
        <w:rPr>
          <w:lang w:eastAsia="fr-FR" w:bidi="he-IL"/>
        </w:rPr>
        <w:t>, il</w:t>
      </w:r>
      <w:r w:rsidRPr="00C8701B">
        <w:rPr>
          <w:lang w:eastAsia="fr-FR" w:bidi="he-IL"/>
        </w:rPr>
        <w:t xml:space="preserve"> y a une variante d</w:t>
      </w:r>
      <w:r>
        <w:rPr>
          <w:lang w:eastAsia="fr-FR" w:bidi="he-IL"/>
        </w:rPr>
        <w:t>’</w:t>
      </w:r>
      <w:r w:rsidRPr="00C8701B">
        <w:rPr>
          <w:lang w:eastAsia="fr-FR" w:bidi="he-IL"/>
        </w:rPr>
        <w:t>une certaine gravité. Au lieu de</w:t>
      </w:r>
      <w:r w:rsidRPr="00DC4586">
        <w:rPr>
          <w:rStyle w:val="italicus"/>
        </w:rPr>
        <w:t xml:space="preserve"> connaît le Fils</w:t>
      </w:r>
      <w:r>
        <w:rPr>
          <w:rStyle w:val="italicus"/>
        </w:rPr>
        <w:t xml:space="preserve">, </w:t>
      </w:r>
      <w:r>
        <w:rPr>
          <w:lang w:eastAsia="fr-FR" w:bidi="he-IL"/>
        </w:rPr>
        <w:t>S. Luc di</w:t>
      </w:r>
      <w:r w:rsidRPr="00C8701B">
        <w:rPr>
          <w:lang w:eastAsia="fr-FR" w:bidi="he-IL"/>
        </w:rPr>
        <w:t>t :</w:t>
      </w:r>
      <w:r w:rsidRPr="00DC4586">
        <w:rPr>
          <w:rStyle w:val="italicus"/>
        </w:rPr>
        <w:t xml:space="preserve"> connaît qui est le Fils.</w:t>
      </w:r>
      <w:r w:rsidRPr="00C8701B">
        <w:rPr>
          <w:lang w:eastAsia="fr-FR" w:bidi="he-IL"/>
        </w:rPr>
        <w:t xml:space="preserve"> La divergence ne porte que sur trois mots </w:t>
      </w:r>
      <w:r>
        <w:rPr>
          <w:lang w:eastAsia="fr-FR" w:bidi="he-IL"/>
        </w:rPr>
        <w:t xml:space="preserve">; </w:t>
      </w:r>
      <w:r w:rsidRPr="00C8701B">
        <w:rPr>
          <w:lang w:eastAsia="fr-FR" w:bidi="he-IL"/>
        </w:rPr>
        <w:t>la coïncidence portait sur plus de cinquante </w:t>
      </w:r>
      <w:r>
        <w:rPr>
          <w:lang w:eastAsia="fr-FR" w:bidi="he-IL"/>
        </w:rPr>
        <w:t xml:space="preserve">; </w:t>
      </w:r>
      <w:r w:rsidRPr="00C8701B">
        <w:rPr>
          <w:lang w:eastAsia="fr-FR" w:bidi="he-IL"/>
        </w:rPr>
        <w:t>et néanmoins</w:t>
      </w:r>
      <w:r>
        <w:rPr>
          <w:lang w:eastAsia="fr-FR" w:bidi="he-IL"/>
        </w:rPr>
        <w:t xml:space="preserve">, </w:t>
      </w:r>
      <w:r w:rsidRPr="00C8701B">
        <w:rPr>
          <w:lang w:eastAsia="fr-FR" w:bidi="he-IL"/>
        </w:rPr>
        <w:t>cette divergence suffit pour démontrer l</w:t>
      </w:r>
      <w:r>
        <w:rPr>
          <w:lang w:eastAsia="fr-FR" w:bidi="he-IL"/>
        </w:rPr>
        <w:t>’</w:t>
      </w:r>
      <w:r w:rsidRPr="00C8701B">
        <w:rPr>
          <w:lang w:eastAsia="fr-FR" w:bidi="he-IL"/>
        </w:rPr>
        <w:t xml:space="preserve">indépendance des deux récits. » </w:t>
      </w:r>
      <w:r w:rsidRPr="00C8701B">
        <w:rPr>
          <w:lang w:val="en-US" w:eastAsia="fr-FR" w:bidi="he-IL"/>
        </w:rPr>
        <w:t>Thomson</w:t>
      </w:r>
      <w:r>
        <w:rPr>
          <w:lang w:val="en-US" w:eastAsia="fr-FR" w:bidi="he-IL"/>
        </w:rPr>
        <w:t xml:space="preserve">, </w:t>
      </w:r>
      <w:r w:rsidRPr="00C8701B">
        <w:rPr>
          <w:lang w:val="en-US" w:eastAsia="fr-FR" w:bidi="he-IL"/>
        </w:rPr>
        <w:t>Word</w:t>
      </w:r>
      <w:r>
        <w:rPr>
          <w:lang w:val="en-US" w:eastAsia="fr-FR" w:bidi="he-IL"/>
        </w:rPr>
        <w:t xml:space="preserve">, </w:t>
      </w:r>
      <w:r w:rsidRPr="00A74F01">
        <w:rPr>
          <w:rStyle w:val="italicus"/>
          <w:lang w:val="en-US"/>
        </w:rPr>
        <w:t xml:space="preserve">Work and Will, </w:t>
      </w:r>
      <w:r w:rsidRPr="00C8701B">
        <w:rPr>
          <w:lang w:val="en-US" w:eastAsia="fr-FR" w:bidi="he-IL"/>
        </w:rPr>
        <w:t>Londres</w:t>
      </w:r>
      <w:r>
        <w:rPr>
          <w:lang w:val="en-US" w:eastAsia="fr-FR" w:bidi="he-IL"/>
        </w:rPr>
        <w:t xml:space="preserve">, </w:t>
      </w:r>
      <w:r w:rsidRPr="00C8701B">
        <w:rPr>
          <w:lang w:val="en-US" w:eastAsia="fr-FR" w:bidi="he-IL"/>
        </w:rPr>
        <w:t>1879</w:t>
      </w:r>
      <w:r>
        <w:rPr>
          <w:lang w:val="en-US" w:eastAsia="fr-FR" w:bidi="he-IL"/>
        </w:rPr>
        <w:t xml:space="preserve">, </w:t>
      </w:r>
      <w:r w:rsidRPr="00C8701B">
        <w:rPr>
          <w:lang w:val="en-US" w:eastAsia="fr-FR" w:bidi="he-IL"/>
        </w:rPr>
        <w:t>p. 6.</w:t>
      </w:r>
    </w:p>
  </w:footnote>
  <w:footnote w:id="176">
    <w:p w:rsidR="00941AA6" w:rsidRPr="00933C60" w:rsidRDefault="00941AA6">
      <w:pPr>
        <w:pStyle w:val="Notedebasdepage"/>
      </w:pPr>
      <w:r w:rsidRPr="00C406FF">
        <w:rPr>
          <w:rStyle w:val="Appelnotedebasdep"/>
        </w:rPr>
        <w:footnoteRef/>
      </w:r>
      <w:r w:rsidRPr="0012077A">
        <w:rPr>
          <w:rFonts w:eastAsia="Arial Unicode MS"/>
          <w:bCs/>
          <w:lang w:eastAsia="fr-FR" w:bidi="he-IL"/>
        </w:rPr>
        <w:t xml:space="preserve"> Variantes semblables dans l</w:t>
      </w:r>
      <w:r>
        <w:rPr>
          <w:rFonts w:eastAsia="Arial Unicode MS"/>
          <w:bCs/>
          <w:lang w:eastAsia="fr-FR" w:bidi="he-IL"/>
        </w:rPr>
        <w:t>’</w:t>
      </w:r>
      <w:r w:rsidRPr="0012077A">
        <w:rPr>
          <w:rFonts w:eastAsia="Arial Unicode MS"/>
          <w:bCs/>
          <w:lang w:eastAsia="fr-FR" w:bidi="he-IL"/>
        </w:rPr>
        <w:t>emploi des conjonctions, de l</w:t>
      </w:r>
      <w:r>
        <w:rPr>
          <w:rFonts w:eastAsia="Arial Unicode MS"/>
          <w:bCs/>
          <w:lang w:eastAsia="fr-FR" w:bidi="he-IL"/>
        </w:rPr>
        <w:t>’</w:t>
      </w:r>
      <w:r w:rsidRPr="0012077A">
        <w:rPr>
          <w:rFonts w:eastAsia="Arial Unicode MS"/>
          <w:bCs/>
          <w:lang w:eastAsia="fr-FR" w:bidi="he-IL"/>
        </w:rPr>
        <w:t>article, etc.</w:t>
      </w:r>
    </w:p>
  </w:footnote>
  <w:footnote w:id="177">
    <w:p w:rsidR="00941AA6" w:rsidRPr="00933C60" w:rsidRDefault="00941AA6">
      <w:pPr>
        <w:pStyle w:val="Notedebasdepage"/>
      </w:pPr>
      <w:r w:rsidRPr="00C406FF">
        <w:rPr>
          <w:rStyle w:val="Appelnotedebasdep"/>
        </w:rPr>
        <w:footnoteRef/>
      </w:r>
      <w:r>
        <w:rPr>
          <w:rFonts w:eastAsia="Arial Unicode MS"/>
          <w:bCs/>
          <w:lang w:eastAsia="fr-FR" w:bidi="he-IL"/>
        </w:rPr>
        <w:t xml:space="preserve"> </w:t>
      </w:r>
      <w:r w:rsidRPr="00C8701B">
        <w:rPr>
          <w:rFonts w:eastAsia="Arial Unicode MS"/>
          <w:bCs/>
          <w:lang w:eastAsia="fr-FR" w:bidi="he-IL"/>
        </w:rPr>
        <w:t xml:space="preserve">Voyez notre </w:t>
      </w:r>
      <w:r w:rsidRPr="001C6D79">
        <w:rPr>
          <w:rStyle w:val="italicus"/>
        </w:rPr>
        <w:t>Synopsis,</w:t>
      </w:r>
      <w:r>
        <w:rPr>
          <w:rFonts w:eastAsia="Arial Unicode MS"/>
          <w:bCs/>
          <w:lang w:eastAsia="fr-FR" w:bidi="he-IL"/>
        </w:rPr>
        <w:t xml:space="preserve"> </w:t>
      </w:r>
      <w:r w:rsidRPr="00C8701B">
        <w:rPr>
          <w:rFonts w:eastAsia="Arial Unicode MS"/>
          <w:bCs/>
          <w:lang w:eastAsia="fr-FR" w:bidi="he-IL"/>
        </w:rPr>
        <w:t>p. 113.</w:t>
      </w:r>
    </w:p>
  </w:footnote>
  <w:footnote w:id="178">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Ibid.</w:t>
      </w:r>
      <w:r>
        <w:rPr>
          <w:rStyle w:val="italicus"/>
        </w:rPr>
        <w:t xml:space="preserve">, </w:t>
      </w:r>
      <w:r w:rsidRPr="00C8701B">
        <w:rPr>
          <w:rFonts w:eastAsia="Arial Unicode MS"/>
          <w:bCs/>
          <w:lang w:eastAsia="fr-FR" w:bidi="he-IL"/>
        </w:rPr>
        <w:t xml:space="preserve">p. 128. Cf. Joan. </w:t>
      </w:r>
      <w:r>
        <w:rPr>
          <w:rFonts w:eastAsia="Arial Unicode MS"/>
          <w:bCs/>
          <w:lang w:eastAsia="fr-FR" w:bidi="he-IL"/>
        </w:rPr>
        <w:t xml:space="preserve">XIX, </w:t>
      </w:r>
      <w:r w:rsidRPr="00C8701B">
        <w:rPr>
          <w:rFonts w:eastAsia="Arial Unicode MS"/>
          <w:bCs/>
          <w:lang w:eastAsia="fr-FR" w:bidi="he-IL"/>
        </w:rPr>
        <w:t>19-22.</w:t>
      </w:r>
    </w:p>
  </w:footnote>
  <w:footnote w:id="179">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Nous recommandons surtout l</w:t>
      </w:r>
      <w:r>
        <w:rPr>
          <w:rFonts w:eastAsia="Arial Unicode MS"/>
          <w:bCs/>
          <w:lang w:eastAsia="fr-FR" w:bidi="he-IL"/>
        </w:rPr>
        <w:t>’</w:t>
      </w:r>
      <w:r w:rsidRPr="00C8701B">
        <w:rPr>
          <w:rFonts w:eastAsia="Arial Unicode MS"/>
          <w:bCs/>
          <w:lang w:eastAsia="fr-FR" w:bidi="he-IL"/>
        </w:rPr>
        <w:t>ouvrage de Patrizi :</w:t>
      </w:r>
      <w:r w:rsidRPr="00DC4586">
        <w:rPr>
          <w:rStyle w:val="italicus"/>
        </w:rPr>
        <w:t xml:space="preserve"> De Evangéliis libri</w:t>
      </w:r>
      <w:r w:rsidRPr="00C8701B">
        <w:rPr>
          <w:rFonts w:eastAsia="Arial Unicode MS"/>
          <w:bCs/>
          <w:lang w:eastAsia="fr-FR" w:bidi="he-IL"/>
        </w:rPr>
        <w:t xml:space="preserve"> </w:t>
      </w:r>
      <w:r>
        <w:rPr>
          <w:rFonts w:eastAsia="Arial Unicode MS"/>
          <w:bCs/>
          <w:lang w:eastAsia="fr-FR" w:bidi="he-IL"/>
        </w:rPr>
        <w:t xml:space="preserve">III, </w:t>
      </w:r>
      <w:r w:rsidRPr="00C8701B">
        <w:rPr>
          <w:rFonts w:eastAsia="Arial Unicode MS"/>
          <w:bCs/>
          <w:lang w:eastAsia="fr-FR" w:bidi="he-IL"/>
        </w:rPr>
        <w:t>déjà cité</w:t>
      </w:r>
      <w:r>
        <w:rPr>
          <w:rFonts w:eastAsia="Arial Unicode MS"/>
          <w:bCs/>
          <w:lang w:eastAsia="fr-FR" w:bidi="he-IL"/>
        </w:rPr>
        <w:t xml:space="preserve">, </w:t>
      </w:r>
      <w:r w:rsidRPr="00C8701B">
        <w:rPr>
          <w:rFonts w:eastAsia="Arial Unicode MS"/>
          <w:bCs/>
          <w:lang w:eastAsia="fr-FR" w:bidi="he-IL"/>
        </w:rPr>
        <w:t>et Stroud</w:t>
      </w:r>
      <w:r>
        <w:rPr>
          <w:rFonts w:eastAsia="Arial Unicode MS"/>
          <w:bCs/>
          <w:lang w:eastAsia="fr-FR" w:bidi="he-IL"/>
        </w:rPr>
        <w:t xml:space="preserve">, </w:t>
      </w:r>
      <w:r w:rsidRPr="00DC4586">
        <w:rPr>
          <w:rStyle w:val="italicus"/>
        </w:rPr>
        <w:t>A new greek Harmony of the four Gospels</w:t>
      </w:r>
      <w:r>
        <w:rPr>
          <w:rStyle w:val="italicus"/>
        </w:rPr>
        <w:t xml:space="preserve">, </w:t>
      </w:r>
      <w:r w:rsidRPr="00C8701B">
        <w:rPr>
          <w:rFonts w:eastAsia="Arial Unicode MS"/>
          <w:bCs/>
          <w:lang w:eastAsia="fr-FR" w:bidi="he-IL"/>
        </w:rPr>
        <w:t>Londres</w:t>
      </w:r>
      <w:r>
        <w:rPr>
          <w:rFonts w:eastAsia="Arial Unicode MS"/>
          <w:bCs/>
          <w:lang w:eastAsia="fr-FR" w:bidi="he-IL"/>
        </w:rPr>
        <w:t xml:space="preserve">, </w:t>
      </w:r>
      <w:r w:rsidRPr="00C8701B">
        <w:rPr>
          <w:rFonts w:eastAsia="Arial Unicode MS"/>
          <w:bCs/>
          <w:lang w:eastAsia="fr-FR" w:bidi="he-IL"/>
        </w:rPr>
        <w:t>1853.</w:t>
      </w:r>
    </w:p>
  </w:footnote>
  <w:footnote w:id="180">
    <w:p w:rsidR="00941AA6" w:rsidRPr="00657DEA"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spécialement J. A</w:t>
      </w:r>
      <w:r>
        <w:rPr>
          <w:rFonts w:eastAsia="Arial Unicode MS"/>
          <w:bCs/>
          <w:lang w:eastAsia="fr-FR" w:bidi="he-IL"/>
        </w:rPr>
        <w:t xml:space="preserve">. </w:t>
      </w:r>
      <w:r w:rsidRPr="00C8701B">
        <w:rPr>
          <w:rFonts w:eastAsia="Arial Unicode MS"/>
          <w:bCs/>
          <w:lang w:eastAsia="fr-FR" w:bidi="he-IL"/>
        </w:rPr>
        <w:t>S</w:t>
      </w:r>
      <w:r>
        <w:rPr>
          <w:rFonts w:eastAsia="Arial Unicode MS"/>
          <w:bCs/>
          <w:lang w:eastAsia="fr-FR" w:bidi="he-IL"/>
        </w:rPr>
        <w:t>c</w:t>
      </w:r>
      <w:r w:rsidRPr="00C8701B">
        <w:rPr>
          <w:rFonts w:eastAsia="Arial Unicode MS"/>
          <w:bCs/>
          <w:lang w:eastAsia="fr-FR" w:bidi="he-IL"/>
        </w:rPr>
        <w:t>holten</w:t>
      </w:r>
      <w:r>
        <w:rPr>
          <w:rFonts w:eastAsia="Arial Unicode MS"/>
          <w:bCs/>
          <w:lang w:eastAsia="fr-FR" w:bidi="he-IL"/>
        </w:rPr>
        <w:t xml:space="preserve">, </w:t>
      </w:r>
      <w:r>
        <w:rPr>
          <w:rStyle w:val="italicus"/>
        </w:rPr>
        <w:t>Da</w:t>
      </w:r>
      <w:r w:rsidRPr="00DC4586">
        <w:rPr>
          <w:rStyle w:val="italicus"/>
        </w:rPr>
        <w:t>s Ρaulinische Evangélium</w:t>
      </w:r>
      <w:r>
        <w:rPr>
          <w:rStyle w:val="italicus"/>
        </w:rPr>
        <w:t xml:space="preserve">, </w:t>
      </w:r>
      <w:r>
        <w:rPr>
          <w:rFonts w:eastAsia="Arial Unicode MS"/>
          <w:bCs/>
          <w:lang w:eastAsia="fr-FR" w:bidi="he-IL"/>
        </w:rPr>
        <w:t>traduction al</w:t>
      </w:r>
      <w:r w:rsidRPr="00C8701B">
        <w:rPr>
          <w:rFonts w:eastAsia="Arial Unicode MS"/>
          <w:bCs/>
          <w:lang w:eastAsia="fr-FR" w:bidi="he-IL"/>
        </w:rPr>
        <w:t>lemande</w:t>
      </w:r>
      <w:r>
        <w:rPr>
          <w:rFonts w:eastAsia="Arial Unicode MS"/>
          <w:bCs/>
          <w:lang w:eastAsia="fr-FR" w:bidi="he-IL"/>
        </w:rPr>
        <w:t>, Elberfeld,</w:t>
      </w:r>
      <w:r w:rsidRPr="00C8701B">
        <w:rPr>
          <w:rFonts w:eastAsia="Arial Unicode MS"/>
          <w:bCs/>
          <w:lang w:eastAsia="fr-FR" w:bidi="he-IL"/>
        </w:rPr>
        <w:t xml:space="preserve"> 1881. Les conclusions de l</w:t>
      </w:r>
      <w:r>
        <w:rPr>
          <w:rFonts w:eastAsia="Arial Unicode MS"/>
          <w:bCs/>
          <w:lang w:eastAsia="fr-FR" w:bidi="he-IL"/>
        </w:rPr>
        <w:t>’</w:t>
      </w:r>
      <w:r w:rsidRPr="00C8701B">
        <w:rPr>
          <w:rFonts w:eastAsia="Arial Unicode MS"/>
          <w:bCs/>
          <w:lang w:eastAsia="fr-FR" w:bidi="he-IL"/>
        </w:rPr>
        <w:t>auteur sont</w:t>
      </w:r>
      <w:r>
        <w:rPr>
          <w:rFonts w:eastAsia="Arial Unicode MS"/>
          <w:bCs/>
          <w:lang w:eastAsia="fr-FR" w:bidi="he-IL"/>
        </w:rPr>
        <w:t xml:space="preserve">, </w:t>
      </w:r>
      <w:r w:rsidRPr="00C8701B">
        <w:rPr>
          <w:rFonts w:eastAsia="Arial Unicode MS"/>
          <w:bCs/>
          <w:lang w:eastAsia="fr-FR" w:bidi="he-IL"/>
        </w:rPr>
        <w:t>il est vrai</w:t>
      </w:r>
      <w:r>
        <w:rPr>
          <w:rFonts w:eastAsia="Arial Unicode MS"/>
          <w:bCs/>
          <w:lang w:eastAsia="fr-FR" w:bidi="he-IL"/>
        </w:rPr>
        <w:t xml:space="preserve">, </w:t>
      </w:r>
      <w:r w:rsidRPr="00C8701B">
        <w:rPr>
          <w:rFonts w:eastAsia="Arial Unicode MS"/>
          <w:lang w:eastAsia="fr-FR" w:bidi="he-IL"/>
        </w:rPr>
        <w:t>ultra</w:t>
      </w:r>
      <w:r w:rsidRPr="00C8701B">
        <w:rPr>
          <w:rFonts w:eastAsia="Arial Unicode MS"/>
          <w:bCs/>
          <w:lang w:eastAsia="fr-FR" w:bidi="he-IL"/>
        </w:rPr>
        <w:t>-rationalistes et insensées </w:t>
      </w:r>
      <w:r>
        <w:rPr>
          <w:rFonts w:eastAsia="Arial Unicode MS"/>
          <w:bCs/>
          <w:lang w:eastAsia="fr-FR" w:bidi="he-IL"/>
        </w:rPr>
        <w:t xml:space="preserve">; </w:t>
      </w:r>
      <w:r w:rsidRPr="00C8701B">
        <w:rPr>
          <w:rFonts w:eastAsia="Arial Unicode MS"/>
          <w:bCs/>
          <w:lang w:eastAsia="fr-FR" w:bidi="he-IL"/>
        </w:rPr>
        <w:t>mais les comparaisons entre les réci</w:t>
      </w:r>
      <w:r>
        <w:rPr>
          <w:rFonts w:eastAsia="Arial Unicode MS"/>
          <w:bCs/>
          <w:lang w:eastAsia="fr-FR" w:bidi="he-IL"/>
        </w:rPr>
        <w:t>ts des synoptiques sont tout à f</w:t>
      </w:r>
      <w:r w:rsidRPr="00C8701B">
        <w:rPr>
          <w:rFonts w:eastAsia="Arial Unicode MS"/>
          <w:bCs/>
          <w:lang w:eastAsia="fr-FR" w:bidi="he-IL"/>
        </w:rPr>
        <w:t>ait</w:t>
      </w:r>
      <w:r>
        <w:rPr>
          <w:rFonts w:eastAsia="Arial Unicode MS"/>
          <w:bCs/>
          <w:lang w:eastAsia="fr-FR" w:bidi="he-IL"/>
        </w:rPr>
        <w:t xml:space="preserve"> complè</w:t>
      </w:r>
      <w:r w:rsidRPr="00C8701B">
        <w:rPr>
          <w:rFonts w:eastAsia="Arial Unicode MS"/>
          <w:bCs/>
          <w:lang w:eastAsia="fr-FR" w:bidi="he-IL"/>
        </w:rPr>
        <w:t>tes et intéressantes. Le D</w:t>
      </w:r>
      <w:r w:rsidRPr="00C8701B">
        <w:rPr>
          <w:rFonts w:eastAsia="Arial Unicode MS"/>
          <w:bCs/>
          <w:vertAlign w:val="superscript"/>
          <w:lang w:eastAsia="fr-FR" w:bidi="he-IL"/>
        </w:rPr>
        <w:t>r</w:t>
      </w:r>
      <w:r w:rsidRPr="00C8701B">
        <w:rPr>
          <w:rFonts w:eastAsia="Arial Unicode MS"/>
          <w:bCs/>
          <w:lang w:eastAsia="fr-FR" w:bidi="he-IL"/>
        </w:rPr>
        <w:t xml:space="preserve"> Hug</w:t>
      </w:r>
      <w:r>
        <w:rPr>
          <w:rFonts w:eastAsia="Arial Unicode MS"/>
          <w:bCs/>
          <w:lang w:eastAsia="fr-FR" w:bidi="he-IL"/>
        </w:rPr>
        <w:t xml:space="preserve">, </w:t>
      </w:r>
      <w:r w:rsidRPr="00DC4586">
        <w:rPr>
          <w:rStyle w:val="italicus"/>
        </w:rPr>
        <w:t>Einleitung in die Schriften des Neuen Testamentes</w:t>
      </w:r>
      <w:r>
        <w:rPr>
          <w:rStyle w:val="italicus"/>
        </w:rPr>
        <w:t xml:space="preserve">, </w:t>
      </w:r>
      <w:r w:rsidRPr="00C8701B">
        <w:rPr>
          <w:rFonts w:eastAsia="Arial Unicode MS"/>
          <w:bCs/>
          <w:lang w:eastAsia="fr-FR" w:bidi="he-IL"/>
        </w:rPr>
        <w:t>t</w:t>
      </w:r>
      <w:r>
        <w:rPr>
          <w:rFonts w:eastAsia="Arial Unicode MS"/>
          <w:bCs/>
          <w:lang w:eastAsia="fr-FR" w:bidi="he-IL"/>
        </w:rPr>
        <w:t xml:space="preserve">. II, </w:t>
      </w:r>
      <w:r w:rsidRPr="00C8701B">
        <w:rPr>
          <w:rFonts w:eastAsia="Arial Unicode MS"/>
          <w:bCs/>
          <w:lang w:eastAsia="fr-FR" w:bidi="he-IL"/>
        </w:rPr>
        <w:t>passim</w:t>
      </w:r>
      <w:r>
        <w:rPr>
          <w:rFonts w:eastAsia="Arial Unicode MS"/>
          <w:bCs/>
          <w:lang w:eastAsia="fr-FR" w:bidi="he-IL"/>
        </w:rPr>
        <w:t xml:space="preserve">, </w:t>
      </w:r>
      <w:r w:rsidRPr="00C8701B">
        <w:rPr>
          <w:rFonts w:eastAsia="Arial Unicode MS"/>
          <w:bCs/>
          <w:lang w:eastAsia="fr-FR" w:bidi="he-IL"/>
        </w:rPr>
        <w:t>a aussi quelques bons tableaux comparatifs</w:t>
      </w:r>
      <w:r>
        <w:rPr>
          <w:rFonts w:eastAsia="Arial Unicode MS"/>
          <w:bCs/>
          <w:lang w:eastAsia="fr-FR" w:bidi="he-IL"/>
        </w:rPr>
        <w:t>.</w:t>
      </w:r>
    </w:p>
  </w:footnote>
  <w:footnote w:id="181">
    <w:p w:rsidR="00941AA6" w:rsidRPr="000819BA" w:rsidRDefault="00941AA6">
      <w:pPr>
        <w:pStyle w:val="Notedebasdepage"/>
      </w:pPr>
      <w:r w:rsidRPr="00C406FF">
        <w:rPr>
          <w:rStyle w:val="Appelnotedebasdep"/>
        </w:rPr>
        <w:footnoteRef/>
      </w:r>
      <w:r>
        <w:t xml:space="preserve"> </w:t>
      </w:r>
      <w:r w:rsidRPr="00DC4586">
        <w:rPr>
          <w:rStyle w:val="italicus"/>
        </w:rPr>
        <w:t>Loc. cit.</w:t>
      </w:r>
      <w:r>
        <w:rPr>
          <w:rStyle w:val="italicus"/>
        </w:rPr>
        <w:t xml:space="preserve">, </w:t>
      </w:r>
      <w:r w:rsidRPr="00C8701B">
        <w:rPr>
          <w:rFonts w:eastAsia="Arial Unicode MS"/>
          <w:bCs/>
          <w:lang w:eastAsia="fr-FR" w:bidi="he-IL"/>
        </w:rPr>
        <w:t>p. C</w:t>
      </w:r>
      <w:r>
        <w:rPr>
          <w:rFonts w:eastAsia="Arial Unicode MS"/>
          <w:bCs/>
          <w:lang w:eastAsia="fr-FR" w:bidi="he-IL"/>
        </w:rPr>
        <w:t>XVII</w:t>
      </w:r>
      <w:r w:rsidRPr="00C8701B">
        <w:rPr>
          <w:rFonts w:eastAsia="Arial Unicode MS"/>
          <w:bCs/>
          <w:lang w:eastAsia="fr-FR" w:bidi="he-IL"/>
        </w:rPr>
        <w:t>.</w:t>
      </w:r>
    </w:p>
  </w:footnote>
  <w:footnote w:id="182">
    <w:p w:rsidR="00941AA6" w:rsidRPr="00933C60" w:rsidRDefault="00941AA6">
      <w:pPr>
        <w:pStyle w:val="Notedebasdepage"/>
      </w:pPr>
      <w:r w:rsidRPr="00C406FF">
        <w:rPr>
          <w:rStyle w:val="Appelnotedebasdep"/>
        </w:rPr>
        <w:footnoteRef/>
      </w:r>
      <w:r w:rsidRPr="007E6E2B">
        <w:rPr>
          <w:rFonts w:eastAsia="Arial Unicode MS"/>
          <w:bCs/>
          <w:lang w:eastAsia="fr-FR" w:bidi="he-IL"/>
        </w:rPr>
        <w:t xml:space="preserve"> </w:t>
      </w:r>
      <w:r w:rsidRPr="00DC4586">
        <w:rPr>
          <w:rStyle w:val="italicus"/>
        </w:rPr>
        <w:t>Histoire évangélique</w:t>
      </w:r>
      <w:r>
        <w:rPr>
          <w:rStyle w:val="italicus"/>
        </w:rPr>
        <w:t xml:space="preserve">, </w:t>
      </w:r>
      <w:r w:rsidRPr="007E6E2B">
        <w:rPr>
          <w:rFonts w:eastAsia="Arial Unicode MS"/>
          <w:bCs/>
          <w:lang w:eastAsia="fr-FR" w:bidi="he-IL"/>
        </w:rPr>
        <w:t xml:space="preserve">p. 20. </w:t>
      </w:r>
      <w:r w:rsidRPr="00C8701B">
        <w:rPr>
          <w:rFonts w:eastAsia="Arial Unicode MS"/>
          <w:bCs/>
          <w:lang w:eastAsia="fr-FR" w:bidi="he-IL"/>
        </w:rPr>
        <w:t>Voyez aussi</w:t>
      </w:r>
      <w:r>
        <w:rPr>
          <w:rFonts w:eastAsia="Arial Unicode MS"/>
          <w:bCs/>
          <w:lang w:eastAsia="fr-FR" w:bidi="he-IL"/>
        </w:rPr>
        <w:t xml:space="preserve">, </w:t>
      </w:r>
      <w:r w:rsidRPr="00C8701B">
        <w:rPr>
          <w:rFonts w:eastAsia="Arial Unicode MS"/>
          <w:bCs/>
          <w:lang w:eastAsia="fr-FR" w:bidi="he-IL"/>
        </w:rPr>
        <w:t>du même auteur</w:t>
      </w:r>
      <w:r>
        <w:rPr>
          <w:rFonts w:eastAsia="Arial Unicode MS"/>
          <w:bCs/>
          <w:lang w:eastAsia="fr-FR" w:bidi="he-IL"/>
        </w:rPr>
        <w:t xml:space="preserve">, </w:t>
      </w:r>
      <w:r>
        <w:rPr>
          <w:rStyle w:val="italicus"/>
        </w:rPr>
        <w:t>Die Geschichte der heilig. Schri</w:t>
      </w:r>
      <w:r w:rsidRPr="00DC4586">
        <w:rPr>
          <w:rStyle w:val="italicus"/>
        </w:rPr>
        <w:t>ften Neuen Testaments</w:t>
      </w:r>
      <w:r>
        <w:rPr>
          <w:rStyle w:val="italicus"/>
        </w:rPr>
        <w:t xml:space="preserve">, </w:t>
      </w:r>
      <w:r w:rsidRPr="00C8701B">
        <w:rPr>
          <w:rFonts w:eastAsia="Arial Unicode MS"/>
          <w:bCs/>
          <w:lang w:eastAsia="fr-FR" w:bidi="he-IL"/>
        </w:rPr>
        <w:t>p. 163 de la 3</w:t>
      </w:r>
      <w:r w:rsidRPr="00C8701B">
        <w:rPr>
          <w:rFonts w:eastAsia="Arial Unicode MS"/>
          <w:bCs/>
          <w:vertAlign w:val="superscript"/>
          <w:lang w:eastAsia="fr-FR" w:bidi="he-IL"/>
        </w:rPr>
        <w:t>e</w:t>
      </w:r>
      <w:r>
        <w:rPr>
          <w:rFonts w:eastAsia="Arial Unicode MS"/>
          <w:bCs/>
          <w:lang w:eastAsia="fr-FR" w:bidi="he-IL"/>
        </w:rPr>
        <w:t xml:space="preserve"> éditi</w:t>
      </w:r>
      <w:r w:rsidRPr="00C8701B">
        <w:rPr>
          <w:rFonts w:eastAsia="Arial Unicode MS"/>
          <w:bCs/>
          <w:lang w:eastAsia="fr-FR" w:bidi="he-IL"/>
        </w:rPr>
        <w:t>on.</w:t>
      </w:r>
    </w:p>
  </w:footnote>
  <w:footnote w:id="183">
    <w:p w:rsidR="00941AA6" w:rsidRPr="00757FC7" w:rsidRDefault="00941AA6" w:rsidP="00AB4FEB">
      <w:pPr>
        <w:pStyle w:val="Notedebasdepage"/>
      </w:pPr>
      <w:r w:rsidRPr="00C406FF">
        <w:rPr>
          <w:rStyle w:val="Appelnotedebasdep"/>
        </w:rPr>
        <w:footnoteRef/>
      </w:r>
      <w:r>
        <w:rPr>
          <w:rFonts w:eastAsia="Arial Unicode MS"/>
          <w:bCs/>
          <w:lang w:eastAsia="fr-FR" w:bidi="he-IL"/>
        </w:rPr>
        <w:t xml:space="preserve"> </w:t>
      </w:r>
      <w:r w:rsidRPr="00DC4586">
        <w:rPr>
          <w:rStyle w:val="italicus"/>
        </w:rPr>
        <w:t>Histoire évangélique</w:t>
      </w:r>
      <w:r>
        <w:rPr>
          <w:rStyle w:val="italicus"/>
        </w:rPr>
        <w:t xml:space="preserve">, </w:t>
      </w:r>
      <w:r w:rsidRPr="00C8701B">
        <w:rPr>
          <w:rFonts w:eastAsia="Arial Unicode MS"/>
          <w:bCs/>
          <w:lang w:eastAsia="fr-FR" w:bidi="he-IL"/>
        </w:rPr>
        <w:t>p. 21</w:t>
      </w:r>
      <w:r>
        <w:rPr>
          <w:rFonts w:eastAsia="Arial Unicode MS"/>
          <w:bCs/>
          <w:lang w:eastAsia="fr-FR" w:bidi="he-IL"/>
        </w:rPr>
        <w:t xml:space="preserve">, </w:t>
      </w:r>
      <w:r w:rsidRPr="00C8701B">
        <w:rPr>
          <w:rFonts w:eastAsia="Arial Unicode MS"/>
          <w:bCs/>
          <w:lang w:eastAsia="fr-FR" w:bidi="he-IL"/>
        </w:rPr>
        <w:t>note.</w:t>
      </w:r>
      <w:r>
        <w:rPr>
          <w:rFonts w:eastAsia="Arial Unicode MS"/>
          <w:bCs/>
          <w:lang w:eastAsia="fr-FR" w:bidi="he-IL"/>
        </w:rPr>
        <w:t xml:space="preserve"> </w:t>
      </w:r>
    </w:p>
  </w:footnote>
  <w:footnote w:id="184">
    <w:p w:rsidR="00941AA6" w:rsidRPr="00933C60" w:rsidRDefault="00941AA6">
      <w:pPr>
        <w:pStyle w:val="Notedebasdepage"/>
      </w:pPr>
      <w:r w:rsidRPr="00C406FF">
        <w:rPr>
          <w:rStyle w:val="Appelnotedebasdep"/>
        </w:rPr>
        <w:footnoteRef/>
      </w:r>
      <w:r>
        <w:rPr>
          <w:rFonts w:eastAsia="Arial Unicode MS"/>
          <w:bCs/>
          <w:lang w:eastAsia="fr-FR" w:bidi="he-IL"/>
        </w:rPr>
        <w:t xml:space="preserve"> </w:t>
      </w:r>
      <w:r w:rsidRPr="00C8701B">
        <w:rPr>
          <w:rFonts w:eastAsia="Arial Unicode MS"/>
          <w:bCs/>
          <w:lang w:eastAsia="fr-FR" w:bidi="he-IL"/>
        </w:rPr>
        <w:t>Si l</w:t>
      </w:r>
      <w:r>
        <w:rPr>
          <w:rFonts w:eastAsia="Arial Unicode MS"/>
          <w:bCs/>
          <w:lang w:eastAsia="fr-FR" w:bidi="he-IL"/>
        </w:rPr>
        <w:t>’</w:t>
      </w:r>
      <w:r w:rsidRPr="00C8701B">
        <w:rPr>
          <w:rFonts w:eastAsia="Arial Unicode MS"/>
          <w:bCs/>
          <w:lang w:eastAsia="fr-FR" w:bidi="he-IL"/>
        </w:rPr>
        <w:t>on divise d</w:t>
      </w:r>
      <w:r>
        <w:rPr>
          <w:rFonts w:eastAsia="Arial Unicode MS"/>
          <w:bCs/>
          <w:lang w:eastAsia="fr-FR" w:bidi="he-IL"/>
        </w:rPr>
        <w:t>’</w:t>
      </w:r>
      <w:r w:rsidRPr="00C8701B">
        <w:rPr>
          <w:rFonts w:eastAsia="Arial Unicode MS"/>
          <w:bCs/>
          <w:lang w:eastAsia="fr-FR" w:bidi="he-IL"/>
        </w:rPr>
        <w:t>après les « canons » d</w:t>
      </w:r>
      <w:r>
        <w:rPr>
          <w:rFonts w:eastAsia="Arial Unicode MS"/>
          <w:bCs/>
          <w:lang w:eastAsia="fr-FR" w:bidi="he-IL"/>
        </w:rPr>
        <w:t>’</w:t>
      </w:r>
      <w:r w:rsidRPr="00C8701B">
        <w:rPr>
          <w:rFonts w:eastAsia="Arial Unicode MS"/>
          <w:bCs/>
          <w:lang w:eastAsia="fr-FR" w:bidi="he-IL"/>
        </w:rPr>
        <w:t>Eusèbe</w:t>
      </w:r>
      <w:r w:rsidRPr="00DC4586">
        <w:rPr>
          <w:rStyle w:val="italicus"/>
        </w:rPr>
        <w:t xml:space="preserve"> </w:t>
      </w:r>
      <w:r>
        <w:t>(</w:t>
      </w:r>
      <w:r w:rsidRPr="00DC4586">
        <w:rPr>
          <w:rStyle w:val="italicus"/>
        </w:rPr>
        <w:t>Epist. ad Carp.</w:t>
      </w:r>
      <w:r w:rsidRPr="00C8701B">
        <w:rPr>
          <w:rFonts w:eastAsia="Arial Unicode MS"/>
          <w:bCs/>
          <w:lang w:eastAsia="fr-FR" w:bidi="he-IL"/>
        </w:rPr>
        <w:t xml:space="preserve"> Cf. S. Jérôme</w:t>
      </w:r>
      <w:r>
        <w:rPr>
          <w:rFonts w:eastAsia="Arial Unicode MS"/>
          <w:bCs/>
          <w:lang w:eastAsia="fr-FR" w:bidi="he-IL"/>
        </w:rPr>
        <w:t xml:space="preserve">, </w:t>
      </w:r>
      <w:r w:rsidRPr="00DC4586">
        <w:rPr>
          <w:rStyle w:val="italicus"/>
        </w:rPr>
        <w:t xml:space="preserve">ad Damas. </w:t>
      </w:r>
      <w:r>
        <w:rPr>
          <w:rStyle w:val="italicus"/>
        </w:rPr>
        <w:t>Præf. in</w:t>
      </w:r>
      <w:r w:rsidRPr="00DC4586">
        <w:rPr>
          <w:rStyle w:val="italicus"/>
        </w:rPr>
        <w:t xml:space="preserve"> Evang.</w:t>
      </w:r>
      <w:r w:rsidRPr="00C8701B">
        <w:rPr>
          <w:rFonts w:eastAsia="Arial Unicode MS"/>
          <w:bCs/>
          <w:iCs/>
          <w:lang w:eastAsia="fr-FR" w:bidi="he-IL"/>
        </w:rPr>
        <w:t>)</w:t>
      </w:r>
      <w:r>
        <w:rPr>
          <w:rStyle w:val="italicus"/>
        </w:rPr>
        <w:t xml:space="preserve">, </w:t>
      </w:r>
      <w:r w:rsidRPr="00C8701B">
        <w:rPr>
          <w:rFonts w:eastAsia="Arial Unicode MS"/>
          <w:bCs/>
          <w:lang w:eastAsia="fr-FR" w:bidi="he-IL"/>
        </w:rPr>
        <w:t>c</w:t>
      </w:r>
      <w:r>
        <w:rPr>
          <w:rFonts w:eastAsia="Arial Unicode MS"/>
          <w:bCs/>
          <w:lang w:eastAsia="fr-FR" w:bidi="he-IL"/>
        </w:rPr>
        <w:t>’est-à-dire en 5</w:t>
      </w:r>
      <w:r w:rsidRPr="00C8701B">
        <w:rPr>
          <w:rFonts w:eastAsia="Arial Unicode MS"/>
          <w:bCs/>
          <w:lang w:eastAsia="fr-FR" w:bidi="he-IL"/>
        </w:rPr>
        <w:t>54 sections (très inégales)</w:t>
      </w:r>
      <w:r>
        <w:rPr>
          <w:rFonts w:eastAsia="Arial Unicode MS"/>
          <w:bCs/>
          <w:lang w:eastAsia="fr-FR" w:bidi="he-IL"/>
        </w:rPr>
        <w:t xml:space="preserve">, </w:t>
      </w:r>
      <w:r w:rsidRPr="00C8701B">
        <w:rPr>
          <w:rFonts w:eastAsia="Arial Unicode MS"/>
          <w:bCs/>
          <w:lang w:eastAsia="fr-FR" w:bidi="he-IL"/>
        </w:rPr>
        <w:t>la matière traitée par les synoptiques</w:t>
      </w:r>
      <w:r>
        <w:rPr>
          <w:rFonts w:eastAsia="Arial Unicode MS"/>
          <w:bCs/>
          <w:lang w:eastAsia="fr-FR" w:bidi="he-IL"/>
        </w:rPr>
        <w:t xml:space="preserve">, </w:t>
      </w:r>
      <w:r w:rsidRPr="00C8701B">
        <w:rPr>
          <w:rFonts w:eastAsia="Arial Unicode MS"/>
          <w:bCs/>
          <w:lang w:eastAsia="fr-FR" w:bidi="he-IL"/>
        </w:rPr>
        <w:t>on trouve 182 sections communes aux trois évangélistes</w:t>
      </w:r>
      <w:r>
        <w:rPr>
          <w:rFonts w:eastAsia="Arial Unicode MS"/>
          <w:bCs/>
          <w:lang w:eastAsia="fr-FR" w:bidi="he-IL"/>
        </w:rPr>
        <w:t xml:space="preserve">, </w:t>
      </w:r>
      <w:r w:rsidRPr="00C8701B">
        <w:rPr>
          <w:rFonts w:eastAsia="Arial Unicode MS"/>
          <w:bCs/>
          <w:lang w:eastAsia="fr-FR" w:bidi="he-IL"/>
        </w:rPr>
        <w:t>73 communes a S. Matthieu et à S. Marc</w:t>
      </w:r>
      <w:r>
        <w:rPr>
          <w:rFonts w:eastAsia="Arial Unicode MS"/>
          <w:bCs/>
          <w:lang w:eastAsia="fr-FR" w:bidi="he-IL"/>
        </w:rPr>
        <w:t xml:space="preserve">, </w:t>
      </w:r>
      <w:r w:rsidRPr="00C8701B">
        <w:rPr>
          <w:rFonts w:eastAsia="Arial Unicode MS"/>
          <w:bCs/>
          <w:lang w:eastAsia="fr-FR" w:bidi="he-IL"/>
        </w:rPr>
        <w:t>103 communes à S. Matthieu et à S. Luc</w:t>
      </w:r>
      <w:r>
        <w:rPr>
          <w:rFonts w:eastAsia="Arial Unicode MS"/>
          <w:bCs/>
          <w:lang w:eastAsia="fr-FR" w:bidi="he-IL"/>
        </w:rPr>
        <w:t xml:space="preserve">, </w:t>
      </w:r>
      <w:r w:rsidRPr="00C8701B">
        <w:rPr>
          <w:rFonts w:eastAsia="Arial Unicode MS"/>
          <w:bCs/>
          <w:lang w:eastAsia="fr-FR" w:bidi="he-IL"/>
        </w:rPr>
        <w:t>14 communes à S. Marc</w:t>
      </w:r>
      <w:r>
        <w:rPr>
          <w:rFonts w:eastAsia="Arial Unicode MS"/>
          <w:bCs/>
          <w:lang w:eastAsia="fr-FR" w:bidi="he-IL"/>
        </w:rPr>
        <w:t xml:space="preserve"> et</w:t>
      </w:r>
      <w:r w:rsidRPr="00C8701B">
        <w:rPr>
          <w:rFonts w:eastAsia="Arial Unicode MS"/>
          <w:bCs/>
          <w:lang w:eastAsia="fr-FR" w:bidi="he-IL"/>
        </w:rPr>
        <w:t xml:space="preserve"> à S. Luc. S. Matthieu possède en propre 73 de ces sections </w:t>
      </w:r>
      <w:r>
        <w:rPr>
          <w:rFonts w:eastAsia="Arial Unicode MS"/>
          <w:bCs/>
          <w:lang w:eastAsia="fr-FR" w:bidi="he-IL"/>
        </w:rPr>
        <w:t xml:space="preserve">; </w:t>
      </w:r>
      <w:r w:rsidRPr="00C8701B">
        <w:rPr>
          <w:rFonts w:eastAsia="Arial Unicode MS"/>
          <w:bCs/>
          <w:lang w:eastAsia="fr-FR" w:bidi="he-IL"/>
        </w:rPr>
        <w:t>S. Marc</w:t>
      </w:r>
      <w:r>
        <w:rPr>
          <w:rFonts w:eastAsia="Arial Unicode MS"/>
          <w:bCs/>
          <w:lang w:eastAsia="fr-FR" w:bidi="he-IL"/>
        </w:rPr>
        <w:t xml:space="preserve">, </w:t>
      </w:r>
      <w:r w:rsidRPr="00C8701B">
        <w:rPr>
          <w:rFonts w:eastAsia="Arial Unicode MS"/>
          <w:bCs/>
          <w:lang w:eastAsia="fr-FR" w:bidi="he-IL"/>
        </w:rPr>
        <w:t>20 </w:t>
      </w:r>
      <w:r>
        <w:rPr>
          <w:rFonts w:eastAsia="Arial Unicode MS"/>
          <w:bCs/>
          <w:lang w:eastAsia="fr-FR" w:bidi="he-IL"/>
        </w:rPr>
        <w:t xml:space="preserve">; S. </w:t>
      </w:r>
      <w:r w:rsidRPr="00C8701B">
        <w:rPr>
          <w:rFonts w:eastAsia="Arial Unicode MS"/>
          <w:lang w:eastAsia="fr-FR" w:bidi="he-IL"/>
        </w:rPr>
        <w:t>Luc</w:t>
      </w:r>
      <w:r>
        <w:rPr>
          <w:rFonts w:eastAsia="Arial Unicode MS"/>
          <w:lang w:eastAsia="fr-FR" w:bidi="he-IL"/>
        </w:rPr>
        <w:t>,</w:t>
      </w:r>
      <w:r w:rsidRPr="00C8701B">
        <w:rPr>
          <w:rFonts w:eastAsia="Arial Unicode MS"/>
          <w:lang w:eastAsia="fr-FR" w:bidi="he-IL"/>
        </w:rPr>
        <w:t xml:space="preserve"> </w:t>
      </w:r>
      <w:r>
        <w:rPr>
          <w:rFonts w:eastAsia="Arial Unicode MS"/>
          <w:lang w:eastAsia="fr-FR" w:bidi="he-IL"/>
        </w:rPr>
        <w:t>93.</w:t>
      </w:r>
    </w:p>
  </w:footnote>
  <w:footnote w:id="185">
    <w:p w:rsidR="00941AA6" w:rsidRPr="00933C60" w:rsidRDefault="00941AA6">
      <w:pPr>
        <w:pStyle w:val="Notedebasdepage"/>
      </w:pPr>
      <w:r w:rsidRPr="00C406FF">
        <w:rPr>
          <w:rStyle w:val="Appelnotedebasdep"/>
        </w:rPr>
        <w:footnoteRef/>
      </w:r>
      <w:r>
        <w:rPr>
          <w:rFonts w:eastAsia="Arial Unicode MS"/>
          <w:bCs/>
          <w:lang w:eastAsia="fr-FR" w:bidi="he-IL"/>
        </w:rPr>
        <w:t xml:space="preserve"> </w:t>
      </w:r>
      <w:r w:rsidRPr="00C8701B">
        <w:rPr>
          <w:rFonts w:eastAsia="Arial Unicode MS"/>
          <w:bCs/>
          <w:lang w:eastAsia="fr-FR" w:bidi="he-IL"/>
        </w:rPr>
        <w:t>Entre les trois synoptiques</w:t>
      </w:r>
      <w:r>
        <w:rPr>
          <w:rFonts w:eastAsia="Arial Unicode MS"/>
          <w:bCs/>
          <w:lang w:eastAsia="fr-FR" w:bidi="he-IL"/>
        </w:rPr>
        <w:t xml:space="preserve">, </w:t>
      </w:r>
      <w:r w:rsidRPr="00C8701B">
        <w:rPr>
          <w:rFonts w:eastAsia="Arial Unicode MS"/>
          <w:bCs/>
          <w:lang w:eastAsia="fr-FR" w:bidi="he-IL"/>
        </w:rPr>
        <w:t xml:space="preserve">ou seulement entre deux </w:t>
      </w:r>
      <w:r w:rsidRPr="00606FEC">
        <w:t>d</w:t>
      </w:r>
      <w:r>
        <w:t>’</w:t>
      </w:r>
      <w:r w:rsidRPr="00606FEC">
        <w:t>en</w:t>
      </w:r>
      <w:r>
        <w:t>t</w:t>
      </w:r>
      <w:r w:rsidRPr="00606FEC">
        <w:t>re eux.</w:t>
      </w:r>
    </w:p>
  </w:footnote>
  <w:footnote w:id="186">
    <w:p w:rsidR="00941AA6" w:rsidRPr="00933C60" w:rsidRDefault="00941AA6" w:rsidP="00657DEA">
      <w:pPr>
        <w:pStyle w:val="Notedebasdepage"/>
      </w:pPr>
      <w:r w:rsidRPr="00C406FF">
        <w:rPr>
          <w:rStyle w:val="Appelnotedebasdep"/>
        </w:rPr>
        <w:footnoteRef/>
      </w:r>
      <w:r>
        <w:t xml:space="preserve"> Il est bon de remarquer que ces citations sont des traductions, puisque Jésus parlait le syro-chaldaïque, dialecte usité de son temps en Palestine. Cette considération ne rend pas les ressemblances moins frappantes.</w:t>
      </w:r>
    </w:p>
  </w:footnote>
  <w:footnote w:id="187">
    <w:p w:rsidR="00941AA6" w:rsidRPr="00933C60" w:rsidRDefault="00941AA6">
      <w:pPr>
        <w:pStyle w:val="Notedebasdepage"/>
      </w:pPr>
      <w:r w:rsidRPr="00C406FF">
        <w:rPr>
          <w:rStyle w:val="Appelnotedebasdep"/>
        </w:rPr>
        <w:footnoteRef/>
      </w:r>
      <w:r w:rsidRPr="00F56B84">
        <w:rPr>
          <w:lang w:val="en-GB"/>
        </w:rPr>
        <w:t xml:space="preserve"> Voyez </w:t>
      </w:r>
      <w:r w:rsidRPr="00AB4FEB">
        <w:t>en particulier</w:t>
      </w:r>
      <w:r w:rsidRPr="00F56B84">
        <w:rPr>
          <w:lang w:val="en-GB"/>
        </w:rPr>
        <w:t xml:space="preserve"> Marsh, </w:t>
      </w:r>
      <w:r w:rsidRPr="007E6E2B">
        <w:rPr>
          <w:rStyle w:val="italicus"/>
          <w:lang w:val="en-US"/>
        </w:rPr>
        <w:t xml:space="preserve">A Dissertation on the Origin and Composition. of the three first canonical Gospels, </w:t>
      </w:r>
      <w:r w:rsidRPr="007E6E2B">
        <w:rPr>
          <w:rFonts w:eastAsia="Arial Unicode MS"/>
          <w:bCs/>
          <w:lang w:val="en-US" w:eastAsia="fr-FR" w:bidi="he-IL"/>
        </w:rPr>
        <w:t xml:space="preserve">Cambridge 1801 ; Patrizi, </w:t>
      </w:r>
      <w:r w:rsidRPr="007E6E2B">
        <w:rPr>
          <w:rStyle w:val="italicus"/>
          <w:lang w:val="en-US"/>
        </w:rPr>
        <w:t xml:space="preserve">De Evangéliis libri tres, </w:t>
      </w:r>
      <w:r w:rsidRPr="007E6E2B">
        <w:rPr>
          <w:rFonts w:eastAsia="Arial Unicode MS"/>
          <w:bCs/>
          <w:lang w:val="en-US" w:eastAsia="fr-FR" w:bidi="he-IL"/>
        </w:rPr>
        <w:t xml:space="preserve">t. I, p. 52-61, 73 et ss., 84 et ss. ; Norton, </w:t>
      </w:r>
      <w:r w:rsidRPr="007E6E2B">
        <w:rPr>
          <w:rStyle w:val="italicus"/>
          <w:lang w:val="en-US"/>
        </w:rPr>
        <w:t xml:space="preserve">The Evidences </w:t>
      </w:r>
      <w:r w:rsidRPr="00606FEC">
        <w:rPr>
          <w:rStyle w:val="italicus"/>
        </w:rPr>
        <w:t>ο</w:t>
      </w:r>
      <w:r w:rsidRPr="007E6E2B">
        <w:rPr>
          <w:rStyle w:val="italicus"/>
          <w:lang w:val="en-US"/>
        </w:rPr>
        <w:t xml:space="preserve">f the Genuineness of the Gospels, </w:t>
      </w:r>
      <w:r w:rsidRPr="007E6E2B">
        <w:rPr>
          <w:rFonts w:eastAsia="Arial Unicode MS"/>
          <w:bCs/>
          <w:lang w:val="en-US" w:eastAsia="fr-FR" w:bidi="he-IL"/>
        </w:rPr>
        <w:t xml:space="preserve">Londres 1868, t. I, p. 240 et ss. ; Westcott, </w:t>
      </w:r>
      <w:r w:rsidRPr="007E6E2B">
        <w:rPr>
          <w:rStyle w:val="italicus"/>
          <w:lang w:val="en-US"/>
        </w:rPr>
        <w:t xml:space="preserve">An Introduction to the Study of the Gospels, </w:t>
      </w:r>
      <w:r w:rsidRPr="007E6E2B">
        <w:rPr>
          <w:rFonts w:eastAsia="Arial Unicode MS"/>
          <w:bCs/>
          <w:lang w:val="en-US" w:eastAsia="fr-FR" w:bidi="he-IL"/>
        </w:rPr>
        <w:t>Londres 1875 (5</w:t>
      </w:r>
      <w:r w:rsidRPr="007E6E2B">
        <w:rPr>
          <w:rFonts w:eastAsia="Arial Unicode MS"/>
          <w:bCs/>
          <w:vertAlign w:val="superscript"/>
          <w:lang w:val="en-US" w:eastAsia="fr-FR" w:bidi="he-IL"/>
        </w:rPr>
        <w:t>e</w:t>
      </w:r>
      <w:r w:rsidRPr="007E6E2B">
        <w:rPr>
          <w:rFonts w:eastAsia="Arial Unicode MS"/>
          <w:bCs/>
          <w:lang w:val="en-US" w:eastAsia="fr-FR" w:bidi="he-IL"/>
        </w:rPr>
        <w:t xml:space="preserve"> édit.) ; F. Kaulen, </w:t>
      </w:r>
      <w:r w:rsidRPr="007E6E2B">
        <w:rPr>
          <w:rStyle w:val="italicus"/>
          <w:lang w:val="en-US"/>
        </w:rPr>
        <w:t xml:space="preserve">Einleitung in die heilige Schrift Alten und Neuen Testamentes, </w:t>
      </w:r>
      <w:r w:rsidRPr="007E6E2B">
        <w:rPr>
          <w:rFonts w:eastAsia="Arial Unicode MS"/>
          <w:bCs/>
          <w:lang w:val="en-US" w:eastAsia="fr-FR" w:bidi="he-IL"/>
        </w:rPr>
        <w:t xml:space="preserve">Fribourg-en-Brisgau 1881, t. II, p. 378-379. </w:t>
      </w:r>
      <w:r w:rsidRPr="00606FEC">
        <w:rPr>
          <w:rFonts w:eastAsia="Arial Unicode MS"/>
          <w:bCs/>
          <w:lang w:eastAsia="fr-FR" w:bidi="he-IL"/>
        </w:rPr>
        <w:t>O</w:t>
      </w:r>
      <w:r w:rsidRPr="00606FEC">
        <w:t xml:space="preserve">n </w:t>
      </w:r>
      <w:r w:rsidRPr="004801B8">
        <w:t xml:space="preserve">voit par là combien </w:t>
      </w:r>
      <w:r w:rsidRPr="00606FEC">
        <w:t>minutieusement la question a été étudiée ; ç</w:t>
      </w:r>
      <w:r>
        <w:t>’</w:t>
      </w:r>
      <w:r w:rsidRPr="00606FEC">
        <w:t>a été souvent un vrai travail de dissection. « Décomposant le texte des deux Évangiles (S. Matthieu et S. Marc) jusque dans ses derniers éléments, je plaçai en r</w:t>
      </w:r>
      <w:r w:rsidRPr="00606FEC">
        <w:rPr>
          <w:rFonts w:eastAsia="Arial Unicode MS"/>
          <w:bCs/>
          <w:lang w:eastAsia="fr-FR" w:bidi="he-IL"/>
        </w:rPr>
        <w:t>egard l</w:t>
      </w:r>
      <w:r>
        <w:rPr>
          <w:rFonts w:eastAsia="Arial Unicode MS"/>
          <w:bCs/>
          <w:lang w:eastAsia="fr-FR" w:bidi="he-IL"/>
        </w:rPr>
        <w:t>’</w:t>
      </w:r>
      <w:r w:rsidRPr="00606FEC">
        <w:rPr>
          <w:rFonts w:eastAsia="Arial Unicode MS"/>
          <w:bCs/>
          <w:lang w:eastAsia="fr-FR" w:bidi="he-IL"/>
        </w:rPr>
        <w:t>un de l</w:t>
      </w:r>
      <w:r>
        <w:rPr>
          <w:rFonts w:eastAsia="Arial Unicode MS"/>
          <w:bCs/>
          <w:lang w:eastAsia="fr-FR" w:bidi="he-IL"/>
        </w:rPr>
        <w:t>’</w:t>
      </w:r>
      <w:r w:rsidRPr="00606FEC">
        <w:rPr>
          <w:rFonts w:eastAsia="Arial Unicode MS"/>
          <w:bCs/>
          <w:lang w:eastAsia="fr-FR" w:bidi="he-IL"/>
        </w:rPr>
        <w:t>autre les passages correspondants</w:t>
      </w:r>
      <w:r>
        <w:rPr>
          <w:rFonts w:eastAsia="Arial Unicode MS"/>
          <w:bCs/>
          <w:lang w:eastAsia="fr-FR" w:bidi="he-IL"/>
        </w:rPr>
        <w:t> ; je</w:t>
      </w:r>
      <w:r w:rsidRPr="00606FEC">
        <w:rPr>
          <w:rFonts w:eastAsia="Arial Unicode MS"/>
          <w:bCs/>
          <w:lang w:eastAsia="fr-FR" w:bidi="he-IL"/>
        </w:rPr>
        <w:t xml:space="preserve"> pus ainsi les comparer phrase par phrase, et en quelque sorte mot par mot ». G. d</w:t>
      </w:r>
      <w:r>
        <w:rPr>
          <w:rFonts w:eastAsia="Arial Unicode MS"/>
          <w:bCs/>
          <w:lang w:eastAsia="fr-FR" w:bidi="he-IL"/>
        </w:rPr>
        <w:t>’Eic</w:t>
      </w:r>
      <w:r w:rsidRPr="00606FEC">
        <w:rPr>
          <w:rFonts w:eastAsia="Arial Unicode MS"/>
          <w:bCs/>
          <w:lang w:eastAsia="fr-FR" w:bidi="he-IL"/>
        </w:rPr>
        <w:t xml:space="preserve">hthal, </w:t>
      </w:r>
      <w:r w:rsidRPr="00606FEC">
        <w:rPr>
          <w:rStyle w:val="italicus"/>
        </w:rPr>
        <w:t xml:space="preserve">Les Évangiles, </w:t>
      </w:r>
      <w:r w:rsidRPr="00606FEC">
        <w:rPr>
          <w:rFonts w:eastAsia="Arial Unicode MS"/>
          <w:bCs/>
          <w:lang w:eastAsia="fr-FR" w:bidi="he-IL"/>
        </w:rPr>
        <w:t>Paris 1863, t. I, p. 31. Et divers critiques ont de beaucoup dépassé M. d</w:t>
      </w:r>
      <w:r>
        <w:rPr>
          <w:rFonts w:eastAsia="Arial Unicode MS"/>
          <w:bCs/>
          <w:lang w:eastAsia="fr-FR" w:bidi="he-IL"/>
        </w:rPr>
        <w:t>’</w:t>
      </w:r>
      <w:r w:rsidRPr="00606FEC">
        <w:rPr>
          <w:rFonts w:eastAsia="Arial Unicode MS"/>
          <w:bCs/>
          <w:lang w:eastAsia="fr-FR" w:bidi="he-IL"/>
        </w:rPr>
        <w:t>Eichthal dans ces travaux d</w:t>
      </w:r>
      <w:r>
        <w:rPr>
          <w:rFonts w:eastAsia="Arial Unicode MS"/>
          <w:bCs/>
          <w:lang w:eastAsia="fr-FR" w:bidi="he-IL"/>
        </w:rPr>
        <w:t>’</w:t>
      </w:r>
      <w:r w:rsidRPr="00606FEC">
        <w:rPr>
          <w:rFonts w:eastAsia="Arial Unicode MS"/>
          <w:bCs/>
          <w:lang w:eastAsia="fr-FR" w:bidi="he-IL"/>
        </w:rPr>
        <w:t>analyse.</w:t>
      </w:r>
    </w:p>
  </w:footnote>
  <w:footnote w:id="188">
    <w:p w:rsidR="00941AA6" w:rsidRPr="00933C60" w:rsidRDefault="00941AA6">
      <w:pPr>
        <w:pStyle w:val="Notedebasdepage"/>
      </w:pPr>
      <w:r w:rsidRPr="00C406FF">
        <w:rPr>
          <w:rStyle w:val="Appelnotedebasdep"/>
        </w:rPr>
        <w:footnoteRef/>
      </w:r>
      <w:r w:rsidRPr="00C8701B">
        <w:rPr>
          <w:rFonts w:eastAsia="Arial Unicode MS"/>
          <w:bCs/>
          <w:lang w:val="en-US" w:eastAsia="fr-FR" w:bidi="he-IL"/>
        </w:rPr>
        <w:t xml:space="preserve"> Cf. Thomson</w:t>
      </w:r>
      <w:r>
        <w:rPr>
          <w:rFonts w:eastAsia="Arial Unicode MS"/>
          <w:bCs/>
          <w:lang w:val="en-US" w:eastAsia="fr-FR" w:bidi="he-IL"/>
        </w:rPr>
        <w:t xml:space="preserve">, </w:t>
      </w:r>
      <w:r w:rsidRPr="007E6E2B">
        <w:rPr>
          <w:rStyle w:val="italicus"/>
          <w:lang w:val="en-US"/>
        </w:rPr>
        <w:t xml:space="preserve">Word, Work and Will, </w:t>
      </w:r>
      <w:r w:rsidRPr="007E6E2B">
        <w:rPr>
          <w:lang w:val="en-US"/>
        </w:rPr>
        <w:t>Londres</w:t>
      </w:r>
      <w:r w:rsidRPr="00C8701B">
        <w:rPr>
          <w:rFonts w:eastAsia="Arial Unicode MS"/>
          <w:bCs/>
          <w:lang w:val="en-US" w:eastAsia="fr-FR" w:bidi="he-IL"/>
        </w:rPr>
        <w:t xml:space="preserve"> 1879</w:t>
      </w:r>
      <w:r>
        <w:rPr>
          <w:rFonts w:eastAsia="Arial Unicode MS"/>
          <w:bCs/>
          <w:lang w:val="en-US" w:eastAsia="fr-FR" w:bidi="he-IL"/>
        </w:rPr>
        <w:t xml:space="preserve">, </w:t>
      </w:r>
      <w:r w:rsidRPr="00C8701B">
        <w:rPr>
          <w:rFonts w:eastAsia="Arial Unicode MS"/>
          <w:bCs/>
          <w:lang w:val="en-US" w:eastAsia="fr-FR" w:bidi="he-IL"/>
        </w:rPr>
        <w:t>p. 3 et ss.</w:t>
      </w:r>
    </w:p>
  </w:footnote>
  <w:footnote w:id="189">
    <w:p w:rsidR="00941AA6" w:rsidRPr="00933C60" w:rsidRDefault="00941AA6" w:rsidP="001A4F8D">
      <w:pPr>
        <w:pStyle w:val="Notedebasdepage"/>
      </w:pPr>
      <w:r w:rsidRPr="00C406FF">
        <w:rPr>
          <w:rStyle w:val="Appelnotedebasdep"/>
        </w:rPr>
        <w:footnoteRef/>
      </w:r>
      <w:r w:rsidRPr="00C8701B">
        <w:rPr>
          <w:rFonts w:eastAsia="Arial Unicode MS"/>
          <w:bCs/>
          <w:lang w:val="en-US" w:eastAsia="fr-FR" w:bidi="he-IL"/>
        </w:rPr>
        <w:t xml:space="preserve"> Page </w:t>
      </w:r>
      <w:r w:rsidR="00691E6B">
        <w:rPr>
          <w:rFonts w:eastAsia="Arial Unicode MS"/>
          <w:bCs/>
          <w:lang w:val="en-US" w:eastAsia="fr-FR" w:bidi="he-IL"/>
        </w:rPr>
        <w:fldChar w:fldCharType="begin"/>
      </w:r>
      <w:r w:rsidR="001A4F8D">
        <w:rPr>
          <w:rFonts w:eastAsia="Arial Unicode MS"/>
          <w:bCs/>
          <w:lang w:val="en-US" w:eastAsia="fr-FR" w:bidi="he-IL"/>
        </w:rPr>
        <w:instrText xml:space="preserve"> PAGEREF evin07020201quelquefois \h </w:instrText>
      </w:r>
      <w:r w:rsidR="00691E6B">
        <w:rPr>
          <w:rFonts w:eastAsia="Arial Unicode MS"/>
          <w:bCs/>
          <w:lang w:val="en-US" w:eastAsia="fr-FR" w:bidi="he-IL"/>
        </w:rPr>
      </w:r>
      <w:r w:rsidR="00691E6B">
        <w:rPr>
          <w:rFonts w:eastAsia="Arial Unicode MS"/>
          <w:bCs/>
          <w:lang w:val="en-US" w:eastAsia="fr-FR" w:bidi="he-IL"/>
        </w:rPr>
        <w:fldChar w:fldCharType="separate"/>
      </w:r>
      <w:r w:rsidR="00635395">
        <w:rPr>
          <w:rFonts w:eastAsia="Arial Unicode MS"/>
          <w:bCs/>
          <w:noProof/>
          <w:lang w:val="en-US" w:eastAsia="fr-FR" w:bidi="he-IL"/>
        </w:rPr>
        <w:t>26</w:t>
      </w:r>
      <w:r w:rsidR="00691E6B">
        <w:rPr>
          <w:rFonts w:eastAsia="Arial Unicode MS"/>
          <w:bCs/>
          <w:lang w:val="en-US" w:eastAsia="fr-FR" w:bidi="he-IL"/>
        </w:rPr>
        <w:fldChar w:fldCharType="end"/>
      </w:r>
      <w:r>
        <w:rPr>
          <w:rFonts w:eastAsia="Arial Unicode MS"/>
          <w:bCs/>
          <w:lang w:val="en-US" w:eastAsia="fr-FR" w:bidi="he-IL"/>
        </w:rPr>
        <w:t>[</w:t>
      </w:r>
      <w:r w:rsidRPr="00C8701B">
        <w:rPr>
          <w:rFonts w:eastAsia="Arial Unicode MS"/>
          <w:bCs/>
          <w:lang w:val="en-US" w:eastAsia="fr-FR" w:bidi="he-IL"/>
        </w:rPr>
        <w:t>33</w:t>
      </w:r>
      <w:r>
        <w:rPr>
          <w:rFonts w:eastAsia="Arial Unicode MS"/>
          <w:bCs/>
          <w:lang w:val="en-US" w:eastAsia="fr-FR" w:bidi="he-IL"/>
        </w:rPr>
        <w:t>]</w:t>
      </w:r>
      <w:r w:rsidRPr="00C8701B">
        <w:rPr>
          <w:rFonts w:eastAsia="Arial Unicode MS"/>
          <w:bCs/>
          <w:lang w:val="en-US" w:eastAsia="fr-FR" w:bidi="he-IL"/>
        </w:rPr>
        <w:t>.</w:t>
      </w:r>
    </w:p>
  </w:footnote>
  <w:footnote w:id="190">
    <w:p w:rsidR="00941AA6" w:rsidRPr="00933C60" w:rsidRDefault="00941AA6">
      <w:pPr>
        <w:pStyle w:val="Notedebasdepage"/>
      </w:pPr>
      <w:r w:rsidRPr="00C406FF">
        <w:rPr>
          <w:rStyle w:val="Appelnotedebasdep"/>
        </w:rPr>
        <w:footnoteRef/>
      </w:r>
      <w:r w:rsidRPr="00C8701B">
        <w:rPr>
          <w:rFonts w:eastAsia="Arial Unicode MS"/>
          <w:lang w:val="en-US" w:eastAsia="fr-FR" w:bidi="he-IL"/>
        </w:rPr>
        <w:t xml:space="preserve"> </w:t>
      </w:r>
      <w:r w:rsidRPr="00C8701B">
        <w:rPr>
          <w:rFonts w:eastAsia="Arial Unicode MS"/>
          <w:bCs/>
          <w:lang w:val="en-US" w:eastAsia="fr-FR" w:bidi="he-IL"/>
        </w:rPr>
        <w:t>Cf. II Mach. II</w:t>
      </w:r>
      <w:r>
        <w:rPr>
          <w:rFonts w:eastAsia="Arial Unicode MS"/>
          <w:bCs/>
          <w:lang w:val="en-US" w:eastAsia="fr-FR" w:bidi="he-IL"/>
        </w:rPr>
        <w:t xml:space="preserve">, </w:t>
      </w:r>
      <w:r w:rsidRPr="00C8701B">
        <w:rPr>
          <w:rFonts w:eastAsia="Arial Unicode MS"/>
          <w:bCs/>
          <w:lang w:val="en-US" w:eastAsia="fr-FR" w:bidi="he-IL"/>
        </w:rPr>
        <w:t>25-33 </w:t>
      </w:r>
      <w:r>
        <w:rPr>
          <w:rFonts w:eastAsia="Arial Unicode MS"/>
          <w:bCs/>
          <w:lang w:val="en-US" w:eastAsia="fr-FR" w:bidi="he-IL"/>
        </w:rPr>
        <w:t xml:space="preserve">; </w:t>
      </w:r>
      <w:r w:rsidRPr="00C8701B">
        <w:rPr>
          <w:rFonts w:eastAsia="Arial Unicode MS"/>
          <w:bCs/>
          <w:lang w:val="en-US" w:eastAsia="fr-FR" w:bidi="he-IL"/>
        </w:rPr>
        <w:t>Luc.</w:t>
      </w:r>
      <w:r>
        <w:rPr>
          <w:rFonts w:eastAsia="Arial Unicode MS"/>
          <w:bCs/>
          <w:lang w:val="en-US" w:eastAsia="fr-FR" w:bidi="he-IL"/>
        </w:rPr>
        <w:t xml:space="preserve"> I, </w:t>
      </w:r>
      <w:r w:rsidRPr="00C8701B">
        <w:rPr>
          <w:rFonts w:eastAsia="Arial Unicode MS"/>
          <w:bCs/>
          <w:lang w:val="en-US" w:eastAsia="fr-FR" w:bidi="he-IL"/>
        </w:rPr>
        <w:t>1-4.</w:t>
      </w:r>
    </w:p>
  </w:footnote>
  <w:footnote w:id="191">
    <w:p w:rsidR="00941AA6" w:rsidRPr="00933C60" w:rsidRDefault="00941AA6">
      <w:pPr>
        <w:pStyle w:val="Notedebasdepage"/>
      </w:pPr>
      <w:r w:rsidRPr="00C406FF">
        <w:rPr>
          <w:rStyle w:val="Appelnotedebasdep"/>
        </w:rPr>
        <w:footnoteRef/>
      </w:r>
      <w:r w:rsidRPr="00C8701B">
        <w:rPr>
          <w:rFonts w:eastAsia="Arial Unicode MS"/>
          <w:lang w:val="en-US" w:eastAsia="fr-FR" w:bidi="he-IL"/>
        </w:rPr>
        <w:t xml:space="preserve"> </w:t>
      </w:r>
      <w:r w:rsidRPr="00C8701B">
        <w:rPr>
          <w:rFonts w:eastAsia="Arial Unicode MS"/>
          <w:bCs/>
          <w:lang w:val="en-US" w:eastAsia="fr-FR" w:bidi="he-IL"/>
        </w:rPr>
        <w:t>Davidson</w:t>
      </w:r>
      <w:r>
        <w:rPr>
          <w:rFonts w:eastAsia="Arial Unicode MS"/>
          <w:bCs/>
          <w:lang w:val="en-US" w:eastAsia="fr-FR" w:bidi="he-IL"/>
        </w:rPr>
        <w:t xml:space="preserve">, </w:t>
      </w:r>
      <w:r w:rsidRPr="007E6E2B">
        <w:rPr>
          <w:rStyle w:val="italicus"/>
          <w:lang w:val="en-US"/>
        </w:rPr>
        <w:t xml:space="preserve">An introduction to the Study of the New Testament, </w:t>
      </w:r>
      <w:r w:rsidRPr="007E6E2B">
        <w:rPr>
          <w:lang w:val="en-US"/>
        </w:rPr>
        <w:t>Londres,</w:t>
      </w:r>
      <w:r>
        <w:rPr>
          <w:rFonts w:eastAsia="Arial Unicode MS"/>
          <w:bCs/>
          <w:lang w:val="en-US" w:eastAsia="fr-FR" w:bidi="he-IL"/>
        </w:rPr>
        <w:t xml:space="preserve"> </w:t>
      </w:r>
      <w:r w:rsidRPr="00C8701B">
        <w:rPr>
          <w:rFonts w:eastAsia="Arial Unicode MS"/>
          <w:bCs/>
          <w:lang w:val="en-US" w:eastAsia="fr-FR" w:bidi="he-IL"/>
        </w:rPr>
        <w:t>1868</w:t>
      </w:r>
      <w:r>
        <w:rPr>
          <w:rFonts w:eastAsia="Arial Unicode MS"/>
          <w:bCs/>
          <w:lang w:val="en-US" w:eastAsia="fr-FR" w:bidi="he-IL"/>
        </w:rPr>
        <w:t xml:space="preserve">, t. I, </w:t>
      </w:r>
      <w:r w:rsidRPr="00C8701B">
        <w:rPr>
          <w:rFonts w:eastAsia="Arial Unicode MS"/>
          <w:bCs/>
          <w:lang w:val="en-US" w:eastAsia="fr-FR" w:bidi="he-IL"/>
        </w:rPr>
        <w:t>p. 450.</w:t>
      </w:r>
    </w:p>
  </w:footnote>
  <w:footnote w:id="192">
    <w:p w:rsidR="00941AA6" w:rsidRPr="00933C60" w:rsidRDefault="00941AA6">
      <w:pPr>
        <w:pStyle w:val="Notedebasdepage"/>
      </w:pPr>
      <w:r w:rsidRPr="00C406FF">
        <w:rPr>
          <w:rStyle w:val="Appelnotedebasdep"/>
        </w:rPr>
        <w:footnoteRef/>
      </w:r>
      <w:r w:rsidRPr="000819BA">
        <w:rPr>
          <w:rStyle w:val="italicus"/>
          <w:lang w:val="de-AT"/>
        </w:rPr>
        <w:t xml:space="preserve"> Einleitung in die heilige Schrift Alten und Neuen Testaments, </w:t>
      </w:r>
      <w:r w:rsidRPr="000819BA">
        <w:rPr>
          <w:rFonts w:eastAsia="Arial Unicode MS"/>
          <w:bCs/>
          <w:lang w:val="de-AT" w:eastAsia="fr-FR" w:bidi="he-IL"/>
        </w:rPr>
        <w:t>t. II, p. 381.</w:t>
      </w:r>
    </w:p>
  </w:footnote>
  <w:footnote w:id="193">
    <w:p w:rsidR="00941AA6" w:rsidRPr="00933C60" w:rsidRDefault="00941AA6">
      <w:pPr>
        <w:pStyle w:val="Notedebasdepage"/>
      </w:pPr>
      <w:r w:rsidRPr="00C406FF">
        <w:rPr>
          <w:rStyle w:val="Appelnotedebasdep"/>
        </w:rPr>
        <w:footnoteRef/>
      </w:r>
      <w:r w:rsidRPr="000819BA">
        <w:rPr>
          <w:rFonts w:eastAsia="Arial Unicode MS"/>
          <w:bCs/>
          <w:lang w:val="de-AT" w:eastAsia="fr-FR" w:bidi="he-IL"/>
        </w:rPr>
        <w:t xml:space="preserve"> Keil, </w:t>
      </w:r>
      <w:r w:rsidRPr="000819BA">
        <w:rPr>
          <w:rStyle w:val="italicus"/>
          <w:lang w:val="de-AT"/>
        </w:rPr>
        <w:t xml:space="preserve">Commentar über das Evangélium des Matthǽus, </w:t>
      </w:r>
      <w:r w:rsidRPr="000819BA">
        <w:rPr>
          <w:rFonts w:eastAsia="Arial Unicode MS"/>
          <w:bCs/>
          <w:lang w:val="de-AT" w:eastAsia="fr-FR" w:bidi="he-IL"/>
        </w:rPr>
        <w:t xml:space="preserve">Leipzig 1877, p. 37. </w:t>
      </w:r>
      <w:r w:rsidRPr="00C8701B">
        <w:rPr>
          <w:rFonts w:eastAsia="Arial Unicode MS"/>
          <w:bCs/>
          <w:lang w:eastAsia="fr-FR" w:bidi="he-IL"/>
        </w:rPr>
        <w:t>Voyez aussi les pages 38-39. « Nous montrerons</w:t>
      </w:r>
      <w:r>
        <w:rPr>
          <w:rFonts w:eastAsia="Arial Unicode MS"/>
          <w:bCs/>
          <w:lang w:eastAsia="fr-FR" w:bidi="he-IL"/>
        </w:rPr>
        <w:t xml:space="preserve">, </w:t>
      </w:r>
      <w:r w:rsidRPr="00C8701B">
        <w:rPr>
          <w:rFonts w:eastAsia="Arial Unicode MS"/>
          <w:bCs/>
          <w:lang w:eastAsia="fr-FR" w:bidi="he-IL"/>
        </w:rPr>
        <w:t>dit Mgr Meignan</w:t>
      </w:r>
      <w:r>
        <w:rPr>
          <w:rFonts w:eastAsia="Arial Unicode MS"/>
          <w:bCs/>
          <w:lang w:eastAsia="fr-FR" w:bidi="he-IL"/>
        </w:rPr>
        <w:t xml:space="preserve">, </w:t>
      </w:r>
      <w:r>
        <w:rPr>
          <w:rStyle w:val="italicus"/>
        </w:rPr>
        <w:t>Les Évang</w:t>
      </w:r>
      <w:r w:rsidRPr="00DC4586">
        <w:rPr>
          <w:rStyle w:val="italicus"/>
        </w:rPr>
        <w:t xml:space="preserve">iles et la critique au </w:t>
      </w:r>
      <w:r>
        <w:rPr>
          <w:rStyle w:val="italicus"/>
        </w:rPr>
        <w:t xml:space="preserve">XIXe </w:t>
      </w:r>
      <w:r w:rsidRPr="00DC4586">
        <w:rPr>
          <w:rStyle w:val="italicus"/>
        </w:rPr>
        <w:t>siècle</w:t>
      </w:r>
      <w:r>
        <w:rPr>
          <w:rFonts w:eastAsia="Arial Unicode MS"/>
          <w:bCs/>
          <w:lang w:eastAsia="fr-FR" w:bidi="he-IL"/>
        </w:rPr>
        <w:t xml:space="preserve">, </w:t>
      </w:r>
      <w:r w:rsidRPr="00C8701B">
        <w:rPr>
          <w:rFonts w:eastAsia="Arial Unicode MS"/>
          <w:bCs/>
          <w:lang w:eastAsia="fr-FR" w:bidi="he-IL"/>
        </w:rPr>
        <w:t>p. 410 de la première édition</w:t>
      </w:r>
      <w:r>
        <w:rPr>
          <w:rFonts w:eastAsia="Arial Unicode MS"/>
          <w:bCs/>
          <w:lang w:eastAsia="fr-FR" w:bidi="he-IL"/>
        </w:rPr>
        <w:t>, l’</w:t>
      </w:r>
      <w:r w:rsidRPr="00C8701B">
        <w:rPr>
          <w:rFonts w:eastAsia="Arial Unicode MS"/>
          <w:bCs/>
          <w:lang w:eastAsia="fr-FR" w:bidi="he-IL"/>
        </w:rPr>
        <w:t>intempérance et souvent la puérilité d</w:t>
      </w:r>
      <w:r>
        <w:rPr>
          <w:rFonts w:eastAsia="Arial Unicode MS"/>
          <w:bCs/>
          <w:lang w:eastAsia="fr-FR" w:bidi="he-IL"/>
        </w:rPr>
        <w:t>’</w:t>
      </w:r>
      <w:r w:rsidRPr="00C8701B">
        <w:rPr>
          <w:rFonts w:eastAsia="Arial Unicode MS"/>
          <w:bCs/>
          <w:lang w:eastAsia="fr-FR" w:bidi="he-IL"/>
        </w:rPr>
        <w:t>une critique dont les prétentions touchent quelquefois au ridicu</w:t>
      </w:r>
      <w:r>
        <w:rPr>
          <w:rFonts w:eastAsia="Arial Unicode MS"/>
          <w:bCs/>
          <w:lang w:eastAsia="fr-FR" w:bidi="he-IL"/>
        </w:rPr>
        <w:t>l</w:t>
      </w:r>
      <w:r w:rsidRPr="00C8701B">
        <w:rPr>
          <w:rFonts w:eastAsia="Arial Unicode MS"/>
          <w:bCs/>
          <w:lang w:eastAsia="fr-FR" w:bidi="he-IL"/>
        </w:rPr>
        <w:t>e ». Parfois</w:t>
      </w:r>
      <w:r>
        <w:rPr>
          <w:rFonts w:eastAsia="Arial Unicode MS"/>
          <w:bCs/>
          <w:lang w:eastAsia="fr-FR" w:bidi="he-IL"/>
        </w:rPr>
        <w:t xml:space="preserve">, </w:t>
      </w:r>
      <w:r w:rsidRPr="00C8701B">
        <w:rPr>
          <w:rFonts w:eastAsia="Arial Unicode MS"/>
          <w:bCs/>
          <w:lang w:eastAsia="fr-FR" w:bidi="he-IL"/>
        </w:rPr>
        <w:t>à la manière des inventeurs qui se munissent d</w:t>
      </w:r>
      <w:r>
        <w:rPr>
          <w:rFonts w:eastAsia="Arial Unicode MS"/>
          <w:bCs/>
          <w:lang w:eastAsia="fr-FR" w:bidi="he-IL"/>
        </w:rPr>
        <w:t>’</w:t>
      </w:r>
      <w:r w:rsidRPr="00C8701B">
        <w:rPr>
          <w:rFonts w:eastAsia="Arial Unicode MS"/>
          <w:bCs/>
          <w:lang w:eastAsia="fr-FR" w:bidi="he-IL"/>
        </w:rPr>
        <w:t>un brevet</w:t>
      </w:r>
      <w:r>
        <w:rPr>
          <w:rFonts w:eastAsia="Arial Unicode MS"/>
          <w:bCs/>
          <w:lang w:eastAsia="fr-FR" w:bidi="he-IL"/>
        </w:rPr>
        <w:t xml:space="preserve">, </w:t>
      </w:r>
      <w:r w:rsidRPr="00C8701B">
        <w:rPr>
          <w:rFonts w:eastAsia="Arial Unicode MS"/>
          <w:bCs/>
          <w:lang w:eastAsia="fr-FR" w:bidi="he-IL"/>
        </w:rPr>
        <w:t>nos critiques « </w:t>
      </w:r>
      <w:r>
        <w:rPr>
          <w:rFonts w:eastAsia="Arial Unicode MS"/>
          <w:bCs/>
          <w:lang w:eastAsia="fr-FR" w:bidi="he-IL"/>
        </w:rPr>
        <w:t>prennent date</w:t>
      </w:r>
      <w:r w:rsidRPr="00C8701B">
        <w:rPr>
          <w:rFonts w:eastAsia="Arial Unicode MS"/>
          <w:bCs/>
          <w:lang w:eastAsia="fr-FR" w:bidi="he-IL"/>
        </w:rPr>
        <w:t> »</w:t>
      </w:r>
      <w:r>
        <w:rPr>
          <w:rFonts w:eastAsia="Arial Unicode MS"/>
          <w:bCs/>
          <w:lang w:eastAsia="fr-FR" w:bidi="he-IL"/>
        </w:rPr>
        <w:t xml:space="preserve">, </w:t>
      </w:r>
      <w:r w:rsidRPr="00C8701B">
        <w:rPr>
          <w:rFonts w:eastAsia="Arial Unicode MS"/>
          <w:bCs/>
          <w:lang w:eastAsia="fr-FR" w:bidi="he-IL"/>
        </w:rPr>
        <w:t>pour bien marquer qu</w:t>
      </w:r>
      <w:r>
        <w:rPr>
          <w:rFonts w:eastAsia="Arial Unicode MS"/>
          <w:bCs/>
          <w:lang w:eastAsia="fr-FR" w:bidi="he-IL"/>
        </w:rPr>
        <w:t>’</w:t>
      </w:r>
      <w:r w:rsidRPr="00C8701B">
        <w:rPr>
          <w:rFonts w:eastAsia="Arial Unicode MS"/>
          <w:bCs/>
          <w:lang w:eastAsia="fr-FR" w:bidi="he-IL"/>
        </w:rPr>
        <w:t>ils ont la priorité de temps sur leurs rivaux. Voyez A. Réville</w:t>
      </w:r>
      <w:r>
        <w:rPr>
          <w:rFonts w:eastAsia="Arial Unicode MS"/>
          <w:bCs/>
          <w:lang w:eastAsia="fr-FR" w:bidi="he-IL"/>
        </w:rPr>
        <w:t xml:space="preserve">, </w:t>
      </w:r>
      <w:r>
        <w:rPr>
          <w:rStyle w:val="italicus"/>
        </w:rPr>
        <w:t>Études critiques sur l’</w:t>
      </w:r>
      <w:r w:rsidRPr="00DC4586">
        <w:rPr>
          <w:rStyle w:val="italicus"/>
        </w:rPr>
        <w:t>Évangile selon S. Matthieu</w:t>
      </w:r>
      <w:r>
        <w:rPr>
          <w:rStyle w:val="italicus"/>
        </w:rPr>
        <w:t xml:space="preserve">, </w:t>
      </w:r>
      <w:r w:rsidRPr="00C8701B">
        <w:rPr>
          <w:rFonts w:eastAsia="Arial Unicode MS"/>
          <w:bCs/>
          <w:lang w:eastAsia="fr-FR" w:bidi="he-IL"/>
        </w:rPr>
        <w:t>Leyde</w:t>
      </w:r>
      <w:r>
        <w:rPr>
          <w:rFonts w:eastAsia="Arial Unicode MS"/>
          <w:bCs/>
          <w:lang w:eastAsia="fr-FR" w:bidi="he-IL"/>
        </w:rPr>
        <w:t xml:space="preserve">, </w:t>
      </w:r>
      <w:r w:rsidRPr="00C8701B">
        <w:rPr>
          <w:rFonts w:eastAsia="Arial Unicode MS"/>
          <w:bCs/>
          <w:lang w:eastAsia="fr-FR" w:bidi="he-IL"/>
        </w:rPr>
        <w:t>1862</w:t>
      </w:r>
      <w:r>
        <w:rPr>
          <w:rFonts w:eastAsia="Arial Unicode MS"/>
          <w:bCs/>
          <w:lang w:eastAsia="fr-FR" w:bidi="he-IL"/>
        </w:rPr>
        <w:t xml:space="preserve">, </w:t>
      </w:r>
      <w:r w:rsidRPr="00C8701B">
        <w:rPr>
          <w:rFonts w:eastAsia="Arial Unicode MS"/>
          <w:bCs/>
          <w:lang w:eastAsia="fr-FR" w:bidi="he-IL"/>
        </w:rPr>
        <w:t xml:space="preserve">p. </w:t>
      </w:r>
      <w:r>
        <w:rPr>
          <w:rFonts w:eastAsia="Arial Unicode MS"/>
          <w:bCs/>
          <w:lang w:eastAsia="fr-FR" w:bidi="he-IL"/>
        </w:rPr>
        <w:t>XVIII</w:t>
      </w:r>
      <w:r w:rsidRPr="00C8701B">
        <w:rPr>
          <w:rFonts w:eastAsia="Arial Unicode MS"/>
          <w:bCs/>
          <w:lang w:eastAsia="fr-FR" w:bidi="he-IL"/>
        </w:rPr>
        <w:t>.</w:t>
      </w:r>
    </w:p>
  </w:footnote>
  <w:footnote w:id="194">
    <w:p w:rsidR="00941AA6" w:rsidRPr="00933C60" w:rsidRDefault="00941AA6">
      <w:pPr>
        <w:pStyle w:val="Notedebasdepage"/>
      </w:pPr>
      <w:r w:rsidRPr="00C406FF">
        <w:rPr>
          <w:rStyle w:val="Appelnotedebasdep"/>
        </w:rPr>
        <w:footnoteRef/>
      </w:r>
      <w:r w:rsidRPr="00F56B84">
        <w:rPr>
          <w:lang w:val="de-AT"/>
        </w:rPr>
        <w:t xml:space="preserve"> </w:t>
      </w:r>
      <w:r w:rsidRPr="00AB4FEB">
        <w:t>Cité par</w:t>
      </w:r>
      <w:r w:rsidRPr="00F56B84">
        <w:rPr>
          <w:lang w:val="de-AT"/>
        </w:rPr>
        <w:t xml:space="preserve"> O. Zœckler, </w:t>
      </w:r>
      <w:r w:rsidRPr="000819BA">
        <w:rPr>
          <w:rStyle w:val="italicus"/>
          <w:lang w:val="de-AT"/>
        </w:rPr>
        <w:t>Handbuch der theologischen Wissenschaften</w:t>
      </w:r>
      <w:r w:rsidRPr="000819BA">
        <w:rPr>
          <w:rFonts w:eastAsia="Arial Unicode MS"/>
          <w:bCs/>
          <w:lang w:val="de-AT" w:eastAsia="fr-FR" w:bidi="he-IL"/>
        </w:rPr>
        <w:t>, t. I, p. 391,</w:t>
      </w:r>
    </w:p>
  </w:footnote>
  <w:footnote w:id="195">
    <w:p w:rsidR="00941AA6" w:rsidRPr="00933C60" w:rsidRDefault="00941AA6">
      <w:pPr>
        <w:pStyle w:val="Notedebasdepage"/>
      </w:pPr>
      <w:r w:rsidRPr="00C406FF">
        <w:rPr>
          <w:rStyle w:val="Appelnotedebasdep"/>
        </w:rPr>
        <w:footnoteRef/>
      </w:r>
      <w:r w:rsidRPr="000819BA">
        <w:rPr>
          <w:rFonts w:eastAsia="Arial Unicode MS"/>
          <w:lang w:val="de-AT" w:eastAsia="fr-FR" w:bidi="he-IL"/>
        </w:rPr>
        <w:t xml:space="preserve"> </w:t>
      </w:r>
      <w:r w:rsidRPr="000819BA">
        <w:rPr>
          <w:rStyle w:val="italicus"/>
          <w:lang w:val="de-AT"/>
        </w:rPr>
        <w:t xml:space="preserve">Geschichte Jesu von Nazara, </w:t>
      </w:r>
      <w:r w:rsidRPr="000819BA">
        <w:rPr>
          <w:rFonts w:eastAsia="Arial Unicode MS"/>
          <w:lang w:val="de-AT" w:eastAsia="fr-FR" w:bidi="he-IL"/>
        </w:rPr>
        <w:t>t. I, p. 44.</w:t>
      </w:r>
    </w:p>
  </w:footnote>
  <w:footnote w:id="196">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E.</w:t>
      </w:r>
      <w:r>
        <w:rPr>
          <w:rFonts w:eastAsia="Arial Unicode MS"/>
          <w:bCs/>
          <w:lang w:eastAsia="fr-FR" w:bidi="he-IL"/>
        </w:rPr>
        <w:t xml:space="preserve"> de Press</w:t>
      </w:r>
      <w:r w:rsidRPr="00C8701B">
        <w:rPr>
          <w:rFonts w:eastAsia="Arial Unicode MS"/>
          <w:bCs/>
          <w:lang w:eastAsia="fr-FR" w:bidi="he-IL"/>
        </w:rPr>
        <w:t>ensé</w:t>
      </w:r>
      <w:r>
        <w:rPr>
          <w:rFonts w:eastAsia="Arial Unicode MS"/>
          <w:bCs/>
          <w:lang w:eastAsia="fr-FR" w:bidi="he-IL"/>
        </w:rPr>
        <w:t xml:space="preserve">, </w:t>
      </w:r>
      <w:r w:rsidRPr="00DC4586">
        <w:rPr>
          <w:rStyle w:val="italicus"/>
        </w:rPr>
        <w:t>Jésus-Christ</w:t>
      </w:r>
      <w:r>
        <w:rPr>
          <w:rStyle w:val="italicus"/>
        </w:rPr>
        <w:t xml:space="preserve">, </w:t>
      </w:r>
      <w:r w:rsidRPr="00DC4586">
        <w:rPr>
          <w:rStyle w:val="italicus"/>
        </w:rPr>
        <w:t>sa vie</w:t>
      </w:r>
      <w:r>
        <w:rPr>
          <w:rStyle w:val="italicus"/>
        </w:rPr>
        <w:t xml:space="preserve">, </w:t>
      </w:r>
      <w:r w:rsidRPr="00DC4586">
        <w:rPr>
          <w:rStyle w:val="italicus"/>
        </w:rPr>
        <w:t>son temps</w:t>
      </w:r>
      <w:r>
        <w:rPr>
          <w:rStyle w:val="italicus"/>
        </w:rPr>
        <w:t xml:space="preserve">, </w:t>
      </w:r>
      <w:r w:rsidRPr="00DC4586">
        <w:rPr>
          <w:rStyle w:val="italicus"/>
        </w:rPr>
        <w:t xml:space="preserve">son </w:t>
      </w:r>
      <w:r>
        <w:rPr>
          <w:rStyle w:val="italicus"/>
        </w:rPr>
        <w:t xml:space="preserve">œuvre, </w:t>
      </w:r>
      <w:r w:rsidRPr="00C8701B">
        <w:rPr>
          <w:rFonts w:eastAsia="Arial Unicode MS"/>
          <w:bCs/>
          <w:lang w:eastAsia="fr-FR" w:bidi="he-IL"/>
        </w:rPr>
        <w:t>Paris 1865</w:t>
      </w:r>
      <w:r>
        <w:rPr>
          <w:rFonts w:eastAsia="Arial Unicode MS"/>
          <w:bCs/>
          <w:lang w:eastAsia="fr-FR" w:bidi="he-IL"/>
        </w:rPr>
        <w:t xml:space="preserve">, </w:t>
      </w:r>
      <w:r w:rsidRPr="00C8701B">
        <w:rPr>
          <w:rFonts w:eastAsia="Arial Unicode MS"/>
          <w:bCs/>
          <w:lang w:eastAsia="fr-FR" w:bidi="he-IL"/>
        </w:rPr>
        <w:t>p. 477.</w:t>
      </w:r>
    </w:p>
  </w:footnote>
  <w:footnote w:id="197">
    <w:p w:rsidR="00941AA6" w:rsidRPr="00933C60" w:rsidRDefault="00941AA6">
      <w:pPr>
        <w:pStyle w:val="Notedebasdepage"/>
      </w:pPr>
      <w:r w:rsidRPr="00C406FF">
        <w:rPr>
          <w:rStyle w:val="Appelnotedebasdep"/>
        </w:rPr>
        <w:footnoteRef/>
      </w:r>
      <w:r w:rsidRPr="000819BA">
        <w:rPr>
          <w:rFonts w:eastAsia="Arial Unicode MS"/>
          <w:bCs/>
          <w:lang w:eastAsia="fr-FR" w:bidi="he-IL"/>
        </w:rPr>
        <w:t xml:space="preserve"> « Præ</w:t>
      </w:r>
      <w:r>
        <w:rPr>
          <w:rFonts w:eastAsia="Arial Unicode MS"/>
          <w:bCs/>
          <w:lang w:eastAsia="fr-FR" w:bidi="he-IL"/>
        </w:rPr>
        <w:t>noté</w:t>
      </w:r>
      <w:r w:rsidRPr="000819BA">
        <w:rPr>
          <w:rFonts w:eastAsia="Arial Unicode MS"/>
          <w:bCs/>
          <w:lang w:eastAsia="fr-FR" w:bidi="he-IL"/>
        </w:rPr>
        <w:t xml:space="preserve">mus autem quæstiónem hanc, cum de evangeliórum origine ; agátur, esse </w:t>
      </w:r>
      <w:r>
        <w:rPr>
          <w:rFonts w:eastAsia="Arial Unicode MS"/>
          <w:bCs/>
          <w:lang w:eastAsia="fr-FR" w:bidi="he-IL"/>
        </w:rPr>
        <w:t>histó</w:t>
      </w:r>
      <w:r w:rsidRPr="00C8701B">
        <w:rPr>
          <w:rFonts w:eastAsia="Arial Unicode MS"/>
          <w:bCs/>
          <w:lang w:eastAsia="fr-FR" w:bidi="he-IL"/>
        </w:rPr>
        <w:t>ricam </w:t>
      </w:r>
      <w:r>
        <w:rPr>
          <w:rFonts w:eastAsia="Arial Unicode MS"/>
          <w:bCs/>
          <w:lang w:eastAsia="fr-FR" w:bidi="he-IL"/>
        </w:rPr>
        <w:t xml:space="preserve">; </w:t>
      </w:r>
      <w:r w:rsidRPr="00C8701B">
        <w:rPr>
          <w:rFonts w:eastAsia="Arial Unicode MS"/>
          <w:bCs/>
          <w:lang w:eastAsia="fr-FR" w:bidi="he-IL"/>
        </w:rPr>
        <w:t>in dijudic</w:t>
      </w:r>
      <w:r>
        <w:rPr>
          <w:rFonts w:eastAsia="Arial Unicode MS"/>
          <w:bCs/>
          <w:lang w:eastAsia="fr-FR" w:bidi="he-IL"/>
        </w:rPr>
        <w:t>á</w:t>
      </w:r>
      <w:r w:rsidRPr="00C8701B">
        <w:rPr>
          <w:rFonts w:eastAsia="Arial Unicode MS"/>
          <w:bCs/>
          <w:lang w:eastAsia="fr-FR" w:bidi="he-IL"/>
        </w:rPr>
        <w:t>ndis</w:t>
      </w:r>
      <w:r>
        <w:rPr>
          <w:rFonts w:eastAsia="Arial Unicode MS"/>
          <w:bCs/>
          <w:lang w:eastAsia="fr-FR" w:bidi="he-IL"/>
        </w:rPr>
        <w:t xml:space="preserve"> ergo systemát</w:t>
      </w:r>
      <w:r w:rsidRPr="00C8701B">
        <w:rPr>
          <w:rFonts w:eastAsia="Arial Unicode MS"/>
          <w:bCs/>
          <w:lang w:eastAsia="fr-FR" w:bidi="he-IL"/>
        </w:rPr>
        <w:t>ibus</w:t>
      </w:r>
      <w:r>
        <w:rPr>
          <w:rFonts w:eastAsia="Arial Unicode MS"/>
          <w:bCs/>
          <w:lang w:eastAsia="fr-FR" w:bidi="he-IL"/>
        </w:rPr>
        <w:t xml:space="preserve">, </w:t>
      </w:r>
      <w:r w:rsidRPr="00C8701B">
        <w:rPr>
          <w:rFonts w:eastAsia="Arial Unicode MS"/>
          <w:bCs/>
          <w:lang w:eastAsia="fr-FR" w:bidi="he-IL"/>
        </w:rPr>
        <w:t>histórica argumenta primum tenére locum</w:t>
      </w:r>
      <w:r>
        <w:rPr>
          <w:rFonts w:eastAsia="Arial Unicode MS"/>
          <w:bCs/>
          <w:lang w:eastAsia="fr-FR" w:bidi="he-IL"/>
        </w:rPr>
        <w:t xml:space="preserve">, </w:t>
      </w:r>
      <w:r w:rsidRPr="00C8701B">
        <w:rPr>
          <w:rFonts w:eastAsia="Arial Unicode MS"/>
          <w:bCs/>
          <w:lang w:eastAsia="fr-FR" w:bidi="he-IL"/>
        </w:rPr>
        <w:t>ne</w:t>
      </w:r>
      <w:r>
        <w:rPr>
          <w:rFonts w:eastAsia="Arial Unicode MS"/>
          <w:bCs/>
          <w:lang w:eastAsia="fr-FR" w:bidi="he-IL"/>
        </w:rPr>
        <w:t>c meris conject</w:t>
      </w:r>
      <w:r w:rsidRPr="00C8701B">
        <w:rPr>
          <w:rFonts w:eastAsia="Arial Unicode MS"/>
          <w:bCs/>
          <w:lang w:eastAsia="fr-FR" w:bidi="he-IL"/>
        </w:rPr>
        <w:t>úris</w:t>
      </w:r>
      <w:r>
        <w:rPr>
          <w:rFonts w:eastAsia="Arial Unicode MS"/>
          <w:bCs/>
          <w:lang w:eastAsia="fr-FR" w:bidi="he-IL"/>
        </w:rPr>
        <w:t xml:space="preserve"> commentí</w:t>
      </w:r>
      <w:r w:rsidRPr="00C8701B">
        <w:rPr>
          <w:rFonts w:eastAsia="Arial Unicode MS"/>
          <w:bCs/>
          <w:lang w:eastAsia="fr-FR" w:bidi="he-IL"/>
        </w:rPr>
        <w:t>sque arbitr</w:t>
      </w:r>
      <w:r>
        <w:rPr>
          <w:rFonts w:eastAsia="Arial Unicode MS"/>
          <w:bCs/>
          <w:lang w:eastAsia="fr-FR" w:bidi="he-IL"/>
        </w:rPr>
        <w:t>ár</w:t>
      </w:r>
      <w:r w:rsidRPr="00C8701B">
        <w:rPr>
          <w:rFonts w:eastAsia="Arial Unicode MS"/>
          <w:bCs/>
          <w:lang w:eastAsia="fr-FR" w:bidi="he-IL"/>
        </w:rPr>
        <w:t>ie excogitátis rem</w:t>
      </w:r>
      <w:r>
        <w:rPr>
          <w:rFonts w:eastAsia="Arial Unicode MS"/>
          <w:bCs/>
          <w:lang w:eastAsia="fr-FR" w:bidi="he-IL"/>
        </w:rPr>
        <w:t xml:space="preserve"> definíri. Systé</w:t>
      </w:r>
      <w:r w:rsidRPr="00C8701B">
        <w:rPr>
          <w:rFonts w:eastAsia="Arial Unicode MS"/>
          <w:bCs/>
          <w:lang w:eastAsia="fr-FR" w:bidi="he-IL"/>
        </w:rPr>
        <w:t xml:space="preserve">ma </w:t>
      </w:r>
      <w:r>
        <w:rPr>
          <w:rFonts w:eastAsia="Arial Unicode MS"/>
          <w:bCs/>
          <w:lang w:eastAsia="fr-FR" w:bidi="he-IL"/>
        </w:rPr>
        <w:t>ígitur</w:t>
      </w:r>
      <w:r w:rsidRPr="00C8701B">
        <w:rPr>
          <w:rFonts w:eastAsia="Arial Unicode MS"/>
          <w:bCs/>
          <w:lang w:eastAsia="fr-FR" w:bidi="he-IL"/>
        </w:rPr>
        <w:t xml:space="preserve"> quodc</w:t>
      </w:r>
      <w:r>
        <w:rPr>
          <w:rFonts w:eastAsia="Arial Unicode MS"/>
          <w:bCs/>
          <w:lang w:eastAsia="fr-FR" w:bidi="he-IL"/>
        </w:rPr>
        <w:t>ú</w:t>
      </w:r>
      <w:r w:rsidRPr="00C8701B">
        <w:rPr>
          <w:rFonts w:eastAsia="Arial Unicode MS"/>
          <w:bCs/>
          <w:lang w:eastAsia="fr-FR" w:bidi="he-IL"/>
        </w:rPr>
        <w:t>mque non ídeo</w:t>
      </w:r>
      <w:r>
        <w:rPr>
          <w:rFonts w:eastAsia="Arial Unicode MS"/>
          <w:bCs/>
          <w:lang w:eastAsia="fr-FR" w:bidi="he-IL"/>
        </w:rPr>
        <w:t xml:space="preserve"> </w:t>
      </w:r>
      <w:r w:rsidRPr="00C8701B">
        <w:rPr>
          <w:rFonts w:eastAsia="Arial Unicode MS"/>
          <w:bCs/>
          <w:lang w:eastAsia="fr-FR" w:bidi="he-IL"/>
        </w:rPr>
        <w:t>jam suffícere</w:t>
      </w:r>
      <w:r>
        <w:rPr>
          <w:rFonts w:eastAsia="Arial Unicode MS"/>
          <w:bCs/>
          <w:lang w:eastAsia="fr-FR" w:bidi="he-IL"/>
        </w:rPr>
        <w:t xml:space="preserve"> </w:t>
      </w:r>
      <w:r w:rsidRPr="00C8701B">
        <w:rPr>
          <w:rFonts w:eastAsia="Arial Unicode MS"/>
          <w:bCs/>
          <w:lang w:eastAsia="fr-FR" w:bidi="he-IL"/>
        </w:rPr>
        <w:t>est dic</w:t>
      </w:r>
      <w:r>
        <w:rPr>
          <w:rFonts w:eastAsia="Arial Unicode MS"/>
          <w:bCs/>
          <w:lang w:eastAsia="fr-FR" w:bidi="he-IL"/>
        </w:rPr>
        <w:t>é</w:t>
      </w:r>
      <w:r w:rsidRPr="00C8701B">
        <w:rPr>
          <w:rFonts w:eastAsia="Arial Unicode MS"/>
          <w:bCs/>
          <w:lang w:eastAsia="fr-FR" w:bidi="he-IL"/>
        </w:rPr>
        <w:t>ndum</w:t>
      </w:r>
      <w:r>
        <w:rPr>
          <w:rFonts w:eastAsia="Arial Unicode MS"/>
          <w:bCs/>
          <w:lang w:eastAsia="fr-FR" w:bidi="he-IL"/>
        </w:rPr>
        <w:t>,</w:t>
      </w:r>
      <w:r w:rsidRPr="00C8701B">
        <w:rPr>
          <w:rFonts w:eastAsia="Arial Unicode MS"/>
          <w:bCs/>
          <w:lang w:eastAsia="fr-FR" w:bidi="he-IL"/>
        </w:rPr>
        <w:t xml:space="preserve"> quia ejus ope rel</w:t>
      </w:r>
      <w:r>
        <w:rPr>
          <w:rFonts w:eastAsia="Arial Unicode MS"/>
          <w:bCs/>
          <w:lang w:eastAsia="fr-FR" w:bidi="he-IL"/>
        </w:rPr>
        <w:t>á</w:t>
      </w:r>
      <w:r w:rsidRPr="00C8701B">
        <w:rPr>
          <w:rFonts w:eastAsia="Arial Unicode MS"/>
          <w:bCs/>
          <w:lang w:eastAsia="fr-FR" w:bidi="he-IL"/>
        </w:rPr>
        <w:t>tio</w:t>
      </w:r>
      <w:r>
        <w:rPr>
          <w:rFonts w:eastAsia="Arial Unicode MS"/>
          <w:bCs/>
          <w:lang w:eastAsia="fr-FR" w:bidi="he-IL"/>
        </w:rPr>
        <w:t xml:space="preserve"> illa mútua,</w:t>
      </w:r>
      <w:r w:rsidRPr="00C8701B">
        <w:rPr>
          <w:rFonts w:eastAsia="Arial Unicode MS"/>
          <w:bCs/>
          <w:lang w:eastAsia="fr-FR" w:bidi="he-IL"/>
        </w:rPr>
        <w:t xml:space="preserve"> de qua </w:t>
      </w:r>
      <w:r>
        <w:rPr>
          <w:rFonts w:eastAsia="Arial Unicode MS"/>
          <w:bCs/>
          <w:lang w:eastAsia="fr-FR" w:bidi="he-IL"/>
        </w:rPr>
        <w:t>quǽ</w:t>
      </w:r>
      <w:r w:rsidRPr="00C8701B">
        <w:rPr>
          <w:rFonts w:eastAsia="Arial Unicode MS"/>
          <w:bCs/>
          <w:lang w:eastAsia="fr-FR" w:bidi="he-IL"/>
        </w:rPr>
        <w:t>ritur</w:t>
      </w:r>
      <w:r>
        <w:rPr>
          <w:rFonts w:eastAsia="Arial Unicode MS"/>
          <w:bCs/>
          <w:lang w:eastAsia="fr-FR" w:bidi="he-IL"/>
        </w:rPr>
        <w:t xml:space="preserve">, </w:t>
      </w:r>
      <w:r w:rsidRPr="00C8701B">
        <w:rPr>
          <w:rFonts w:eastAsia="Arial Unicode MS"/>
          <w:bCs/>
          <w:lang w:eastAsia="fr-FR" w:bidi="he-IL"/>
        </w:rPr>
        <w:t>quoquo modo exp</w:t>
      </w:r>
      <w:r>
        <w:rPr>
          <w:rFonts w:eastAsia="Arial Unicode MS"/>
          <w:bCs/>
          <w:lang w:eastAsia="fr-FR" w:bidi="he-IL"/>
        </w:rPr>
        <w:t>licá</w:t>
      </w:r>
      <w:r w:rsidRPr="00C8701B">
        <w:rPr>
          <w:rFonts w:eastAsia="Arial Unicode MS"/>
          <w:bCs/>
          <w:lang w:eastAsia="fr-FR" w:bidi="he-IL"/>
        </w:rPr>
        <w:t>tur </w:t>
      </w:r>
      <w:r>
        <w:rPr>
          <w:rFonts w:eastAsia="Arial Unicode MS"/>
          <w:bCs/>
          <w:lang w:eastAsia="fr-FR" w:bidi="he-IL"/>
        </w:rPr>
        <w:t>; sed fundaméntu</w:t>
      </w:r>
      <w:r w:rsidRPr="00C8701B">
        <w:rPr>
          <w:rFonts w:eastAsia="Arial Unicode MS"/>
          <w:bCs/>
          <w:lang w:eastAsia="fr-FR" w:bidi="he-IL"/>
        </w:rPr>
        <w:t>m históricum hábea</w:t>
      </w:r>
      <w:r>
        <w:rPr>
          <w:rFonts w:eastAsia="Arial Unicode MS"/>
          <w:bCs/>
          <w:lang w:eastAsia="fr-FR" w:bidi="he-IL"/>
        </w:rPr>
        <w:t>t, tel saltem cum illo rer</w:t>
      </w:r>
      <w:r w:rsidRPr="00C8701B">
        <w:rPr>
          <w:rFonts w:eastAsia="Arial Unicode MS"/>
          <w:bCs/>
          <w:lang w:eastAsia="fr-FR" w:bidi="he-IL"/>
        </w:rPr>
        <w:t xml:space="preserve">um statu quem </w:t>
      </w:r>
      <w:r>
        <w:rPr>
          <w:rFonts w:eastAsia="Arial Unicode MS"/>
          <w:bCs/>
          <w:lang w:eastAsia="fr-FR" w:bidi="he-IL"/>
        </w:rPr>
        <w:t>sǽc</w:t>
      </w:r>
      <w:r w:rsidRPr="00C8701B">
        <w:rPr>
          <w:rFonts w:eastAsia="Arial Unicode MS"/>
          <w:bCs/>
          <w:lang w:eastAsia="fr-FR" w:bidi="he-IL"/>
        </w:rPr>
        <w:t>ulo primo christiáno</w:t>
      </w:r>
      <w:r>
        <w:rPr>
          <w:rFonts w:eastAsia="Arial Unicode MS"/>
          <w:bCs/>
          <w:lang w:eastAsia="fr-FR" w:bidi="he-IL"/>
        </w:rPr>
        <w:t xml:space="preserve"> extití</w:t>
      </w:r>
      <w:r w:rsidRPr="00C8701B">
        <w:rPr>
          <w:rFonts w:eastAsia="Arial Unicode MS"/>
          <w:bCs/>
          <w:lang w:eastAsia="fr-FR" w:bidi="he-IL"/>
        </w:rPr>
        <w:t>sse monumént</w:t>
      </w:r>
      <w:r>
        <w:rPr>
          <w:rFonts w:eastAsia="Arial Unicode MS"/>
          <w:bCs/>
          <w:lang w:eastAsia="fr-FR" w:bidi="he-IL"/>
        </w:rPr>
        <w:t>a</w:t>
      </w:r>
      <w:r w:rsidRPr="00C8701B">
        <w:rPr>
          <w:rFonts w:eastAsia="Arial Unicode MS"/>
          <w:bCs/>
          <w:lang w:eastAsia="fr-FR" w:bidi="he-IL"/>
        </w:rPr>
        <w:t xml:space="preserve"> test</w:t>
      </w:r>
      <w:r>
        <w:rPr>
          <w:rFonts w:eastAsia="Arial Unicode MS"/>
          <w:bCs/>
          <w:lang w:eastAsia="fr-FR" w:bidi="he-IL"/>
        </w:rPr>
        <w:t>á</w:t>
      </w:r>
      <w:r w:rsidRPr="00C8701B">
        <w:rPr>
          <w:rFonts w:eastAsia="Arial Unicode MS"/>
          <w:bCs/>
          <w:lang w:eastAsia="fr-FR" w:bidi="he-IL"/>
        </w:rPr>
        <w:t>ntur</w:t>
      </w:r>
      <w:r>
        <w:rPr>
          <w:rFonts w:eastAsia="Arial Unicode MS"/>
          <w:bCs/>
          <w:lang w:eastAsia="fr-FR" w:bidi="he-IL"/>
        </w:rPr>
        <w:t>, plene có</w:t>
      </w:r>
      <w:r w:rsidRPr="00C8701B">
        <w:rPr>
          <w:rFonts w:eastAsia="Arial Unicode MS"/>
          <w:bCs/>
          <w:lang w:eastAsia="fr-FR" w:bidi="he-IL"/>
        </w:rPr>
        <w:t>nsonet necésse est »</w:t>
      </w:r>
      <w:r>
        <w:rPr>
          <w:rFonts w:eastAsia="Arial Unicode MS"/>
          <w:bCs/>
          <w:lang w:eastAsia="fr-FR" w:bidi="he-IL"/>
        </w:rPr>
        <w:t xml:space="preserve">. </w:t>
      </w:r>
      <w:r w:rsidRPr="000819BA">
        <w:rPr>
          <w:rFonts w:eastAsia="Arial Unicode MS"/>
          <w:bCs/>
          <w:lang w:val="de-AT" w:eastAsia="fr-FR" w:bidi="he-IL"/>
        </w:rPr>
        <w:t xml:space="preserve">Cornely, </w:t>
      </w:r>
      <w:r w:rsidRPr="000819BA">
        <w:rPr>
          <w:rStyle w:val="italicus"/>
          <w:lang w:val="de-AT"/>
        </w:rPr>
        <w:t>Histórica</w:t>
      </w:r>
      <w:r>
        <w:rPr>
          <w:rStyle w:val="italicus"/>
          <w:lang w:val="de-AT"/>
        </w:rPr>
        <w:t xml:space="preserve"> et crític</w:t>
      </w:r>
      <w:r w:rsidRPr="000819BA">
        <w:rPr>
          <w:rStyle w:val="italicus"/>
          <w:lang w:val="de-AT"/>
        </w:rPr>
        <w:t xml:space="preserve">a Introdúctio in utriúsque Testaménti libros sacros, </w:t>
      </w:r>
      <w:r w:rsidRPr="000819BA">
        <w:rPr>
          <w:rFonts w:eastAsia="Arial Unicode MS"/>
          <w:bCs/>
          <w:lang w:val="de-AT" w:eastAsia="fr-FR" w:bidi="he-IL"/>
        </w:rPr>
        <w:t xml:space="preserve">t. III, </w:t>
      </w:r>
      <w:r>
        <w:rPr>
          <w:rFonts w:eastAsia="Arial Unicode MS"/>
          <w:bCs/>
          <w:lang w:val="de-AT" w:eastAsia="fr-FR" w:bidi="he-IL"/>
        </w:rPr>
        <w:t>p. 170. Cf. Reithm</w:t>
      </w:r>
      <w:r w:rsidRPr="000819BA">
        <w:rPr>
          <w:rFonts w:eastAsia="Arial Unicode MS"/>
          <w:bCs/>
          <w:lang w:val="de-AT" w:eastAsia="fr-FR" w:bidi="he-IL"/>
        </w:rPr>
        <w:t xml:space="preserve">ayr, </w:t>
      </w:r>
      <w:r w:rsidRPr="000819BA">
        <w:rPr>
          <w:rStyle w:val="italicus"/>
          <w:lang w:val="de-AT"/>
        </w:rPr>
        <w:t xml:space="preserve">Einleitung in die kanonischen </w:t>
      </w:r>
      <w:r>
        <w:rPr>
          <w:rStyle w:val="italicus"/>
          <w:lang w:val="de-AT"/>
        </w:rPr>
        <w:t>Bücher</w:t>
      </w:r>
      <w:r w:rsidRPr="000819BA">
        <w:rPr>
          <w:rStyle w:val="italicus"/>
          <w:lang w:val="de-AT"/>
        </w:rPr>
        <w:t xml:space="preserve"> des Neuen Bundes, </w:t>
      </w:r>
      <w:r w:rsidRPr="00A819D0">
        <w:rPr>
          <w:lang w:val="de-AT"/>
        </w:rPr>
        <w:t>Ratisbonne</w:t>
      </w:r>
      <w:r w:rsidRPr="000819BA">
        <w:rPr>
          <w:rFonts w:eastAsia="Arial Unicode MS"/>
          <w:bCs/>
          <w:lang w:val="de-AT" w:eastAsia="fr-FR" w:bidi="he-IL"/>
        </w:rPr>
        <w:t xml:space="preserve"> 1852, p. 347 ; A. Maier, </w:t>
      </w:r>
      <w:r w:rsidRPr="000819BA">
        <w:rPr>
          <w:rStyle w:val="italicus"/>
          <w:lang w:val="de-AT"/>
        </w:rPr>
        <w:t>Einleitung in</w:t>
      </w:r>
      <w:r>
        <w:rPr>
          <w:rStyle w:val="italicus"/>
          <w:lang w:val="de-AT"/>
        </w:rPr>
        <w:t xml:space="preserve"> </w:t>
      </w:r>
      <w:r w:rsidRPr="000819BA">
        <w:rPr>
          <w:rStyle w:val="italicus"/>
          <w:lang w:val="de-AT"/>
        </w:rPr>
        <w:t>die</w:t>
      </w:r>
      <w:r>
        <w:rPr>
          <w:rStyle w:val="italicus"/>
          <w:lang w:val="de-AT"/>
        </w:rPr>
        <w:t xml:space="preserve"> </w:t>
      </w:r>
      <w:r w:rsidRPr="000819BA">
        <w:rPr>
          <w:rStyle w:val="italicus"/>
          <w:lang w:val="de-AT"/>
        </w:rPr>
        <w:t xml:space="preserve">Schriften des Neuen Testaments, </w:t>
      </w:r>
      <w:r w:rsidRPr="000819BA">
        <w:rPr>
          <w:rFonts w:eastAsia="Arial Unicode MS"/>
          <w:bCs/>
          <w:lang w:val="de-AT" w:eastAsia="fr-FR" w:bidi="he-IL"/>
        </w:rPr>
        <w:t xml:space="preserve">p. 46. </w:t>
      </w:r>
      <w:r w:rsidRPr="00C8701B">
        <w:rPr>
          <w:rFonts w:eastAsia="Arial Unicode MS"/>
          <w:bCs/>
          <w:lang w:eastAsia="fr-FR" w:bidi="he-IL"/>
        </w:rPr>
        <w:t>Keim dit aussi</w:t>
      </w:r>
      <w:r>
        <w:rPr>
          <w:rFonts w:eastAsia="Arial Unicode MS"/>
          <w:bCs/>
          <w:lang w:eastAsia="fr-FR" w:bidi="he-IL"/>
        </w:rPr>
        <w:t xml:space="preserve">, </w:t>
      </w:r>
      <w:r>
        <w:rPr>
          <w:rStyle w:val="italicus"/>
        </w:rPr>
        <w:t>loc.</w:t>
      </w:r>
      <w:r w:rsidRPr="00DC4586">
        <w:rPr>
          <w:rStyle w:val="italicus"/>
        </w:rPr>
        <w:t xml:space="preserve"> cit.</w:t>
      </w:r>
      <w:r>
        <w:rPr>
          <w:rStyle w:val="italicus"/>
        </w:rPr>
        <w:t xml:space="preserve">, </w:t>
      </w:r>
      <w:r w:rsidRPr="00C8701B">
        <w:rPr>
          <w:rFonts w:eastAsia="Arial Unicode MS"/>
          <w:bCs/>
          <w:lang w:eastAsia="fr-FR" w:bidi="he-IL"/>
        </w:rPr>
        <w:t>qu’il faut qu</w:t>
      </w:r>
      <w:r>
        <w:rPr>
          <w:rFonts w:eastAsia="Arial Unicode MS"/>
          <w:bCs/>
          <w:lang w:eastAsia="fr-FR" w:bidi="he-IL"/>
        </w:rPr>
        <w:t>’« </w:t>
      </w:r>
      <w:r w:rsidRPr="00C8701B">
        <w:rPr>
          <w:rFonts w:eastAsia="Arial Unicode MS"/>
          <w:bCs/>
          <w:lang w:eastAsia="fr-FR" w:bidi="he-IL"/>
        </w:rPr>
        <w:t>un</w:t>
      </w:r>
      <w:r>
        <w:rPr>
          <w:rFonts w:eastAsia="Arial Unicode MS"/>
          <w:bCs/>
          <w:lang w:eastAsia="fr-FR" w:bidi="he-IL"/>
        </w:rPr>
        <w:t xml:space="preserve"> </w:t>
      </w:r>
      <w:r w:rsidRPr="00C8701B">
        <w:rPr>
          <w:rFonts w:eastAsia="Arial Unicode MS"/>
          <w:bCs/>
          <w:lang w:eastAsia="fr-FR" w:bidi="he-IL"/>
        </w:rPr>
        <w:t>œil historique surveille les opérations de la critique ». Et M. E</w:t>
      </w:r>
      <w:r>
        <w:rPr>
          <w:rFonts w:eastAsia="Arial Unicode MS"/>
          <w:bCs/>
          <w:lang w:eastAsia="fr-FR" w:bidi="he-IL"/>
        </w:rPr>
        <w:t xml:space="preserve">. </w:t>
      </w:r>
      <w:r w:rsidRPr="00C8701B">
        <w:rPr>
          <w:rFonts w:eastAsia="Arial Unicode MS"/>
          <w:bCs/>
          <w:lang w:eastAsia="fr-FR" w:bidi="he-IL"/>
        </w:rPr>
        <w:t>Reuss</w:t>
      </w:r>
      <w:r>
        <w:rPr>
          <w:rFonts w:eastAsia="Arial Unicode MS"/>
          <w:bCs/>
          <w:lang w:eastAsia="fr-FR" w:bidi="he-IL"/>
        </w:rPr>
        <w:t xml:space="preserve">, </w:t>
      </w:r>
      <w:r w:rsidRPr="00C8701B">
        <w:rPr>
          <w:rFonts w:eastAsia="Arial Unicode MS"/>
          <w:bCs/>
          <w:lang w:eastAsia="fr-FR" w:bidi="he-IL"/>
        </w:rPr>
        <w:t>non moins rationaliste que le</w:t>
      </w:r>
      <w:r>
        <w:rPr>
          <w:rFonts w:eastAsia="Arial Unicode MS"/>
          <w:bCs/>
          <w:lang w:eastAsia="fr-FR" w:bidi="he-IL"/>
        </w:rPr>
        <w:t xml:space="preserve"> Dr K</w:t>
      </w:r>
      <w:r w:rsidRPr="00C8701B">
        <w:rPr>
          <w:rFonts w:eastAsia="Arial Unicode MS"/>
          <w:bCs/>
          <w:lang w:eastAsia="fr-FR" w:bidi="he-IL"/>
        </w:rPr>
        <w:t>eim</w:t>
      </w:r>
      <w:r>
        <w:rPr>
          <w:rFonts w:eastAsia="Arial Unicode MS"/>
          <w:bCs/>
          <w:lang w:eastAsia="fr-FR" w:bidi="he-IL"/>
        </w:rPr>
        <w:t xml:space="preserve">, </w:t>
      </w:r>
      <w:r w:rsidRPr="00C8701B">
        <w:rPr>
          <w:rFonts w:eastAsia="Arial Unicode MS"/>
          <w:bCs/>
          <w:lang w:eastAsia="fr-FR" w:bidi="he-IL"/>
        </w:rPr>
        <w:t>ajoute : « La plupart des choses qui ont été dites et écrites jusqu’ici (</w:t>
      </w:r>
      <w:r>
        <w:rPr>
          <w:rFonts w:eastAsia="Arial Unicode MS"/>
          <w:bCs/>
          <w:lang w:eastAsia="fr-FR" w:bidi="he-IL"/>
        </w:rPr>
        <w:t>18</w:t>
      </w:r>
      <w:r w:rsidRPr="00C8701B">
        <w:rPr>
          <w:rFonts w:eastAsia="Arial Unicode MS"/>
          <w:bCs/>
          <w:lang w:eastAsia="fr-FR" w:bidi="he-IL"/>
        </w:rPr>
        <w:t xml:space="preserve">63) sur ce sujet ont plutôt contribué à accroître les difficultés </w:t>
      </w:r>
      <w:r>
        <w:rPr>
          <w:rFonts w:eastAsia="Arial Unicode MS"/>
          <w:bCs/>
          <w:lang w:eastAsia="fr-FR" w:bidi="he-IL"/>
        </w:rPr>
        <w:t>qu’à</w:t>
      </w:r>
      <w:r w:rsidRPr="00C8701B">
        <w:rPr>
          <w:rFonts w:eastAsia="Arial Unicode MS"/>
          <w:bCs/>
          <w:lang w:eastAsia="fr-FR" w:bidi="he-IL"/>
        </w:rPr>
        <w:t xml:space="preserve"> les faire disparaître</w:t>
      </w:r>
      <w:r>
        <w:rPr>
          <w:rFonts w:eastAsia="Arial Unicode MS"/>
          <w:bCs/>
          <w:lang w:eastAsia="fr-FR" w:bidi="he-IL"/>
        </w:rPr>
        <w:t xml:space="preserve">, </w:t>
      </w:r>
      <w:r w:rsidRPr="00C8701B">
        <w:rPr>
          <w:rFonts w:eastAsia="Arial Unicode MS"/>
          <w:bCs/>
          <w:lang w:eastAsia="fr-FR" w:bidi="he-IL"/>
        </w:rPr>
        <w:t>à cause des conjectures dénuées de fondement</w:t>
      </w:r>
      <w:r>
        <w:rPr>
          <w:rFonts w:eastAsia="Arial Unicode MS"/>
          <w:bCs/>
          <w:lang w:eastAsia="fr-FR" w:bidi="he-IL"/>
        </w:rPr>
        <w:t xml:space="preserve">, </w:t>
      </w:r>
      <w:r w:rsidRPr="00C8701B">
        <w:rPr>
          <w:rFonts w:eastAsia="Arial Unicode MS"/>
          <w:bCs/>
          <w:lang w:eastAsia="fr-FR" w:bidi="he-IL"/>
        </w:rPr>
        <w:t xml:space="preserve">et parce </w:t>
      </w:r>
      <w:r>
        <w:rPr>
          <w:rFonts w:eastAsia="Arial Unicode MS"/>
          <w:bCs/>
          <w:lang w:eastAsia="fr-FR" w:bidi="he-IL"/>
        </w:rPr>
        <w:t>qu</w:t>
      </w:r>
      <w:r w:rsidRPr="00C8701B">
        <w:rPr>
          <w:rFonts w:eastAsia="Arial Unicode MS"/>
          <w:bCs/>
          <w:lang w:eastAsia="fr-FR" w:bidi="he-IL"/>
        </w:rPr>
        <w:t xml:space="preserve">’on a </w:t>
      </w:r>
      <w:r>
        <w:rPr>
          <w:rFonts w:eastAsia="Arial Unicode MS"/>
          <w:bCs/>
          <w:lang w:eastAsia="fr-FR" w:bidi="he-IL"/>
        </w:rPr>
        <w:t>négligé des f</w:t>
      </w:r>
      <w:r w:rsidRPr="00C8701B">
        <w:rPr>
          <w:rFonts w:eastAsia="Arial Unicode MS"/>
          <w:bCs/>
          <w:lang w:eastAsia="fr-FR" w:bidi="he-IL"/>
        </w:rPr>
        <w:t>aits réels »</w:t>
      </w:r>
      <w:r>
        <w:rPr>
          <w:rFonts w:eastAsia="Arial Unicode MS"/>
          <w:bCs/>
          <w:lang w:eastAsia="fr-FR" w:bidi="he-IL"/>
        </w:rPr>
        <w:t xml:space="preserve">, </w:t>
      </w:r>
      <w:r w:rsidRPr="00DC4586">
        <w:rPr>
          <w:rStyle w:val="italicus"/>
        </w:rPr>
        <w:t xml:space="preserve">Geschichte der heiligen </w:t>
      </w:r>
      <w:r>
        <w:rPr>
          <w:rStyle w:val="italicus"/>
        </w:rPr>
        <w:t>Schriften</w:t>
      </w:r>
      <w:r w:rsidRPr="00DC4586">
        <w:rPr>
          <w:rStyle w:val="italicus"/>
        </w:rPr>
        <w:t xml:space="preserve"> Neuen Testaments</w:t>
      </w:r>
      <w:r>
        <w:rPr>
          <w:rStyle w:val="italicus"/>
        </w:rPr>
        <w:t xml:space="preserve">, </w:t>
      </w:r>
      <w:r w:rsidRPr="00C8701B">
        <w:rPr>
          <w:rFonts w:eastAsia="Arial Unicode MS"/>
          <w:bCs/>
          <w:lang w:eastAsia="fr-FR" w:bidi="he-IL"/>
        </w:rPr>
        <w:t>édit. de 1864</w:t>
      </w:r>
      <w:r>
        <w:rPr>
          <w:rFonts w:eastAsia="Arial Unicode MS"/>
          <w:bCs/>
          <w:lang w:eastAsia="fr-FR" w:bidi="he-IL"/>
        </w:rPr>
        <w:t xml:space="preserve">, </w:t>
      </w:r>
      <w:r w:rsidRPr="00C8701B">
        <w:rPr>
          <w:rFonts w:eastAsia="Arial Unicode MS"/>
          <w:bCs/>
          <w:lang w:eastAsia="fr-FR" w:bidi="he-IL"/>
        </w:rPr>
        <w:t>p. 454.</w:t>
      </w:r>
    </w:p>
  </w:footnote>
  <w:footnote w:id="198">
    <w:p w:rsidR="00941AA6" w:rsidRPr="00933C60" w:rsidRDefault="00941AA6">
      <w:pPr>
        <w:pStyle w:val="Notedebasdepage"/>
      </w:pPr>
      <w:r w:rsidRPr="00C406FF">
        <w:rPr>
          <w:rStyle w:val="Appelnotedebasdep"/>
        </w:rPr>
        <w:footnoteRef/>
      </w:r>
      <w:r w:rsidRPr="00DC4586">
        <w:rPr>
          <w:rStyle w:val="italicus"/>
        </w:rPr>
        <w:t xml:space="preserve"> Die Benutzungshypothese</w:t>
      </w:r>
      <w:r>
        <w:rPr>
          <w:rStyle w:val="italicus"/>
        </w:rPr>
        <w:t xml:space="preserve">, </w:t>
      </w:r>
      <w:r w:rsidRPr="00C8701B">
        <w:rPr>
          <w:rFonts w:eastAsia="Arial Unicode MS"/>
          <w:bCs/>
          <w:lang w:eastAsia="fr-FR" w:bidi="he-IL"/>
        </w:rPr>
        <w:t>comme on dit en Al</w:t>
      </w:r>
      <w:r>
        <w:rPr>
          <w:rFonts w:eastAsia="Arial Unicode MS"/>
          <w:bCs/>
          <w:lang w:eastAsia="fr-FR" w:bidi="he-IL"/>
        </w:rPr>
        <w:t>l</w:t>
      </w:r>
      <w:r w:rsidRPr="00C8701B">
        <w:rPr>
          <w:rFonts w:eastAsia="Arial Unicode MS"/>
          <w:bCs/>
          <w:lang w:eastAsia="fr-FR" w:bidi="he-IL"/>
        </w:rPr>
        <w:t>emagne.</w:t>
      </w:r>
    </w:p>
  </w:footnote>
  <w:footnote w:id="199">
    <w:p w:rsidR="00941AA6" w:rsidRPr="00933C60" w:rsidRDefault="00941AA6">
      <w:pPr>
        <w:pStyle w:val="Notedebasdepage"/>
      </w:pPr>
      <w:r w:rsidRPr="00C406FF">
        <w:rPr>
          <w:rStyle w:val="Appelnotedebasdep"/>
        </w:rPr>
        <w:footnoteRef/>
      </w:r>
      <w:r w:rsidRPr="00DC4586">
        <w:rPr>
          <w:rStyle w:val="italicus"/>
        </w:rPr>
        <w:t xml:space="preserve"> Das </w:t>
      </w:r>
      <w:r>
        <w:rPr>
          <w:rStyle w:val="italicus"/>
        </w:rPr>
        <w:t xml:space="preserve">Urevangelium, </w:t>
      </w:r>
      <w:r w:rsidRPr="00C8701B">
        <w:rPr>
          <w:rFonts w:eastAsia="Arial Unicode MS"/>
          <w:bCs/>
          <w:lang w:eastAsia="fr-FR" w:bidi="he-IL"/>
        </w:rPr>
        <w:t xml:space="preserve">ou </w:t>
      </w:r>
      <w:r>
        <w:rPr>
          <w:rFonts w:eastAsia="Arial Unicode MS"/>
          <w:bCs/>
          <w:lang w:eastAsia="fr-FR" w:bidi="he-IL"/>
        </w:rPr>
        <w:t>l’</w:t>
      </w:r>
      <w:r w:rsidRPr="00C8701B">
        <w:rPr>
          <w:rFonts w:eastAsia="Arial Unicode MS"/>
          <w:bCs/>
          <w:lang w:eastAsia="fr-FR" w:bidi="he-IL"/>
        </w:rPr>
        <w:t>« Évang</w:t>
      </w:r>
      <w:r>
        <w:rPr>
          <w:rFonts w:eastAsia="Arial Unicode MS"/>
          <w:bCs/>
          <w:lang w:eastAsia="fr-FR" w:bidi="he-IL"/>
        </w:rPr>
        <w:t>i</w:t>
      </w:r>
      <w:r w:rsidRPr="00C8701B">
        <w:rPr>
          <w:rFonts w:eastAsia="Arial Unicode MS"/>
          <w:bCs/>
          <w:lang w:eastAsia="fr-FR" w:bidi="he-IL"/>
        </w:rPr>
        <w:t>le primitif. »</w:t>
      </w:r>
    </w:p>
  </w:footnote>
  <w:footnote w:id="200">
    <w:p w:rsidR="00941AA6" w:rsidRPr="00933C60" w:rsidRDefault="00941AA6">
      <w:pPr>
        <w:pStyle w:val="Notedebasdepage"/>
      </w:pPr>
      <w:r w:rsidRPr="00C406FF">
        <w:rPr>
          <w:rStyle w:val="Appelnotedebasdep"/>
        </w:rPr>
        <w:footnoteRef/>
      </w:r>
      <w:r w:rsidRPr="000819BA">
        <w:rPr>
          <w:rFonts w:eastAsia="Arial Unicode MS"/>
          <w:lang w:eastAsia="fr-FR" w:bidi="he-IL"/>
        </w:rPr>
        <w:t xml:space="preserve"> </w:t>
      </w:r>
      <w:r>
        <w:rPr>
          <w:rStyle w:val="italicus"/>
        </w:rPr>
        <w:t>Die Traditionshyp</w:t>
      </w:r>
      <w:r w:rsidRPr="000819BA">
        <w:rPr>
          <w:rStyle w:val="italicus"/>
        </w:rPr>
        <w:t>othese.</w:t>
      </w:r>
    </w:p>
  </w:footnote>
  <w:footnote w:id="201">
    <w:p w:rsidR="00941AA6" w:rsidRPr="00933C60" w:rsidRDefault="00941AA6">
      <w:pPr>
        <w:pStyle w:val="Notedebasdepage"/>
      </w:pPr>
      <w:r w:rsidRPr="00C406FF">
        <w:rPr>
          <w:rStyle w:val="Appelnotedebasdep"/>
        </w:rPr>
        <w:footnoteRef/>
      </w:r>
      <w:r w:rsidRPr="000819BA">
        <w:rPr>
          <w:rFonts w:eastAsia="Arial Unicode MS"/>
          <w:lang w:eastAsia="fr-FR" w:bidi="he-IL"/>
        </w:rPr>
        <w:t xml:space="preserve"> </w:t>
      </w:r>
      <w:r>
        <w:rPr>
          <w:rStyle w:val="italicus"/>
        </w:rPr>
        <w:t>Die C</w:t>
      </w:r>
      <w:r w:rsidRPr="000819BA">
        <w:rPr>
          <w:rStyle w:val="italicus"/>
        </w:rPr>
        <w:t>ombinationshypothese.</w:t>
      </w:r>
      <w:r w:rsidRPr="000819BA">
        <w:rPr>
          <w:rFonts w:eastAsia="Arial Unicode MS"/>
          <w:bCs/>
          <w:lang w:eastAsia="fr-FR" w:bidi="he-IL"/>
        </w:rPr>
        <w:t xml:space="preserve"> Cf. </w:t>
      </w:r>
      <w:r>
        <w:rPr>
          <w:rFonts w:eastAsia="Arial Unicode MS"/>
          <w:bCs/>
          <w:lang w:eastAsia="fr-FR" w:bidi="he-IL"/>
        </w:rPr>
        <w:t>H</w:t>
      </w:r>
      <w:r w:rsidRPr="000819BA">
        <w:rPr>
          <w:rFonts w:eastAsia="Arial Unicode MS"/>
          <w:bCs/>
          <w:lang w:eastAsia="fr-FR" w:bidi="he-IL"/>
        </w:rPr>
        <w:t xml:space="preserve">. W. Meyer, </w:t>
      </w:r>
      <w:r>
        <w:rPr>
          <w:rStyle w:val="italicus"/>
        </w:rPr>
        <w:t>Kritisch-exegetischer Commentar ü</w:t>
      </w:r>
      <w:r w:rsidRPr="000819BA">
        <w:rPr>
          <w:rStyle w:val="italicus"/>
        </w:rPr>
        <w:t xml:space="preserve">b. </w:t>
      </w:r>
      <w:r>
        <w:rPr>
          <w:rStyle w:val="italicus"/>
        </w:rPr>
        <w:t>d</w:t>
      </w:r>
      <w:r w:rsidRPr="000819BA">
        <w:rPr>
          <w:rStyle w:val="italicus"/>
        </w:rPr>
        <w:t xml:space="preserve">as N. Test., </w:t>
      </w:r>
      <w:r w:rsidRPr="000819BA">
        <w:rPr>
          <w:rFonts w:eastAsia="Arial Unicode MS"/>
          <w:bCs/>
          <w:lang w:eastAsia="fr-FR" w:bidi="he-IL"/>
        </w:rPr>
        <w:t>t. I, p. 32 et ss. de la 2</w:t>
      </w:r>
      <w:r w:rsidRPr="000819BA">
        <w:rPr>
          <w:rFonts w:eastAsia="Arial Unicode MS"/>
          <w:bCs/>
          <w:vertAlign w:val="superscript"/>
          <w:lang w:eastAsia="fr-FR" w:bidi="he-IL"/>
        </w:rPr>
        <w:t>e</w:t>
      </w:r>
      <w:r>
        <w:rPr>
          <w:rFonts w:eastAsia="Arial Unicode MS"/>
          <w:bCs/>
          <w:lang w:eastAsia="fr-FR" w:bidi="he-IL"/>
        </w:rPr>
        <w:t xml:space="preserve"> é</w:t>
      </w:r>
      <w:r w:rsidRPr="000819BA">
        <w:rPr>
          <w:rFonts w:eastAsia="Arial Unicode MS"/>
          <w:bCs/>
          <w:lang w:eastAsia="fr-FR" w:bidi="he-IL"/>
        </w:rPr>
        <w:t xml:space="preserve">dit. </w:t>
      </w:r>
      <w:r w:rsidRPr="00C8701B">
        <w:rPr>
          <w:rFonts w:eastAsia="Arial Unicode MS"/>
          <w:bCs/>
          <w:lang w:eastAsia="fr-FR" w:bidi="he-IL"/>
        </w:rPr>
        <w:t>Nous ne nous en occupons pas d’une manière spéc</w:t>
      </w:r>
      <w:r>
        <w:rPr>
          <w:rFonts w:eastAsia="Arial Unicode MS"/>
          <w:bCs/>
          <w:lang w:eastAsia="fr-FR" w:bidi="he-IL"/>
        </w:rPr>
        <w:t>i</w:t>
      </w:r>
      <w:r w:rsidRPr="00C8701B">
        <w:rPr>
          <w:rFonts w:eastAsia="Arial Unicode MS"/>
          <w:bCs/>
          <w:lang w:eastAsia="fr-FR" w:bidi="he-IL"/>
        </w:rPr>
        <w:t>ale</w:t>
      </w:r>
      <w:r>
        <w:rPr>
          <w:rFonts w:eastAsia="Arial Unicode MS"/>
          <w:bCs/>
          <w:lang w:eastAsia="fr-FR" w:bidi="he-IL"/>
        </w:rPr>
        <w:t xml:space="preserve">, </w:t>
      </w:r>
      <w:r w:rsidRPr="00C8701B">
        <w:rPr>
          <w:rFonts w:eastAsia="Arial Unicode MS"/>
          <w:bCs/>
          <w:lang w:eastAsia="fr-FR" w:bidi="he-IL"/>
        </w:rPr>
        <w:t xml:space="preserve">car elle a </w:t>
      </w:r>
      <w:r>
        <w:rPr>
          <w:rFonts w:eastAsia="Arial Unicode MS"/>
          <w:bCs/>
          <w:lang w:eastAsia="fr-FR" w:bidi="he-IL"/>
        </w:rPr>
        <w:t>fort</w:t>
      </w:r>
      <w:r w:rsidRPr="00C8701B">
        <w:rPr>
          <w:rFonts w:eastAsia="Arial Unicode MS"/>
          <w:bCs/>
          <w:lang w:eastAsia="fr-FR" w:bidi="he-IL"/>
        </w:rPr>
        <w:t xml:space="preserve"> peu d’importance.</w:t>
      </w:r>
    </w:p>
  </w:footnote>
  <w:footnote w:id="202">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Sur ces divers systèmes</w:t>
      </w:r>
      <w:r>
        <w:rPr>
          <w:rFonts w:eastAsia="Arial Unicode MS"/>
          <w:bCs/>
          <w:lang w:eastAsia="fr-FR" w:bidi="he-IL"/>
        </w:rPr>
        <w:t xml:space="preserve">, </w:t>
      </w:r>
      <w:r w:rsidRPr="00C8701B">
        <w:rPr>
          <w:rFonts w:eastAsia="Arial Unicode MS"/>
          <w:bCs/>
          <w:lang w:eastAsia="fr-FR" w:bidi="he-IL"/>
        </w:rPr>
        <w:t>voyez F. Keil</w:t>
      </w:r>
      <w:r>
        <w:rPr>
          <w:rFonts w:eastAsia="Arial Unicode MS"/>
          <w:bCs/>
          <w:lang w:eastAsia="fr-FR" w:bidi="he-IL"/>
        </w:rPr>
        <w:t xml:space="preserve">, </w:t>
      </w:r>
      <w:r w:rsidRPr="00DC4586">
        <w:rPr>
          <w:rStyle w:val="italicus"/>
        </w:rPr>
        <w:t xml:space="preserve">Commentar </w:t>
      </w:r>
      <w:r>
        <w:rPr>
          <w:rStyle w:val="italicus"/>
        </w:rPr>
        <w:t>über</w:t>
      </w:r>
      <w:r w:rsidRPr="00DC4586">
        <w:rPr>
          <w:rStyle w:val="italicus"/>
        </w:rPr>
        <w:t xml:space="preserve"> das Evangélium des </w:t>
      </w:r>
      <w:r>
        <w:rPr>
          <w:rStyle w:val="italicus"/>
        </w:rPr>
        <w:t xml:space="preserve">Matthǽus, </w:t>
      </w:r>
      <w:r w:rsidRPr="00C8701B">
        <w:rPr>
          <w:rFonts w:eastAsia="Arial Unicode MS"/>
          <w:bCs/>
          <w:lang w:eastAsia="fr-FR" w:bidi="he-IL"/>
        </w:rPr>
        <w:t>Leipzig</w:t>
      </w:r>
      <w:r>
        <w:rPr>
          <w:rFonts w:eastAsia="Arial Unicode MS"/>
          <w:bCs/>
          <w:lang w:eastAsia="fr-FR" w:bidi="he-IL"/>
        </w:rPr>
        <w:t xml:space="preserve">, </w:t>
      </w:r>
      <w:r w:rsidRPr="00C8701B">
        <w:rPr>
          <w:rFonts w:eastAsia="Arial Unicode MS"/>
          <w:bCs/>
          <w:lang w:eastAsia="fr-FR" w:bidi="he-IL"/>
        </w:rPr>
        <w:t>1877</w:t>
      </w:r>
      <w:r>
        <w:rPr>
          <w:rFonts w:eastAsia="Arial Unicode MS"/>
          <w:bCs/>
          <w:lang w:eastAsia="fr-FR" w:bidi="he-IL"/>
        </w:rPr>
        <w:t xml:space="preserve">, </w:t>
      </w:r>
      <w:r w:rsidRPr="00C8701B">
        <w:rPr>
          <w:rFonts w:eastAsia="Arial Unicode MS"/>
          <w:bCs/>
          <w:lang w:eastAsia="fr-FR" w:bidi="he-IL"/>
        </w:rPr>
        <w:t>p. 32 et ss. </w:t>
      </w:r>
      <w:r>
        <w:rPr>
          <w:rFonts w:eastAsia="Arial Unicode MS"/>
          <w:bCs/>
          <w:lang w:eastAsia="fr-FR" w:bidi="he-IL"/>
        </w:rPr>
        <w:t xml:space="preserve">; </w:t>
      </w:r>
      <w:r w:rsidRPr="00C8701B">
        <w:rPr>
          <w:rFonts w:eastAsia="Arial Unicode MS"/>
          <w:bCs/>
          <w:lang w:eastAsia="fr-FR" w:bidi="he-IL"/>
        </w:rPr>
        <w:t>J. Langen</w:t>
      </w:r>
      <w:r>
        <w:rPr>
          <w:rFonts w:eastAsia="Arial Unicode MS"/>
          <w:bCs/>
          <w:lang w:eastAsia="fr-FR" w:bidi="he-IL"/>
        </w:rPr>
        <w:t xml:space="preserve">, </w:t>
      </w:r>
      <w:r w:rsidRPr="00DC4586">
        <w:rPr>
          <w:rStyle w:val="italicus"/>
        </w:rPr>
        <w:t>Grundriss der Einleitung in das Ne</w:t>
      </w:r>
      <w:r>
        <w:rPr>
          <w:rStyle w:val="italicus"/>
        </w:rPr>
        <w:t>ue</w:t>
      </w:r>
      <w:r w:rsidRPr="00DC4586">
        <w:rPr>
          <w:rStyle w:val="italicus"/>
        </w:rPr>
        <w:t xml:space="preserve"> Testament</w:t>
      </w:r>
      <w:r>
        <w:rPr>
          <w:rStyle w:val="italicus"/>
        </w:rPr>
        <w:t xml:space="preserve">, </w:t>
      </w:r>
      <w:r w:rsidRPr="00C8701B">
        <w:rPr>
          <w:rFonts w:eastAsia="Arial Unicode MS"/>
          <w:bCs/>
          <w:lang w:eastAsia="fr-FR" w:bidi="he-IL"/>
        </w:rPr>
        <w:t>p. 54 et ss.</w:t>
      </w:r>
    </w:p>
  </w:footnote>
  <w:footnote w:id="203">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Toutes celles qui étaient mathématiquement possible</w:t>
      </w:r>
      <w:r>
        <w:rPr>
          <w:rFonts w:eastAsia="Arial Unicode MS"/>
          <w:bCs/>
          <w:lang w:eastAsia="fr-FR" w:bidi="he-IL"/>
        </w:rPr>
        <w:t>s.</w:t>
      </w:r>
    </w:p>
  </w:footnote>
  <w:footnote w:id="204">
    <w:p w:rsidR="00941AA6" w:rsidRPr="00933C60" w:rsidRDefault="00941AA6">
      <w:pPr>
        <w:pStyle w:val="Notedebasdepage"/>
      </w:pPr>
      <w:r w:rsidRPr="00C406FF">
        <w:rPr>
          <w:rStyle w:val="Appelnotedebasdep"/>
        </w:rPr>
        <w:footnoteRef/>
      </w:r>
      <w:r w:rsidRPr="000819BA">
        <w:rPr>
          <w:rStyle w:val="italicus"/>
          <w:lang w:val="de-AT"/>
        </w:rPr>
        <w:t xml:space="preserve"> Einleitung in die </w:t>
      </w:r>
      <w:r>
        <w:rPr>
          <w:rStyle w:val="italicus"/>
          <w:lang w:val="de-AT"/>
        </w:rPr>
        <w:t>Schriften</w:t>
      </w:r>
      <w:r w:rsidRPr="000819BA">
        <w:rPr>
          <w:rStyle w:val="italicus"/>
          <w:lang w:val="de-AT"/>
        </w:rPr>
        <w:t xml:space="preserve"> des Neuen Testaments, </w:t>
      </w:r>
      <w:r w:rsidRPr="000819BA">
        <w:rPr>
          <w:rFonts w:eastAsia="Arial Unicode MS"/>
          <w:bCs/>
          <w:lang w:val="de-AT" w:eastAsia="fr-FR" w:bidi="he-IL"/>
        </w:rPr>
        <w:t>t. II, p. 1-204 de la 3</w:t>
      </w:r>
      <w:r>
        <w:rPr>
          <w:rFonts w:eastAsia="Arial Unicode MS"/>
          <w:bCs/>
          <w:vertAlign w:val="superscript"/>
          <w:lang w:val="de-AT" w:eastAsia="fr-FR" w:bidi="he-IL"/>
        </w:rPr>
        <w:t>e</w:t>
      </w:r>
      <w:r w:rsidRPr="000819BA">
        <w:rPr>
          <w:rFonts w:eastAsia="Arial Unicode MS"/>
          <w:bCs/>
          <w:lang w:val="de-AT" w:eastAsia="fr-FR" w:bidi="he-IL"/>
        </w:rPr>
        <w:t xml:space="preserve"> édit.</w:t>
      </w:r>
    </w:p>
  </w:footnote>
  <w:footnote w:id="205">
    <w:p w:rsidR="00941AA6" w:rsidRPr="00933C60" w:rsidRDefault="00941AA6" w:rsidP="002D7F7E">
      <w:pPr>
        <w:pStyle w:val="Notedebasdepage"/>
      </w:pPr>
      <w:r w:rsidRPr="00C406FF">
        <w:rPr>
          <w:rStyle w:val="Appelnotedebasdep"/>
        </w:rPr>
        <w:footnoteRef/>
      </w:r>
      <w:r>
        <w:t xml:space="preserve"> </w:t>
      </w:r>
      <w:r w:rsidRPr="002D7F7E">
        <w:rPr>
          <w:rStyle w:val="italicus"/>
        </w:rPr>
        <w:t>Historia revelatiónis Novi Testaménti,</w:t>
      </w:r>
      <w:r>
        <w:t xml:space="preserve"> </w:t>
      </w:r>
      <w:r w:rsidRPr="002D7F7E">
        <w:t>p. 279 et</w:t>
      </w:r>
      <w:r>
        <w:t xml:space="preserve"> s</w:t>
      </w:r>
      <w:r w:rsidRPr="002D7F7E">
        <w:t>s.</w:t>
      </w:r>
    </w:p>
  </w:footnote>
  <w:footnote w:id="206">
    <w:p w:rsidR="00941AA6" w:rsidRPr="00933C60" w:rsidRDefault="00941AA6" w:rsidP="002D7F7E">
      <w:pPr>
        <w:pStyle w:val="Notedebasdepage"/>
      </w:pPr>
      <w:r w:rsidRPr="00C406FF">
        <w:rPr>
          <w:rStyle w:val="Appelnotedebasdep"/>
        </w:rPr>
        <w:footnoteRef/>
      </w:r>
      <w:r>
        <w:rPr>
          <w:rFonts w:eastAsia="Arial Unicode MS"/>
          <w:bCs/>
          <w:lang w:val="de-AT" w:eastAsia="fr-FR" w:bidi="he-IL"/>
        </w:rPr>
        <w:t xml:space="preserve"> </w:t>
      </w:r>
      <w:r w:rsidRPr="000819BA">
        <w:rPr>
          <w:rStyle w:val="italicus"/>
          <w:lang w:val="de-AT"/>
        </w:rPr>
        <w:t xml:space="preserve">Einleitung, </w:t>
      </w:r>
      <w:r w:rsidRPr="000819BA">
        <w:rPr>
          <w:rFonts w:eastAsia="Arial Unicode MS"/>
          <w:bCs/>
          <w:lang w:val="de-AT" w:eastAsia="fr-FR" w:bidi="he-IL"/>
        </w:rPr>
        <w:t>p. 346 et 8s.</w:t>
      </w:r>
    </w:p>
  </w:footnote>
  <w:footnote w:id="207">
    <w:p w:rsidR="00941AA6" w:rsidRPr="00933C60" w:rsidRDefault="00941AA6" w:rsidP="002D7F7E">
      <w:pPr>
        <w:pStyle w:val="Notedebasdepage"/>
      </w:pPr>
      <w:r w:rsidRPr="00C406FF">
        <w:rPr>
          <w:rStyle w:val="Appelnotedebasdep"/>
        </w:rPr>
        <w:footnoteRef/>
      </w:r>
      <w:r w:rsidRPr="000819BA">
        <w:rPr>
          <w:rFonts w:eastAsia="Arial Unicode MS"/>
          <w:lang w:val="de-AT" w:eastAsia="fr-FR" w:bidi="he-IL"/>
        </w:rPr>
        <w:t xml:space="preserve"> </w:t>
      </w:r>
      <w:r w:rsidRPr="000819BA">
        <w:rPr>
          <w:rStyle w:val="italicus"/>
          <w:lang w:val="de-AT"/>
        </w:rPr>
        <w:t xml:space="preserve">Commentar </w:t>
      </w:r>
      <w:r>
        <w:rPr>
          <w:rStyle w:val="italicus"/>
          <w:lang w:val="de-AT"/>
        </w:rPr>
        <w:t>üb.</w:t>
      </w:r>
      <w:r w:rsidRPr="000819BA">
        <w:rPr>
          <w:rStyle w:val="italicus"/>
          <w:lang w:val="de-AT"/>
        </w:rPr>
        <w:t xml:space="preserve"> das Evangélium</w:t>
      </w:r>
      <w:r>
        <w:rPr>
          <w:rStyle w:val="italicus"/>
          <w:lang w:val="de-AT"/>
        </w:rPr>
        <w:t xml:space="preserve"> des heil</w:t>
      </w:r>
      <w:r w:rsidRPr="000819BA">
        <w:rPr>
          <w:rStyle w:val="italicus"/>
          <w:lang w:val="de-AT"/>
        </w:rPr>
        <w:t xml:space="preserve">ig. </w:t>
      </w:r>
      <w:r w:rsidRPr="000819BA">
        <w:rPr>
          <w:rStyle w:val="italicus"/>
        </w:rPr>
        <w:t xml:space="preserve">Marcus, </w:t>
      </w:r>
      <w:r w:rsidRPr="000819BA">
        <w:rPr>
          <w:rFonts w:eastAsia="Arial Unicode MS"/>
          <w:bCs/>
          <w:lang w:eastAsia="fr-FR" w:bidi="he-IL"/>
        </w:rPr>
        <w:t>p. 24 et ss</w:t>
      </w:r>
      <w:r w:rsidRPr="000819BA">
        <w:rPr>
          <w:rStyle w:val="italicus"/>
        </w:rPr>
        <w:t xml:space="preserve">. ; Commentar über das </w:t>
      </w:r>
      <w:r>
        <w:rPr>
          <w:rStyle w:val="italicus"/>
        </w:rPr>
        <w:t>Evang.</w:t>
      </w:r>
      <w:r w:rsidRPr="000819BA">
        <w:rPr>
          <w:rStyle w:val="italicus"/>
        </w:rPr>
        <w:t xml:space="preserve"> des </w:t>
      </w:r>
      <w:r>
        <w:rPr>
          <w:rStyle w:val="italicus"/>
        </w:rPr>
        <w:t>h</w:t>
      </w:r>
      <w:r w:rsidRPr="000819BA">
        <w:rPr>
          <w:rStyle w:val="italicus"/>
        </w:rPr>
        <w:t xml:space="preserve">. Lukas, </w:t>
      </w:r>
      <w:r w:rsidRPr="000819BA">
        <w:rPr>
          <w:rFonts w:eastAsia="Arial Unicode MS"/>
          <w:bCs/>
          <w:lang w:eastAsia="fr-FR" w:bidi="he-IL"/>
        </w:rPr>
        <w:t>p. 12 et ss.</w:t>
      </w:r>
    </w:p>
  </w:footnote>
  <w:footnote w:id="208">
    <w:p w:rsidR="00941AA6" w:rsidRPr="00933C60" w:rsidRDefault="00941AA6" w:rsidP="002D7F7E">
      <w:pPr>
        <w:pStyle w:val="Notedebasdepage"/>
      </w:pPr>
      <w:r w:rsidRPr="00C406FF">
        <w:rPr>
          <w:rStyle w:val="Appelnotedebasdep"/>
        </w:rPr>
        <w:footnoteRef/>
      </w:r>
      <w:r w:rsidRPr="007E6E2B">
        <w:rPr>
          <w:rFonts w:eastAsia="Arial Unicode MS"/>
          <w:lang w:eastAsia="fr-FR" w:bidi="he-IL"/>
        </w:rPr>
        <w:t xml:space="preserve"> </w:t>
      </w:r>
      <w:r w:rsidRPr="00DC4586">
        <w:rPr>
          <w:rStyle w:val="italicus"/>
        </w:rPr>
        <w:t>D</w:t>
      </w:r>
      <w:r>
        <w:rPr>
          <w:rStyle w:val="italicus"/>
        </w:rPr>
        <w:t>e E</w:t>
      </w:r>
      <w:r w:rsidRPr="00DC4586">
        <w:rPr>
          <w:rStyle w:val="italicus"/>
        </w:rPr>
        <w:t>vangéliis</w:t>
      </w:r>
      <w:r>
        <w:rPr>
          <w:rStyle w:val="italicus"/>
        </w:rPr>
        <w:t xml:space="preserve">, </w:t>
      </w:r>
      <w:r w:rsidRPr="007E6E2B">
        <w:rPr>
          <w:rFonts w:eastAsia="Arial Unicode MS"/>
          <w:bCs/>
          <w:lang w:eastAsia="fr-FR" w:bidi="he-IL"/>
        </w:rPr>
        <w:t xml:space="preserve">lib. </w:t>
      </w:r>
      <w:r w:rsidRPr="00A85866">
        <w:rPr>
          <w:rFonts w:eastAsia="Arial Unicode MS"/>
          <w:bCs/>
          <w:lang w:val="en-GB" w:eastAsia="fr-FR" w:bidi="he-IL"/>
        </w:rPr>
        <w:t>I, p. 52-62, 79-92.</w:t>
      </w:r>
    </w:p>
  </w:footnote>
  <w:footnote w:id="209">
    <w:p w:rsidR="00941AA6" w:rsidRPr="00933C60" w:rsidRDefault="00941AA6" w:rsidP="002D7F7E">
      <w:pPr>
        <w:pStyle w:val="Notedebasdepage"/>
      </w:pPr>
      <w:r w:rsidRPr="00C406FF">
        <w:rPr>
          <w:rStyle w:val="Appelnotedebasdep"/>
        </w:rPr>
        <w:footnoteRef/>
      </w:r>
      <w:r w:rsidRPr="007E6E2B">
        <w:rPr>
          <w:rStyle w:val="italicus"/>
          <w:lang w:val="en-US"/>
        </w:rPr>
        <w:t xml:space="preserve"> The Life our life.</w:t>
      </w:r>
      <w:r w:rsidRPr="00C8701B">
        <w:rPr>
          <w:rFonts w:eastAsia="Arial Unicode MS"/>
          <w:bCs/>
          <w:lang w:val="en-US" w:eastAsia="fr-FR" w:bidi="he-IL"/>
        </w:rPr>
        <w:t xml:space="preserve"> p. </w:t>
      </w:r>
      <w:r>
        <w:rPr>
          <w:rFonts w:eastAsia="Arial Unicode MS"/>
          <w:bCs/>
          <w:lang w:val="en-US" w:eastAsia="fr-FR" w:bidi="he-IL"/>
        </w:rPr>
        <w:t>XLV et ss.</w:t>
      </w:r>
    </w:p>
  </w:footnote>
  <w:footnote w:id="210">
    <w:p w:rsidR="00941AA6" w:rsidRPr="00933C60" w:rsidRDefault="00941AA6" w:rsidP="002D7F7E">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Manuel biblique</w:t>
      </w:r>
      <w:r>
        <w:rPr>
          <w:rStyle w:val="italicus"/>
        </w:rPr>
        <w:t xml:space="preserve">, </w:t>
      </w:r>
      <w:r w:rsidRPr="00C8701B">
        <w:rPr>
          <w:rFonts w:eastAsia="Arial Unicode MS"/>
          <w:bCs/>
          <w:lang w:eastAsia="fr-FR" w:bidi="he-IL"/>
        </w:rPr>
        <w:t>t. III</w:t>
      </w:r>
      <w:r>
        <w:rPr>
          <w:rFonts w:eastAsia="Arial Unicode MS"/>
          <w:bCs/>
          <w:lang w:eastAsia="fr-FR" w:bidi="he-IL"/>
        </w:rPr>
        <w:t xml:space="preserve">, </w:t>
      </w:r>
      <w:r w:rsidRPr="00C8701B">
        <w:rPr>
          <w:rFonts w:eastAsia="Arial Unicode MS"/>
          <w:bCs/>
          <w:lang w:eastAsia="fr-FR" w:bidi="he-IL"/>
        </w:rPr>
        <w:t>p. 42.</w:t>
      </w:r>
    </w:p>
  </w:footnote>
  <w:footnote w:id="211">
    <w:p w:rsidR="00941AA6" w:rsidRPr="00933C60" w:rsidRDefault="00941AA6" w:rsidP="002D7F7E">
      <w:pPr>
        <w:pStyle w:val="Notedebasdepage"/>
      </w:pPr>
      <w:r w:rsidRPr="00C406FF">
        <w:rPr>
          <w:rStyle w:val="Appelnotedebasdep"/>
        </w:rPr>
        <w:footnoteRef/>
      </w:r>
      <w:r w:rsidRPr="000819BA">
        <w:rPr>
          <w:rFonts w:eastAsia="Arial Unicode MS"/>
          <w:lang w:val="de-AT" w:eastAsia="fr-FR" w:bidi="he-IL"/>
        </w:rPr>
        <w:t xml:space="preserve"> </w:t>
      </w:r>
      <w:r w:rsidRPr="000819BA">
        <w:rPr>
          <w:rFonts w:eastAsia="Arial Unicode MS"/>
          <w:bCs/>
          <w:lang w:val="de-AT" w:eastAsia="fr-FR" w:bidi="he-IL"/>
        </w:rPr>
        <w:t xml:space="preserve">Keil, </w:t>
      </w:r>
      <w:r w:rsidRPr="000819BA">
        <w:rPr>
          <w:rStyle w:val="italicus"/>
          <w:lang w:val="de-AT"/>
        </w:rPr>
        <w:t xml:space="preserve">Commentar </w:t>
      </w:r>
      <w:r>
        <w:rPr>
          <w:rStyle w:val="italicus"/>
          <w:lang w:val="de-AT"/>
        </w:rPr>
        <w:t>über</w:t>
      </w:r>
      <w:r w:rsidRPr="000819BA">
        <w:rPr>
          <w:rStyle w:val="italicus"/>
          <w:lang w:val="de-AT"/>
        </w:rPr>
        <w:t xml:space="preserve"> die Evangelien des Marcus und Lukas, </w:t>
      </w:r>
      <w:r w:rsidRPr="000819BA">
        <w:rPr>
          <w:rFonts w:eastAsia="Arial Unicode MS"/>
          <w:bCs/>
          <w:lang w:val="de-AT" w:eastAsia="fr-FR" w:bidi="he-IL"/>
        </w:rPr>
        <w:t>p. 11 et ss., 174 et ss. Etc.</w:t>
      </w:r>
    </w:p>
  </w:footnote>
  <w:footnote w:id="212">
    <w:p w:rsidR="00941AA6" w:rsidRPr="00933C60" w:rsidRDefault="00941AA6">
      <w:pPr>
        <w:pStyle w:val="Notedebasdepage"/>
      </w:pPr>
      <w:r w:rsidRPr="00C406FF">
        <w:rPr>
          <w:rStyle w:val="Appelnotedebasdep"/>
        </w:rPr>
        <w:footnoteRef/>
      </w:r>
      <w:r w:rsidRPr="000819BA">
        <w:rPr>
          <w:rFonts w:eastAsia="Arial Unicode MS"/>
          <w:lang w:val="de-AT" w:eastAsia="fr-FR" w:bidi="he-IL"/>
        </w:rPr>
        <w:t xml:space="preserve"> </w:t>
      </w:r>
      <w:r w:rsidRPr="000819BA">
        <w:rPr>
          <w:rStyle w:val="italicus"/>
          <w:lang w:val="de-AT"/>
        </w:rPr>
        <w:t xml:space="preserve">Einleitung, </w:t>
      </w:r>
      <w:r w:rsidRPr="000819BA">
        <w:rPr>
          <w:rFonts w:eastAsia="Arial Unicode MS"/>
          <w:bCs/>
          <w:lang w:val="de-AT" w:eastAsia="fr-FR" w:bidi="he-IL"/>
        </w:rPr>
        <w:t>p. 29 et ss.</w:t>
      </w:r>
    </w:p>
  </w:footnote>
  <w:footnote w:id="213">
    <w:p w:rsidR="00941AA6" w:rsidRPr="00933C60" w:rsidRDefault="00941AA6">
      <w:pPr>
        <w:pStyle w:val="Notedebasdepage"/>
      </w:pPr>
      <w:r w:rsidRPr="00C406FF">
        <w:rPr>
          <w:rStyle w:val="Appelnotedebasdep"/>
        </w:rPr>
        <w:footnoteRef/>
      </w:r>
      <w:r w:rsidRPr="000819BA">
        <w:rPr>
          <w:rFonts w:eastAsia="Arial Unicode MS"/>
          <w:lang w:val="de-AT" w:eastAsia="fr-FR" w:bidi="he-IL"/>
        </w:rPr>
        <w:t xml:space="preserve"> </w:t>
      </w:r>
      <w:r w:rsidRPr="000819BA">
        <w:rPr>
          <w:rStyle w:val="italicus"/>
          <w:lang w:val="de-AT"/>
        </w:rPr>
        <w:t xml:space="preserve">Grundriss der Einleitung..., </w:t>
      </w:r>
      <w:r w:rsidRPr="000819BA">
        <w:rPr>
          <w:rFonts w:eastAsia="Arial Unicode MS"/>
          <w:bCs/>
          <w:lang w:val="de-AT" w:eastAsia="fr-FR" w:bidi="he-IL"/>
        </w:rPr>
        <w:t>p. 89.</w:t>
      </w:r>
    </w:p>
  </w:footnote>
  <w:footnote w:id="214">
    <w:p w:rsidR="00941AA6" w:rsidRPr="00933C60" w:rsidRDefault="00941AA6">
      <w:pPr>
        <w:pStyle w:val="Notedebasdepage"/>
      </w:pPr>
      <w:r w:rsidRPr="00C406FF">
        <w:rPr>
          <w:rStyle w:val="Appelnotedebasdep"/>
        </w:rPr>
        <w:footnoteRef/>
      </w:r>
      <w:r w:rsidRPr="000819BA">
        <w:rPr>
          <w:rFonts w:eastAsia="Arial Unicode MS"/>
          <w:lang w:val="de-AT" w:eastAsia="fr-FR" w:bidi="he-IL"/>
        </w:rPr>
        <w:t xml:space="preserve"> </w:t>
      </w:r>
      <w:r w:rsidRPr="000819BA">
        <w:rPr>
          <w:rStyle w:val="italicus"/>
          <w:lang w:val="de-AT"/>
        </w:rPr>
        <w:t xml:space="preserve">Die Einheit der vier Evangelien, </w:t>
      </w:r>
      <w:r w:rsidRPr="000819BA">
        <w:rPr>
          <w:rFonts w:eastAsia="Arial Unicode MS"/>
          <w:bCs/>
          <w:lang w:val="de-AT" w:eastAsia="fr-FR" w:bidi="he-IL"/>
        </w:rPr>
        <w:t>Ratisbonne, 1868, p. 507 et ss.</w:t>
      </w:r>
    </w:p>
  </w:footnote>
  <w:footnote w:id="215">
    <w:p w:rsidR="00941AA6" w:rsidRPr="00933C60" w:rsidRDefault="00941AA6">
      <w:pPr>
        <w:pStyle w:val="Notedebasdepage"/>
      </w:pPr>
      <w:r w:rsidRPr="00C406FF">
        <w:rPr>
          <w:rStyle w:val="Appelnotedebasdep"/>
        </w:rPr>
        <w:footnoteRef/>
      </w:r>
      <w:r w:rsidRPr="00A85866">
        <w:rPr>
          <w:rFonts w:eastAsia="Arial Unicode MS"/>
          <w:lang w:val="de-AT" w:eastAsia="fr-FR" w:bidi="he-IL"/>
        </w:rPr>
        <w:t xml:space="preserve"> </w:t>
      </w:r>
      <w:r w:rsidRPr="00A85866">
        <w:rPr>
          <w:rStyle w:val="italicus"/>
          <w:lang w:val="de-AT"/>
        </w:rPr>
        <w:t xml:space="preserve">Commentátio qua Marci evangélium totum e Matthǽi et Lucas commentáriis descríptum esse demonstrátur, </w:t>
      </w:r>
      <w:r w:rsidRPr="00A85866">
        <w:rPr>
          <w:rFonts w:eastAsia="Arial Unicode MS"/>
          <w:bCs/>
          <w:lang w:val="de-AT" w:eastAsia="fr-FR" w:bidi="he-IL"/>
        </w:rPr>
        <w:t xml:space="preserve">Iéna, 1789. </w:t>
      </w:r>
      <w:r w:rsidRPr="000819BA">
        <w:rPr>
          <w:rFonts w:eastAsia="Arial Unicode MS"/>
          <w:bCs/>
          <w:lang w:val="de-AT" w:eastAsia="fr-FR" w:bidi="he-IL"/>
        </w:rPr>
        <w:t xml:space="preserve">Cf. Theile, </w:t>
      </w:r>
      <w:r>
        <w:rPr>
          <w:rStyle w:val="italicus"/>
          <w:lang w:val="de-AT"/>
        </w:rPr>
        <w:t>De trium priórum Evangeliórum</w:t>
      </w:r>
      <w:r w:rsidRPr="000819BA">
        <w:rPr>
          <w:rStyle w:val="italicus"/>
          <w:lang w:val="de-AT"/>
        </w:rPr>
        <w:t xml:space="preserve"> necessitúdine, </w:t>
      </w:r>
      <w:r w:rsidRPr="000819BA">
        <w:rPr>
          <w:rFonts w:eastAsia="Arial Unicode MS"/>
          <w:bCs/>
          <w:lang w:val="de-AT" w:eastAsia="fr-FR" w:bidi="he-IL"/>
        </w:rPr>
        <w:t xml:space="preserve">Leipzig 1825 ; </w:t>
      </w:r>
      <w:r>
        <w:rPr>
          <w:rFonts w:eastAsia="Arial Unicode MS"/>
          <w:bCs/>
          <w:lang w:val="de-AT" w:eastAsia="fr-FR" w:bidi="he-IL"/>
        </w:rPr>
        <w:t>H</w:t>
      </w:r>
      <w:r w:rsidRPr="000819BA">
        <w:rPr>
          <w:rFonts w:eastAsia="Arial Unicode MS"/>
          <w:bCs/>
          <w:lang w:val="de-AT" w:eastAsia="fr-FR" w:bidi="he-IL"/>
        </w:rPr>
        <w:t xml:space="preserve">. J. Mayboom, </w:t>
      </w:r>
      <w:r>
        <w:rPr>
          <w:rStyle w:val="italicus"/>
          <w:lang w:val="de-AT"/>
        </w:rPr>
        <w:t>Geschieden</w:t>
      </w:r>
      <w:r w:rsidRPr="000819BA">
        <w:rPr>
          <w:rStyle w:val="italicus"/>
          <w:lang w:val="de-AT"/>
        </w:rPr>
        <w:t>s en Critik der Markus</w:t>
      </w:r>
      <w:r>
        <w:rPr>
          <w:rStyle w:val="italicus"/>
          <w:lang w:val="de-AT"/>
        </w:rPr>
        <w:t>-</w:t>
      </w:r>
      <w:r w:rsidRPr="000819BA">
        <w:rPr>
          <w:rStyle w:val="italicus"/>
          <w:lang w:val="de-AT"/>
        </w:rPr>
        <w:t xml:space="preserve">hypothese, </w:t>
      </w:r>
      <w:r w:rsidRPr="000819BA">
        <w:rPr>
          <w:rFonts w:eastAsia="Arial Unicode MS"/>
          <w:bCs/>
          <w:lang w:val="de-AT" w:eastAsia="fr-FR" w:bidi="he-IL"/>
        </w:rPr>
        <w:t xml:space="preserve">Amsterdam. </w:t>
      </w:r>
      <w:r w:rsidRPr="00C8701B">
        <w:rPr>
          <w:rFonts w:eastAsia="Arial Unicode MS"/>
          <w:bCs/>
          <w:lang w:eastAsia="fr-FR" w:bidi="he-IL"/>
        </w:rPr>
        <w:t>1866 </w:t>
      </w:r>
      <w:r>
        <w:rPr>
          <w:rFonts w:eastAsia="Arial Unicode MS"/>
          <w:bCs/>
          <w:lang w:eastAsia="fr-FR" w:bidi="he-IL"/>
        </w:rPr>
        <w:t xml:space="preserve">; </w:t>
      </w:r>
      <w:r w:rsidRPr="00C8701B">
        <w:rPr>
          <w:rFonts w:eastAsia="Arial Unicode MS"/>
          <w:bCs/>
          <w:lang w:eastAsia="fr-FR" w:bidi="he-IL"/>
        </w:rPr>
        <w:t>etc.</w:t>
      </w:r>
    </w:p>
  </w:footnote>
  <w:footnote w:id="216">
    <w:p w:rsidR="00941AA6" w:rsidRPr="00933C60" w:rsidRDefault="00941AA6">
      <w:pPr>
        <w:pStyle w:val="Notedebasdepage"/>
      </w:pPr>
      <w:r w:rsidRPr="00C406FF">
        <w:rPr>
          <w:rStyle w:val="Appelnotedebasdep"/>
        </w:rPr>
        <w:footnoteRef/>
      </w:r>
      <w:r w:rsidRPr="00C8701B">
        <w:rPr>
          <w:rFonts w:eastAsia="Arial Unicode MS"/>
          <w:bCs/>
          <w:lang w:eastAsia="fr-FR" w:bidi="he-IL"/>
        </w:rPr>
        <w:t xml:space="preserve"> « L’hypothèse de Marc. »</w:t>
      </w:r>
    </w:p>
  </w:footnote>
  <w:footnote w:id="217">
    <w:p w:rsidR="00941AA6" w:rsidRPr="00933C60" w:rsidRDefault="00941AA6">
      <w:pPr>
        <w:pStyle w:val="Notedebasdepage"/>
      </w:pPr>
      <w:r w:rsidRPr="00C406FF">
        <w:rPr>
          <w:rStyle w:val="Appelnotedebasdep"/>
        </w:rPr>
        <w:footnoteRef/>
      </w:r>
      <w:r w:rsidRPr="00C8701B">
        <w:rPr>
          <w:rFonts w:eastAsia="Arial Unicode MS"/>
          <w:bCs/>
          <w:lang w:eastAsia="fr-FR" w:bidi="he-IL"/>
        </w:rPr>
        <w:t xml:space="preserve"> Pour son histoire et sa réfutation</w:t>
      </w:r>
      <w:r>
        <w:rPr>
          <w:rFonts w:eastAsia="Arial Unicode MS"/>
          <w:bCs/>
          <w:lang w:eastAsia="fr-FR" w:bidi="he-IL"/>
        </w:rPr>
        <w:t xml:space="preserve">, </w:t>
      </w:r>
      <w:r w:rsidRPr="00C8701B">
        <w:rPr>
          <w:rFonts w:eastAsia="Arial Unicode MS"/>
          <w:bCs/>
          <w:lang w:eastAsia="fr-FR" w:bidi="he-IL"/>
        </w:rPr>
        <w:t>voyez Schanz</w:t>
      </w:r>
      <w:r>
        <w:rPr>
          <w:rFonts w:eastAsia="Arial Unicode MS"/>
          <w:bCs/>
          <w:lang w:eastAsia="fr-FR" w:bidi="he-IL"/>
        </w:rPr>
        <w:t xml:space="preserve">, </w:t>
      </w:r>
      <w:r w:rsidRPr="00DC4586">
        <w:rPr>
          <w:rStyle w:val="italicus"/>
        </w:rPr>
        <w:t>Die Markushypothese</w:t>
      </w:r>
      <w:r>
        <w:rPr>
          <w:rStyle w:val="italicus"/>
        </w:rPr>
        <w:t xml:space="preserve">, </w:t>
      </w:r>
      <w:r w:rsidRPr="00C8701B">
        <w:rPr>
          <w:rFonts w:eastAsia="Arial Unicode MS"/>
          <w:bCs/>
          <w:lang w:eastAsia="fr-FR" w:bidi="he-IL"/>
        </w:rPr>
        <w:t xml:space="preserve">dans la </w:t>
      </w:r>
      <w:r>
        <w:rPr>
          <w:rStyle w:val="italicus"/>
        </w:rPr>
        <w:t>Theologische Quartal</w:t>
      </w:r>
      <w:r w:rsidRPr="00DC4586">
        <w:rPr>
          <w:rStyle w:val="italicus"/>
        </w:rPr>
        <w:t>schrift</w:t>
      </w:r>
      <w:r w:rsidRPr="00C8701B">
        <w:rPr>
          <w:rFonts w:eastAsia="Arial Unicode MS"/>
          <w:bCs/>
          <w:lang w:eastAsia="fr-FR" w:bidi="he-IL"/>
        </w:rPr>
        <w:t xml:space="preserve"> de Tubingue</w:t>
      </w:r>
      <w:r>
        <w:rPr>
          <w:rFonts w:eastAsia="Arial Unicode MS"/>
          <w:bCs/>
          <w:lang w:eastAsia="fr-FR" w:bidi="he-IL"/>
        </w:rPr>
        <w:t xml:space="preserve">, </w:t>
      </w:r>
      <w:r w:rsidRPr="00C8701B">
        <w:rPr>
          <w:rFonts w:eastAsia="Arial Unicode MS"/>
          <w:bCs/>
          <w:lang w:eastAsia="fr-FR" w:bidi="he-IL"/>
        </w:rPr>
        <w:t>1871</w:t>
      </w:r>
      <w:r>
        <w:rPr>
          <w:rFonts w:eastAsia="Arial Unicode MS"/>
          <w:bCs/>
          <w:lang w:eastAsia="fr-FR" w:bidi="he-IL"/>
        </w:rPr>
        <w:t xml:space="preserve">, </w:t>
      </w:r>
      <w:r w:rsidRPr="00C8701B">
        <w:rPr>
          <w:rFonts w:eastAsia="Arial Unicode MS"/>
          <w:bCs/>
          <w:lang w:eastAsia="fr-FR" w:bidi="he-IL"/>
        </w:rPr>
        <w:t>p. 489 et ss.</w:t>
      </w:r>
    </w:p>
  </w:footnote>
  <w:footnote w:id="218">
    <w:p w:rsidR="00941AA6" w:rsidRPr="00933C60" w:rsidRDefault="00941AA6">
      <w:pPr>
        <w:pStyle w:val="Notedebasdepage"/>
      </w:pPr>
      <w:r w:rsidRPr="00C406FF">
        <w:rPr>
          <w:rStyle w:val="Appelnotedebasdep"/>
        </w:rPr>
        <w:footnoteRef/>
      </w:r>
      <w:r w:rsidRPr="00A819D0">
        <w:rPr>
          <w:rFonts w:eastAsia="Arial Unicode MS"/>
          <w:bCs/>
          <w:lang w:val="de-AT" w:eastAsia="fr-FR" w:bidi="he-IL"/>
        </w:rPr>
        <w:t xml:space="preserve"> Cf. Wilke, </w:t>
      </w:r>
      <w:r w:rsidRPr="00A819D0">
        <w:rPr>
          <w:rStyle w:val="italicus"/>
          <w:lang w:val="de-AT"/>
        </w:rPr>
        <w:t xml:space="preserve">Der Urevangelist, </w:t>
      </w:r>
      <w:r w:rsidRPr="00A819D0">
        <w:rPr>
          <w:rFonts w:eastAsia="Arial Unicode MS"/>
          <w:bCs/>
          <w:lang w:val="de-AT" w:eastAsia="fr-FR" w:bidi="he-IL"/>
        </w:rPr>
        <w:t xml:space="preserve">Dresden 1388. </w:t>
      </w:r>
      <w:r w:rsidRPr="00A85866">
        <w:rPr>
          <w:rFonts w:eastAsia="Arial Unicode MS"/>
          <w:bCs/>
          <w:lang w:val="en-GB" w:eastAsia="fr-FR" w:bidi="he-IL"/>
        </w:rPr>
        <w:t>Etc.</w:t>
      </w:r>
    </w:p>
  </w:footnote>
  <w:footnote w:id="219">
    <w:p w:rsidR="00941AA6" w:rsidRPr="00933C60" w:rsidRDefault="00941AA6">
      <w:pPr>
        <w:pStyle w:val="Notedebasdepage"/>
      </w:pPr>
      <w:r w:rsidRPr="00C406FF">
        <w:rPr>
          <w:rStyle w:val="Appelnotedebasdep"/>
        </w:rPr>
        <w:footnoteRef/>
      </w:r>
      <w:r>
        <w:rPr>
          <w:rFonts w:eastAsia="Arial Unicode MS"/>
          <w:bCs/>
          <w:lang w:val="en-GB" w:eastAsia="fr-FR" w:bidi="he-IL"/>
        </w:rPr>
        <w:t xml:space="preserve"> </w:t>
      </w:r>
      <w:r w:rsidRPr="00767A37">
        <w:rPr>
          <w:rFonts w:eastAsia="Arial Unicode MS"/>
          <w:bCs/>
          <w:lang w:val="en-GB" w:eastAsia="fr-FR" w:bidi="he-IL"/>
        </w:rPr>
        <w:t xml:space="preserve">Cf. Evanson, </w:t>
      </w:r>
      <w:r w:rsidRPr="00767A37">
        <w:rPr>
          <w:rStyle w:val="italicus"/>
          <w:lang w:val="en-GB"/>
        </w:rPr>
        <w:t xml:space="preserve">The Dissonance of the four generally received Evangelies, </w:t>
      </w:r>
      <w:r w:rsidRPr="00C8701B">
        <w:rPr>
          <w:rFonts w:eastAsia="Arial Unicode MS"/>
          <w:bCs/>
          <w:lang w:val="en-US" w:eastAsia="fr-FR" w:bidi="he-IL"/>
        </w:rPr>
        <w:t>Ipswich 1792 </w:t>
      </w:r>
      <w:r>
        <w:rPr>
          <w:rFonts w:eastAsia="Arial Unicode MS"/>
          <w:bCs/>
          <w:lang w:val="en-US" w:eastAsia="fr-FR" w:bidi="he-IL"/>
        </w:rPr>
        <w:t xml:space="preserve">; </w:t>
      </w:r>
      <w:r w:rsidRPr="00C8701B">
        <w:rPr>
          <w:rFonts w:eastAsia="Arial Unicode MS"/>
          <w:bCs/>
          <w:lang w:val="en-US" w:eastAsia="fr-FR" w:bidi="he-IL"/>
        </w:rPr>
        <w:t>etc.</w:t>
      </w:r>
    </w:p>
  </w:footnote>
  <w:footnote w:id="220">
    <w:p w:rsidR="00941AA6" w:rsidRPr="00933C60" w:rsidRDefault="00941AA6">
      <w:pPr>
        <w:pStyle w:val="Notedebasdepage"/>
      </w:pPr>
      <w:r w:rsidRPr="00C406FF">
        <w:rPr>
          <w:rStyle w:val="Appelnotedebasdep"/>
        </w:rPr>
        <w:footnoteRef/>
      </w:r>
      <w:r w:rsidRPr="000819BA">
        <w:rPr>
          <w:rFonts w:eastAsia="Arial Unicode MS"/>
          <w:lang w:val="de-AT" w:eastAsia="fr-FR" w:bidi="he-IL"/>
        </w:rPr>
        <w:t xml:space="preserve"> </w:t>
      </w:r>
      <w:r w:rsidRPr="000819BA">
        <w:rPr>
          <w:rFonts w:eastAsia="Arial Unicode MS"/>
          <w:bCs/>
          <w:lang w:val="de-AT" w:eastAsia="fr-FR" w:bidi="he-IL"/>
        </w:rPr>
        <w:t>Vogel, dans</w:t>
      </w:r>
      <w:r>
        <w:rPr>
          <w:rStyle w:val="italicus"/>
          <w:lang w:val="de-AT"/>
        </w:rPr>
        <w:t xml:space="preserve"> Gabl</w:t>
      </w:r>
      <w:r w:rsidRPr="000819BA">
        <w:rPr>
          <w:rStyle w:val="italicus"/>
          <w:lang w:val="de-AT"/>
        </w:rPr>
        <w:t xml:space="preserve">er’s Journal </w:t>
      </w:r>
      <w:r>
        <w:rPr>
          <w:rStyle w:val="italicus"/>
          <w:lang w:val="de-AT"/>
        </w:rPr>
        <w:t>für</w:t>
      </w:r>
      <w:r w:rsidRPr="000819BA">
        <w:rPr>
          <w:rStyle w:val="italicus"/>
          <w:lang w:val="de-AT"/>
        </w:rPr>
        <w:t xml:space="preserve"> theologische Li</w:t>
      </w:r>
      <w:r>
        <w:rPr>
          <w:rStyle w:val="italicus"/>
          <w:lang w:val="de-AT"/>
        </w:rPr>
        <w:t>tera</w:t>
      </w:r>
      <w:r w:rsidRPr="000819BA">
        <w:rPr>
          <w:rStyle w:val="italicus"/>
          <w:lang w:val="de-AT"/>
        </w:rPr>
        <w:t xml:space="preserve">tur, </w:t>
      </w:r>
      <w:r w:rsidRPr="000819BA">
        <w:rPr>
          <w:rFonts w:eastAsia="Arial Unicode MS"/>
          <w:bCs/>
          <w:lang w:val="de-AT" w:eastAsia="fr-FR" w:bidi="he-IL"/>
        </w:rPr>
        <w:t>1804, t. I, p. 1 et ss.</w:t>
      </w:r>
    </w:p>
  </w:footnote>
  <w:footnote w:id="221">
    <w:p w:rsidR="00941AA6" w:rsidRPr="00AB4FEB" w:rsidRDefault="00941AA6">
      <w:pPr>
        <w:pStyle w:val="Notedebasdepage"/>
      </w:pPr>
      <w:r w:rsidRPr="00C406FF">
        <w:rPr>
          <w:rStyle w:val="Appelnotedebasdep"/>
        </w:rPr>
        <w:footnoteRef/>
      </w:r>
      <w:r w:rsidRPr="000819BA">
        <w:rPr>
          <w:rFonts w:eastAsia="Arial Unicode MS"/>
          <w:lang w:val="de-AT" w:eastAsia="fr-FR" w:bidi="he-IL"/>
        </w:rPr>
        <w:t xml:space="preserve"> </w:t>
      </w:r>
      <w:r w:rsidRPr="000819BA">
        <w:rPr>
          <w:rStyle w:val="italicus"/>
          <w:lang w:val="de-AT"/>
        </w:rPr>
        <w:t xml:space="preserve">Wiener theolog. </w:t>
      </w:r>
      <w:r w:rsidRPr="00767A37">
        <w:rPr>
          <w:rStyle w:val="italicus"/>
          <w:lang w:val="de-AT"/>
        </w:rPr>
        <w:t xml:space="preserve">Zeitschrift, </w:t>
      </w:r>
      <w:r w:rsidRPr="00767A37">
        <w:rPr>
          <w:rFonts w:eastAsia="Arial Unicode MS"/>
          <w:bCs/>
          <w:lang w:val="de-AT" w:eastAsia="fr-FR" w:bidi="he-IL"/>
        </w:rPr>
        <w:t>185</w:t>
      </w:r>
      <w:r>
        <w:rPr>
          <w:rFonts w:eastAsia="Arial Unicode MS"/>
          <w:bCs/>
          <w:lang w:val="de-AT" w:eastAsia="fr-FR" w:bidi="he-IL"/>
        </w:rPr>
        <w:t>2,</w:t>
      </w:r>
      <w:r w:rsidRPr="00767A37">
        <w:rPr>
          <w:rFonts w:eastAsia="Arial Unicode MS"/>
          <w:bCs/>
          <w:lang w:val="de-AT" w:eastAsia="fr-FR" w:bidi="he-IL"/>
        </w:rPr>
        <w:t xml:space="preserve"> t. IV, 1</w:t>
      </w:r>
      <w:r w:rsidRPr="00767A37">
        <w:rPr>
          <w:rFonts w:eastAsia="Arial Unicode MS"/>
          <w:bCs/>
          <w:vertAlign w:val="superscript"/>
          <w:lang w:val="de-AT" w:eastAsia="fr-FR" w:bidi="he-IL"/>
        </w:rPr>
        <w:t>er</w:t>
      </w:r>
      <w:r>
        <w:rPr>
          <w:rFonts w:eastAsia="Arial Unicode MS"/>
          <w:bCs/>
          <w:lang w:val="de-AT" w:eastAsia="fr-FR" w:bidi="he-IL"/>
        </w:rPr>
        <w:t xml:space="preserve"> et 2e </w:t>
      </w:r>
      <w:r w:rsidRPr="00AB4FEB">
        <w:t>fascicules.</w:t>
      </w:r>
    </w:p>
  </w:footnote>
  <w:footnote w:id="222">
    <w:p w:rsidR="00941AA6" w:rsidRPr="00933C60" w:rsidRDefault="00941AA6">
      <w:pPr>
        <w:pStyle w:val="Notedebasdepage"/>
      </w:pPr>
      <w:r w:rsidRPr="00C406FF">
        <w:rPr>
          <w:rStyle w:val="Appelnotedebasdep"/>
        </w:rPr>
        <w:footnoteRef/>
      </w:r>
      <w:r w:rsidRPr="000819BA">
        <w:rPr>
          <w:rFonts w:eastAsia="Arial Unicode MS"/>
          <w:lang w:val="de-AT" w:eastAsia="fr-FR" w:bidi="he-IL"/>
        </w:rPr>
        <w:t xml:space="preserve"> </w:t>
      </w:r>
      <w:r w:rsidRPr="000819BA">
        <w:rPr>
          <w:rFonts w:eastAsia="Arial Unicode MS"/>
          <w:bCs/>
          <w:lang w:val="de-AT" w:eastAsia="fr-FR" w:bidi="he-IL"/>
        </w:rPr>
        <w:t xml:space="preserve">B. Weiss, </w:t>
      </w:r>
      <w:r w:rsidRPr="000819BA">
        <w:rPr>
          <w:rStyle w:val="italicus"/>
          <w:lang w:val="de-AT"/>
        </w:rPr>
        <w:t>Das Marcuse</w:t>
      </w:r>
      <w:r>
        <w:rPr>
          <w:rStyle w:val="italicus"/>
          <w:lang w:val="de-AT"/>
        </w:rPr>
        <w:t>vangelium</w:t>
      </w:r>
      <w:r w:rsidRPr="000819BA">
        <w:rPr>
          <w:rStyle w:val="italicus"/>
          <w:lang w:val="de-AT"/>
        </w:rPr>
        <w:t xml:space="preserve"> und seine synoptischen Parallelen, </w:t>
      </w:r>
      <w:r w:rsidRPr="000819BA">
        <w:rPr>
          <w:rFonts w:eastAsia="Arial Unicode MS"/>
          <w:bCs/>
          <w:lang w:val="de-AT" w:eastAsia="fr-FR" w:bidi="he-IL"/>
        </w:rPr>
        <w:t>Berlin 1872</w:t>
      </w:r>
      <w:r w:rsidRPr="002D7F7E">
        <w:t>, préface</w:t>
      </w:r>
      <w:r w:rsidRPr="000819BA">
        <w:rPr>
          <w:rFonts w:eastAsia="Arial Unicode MS"/>
          <w:bCs/>
          <w:lang w:val="de-AT" w:eastAsia="fr-FR" w:bidi="he-IL"/>
        </w:rPr>
        <w:t>.</w:t>
      </w:r>
    </w:p>
  </w:footnote>
  <w:footnote w:id="223">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A. Réville</w:t>
      </w:r>
      <w:r>
        <w:rPr>
          <w:rFonts w:eastAsia="Arial Unicode MS"/>
          <w:bCs/>
          <w:lang w:eastAsia="fr-FR" w:bidi="he-IL"/>
        </w:rPr>
        <w:t xml:space="preserve">, </w:t>
      </w:r>
      <w:r>
        <w:rPr>
          <w:rStyle w:val="italicus"/>
        </w:rPr>
        <w:t>Étude</w:t>
      </w:r>
      <w:r w:rsidRPr="00DC4586">
        <w:rPr>
          <w:rStyle w:val="italicus"/>
        </w:rPr>
        <w:t>s critiques sur l’Évangile selon S. Matthieu</w:t>
      </w:r>
      <w:r>
        <w:rPr>
          <w:rStyle w:val="italicus"/>
        </w:rPr>
        <w:t xml:space="preserve">, </w:t>
      </w:r>
      <w:r w:rsidRPr="00C8701B">
        <w:rPr>
          <w:rFonts w:eastAsia="Arial Unicode MS"/>
          <w:bCs/>
          <w:lang w:eastAsia="fr-FR" w:bidi="he-IL"/>
        </w:rPr>
        <w:t>Leyde</w:t>
      </w:r>
      <w:r>
        <w:rPr>
          <w:rFonts w:eastAsia="Arial Unicode MS"/>
          <w:bCs/>
          <w:lang w:eastAsia="fr-FR" w:bidi="he-IL"/>
        </w:rPr>
        <w:t xml:space="preserve">, </w:t>
      </w:r>
      <w:r w:rsidRPr="00C8701B">
        <w:rPr>
          <w:rFonts w:eastAsia="Arial Unicode MS"/>
          <w:bCs/>
          <w:lang w:eastAsia="fr-FR" w:bidi="he-IL"/>
        </w:rPr>
        <w:t>1862</w:t>
      </w:r>
      <w:r>
        <w:rPr>
          <w:rFonts w:eastAsia="Arial Unicode MS"/>
          <w:bCs/>
          <w:lang w:eastAsia="fr-FR" w:bidi="he-IL"/>
        </w:rPr>
        <w:t xml:space="preserve">, </w:t>
      </w:r>
      <w:r w:rsidRPr="00C8701B">
        <w:rPr>
          <w:rFonts w:eastAsia="Arial Unicode MS"/>
          <w:bCs/>
          <w:lang w:eastAsia="fr-FR" w:bidi="he-IL"/>
        </w:rPr>
        <w:t>p. 149 et ss.</w:t>
      </w:r>
    </w:p>
  </w:footnote>
  <w:footnote w:id="224">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Lessing pense que</w:t>
      </w:r>
      <w:r>
        <w:rPr>
          <w:rFonts w:eastAsia="Arial Unicode MS"/>
          <w:bCs/>
          <w:lang w:eastAsia="fr-FR" w:bidi="he-IL"/>
        </w:rPr>
        <w:t xml:space="preserve"> l’</w:t>
      </w:r>
      <w:r w:rsidRPr="00DC4586">
        <w:rPr>
          <w:rStyle w:val="italicus"/>
        </w:rPr>
        <w:t>Evangélium ad Hebrǽos</w:t>
      </w:r>
      <w:r>
        <w:rPr>
          <w:rStyle w:val="italicus"/>
        </w:rPr>
        <w:t xml:space="preserve">, </w:t>
      </w:r>
      <w:r w:rsidRPr="00C8701B">
        <w:rPr>
          <w:rFonts w:eastAsia="Arial Unicode MS"/>
          <w:bCs/>
          <w:lang w:eastAsia="fr-FR" w:bidi="he-IL"/>
        </w:rPr>
        <w:t>serait l</w:t>
      </w:r>
      <w:r>
        <w:rPr>
          <w:rFonts w:eastAsia="Arial Unicode MS"/>
          <w:bCs/>
          <w:lang w:eastAsia="fr-FR" w:bidi="he-IL"/>
        </w:rPr>
        <w:t>’« Évangile</w:t>
      </w:r>
      <w:r w:rsidRPr="00C8701B">
        <w:rPr>
          <w:rFonts w:eastAsia="Arial Unicode MS"/>
          <w:bCs/>
          <w:lang w:eastAsia="fr-FR" w:bidi="he-IL"/>
        </w:rPr>
        <w:t xml:space="preserve"> source ». Voyez notre commentaire sur l’</w:t>
      </w:r>
      <w:r>
        <w:rPr>
          <w:rFonts w:eastAsia="Arial Unicode MS"/>
          <w:bCs/>
          <w:lang w:eastAsia="fr-FR" w:bidi="he-IL"/>
        </w:rPr>
        <w:t>Évangile</w:t>
      </w:r>
      <w:r w:rsidRPr="00C8701B">
        <w:rPr>
          <w:rFonts w:eastAsia="Arial Unicode MS"/>
          <w:bCs/>
          <w:lang w:eastAsia="fr-FR" w:bidi="he-IL"/>
        </w:rPr>
        <w:t xml:space="preserve"> selon S. Matth.</w:t>
      </w:r>
      <w:r>
        <w:rPr>
          <w:rFonts w:eastAsia="Arial Unicode MS"/>
          <w:bCs/>
          <w:lang w:eastAsia="fr-FR" w:bidi="he-IL"/>
        </w:rPr>
        <w:t xml:space="preserve">, </w:t>
      </w:r>
      <w:r w:rsidRPr="00C8701B">
        <w:rPr>
          <w:rFonts w:eastAsia="Arial Unicode MS"/>
          <w:bCs/>
          <w:lang w:eastAsia="fr-FR" w:bidi="he-IL"/>
        </w:rPr>
        <w:t>p. 24-25</w:t>
      </w:r>
      <w:r>
        <w:rPr>
          <w:rFonts w:eastAsia="Arial Unicode MS"/>
          <w:bCs/>
          <w:lang w:eastAsia="fr-FR" w:bidi="he-IL"/>
        </w:rPr>
        <w:t>,</w:t>
      </w:r>
    </w:p>
  </w:footnote>
  <w:footnote w:id="225">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Allgemeine Bibliothek</w:t>
      </w:r>
      <w:r>
        <w:rPr>
          <w:rFonts w:eastAsia="Arial Unicode MS"/>
          <w:bCs/>
          <w:lang w:eastAsia="fr-FR" w:bidi="he-IL"/>
        </w:rPr>
        <w:t xml:space="preserve">, </w:t>
      </w:r>
      <w:r w:rsidRPr="00C8701B">
        <w:rPr>
          <w:rFonts w:eastAsia="Arial Unicode MS"/>
          <w:bCs/>
          <w:lang w:eastAsia="fr-FR" w:bidi="he-IL"/>
        </w:rPr>
        <w:t>t</w:t>
      </w:r>
      <w:r>
        <w:rPr>
          <w:rFonts w:eastAsia="Arial Unicode MS"/>
          <w:bCs/>
          <w:lang w:eastAsia="fr-FR" w:bidi="he-IL"/>
        </w:rPr>
        <w:t xml:space="preserve">, V, </w:t>
      </w:r>
      <w:r w:rsidRPr="00C8701B">
        <w:rPr>
          <w:rFonts w:eastAsia="Arial Unicode MS"/>
          <w:bCs/>
          <w:lang w:eastAsia="fr-FR" w:bidi="he-IL"/>
        </w:rPr>
        <w:t>p. 427 et ss</w:t>
      </w:r>
      <w:r>
        <w:rPr>
          <w:rFonts w:eastAsia="Arial Unicode MS"/>
          <w:bCs/>
          <w:lang w:eastAsia="fr-FR" w:bidi="he-IL"/>
        </w:rPr>
        <w:t>.</w:t>
      </w:r>
    </w:p>
  </w:footnote>
  <w:footnote w:id="226">
    <w:p w:rsidR="00941AA6" w:rsidRPr="00933C60" w:rsidRDefault="00941AA6" w:rsidP="00AB4FEB">
      <w:pPr>
        <w:pStyle w:val="Notedebasdepage"/>
      </w:pPr>
      <w:r w:rsidRPr="00C406FF">
        <w:rPr>
          <w:rStyle w:val="Appelnotedebasdep"/>
        </w:rPr>
        <w:footnoteRef/>
      </w:r>
      <w:r w:rsidRPr="00AB4FEB">
        <w:t xml:space="preserve"> Dans un ouvrage traduit par Rosenmüller, </w:t>
      </w:r>
      <w:r w:rsidRPr="00A85866">
        <w:rPr>
          <w:lang w:val="de-AT"/>
        </w:rPr>
        <w:t>sous ce titre :</w:t>
      </w:r>
      <w:r w:rsidRPr="000819BA">
        <w:rPr>
          <w:rStyle w:val="italicus"/>
          <w:lang w:val="de-AT"/>
        </w:rPr>
        <w:t xml:space="preserve"> Abhandlung über</w:t>
      </w:r>
      <w:r>
        <w:rPr>
          <w:rStyle w:val="italicus"/>
          <w:lang w:val="de-AT"/>
        </w:rPr>
        <w:t xml:space="preserve"> Entstehung und Abfassung unserer drei ersten</w:t>
      </w:r>
      <w:r w:rsidRPr="000819BA">
        <w:rPr>
          <w:rStyle w:val="italicus"/>
          <w:lang w:val="de-AT"/>
        </w:rPr>
        <w:t xml:space="preserve"> </w:t>
      </w:r>
      <w:r>
        <w:rPr>
          <w:rStyle w:val="italicus"/>
          <w:lang w:val="de-AT"/>
        </w:rPr>
        <w:t>E</w:t>
      </w:r>
      <w:r w:rsidRPr="000819BA">
        <w:rPr>
          <w:rStyle w:val="italicus"/>
          <w:lang w:val="de-AT"/>
        </w:rPr>
        <w:t xml:space="preserve">vangelien, </w:t>
      </w:r>
      <w:r w:rsidRPr="000819BA">
        <w:rPr>
          <w:rFonts w:eastAsia="Arial Unicode MS"/>
          <w:bCs/>
          <w:lang w:val="de-AT" w:eastAsia="fr-FR" w:bidi="he-IL"/>
        </w:rPr>
        <w:t xml:space="preserve">Göttingen, 1804, p. 284 et ss. </w:t>
      </w:r>
      <w:r w:rsidRPr="00767A37">
        <w:rPr>
          <w:rFonts w:eastAsia="Arial Unicode MS"/>
          <w:bCs/>
          <w:lang w:val="de-AT" w:eastAsia="fr-FR" w:bidi="he-IL"/>
        </w:rPr>
        <w:t xml:space="preserve">Cf. </w:t>
      </w:r>
      <w:r>
        <w:rPr>
          <w:rFonts w:eastAsia="Arial Unicode MS"/>
          <w:bCs/>
          <w:lang w:val="de-AT" w:eastAsia="fr-FR" w:bidi="he-IL"/>
        </w:rPr>
        <w:t>H. W.</w:t>
      </w:r>
      <w:r w:rsidRPr="00767A37">
        <w:rPr>
          <w:rFonts w:eastAsia="Arial Unicode MS"/>
          <w:bCs/>
          <w:lang w:val="de-AT" w:eastAsia="fr-FR" w:bidi="he-IL"/>
        </w:rPr>
        <w:t xml:space="preserve"> Meyer, </w:t>
      </w:r>
      <w:r w:rsidRPr="00767A37">
        <w:rPr>
          <w:rStyle w:val="italicus"/>
          <w:lang w:val="de-AT"/>
        </w:rPr>
        <w:t xml:space="preserve">Das Evangélium des Matthǽus, </w:t>
      </w:r>
      <w:r w:rsidRPr="00767A37">
        <w:rPr>
          <w:rFonts w:eastAsia="Arial Unicode MS"/>
          <w:bCs/>
          <w:lang w:val="de-AT" w:eastAsia="fr-FR" w:bidi="he-IL"/>
        </w:rPr>
        <w:t>3</w:t>
      </w:r>
      <w:r w:rsidRPr="00AB4FEB">
        <w:t>e édit., p. 25 ; Δαμαλας, Ἐρμηνεῖα εἰς τῆν Καινῆ</w:t>
      </w:r>
      <w:r>
        <w:t>ν Δια</w:t>
      </w:r>
      <w:r w:rsidRPr="00AB4FEB">
        <w:t>θή</w:t>
      </w:r>
      <w:r>
        <w:t>κ</w:t>
      </w:r>
      <w:r w:rsidRPr="00AB4FEB">
        <w:t xml:space="preserve">ην, t. I, ρ. 127 et </w:t>
      </w:r>
      <w:r w:rsidRPr="00767A37">
        <w:rPr>
          <w:rFonts w:eastAsia="Arial Unicode MS"/>
          <w:bCs/>
          <w:lang w:val="de-AT" w:eastAsia="fr-FR" w:bidi="he-IL"/>
        </w:rPr>
        <w:t xml:space="preserve">suiv. ; Thomson, </w:t>
      </w:r>
      <w:r w:rsidRPr="00767A37">
        <w:rPr>
          <w:rStyle w:val="italicus"/>
          <w:lang w:val="de-AT"/>
        </w:rPr>
        <w:t xml:space="preserve">Word, </w:t>
      </w:r>
      <w:r>
        <w:rPr>
          <w:rStyle w:val="italicus"/>
          <w:lang w:val="de-AT"/>
        </w:rPr>
        <w:t>Work an</w:t>
      </w:r>
      <w:r w:rsidRPr="00767A37">
        <w:rPr>
          <w:rStyle w:val="italicus"/>
          <w:lang w:val="de-AT"/>
        </w:rPr>
        <w:t xml:space="preserve">d Will, </w:t>
      </w:r>
      <w:r w:rsidRPr="00767A37">
        <w:rPr>
          <w:rFonts w:eastAsia="Arial Unicode MS"/>
          <w:bCs/>
          <w:lang w:val="de-AT" w:eastAsia="fr-FR" w:bidi="he-IL"/>
        </w:rPr>
        <w:t>p.</w:t>
      </w:r>
      <w:r w:rsidRPr="00767A37">
        <w:rPr>
          <w:rFonts w:eastAsia="Arial Unicode MS"/>
          <w:lang w:val="de-AT" w:eastAsia="fr-FR" w:bidi="he-IL"/>
        </w:rPr>
        <w:t xml:space="preserve"> 9</w:t>
      </w:r>
      <w:r w:rsidRPr="00767A37">
        <w:rPr>
          <w:rFonts w:eastAsia="Arial Unicode MS"/>
          <w:bCs/>
          <w:lang w:val="de-AT" w:eastAsia="fr-FR" w:bidi="he-IL"/>
        </w:rPr>
        <w:t xml:space="preserve"> et suiv.</w:t>
      </w:r>
    </w:p>
  </w:footnote>
  <w:footnote w:id="227">
    <w:p w:rsidR="00941AA6" w:rsidRPr="00933C60" w:rsidRDefault="00941AA6">
      <w:pPr>
        <w:pStyle w:val="Notedebasdepage"/>
      </w:pPr>
      <w:r w:rsidRPr="00C406FF">
        <w:rPr>
          <w:rStyle w:val="Appelnotedebasdep"/>
        </w:rPr>
        <w:footnoteRef/>
      </w:r>
      <w:r w:rsidRPr="000819BA">
        <w:rPr>
          <w:rFonts w:eastAsia="Arial Unicode MS"/>
          <w:lang w:val="de-AT" w:eastAsia="fr-FR" w:bidi="he-IL"/>
        </w:rPr>
        <w:t xml:space="preserve"> </w:t>
      </w:r>
      <w:r w:rsidRPr="000819BA">
        <w:rPr>
          <w:rStyle w:val="italicus"/>
          <w:lang w:val="de-AT"/>
        </w:rPr>
        <w:t xml:space="preserve">Einleitung in das Neue Testament, </w:t>
      </w:r>
      <w:r w:rsidRPr="000819BA">
        <w:rPr>
          <w:rFonts w:eastAsia="Arial Unicode MS"/>
          <w:bCs/>
          <w:lang w:val="de-AT" w:eastAsia="fr-FR" w:bidi="he-IL"/>
        </w:rPr>
        <w:t>t. I, p. 353 et ss.</w:t>
      </w:r>
    </w:p>
  </w:footnote>
  <w:footnote w:id="228">
    <w:p w:rsidR="00941AA6" w:rsidRPr="00933C60" w:rsidRDefault="00941AA6">
      <w:pPr>
        <w:pStyle w:val="Notedebasdepage"/>
      </w:pPr>
      <w:r w:rsidRPr="00C406FF">
        <w:rPr>
          <w:rStyle w:val="Appelnotedebasdep"/>
        </w:rPr>
        <w:footnoteRef/>
      </w:r>
      <w:r w:rsidRPr="000819BA">
        <w:rPr>
          <w:rFonts w:eastAsia="Arial Unicode MS"/>
          <w:lang w:val="de-AT" w:eastAsia="fr-FR" w:bidi="he-IL"/>
        </w:rPr>
        <w:t xml:space="preserve"> </w:t>
      </w:r>
      <w:r w:rsidRPr="00A85866">
        <w:rPr>
          <w:rStyle w:val="italicus"/>
          <w:lang w:val="de-AT"/>
        </w:rPr>
        <w:t xml:space="preserve">Neuer Versuch die Entstehung der drei ersten Evangelien zu </w:t>
      </w:r>
      <w:r w:rsidRPr="00767A37">
        <w:rPr>
          <w:rStyle w:val="italicus"/>
          <w:lang w:val="de-AT"/>
        </w:rPr>
        <w:t>erklæren</w:t>
      </w:r>
      <w:r w:rsidRPr="000819BA">
        <w:rPr>
          <w:rStyle w:val="italicus"/>
          <w:lang w:val="de-AT"/>
        </w:rPr>
        <w:t xml:space="preserve">, </w:t>
      </w:r>
      <w:r>
        <w:rPr>
          <w:rFonts w:eastAsia="Arial Unicode MS"/>
          <w:bCs/>
          <w:lang w:val="de-AT" w:eastAsia="fr-FR" w:bidi="he-IL"/>
        </w:rPr>
        <w:t>Tub</w:t>
      </w:r>
      <w:r w:rsidRPr="000819BA">
        <w:rPr>
          <w:rFonts w:eastAsia="Arial Unicode MS"/>
          <w:bCs/>
          <w:lang w:val="de-AT" w:eastAsia="fr-FR" w:bidi="he-IL"/>
        </w:rPr>
        <w:t xml:space="preserve">ingue 1812. Bertboldt, </w:t>
      </w:r>
      <w:r>
        <w:rPr>
          <w:rStyle w:val="italicus"/>
          <w:lang w:val="de-AT"/>
        </w:rPr>
        <w:t>Histor.-krit. Einleitung in sämt</w:t>
      </w:r>
      <w:r w:rsidRPr="000819BA">
        <w:rPr>
          <w:rStyle w:val="italicus"/>
          <w:lang w:val="de-AT"/>
        </w:rPr>
        <w:t xml:space="preserve">liche kanon. und apocryph. </w:t>
      </w:r>
      <w:r w:rsidRPr="00A85866">
        <w:rPr>
          <w:rStyle w:val="italicus"/>
          <w:lang w:val="de-AT"/>
        </w:rPr>
        <w:t xml:space="preserve">Schriften des Atl. und Neuen Testam., </w:t>
      </w:r>
      <w:r w:rsidRPr="00A85866">
        <w:rPr>
          <w:rFonts w:eastAsia="Arial Unicode MS"/>
          <w:bCs/>
          <w:lang w:val="de-AT" w:eastAsia="fr-FR" w:bidi="he-IL"/>
        </w:rPr>
        <w:t xml:space="preserve">p. 1203 et ss., se contente de l’Évangile primitif ; de même Bleek, </w:t>
      </w:r>
      <w:r w:rsidRPr="00A85866">
        <w:rPr>
          <w:rStyle w:val="italicus"/>
          <w:lang w:val="de-AT"/>
        </w:rPr>
        <w:t xml:space="preserve">Einleitung in das Neue Testament, </w:t>
      </w:r>
      <w:r w:rsidRPr="00A85866">
        <w:rPr>
          <w:rFonts w:eastAsia="Arial Unicode MS"/>
          <w:bCs/>
          <w:lang w:val="de-AT" w:eastAsia="fr-FR" w:bidi="he-IL"/>
        </w:rPr>
        <w:t>p. 259 et ss. de la deuxième édition.</w:t>
      </w:r>
    </w:p>
  </w:footnote>
  <w:footnote w:id="229">
    <w:p w:rsidR="00941AA6" w:rsidRPr="00933C60" w:rsidRDefault="00941AA6">
      <w:pPr>
        <w:pStyle w:val="Notedebasdepage"/>
      </w:pPr>
      <w:r w:rsidRPr="00C406FF">
        <w:rPr>
          <w:rStyle w:val="Appelnotedebasdep"/>
        </w:rPr>
        <w:footnoteRef/>
      </w:r>
      <w:r w:rsidRPr="000819BA">
        <w:rPr>
          <w:rStyle w:val="italicus"/>
          <w:lang w:val="de-AT"/>
        </w:rPr>
        <w:t xml:space="preserve"> </w:t>
      </w:r>
      <w:r w:rsidRPr="00A85866">
        <w:rPr>
          <w:rStyle w:val="italicus"/>
          <w:lang w:val="de-AT"/>
        </w:rPr>
        <w:t>Die Spruchsammlung,</w:t>
      </w:r>
      <w:r w:rsidRPr="000819BA">
        <w:rPr>
          <w:rStyle w:val="italicus"/>
          <w:lang w:val="de-AT"/>
        </w:rPr>
        <w:t xml:space="preserve"> </w:t>
      </w:r>
      <w:r w:rsidRPr="00A85866">
        <w:rPr>
          <w:lang w:val="de-AT"/>
        </w:rPr>
        <w:t>comme s’exprime Ewald.</w:t>
      </w:r>
    </w:p>
  </w:footnote>
  <w:footnote w:id="230">
    <w:p w:rsidR="00941AA6" w:rsidRPr="00933C60" w:rsidRDefault="00941AA6">
      <w:pPr>
        <w:pStyle w:val="Notedebasdepage"/>
      </w:pPr>
      <w:r w:rsidRPr="00C406FF">
        <w:rPr>
          <w:rStyle w:val="Appelnotedebasdep"/>
        </w:rPr>
        <w:footnoteRef/>
      </w:r>
      <w:r>
        <w:rPr>
          <w:rStyle w:val="italicus"/>
          <w:lang w:val="de-AT"/>
        </w:rPr>
        <w:t xml:space="preserve"> Das Buch der hœheren Gesc</w:t>
      </w:r>
      <w:r w:rsidRPr="000819BA">
        <w:rPr>
          <w:rStyle w:val="italicus"/>
          <w:lang w:val="de-AT"/>
        </w:rPr>
        <w:t>hichte</w:t>
      </w:r>
      <w:r>
        <w:rPr>
          <w:rStyle w:val="italicus"/>
          <w:lang w:val="de-AT"/>
        </w:rPr>
        <w:t>.</w:t>
      </w:r>
    </w:p>
  </w:footnote>
  <w:footnote w:id="231">
    <w:p w:rsidR="00941AA6" w:rsidRPr="00933C60" w:rsidRDefault="00941AA6">
      <w:pPr>
        <w:pStyle w:val="Notedebasdepage"/>
      </w:pPr>
      <w:r w:rsidRPr="00C406FF">
        <w:rPr>
          <w:rStyle w:val="Appelnotedebasdep"/>
        </w:rPr>
        <w:footnoteRef/>
      </w:r>
      <w:r w:rsidRPr="00767A37">
        <w:rPr>
          <w:rStyle w:val="italicus"/>
          <w:lang w:val="de-AT"/>
        </w:rPr>
        <w:t xml:space="preserve"> Das sechste nachweisbare Buch, das siebente nachweisbare Buch, das achte nachweisbare Buch.</w:t>
      </w:r>
    </w:p>
  </w:footnote>
  <w:footnote w:id="232">
    <w:p w:rsidR="00941AA6" w:rsidRPr="00933C60" w:rsidRDefault="00941AA6">
      <w:pPr>
        <w:pStyle w:val="Notedebasdepage"/>
      </w:pPr>
      <w:bookmarkStart w:id="77" w:name="_Ref520300540"/>
      <w:r w:rsidRPr="00C406FF">
        <w:rPr>
          <w:rStyle w:val="Appelnotedebasdep"/>
        </w:rPr>
        <w:footnoteRef/>
      </w:r>
      <w:r w:rsidRPr="00767A37">
        <w:rPr>
          <w:rFonts w:eastAsia="Arial Unicode MS"/>
          <w:lang w:val="de-AT" w:eastAsia="fr-FR" w:bidi="he-IL"/>
        </w:rPr>
        <w:t xml:space="preserve"> </w:t>
      </w:r>
      <w:r w:rsidRPr="00767A37">
        <w:rPr>
          <w:rFonts w:eastAsia="Arial Unicode MS"/>
          <w:bCs/>
          <w:lang w:val="de-AT" w:eastAsia="fr-FR" w:bidi="he-IL"/>
        </w:rPr>
        <w:t xml:space="preserve">Ewald, </w:t>
      </w:r>
      <w:r w:rsidRPr="00767A37">
        <w:rPr>
          <w:rStyle w:val="italicus"/>
          <w:lang w:val="de-AT"/>
        </w:rPr>
        <w:t xml:space="preserve">Geschichte Christus, </w:t>
      </w:r>
      <w:r w:rsidRPr="00767A37">
        <w:rPr>
          <w:rFonts w:eastAsia="Arial Unicode MS"/>
          <w:bCs/>
          <w:lang w:val="de-AT" w:eastAsia="fr-FR" w:bidi="he-IL"/>
        </w:rPr>
        <w:t xml:space="preserve">3e édit., 1867, p. 188 et ss. </w:t>
      </w:r>
      <w:r w:rsidRPr="00C8701B">
        <w:rPr>
          <w:rFonts w:eastAsia="Arial Unicode MS"/>
          <w:bCs/>
          <w:lang w:eastAsia="fr-FR" w:bidi="he-IL"/>
        </w:rPr>
        <w:t>Mais voyez surtout le volume intitulé</w:t>
      </w:r>
      <w:r w:rsidRPr="00DC4586">
        <w:rPr>
          <w:rStyle w:val="italicus"/>
        </w:rPr>
        <w:t xml:space="preserve"> Die drei ersten Evangelien</w:t>
      </w:r>
      <w:r>
        <w:rPr>
          <w:rStyle w:val="italicus"/>
        </w:rPr>
        <w:t xml:space="preserve">, </w:t>
      </w:r>
      <w:r>
        <w:rPr>
          <w:rFonts w:eastAsia="Arial Unicode MS"/>
          <w:bCs/>
          <w:lang w:eastAsia="fr-FR" w:bidi="he-IL"/>
        </w:rPr>
        <w:t>Gœ</w:t>
      </w:r>
      <w:r w:rsidRPr="00C8701B">
        <w:rPr>
          <w:rFonts w:eastAsia="Arial Unicode MS"/>
          <w:bCs/>
          <w:lang w:eastAsia="fr-FR" w:bidi="he-IL"/>
        </w:rPr>
        <w:t>ttingue</w:t>
      </w:r>
      <w:r>
        <w:rPr>
          <w:rFonts w:eastAsia="Arial Unicode MS"/>
          <w:bCs/>
          <w:lang w:eastAsia="fr-FR" w:bidi="he-IL"/>
        </w:rPr>
        <w:t>,</w:t>
      </w:r>
      <w:r w:rsidRPr="00C8701B">
        <w:rPr>
          <w:rFonts w:eastAsia="Arial Unicode MS"/>
          <w:bCs/>
          <w:lang w:eastAsia="fr-FR" w:bidi="he-IL"/>
        </w:rPr>
        <w:t xml:space="preserve"> 1880</w:t>
      </w:r>
      <w:r>
        <w:rPr>
          <w:rFonts w:eastAsia="Arial Unicode MS"/>
          <w:bCs/>
          <w:lang w:eastAsia="fr-FR" w:bidi="he-IL"/>
        </w:rPr>
        <w:t xml:space="preserve">, </w:t>
      </w:r>
      <w:r w:rsidRPr="00C8701B">
        <w:rPr>
          <w:rFonts w:eastAsia="Arial Unicode MS"/>
          <w:bCs/>
          <w:lang w:eastAsia="fr-FR" w:bidi="he-IL"/>
        </w:rPr>
        <w:t>et notre Appendice II.</w:t>
      </w:r>
      <w:bookmarkEnd w:id="77"/>
    </w:p>
  </w:footnote>
  <w:footnote w:id="233">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Leben Jesu</w:t>
      </w:r>
      <w:r>
        <w:rPr>
          <w:rStyle w:val="italicus"/>
        </w:rPr>
        <w:t xml:space="preserve">, </w:t>
      </w:r>
      <w:r w:rsidRPr="00C8701B">
        <w:rPr>
          <w:rFonts w:eastAsia="Arial Unicode MS"/>
          <w:bCs/>
          <w:lang w:eastAsia="fr-FR" w:bidi="he-IL"/>
        </w:rPr>
        <w:t>1876</w:t>
      </w:r>
      <w:r>
        <w:rPr>
          <w:rFonts w:eastAsia="Arial Unicode MS"/>
          <w:bCs/>
          <w:lang w:eastAsia="fr-FR" w:bidi="he-IL"/>
        </w:rPr>
        <w:t xml:space="preserve">, </w:t>
      </w:r>
      <w:r w:rsidRPr="00C8701B">
        <w:rPr>
          <w:rFonts w:eastAsia="Arial Unicode MS"/>
          <w:bCs/>
          <w:lang w:eastAsia="fr-FR" w:bidi="he-IL"/>
        </w:rPr>
        <w:t>p. 42 et ss.</w:t>
      </w:r>
    </w:p>
  </w:footnote>
  <w:footnote w:id="234">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Les évangiles et la première génération contemporaine</w:t>
      </w:r>
      <w:r>
        <w:rPr>
          <w:rStyle w:val="italicus"/>
        </w:rPr>
        <w:t xml:space="preserve">, </w:t>
      </w:r>
      <w:r w:rsidRPr="00C8701B">
        <w:rPr>
          <w:rFonts w:eastAsia="Arial Unicode MS"/>
          <w:bCs/>
          <w:lang w:eastAsia="fr-FR" w:bidi="he-IL"/>
        </w:rPr>
        <w:t>Pa</w:t>
      </w:r>
      <w:r>
        <w:rPr>
          <w:rFonts w:eastAsia="Arial Unicode MS"/>
          <w:bCs/>
          <w:lang w:eastAsia="fr-FR" w:bidi="he-IL"/>
        </w:rPr>
        <w:t>r</w:t>
      </w:r>
      <w:r w:rsidRPr="00C8701B">
        <w:rPr>
          <w:rFonts w:eastAsia="Arial Unicode MS"/>
          <w:bCs/>
          <w:lang w:eastAsia="fr-FR" w:bidi="he-IL"/>
        </w:rPr>
        <w:t>is 1877</w:t>
      </w:r>
      <w:r>
        <w:rPr>
          <w:rFonts w:eastAsia="Arial Unicode MS"/>
          <w:bCs/>
          <w:lang w:eastAsia="fr-FR" w:bidi="he-IL"/>
        </w:rPr>
        <w:t xml:space="preserve">, </w:t>
      </w:r>
      <w:r w:rsidRPr="00C8701B">
        <w:rPr>
          <w:rFonts w:eastAsia="Arial Unicode MS"/>
          <w:bCs/>
          <w:lang w:eastAsia="fr-FR" w:bidi="he-IL"/>
        </w:rPr>
        <w:t>p. 177. Ce n’est pas plus difficile que cela !</w:t>
      </w:r>
    </w:p>
  </w:footnote>
  <w:footnote w:id="235">
    <w:p w:rsidR="00941AA6" w:rsidRPr="00933C60" w:rsidRDefault="00941AA6">
      <w:pPr>
        <w:pStyle w:val="Notedebasdepage"/>
      </w:pPr>
      <w:r w:rsidRPr="00C406FF">
        <w:rPr>
          <w:rStyle w:val="Appelnotedebasdep"/>
        </w:rPr>
        <w:footnoteRef/>
      </w:r>
      <w:r w:rsidRPr="00C8701B">
        <w:rPr>
          <w:rFonts w:eastAsia="Arial Unicode MS"/>
          <w:bCs/>
          <w:lang w:eastAsia="fr-FR" w:bidi="he-IL"/>
        </w:rPr>
        <w:t xml:space="preserve"> Entre autres</w:t>
      </w:r>
      <w:r>
        <w:rPr>
          <w:rFonts w:eastAsia="Arial Unicode MS"/>
          <w:bCs/>
          <w:lang w:eastAsia="fr-FR" w:bidi="he-IL"/>
        </w:rPr>
        <w:t xml:space="preserve">, </w:t>
      </w:r>
      <w:r w:rsidRPr="00C8701B">
        <w:rPr>
          <w:rFonts w:eastAsia="Arial Unicode MS"/>
          <w:bCs/>
          <w:lang w:eastAsia="fr-FR" w:bidi="he-IL"/>
        </w:rPr>
        <w:t>les D</w:t>
      </w:r>
      <w:r>
        <w:rPr>
          <w:rFonts w:eastAsia="Arial Unicode MS"/>
          <w:bCs/>
          <w:lang w:eastAsia="fr-FR" w:bidi="he-IL"/>
        </w:rPr>
        <w:t>r</w:t>
      </w:r>
      <w:r w:rsidRPr="00C8701B">
        <w:rPr>
          <w:rFonts w:eastAsia="Arial Unicode MS"/>
          <w:bCs/>
          <w:lang w:eastAsia="fr-FR" w:bidi="he-IL"/>
        </w:rPr>
        <w:t xml:space="preserve"> Haneberg</w:t>
      </w:r>
      <w:r>
        <w:rPr>
          <w:rFonts w:eastAsia="Arial Unicode MS"/>
          <w:bCs/>
          <w:lang w:eastAsia="fr-FR" w:bidi="he-IL"/>
        </w:rPr>
        <w:t xml:space="preserve">, </w:t>
      </w:r>
      <w:r w:rsidRPr="00C8701B">
        <w:rPr>
          <w:rFonts w:eastAsia="Arial Unicode MS"/>
          <w:bCs/>
          <w:lang w:eastAsia="fr-FR" w:bidi="he-IL"/>
        </w:rPr>
        <w:t>Friedlieb</w:t>
      </w:r>
      <w:r>
        <w:rPr>
          <w:rFonts w:eastAsia="Arial Unicode MS"/>
          <w:bCs/>
          <w:lang w:eastAsia="fr-FR" w:bidi="he-IL"/>
        </w:rPr>
        <w:t xml:space="preserve">, </w:t>
      </w:r>
      <w:r w:rsidRPr="00C8701B">
        <w:rPr>
          <w:rFonts w:eastAsia="Arial Unicode MS"/>
          <w:bCs/>
          <w:lang w:eastAsia="fr-FR" w:bidi="he-IL"/>
        </w:rPr>
        <w:t>Bisping</w:t>
      </w:r>
      <w:r>
        <w:rPr>
          <w:rFonts w:eastAsia="Arial Unicode MS"/>
          <w:bCs/>
          <w:lang w:eastAsia="fr-FR" w:bidi="he-IL"/>
        </w:rPr>
        <w:t xml:space="preserve">, </w:t>
      </w:r>
      <w:r w:rsidRPr="00C8701B">
        <w:rPr>
          <w:rFonts w:eastAsia="Arial Unicode MS"/>
          <w:bCs/>
          <w:lang w:eastAsia="fr-FR" w:bidi="he-IL"/>
        </w:rPr>
        <w:t>Kaulen</w:t>
      </w:r>
      <w:r>
        <w:rPr>
          <w:rFonts w:eastAsia="Arial Unicode MS"/>
          <w:bCs/>
          <w:lang w:eastAsia="fr-FR" w:bidi="he-IL"/>
        </w:rPr>
        <w:t xml:space="preserve">, </w:t>
      </w:r>
      <w:r w:rsidRPr="00C8701B">
        <w:rPr>
          <w:rFonts w:eastAsia="Arial Unicode MS"/>
          <w:bCs/>
          <w:lang w:eastAsia="fr-FR" w:bidi="he-IL"/>
        </w:rPr>
        <w:t>les Pères Knabenbauer et Cornely</w:t>
      </w:r>
      <w:r>
        <w:rPr>
          <w:rFonts w:eastAsia="Arial Unicode MS"/>
          <w:bCs/>
          <w:lang w:eastAsia="fr-FR" w:bidi="he-IL"/>
        </w:rPr>
        <w:t xml:space="preserve">, </w:t>
      </w:r>
      <w:r w:rsidRPr="00C8701B">
        <w:rPr>
          <w:rFonts w:eastAsia="Arial Unicode MS"/>
          <w:bCs/>
          <w:lang w:eastAsia="fr-FR" w:bidi="he-IL"/>
        </w:rPr>
        <w:t>Mgr Meignan</w:t>
      </w:r>
      <w:r>
        <w:rPr>
          <w:rFonts w:eastAsia="Arial Unicode MS"/>
          <w:bCs/>
          <w:lang w:eastAsia="fr-FR" w:bidi="he-IL"/>
        </w:rPr>
        <w:t xml:space="preserve">, </w:t>
      </w:r>
      <w:r w:rsidRPr="00C8701B">
        <w:rPr>
          <w:rFonts w:eastAsia="Arial Unicode MS"/>
          <w:bCs/>
          <w:lang w:eastAsia="fr-FR" w:bidi="he-IL"/>
        </w:rPr>
        <w:t xml:space="preserve">M. l’abbé Le </w:t>
      </w:r>
      <w:r>
        <w:rPr>
          <w:rFonts w:eastAsia="Arial Unicode MS"/>
          <w:bCs/>
          <w:lang w:eastAsia="fr-FR" w:bidi="he-IL"/>
        </w:rPr>
        <w:t xml:space="preserve">Camus, </w:t>
      </w:r>
      <w:r w:rsidRPr="00C8701B">
        <w:rPr>
          <w:rFonts w:eastAsia="Arial Unicode MS"/>
          <w:bCs/>
          <w:lang w:eastAsia="fr-FR" w:bidi="he-IL"/>
        </w:rPr>
        <w:t>etc.</w:t>
      </w:r>
    </w:p>
  </w:footnote>
  <w:footnote w:id="236">
    <w:p w:rsidR="00941AA6" w:rsidRPr="00933C60" w:rsidRDefault="00941AA6">
      <w:pPr>
        <w:pStyle w:val="Notedebasdepage"/>
      </w:pPr>
      <w:r w:rsidRPr="00C406FF">
        <w:rPr>
          <w:rStyle w:val="Appelnotedebasdep"/>
        </w:rPr>
        <w:footnoteRef/>
      </w:r>
      <w:r w:rsidRPr="00767A37">
        <w:rPr>
          <w:lang w:val="de-AT"/>
        </w:rPr>
        <w:t xml:space="preserve"> Qu’il suffise de mentionner, parmi les plus connus, Herder, Credner, Guericke, de Wette, Norton, Westcott, Wetzel, Keil, et surtout Gieseler, </w:t>
      </w:r>
      <w:r w:rsidRPr="00767A37">
        <w:rPr>
          <w:rStyle w:val="italicus"/>
          <w:lang w:val="de-AT"/>
        </w:rPr>
        <w:t xml:space="preserve">Histor.-kritischer Versuch, </w:t>
      </w:r>
      <w:r>
        <w:rPr>
          <w:rStyle w:val="italicus"/>
          <w:lang w:val="de-AT"/>
        </w:rPr>
        <w:t>ü</w:t>
      </w:r>
      <w:r w:rsidRPr="00767A37">
        <w:rPr>
          <w:rStyle w:val="italicus"/>
          <w:lang w:val="de-AT"/>
        </w:rPr>
        <w:t>ber</w:t>
      </w:r>
      <w:r>
        <w:rPr>
          <w:rStyle w:val="italicus"/>
          <w:lang w:val="de-AT"/>
        </w:rPr>
        <w:t xml:space="preserve"> </w:t>
      </w:r>
      <w:r w:rsidRPr="00767A37">
        <w:rPr>
          <w:rStyle w:val="italicus"/>
          <w:lang w:val="de-AT"/>
        </w:rPr>
        <w:t xml:space="preserve">die Entstehung und die frühesten Schicksale der schriftlichen Evangelien, </w:t>
      </w:r>
      <w:r w:rsidRPr="000819BA">
        <w:rPr>
          <w:rFonts w:eastAsia="Arial Unicode MS"/>
          <w:bCs/>
          <w:lang w:val="de-AT" w:eastAsia="fr-FR" w:bidi="he-IL"/>
        </w:rPr>
        <w:t>Leipzig 1878.</w:t>
      </w:r>
    </w:p>
  </w:footnote>
  <w:footnote w:id="237">
    <w:p w:rsidR="00941AA6" w:rsidRPr="00933C60" w:rsidRDefault="00941AA6">
      <w:pPr>
        <w:pStyle w:val="Notedebasdepage"/>
      </w:pPr>
      <w:r w:rsidRPr="00C406FF">
        <w:rPr>
          <w:rStyle w:val="Appelnotedebasdep"/>
        </w:rPr>
        <w:footnoteRef/>
      </w:r>
      <w:r w:rsidRPr="00A74F01">
        <w:rPr>
          <w:rStyle w:val="italicus"/>
          <w:lang w:val="en-US"/>
        </w:rPr>
        <w:t xml:space="preserve"> Hist. eccl., </w:t>
      </w:r>
      <w:r w:rsidRPr="00C8701B">
        <w:rPr>
          <w:rFonts w:eastAsia="Arial Unicode MS"/>
          <w:bCs/>
          <w:lang w:val="en-US" w:eastAsia="fr-FR" w:bidi="he-IL"/>
        </w:rPr>
        <w:t>III</w:t>
      </w:r>
      <w:r>
        <w:rPr>
          <w:rFonts w:eastAsia="Arial Unicode MS"/>
          <w:bCs/>
          <w:lang w:val="en-US" w:eastAsia="fr-FR" w:bidi="he-IL"/>
        </w:rPr>
        <w:t xml:space="preserve">, </w:t>
      </w:r>
      <w:r w:rsidRPr="00C8701B">
        <w:rPr>
          <w:rFonts w:eastAsia="Arial Unicode MS"/>
          <w:bCs/>
          <w:lang w:val="en-US" w:eastAsia="fr-FR" w:bidi="he-IL"/>
        </w:rPr>
        <w:t>24.</w:t>
      </w:r>
    </w:p>
  </w:footnote>
  <w:footnote w:id="238">
    <w:p w:rsidR="00941AA6" w:rsidRPr="00933C60" w:rsidRDefault="00941AA6">
      <w:pPr>
        <w:pStyle w:val="Notedebasdepage"/>
      </w:pPr>
      <w:r w:rsidRPr="00C406FF">
        <w:rPr>
          <w:rStyle w:val="Appelnotedebasdep"/>
        </w:rPr>
        <w:footnoteRef/>
      </w:r>
      <w:r w:rsidRPr="00C8701B">
        <w:rPr>
          <w:rFonts w:eastAsia="Arial Unicode MS"/>
          <w:bCs/>
          <w:lang w:val="en-US" w:eastAsia="fr-FR" w:bidi="he-IL"/>
        </w:rPr>
        <w:t xml:space="preserve"> Tit. III</w:t>
      </w:r>
      <w:r>
        <w:rPr>
          <w:rFonts w:eastAsia="Arial Unicode MS"/>
          <w:bCs/>
          <w:lang w:val="en-US" w:eastAsia="fr-FR" w:bidi="he-IL"/>
        </w:rPr>
        <w:t xml:space="preserve">, </w:t>
      </w:r>
      <w:r w:rsidRPr="00C8701B">
        <w:rPr>
          <w:rFonts w:eastAsia="Arial Unicode MS"/>
          <w:bCs/>
          <w:lang w:val="en-US" w:eastAsia="fr-FR" w:bidi="he-IL"/>
        </w:rPr>
        <w:t>3.</w:t>
      </w:r>
    </w:p>
  </w:footnote>
  <w:footnote w:id="239">
    <w:p w:rsidR="00941AA6" w:rsidRPr="00933C60" w:rsidRDefault="00941AA6">
      <w:pPr>
        <w:pStyle w:val="Notedebasdepage"/>
      </w:pPr>
      <w:r w:rsidRPr="00C406FF">
        <w:rPr>
          <w:rStyle w:val="Appelnotedebasdep"/>
        </w:rPr>
        <w:footnoteRef/>
      </w:r>
      <w:r w:rsidRPr="00C8701B">
        <w:rPr>
          <w:rFonts w:eastAsia="Arial Unicode MS"/>
          <w:bCs/>
          <w:lang w:eastAsia="fr-FR" w:bidi="he-IL"/>
        </w:rPr>
        <w:t xml:space="preserve"> Matth. </w:t>
      </w:r>
      <w:r>
        <w:rPr>
          <w:rFonts w:eastAsia="Arial Unicode MS"/>
          <w:bCs/>
          <w:lang w:eastAsia="fr-FR" w:bidi="he-IL"/>
        </w:rPr>
        <w:t xml:space="preserve">XXVIII, </w:t>
      </w:r>
      <w:r w:rsidRPr="00C8701B">
        <w:rPr>
          <w:rFonts w:eastAsia="Arial Unicode MS"/>
          <w:bCs/>
          <w:lang w:eastAsia="fr-FR" w:bidi="he-IL"/>
        </w:rPr>
        <w:t>19 : « </w:t>
      </w:r>
      <w:r>
        <w:rPr>
          <w:rFonts w:eastAsia="Arial Unicode MS"/>
          <w:bCs/>
          <w:lang w:eastAsia="fr-FR" w:bidi="he-IL"/>
        </w:rPr>
        <w:t>Eúntes docéte om</w:t>
      </w:r>
      <w:r w:rsidRPr="00C8701B">
        <w:rPr>
          <w:rFonts w:eastAsia="Arial Unicode MS"/>
          <w:bCs/>
          <w:lang w:eastAsia="fr-FR" w:bidi="he-IL"/>
        </w:rPr>
        <w:t>nes gentes »</w:t>
      </w:r>
      <w:r>
        <w:rPr>
          <w:rFonts w:eastAsia="Arial Unicode MS"/>
          <w:bCs/>
          <w:lang w:eastAsia="fr-FR" w:bidi="he-IL"/>
        </w:rPr>
        <w:t>.</w:t>
      </w:r>
    </w:p>
  </w:footnote>
  <w:footnote w:id="240">
    <w:p w:rsidR="00941AA6" w:rsidRPr="00933C60" w:rsidRDefault="00941AA6" w:rsidP="001A4F8D">
      <w:pPr>
        <w:pStyle w:val="Notedebasdepage"/>
      </w:pPr>
      <w:r w:rsidRPr="00C406FF">
        <w:rPr>
          <w:rStyle w:val="Appelnotedebasdep"/>
        </w:rPr>
        <w:footnoteRef/>
      </w:r>
      <w:r w:rsidRPr="00C8701B">
        <w:rPr>
          <w:rFonts w:eastAsia="Arial Unicode MS"/>
          <w:bCs/>
          <w:lang w:eastAsia="fr-FR" w:bidi="he-IL"/>
        </w:rPr>
        <w:t xml:space="preserve"> Pages </w:t>
      </w:r>
      <w:r w:rsidR="00691E6B">
        <w:rPr>
          <w:rFonts w:eastAsia="Arial Unicode MS"/>
          <w:bCs/>
          <w:lang w:eastAsia="fr-FR" w:bidi="he-IL"/>
        </w:rPr>
        <w:fldChar w:fldCharType="begin"/>
      </w:r>
      <w:r w:rsidR="001A4F8D">
        <w:rPr>
          <w:rFonts w:eastAsia="Arial Unicode MS"/>
          <w:bCs/>
          <w:lang w:eastAsia="fr-FR" w:bidi="he-IL"/>
        </w:rPr>
        <w:instrText xml:space="preserve"> PAGEREF evin060201 \h </w:instrText>
      </w:r>
      <w:r w:rsidR="00691E6B">
        <w:rPr>
          <w:rFonts w:eastAsia="Arial Unicode MS"/>
          <w:bCs/>
          <w:lang w:eastAsia="fr-FR" w:bidi="he-IL"/>
        </w:rPr>
      </w:r>
      <w:r w:rsidR="00691E6B">
        <w:rPr>
          <w:rFonts w:eastAsia="Arial Unicode MS"/>
          <w:bCs/>
          <w:lang w:eastAsia="fr-FR" w:bidi="he-IL"/>
        </w:rPr>
        <w:fldChar w:fldCharType="separate"/>
      </w:r>
      <w:r w:rsidR="00635395">
        <w:rPr>
          <w:rFonts w:eastAsia="Arial Unicode MS"/>
          <w:bCs/>
          <w:noProof/>
          <w:lang w:eastAsia="fr-FR" w:bidi="he-IL"/>
        </w:rPr>
        <w:t>13</w:t>
      </w:r>
      <w:r w:rsidR="00691E6B">
        <w:rPr>
          <w:rFonts w:eastAsia="Arial Unicode MS"/>
          <w:bCs/>
          <w:lang w:eastAsia="fr-FR" w:bidi="he-IL"/>
        </w:rPr>
        <w:fldChar w:fldCharType="end"/>
      </w:r>
      <w:r w:rsidR="001A4F8D">
        <w:rPr>
          <w:rFonts w:eastAsia="Arial Unicode MS"/>
          <w:bCs/>
          <w:lang w:eastAsia="fr-FR" w:bidi="he-IL"/>
        </w:rPr>
        <w:t>-</w:t>
      </w:r>
      <w:r w:rsidR="00691E6B">
        <w:rPr>
          <w:rFonts w:eastAsia="Arial Unicode MS"/>
          <w:bCs/>
          <w:lang w:eastAsia="fr-FR" w:bidi="he-IL"/>
        </w:rPr>
        <w:fldChar w:fldCharType="begin"/>
      </w:r>
      <w:r w:rsidR="001A4F8D">
        <w:rPr>
          <w:rFonts w:eastAsia="Arial Unicode MS"/>
          <w:bCs/>
          <w:lang w:eastAsia="fr-FR" w:bidi="he-IL"/>
        </w:rPr>
        <w:instrText xml:space="preserve"> PAGEREF evin0603 \h </w:instrText>
      </w:r>
      <w:r w:rsidR="00691E6B">
        <w:rPr>
          <w:rFonts w:eastAsia="Arial Unicode MS"/>
          <w:bCs/>
          <w:lang w:eastAsia="fr-FR" w:bidi="he-IL"/>
        </w:rPr>
      </w:r>
      <w:r w:rsidR="00691E6B">
        <w:rPr>
          <w:rFonts w:eastAsia="Arial Unicode MS"/>
          <w:bCs/>
          <w:lang w:eastAsia="fr-FR" w:bidi="he-IL"/>
        </w:rPr>
        <w:fldChar w:fldCharType="separate"/>
      </w:r>
      <w:r w:rsidR="00635395">
        <w:rPr>
          <w:rFonts w:eastAsia="Arial Unicode MS"/>
          <w:bCs/>
          <w:noProof/>
          <w:lang w:eastAsia="fr-FR" w:bidi="he-IL"/>
        </w:rPr>
        <w:t>15</w:t>
      </w:r>
      <w:r w:rsidR="00691E6B">
        <w:rPr>
          <w:rFonts w:eastAsia="Arial Unicode MS"/>
          <w:bCs/>
          <w:lang w:eastAsia="fr-FR" w:bidi="he-IL"/>
        </w:rPr>
        <w:fldChar w:fldCharType="end"/>
      </w:r>
      <w:r>
        <w:rPr>
          <w:rFonts w:eastAsia="Arial Unicode MS"/>
          <w:bCs/>
          <w:lang w:eastAsia="fr-FR" w:bidi="he-IL"/>
        </w:rPr>
        <w:t>[</w:t>
      </w:r>
      <w:r w:rsidRPr="00C8701B">
        <w:rPr>
          <w:rFonts w:eastAsia="Arial Unicode MS"/>
          <w:bCs/>
          <w:lang w:eastAsia="fr-FR" w:bidi="he-IL"/>
        </w:rPr>
        <w:t>15-18</w:t>
      </w:r>
      <w:r>
        <w:rPr>
          <w:rFonts w:eastAsia="Arial Unicode MS"/>
          <w:bCs/>
          <w:lang w:eastAsia="fr-FR" w:bidi="he-IL"/>
        </w:rPr>
        <w:t>]</w:t>
      </w:r>
      <w:r w:rsidRPr="00C8701B">
        <w:rPr>
          <w:rFonts w:eastAsia="Arial Unicode MS"/>
          <w:bCs/>
          <w:lang w:eastAsia="fr-FR" w:bidi="he-IL"/>
        </w:rPr>
        <w:t>.</w:t>
      </w:r>
    </w:p>
  </w:footnote>
  <w:footnote w:id="241">
    <w:p w:rsidR="00941AA6" w:rsidRPr="00933C60" w:rsidRDefault="00941AA6">
      <w:pPr>
        <w:pStyle w:val="Notedebasdepage"/>
      </w:pPr>
      <w:r w:rsidRPr="00C406FF">
        <w:rPr>
          <w:rStyle w:val="Appelnotedebasdep"/>
        </w:rPr>
        <w:footnoteRef/>
      </w:r>
      <w:r w:rsidRPr="00C8701B">
        <w:rPr>
          <w:rFonts w:eastAsia="Arial Unicode MS"/>
          <w:bCs/>
          <w:lang w:eastAsia="fr-FR" w:bidi="he-IL"/>
        </w:rPr>
        <w:t xml:space="preserve"> F. Godet</w:t>
      </w:r>
      <w:r>
        <w:rPr>
          <w:rFonts w:eastAsia="Arial Unicode MS"/>
          <w:bCs/>
          <w:lang w:eastAsia="fr-FR" w:bidi="he-IL"/>
        </w:rPr>
        <w:t xml:space="preserve">, </w:t>
      </w:r>
      <w:r w:rsidRPr="00DC4586">
        <w:rPr>
          <w:rStyle w:val="italicus"/>
        </w:rPr>
        <w:t>Commentaire sur l’Évangile de S. Luc</w:t>
      </w:r>
      <w:r>
        <w:rPr>
          <w:rStyle w:val="italicus"/>
        </w:rPr>
        <w:t xml:space="preserve">, </w:t>
      </w:r>
      <w:r w:rsidRPr="00C8701B">
        <w:rPr>
          <w:rFonts w:eastAsia="Arial Unicode MS"/>
          <w:bCs/>
          <w:lang w:eastAsia="fr-FR" w:bidi="he-IL"/>
        </w:rPr>
        <w:t>Neuchâtel 1872</w:t>
      </w:r>
      <w:r>
        <w:rPr>
          <w:rFonts w:eastAsia="Arial Unicode MS"/>
          <w:bCs/>
          <w:lang w:eastAsia="fr-FR" w:bidi="he-IL"/>
        </w:rPr>
        <w:t xml:space="preserve">, </w:t>
      </w:r>
      <w:r w:rsidRPr="00C8701B">
        <w:rPr>
          <w:rFonts w:eastAsia="Arial Unicode MS"/>
          <w:bCs/>
          <w:lang w:eastAsia="fr-FR" w:bidi="he-IL"/>
        </w:rPr>
        <w:t>2</w:t>
      </w:r>
      <w:r w:rsidRPr="00C8701B">
        <w:rPr>
          <w:rFonts w:eastAsia="Arial Unicode MS"/>
          <w:bCs/>
          <w:vertAlign w:val="superscript"/>
          <w:lang w:eastAsia="fr-FR" w:bidi="he-IL"/>
        </w:rPr>
        <w:t>e</w:t>
      </w:r>
      <w:r w:rsidRPr="00C8701B">
        <w:rPr>
          <w:rFonts w:eastAsia="Arial Unicode MS"/>
          <w:bCs/>
          <w:lang w:eastAsia="fr-FR" w:bidi="he-IL"/>
        </w:rPr>
        <w:t xml:space="preserve"> édit.</w:t>
      </w:r>
      <w:r>
        <w:rPr>
          <w:rFonts w:eastAsia="Arial Unicode MS"/>
          <w:bCs/>
          <w:lang w:eastAsia="fr-FR" w:bidi="he-IL"/>
        </w:rPr>
        <w:t xml:space="preserve">, </w:t>
      </w:r>
      <w:r w:rsidRPr="00C8701B">
        <w:rPr>
          <w:rFonts w:eastAsia="Arial Unicode MS"/>
          <w:bCs/>
          <w:lang w:eastAsia="fr-FR" w:bidi="he-IL"/>
        </w:rPr>
        <w:t>t. II</w:t>
      </w:r>
      <w:r>
        <w:rPr>
          <w:rFonts w:eastAsia="Arial Unicode MS"/>
          <w:bCs/>
          <w:lang w:eastAsia="fr-FR" w:bidi="he-IL"/>
        </w:rPr>
        <w:t xml:space="preserve">, </w:t>
      </w:r>
      <w:r w:rsidRPr="00C8701B">
        <w:rPr>
          <w:rFonts w:eastAsia="Arial Unicode MS"/>
          <w:bCs/>
          <w:lang w:eastAsia="fr-FR" w:bidi="he-IL"/>
        </w:rPr>
        <w:t>553 et ss.</w:t>
      </w:r>
    </w:p>
  </w:footnote>
  <w:footnote w:id="242">
    <w:p w:rsidR="00941AA6" w:rsidRPr="00933C60" w:rsidRDefault="00941AA6" w:rsidP="001A4F8D">
      <w:pPr>
        <w:pStyle w:val="Notedebasdepage"/>
      </w:pPr>
      <w:r w:rsidRPr="00C406FF">
        <w:rPr>
          <w:rStyle w:val="Appelnotedebasdep"/>
        </w:rPr>
        <w:footnoteRef/>
      </w:r>
      <w:r>
        <w:rPr>
          <w:rFonts w:eastAsia="Arial Unicode MS"/>
          <w:lang w:eastAsia="fr-FR" w:bidi="he-IL"/>
        </w:rPr>
        <w:t xml:space="preserve"> I, </w:t>
      </w:r>
      <w:r w:rsidRPr="00C8701B">
        <w:rPr>
          <w:rFonts w:eastAsia="Arial Unicode MS"/>
          <w:bCs/>
          <w:lang w:eastAsia="fr-FR" w:bidi="he-IL"/>
        </w:rPr>
        <w:t>1. Voyez notre commentaire</w:t>
      </w:r>
      <w:r>
        <w:rPr>
          <w:rFonts w:eastAsia="Arial Unicode MS"/>
          <w:bCs/>
          <w:lang w:eastAsia="fr-FR" w:bidi="he-IL"/>
        </w:rPr>
        <w:t xml:space="preserve">, </w:t>
      </w:r>
      <w:r w:rsidRPr="00C8701B">
        <w:rPr>
          <w:rFonts w:eastAsia="Arial Unicode MS"/>
          <w:bCs/>
          <w:lang w:eastAsia="fr-FR" w:bidi="he-IL"/>
        </w:rPr>
        <w:t>p. 27.</w:t>
      </w:r>
    </w:p>
  </w:footnote>
  <w:footnote w:id="243">
    <w:p w:rsidR="00941AA6" w:rsidRPr="00933C60" w:rsidRDefault="00941AA6">
      <w:pPr>
        <w:pStyle w:val="Notedebasdepage"/>
      </w:pPr>
      <w:r w:rsidRPr="00C406FF">
        <w:rPr>
          <w:rStyle w:val="Appelnotedebasdep"/>
        </w:rPr>
        <w:footnoteRef/>
      </w:r>
      <w:r w:rsidRPr="001A4F8D">
        <w:rPr>
          <w:rFonts w:eastAsia="Arial Unicode MS"/>
          <w:lang w:eastAsia="fr-FR" w:bidi="he-IL"/>
        </w:rPr>
        <w:t xml:space="preserve"> </w:t>
      </w:r>
      <w:r w:rsidRPr="001A4F8D">
        <w:rPr>
          <w:rFonts w:eastAsia="Arial Unicode MS"/>
          <w:bCs/>
          <w:lang w:eastAsia="fr-FR" w:bidi="he-IL"/>
        </w:rPr>
        <w:t xml:space="preserve">Page </w:t>
      </w:r>
      <w:r w:rsidR="00691E6B">
        <w:rPr>
          <w:rFonts w:eastAsia="Arial Unicode MS"/>
          <w:bCs/>
          <w:lang w:eastAsia="fr-FR" w:bidi="he-IL"/>
        </w:rPr>
        <w:fldChar w:fldCharType="begin"/>
      </w:r>
      <w:r w:rsidR="001A4F8D">
        <w:rPr>
          <w:rFonts w:eastAsia="Arial Unicode MS"/>
          <w:bCs/>
          <w:lang w:eastAsia="fr-FR" w:bidi="he-IL"/>
        </w:rPr>
        <w:instrText xml:space="preserve"> PAGEREF evin070204dequelque \h </w:instrText>
      </w:r>
      <w:r w:rsidR="00691E6B">
        <w:rPr>
          <w:rFonts w:eastAsia="Arial Unicode MS"/>
          <w:bCs/>
          <w:lang w:eastAsia="fr-FR" w:bidi="he-IL"/>
        </w:rPr>
      </w:r>
      <w:r w:rsidR="00691E6B">
        <w:rPr>
          <w:rFonts w:eastAsia="Arial Unicode MS"/>
          <w:bCs/>
          <w:lang w:eastAsia="fr-FR" w:bidi="he-IL"/>
        </w:rPr>
        <w:fldChar w:fldCharType="separate"/>
      </w:r>
      <w:r w:rsidR="00635395">
        <w:rPr>
          <w:rFonts w:eastAsia="Arial Unicode MS"/>
          <w:bCs/>
          <w:noProof/>
          <w:lang w:eastAsia="fr-FR" w:bidi="he-IL"/>
        </w:rPr>
        <w:t>33</w:t>
      </w:r>
      <w:r w:rsidR="00691E6B">
        <w:rPr>
          <w:rFonts w:eastAsia="Arial Unicode MS"/>
          <w:bCs/>
          <w:lang w:eastAsia="fr-FR" w:bidi="he-IL"/>
        </w:rPr>
        <w:fldChar w:fldCharType="end"/>
      </w:r>
      <w:r w:rsidRPr="001A4F8D">
        <w:rPr>
          <w:rFonts w:eastAsia="Arial Unicode MS"/>
          <w:bCs/>
          <w:lang w:eastAsia="fr-FR" w:bidi="he-IL"/>
        </w:rPr>
        <w:t>[41].</w:t>
      </w:r>
    </w:p>
  </w:footnote>
  <w:footnote w:id="244">
    <w:p w:rsidR="00941AA6" w:rsidRPr="00933C60" w:rsidRDefault="00941AA6">
      <w:pPr>
        <w:pStyle w:val="Notedebasdepage"/>
      </w:pPr>
      <w:r w:rsidRPr="00C406FF">
        <w:rPr>
          <w:rStyle w:val="Appelnotedebasdep"/>
        </w:rPr>
        <w:footnoteRef/>
      </w:r>
      <w:r>
        <w:rPr>
          <w:rFonts w:eastAsia="Arial Unicode MS"/>
          <w:bCs/>
          <w:lang w:val="de-AT" w:eastAsia="fr-FR" w:bidi="he-IL"/>
        </w:rPr>
        <w:t xml:space="preserve"> </w:t>
      </w:r>
      <w:r w:rsidRPr="00767A37">
        <w:rPr>
          <w:lang w:val="de-AT"/>
        </w:rPr>
        <w:t>Voyez surtout Schanz,</w:t>
      </w:r>
      <w:r w:rsidRPr="00767A37">
        <w:rPr>
          <w:rFonts w:eastAsia="Arial Unicode MS"/>
          <w:bCs/>
          <w:lang w:val="de-AT" w:eastAsia="fr-FR" w:bidi="he-IL"/>
        </w:rPr>
        <w:t xml:space="preserve"> </w:t>
      </w:r>
      <w:r>
        <w:rPr>
          <w:rStyle w:val="italicus"/>
          <w:lang w:val="de-AT"/>
        </w:rPr>
        <w:t>Probleme der Einleitung bei dem Væt</w:t>
      </w:r>
      <w:r w:rsidRPr="00767A37">
        <w:rPr>
          <w:rStyle w:val="italicus"/>
          <w:lang w:val="de-AT"/>
        </w:rPr>
        <w:t>e</w:t>
      </w:r>
      <w:r>
        <w:rPr>
          <w:rStyle w:val="italicus"/>
          <w:lang w:val="de-AT"/>
        </w:rPr>
        <w:t>rn</w:t>
      </w:r>
      <w:r w:rsidRPr="00767A37">
        <w:rPr>
          <w:rStyle w:val="italicus"/>
          <w:lang w:val="de-AT"/>
        </w:rPr>
        <w:t xml:space="preserve">, </w:t>
      </w:r>
      <w:r w:rsidRPr="00767A37">
        <w:rPr>
          <w:rFonts w:eastAsia="Arial Unicode MS"/>
          <w:bCs/>
          <w:lang w:val="de-AT" w:eastAsia="fr-FR" w:bidi="he-IL"/>
        </w:rPr>
        <w:t xml:space="preserve">Theolog. Quartalschrift de Tubingue, 1879, p. 72 et ss. ; </w:t>
      </w:r>
      <w:r w:rsidRPr="00767A37">
        <w:rPr>
          <w:rStyle w:val="italicus"/>
          <w:lang w:val="de-AT"/>
        </w:rPr>
        <w:t>Co</w:t>
      </w:r>
      <w:r w:rsidRPr="000819BA">
        <w:rPr>
          <w:rStyle w:val="italicus"/>
          <w:lang w:val="de-AT"/>
        </w:rPr>
        <w:t xml:space="preserve">mmentar </w:t>
      </w:r>
      <w:r>
        <w:rPr>
          <w:rStyle w:val="italicus"/>
          <w:lang w:val="de-AT"/>
        </w:rPr>
        <w:t>über das Evangélium des heil. Marc</w:t>
      </w:r>
      <w:r w:rsidRPr="000819BA">
        <w:rPr>
          <w:rStyle w:val="italicus"/>
          <w:lang w:val="de-AT"/>
        </w:rPr>
        <w:t xml:space="preserve">us, </w:t>
      </w:r>
      <w:r w:rsidRPr="000819BA">
        <w:rPr>
          <w:rFonts w:eastAsia="Arial Unicode MS"/>
          <w:bCs/>
          <w:lang w:val="de-AT" w:eastAsia="fr-FR" w:bidi="he-IL"/>
        </w:rPr>
        <w:t xml:space="preserve">1881, p. 24 et suiv. ; </w:t>
      </w:r>
      <w:r w:rsidRPr="000819BA">
        <w:rPr>
          <w:rStyle w:val="italicus"/>
          <w:lang w:val="de-AT"/>
        </w:rPr>
        <w:t xml:space="preserve">Die Traditionshypothese, </w:t>
      </w:r>
      <w:r w:rsidRPr="000819BA">
        <w:rPr>
          <w:rFonts w:eastAsia="Arial Unicode MS"/>
          <w:bCs/>
          <w:lang w:val="de-AT" w:eastAsia="fr-FR" w:bidi="he-IL"/>
        </w:rPr>
        <w:t>Theolog. Quartalschrift, 1885, p. 222 et suiv.</w:t>
      </w:r>
    </w:p>
  </w:footnote>
  <w:footnote w:id="245">
    <w:p w:rsidR="00941AA6" w:rsidRPr="00933C60" w:rsidRDefault="00941AA6">
      <w:pPr>
        <w:pStyle w:val="Notedebasdepage"/>
      </w:pPr>
      <w:r w:rsidRPr="00C406FF">
        <w:rPr>
          <w:rStyle w:val="Appelnotedebasdep"/>
        </w:rPr>
        <w:footnoteRef/>
      </w:r>
      <w:r w:rsidRPr="00362CA4">
        <w:rPr>
          <w:lang w:val="en-GB"/>
        </w:rPr>
        <w:t xml:space="preserve"> Cf. Cramer, </w:t>
      </w:r>
      <w:r w:rsidRPr="00362CA4">
        <w:rPr>
          <w:rStyle w:val="italicus"/>
          <w:lang w:val="en-GB"/>
        </w:rPr>
        <w:t>Catena in Marc.,</w:t>
      </w:r>
      <w:r w:rsidRPr="00362CA4">
        <w:rPr>
          <w:lang w:val="en-GB"/>
        </w:rPr>
        <w:t xml:space="preserve"> I, 13, 15, etc.</w:t>
      </w:r>
    </w:p>
  </w:footnote>
  <w:footnote w:id="246">
    <w:p w:rsidR="00941AA6" w:rsidRPr="00933C60" w:rsidRDefault="00941AA6">
      <w:pPr>
        <w:pStyle w:val="Notedebasdepage"/>
      </w:pPr>
      <w:r w:rsidRPr="00C406FF">
        <w:rPr>
          <w:rStyle w:val="Appelnotedebasdep"/>
        </w:rPr>
        <w:footnoteRef/>
      </w:r>
      <w:r w:rsidRPr="000819BA">
        <w:rPr>
          <w:rFonts w:eastAsia="Arial Unicode MS"/>
          <w:lang w:val="de-AT" w:eastAsia="fr-FR" w:bidi="he-IL"/>
        </w:rPr>
        <w:t xml:space="preserve"> </w:t>
      </w:r>
      <w:r w:rsidRPr="000819BA">
        <w:rPr>
          <w:rStyle w:val="italicus"/>
          <w:lang w:val="de-AT"/>
        </w:rPr>
        <w:t xml:space="preserve">Hær. </w:t>
      </w:r>
      <w:r w:rsidRPr="00A85866">
        <w:rPr>
          <w:lang w:val="de-AT"/>
        </w:rPr>
        <w:t>LI, 6.</w:t>
      </w:r>
    </w:p>
  </w:footnote>
  <w:footnote w:id="247">
    <w:p w:rsidR="00941AA6" w:rsidRPr="00933C60" w:rsidRDefault="00941AA6">
      <w:pPr>
        <w:pStyle w:val="Notedebasdepage"/>
      </w:pPr>
      <w:r w:rsidRPr="00C406FF">
        <w:rPr>
          <w:rStyle w:val="Appelnotedebasdep"/>
        </w:rPr>
        <w:footnoteRef/>
      </w:r>
      <w:r w:rsidRPr="00C8701B">
        <w:rPr>
          <w:rFonts w:eastAsia="Arial Unicode MS"/>
          <w:lang w:val="en-US" w:eastAsia="fr-FR" w:bidi="he-IL"/>
        </w:rPr>
        <w:t xml:space="preserve"> </w:t>
      </w:r>
      <w:r w:rsidRPr="00A74F01">
        <w:rPr>
          <w:rStyle w:val="italicus"/>
          <w:lang w:val="en-US"/>
        </w:rPr>
        <w:t>Homil. in Joan., tom.</w:t>
      </w:r>
      <w:r w:rsidRPr="00C8701B">
        <w:rPr>
          <w:rFonts w:eastAsia="Arial Unicode MS"/>
          <w:bCs/>
          <w:lang w:val="en-US" w:eastAsia="fr-FR" w:bidi="he-IL"/>
        </w:rPr>
        <w:t xml:space="preserve"> </w:t>
      </w:r>
      <w:r w:rsidRPr="000819BA">
        <w:rPr>
          <w:rFonts w:eastAsia="Arial Unicode MS"/>
          <w:bCs/>
          <w:lang w:val="en-GB" w:eastAsia="fr-FR" w:bidi="he-IL"/>
        </w:rPr>
        <w:t>IX.</w:t>
      </w:r>
    </w:p>
  </w:footnote>
  <w:footnote w:id="248">
    <w:p w:rsidR="00941AA6" w:rsidRPr="00933C60" w:rsidRDefault="00941AA6">
      <w:pPr>
        <w:pStyle w:val="Notedebasdepage"/>
      </w:pPr>
      <w:r w:rsidRPr="00C406FF">
        <w:rPr>
          <w:rStyle w:val="Appelnotedebasdep"/>
        </w:rPr>
        <w:footnoteRef/>
      </w:r>
      <w:r w:rsidRPr="00DC4586">
        <w:rPr>
          <w:rStyle w:val="italicus"/>
        </w:rPr>
        <w:t xml:space="preserve"> De consénsu evangelist.</w:t>
      </w:r>
      <w:r>
        <w:rPr>
          <w:rStyle w:val="italicus"/>
        </w:rPr>
        <w:t xml:space="preserve">, </w:t>
      </w:r>
      <w:r w:rsidRPr="00362CA4">
        <w:t>I, 2, 4.</w:t>
      </w:r>
    </w:p>
  </w:footnote>
  <w:footnote w:id="249">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Histórica</w:t>
      </w:r>
      <w:r>
        <w:rPr>
          <w:rStyle w:val="italicus"/>
        </w:rPr>
        <w:t xml:space="preserve"> et crít</w:t>
      </w:r>
      <w:r w:rsidRPr="00DC4586">
        <w:rPr>
          <w:rStyle w:val="italicus"/>
        </w:rPr>
        <w:t>ica Introdúctio in u</w:t>
      </w:r>
      <w:r>
        <w:rPr>
          <w:rStyle w:val="italicus"/>
        </w:rPr>
        <w:t>t</w:t>
      </w:r>
      <w:r w:rsidRPr="00DC4586">
        <w:rPr>
          <w:rStyle w:val="italicus"/>
        </w:rPr>
        <w:t>ri</w:t>
      </w:r>
      <w:r>
        <w:rPr>
          <w:rStyle w:val="italicus"/>
        </w:rPr>
        <w:t>ú</w:t>
      </w:r>
      <w:r w:rsidRPr="00DC4586">
        <w:rPr>
          <w:rStyle w:val="italicus"/>
        </w:rPr>
        <w:t>sque Testaménti libros sacros</w:t>
      </w:r>
      <w:r>
        <w:rPr>
          <w:rStyle w:val="italicus"/>
        </w:rPr>
        <w:t xml:space="preserve">, </w:t>
      </w:r>
      <w:r w:rsidRPr="00C8701B">
        <w:rPr>
          <w:rFonts w:eastAsia="Arial Unicode MS"/>
          <w:bCs/>
          <w:lang w:eastAsia="fr-FR" w:bidi="he-IL"/>
        </w:rPr>
        <w:t>t. III</w:t>
      </w:r>
      <w:r>
        <w:rPr>
          <w:rFonts w:eastAsia="Arial Unicode MS"/>
          <w:bCs/>
          <w:lang w:eastAsia="fr-FR" w:bidi="he-IL"/>
        </w:rPr>
        <w:t xml:space="preserve">, </w:t>
      </w:r>
      <w:r w:rsidRPr="00C8701B">
        <w:rPr>
          <w:rFonts w:eastAsia="Arial Unicode MS"/>
          <w:bCs/>
          <w:lang w:eastAsia="fr-FR" w:bidi="he-IL"/>
        </w:rPr>
        <w:t>p. 183. Les mots soulignés l’ont été par l’auteur lui-même.</w:t>
      </w:r>
    </w:p>
  </w:footnote>
  <w:footnote w:id="250">
    <w:p w:rsidR="00941AA6" w:rsidRPr="00933C60" w:rsidRDefault="00941AA6" w:rsidP="001A4F8D">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 xml:space="preserve">Voyez les pages </w:t>
      </w:r>
      <w:r w:rsidR="00691E6B">
        <w:rPr>
          <w:rFonts w:eastAsia="Arial Unicode MS"/>
          <w:bCs/>
          <w:lang w:eastAsia="fr-FR" w:bidi="he-IL"/>
        </w:rPr>
        <w:fldChar w:fldCharType="begin"/>
      </w:r>
      <w:r w:rsidR="001A4F8D">
        <w:rPr>
          <w:rFonts w:eastAsia="Arial Unicode MS"/>
          <w:bCs/>
          <w:lang w:eastAsia="fr-FR" w:bidi="he-IL"/>
        </w:rPr>
        <w:instrText xml:space="preserve"> PAGEREF evin07020401 \h </w:instrText>
      </w:r>
      <w:r w:rsidR="00691E6B">
        <w:rPr>
          <w:rFonts w:eastAsia="Arial Unicode MS"/>
          <w:bCs/>
          <w:lang w:eastAsia="fr-FR" w:bidi="he-IL"/>
        </w:rPr>
      </w:r>
      <w:r w:rsidR="00691E6B">
        <w:rPr>
          <w:rFonts w:eastAsia="Arial Unicode MS"/>
          <w:bCs/>
          <w:lang w:eastAsia="fr-FR" w:bidi="he-IL"/>
        </w:rPr>
        <w:fldChar w:fldCharType="separate"/>
      </w:r>
      <w:r w:rsidR="00635395">
        <w:rPr>
          <w:rFonts w:eastAsia="Arial Unicode MS"/>
          <w:bCs/>
          <w:noProof/>
          <w:lang w:eastAsia="fr-FR" w:bidi="he-IL"/>
        </w:rPr>
        <w:t>33</w:t>
      </w:r>
      <w:r w:rsidR="00691E6B">
        <w:rPr>
          <w:rFonts w:eastAsia="Arial Unicode MS"/>
          <w:bCs/>
          <w:lang w:eastAsia="fr-FR" w:bidi="he-IL"/>
        </w:rPr>
        <w:fldChar w:fldCharType="end"/>
      </w:r>
      <w:r w:rsidR="001A4F8D">
        <w:rPr>
          <w:rFonts w:eastAsia="Arial Unicode MS"/>
          <w:bCs/>
          <w:lang w:eastAsia="fr-FR" w:bidi="he-IL"/>
        </w:rPr>
        <w:t>-</w:t>
      </w:r>
      <w:r w:rsidR="00691E6B">
        <w:rPr>
          <w:rFonts w:eastAsia="Arial Unicode MS"/>
          <w:bCs/>
          <w:lang w:eastAsia="fr-FR" w:bidi="he-IL"/>
        </w:rPr>
        <w:fldChar w:fldCharType="begin"/>
      </w:r>
      <w:r w:rsidR="001A4F8D">
        <w:rPr>
          <w:rFonts w:eastAsia="Arial Unicode MS"/>
          <w:bCs/>
          <w:lang w:eastAsia="fr-FR" w:bidi="he-IL"/>
        </w:rPr>
        <w:instrText xml:space="preserve"> PAGEREF evin07020402 \h </w:instrText>
      </w:r>
      <w:r w:rsidR="00691E6B">
        <w:rPr>
          <w:rFonts w:eastAsia="Arial Unicode MS"/>
          <w:bCs/>
          <w:lang w:eastAsia="fr-FR" w:bidi="he-IL"/>
        </w:rPr>
      </w:r>
      <w:r w:rsidR="00691E6B">
        <w:rPr>
          <w:rFonts w:eastAsia="Arial Unicode MS"/>
          <w:bCs/>
          <w:lang w:eastAsia="fr-FR" w:bidi="he-IL"/>
        </w:rPr>
        <w:fldChar w:fldCharType="separate"/>
      </w:r>
      <w:r w:rsidR="00635395">
        <w:rPr>
          <w:rFonts w:eastAsia="Arial Unicode MS"/>
          <w:bCs/>
          <w:noProof/>
          <w:lang w:eastAsia="fr-FR" w:bidi="he-IL"/>
        </w:rPr>
        <w:t>35</w:t>
      </w:r>
      <w:r w:rsidR="00691E6B">
        <w:rPr>
          <w:rFonts w:eastAsia="Arial Unicode MS"/>
          <w:bCs/>
          <w:lang w:eastAsia="fr-FR" w:bidi="he-IL"/>
        </w:rPr>
        <w:fldChar w:fldCharType="end"/>
      </w:r>
      <w:r>
        <w:rPr>
          <w:rFonts w:eastAsia="Arial Unicode MS"/>
          <w:bCs/>
          <w:lang w:eastAsia="fr-FR" w:bidi="he-IL"/>
        </w:rPr>
        <w:t>[</w:t>
      </w:r>
      <w:r w:rsidRPr="00C8701B">
        <w:rPr>
          <w:rFonts w:eastAsia="Arial Unicode MS"/>
          <w:bCs/>
          <w:lang w:eastAsia="fr-FR" w:bidi="he-IL"/>
        </w:rPr>
        <w:t>41-43</w:t>
      </w:r>
      <w:r>
        <w:rPr>
          <w:rFonts w:eastAsia="Arial Unicode MS"/>
          <w:bCs/>
          <w:lang w:eastAsia="fr-FR" w:bidi="he-IL"/>
        </w:rPr>
        <w:t>]</w:t>
      </w:r>
      <w:r w:rsidRPr="00C8701B">
        <w:rPr>
          <w:rFonts w:eastAsia="Arial Unicode MS"/>
          <w:bCs/>
          <w:lang w:eastAsia="fr-FR" w:bidi="he-IL"/>
        </w:rPr>
        <w:t>.</w:t>
      </w:r>
    </w:p>
  </w:footnote>
  <w:footnote w:id="251">
    <w:p w:rsidR="00941AA6" w:rsidRPr="00933C60" w:rsidRDefault="00941AA6">
      <w:pPr>
        <w:pStyle w:val="Notedebasdepage"/>
      </w:pPr>
      <w:r w:rsidRPr="00C406FF">
        <w:rPr>
          <w:rStyle w:val="Appelnotedebasdep"/>
        </w:rPr>
        <w:footnoteRef/>
      </w:r>
      <w:r>
        <w:rPr>
          <w:bCs/>
          <w:lang w:eastAsia="fr-FR"/>
        </w:rPr>
        <w:t xml:space="preserve"> </w:t>
      </w:r>
      <w:r w:rsidRPr="00C8701B">
        <w:rPr>
          <w:bCs/>
          <w:lang w:eastAsia="fr-FR"/>
        </w:rPr>
        <w:t>Voyez nos introductions particulières aux trois premiers évangiles.</w:t>
      </w:r>
    </w:p>
  </w:footnote>
  <w:footnote w:id="252">
    <w:p w:rsidR="00941AA6" w:rsidRPr="00933C60" w:rsidRDefault="00941AA6">
      <w:pPr>
        <w:pStyle w:val="Notedebasdepage"/>
      </w:pPr>
      <w:r w:rsidRPr="00C406FF">
        <w:rPr>
          <w:rStyle w:val="Appelnotedebasdep"/>
        </w:rPr>
        <w:footnoteRef/>
      </w:r>
      <w:r>
        <w:rPr>
          <w:rFonts w:eastAsia="Arial Unicode MS"/>
          <w:bCs/>
          <w:lang w:eastAsia="fr-FR" w:bidi="he-IL"/>
        </w:rPr>
        <w:t xml:space="preserve"> </w:t>
      </w:r>
      <w:r w:rsidRPr="00C8701B">
        <w:rPr>
          <w:rFonts w:eastAsia="Arial Unicode MS"/>
          <w:bCs/>
          <w:lang w:eastAsia="fr-FR" w:bidi="he-IL"/>
        </w:rPr>
        <w:t>A. Réville</w:t>
      </w:r>
      <w:r>
        <w:rPr>
          <w:rFonts w:eastAsia="Arial Unicode MS"/>
          <w:bCs/>
          <w:lang w:eastAsia="fr-FR" w:bidi="he-IL"/>
        </w:rPr>
        <w:t xml:space="preserve">, </w:t>
      </w:r>
      <w:r>
        <w:rPr>
          <w:rStyle w:val="italicus"/>
        </w:rPr>
        <w:t>Étude</w:t>
      </w:r>
      <w:r w:rsidRPr="00DC4586">
        <w:rPr>
          <w:rStyle w:val="italicus"/>
        </w:rPr>
        <w:t>s critiques sur l’Évangile selon S. Matthieu</w:t>
      </w:r>
      <w:r>
        <w:rPr>
          <w:rStyle w:val="italicus"/>
        </w:rPr>
        <w:t xml:space="preserve">, </w:t>
      </w:r>
      <w:r w:rsidRPr="00BF30A1">
        <w:t>p. 151 et 83.</w:t>
      </w:r>
    </w:p>
  </w:footnote>
  <w:footnote w:id="253">
    <w:p w:rsidR="00941AA6" w:rsidRPr="00933C60" w:rsidRDefault="00941AA6">
      <w:pPr>
        <w:pStyle w:val="Notedebasdepage"/>
      </w:pPr>
      <w:r w:rsidRPr="00C406FF">
        <w:rPr>
          <w:rStyle w:val="Appelnotedebasdep"/>
        </w:rPr>
        <w:footnoteRef/>
      </w:r>
      <w:r>
        <w:rPr>
          <w:rFonts w:eastAsia="Arial Unicode MS"/>
          <w:bCs/>
          <w:lang w:val="en-US" w:eastAsia="fr-FR" w:bidi="he-IL"/>
        </w:rPr>
        <w:t xml:space="preserve"> </w:t>
      </w:r>
      <w:r w:rsidRPr="00C8701B">
        <w:rPr>
          <w:rFonts w:eastAsia="Arial Unicode MS"/>
          <w:bCs/>
          <w:lang w:val="en-US" w:eastAsia="fr-FR" w:bidi="he-IL"/>
        </w:rPr>
        <w:t>Thomson</w:t>
      </w:r>
      <w:r>
        <w:rPr>
          <w:rFonts w:eastAsia="Arial Unicode MS"/>
          <w:bCs/>
          <w:lang w:val="en-US" w:eastAsia="fr-FR" w:bidi="he-IL"/>
        </w:rPr>
        <w:t xml:space="preserve">, </w:t>
      </w:r>
      <w:r w:rsidRPr="00A74F01">
        <w:rPr>
          <w:rStyle w:val="italicus"/>
          <w:lang w:val="en-US"/>
        </w:rPr>
        <w:t xml:space="preserve">Word, </w:t>
      </w:r>
      <w:r>
        <w:rPr>
          <w:rStyle w:val="italicus"/>
          <w:lang w:val="en-US"/>
        </w:rPr>
        <w:t>Wor</w:t>
      </w:r>
      <w:r w:rsidRPr="00A74F01">
        <w:rPr>
          <w:rStyle w:val="italicus"/>
          <w:lang w:val="en-US"/>
        </w:rPr>
        <w:t>k</w:t>
      </w:r>
      <w:r>
        <w:rPr>
          <w:rStyle w:val="italicus"/>
          <w:lang w:val="en-US"/>
        </w:rPr>
        <w:t xml:space="preserve"> </w:t>
      </w:r>
      <w:r w:rsidRPr="00A74F01">
        <w:rPr>
          <w:rStyle w:val="italicus"/>
          <w:lang w:val="en-US"/>
        </w:rPr>
        <w:t>and Will</w:t>
      </w:r>
      <w:r>
        <w:rPr>
          <w:rStyle w:val="italicus"/>
          <w:lang w:val="en-US"/>
        </w:rPr>
        <w:t>,</w:t>
      </w:r>
      <w:r w:rsidRPr="00C8701B">
        <w:rPr>
          <w:rFonts w:eastAsia="Arial Unicode MS"/>
          <w:bCs/>
          <w:lang w:val="en-US" w:eastAsia="fr-FR" w:bidi="he-IL"/>
        </w:rPr>
        <w:t xml:space="preserve"> p. 21.</w:t>
      </w:r>
    </w:p>
  </w:footnote>
  <w:footnote w:id="254">
    <w:p w:rsidR="00941AA6" w:rsidRPr="00933C60" w:rsidRDefault="00941AA6">
      <w:pPr>
        <w:pStyle w:val="Notedebasdepage"/>
      </w:pPr>
      <w:r w:rsidRPr="00C406FF">
        <w:rPr>
          <w:rStyle w:val="Appelnotedebasdep"/>
        </w:rPr>
        <w:footnoteRef/>
      </w:r>
      <w:r>
        <w:rPr>
          <w:rFonts w:eastAsia="Arial Unicode MS"/>
          <w:bCs/>
          <w:lang w:eastAsia="fr-FR" w:bidi="he-IL"/>
        </w:rPr>
        <w:t xml:space="preserve"> </w:t>
      </w:r>
      <w:r w:rsidRPr="00DC4586">
        <w:rPr>
          <w:rStyle w:val="italicus"/>
        </w:rPr>
        <w:t>Ibid.</w:t>
      </w:r>
      <w:r>
        <w:rPr>
          <w:rStyle w:val="italicus"/>
        </w:rPr>
        <w:t xml:space="preserve">, </w:t>
      </w:r>
      <w:r w:rsidRPr="00C8701B">
        <w:rPr>
          <w:rFonts w:eastAsia="Arial Unicode MS"/>
          <w:bCs/>
          <w:lang w:eastAsia="fr-FR" w:bidi="he-IL"/>
        </w:rPr>
        <w:t>p. 19.</w:t>
      </w:r>
    </w:p>
  </w:footnote>
  <w:footnote w:id="255">
    <w:p w:rsidR="00941AA6" w:rsidRPr="00933C60" w:rsidRDefault="00941AA6">
      <w:pPr>
        <w:pStyle w:val="Notedebasdepage"/>
      </w:pPr>
      <w:r w:rsidRPr="00C406FF">
        <w:rPr>
          <w:rStyle w:val="Appelnotedebasdep"/>
        </w:rPr>
        <w:footnoteRef/>
      </w:r>
      <w:r>
        <w:rPr>
          <w:rFonts w:eastAsia="Arial Unicode MS"/>
          <w:bCs/>
          <w:lang w:eastAsia="fr-FR" w:bidi="he-IL"/>
        </w:rPr>
        <w:t xml:space="preserve"> </w:t>
      </w:r>
      <w:r w:rsidRPr="00C8701B">
        <w:rPr>
          <w:rFonts w:eastAsia="Arial Unicode MS"/>
          <w:bCs/>
          <w:lang w:eastAsia="fr-FR" w:bidi="he-IL"/>
        </w:rPr>
        <w:t>De Pressensé</w:t>
      </w:r>
      <w:r>
        <w:rPr>
          <w:rFonts w:eastAsia="Arial Unicode MS"/>
          <w:bCs/>
          <w:lang w:eastAsia="fr-FR" w:bidi="he-IL"/>
        </w:rPr>
        <w:t xml:space="preserve">, </w:t>
      </w:r>
      <w:r w:rsidRPr="00DC4586">
        <w:rPr>
          <w:rStyle w:val="italicus"/>
        </w:rPr>
        <w:t>Jésus-Christ</w:t>
      </w:r>
      <w:r>
        <w:rPr>
          <w:rStyle w:val="italicus"/>
        </w:rPr>
        <w:t xml:space="preserve">, </w:t>
      </w:r>
      <w:r w:rsidRPr="00DC4586">
        <w:rPr>
          <w:rStyle w:val="italicus"/>
        </w:rPr>
        <w:t>son temps</w:t>
      </w:r>
      <w:r>
        <w:rPr>
          <w:rStyle w:val="italicus"/>
        </w:rPr>
        <w:t xml:space="preserve">, </w:t>
      </w:r>
      <w:r w:rsidRPr="00DC4586">
        <w:rPr>
          <w:rStyle w:val="italicus"/>
        </w:rPr>
        <w:t>sa vie</w:t>
      </w:r>
      <w:r>
        <w:rPr>
          <w:rStyle w:val="italicus"/>
        </w:rPr>
        <w:t xml:space="preserve">, </w:t>
      </w:r>
      <w:r w:rsidRPr="00DC4586">
        <w:rPr>
          <w:rStyle w:val="italicus"/>
        </w:rPr>
        <w:t>son œuvre</w:t>
      </w:r>
      <w:r>
        <w:rPr>
          <w:rStyle w:val="italicus"/>
        </w:rPr>
        <w:t xml:space="preserve">, </w:t>
      </w:r>
      <w:r w:rsidRPr="00C8701B">
        <w:rPr>
          <w:rFonts w:eastAsia="Arial Unicode MS"/>
          <w:bCs/>
          <w:lang w:eastAsia="fr-FR" w:bidi="he-IL"/>
        </w:rPr>
        <w:t xml:space="preserve">p. 180 et suiv. de la </w:t>
      </w:r>
      <w:r>
        <w:rPr>
          <w:rFonts w:eastAsia="Arial Unicode MS"/>
          <w:bCs/>
          <w:lang w:eastAsia="fr-FR" w:bidi="he-IL"/>
        </w:rPr>
        <w:t>1</w:t>
      </w:r>
      <w:r w:rsidRPr="00BF30A1">
        <w:rPr>
          <w:rFonts w:eastAsia="Arial Unicode MS"/>
          <w:bCs/>
          <w:vertAlign w:val="superscript"/>
          <w:lang w:eastAsia="fr-FR" w:bidi="he-IL"/>
        </w:rPr>
        <w:t>re</w:t>
      </w:r>
      <w:r>
        <w:rPr>
          <w:rFonts w:eastAsia="Arial Unicode MS"/>
          <w:bCs/>
          <w:lang w:eastAsia="fr-FR" w:bidi="he-IL"/>
        </w:rPr>
        <w:t xml:space="preserve"> </w:t>
      </w:r>
      <w:r w:rsidRPr="00C8701B">
        <w:rPr>
          <w:rFonts w:eastAsia="Arial Unicode MS"/>
          <w:bCs/>
          <w:lang w:eastAsia="fr-FR" w:bidi="he-IL"/>
        </w:rPr>
        <w:t xml:space="preserve">édition. </w:t>
      </w:r>
      <w:r w:rsidRPr="00C8701B">
        <w:rPr>
          <w:rFonts w:eastAsia="Arial Unicode MS"/>
          <w:bCs/>
          <w:lang w:val="en-US" w:eastAsia="fr-FR" w:bidi="he-IL"/>
        </w:rPr>
        <w:t>Cf. Westcott</w:t>
      </w:r>
      <w:r>
        <w:rPr>
          <w:rFonts w:eastAsia="Arial Unicode MS"/>
          <w:bCs/>
          <w:lang w:val="en-US" w:eastAsia="fr-FR" w:bidi="he-IL"/>
        </w:rPr>
        <w:t xml:space="preserve">, </w:t>
      </w:r>
      <w:r w:rsidRPr="00A74F01">
        <w:rPr>
          <w:rStyle w:val="italicus"/>
          <w:lang w:val="en-US"/>
        </w:rPr>
        <w:t xml:space="preserve">An Introduction to the Study of the Gospels, </w:t>
      </w:r>
      <w:r w:rsidRPr="00BF30A1">
        <w:rPr>
          <w:lang w:val="en-GB"/>
        </w:rPr>
        <w:t>5</w:t>
      </w:r>
      <w:r w:rsidRPr="00BF30A1">
        <w:rPr>
          <w:vertAlign w:val="superscript"/>
          <w:lang w:val="en-GB"/>
        </w:rPr>
        <w:t>e</w:t>
      </w:r>
      <w:r w:rsidRPr="00BF30A1">
        <w:rPr>
          <w:lang w:val="en-GB"/>
        </w:rPr>
        <w:t xml:space="preserve"> </w:t>
      </w:r>
      <w:r w:rsidRPr="00C8701B">
        <w:rPr>
          <w:rFonts w:eastAsia="Arial Unicode MS"/>
          <w:bCs/>
          <w:lang w:val="en-US" w:eastAsia="fr-FR" w:bidi="he-IL"/>
        </w:rPr>
        <w:t>édit.</w:t>
      </w:r>
      <w:r>
        <w:rPr>
          <w:rFonts w:eastAsia="Arial Unicode MS"/>
          <w:bCs/>
          <w:lang w:val="en-US" w:eastAsia="fr-FR" w:bidi="he-IL"/>
        </w:rPr>
        <w:t xml:space="preserve">, </w:t>
      </w:r>
      <w:r w:rsidRPr="00C8701B">
        <w:rPr>
          <w:rFonts w:eastAsia="Arial Unicode MS"/>
          <w:bCs/>
          <w:lang w:val="en-US" w:eastAsia="fr-FR" w:bidi="he-IL"/>
        </w:rPr>
        <w:t xml:space="preserve">p. 197. </w:t>
      </w:r>
      <w:r w:rsidRPr="00C8701B">
        <w:rPr>
          <w:rFonts w:eastAsia="Arial Unicode MS"/>
          <w:bCs/>
          <w:lang w:eastAsia="fr-FR" w:bidi="he-IL"/>
        </w:rPr>
        <w:t>« </w:t>
      </w:r>
      <w:r>
        <w:rPr>
          <w:rFonts w:eastAsia="Arial Unicode MS"/>
          <w:bCs/>
          <w:lang w:eastAsia="fr-FR" w:bidi="he-IL"/>
        </w:rPr>
        <w:t>On a parcouru l</w:t>
      </w:r>
      <w:r w:rsidRPr="00C8701B">
        <w:rPr>
          <w:rFonts w:eastAsia="Arial Unicode MS"/>
          <w:bCs/>
          <w:lang w:eastAsia="fr-FR" w:bidi="he-IL"/>
        </w:rPr>
        <w:t>e cercle des six hypothèses possibles</w:t>
      </w:r>
      <w:r>
        <w:rPr>
          <w:rFonts w:eastAsia="Arial Unicode MS"/>
          <w:bCs/>
          <w:lang w:eastAsia="fr-FR" w:bidi="he-IL"/>
        </w:rPr>
        <w:t>, en donna</w:t>
      </w:r>
      <w:r w:rsidRPr="00C8701B">
        <w:rPr>
          <w:rFonts w:eastAsia="Arial Unicode MS"/>
          <w:bCs/>
          <w:lang w:eastAsia="fr-FR" w:bidi="he-IL"/>
        </w:rPr>
        <w:t>nt la priorité absolue ou relative</w:t>
      </w:r>
      <w:r>
        <w:rPr>
          <w:rFonts w:eastAsia="Arial Unicode MS"/>
          <w:bCs/>
          <w:lang w:eastAsia="fr-FR" w:bidi="he-IL"/>
        </w:rPr>
        <w:t>, tant</w:t>
      </w:r>
      <w:r w:rsidRPr="00C8701B">
        <w:rPr>
          <w:rFonts w:eastAsia="Arial Unicode MS"/>
          <w:bCs/>
          <w:lang w:eastAsia="fr-FR" w:bidi="he-IL"/>
        </w:rPr>
        <w:t>ôt à l’un</w:t>
      </w:r>
      <w:r>
        <w:rPr>
          <w:rFonts w:eastAsia="Arial Unicode MS"/>
          <w:bCs/>
          <w:lang w:eastAsia="fr-FR" w:bidi="he-IL"/>
        </w:rPr>
        <w:t xml:space="preserve">, </w:t>
      </w:r>
      <w:r w:rsidRPr="00C8701B">
        <w:rPr>
          <w:rFonts w:eastAsia="Arial Unicode MS"/>
          <w:bCs/>
          <w:lang w:eastAsia="fr-FR" w:bidi="he-IL"/>
        </w:rPr>
        <w:t>tantôt à l’autre</w:t>
      </w:r>
      <w:r>
        <w:rPr>
          <w:rFonts w:eastAsia="Arial Unicode MS"/>
          <w:bCs/>
          <w:lang w:eastAsia="fr-FR" w:bidi="he-IL"/>
        </w:rPr>
        <w:t xml:space="preserve">, </w:t>
      </w:r>
      <w:r w:rsidRPr="00C8701B">
        <w:rPr>
          <w:rFonts w:eastAsia="Arial Unicode MS"/>
          <w:bCs/>
          <w:lang w:eastAsia="fr-FR" w:bidi="he-IL"/>
        </w:rPr>
        <w:t xml:space="preserve">sans arriver à une </w:t>
      </w:r>
      <w:r w:rsidRPr="00BF30A1">
        <w:t xml:space="preserve">conclusion satisfaisante ; et ce que l’on trouve </w:t>
      </w:r>
      <w:r w:rsidRPr="00C8701B">
        <w:rPr>
          <w:rFonts w:eastAsia="Arial Unicode MS"/>
          <w:bCs/>
          <w:lang w:eastAsia="fr-FR" w:bidi="he-IL"/>
        </w:rPr>
        <w:t>de plus incontestable dans la masse des arguments exposés</w:t>
      </w:r>
      <w:r>
        <w:rPr>
          <w:rFonts w:eastAsia="Arial Unicode MS"/>
          <w:bCs/>
          <w:lang w:eastAsia="fr-FR" w:bidi="he-IL"/>
        </w:rPr>
        <w:t xml:space="preserve">, </w:t>
      </w:r>
      <w:r w:rsidRPr="00C8701B">
        <w:rPr>
          <w:rFonts w:eastAsia="Arial Unicode MS"/>
          <w:bCs/>
          <w:lang w:eastAsia="fr-FR" w:bidi="he-IL"/>
        </w:rPr>
        <w:t xml:space="preserve">c’est qu’impitoyablement ils se ruinent les uns les autres. » Le </w:t>
      </w:r>
      <w:r>
        <w:rPr>
          <w:rFonts w:eastAsia="Arial Unicode MS"/>
          <w:bCs/>
          <w:lang w:eastAsia="fr-FR" w:bidi="he-IL"/>
        </w:rPr>
        <w:t xml:space="preserve">Camus, </w:t>
      </w:r>
      <w:r w:rsidRPr="00DC4586">
        <w:rPr>
          <w:rStyle w:val="italicus"/>
        </w:rPr>
        <w:t xml:space="preserve">Vie de N.-S. Jésus-Christ </w:t>
      </w:r>
      <w:r>
        <w:rPr>
          <w:rFonts w:eastAsia="Arial Unicode MS"/>
          <w:bCs/>
          <w:lang w:eastAsia="fr-FR" w:bidi="he-IL"/>
        </w:rPr>
        <w:t>2</w:t>
      </w:r>
      <w:r w:rsidRPr="00BF30A1">
        <w:rPr>
          <w:rFonts w:eastAsia="Arial Unicode MS"/>
          <w:bCs/>
          <w:vertAlign w:val="superscript"/>
          <w:lang w:eastAsia="fr-FR" w:bidi="he-IL"/>
        </w:rPr>
        <w:t>e</w:t>
      </w:r>
      <w:r>
        <w:rPr>
          <w:rFonts w:eastAsia="Arial Unicode MS"/>
          <w:bCs/>
          <w:lang w:eastAsia="fr-FR" w:bidi="he-IL"/>
        </w:rPr>
        <w:t xml:space="preserve"> é</w:t>
      </w:r>
      <w:r w:rsidRPr="00C8701B">
        <w:rPr>
          <w:rFonts w:eastAsia="Arial Unicode MS"/>
          <w:bCs/>
          <w:lang w:eastAsia="fr-FR" w:bidi="he-IL"/>
        </w:rPr>
        <w:t>dit.</w:t>
      </w:r>
      <w:r>
        <w:rPr>
          <w:rFonts w:eastAsia="Arial Unicode MS"/>
          <w:bCs/>
          <w:lang w:eastAsia="fr-FR" w:bidi="he-IL"/>
        </w:rPr>
        <w:t xml:space="preserve">, </w:t>
      </w:r>
      <w:r w:rsidRPr="00C8701B">
        <w:rPr>
          <w:rFonts w:eastAsia="Arial Unicode MS"/>
          <w:bCs/>
          <w:lang w:eastAsia="fr-FR" w:bidi="he-IL"/>
        </w:rPr>
        <w:t>t. I</w:t>
      </w:r>
      <w:r>
        <w:rPr>
          <w:rFonts w:eastAsia="Arial Unicode MS"/>
          <w:bCs/>
          <w:lang w:eastAsia="fr-FR" w:bidi="he-IL"/>
        </w:rPr>
        <w:t xml:space="preserve">, </w:t>
      </w:r>
      <w:r w:rsidRPr="00C8701B">
        <w:rPr>
          <w:rFonts w:eastAsia="Arial Unicode MS"/>
          <w:bCs/>
          <w:lang w:eastAsia="fr-FR" w:bidi="he-IL"/>
        </w:rPr>
        <w:t>p. 36.</w:t>
      </w:r>
    </w:p>
  </w:footnote>
  <w:footnote w:id="256">
    <w:p w:rsidR="00941AA6" w:rsidRPr="00933C60" w:rsidRDefault="00941AA6" w:rsidP="00362CA4">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Godet</w:t>
      </w:r>
      <w:r>
        <w:rPr>
          <w:rFonts w:eastAsia="Arial Unicode MS"/>
          <w:bCs/>
          <w:lang w:eastAsia="fr-FR" w:bidi="he-IL"/>
        </w:rPr>
        <w:t xml:space="preserve">, </w:t>
      </w:r>
      <w:r>
        <w:rPr>
          <w:rStyle w:val="italicus"/>
        </w:rPr>
        <w:t>Commentaire sur l’</w:t>
      </w:r>
      <w:r w:rsidRPr="00DC4586">
        <w:rPr>
          <w:rStyle w:val="italicus"/>
        </w:rPr>
        <w:t>Évangile de S</w:t>
      </w:r>
      <w:r>
        <w:rPr>
          <w:rStyle w:val="italicus"/>
        </w:rPr>
        <w:t xml:space="preserve">. </w:t>
      </w:r>
      <w:r w:rsidRPr="00DC4586">
        <w:rPr>
          <w:rStyle w:val="italicus"/>
        </w:rPr>
        <w:t>Luc</w:t>
      </w:r>
      <w:r>
        <w:rPr>
          <w:rStyle w:val="italicus"/>
        </w:rPr>
        <w:t xml:space="preserve">, </w:t>
      </w:r>
      <w:r w:rsidRPr="00C8701B">
        <w:rPr>
          <w:rFonts w:eastAsia="Arial Unicode MS"/>
          <w:bCs/>
          <w:lang w:eastAsia="fr-FR" w:bidi="he-IL"/>
        </w:rPr>
        <w:t>t II</w:t>
      </w:r>
      <w:r>
        <w:rPr>
          <w:rFonts w:eastAsia="Arial Unicode MS"/>
          <w:bCs/>
          <w:lang w:eastAsia="fr-FR" w:bidi="he-IL"/>
        </w:rPr>
        <w:t xml:space="preserve">, </w:t>
      </w:r>
      <w:r w:rsidRPr="00C8701B">
        <w:rPr>
          <w:rFonts w:eastAsia="Arial Unicode MS"/>
          <w:bCs/>
          <w:lang w:eastAsia="fr-FR" w:bidi="he-IL"/>
        </w:rPr>
        <w:t>p. 534 de</w:t>
      </w:r>
      <w:r>
        <w:rPr>
          <w:rFonts w:eastAsia="Arial Unicode MS"/>
          <w:bCs/>
          <w:lang w:eastAsia="fr-FR" w:bidi="he-IL"/>
        </w:rPr>
        <w:t xml:space="preserve"> la</w:t>
      </w:r>
      <w:r w:rsidRPr="00C8701B">
        <w:rPr>
          <w:rFonts w:eastAsia="Arial Unicode MS"/>
          <w:bCs/>
          <w:lang w:eastAsia="fr-FR" w:bidi="he-IL"/>
        </w:rPr>
        <w:t xml:space="preserve"> </w:t>
      </w:r>
      <w:r>
        <w:rPr>
          <w:rFonts w:eastAsia="Arial Unicode MS"/>
          <w:bCs/>
          <w:lang w:eastAsia="fr-FR" w:bidi="he-IL"/>
        </w:rPr>
        <w:t>2</w:t>
      </w:r>
      <w:r w:rsidRPr="00BF30A1">
        <w:rPr>
          <w:rFonts w:eastAsia="Arial Unicode MS"/>
          <w:bCs/>
          <w:vertAlign w:val="superscript"/>
          <w:lang w:eastAsia="fr-FR" w:bidi="he-IL"/>
        </w:rPr>
        <w:t>e</w:t>
      </w:r>
      <w:r>
        <w:rPr>
          <w:rFonts w:eastAsia="Arial Unicode MS"/>
          <w:bCs/>
          <w:lang w:eastAsia="fr-FR" w:bidi="he-IL"/>
        </w:rPr>
        <w:t xml:space="preserve"> é</w:t>
      </w:r>
      <w:r w:rsidRPr="00C8701B">
        <w:rPr>
          <w:rFonts w:eastAsia="Arial Unicode MS"/>
          <w:bCs/>
          <w:lang w:eastAsia="fr-FR" w:bidi="he-IL"/>
        </w:rPr>
        <w:t>dition. « Faut</w:t>
      </w:r>
      <w:r>
        <w:rPr>
          <w:rFonts w:eastAsia="Arial Unicode MS"/>
          <w:bCs/>
          <w:lang w:eastAsia="fr-FR" w:bidi="he-IL"/>
        </w:rPr>
        <w:t>-il supposer que</w:t>
      </w:r>
      <w:r w:rsidRPr="00C8701B">
        <w:rPr>
          <w:rFonts w:eastAsia="Arial Unicode MS"/>
          <w:bCs/>
          <w:lang w:eastAsia="fr-FR" w:bidi="he-IL"/>
        </w:rPr>
        <w:t xml:space="preserve"> saint Marc</w:t>
      </w:r>
      <w:r>
        <w:rPr>
          <w:rFonts w:eastAsia="Arial Unicode MS"/>
          <w:bCs/>
          <w:lang w:eastAsia="fr-FR" w:bidi="he-IL"/>
        </w:rPr>
        <w:t xml:space="preserve">, </w:t>
      </w:r>
      <w:r w:rsidRPr="00C8701B">
        <w:rPr>
          <w:rFonts w:eastAsia="Arial Unicode MS"/>
          <w:bCs/>
          <w:lang w:eastAsia="fr-FR" w:bidi="he-IL"/>
        </w:rPr>
        <w:t>par exemple</w:t>
      </w:r>
      <w:r>
        <w:rPr>
          <w:rFonts w:eastAsia="Arial Unicode MS"/>
          <w:bCs/>
          <w:lang w:eastAsia="fr-FR" w:bidi="he-IL"/>
        </w:rPr>
        <w:t xml:space="preserve">, </w:t>
      </w:r>
      <w:r w:rsidRPr="00C8701B">
        <w:rPr>
          <w:rFonts w:eastAsia="Arial Unicode MS"/>
          <w:bCs/>
          <w:lang w:eastAsia="fr-FR" w:bidi="he-IL"/>
        </w:rPr>
        <w:t>en composant son évangile</w:t>
      </w:r>
      <w:r>
        <w:rPr>
          <w:rFonts w:eastAsia="Arial Unicode MS"/>
          <w:bCs/>
          <w:lang w:eastAsia="fr-FR" w:bidi="he-IL"/>
        </w:rPr>
        <w:t xml:space="preserve">, </w:t>
      </w:r>
      <w:r w:rsidRPr="00C8701B">
        <w:rPr>
          <w:rFonts w:eastAsia="Arial Unicode MS"/>
          <w:bCs/>
          <w:lang w:eastAsia="fr-FR" w:bidi="he-IL"/>
        </w:rPr>
        <w:t>a pris entre ses mains l’évangile de saint Matthieu</w:t>
      </w:r>
      <w:r>
        <w:rPr>
          <w:rFonts w:eastAsia="Arial Unicode MS"/>
          <w:bCs/>
          <w:lang w:eastAsia="fr-FR" w:bidi="he-IL"/>
        </w:rPr>
        <w:t xml:space="preserve">, </w:t>
      </w:r>
      <w:r w:rsidRPr="00C8701B">
        <w:rPr>
          <w:rFonts w:eastAsia="Arial Unicode MS"/>
          <w:bCs/>
          <w:lang w:eastAsia="fr-FR" w:bidi="he-IL"/>
        </w:rPr>
        <w:t>qu’il a ici laissé le texte intact</w:t>
      </w:r>
      <w:r>
        <w:rPr>
          <w:rFonts w:eastAsia="Arial Unicode MS"/>
          <w:bCs/>
          <w:lang w:eastAsia="fr-FR" w:bidi="he-IL"/>
        </w:rPr>
        <w:t xml:space="preserve">, </w:t>
      </w:r>
      <w:r w:rsidRPr="00C8701B">
        <w:rPr>
          <w:rFonts w:eastAsia="Arial Unicode MS"/>
          <w:bCs/>
          <w:lang w:eastAsia="fr-FR" w:bidi="he-IL"/>
        </w:rPr>
        <w:t>que là il a effacé et plus loin ajouté suivant l’opportunité ? J’a</w:t>
      </w:r>
      <w:r>
        <w:rPr>
          <w:rFonts w:eastAsia="Arial Unicode MS"/>
          <w:bCs/>
          <w:lang w:eastAsia="fr-FR" w:bidi="he-IL"/>
        </w:rPr>
        <w:t>i peine à supposer ce travail de</w:t>
      </w:r>
      <w:r w:rsidRPr="00C8701B">
        <w:rPr>
          <w:rFonts w:eastAsia="Arial Unicode MS"/>
          <w:bCs/>
          <w:lang w:eastAsia="fr-FR" w:bidi="he-IL"/>
        </w:rPr>
        <w:t xml:space="preserve"> révision </w:t>
      </w:r>
      <w:r>
        <w:rPr>
          <w:rFonts w:eastAsia="Arial Unicode MS"/>
          <w:bCs/>
          <w:lang w:eastAsia="fr-FR" w:bidi="he-IL"/>
        </w:rPr>
        <w:t xml:space="preserve">; </w:t>
      </w:r>
      <w:r w:rsidRPr="00C8701B">
        <w:rPr>
          <w:rFonts w:eastAsia="Arial Unicode MS"/>
          <w:bCs/>
          <w:lang w:eastAsia="fr-FR" w:bidi="he-IL"/>
        </w:rPr>
        <w:t>et si les additions ne me répugnent point</w:t>
      </w:r>
      <w:r>
        <w:rPr>
          <w:rFonts w:eastAsia="Arial Unicode MS"/>
          <w:bCs/>
          <w:lang w:eastAsia="fr-FR" w:bidi="he-IL"/>
        </w:rPr>
        <w:t xml:space="preserve">, </w:t>
      </w:r>
      <w:r w:rsidRPr="00C8701B">
        <w:rPr>
          <w:rFonts w:eastAsia="Arial Unicode MS"/>
          <w:bCs/>
          <w:lang w:eastAsia="fr-FR" w:bidi="he-IL"/>
        </w:rPr>
        <w:t>les suppressions m’étonnent. L’intérêt croissant qui s’attachait aux évangiles faisait désirer des additions et non des retranchements ». Mg</w:t>
      </w:r>
      <w:r>
        <w:t>r M</w:t>
      </w:r>
      <w:r w:rsidRPr="00C8701B">
        <w:rPr>
          <w:rFonts w:eastAsia="Arial Unicode MS"/>
          <w:bCs/>
          <w:lang w:eastAsia="fr-FR" w:bidi="he-IL"/>
        </w:rPr>
        <w:t>eignan</w:t>
      </w:r>
      <w:r>
        <w:rPr>
          <w:rFonts w:eastAsia="Arial Unicode MS"/>
          <w:bCs/>
          <w:lang w:eastAsia="fr-FR" w:bidi="he-IL"/>
        </w:rPr>
        <w:t xml:space="preserve">, </w:t>
      </w:r>
      <w:r w:rsidRPr="00DC4586">
        <w:rPr>
          <w:rStyle w:val="italicus"/>
        </w:rPr>
        <w:t>Les Évangiles et la critique au XIXe siècle</w:t>
      </w:r>
      <w:r>
        <w:rPr>
          <w:rStyle w:val="italicus"/>
        </w:rPr>
        <w:t xml:space="preserve">, </w:t>
      </w:r>
      <w:r w:rsidRPr="00C8701B">
        <w:rPr>
          <w:rFonts w:eastAsia="Arial Unicode MS"/>
          <w:bCs/>
          <w:lang w:eastAsia="fr-FR" w:bidi="he-IL"/>
        </w:rPr>
        <w:t>1864</w:t>
      </w:r>
      <w:r>
        <w:rPr>
          <w:rFonts w:eastAsia="Arial Unicode MS"/>
          <w:bCs/>
          <w:lang w:eastAsia="fr-FR" w:bidi="he-IL"/>
        </w:rPr>
        <w:t xml:space="preserve">, </w:t>
      </w:r>
      <w:r w:rsidRPr="00C8701B">
        <w:rPr>
          <w:rFonts w:eastAsia="Arial Unicode MS"/>
          <w:bCs/>
          <w:lang w:eastAsia="fr-FR" w:bidi="he-IL"/>
        </w:rPr>
        <w:t>p. 415.</w:t>
      </w:r>
    </w:p>
  </w:footnote>
  <w:footnote w:id="257">
    <w:p w:rsidR="00941AA6" w:rsidRPr="00933C60" w:rsidRDefault="00941AA6" w:rsidP="00362CA4">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 xml:space="preserve">Le </w:t>
      </w:r>
      <w:r>
        <w:rPr>
          <w:rFonts w:eastAsia="Arial Unicode MS"/>
          <w:bCs/>
          <w:lang w:eastAsia="fr-FR" w:bidi="he-IL"/>
        </w:rPr>
        <w:t xml:space="preserve">Camus, </w:t>
      </w:r>
      <w:r w:rsidRPr="00DC4586">
        <w:rPr>
          <w:rStyle w:val="italicus"/>
        </w:rPr>
        <w:t>loc. cit.</w:t>
      </w:r>
      <w:r>
        <w:rPr>
          <w:rStyle w:val="italicus"/>
        </w:rPr>
        <w:t xml:space="preserve">, </w:t>
      </w:r>
      <w:r w:rsidRPr="00C8701B">
        <w:rPr>
          <w:rFonts w:eastAsia="Arial Unicode MS"/>
          <w:bCs/>
          <w:lang w:eastAsia="fr-FR" w:bidi="he-IL"/>
        </w:rPr>
        <w:t>p. 37.</w:t>
      </w:r>
    </w:p>
  </w:footnote>
  <w:footnote w:id="258">
    <w:p w:rsidR="00941AA6" w:rsidRPr="00933C60" w:rsidRDefault="00941AA6" w:rsidP="00362CA4">
      <w:pPr>
        <w:pStyle w:val="Notedebasdepage"/>
      </w:pPr>
      <w:r w:rsidRPr="00C406FF">
        <w:rPr>
          <w:rStyle w:val="Appelnotedebasdep"/>
        </w:rPr>
        <w:footnoteRef/>
      </w:r>
      <w:r>
        <w:rPr>
          <w:rFonts w:eastAsia="Arial Unicode MS"/>
          <w:bCs/>
          <w:lang w:val="en-US" w:eastAsia="fr-FR" w:bidi="he-IL"/>
        </w:rPr>
        <w:t xml:space="preserve"> </w:t>
      </w:r>
      <w:r w:rsidRPr="00C8701B">
        <w:rPr>
          <w:rFonts w:eastAsia="Arial Unicode MS"/>
          <w:bCs/>
          <w:lang w:val="en-US" w:eastAsia="fr-FR" w:bidi="he-IL"/>
        </w:rPr>
        <w:t>L. Abbott</w:t>
      </w:r>
      <w:r>
        <w:rPr>
          <w:rFonts w:eastAsia="Arial Unicode MS"/>
          <w:bCs/>
          <w:lang w:val="en-US" w:eastAsia="fr-FR" w:bidi="he-IL"/>
        </w:rPr>
        <w:t xml:space="preserve">, </w:t>
      </w:r>
      <w:r w:rsidRPr="00A74F01">
        <w:rPr>
          <w:rStyle w:val="italicus"/>
          <w:lang w:val="en-US"/>
        </w:rPr>
        <w:t xml:space="preserve">Matthew and Mark, </w:t>
      </w:r>
      <w:r w:rsidRPr="00C8701B">
        <w:rPr>
          <w:rFonts w:eastAsia="Arial Unicode MS"/>
          <w:bCs/>
          <w:lang w:val="en-US" w:eastAsia="fr-FR" w:bidi="he-IL"/>
        </w:rPr>
        <w:t>p. 36.</w:t>
      </w:r>
    </w:p>
  </w:footnote>
  <w:footnote w:id="259">
    <w:p w:rsidR="00941AA6" w:rsidRPr="00933C60" w:rsidRDefault="00941AA6" w:rsidP="00362CA4">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 Les copies et les commentaires ne détruisent pas les textes originaux</w:t>
      </w:r>
      <w:r>
        <w:rPr>
          <w:rFonts w:eastAsia="Arial Unicode MS"/>
          <w:bCs/>
          <w:lang w:eastAsia="fr-FR" w:bidi="he-IL"/>
        </w:rPr>
        <w:t>. »</w:t>
      </w:r>
      <w:r w:rsidRPr="00C8701B">
        <w:rPr>
          <w:rFonts w:eastAsia="Arial Unicode MS"/>
          <w:bCs/>
          <w:lang w:eastAsia="fr-FR" w:bidi="he-IL"/>
        </w:rPr>
        <w:t xml:space="preserve"> Mgr. Meignan</w:t>
      </w:r>
      <w:r>
        <w:rPr>
          <w:rFonts w:eastAsia="Arial Unicode MS"/>
          <w:bCs/>
          <w:lang w:eastAsia="fr-FR" w:bidi="he-IL"/>
        </w:rPr>
        <w:t xml:space="preserve">, </w:t>
      </w:r>
      <w:r w:rsidRPr="00C8701B">
        <w:rPr>
          <w:rFonts w:eastAsia="Arial Unicode MS"/>
          <w:bCs/>
          <w:lang w:eastAsia="fr-FR" w:bidi="he-IL"/>
        </w:rPr>
        <w:t>Les</w:t>
      </w:r>
      <w:r w:rsidRPr="00DC4586">
        <w:rPr>
          <w:rStyle w:val="italicus"/>
        </w:rPr>
        <w:t xml:space="preserve"> Évangiles et la critique</w:t>
      </w:r>
      <w:r>
        <w:rPr>
          <w:rStyle w:val="italicus"/>
        </w:rPr>
        <w:t xml:space="preserve">, </w:t>
      </w:r>
      <w:r>
        <w:rPr>
          <w:rFonts w:eastAsia="Arial Unicode MS"/>
          <w:bCs/>
          <w:lang w:eastAsia="fr-FR" w:bidi="he-IL"/>
        </w:rPr>
        <w:t>p. 412 de la 1</w:t>
      </w:r>
      <w:r w:rsidRPr="00BF30A1">
        <w:rPr>
          <w:rFonts w:eastAsia="Arial Unicode MS"/>
          <w:bCs/>
          <w:vertAlign w:val="superscript"/>
          <w:lang w:eastAsia="fr-FR" w:bidi="he-IL"/>
        </w:rPr>
        <w:t>re</w:t>
      </w:r>
      <w:r>
        <w:rPr>
          <w:rFonts w:eastAsia="Arial Unicode MS"/>
          <w:bCs/>
          <w:lang w:eastAsia="fr-FR" w:bidi="he-IL"/>
        </w:rPr>
        <w:t xml:space="preserve"> </w:t>
      </w:r>
      <w:r w:rsidRPr="00C8701B">
        <w:rPr>
          <w:rFonts w:eastAsia="Arial Unicode MS"/>
          <w:bCs/>
          <w:lang w:eastAsia="fr-FR" w:bidi="he-IL"/>
        </w:rPr>
        <w:t>édit.</w:t>
      </w:r>
    </w:p>
  </w:footnote>
  <w:footnote w:id="260">
    <w:p w:rsidR="00941AA6" w:rsidRPr="00933C60" w:rsidRDefault="00941AA6" w:rsidP="00362CA4">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C. Cels.</w:t>
      </w:r>
      <w:r>
        <w:rPr>
          <w:rStyle w:val="italicus"/>
        </w:rPr>
        <w:t xml:space="preserve">, </w:t>
      </w:r>
      <w:r>
        <w:rPr>
          <w:rFonts w:eastAsia="Arial Unicode MS"/>
          <w:bCs/>
          <w:lang w:eastAsia="fr-FR" w:bidi="he-IL"/>
        </w:rPr>
        <w:t xml:space="preserve">II, </w:t>
      </w:r>
      <w:r w:rsidRPr="00C8701B">
        <w:rPr>
          <w:rFonts w:eastAsia="Arial Unicode MS"/>
          <w:bCs/>
          <w:lang w:eastAsia="fr-FR" w:bidi="he-IL"/>
        </w:rPr>
        <w:t>27.</w:t>
      </w:r>
    </w:p>
  </w:footnote>
  <w:footnote w:id="261">
    <w:p w:rsidR="00941AA6" w:rsidRPr="00362CA4" w:rsidRDefault="00941AA6" w:rsidP="00362CA4">
      <w:pPr>
        <w:pStyle w:val="Notedebasdepage"/>
      </w:pPr>
      <w:r w:rsidRPr="00C406FF">
        <w:rPr>
          <w:rStyle w:val="Appelnotedebasdep"/>
        </w:rPr>
        <w:footnoteRef/>
      </w:r>
      <w:r>
        <w:rPr>
          <w:rFonts w:eastAsia="Arial Unicode MS"/>
          <w:lang w:eastAsia="fr-FR" w:bidi="he-IL"/>
        </w:rPr>
        <w:t xml:space="preserve"> </w:t>
      </w:r>
      <w:r w:rsidRPr="00BF30A1">
        <w:rPr>
          <w:rStyle w:val="italicus"/>
        </w:rPr>
        <w:t>Hær.,</w:t>
      </w:r>
      <w:r>
        <w:rPr>
          <w:rFonts w:eastAsia="Arial Unicode MS"/>
          <w:bCs/>
          <w:lang w:eastAsia="fr-FR" w:bidi="he-IL"/>
        </w:rPr>
        <w:t xml:space="preserve"> II, 5</w:t>
      </w:r>
      <w:r w:rsidRPr="00C8701B">
        <w:rPr>
          <w:rFonts w:eastAsia="Arial Unicode MS"/>
          <w:bCs/>
          <w:lang w:eastAsia="fr-FR" w:bidi="he-IL"/>
        </w:rPr>
        <w:t>1</w:t>
      </w:r>
      <w:r>
        <w:rPr>
          <w:rFonts w:eastAsia="Arial Unicode MS"/>
          <w:bCs/>
          <w:lang w:eastAsia="fr-FR" w:bidi="he-IL"/>
        </w:rPr>
        <w:t xml:space="preserve">, </w:t>
      </w:r>
      <w:r w:rsidRPr="00C8701B">
        <w:rPr>
          <w:rFonts w:eastAsia="Arial Unicode MS"/>
          <w:bCs/>
          <w:lang w:eastAsia="fr-FR" w:bidi="he-IL"/>
        </w:rPr>
        <w:t>6.</w:t>
      </w:r>
    </w:p>
  </w:footnote>
  <w:footnote w:id="262">
    <w:p w:rsidR="00941AA6" w:rsidRPr="00933C60" w:rsidRDefault="00941AA6" w:rsidP="00362CA4">
      <w:pPr>
        <w:pStyle w:val="Notedebasdepage"/>
      </w:pPr>
      <w:r w:rsidRPr="00C406FF">
        <w:rPr>
          <w:rStyle w:val="Appelnotedebasdep"/>
        </w:rPr>
        <w:footnoteRef/>
      </w:r>
      <w:r>
        <w:rPr>
          <w:rFonts w:eastAsia="Arial Unicode MS"/>
          <w:bCs/>
          <w:lang w:eastAsia="fr-FR" w:bidi="he-IL"/>
        </w:rPr>
        <w:t xml:space="preserve"> </w:t>
      </w:r>
      <w:r w:rsidRPr="00BF30A1">
        <w:rPr>
          <w:rFonts w:eastAsia="Arial Unicode MS"/>
          <w:bCs/>
          <w:lang w:eastAsia="fr-FR" w:bidi="he-IL"/>
        </w:rPr>
        <w:t xml:space="preserve">Ap. Euseb., </w:t>
      </w:r>
      <w:r w:rsidRPr="00BF30A1">
        <w:rPr>
          <w:rStyle w:val="italicus"/>
        </w:rPr>
        <w:t xml:space="preserve">Hist. eccl., </w:t>
      </w:r>
      <w:r w:rsidRPr="00BF30A1">
        <w:rPr>
          <w:rFonts w:eastAsia="Arial Unicode MS"/>
          <w:bCs/>
          <w:lang w:eastAsia="fr-FR" w:bidi="he-IL"/>
        </w:rPr>
        <w:t>III, 40, 17.</w:t>
      </w:r>
    </w:p>
  </w:footnote>
  <w:footnote w:id="263">
    <w:p w:rsidR="00941AA6" w:rsidRPr="00933C60" w:rsidRDefault="00941AA6" w:rsidP="00362CA4">
      <w:pPr>
        <w:pStyle w:val="Notedebasdepage"/>
      </w:pPr>
      <w:r w:rsidRPr="00C406FF">
        <w:rPr>
          <w:rStyle w:val="Appelnotedebasdep"/>
        </w:rPr>
        <w:footnoteRef/>
      </w:r>
      <w:r>
        <w:rPr>
          <w:rFonts w:eastAsia="Arial Unicode MS"/>
          <w:bCs/>
          <w:lang w:eastAsia="fr-FR" w:bidi="he-IL"/>
        </w:rPr>
        <w:t xml:space="preserve"> </w:t>
      </w:r>
      <w:r w:rsidRPr="00C8701B">
        <w:rPr>
          <w:rFonts w:eastAsia="Arial Unicode MS"/>
          <w:bCs/>
          <w:lang w:eastAsia="fr-FR" w:bidi="he-IL"/>
        </w:rPr>
        <w:t xml:space="preserve">Nous ne parlons que pour mémoire de </w:t>
      </w:r>
      <w:r w:rsidRPr="00BF30A1">
        <w:t>l’opinion d</w:t>
      </w:r>
      <w:r>
        <w:t>’après</w:t>
      </w:r>
      <w:r w:rsidRPr="00BF30A1">
        <w:t xml:space="preserve"> laquelle les textes de S. Paul, </w:t>
      </w:r>
      <w:r>
        <w:rPr>
          <w:rFonts w:eastAsia="Arial Unicode MS"/>
          <w:bCs/>
          <w:lang w:eastAsia="fr-FR" w:bidi="he-IL"/>
        </w:rPr>
        <w:t xml:space="preserve">Rom. II, </w:t>
      </w:r>
      <w:r w:rsidRPr="00C8701B">
        <w:rPr>
          <w:rFonts w:eastAsia="Arial Unicode MS"/>
          <w:bCs/>
          <w:lang w:eastAsia="fr-FR" w:bidi="he-IL"/>
        </w:rPr>
        <w:t>16</w:t>
      </w:r>
      <w:r>
        <w:rPr>
          <w:rFonts w:eastAsia="Arial Unicode MS"/>
          <w:bCs/>
          <w:lang w:eastAsia="fr-FR" w:bidi="he-IL"/>
        </w:rPr>
        <w:t xml:space="preserve">, </w:t>
      </w:r>
      <w:r w:rsidRPr="00C8701B">
        <w:rPr>
          <w:rFonts w:eastAsia="Arial Unicode MS"/>
          <w:bCs/>
          <w:lang w:eastAsia="fr-FR" w:bidi="he-IL"/>
        </w:rPr>
        <w:t>et I Thess</w:t>
      </w:r>
      <w:r>
        <w:rPr>
          <w:rFonts w:eastAsia="Arial Unicode MS"/>
          <w:bCs/>
          <w:lang w:eastAsia="fr-FR" w:bidi="he-IL"/>
        </w:rPr>
        <w:t xml:space="preserve">. IV, </w:t>
      </w:r>
      <w:r w:rsidRPr="00C8701B">
        <w:rPr>
          <w:rFonts w:eastAsia="Arial Unicode MS"/>
          <w:bCs/>
          <w:lang w:eastAsia="fr-FR" w:bidi="he-IL"/>
        </w:rPr>
        <w:t>13</w:t>
      </w:r>
      <w:r>
        <w:rPr>
          <w:rFonts w:eastAsia="Arial Unicode MS"/>
          <w:bCs/>
          <w:lang w:eastAsia="fr-FR" w:bidi="he-IL"/>
        </w:rPr>
        <w:t xml:space="preserve">, </w:t>
      </w:r>
      <w:r w:rsidRPr="00C8701B">
        <w:rPr>
          <w:rFonts w:eastAsia="Arial Unicode MS"/>
          <w:bCs/>
          <w:lang w:eastAsia="fr-FR" w:bidi="he-IL"/>
        </w:rPr>
        <w:t>démontreraient l’existence du fameux document en question.</w:t>
      </w:r>
    </w:p>
  </w:footnote>
  <w:footnote w:id="264">
    <w:p w:rsidR="00941AA6" w:rsidRPr="00933C60" w:rsidRDefault="00941AA6" w:rsidP="00362CA4">
      <w:pPr>
        <w:pStyle w:val="Notedebasdepage"/>
      </w:pPr>
      <w:r w:rsidRPr="00C406FF">
        <w:rPr>
          <w:rStyle w:val="Appelnotedebasdep"/>
        </w:rPr>
        <w:footnoteRef/>
      </w:r>
      <w:r>
        <w:rPr>
          <w:rFonts w:eastAsia="Arial Unicode MS"/>
          <w:bCs/>
          <w:lang w:eastAsia="fr-FR" w:bidi="he-IL"/>
        </w:rPr>
        <w:t xml:space="preserve"> </w:t>
      </w:r>
      <w:r w:rsidRPr="00DC4586">
        <w:rPr>
          <w:rStyle w:val="italicus"/>
        </w:rPr>
        <w:t>De la croyance due à l’Évangile</w:t>
      </w:r>
      <w:r>
        <w:rPr>
          <w:rStyle w:val="italicus"/>
        </w:rPr>
        <w:t xml:space="preserve">, </w:t>
      </w:r>
      <w:r w:rsidRPr="00C8701B">
        <w:rPr>
          <w:rFonts w:eastAsia="Arial Unicode MS"/>
          <w:bCs/>
          <w:lang w:eastAsia="fr-FR" w:bidi="he-IL"/>
        </w:rPr>
        <w:t>Paris 1858</w:t>
      </w:r>
      <w:r>
        <w:rPr>
          <w:rFonts w:eastAsia="Arial Unicode MS"/>
          <w:bCs/>
          <w:lang w:eastAsia="fr-FR" w:bidi="he-IL"/>
        </w:rPr>
        <w:t xml:space="preserve">, </w:t>
      </w:r>
      <w:r w:rsidRPr="00C8701B">
        <w:rPr>
          <w:rFonts w:eastAsia="Arial Unicode MS"/>
          <w:bCs/>
          <w:lang w:eastAsia="fr-FR" w:bidi="he-IL"/>
        </w:rPr>
        <w:t>p. 172-173.</w:t>
      </w:r>
    </w:p>
  </w:footnote>
  <w:footnote w:id="265">
    <w:p w:rsidR="00941AA6" w:rsidRPr="00933C60" w:rsidRDefault="00941AA6" w:rsidP="00362CA4">
      <w:pPr>
        <w:pStyle w:val="Notedebasdepage"/>
      </w:pPr>
      <w:r w:rsidRPr="00C406FF">
        <w:rPr>
          <w:rStyle w:val="Appelnotedebasdep"/>
        </w:rPr>
        <w:footnoteRef/>
      </w:r>
      <w:r>
        <w:rPr>
          <w:rFonts w:eastAsia="Arial Unicode MS"/>
          <w:bCs/>
          <w:lang w:eastAsia="fr-FR" w:bidi="he-IL"/>
        </w:rPr>
        <w:t xml:space="preserve"> </w:t>
      </w:r>
      <w:r w:rsidRPr="00C8701B">
        <w:rPr>
          <w:rFonts w:eastAsia="Arial Unicode MS"/>
          <w:bCs/>
          <w:lang w:eastAsia="fr-FR" w:bidi="he-IL"/>
        </w:rPr>
        <w:t xml:space="preserve">Le </w:t>
      </w:r>
      <w:r>
        <w:rPr>
          <w:rFonts w:eastAsia="Arial Unicode MS"/>
          <w:bCs/>
          <w:lang w:eastAsia="fr-FR" w:bidi="he-IL"/>
        </w:rPr>
        <w:t xml:space="preserve">Camus, </w:t>
      </w:r>
      <w:r w:rsidRPr="00DC4586">
        <w:rPr>
          <w:rStyle w:val="italicus"/>
        </w:rPr>
        <w:t>Vie de N.-S. Jésus-Christ</w:t>
      </w:r>
      <w:r>
        <w:rPr>
          <w:rStyle w:val="italicus"/>
        </w:rPr>
        <w:t xml:space="preserve">, </w:t>
      </w:r>
      <w:r>
        <w:rPr>
          <w:rFonts w:eastAsia="Arial Unicode MS"/>
          <w:bCs/>
          <w:lang w:eastAsia="fr-FR" w:bidi="he-IL"/>
        </w:rPr>
        <w:t>2</w:t>
      </w:r>
      <w:r w:rsidRPr="00CD6141">
        <w:rPr>
          <w:rFonts w:eastAsia="Arial Unicode MS"/>
          <w:bCs/>
          <w:vertAlign w:val="superscript"/>
          <w:lang w:eastAsia="fr-FR" w:bidi="he-IL"/>
        </w:rPr>
        <w:t>e</w:t>
      </w:r>
      <w:r>
        <w:rPr>
          <w:rFonts w:eastAsia="Arial Unicode MS"/>
          <w:bCs/>
          <w:lang w:eastAsia="fr-FR" w:bidi="he-IL"/>
        </w:rPr>
        <w:t xml:space="preserve"> </w:t>
      </w:r>
      <w:r w:rsidRPr="00C8701B">
        <w:rPr>
          <w:rFonts w:eastAsia="Arial Unicode MS"/>
          <w:bCs/>
          <w:lang w:eastAsia="fr-FR" w:bidi="he-IL"/>
        </w:rPr>
        <w:t>édit.</w:t>
      </w:r>
      <w:r>
        <w:rPr>
          <w:rFonts w:eastAsia="Arial Unicode MS"/>
          <w:bCs/>
          <w:lang w:eastAsia="fr-FR" w:bidi="he-IL"/>
        </w:rPr>
        <w:t xml:space="preserve">, t. I, </w:t>
      </w:r>
      <w:r w:rsidRPr="00C8701B">
        <w:rPr>
          <w:rFonts w:eastAsia="Arial Unicode MS"/>
          <w:bCs/>
          <w:lang w:eastAsia="fr-FR" w:bidi="he-IL"/>
        </w:rPr>
        <w:t>p. 36</w:t>
      </w:r>
      <w:r>
        <w:rPr>
          <w:rFonts w:eastAsia="Arial Unicode MS"/>
          <w:bCs/>
          <w:lang w:eastAsia="fr-FR" w:bidi="he-IL"/>
        </w:rPr>
        <w:t xml:space="preserve">, </w:t>
      </w:r>
      <w:r w:rsidRPr="00C8701B">
        <w:rPr>
          <w:rFonts w:eastAsia="Arial Unicode MS"/>
          <w:bCs/>
          <w:lang w:eastAsia="fr-FR" w:bidi="he-IL"/>
        </w:rPr>
        <w:t>d’après M. Godet</w:t>
      </w:r>
      <w:r>
        <w:rPr>
          <w:rFonts w:eastAsia="Arial Unicode MS"/>
          <w:bCs/>
          <w:lang w:eastAsia="fr-FR" w:bidi="he-IL"/>
        </w:rPr>
        <w:t>.</w:t>
      </w:r>
    </w:p>
  </w:footnote>
  <w:footnote w:id="266">
    <w:p w:rsidR="00941AA6" w:rsidRPr="00933C60" w:rsidRDefault="00941AA6" w:rsidP="00362CA4">
      <w:pPr>
        <w:pStyle w:val="Notedebasdepage"/>
      </w:pPr>
      <w:r w:rsidRPr="00C406FF">
        <w:rPr>
          <w:rStyle w:val="Appelnotedebasdep"/>
        </w:rPr>
        <w:footnoteRef/>
      </w:r>
      <w:r w:rsidRPr="00C8701B">
        <w:rPr>
          <w:rFonts w:eastAsia="Arial Unicode MS"/>
          <w:bCs/>
          <w:lang w:val="el-GR" w:eastAsia="fr-FR" w:bidi="he-IL"/>
        </w:rPr>
        <w:t xml:space="preserve"> </w:t>
      </w:r>
      <w:r w:rsidRPr="00C8701B">
        <w:rPr>
          <w:rFonts w:eastAsia="Arial Unicode MS"/>
          <w:bCs/>
          <w:lang w:eastAsia="fr-FR" w:bidi="he-IL"/>
        </w:rPr>
        <w:t>Godet</w:t>
      </w:r>
      <w:r>
        <w:rPr>
          <w:rFonts w:eastAsia="Arial Unicode MS"/>
          <w:bCs/>
          <w:lang w:eastAsia="fr-FR" w:bidi="he-IL"/>
        </w:rPr>
        <w:t xml:space="preserve">, </w:t>
      </w:r>
      <w:r>
        <w:rPr>
          <w:rStyle w:val="italicus"/>
        </w:rPr>
        <w:t>Commentaire de l’</w:t>
      </w:r>
      <w:r w:rsidRPr="00DC4586">
        <w:rPr>
          <w:rStyle w:val="italicus"/>
        </w:rPr>
        <w:t>Évangile selon S. Luc</w:t>
      </w:r>
      <w:r>
        <w:rPr>
          <w:rFonts w:eastAsia="Arial Unicode MS"/>
          <w:bCs/>
          <w:lang w:eastAsia="fr-FR" w:bidi="he-IL"/>
        </w:rPr>
        <w:t xml:space="preserve">, </w:t>
      </w:r>
      <w:r w:rsidRPr="00C8701B">
        <w:rPr>
          <w:rFonts w:eastAsia="Arial Unicode MS"/>
          <w:bCs/>
          <w:lang w:eastAsia="fr-FR" w:bidi="he-IL"/>
        </w:rPr>
        <w:t>3</w:t>
      </w:r>
      <w:r w:rsidRPr="00CD6141">
        <w:rPr>
          <w:rFonts w:eastAsia="Arial Unicode MS"/>
          <w:bCs/>
          <w:vertAlign w:val="superscript"/>
          <w:lang w:eastAsia="fr-FR" w:bidi="he-IL"/>
        </w:rPr>
        <w:t>e</w:t>
      </w:r>
      <w:r>
        <w:rPr>
          <w:rFonts w:eastAsia="Arial Unicode MS"/>
          <w:bCs/>
          <w:lang w:eastAsia="fr-FR" w:bidi="he-IL"/>
        </w:rPr>
        <w:t xml:space="preserve"> </w:t>
      </w:r>
      <w:r w:rsidRPr="00C8701B">
        <w:rPr>
          <w:rFonts w:eastAsia="Arial Unicode MS"/>
          <w:bCs/>
          <w:lang w:eastAsia="fr-FR" w:bidi="he-IL"/>
        </w:rPr>
        <w:t>édit.</w:t>
      </w:r>
      <w:r>
        <w:rPr>
          <w:rFonts w:eastAsia="Arial Unicode MS"/>
          <w:bCs/>
          <w:lang w:eastAsia="fr-FR" w:bidi="he-IL"/>
        </w:rPr>
        <w:t xml:space="preserve">, </w:t>
      </w:r>
      <w:r w:rsidRPr="00C8701B">
        <w:rPr>
          <w:rFonts w:eastAsia="Arial Unicode MS"/>
          <w:bCs/>
          <w:lang w:eastAsia="fr-FR" w:bidi="he-IL"/>
        </w:rPr>
        <w:t>t. II</w:t>
      </w:r>
      <w:r>
        <w:rPr>
          <w:rFonts w:eastAsia="Arial Unicode MS"/>
          <w:bCs/>
          <w:lang w:eastAsia="fr-FR" w:bidi="he-IL"/>
        </w:rPr>
        <w:t>, p. 545</w:t>
      </w:r>
      <w:r w:rsidRPr="00C8701B">
        <w:rPr>
          <w:rFonts w:eastAsia="Arial Unicode MS"/>
          <w:bCs/>
          <w:lang w:eastAsia="fr-FR" w:bidi="he-IL"/>
        </w:rPr>
        <w:t>.</w:t>
      </w:r>
    </w:p>
  </w:footnote>
  <w:footnote w:id="267">
    <w:p w:rsidR="00941AA6" w:rsidRPr="00933C60" w:rsidRDefault="00941AA6" w:rsidP="00362CA4">
      <w:pPr>
        <w:pStyle w:val="Notedebasdepage"/>
      </w:pPr>
      <w:r w:rsidRPr="00C406FF">
        <w:rPr>
          <w:rStyle w:val="Appelnotedebasdep"/>
        </w:rPr>
        <w:footnoteRef/>
      </w:r>
      <w:r>
        <w:rPr>
          <w:rFonts w:eastAsia="Arial Unicode MS"/>
          <w:bCs/>
          <w:lang w:val="en-US" w:eastAsia="fr-FR" w:bidi="he-IL"/>
        </w:rPr>
        <w:t xml:space="preserve"> </w:t>
      </w:r>
      <w:r w:rsidRPr="00C8701B">
        <w:rPr>
          <w:rFonts w:eastAsia="Arial Unicode MS"/>
          <w:bCs/>
          <w:lang w:val="en-US" w:eastAsia="fr-FR" w:bidi="he-IL"/>
        </w:rPr>
        <w:t>Smith</w:t>
      </w:r>
      <w:r>
        <w:rPr>
          <w:rFonts w:eastAsia="Arial Unicode MS"/>
          <w:bCs/>
          <w:lang w:val="en-US" w:eastAsia="fr-FR" w:bidi="he-IL"/>
        </w:rPr>
        <w:t xml:space="preserve">, </w:t>
      </w:r>
      <w:r w:rsidRPr="00A74F01">
        <w:rPr>
          <w:rStyle w:val="italicus"/>
          <w:lang w:val="en-US"/>
        </w:rPr>
        <w:t xml:space="preserve">Dictionary of the Bible, </w:t>
      </w:r>
      <w:r w:rsidRPr="00C8701B">
        <w:rPr>
          <w:rFonts w:eastAsia="Arial Unicode MS"/>
          <w:bCs/>
          <w:lang w:val="en-US" w:eastAsia="fr-FR" w:bidi="he-IL"/>
        </w:rPr>
        <w:t>au mot Gospel.</w:t>
      </w:r>
    </w:p>
  </w:footnote>
  <w:footnote w:id="268">
    <w:p w:rsidR="00941AA6" w:rsidRPr="00933C60" w:rsidRDefault="00941AA6" w:rsidP="00362CA4">
      <w:pPr>
        <w:pStyle w:val="Notedebasdepage"/>
      </w:pPr>
      <w:r w:rsidRPr="00C406FF">
        <w:rPr>
          <w:rStyle w:val="Appelnotedebasdep"/>
        </w:rPr>
        <w:footnoteRef/>
      </w:r>
      <w:r w:rsidRPr="00C8701B">
        <w:rPr>
          <w:rFonts w:eastAsia="Arial Unicode MS"/>
          <w:lang w:val="en-US" w:eastAsia="fr-FR" w:bidi="he-IL"/>
        </w:rPr>
        <w:t xml:space="preserve"> </w:t>
      </w:r>
      <w:r>
        <w:rPr>
          <w:rStyle w:val="italicus"/>
          <w:lang w:val="en-US"/>
        </w:rPr>
        <w:t>Introduction to</w:t>
      </w:r>
      <w:r w:rsidRPr="00A74F01">
        <w:rPr>
          <w:rStyle w:val="italicus"/>
          <w:lang w:val="en-US"/>
        </w:rPr>
        <w:t xml:space="preserve"> the Study of the New Testament</w:t>
      </w:r>
      <w:r>
        <w:rPr>
          <w:rFonts w:eastAsia="Arial Unicode MS"/>
          <w:bCs/>
          <w:lang w:val="en-US" w:eastAsia="fr-FR" w:bidi="he-IL"/>
        </w:rPr>
        <w:t xml:space="preserve">, t. I, </w:t>
      </w:r>
      <w:r w:rsidRPr="00C8701B">
        <w:rPr>
          <w:rFonts w:eastAsia="Arial Unicode MS"/>
          <w:bCs/>
          <w:lang w:val="en-US" w:eastAsia="fr-FR" w:bidi="he-IL"/>
        </w:rPr>
        <w:t>p. 451.</w:t>
      </w:r>
    </w:p>
  </w:footnote>
  <w:footnote w:id="269">
    <w:p w:rsidR="00941AA6" w:rsidRPr="00933C60" w:rsidRDefault="00941AA6" w:rsidP="00362CA4">
      <w:pPr>
        <w:pStyle w:val="Notedebasdepage"/>
      </w:pPr>
      <w:r w:rsidRPr="00C406FF">
        <w:rPr>
          <w:rStyle w:val="Appelnotedebasdep"/>
        </w:rPr>
        <w:footnoteRef/>
      </w:r>
      <w:r w:rsidRPr="00C8701B">
        <w:rPr>
          <w:rFonts w:eastAsia="Arial Unicode MS"/>
          <w:lang w:val="en-US" w:eastAsia="fr-FR" w:bidi="he-IL"/>
        </w:rPr>
        <w:t xml:space="preserve"> </w:t>
      </w:r>
      <w:r w:rsidRPr="00C8701B">
        <w:rPr>
          <w:rFonts w:eastAsia="Arial Unicode MS"/>
          <w:bCs/>
          <w:lang w:val="en-US" w:eastAsia="fr-FR" w:bidi="he-IL"/>
        </w:rPr>
        <w:t xml:space="preserve">Pages </w:t>
      </w:r>
      <w:r w:rsidR="00691E6B">
        <w:rPr>
          <w:rFonts w:eastAsia="Arial Unicode MS"/>
          <w:bCs/>
          <w:lang w:val="en-US" w:eastAsia="fr-FR" w:bidi="he-IL"/>
        </w:rPr>
        <w:fldChar w:fldCharType="begin"/>
      </w:r>
      <w:r w:rsidR="001A4F8D">
        <w:rPr>
          <w:rFonts w:eastAsia="Arial Unicode MS"/>
          <w:bCs/>
          <w:lang w:val="en-US" w:eastAsia="fr-FR" w:bidi="he-IL"/>
        </w:rPr>
        <w:instrText xml:space="preserve"> PAGEREF evin07020403 \h </w:instrText>
      </w:r>
      <w:r w:rsidR="00691E6B">
        <w:rPr>
          <w:rFonts w:eastAsia="Arial Unicode MS"/>
          <w:bCs/>
          <w:lang w:val="en-US" w:eastAsia="fr-FR" w:bidi="he-IL"/>
        </w:rPr>
      </w:r>
      <w:r w:rsidR="00691E6B">
        <w:rPr>
          <w:rFonts w:eastAsia="Arial Unicode MS"/>
          <w:bCs/>
          <w:lang w:val="en-US" w:eastAsia="fr-FR" w:bidi="he-IL"/>
        </w:rPr>
        <w:fldChar w:fldCharType="separate"/>
      </w:r>
      <w:r w:rsidR="00635395">
        <w:rPr>
          <w:rFonts w:eastAsia="Arial Unicode MS"/>
          <w:bCs/>
          <w:noProof/>
          <w:lang w:val="en-US" w:eastAsia="fr-FR" w:bidi="he-IL"/>
        </w:rPr>
        <w:t>36</w:t>
      </w:r>
      <w:r w:rsidR="00691E6B">
        <w:rPr>
          <w:rFonts w:eastAsia="Arial Unicode MS"/>
          <w:bCs/>
          <w:lang w:val="en-US" w:eastAsia="fr-FR" w:bidi="he-IL"/>
        </w:rPr>
        <w:fldChar w:fldCharType="end"/>
      </w:r>
      <w:r w:rsidR="001A4F8D">
        <w:rPr>
          <w:rFonts w:eastAsia="Arial Unicode MS"/>
          <w:bCs/>
          <w:lang w:val="en-US" w:eastAsia="fr-FR" w:bidi="he-IL"/>
        </w:rPr>
        <w:t>-</w:t>
      </w:r>
      <w:r w:rsidR="00691E6B">
        <w:rPr>
          <w:rFonts w:eastAsia="Arial Unicode MS"/>
          <w:bCs/>
          <w:lang w:val="en-US" w:eastAsia="fr-FR" w:bidi="he-IL"/>
        </w:rPr>
        <w:fldChar w:fldCharType="begin"/>
      </w:r>
      <w:r w:rsidR="001A4F8D">
        <w:rPr>
          <w:rFonts w:eastAsia="Arial Unicode MS"/>
          <w:bCs/>
          <w:lang w:val="en-US" w:eastAsia="fr-FR" w:bidi="he-IL"/>
        </w:rPr>
        <w:instrText xml:space="preserve"> PAGEREF evin070205 \h </w:instrText>
      </w:r>
      <w:r w:rsidR="00691E6B">
        <w:rPr>
          <w:rFonts w:eastAsia="Arial Unicode MS"/>
          <w:bCs/>
          <w:lang w:val="en-US" w:eastAsia="fr-FR" w:bidi="he-IL"/>
        </w:rPr>
      </w:r>
      <w:r w:rsidR="00691E6B">
        <w:rPr>
          <w:rFonts w:eastAsia="Arial Unicode MS"/>
          <w:bCs/>
          <w:lang w:val="en-US" w:eastAsia="fr-FR" w:bidi="he-IL"/>
        </w:rPr>
        <w:fldChar w:fldCharType="separate"/>
      </w:r>
      <w:r w:rsidR="00635395">
        <w:rPr>
          <w:rFonts w:eastAsia="Arial Unicode MS"/>
          <w:bCs/>
          <w:noProof/>
          <w:lang w:val="en-US" w:eastAsia="fr-FR" w:bidi="he-IL"/>
        </w:rPr>
        <w:t>37</w:t>
      </w:r>
      <w:r w:rsidR="00691E6B">
        <w:rPr>
          <w:rFonts w:eastAsia="Arial Unicode MS"/>
          <w:bCs/>
          <w:lang w:val="en-US" w:eastAsia="fr-FR" w:bidi="he-IL"/>
        </w:rPr>
        <w:fldChar w:fldCharType="end"/>
      </w:r>
      <w:r>
        <w:rPr>
          <w:rFonts w:eastAsia="Arial Unicode MS"/>
          <w:bCs/>
          <w:lang w:val="en-US" w:eastAsia="fr-FR" w:bidi="he-IL"/>
        </w:rPr>
        <w:t>[</w:t>
      </w:r>
      <w:r w:rsidR="001A4F8D">
        <w:rPr>
          <w:rFonts w:eastAsia="Arial Unicode MS"/>
          <w:bCs/>
          <w:lang w:val="en-US" w:eastAsia="fr-FR" w:bidi="he-IL"/>
        </w:rPr>
        <w:t>45</w:t>
      </w:r>
      <w:r w:rsidRPr="00C8701B">
        <w:rPr>
          <w:rFonts w:eastAsia="Arial Unicode MS"/>
          <w:bCs/>
          <w:lang w:val="en-US" w:eastAsia="fr-FR" w:bidi="he-IL"/>
        </w:rPr>
        <w:t>-46</w:t>
      </w:r>
      <w:r>
        <w:rPr>
          <w:rFonts w:eastAsia="Arial Unicode MS"/>
          <w:bCs/>
          <w:lang w:val="en-US" w:eastAsia="fr-FR" w:bidi="he-IL"/>
        </w:rPr>
        <w:t>]</w:t>
      </w:r>
      <w:r w:rsidRPr="00C8701B">
        <w:rPr>
          <w:rFonts w:eastAsia="Arial Unicode MS"/>
          <w:bCs/>
          <w:lang w:val="en-US" w:eastAsia="fr-FR" w:bidi="he-IL"/>
        </w:rPr>
        <w:t>.</w:t>
      </w:r>
    </w:p>
  </w:footnote>
  <w:footnote w:id="270">
    <w:p w:rsidR="00941AA6" w:rsidRPr="00933C60" w:rsidRDefault="00941AA6" w:rsidP="00362CA4">
      <w:pPr>
        <w:pStyle w:val="Notedebasdepage"/>
      </w:pPr>
      <w:r w:rsidRPr="00C406FF">
        <w:rPr>
          <w:rStyle w:val="Appelnotedebasdep"/>
        </w:rPr>
        <w:footnoteRef/>
      </w:r>
      <w:r w:rsidRPr="00C8701B">
        <w:rPr>
          <w:rFonts w:eastAsia="Arial Unicode MS"/>
          <w:bCs/>
          <w:lang w:val="en-US" w:eastAsia="fr-FR" w:bidi="he-IL"/>
        </w:rPr>
        <w:t xml:space="preserve"> Act. </w:t>
      </w:r>
      <w:r>
        <w:rPr>
          <w:rFonts w:eastAsia="Arial Unicode MS"/>
          <w:bCs/>
          <w:lang w:val="en-US" w:eastAsia="fr-FR" w:bidi="he-IL"/>
        </w:rPr>
        <w:t xml:space="preserve">X, </w:t>
      </w:r>
      <w:r w:rsidRPr="00C8701B">
        <w:rPr>
          <w:rFonts w:eastAsia="Arial Unicode MS"/>
          <w:bCs/>
          <w:lang w:val="en-US" w:eastAsia="fr-FR" w:bidi="he-IL"/>
        </w:rPr>
        <w:t>34-43.</w:t>
      </w:r>
    </w:p>
  </w:footnote>
  <w:footnote w:id="271">
    <w:p w:rsidR="00941AA6" w:rsidRPr="00933C60" w:rsidRDefault="00941AA6" w:rsidP="00362CA4">
      <w:pPr>
        <w:pStyle w:val="Notedebasdepage"/>
      </w:pPr>
      <w:r w:rsidRPr="00C406FF">
        <w:rPr>
          <w:rStyle w:val="Appelnotedebasdep"/>
        </w:rPr>
        <w:footnoteRef/>
      </w:r>
      <w:r w:rsidRPr="00362CA4">
        <w:rPr>
          <w:rFonts w:eastAsia="Arial Unicode MS"/>
          <w:lang w:eastAsia="fr-FR" w:bidi="he-IL"/>
        </w:rPr>
        <w:t xml:space="preserve"> </w:t>
      </w:r>
      <w:r w:rsidRPr="00362CA4">
        <w:rPr>
          <w:rFonts w:eastAsia="Arial Unicode MS"/>
          <w:bCs/>
          <w:lang w:eastAsia="fr-FR" w:bidi="he-IL"/>
        </w:rPr>
        <w:t>Act. XIII, 16-41.</w:t>
      </w:r>
    </w:p>
  </w:footnote>
  <w:footnote w:id="272">
    <w:p w:rsidR="00941AA6" w:rsidRPr="00933C60" w:rsidRDefault="00941AA6" w:rsidP="00362CA4">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aussi Act.</w:t>
      </w:r>
      <w:r>
        <w:rPr>
          <w:rFonts w:eastAsia="Arial Unicode MS"/>
          <w:bCs/>
          <w:lang w:eastAsia="fr-FR" w:bidi="he-IL"/>
        </w:rPr>
        <w:t xml:space="preserve"> </w:t>
      </w:r>
      <w:r w:rsidRPr="00165881">
        <w:rPr>
          <w:rFonts w:eastAsia="Arial Unicode MS"/>
          <w:bCs/>
          <w:lang w:eastAsia="fr-FR" w:bidi="he-IL"/>
        </w:rPr>
        <w:t>I, 22 ; II, 42, etc.</w:t>
      </w:r>
    </w:p>
  </w:footnote>
  <w:footnote w:id="273">
    <w:p w:rsidR="00941AA6" w:rsidRPr="00933C60" w:rsidRDefault="00941AA6" w:rsidP="00362CA4">
      <w:pPr>
        <w:pStyle w:val="Notedebasdepage"/>
      </w:pPr>
      <w:r w:rsidRPr="00C406FF">
        <w:rPr>
          <w:rStyle w:val="Appelnotedebasdep"/>
        </w:rPr>
        <w:footnoteRef/>
      </w:r>
      <w:r w:rsidRPr="00165881">
        <w:rPr>
          <w:rFonts w:eastAsia="Arial Unicode MS"/>
          <w:lang w:eastAsia="fr-FR" w:bidi="he-IL"/>
        </w:rPr>
        <w:t xml:space="preserve"> </w:t>
      </w:r>
      <w:r w:rsidRPr="00165881">
        <w:rPr>
          <w:rFonts w:eastAsia="Arial Unicode MS"/>
          <w:bCs/>
          <w:lang w:eastAsia="fr-FR" w:bidi="he-IL"/>
        </w:rPr>
        <w:t xml:space="preserve">Luc. I, 1-4. </w:t>
      </w:r>
      <w:r w:rsidRPr="00C8701B">
        <w:rPr>
          <w:rFonts w:eastAsia="Arial Unicode MS"/>
          <w:bCs/>
          <w:lang w:eastAsia="fr-FR" w:bidi="he-IL"/>
        </w:rPr>
        <w:t>Voyez notre commentaire.</w:t>
      </w:r>
    </w:p>
  </w:footnote>
  <w:footnote w:id="274">
    <w:p w:rsidR="00941AA6" w:rsidRPr="00933C60" w:rsidRDefault="00941AA6">
      <w:pPr>
        <w:pStyle w:val="Notedebasdepage"/>
      </w:pPr>
      <w:r w:rsidRPr="00C406FF">
        <w:rPr>
          <w:rStyle w:val="Appelnotedebasdep"/>
        </w:rPr>
        <w:footnoteRef/>
      </w:r>
      <w:r w:rsidRPr="003A07A7">
        <w:rPr>
          <w:rFonts w:eastAsia="Arial Unicode MS"/>
          <w:bCs/>
          <w:lang w:eastAsia="fr-FR" w:bidi="he-IL"/>
        </w:rPr>
        <w:t xml:space="preserve"> Ap. Euseb., </w:t>
      </w:r>
      <w:r w:rsidRPr="003A07A7">
        <w:rPr>
          <w:rStyle w:val="italicus"/>
        </w:rPr>
        <w:t xml:space="preserve">Hist. eccl., </w:t>
      </w:r>
      <w:r>
        <w:rPr>
          <w:rFonts w:eastAsia="Arial Unicode MS"/>
          <w:bCs/>
          <w:lang w:eastAsia="fr-FR" w:bidi="he-IL"/>
        </w:rPr>
        <w:t>III, 39.</w:t>
      </w:r>
    </w:p>
  </w:footnote>
  <w:footnote w:id="275">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les textes</w:t>
      </w:r>
      <w:r>
        <w:rPr>
          <w:rFonts w:eastAsia="Arial Unicode MS"/>
          <w:bCs/>
          <w:lang w:eastAsia="fr-FR" w:bidi="he-IL"/>
        </w:rPr>
        <w:t>, intégralement cités dans no</w:t>
      </w:r>
      <w:r w:rsidRPr="00C8701B">
        <w:rPr>
          <w:rFonts w:eastAsia="Arial Unicode MS"/>
          <w:bCs/>
          <w:lang w:eastAsia="fr-FR" w:bidi="he-IL"/>
        </w:rPr>
        <w:t>tre commentaire sur l’</w:t>
      </w:r>
      <w:r>
        <w:rPr>
          <w:rFonts w:eastAsia="Arial Unicode MS"/>
          <w:bCs/>
          <w:lang w:eastAsia="fr-FR" w:bidi="he-IL"/>
        </w:rPr>
        <w:t>Évangile selon</w:t>
      </w:r>
      <w:r w:rsidRPr="00C8701B">
        <w:rPr>
          <w:rFonts w:eastAsia="Arial Unicode MS"/>
          <w:bCs/>
          <w:lang w:eastAsia="fr-FR" w:bidi="he-IL"/>
        </w:rPr>
        <w:t xml:space="preserve"> S. Marc</w:t>
      </w:r>
      <w:r>
        <w:rPr>
          <w:rFonts w:eastAsia="Arial Unicode MS"/>
          <w:bCs/>
          <w:lang w:eastAsia="fr-FR" w:bidi="he-IL"/>
        </w:rPr>
        <w:t xml:space="preserve">, </w:t>
      </w:r>
      <w:r w:rsidRPr="00C8701B">
        <w:rPr>
          <w:rFonts w:eastAsia="Arial Unicode MS"/>
          <w:bCs/>
          <w:lang w:eastAsia="fr-FR" w:bidi="he-IL"/>
        </w:rPr>
        <w:t>p. 4-5</w:t>
      </w:r>
      <w:r>
        <w:rPr>
          <w:rFonts w:eastAsia="Arial Unicode MS"/>
          <w:bCs/>
          <w:lang w:eastAsia="fr-FR" w:bidi="he-IL"/>
        </w:rPr>
        <w:t xml:space="preserve">, </w:t>
      </w:r>
      <w:r w:rsidRPr="00C8701B">
        <w:rPr>
          <w:rFonts w:eastAsia="Arial Unicode MS"/>
          <w:bCs/>
          <w:lang w:eastAsia="fr-FR" w:bidi="he-IL"/>
        </w:rPr>
        <w:t>11.</w:t>
      </w:r>
    </w:p>
  </w:footnote>
  <w:footnote w:id="276">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Tertullien</w:t>
      </w:r>
      <w:r>
        <w:rPr>
          <w:rFonts w:eastAsia="Arial Unicode MS"/>
          <w:bCs/>
          <w:lang w:eastAsia="fr-FR" w:bidi="he-IL"/>
        </w:rPr>
        <w:t xml:space="preserve">, </w:t>
      </w:r>
      <w:r w:rsidRPr="00DC4586">
        <w:rPr>
          <w:rStyle w:val="italicus"/>
        </w:rPr>
        <w:t>Contr. Marcion.</w:t>
      </w:r>
      <w:r>
        <w:rPr>
          <w:rStyle w:val="italicus"/>
        </w:rPr>
        <w:t xml:space="preserve">, </w:t>
      </w:r>
      <w:r>
        <w:rPr>
          <w:rFonts w:eastAsia="Arial Unicode MS"/>
          <w:bCs/>
          <w:lang w:eastAsia="fr-FR" w:bidi="he-IL"/>
        </w:rPr>
        <w:t>IV</w:t>
      </w:r>
      <w:r w:rsidRPr="003A07A7">
        <w:t>, 1.</w:t>
      </w:r>
    </w:p>
  </w:footnote>
  <w:footnote w:id="277">
    <w:p w:rsidR="00941AA6" w:rsidRPr="00933C60" w:rsidRDefault="00941AA6">
      <w:pPr>
        <w:pStyle w:val="Notedebasdepage"/>
      </w:pPr>
      <w:r w:rsidRPr="00C406FF">
        <w:rPr>
          <w:rStyle w:val="Appelnotedebasdep"/>
        </w:rPr>
        <w:footnoteRef/>
      </w:r>
      <w:r>
        <w:rPr>
          <w:rFonts w:eastAsia="Arial Unicode MS"/>
          <w:bCs/>
          <w:lang w:eastAsia="fr-FR" w:bidi="he-IL"/>
        </w:rPr>
        <w:t xml:space="preserve"> </w:t>
      </w:r>
      <w:r w:rsidRPr="00C8701B">
        <w:rPr>
          <w:rFonts w:eastAsia="Arial Unicode MS"/>
          <w:bCs/>
          <w:lang w:eastAsia="fr-FR" w:bidi="he-IL"/>
        </w:rPr>
        <w:t>S. Irénée</w:t>
      </w:r>
      <w:r>
        <w:rPr>
          <w:rFonts w:eastAsia="Arial Unicode MS"/>
          <w:bCs/>
          <w:lang w:eastAsia="fr-FR" w:bidi="he-IL"/>
        </w:rPr>
        <w:t xml:space="preserve">, </w:t>
      </w:r>
      <w:r w:rsidRPr="00C8701B">
        <w:rPr>
          <w:rFonts w:eastAsia="Arial Unicode MS"/>
          <w:bCs/>
          <w:lang w:eastAsia="fr-FR" w:bidi="he-IL"/>
        </w:rPr>
        <w:t>Origène</w:t>
      </w:r>
      <w:r>
        <w:rPr>
          <w:rFonts w:eastAsia="Arial Unicode MS"/>
          <w:bCs/>
          <w:lang w:eastAsia="fr-FR" w:bidi="he-IL"/>
        </w:rPr>
        <w:t xml:space="preserve">, </w:t>
      </w:r>
      <w:r w:rsidRPr="00C8701B">
        <w:rPr>
          <w:rFonts w:eastAsia="Arial Unicode MS"/>
          <w:bCs/>
          <w:lang w:eastAsia="fr-FR" w:bidi="he-IL"/>
        </w:rPr>
        <w:t>et</w:t>
      </w:r>
      <w:r>
        <w:rPr>
          <w:rFonts w:eastAsia="Arial Unicode MS"/>
          <w:bCs/>
          <w:lang w:eastAsia="fr-FR" w:bidi="he-IL"/>
        </w:rPr>
        <w:t>c. Voyez notre commentaire sur l’Évangile</w:t>
      </w:r>
      <w:r w:rsidRPr="00C8701B">
        <w:rPr>
          <w:rFonts w:eastAsia="Arial Unicode MS"/>
          <w:bCs/>
          <w:lang w:eastAsia="fr-FR" w:bidi="he-IL"/>
        </w:rPr>
        <w:t xml:space="preserve"> selon S. Luc</w:t>
      </w:r>
      <w:r>
        <w:rPr>
          <w:rFonts w:eastAsia="Arial Unicode MS"/>
          <w:bCs/>
          <w:lang w:eastAsia="fr-FR" w:bidi="he-IL"/>
        </w:rPr>
        <w:t xml:space="preserve">, </w:t>
      </w:r>
      <w:r w:rsidRPr="00C8701B">
        <w:rPr>
          <w:rFonts w:eastAsia="Arial Unicode MS"/>
          <w:bCs/>
          <w:lang w:eastAsia="fr-FR" w:bidi="he-IL"/>
        </w:rPr>
        <w:t>p. 9 et suiv.</w:t>
      </w:r>
    </w:p>
  </w:footnote>
  <w:footnote w:id="278">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Pr>
          <w:rStyle w:val="italicus"/>
        </w:rPr>
        <w:t>Judic. de Th</w:t>
      </w:r>
      <w:r w:rsidRPr="00DC4586">
        <w:rPr>
          <w:rStyle w:val="italicus"/>
        </w:rPr>
        <w:t>ucyd.</w:t>
      </w:r>
      <w:r>
        <w:rPr>
          <w:rStyle w:val="italicus"/>
        </w:rPr>
        <w:t xml:space="preserve">, </w:t>
      </w:r>
      <w:r w:rsidRPr="00C8701B">
        <w:rPr>
          <w:rFonts w:eastAsia="Arial Unicode MS"/>
          <w:bCs/>
          <w:lang w:eastAsia="fr-FR" w:bidi="he-IL"/>
        </w:rPr>
        <w:t>édit. Sylburg</w:t>
      </w:r>
      <w:r>
        <w:rPr>
          <w:rFonts w:eastAsia="Arial Unicode MS"/>
          <w:bCs/>
          <w:lang w:eastAsia="fr-FR" w:bidi="he-IL"/>
        </w:rPr>
        <w:t xml:space="preserve">, </w:t>
      </w:r>
      <w:r w:rsidRPr="00C8701B">
        <w:rPr>
          <w:rFonts w:eastAsia="Arial Unicode MS"/>
          <w:bCs/>
          <w:lang w:eastAsia="fr-FR" w:bidi="he-IL"/>
        </w:rPr>
        <w:t>t</w:t>
      </w:r>
      <w:r>
        <w:rPr>
          <w:rFonts w:eastAsia="Arial Unicode MS"/>
          <w:bCs/>
          <w:lang w:eastAsia="fr-FR" w:bidi="he-IL"/>
        </w:rPr>
        <w:t xml:space="preserve">. II, </w:t>
      </w:r>
      <w:r w:rsidRPr="00C8701B">
        <w:rPr>
          <w:rFonts w:eastAsia="Arial Unicode MS"/>
          <w:bCs/>
          <w:lang w:eastAsia="fr-FR" w:bidi="he-IL"/>
        </w:rPr>
        <w:t>p. 138.</w:t>
      </w:r>
    </w:p>
  </w:footnote>
  <w:footnote w:id="279">
    <w:p w:rsidR="00941AA6" w:rsidRPr="00933C60" w:rsidRDefault="00941AA6">
      <w:pPr>
        <w:pStyle w:val="Notedebasdepage"/>
      </w:pPr>
      <w:r w:rsidRPr="00C406FF">
        <w:rPr>
          <w:rStyle w:val="Appelnotedebasdep"/>
        </w:rPr>
        <w:footnoteRef/>
      </w:r>
      <w:r w:rsidRPr="00C8701B">
        <w:rPr>
          <w:rFonts w:eastAsia="Arial Unicode MS"/>
          <w:bCs/>
          <w:lang w:eastAsia="fr-FR" w:bidi="he-IL"/>
        </w:rPr>
        <w:t xml:space="preserve"> Traité</w:t>
      </w:r>
      <w:r w:rsidRPr="00DC4586">
        <w:rPr>
          <w:rStyle w:val="italicus"/>
        </w:rPr>
        <w:t xml:space="preserve"> Schabbat</w:t>
      </w:r>
      <w:r>
        <w:rPr>
          <w:rStyle w:val="italicus"/>
        </w:rPr>
        <w:t xml:space="preserve">, </w:t>
      </w:r>
      <w:r>
        <w:rPr>
          <w:rFonts w:eastAsia="Arial Unicode MS"/>
          <w:bCs/>
          <w:lang w:eastAsia="fr-FR" w:bidi="he-IL"/>
        </w:rPr>
        <w:t>fol</w:t>
      </w:r>
      <w:r w:rsidRPr="00C8701B">
        <w:rPr>
          <w:rFonts w:eastAsia="Arial Unicode MS"/>
          <w:bCs/>
          <w:lang w:eastAsia="fr-FR" w:bidi="he-IL"/>
        </w:rPr>
        <w:t>. 15</w:t>
      </w:r>
      <w:r>
        <w:rPr>
          <w:rFonts w:eastAsia="Arial Unicode MS"/>
          <w:bCs/>
          <w:lang w:eastAsia="fr-FR" w:bidi="he-IL"/>
        </w:rPr>
        <w:t xml:space="preserve">, </w:t>
      </w:r>
      <w:r w:rsidRPr="00C8701B">
        <w:rPr>
          <w:rFonts w:eastAsia="Arial Unicode MS"/>
          <w:bCs/>
          <w:lang w:eastAsia="fr-FR" w:bidi="he-IL"/>
        </w:rPr>
        <w:t>a.</w:t>
      </w:r>
    </w:p>
  </w:footnote>
  <w:footnote w:id="280">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S. Basile le Grand</w:t>
      </w:r>
      <w:r>
        <w:rPr>
          <w:rFonts w:eastAsia="Arial Unicode MS"/>
          <w:bCs/>
          <w:lang w:eastAsia="fr-FR" w:bidi="he-IL"/>
        </w:rPr>
        <w:t xml:space="preserve">, </w:t>
      </w:r>
      <w:r w:rsidRPr="00C8701B">
        <w:rPr>
          <w:rFonts w:eastAsia="Arial Unicode MS"/>
          <w:bCs/>
          <w:lang w:eastAsia="fr-FR" w:bidi="he-IL"/>
        </w:rPr>
        <w:t>raconte</w:t>
      </w:r>
      <w:r>
        <w:rPr>
          <w:rFonts w:eastAsia="Arial Unicode MS"/>
          <w:bCs/>
          <w:lang w:eastAsia="fr-FR" w:bidi="he-IL"/>
        </w:rPr>
        <w:t xml:space="preserve">, </w:t>
      </w:r>
      <w:r>
        <w:rPr>
          <w:rStyle w:val="italicus"/>
        </w:rPr>
        <w:t>De</w:t>
      </w:r>
      <w:r w:rsidRPr="00DC4586">
        <w:rPr>
          <w:rStyle w:val="italicus"/>
        </w:rPr>
        <w:t xml:space="preserve"> Spíritu sancto</w:t>
      </w:r>
      <w:r>
        <w:rPr>
          <w:rStyle w:val="italicus"/>
        </w:rPr>
        <w:t xml:space="preserve">, </w:t>
      </w:r>
      <w:r w:rsidRPr="00C8701B">
        <w:rPr>
          <w:rFonts w:eastAsia="Arial Unicode MS"/>
          <w:bCs/>
          <w:lang w:eastAsia="fr-FR" w:bidi="he-IL"/>
        </w:rPr>
        <w:t>c. 27</w:t>
      </w:r>
      <w:r>
        <w:rPr>
          <w:rFonts w:eastAsia="Arial Unicode MS"/>
          <w:bCs/>
          <w:lang w:eastAsia="fr-FR" w:bidi="he-IL"/>
        </w:rPr>
        <w:t xml:space="preserve">, </w:t>
      </w:r>
      <w:r w:rsidRPr="00C8701B">
        <w:rPr>
          <w:rFonts w:eastAsia="Arial Unicode MS"/>
          <w:bCs/>
          <w:lang w:eastAsia="fr-FR" w:bidi="he-IL"/>
        </w:rPr>
        <w:t>que jusqu</w:t>
      </w:r>
      <w:r w:rsidRPr="001C15F9">
        <w:rPr>
          <w:rFonts w:eastAsia="Arial Unicode MS"/>
          <w:bCs/>
          <w:lang w:eastAsia="fr-FR" w:bidi="he-IL"/>
        </w:rPr>
        <w:t>’</w:t>
      </w:r>
      <w:r w:rsidRPr="00C8701B">
        <w:rPr>
          <w:rFonts w:eastAsia="Arial Unicode MS"/>
          <w:bCs/>
          <w:lang w:eastAsia="fr-FR" w:bidi="he-IL"/>
        </w:rPr>
        <w:t xml:space="preserve">à son époque les </w:t>
      </w:r>
      <w:r w:rsidRPr="003A07A7">
        <w:t>prières et les formules liturgiques se transmirent de mémoire, « par un enseignement non écrit ».</w:t>
      </w:r>
    </w:p>
  </w:footnote>
  <w:footnote w:id="281">
    <w:p w:rsidR="00941AA6" w:rsidRPr="00933C60" w:rsidRDefault="00941AA6">
      <w:pPr>
        <w:pStyle w:val="Notedebasdepage"/>
      </w:pPr>
      <w:r w:rsidRPr="00C406FF">
        <w:rPr>
          <w:rStyle w:val="Appelnotedebasdep"/>
        </w:rPr>
        <w:footnoteRef/>
      </w:r>
      <w:r w:rsidRPr="00C8701B">
        <w:rPr>
          <w:rFonts w:eastAsia="Arial Unicode MS"/>
          <w:lang w:val="en-US" w:eastAsia="fr-FR" w:bidi="he-IL"/>
        </w:rPr>
        <w:t xml:space="preserve"> </w:t>
      </w:r>
      <w:r>
        <w:rPr>
          <w:rStyle w:val="italicus"/>
          <w:lang w:val="en-US"/>
        </w:rPr>
        <w:t>Ad Florin.</w:t>
      </w:r>
      <w:r w:rsidRPr="00A74F01">
        <w:rPr>
          <w:rStyle w:val="italicus"/>
          <w:lang w:val="en-US"/>
        </w:rPr>
        <w:t xml:space="preserve"> fragm.</w:t>
      </w:r>
      <w:r w:rsidRPr="00C8701B">
        <w:rPr>
          <w:rFonts w:eastAsia="Arial Unicode MS"/>
          <w:bCs/>
          <w:lang w:val="en-US" w:eastAsia="fr-FR" w:bidi="he-IL"/>
        </w:rPr>
        <w:t xml:space="preserve"> Cf. Euseb.</w:t>
      </w:r>
      <w:r w:rsidRPr="00A74F01">
        <w:rPr>
          <w:rStyle w:val="italicus"/>
          <w:lang w:val="en-US"/>
        </w:rPr>
        <w:t xml:space="preserve"> </w:t>
      </w:r>
      <w:r w:rsidRPr="00DC4586">
        <w:rPr>
          <w:rStyle w:val="italicus"/>
        </w:rPr>
        <w:t>Hist. eccl.</w:t>
      </w:r>
      <w:r>
        <w:rPr>
          <w:rStyle w:val="italicus"/>
        </w:rPr>
        <w:t xml:space="preserve">, </w:t>
      </w:r>
      <w:r>
        <w:rPr>
          <w:rFonts w:eastAsia="Arial Unicode MS"/>
          <w:bCs/>
          <w:lang w:eastAsia="fr-FR" w:bidi="he-IL"/>
        </w:rPr>
        <w:t xml:space="preserve">V, </w:t>
      </w:r>
      <w:r w:rsidRPr="00C8701B">
        <w:rPr>
          <w:rFonts w:eastAsia="Arial Unicode MS"/>
          <w:bCs/>
          <w:lang w:eastAsia="fr-FR" w:bidi="he-IL"/>
        </w:rPr>
        <w:t>20.</w:t>
      </w:r>
    </w:p>
  </w:footnote>
  <w:footnote w:id="282">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Pr>
          <w:rFonts w:eastAsia="Arial Unicode MS"/>
          <w:bCs/>
          <w:lang w:val="el-GR" w:eastAsia="fr-FR" w:bidi="he-IL"/>
        </w:rPr>
        <w:t xml:space="preserve">II, </w:t>
      </w:r>
      <w:r w:rsidRPr="00C8701B">
        <w:rPr>
          <w:rFonts w:eastAsia="Arial Unicode MS"/>
          <w:bCs/>
          <w:lang w:eastAsia="fr-FR" w:bidi="he-IL"/>
        </w:rPr>
        <w:t>1.</w:t>
      </w:r>
    </w:p>
  </w:footnote>
  <w:footnote w:id="283">
    <w:p w:rsidR="00941AA6" w:rsidRPr="00933C60" w:rsidRDefault="00941AA6">
      <w:pPr>
        <w:pStyle w:val="Notedebasdepage"/>
      </w:pPr>
      <w:r w:rsidRPr="00C406FF">
        <w:rPr>
          <w:rStyle w:val="Appelnotedebasdep"/>
        </w:rPr>
        <w:footnoteRef/>
      </w:r>
      <w:r>
        <w:rPr>
          <w:rFonts w:eastAsia="Arial Unicode MS"/>
          <w:bCs/>
          <w:lang w:eastAsia="fr-FR" w:bidi="he-IL"/>
        </w:rPr>
        <w:t xml:space="preserve"> </w:t>
      </w:r>
      <w:r w:rsidRPr="00C8701B">
        <w:rPr>
          <w:rFonts w:eastAsia="Arial Unicode MS"/>
          <w:bCs/>
          <w:lang w:eastAsia="fr-FR" w:bidi="he-IL"/>
        </w:rPr>
        <w:t xml:space="preserve">Le </w:t>
      </w:r>
      <w:r>
        <w:rPr>
          <w:rFonts w:eastAsia="Arial Unicode MS"/>
          <w:bCs/>
          <w:lang w:eastAsia="fr-FR" w:bidi="he-IL"/>
        </w:rPr>
        <w:t xml:space="preserve">Camus, </w:t>
      </w:r>
      <w:r>
        <w:rPr>
          <w:rStyle w:val="italicus"/>
        </w:rPr>
        <w:t>loc.</w:t>
      </w:r>
      <w:r w:rsidRPr="00DC4586">
        <w:rPr>
          <w:rStyle w:val="italicus"/>
        </w:rPr>
        <w:t xml:space="preserve"> cit.</w:t>
      </w:r>
      <w:r>
        <w:rPr>
          <w:rStyle w:val="italicus"/>
        </w:rPr>
        <w:t xml:space="preserve">, </w:t>
      </w:r>
      <w:r w:rsidRPr="00C8701B">
        <w:rPr>
          <w:rFonts w:eastAsia="Arial Unicode MS"/>
          <w:bCs/>
          <w:lang w:eastAsia="fr-FR" w:bidi="he-IL"/>
        </w:rPr>
        <w:t>p. 39.</w:t>
      </w:r>
    </w:p>
  </w:footnote>
  <w:footnote w:id="284">
    <w:p w:rsidR="00941AA6" w:rsidRPr="00933C60" w:rsidRDefault="00941AA6">
      <w:pPr>
        <w:pStyle w:val="Notedebasdepage"/>
      </w:pPr>
      <w:r w:rsidRPr="00C406FF">
        <w:rPr>
          <w:rStyle w:val="Appelnotedebasdep"/>
        </w:rPr>
        <w:footnoteRef/>
      </w:r>
      <w:r w:rsidRPr="00C8701B">
        <w:rPr>
          <w:rFonts w:eastAsia="Arial Unicode MS"/>
          <w:lang w:val="en-US" w:eastAsia="fr-FR" w:bidi="he-IL"/>
        </w:rPr>
        <w:t xml:space="preserve"> </w:t>
      </w:r>
      <w:r w:rsidRPr="00C8701B">
        <w:rPr>
          <w:rFonts w:eastAsia="Arial Unicode MS"/>
          <w:bCs/>
          <w:lang w:val="en-US" w:eastAsia="fr-FR" w:bidi="he-IL"/>
        </w:rPr>
        <w:t>Luc.</w:t>
      </w:r>
      <w:r>
        <w:rPr>
          <w:rFonts w:eastAsia="Arial Unicode MS"/>
          <w:bCs/>
          <w:lang w:val="en-US" w:eastAsia="fr-FR" w:bidi="he-IL"/>
        </w:rPr>
        <w:t xml:space="preserve"> I, </w:t>
      </w:r>
      <w:r w:rsidRPr="00C8701B">
        <w:rPr>
          <w:rFonts w:eastAsia="Arial Unicode MS"/>
          <w:bCs/>
          <w:lang w:val="en-US" w:eastAsia="fr-FR" w:bidi="he-IL"/>
        </w:rPr>
        <w:t>1.</w:t>
      </w:r>
    </w:p>
  </w:footnote>
  <w:footnote w:id="285">
    <w:p w:rsidR="00941AA6" w:rsidRPr="00933C60" w:rsidRDefault="00941AA6">
      <w:pPr>
        <w:pStyle w:val="Notedebasdepage"/>
      </w:pPr>
      <w:r w:rsidRPr="00C406FF">
        <w:rPr>
          <w:rStyle w:val="Appelnotedebasdep"/>
        </w:rPr>
        <w:footnoteRef/>
      </w:r>
      <w:r w:rsidRPr="00C8701B">
        <w:rPr>
          <w:rFonts w:eastAsia="Arial Unicode MS"/>
          <w:lang w:val="en-US" w:eastAsia="fr-FR" w:bidi="he-IL"/>
        </w:rPr>
        <w:t xml:space="preserve"> </w:t>
      </w:r>
      <w:r w:rsidRPr="00C8701B">
        <w:rPr>
          <w:rFonts w:eastAsia="Arial Unicode MS"/>
          <w:bCs/>
          <w:lang w:val="en-US" w:eastAsia="fr-FR" w:bidi="he-IL"/>
        </w:rPr>
        <w:t>Matth.</w:t>
      </w:r>
      <w:r>
        <w:rPr>
          <w:rFonts w:eastAsia="Arial Unicode MS"/>
          <w:bCs/>
          <w:lang w:val="en-US" w:eastAsia="fr-FR" w:bidi="he-IL"/>
        </w:rPr>
        <w:t xml:space="preserve"> I, </w:t>
      </w:r>
      <w:r w:rsidRPr="00C8701B">
        <w:rPr>
          <w:rFonts w:eastAsia="Arial Unicode MS"/>
          <w:bCs/>
          <w:lang w:val="en-US" w:eastAsia="fr-FR" w:bidi="he-IL"/>
        </w:rPr>
        <w:t>1-18 </w:t>
      </w:r>
      <w:r>
        <w:rPr>
          <w:rFonts w:eastAsia="Arial Unicode MS"/>
          <w:bCs/>
          <w:lang w:val="en-US" w:eastAsia="fr-FR" w:bidi="he-IL"/>
        </w:rPr>
        <w:t xml:space="preserve">; </w:t>
      </w:r>
      <w:r w:rsidRPr="00C8701B">
        <w:rPr>
          <w:rFonts w:eastAsia="Arial Unicode MS"/>
          <w:bCs/>
          <w:lang w:val="en-US" w:eastAsia="fr-FR" w:bidi="he-IL"/>
        </w:rPr>
        <w:t>Luc. III</w:t>
      </w:r>
      <w:r>
        <w:rPr>
          <w:rFonts w:eastAsia="Arial Unicode MS"/>
          <w:bCs/>
          <w:lang w:val="en-US" w:eastAsia="fr-FR" w:bidi="he-IL"/>
        </w:rPr>
        <w:t xml:space="preserve">, </w:t>
      </w:r>
      <w:r w:rsidRPr="00C8701B">
        <w:rPr>
          <w:rFonts w:eastAsia="Arial Unicode MS"/>
          <w:bCs/>
          <w:lang w:val="en-US" w:eastAsia="fr-FR" w:bidi="he-IL"/>
        </w:rPr>
        <w:t>23-38.</w:t>
      </w:r>
    </w:p>
  </w:footnote>
  <w:footnote w:id="286">
    <w:p w:rsidR="00941AA6" w:rsidRPr="00933C60" w:rsidRDefault="00941AA6">
      <w:pPr>
        <w:pStyle w:val="Notedebasdepage"/>
      </w:pPr>
      <w:r w:rsidRPr="00C406FF">
        <w:rPr>
          <w:rStyle w:val="Appelnotedebasdep"/>
        </w:rPr>
        <w:footnoteRef/>
      </w:r>
      <w:r w:rsidRPr="00C8701B">
        <w:rPr>
          <w:rFonts w:eastAsia="Arial Unicode MS"/>
          <w:lang w:val="en-US" w:eastAsia="fr-FR" w:bidi="he-IL"/>
        </w:rPr>
        <w:t xml:space="preserve"> </w:t>
      </w:r>
      <w:r w:rsidRPr="00A74F01">
        <w:rPr>
          <w:rStyle w:val="italicus"/>
          <w:lang w:val="en-US"/>
        </w:rPr>
        <w:t xml:space="preserve">Introduction to the Study of the Gospels, </w:t>
      </w:r>
      <w:r w:rsidRPr="00C8701B">
        <w:rPr>
          <w:rFonts w:eastAsia="Arial Unicode MS"/>
          <w:bCs/>
          <w:lang w:val="en-US" w:eastAsia="fr-FR" w:bidi="he-IL"/>
        </w:rPr>
        <w:t>p. 249 de la 5</w:t>
      </w:r>
      <w:r w:rsidRPr="00C8701B">
        <w:rPr>
          <w:rFonts w:eastAsia="Arial Unicode MS"/>
          <w:bCs/>
          <w:vertAlign w:val="superscript"/>
          <w:lang w:val="en-US" w:eastAsia="fr-FR" w:bidi="he-IL"/>
        </w:rPr>
        <w:t>e</w:t>
      </w:r>
      <w:r w:rsidRPr="00C8701B">
        <w:rPr>
          <w:rFonts w:eastAsia="Arial Unicode MS"/>
          <w:bCs/>
          <w:lang w:val="en-US" w:eastAsia="fr-FR" w:bidi="he-IL"/>
        </w:rPr>
        <w:t xml:space="preserve"> </w:t>
      </w:r>
      <w:r w:rsidRPr="00165881">
        <w:rPr>
          <w:lang w:val="en-GB"/>
        </w:rPr>
        <w:t>édition</w:t>
      </w:r>
      <w:r w:rsidRPr="00C8701B">
        <w:rPr>
          <w:rFonts w:eastAsia="Arial Unicode MS"/>
          <w:bCs/>
          <w:lang w:val="en-US" w:eastAsia="fr-FR" w:bidi="he-IL"/>
        </w:rPr>
        <w:t>.</w:t>
      </w:r>
    </w:p>
  </w:footnote>
  <w:footnote w:id="287">
    <w:p w:rsidR="00941AA6" w:rsidRPr="00933C60" w:rsidRDefault="00941AA6" w:rsidP="001A4F8D">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 xml:space="preserve">Pages </w:t>
      </w:r>
      <w:r w:rsidR="00691E6B">
        <w:rPr>
          <w:rFonts w:eastAsia="Arial Unicode MS"/>
          <w:bCs/>
          <w:lang w:eastAsia="fr-FR" w:bidi="he-IL"/>
        </w:rPr>
        <w:fldChar w:fldCharType="begin"/>
      </w:r>
      <w:r w:rsidR="001A4F8D">
        <w:rPr>
          <w:rFonts w:eastAsia="Arial Unicode MS"/>
          <w:bCs/>
          <w:lang w:eastAsia="fr-FR" w:bidi="he-IL"/>
        </w:rPr>
        <w:instrText xml:space="preserve"> PAGEREF evin070101 \h </w:instrText>
      </w:r>
      <w:r w:rsidR="00691E6B">
        <w:rPr>
          <w:rFonts w:eastAsia="Arial Unicode MS"/>
          <w:bCs/>
          <w:lang w:eastAsia="fr-FR" w:bidi="he-IL"/>
        </w:rPr>
      </w:r>
      <w:r w:rsidR="00691E6B">
        <w:rPr>
          <w:rFonts w:eastAsia="Arial Unicode MS"/>
          <w:bCs/>
          <w:lang w:eastAsia="fr-FR" w:bidi="he-IL"/>
        </w:rPr>
        <w:fldChar w:fldCharType="separate"/>
      </w:r>
      <w:r w:rsidR="00635395">
        <w:rPr>
          <w:rFonts w:eastAsia="Arial Unicode MS"/>
          <w:bCs/>
          <w:noProof/>
          <w:lang w:eastAsia="fr-FR" w:bidi="he-IL"/>
        </w:rPr>
        <w:t>20</w:t>
      </w:r>
      <w:r w:rsidR="00691E6B">
        <w:rPr>
          <w:rFonts w:eastAsia="Arial Unicode MS"/>
          <w:bCs/>
          <w:lang w:eastAsia="fr-FR" w:bidi="he-IL"/>
        </w:rPr>
        <w:fldChar w:fldCharType="end"/>
      </w:r>
      <w:r w:rsidR="001A4F8D">
        <w:rPr>
          <w:rFonts w:eastAsia="Arial Unicode MS"/>
          <w:bCs/>
          <w:lang w:eastAsia="fr-FR" w:bidi="he-IL"/>
        </w:rPr>
        <w:t>-</w:t>
      </w:r>
      <w:r w:rsidR="00691E6B">
        <w:rPr>
          <w:rFonts w:eastAsia="Arial Unicode MS"/>
          <w:bCs/>
          <w:lang w:eastAsia="fr-FR" w:bidi="he-IL"/>
        </w:rPr>
        <w:fldChar w:fldCharType="begin"/>
      </w:r>
      <w:r w:rsidR="001A4F8D">
        <w:rPr>
          <w:rFonts w:eastAsia="Arial Unicode MS"/>
          <w:bCs/>
          <w:lang w:eastAsia="fr-FR" w:bidi="he-IL"/>
        </w:rPr>
        <w:instrText xml:space="preserve"> PAGEREF evin0702 \h </w:instrText>
      </w:r>
      <w:r w:rsidR="00691E6B">
        <w:rPr>
          <w:rFonts w:eastAsia="Arial Unicode MS"/>
          <w:bCs/>
          <w:lang w:eastAsia="fr-FR" w:bidi="he-IL"/>
        </w:rPr>
      </w:r>
      <w:r w:rsidR="00691E6B">
        <w:rPr>
          <w:rFonts w:eastAsia="Arial Unicode MS"/>
          <w:bCs/>
          <w:lang w:eastAsia="fr-FR" w:bidi="he-IL"/>
        </w:rPr>
        <w:fldChar w:fldCharType="separate"/>
      </w:r>
      <w:r w:rsidR="00635395">
        <w:rPr>
          <w:rFonts w:eastAsia="Arial Unicode MS"/>
          <w:bCs/>
          <w:noProof/>
          <w:lang w:eastAsia="fr-FR" w:bidi="he-IL"/>
        </w:rPr>
        <w:t>21</w:t>
      </w:r>
      <w:r w:rsidR="00691E6B">
        <w:rPr>
          <w:rFonts w:eastAsia="Arial Unicode MS"/>
          <w:bCs/>
          <w:lang w:eastAsia="fr-FR" w:bidi="he-IL"/>
        </w:rPr>
        <w:fldChar w:fldCharType="end"/>
      </w:r>
      <w:r>
        <w:rPr>
          <w:rFonts w:eastAsia="Arial Unicode MS"/>
          <w:bCs/>
          <w:lang w:eastAsia="fr-FR" w:bidi="he-IL"/>
        </w:rPr>
        <w:t>[</w:t>
      </w:r>
      <w:r w:rsidRPr="00C8701B">
        <w:rPr>
          <w:rFonts w:eastAsia="Arial Unicode MS"/>
          <w:bCs/>
          <w:lang w:eastAsia="fr-FR" w:bidi="he-IL"/>
        </w:rPr>
        <w:t>26-27</w:t>
      </w:r>
      <w:r>
        <w:rPr>
          <w:rFonts w:eastAsia="Arial Unicode MS"/>
          <w:bCs/>
          <w:lang w:eastAsia="fr-FR" w:bidi="he-IL"/>
        </w:rPr>
        <w:t>]</w:t>
      </w:r>
      <w:r w:rsidRPr="00C8701B">
        <w:rPr>
          <w:rFonts w:eastAsia="Arial Unicode MS"/>
          <w:bCs/>
          <w:lang w:eastAsia="fr-FR" w:bidi="he-IL"/>
        </w:rPr>
        <w:t>.</w:t>
      </w:r>
    </w:p>
  </w:footnote>
  <w:footnote w:id="288">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Mœller</w:t>
      </w:r>
      <w:r>
        <w:rPr>
          <w:rFonts w:eastAsia="Arial Unicode MS"/>
          <w:bCs/>
          <w:lang w:eastAsia="fr-FR" w:bidi="he-IL"/>
        </w:rPr>
        <w:t xml:space="preserve">, </w:t>
      </w:r>
      <w:r>
        <w:rPr>
          <w:rStyle w:val="italicus"/>
        </w:rPr>
        <w:t>De gé</w:t>
      </w:r>
      <w:r w:rsidRPr="00DC4586">
        <w:rPr>
          <w:rStyle w:val="italicus"/>
        </w:rPr>
        <w:t>nii</w:t>
      </w:r>
      <w:r>
        <w:rPr>
          <w:rStyle w:val="italicus"/>
        </w:rPr>
        <w:t xml:space="preserve"> et índolis evangélii Joánnis p</w:t>
      </w:r>
      <w:r w:rsidRPr="00DC4586">
        <w:rPr>
          <w:rStyle w:val="italicus"/>
        </w:rPr>
        <w:t>rior</w:t>
      </w:r>
      <w:r>
        <w:rPr>
          <w:rStyle w:val="italicus"/>
        </w:rPr>
        <w:t>ú</w:t>
      </w:r>
      <w:r w:rsidRPr="00DC4586">
        <w:rPr>
          <w:rStyle w:val="italicus"/>
        </w:rPr>
        <w:t>mque evangeli</w:t>
      </w:r>
      <w:r>
        <w:rPr>
          <w:rStyle w:val="italicus"/>
        </w:rPr>
        <w:t>órum</w:t>
      </w:r>
      <w:r w:rsidRPr="00DC4586">
        <w:rPr>
          <w:rStyle w:val="italicus"/>
        </w:rPr>
        <w:t xml:space="preserve"> divérsa r</w:t>
      </w:r>
      <w:r>
        <w:rPr>
          <w:rStyle w:val="italicus"/>
        </w:rPr>
        <w:t xml:space="preserve">atióne, </w:t>
      </w:r>
      <w:r w:rsidRPr="00C8701B">
        <w:rPr>
          <w:rFonts w:eastAsia="Arial Unicode MS"/>
          <w:bCs/>
          <w:lang w:eastAsia="fr-FR" w:bidi="he-IL"/>
        </w:rPr>
        <w:t>Vratisl. 1816 </w:t>
      </w:r>
      <w:r>
        <w:rPr>
          <w:rFonts w:eastAsia="Arial Unicode MS"/>
          <w:bCs/>
          <w:lang w:eastAsia="fr-FR" w:bidi="he-IL"/>
        </w:rPr>
        <w:t xml:space="preserve">; </w:t>
      </w:r>
      <w:r w:rsidRPr="00C8701B">
        <w:rPr>
          <w:rFonts w:eastAsia="Arial Unicode MS"/>
          <w:bCs/>
          <w:lang w:eastAsia="fr-FR" w:bidi="he-IL"/>
        </w:rPr>
        <w:t>F. Fleck</w:t>
      </w:r>
      <w:r>
        <w:rPr>
          <w:rFonts w:eastAsia="Arial Unicode MS"/>
          <w:bCs/>
          <w:lang w:eastAsia="fr-FR" w:bidi="he-IL"/>
        </w:rPr>
        <w:t xml:space="preserve">, </w:t>
      </w:r>
      <w:r>
        <w:rPr>
          <w:rStyle w:val="italicus"/>
        </w:rPr>
        <w:t>De imagine Christi Joánnea et synó</w:t>
      </w:r>
      <w:r w:rsidRPr="00DC4586">
        <w:rPr>
          <w:rStyle w:val="italicus"/>
        </w:rPr>
        <w:t>ptica</w:t>
      </w:r>
      <w:r>
        <w:rPr>
          <w:rStyle w:val="italicus"/>
        </w:rPr>
        <w:t xml:space="preserve">, </w:t>
      </w:r>
      <w:r w:rsidRPr="00C8701B">
        <w:rPr>
          <w:rFonts w:eastAsia="Arial Unicode MS"/>
          <w:bCs/>
          <w:lang w:eastAsia="fr-FR" w:bidi="he-IL"/>
        </w:rPr>
        <w:t>Leipzig 1831 </w:t>
      </w:r>
      <w:r>
        <w:rPr>
          <w:rFonts w:eastAsia="Arial Unicode MS"/>
          <w:bCs/>
          <w:lang w:eastAsia="fr-FR" w:bidi="he-IL"/>
        </w:rPr>
        <w:t xml:space="preserve">; </w:t>
      </w:r>
      <w:r w:rsidRPr="00C8701B">
        <w:rPr>
          <w:rFonts w:eastAsia="Arial Unicode MS"/>
          <w:bCs/>
          <w:lang w:eastAsia="fr-FR" w:bidi="he-IL"/>
        </w:rPr>
        <w:t>J. Langen</w:t>
      </w:r>
      <w:r>
        <w:rPr>
          <w:rFonts w:eastAsia="Arial Unicode MS"/>
          <w:bCs/>
          <w:lang w:eastAsia="fr-FR" w:bidi="he-IL"/>
        </w:rPr>
        <w:t xml:space="preserve">, </w:t>
      </w:r>
      <w:r>
        <w:rPr>
          <w:rStyle w:val="italicus"/>
        </w:rPr>
        <w:t>Grundriss der Einleitung in</w:t>
      </w:r>
      <w:r w:rsidRPr="00DC4586">
        <w:rPr>
          <w:rStyle w:val="italicus"/>
        </w:rPr>
        <w:t xml:space="preserve"> das Neue Testament</w:t>
      </w:r>
      <w:r>
        <w:rPr>
          <w:rStyle w:val="italicus"/>
        </w:rPr>
        <w:t xml:space="preserve">, </w:t>
      </w:r>
      <w:r w:rsidRPr="00C8701B">
        <w:rPr>
          <w:rFonts w:eastAsia="Arial Unicode MS"/>
          <w:bCs/>
          <w:lang w:eastAsia="fr-FR" w:bidi="he-IL"/>
        </w:rPr>
        <w:t>p. 76 et ss. </w:t>
      </w:r>
      <w:r>
        <w:rPr>
          <w:rFonts w:eastAsia="Arial Unicode MS"/>
          <w:bCs/>
          <w:lang w:eastAsia="fr-FR" w:bidi="he-IL"/>
        </w:rPr>
        <w:t xml:space="preserve">; </w:t>
      </w:r>
      <w:r w:rsidRPr="00C8701B">
        <w:rPr>
          <w:rFonts w:eastAsia="Arial Unicode MS"/>
          <w:bCs/>
          <w:lang w:eastAsia="fr-FR" w:bidi="he-IL"/>
        </w:rPr>
        <w:t>J. Grimm</w:t>
      </w:r>
      <w:r>
        <w:rPr>
          <w:rFonts w:eastAsia="Arial Unicode MS"/>
          <w:bCs/>
          <w:lang w:eastAsia="fr-FR" w:bidi="he-IL"/>
        </w:rPr>
        <w:t xml:space="preserve">, </w:t>
      </w:r>
      <w:r w:rsidRPr="00DC4586">
        <w:rPr>
          <w:rStyle w:val="italicus"/>
        </w:rPr>
        <w:t>Die Einheit der vier Evangelien</w:t>
      </w:r>
      <w:r>
        <w:rPr>
          <w:rStyle w:val="italicus"/>
        </w:rPr>
        <w:t xml:space="preserve">, </w:t>
      </w:r>
      <w:r w:rsidRPr="00C8701B">
        <w:rPr>
          <w:rFonts w:eastAsia="Arial Unicode MS"/>
          <w:bCs/>
          <w:lang w:eastAsia="fr-FR" w:bidi="he-IL"/>
        </w:rPr>
        <w:t>p. 590 et 88. </w:t>
      </w:r>
      <w:r>
        <w:rPr>
          <w:rFonts w:eastAsia="Arial Unicode MS"/>
          <w:bCs/>
          <w:lang w:eastAsia="fr-FR" w:bidi="he-IL"/>
        </w:rPr>
        <w:t xml:space="preserve">; </w:t>
      </w:r>
      <w:r w:rsidRPr="00C8701B">
        <w:rPr>
          <w:rFonts w:eastAsia="Arial Unicode MS"/>
          <w:bCs/>
          <w:lang w:eastAsia="fr-FR" w:bidi="he-IL"/>
        </w:rPr>
        <w:t>Westcott</w:t>
      </w:r>
      <w:r>
        <w:rPr>
          <w:rFonts w:eastAsia="Arial Unicode MS"/>
          <w:bCs/>
          <w:lang w:eastAsia="fr-FR" w:bidi="he-IL"/>
        </w:rPr>
        <w:t xml:space="preserve">, </w:t>
      </w:r>
      <w:r w:rsidRPr="00DC4586">
        <w:rPr>
          <w:rStyle w:val="italicus"/>
        </w:rPr>
        <w:t>An introduction to the Study of the Gospels</w:t>
      </w:r>
      <w:r>
        <w:rPr>
          <w:rStyle w:val="italicus"/>
        </w:rPr>
        <w:t xml:space="preserve">, </w:t>
      </w:r>
      <w:r w:rsidRPr="00C8701B">
        <w:rPr>
          <w:rFonts w:eastAsia="Arial Unicode MS"/>
          <w:bCs/>
          <w:lang w:eastAsia="fr-FR" w:bidi="he-IL"/>
        </w:rPr>
        <w:t>p. 249 et ss. de la 5</w:t>
      </w:r>
      <w:r w:rsidRPr="003A07A7">
        <w:rPr>
          <w:rFonts w:eastAsia="Arial Unicode MS"/>
          <w:bCs/>
          <w:vertAlign w:val="superscript"/>
          <w:lang w:eastAsia="fr-FR" w:bidi="he-IL"/>
        </w:rPr>
        <w:t>e</w:t>
      </w:r>
      <w:r>
        <w:rPr>
          <w:rFonts w:eastAsia="Arial Unicode MS"/>
          <w:bCs/>
          <w:lang w:eastAsia="fr-FR" w:bidi="he-IL"/>
        </w:rPr>
        <w:t xml:space="preserve"> </w:t>
      </w:r>
      <w:r w:rsidRPr="00C8701B">
        <w:rPr>
          <w:rFonts w:eastAsia="Arial Unicode MS"/>
          <w:bCs/>
          <w:lang w:eastAsia="fr-FR" w:bidi="he-IL"/>
        </w:rPr>
        <w:t>édit. </w:t>
      </w:r>
      <w:r>
        <w:rPr>
          <w:rFonts w:eastAsia="Arial Unicode MS"/>
          <w:bCs/>
          <w:lang w:eastAsia="fr-FR" w:bidi="he-IL"/>
        </w:rPr>
        <w:t xml:space="preserve">; </w:t>
      </w:r>
      <w:r w:rsidRPr="00C8701B">
        <w:rPr>
          <w:rFonts w:eastAsia="Arial Unicode MS"/>
          <w:bCs/>
          <w:lang w:eastAsia="fr-FR" w:bidi="he-IL"/>
        </w:rPr>
        <w:t>Cornely</w:t>
      </w:r>
      <w:r>
        <w:rPr>
          <w:rFonts w:eastAsia="Arial Unicode MS"/>
          <w:bCs/>
          <w:lang w:eastAsia="fr-FR" w:bidi="he-IL"/>
        </w:rPr>
        <w:t xml:space="preserve">, </w:t>
      </w:r>
      <w:r w:rsidRPr="00DC4586">
        <w:rPr>
          <w:rStyle w:val="italicus"/>
        </w:rPr>
        <w:t>Hist</w:t>
      </w:r>
      <w:r>
        <w:rPr>
          <w:rStyle w:val="italicus"/>
        </w:rPr>
        <w:t>órica</w:t>
      </w:r>
      <w:r w:rsidRPr="00DC4586">
        <w:rPr>
          <w:rStyle w:val="italicus"/>
        </w:rPr>
        <w:t xml:space="preserve"> et </w:t>
      </w:r>
      <w:r>
        <w:rPr>
          <w:rStyle w:val="italicus"/>
        </w:rPr>
        <w:t>crítica</w:t>
      </w:r>
      <w:r w:rsidRPr="00DC4586">
        <w:rPr>
          <w:rStyle w:val="italicus"/>
        </w:rPr>
        <w:t xml:space="preserve"> Introd</w:t>
      </w:r>
      <w:r>
        <w:rPr>
          <w:rStyle w:val="italicus"/>
        </w:rPr>
        <w:t>úctio</w:t>
      </w:r>
      <w:r w:rsidRPr="00DC4586">
        <w:rPr>
          <w:rStyle w:val="italicus"/>
        </w:rPr>
        <w:t xml:space="preserve"> in utri</w:t>
      </w:r>
      <w:r>
        <w:rPr>
          <w:rStyle w:val="italicus"/>
        </w:rPr>
        <w:t>ú</w:t>
      </w:r>
      <w:r w:rsidRPr="00DC4586">
        <w:rPr>
          <w:rStyle w:val="italicus"/>
        </w:rPr>
        <w:t>sque Te</w:t>
      </w:r>
      <w:r>
        <w:rPr>
          <w:rStyle w:val="italicus"/>
        </w:rPr>
        <w:t>staménti</w:t>
      </w:r>
      <w:r w:rsidRPr="00DC4586">
        <w:rPr>
          <w:rStyle w:val="italicus"/>
        </w:rPr>
        <w:t xml:space="preserve"> libros sacros</w:t>
      </w:r>
      <w:r>
        <w:rPr>
          <w:rStyle w:val="italicus"/>
        </w:rPr>
        <w:t xml:space="preserve">, </w:t>
      </w:r>
      <w:r w:rsidRPr="00C8701B">
        <w:rPr>
          <w:rFonts w:eastAsia="Arial Unicode MS"/>
          <w:bCs/>
          <w:lang w:eastAsia="fr-FR" w:bidi="he-IL"/>
        </w:rPr>
        <w:t>t. III</w:t>
      </w:r>
      <w:r>
        <w:rPr>
          <w:rFonts w:eastAsia="Arial Unicode MS"/>
          <w:bCs/>
          <w:lang w:eastAsia="fr-FR" w:bidi="he-IL"/>
        </w:rPr>
        <w:t xml:space="preserve">, </w:t>
      </w:r>
      <w:r w:rsidRPr="00C8701B">
        <w:rPr>
          <w:rFonts w:eastAsia="Arial Unicode MS"/>
          <w:bCs/>
          <w:lang w:eastAsia="fr-FR" w:bidi="he-IL"/>
        </w:rPr>
        <w:t>p. 261 et ss. </w:t>
      </w:r>
      <w:r>
        <w:rPr>
          <w:rFonts w:eastAsia="Arial Unicode MS"/>
          <w:bCs/>
          <w:lang w:eastAsia="fr-FR" w:bidi="he-IL"/>
        </w:rPr>
        <w:t xml:space="preserve">; </w:t>
      </w:r>
      <w:r w:rsidRPr="00C8701B">
        <w:rPr>
          <w:rFonts w:eastAsia="Arial Unicode MS"/>
          <w:bCs/>
          <w:lang w:eastAsia="fr-FR" w:bidi="he-IL"/>
        </w:rPr>
        <w:t>F.-</w:t>
      </w:r>
      <w:r>
        <w:rPr>
          <w:rFonts w:eastAsia="Arial Unicode MS"/>
          <w:bCs/>
          <w:lang w:eastAsia="fr-FR" w:bidi="he-IL"/>
        </w:rPr>
        <w:t>X</w:t>
      </w:r>
      <w:r w:rsidRPr="00C8701B">
        <w:rPr>
          <w:rFonts w:eastAsia="Arial Unicode MS"/>
          <w:bCs/>
          <w:lang w:eastAsia="fr-FR" w:bidi="he-IL"/>
        </w:rPr>
        <w:t>. Pœlzl</w:t>
      </w:r>
      <w:r>
        <w:rPr>
          <w:rFonts w:eastAsia="Arial Unicode MS"/>
          <w:bCs/>
          <w:lang w:eastAsia="fr-FR" w:bidi="he-IL"/>
        </w:rPr>
        <w:t xml:space="preserve">, </w:t>
      </w:r>
      <w:r>
        <w:rPr>
          <w:rStyle w:val="italicus"/>
        </w:rPr>
        <w:t>Kurzgefasster Commentar z</w:t>
      </w:r>
      <w:r w:rsidRPr="00DC4586">
        <w:rPr>
          <w:rStyle w:val="italicus"/>
        </w:rPr>
        <w:t xml:space="preserve">u den vier heilig. </w:t>
      </w:r>
      <w:r w:rsidRPr="000819BA">
        <w:rPr>
          <w:rStyle w:val="italicus"/>
          <w:lang w:val="de-AT"/>
        </w:rPr>
        <w:t xml:space="preserve">Evangelien, </w:t>
      </w:r>
      <w:r w:rsidRPr="000819BA">
        <w:rPr>
          <w:rFonts w:eastAsia="Arial Unicode MS"/>
          <w:bCs/>
          <w:lang w:val="de-AT" w:eastAsia="fr-FR" w:bidi="he-IL"/>
        </w:rPr>
        <w:t>t. III, p. XIX</w:t>
      </w:r>
      <w:r>
        <w:rPr>
          <w:rFonts w:eastAsia="Arial Unicode MS"/>
          <w:bCs/>
          <w:lang w:val="de-AT" w:eastAsia="fr-FR" w:bidi="he-IL"/>
        </w:rPr>
        <w:t xml:space="preserve"> et ss.</w:t>
      </w:r>
    </w:p>
  </w:footnote>
  <w:footnote w:id="289">
    <w:p w:rsidR="00941AA6" w:rsidRPr="00933C60" w:rsidRDefault="00941AA6">
      <w:pPr>
        <w:pStyle w:val="Notedebasdepage"/>
      </w:pPr>
      <w:r w:rsidRPr="00C406FF">
        <w:rPr>
          <w:rStyle w:val="Appelnotedebasdep"/>
        </w:rPr>
        <w:footnoteRef/>
      </w:r>
      <w:r>
        <w:rPr>
          <w:rFonts w:eastAsia="Arial Unicode MS"/>
          <w:bCs/>
          <w:lang w:val="de-AT" w:eastAsia="fr-FR" w:bidi="he-IL"/>
        </w:rPr>
        <w:t xml:space="preserve"> </w:t>
      </w:r>
      <w:r w:rsidRPr="000819BA">
        <w:rPr>
          <w:rFonts w:eastAsia="Arial Unicode MS"/>
          <w:bCs/>
          <w:lang w:val="de-AT" w:eastAsia="fr-FR" w:bidi="he-IL"/>
        </w:rPr>
        <w:t>Voyez F. Kaulen.</w:t>
      </w:r>
      <w:r w:rsidRPr="000819BA">
        <w:rPr>
          <w:rStyle w:val="italicus"/>
          <w:lang w:val="de-AT"/>
        </w:rPr>
        <w:t xml:space="preserve"> Einleitung, </w:t>
      </w:r>
      <w:r w:rsidRPr="000819BA">
        <w:rPr>
          <w:rFonts w:eastAsia="Arial Unicode MS"/>
          <w:bCs/>
          <w:lang w:val="de-AT" w:eastAsia="fr-FR" w:bidi="he-IL"/>
        </w:rPr>
        <w:t>p. 377. Cf</w:t>
      </w:r>
      <w:r>
        <w:rPr>
          <w:rFonts w:eastAsia="Arial Unicode MS"/>
          <w:bCs/>
          <w:lang w:val="de-AT" w:eastAsia="fr-FR" w:bidi="he-IL"/>
        </w:rPr>
        <w:t xml:space="preserve">. </w:t>
      </w:r>
      <w:r w:rsidRPr="000819BA">
        <w:rPr>
          <w:rFonts w:eastAsia="Arial Unicode MS"/>
          <w:bCs/>
          <w:lang w:val="de-AT" w:eastAsia="fr-FR" w:bidi="he-IL"/>
        </w:rPr>
        <w:t xml:space="preserve">A. Maier, </w:t>
      </w:r>
      <w:r w:rsidRPr="000819BA">
        <w:rPr>
          <w:rStyle w:val="italicus"/>
          <w:lang w:val="de-AT"/>
        </w:rPr>
        <w:t xml:space="preserve">Einleitung, </w:t>
      </w:r>
      <w:r w:rsidRPr="000819BA">
        <w:rPr>
          <w:rFonts w:eastAsia="Arial Unicode MS"/>
          <w:bCs/>
          <w:lang w:val="de-AT" w:eastAsia="fr-FR" w:bidi="he-IL"/>
        </w:rPr>
        <w:t>p. 125 et ss.</w:t>
      </w:r>
    </w:p>
  </w:footnote>
  <w:footnote w:id="290">
    <w:p w:rsidR="00941AA6" w:rsidRPr="00933C60" w:rsidRDefault="00941AA6">
      <w:pPr>
        <w:pStyle w:val="Notedebasdepage"/>
      </w:pPr>
      <w:r w:rsidRPr="00C406FF">
        <w:rPr>
          <w:rStyle w:val="Appelnotedebasdep"/>
        </w:rPr>
        <w:footnoteRef/>
      </w:r>
      <w:r w:rsidRPr="00C8701B">
        <w:rPr>
          <w:rFonts w:eastAsia="Arial Unicode MS"/>
          <w:lang w:val="en-US" w:eastAsia="fr-FR" w:bidi="he-IL"/>
        </w:rPr>
        <w:t xml:space="preserve"> </w:t>
      </w:r>
      <w:r w:rsidRPr="00C8701B">
        <w:rPr>
          <w:rFonts w:eastAsia="Arial Unicode MS"/>
          <w:bCs/>
          <w:lang w:val="en-US" w:eastAsia="fr-FR" w:bidi="he-IL"/>
        </w:rPr>
        <w:t>Thomson</w:t>
      </w:r>
      <w:r>
        <w:rPr>
          <w:rFonts w:eastAsia="Arial Unicode MS"/>
          <w:bCs/>
          <w:lang w:val="en-US" w:eastAsia="fr-FR" w:bidi="he-IL"/>
        </w:rPr>
        <w:t xml:space="preserve">, </w:t>
      </w:r>
      <w:r w:rsidRPr="00A74F01">
        <w:rPr>
          <w:rStyle w:val="italicus"/>
          <w:lang w:val="en-US"/>
        </w:rPr>
        <w:t xml:space="preserve">Word, Work and Will, </w:t>
      </w:r>
      <w:r w:rsidRPr="00C8701B">
        <w:rPr>
          <w:rFonts w:eastAsia="Arial Unicode MS"/>
          <w:bCs/>
          <w:lang w:val="en-US" w:eastAsia="fr-FR" w:bidi="he-IL"/>
        </w:rPr>
        <w:t>p. 2.</w:t>
      </w:r>
    </w:p>
  </w:footnote>
  <w:footnote w:id="291">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notre commentaire sur l’</w:t>
      </w:r>
      <w:r>
        <w:rPr>
          <w:rFonts w:eastAsia="Arial Unicode MS"/>
          <w:bCs/>
          <w:lang w:eastAsia="fr-FR" w:bidi="he-IL"/>
        </w:rPr>
        <w:t>Évangile</w:t>
      </w:r>
      <w:r w:rsidRPr="00C8701B">
        <w:rPr>
          <w:rFonts w:eastAsia="Arial Unicode MS"/>
          <w:bCs/>
          <w:lang w:eastAsia="fr-FR" w:bidi="he-IL"/>
        </w:rPr>
        <w:t xml:space="preserve"> selon S. Jean</w:t>
      </w:r>
      <w:r>
        <w:rPr>
          <w:rFonts w:eastAsia="Arial Unicode MS"/>
          <w:bCs/>
          <w:lang w:eastAsia="fr-FR" w:bidi="he-IL"/>
        </w:rPr>
        <w:t xml:space="preserve">, </w:t>
      </w:r>
      <w:r w:rsidRPr="00C8701B">
        <w:rPr>
          <w:rFonts w:eastAsia="Arial Unicode MS"/>
          <w:bCs/>
          <w:lang w:eastAsia="fr-FR" w:bidi="he-IL"/>
        </w:rPr>
        <w:t>Introduction</w:t>
      </w:r>
      <w:r>
        <w:rPr>
          <w:rFonts w:eastAsia="Arial Unicode MS"/>
          <w:bCs/>
          <w:lang w:eastAsia="fr-FR" w:bidi="he-IL"/>
        </w:rPr>
        <w:t xml:space="preserve">, </w:t>
      </w:r>
      <w:r w:rsidRPr="00C8701B">
        <w:rPr>
          <w:rFonts w:eastAsia="Arial Unicode MS"/>
          <w:bCs/>
          <w:lang w:eastAsia="fr-FR" w:bidi="he-IL"/>
        </w:rPr>
        <w:t>p. LI-LII.</w:t>
      </w:r>
    </w:p>
  </w:footnote>
  <w:footnote w:id="292">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De consénsu evangel.</w:t>
      </w:r>
      <w:r>
        <w:rPr>
          <w:rStyle w:val="italicus"/>
        </w:rPr>
        <w:t>,</w:t>
      </w:r>
      <w:r w:rsidRPr="003A07A7">
        <w:t xml:space="preserve"> I, 5.</w:t>
      </w:r>
    </w:p>
  </w:footnote>
  <w:footnote w:id="293">
    <w:p w:rsidR="00941AA6" w:rsidRPr="00933C60" w:rsidRDefault="00941AA6">
      <w:pPr>
        <w:pStyle w:val="Notedebasdepage"/>
      </w:pPr>
      <w:r w:rsidRPr="00C406FF">
        <w:rPr>
          <w:rStyle w:val="Appelnotedebasdep"/>
        </w:rPr>
        <w:footnoteRef/>
      </w:r>
      <w:r w:rsidRPr="00C8701B">
        <w:rPr>
          <w:rFonts w:eastAsia="Arial Unicode MS"/>
          <w:bCs/>
          <w:lang w:eastAsia="fr-FR" w:bidi="he-IL"/>
        </w:rPr>
        <w:t xml:space="preserve"> Ap. Euseb.</w:t>
      </w:r>
      <w:r>
        <w:rPr>
          <w:rFonts w:eastAsia="Arial Unicode MS"/>
          <w:bCs/>
          <w:lang w:eastAsia="fr-FR" w:bidi="he-IL"/>
        </w:rPr>
        <w:t xml:space="preserve">, </w:t>
      </w:r>
      <w:r w:rsidRPr="00DC4586">
        <w:rPr>
          <w:rStyle w:val="italicus"/>
        </w:rPr>
        <w:t>Hist. eccl.</w:t>
      </w:r>
      <w:r w:rsidRPr="00C8701B">
        <w:rPr>
          <w:rFonts w:eastAsia="Arial Unicode MS"/>
          <w:bCs/>
          <w:lang w:eastAsia="fr-FR" w:bidi="he-IL"/>
        </w:rPr>
        <w:t xml:space="preserve"> </w:t>
      </w:r>
      <w:r>
        <w:rPr>
          <w:rFonts w:eastAsia="Arial Unicode MS"/>
          <w:bCs/>
          <w:lang w:eastAsia="fr-FR" w:bidi="he-IL"/>
        </w:rPr>
        <w:t xml:space="preserve">VI, </w:t>
      </w:r>
      <w:r w:rsidRPr="00C8701B">
        <w:rPr>
          <w:rFonts w:eastAsia="Arial Unicode MS"/>
          <w:bCs/>
          <w:lang w:eastAsia="fr-FR" w:bidi="he-IL"/>
        </w:rPr>
        <w:t>14. Voyez notre.</w:t>
      </w:r>
      <w:r w:rsidRPr="00DC4586">
        <w:rPr>
          <w:rStyle w:val="italicus"/>
        </w:rPr>
        <w:t xml:space="preserve"> Commentaire de l’Évangile selon S. Jean</w:t>
      </w:r>
      <w:r>
        <w:rPr>
          <w:rStyle w:val="italicus"/>
        </w:rPr>
        <w:t xml:space="preserve">, </w:t>
      </w:r>
      <w:r w:rsidRPr="00C8701B">
        <w:rPr>
          <w:rFonts w:eastAsia="Arial Unicode MS"/>
          <w:bCs/>
          <w:lang w:eastAsia="fr-FR" w:bidi="he-IL"/>
        </w:rPr>
        <w:t>p. LI.</w:t>
      </w:r>
    </w:p>
  </w:footnote>
  <w:footnote w:id="294">
    <w:p w:rsidR="00941AA6" w:rsidRPr="00933C60" w:rsidRDefault="00941AA6">
      <w:pPr>
        <w:pStyle w:val="Notedebasdepage"/>
      </w:pPr>
      <w:r w:rsidRPr="00C406FF">
        <w:rPr>
          <w:rStyle w:val="Appelnotedebasdep"/>
        </w:rPr>
        <w:footnoteRef/>
      </w:r>
      <w:r w:rsidRPr="00DC4586">
        <w:rPr>
          <w:rStyle w:val="italicus"/>
        </w:rPr>
        <w:t xml:space="preserve"> La théologie johannique</w:t>
      </w:r>
      <w:r>
        <w:rPr>
          <w:rStyle w:val="italicus"/>
        </w:rPr>
        <w:t xml:space="preserve">, </w:t>
      </w:r>
      <w:r w:rsidRPr="00C8701B">
        <w:rPr>
          <w:rFonts w:eastAsia="Arial Unicode MS"/>
          <w:bCs/>
          <w:lang w:eastAsia="fr-FR" w:bidi="he-IL"/>
        </w:rPr>
        <w:t>Paris</w:t>
      </w:r>
      <w:r>
        <w:rPr>
          <w:rFonts w:eastAsia="Arial Unicode MS"/>
          <w:bCs/>
          <w:lang w:eastAsia="fr-FR" w:bidi="he-IL"/>
        </w:rPr>
        <w:t xml:space="preserve">, </w:t>
      </w:r>
      <w:r w:rsidRPr="00C8701B">
        <w:rPr>
          <w:rFonts w:eastAsia="Arial Unicode MS"/>
          <w:bCs/>
          <w:lang w:eastAsia="fr-FR" w:bidi="he-IL"/>
        </w:rPr>
        <w:t>1879</w:t>
      </w:r>
      <w:r>
        <w:rPr>
          <w:rFonts w:eastAsia="Arial Unicode MS"/>
          <w:bCs/>
          <w:lang w:eastAsia="fr-FR" w:bidi="he-IL"/>
        </w:rPr>
        <w:t xml:space="preserve">, </w:t>
      </w:r>
      <w:r w:rsidRPr="00C8701B">
        <w:rPr>
          <w:rFonts w:eastAsia="Arial Unicode MS"/>
          <w:bCs/>
          <w:lang w:eastAsia="fr-FR" w:bidi="he-IL"/>
        </w:rPr>
        <w:t xml:space="preserve">p. </w:t>
      </w:r>
      <w:r w:rsidRPr="003A07A7">
        <w:t>12.</w:t>
      </w:r>
    </w:p>
  </w:footnote>
  <w:footnote w:id="295">
    <w:p w:rsidR="00941AA6" w:rsidRPr="00933C60" w:rsidRDefault="00941AA6">
      <w:pPr>
        <w:pStyle w:val="Notedebasdepage"/>
      </w:pPr>
      <w:r w:rsidRPr="00C406FF">
        <w:rPr>
          <w:rStyle w:val="Appelnotedebasdep"/>
        </w:rPr>
        <w:footnoteRef/>
      </w:r>
      <w:r w:rsidRPr="00C8701B">
        <w:rPr>
          <w:rFonts w:eastAsia="Arial Unicode MS"/>
          <w:bCs/>
          <w:lang w:eastAsia="fr-FR" w:bidi="he-IL"/>
        </w:rPr>
        <w:t xml:space="preserve"> M. Reuss ne s’écarte pas moins de la vérité</w:t>
      </w:r>
      <w:r>
        <w:rPr>
          <w:rFonts w:eastAsia="Arial Unicode MS"/>
          <w:bCs/>
          <w:lang w:eastAsia="fr-FR" w:bidi="he-IL"/>
        </w:rPr>
        <w:t xml:space="preserve">, </w:t>
      </w:r>
      <w:r w:rsidRPr="00C8701B">
        <w:rPr>
          <w:rFonts w:eastAsia="Arial Unicode MS"/>
          <w:bCs/>
          <w:lang w:eastAsia="fr-FR" w:bidi="he-IL"/>
        </w:rPr>
        <w:t>lorsqu’il établit dans les termes suivants la différence des paroles de Notre-Seigneur dans l’une et l’autre rédaction :</w:t>
      </w:r>
      <w:r>
        <w:rPr>
          <w:rFonts w:eastAsia="Arial Unicode MS"/>
          <w:bCs/>
          <w:lang w:eastAsia="fr-FR" w:bidi="he-IL"/>
        </w:rPr>
        <w:t xml:space="preserve"> « </w:t>
      </w:r>
      <w:r w:rsidRPr="00C8701B">
        <w:rPr>
          <w:rFonts w:eastAsia="Arial Unicode MS"/>
          <w:bCs/>
          <w:lang w:eastAsia="fr-FR" w:bidi="he-IL"/>
        </w:rPr>
        <w:t>Là (dans les synoptiques) Jésus a recours tantôt à la simple narration parabolique</w:t>
      </w:r>
      <w:r>
        <w:rPr>
          <w:rFonts w:eastAsia="Arial Unicode MS"/>
          <w:bCs/>
          <w:lang w:eastAsia="fr-FR" w:bidi="he-IL"/>
        </w:rPr>
        <w:t xml:space="preserve">, </w:t>
      </w:r>
      <w:r w:rsidRPr="00C8701B">
        <w:rPr>
          <w:rFonts w:eastAsia="Arial Unicode MS"/>
          <w:bCs/>
          <w:lang w:eastAsia="fr-FR" w:bidi="he-IL"/>
        </w:rPr>
        <w:t>pour inculquer un précepte de morale</w:t>
      </w:r>
      <w:r>
        <w:rPr>
          <w:rFonts w:eastAsia="Arial Unicode MS"/>
          <w:bCs/>
          <w:lang w:eastAsia="fr-FR" w:bidi="he-IL"/>
        </w:rPr>
        <w:t xml:space="preserve">, </w:t>
      </w:r>
      <w:r w:rsidRPr="00C8701B">
        <w:rPr>
          <w:rFonts w:eastAsia="Arial Unicode MS"/>
          <w:bCs/>
          <w:lang w:eastAsia="fr-FR" w:bidi="he-IL"/>
        </w:rPr>
        <w:t>ou pour caractériser le but de toute son œuvre</w:t>
      </w:r>
      <w:r>
        <w:rPr>
          <w:rFonts w:eastAsia="Arial Unicode MS"/>
          <w:bCs/>
          <w:lang w:eastAsia="fr-FR" w:bidi="he-IL"/>
        </w:rPr>
        <w:t>, tantôt à l</w:t>
      </w:r>
      <w:r w:rsidRPr="00C8701B">
        <w:rPr>
          <w:rFonts w:eastAsia="Arial Unicode MS"/>
          <w:bCs/>
          <w:lang w:eastAsia="fr-FR" w:bidi="he-IL"/>
        </w:rPr>
        <w:t>’exagération paradoxale</w:t>
      </w:r>
      <w:r>
        <w:rPr>
          <w:rFonts w:eastAsia="Arial Unicode MS"/>
          <w:bCs/>
          <w:lang w:eastAsia="fr-FR" w:bidi="he-IL"/>
        </w:rPr>
        <w:t xml:space="preserve">, </w:t>
      </w:r>
      <w:r w:rsidRPr="00C8701B">
        <w:rPr>
          <w:rFonts w:eastAsia="Arial Unicode MS"/>
          <w:bCs/>
          <w:lang w:eastAsia="fr-FR" w:bidi="he-IL"/>
        </w:rPr>
        <w:t>pour frapper à la fois l’imagi</w:t>
      </w:r>
      <w:r>
        <w:rPr>
          <w:rFonts w:eastAsia="Arial Unicode MS"/>
          <w:bCs/>
          <w:lang w:eastAsia="fr-FR" w:bidi="he-IL"/>
        </w:rPr>
        <w:t>n</w:t>
      </w:r>
      <w:r w:rsidRPr="00C8701B">
        <w:rPr>
          <w:rFonts w:eastAsia="Arial Unicode MS"/>
          <w:bCs/>
          <w:lang w:eastAsia="fr-FR" w:bidi="he-IL"/>
        </w:rPr>
        <w:t>a</w:t>
      </w:r>
      <w:r>
        <w:rPr>
          <w:rFonts w:eastAsia="Arial Unicode MS"/>
          <w:bCs/>
          <w:lang w:eastAsia="fr-FR" w:bidi="he-IL"/>
        </w:rPr>
        <w:t>ti</w:t>
      </w:r>
      <w:r w:rsidRPr="00C8701B">
        <w:rPr>
          <w:rFonts w:eastAsia="Arial Unicode MS"/>
          <w:bCs/>
          <w:lang w:eastAsia="fr-FR" w:bidi="he-IL"/>
        </w:rPr>
        <w:t>on et la conscience </w:t>
      </w:r>
      <w:r>
        <w:rPr>
          <w:rFonts w:eastAsia="Arial Unicode MS"/>
          <w:bCs/>
          <w:lang w:eastAsia="fr-FR" w:bidi="he-IL"/>
        </w:rPr>
        <w:t xml:space="preserve">; </w:t>
      </w:r>
      <w:r w:rsidRPr="00C8701B">
        <w:rPr>
          <w:rFonts w:eastAsia="Arial Unicode MS"/>
          <w:bCs/>
          <w:lang w:eastAsia="fr-FR" w:bidi="he-IL"/>
        </w:rPr>
        <w:t>ici (dans S. Jean) il se complaît dans une exposition où la science des écoles</w:t>
      </w:r>
      <w:r>
        <w:rPr>
          <w:rFonts w:eastAsia="Arial Unicode MS"/>
          <w:bCs/>
          <w:lang w:eastAsia="fr-FR" w:bidi="he-IL"/>
        </w:rPr>
        <w:t xml:space="preserve">, </w:t>
      </w:r>
      <w:r w:rsidRPr="00C8701B">
        <w:rPr>
          <w:rFonts w:eastAsia="Arial Unicode MS"/>
          <w:bCs/>
          <w:lang w:eastAsia="fr-FR" w:bidi="he-IL"/>
        </w:rPr>
        <w:t>tout exercée qu’elle est à se rendre compte des choses abstraites et de tout ce qui dépasse l’horizon de la vie ordinaire</w:t>
      </w:r>
      <w:r>
        <w:rPr>
          <w:rFonts w:eastAsia="Arial Unicode MS"/>
          <w:bCs/>
          <w:lang w:eastAsia="fr-FR" w:bidi="he-IL"/>
        </w:rPr>
        <w:t xml:space="preserve">, </w:t>
      </w:r>
      <w:r w:rsidRPr="00C8701B">
        <w:rPr>
          <w:rFonts w:eastAsia="Arial Unicode MS"/>
          <w:bCs/>
          <w:lang w:eastAsia="fr-FR" w:bidi="he-IL"/>
        </w:rPr>
        <w:t>a tant de peine à suivre le fil de ses idées et à pénétrer dans les profondeurs de ses pensées religieuses ».</w:t>
      </w:r>
      <w:r w:rsidRPr="00DC4586">
        <w:rPr>
          <w:rStyle w:val="italicus"/>
        </w:rPr>
        <w:t xml:space="preserve"> </w:t>
      </w:r>
      <w:r w:rsidRPr="00165881">
        <w:rPr>
          <w:rStyle w:val="italicus"/>
        </w:rPr>
        <w:t xml:space="preserve">Ibid., </w:t>
      </w:r>
      <w:r w:rsidRPr="00165881">
        <w:rPr>
          <w:rFonts w:eastAsia="Arial Unicode MS"/>
          <w:bCs/>
          <w:lang w:eastAsia="fr-FR" w:bidi="he-IL"/>
        </w:rPr>
        <w:t>p. 8</w:t>
      </w:r>
      <w:r w:rsidRPr="003A07A7">
        <w:t>.</w:t>
      </w:r>
    </w:p>
  </w:footnote>
  <w:footnote w:id="296">
    <w:p w:rsidR="00941AA6" w:rsidRPr="00933C60" w:rsidRDefault="00941AA6" w:rsidP="00951D38">
      <w:pPr>
        <w:pStyle w:val="Notedebasdepage"/>
      </w:pPr>
      <w:r w:rsidRPr="00C406FF">
        <w:rPr>
          <w:rStyle w:val="Appelnotedebasdep"/>
        </w:rPr>
        <w:footnoteRef/>
      </w:r>
      <w:r>
        <w:t xml:space="preserve"> </w:t>
      </w:r>
      <w:r w:rsidRPr="00165881">
        <w:rPr>
          <w:rStyle w:val="italicus"/>
        </w:rPr>
        <w:t xml:space="preserve">Einleitung, </w:t>
      </w:r>
      <w:r w:rsidRPr="00165881">
        <w:rPr>
          <w:rFonts w:eastAsia="Arial Unicode MS"/>
          <w:lang w:eastAsia="fr-FR" w:bidi="he-IL"/>
        </w:rPr>
        <w:t>t. I, p. 443.</w:t>
      </w:r>
    </w:p>
  </w:footnote>
  <w:footnote w:id="297">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notre</w:t>
      </w:r>
      <w:r w:rsidRPr="00DC4586">
        <w:rPr>
          <w:rStyle w:val="italicus"/>
        </w:rPr>
        <w:t xml:space="preserve"> Synopsis</w:t>
      </w:r>
      <w:r>
        <w:rPr>
          <w:rStyle w:val="italicus"/>
        </w:rPr>
        <w:t xml:space="preserve">, </w:t>
      </w:r>
      <w:r>
        <w:rPr>
          <w:rFonts w:eastAsia="Arial Unicode MS"/>
          <w:bCs/>
          <w:lang w:eastAsia="fr-FR" w:bidi="he-IL"/>
        </w:rPr>
        <w:t>p. 51</w:t>
      </w:r>
      <w:r w:rsidRPr="00C8701B">
        <w:rPr>
          <w:rFonts w:eastAsia="Arial Unicode MS"/>
          <w:bCs/>
          <w:lang w:eastAsia="fr-FR" w:bidi="he-IL"/>
        </w:rPr>
        <w:t xml:space="preserve"> et ss.</w:t>
      </w:r>
    </w:p>
  </w:footnote>
  <w:footnote w:id="298">
    <w:p w:rsidR="00941AA6" w:rsidRPr="00933C60" w:rsidRDefault="00941AA6">
      <w:pPr>
        <w:pStyle w:val="Notedebasdepage"/>
      </w:pPr>
      <w:r w:rsidRPr="00C406FF">
        <w:rPr>
          <w:rStyle w:val="Appelnotedebasdep"/>
        </w:rPr>
        <w:footnoteRef/>
      </w:r>
      <w:r>
        <w:rPr>
          <w:rFonts w:eastAsia="Arial Unicode MS"/>
          <w:bCs/>
          <w:lang w:val="en-GB" w:eastAsia="fr-FR" w:bidi="he-IL"/>
        </w:rPr>
        <w:t xml:space="preserve"> </w:t>
      </w:r>
      <w:r w:rsidRPr="00165881">
        <w:rPr>
          <w:rStyle w:val="italicus"/>
          <w:lang w:val="en-GB"/>
        </w:rPr>
        <w:t xml:space="preserve">Ibid., </w:t>
      </w:r>
      <w:r w:rsidRPr="00165881">
        <w:rPr>
          <w:rFonts w:eastAsia="Arial Unicode MS"/>
          <w:bCs/>
          <w:lang w:val="en-GB" w:eastAsia="fr-FR" w:bidi="he-IL"/>
        </w:rPr>
        <w:t>p. 53.</w:t>
      </w:r>
    </w:p>
  </w:footnote>
  <w:footnote w:id="299">
    <w:p w:rsidR="00941AA6" w:rsidRPr="00933C60" w:rsidRDefault="00941AA6">
      <w:pPr>
        <w:pStyle w:val="Notedebasdepage"/>
      </w:pPr>
      <w:r w:rsidRPr="00C406FF">
        <w:rPr>
          <w:rStyle w:val="Appelnotedebasdep"/>
        </w:rPr>
        <w:footnoteRef/>
      </w:r>
      <w:r>
        <w:rPr>
          <w:rFonts w:eastAsia="Arial Unicode MS"/>
          <w:bCs/>
          <w:lang w:val="en-GB" w:eastAsia="fr-FR" w:bidi="he-IL"/>
        </w:rPr>
        <w:t xml:space="preserve"> </w:t>
      </w:r>
      <w:r w:rsidRPr="00165881">
        <w:rPr>
          <w:rStyle w:val="italicus"/>
          <w:lang w:val="en-GB"/>
        </w:rPr>
        <w:t xml:space="preserve">Ibid., </w:t>
      </w:r>
      <w:r w:rsidRPr="00165881">
        <w:rPr>
          <w:rFonts w:eastAsia="Arial Unicode MS"/>
          <w:bCs/>
          <w:lang w:val="en-GB" w:eastAsia="fr-FR" w:bidi="he-IL"/>
        </w:rPr>
        <w:t>p. 93.</w:t>
      </w:r>
    </w:p>
  </w:footnote>
  <w:footnote w:id="300">
    <w:p w:rsidR="00941AA6" w:rsidRPr="00933C60" w:rsidRDefault="00941AA6">
      <w:pPr>
        <w:pStyle w:val="Notedebasdepage"/>
      </w:pPr>
      <w:r w:rsidRPr="00C406FF">
        <w:rPr>
          <w:rStyle w:val="Appelnotedebasdep"/>
        </w:rPr>
        <w:footnoteRef/>
      </w:r>
      <w:r>
        <w:rPr>
          <w:rFonts w:eastAsia="Arial Unicode MS"/>
          <w:bCs/>
          <w:lang w:val="en-GB" w:eastAsia="fr-FR" w:bidi="he-IL"/>
        </w:rPr>
        <w:t xml:space="preserve"> </w:t>
      </w:r>
      <w:r w:rsidRPr="00165881">
        <w:rPr>
          <w:rStyle w:val="italicus"/>
          <w:lang w:val="en-GB"/>
        </w:rPr>
        <w:t xml:space="preserve">Ibid., </w:t>
      </w:r>
      <w:r w:rsidRPr="00165881">
        <w:rPr>
          <w:rFonts w:eastAsia="Arial Unicode MS"/>
          <w:bCs/>
          <w:lang w:val="en-GB" w:eastAsia="fr-FR" w:bidi="he-IL"/>
        </w:rPr>
        <w:t xml:space="preserve">p. 94-95. </w:t>
      </w:r>
      <w:r w:rsidRPr="00C8701B">
        <w:rPr>
          <w:rFonts w:eastAsia="Arial Unicode MS"/>
          <w:bCs/>
          <w:lang w:eastAsia="fr-FR" w:bidi="he-IL"/>
        </w:rPr>
        <w:t>L’épisode des vendeurs chassés du temple (</w:t>
      </w:r>
      <w:r>
        <w:rPr>
          <w:rFonts w:eastAsia="Arial Unicode MS"/>
          <w:bCs/>
          <w:lang w:eastAsia="fr-FR" w:bidi="he-IL"/>
        </w:rPr>
        <w:t xml:space="preserve">Joan. II, </w:t>
      </w:r>
      <w:r w:rsidRPr="00C8701B">
        <w:rPr>
          <w:rFonts w:eastAsia="Arial Unicode MS"/>
          <w:bCs/>
          <w:lang w:eastAsia="fr-FR" w:bidi="he-IL"/>
        </w:rPr>
        <w:t>13-22 </w:t>
      </w:r>
      <w:r>
        <w:rPr>
          <w:rFonts w:eastAsia="Arial Unicode MS"/>
          <w:bCs/>
          <w:lang w:eastAsia="fr-FR" w:bidi="he-IL"/>
        </w:rPr>
        <w:t xml:space="preserve">; </w:t>
      </w:r>
      <w:r w:rsidRPr="00C8701B">
        <w:rPr>
          <w:rFonts w:eastAsia="Arial Unicode MS"/>
          <w:bCs/>
          <w:lang w:eastAsia="fr-FR" w:bidi="he-IL"/>
        </w:rPr>
        <w:t>cf. Matth. XXI</w:t>
      </w:r>
      <w:r>
        <w:rPr>
          <w:rFonts w:eastAsia="Arial Unicode MS"/>
          <w:bCs/>
          <w:lang w:eastAsia="fr-FR" w:bidi="he-IL"/>
        </w:rPr>
        <w:t xml:space="preserve">, </w:t>
      </w:r>
      <w:r w:rsidRPr="00C8701B">
        <w:rPr>
          <w:rFonts w:eastAsia="Arial Unicode MS"/>
          <w:bCs/>
          <w:lang w:eastAsia="fr-FR" w:bidi="he-IL"/>
        </w:rPr>
        <w:t>12-17 et parall.) n’est pas le</w:t>
      </w:r>
      <w:r>
        <w:rPr>
          <w:rFonts w:eastAsia="Arial Unicode MS"/>
          <w:bCs/>
          <w:lang w:eastAsia="fr-FR" w:bidi="he-IL"/>
        </w:rPr>
        <w:t xml:space="preserve"> même</w:t>
      </w:r>
      <w:r w:rsidRPr="00C8701B">
        <w:rPr>
          <w:rFonts w:eastAsia="Arial Unicode MS"/>
          <w:bCs/>
          <w:lang w:eastAsia="fr-FR" w:bidi="he-IL"/>
        </w:rPr>
        <w:t xml:space="preserve"> dans les deux narrations</w:t>
      </w:r>
      <w:r>
        <w:rPr>
          <w:rFonts w:eastAsia="Arial Unicode MS"/>
          <w:bCs/>
          <w:lang w:eastAsia="fr-FR" w:bidi="he-IL"/>
        </w:rPr>
        <w:t xml:space="preserve">, </w:t>
      </w:r>
      <w:r w:rsidRPr="00C8701B">
        <w:rPr>
          <w:rFonts w:eastAsia="Arial Unicode MS"/>
          <w:bCs/>
          <w:lang w:eastAsia="fr-FR" w:bidi="he-IL"/>
        </w:rPr>
        <w:t>comme le montre la divers</w:t>
      </w:r>
      <w:r>
        <w:rPr>
          <w:rFonts w:eastAsia="Arial Unicode MS"/>
          <w:bCs/>
          <w:lang w:eastAsia="fr-FR" w:bidi="he-IL"/>
        </w:rPr>
        <w:t>ité des temps. Voyez notre comm</w:t>
      </w:r>
      <w:r w:rsidRPr="00C8701B">
        <w:rPr>
          <w:rFonts w:eastAsia="Arial Unicode MS"/>
          <w:bCs/>
          <w:lang w:eastAsia="fr-FR" w:bidi="he-IL"/>
        </w:rPr>
        <w:t>entaire de l’</w:t>
      </w:r>
      <w:r>
        <w:rPr>
          <w:rFonts w:eastAsia="Arial Unicode MS"/>
          <w:bCs/>
          <w:lang w:eastAsia="fr-FR" w:bidi="he-IL"/>
        </w:rPr>
        <w:t>Évangile</w:t>
      </w:r>
      <w:r w:rsidRPr="00C8701B">
        <w:rPr>
          <w:rFonts w:eastAsia="Arial Unicode MS"/>
          <w:bCs/>
          <w:lang w:eastAsia="fr-FR" w:bidi="he-IL"/>
        </w:rPr>
        <w:t xml:space="preserve"> selon S. Jean</w:t>
      </w:r>
      <w:r>
        <w:rPr>
          <w:rFonts w:eastAsia="Arial Unicode MS"/>
          <w:bCs/>
          <w:lang w:eastAsia="fr-FR" w:bidi="he-IL"/>
        </w:rPr>
        <w:t xml:space="preserve">, </w:t>
      </w:r>
      <w:r w:rsidRPr="00C8701B">
        <w:rPr>
          <w:rFonts w:eastAsia="Arial Unicode MS"/>
          <w:bCs/>
          <w:lang w:eastAsia="fr-FR" w:bidi="he-IL"/>
        </w:rPr>
        <w:t>p. 40-41.</w:t>
      </w:r>
    </w:p>
  </w:footnote>
  <w:footnote w:id="301">
    <w:p w:rsidR="00941AA6" w:rsidRPr="00933C60" w:rsidRDefault="00941AA6">
      <w:pPr>
        <w:pStyle w:val="Notedebasdepage"/>
      </w:pPr>
      <w:r w:rsidRPr="00C406FF">
        <w:rPr>
          <w:rStyle w:val="Appelnotedebasdep"/>
        </w:rPr>
        <w:footnoteRef/>
      </w:r>
      <w:r>
        <w:rPr>
          <w:rFonts w:eastAsia="Arial Unicode MS"/>
          <w:bCs/>
          <w:lang w:eastAsia="fr-FR" w:bidi="he-IL"/>
        </w:rPr>
        <w:t xml:space="preserve"> </w:t>
      </w:r>
      <w:r w:rsidRPr="00DC4586">
        <w:rPr>
          <w:rStyle w:val="italicus"/>
        </w:rPr>
        <w:t>Synopsis evangélica</w:t>
      </w:r>
      <w:r>
        <w:rPr>
          <w:rStyle w:val="italicus"/>
        </w:rPr>
        <w:t xml:space="preserve">, </w:t>
      </w:r>
      <w:r w:rsidRPr="00C8701B">
        <w:rPr>
          <w:rFonts w:eastAsia="Arial Unicode MS"/>
          <w:bCs/>
          <w:lang w:eastAsia="fr-FR" w:bidi="he-IL"/>
        </w:rPr>
        <w:t>p. 112.</w:t>
      </w:r>
    </w:p>
  </w:footnote>
  <w:footnote w:id="302">
    <w:p w:rsidR="00941AA6" w:rsidRPr="00933C60" w:rsidRDefault="00941AA6">
      <w:pPr>
        <w:pStyle w:val="Notedebasdepage"/>
      </w:pPr>
      <w:r w:rsidRPr="00C406FF">
        <w:rPr>
          <w:rStyle w:val="Appelnotedebasdep"/>
        </w:rPr>
        <w:footnoteRef/>
      </w:r>
      <w:r>
        <w:rPr>
          <w:rFonts w:eastAsia="Arial Unicode MS"/>
          <w:bCs/>
          <w:lang w:val="en-US" w:eastAsia="fr-FR" w:bidi="he-IL"/>
        </w:rPr>
        <w:t xml:space="preserve"> </w:t>
      </w:r>
      <w:r w:rsidRPr="00A74F01">
        <w:rPr>
          <w:rStyle w:val="italicus"/>
          <w:lang w:val="en-US"/>
        </w:rPr>
        <w:t xml:space="preserve">Ibid., </w:t>
      </w:r>
      <w:r w:rsidRPr="00C8701B">
        <w:rPr>
          <w:rFonts w:eastAsia="Arial Unicode MS"/>
          <w:bCs/>
          <w:lang w:val="en-US" w:eastAsia="fr-FR" w:bidi="he-IL"/>
        </w:rPr>
        <w:t>p. 113-114.</w:t>
      </w:r>
    </w:p>
  </w:footnote>
  <w:footnote w:id="303">
    <w:p w:rsidR="00941AA6" w:rsidRPr="00933C60" w:rsidRDefault="00941AA6">
      <w:pPr>
        <w:pStyle w:val="Notedebasdepage"/>
      </w:pPr>
      <w:r w:rsidRPr="00C406FF">
        <w:rPr>
          <w:rStyle w:val="Appelnotedebasdep"/>
        </w:rPr>
        <w:footnoteRef/>
      </w:r>
      <w:r>
        <w:rPr>
          <w:rFonts w:eastAsia="Arial Unicode MS"/>
          <w:bCs/>
          <w:lang w:val="en-US" w:eastAsia="fr-FR" w:bidi="he-IL"/>
        </w:rPr>
        <w:t xml:space="preserve"> </w:t>
      </w:r>
      <w:r w:rsidRPr="00A74F01">
        <w:rPr>
          <w:rStyle w:val="italicus"/>
          <w:lang w:val="en-US"/>
        </w:rPr>
        <w:t xml:space="preserve">Ibid., </w:t>
      </w:r>
      <w:r w:rsidRPr="00C8701B">
        <w:rPr>
          <w:rFonts w:eastAsia="Arial Unicode MS"/>
          <w:bCs/>
          <w:lang w:val="en-US" w:eastAsia="fr-FR" w:bidi="he-IL"/>
        </w:rPr>
        <w:t>pp. 120</w:t>
      </w:r>
      <w:r>
        <w:rPr>
          <w:rFonts w:eastAsia="Arial Unicode MS"/>
          <w:bCs/>
          <w:lang w:val="en-US" w:eastAsia="fr-FR" w:bidi="he-IL"/>
        </w:rPr>
        <w:t xml:space="preserve"> </w:t>
      </w:r>
      <w:r w:rsidRPr="00C8701B">
        <w:rPr>
          <w:rFonts w:eastAsia="Arial Unicode MS"/>
          <w:bCs/>
          <w:lang w:val="en-US" w:eastAsia="fr-FR" w:bidi="he-IL"/>
        </w:rPr>
        <w:t>et</w:t>
      </w:r>
      <w:r>
        <w:rPr>
          <w:rFonts w:eastAsia="Arial Unicode MS"/>
          <w:bCs/>
          <w:lang w:val="en-US" w:eastAsia="fr-FR" w:bidi="he-IL"/>
        </w:rPr>
        <w:t xml:space="preserve"> </w:t>
      </w:r>
      <w:r w:rsidRPr="00C8701B">
        <w:rPr>
          <w:rFonts w:eastAsia="Arial Unicode MS"/>
          <w:bCs/>
          <w:lang w:val="en-US" w:eastAsia="fr-FR" w:bidi="he-IL"/>
        </w:rPr>
        <w:t>ss.</w:t>
      </w:r>
    </w:p>
  </w:footnote>
  <w:footnote w:id="304">
    <w:p w:rsidR="00941AA6" w:rsidRPr="00933C60" w:rsidRDefault="00941AA6" w:rsidP="00951D38">
      <w:pPr>
        <w:pStyle w:val="Notedebasdepage"/>
      </w:pPr>
      <w:r w:rsidRPr="00C406FF">
        <w:rPr>
          <w:rStyle w:val="Appelnotedebasdep"/>
        </w:rPr>
        <w:footnoteRef/>
      </w:r>
      <w:r>
        <w:rPr>
          <w:rFonts w:eastAsia="Arial Unicode MS"/>
          <w:bCs/>
          <w:lang w:eastAsia="fr-FR" w:bidi="he-IL"/>
        </w:rPr>
        <w:t xml:space="preserve"> </w:t>
      </w:r>
      <w:r w:rsidRPr="00165881">
        <w:rPr>
          <w:rStyle w:val="italicus"/>
        </w:rPr>
        <w:t xml:space="preserve">Ibid., </w:t>
      </w:r>
      <w:r w:rsidRPr="00165881">
        <w:rPr>
          <w:rFonts w:eastAsia="Arial Unicode MS"/>
          <w:bCs/>
          <w:lang w:eastAsia="fr-FR" w:bidi="he-IL"/>
        </w:rPr>
        <w:t>pp. 132, 134, 136.</w:t>
      </w:r>
    </w:p>
  </w:footnote>
  <w:footnote w:id="305">
    <w:p w:rsidR="00941AA6" w:rsidRPr="00933C60" w:rsidRDefault="00941AA6" w:rsidP="00951D38">
      <w:pPr>
        <w:pStyle w:val="Notedebasdepage"/>
      </w:pPr>
      <w:r w:rsidRPr="00C406FF">
        <w:rPr>
          <w:rStyle w:val="Appelnotedebasdep"/>
        </w:rPr>
        <w:footnoteRef/>
      </w:r>
      <w:r>
        <w:rPr>
          <w:rFonts w:eastAsia="Arial Unicode MS"/>
          <w:bCs/>
          <w:lang w:eastAsia="fr-FR" w:bidi="he-IL"/>
        </w:rPr>
        <w:t xml:space="preserve"> </w:t>
      </w:r>
      <w:r w:rsidRPr="00C8701B">
        <w:rPr>
          <w:rFonts w:eastAsia="Arial Unicode MS"/>
          <w:bCs/>
          <w:lang w:eastAsia="fr-FR" w:bidi="he-IL"/>
        </w:rPr>
        <w:t>Nous en empruntons en grande partie la liste à M. Westco</w:t>
      </w:r>
      <w:r>
        <w:rPr>
          <w:rFonts w:eastAsia="Arial Unicode MS"/>
          <w:bCs/>
          <w:lang w:eastAsia="fr-FR" w:bidi="he-IL"/>
        </w:rPr>
        <w:t>t</w:t>
      </w:r>
      <w:r w:rsidRPr="00C8701B">
        <w:rPr>
          <w:rFonts w:eastAsia="Arial Unicode MS"/>
          <w:bCs/>
          <w:lang w:eastAsia="fr-FR" w:bidi="he-IL"/>
        </w:rPr>
        <w:t>t</w:t>
      </w:r>
      <w:r>
        <w:rPr>
          <w:rFonts w:eastAsia="Arial Unicode MS"/>
          <w:bCs/>
          <w:lang w:eastAsia="fr-FR" w:bidi="he-IL"/>
        </w:rPr>
        <w:t xml:space="preserve">, </w:t>
      </w:r>
      <w:r>
        <w:rPr>
          <w:rStyle w:val="italicus"/>
        </w:rPr>
        <w:t>Introduction to the S</w:t>
      </w:r>
      <w:r w:rsidRPr="00DC4586">
        <w:rPr>
          <w:rStyle w:val="italicus"/>
        </w:rPr>
        <w:t>tudy of</w:t>
      </w:r>
      <w:r>
        <w:rPr>
          <w:rStyle w:val="italicus"/>
        </w:rPr>
        <w:t xml:space="preserve"> </w:t>
      </w:r>
      <w:r w:rsidRPr="00DC4586">
        <w:rPr>
          <w:rStyle w:val="italicus"/>
        </w:rPr>
        <w:t>the Gospels</w:t>
      </w:r>
      <w:r>
        <w:rPr>
          <w:rStyle w:val="italicus"/>
        </w:rPr>
        <w:t xml:space="preserve">, </w:t>
      </w:r>
      <w:r w:rsidRPr="00C8701B">
        <w:rPr>
          <w:rFonts w:eastAsia="Arial Unicode MS"/>
          <w:bCs/>
          <w:lang w:eastAsia="fr-FR" w:bidi="he-IL"/>
        </w:rPr>
        <w:t>p. 291 de la 5</w:t>
      </w:r>
      <w:r w:rsidRPr="003A07A7">
        <w:rPr>
          <w:rFonts w:eastAsia="Arial Unicode MS"/>
          <w:bCs/>
          <w:vertAlign w:val="superscript"/>
          <w:lang w:eastAsia="fr-FR" w:bidi="he-IL"/>
        </w:rPr>
        <w:t>e</w:t>
      </w:r>
      <w:r>
        <w:rPr>
          <w:rFonts w:eastAsia="Arial Unicode MS"/>
          <w:bCs/>
          <w:lang w:eastAsia="fr-FR" w:bidi="he-IL"/>
        </w:rPr>
        <w:t xml:space="preserve"> </w:t>
      </w:r>
      <w:r w:rsidRPr="00C8701B">
        <w:rPr>
          <w:rFonts w:eastAsia="Arial Unicode MS"/>
          <w:bCs/>
          <w:lang w:eastAsia="fr-FR" w:bidi="he-IL"/>
        </w:rPr>
        <w:t>édit.</w:t>
      </w:r>
      <w:r>
        <w:rPr>
          <w:rFonts w:eastAsia="Arial Unicode MS"/>
          <w:bCs/>
          <w:lang w:eastAsia="fr-FR" w:bidi="he-IL"/>
        </w:rPr>
        <w:t xml:space="preserve">, et </w:t>
      </w:r>
      <w:r w:rsidRPr="003A07A7">
        <w:rPr>
          <w:rStyle w:val="italicus"/>
        </w:rPr>
        <w:t xml:space="preserve">St. John’s Gospel, </w:t>
      </w:r>
      <w:r w:rsidRPr="003A07A7">
        <w:rPr>
          <w:rFonts w:eastAsia="Arial Unicode MS"/>
          <w:bCs/>
          <w:lang w:eastAsia="fr-FR" w:bidi="he-IL"/>
        </w:rPr>
        <w:t>Londres 1880, p. LXXXII-LXXX</w:t>
      </w:r>
      <w:r>
        <w:rPr>
          <w:rFonts w:eastAsia="Arial Unicode MS"/>
          <w:bCs/>
          <w:lang w:eastAsia="fr-FR" w:bidi="he-IL"/>
        </w:rPr>
        <w:t>III</w:t>
      </w:r>
      <w:r w:rsidRPr="003A07A7">
        <w:rPr>
          <w:rFonts w:eastAsia="Arial Unicode MS"/>
          <w:bCs/>
          <w:lang w:eastAsia="fr-FR" w:bidi="he-IL"/>
        </w:rPr>
        <w:t>.</w:t>
      </w:r>
    </w:p>
  </w:footnote>
  <w:footnote w:id="306">
    <w:p w:rsidR="00941AA6" w:rsidRPr="00933C60" w:rsidRDefault="00941AA6">
      <w:pPr>
        <w:pStyle w:val="Notedebasdepage"/>
      </w:pPr>
      <w:r w:rsidRPr="00C406FF">
        <w:rPr>
          <w:rStyle w:val="Appelnotedebasdep"/>
        </w:rPr>
        <w:footnoteRef/>
      </w:r>
      <w:r w:rsidRPr="000819BA">
        <w:rPr>
          <w:rFonts w:eastAsia="Arial Unicode MS"/>
          <w:bCs/>
          <w:lang w:val="de-AT" w:eastAsia="fr-FR" w:bidi="he-IL"/>
        </w:rPr>
        <w:t xml:space="preserve"> Cf. J. Langen</w:t>
      </w:r>
      <w:r w:rsidRPr="003A07A7">
        <w:rPr>
          <w:lang w:val="de-AT"/>
        </w:rPr>
        <w:t>,</w:t>
      </w:r>
      <w:r w:rsidRPr="000819BA">
        <w:rPr>
          <w:rStyle w:val="italicus"/>
          <w:lang w:val="de-AT"/>
        </w:rPr>
        <w:t xml:space="preserve"> Grundriss der Einleitung in das Neue Testament, </w:t>
      </w:r>
      <w:r w:rsidRPr="000819BA">
        <w:rPr>
          <w:rFonts w:eastAsia="Arial Unicode MS"/>
          <w:bCs/>
          <w:lang w:val="de-AT" w:eastAsia="fr-FR" w:bidi="he-IL"/>
        </w:rPr>
        <w:t>p. 89-90.</w:t>
      </w:r>
    </w:p>
  </w:footnote>
  <w:footnote w:id="307">
    <w:p w:rsidR="00941AA6" w:rsidRPr="00933C60" w:rsidRDefault="00941AA6">
      <w:pPr>
        <w:pStyle w:val="Notedebasdepage"/>
      </w:pPr>
      <w:r w:rsidRPr="00C406FF">
        <w:rPr>
          <w:rStyle w:val="Appelnotedebasdep"/>
        </w:rPr>
        <w:footnoteRef/>
      </w:r>
      <w:r w:rsidRPr="000819BA">
        <w:rPr>
          <w:rStyle w:val="italicus"/>
          <w:lang w:val="de-AT"/>
        </w:rPr>
        <w:t xml:space="preserve"> La théologie johannique, </w:t>
      </w:r>
      <w:r w:rsidRPr="000819BA">
        <w:rPr>
          <w:rFonts w:eastAsia="Arial Unicode MS"/>
          <w:bCs/>
          <w:lang w:val="de-AT" w:eastAsia="fr-FR" w:bidi="he-IL"/>
        </w:rPr>
        <w:t>p. 52.</w:t>
      </w:r>
    </w:p>
  </w:footnote>
  <w:footnote w:id="308">
    <w:p w:rsidR="00941AA6" w:rsidRPr="00951D38" w:rsidRDefault="00941AA6">
      <w:pPr>
        <w:pStyle w:val="Notedebasdepage"/>
      </w:pPr>
      <w:r w:rsidRPr="00C406FF">
        <w:rPr>
          <w:rStyle w:val="Appelnotedebasdep"/>
        </w:rPr>
        <w:footnoteRef/>
      </w:r>
      <w:r w:rsidRPr="000819BA">
        <w:rPr>
          <w:rFonts w:eastAsia="Arial Unicode MS"/>
          <w:bCs/>
          <w:lang w:val="de-AT" w:eastAsia="fr-FR" w:bidi="he-IL"/>
        </w:rPr>
        <w:t xml:space="preserve"> Voyez Westcott, </w:t>
      </w:r>
      <w:r w:rsidRPr="000819BA">
        <w:rPr>
          <w:rStyle w:val="italicus"/>
          <w:lang w:val="de-AT"/>
        </w:rPr>
        <w:t xml:space="preserve">Introduction to the Study of the Gospels, </w:t>
      </w:r>
      <w:r w:rsidRPr="000819BA">
        <w:rPr>
          <w:rFonts w:eastAsia="Arial Unicode MS"/>
          <w:bCs/>
          <w:lang w:val="de-AT" w:eastAsia="fr-FR" w:bidi="he-IL"/>
        </w:rPr>
        <w:t>p. 289 et ss. de la 5</w:t>
      </w:r>
      <w:r w:rsidRPr="000819BA">
        <w:rPr>
          <w:rFonts w:eastAsia="Arial Unicode MS"/>
          <w:bCs/>
          <w:vertAlign w:val="superscript"/>
          <w:lang w:val="de-AT" w:eastAsia="fr-FR" w:bidi="he-IL"/>
        </w:rPr>
        <w:t>e</w:t>
      </w:r>
      <w:r w:rsidRPr="00951D38">
        <w:t xml:space="preserve"> édition.</w:t>
      </w:r>
    </w:p>
  </w:footnote>
  <w:footnote w:id="309">
    <w:p w:rsidR="00941AA6" w:rsidRPr="00933C60" w:rsidRDefault="00941AA6">
      <w:pPr>
        <w:pStyle w:val="Notedebasdepage"/>
      </w:pPr>
      <w:r w:rsidRPr="00C406FF">
        <w:rPr>
          <w:rStyle w:val="Appelnotedebasdep"/>
        </w:rPr>
        <w:footnoteRef/>
      </w:r>
      <w:r>
        <w:rPr>
          <w:rFonts w:eastAsia="Arial Unicode MS"/>
          <w:bCs/>
          <w:lang w:val="en-US" w:eastAsia="fr-FR" w:bidi="he-IL"/>
        </w:rPr>
        <w:t xml:space="preserve"> Luc. II, </w:t>
      </w:r>
      <w:r w:rsidRPr="00C8701B">
        <w:rPr>
          <w:rFonts w:eastAsia="Arial Unicode MS"/>
          <w:bCs/>
          <w:lang w:val="en-US" w:eastAsia="fr-FR" w:bidi="he-IL"/>
        </w:rPr>
        <w:t>40-52.</w:t>
      </w:r>
    </w:p>
  </w:footnote>
  <w:footnote w:id="310">
    <w:p w:rsidR="00941AA6" w:rsidRPr="00933C60" w:rsidRDefault="00941AA6">
      <w:pPr>
        <w:pStyle w:val="Notedebasdepage"/>
      </w:pPr>
      <w:r w:rsidRPr="00C406FF">
        <w:rPr>
          <w:rStyle w:val="Appelnotedebasdep"/>
        </w:rPr>
        <w:footnoteRef/>
      </w:r>
      <w:r>
        <w:rPr>
          <w:rFonts w:eastAsia="Arial Unicode MS"/>
          <w:bCs/>
          <w:lang w:val="en-US" w:eastAsia="fr-FR" w:bidi="he-IL"/>
        </w:rPr>
        <w:t xml:space="preserve"> </w:t>
      </w:r>
      <w:r w:rsidRPr="00C8701B">
        <w:rPr>
          <w:rFonts w:eastAsia="Arial Unicode MS"/>
          <w:bCs/>
          <w:lang w:val="en-US" w:eastAsia="fr-FR" w:bidi="he-IL"/>
        </w:rPr>
        <w:t>Joan.</w:t>
      </w:r>
      <w:r>
        <w:rPr>
          <w:rFonts w:eastAsia="Arial Unicode MS"/>
          <w:lang w:val="en-US" w:eastAsia="fr-FR" w:bidi="he-IL"/>
        </w:rPr>
        <w:t xml:space="preserve"> I, </w:t>
      </w:r>
      <w:r w:rsidRPr="00C8701B">
        <w:rPr>
          <w:rFonts w:eastAsia="Arial Unicode MS"/>
          <w:bCs/>
          <w:lang w:val="en-US" w:eastAsia="fr-FR" w:bidi="he-IL"/>
        </w:rPr>
        <w:t>34.</w:t>
      </w:r>
    </w:p>
  </w:footnote>
  <w:footnote w:id="311">
    <w:p w:rsidR="00941AA6" w:rsidRPr="00933C60" w:rsidRDefault="00941AA6">
      <w:pPr>
        <w:pStyle w:val="Notedebasdepage"/>
      </w:pPr>
      <w:r w:rsidRPr="00C406FF">
        <w:rPr>
          <w:rStyle w:val="Appelnotedebasdep"/>
        </w:rPr>
        <w:footnoteRef/>
      </w:r>
      <w:r>
        <w:rPr>
          <w:rFonts w:eastAsia="Arial Unicode MS"/>
          <w:bCs/>
          <w:lang w:val="en-US" w:eastAsia="fr-FR" w:bidi="he-IL"/>
        </w:rPr>
        <w:t xml:space="preserve"> </w:t>
      </w:r>
      <w:r w:rsidRPr="00C8701B">
        <w:rPr>
          <w:rFonts w:eastAsia="Arial Unicode MS"/>
          <w:bCs/>
          <w:lang w:val="en-US" w:eastAsia="fr-FR" w:bidi="he-IL"/>
        </w:rPr>
        <w:t>Cf. Luc</w:t>
      </w:r>
      <w:r>
        <w:rPr>
          <w:rFonts w:eastAsia="Arial Unicode MS"/>
          <w:bCs/>
          <w:lang w:val="en-US" w:eastAsia="fr-FR" w:bidi="he-IL"/>
        </w:rPr>
        <w:t xml:space="preserve">. </w:t>
      </w:r>
      <w:r w:rsidRPr="00A74F01">
        <w:rPr>
          <w:rFonts w:eastAsia="Arial Unicode MS"/>
          <w:bCs/>
          <w:lang w:eastAsia="fr-FR" w:bidi="he-IL"/>
        </w:rPr>
        <w:t>IV, 16.</w:t>
      </w:r>
    </w:p>
  </w:footnote>
  <w:footnote w:id="312">
    <w:p w:rsidR="00941AA6" w:rsidRPr="00933C60" w:rsidRDefault="00941AA6">
      <w:pPr>
        <w:pStyle w:val="Notedebasdepage"/>
      </w:pPr>
      <w:r w:rsidRPr="00C406FF">
        <w:rPr>
          <w:rStyle w:val="Appelnotedebasdep"/>
        </w:rPr>
        <w:footnoteRef/>
      </w:r>
      <w:r>
        <w:rPr>
          <w:rFonts w:eastAsia="Arial Unicode MS"/>
          <w:bCs/>
          <w:lang w:eastAsia="fr-FR" w:bidi="he-IL"/>
        </w:rPr>
        <w:t xml:space="preserve"> </w:t>
      </w:r>
      <w:r w:rsidRPr="00C8701B">
        <w:rPr>
          <w:rFonts w:eastAsia="Arial Unicode MS"/>
          <w:bCs/>
          <w:lang w:eastAsia="fr-FR" w:bidi="he-IL"/>
        </w:rPr>
        <w:t xml:space="preserve">Cf. </w:t>
      </w:r>
      <w:r>
        <w:rPr>
          <w:rFonts w:eastAsia="Arial Unicode MS"/>
          <w:bCs/>
          <w:lang w:eastAsia="fr-FR" w:bidi="he-IL"/>
        </w:rPr>
        <w:t xml:space="preserve">Joan. II, </w:t>
      </w:r>
      <w:r w:rsidRPr="00C8701B">
        <w:rPr>
          <w:rFonts w:eastAsia="Arial Unicode MS"/>
          <w:bCs/>
          <w:lang w:eastAsia="fr-FR" w:bidi="he-IL"/>
        </w:rPr>
        <w:t>12 </w:t>
      </w:r>
      <w:r>
        <w:rPr>
          <w:rFonts w:eastAsia="Arial Unicode MS"/>
          <w:bCs/>
          <w:lang w:eastAsia="fr-FR" w:bidi="he-IL"/>
        </w:rPr>
        <w:t xml:space="preserve">; IV, </w:t>
      </w:r>
      <w:r w:rsidRPr="00C8701B">
        <w:rPr>
          <w:rFonts w:eastAsia="Arial Unicode MS"/>
          <w:bCs/>
          <w:lang w:eastAsia="fr-FR" w:bidi="he-IL"/>
        </w:rPr>
        <w:t>43</w:t>
      </w:r>
      <w:r>
        <w:rPr>
          <w:rFonts w:eastAsia="Arial Unicode MS"/>
          <w:bCs/>
          <w:lang w:eastAsia="fr-FR" w:bidi="he-IL"/>
        </w:rPr>
        <w:t xml:space="preserve">, </w:t>
      </w:r>
      <w:r w:rsidRPr="00C8701B">
        <w:rPr>
          <w:rFonts w:eastAsia="Arial Unicode MS"/>
          <w:bCs/>
          <w:lang w:eastAsia="fr-FR" w:bidi="he-IL"/>
        </w:rPr>
        <w:t>54 </w:t>
      </w:r>
      <w:r>
        <w:rPr>
          <w:rFonts w:eastAsia="Arial Unicode MS"/>
          <w:bCs/>
          <w:lang w:eastAsia="fr-FR" w:bidi="he-IL"/>
        </w:rPr>
        <w:t>; V, 1</w:t>
      </w:r>
      <w:r w:rsidRPr="00C8701B">
        <w:rPr>
          <w:rFonts w:eastAsia="Arial Unicode MS"/>
          <w:bCs/>
          <w:lang w:eastAsia="fr-FR" w:bidi="he-IL"/>
        </w:rPr>
        <w:t> </w:t>
      </w:r>
      <w:r>
        <w:rPr>
          <w:rFonts w:eastAsia="Arial Unicode MS"/>
          <w:bCs/>
          <w:lang w:eastAsia="fr-FR" w:bidi="he-IL"/>
        </w:rPr>
        <w:t xml:space="preserve">; VI, </w:t>
      </w:r>
      <w:r w:rsidRPr="00C8701B">
        <w:rPr>
          <w:rFonts w:eastAsia="Arial Unicode MS"/>
          <w:bCs/>
          <w:lang w:eastAsia="fr-FR" w:bidi="he-IL"/>
        </w:rPr>
        <w:t>1 </w:t>
      </w:r>
      <w:r>
        <w:rPr>
          <w:rFonts w:eastAsia="Arial Unicode MS"/>
          <w:bCs/>
          <w:lang w:eastAsia="fr-FR" w:bidi="he-IL"/>
        </w:rPr>
        <w:t xml:space="preserve">; VII, </w:t>
      </w:r>
      <w:r w:rsidRPr="00C8701B">
        <w:rPr>
          <w:rFonts w:eastAsia="Arial Unicode MS"/>
          <w:bCs/>
          <w:lang w:eastAsia="fr-FR" w:bidi="he-IL"/>
        </w:rPr>
        <w:t>1</w:t>
      </w:r>
      <w:r>
        <w:rPr>
          <w:rFonts w:eastAsia="Arial Unicode MS"/>
          <w:bCs/>
          <w:lang w:eastAsia="fr-FR" w:bidi="he-IL"/>
        </w:rPr>
        <w:t xml:space="preserve">, </w:t>
      </w:r>
      <w:r w:rsidRPr="00C8701B">
        <w:rPr>
          <w:rFonts w:eastAsia="Arial Unicode MS"/>
          <w:bCs/>
          <w:lang w:eastAsia="fr-FR" w:bidi="he-IL"/>
        </w:rPr>
        <w:t>etc.</w:t>
      </w:r>
    </w:p>
  </w:footnote>
  <w:footnote w:id="313">
    <w:p w:rsidR="00941AA6" w:rsidRPr="00933C60" w:rsidRDefault="00941AA6">
      <w:pPr>
        <w:pStyle w:val="Notedebasdepage"/>
      </w:pPr>
      <w:r w:rsidRPr="00C406FF">
        <w:rPr>
          <w:rStyle w:val="Appelnotedebasdep"/>
        </w:rPr>
        <w:footnoteRef/>
      </w:r>
      <w:r>
        <w:rPr>
          <w:rFonts w:eastAsia="Arial Unicode MS"/>
          <w:bCs/>
          <w:lang w:val="en-US" w:eastAsia="fr-FR" w:bidi="he-IL"/>
        </w:rPr>
        <w:t xml:space="preserve"> </w:t>
      </w:r>
      <w:r w:rsidRPr="00A74F01">
        <w:rPr>
          <w:rFonts w:eastAsia="Arial Unicode MS"/>
          <w:bCs/>
          <w:lang w:val="en-US" w:eastAsia="fr-FR" w:bidi="he-IL"/>
        </w:rPr>
        <w:t xml:space="preserve">Cf. Matth. IV, 25 ; XXIII, 37-39 ; </w:t>
      </w:r>
      <w:r w:rsidRPr="003A07A7">
        <w:rPr>
          <w:rFonts w:eastAsia="Arial Unicode MS"/>
          <w:bCs/>
          <w:lang w:val="en-GB" w:eastAsia="fr-FR" w:bidi="he-IL"/>
        </w:rPr>
        <w:t>XXVII</w:t>
      </w:r>
      <w:r>
        <w:rPr>
          <w:rFonts w:eastAsia="Arial Unicode MS"/>
          <w:bCs/>
          <w:lang w:val="el-GR" w:eastAsia="fr-FR" w:bidi="he-IL"/>
        </w:rPr>
        <w:t xml:space="preserve">, </w:t>
      </w:r>
      <w:r w:rsidRPr="00A74F01">
        <w:rPr>
          <w:rFonts w:eastAsia="Arial Unicode MS"/>
          <w:bCs/>
          <w:lang w:val="en-US" w:eastAsia="fr-FR" w:bidi="he-IL"/>
        </w:rPr>
        <w:t xml:space="preserve">57 ; Marc, III, 7 ; Luc. </w:t>
      </w:r>
      <w:r>
        <w:rPr>
          <w:rFonts w:eastAsia="Arial Unicode MS"/>
          <w:bCs/>
          <w:lang w:eastAsia="fr-FR" w:bidi="he-IL"/>
        </w:rPr>
        <w:t xml:space="preserve">X, </w:t>
      </w:r>
      <w:r w:rsidRPr="00C8701B">
        <w:rPr>
          <w:rFonts w:eastAsia="Arial Unicode MS"/>
          <w:bCs/>
          <w:lang w:eastAsia="fr-FR" w:bidi="he-IL"/>
        </w:rPr>
        <w:t>38 </w:t>
      </w:r>
      <w:r>
        <w:rPr>
          <w:rFonts w:eastAsia="Arial Unicode MS"/>
          <w:bCs/>
          <w:lang w:eastAsia="fr-FR" w:bidi="he-IL"/>
        </w:rPr>
        <w:t xml:space="preserve">; XIII, </w:t>
      </w:r>
      <w:r w:rsidRPr="00C8701B">
        <w:rPr>
          <w:rFonts w:eastAsia="Arial Unicode MS"/>
          <w:bCs/>
          <w:lang w:eastAsia="fr-FR" w:bidi="he-IL"/>
        </w:rPr>
        <w:t>34. L’enfant qui</w:t>
      </w:r>
      <w:r>
        <w:rPr>
          <w:rFonts w:eastAsia="Arial Unicode MS"/>
          <w:bCs/>
          <w:lang w:eastAsia="fr-FR" w:bidi="he-IL"/>
        </w:rPr>
        <w:t xml:space="preserve">, </w:t>
      </w:r>
      <w:r w:rsidRPr="00C8701B">
        <w:rPr>
          <w:rFonts w:eastAsia="Arial Unicode MS"/>
          <w:bCs/>
          <w:lang w:eastAsia="fr-FR" w:bidi="he-IL"/>
        </w:rPr>
        <w:t>dès sa douzième année (Luc. II</w:t>
      </w:r>
      <w:r>
        <w:rPr>
          <w:rFonts w:eastAsia="Arial Unicode MS"/>
          <w:bCs/>
          <w:lang w:eastAsia="fr-FR" w:bidi="he-IL"/>
        </w:rPr>
        <w:t xml:space="preserve">, </w:t>
      </w:r>
      <w:r w:rsidRPr="00C8701B">
        <w:rPr>
          <w:rFonts w:eastAsia="Arial Unicode MS"/>
          <w:bCs/>
          <w:lang w:eastAsia="fr-FR" w:bidi="he-IL"/>
        </w:rPr>
        <w:t>41)</w:t>
      </w:r>
      <w:r>
        <w:rPr>
          <w:rFonts w:eastAsia="Arial Unicode MS"/>
          <w:bCs/>
          <w:lang w:eastAsia="fr-FR" w:bidi="he-IL"/>
        </w:rPr>
        <w:t xml:space="preserve">, </w:t>
      </w:r>
      <w:r w:rsidRPr="00C8701B">
        <w:rPr>
          <w:rFonts w:eastAsia="Arial Unicode MS"/>
          <w:bCs/>
          <w:lang w:eastAsia="fr-FR" w:bidi="he-IL"/>
        </w:rPr>
        <w:t>va si fidèle</w:t>
      </w:r>
      <w:r>
        <w:rPr>
          <w:rFonts w:eastAsia="Arial Unicode MS"/>
          <w:bCs/>
          <w:lang w:eastAsia="fr-FR" w:bidi="he-IL"/>
        </w:rPr>
        <w:t>ment célébrer la Pâque à Jérusa</w:t>
      </w:r>
      <w:r w:rsidRPr="00C8701B">
        <w:rPr>
          <w:rFonts w:eastAsia="Arial Unicode MS"/>
          <w:bCs/>
          <w:lang w:eastAsia="fr-FR" w:bidi="he-IL"/>
        </w:rPr>
        <w:t>lem</w:t>
      </w:r>
      <w:r>
        <w:rPr>
          <w:rFonts w:eastAsia="Arial Unicode MS"/>
          <w:bCs/>
          <w:lang w:eastAsia="fr-FR" w:bidi="he-IL"/>
        </w:rPr>
        <w:t>, n’aura-t-il</w:t>
      </w:r>
      <w:r w:rsidRPr="00C8701B">
        <w:rPr>
          <w:rFonts w:eastAsia="Arial Unicode MS"/>
          <w:bCs/>
          <w:lang w:eastAsia="fr-FR" w:bidi="he-IL"/>
        </w:rPr>
        <w:t xml:space="preserve"> pas accompli avec la même régularité les pèlerinages sacrés pendant le reste de sa vie ?</w:t>
      </w:r>
    </w:p>
  </w:footnote>
  <w:footnote w:id="314">
    <w:p w:rsidR="00941AA6" w:rsidRPr="00933C60" w:rsidRDefault="00941AA6">
      <w:pPr>
        <w:pStyle w:val="Notedebasdepage"/>
      </w:pPr>
      <w:r w:rsidRPr="00C406FF">
        <w:rPr>
          <w:rStyle w:val="Appelnotedebasdep"/>
        </w:rPr>
        <w:footnoteRef/>
      </w:r>
      <w:r w:rsidRPr="000819BA">
        <w:rPr>
          <w:rFonts w:eastAsia="Arial Unicode MS"/>
          <w:bCs/>
          <w:lang w:val="de-AT" w:eastAsia="fr-FR" w:bidi="he-IL"/>
        </w:rPr>
        <w:t xml:space="preserve"> Westcott, </w:t>
      </w:r>
      <w:r>
        <w:rPr>
          <w:rStyle w:val="italicus"/>
          <w:lang w:val="de-AT"/>
        </w:rPr>
        <w:t>loc. ci</w:t>
      </w:r>
      <w:r w:rsidRPr="000819BA">
        <w:rPr>
          <w:rStyle w:val="italicus"/>
          <w:lang w:val="de-AT"/>
        </w:rPr>
        <w:t xml:space="preserve">t., </w:t>
      </w:r>
      <w:r w:rsidRPr="000819BA">
        <w:rPr>
          <w:rFonts w:eastAsia="Arial Unicode MS"/>
          <w:bCs/>
          <w:lang w:val="de-AT" w:eastAsia="fr-FR" w:bidi="he-IL"/>
        </w:rPr>
        <w:t xml:space="preserve">p. 288. Cf Luthardt, </w:t>
      </w:r>
      <w:r w:rsidRPr="000819BA">
        <w:rPr>
          <w:rStyle w:val="italicus"/>
          <w:lang w:val="de-AT"/>
        </w:rPr>
        <w:t>Der joha</w:t>
      </w:r>
      <w:r>
        <w:rPr>
          <w:rStyle w:val="italicus"/>
          <w:lang w:val="de-AT"/>
        </w:rPr>
        <w:t>nneische Ursprung des vierten Ev</w:t>
      </w:r>
      <w:r w:rsidRPr="000819BA">
        <w:rPr>
          <w:rStyle w:val="italicus"/>
          <w:lang w:val="de-AT"/>
        </w:rPr>
        <w:t xml:space="preserve">angeliums, </w:t>
      </w:r>
      <w:r w:rsidRPr="000819BA">
        <w:rPr>
          <w:rFonts w:eastAsia="Arial Unicode MS"/>
          <w:bCs/>
          <w:lang w:val="de-AT" w:eastAsia="fr-FR" w:bidi="he-IL"/>
        </w:rPr>
        <w:t xml:space="preserve">Leipzig 1874, p. 154-203. </w:t>
      </w:r>
      <w:r w:rsidRPr="00C8701B">
        <w:rPr>
          <w:rFonts w:eastAsia="Arial Unicode MS"/>
          <w:bCs/>
          <w:lang w:eastAsia="fr-FR" w:bidi="he-IL"/>
        </w:rPr>
        <w:t>Quant aux difficultés spéciales</w:t>
      </w:r>
      <w:r>
        <w:rPr>
          <w:rFonts w:eastAsia="Arial Unicode MS"/>
          <w:bCs/>
          <w:lang w:eastAsia="fr-FR" w:bidi="he-IL"/>
        </w:rPr>
        <w:t xml:space="preserve">, </w:t>
      </w:r>
      <w:r w:rsidRPr="00C8701B">
        <w:rPr>
          <w:rFonts w:eastAsia="Arial Unicode MS"/>
          <w:bCs/>
          <w:lang w:eastAsia="fr-FR" w:bidi="he-IL"/>
        </w:rPr>
        <w:t>provenant de contradictions apparentes</w:t>
      </w:r>
      <w:r>
        <w:rPr>
          <w:rFonts w:eastAsia="Arial Unicode MS"/>
          <w:bCs/>
          <w:lang w:eastAsia="fr-FR" w:bidi="he-IL"/>
        </w:rPr>
        <w:t xml:space="preserve">, </w:t>
      </w:r>
      <w:r w:rsidRPr="00C8701B">
        <w:rPr>
          <w:rFonts w:eastAsia="Arial Unicode MS"/>
          <w:bCs/>
          <w:lang w:eastAsia="fr-FR" w:bidi="he-IL"/>
        </w:rPr>
        <w:t>voyez notre commentaire sur l’évangile selon S. Jean</w:t>
      </w:r>
      <w:r>
        <w:rPr>
          <w:rFonts w:eastAsia="Arial Unicode MS"/>
          <w:bCs/>
          <w:lang w:eastAsia="fr-FR" w:bidi="he-IL"/>
        </w:rPr>
        <w:t xml:space="preserve">, </w:t>
      </w:r>
      <w:r w:rsidRPr="00DC4586">
        <w:rPr>
          <w:rStyle w:val="italicus"/>
        </w:rPr>
        <w:t>passim</w:t>
      </w:r>
      <w:r>
        <w:t xml:space="preserve"> ; </w:t>
      </w:r>
      <w:r w:rsidRPr="003A07A7">
        <w:rPr>
          <w:rFonts w:eastAsia="Arial Unicode MS"/>
          <w:bCs/>
          <w:lang w:eastAsia="fr-FR" w:bidi="he-IL"/>
        </w:rPr>
        <w:t xml:space="preserve">Cornely, </w:t>
      </w:r>
      <w:r w:rsidRPr="003A07A7">
        <w:rPr>
          <w:rStyle w:val="italicus"/>
        </w:rPr>
        <w:t xml:space="preserve">Introdúctio, </w:t>
      </w:r>
      <w:r w:rsidRPr="003A07A7">
        <w:rPr>
          <w:rFonts w:eastAsia="Arial Unicode MS"/>
          <w:bCs/>
          <w:lang w:eastAsia="fr-FR" w:bidi="he-IL"/>
        </w:rPr>
        <w:t xml:space="preserve">V. III, p. 268 et ss. ; Kaulen, </w:t>
      </w:r>
      <w:r w:rsidRPr="003A07A7">
        <w:rPr>
          <w:rStyle w:val="italicus"/>
        </w:rPr>
        <w:t xml:space="preserve">Einleitung, </w:t>
      </w:r>
      <w:r w:rsidRPr="003A07A7">
        <w:rPr>
          <w:rFonts w:eastAsia="Arial Unicode MS"/>
          <w:bCs/>
          <w:lang w:eastAsia="fr-FR" w:bidi="he-IL"/>
        </w:rPr>
        <w:t>p. 443-444.</w:t>
      </w:r>
    </w:p>
  </w:footnote>
  <w:footnote w:id="315">
    <w:p w:rsidR="00941AA6" w:rsidRPr="00951D38" w:rsidRDefault="00941AA6" w:rsidP="00951D38">
      <w:pPr>
        <w:pStyle w:val="Notedebasdepage"/>
      </w:pPr>
      <w:r w:rsidRPr="00C406FF">
        <w:rPr>
          <w:rStyle w:val="Appelnotedebasdep"/>
        </w:rPr>
        <w:footnoteRef/>
      </w:r>
      <w:r>
        <w:t xml:space="preserve"> Voyez notre commentaire de l’Évangile selon S. Jean, p. LI. </w:t>
      </w:r>
    </w:p>
  </w:footnote>
  <w:footnote w:id="316">
    <w:p w:rsidR="00941AA6" w:rsidRPr="00933C60" w:rsidRDefault="00941AA6" w:rsidP="00951D38">
      <w:pPr>
        <w:pStyle w:val="Notedebasdepage"/>
      </w:pPr>
      <w:r w:rsidRPr="00C406FF">
        <w:rPr>
          <w:rStyle w:val="Appelnotedebasdep"/>
        </w:rPr>
        <w:footnoteRef/>
      </w:r>
      <w:r>
        <w:rPr>
          <w:rFonts w:eastAsia="Arial Unicode MS"/>
          <w:bCs/>
          <w:lang w:eastAsia="fr-FR" w:bidi="he-IL"/>
        </w:rPr>
        <w:t xml:space="preserve"> </w:t>
      </w:r>
      <w:r w:rsidRPr="00C8701B">
        <w:rPr>
          <w:rFonts w:eastAsia="Arial Unicode MS"/>
          <w:bCs/>
          <w:lang w:eastAsia="fr-FR" w:bidi="he-IL"/>
        </w:rPr>
        <w:t>Voyez en particulier les allégories du Bon Pasteur</w:t>
      </w:r>
      <w:r>
        <w:rPr>
          <w:rFonts w:eastAsia="Arial Unicode MS"/>
          <w:bCs/>
          <w:lang w:eastAsia="fr-FR" w:bidi="he-IL"/>
        </w:rPr>
        <w:t xml:space="preserve">, </w:t>
      </w:r>
      <w:r w:rsidRPr="00C8701B">
        <w:rPr>
          <w:rFonts w:eastAsia="Arial Unicode MS"/>
          <w:bCs/>
          <w:lang w:eastAsia="fr-FR" w:bidi="he-IL"/>
        </w:rPr>
        <w:t xml:space="preserve">Joan. </w:t>
      </w:r>
      <w:r>
        <w:rPr>
          <w:rFonts w:eastAsia="Arial Unicode MS"/>
          <w:bCs/>
          <w:lang w:eastAsia="fr-FR" w:bidi="he-IL"/>
        </w:rPr>
        <w:t xml:space="preserve">X, </w:t>
      </w:r>
      <w:r w:rsidRPr="00C8701B">
        <w:rPr>
          <w:rFonts w:eastAsia="Arial Unicode MS"/>
          <w:bCs/>
          <w:lang w:eastAsia="fr-FR" w:bidi="he-IL"/>
        </w:rPr>
        <w:t>1-18</w:t>
      </w:r>
      <w:r>
        <w:rPr>
          <w:rFonts w:eastAsia="Arial Unicode MS"/>
          <w:bCs/>
          <w:lang w:eastAsia="fr-FR" w:bidi="he-IL"/>
        </w:rPr>
        <w:t xml:space="preserve">, </w:t>
      </w:r>
      <w:r w:rsidRPr="00C8701B">
        <w:rPr>
          <w:rFonts w:eastAsia="Arial Unicode MS"/>
          <w:bCs/>
          <w:lang w:eastAsia="fr-FR" w:bidi="he-IL"/>
        </w:rPr>
        <w:t>de la vigne</w:t>
      </w:r>
      <w:r>
        <w:rPr>
          <w:rFonts w:eastAsia="Arial Unicode MS"/>
          <w:bCs/>
          <w:lang w:eastAsia="fr-FR" w:bidi="he-IL"/>
        </w:rPr>
        <w:t xml:space="preserve">, </w:t>
      </w:r>
      <w:r w:rsidRPr="00C8701B">
        <w:rPr>
          <w:rFonts w:eastAsia="Arial Unicode MS"/>
          <w:bCs/>
          <w:lang w:eastAsia="fr-FR" w:bidi="he-IL"/>
        </w:rPr>
        <w:t xml:space="preserve">Joan. </w:t>
      </w:r>
      <w:r>
        <w:rPr>
          <w:rFonts w:eastAsia="Arial Unicode MS"/>
          <w:bCs/>
          <w:lang w:eastAsia="fr-FR" w:bidi="he-IL"/>
        </w:rPr>
        <w:t>XV,</w:t>
      </w:r>
      <w:r w:rsidRPr="00C8701B">
        <w:rPr>
          <w:rFonts w:eastAsia="Arial Unicode MS"/>
          <w:bCs/>
          <w:lang w:eastAsia="fr-FR" w:bidi="he-IL"/>
        </w:rPr>
        <w:t xml:space="preserve"> </w:t>
      </w:r>
      <w:r>
        <w:t>1-11, etc.</w:t>
      </w:r>
    </w:p>
  </w:footnote>
  <w:footnote w:id="317">
    <w:p w:rsidR="00941AA6" w:rsidRPr="00933C60" w:rsidRDefault="00941AA6" w:rsidP="00951D38">
      <w:pPr>
        <w:pStyle w:val="Notedebasdepage"/>
      </w:pPr>
      <w:r w:rsidRPr="00C406FF">
        <w:rPr>
          <w:rStyle w:val="Appelnotedebasdep"/>
        </w:rPr>
        <w:footnoteRef/>
      </w:r>
      <w:r>
        <w:rPr>
          <w:rFonts w:eastAsia="Arial Unicode MS"/>
          <w:bCs/>
          <w:lang w:eastAsia="fr-FR" w:bidi="he-IL"/>
        </w:rPr>
        <w:t xml:space="preserve"> </w:t>
      </w:r>
      <w:r w:rsidRPr="00C8701B">
        <w:rPr>
          <w:rFonts w:eastAsia="Arial Unicode MS"/>
          <w:bCs/>
          <w:lang w:eastAsia="fr-FR" w:bidi="he-IL"/>
        </w:rPr>
        <w:t>Cf. Joan.</w:t>
      </w:r>
      <w:r>
        <w:rPr>
          <w:rFonts w:eastAsia="Arial Unicode MS"/>
          <w:bCs/>
          <w:lang w:eastAsia="fr-FR" w:bidi="he-IL"/>
        </w:rPr>
        <w:t xml:space="preserve"> I, </w:t>
      </w:r>
      <w:r w:rsidRPr="00C8701B">
        <w:rPr>
          <w:rFonts w:eastAsia="Arial Unicode MS"/>
          <w:bCs/>
          <w:lang w:eastAsia="fr-FR" w:bidi="he-IL"/>
        </w:rPr>
        <w:t>51 </w:t>
      </w:r>
      <w:r>
        <w:rPr>
          <w:rFonts w:eastAsia="Arial Unicode MS"/>
          <w:bCs/>
          <w:lang w:eastAsia="fr-FR" w:bidi="he-IL"/>
        </w:rPr>
        <w:t xml:space="preserve">; </w:t>
      </w:r>
      <w:r w:rsidRPr="00C8701B">
        <w:rPr>
          <w:rFonts w:eastAsia="Arial Unicode MS"/>
          <w:bCs/>
          <w:lang w:eastAsia="fr-FR" w:bidi="he-IL"/>
        </w:rPr>
        <w:t>III</w:t>
      </w:r>
      <w:r>
        <w:rPr>
          <w:rFonts w:eastAsia="Arial Unicode MS"/>
          <w:bCs/>
          <w:lang w:eastAsia="fr-FR" w:bidi="he-IL"/>
        </w:rPr>
        <w:t xml:space="preserve">, </w:t>
      </w:r>
      <w:r w:rsidRPr="00C8701B">
        <w:rPr>
          <w:rFonts w:eastAsia="Arial Unicode MS"/>
          <w:bCs/>
          <w:lang w:eastAsia="fr-FR" w:bidi="he-IL"/>
        </w:rPr>
        <w:t>13</w:t>
      </w:r>
      <w:r>
        <w:rPr>
          <w:rFonts w:eastAsia="Arial Unicode MS"/>
          <w:bCs/>
          <w:lang w:eastAsia="fr-FR" w:bidi="he-IL"/>
        </w:rPr>
        <w:t xml:space="preserve">, </w:t>
      </w:r>
      <w:r w:rsidRPr="00C8701B">
        <w:rPr>
          <w:rFonts w:eastAsia="Arial Unicode MS"/>
          <w:bCs/>
          <w:lang w:eastAsia="fr-FR" w:bidi="he-IL"/>
        </w:rPr>
        <w:t>14</w:t>
      </w:r>
      <w:r>
        <w:rPr>
          <w:rFonts w:eastAsia="Arial Unicode MS"/>
          <w:bCs/>
          <w:lang w:eastAsia="fr-FR" w:bidi="he-IL"/>
        </w:rPr>
        <w:t xml:space="preserve">, </w:t>
      </w:r>
      <w:r w:rsidRPr="00C8701B">
        <w:rPr>
          <w:rFonts w:eastAsia="Arial Unicode MS"/>
          <w:bCs/>
          <w:lang w:eastAsia="fr-FR" w:bidi="he-IL"/>
        </w:rPr>
        <w:t>etc.</w:t>
      </w:r>
    </w:p>
  </w:footnote>
  <w:footnote w:id="318">
    <w:p w:rsidR="00941AA6" w:rsidRPr="00933C60" w:rsidRDefault="00941AA6" w:rsidP="00951D38">
      <w:pPr>
        <w:pStyle w:val="Notedebasdepage"/>
      </w:pPr>
      <w:r w:rsidRPr="00C406FF">
        <w:rPr>
          <w:rStyle w:val="Appelnotedebasdep"/>
        </w:rPr>
        <w:footnoteRef/>
      </w:r>
      <w:r w:rsidRPr="00165881">
        <w:rPr>
          <w:rFonts w:eastAsia="Arial Unicode MS"/>
          <w:bCs/>
          <w:lang w:eastAsia="fr-FR" w:bidi="he-IL"/>
        </w:rPr>
        <w:t xml:space="preserve"> Voyez Westcott, </w:t>
      </w:r>
      <w:r w:rsidRPr="00165881">
        <w:rPr>
          <w:rStyle w:val="italicus"/>
        </w:rPr>
        <w:t>St. John’s Gospel</w:t>
      </w:r>
      <w:r w:rsidRPr="00165881">
        <w:rPr>
          <w:rFonts w:eastAsia="Arial Unicode MS"/>
          <w:bCs/>
          <w:lang w:eastAsia="fr-FR" w:bidi="he-IL"/>
        </w:rPr>
        <w:t>, p. LXXXVIII.</w:t>
      </w:r>
    </w:p>
  </w:footnote>
  <w:footnote w:id="319">
    <w:p w:rsidR="00941AA6" w:rsidRPr="00933C60" w:rsidRDefault="00941AA6" w:rsidP="00951D38">
      <w:pPr>
        <w:pStyle w:val="Notedebasdepage"/>
      </w:pPr>
      <w:r w:rsidRPr="00C406FF">
        <w:rPr>
          <w:rStyle w:val="Appelnotedebasdep"/>
        </w:rPr>
        <w:footnoteRef/>
      </w:r>
      <w:r>
        <w:t xml:space="preserve"> </w:t>
      </w:r>
      <w:r w:rsidRPr="00165881">
        <w:t>Cinq seulement.</w:t>
      </w:r>
    </w:p>
  </w:footnote>
  <w:footnote w:id="320">
    <w:p w:rsidR="00941AA6" w:rsidRPr="00933C60" w:rsidRDefault="00941AA6" w:rsidP="00951D38">
      <w:pPr>
        <w:pStyle w:val="Notedebasdepage"/>
      </w:pPr>
      <w:r w:rsidRPr="00C406FF">
        <w:rPr>
          <w:rStyle w:val="Appelnotedebasdep"/>
        </w:rPr>
        <w:footnoteRef/>
      </w:r>
      <w:r w:rsidRPr="00951D38">
        <w:rPr>
          <w:lang w:val="de-AT"/>
        </w:rPr>
        <w:t xml:space="preserve"> </w:t>
      </w:r>
      <w:r w:rsidRPr="00F3476E">
        <w:rPr>
          <w:rFonts w:eastAsia="Arial Unicode MS"/>
          <w:bCs/>
          <w:lang w:eastAsia="fr-FR" w:bidi="he-IL"/>
        </w:rPr>
        <w:t xml:space="preserve">Cf. Hug, </w:t>
      </w:r>
      <w:r w:rsidRPr="00F3476E">
        <w:rPr>
          <w:rStyle w:val="italicus"/>
        </w:rPr>
        <w:t xml:space="preserve">Einleitung in die Schriften des Neuen Testamentes, </w:t>
      </w:r>
      <w:r w:rsidRPr="00F3476E">
        <w:rPr>
          <w:rFonts w:eastAsia="Arial Unicode MS"/>
          <w:bCs/>
          <w:lang w:eastAsia="fr-FR" w:bidi="he-IL"/>
        </w:rPr>
        <w:t>t. II, p. 192 et ss.</w:t>
      </w:r>
      <w:r w:rsidRPr="00F3476E">
        <w:rPr>
          <w:rStyle w:val="italicus"/>
        </w:rPr>
        <w:t xml:space="preserve"> </w:t>
      </w:r>
      <w:r w:rsidRPr="00F3476E">
        <w:rPr>
          <w:rFonts w:eastAsia="Arial Unicode MS"/>
          <w:bCs/>
          <w:lang w:eastAsia="fr-FR" w:bidi="he-IL"/>
        </w:rPr>
        <w:t>de la 3</w:t>
      </w:r>
      <w:r w:rsidRPr="00F3476E">
        <w:rPr>
          <w:rFonts w:eastAsia="Arial Unicode MS"/>
          <w:bCs/>
          <w:vertAlign w:val="superscript"/>
          <w:lang w:eastAsia="fr-FR" w:bidi="he-IL"/>
        </w:rPr>
        <w:t>e</w:t>
      </w:r>
      <w:r w:rsidRPr="00F3476E">
        <w:rPr>
          <w:rFonts w:eastAsia="Arial Unicode MS"/>
          <w:bCs/>
          <w:lang w:eastAsia="fr-FR" w:bidi="he-IL"/>
        </w:rPr>
        <w:t xml:space="preserve"> édit.</w:t>
      </w:r>
    </w:p>
  </w:footnote>
  <w:footnote w:id="321">
    <w:p w:rsidR="00941AA6" w:rsidRPr="00933C60" w:rsidRDefault="00941AA6" w:rsidP="001A4F8D">
      <w:pPr>
        <w:pStyle w:val="Notedebasdepage"/>
      </w:pPr>
      <w:r w:rsidRPr="00C406FF">
        <w:rPr>
          <w:rStyle w:val="Appelnotedebasdep"/>
        </w:rPr>
        <w:footnoteRef/>
      </w:r>
      <w:r w:rsidRPr="00C8701B">
        <w:rPr>
          <w:rFonts w:eastAsia="Arial Unicode MS"/>
          <w:bCs/>
          <w:lang w:eastAsia="fr-FR" w:bidi="he-IL"/>
        </w:rPr>
        <w:t xml:space="preserve"> Voyez </w:t>
      </w:r>
      <w:r>
        <w:rPr>
          <w:rFonts w:eastAsia="Arial Unicode MS"/>
          <w:bCs/>
          <w:lang w:eastAsia="fr-FR" w:bidi="he-IL"/>
        </w:rPr>
        <w:t>c</w:t>
      </w:r>
      <w:r w:rsidRPr="00C8701B">
        <w:rPr>
          <w:rFonts w:eastAsia="Arial Unicode MS"/>
          <w:bCs/>
          <w:lang w:eastAsia="fr-FR" w:bidi="he-IL"/>
        </w:rPr>
        <w:t xml:space="preserve">e qui a été dit à la p. </w:t>
      </w:r>
      <w:r w:rsidR="00691E6B">
        <w:rPr>
          <w:rFonts w:eastAsia="Arial Unicode MS"/>
          <w:bCs/>
          <w:lang w:eastAsia="fr-FR" w:bidi="he-IL"/>
        </w:rPr>
        <w:fldChar w:fldCharType="begin"/>
      </w:r>
      <w:r w:rsidR="001A4F8D">
        <w:rPr>
          <w:rFonts w:eastAsia="Arial Unicode MS"/>
          <w:bCs/>
          <w:lang w:eastAsia="fr-FR" w:bidi="he-IL"/>
        </w:rPr>
        <w:instrText xml:space="preserve"> PAGEREF evin07020303 \h </w:instrText>
      </w:r>
      <w:r w:rsidR="00691E6B">
        <w:rPr>
          <w:rFonts w:eastAsia="Arial Unicode MS"/>
          <w:bCs/>
          <w:lang w:eastAsia="fr-FR" w:bidi="he-IL"/>
        </w:rPr>
      </w:r>
      <w:r w:rsidR="00691E6B">
        <w:rPr>
          <w:rFonts w:eastAsia="Arial Unicode MS"/>
          <w:bCs/>
          <w:lang w:eastAsia="fr-FR" w:bidi="he-IL"/>
        </w:rPr>
        <w:fldChar w:fldCharType="separate"/>
      </w:r>
      <w:r w:rsidR="00635395">
        <w:rPr>
          <w:rFonts w:eastAsia="Arial Unicode MS"/>
          <w:bCs/>
          <w:noProof/>
          <w:lang w:eastAsia="fr-FR" w:bidi="he-IL"/>
        </w:rPr>
        <w:t>46</w:t>
      </w:r>
      <w:r w:rsidR="00691E6B">
        <w:rPr>
          <w:rFonts w:eastAsia="Arial Unicode MS"/>
          <w:bCs/>
          <w:lang w:eastAsia="fr-FR" w:bidi="he-IL"/>
        </w:rPr>
        <w:fldChar w:fldCharType="end"/>
      </w:r>
      <w:r>
        <w:rPr>
          <w:rFonts w:eastAsia="Arial Unicode MS"/>
          <w:bCs/>
          <w:lang w:eastAsia="fr-FR" w:bidi="he-IL"/>
        </w:rPr>
        <w:t>[</w:t>
      </w:r>
      <w:r w:rsidRPr="00C8701B">
        <w:rPr>
          <w:rFonts w:eastAsia="Arial Unicode MS"/>
          <w:bCs/>
          <w:lang w:eastAsia="fr-FR" w:bidi="he-IL"/>
        </w:rPr>
        <w:t>58</w:t>
      </w:r>
      <w:r>
        <w:rPr>
          <w:rFonts w:eastAsia="Arial Unicode MS"/>
          <w:bCs/>
          <w:lang w:eastAsia="fr-FR" w:bidi="he-IL"/>
        </w:rPr>
        <w:t>]</w:t>
      </w:r>
      <w:r w:rsidRPr="00C8701B">
        <w:rPr>
          <w:rFonts w:eastAsia="Arial Unicode MS"/>
          <w:bCs/>
          <w:lang w:eastAsia="fr-FR" w:bidi="he-IL"/>
        </w:rPr>
        <w:t>. Les rationalistes nomment cela « les rectifier et les corriger »</w:t>
      </w:r>
      <w:r>
        <w:rPr>
          <w:rFonts w:eastAsia="Arial Unicode MS"/>
          <w:bCs/>
          <w:lang w:eastAsia="fr-FR" w:bidi="he-IL"/>
        </w:rPr>
        <w:t xml:space="preserve"> (Reus</w:t>
      </w:r>
      <w:r w:rsidRPr="00C8701B">
        <w:rPr>
          <w:rFonts w:eastAsia="Arial Unicode MS"/>
          <w:bCs/>
          <w:lang w:eastAsia="fr-FR" w:bidi="he-IL"/>
        </w:rPr>
        <w:t>s</w:t>
      </w:r>
      <w:r>
        <w:rPr>
          <w:rFonts w:eastAsia="Arial Unicode MS"/>
          <w:bCs/>
          <w:lang w:eastAsia="fr-FR" w:bidi="he-IL"/>
        </w:rPr>
        <w:t xml:space="preserve">, </w:t>
      </w:r>
      <w:r w:rsidRPr="00DC4586">
        <w:rPr>
          <w:rStyle w:val="italicus"/>
        </w:rPr>
        <w:t>La théologie johannique</w:t>
      </w:r>
      <w:r>
        <w:rPr>
          <w:rStyle w:val="italicus"/>
        </w:rPr>
        <w:t xml:space="preserve">, </w:t>
      </w:r>
      <w:r w:rsidRPr="00C8701B">
        <w:rPr>
          <w:rFonts w:eastAsia="Arial Unicode MS"/>
          <w:bCs/>
          <w:lang w:eastAsia="fr-FR" w:bidi="he-IL"/>
        </w:rPr>
        <w:t>p. 32).</w:t>
      </w:r>
    </w:p>
  </w:footnote>
  <w:footnote w:id="322">
    <w:p w:rsidR="00941AA6" w:rsidRPr="00933C60" w:rsidRDefault="00941AA6">
      <w:pPr>
        <w:pStyle w:val="Notedebasdepage"/>
      </w:pPr>
      <w:r w:rsidRPr="00C406FF">
        <w:rPr>
          <w:rStyle w:val="Appelnotedebasdep"/>
        </w:rPr>
        <w:footnoteRef/>
      </w:r>
      <w:r w:rsidRPr="00A74F01">
        <w:rPr>
          <w:rFonts w:eastAsia="Arial Unicode MS"/>
          <w:bCs/>
          <w:lang w:val="en-US" w:eastAsia="fr-FR" w:bidi="he-IL"/>
        </w:rPr>
        <w:t xml:space="preserve"> S. Jean Chrysostome.</w:t>
      </w:r>
      <w:r w:rsidRPr="00A74F01">
        <w:rPr>
          <w:rStyle w:val="italicus"/>
          <w:lang w:val="en-US"/>
        </w:rPr>
        <w:t xml:space="preserve"> Homil.</w:t>
      </w:r>
      <w:r>
        <w:rPr>
          <w:rStyle w:val="italicus"/>
          <w:lang w:val="en-US"/>
        </w:rPr>
        <w:t xml:space="preserve"> </w:t>
      </w:r>
      <w:r w:rsidRPr="00A74F01">
        <w:rPr>
          <w:rStyle w:val="italicus"/>
          <w:lang w:val="en-US"/>
        </w:rPr>
        <w:t>in</w:t>
      </w:r>
      <w:r>
        <w:rPr>
          <w:rStyle w:val="italicus"/>
          <w:lang w:val="en-US"/>
        </w:rPr>
        <w:t xml:space="preserve"> </w:t>
      </w:r>
      <w:r w:rsidRPr="00A74F01">
        <w:rPr>
          <w:rStyle w:val="italicus"/>
          <w:lang w:val="en-US"/>
        </w:rPr>
        <w:t>Joan.</w:t>
      </w:r>
      <w:r w:rsidRPr="00A74F01">
        <w:rPr>
          <w:rFonts w:eastAsia="Arial Unicode MS"/>
          <w:bCs/>
          <w:lang w:val="en-US" w:eastAsia="fr-FR" w:bidi="he-IL"/>
        </w:rPr>
        <w:t xml:space="preserve"> I, </w:t>
      </w:r>
      <w:r w:rsidRPr="00165881">
        <w:rPr>
          <w:lang w:val="en-US"/>
        </w:rPr>
        <w:t>2.</w:t>
      </w:r>
    </w:p>
  </w:footnote>
  <w:footnote w:id="323">
    <w:p w:rsidR="00941AA6" w:rsidRPr="00933C60" w:rsidRDefault="00941AA6">
      <w:pPr>
        <w:pStyle w:val="Notedebasdepage"/>
      </w:pPr>
      <w:r w:rsidRPr="00C406FF">
        <w:rPr>
          <w:rStyle w:val="Appelnotedebasdep"/>
        </w:rPr>
        <w:footnoteRef/>
      </w:r>
      <w:r w:rsidRPr="00165881">
        <w:rPr>
          <w:rFonts w:eastAsia="Arial Unicode MS"/>
          <w:lang w:val="en-US" w:eastAsia="fr-FR" w:bidi="he-IL"/>
        </w:rPr>
        <w:t xml:space="preserve"> </w:t>
      </w:r>
      <w:r w:rsidRPr="00165881">
        <w:rPr>
          <w:rStyle w:val="italicus"/>
          <w:lang w:val="en-US"/>
        </w:rPr>
        <w:t>Contr. Jovinian.,</w:t>
      </w:r>
      <w:r w:rsidRPr="00165881">
        <w:rPr>
          <w:lang w:val="en-US"/>
        </w:rPr>
        <w:t xml:space="preserve"> I.</w:t>
      </w:r>
    </w:p>
  </w:footnote>
  <w:footnote w:id="324">
    <w:p w:rsidR="00941AA6" w:rsidRPr="00933C60" w:rsidRDefault="00941AA6">
      <w:pPr>
        <w:pStyle w:val="Notedebasdepage"/>
      </w:pPr>
      <w:r w:rsidRPr="00C406FF">
        <w:rPr>
          <w:rStyle w:val="Appelnotedebasdep"/>
        </w:rPr>
        <w:footnoteRef/>
      </w:r>
      <w:r w:rsidRPr="00165881">
        <w:rPr>
          <w:rFonts w:eastAsia="Arial Unicode MS"/>
          <w:lang w:val="en-US" w:eastAsia="fr-FR" w:bidi="he-IL"/>
        </w:rPr>
        <w:t xml:space="preserve"> </w:t>
      </w:r>
      <w:r w:rsidRPr="00165881">
        <w:rPr>
          <w:rFonts w:eastAsia="Arial Unicode MS"/>
          <w:bCs/>
          <w:lang w:val="en-US" w:eastAsia="fr-FR" w:bidi="he-IL"/>
        </w:rPr>
        <w:t xml:space="preserve">« Ex fínibus divérsis quos evangelístæ tres prióres et quartus in narratiónibus suis persecúti sunt, rerum narratárum divérsitas abúnde explicátur ». </w:t>
      </w:r>
      <w:r w:rsidRPr="00C8701B">
        <w:rPr>
          <w:rFonts w:eastAsia="Arial Unicode MS"/>
          <w:bCs/>
          <w:lang w:val="en-US" w:eastAsia="fr-FR" w:bidi="he-IL"/>
        </w:rPr>
        <w:t>Cornely</w:t>
      </w:r>
      <w:r>
        <w:rPr>
          <w:rFonts w:eastAsia="Arial Unicode MS"/>
          <w:bCs/>
          <w:lang w:val="en-US" w:eastAsia="fr-FR" w:bidi="he-IL"/>
        </w:rPr>
        <w:t xml:space="preserve">, </w:t>
      </w:r>
      <w:r w:rsidRPr="00A74F01">
        <w:rPr>
          <w:rStyle w:val="italicus"/>
          <w:lang w:val="en-US"/>
        </w:rPr>
        <w:t>Introdúct</w:t>
      </w:r>
      <w:r>
        <w:rPr>
          <w:rStyle w:val="italicus"/>
          <w:lang w:val="en-US"/>
        </w:rPr>
        <w:t>io</w:t>
      </w:r>
      <w:r w:rsidRPr="00A74F01">
        <w:rPr>
          <w:rStyle w:val="italicus"/>
          <w:lang w:val="en-US"/>
        </w:rPr>
        <w:t xml:space="preserve">, </w:t>
      </w:r>
      <w:r w:rsidRPr="003A07A7">
        <w:rPr>
          <w:lang w:val="en-GB"/>
        </w:rPr>
        <w:t>t. III,</w:t>
      </w:r>
      <w:r>
        <w:rPr>
          <w:rFonts w:eastAsia="Arial Unicode MS"/>
          <w:bCs/>
          <w:lang w:val="el-GR" w:eastAsia="fr-FR" w:bidi="he-IL"/>
        </w:rPr>
        <w:t xml:space="preserve"> </w:t>
      </w:r>
      <w:r>
        <w:rPr>
          <w:rFonts w:eastAsia="Arial Unicode MS"/>
          <w:bCs/>
          <w:lang w:val="en-US" w:eastAsia="fr-FR" w:bidi="he-IL"/>
        </w:rPr>
        <w:t>p. 264.</w:t>
      </w:r>
    </w:p>
  </w:footnote>
  <w:footnote w:id="325">
    <w:p w:rsidR="00941AA6" w:rsidRPr="00933C60" w:rsidRDefault="00941AA6">
      <w:pPr>
        <w:pStyle w:val="Notedebasdepage"/>
      </w:pPr>
      <w:r w:rsidRPr="00C406FF">
        <w:rPr>
          <w:rStyle w:val="Appelnotedebasdep"/>
        </w:rPr>
        <w:footnoteRef/>
      </w:r>
      <w:r w:rsidRPr="00C8701B">
        <w:rPr>
          <w:rFonts w:eastAsia="Arial Unicode MS"/>
          <w:lang w:val="en-US" w:eastAsia="fr-FR" w:bidi="he-IL"/>
        </w:rPr>
        <w:t xml:space="preserve"> </w:t>
      </w:r>
      <w:r w:rsidRPr="00C8701B">
        <w:rPr>
          <w:rFonts w:eastAsia="Arial Unicode MS"/>
          <w:bCs/>
          <w:lang w:val="en-US" w:eastAsia="fr-FR" w:bidi="he-IL"/>
        </w:rPr>
        <w:t>Westcott</w:t>
      </w:r>
      <w:r>
        <w:rPr>
          <w:rFonts w:eastAsia="Arial Unicode MS"/>
          <w:bCs/>
          <w:lang w:val="en-US" w:eastAsia="fr-FR" w:bidi="he-IL"/>
        </w:rPr>
        <w:t xml:space="preserve">, </w:t>
      </w:r>
      <w:r>
        <w:rPr>
          <w:rStyle w:val="italicus"/>
          <w:lang w:val="en-US"/>
        </w:rPr>
        <w:t>St. John’</w:t>
      </w:r>
      <w:r w:rsidRPr="00A74F01">
        <w:rPr>
          <w:rStyle w:val="italicus"/>
          <w:lang w:val="en-US"/>
        </w:rPr>
        <w:t xml:space="preserve">s Gospel, </w:t>
      </w:r>
      <w:r w:rsidRPr="00C8701B">
        <w:rPr>
          <w:rFonts w:eastAsia="Arial Unicode MS"/>
          <w:bCs/>
          <w:lang w:val="en-US" w:eastAsia="fr-FR" w:bidi="he-IL"/>
        </w:rPr>
        <w:t xml:space="preserve">p. </w:t>
      </w:r>
      <w:r>
        <w:rPr>
          <w:rFonts w:eastAsia="Arial Unicode MS"/>
          <w:bCs/>
          <w:lang w:val="en-US" w:eastAsia="fr-FR" w:bidi="he-IL"/>
        </w:rPr>
        <w:t>LXXX</w:t>
      </w:r>
      <w:r w:rsidRPr="00C8701B">
        <w:rPr>
          <w:rFonts w:eastAsia="Arial Unicode MS"/>
          <w:bCs/>
          <w:lang w:val="en-US" w:eastAsia="fr-FR" w:bidi="he-IL"/>
        </w:rPr>
        <w:t>.</w:t>
      </w:r>
    </w:p>
  </w:footnote>
  <w:footnote w:id="326">
    <w:p w:rsidR="00941AA6" w:rsidRPr="00933C60" w:rsidRDefault="00941AA6">
      <w:pPr>
        <w:pStyle w:val="Notedebasdepage"/>
      </w:pPr>
      <w:r w:rsidRPr="00C406FF">
        <w:rPr>
          <w:rStyle w:val="Appelnotedebasdep"/>
        </w:rPr>
        <w:footnoteRef/>
      </w:r>
      <w:r w:rsidRPr="00DC4586">
        <w:rPr>
          <w:rStyle w:val="italicus"/>
        </w:rPr>
        <w:t xml:space="preserve"> De la croyance due à l’Évangile</w:t>
      </w:r>
      <w:r>
        <w:rPr>
          <w:rStyle w:val="italicus"/>
        </w:rPr>
        <w:t>,</w:t>
      </w:r>
      <w:r w:rsidRPr="00C8701B">
        <w:rPr>
          <w:rFonts w:eastAsia="Arial Unicode MS"/>
          <w:bCs/>
          <w:lang w:eastAsia="fr-FR" w:bidi="he-IL"/>
        </w:rPr>
        <w:t xml:space="preserve"> Paris</w:t>
      </w:r>
      <w:r>
        <w:rPr>
          <w:rFonts w:eastAsia="Arial Unicode MS"/>
          <w:bCs/>
          <w:lang w:eastAsia="fr-FR" w:bidi="he-IL"/>
        </w:rPr>
        <w:t xml:space="preserve">, </w:t>
      </w:r>
      <w:r w:rsidRPr="00C8701B">
        <w:rPr>
          <w:rFonts w:eastAsia="Arial Unicode MS"/>
          <w:bCs/>
          <w:lang w:eastAsia="fr-FR" w:bidi="he-IL"/>
        </w:rPr>
        <w:t>1858</w:t>
      </w:r>
      <w:r>
        <w:rPr>
          <w:rFonts w:eastAsia="Arial Unicode MS"/>
          <w:bCs/>
          <w:lang w:eastAsia="fr-FR" w:bidi="he-IL"/>
        </w:rPr>
        <w:t xml:space="preserve">, </w:t>
      </w:r>
      <w:r w:rsidRPr="00C8701B">
        <w:rPr>
          <w:rFonts w:eastAsia="Arial Unicode MS"/>
          <w:bCs/>
          <w:lang w:eastAsia="fr-FR" w:bidi="he-IL"/>
        </w:rPr>
        <w:t>p. 342</w:t>
      </w:r>
      <w:r>
        <w:rPr>
          <w:rFonts w:eastAsia="Arial Unicode MS"/>
          <w:bCs/>
          <w:lang w:eastAsia="fr-FR" w:bidi="he-IL"/>
        </w:rPr>
        <w:t xml:space="preserve"> et ss.</w:t>
      </w:r>
    </w:p>
  </w:footnote>
  <w:footnote w:id="327">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Urbis cóndit</w:t>
      </w:r>
      <w:r>
        <w:rPr>
          <w:rStyle w:val="italicus"/>
        </w:rPr>
        <w:t xml:space="preserve">æ, </w:t>
      </w:r>
      <w:r>
        <w:rPr>
          <w:rFonts w:eastAsia="Arial Unicode MS"/>
          <w:bCs/>
          <w:lang w:eastAsia="fr-FR" w:bidi="he-IL"/>
        </w:rPr>
        <w:t>comme l’</w:t>
      </w:r>
      <w:r w:rsidRPr="00C8701B">
        <w:rPr>
          <w:rFonts w:eastAsia="Arial Unicode MS"/>
          <w:bCs/>
          <w:lang w:eastAsia="fr-FR" w:bidi="he-IL"/>
        </w:rPr>
        <w:t>on dit.</w:t>
      </w:r>
    </w:p>
  </w:footnote>
  <w:footnote w:id="328">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Loc. cit.</w:t>
      </w:r>
      <w:r>
        <w:rPr>
          <w:rStyle w:val="italicus"/>
        </w:rPr>
        <w:t xml:space="preserve">, </w:t>
      </w:r>
      <w:r w:rsidRPr="00C8701B">
        <w:rPr>
          <w:rFonts w:eastAsia="Arial Unicode MS"/>
          <w:bCs/>
          <w:lang w:eastAsia="fr-FR" w:bidi="he-IL"/>
        </w:rPr>
        <w:t>p. 382.</w:t>
      </w:r>
    </w:p>
  </w:footnote>
  <w:footnote w:id="329">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 Les Anciens n’ont jamais attaché beaucoup d’importance à cette question</w:t>
      </w:r>
      <w:r>
        <w:rPr>
          <w:rFonts w:eastAsia="Arial Unicode MS"/>
          <w:bCs/>
          <w:lang w:eastAsia="fr-FR" w:bidi="he-IL"/>
        </w:rPr>
        <w:t xml:space="preserve">, </w:t>
      </w:r>
      <w:r w:rsidRPr="00C8701B">
        <w:rPr>
          <w:rFonts w:eastAsia="Arial Unicode MS"/>
          <w:bCs/>
          <w:lang w:eastAsia="fr-FR" w:bidi="he-IL"/>
        </w:rPr>
        <w:t>et une d</w:t>
      </w:r>
      <w:r>
        <w:rPr>
          <w:rFonts w:eastAsia="Arial Unicode MS"/>
          <w:bCs/>
          <w:lang w:eastAsia="fr-FR" w:bidi="he-IL"/>
        </w:rPr>
        <w:t>ate plus ou moins précise</w:t>
      </w:r>
      <w:r w:rsidRPr="00C8701B">
        <w:rPr>
          <w:rFonts w:eastAsia="Arial Unicode MS"/>
          <w:bCs/>
          <w:lang w:eastAsia="fr-FR" w:bidi="he-IL"/>
        </w:rPr>
        <w:t xml:space="preserve"> leur paraissait chose très secondaire</w:t>
      </w:r>
      <w:r>
        <w:rPr>
          <w:rFonts w:eastAsia="Arial Unicode MS"/>
          <w:bCs/>
          <w:lang w:eastAsia="fr-FR" w:bidi="he-IL"/>
        </w:rPr>
        <w:t xml:space="preserve">, </w:t>
      </w:r>
      <w:r w:rsidRPr="00C8701B">
        <w:rPr>
          <w:rFonts w:eastAsia="Arial Unicode MS"/>
          <w:bCs/>
          <w:lang w:eastAsia="fr-FR" w:bidi="he-IL"/>
        </w:rPr>
        <w:t>à une époque où il fallait proclamer</w:t>
      </w:r>
      <w:r>
        <w:rPr>
          <w:rFonts w:eastAsia="Arial Unicode MS"/>
          <w:bCs/>
          <w:lang w:eastAsia="fr-FR" w:bidi="he-IL"/>
        </w:rPr>
        <w:t xml:space="preserve">, </w:t>
      </w:r>
      <w:r w:rsidRPr="00C8701B">
        <w:rPr>
          <w:rFonts w:eastAsia="Arial Unicode MS"/>
          <w:bCs/>
          <w:lang w:eastAsia="fr-FR" w:bidi="he-IL"/>
        </w:rPr>
        <w:t>au péril de la vie</w:t>
      </w:r>
      <w:r>
        <w:rPr>
          <w:rFonts w:eastAsia="Arial Unicode MS"/>
          <w:bCs/>
          <w:lang w:eastAsia="fr-FR" w:bidi="he-IL"/>
        </w:rPr>
        <w:t xml:space="preserve">, </w:t>
      </w:r>
      <w:r w:rsidRPr="00C8701B">
        <w:rPr>
          <w:rFonts w:eastAsia="Arial Unicode MS"/>
          <w:bCs/>
          <w:lang w:eastAsia="fr-FR" w:bidi="he-IL"/>
        </w:rPr>
        <w:t>les grandes vérités de la foi chrétienne. » Mémain</w:t>
      </w:r>
      <w:r>
        <w:rPr>
          <w:rFonts w:eastAsia="Arial Unicode MS"/>
          <w:bCs/>
          <w:lang w:eastAsia="fr-FR" w:bidi="he-IL"/>
        </w:rPr>
        <w:t xml:space="preserve">, </w:t>
      </w:r>
      <w:r>
        <w:rPr>
          <w:rStyle w:val="italicus"/>
        </w:rPr>
        <w:t>La connaissance des temps évangé</w:t>
      </w:r>
      <w:r w:rsidRPr="00DC4586">
        <w:rPr>
          <w:rStyle w:val="italicus"/>
        </w:rPr>
        <w:t>liques</w:t>
      </w:r>
      <w:r>
        <w:rPr>
          <w:rStyle w:val="italicus"/>
        </w:rPr>
        <w:t xml:space="preserve">, </w:t>
      </w:r>
      <w:r w:rsidRPr="00C8701B">
        <w:rPr>
          <w:rFonts w:eastAsia="Arial Unicode MS"/>
          <w:bCs/>
          <w:lang w:eastAsia="fr-FR" w:bidi="he-IL"/>
        </w:rPr>
        <w:t>Paris</w:t>
      </w:r>
      <w:r>
        <w:rPr>
          <w:rFonts w:eastAsia="Arial Unicode MS"/>
          <w:bCs/>
          <w:lang w:eastAsia="fr-FR" w:bidi="he-IL"/>
        </w:rPr>
        <w:t xml:space="preserve">, </w:t>
      </w:r>
      <w:r w:rsidRPr="00C8701B">
        <w:rPr>
          <w:rFonts w:eastAsia="Arial Unicode MS"/>
          <w:bCs/>
          <w:lang w:eastAsia="fr-FR" w:bidi="he-IL"/>
        </w:rPr>
        <w:t xml:space="preserve">1886 p. </w:t>
      </w:r>
      <w:r>
        <w:rPr>
          <w:rFonts w:eastAsia="Arial Unicode MS"/>
          <w:bCs/>
          <w:lang w:eastAsia="fr-FR" w:bidi="he-IL"/>
        </w:rPr>
        <w:t xml:space="preserve">3. </w:t>
      </w:r>
      <w:r w:rsidRPr="003A07A7">
        <w:rPr>
          <w:rFonts w:eastAsia="Arial Unicode MS"/>
          <w:bCs/>
          <w:lang w:eastAsia="fr-FR" w:bidi="he-IL"/>
        </w:rPr>
        <w:t xml:space="preserve">Cf. Zumpt, </w:t>
      </w:r>
      <w:r w:rsidRPr="003A07A7">
        <w:rPr>
          <w:rStyle w:val="italicus"/>
        </w:rPr>
        <w:t xml:space="preserve">Des Geburtsjahr Christi, </w:t>
      </w:r>
      <w:r w:rsidRPr="003A07A7">
        <w:rPr>
          <w:rFonts w:eastAsia="Arial Unicode MS"/>
          <w:bCs/>
          <w:lang w:eastAsia="fr-FR" w:bidi="he-IL"/>
        </w:rPr>
        <w:t>Leipzig 1869, p. 3 et ss.</w:t>
      </w:r>
    </w:p>
  </w:footnote>
  <w:footnote w:id="330">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Bossuet</w:t>
      </w:r>
      <w:r>
        <w:rPr>
          <w:rFonts w:eastAsia="Arial Unicode MS"/>
          <w:bCs/>
          <w:lang w:eastAsia="fr-FR" w:bidi="he-IL"/>
        </w:rPr>
        <w:t xml:space="preserve">, </w:t>
      </w:r>
      <w:r>
        <w:rPr>
          <w:rStyle w:val="italicus"/>
        </w:rPr>
        <w:t>Discours sur l’</w:t>
      </w:r>
      <w:r w:rsidRPr="00DC4586">
        <w:rPr>
          <w:rStyle w:val="italicus"/>
        </w:rPr>
        <w:t>histoire universelle</w:t>
      </w:r>
      <w:r>
        <w:rPr>
          <w:rStyle w:val="italicus"/>
        </w:rPr>
        <w:t xml:space="preserve">, </w:t>
      </w:r>
      <w:r>
        <w:rPr>
          <w:rFonts w:eastAsia="Arial Unicode MS"/>
          <w:bCs/>
          <w:lang w:eastAsia="fr-FR" w:bidi="he-IL"/>
        </w:rPr>
        <w:t>1</w:t>
      </w:r>
      <w:r w:rsidRPr="003A07A7">
        <w:rPr>
          <w:rFonts w:eastAsia="Arial Unicode MS"/>
          <w:bCs/>
          <w:vertAlign w:val="superscript"/>
          <w:lang w:eastAsia="fr-FR" w:bidi="he-IL"/>
        </w:rPr>
        <w:t>re</w:t>
      </w:r>
      <w:r>
        <w:rPr>
          <w:rFonts w:eastAsia="Arial Unicode MS"/>
          <w:bCs/>
          <w:lang w:eastAsia="fr-FR" w:bidi="he-IL"/>
        </w:rPr>
        <w:t xml:space="preserve"> </w:t>
      </w:r>
      <w:r w:rsidRPr="00C8701B">
        <w:rPr>
          <w:rFonts w:eastAsia="Arial Unicode MS"/>
          <w:bCs/>
          <w:lang w:eastAsia="fr-FR" w:bidi="he-IL"/>
        </w:rPr>
        <w:t>partie</w:t>
      </w:r>
      <w:r>
        <w:rPr>
          <w:rFonts w:eastAsia="Arial Unicode MS"/>
          <w:bCs/>
          <w:lang w:eastAsia="fr-FR" w:bidi="he-IL"/>
        </w:rPr>
        <w:t>, X</w:t>
      </w:r>
      <w:r w:rsidRPr="003A07A7">
        <w:rPr>
          <w:rFonts w:eastAsia="Arial Unicode MS"/>
          <w:bCs/>
          <w:vertAlign w:val="superscript"/>
          <w:lang w:eastAsia="fr-FR" w:bidi="he-IL"/>
        </w:rPr>
        <w:t>e</w:t>
      </w:r>
      <w:r w:rsidRPr="00C8701B">
        <w:rPr>
          <w:rFonts w:eastAsia="Arial Unicode MS"/>
          <w:bCs/>
          <w:lang w:eastAsia="fr-FR" w:bidi="he-IL"/>
        </w:rPr>
        <w:t xml:space="preserve"> ép</w:t>
      </w:r>
      <w:r>
        <w:rPr>
          <w:rFonts w:eastAsia="Arial Unicode MS"/>
          <w:bCs/>
          <w:lang w:eastAsia="fr-FR" w:bidi="he-IL"/>
        </w:rPr>
        <w:t>oqu</w:t>
      </w:r>
      <w:r w:rsidRPr="00C8701B">
        <w:rPr>
          <w:rFonts w:eastAsia="Arial Unicode MS"/>
          <w:bCs/>
          <w:lang w:eastAsia="fr-FR" w:bidi="he-IL"/>
        </w:rPr>
        <w:t>e.</w:t>
      </w:r>
    </w:p>
  </w:footnote>
  <w:footnote w:id="331">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 Ainsi</w:t>
      </w:r>
      <w:r>
        <w:rPr>
          <w:rFonts w:eastAsia="Arial Unicode MS"/>
          <w:bCs/>
          <w:lang w:eastAsia="fr-FR" w:bidi="he-IL"/>
        </w:rPr>
        <w:t xml:space="preserve">, </w:t>
      </w:r>
      <w:r w:rsidRPr="00C8701B">
        <w:rPr>
          <w:rFonts w:eastAsia="Arial Unicode MS"/>
          <w:bCs/>
          <w:lang w:eastAsia="fr-FR" w:bidi="he-IL"/>
        </w:rPr>
        <w:t>tout le monde sait</w:t>
      </w:r>
      <w:r>
        <w:rPr>
          <w:rFonts w:eastAsia="Arial Unicode MS"/>
          <w:bCs/>
          <w:lang w:eastAsia="fr-FR" w:bidi="he-IL"/>
        </w:rPr>
        <w:t>, d’</w:t>
      </w:r>
      <w:r w:rsidRPr="00C8701B">
        <w:rPr>
          <w:rFonts w:eastAsia="Arial Unicode MS"/>
          <w:bCs/>
          <w:lang w:eastAsia="fr-FR" w:bidi="he-IL"/>
        </w:rPr>
        <w:t>une manière certaine</w:t>
      </w:r>
      <w:r>
        <w:rPr>
          <w:rFonts w:eastAsia="Arial Unicode MS"/>
          <w:bCs/>
          <w:lang w:eastAsia="fr-FR" w:bidi="he-IL"/>
        </w:rPr>
        <w:t xml:space="preserve">, </w:t>
      </w:r>
      <w:r w:rsidRPr="00C8701B">
        <w:rPr>
          <w:rFonts w:eastAsia="Arial Unicode MS"/>
          <w:bCs/>
          <w:lang w:eastAsia="fr-FR" w:bidi="he-IL"/>
        </w:rPr>
        <w:t>que le Sauveur est né sou</w:t>
      </w:r>
      <w:r>
        <w:rPr>
          <w:rFonts w:eastAsia="Arial Unicode MS"/>
          <w:bCs/>
          <w:lang w:eastAsia="fr-FR" w:bidi="he-IL"/>
        </w:rPr>
        <w:t>s l’e</w:t>
      </w:r>
      <w:r w:rsidRPr="00C8701B">
        <w:rPr>
          <w:rFonts w:eastAsia="Arial Unicode MS"/>
          <w:bCs/>
          <w:lang w:eastAsia="fr-FR" w:bidi="he-IL"/>
        </w:rPr>
        <w:t>mpire d’Auguste</w:t>
      </w:r>
      <w:r>
        <w:rPr>
          <w:rFonts w:eastAsia="Arial Unicode MS"/>
          <w:bCs/>
          <w:lang w:eastAsia="fr-FR" w:bidi="he-IL"/>
        </w:rPr>
        <w:t xml:space="preserve">, </w:t>
      </w:r>
      <w:r w:rsidRPr="00C8701B">
        <w:rPr>
          <w:rFonts w:eastAsia="Arial Unicode MS"/>
          <w:bCs/>
          <w:lang w:eastAsia="fr-FR" w:bidi="he-IL"/>
        </w:rPr>
        <w:t xml:space="preserve">et </w:t>
      </w:r>
      <w:r>
        <w:rPr>
          <w:rFonts w:eastAsia="Arial Unicode MS"/>
          <w:bCs/>
          <w:lang w:eastAsia="fr-FR" w:bidi="he-IL"/>
        </w:rPr>
        <w:t>qu’il</w:t>
      </w:r>
      <w:r w:rsidRPr="00C8701B">
        <w:rPr>
          <w:rFonts w:eastAsia="Arial Unicode MS"/>
          <w:bCs/>
          <w:lang w:eastAsia="fr-FR" w:bidi="he-IL"/>
        </w:rPr>
        <w:t xml:space="preserve"> est mort sous celui de Tibère </w:t>
      </w:r>
      <w:r>
        <w:rPr>
          <w:rFonts w:eastAsia="Arial Unicode MS"/>
          <w:bCs/>
          <w:lang w:eastAsia="fr-FR" w:bidi="he-IL"/>
        </w:rPr>
        <w:t xml:space="preserve">; </w:t>
      </w:r>
      <w:r w:rsidRPr="00C8701B">
        <w:rPr>
          <w:rFonts w:eastAsia="Arial Unicode MS"/>
          <w:bCs/>
          <w:lang w:eastAsia="fr-FR" w:bidi="he-IL"/>
        </w:rPr>
        <w:t>que sa naissance remonte au plus cinq ou six ans avant le commencement de notre ère </w:t>
      </w:r>
      <w:r>
        <w:rPr>
          <w:rFonts w:eastAsia="Arial Unicode MS"/>
          <w:bCs/>
          <w:lang w:eastAsia="fr-FR" w:bidi="he-IL"/>
        </w:rPr>
        <w:t xml:space="preserve">; </w:t>
      </w:r>
      <w:r w:rsidRPr="00C8701B">
        <w:rPr>
          <w:rFonts w:eastAsia="Arial Unicode MS"/>
          <w:bCs/>
          <w:lang w:eastAsia="fr-FR" w:bidi="he-IL"/>
        </w:rPr>
        <w:t>qu’</w:t>
      </w:r>
      <w:r>
        <w:rPr>
          <w:rFonts w:eastAsia="Arial Unicode MS"/>
          <w:bCs/>
          <w:lang w:eastAsia="fr-FR" w:bidi="he-IL"/>
        </w:rPr>
        <w:t>il a</w:t>
      </w:r>
      <w:r w:rsidRPr="00C8701B">
        <w:rPr>
          <w:rFonts w:eastAsia="Arial Unicode MS"/>
          <w:bCs/>
          <w:lang w:eastAsia="fr-FR" w:bidi="he-IL"/>
        </w:rPr>
        <w:t>vait environ trente ans au commencement de sa prédication</w:t>
      </w:r>
      <w:r>
        <w:rPr>
          <w:rFonts w:eastAsia="Arial Unicode MS"/>
          <w:bCs/>
          <w:lang w:eastAsia="fr-FR" w:bidi="he-IL"/>
        </w:rPr>
        <w:t xml:space="preserve">, </w:t>
      </w:r>
      <w:r w:rsidRPr="00C8701B">
        <w:rPr>
          <w:rFonts w:eastAsia="Arial Unicode MS"/>
          <w:bCs/>
          <w:lang w:eastAsia="fr-FR" w:bidi="he-IL"/>
        </w:rPr>
        <w:t>et que cette prédication a duré environ trois ans ». Mémain</w:t>
      </w:r>
      <w:r>
        <w:rPr>
          <w:rFonts w:eastAsia="Arial Unicode MS"/>
          <w:bCs/>
          <w:lang w:eastAsia="fr-FR" w:bidi="he-IL"/>
        </w:rPr>
        <w:t xml:space="preserve">, </w:t>
      </w:r>
      <w:r>
        <w:rPr>
          <w:rStyle w:val="italicus"/>
        </w:rPr>
        <w:t>loc.</w:t>
      </w:r>
      <w:r w:rsidRPr="00DC4586">
        <w:rPr>
          <w:rStyle w:val="italicus"/>
        </w:rPr>
        <w:t xml:space="preserve"> cit.</w:t>
      </w:r>
      <w:r>
        <w:rPr>
          <w:rStyle w:val="italicus"/>
        </w:rPr>
        <w:t xml:space="preserve">, </w:t>
      </w:r>
      <w:r w:rsidRPr="00C8701B">
        <w:rPr>
          <w:rFonts w:eastAsia="Arial Unicode MS"/>
          <w:bCs/>
          <w:lang w:eastAsia="fr-FR" w:bidi="he-IL"/>
        </w:rPr>
        <w:t>p. 3.</w:t>
      </w:r>
    </w:p>
  </w:footnote>
  <w:footnote w:id="332">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Les principaux sont ceux de Kepler</w:t>
      </w:r>
      <w:r>
        <w:rPr>
          <w:rFonts w:eastAsia="Arial Unicode MS"/>
          <w:bCs/>
          <w:lang w:eastAsia="fr-FR" w:bidi="he-IL"/>
        </w:rPr>
        <w:t xml:space="preserve">, </w:t>
      </w:r>
      <w:r w:rsidRPr="00DC4586">
        <w:rPr>
          <w:rStyle w:val="italicus"/>
        </w:rPr>
        <w:t>De Jesu Christi vero anno natal</w:t>
      </w:r>
      <w:r>
        <w:rPr>
          <w:rStyle w:val="italicus"/>
        </w:rPr>
        <w:t xml:space="preserve">ítio, </w:t>
      </w:r>
      <w:r w:rsidRPr="00C8701B">
        <w:rPr>
          <w:rFonts w:eastAsia="Arial Unicode MS"/>
          <w:bCs/>
          <w:lang w:eastAsia="fr-FR" w:bidi="he-IL"/>
        </w:rPr>
        <w:t>Francfort 1806 </w:t>
      </w:r>
      <w:r>
        <w:rPr>
          <w:rFonts w:eastAsia="Arial Unicode MS"/>
          <w:bCs/>
          <w:lang w:eastAsia="fr-FR" w:bidi="he-IL"/>
        </w:rPr>
        <w:t xml:space="preserve">; </w:t>
      </w:r>
      <w:r w:rsidRPr="00C8701B">
        <w:rPr>
          <w:rFonts w:eastAsia="Arial Unicode MS"/>
          <w:bCs/>
          <w:lang w:eastAsia="fr-FR" w:bidi="he-IL"/>
        </w:rPr>
        <w:t>de Scaliger</w:t>
      </w:r>
      <w:r>
        <w:rPr>
          <w:rFonts w:eastAsia="Arial Unicode MS"/>
          <w:bCs/>
          <w:lang w:eastAsia="fr-FR" w:bidi="he-IL"/>
        </w:rPr>
        <w:t xml:space="preserve">, </w:t>
      </w:r>
      <w:r w:rsidRPr="00DC4586">
        <w:rPr>
          <w:rStyle w:val="italicus"/>
        </w:rPr>
        <w:t>De emend</w:t>
      </w:r>
      <w:r>
        <w:rPr>
          <w:rStyle w:val="italicus"/>
        </w:rPr>
        <w:t>atióne</w:t>
      </w:r>
      <w:r w:rsidRPr="00DC4586">
        <w:rPr>
          <w:rStyle w:val="italicus"/>
        </w:rPr>
        <w:t xml:space="preserve"> </w:t>
      </w:r>
      <w:r>
        <w:rPr>
          <w:rStyle w:val="italicus"/>
        </w:rPr>
        <w:t xml:space="preserve">témporum, </w:t>
      </w:r>
      <w:r w:rsidRPr="00C8701B">
        <w:rPr>
          <w:rFonts w:eastAsia="Arial Unicode MS"/>
          <w:bCs/>
          <w:lang w:eastAsia="fr-FR" w:bidi="he-IL"/>
        </w:rPr>
        <w:t>Iéna 1629 </w:t>
      </w:r>
      <w:r>
        <w:rPr>
          <w:rFonts w:eastAsia="Arial Unicode MS"/>
          <w:bCs/>
          <w:lang w:eastAsia="fr-FR" w:bidi="he-IL"/>
        </w:rPr>
        <w:t xml:space="preserve">; </w:t>
      </w:r>
      <w:r w:rsidRPr="00C8701B">
        <w:rPr>
          <w:rFonts w:eastAsia="Arial Unicode MS"/>
          <w:bCs/>
          <w:lang w:eastAsia="fr-FR" w:bidi="he-IL"/>
        </w:rPr>
        <w:t>de Pétau</w:t>
      </w:r>
      <w:r>
        <w:rPr>
          <w:rFonts w:eastAsia="Arial Unicode MS"/>
          <w:bCs/>
          <w:lang w:eastAsia="fr-FR" w:bidi="he-IL"/>
        </w:rPr>
        <w:t xml:space="preserve">, </w:t>
      </w:r>
      <w:r w:rsidRPr="00DC4586">
        <w:rPr>
          <w:rStyle w:val="italicus"/>
        </w:rPr>
        <w:t>Ration</w:t>
      </w:r>
      <w:r>
        <w:rPr>
          <w:rStyle w:val="italicus"/>
        </w:rPr>
        <w:t>árium</w:t>
      </w:r>
      <w:r w:rsidRPr="00DC4586">
        <w:rPr>
          <w:rStyle w:val="italicus"/>
        </w:rPr>
        <w:t xml:space="preserve"> </w:t>
      </w:r>
      <w:r>
        <w:rPr>
          <w:rStyle w:val="italicus"/>
        </w:rPr>
        <w:t xml:space="preserve">témporum, </w:t>
      </w:r>
      <w:r>
        <w:rPr>
          <w:rFonts w:eastAsia="Arial Unicode MS"/>
          <w:bCs/>
          <w:lang w:eastAsia="fr-FR" w:bidi="he-IL"/>
        </w:rPr>
        <w:t>Paris 163</w:t>
      </w:r>
      <w:r w:rsidRPr="00C8701B">
        <w:rPr>
          <w:rFonts w:eastAsia="Arial Unicode MS"/>
          <w:bCs/>
          <w:lang w:eastAsia="fr-FR" w:bidi="he-IL"/>
        </w:rPr>
        <w:t>3 </w:t>
      </w:r>
      <w:r>
        <w:rPr>
          <w:rFonts w:eastAsia="Arial Unicode MS"/>
          <w:bCs/>
          <w:lang w:eastAsia="fr-FR" w:bidi="he-IL"/>
        </w:rPr>
        <w:t xml:space="preserve">; </w:t>
      </w:r>
      <w:r w:rsidRPr="00C8701B">
        <w:rPr>
          <w:rFonts w:eastAsia="Arial Unicode MS"/>
          <w:bCs/>
          <w:lang w:eastAsia="fr-FR" w:bidi="he-IL"/>
        </w:rPr>
        <w:t>d</w:t>
      </w:r>
      <w:r>
        <w:rPr>
          <w:rFonts w:eastAsia="Arial Unicode MS"/>
          <w:bCs/>
          <w:lang w:eastAsia="fr-FR" w:bidi="he-IL"/>
        </w:rPr>
        <w:t>’</w:t>
      </w:r>
      <w:r w:rsidRPr="0094118D">
        <w:t>Usher</w:t>
      </w:r>
      <w:r>
        <w:rPr>
          <w:rFonts w:eastAsia="Arial Unicode MS"/>
          <w:bCs/>
          <w:lang w:eastAsia="fr-FR" w:bidi="he-IL"/>
        </w:rPr>
        <w:t xml:space="preserve">, </w:t>
      </w:r>
      <w:r>
        <w:rPr>
          <w:rStyle w:val="italicus"/>
        </w:rPr>
        <w:t xml:space="preserve">Chronológia, </w:t>
      </w:r>
      <w:r w:rsidRPr="00DC4586">
        <w:rPr>
          <w:rStyle w:val="italicus"/>
        </w:rPr>
        <w:t>sacra</w:t>
      </w:r>
      <w:r>
        <w:rPr>
          <w:rStyle w:val="italicus"/>
        </w:rPr>
        <w:t xml:space="preserve">, </w:t>
      </w:r>
      <w:r w:rsidRPr="00C8701B">
        <w:rPr>
          <w:rFonts w:eastAsia="Arial Unicode MS"/>
          <w:bCs/>
          <w:lang w:eastAsia="fr-FR" w:bidi="he-IL"/>
        </w:rPr>
        <w:t>Oxford 1668 </w:t>
      </w:r>
      <w:r>
        <w:rPr>
          <w:rFonts w:eastAsia="Arial Unicode MS"/>
          <w:bCs/>
          <w:lang w:eastAsia="fr-FR" w:bidi="he-IL"/>
        </w:rPr>
        <w:t xml:space="preserve">; </w:t>
      </w:r>
      <w:r w:rsidRPr="00DC4586">
        <w:rPr>
          <w:rStyle w:val="italicus"/>
        </w:rPr>
        <w:t>L’art de vérifier les dates</w:t>
      </w:r>
      <w:r>
        <w:rPr>
          <w:rStyle w:val="italicus"/>
        </w:rPr>
        <w:t xml:space="preserve">, </w:t>
      </w:r>
      <w:r w:rsidRPr="00C8701B">
        <w:rPr>
          <w:rFonts w:eastAsia="Arial Unicode MS"/>
          <w:bCs/>
          <w:lang w:eastAsia="fr-FR" w:bidi="he-IL"/>
        </w:rPr>
        <w:t>Paris 1770 </w:t>
      </w:r>
      <w:r>
        <w:rPr>
          <w:rFonts w:eastAsia="Arial Unicode MS"/>
          <w:bCs/>
          <w:lang w:eastAsia="fr-FR" w:bidi="he-IL"/>
        </w:rPr>
        <w:t xml:space="preserve">; </w:t>
      </w:r>
      <w:r w:rsidRPr="00C8701B">
        <w:rPr>
          <w:rFonts w:eastAsia="Arial Unicode MS"/>
          <w:bCs/>
          <w:lang w:eastAsia="fr-FR" w:bidi="he-IL"/>
        </w:rPr>
        <w:t>San Clémente</w:t>
      </w:r>
      <w:r>
        <w:rPr>
          <w:rFonts w:eastAsia="Arial Unicode MS"/>
          <w:bCs/>
          <w:lang w:eastAsia="fr-FR" w:bidi="he-IL"/>
        </w:rPr>
        <w:t xml:space="preserve">, </w:t>
      </w:r>
      <w:r w:rsidRPr="00DC4586">
        <w:rPr>
          <w:rStyle w:val="italicus"/>
        </w:rPr>
        <w:t>De Vulgáris</w:t>
      </w:r>
      <w:r>
        <w:rPr>
          <w:rStyle w:val="italicus"/>
        </w:rPr>
        <w:t xml:space="preserve"> æ</w:t>
      </w:r>
      <w:r w:rsidRPr="00DC4586">
        <w:rPr>
          <w:rStyle w:val="italicus"/>
        </w:rPr>
        <w:t>r</w:t>
      </w:r>
      <w:r>
        <w:rPr>
          <w:rStyle w:val="italicus"/>
        </w:rPr>
        <w:t>æ</w:t>
      </w:r>
      <w:r w:rsidRPr="00DC4586">
        <w:rPr>
          <w:rStyle w:val="italicus"/>
        </w:rPr>
        <w:t xml:space="preserve"> emend</w:t>
      </w:r>
      <w:r>
        <w:rPr>
          <w:rStyle w:val="italicus"/>
        </w:rPr>
        <w:t xml:space="preserve">atióne, </w:t>
      </w:r>
      <w:r w:rsidRPr="00C8701B">
        <w:rPr>
          <w:rFonts w:eastAsia="Arial Unicode MS"/>
          <w:bCs/>
          <w:lang w:eastAsia="fr-FR" w:bidi="he-IL"/>
        </w:rPr>
        <w:t>Rome 1773 </w:t>
      </w:r>
      <w:r>
        <w:rPr>
          <w:rFonts w:eastAsia="Arial Unicode MS"/>
          <w:bCs/>
          <w:lang w:eastAsia="fr-FR" w:bidi="he-IL"/>
        </w:rPr>
        <w:t xml:space="preserve">; </w:t>
      </w:r>
      <w:r w:rsidRPr="00C8701B">
        <w:rPr>
          <w:rFonts w:eastAsia="Arial Unicode MS"/>
          <w:bCs/>
          <w:lang w:eastAsia="fr-FR" w:bidi="he-IL"/>
        </w:rPr>
        <w:t>Ideler</w:t>
      </w:r>
      <w:r>
        <w:rPr>
          <w:rFonts w:eastAsia="Arial Unicode MS"/>
          <w:bCs/>
          <w:lang w:eastAsia="fr-FR" w:bidi="he-IL"/>
        </w:rPr>
        <w:t xml:space="preserve">, </w:t>
      </w:r>
      <w:r w:rsidRPr="00DC4586">
        <w:rPr>
          <w:rStyle w:val="italicus"/>
        </w:rPr>
        <w:t>Handbuch der mathema</w:t>
      </w:r>
      <w:r>
        <w:rPr>
          <w:rStyle w:val="italicus"/>
        </w:rPr>
        <w:t>tischen und techni</w:t>
      </w:r>
      <w:r w:rsidRPr="00DC4586">
        <w:rPr>
          <w:rStyle w:val="italicus"/>
        </w:rPr>
        <w:t>schen Chronologie</w:t>
      </w:r>
      <w:r>
        <w:rPr>
          <w:rStyle w:val="italicus"/>
        </w:rPr>
        <w:t xml:space="preserve">, </w:t>
      </w:r>
      <w:r w:rsidRPr="00C8701B">
        <w:rPr>
          <w:rFonts w:eastAsia="Arial Unicode MS"/>
          <w:bCs/>
          <w:lang w:eastAsia="fr-FR" w:bidi="he-IL"/>
        </w:rPr>
        <w:t>Berlin 1825.</w:t>
      </w:r>
    </w:p>
  </w:footnote>
  <w:footnote w:id="333">
    <w:p w:rsidR="00941AA6" w:rsidRPr="00933C60" w:rsidRDefault="00941AA6">
      <w:pPr>
        <w:pStyle w:val="Notedebasdepage"/>
      </w:pPr>
      <w:r w:rsidRPr="00C406FF">
        <w:rPr>
          <w:rStyle w:val="Appelnotedebasdep"/>
        </w:rPr>
        <w:footnoteRef/>
      </w:r>
      <w:r>
        <w:rPr>
          <w:rStyle w:val="italicus"/>
          <w:lang w:val="de-AT"/>
        </w:rPr>
        <w:t xml:space="preserve"> Chronologische Synopse der vie</w:t>
      </w:r>
      <w:r w:rsidRPr="000819BA">
        <w:rPr>
          <w:rStyle w:val="italicus"/>
          <w:lang w:val="de-AT"/>
        </w:rPr>
        <w:t xml:space="preserve">r Evangelien, </w:t>
      </w:r>
      <w:r w:rsidRPr="000819BA">
        <w:rPr>
          <w:rFonts w:eastAsia="Arial Unicode MS"/>
          <w:bCs/>
          <w:lang w:val="de-AT" w:eastAsia="fr-FR" w:bidi="he-IL"/>
        </w:rPr>
        <w:t xml:space="preserve">Hamburg 1843 ; </w:t>
      </w:r>
      <w:r>
        <w:rPr>
          <w:rStyle w:val="italicus"/>
          <w:lang w:val="de-AT"/>
        </w:rPr>
        <w:t>Beitræge zur richtigert Wü</w:t>
      </w:r>
      <w:r w:rsidRPr="000819BA">
        <w:rPr>
          <w:rStyle w:val="italicus"/>
          <w:lang w:val="de-AT"/>
        </w:rPr>
        <w:t xml:space="preserve">rdigung der vier Evangelien und der evangelischen Geschichte, </w:t>
      </w:r>
      <w:r w:rsidRPr="000819BA">
        <w:rPr>
          <w:rFonts w:eastAsia="Arial Unicode MS"/>
          <w:bCs/>
          <w:lang w:val="de-AT" w:eastAsia="fr-FR" w:bidi="he-IL"/>
        </w:rPr>
        <w:t>Gotha 1869.</w:t>
      </w:r>
    </w:p>
  </w:footnote>
  <w:footnote w:id="334">
    <w:p w:rsidR="00941AA6" w:rsidRPr="00933C60" w:rsidRDefault="00941AA6">
      <w:pPr>
        <w:pStyle w:val="Notedebasdepage"/>
      </w:pPr>
      <w:r w:rsidRPr="00C406FF">
        <w:rPr>
          <w:rStyle w:val="Appelnotedebasdep"/>
        </w:rPr>
        <w:footnoteRef/>
      </w:r>
      <w:r w:rsidRPr="000819BA">
        <w:rPr>
          <w:rFonts w:eastAsia="Arial Unicode MS"/>
          <w:lang w:val="de-AT" w:eastAsia="fr-FR" w:bidi="he-IL"/>
        </w:rPr>
        <w:t xml:space="preserve"> </w:t>
      </w:r>
      <w:r w:rsidRPr="000819BA">
        <w:rPr>
          <w:rFonts w:eastAsia="Arial Unicode MS"/>
          <w:bCs/>
          <w:lang w:val="de-AT" w:eastAsia="fr-FR" w:bidi="he-IL"/>
        </w:rPr>
        <w:t>Chronologie sacra.</w:t>
      </w:r>
      <w:r w:rsidRPr="000819BA">
        <w:rPr>
          <w:rStyle w:val="italicus"/>
          <w:lang w:val="de-AT"/>
        </w:rPr>
        <w:t xml:space="preserve"> Untersuchungen über das Gebu</w:t>
      </w:r>
      <w:r>
        <w:rPr>
          <w:rStyle w:val="italicus"/>
          <w:lang w:val="de-AT"/>
        </w:rPr>
        <w:t>rtsjahr des Herrn und die Zeitre</w:t>
      </w:r>
      <w:r w:rsidRPr="000819BA">
        <w:rPr>
          <w:rStyle w:val="italicus"/>
          <w:lang w:val="de-AT"/>
        </w:rPr>
        <w:t xml:space="preserve">chnung des Alten und Neuen Testamentes, </w:t>
      </w:r>
      <w:r w:rsidRPr="000819BA">
        <w:rPr>
          <w:rFonts w:eastAsia="Arial Unicode MS"/>
          <w:bCs/>
          <w:lang w:val="de-AT" w:eastAsia="fr-FR" w:bidi="he-IL"/>
        </w:rPr>
        <w:t>Leipzig 1846.</w:t>
      </w:r>
    </w:p>
  </w:footnote>
  <w:footnote w:id="335">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De Evangéliis libri III</w:t>
      </w:r>
      <w:r>
        <w:rPr>
          <w:rStyle w:val="italicus"/>
        </w:rPr>
        <w:t xml:space="preserve">, </w:t>
      </w:r>
      <w:r w:rsidRPr="00C8701B">
        <w:rPr>
          <w:rFonts w:eastAsia="Arial Unicode MS"/>
          <w:bCs/>
          <w:lang w:eastAsia="fr-FR" w:bidi="he-IL"/>
        </w:rPr>
        <w:t>Fribourg-en-Brisgau 1853.</w:t>
      </w:r>
    </w:p>
  </w:footnote>
  <w:footnote w:id="336">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Die Chronologie des Lebens Jesu Christi</w:t>
      </w:r>
      <w:r>
        <w:rPr>
          <w:rStyle w:val="italicus"/>
        </w:rPr>
        <w:t xml:space="preserve">, </w:t>
      </w:r>
      <w:r w:rsidRPr="00C8701B">
        <w:rPr>
          <w:rFonts w:eastAsia="Arial Unicode MS"/>
          <w:bCs/>
          <w:lang w:eastAsia="fr-FR" w:bidi="he-IL"/>
        </w:rPr>
        <w:t>S</w:t>
      </w:r>
      <w:r>
        <w:rPr>
          <w:rFonts w:eastAsia="Arial Unicode MS"/>
          <w:bCs/>
          <w:lang w:eastAsia="fr-FR" w:bidi="he-IL"/>
        </w:rPr>
        <w:t>t</w:t>
      </w:r>
      <w:r w:rsidRPr="00C8701B">
        <w:rPr>
          <w:rFonts w:eastAsia="Arial Unicode MS"/>
          <w:bCs/>
          <w:lang w:eastAsia="fr-FR" w:bidi="he-IL"/>
        </w:rPr>
        <w:t>raubing</w:t>
      </w:r>
      <w:r>
        <w:rPr>
          <w:rFonts w:eastAsia="Arial Unicode MS"/>
          <w:bCs/>
          <w:lang w:eastAsia="fr-FR" w:bidi="he-IL"/>
        </w:rPr>
        <w:t>,</w:t>
      </w:r>
      <w:r w:rsidRPr="00C8701B">
        <w:rPr>
          <w:rFonts w:eastAsia="Arial Unicode MS"/>
          <w:bCs/>
          <w:lang w:eastAsia="fr-FR" w:bidi="he-IL"/>
        </w:rPr>
        <w:t xml:space="preserve"> 1855.</w:t>
      </w:r>
    </w:p>
  </w:footnote>
  <w:footnote w:id="337">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Essai sur la détermination de quelqu</w:t>
      </w:r>
      <w:r>
        <w:rPr>
          <w:rStyle w:val="italicus"/>
        </w:rPr>
        <w:t>es dates de l’</w:t>
      </w:r>
      <w:r w:rsidRPr="00DC4586">
        <w:rPr>
          <w:rStyle w:val="italicus"/>
        </w:rPr>
        <w:t>histoire évangélique</w:t>
      </w:r>
      <w:r>
        <w:rPr>
          <w:rStyle w:val="italicus"/>
        </w:rPr>
        <w:t xml:space="preserve">, </w:t>
      </w:r>
      <w:r w:rsidRPr="00C8701B">
        <w:rPr>
          <w:rFonts w:eastAsia="Arial Unicode MS"/>
          <w:bCs/>
          <w:lang w:eastAsia="fr-FR" w:bidi="he-IL"/>
        </w:rPr>
        <w:t xml:space="preserve">dans la </w:t>
      </w:r>
      <w:r w:rsidRPr="00DC4586">
        <w:rPr>
          <w:rStyle w:val="italicus"/>
        </w:rPr>
        <w:t>Revue de théologie</w:t>
      </w:r>
      <w:r>
        <w:rPr>
          <w:rStyle w:val="italicus"/>
        </w:rPr>
        <w:t xml:space="preserve">, </w:t>
      </w:r>
      <w:r w:rsidRPr="00C8701B">
        <w:rPr>
          <w:rFonts w:eastAsia="Arial Unicode MS"/>
          <w:bCs/>
          <w:lang w:eastAsia="fr-FR" w:bidi="he-IL"/>
        </w:rPr>
        <w:t>1863</w:t>
      </w:r>
      <w:r>
        <w:rPr>
          <w:rFonts w:eastAsia="Arial Unicode MS"/>
          <w:bCs/>
          <w:lang w:eastAsia="fr-FR" w:bidi="he-IL"/>
        </w:rPr>
        <w:t xml:space="preserve">, </w:t>
      </w:r>
      <w:r w:rsidRPr="00C8701B">
        <w:rPr>
          <w:rFonts w:eastAsia="Arial Unicode MS"/>
          <w:bCs/>
          <w:lang w:eastAsia="fr-FR" w:bidi="he-IL"/>
        </w:rPr>
        <w:t>série I</w:t>
      </w:r>
      <w:r>
        <w:rPr>
          <w:rFonts w:eastAsia="Arial Unicode MS"/>
          <w:bCs/>
          <w:lang w:eastAsia="fr-FR" w:bidi="he-IL"/>
        </w:rPr>
        <w:t xml:space="preserve">, </w:t>
      </w:r>
      <w:r w:rsidRPr="00C8701B">
        <w:rPr>
          <w:rFonts w:eastAsia="Arial Unicode MS"/>
          <w:bCs/>
          <w:lang w:eastAsia="fr-FR" w:bidi="he-IL"/>
        </w:rPr>
        <w:t>3.</w:t>
      </w:r>
    </w:p>
  </w:footnote>
  <w:footnote w:id="338">
    <w:p w:rsidR="00941AA6" w:rsidRPr="00933C60" w:rsidRDefault="00941AA6">
      <w:pPr>
        <w:pStyle w:val="Notedebasdepage"/>
      </w:pPr>
      <w:r w:rsidRPr="00C406FF">
        <w:rPr>
          <w:rStyle w:val="Appelnotedebasdep"/>
        </w:rPr>
        <w:footnoteRef/>
      </w:r>
      <w:r w:rsidRPr="00165881">
        <w:rPr>
          <w:lang w:val="de-AT"/>
        </w:rPr>
        <w:t xml:space="preserve"> </w:t>
      </w:r>
      <w:r w:rsidRPr="00165881">
        <w:rPr>
          <w:rStyle w:val="italicus"/>
          <w:lang w:val="de-AT"/>
        </w:rPr>
        <w:t>Das Geburtsjahr Christi. Geschichtlich-chronolog. Untersuchungen,</w:t>
      </w:r>
      <w:r w:rsidRPr="000819BA">
        <w:rPr>
          <w:bCs/>
          <w:lang w:val="de-AT"/>
        </w:rPr>
        <w:t xml:space="preserve"> Leipzig, 1869.</w:t>
      </w:r>
    </w:p>
  </w:footnote>
  <w:footnote w:id="339">
    <w:p w:rsidR="00941AA6" w:rsidRPr="00933C60" w:rsidRDefault="00941AA6">
      <w:pPr>
        <w:pStyle w:val="Notedebasdepage"/>
      </w:pPr>
      <w:r w:rsidRPr="00C406FF">
        <w:rPr>
          <w:rStyle w:val="Appelnotedebasdep"/>
        </w:rPr>
        <w:footnoteRef/>
      </w:r>
      <w:r w:rsidRPr="000819BA">
        <w:rPr>
          <w:rFonts w:eastAsia="Arial Unicode MS"/>
          <w:lang w:val="de-AT" w:eastAsia="fr-FR" w:bidi="he-IL"/>
        </w:rPr>
        <w:t xml:space="preserve"> </w:t>
      </w:r>
      <w:r w:rsidRPr="000819BA">
        <w:rPr>
          <w:rStyle w:val="italicus"/>
          <w:lang w:val="de-AT"/>
        </w:rPr>
        <w:t xml:space="preserve">Chronologisch-geographische Einleitung in das Leben Jesu Christi, </w:t>
      </w:r>
      <w:r w:rsidRPr="000819BA">
        <w:rPr>
          <w:rFonts w:eastAsia="Arial Unicode MS"/>
          <w:bCs/>
          <w:lang w:val="de-AT" w:eastAsia="fr-FR" w:bidi="he-IL"/>
        </w:rPr>
        <w:t>Hamburg 1869.</w:t>
      </w:r>
    </w:p>
  </w:footnote>
  <w:footnote w:id="340">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Chronologie des Lebens Jesu</w:t>
      </w:r>
      <w:r>
        <w:rPr>
          <w:rStyle w:val="italicus"/>
        </w:rPr>
        <w:t xml:space="preserve">, </w:t>
      </w:r>
      <w:r w:rsidRPr="00C8701B">
        <w:rPr>
          <w:rFonts w:eastAsia="Arial Unicode MS"/>
          <w:bCs/>
          <w:lang w:eastAsia="fr-FR" w:bidi="he-IL"/>
        </w:rPr>
        <w:t>2</w:t>
      </w:r>
      <w:r w:rsidRPr="00C8701B">
        <w:rPr>
          <w:rFonts w:eastAsia="Arial Unicode MS"/>
          <w:bCs/>
          <w:vertAlign w:val="superscript"/>
          <w:lang w:eastAsia="fr-FR" w:bidi="he-IL"/>
        </w:rPr>
        <w:t>e</w:t>
      </w:r>
      <w:r w:rsidRPr="00C8701B">
        <w:rPr>
          <w:rFonts w:eastAsia="Arial Unicode MS"/>
          <w:bCs/>
          <w:lang w:eastAsia="fr-FR" w:bidi="he-IL"/>
        </w:rPr>
        <w:t xml:space="preserve"> édit.</w:t>
      </w:r>
      <w:r>
        <w:rPr>
          <w:rFonts w:eastAsia="Arial Unicode MS"/>
          <w:bCs/>
          <w:lang w:eastAsia="fr-FR" w:bidi="he-IL"/>
        </w:rPr>
        <w:t xml:space="preserve">, </w:t>
      </w:r>
      <w:r w:rsidRPr="00C8701B">
        <w:rPr>
          <w:rFonts w:eastAsia="Arial Unicode MS"/>
          <w:bCs/>
          <w:lang w:eastAsia="fr-FR" w:bidi="he-IL"/>
        </w:rPr>
        <w:t>Tubingue</w:t>
      </w:r>
      <w:r>
        <w:rPr>
          <w:rFonts w:eastAsia="Arial Unicode MS"/>
          <w:bCs/>
          <w:lang w:eastAsia="fr-FR" w:bidi="he-IL"/>
        </w:rPr>
        <w:t xml:space="preserve">, </w:t>
      </w:r>
      <w:r w:rsidRPr="00C8701B">
        <w:rPr>
          <w:rFonts w:eastAsia="Arial Unicode MS"/>
          <w:bCs/>
          <w:lang w:eastAsia="fr-FR" w:bidi="he-IL"/>
        </w:rPr>
        <w:t>1874.</w:t>
      </w:r>
    </w:p>
  </w:footnote>
  <w:footnote w:id="341">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Pr>
          <w:rStyle w:val="italicus"/>
        </w:rPr>
        <w:t>Chronologie de l</w:t>
      </w:r>
      <w:r w:rsidRPr="00DC4586">
        <w:rPr>
          <w:rStyle w:val="italicus"/>
        </w:rPr>
        <w:t>a Vie de Jésus</w:t>
      </w:r>
      <w:r>
        <w:rPr>
          <w:rStyle w:val="italicus"/>
        </w:rPr>
        <w:t xml:space="preserve">, </w:t>
      </w:r>
      <w:r w:rsidRPr="00C8701B">
        <w:rPr>
          <w:rFonts w:eastAsia="Arial Unicode MS"/>
          <w:bCs/>
          <w:lang w:eastAsia="fr-FR" w:bidi="he-IL"/>
        </w:rPr>
        <w:t>Paris</w:t>
      </w:r>
      <w:r>
        <w:rPr>
          <w:rFonts w:eastAsia="Arial Unicode MS"/>
          <w:bCs/>
          <w:lang w:eastAsia="fr-FR" w:bidi="he-IL"/>
        </w:rPr>
        <w:t xml:space="preserve">, </w:t>
      </w:r>
      <w:r w:rsidRPr="00C8701B">
        <w:rPr>
          <w:rFonts w:eastAsia="Arial Unicode MS"/>
          <w:bCs/>
          <w:lang w:eastAsia="fr-FR" w:bidi="he-IL"/>
        </w:rPr>
        <w:t>1879.</w:t>
      </w:r>
    </w:p>
  </w:footnote>
  <w:footnote w:id="342">
    <w:p w:rsidR="00941AA6" w:rsidRPr="00933C60" w:rsidRDefault="00941AA6">
      <w:pPr>
        <w:pStyle w:val="Notedebasdepage"/>
      </w:pPr>
      <w:r w:rsidRPr="00C406FF">
        <w:rPr>
          <w:rStyle w:val="Appelnotedebasdep"/>
        </w:rPr>
        <w:footnoteRef/>
      </w:r>
      <w:r w:rsidRPr="000819BA">
        <w:rPr>
          <w:rFonts w:eastAsia="Arial Unicode MS"/>
          <w:lang w:val="de-AT" w:eastAsia="fr-FR" w:bidi="he-IL"/>
        </w:rPr>
        <w:t xml:space="preserve"> </w:t>
      </w:r>
      <w:r w:rsidRPr="000819BA">
        <w:rPr>
          <w:rStyle w:val="italicus"/>
          <w:lang w:val="de-AT"/>
        </w:rPr>
        <w:t>Das Geburtsjahr Christi. Ein chronologischer Versuch, mit einem Synkronismus über die F</w:t>
      </w:r>
      <w:r>
        <w:rPr>
          <w:rStyle w:val="italicus"/>
          <w:lang w:val="de-AT"/>
        </w:rPr>
        <w:t>ü</w:t>
      </w:r>
      <w:r w:rsidRPr="000819BA">
        <w:rPr>
          <w:rStyle w:val="italicus"/>
          <w:lang w:val="de-AT"/>
        </w:rPr>
        <w:t xml:space="preserve">lle der Zeiten, </w:t>
      </w:r>
      <w:r w:rsidRPr="000819BA">
        <w:rPr>
          <w:rFonts w:eastAsia="Arial Unicode MS"/>
          <w:bCs/>
          <w:lang w:val="de-AT" w:eastAsia="fr-FR" w:bidi="he-IL"/>
        </w:rPr>
        <w:t>Fribourg-en-Brisgau, 1880.</w:t>
      </w:r>
    </w:p>
  </w:footnote>
  <w:footnote w:id="343">
    <w:p w:rsidR="00941AA6" w:rsidRPr="00933C60" w:rsidRDefault="00941AA6">
      <w:pPr>
        <w:pStyle w:val="Notedebasdepage"/>
      </w:pPr>
      <w:r w:rsidRPr="00C406FF">
        <w:rPr>
          <w:rStyle w:val="Appelnotedebasdep"/>
        </w:rPr>
        <w:footnoteRef/>
      </w:r>
      <w:r w:rsidRPr="000819BA">
        <w:rPr>
          <w:rFonts w:eastAsia="Arial Unicode MS"/>
          <w:lang w:val="de-AT" w:eastAsia="fr-FR" w:bidi="he-IL"/>
        </w:rPr>
        <w:t xml:space="preserve"> </w:t>
      </w:r>
      <w:r w:rsidRPr="000819BA">
        <w:rPr>
          <w:rStyle w:val="italicus"/>
          <w:lang w:val="de-AT"/>
        </w:rPr>
        <w:t xml:space="preserve">Das Todesjahr des Königs Herodes und das Todesjahr Jesu Christi, </w:t>
      </w:r>
      <w:r w:rsidRPr="000819BA">
        <w:rPr>
          <w:rFonts w:eastAsia="Arial Unicode MS"/>
          <w:bCs/>
          <w:lang w:val="de-AT" w:eastAsia="fr-FR" w:bidi="he-IL"/>
        </w:rPr>
        <w:t>Munich, 1882.</w:t>
      </w:r>
    </w:p>
  </w:footnote>
  <w:footnote w:id="344">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La connaissance des temps évangéliques</w:t>
      </w:r>
      <w:r>
        <w:rPr>
          <w:rStyle w:val="italicus"/>
        </w:rPr>
        <w:t xml:space="preserve">, </w:t>
      </w:r>
      <w:r w:rsidRPr="00C8701B">
        <w:rPr>
          <w:rFonts w:eastAsia="Arial Unicode MS"/>
          <w:bCs/>
          <w:lang w:eastAsia="fr-FR" w:bidi="he-IL"/>
        </w:rPr>
        <w:t>Paris</w:t>
      </w:r>
      <w:r>
        <w:rPr>
          <w:rFonts w:eastAsia="Arial Unicode MS"/>
          <w:bCs/>
          <w:lang w:eastAsia="fr-FR" w:bidi="he-IL"/>
        </w:rPr>
        <w:t xml:space="preserve">, </w:t>
      </w:r>
      <w:r w:rsidRPr="00C8701B">
        <w:rPr>
          <w:rFonts w:eastAsia="Arial Unicode MS"/>
          <w:bCs/>
          <w:lang w:eastAsia="fr-FR" w:bidi="he-IL"/>
        </w:rPr>
        <w:t>1886.</w:t>
      </w:r>
    </w:p>
  </w:footnote>
  <w:footnote w:id="345">
    <w:p w:rsidR="00941AA6" w:rsidRPr="00933C60" w:rsidRDefault="00941AA6" w:rsidP="00951D38">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De la croyance due à l’Évangile</w:t>
      </w:r>
      <w:r>
        <w:rPr>
          <w:rStyle w:val="italicus"/>
        </w:rPr>
        <w:t xml:space="preserve">, </w:t>
      </w:r>
      <w:r w:rsidRPr="00C8701B">
        <w:rPr>
          <w:rFonts w:eastAsia="Arial Unicode MS"/>
          <w:bCs/>
          <w:lang w:eastAsia="fr-FR" w:bidi="he-IL"/>
        </w:rPr>
        <w:t>2</w:t>
      </w:r>
      <w:r w:rsidRPr="00C8701B">
        <w:rPr>
          <w:rFonts w:eastAsia="Arial Unicode MS"/>
          <w:bCs/>
          <w:vertAlign w:val="superscript"/>
          <w:lang w:eastAsia="fr-FR" w:bidi="he-IL"/>
        </w:rPr>
        <w:t>e</w:t>
      </w:r>
      <w:r w:rsidRPr="00C8701B">
        <w:rPr>
          <w:rFonts w:eastAsia="Arial Unicode MS"/>
          <w:bCs/>
          <w:lang w:eastAsia="fr-FR" w:bidi="he-IL"/>
        </w:rPr>
        <w:t xml:space="preserve"> partie</w:t>
      </w:r>
      <w:r>
        <w:rPr>
          <w:rFonts w:eastAsia="Arial Unicode MS"/>
          <w:bCs/>
          <w:lang w:eastAsia="fr-FR" w:bidi="he-IL"/>
        </w:rPr>
        <w:t xml:space="preserve">, </w:t>
      </w:r>
      <w:r w:rsidRPr="00C8701B">
        <w:rPr>
          <w:rFonts w:eastAsia="Arial Unicode MS"/>
          <w:bCs/>
          <w:lang w:eastAsia="fr-FR" w:bidi="he-IL"/>
        </w:rPr>
        <w:t xml:space="preserve">chapitre III. </w:t>
      </w:r>
    </w:p>
  </w:footnote>
  <w:footnote w:id="346">
    <w:p w:rsidR="00941AA6" w:rsidRPr="00933C60" w:rsidRDefault="00941AA6">
      <w:pPr>
        <w:pStyle w:val="Notedebasdepage"/>
      </w:pPr>
      <w:r w:rsidRPr="00C406FF">
        <w:rPr>
          <w:rStyle w:val="Appelnotedebasdep"/>
        </w:rPr>
        <w:footnoteRef/>
      </w:r>
      <w:r w:rsidRPr="00DC4586">
        <w:rPr>
          <w:rStyle w:val="italicus"/>
        </w:rPr>
        <w:t xml:space="preserve"> La vie de N.-S. Jésus-Christ</w:t>
      </w:r>
      <w:r>
        <w:rPr>
          <w:rStyle w:val="italicus"/>
        </w:rPr>
        <w:t xml:space="preserve">, </w:t>
      </w:r>
      <w:r w:rsidRPr="00C8701B">
        <w:rPr>
          <w:rFonts w:eastAsia="Arial Unicode MS"/>
          <w:bCs/>
          <w:lang w:eastAsia="fr-FR" w:bidi="he-IL"/>
        </w:rPr>
        <w:t>p. 121 et ss. de la 2° édit.</w:t>
      </w:r>
    </w:p>
  </w:footnote>
  <w:footnote w:id="347">
    <w:p w:rsidR="00941AA6" w:rsidRPr="00933C60" w:rsidRDefault="00941AA6">
      <w:pPr>
        <w:pStyle w:val="Notedebasdepage"/>
      </w:pPr>
      <w:r w:rsidRPr="00C406FF">
        <w:rPr>
          <w:rStyle w:val="Appelnotedebasdep"/>
        </w:rPr>
        <w:footnoteRef/>
      </w:r>
      <w:r w:rsidRPr="00C8701B">
        <w:rPr>
          <w:rFonts w:eastAsia="Arial Unicode MS"/>
          <w:bCs/>
          <w:lang w:eastAsia="fr-FR" w:bidi="he-IL"/>
        </w:rPr>
        <w:t xml:space="preserve"> Article dans le</w:t>
      </w:r>
      <w:r w:rsidRPr="00DC4586">
        <w:rPr>
          <w:rStyle w:val="italicus"/>
        </w:rPr>
        <w:t xml:space="preserve"> Kirchenlexicon</w:t>
      </w:r>
      <w:r w:rsidRPr="00C8701B">
        <w:rPr>
          <w:rFonts w:eastAsia="Arial Unicode MS"/>
          <w:bCs/>
          <w:lang w:eastAsia="fr-FR" w:bidi="he-IL"/>
        </w:rPr>
        <w:t xml:space="preserve"> de Wetzer et Welte</w:t>
      </w:r>
      <w:r>
        <w:rPr>
          <w:rFonts w:eastAsia="Arial Unicode MS"/>
          <w:bCs/>
          <w:lang w:eastAsia="fr-FR" w:bidi="he-IL"/>
        </w:rPr>
        <w:t xml:space="preserve">, </w:t>
      </w:r>
      <w:r w:rsidRPr="00C8701B">
        <w:rPr>
          <w:rFonts w:eastAsia="Arial Unicode MS"/>
          <w:bCs/>
          <w:lang w:eastAsia="fr-FR" w:bidi="he-IL"/>
        </w:rPr>
        <w:t>2</w:t>
      </w:r>
      <w:r w:rsidRPr="00C8701B">
        <w:rPr>
          <w:rFonts w:eastAsia="Arial Unicode MS"/>
          <w:bCs/>
          <w:vertAlign w:val="superscript"/>
          <w:lang w:eastAsia="fr-FR" w:bidi="he-IL"/>
        </w:rPr>
        <w:t>e</w:t>
      </w:r>
      <w:r w:rsidRPr="00C8701B">
        <w:rPr>
          <w:rFonts w:eastAsia="Arial Unicode MS"/>
          <w:bCs/>
          <w:lang w:eastAsia="fr-FR" w:bidi="he-IL"/>
        </w:rPr>
        <w:t xml:space="preserve"> édit.</w:t>
      </w:r>
      <w:r>
        <w:rPr>
          <w:rFonts w:eastAsia="Arial Unicode MS"/>
          <w:bCs/>
          <w:lang w:eastAsia="fr-FR" w:bidi="he-IL"/>
        </w:rPr>
        <w:t xml:space="preserve">, </w:t>
      </w:r>
      <w:r w:rsidRPr="00C8701B">
        <w:rPr>
          <w:rFonts w:eastAsia="Arial Unicode MS"/>
          <w:bCs/>
          <w:lang w:eastAsia="fr-FR" w:bidi="he-IL"/>
        </w:rPr>
        <w:t>t. III</w:t>
      </w:r>
      <w:r>
        <w:rPr>
          <w:rFonts w:eastAsia="Arial Unicode MS"/>
          <w:bCs/>
          <w:lang w:eastAsia="fr-FR" w:bidi="he-IL"/>
        </w:rPr>
        <w:t xml:space="preserve">, </w:t>
      </w:r>
      <w:r w:rsidRPr="00C8701B">
        <w:rPr>
          <w:rFonts w:eastAsia="Arial Unicode MS"/>
          <w:bCs/>
          <w:lang w:eastAsia="fr-FR" w:bidi="he-IL"/>
        </w:rPr>
        <w:t>p. 335 et ss.</w:t>
      </w:r>
      <w:r>
        <w:rPr>
          <w:rFonts w:eastAsia="Arial Unicode MS"/>
          <w:bCs/>
          <w:lang w:eastAsia="fr-FR" w:bidi="he-IL"/>
        </w:rPr>
        <w:t xml:space="preserve"> — V</w:t>
      </w:r>
      <w:r w:rsidRPr="00C8701B">
        <w:rPr>
          <w:rFonts w:eastAsia="Arial Unicode MS"/>
          <w:bCs/>
          <w:lang w:eastAsia="fr-FR" w:bidi="he-IL"/>
        </w:rPr>
        <w:t>oyez aussi de bonnes indications bibliographiques dans K. Hase</w:t>
      </w:r>
      <w:r>
        <w:rPr>
          <w:rFonts w:eastAsia="Arial Unicode MS"/>
          <w:bCs/>
          <w:lang w:eastAsia="fr-FR" w:bidi="he-IL"/>
        </w:rPr>
        <w:t xml:space="preserve">, </w:t>
      </w:r>
      <w:r w:rsidRPr="00DC4586">
        <w:rPr>
          <w:rStyle w:val="italicus"/>
        </w:rPr>
        <w:t>Leben Jesu</w:t>
      </w:r>
      <w:r>
        <w:rPr>
          <w:rStyle w:val="italicus"/>
        </w:rPr>
        <w:t xml:space="preserve">, </w:t>
      </w:r>
      <w:r>
        <w:rPr>
          <w:rFonts w:eastAsia="Arial Unicode MS"/>
          <w:bCs/>
          <w:lang w:eastAsia="fr-FR" w:bidi="he-IL"/>
        </w:rPr>
        <w:t>5</w:t>
      </w:r>
      <w:r w:rsidRPr="0094118D">
        <w:rPr>
          <w:rFonts w:eastAsia="Arial Unicode MS"/>
          <w:bCs/>
          <w:vertAlign w:val="superscript"/>
          <w:lang w:eastAsia="fr-FR" w:bidi="he-IL"/>
        </w:rPr>
        <w:t>e</w:t>
      </w:r>
      <w:r>
        <w:rPr>
          <w:rFonts w:eastAsia="Arial Unicode MS"/>
          <w:bCs/>
          <w:lang w:eastAsia="fr-FR" w:bidi="he-IL"/>
        </w:rPr>
        <w:t xml:space="preserve"> </w:t>
      </w:r>
      <w:r w:rsidRPr="00C8701B">
        <w:rPr>
          <w:rFonts w:eastAsia="Arial Unicode MS"/>
          <w:bCs/>
          <w:lang w:eastAsia="fr-FR" w:bidi="he-IL"/>
        </w:rPr>
        <w:t>édit.</w:t>
      </w:r>
      <w:r>
        <w:rPr>
          <w:rFonts w:eastAsia="Arial Unicode MS"/>
          <w:bCs/>
          <w:lang w:eastAsia="fr-FR" w:bidi="he-IL"/>
        </w:rPr>
        <w:t xml:space="preserve">, </w:t>
      </w:r>
      <w:r w:rsidRPr="00C8701B">
        <w:rPr>
          <w:rFonts w:eastAsia="Arial Unicode MS"/>
          <w:bCs/>
          <w:lang w:eastAsia="fr-FR" w:bidi="he-IL"/>
        </w:rPr>
        <w:t>p. 64 et ss.</w:t>
      </w:r>
      <w:r>
        <w:rPr>
          <w:rFonts w:eastAsia="Arial Unicode MS"/>
          <w:bCs/>
          <w:lang w:eastAsia="fr-FR" w:bidi="he-IL"/>
        </w:rPr>
        <w:t xml:space="preserve">, </w:t>
      </w:r>
      <w:r w:rsidRPr="00C8701B">
        <w:rPr>
          <w:rFonts w:eastAsia="Arial Unicode MS"/>
          <w:bCs/>
          <w:lang w:eastAsia="fr-FR" w:bidi="he-IL"/>
        </w:rPr>
        <w:t xml:space="preserve">et </w:t>
      </w:r>
      <w:r>
        <w:rPr>
          <w:rFonts w:eastAsia="Arial Unicode MS"/>
          <w:bCs/>
          <w:lang w:eastAsia="fr-FR" w:bidi="he-IL"/>
        </w:rPr>
        <w:t>W. H.</w:t>
      </w:r>
      <w:r w:rsidRPr="00C8701B">
        <w:rPr>
          <w:rFonts w:eastAsia="Arial Unicode MS"/>
          <w:bCs/>
          <w:lang w:eastAsia="fr-FR" w:bidi="he-IL"/>
        </w:rPr>
        <w:t xml:space="preserve"> Scott et Formby</w:t>
      </w:r>
      <w:r>
        <w:rPr>
          <w:rFonts w:eastAsia="Arial Unicode MS"/>
          <w:bCs/>
          <w:lang w:eastAsia="fr-FR" w:bidi="he-IL"/>
        </w:rPr>
        <w:t xml:space="preserve">, </w:t>
      </w:r>
      <w:r>
        <w:rPr>
          <w:rStyle w:val="italicus"/>
        </w:rPr>
        <w:t>De annis Chri</w:t>
      </w:r>
      <w:r w:rsidRPr="00DC4586">
        <w:rPr>
          <w:rStyle w:val="italicus"/>
        </w:rPr>
        <w:t>sti tract</w:t>
      </w:r>
      <w:r>
        <w:rPr>
          <w:rStyle w:val="italicus"/>
        </w:rPr>
        <w:t>á</w:t>
      </w:r>
      <w:r w:rsidRPr="00DC4586">
        <w:rPr>
          <w:rStyle w:val="italicus"/>
        </w:rPr>
        <w:t>tus</w:t>
      </w:r>
      <w:r>
        <w:rPr>
          <w:rStyle w:val="italicus"/>
        </w:rPr>
        <w:t xml:space="preserve">, </w:t>
      </w:r>
      <w:r w:rsidRPr="00C8701B">
        <w:rPr>
          <w:rFonts w:eastAsia="Arial Unicode MS"/>
          <w:bCs/>
          <w:lang w:eastAsia="fr-FR" w:bidi="he-IL"/>
        </w:rPr>
        <w:t>Londres 1872.</w:t>
      </w:r>
    </w:p>
  </w:footnote>
  <w:footnote w:id="348">
    <w:p w:rsidR="00941AA6" w:rsidRPr="00933C60" w:rsidRDefault="00941AA6">
      <w:pPr>
        <w:pStyle w:val="Notedebasdepage"/>
      </w:pPr>
      <w:r w:rsidRPr="00C406FF">
        <w:rPr>
          <w:rStyle w:val="Appelnotedebasdep"/>
        </w:rPr>
        <w:footnoteRef/>
      </w:r>
      <w:r w:rsidRPr="00C8701B">
        <w:rPr>
          <w:rFonts w:eastAsia="Arial Unicode MS"/>
          <w:bCs/>
          <w:lang w:eastAsia="fr-FR" w:bidi="he-IL"/>
        </w:rPr>
        <w:t xml:space="preserve"> Gal</w:t>
      </w:r>
      <w:r>
        <w:rPr>
          <w:rFonts w:eastAsia="Arial Unicode MS"/>
          <w:bCs/>
          <w:lang w:eastAsia="fr-FR" w:bidi="he-IL"/>
        </w:rPr>
        <w:t xml:space="preserve">. IV, </w:t>
      </w:r>
      <w:r w:rsidRPr="00C8701B">
        <w:rPr>
          <w:rFonts w:eastAsia="Arial Unicode MS"/>
          <w:bCs/>
          <w:lang w:eastAsia="fr-FR" w:bidi="he-IL"/>
        </w:rPr>
        <w:t>4. Jésus-Christ</w:t>
      </w:r>
      <w:r>
        <w:rPr>
          <w:rFonts w:eastAsia="Arial Unicode MS"/>
          <w:bCs/>
          <w:lang w:eastAsia="fr-FR" w:bidi="he-IL"/>
        </w:rPr>
        <w:t xml:space="preserve">, </w:t>
      </w:r>
      <w:r w:rsidRPr="00C8701B">
        <w:rPr>
          <w:rFonts w:eastAsia="Arial Unicode MS"/>
          <w:bCs/>
          <w:lang w:eastAsia="fr-FR" w:bidi="he-IL"/>
        </w:rPr>
        <w:t>le centre de l’histoire et de tous les temps.</w:t>
      </w:r>
    </w:p>
  </w:footnote>
  <w:footnote w:id="349">
    <w:p w:rsidR="00941AA6" w:rsidRPr="00933C60" w:rsidRDefault="00941AA6">
      <w:pPr>
        <w:pStyle w:val="Notedebasdepage"/>
      </w:pPr>
      <w:r w:rsidRPr="00C406FF">
        <w:rPr>
          <w:rStyle w:val="Appelnotedebasdep"/>
        </w:rPr>
        <w:footnoteRef/>
      </w:r>
      <w:r w:rsidRPr="00B51B8F">
        <w:rPr>
          <w:lang w:val="de-AT"/>
        </w:rPr>
        <w:t xml:space="preserve"> </w:t>
      </w:r>
      <w:r>
        <w:rPr>
          <w:rStyle w:val="italicus"/>
          <w:lang w:val="de-AT"/>
        </w:rPr>
        <w:t>Cum ergo natus esset Je</w:t>
      </w:r>
      <w:r w:rsidRPr="000819BA">
        <w:rPr>
          <w:rStyle w:val="italicus"/>
          <w:lang w:val="de-AT"/>
        </w:rPr>
        <w:t xml:space="preserve">sus in Bethlehem Juda, </w:t>
      </w:r>
      <w:r>
        <w:rPr>
          <w:rStyle w:val="italicus"/>
          <w:lang w:val="de-AT"/>
        </w:rPr>
        <w:t>in diébus Heródis r</w:t>
      </w:r>
      <w:r w:rsidRPr="000819BA">
        <w:rPr>
          <w:rStyle w:val="italicus"/>
          <w:lang w:val="de-AT"/>
        </w:rPr>
        <w:t>egis.</w:t>
      </w:r>
    </w:p>
  </w:footnote>
  <w:footnote w:id="350">
    <w:p w:rsidR="00941AA6" w:rsidRPr="00933C60" w:rsidRDefault="00941AA6">
      <w:pPr>
        <w:pStyle w:val="Notedebasdepage"/>
      </w:pPr>
      <w:r w:rsidRPr="00C406FF">
        <w:rPr>
          <w:rStyle w:val="Appelnotedebasdep"/>
        </w:rPr>
        <w:footnoteRef/>
      </w:r>
      <w:r w:rsidRPr="0094118D">
        <w:rPr>
          <w:rStyle w:val="italicus"/>
          <w:lang w:val="de-AT"/>
        </w:rPr>
        <w:t xml:space="preserve"> Fuit in diébus Heródis, regis Judǽæ, sacérdos quidam nómine Zacharias.</w:t>
      </w:r>
    </w:p>
  </w:footnote>
  <w:footnote w:id="351">
    <w:p w:rsidR="00941AA6" w:rsidRPr="00933C60" w:rsidRDefault="00941AA6">
      <w:pPr>
        <w:pStyle w:val="Notedebasdepage"/>
      </w:pPr>
      <w:r w:rsidRPr="00C406FF">
        <w:rPr>
          <w:rStyle w:val="Appelnotedebasdep"/>
        </w:rPr>
        <w:footnoteRef/>
      </w:r>
      <w:r w:rsidRPr="00C8701B">
        <w:rPr>
          <w:rFonts w:eastAsia="Arial Unicode MS"/>
          <w:lang w:val="en-US" w:eastAsia="fr-FR" w:bidi="he-IL"/>
        </w:rPr>
        <w:t xml:space="preserve"> </w:t>
      </w:r>
      <w:r w:rsidRPr="00C8701B">
        <w:rPr>
          <w:rFonts w:eastAsia="Arial Unicode MS"/>
          <w:bCs/>
          <w:lang w:val="en-US" w:eastAsia="fr-FR" w:bidi="he-IL"/>
        </w:rPr>
        <w:t>Matth</w:t>
      </w:r>
      <w:r>
        <w:rPr>
          <w:rFonts w:eastAsia="Arial Unicode MS"/>
          <w:bCs/>
          <w:lang w:val="en-US" w:eastAsia="fr-FR" w:bidi="he-IL"/>
        </w:rPr>
        <w:t xml:space="preserve">. II, </w:t>
      </w:r>
      <w:r w:rsidRPr="00C8701B">
        <w:rPr>
          <w:rFonts w:eastAsia="Arial Unicode MS"/>
          <w:bCs/>
          <w:lang w:val="en-US" w:eastAsia="fr-FR" w:bidi="he-IL"/>
        </w:rPr>
        <w:t>19.</w:t>
      </w:r>
    </w:p>
  </w:footnote>
  <w:footnote w:id="352">
    <w:p w:rsidR="00941AA6" w:rsidRPr="00933C60" w:rsidRDefault="00941AA6">
      <w:pPr>
        <w:pStyle w:val="Notedebasdepage"/>
      </w:pPr>
      <w:r w:rsidRPr="00C406FF">
        <w:rPr>
          <w:rStyle w:val="Appelnotedebasdep"/>
        </w:rPr>
        <w:footnoteRef/>
      </w:r>
      <w:r w:rsidRPr="00C8701B">
        <w:rPr>
          <w:rFonts w:eastAsia="Arial Unicode MS"/>
          <w:lang w:val="en-US" w:eastAsia="fr-FR" w:bidi="he-IL"/>
        </w:rPr>
        <w:t xml:space="preserve"> </w:t>
      </w:r>
      <w:r w:rsidRPr="00C8701B">
        <w:rPr>
          <w:rFonts w:eastAsia="Arial Unicode MS"/>
          <w:bCs/>
          <w:lang w:val="en-US" w:eastAsia="fr-FR" w:bidi="he-IL"/>
        </w:rPr>
        <w:t>Jos.</w:t>
      </w:r>
      <w:r>
        <w:rPr>
          <w:rFonts w:eastAsia="Arial Unicode MS"/>
          <w:bCs/>
          <w:lang w:val="en-US" w:eastAsia="fr-FR" w:bidi="he-IL"/>
        </w:rPr>
        <w:t xml:space="preserve">, </w:t>
      </w:r>
      <w:r w:rsidRPr="00A74F01">
        <w:rPr>
          <w:rStyle w:val="italicus"/>
          <w:lang w:val="en-US"/>
        </w:rPr>
        <w:t>Ant.</w:t>
      </w:r>
      <w:r w:rsidRPr="00C8701B">
        <w:rPr>
          <w:rFonts w:eastAsia="Arial Unicode MS"/>
          <w:bCs/>
          <w:lang w:val="en-US" w:eastAsia="fr-FR" w:bidi="he-IL"/>
        </w:rPr>
        <w:t xml:space="preserve"> </w:t>
      </w:r>
      <w:r>
        <w:rPr>
          <w:rFonts w:eastAsia="Arial Unicode MS"/>
          <w:bCs/>
          <w:lang w:val="en-US" w:eastAsia="fr-FR" w:bidi="he-IL"/>
        </w:rPr>
        <w:t xml:space="preserve">XIV, </w:t>
      </w:r>
      <w:r w:rsidRPr="00C8701B">
        <w:rPr>
          <w:rFonts w:eastAsia="Arial Unicode MS"/>
          <w:bCs/>
          <w:lang w:val="en-US" w:eastAsia="fr-FR" w:bidi="he-IL"/>
        </w:rPr>
        <w:t>14</w:t>
      </w:r>
      <w:r>
        <w:rPr>
          <w:rFonts w:eastAsia="Arial Unicode MS"/>
          <w:bCs/>
          <w:lang w:val="en-US" w:eastAsia="fr-FR" w:bidi="he-IL"/>
        </w:rPr>
        <w:t xml:space="preserve">, </w:t>
      </w:r>
      <w:r w:rsidRPr="00C8701B">
        <w:rPr>
          <w:rFonts w:eastAsia="Arial Unicode MS"/>
          <w:bCs/>
          <w:lang w:val="en-US" w:eastAsia="fr-FR" w:bidi="he-IL"/>
        </w:rPr>
        <w:t>5 </w:t>
      </w:r>
      <w:r>
        <w:rPr>
          <w:rFonts w:eastAsia="Arial Unicode MS"/>
          <w:bCs/>
          <w:lang w:val="en-US" w:eastAsia="fr-FR" w:bidi="he-IL"/>
        </w:rPr>
        <w:t xml:space="preserve">; XVII, </w:t>
      </w:r>
      <w:r w:rsidRPr="00C8701B">
        <w:rPr>
          <w:rFonts w:eastAsia="Arial Unicode MS"/>
          <w:bCs/>
          <w:lang w:val="en-US" w:eastAsia="fr-FR" w:bidi="he-IL"/>
        </w:rPr>
        <w:t>6</w:t>
      </w:r>
      <w:r>
        <w:rPr>
          <w:rFonts w:eastAsia="Arial Unicode MS"/>
          <w:bCs/>
          <w:lang w:val="en-US" w:eastAsia="fr-FR" w:bidi="he-IL"/>
        </w:rPr>
        <w:t xml:space="preserve">, </w:t>
      </w:r>
      <w:r w:rsidRPr="00C8701B">
        <w:rPr>
          <w:rFonts w:eastAsia="Arial Unicode MS"/>
          <w:bCs/>
          <w:lang w:val="en-US" w:eastAsia="fr-FR" w:bidi="he-IL"/>
        </w:rPr>
        <w:t>4 </w:t>
      </w:r>
      <w:r>
        <w:rPr>
          <w:rFonts w:eastAsia="Arial Unicode MS"/>
          <w:bCs/>
          <w:lang w:val="en-US" w:eastAsia="fr-FR" w:bidi="he-IL"/>
        </w:rPr>
        <w:t xml:space="preserve">; </w:t>
      </w:r>
      <w:r w:rsidRPr="00C8701B">
        <w:rPr>
          <w:rFonts w:eastAsia="Arial Unicode MS"/>
          <w:bCs/>
          <w:lang w:val="en-US" w:eastAsia="fr-FR" w:bidi="he-IL"/>
        </w:rPr>
        <w:t>9</w:t>
      </w:r>
      <w:r>
        <w:rPr>
          <w:rFonts w:eastAsia="Arial Unicode MS"/>
          <w:bCs/>
          <w:lang w:val="en-US" w:eastAsia="fr-FR" w:bidi="he-IL"/>
        </w:rPr>
        <w:t xml:space="preserve">, </w:t>
      </w:r>
      <w:r w:rsidRPr="00C8701B">
        <w:rPr>
          <w:rFonts w:eastAsia="Arial Unicode MS"/>
          <w:bCs/>
          <w:lang w:val="en-US" w:eastAsia="fr-FR" w:bidi="he-IL"/>
        </w:rPr>
        <w:t>3.</w:t>
      </w:r>
    </w:p>
  </w:footnote>
  <w:footnote w:id="353">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Jos.</w:t>
      </w:r>
      <w:r>
        <w:rPr>
          <w:rFonts w:eastAsia="Arial Unicode MS"/>
          <w:bCs/>
          <w:lang w:eastAsia="fr-FR" w:bidi="he-IL"/>
        </w:rPr>
        <w:t xml:space="preserve">, </w:t>
      </w:r>
      <w:r w:rsidRPr="00DC4586">
        <w:rPr>
          <w:rStyle w:val="italicus"/>
        </w:rPr>
        <w:t>Ant.</w:t>
      </w:r>
      <w:r w:rsidRPr="00C8701B">
        <w:rPr>
          <w:rFonts w:eastAsia="Arial Unicode MS"/>
          <w:bCs/>
          <w:lang w:eastAsia="fr-FR" w:bidi="he-IL"/>
        </w:rPr>
        <w:t xml:space="preserve"> </w:t>
      </w:r>
      <w:r>
        <w:rPr>
          <w:rFonts w:eastAsia="Arial Unicode MS"/>
          <w:bCs/>
          <w:lang w:eastAsia="fr-FR" w:bidi="he-IL"/>
        </w:rPr>
        <w:t xml:space="preserve">XVII, </w:t>
      </w:r>
      <w:r w:rsidRPr="00C8701B">
        <w:rPr>
          <w:rFonts w:eastAsia="Arial Unicode MS"/>
          <w:bCs/>
          <w:lang w:eastAsia="fr-FR" w:bidi="he-IL"/>
        </w:rPr>
        <w:t>8</w:t>
      </w:r>
      <w:r>
        <w:rPr>
          <w:rFonts w:eastAsia="Arial Unicode MS"/>
          <w:bCs/>
          <w:lang w:eastAsia="fr-FR" w:bidi="he-IL"/>
        </w:rPr>
        <w:t xml:space="preserve">, </w:t>
      </w:r>
      <w:r w:rsidRPr="00C8701B">
        <w:rPr>
          <w:rFonts w:eastAsia="Arial Unicode MS"/>
          <w:bCs/>
          <w:lang w:eastAsia="fr-FR" w:bidi="he-IL"/>
        </w:rPr>
        <w:t>1. Voyez Wieseler</w:t>
      </w:r>
      <w:r>
        <w:rPr>
          <w:rFonts w:eastAsia="Arial Unicode MS"/>
          <w:bCs/>
          <w:lang w:eastAsia="fr-FR" w:bidi="he-IL"/>
        </w:rPr>
        <w:t xml:space="preserve">, </w:t>
      </w:r>
      <w:r w:rsidRPr="00DC4586">
        <w:rPr>
          <w:rStyle w:val="italicus"/>
        </w:rPr>
        <w:t>Chronologische</w:t>
      </w:r>
      <w:r>
        <w:rPr>
          <w:rStyle w:val="italicus"/>
        </w:rPr>
        <w:t xml:space="preserve"> </w:t>
      </w:r>
      <w:r w:rsidRPr="00DC4586">
        <w:rPr>
          <w:rStyle w:val="italicus"/>
        </w:rPr>
        <w:t>Synopse</w:t>
      </w:r>
      <w:r>
        <w:rPr>
          <w:rStyle w:val="italicus"/>
        </w:rPr>
        <w:t xml:space="preserve">, </w:t>
      </w:r>
      <w:r w:rsidRPr="00C8701B">
        <w:rPr>
          <w:rFonts w:eastAsia="Arial Unicode MS"/>
          <w:bCs/>
          <w:lang w:eastAsia="fr-FR" w:bidi="he-IL"/>
        </w:rPr>
        <w:t>p. 49-132 </w:t>
      </w:r>
      <w:r>
        <w:rPr>
          <w:rFonts w:eastAsia="Arial Unicode MS"/>
          <w:bCs/>
          <w:lang w:eastAsia="fr-FR" w:bidi="he-IL"/>
        </w:rPr>
        <w:t xml:space="preserve">; </w:t>
      </w:r>
      <w:r w:rsidRPr="00C8701B">
        <w:rPr>
          <w:rFonts w:eastAsia="Arial Unicode MS"/>
          <w:bCs/>
          <w:lang w:eastAsia="fr-FR" w:bidi="he-IL"/>
        </w:rPr>
        <w:t>Wallon</w:t>
      </w:r>
      <w:r>
        <w:rPr>
          <w:rFonts w:eastAsia="Arial Unicode MS"/>
          <w:bCs/>
          <w:lang w:eastAsia="fr-FR" w:bidi="he-IL"/>
        </w:rPr>
        <w:t xml:space="preserve">, </w:t>
      </w:r>
      <w:r>
        <w:rPr>
          <w:rStyle w:val="italicus"/>
        </w:rPr>
        <w:t>De la croyance due à l’</w:t>
      </w:r>
      <w:r w:rsidRPr="00DC4586">
        <w:rPr>
          <w:rStyle w:val="italicus"/>
        </w:rPr>
        <w:t>Évangile</w:t>
      </w:r>
      <w:r>
        <w:rPr>
          <w:rStyle w:val="italicus"/>
        </w:rPr>
        <w:t xml:space="preserve">, </w:t>
      </w:r>
      <w:r w:rsidRPr="00C8701B">
        <w:rPr>
          <w:rFonts w:eastAsia="Arial Unicode MS"/>
          <w:bCs/>
          <w:lang w:eastAsia="fr-FR" w:bidi="he-IL"/>
        </w:rPr>
        <w:t>p. 343-349. C’</w:t>
      </w:r>
      <w:r>
        <w:rPr>
          <w:rFonts w:eastAsia="Arial Unicode MS"/>
          <w:bCs/>
          <w:lang w:eastAsia="fr-FR" w:bidi="he-IL"/>
        </w:rPr>
        <w:t>est sans</w:t>
      </w:r>
      <w:r w:rsidRPr="00C8701B">
        <w:rPr>
          <w:rFonts w:eastAsia="Arial Unicode MS"/>
          <w:bCs/>
          <w:lang w:eastAsia="fr-FR" w:bidi="he-IL"/>
        </w:rPr>
        <w:t xml:space="preserve"> raison suffisante que Caspari et le P. Riess reculent la mort d’Hérode jusqu’en 753.</w:t>
      </w:r>
    </w:p>
  </w:footnote>
  <w:footnote w:id="354">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Macrobe</w:t>
      </w:r>
      <w:r>
        <w:rPr>
          <w:rFonts w:eastAsia="Arial Unicode MS"/>
          <w:bCs/>
          <w:lang w:eastAsia="fr-FR" w:bidi="he-IL"/>
        </w:rPr>
        <w:t xml:space="preserve">, </w:t>
      </w:r>
      <w:r>
        <w:rPr>
          <w:rStyle w:val="italicus"/>
        </w:rPr>
        <w:t>Sa</w:t>
      </w:r>
      <w:r w:rsidRPr="00DC4586">
        <w:rPr>
          <w:rStyle w:val="italicus"/>
        </w:rPr>
        <w:t>t</w:t>
      </w:r>
      <w:r>
        <w:rPr>
          <w:rStyle w:val="italicus"/>
        </w:rPr>
        <w:t>.</w:t>
      </w:r>
      <w:r w:rsidRPr="0094118D">
        <w:t xml:space="preserve"> II, 4.</w:t>
      </w:r>
    </w:p>
  </w:footnote>
  <w:footnote w:id="355">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Wieseler</w:t>
      </w:r>
      <w:r>
        <w:rPr>
          <w:rFonts w:eastAsia="Arial Unicode MS"/>
          <w:bCs/>
          <w:lang w:eastAsia="fr-FR" w:bidi="he-IL"/>
        </w:rPr>
        <w:t xml:space="preserve">, </w:t>
      </w:r>
      <w:r>
        <w:rPr>
          <w:rStyle w:val="italicus"/>
        </w:rPr>
        <w:t xml:space="preserve">Beitræge, </w:t>
      </w:r>
      <w:r w:rsidRPr="00C8701B">
        <w:rPr>
          <w:rFonts w:eastAsia="Arial Unicode MS"/>
          <w:bCs/>
          <w:lang w:eastAsia="fr-FR" w:bidi="he-IL"/>
        </w:rPr>
        <w:t>p. 16 et ss. </w:t>
      </w:r>
      <w:r>
        <w:rPr>
          <w:rFonts w:eastAsia="Arial Unicode MS"/>
          <w:bCs/>
          <w:lang w:eastAsia="fr-FR" w:bidi="he-IL"/>
        </w:rPr>
        <w:t xml:space="preserve">; </w:t>
      </w:r>
      <w:r w:rsidRPr="00C8701B">
        <w:rPr>
          <w:rFonts w:eastAsia="Arial Unicode MS"/>
          <w:bCs/>
          <w:lang w:eastAsia="fr-FR" w:bidi="he-IL"/>
        </w:rPr>
        <w:t>Zumpt</w:t>
      </w:r>
      <w:r>
        <w:rPr>
          <w:rFonts w:eastAsia="Arial Unicode MS"/>
          <w:bCs/>
          <w:lang w:eastAsia="fr-FR" w:bidi="he-IL"/>
        </w:rPr>
        <w:t xml:space="preserve">, </w:t>
      </w:r>
      <w:r w:rsidRPr="00DC4586">
        <w:rPr>
          <w:rStyle w:val="italicus"/>
        </w:rPr>
        <w:t>Das Geburtsjahr Christi</w:t>
      </w:r>
      <w:r>
        <w:rPr>
          <w:rStyle w:val="italicus"/>
        </w:rPr>
        <w:t xml:space="preserve">, </w:t>
      </w:r>
      <w:r w:rsidRPr="00C8701B">
        <w:rPr>
          <w:rFonts w:eastAsia="Arial Unicode MS"/>
          <w:bCs/>
          <w:lang w:eastAsia="fr-FR" w:bidi="he-IL"/>
        </w:rPr>
        <w:t>p. 20-224 </w:t>
      </w:r>
      <w:r>
        <w:rPr>
          <w:rFonts w:eastAsia="Arial Unicode MS"/>
          <w:bCs/>
          <w:lang w:eastAsia="fr-FR" w:bidi="he-IL"/>
        </w:rPr>
        <w:t xml:space="preserve">; </w:t>
      </w:r>
      <w:r w:rsidRPr="00C8701B">
        <w:rPr>
          <w:rFonts w:eastAsia="Arial Unicode MS"/>
          <w:bCs/>
          <w:lang w:eastAsia="fr-FR" w:bidi="he-IL"/>
        </w:rPr>
        <w:t>Wallon</w:t>
      </w:r>
      <w:r>
        <w:rPr>
          <w:rFonts w:eastAsia="Arial Unicode MS"/>
          <w:bCs/>
          <w:lang w:eastAsia="fr-FR" w:bidi="he-IL"/>
        </w:rPr>
        <w:t xml:space="preserve">, </w:t>
      </w:r>
      <w:r w:rsidRPr="0094118D">
        <w:rPr>
          <w:rStyle w:val="italicus"/>
        </w:rPr>
        <w:t xml:space="preserve">De la croyance </w:t>
      </w:r>
      <w:r>
        <w:rPr>
          <w:rStyle w:val="italicus"/>
        </w:rPr>
        <w:t>due</w:t>
      </w:r>
      <w:r w:rsidRPr="0094118D">
        <w:rPr>
          <w:rStyle w:val="italicus"/>
        </w:rPr>
        <w:t xml:space="preserve"> à l’Évangile,</w:t>
      </w:r>
      <w:r>
        <w:rPr>
          <w:rFonts w:eastAsia="Arial Unicode MS"/>
          <w:bCs/>
          <w:lang w:val="el-GR" w:eastAsia="fr-FR" w:bidi="he-IL"/>
        </w:rPr>
        <w:t xml:space="preserve"> </w:t>
      </w:r>
      <w:r w:rsidRPr="00C8701B">
        <w:rPr>
          <w:rFonts w:eastAsia="Arial Unicode MS"/>
          <w:bCs/>
          <w:lang w:eastAsia="fr-FR" w:bidi="he-IL"/>
        </w:rPr>
        <w:t>II</w:t>
      </w:r>
      <w:r w:rsidRPr="0094118D">
        <w:rPr>
          <w:rFonts w:eastAsia="Arial Unicode MS"/>
          <w:bCs/>
          <w:vertAlign w:val="superscript"/>
          <w:lang w:eastAsia="fr-FR" w:bidi="he-IL"/>
        </w:rPr>
        <w:t>e</w:t>
      </w:r>
      <w:r w:rsidRPr="00C8701B">
        <w:rPr>
          <w:rFonts w:eastAsia="Arial Unicode MS"/>
          <w:bCs/>
          <w:lang w:eastAsia="fr-FR" w:bidi="he-IL"/>
        </w:rPr>
        <w:t xml:space="preserve"> partie</w:t>
      </w:r>
      <w:r>
        <w:rPr>
          <w:rFonts w:eastAsia="Arial Unicode MS"/>
          <w:bCs/>
          <w:lang w:eastAsia="fr-FR" w:bidi="he-IL"/>
        </w:rPr>
        <w:t xml:space="preserve">, </w:t>
      </w:r>
      <w:r w:rsidRPr="00C8701B">
        <w:rPr>
          <w:rFonts w:eastAsia="Arial Unicode MS"/>
          <w:bCs/>
          <w:lang w:eastAsia="fr-FR" w:bidi="he-IL"/>
        </w:rPr>
        <w:t xml:space="preserve">chap. </w:t>
      </w:r>
      <w:r>
        <w:rPr>
          <w:rFonts w:eastAsia="Arial Unicode MS"/>
          <w:bCs/>
          <w:lang w:eastAsia="fr-FR" w:bidi="he-IL"/>
        </w:rPr>
        <w:t>III</w:t>
      </w:r>
      <w:r w:rsidRPr="00C8701B">
        <w:rPr>
          <w:rFonts w:eastAsia="Arial Unicode MS"/>
          <w:bCs/>
          <w:lang w:eastAsia="fr-FR" w:bidi="he-IL"/>
        </w:rPr>
        <w:t> </w:t>
      </w:r>
      <w:r>
        <w:rPr>
          <w:rFonts w:eastAsia="Arial Unicode MS"/>
          <w:bCs/>
          <w:lang w:eastAsia="fr-FR" w:bidi="he-IL"/>
        </w:rPr>
        <w:t xml:space="preserve">; </w:t>
      </w:r>
      <w:r w:rsidRPr="00C8701B">
        <w:rPr>
          <w:rFonts w:eastAsia="Arial Unicode MS"/>
          <w:bCs/>
          <w:lang w:eastAsia="fr-FR" w:bidi="he-IL"/>
        </w:rPr>
        <w:t>Mémain</w:t>
      </w:r>
      <w:r>
        <w:rPr>
          <w:rFonts w:eastAsia="Arial Unicode MS"/>
          <w:bCs/>
          <w:lang w:eastAsia="fr-FR" w:bidi="he-IL"/>
        </w:rPr>
        <w:t xml:space="preserve">, </w:t>
      </w:r>
      <w:r>
        <w:rPr>
          <w:rStyle w:val="italicus"/>
        </w:rPr>
        <w:t>La Connaiss</w:t>
      </w:r>
      <w:r w:rsidRPr="00DC4586">
        <w:rPr>
          <w:rStyle w:val="italicus"/>
        </w:rPr>
        <w:t>ances des temps évangéliques</w:t>
      </w:r>
      <w:r>
        <w:rPr>
          <w:rStyle w:val="italicus"/>
        </w:rPr>
        <w:t xml:space="preserve">, </w:t>
      </w:r>
      <w:r w:rsidRPr="00C8701B">
        <w:rPr>
          <w:rFonts w:eastAsia="Arial Unicode MS"/>
          <w:bCs/>
          <w:lang w:val="el-GR" w:eastAsia="fr-FR" w:bidi="he-IL"/>
        </w:rPr>
        <w:t>ρ</w:t>
      </w:r>
      <w:r w:rsidRPr="00C8701B">
        <w:rPr>
          <w:rFonts w:eastAsia="Arial Unicode MS"/>
          <w:bCs/>
          <w:lang w:eastAsia="fr-FR" w:bidi="he-IL"/>
        </w:rPr>
        <w:t>. 60 et ss.</w:t>
      </w:r>
    </w:p>
  </w:footnote>
  <w:footnote w:id="356">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Sur ces variantes</w:t>
      </w:r>
      <w:r>
        <w:rPr>
          <w:rFonts w:eastAsia="Arial Unicode MS"/>
          <w:bCs/>
          <w:lang w:eastAsia="fr-FR" w:bidi="he-IL"/>
        </w:rPr>
        <w:t xml:space="preserve">, </w:t>
      </w:r>
      <w:r w:rsidRPr="00C8701B">
        <w:rPr>
          <w:rFonts w:eastAsia="Arial Unicode MS"/>
          <w:bCs/>
          <w:lang w:eastAsia="fr-FR" w:bidi="he-IL"/>
        </w:rPr>
        <w:t xml:space="preserve">viennent </w:t>
      </w:r>
      <w:r>
        <w:rPr>
          <w:rFonts w:eastAsia="Arial Unicode MS"/>
          <w:bCs/>
          <w:lang w:eastAsia="fr-FR" w:bidi="he-IL"/>
        </w:rPr>
        <w:t>s’en g</w:t>
      </w:r>
      <w:r w:rsidRPr="00C8701B">
        <w:rPr>
          <w:rFonts w:eastAsia="Arial Unicode MS"/>
          <w:bCs/>
          <w:lang w:eastAsia="fr-FR" w:bidi="he-IL"/>
        </w:rPr>
        <w:t>reffer d’autres</w:t>
      </w:r>
      <w:r>
        <w:rPr>
          <w:rFonts w:eastAsia="Arial Unicode MS"/>
          <w:bCs/>
          <w:lang w:eastAsia="fr-FR" w:bidi="he-IL"/>
        </w:rPr>
        <w:t xml:space="preserve">, </w:t>
      </w:r>
      <w:r w:rsidRPr="00C8701B">
        <w:rPr>
          <w:rFonts w:eastAsia="Arial Unicode MS"/>
          <w:bCs/>
          <w:lang w:eastAsia="fr-FR" w:bidi="he-IL"/>
        </w:rPr>
        <w:t>occasionnées par les mots</w:t>
      </w:r>
      <w:r w:rsidRPr="00DC4586">
        <w:rPr>
          <w:rStyle w:val="italicus"/>
        </w:rPr>
        <w:t xml:space="preserve"> a bimátu et infra</w:t>
      </w:r>
      <w:r>
        <w:rPr>
          <w:rStyle w:val="italicus"/>
        </w:rPr>
        <w:t xml:space="preserve">, </w:t>
      </w:r>
      <w:r w:rsidRPr="00DC4586">
        <w:rPr>
          <w:rStyle w:val="italicus"/>
        </w:rPr>
        <w:t>sec</w:t>
      </w:r>
      <w:r>
        <w:rPr>
          <w:rStyle w:val="italicus"/>
        </w:rPr>
        <w:t>ú</w:t>
      </w:r>
      <w:r w:rsidRPr="00DC4586">
        <w:rPr>
          <w:rStyle w:val="italicus"/>
        </w:rPr>
        <w:t>ndum tempus quod exquisíerat a Magis</w:t>
      </w:r>
      <w:r>
        <w:rPr>
          <w:rStyle w:val="italicus"/>
        </w:rPr>
        <w:t xml:space="preserve">, </w:t>
      </w:r>
      <w:r>
        <w:rPr>
          <w:rFonts w:eastAsia="Arial Unicode MS"/>
          <w:bCs/>
          <w:lang w:eastAsia="fr-FR" w:bidi="he-IL"/>
        </w:rPr>
        <w:t xml:space="preserve">Matth. II, </w:t>
      </w:r>
      <w:r w:rsidRPr="00C8701B">
        <w:rPr>
          <w:rFonts w:eastAsia="Arial Unicode MS"/>
          <w:bCs/>
          <w:lang w:eastAsia="fr-FR" w:bidi="he-IL"/>
        </w:rPr>
        <w:t>26</w:t>
      </w:r>
      <w:r>
        <w:rPr>
          <w:rFonts w:eastAsia="Arial Unicode MS"/>
          <w:bCs/>
          <w:lang w:eastAsia="fr-FR" w:bidi="he-IL"/>
        </w:rPr>
        <w:t xml:space="preserve">, </w:t>
      </w:r>
      <w:r w:rsidRPr="00C8701B">
        <w:rPr>
          <w:rFonts w:eastAsia="Arial Unicode MS"/>
          <w:bCs/>
          <w:lang w:eastAsia="fr-FR" w:bidi="he-IL"/>
        </w:rPr>
        <w:t>auxquels on fait signifier à tort que Jésus était né juste</w:t>
      </w:r>
      <w:r>
        <w:rPr>
          <w:rFonts w:eastAsia="Arial Unicode MS"/>
          <w:bCs/>
          <w:lang w:eastAsia="fr-FR" w:bidi="he-IL"/>
        </w:rPr>
        <w:t>, deux</w:t>
      </w:r>
      <w:r w:rsidRPr="00C8701B">
        <w:rPr>
          <w:rFonts w:eastAsia="Arial Unicode MS"/>
          <w:bCs/>
          <w:lang w:eastAsia="fr-FR" w:bidi="he-IL"/>
        </w:rPr>
        <w:t xml:space="preserve"> ans avant le cruel édit d’Hérode. L</w:t>
      </w:r>
      <w:r>
        <w:rPr>
          <w:rFonts w:eastAsia="Arial Unicode MS"/>
          <w:bCs/>
          <w:lang w:eastAsia="fr-FR" w:bidi="he-IL"/>
        </w:rPr>
        <w:t>e tyran élargit év</w:t>
      </w:r>
      <w:r w:rsidRPr="005F36ED">
        <w:t>idemment les limites, pour être plus sûr d’atteindre sa victime.</w:t>
      </w:r>
    </w:p>
  </w:footnote>
  <w:footnote w:id="357">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nos commentaires sur l’</w:t>
      </w:r>
      <w:r>
        <w:rPr>
          <w:rFonts w:eastAsia="Arial Unicode MS"/>
          <w:bCs/>
          <w:lang w:eastAsia="fr-FR" w:bidi="he-IL"/>
        </w:rPr>
        <w:t>Évangile</w:t>
      </w:r>
      <w:r w:rsidRPr="00C8701B">
        <w:rPr>
          <w:rFonts w:eastAsia="Arial Unicode MS"/>
          <w:bCs/>
          <w:lang w:eastAsia="fr-FR" w:bidi="he-IL"/>
        </w:rPr>
        <w:t xml:space="preserve"> </w:t>
      </w:r>
      <w:r w:rsidRPr="005F36ED">
        <w:t>selon S. Matthieu, p</w:t>
      </w:r>
      <w:r>
        <w:t>. 52</w:t>
      </w:r>
      <w:r w:rsidRPr="005F36ED">
        <w:t>.</w:t>
      </w:r>
    </w:p>
  </w:footnote>
  <w:footnote w:id="358">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Cf. Luc.</w:t>
      </w:r>
      <w:r>
        <w:rPr>
          <w:rFonts w:eastAsia="Arial Unicode MS"/>
          <w:bCs/>
          <w:lang w:eastAsia="fr-FR" w:bidi="he-IL"/>
        </w:rPr>
        <w:t xml:space="preserve"> I, </w:t>
      </w:r>
      <w:r w:rsidRPr="00C8701B">
        <w:rPr>
          <w:rFonts w:eastAsia="Arial Unicode MS"/>
          <w:bCs/>
          <w:lang w:eastAsia="fr-FR" w:bidi="he-IL"/>
        </w:rPr>
        <w:t>16.</w:t>
      </w:r>
    </w:p>
  </w:footnote>
  <w:footnote w:id="359">
    <w:p w:rsidR="00941AA6" w:rsidRPr="00933C60" w:rsidRDefault="00941AA6" w:rsidP="001A4F8D">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Page</w:t>
      </w:r>
      <w:r>
        <w:rPr>
          <w:rFonts w:eastAsia="Arial Unicode MS"/>
          <w:bCs/>
          <w:lang w:eastAsia="fr-FR" w:bidi="he-IL"/>
        </w:rPr>
        <w:t xml:space="preserve">, </w:t>
      </w:r>
      <w:r w:rsidR="00691E6B">
        <w:rPr>
          <w:rFonts w:eastAsia="Arial Unicode MS"/>
          <w:bCs/>
          <w:lang w:eastAsia="fr-FR" w:bidi="he-IL"/>
        </w:rPr>
        <w:fldChar w:fldCharType="begin"/>
      </w:r>
      <w:r w:rsidR="001A4F8D">
        <w:rPr>
          <w:rFonts w:eastAsia="Arial Unicode MS"/>
          <w:bCs/>
          <w:lang w:eastAsia="fr-FR" w:bidi="he-IL"/>
        </w:rPr>
        <w:instrText xml:space="preserve"> PAGEREF evin080101 \h </w:instrText>
      </w:r>
      <w:r w:rsidR="00691E6B">
        <w:rPr>
          <w:rFonts w:eastAsia="Arial Unicode MS"/>
          <w:bCs/>
          <w:lang w:eastAsia="fr-FR" w:bidi="he-IL"/>
        </w:rPr>
      </w:r>
      <w:r w:rsidR="00691E6B">
        <w:rPr>
          <w:rFonts w:eastAsia="Arial Unicode MS"/>
          <w:bCs/>
          <w:lang w:eastAsia="fr-FR" w:bidi="he-IL"/>
        </w:rPr>
        <w:fldChar w:fldCharType="separate"/>
      </w:r>
      <w:r w:rsidR="00635395">
        <w:rPr>
          <w:rFonts w:eastAsia="Arial Unicode MS"/>
          <w:bCs/>
          <w:noProof/>
          <w:lang w:eastAsia="fr-FR" w:bidi="he-IL"/>
        </w:rPr>
        <w:t>52</w:t>
      </w:r>
      <w:r w:rsidR="00691E6B">
        <w:rPr>
          <w:rFonts w:eastAsia="Arial Unicode MS"/>
          <w:bCs/>
          <w:lang w:eastAsia="fr-FR" w:bidi="he-IL"/>
        </w:rPr>
        <w:fldChar w:fldCharType="end"/>
      </w:r>
      <w:r>
        <w:rPr>
          <w:rFonts w:eastAsia="Arial Unicode MS"/>
          <w:bCs/>
          <w:lang w:eastAsia="fr-FR" w:bidi="he-IL"/>
        </w:rPr>
        <w:t>[65],</w:t>
      </w:r>
      <w:r w:rsidRPr="00C8701B">
        <w:rPr>
          <w:rFonts w:eastAsia="Arial Unicode MS"/>
          <w:bCs/>
          <w:lang w:eastAsia="fr-FR" w:bidi="he-IL"/>
        </w:rPr>
        <w:t xml:space="preserve"> au 1°.</w:t>
      </w:r>
    </w:p>
  </w:footnote>
  <w:footnote w:id="360">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Mémain</w:t>
      </w:r>
      <w:r>
        <w:rPr>
          <w:rFonts w:eastAsia="Arial Unicode MS"/>
          <w:bCs/>
          <w:lang w:eastAsia="fr-FR" w:bidi="he-IL"/>
        </w:rPr>
        <w:t xml:space="preserve">, </w:t>
      </w:r>
      <w:r w:rsidRPr="00DC4586">
        <w:rPr>
          <w:rStyle w:val="italicus"/>
        </w:rPr>
        <w:t>Connaissance des temps évangéliques</w:t>
      </w:r>
      <w:r>
        <w:rPr>
          <w:rStyle w:val="italicus"/>
        </w:rPr>
        <w:t xml:space="preserve">, </w:t>
      </w:r>
      <w:r w:rsidRPr="00C8701B">
        <w:rPr>
          <w:rFonts w:eastAsia="Arial Unicode MS"/>
          <w:bCs/>
          <w:lang w:eastAsia="fr-FR" w:bidi="he-IL"/>
        </w:rPr>
        <w:t>p. 97-98. Voyez</w:t>
      </w:r>
      <w:r>
        <w:rPr>
          <w:rFonts w:eastAsia="Arial Unicode MS"/>
          <w:bCs/>
          <w:lang w:eastAsia="fr-FR" w:bidi="he-IL"/>
        </w:rPr>
        <w:t xml:space="preserve">, </w:t>
      </w:r>
      <w:r w:rsidRPr="00DC4586">
        <w:rPr>
          <w:rStyle w:val="italicus"/>
        </w:rPr>
        <w:t>ibid.</w:t>
      </w:r>
      <w:r>
        <w:rPr>
          <w:rStyle w:val="italicus"/>
        </w:rPr>
        <w:t xml:space="preserve">, </w:t>
      </w:r>
      <w:r w:rsidRPr="00C8701B">
        <w:rPr>
          <w:rFonts w:eastAsia="Arial Unicode MS"/>
          <w:bCs/>
          <w:lang w:eastAsia="fr-FR" w:bidi="he-IL"/>
        </w:rPr>
        <w:t>les notes complémentaires</w:t>
      </w:r>
      <w:r>
        <w:rPr>
          <w:rFonts w:eastAsia="Arial Unicode MS"/>
          <w:bCs/>
          <w:lang w:eastAsia="fr-FR" w:bidi="he-IL"/>
        </w:rPr>
        <w:t xml:space="preserve">, </w:t>
      </w:r>
      <w:r w:rsidRPr="00C8701B">
        <w:rPr>
          <w:rFonts w:eastAsia="Arial Unicode MS"/>
          <w:bCs/>
          <w:lang w:eastAsia="fr-FR" w:bidi="he-IL"/>
        </w:rPr>
        <w:t>n. 7. « Ce jour de la Nativité</w:t>
      </w:r>
      <w:r>
        <w:rPr>
          <w:rFonts w:eastAsia="Arial Unicode MS"/>
          <w:bCs/>
          <w:lang w:eastAsia="fr-FR" w:bidi="he-IL"/>
        </w:rPr>
        <w:t xml:space="preserve">, dit S. Jean Chrysostome, </w:t>
      </w:r>
      <w:r w:rsidRPr="00DC4586">
        <w:rPr>
          <w:rStyle w:val="italicus"/>
        </w:rPr>
        <w:t>Serm. de Nat</w:t>
      </w:r>
      <w:r>
        <w:rPr>
          <w:rStyle w:val="italicus"/>
        </w:rPr>
        <w:t>.,</w:t>
      </w:r>
      <w:r w:rsidRPr="00DC4586">
        <w:rPr>
          <w:rStyle w:val="italicus"/>
        </w:rPr>
        <w:t xml:space="preserve"> </w:t>
      </w:r>
      <w:r>
        <w:rPr>
          <w:rFonts w:eastAsia="Arial Unicode MS"/>
          <w:bCs/>
          <w:lang w:eastAsia="fr-FR" w:bidi="he-IL"/>
        </w:rPr>
        <w:t xml:space="preserve">V, </w:t>
      </w:r>
      <w:r w:rsidRPr="00C8701B">
        <w:rPr>
          <w:rFonts w:eastAsia="Arial Unicode MS"/>
          <w:bCs/>
          <w:lang w:eastAsia="fr-FR" w:bidi="he-IL"/>
        </w:rPr>
        <w:t>a été connu et solennisé dès l’origine par tous les peuples qui habitent l’Europe</w:t>
      </w:r>
      <w:r>
        <w:rPr>
          <w:rFonts w:eastAsia="Arial Unicode MS"/>
          <w:bCs/>
          <w:lang w:eastAsia="fr-FR" w:bidi="he-IL"/>
        </w:rPr>
        <w:t xml:space="preserve">, </w:t>
      </w:r>
      <w:r w:rsidRPr="00C8701B">
        <w:rPr>
          <w:rFonts w:eastAsia="Arial Unicode MS"/>
          <w:bCs/>
          <w:lang w:eastAsia="fr-FR" w:bidi="he-IL"/>
        </w:rPr>
        <w:t>depuis les rivages de la Thrace jusqu’à ceux de Gadès</w:t>
      </w:r>
      <w:r>
        <w:rPr>
          <w:rFonts w:eastAsia="Arial Unicode MS"/>
          <w:bCs/>
          <w:lang w:eastAsia="fr-FR" w:bidi="he-IL"/>
        </w:rPr>
        <w:t xml:space="preserve">, </w:t>
      </w:r>
      <w:r w:rsidRPr="00C8701B">
        <w:rPr>
          <w:rFonts w:eastAsia="Arial Unicode MS"/>
          <w:bCs/>
          <w:lang w:eastAsia="fr-FR" w:bidi="he-IL"/>
        </w:rPr>
        <w:t>et la connaissance de ce jour a été transmise à nous-mêmes par les chrétiens de Rome</w:t>
      </w:r>
      <w:r>
        <w:rPr>
          <w:rFonts w:eastAsia="Arial Unicode MS"/>
          <w:bCs/>
          <w:lang w:eastAsia="fr-FR" w:bidi="he-IL"/>
        </w:rPr>
        <w:t xml:space="preserve">, </w:t>
      </w:r>
      <w:r w:rsidRPr="00C8701B">
        <w:rPr>
          <w:rFonts w:eastAsia="Arial Unicode MS"/>
          <w:bCs/>
          <w:lang w:eastAsia="fr-FR" w:bidi="he-IL"/>
        </w:rPr>
        <w:t xml:space="preserve">qui en avaient conservé l’indication </w:t>
      </w:r>
      <w:r>
        <w:rPr>
          <w:rFonts w:eastAsia="Arial Unicode MS"/>
          <w:bCs/>
          <w:lang w:eastAsia="fr-FR" w:bidi="he-IL"/>
        </w:rPr>
        <w:t>précis</w:t>
      </w:r>
      <w:r w:rsidRPr="00C8701B">
        <w:rPr>
          <w:rFonts w:eastAsia="Arial Unicode MS"/>
          <w:bCs/>
          <w:lang w:eastAsia="fr-FR" w:bidi="he-IL"/>
        </w:rPr>
        <w:t>e d’après une antique tradition ».</w:t>
      </w:r>
    </w:p>
  </w:footnote>
  <w:footnote w:id="361">
    <w:p w:rsidR="00941AA6" w:rsidRPr="00933C60" w:rsidRDefault="00941AA6">
      <w:pPr>
        <w:pStyle w:val="Notedebasdepage"/>
      </w:pPr>
      <w:r w:rsidRPr="00C406FF">
        <w:rPr>
          <w:rStyle w:val="Appelnotedebasdep"/>
        </w:rPr>
        <w:footnoteRef/>
      </w:r>
      <w:r w:rsidRPr="00C8701B">
        <w:rPr>
          <w:rFonts w:eastAsia="Arial Unicode MS"/>
          <w:bCs/>
          <w:lang w:eastAsia="fr-FR" w:bidi="he-IL"/>
        </w:rPr>
        <w:t xml:space="preserve"> Le narrateur ajoute</w:t>
      </w:r>
      <w:r>
        <w:rPr>
          <w:rFonts w:eastAsia="Arial Unicode MS"/>
          <w:bCs/>
          <w:lang w:eastAsia="fr-FR" w:bidi="he-IL"/>
        </w:rPr>
        <w:t xml:space="preserve">, </w:t>
      </w:r>
      <w:r w:rsidRPr="00C8701B">
        <w:rPr>
          <w:rFonts w:eastAsia="Arial Unicode MS"/>
          <w:bCs/>
          <w:lang w:eastAsia="fr-FR" w:bidi="he-IL"/>
        </w:rPr>
        <w:t>vers 21 :</w:t>
      </w:r>
      <w:r>
        <w:rPr>
          <w:rStyle w:val="italicus"/>
        </w:rPr>
        <w:t xml:space="preserve"> Ille aut</w:t>
      </w:r>
      <w:r w:rsidRPr="00DC4586">
        <w:rPr>
          <w:rStyle w:val="italicus"/>
        </w:rPr>
        <w:t>em dic</w:t>
      </w:r>
      <w:r>
        <w:rPr>
          <w:rStyle w:val="italicus"/>
        </w:rPr>
        <w:t>é</w:t>
      </w:r>
      <w:r w:rsidRPr="00DC4586">
        <w:rPr>
          <w:rStyle w:val="italicus"/>
        </w:rPr>
        <w:t>bat de templo córpori sui.</w:t>
      </w:r>
    </w:p>
  </w:footnote>
  <w:footnote w:id="362">
    <w:p w:rsidR="00941AA6" w:rsidRPr="00933C60" w:rsidRDefault="00941AA6">
      <w:pPr>
        <w:pStyle w:val="Notedebasdepage"/>
      </w:pPr>
      <w:r w:rsidRPr="00C406FF">
        <w:rPr>
          <w:rStyle w:val="Appelnotedebasdep"/>
        </w:rPr>
        <w:footnoteRef/>
      </w:r>
      <w:r w:rsidRPr="005F36ED">
        <w:t xml:space="preserve"> Voyez la prophétie d’Aggée.</w:t>
      </w:r>
    </w:p>
  </w:footnote>
  <w:footnote w:id="363">
    <w:p w:rsidR="00941AA6" w:rsidRPr="00933C60" w:rsidRDefault="00941AA6">
      <w:pPr>
        <w:pStyle w:val="Notedebasdepage"/>
      </w:pPr>
      <w:r w:rsidRPr="00C406FF">
        <w:rPr>
          <w:rStyle w:val="Appelnotedebasdep"/>
        </w:rPr>
        <w:footnoteRef/>
      </w:r>
      <w:r>
        <w:rPr>
          <w:rFonts w:eastAsia="Arial Unicode MS"/>
          <w:lang w:eastAsia="fr-FR" w:bidi="he-IL"/>
        </w:rPr>
        <w:t xml:space="preserve"> </w:t>
      </w:r>
      <w:r w:rsidRPr="005F36ED">
        <w:rPr>
          <w:rStyle w:val="italicus"/>
        </w:rPr>
        <w:t>Ant.</w:t>
      </w:r>
      <w:r>
        <w:rPr>
          <w:rFonts w:eastAsia="Arial Unicode MS"/>
          <w:bCs/>
          <w:lang w:eastAsia="fr-FR" w:bidi="he-IL"/>
        </w:rPr>
        <w:t xml:space="preserve"> XV, </w:t>
      </w:r>
      <w:r w:rsidRPr="00C8701B">
        <w:rPr>
          <w:rFonts w:eastAsia="Arial Unicode MS"/>
          <w:bCs/>
          <w:lang w:eastAsia="fr-FR" w:bidi="he-IL"/>
        </w:rPr>
        <w:t>11</w:t>
      </w:r>
      <w:r>
        <w:rPr>
          <w:rFonts w:eastAsia="Arial Unicode MS"/>
          <w:bCs/>
          <w:lang w:eastAsia="fr-FR" w:bidi="he-IL"/>
        </w:rPr>
        <w:t xml:space="preserve">, </w:t>
      </w:r>
      <w:r w:rsidRPr="00C8701B">
        <w:rPr>
          <w:rFonts w:eastAsia="Arial Unicode MS"/>
          <w:bCs/>
          <w:lang w:eastAsia="fr-FR" w:bidi="he-IL"/>
        </w:rPr>
        <w:t>1.</w:t>
      </w:r>
    </w:p>
  </w:footnote>
  <w:footnote w:id="364">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 </w:t>
      </w:r>
      <w:r w:rsidRPr="005F36ED">
        <w:rPr>
          <w:rFonts w:eastAsia="Arial Unicode MS"/>
          <w:bCs/>
          <w:lang w:eastAsia="fr-FR" w:bidi="he-IL"/>
        </w:rPr>
        <w:t>Der Angelpunkt der ganzen Streitfrage</w:t>
      </w:r>
      <w:r w:rsidRPr="00C8701B">
        <w:rPr>
          <w:rFonts w:eastAsia="Arial Unicode MS"/>
          <w:bCs/>
          <w:lang w:eastAsia="fr-FR" w:bidi="he-IL"/>
        </w:rPr>
        <w:t> » (le</w:t>
      </w:r>
      <w:r>
        <w:rPr>
          <w:rFonts w:eastAsia="Arial Unicode MS"/>
          <w:bCs/>
          <w:lang w:eastAsia="fr-FR" w:bidi="he-IL"/>
        </w:rPr>
        <w:t xml:space="preserve"> poi</w:t>
      </w:r>
      <w:r w:rsidRPr="00C8701B">
        <w:rPr>
          <w:rFonts w:eastAsia="Arial Unicode MS"/>
          <w:bCs/>
          <w:lang w:eastAsia="fr-FR" w:bidi="he-IL"/>
        </w:rPr>
        <w:t>nt qui sert de gond à toute la discussion)</w:t>
      </w:r>
      <w:r>
        <w:rPr>
          <w:rFonts w:eastAsia="Arial Unicode MS"/>
          <w:bCs/>
          <w:lang w:eastAsia="fr-FR" w:bidi="he-IL"/>
        </w:rPr>
        <w:t xml:space="preserve">, </w:t>
      </w:r>
      <w:r w:rsidRPr="00C8701B">
        <w:rPr>
          <w:rFonts w:eastAsia="Arial Unicode MS"/>
          <w:bCs/>
          <w:lang w:eastAsia="fr-FR" w:bidi="he-IL"/>
        </w:rPr>
        <w:t>dit le P. Ammer</w:t>
      </w:r>
      <w:r>
        <w:rPr>
          <w:rFonts w:eastAsia="Arial Unicode MS"/>
          <w:bCs/>
          <w:lang w:eastAsia="fr-FR" w:bidi="he-IL"/>
        </w:rPr>
        <w:t xml:space="preserve">, </w:t>
      </w:r>
      <w:r w:rsidRPr="00DC4586">
        <w:rPr>
          <w:rStyle w:val="italicus"/>
        </w:rPr>
        <w:t>Chronologie des Lebens Jesu Christi</w:t>
      </w:r>
      <w:r>
        <w:rPr>
          <w:rStyle w:val="italicus"/>
        </w:rPr>
        <w:t xml:space="preserve">, </w:t>
      </w:r>
      <w:r w:rsidRPr="00C8701B">
        <w:rPr>
          <w:rFonts w:eastAsia="Arial Unicode MS"/>
          <w:bCs/>
          <w:lang w:eastAsia="fr-FR" w:bidi="he-IL"/>
        </w:rPr>
        <w:t>p. 120.</w:t>
      </w:r>
    </w:p>
  </w:footnote>
  <w:footnote w:id="365">
    <w:p w:rsidR="00941AA6" w:rsidRPr="00933C60" w:rsidRDefault="00941AA6">
      <w:pPr>
        <w:pStyle w:val="Notedebasdepage"/>
      </w:pPr>
      <w:r w:rsidRPr="00C406FF">
        <w:rPr>
          <w:rStyle w:val="Appelnotedebasdep"/>
        </w:rPr>
        <w:footnoteRef/>
      </w:r>
      <w:r w:rsidRPr="00C8701B">
        <w:rPr>
          <w:rFonts w:eastAsia="Arial Unicode MS"/>
          <w:bCs/>
          <w:lang w:eastAsia="fr-FR" w:bidi="he-IL"/>
        </w:rPr>
        <w:t xml:space="preserve"> Voyez notre commentaire sur</w:t>
      </w:r>
      <w:r>
        <w:rPr>
          <w:rFonts w:eastAsia="Arial Unicode MS"/>
          <w:bCs/>
          <w:lang w:eastAsia="fr-FR" w:bidi="he-IL"/>
        </w:rPr>
        <w:t xml:space="preserve"> l’Évangile</w:t>
      </w:r>
      <w:r w:rsidRPr="00C8701B">
        <w:rPr>
          <w:rFonts w:eastAsia="Arial Unicode MS"/>
          <w:bCs/>
          <w:lang w:eastAsia="fr-FR" w:bidi="he-IL"/>
        </w:rPr>
        <w:t xml:space="preserve"> selon S. Luc</w:t>
      </w:r>
      <w:r>
        <w:rPr>
          <w:rFonts w:eastAsia="Arial Unicode MS"/>
          <w:bCs/>
          <w:lang w:eastAsia="fr-FR" w:bidi="he-IL"/>
        </w:rPr>
        <w:t xml:space="preserve">, </w:t>
      </w:r>
      <w:r w:rsidRPr="00C8701B">
        <w:rPr>
          <w:rFonts w:eastAsia="Arial Unicode MS"/>
          <w:bCs/>
          <w:lang w:eastAsia="fr-FR" w:bidi="he-IL"/>
        </w:rPr>
        <w:t>p. 90.</w:t>
      </w:r>
    </w:p>
  </w:footnote>
  <w:footnote w:id="366">
    <w:p w:rsidR="00941AA6" w:rsidRPr="00933C60" w:rsidRDefault="00941AA6">
      <w:pPr>
        <w:pStyle w:val="Notedebasdepage"/>
      </w:pPr>
      <w:r w:rsidRPr="00C406FF">
        <w:rPr>
          <w:rStyle w:val="Appelnotedebasdep"/>
        </w:rPr>
        <w:footnoteRef/>
      </w:r>
      <w:r w:rsidRPr="00C8701B">
        <w:rPr>
          <w:rFonts w:eastAsia="Arial Unicode MS"/>
          <w:bCs/>
          <w:lang w:eastAsia="fr-FR" w:bidi="he-IL"/>
        </w:rPr>
        <w:t xml:space="preserve"> D’après le grec :</w:t>
      </w:r>
    </w:p>
  </w:footnote>
  <w:footnote w:id="367">
    <w:p w:rsidR="00941AA6" w:rsidRPr="00933C60" w:rsidRDefault="00941AA6">
      <w:pPr>
        <w:pStyle w:val="Notedebasdepage"/>
      </w:pPr>
      <w:r w:rsidRPr="00C406FF">
        <w:rPr>
          <w:rStyle w:val="Appelnotedebasdep"/>
        </w:rPr>
        <w:footnoteRef/>
      </w:r>
      <w:r>
        <w:t xml:space="preserve"> Καὶ αὐτὸς ἦν Ἰησοῦς ὡσεὶ ἐτῶν τριάκοντα ἀρχόμενος</w:t>
      </w:r>
      <w:r w:rsidRPr="00C8701B">
        <w:rPr>
          <w:rFonts w:eastAsia="Arial Unicode MS"/>
          <w:lang w:val="el-GR" w:eastAsia="fr-FR" w:bidi="he-IL"/>
        </w:rPr>
        <w:t>.</w:t>
      </w:r>
      <w:r w:rsidRPr="00C8701B">
        <w:rPr>
          <w:rFonts w:eastAsia="Arial Unicode MS"/>
          <w:bCs/>
          <w:lang w:val="el-GR" w:eastAsia="fr-FR" w:bidi="he-IL"/>
        </w:rPr>
        <w:t xml:space="preserve"> </w:t>
      </w:r>
      <w:r w:rsidRPr="00C8701B">
        <w:rPr>
          <w:rFonts w:eastAsia="Arial Unicode MS"/>
          <w:bCs/>
          <w:lang w:eastAsia="fr-FR" w:bidi="he-IL"/>
        </w:rPr>
        <w:t>Voyez notre</w:t>
      </w:r>
      <w:r w:rsidRPr="00C8701B">
        <w:rPr>
          <w:rFonts w:eastAsia="Arial Unicode MS"/>
          <w:lang w:eastAsia="fr-FR" w:bidi="he-IL"/>
        </w:rPr>
        <w:t xml:space="preserve"> Com</w:t>
      </w:r>
      <w:r w:rsidRPr="00C8701B">
        <w:rPr>
          <w:rFonts w:eastAsia="Arial Unicode MS"/>
          <w:bCs/>
          <w:lang w:eastAsia="fr-FR" w:bidi="he-IL"/>
        </w:rPr>
        <w:t>mentaire de ce passage</w:t>
      </w:r>
      <w:r>
        <w:rPr>
          <w:rFonts w:eastAsia="Arial Unicode MS"/>
          <w:bCs/>
          <w:lang w:eastAsia="fr-FR" w:bidi="he-IL"/>
        </w:rPr>
        <w:t xml:space="preserve">, </w:t>
      </w:r>
      <w:r w:rsidRPr="00C8701B">
        <w:rPr>
          <w:rFonts w:eastAsia="Arial Unicode MS"/>
          <w:bCs/>
          <w:lang w:eastAsia="fr-FR" w:bidi="he-IL"/>
        </w:rPr>
        <w:t>p. 101</w:t>
      </w:r>
      <w:r>
        <w:rPr>
          <w:rFonts w:eastAsia="Arial Unicode MS"/>
          <w:bCs/>
          <w:lang w:eastAsia="fr-FR" w:bidi="he-IL"/>
        </w:rPr>
        <w:t>.</w:t>
      </w:r>
    </w:p>
  </w:footnote>
  <w:footnote w:id="368">
    <w:p w:rsidR="00941AA6" w:rsidRPr="00B51B8F" w:rsidRDefault="00941AA6" w:rsidP="00B51B8F">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Cf. Tacite</w:t>
      </w:r>
      <w:r>
        <w:rPr>
          <w:rFonts w:eastAsia="Arial Unicode MS"/>
          <w:bCs/>
          <w:lang w:eastAsia="fr-FR" w:bidi="he-IL"/>
        </w:rPr>
        <w:t xml:space="preserve">, </w:t>
      </w:r>
      <w:r w:rsidRPr="00DC4586">
        <w:rPr>
          <w:rStyle w:val="italicus"/>
        </w:rPr>
        <w:t>Ann.</w:t>
      </w:r>
      <w:r>
        <w:rPr>
          <w:rStyle w:val="italicus"/>
        </w:rPr>
        <w:t>,</w:t>
      </w:r>
      <w:r w:rsidRPr="005F36ED">
        <w:t xml:space="preserve"> I, 3 ; Velleius Paterc. </w:t>
      </w:r>
      <w:r>
        <w:rPr>
          <w:rFonts w:eastAsia="Arial Unicode MS"/>
          <w:bCs/>
          <w:lang w:eastAsia="fr-FR" w:bidi="he-IL"/>
        </w:rPr>
        <w:t xml:space="preserve">II, </w:t>
      </w:r>
      <w:r w:rsidRPr="00C8701B">
        <w:rPr>
          <w:rFonts w:eastAsia="Arial Unicode MS"/>
          <w:bCs/>
          <w:lang w:eastAsia="fr-FR" w:bidi="he-IL"/>
        </w:rPr>
        <w:t>121.</w:t>
      </w:r>
    </w:p>
  </w:footnote>
  <w:footnote w:id="369">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Cf. Mémain</w:t>
      </w:r>
      <w:r>
        <w:rPr>
          <w:rFonts w:eastAsia="Arial Unicode MS"/>
          <w:bCs/>
          <w:lang w:eastAsia="fr-FR" w:bidi="he-IL"/>
        </w:rPr>
        <w:t xml:space="preserve">, </w:t>
      </w:r>
      <w:r w:rsidRPr="00DC4586">
        <w:rPr>
          <w:rStyle w:val="italicus"/>
        </w:rPr>
        <w:t>loc. cit.</w:t>
      </w:r>
      <w:r>
        <w:rPr>
          <w:rStyle w:val="italicus"/>
        </w:rPr>
        <w:t xml:space="preserve">, </w:t>
      </w:r>
      <w:r w:rsidRPr="00C8701B">
        <w:rPr>
          <w:rFonts w:eastAsia="Arial Unicode MS"/>
          <w:bCs/>
          <w:lang w:eastAsia="fr-FR" w:bidi="he-IL"/>
        </w:rPr>
        <w:t>p. 126 et 88.</w:t>
      </w:r>
    </w:p>
  </w:footnote>
  <w:footnote w:id="370">
    <w:p w:rsidR="00941AA6" w:rsidRPr="00933C60" w:rsidRDefault="00941AA6">
      <w:pPr>
        <w:pStyle w:val="Notedebasdepage"/>
      </w:pPr>
      <w:r w:rsidRPr="00C406FF">
        <w:rPr>
          <w:rStyle w:val="Appelnotedebasdep"/>
        </w:rPr>
        <w:footnoteRef/>
      </w:r>
      <w:r w:rsidRPr="000819BA">
        <w:rPr>
          <w:rFonts w:eastAsia="Arial Unicode MS"/>
          <w:lang w:val="de-AT" w:eastAsia="fr-FR" w:bidi="he-IL"/>
        </w:rPr>
        <w:t xml:space="preserve"> </w:t>
      </w:r>
      <w:r w:rsidRPr="000819BA">
        <w:rPr>
          <w:rFonts w:eastAsia="Arial Unicode MS"/>
          <w:bCs/>
          <w:lang w:val="de-AT" w:eastAsia="fr-FR" w:bidi="he-IL"/>
        </w:rPr>
        <w:t>Page 31.</w:t>
      </w:r>
    </w:p>
  </w:footnote>
  <w:footnote w:id="371">
    <w:p w:rsidR="00941AA6" w:rsidRPr="00933C60" w:rsidRDefault="00941AA6">
      <w:pPr>
        <w:pStyle w:val="Notedebasdepage"/>
      </w:pPr>
      <w:r w:rsidRPr="00C406FF">
        <w:rPr>
          <w:rStyle w:val="Appelnotedebasdep"/>
        </w:rPr>
        <w:footnoteRef/>
      </w:r>
      <w:r w:rsidRPr="000819BA">
        <w:rPr>
          <w:rFonts w:eastAsia="Arial Unicode MS"/>
          <w:lang w:val="de-AT" w:eastAsia="fr-FR" w:bidi="he-IL"/>
        </w:rPr>
        <w:t xml:space="preserve"> Cf.</w:t>
      </w:r>
      <w:r w:rsidRPr="000819BA">
        <w:rPr>
          <w:rStyle w:val="italicus"/>
          <w:lang w:val="de-AT"/>
        </w:rPr>
        <w:t xml:space="preserve"> Beitræ</w:t>
      </w:r>
      <w:r>
        <w:rPr>
          <w:rStyle w:val="italicus"/>
          <w:lang w:val="de-AT"/>
        </w:rPr>
        <w:t>ge</w:t>
      </w:r>
      <w:r w:rsidRPr="000819BA">
        <w:rPr>
          <w:rStyle w:val="italicus"/>
          <w:lang w:val="de-AT"/>
        </w:rPr>
        <w:t xml:space="preserve"> zur richtigen Würdigung der Evangelien</w:t>
      </w:r>
      <w:r w:rsidRPr="000819BA">
        <w:rPr>
          <w:rFonts w:eastAsia="Arial Unicode MS"/>
          <w:lang w:val="de-AT" w:eastAsia="fr-FR" w:bidi="he-IL"/>
        </w:rPr>
        <w:t>, 191-194.</w:t>
      </w:r>
    </w:p>
  </w:footnote>
  <w:footnote w:id="372">
    <w:p w:rsidR="00941AA6" w:rsidRPr="00933C60" w:rsidRDefault="00941AA6">
      <w:pPr>
        <w:pStyle w:val="Notedebasdepage"/>
      </w:pPr>
      <w:r w:rsidRPr="00C406FF">
        <w:rPr>
          <w:rStyle w:val="Appelnotedebasdep"/>
        </w:rPr>
        <w:footnoteRef/>
      </w:r>
      <w:r w:rsidRPr="000819BA">
        <w:rPr>
          <w:rFonts w:eastAsia="Arial Unicode MS"/>
          <w:lang w:val="de-AT" w:eastAsia="fr-FR" w:bidi="he-IL"/>
        </w:rPr>
        <w:t xml:space="preserve"> </w:t>
      </w:r>
      <w:r>
        <w:rPr>
          <w:rFonts w:eastAsia="Arial Unicode MS"/>
          <w:bCs/>
          <w:lang w:val="de-AT" w:eastAsia="fr-FR" w:bidi="he-IL"/>
        </w:rPr>
        <w:t>Voyez Rieh</w:t>
      </w:r>
      <w:r w:rsidRPr="000819BA">
        <w:rPr>
          <w:rFonts w:eastAsia="Arial Unicode MS"/>
          <w:bCs/>
          <w:lang w:val="de-AT" w:eastAsia="fr-FR" w:bidi="he-IL"/>
        </w:rPr>
        <w:t xml:space="preserve">m, </w:t>
      </w:r>
      <w:r w:rsidRPr="000819BA">
        <w:rPr>
          <w:rStyle w:val="italicus"/>
          <w:lang w:val="de-AT"/>
        </w:rPr>
        <w:t xml:space="preserve">Handwörterbuch des biblischen Altertums </w:t>
      </w:r>
      <w:r>
        <w:rPr>
          <w:rStyle w:val="italicus"/>
          <w:lang w:val="de-AT"/>
        </w:rPr>
        <w:t>für</w:t>
      </w:r>
      <w:r w:rsidRPr="000819BA">
        <w:rPr>
          <w:rStyle w:val="italicus"/>
          <w:lang w:val="de-AT"/>
        </w:rPr>
        <w:t xml:space="preserve"> gebildete Leser, </w:t>
      </w:r>
      <w:r w:rsidRPr="000819BA">
        <w:rPr>
          <w:rFonts w:eastAsia="Arial Unicode MS"/>
          <w:bCs/>
          <w:lang w:val="de-AT" w:eastAsia="fr-FR" w:bidi="he-IL"/>
        </w:rPr>
        <w:t>p. 709.</w:t>
      </w:r>
    </w:p>
  </w:footnote>
  <w:footnote w:id="373">
    <w:p w:rsidR="00941AA6" w:rsidRPr="00933C60" w:rsidRDefault="00941AA6">
      <w:pPr>
        <w:pStyle w:val="Notedebasdepage"/>
      </w:pPr>
      <w:r w:rsidRPr="00C406FF">
        <w:rPr>
          <w:rStyle w:val="Appelnotedebasdep"/>
        </w:rPr>
        <w:footnoteRef/>
      </w:r>
      <w:r w:rsidRPr="00C8701B">
        <w:rPr>
          <w:rFonts w:eastAsia="Arial Unicode MS"/>
          <w:lang w:val="en-US" w:eastAsia="fr-FR" w:bidi="he-IL"/>
        </w:rPr>
        <w:t xml:space="preserve"> </w:t>
      </w:r>
      <w:r w:rsidRPr="00C8701B">
        <w:rPr>
          <w:rFonts w:eastAsia="Arial Unicode MS"/>
          <w:bCs/>
          <w:lang w:val="en-US" w:eastAsia="fr-FR" w:bidi="he-IL"/>
        </w:rPr>
        <w:t xml:space="preserve">Is. </w:t>
      </w:r>
      <w:r w:rsidRPr="00165881">
        <w:rPr>
          <w:rFonts w:eastAsia="Arial Unicode MS"/>
          <w:bCs/>
          <w:lang w:val="en-GB" w:eastAsia="fr-FR" w:bidi="he-IL"/>
        </w:rPr>
        <w:t>LXI, 2.</w:t>
      </w:r>
    </w:p>
  </w:footnote>
  <w:footnote w:id="374">
    <w:p w:rsidR="00941AA6" w:rsidRPr="00933C60" w:rsidRDefault="00941AA6">
      <w:pPr>
        <w:pStyle w:val="Notedebasdepage"/>
      </w:pPr>
      <w:r w:rsidRPr="00C406FF">
        <w:rPr>
          <w:rStyle w:val="Appelnotedebasdep"/>
        </w:rPr>
        <w:footnoteRef/>
      </w:r>
      <w:r>
        <w:t xml:space="preserve"> </w:t>
      </w:r>
      <w:r w:rsidRPr="00165881">
        <w:rPr>
          <w:rFonts w:eastAsia="Arial Unicode MS"/>
          <w:bCs/>
          <w:lang w:val="en-GB" w:eastAsia="fr-FR" w:bidi="he-IL"/>
        </w:rPr>
        <w:t>Cf. Luc. IV, 19.</w:t>
      </w:r>
    </w:p>
  </w:footnote>
  <w:footnote w:id="375">
    <w:p w:rsidR="00941AA6" w:rsidRPr="00933C60" w:rsidRDefault="00941AA6">
      <w:pPr>
        <w:pStyle w:val="Notedebasdepage"/>
      </w:pPr>
      <w:r w:rsidRPr="00C406FF">
        <w:rPr>
          <w:rStyle w:val="Appelnotedebasdep"/>
        </w:rPr>
        <w:footnoteRef/>
      </w:r>
      <w:r w:rsidRPr="00C8701B">
        <w:t xml:space="preserve"> Ainsi pensèrent</w:t>
      </w:r>
      <w:r>
        <w:t xml:space="preserve">, </w:t>
      </w:r>
      <w:r w:rsidRPr="00C8701B">
        <w:t>entr</w:t>
      </w:r>
      <w:r>
        <w:t xml:space="preserve">e </w:t>
      </w:r>
      <w:r w:rsidRPr="00C8701B">
        <w:t>autres</w:t>
      </w:r>
      <w:r>
        <w:t xml:space="preserve">, </w:t>
      </w:r>
      <w:r w:rsidRPr="00C8701B">
        <w:t>Clément d’Alexandrie</w:t>
      </w:r>
      <w:r>
        <w:t xml:space="preserve">, </w:t>
      </w:r>
      <w:r w:rsidRPr="00DC4586">
        <w:rPr>
          <w:rStyle w:val="italicus"/>
        </w:rPr>
        <w:t>Strom.</w:t>
      </w:r>
      <w:r>
        <w:t xml:space="preserve"> I, </w:t>
      </w:r>
      <w:r w:rsidRPr="00C8701B">
        <w:t>21 </w:t>
      </w:r>
      <w:r>
        <w:t xml:space="preserve">; </w:t>
      </w:r>
      <w:r w:rsidRPr="00C8701B">
        <w:t>Origène</w:t>
      </w:r>
      <w:r>
        <w:t xml:space="preserve">, </w:t>
      </w:r>
      <w:r w:rsidRPr="00DC4586">
        <w:rPr>
          <w:rStyle w:val="italicus"/>
        </w:rPr>
        <w:t>Philocal.</w:t>
      </w:r>
      <w:r>
        <w:rPr>
          <w:rStyle w:val="italicus"/>
        </w:rPr>
        <w:t xml:space="preserve">, </w:t>
      </w:r>
      <w:r>
        <w:t xml:space="preserve">I, </w:t>
      </w:r>
      <w:r w:rsidRPr="00C8701B">
        <w:t>et</w:t>
      </w:r>
      <w:r w:rsidRPr="00DC4586">
        <w:rPr>
          <w:rStyle w:val="italicus"/>
        </w:rPr>
        <w:t xml:space="preserve"> Hom.</w:t>
      </w:r>
      <w:r w:rsidRPr="00C8701B">
        <w:t xml:space="preserve"> </w:t>
      </w:r>
      <w:r>
        <w:t>XXXII</w:t>
      </w:r>
      <w:r w:rsidRPr="00DC4586">
        <w:rPr>
          <w:rStyle w:val="italicus"/>
        </w:rPr>
        <w:t xml:space="preserve"> in Luc.</w:t>
      </w:r>
      <w:r w:rsidRPr="00C8701B">
        <w:t> </w:t>
      </w:r>
      <w:r>
        <w:t xml:space="preserve">; </w:t>
      </w:r>
      <w:r w:rsidRPr="00C8701B">
        <w:t>plusieurs sectes gnostiques</w:t>
      </w:r>
      <w:r>
        <w:t xml:space="preserve">, </w:t>
      </w:r>
      <w:r w:rsidRPr="00C8701B">
        <w:t>Jules l’Africain</w:t>
      </w:r>
      <w:r>
        <w:t xml:space="preserve">, </w:t>
      </w:r>
      <w:r w:rsidRPr="00C8701B">
        <w:t>Tertullien</w:t>
      </w:r>
      <w:r>
        <w:t xml:space="preserve">, </w:t>
      </w:r>
      <w:r w:rsidRPr="00C8701B">
        <w:t>Lactance</w:t>
      </w:r>
      <w:r>
        <w:t xml:space="preserve">, </w:t>
      </w:r>
      <w:r w:rsidRPr="00C8701B">
        <w:t>etc. Voyez quelques textes dans Reithmayr</w:t>
      </w:r>
      <w:r>
        <w:t xml:space="preserve">, </w:t>
      </w:r>
      <w:r>
        <w:rPr>
          <w:rStyle w:val="italicus"/>
        </w:rPr>
        <w:t>Ein</w:t>
      </w:r>
      <w:r w:rsidRPr="00DC4586">
        <w:rPr>
          <w:rStyle w:val="italicus"/>
        </w:rPr>
        <w:t>leitung</w:t>
      </w:r>
      <w:r>
        <w:rPr>
          <w:rStyle w:val="italicus"/>
        </w:rPr>
        <w:t xml:space="preserve">, </w:t>
      </w:r>
      <w:r w:rsidRPr="00C8701B">
        <w:t>p. 460.</w:t>
      </w:r>
    </w:p>
  </w:footnote>
  <w:footnote w:id="376">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Pr>
          <w:rFonts w:eastAsia="Arial Unicode MS"/>
          <w:bCs/>
          <w:lang w:eastAsia="fr-FR" w:bidi="he-IL"/>
        </w:rPr>
        <w:t xml:space="preserve">II, </w:t>
      </w:r>
      <w:r w:rsidRPr="00C8701B">
        <w:rPr>
          <w:rFonts w:eastAsia="Arial Unicode MS"/>
          <w:bCs/>
          <w:lang w:eastAsia="fr-FR" w:bidi="he-IL"/>
        </w:rPr>
        <w:t>23 et ss.</w:t>
      </w:r>
    </w:p>
  </w:footnote>
  <w:footnote w:id="377">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les passages parallèles</w:t>
      </w:r>
      <w:r>
        <w:rPr>
          <w:rFonts w:eastAsia="Arial Unicode MS"/>
          <w:bCs/>
          <w:lang w:eastAsia="fr-FR" w:bidi="he-IL"/>
        </w:rPr>
        <w:t xml:space="preserve">, </w:t>
      </w:r>
      <w:r w:rsidRPr="00C8701B">
        <w:rPr>
          <w:rFonts w:eastAsia="Arial Unicode MS"/>
          <w:bCs/>
          <w:lang w:eastAsia="fr-FR" w:bidi="he-IL"/>
        </w:rPr>
        <w:t xml:space="preserve">Matth. </w:t>
      </w:r>
      <w:r>
        <w:rPr>
          <w:rFonts w:eastAsia="Arial Unicode MS"/>
          <w:bCs/>
          <w:lang w:eastAsia="fr-FR" w:bidi="he-IL"/>
        </w:rPr>
        <w:t xml:space="preserve">XII, </w:t>
      </w:r>
      <w:r w:rsidRPr="00C8701B">
        <w:rPr>
          <w:rFonts w:eastAsia="Arial Unicode MS"/>
          <w:bCs/>
          <w:lang w:eastAsia="fr-FR" w:bidi="he-IL"/>
        </w:rPr>
        <w:t>1 et ss.</w:t>
      </w:r>
      <w:r>
        <w:rPr>
          <w:rFonts w:eastAsia="Arial Unicode MS"/>
          <w:bCs/>
          <w:lang w:eastAsia="fr-FR" w:bidi="he-IL"/>
        </w:rPr>
        <w:t xml:space="preserve">, </w:t>
      </w:r>
      <w:r w:rsidRPr="00C8701B">
        <w:rPr>
          <w:rFonts w:eastAsia="Arial Unicode MS"/>
          <w:bCs/>
          <w:lang w:eastAsia="fr-FR" w:bidi="he-IL"/>
        </w:rPr>
        <w:t xml:space="preserve">Luc. </w:t>
      </w:r>
      <w:r>
        <w:rPr>
          <w:rFonts w:eastAsia="Arial Unicode MS"/>
          <w:bCs/>
          <w:lang w:eastAsia="fr-FR" w:bidi="he-IL"/>
        </w:rPr>
        <w:t xml:space="preserve">VI, </w:t>
      </w:r>
      <w:r w:rsidRPr="00C8701B">
        <w:rPr>
          <w:rFonts w:eastAsia="Arial Unicode MS"/>
          <w:bCs/>
          <w:lang w:eastAsia="fr-FR" w:bidi="he-IL"/>
        </w:rPr>
        <w:t>1 et ss. Cet épisode suppose donc au moins deux Pâques dans la vie publique de Notre-Seigneur d’après les synoptiques</w:t>
      </w:r>
      <w:r>
        <w:rPr>
          <w:rFonts w:eastAsia="Arial Unicode MS"/>
          <w:bCs/>
          <w:lang w:eastAsia="fr-FR" w:bidi="he-IL"/>
        </w:rPr>
        <w:t xml:space="preserve">, </w:t>
      </w:r>
      <w:r w:rsidRPr="00C8701B">
        <w:rPr>
          <w:rFonts w:eastAsia="Arial Unicode MS"/>
          <w:bCs/>
          <w:lang w:eastAsia="fr-FR" w:bidi="he-IL"/>
        </w:rPr>
        <w:t>et un ministère d’au moins deux ans entre le baptême de Jésus et sa passion.</w:t>
      </w:r>
    </w:p>
  </w:footnote>
  <w:footnote w:id="378">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nos commentaires</w:t>
      </w:r>
      <w:r>
        <w:rPr>
          <w:rFonts w:eastAsia="Arial Unicode MS"/>
          <w:bCs/>
          <w:lang w:eastAsia="fr-FR" w:bidi="he-IL"/>
        </w:rPr>
        <w:t>, p. LXVII</w:t>
      </w:r>
      <w:r w:rsidRPr="00C8701B">
        <w:rPr>
          <w:rFonts w:eastAsia="Arial Unicode MS"/>
          <w:bCs/>
          <w:lang w:eastAsia="fr-FR" w:bidi="he-IL"/>
        </w:rPr>
        <w:t xml:space="preserve"> et ss.</w:t>
      </w:r>
    </w:p>
  </w:footnote>
  <w:footnote w:id="379">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w:t>
      </w:r>
      <w:r>
        <w:t xml:space="preserve"> l’</w:t>
      </w:r>
      <w:r w:rsidRPr="00C8701B">
        <w:rPr>
          <w:rFonts w:eastAsia="Arial Unicode MS"/>
          <w:bCs/>
          <w:lang w:eastAsia="fr-FR" w:bidi="he-IL"/>
        </w:rPr>
        <w:t>Harmonie évangélique</w:t>
      </w:r>
      <w:r>
        <w:rPr>
          <w:rFonts w:eastAsia="Arial Unicode MS"/>
          <w:bCs/>
          <w:lang w:eastAsia="fr-FR" w:bidi="he-IL"/>
        </w:rPr>
        <w:t xml:space="preserve">, </w:t>
      </w:r>
      <w:r w:rsidRPr="00C8701B">
        <w:rPr>
          <w:rFonts w:eastAsia="Arial Unicode MS"/>
          <w:bCs/>
          <w:lang w:eastAsia="fr-FR" w:bidi="he-IL"/>
        </w:rPr>
        <w:t xml:space="preserve">§ </w:t>
      </w:r>
      <w:r>
        <w:rPr>
          <w:rFonts w:eastAsia="Arial Unicode MS"/>
          <w:bCs/>
          <w:lang w:eastAsia="fr-FR" w:bidi="he-IL"/>
        </w:rPr>
        <w:t>XV</w:t>
      </w:r>
      <w:r w:rsidRPr="00C8701B">
        <w:rPr>
          <w:rFonts w:eastAsia="Arial Unicode MS"/>
          <w:bCs/>
          <w:lang w:eastAsia="fr-FR" w:bidi="he-IL"/>
        </w:rPr>
        <w:t>.</w:t>
      </w:r>
    </w:p>
  </w:footnote>
  <w:footnote w:id="380">
    <w:p w:rsidR="00941AA6" w:rsidRPr="00933C60" w:rsidRDefault="00941AA6" w:rsidP="00E87D10">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 xml:space="preserve">Page </w:t>
      </w:r>
      <w:r w:rsidR="00691E6B">
        <w:rPr>
          <w:rFonts w:eastAsia="Arial Unicode MS"/>
          <w:bCs/>
          <w:lang w:eastAsia="fr-FR" w:bidi="he-IL"/>
        </w:rPr>
        <w:fldChar w:fldCharType="begin"/>
      </w:r>
      <w:r w:rsidR="00E87D10">
        <w:rPr>
          <w:rFonts w:eastAsia="Arial Unicode MS"/>
          <w:bCs/>
          <w:lang w:eastAsia="fr-FR" w:bidi="he-IL"/>
        </w:rPr>
        <w:instrText xml:space="preserve"> PAGEREF evin080201acausede \h </w:instrText>
      </w:r>
      <w:r w:rsidR="00691E6B">
        <w:rPr>
          <w:rFonts w:eastAsia="Arial Unicode MS"/>
          <w:bCs/>
          <w:lang w:eastAsia="fr-FR" w:bidi="he-IL"/>
        </w:rPr>
      </w:r>
      <w:r w:rsidR="00691E6B">
        <w:rPr>
          <w:rFonts w:eastAsia="Arial Unicode MS"/>
          <w:bCs/>
          <w:lang w:eastAsia="fr-FR" w:bidi="he-IL"/>
        </w:rPr>
        <w:fldChar w:fldCharType="separate"/>
      </w:r>
      <w:r w:rsidR="00635395">
        <w:rPr>
          <w:rFonts w:eastAsia="Arial Unicode MS"/>
          <w:bCs/>
          <w:noProof/>
          <w:lang w:eastAsia="fr-FR" w:bidi="he-IL"/>
        </w:rPr>
        <w:t>54</w:t>
      </w:r>
      <w:r w:rsidR="00691E6B">
        <w:rPr>
          <w:rFonts w:eastAsia="Arial Unicode MS"/>
          <w:bCs/>
          <w:lang w:eastAsia="fr-FR" w:bidi="he-IL"/>
        </w:rPr>
        <w:fldChar w:fldCharType="end"/>
      </w:r>
      <w:r>
        <w:rPr>
          <w:rFonts w:eastAsia="Arial Unicode MS"/>
          <w:bCs/>
          <w:lang w:eastAsia="fr-FR" w:bidi="he-IL"/>
        </w:rPr>
        <w:t>[</w:t>
      </w:r>
      <w:r w:rsidRPr="00C8701B">
        <w:rPr>
          <w:rFonts w:eastAsia="Arial Unicode MS"/>
          <w:bCs/>
          <w:lang w:eastAsia="fr-FR" w:bidi="he-IL"/>
        </w:rPr>
        <w:t>69</w:t>
      </w:r>
      <w:r>
        <w:rPr>
          <w:rFonts w:eastAsia="Arial Unicode MS"/>
          <w:bCs/>
          <w:lang w:eastAsia="fr-FR" w:bidi="he-IL"/>
        </w:rPr>
        <w:t>]</w:t>
      </w:r>
      <w:r w:rsidRPr="00C8701B">
        <w:rPr>
          <w:rFonts w:eastAsia="Arial Unicode MS"/>
          <w:bCs/>
          <w:lang w:eastAsia="fr-FR" w:bidi="he-IL"/>
        </w:rPr>
        <w:t>.</w:t>
      </w:r>
    </w:p>
  </w:footnote>
  <w:footnote w:id="381">
    <w:p w:rsidR="00941AA6" w:rsidRPr="00933C60" w:rsidRDefault="00941AA6" w:rsidP="00E87D10">
      <w:pPr>
        <w:pStyle w:val="Notedebasdepage"/>
      </w:pPr>
      <w:r w:rsidRPr="00C406FF">
        <w:rPr>
          <w:rStyle w:val="Appelnotedebasdep"/>
        </w:rPr>
        <w:footnoteRef/>
      </w:r>
      <w:r w:rsidRPr="005F36ED">
        <w:t xml:space="preserve"> Ἑορτὴ (ou peut-être ἡ ἑορτὴ) τῶν, Ἰουδαίων. Nous avons discuté ce texte dans n</w:t>
      </w:r>
      <w:r w:rsidRPr="00C8701B">
        <w:rPr>
          <w:rFonts w:eastAsia="Arial Unicode MS"/>
          <w:bCs/>
          <w:lang w:eastAsia="fr-FR" w:bidi="he-IL"/>
        </w:rPr>
        <w:t>otre commentaire sur l’</w:t>
      </w:r>
      <w:r>
        <w:rPr>
          <w:rFonts w:eastAsia="Arial Unicode MS"/>
          <w:bCs/>
          <w:lang w:eastAsia="fr-FR" w:bidi="he-IL"/>
        </w:rPr>
        <w:t>Évangile</w:t>
      </w:r>
      <w:r w:rsidRPr="00C8701B">
        <w:rPr>
          <w:rFonts w:eastAsia="Arial Unicode MS"/>
          <w:bCs/>
          <w:lang w:eastAsia="fr-FR" w:bidi="he-IL"/>
        </w:rPr>
        <w:t xml:space="preserve"> selon S. Jean</w:t>
      </w:r>
      <w:r>
        <w:rPr>
          <w:rFonts w:eastAsia="Arial Unicode MS"/>
          <w:bCs/>
          <w:lang w:eastAsia="fr-FR" w:bidi="he-IL"/>
        </w:rPr>
        <w:t xml:space="preserve">, </w:t>
      </w:r>
      <w:r w:rsidRPr="00C8701B">
        <w:rPr>
          <w:rFonts w:eastAsia="Arial Unicode MS"/>
          <w:bCs/>
          <w:lang w:eastAsia="fr-FR" w:bidi="he-IL"/>
        </w:rPr>
        <w:t>p. 91 et s.</w:t>
      </w:r>
    </w:p>
  </w:footnote>
  <w:footnote w:id="382">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Wieseler</w:t>
      </w:r>
      <w:r>
        <w:rPr>
          <w:rFonts w:eastAsia="Arial Unicode MS"/>
          <w:bCs/>
          <w:lang w:eastAsia="fr-FR" w:bidi="he-IL"/>
        </w:rPr>
        <w:t xml:space="preserve">, </w:t>
      </w:r>
      <w:r w:rsidRPr="00DC4586">
        <w:rPr>
          <w:rStyle w:val="italicus"/>
        </w:rPr>
        <w:t>Chronolog. Synopse</w:t>
      </w:r>
      <w:r>
        <w:rPr>
          <w:rStyle w:val="italicus"/>
        </w:rPr>
        <w:t xml:space="preserve">, </w:t>
      </w:r>
      <w:r w:rsidRPr="00C8701B">
        <w:rPr>
          <w:rFonts w:eastAsia="Arial Unicode MS"/>
          <w:bCs/>
          <w:lang w:eastAsia="fr-FR" w:bidi="he-IL"/>
        </w:rPr>
        <w:t>p. 205 et ss. </w:t>
      </w:r>
      <w:r>
        <w:rPr>
          <w:rFonts w:eastAsia="Arial Unicode MS"/>
          <w:bCs/>
          <w:lang w:eastAsia="fr-FR" w:bidi="he-IL"/>
        </w:rPr>
        <w:t xml:space="preserve">; </w:t>
      </w:r>
      <w:r w:rsidRPr="00C8701B">
        <w:rPr>
          <w:rFonts w:eastAsia="Arial Unicode MS"/>
          <w:bCs/>
          <w:lang w:eastAsia="fr-FR" w:bidi="he-IL"/>
        </w:rPr>
        <w:t>L. Hug</w:t>
      </w:r>
      <w:r>
        <w:rPr>
          <w:rFonts w:eastAsia="Arial Unicode MS"/>
          <w:bCs/>
          <w:lang w:eastAsia="fr-FR" w:bidi="he-IL"/>
        </w:rPr>
        <w:t xml:space="preserve">, </w:t>
      </w:r>
      <w:r w:rsidRPr="00DC4586">
        <w:rPr>
          <w:rStyle w:val="italicus"/>
        </w:rPr>
        <w:t>Einleitung</w:t>
      </w:r>
      <w:r>
        <w:rPr>
          <w:rStyle w:val="italicus"/>
        </w:rPr>
        <w:t xml:space="preserve">, </w:t>
      </w:r>
      <w:r w:rsidRPr="00C8701B">
        <w:rPr>
          <w:rFonts w:eastAsia="Arial Unicode MS"/>
          <w:bCs/>
          <w:lang w:eastAsia="fr-FR" w:bidi="he-IL"/>
        </w:rPr>
        <w:t>t. II</w:t>
      </w:r>
      <w:r>
        <w:rPr>
          <w:rFonts w:eastAsia="Arial Unicode MS"/>
          <w:bCs/>
          <w:lang w:eastAsia="fr-FR" w:bidi="he-IL"/>
        </w:rPr>
        <w:t xml:space="preserve">, </w:t>
      </w:r>
      <w:r w:rsidRPr="00C8701B">
        <w:rPr>
          <w:rFonts w:eastAsia="Arial Unicode MS"/>
          <w:bCs/>
          <w:lang w:eastAsia="fr-FR" w:bidi="he-IL"/>
        </w:rPr>
        <w:t>p. 229 et ss. </w:t>
      </w:r>
      <w:r>
        <w:rPr>
          <w:rFonts w:eastAsia="Arial Unicode MS"/>
          <w:bCs/>
          <w:lang w:eastAsia="fr-FR" w:bidi="he-IL"/>
        </w:rPr>
        <w:t xml:space="preserve">; </w:t>
      </w:r>
      <w:r w:rsidRPr="00C8701B">
        <w:rPr>
          <w:rFonts w:eastAsia="Arial Unicode MS"/>
          <w:bCs/>
          <w:lang w:eastAsia="fr-FR" w:bidi="he-IL"/>
        </w:rPr>
        <w:t>de Valroger</w:t>
      </w:r>
      <w:r>
        <w:rPr>
          <w:rFonts w:eastAsia="Arial Unicode MS"/>
          <w:bCs/>
          <w:lang w:eastAsia="fr-FR" w:bidi="he-IL"/>
        </w:rPr>
        <w:t xml:space="preserve">, </w:t>
      </w:r>
      <w:r w:rsidRPr="00DC4586">
        <w:rPr>
          <w:rStyle w:val="italicus"/>
        </w:rPr>
        <w:t>Introduction</w:t>
      </w:r>
      <w:r>
        <w:rPr>
          <w:rStyle w:val="italicus"/>
        </w:rPr>
        <w:t xml:space="preserve">, </w:t>
      </w:r>
      <w:r w:rsidRPr="00C8701B">
        <w:rPr>
          <w:rFonts w:eastAsia="Arial Unicode MS"/>
          <w:bCs/>
          <w:lang w:eastAsia="fr-FR" w:bidi="he-IL"/>
        </w:rPr>
        <w:t>t. II</w:t>
      </w:r>
      <w:r>
        <w:rPr>
          <w:rFonts w:eastAsia="Arial Unicode MS"/>
          <w:bCs/>
          <w:lang w:eastAsia="fr-FR" w:bidi="he-IL"/>
        </w:rPr>
        <w:t xml:space="preserve">, </w:t>
      </w:r>
      <w:r w:rsidRPr="00C8701B">
        <w:rPr>
          <w:rFonts w:eastAsia="Arial Unicode MS"/>
          <w:bCs/>
          <w:lang w:eastAsia="fr-FR" w:bidi="he-IL"/>
        </w:rPr>
        <w:t>pages 137 </w:t>
      </w:r>
      <w:r>
        <w:rPr>
          <w:rFonts w:eastAsia="Arial Unicode MS"/>
          <w:bCs/>
          <w:lang w:eastAsia="fr-FR" w:bidi="he-IL"/>
        </w:rPr>
        <w:t xml:space="preserve">; </w:t>
      </w:r>
      <w:r w:rsidRPr="00C8701B">
        <w:rPr>
          <w:rFonts w:eastAsia="Arial Unicode MS"/>
          <w:bCs/>
          <w:lang w:eastAsia="fr-FR" w:bidi="he-IL"/>
        </w:rPr>
        <w:t>etc.</w:t>
      </w:r>
    </w:p>
  </w:footnote>
  <w:footnote w:id="383">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notre commentaire sur</w:t>
      </w:r>
      <w:r>
        <w:rPr>
          <w:rFonts w:eastAsia="Arial Unicode MS"/>
          <w:bCs/>
          <w:lang w:eastAsia="fr-FR" w:bidi="he-IL"/>
        </w:rPr>
        <w:t xml:space="preserve"> l’Évangile</w:t>
      </w:r>
      <w:r w:rsidRPr="00C8701B">
        <w:rPr>
          <w:rFonts w:eastAsia="Arial Unicode MS"/>
          <w:bCs/>
          <w:lang w:eastAsia="fr-FR" w:bidi="he-IL"/>
        </w:rPr>
        <w:t xml:space="preserve"> selon S. Jean</w:t>
      </w:r>
      <w:r>
        <w:rPr>
          <w:rFonts w:eastAsia="Arial Unicode MS"/>
          <w:bCs/>
          <w:lang w:eastAsia="fr-FR" w:bidi="he-IL"/>
        </w:rPr>
        <w:t xml:space="preserve">, </w:t>
      </w:r>
      <w:r w:rsidRPr="00C8701B">
        <w:rPr>
          <w:rFonts w:eastAsia="Arial Unicode MS"/>
          <w:bCs/>
          <w:lang w:eastAsia="fr-FR" w:bidi="he-IL"/>
        </w:rPr>
        <w:t>p. 93.</w:t>
      </w:r>
    </w:p>
  </w:footnote>
  <w:footnote w:id="384">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 xml:space="preserve">Contr. </w:t>
      </w:r>
      <w:r>
        <w:rPr>
          <w:rStyle w:val="italicus"/>
        </w:rPr>
        <w:t>Hær</w:t>
      </w:r>
      <w:r w:rsidRPr="00DC4586">
        <w:rPr>
          <w:rStyle w:val="italicus"/>
        </w:rPr>
        <w:t>.</w:t>
      </w:r>
      <w:r>
        <w:rPr>
          <w:rStyle w:val="italicus"/>
        </w:rPr>
        <w:t xml:space="preserve">, </w:t>
      </w:r>
      <w:r w:rsidRPr="005F36ED">
        <w:t>II, 22.</w:t>
      </w:r>
    </w:p>
  </w:footnote>
  <w:footnote w:id="385">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notre</w:t>
      </w:r>
      <w:r w:rsidRPr="00DC4586">
        <w:rPr>
          <w:rStyle w:val="italicus"/>
        </w:rPr>
        <w:t xml:space="preserve"> Synopsis</w:t>
      </w:r>
      <w:r>
        <w:rPr>
          <w:rStyle w:val="italicus"/>
        </w:rPr>
        <w:t xml:space="preserve">, </w:t>
      </w:r>
      <w:r w:rsidRPr="00C8701B">
        <w:rPr>
          <w:rFonts w:eastAsia="Arial Unicode MS"/>
          <w:bCs/>
          <w:lang w:eastAsia="fr-FR" w:bidi="he-IL"/>
        </w:rPr>
        <w:t>p. 14 et ss.</w:t>
      </w:r>
    </w:p>
  </w:footnote>
  <w:footnote w:id="386">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L’opinion que l’on adopte relativement au</w:t>
      </w:r>
      <w:r w:rsidRPr="00DC4586">
        <w:rPr>
          <w:rStyle w:val="italicus"/>
        </w:rPr>
        <w:t xml:space="preserve"> dies festus</w:t>
      </w:r>
      <w:r w:rsidRPr="00C8701B">
        <w:rPr>
          <w:rFonts w:eastAsia="Arial Unicode MS"/>
          <w:bCs/>
          <w:lang w:eastAsia="fr-FR" w:bidi="he-IL"/>
        </w:rPr>
        <w:t xml:space="preserve"> de Joan. </w:t>
      </w:r>
      <w:r>
        <w:rPr>
          <w:rFonts w:eastAsia="Arial Unicode MS"/>
          <w:bCs/>
          <w:lang w:eastAsia="fr-FR" w:bidi="he-IL"/>
        </w:rPr>
        <w:t xml:space="preserve">VI, </w:t>
      </w:r>
      <w:r w:rsidRPr="00C8701B">
        <w:rPr>
          <w:rFonts w:eastAsia="Arial Unicode MS"/>
          <w:bCs/>
          <w:lang w:eastAsia="fr-FR" w:bidi="he-IL"/>
        </w:rPr>
        <w:t>1</w:t>
      </w:r>
      <w:r>
        <w:rPr>
          <w:rFonts w:eastAsia="Arial Unicode MS"/>
          <w:bCs/>
          <w:lang w:eastAsia="fr-FR" w:bidi="he-IL"/>
        </w:rPr>
        <w:t xml:space="preserve">, </w:t>
      </w:r>
      <w:r w:rsidRPr="00C8701B">
        <w:rPr>
          <w:rFonts w:eastAsia="Arial Unicode MS"/>
          <w:bCs/>
          <w:lang w:eastAsia="fr-FR" w:bidi="he-IL"/>
        </w:rPr>
        <w:t xml:space="preserve">a une grande importance pour la chronologie des </w:t>
      </w:r>
      <w:r>
        <w:rPr>
          <w:rFonts w:eastAsia="Arial Unicode MS"/>
          <w:bCs/>
          <w:lang w:eastAsia="fr-FR" w:bidi="he-IL"/>
        </w:rPr>
        <w:t>Évangile</w:t>
      </w:r>
      <w:r w:rsidRPr="00C8701B">
        <w:rPr>
          <w:rFonts w:eastAsia="Arial Unicode MS"/>
          <w:bCs/>
          <w:lang w:eastAsia="fr-FR" w:bidi="he-IL"/>
        </w:rPr>
        <w:t>s</w:t>
      </w:r>
      <w:r>
        <w:rPr>
          <w:rFonts w:eastAsia="Arial Unicode MS"/>
          <w:bCs/>
          <w:lang w:eastAsia="fr-FR" w:bidi="he-IL"/>
        </w:rPr>
        <w:t xml:space="preserve">, </w:t>
      </w:r>
      <w:r w:rsidRPr="00C8701B">
        <w:rPr>
          <w:rFonts w:eastAsia="Arial Unicode MS"/>
          <w:bCs/>
          <w:lang w:eastAsia="fr-FR" w:bidi="he-IL"/>
        </w:rPr>
        <w:t>puisqu’on peut gagner ainsi ou perdra toute une année.</w:t>
      </w:r>
    </w:p>
  </w:footnote>
  <w:footnote w:id="387">
    <w:p w:rsidR="00941AA6" w:rsidRPr="00B51B8F" w:rsidRDefault="00941AA6" w:rsidP="00B51B8F">
      <w:pPr>
        <w:pStyle w:val="Notedebasdepage"/>
      </w:pPr>
      <w:r w:rsidRPr="00C406FF">
        <w:rPr>
          <w:rStyle w:val="Appelnotedebasdep"/>
        </w:rPr>
        <w:footnoteRef/>
      </w:r>
      <w:r w:rsidRPr="00C8701B">
        <w:rPr>
          <w:rFonts w:eastAsia="Arial Unicode MS"/>
          <w:lang w:val="en-US" w:eastAsia="fr-FR" w:bidi="he-IL"/>
        </w:rPr>
        <w:t xml:space="preserve"> </w:t>
      </w:r>
      <w:r w:rsidRPr="00C8701B">
        <w:rPr>
          <w:rFonts w:eastAsia="Arial Unicode MS"/>
          <w:bCs/>
          <w:lang w:val="en-US" w:eastAsia="fr-FR" w:bidi="he-IL"/>
        </w:rPr>
        <w:t xml:space="preserve">Cf. Matth. </w:t>
      </w:r>
      <w:r>
        <w:rPr>
          <w:rFonts w:eastAsia="Arial Unicode MS"/>
          <w:bCs/>
          <w:lang w:val="en-US" w:eastAsia="fr-FR" w:bidi="he-IL"/>
        </w:rPr>
        <w:t xml:space="preserve">XXVII, </w:t>
      </w:r>
      <w:r w:rsidRPr="00C8701B">
        <w:rPr>
          <w:rFonts w:eastAsia="Arial Unicode MS"/>
          <w:bCs/>
          <w:lang w:val="en-US" w:eastAsia="fr-FR" w:bidi="he-IL"/>
        </w:rPr>
        <w:t>62 </w:t>
      </w:r>
      <w:r>
        <w:rPr>
          <w:rFonts w:eastAsia="Arial Unicode MS"/>
          <w:bCs/>
          <w:lang w:val="en-US" w:eastAsia="fr-FR" w:bidi="he-IL"/>
        </w:rPr>
        <w:t xml:space="preserve">; </w:t>
      </w:r>
      <w:r w:rsidRPr="00C8701B">
        <w:rPr>
          <w:rFonts w:eastAsia="Arial Unicode MS"/>
          <w:bCs/>
          <w:lang w:val="en-US" w:eastAsia="fr-FR" w:bidi="he-IL"/>
        </w:rPr>
        <w:t>Marc</w:t>
      </w:r>
      <w:r>
        <w:rPr>
          <w:rFonts w:eastAsia="Arial Unicode MS"/>
          <w:bCs/>
          <w:lang w:val="en-US" w:eastAsia="fr-FR" w:bidi="he-IL"/>
        </w:rPr>
        <w:t xml:space="preserve">, XV, </w:t>
      </w:r>
      <w:r w:rsidRPr="00C8701B">
        <w:rPr>
          <w:rFonts w:eastAsia="Arial Unicode MS"/>
          <w:bCs/>
          <w:lang w:val="en-US" w:eastAsia="fr-FR" w:bidi="he-IL"/>
        </w:rPr>
        <w:t>42 </w:t>
      </w:r>
      <w:r>
        <w:rPr>
          <w:rFonts w:eastAsia="Arial Unicode MS"/>
          <w:bCs/>
          <w:lang w:val="en-US" w:eastAsia="fr-FR" w:bidi="he-IL"/>
        </w:rPr>
        <w:t xml:space="preserve">; </w:t>
      </w:r>
      <w:r w:rsidRPr="00C8701B">
        <w:rPr>
          <w:rFonts w:eastAsia="Arial Unicode MS"/>
          <w:bCs/>
          <w:lang w:val="en-US" w:eastAsia="fr-FR" w:bidi="he-IL"/>
        </w:rPr>
        <w:t xml:space="preserve">Luc. </w:t>
      </w:r>
      <w:r w:rsidRPr="00A74F01">
        <w:rPr>
          <w:rFonts w:eastAsia="Arial Unicode MS"/>
          <w:bCs/>
          <w:lang w:eastAsia="fr-FR" w:bidi="he-IL"/>
        </w:rPr>
        <w:t>XXIII, 54 ; Joan. XIX, 31.</w:t>
      </w:r>
    </w:p>
  </w:footnote>
  <w:footnote w:id="388">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Sur les cinquante années que lui attribue S. Irénée</w:t>
      </w:r>
      <w:r>
        <w:rPr>
          <w:rFonts w:eastAsia="Arial Unicode MS"/>
          <w:bCs/>
          <w:lang w:eastAsia="fr-FR" w:bidi="he-IL"/>
        </w:rPr>
        <w:t xml:space="preserve">, </w:t>
      </w:r>
      <w:r w:rsidRPr="00C8701B">
        <w:rPr>
          <w:rFonts w:eastAsia="Arial Unicode MS"/>
          <w:bCs/>
          <w:lang w:eastAsia="fr-FR" w:bidi="he-IL"/>
        </w:rPr>
        <w:t>d’après Joan. VIII</w:t>
      </w:r>
      <w:r>
        <w:rPr>
          <w:rFonts w:eastAsia="Arial Unicode MS"/>
          <w:bCs/>
          <w:lang w:eastAsia="fr-FR" w:bidi="he-IL"/>
        </w:rPr>
        <w:t xml:space="preserve">, </w:t>
      </w:r>
      <w:r w:rsidRPr="00C8701B">
        <w:rPr>
          <w:rFonts w:eastAsia="Arial Unicode MS"/>
          <w:bCs/>
          <w:lang w:eastAsia="fr-FR" w:bidi="he-IL"/>
        </w:rPr>
        <w:t>56-57</w:t>
      </w:r>
      <w:r>
        <w:rPr>
          <w:rFonts w:eastAsia="Arial Unicode MS"/>
          <w:bCs/>
          <w:lang w:eastAsia="fr-FR" w:bidi="he-IL"/>
        </w:rPr>
        <w:t xml:space="preserve">, </w:t>
      </w:r>
      <w:r w:rsidRPr="00C8701B">
        <w:rPr>
          <w:rFonts w:eastAsia="Arial Unicode MS"/>
          <w:bCs/>
          <w:lang w:eastAsia="fr-FR" w:bidi="he-IL"/>
        </w:rPr>
        <w:t>voyez notre commentaire de l’</w:t>
      </w:r>
      <w:r>
        <w:rPr>
          <w:rFonts w:eastAsia="Arial Unicode MS"/>
          <w:bCs/>
          <w:lang w:eastAsia="fr-FR" w:bidi="he-IL"/>
        </w:rPr>
        <w:t>Évangile</w:t>
      </w:r>
      <w:r w:rsidRPr="00C8701B">
        <w:rPr>
          <w:rFonts w:eastAsia="Arial Unicode MS"/>
          <w:bCs/>
          <w:lang w:eastAsia="fr-FR" w:bidi="he-IL"/>
        </w:rPr>
        <w:t xml:space="preserve"> selon S. Jean</w:t>
      </w:r>
      <w:r>
        <w:rPr>
          <w:rFonts w:eastAsia="Arial Unicode MS"/>
          <w:bCs/>
          <w:lang w:eastAsia="fr-FR" w:bidi="he-IL"/>
        </w:rPr>
        <w:t xml:space="preserve">, </w:t>
      </w:r>
      <w:r w:rsidRPr="00C8701B">
        <w:rPr>
          <w:rFonts w:eastAsia="Arial Unicode MS"/>
          <w:bCs/>
          <w:lang w:eastAsia="fr-FR" w:bidi="he-IL"/>
        </w:rPr>
        <w:t>p. 188.</w:t>
      </w:r>
    </w:p>
  </w:footnote>
  <w:footnote w:id="389">
    <w:p w:rsidR="00941AA6" w:rsidRPr="00933C60" w:rsidRDefault="00941AA6" w:rsidP="00B51B8F">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No</w:t>
      </w:r>
      <w:r w:rsidRPr="005F36ED">
        <w:t xml:space="preserve">tre savant collaborateur, M. l’abbé Trochon, </w:t>
      </w:r>
      <w:r w:rsidRPr="00C8701B">
        <w:rPr>
          <w:rFonts w:eastAsia="Arial Unicode MS"/>
          <w:bCs/>
          <w:lang w:eastAsia="fr-FR" w:bidi="he-IL"/>
        </w:rPr>
        <w:t>a</w:t>
      </w:r>
      <w:r w:rsidRPr="00C8701B">
        <w:rPr>
          <w:rFonts w:eastAsia="Arial Unicode MS"/>
          <w:lang w:eastAsia="fr-FR" w:bidi="he-IL"/>
        </w:rPr>
        <w:t xml:space="preserve"> très</w:t>
      </w:r>
      <w:r w:rsidRPr="00C8701B">
        <w:rPr>
          <w:rFonts w:eastAsia="Arial Unicode MS"/>
          <w:bCs/>
          <w:lang w:eastAsia="fr-FR" w:bidi="he-IL"/>
        </w:rPr>
        <w:t xml:space="preserve"> bien traité</w:t>
      </w:r>
      <w:r>
        <w:rPr>
          <w:rFonts w:eastAsia="Arial Unicode MS"/>
          <w:bCs/>
          <w:lang w:eastAsia="fr-FR" w:bidi="he-IL"/>
        </w:rPr>
        <w:t xml:space="preserve">, </w:t>
      </w:r>
      <w:r w:rsidRPr="00C8701B">
        <w:rPr>
          <w:rFonts w:eastAsia="Arial Unicode MS"/>
          <w:bCs/>
          <w:lang w:eastAsia="fr-FR" w:bidi="he-IL"/>
        </w:rPr>
        <w:t>au tome I</w:t>
      </w:r>
      <w:r w:rsidRPr="00C8701B">
        <w:rPr>
          <w:rFonts w:eastAsia="Arial Unicode MS"/>
          <w:bCs/>
          <w:vertAlign w:val="superscript"/>
          <w:lang w:eastAsia="fr-FR" w:bidi="he-IL"/>
        </w:rPr>
        <w:t>er</w:t>
      </w:r>
      <w:r w:rsidRPr="00C8701B">
        <w:rPr>
          <w:rFonts w:eastAsia="Arial Unicode MS"/>
          <w:bCs/>
          <w:lang w:eastAsia="fr-FR" w:bidi="he-IL"/>
        </w:rPr>
        <w:t xml:space="preserve"> de son </w:t>
      </w:r>
      <w:r w:rsidRPr="00DC4586">
        <w:rPr>
          <w:rStyle w:val="italicus"/>
        </w:rPr>
        <w:t>Introduction générale à la Sainte Bible</w:t>
      </w:r>
      <w:r>
        <w:rPr>
          <w:rStyle w:val="italicus"/>
        </w:rPr>
        <w:t xml:space="preserve">, </w:t>
      </w:r>
      <w:r w:rsidRPr="00C8701B">
        <w:rPr>
          <w:rFonts w:eastAsia="Arial Unicode MS"/>
          <w:bCs/>
          <w:lang w:eastAsia="fr-FR" w:bidi="he-IL"/>
        </w:rPr>
        <w:t>p. 293-362</w:t>
      </w:r>
      <w:r>
        <w:rPr>
          <w:rFonts w:eastAsia="Arial Unicode MS"/>
          <w:bCs/>
          <w:lang w:eastAsia="fr-FR" w:bidi="he-IL"/>
        </w:rPr>
        <w:t xml:space="preserve">, </w:t>
      </w:r>
      <w:r w:rsidRPr="00C8701B">
        <w:rPr>
          <w:rFonts w:eastAsia="Arial Unicode MS"/>
          <w:bCs/>
          <w:lang w:eastAsia="fr-FR" w:bidi="he-IL"/>
        </w:rPr>
        <w:t>tout ce qui concerne l’histoire du texte du Nouveau Testament</w:t>
      </w:r>
      <w:r>
        <w:rPr>
          <w:rFonts w:eastAsia="Arial Unicode MS"/>
          <w:bCs/>
          <w:lang w:eastAsia="fr-FR" w:bidi="he-IL"/>
        </w:rPr>
        <w:t xml:space="preserve">, </w:t>
      </w:r>
      <w:r w:rsidRPr="00C8701B">
        <w:rPr>
          <w:rFonts w:eastAsia="Arial Unicode MS"/>
          <w:bCs/>
          <w:lang w:eastAsia="fr-FR" w:bidi="he-IL"/>
        </w:rPr>
        <w:t>d’après les meilleurs travaux contemporains. Nous nous contenterons ici de quelques notes</w:t>
      </w:r>
      <w:r>
        <w:rPr>
          <w:rFonts w:eastAsia="Arial Unicode MS"/>
          <w:bCs/>
          <w:lang w:eastAsia="fr-FR" w:bidi="he-IL"/>
        </w:rPr>
        <w:t xml:space="preserve">, </w:t>
      </w:r>
      <w:r w:rsidRPr="00C8701B">
        <w:rPr>
          <w:rFonts w:eastAsia="Arial Unicode MS"/>
          <w:bCs/>
          <w:lang w:eastAsia="fr-FR" w:bidi="he-IL"/>
        </w:rPr>
        <w:t>en nous bornant exclusivement au texte évangélique. Voyez aussi Cornely</w:t>
      </w:r>
      <w:r>
        <w:rPr>
          <w:rFonts w:eastAsia="Arial Unicode MS"/>
          <w:bCs/>
          <w:lang w:eastAsia="fr-FR" w:bidi="he-IL"/>
        </w:rPr>
        <w:t xml:space="preserve">, </w:t>
      </w:r>
      <w:r w:rsidRPr="00DC4586">
        <w:rPr>
          <w:rStyle w:val="italicus"/>
        </w:rPr>
        <w:t>Hist</w:t>
      </w:r>
      <w:r>
        <w:rPr>
          <w:rStyle w:val="italicus"/>
        </w:rPr>
        <w:t>órica</w:t>
      </w:r>
      <w:r w:rsidRPr="00DC4586">
        <w:rPr>
          <w:rStyle w:val="italicus"/>
        </w:rPr>
        <w:t xml:space="preserve"> et </w:t>
      </w:r>
      <w:r>
        <w:rPr>
          <w:rStyle w:val="italicus"/>
        </w:rPr>
        <w:t>crítica</w:t>
      </w:r>
      <w:r w:rsidRPr="00DC4586">
        <w:rPr>
          <w:rStyle w:val="italicus"/>
        </w:rPr>
        <w:t xml:space="preserve"> Introd</w:t>
      </w:r>
      <w:r>
        <w:rPr>
          <w:rStyle w:val="italicus"/>
        </w:rPr>
        <w:t>úctio</w:t>
      </w:r>
      <w:r w:rsidRPr="00DC4586">
        <w:rPr>
          <w:rStyle w:val="italicus"/>
        </w:rPr>
        <w:t xml:space="preserve"> in utri</w:t>
      </w:r>
      <w:r>
        <w:rPr>
          <w:rStyle w:val="italicus"/>
        </w:rPr>
        <w:t>ú</w:t>
      </w:r>
      <w:r w:rsidRPr="00DC4586">
        <w:rPr>
          <w:rStyle w:val="italicus"/>
        </w:rPr>
        <w:t>sque Te</w:t>
      </w:r>
      <w:r>
        <w:rPr>
          <w:rStyle w:val="italicus"/>
        </w:rPr>
        <w:t>staménti</w:t>
      </w:r>
      <w:r w:rsidRPr="00DC4586">
        <w:rPr>
          <w:rStyle w:val="italicus"/>
        </w:rPr>
        <w:t xml:space="preserve"> libros sacros</w:t>
      </w:r>
      <w:r>
        <w:rPr>
          <w:rStyle w:val="italicus"/>
        </w:rPr>
        <w:t xml:space="preserve">, </w:t>
      </w:r>
      <w:r>
        <w:rPr>
          <w:rFonts w:eastAsia="Arial Unicode MS"/>
          <w:bCs/>
          <w:lang w:eastAsia="fr-FR" w:bidi="he-IL"/>
        </w:rPr>
        <w:t xml:space="preserve">t. I, </w:t>
      </w:r>
      <w:r w:rsidRPr="00C8701B">
        <w:rPr>
          <w:rFonts w:eastAsia="Arial Unicode MS"/>
          <w:bCs/>
          <w:lang w:eastAsia="fr-FR" w:bidi="he-IL"/>
        </w:rPr>
        <w:t>p. 276 et ss.</w:t>
      </w:r>
    </w:p>
  </w:footnote>
  <w:footnote w:id="390">
    <w:p w:rsidR="00941AA6" w:rsidRPr="00933C60" w:rsidRDefault="00941AA6" w:rsidP="00B51B8F">
      <w:pPr>
        <w:pStyle w:val="Notedebasdepage"/>
      </w:pPr>
      <w:r w:rsidRPr="00C406FF">
        <w:rPr>
          <w:rStyle w:val="Appelnotedebasdep"/>
        </w:rPr>
        <w:footnoteRef/>
      </w:r>
      <w:r w:rsidRPr="00C8701B">
        <w:t xml:space="preserve"> </w:t>
      </w:r>
      <w:r w:rsidRPr="00DC4586">
        <w:rPr>
          <w:rStyle w:val="italicus"/>
        </w:rPr>
        <w:t>Évangile selon S. Matthieu</w:t>
      </w:r>
      <w:r>
        <w:rPr>
          <w:rStyle w:val="italicus"/>
        </w:rPr>
        <w:t xml:space="preserve">, </w:t>
      </w:r>
      <w:r w:rsidRPr="00C8701B">
        <w:rPr>
          <w:bCs/>
        </w:rPr>
        <w:t>p. 18 et ss. </w:t>
      </w:r>
      <w:r>
        <w:rPr>
          <w:bCs/>
        </w:rPr>
        <w:t xml:space="preserve">; </w:t>
      </w:r>
      <w:r w:rsidRPr="00DC4586">
        <w:rPr>
          <w:rStyle w:val="italicus"/>
        </w:rPr>
        <w:t>Évangile selon S. Marc</w:t>
      </w:r>
      <w:r>
        <w:rPr>
          <w:rStyle w:val="italicus"/>
        </w:rPr>
        <w:t xml:space="preserve">, </w:t>
      </w:r>
      <w:r w:rsidRPr="00C8701B">
        <w:rPr>
          <w:bCs/>
        </w:rPr>
        <w:t>p. 13 et s. </w:t>
      </w:r>
      <w:r>
        <w:rPr>
          <w:bCs/>
        </w:rPr>
        <w:t xml:space="preserve">; </w:t>
      </w:r>
      <w:r w:rsidRPr="00DC4586">
        <w:rPr>
          <w:rStyle w:val="italicus"/>
        </w:rPr>
        <w:t>Évangile selon S. Luc</w:t>
      </w:r>
      <w:r>
        <w:rPr>
          <w:rStyle w:val="italicus"/>
        </w:rPr>
        <w:t xml:space="preserve">, </w:t>
      </w:r>
      <w:r w:rsidRPr="00C8701B">
        <w:rPr>
          <w:bCs/>
        </w:rPr>
        <w:t>p. 16 et ss. </w:t>
      </w:r>
      <w:r>
        <w:rPr>
          <w:bCs/>
        </w:rPr>
        <w:t xml:space="preserve">; </w:t>
      </w:r>
      <w:r w:rsidRPr="00DC4586">
        <w:rPr>
          <w:rStyle w:val="italicus"/>
        </w:rPr>
        <w:t>Évangile selon S. Jean</w:t>
      </w:r>
      <w:r>
        <w:rPr>
          <w:rStyle w:val="italicus"/>
        </w:rPr>
        <w:t xml:space="preserve">, </w:t>
      </w:r>
      <w:r w:rsidRPr="00C8701B">
        <w:rPr>
          <w:bCs/>
        </w:rPr>
        <w:t>p. LIV.</w:t>
      </w:r>
    </w:p>
  </w:footnote>
  <w:footnote w:id="391">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M. Roberts</w:t>
      </w:r>
      <w:r>
        <w:rPr>
          <w:rFonts w:eastAsia="Arial Unicode MS"/>
          <w:bCs/>
          <w:lang w:eastAsia="fr-FR" w:bidi="he-IL"/>
        </w:rPr>
        <w:t xml:space="preserve">, </w:t>
      </w:r>
      <w:r w:rsidRPr="00C8701B">
        <w:rPr>
          <w:rFonts w:eastAsia="Arial Unicode MS"/>
          <w:bCs/>
          <w:lang w:eastAsia="fr-FR" w:bidi="he-IL"/>
        </w:rPr>
        <w:t>dans un récent ouvrage intitulé :</w:t>
      </w:r>
      <w:r w:rsidRPr="00DC4586">
        <w:rPr>
          <w:rStyle w:val="italicus"/>
        </w:rPr>
        <w:t xml:space="preserve"> Greek</w:t>
      </w:r>
      <w:r>
        <w:rPr>
          <w:rStyle w:val="italicus"/>
        </w:rPr>
        <w:t>, the Lan</w:t>
      </w:r>
      <w:r w:rsidRPr="00DC4586">
        <w:rPr>
          <w:rStyle w:val="italicus"/>
        </w:rPr>
        <w:t>guage of Christ and of</w:t>
      </w:r>
      <w:r>
        <w:rPr>
          <w:rStyle w:val="italicus"/>
        </w:rPr>
        <w:t xml:space="preserve"> </w:t>
      </w:r>
      <w:r w:rsidRPr="00DC4586">
        <w:rPr>
          <w:rStyle w:val="italicus"/>
        </w:rPr>
        <w:t>his Apostles</w:t>
      </w:r>
      <w:r>
        <w:rPr>
          <w:rStyle w:val="italicus"/>
        </w:rPr>
        <w:t xml:space="preserve">, </w:t>
      </w:r>
      <w:r w:rsidRPr="00C8701B">
        <w:rPr>
          <w:rFonts w:eastAsia="Arial Unicode MS"/>
          <w:bCs/>
          <w:lang w:eastAsia="fr-FR" w:bidi="he-IL"/>
        </w:rPr>
        <w:t>Londres 1838</w:t>
      </w:r>
      <w:r>
        <w:rPr>
          <w:rFonts w:eastAsia="Arial Unicode MS"/>
          <w:bCs/>
          <w:lang w:eastAsia="fr-FR" w:bidi="he-IL"/>
        </w:rPr>
        <w:t xml:space="preserve">, </w:t>
      </w:r>
      <w:r w:rsidRPr="00C8701B">
        <w:rPr>
          <w:rFonts w:eastAsia="Arial Unicode MS"/>
          <w:bCs/>
          <w:lang w:eastAsia="fr-FR" w:bidi="he-IL"/>
        </w:rPr>
        <w:t>essaye de prouver que Jésus et ses apôtres parlaient habituellement le grec. C’</w:t>
      </w:r>
      <w:r>
        <w:rPr>
          <w:rFonts w:eastAsia="Arial Unicode MS"/>
          <w:bCs/>
          <w:lang w:eastAsia="fr-FR" w:bidi="he-IL"/>
        </w:rPr>
        <w:t>est une exagératio</w:t>
      </w:r>
      <w:r w:rsidRPr="00C8701B">
        <w:rPr>
          <w:rFonts w:eastAsia="Arial Unicode MS"/>
          <w:bCs/>
          <w:lang w:eastAsia="fr-FR" w:bidi="he-IL"/>
        </w:rPr>
        <w:t>n évidente. Du moins</w:t>
      </w:r>
      <w:r>
        <w:rPr>
          <w:rFonts w:eastAsia="Arial Unicode MS"/>
          <w:bCs/>
          <w:lang w:eastAsia="fr-FR" w:bidi="he-IL"/>
        </w:rPr>
        <w:t xml:space="preserve">, </w:t>
      </w:r>
      <w:r w:rsidRPr="00C8701B">
        <w:rPr>
          <w:rFonts w:eastAsia="Arial Unicode MS"/>
          <w:bCs/>
          <w:lang w:eastAsia="fr-FR" w:bidi="he-IL"/>
        </w:rPr>
        <w:t xml:space="preserve">le docte auteur réussit a montrer que le grec était assez généralement connu en Palestine à cette époque. Voyez </w:t>
      </w:r>
      <w:r w:rsidRPr="00DC4586">
        <w:rPr>
          <w:rStyle w:val="italicus"/>
        </w:rPr>
        <w:t>The Academy</w:t>
      </w:r>
      <w:r>
        <w:rPr>
          <w:rStyle w:val="italicus"/>
        </w:rPr>
        <w:t xml:space="preserve">, </w:t>
      </w:r>
      <w:r w:rsidRPr="00C8701B">
        <w:rPr>
          <w:rFonts w:eastAsia="Arial Unicode MS"/>
          <w:bCs/>
          <w:lang w:eastAsia="fr-FR" w:bidi="he-IL"/>
        </w:rPr>
        <w:t>n° du 19 mai 1888.</w:t>
      </w:r>
    </w:p>
  </w:footnote>
  <w:footnote w:id="392">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notre commentaire</w:t>
      </w:r>
      <w:r>
        <w:rPr>
          <w:rFonts w:eastAsia="Arial Unicode MS"/>
          <w:bCs/>
          <w:lang w:eastAsia="fr-FR" w:bidi="he-IL"/>
        </w:rPr>
        <w:t xml:space="preserve">, </w:t>
      </w:r>
      <w:r w:rsidRPr="00C8701B">
        <w:rPr>
          <w:rFonts w:eastAsia="Arial Unicode MS"/>
          <w:bCs/>
          <w:lang w:eastAsia="fr-FR" w:bidi="he-IL"/>
        </w:rPr>
        <w:t>p. 24-25.</w:t>
      </w:r>
    </w:p>
  </w:footnote>
  <w:footnote w:id="393">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Animadversi</w:t>
      </w:r>
      <w:r>
        <w:rPr>
          <w:rStyle w:val="italicus"/>
        </w:rPr>
        <w:t>ó</w:t>
      </w:r>
      <w:r w:rsidRPr="00DC4586">
        <w:rPr>
          <w:rStyle w:val="italicus"/>
        </w:rPr>
        <w:t>nes in Euseb.</w:t>
      </w:r>
      <w:r>
        <w:rPr>
          <w:rStyle w:val="italicus"/>
        </w:rPr>
        <w:t xml:space="preserve">, </w:t>
      </w:r>
      <w:r w:rsidRPr="00C8701B">
        <w:rPr>
          <w:rFonts w:eastAsia="Arial Unicode MS"/>
          <w:bCs/>
          <w:lang w:eastAsia="fr-FR" w:bidi="he-IL"/>
        </w:rPr>
        <w:t>p. 134.</w:t>
      </w:r>
    </w:p>
  </w:footnote>
  <w:footnote w:id="394">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Voici quelques-uns des principaux. 1</w:t>
      </w:r>
      <w:r>
        <w:rPr>
          <w:rFonts w:eastAsia="Arial Unicode MS"/>
          <w:bCs/>
          <w:lang w:eastAsia="fr-FR" w:bidi="he-IL"/>
        </w:rPr>
        <w:t>°</w:t>
      </w:r>
      <w:r w:rsidRPr="00C8701B">
        <w:rPr>
          <w:rFonts w:eastAsia="Arial Unicode MS"/>
          <w:bCs/>
          <w:lang w:eastAsia="fr-FR" w:bidi="he-IL"/>
        </w:rPr>
        <w:t xml:space="preserve"> Pour la lexicographie :</w:t>
      </w:r>
      <w:r>
        <w:rPr>
          <w:rFonts w:eastAsia="Arial Unicode MS"/>
          <w:bCs/>
          <w:lang w:eastAsia="fr-FR" w:bidi="he-IL"/>
        </w:rPr>
        <w:t xml:space="preserve"> Chr. Sch</w:t>
      </w:r>
      <w:r w:rsidRPr="00C8701B">
        <w:rPr>
          <w:rFonts w:eastAsia="Arial Unicode MS"/>
          <w:bCs/>
          <w:lang w:eastAsia="fr-FR" w:bidi="he-IL"/>
        </w:rPr>
        <w:t>öttgen</w:t>
      </w:r>
      <w:r>
        <w:rPr>
          <w:rFonts w:eastAsia="Arial Unicode MS"/>
          <w:bCs/>
          <w:lang w:eastAsia="fr-FR" w:bidi="he-IL"/>
        </w:rPr>
        <w:t xml:space="preserve">, </w:t>
      </w:r>
      <w:r>
        <w:rPr>
          <w:rStyle w:val="italicus"/>
        </w:rPr>
        <w:t>Novum Léx</w:t>
      </w:r>
      <w:r w:rsidRPr="00DC4586">
        <w:rPr>
          <w:rStyle w:val="italicus"/>
        </w:rPr>
        <w:t xml:space="preserve">icon </w:t>
      </w:r>
      <w:r>
        <w:rPr>
          <w:rStyle w:val="italicus"/>
        </w:rPr>
        <w:t>græco-latín</w:t>
      </w:r>
      <w:r w:rsidRPr="00DC4586">
        <w:rPr>
          <w:rStyle w:val="italicus"/>
        </w:rPr>
        <w:t>um</w:t>
      </w:r>
      <w:r>
        <w:rPr>
          <w:rStyle w:val="italicus"/>
        </w:rPr>
        <w:t xml:space="preserve"> in</w:t>
      </w:r>
      <w:r w:rsidRPr="00DC4586">
        <w:rPr>
          <w:rStyle w:val="italicus"/>
        </w:rPr>
        <w:t xml:space="preserve"> N. T.</w:t>
      </w:r>
      <w:r>
        <w:rPr>
          <w:rStyle w:val="italicus"/>
        </w:rPr>
        <w:t xml:space="preserve">, </w:t>
      </w:r>
      <w:r>
        <w:rPr>
          <w:rFonts w:eastAsia="Arial Unicode MS"/>
          <w:bCs/>
          <w:lang w:eastAsia="fr-FR" w:bidi="he-IL"/>
        </w:rPr>
        <w:t>1</w:t>
      </w:r>
      <w:r w:rsidRPr="00A85866">
        <w:rPr>
          <w:rFonts w:eastAsia="Arial Unicode MS"/>
          <w:bCs/>
          <w:vertAlign w:val="superscript"/>
          <w:lang w:eastAsia="fr-FR" w:bidi="he-IL"/>
        </w:rPr>
        <w:t>re</w:t>
      </w:r>
      <w:r>
        <w:rPr>
          <w:rFonts w:eastAsia="Arial Unicode MS"/>
          <w:bCs/>
          <w:lang w:eastAsia="fr-FR" w:bidi="he-IL"/>
        </w:rPr>
        <w:t xml:space="preserve"> édit. à</w:t>
      </w:r>
      <w:r w:rsidRPr="00C8701B">
        <w:rPr>
          <w:rFonts w:eastAsia="Arial Unicode MS"/>
          <w:bCs/>
          <w:lang w:eastAsia="fr-FR" w:bidi="he-IL"/>
        </w:rPr>
        <w:t xml:space="preserve"> Leipzig</w:t>
      </w:r>
      <w:r>
        <w:rPr>
          <w:rFonts w:eastAsia="Arial Unicode MS"/>
          <w:bCs/>
          <w:lang w:eastAsia="fr-FR" w:bidi="he-IL"/>
        </w:rPr>
        <w:t xml:space="preserve">, </w:t>
      </w:r>
      <w:r w:rsidRPr="00C8701B">
        <w:rPr>
          <w:rFonts w:eastAsia="Arial Unicode MS"/>
          <w:bCs/>
          <w:lang w:eastAsia="fr-FR" w:bidi="he-IL"/>
        </w:rPr>
        <w:t>1746 </w:t>
      </w:r>
      <w:r>
        <w:rPr>
          <w:rFonts w:eastAsia="Arial Unicode MS"/>
          <w:bCs/>
          <w:lang w:eastAsia="fr-FR" w:bidi="he-IL"/>
        </w:rPr>
        <w:t xml:space="preserve">; </w:t>
      </w:r>
      <w:r w:rsidRPr="00C8701B">
        <w:rPr>
          <w:rFonts w:eastAsia="Arial Unicode MS"/>
          <w:bCs/>
          <w:lang w:eastAsia="fr-FR" w:bidi="he-IL"/>
        </w:rPr>
        <w:t>J. T. Schleusner</w:t>
      </w:r>
      <w:r>
        <w:rPr>
          <w:rFonts w:eastAsia="Arial Unicode MS"/>
          <w:bCs/>
          <w:lang w:eastAsia="fr-FR" w:bidi="he-IL"/>
        </w:rPr>
        <w:t xml:space="preserve">, </w:t>
      </w:r>
      <w:r w:rsidRPr="00DC4586">
        <w:rPr>
          <w:rStyle w:val="italicus"/>
        </w:rPr>
        <w:t>Novum</w:t>
      </w:r>
      <w:r>
        <w:rPr>
          <w:rStyle w:val="italicus"/>
        </w:rPr>
        <w:t xml:space="preserve"> Léxicon græco-latin. in</w:t>
      </w:r>
      <w:r w:rsidRPr="00DC4586">
        <w:rPr>
          <w:rStyle w:val="italicus"/>
        </w:rPr>
        <w:t xml:space="preserve"> N. T.</w:t>
      </w:r>
      <w:r>
        <w:rPr>
          <w:rStyle w:val="italicus"/>
        </w:rPr>
        <w:t xml:space="preserve">, </w:t>
      </w:r>
      <w:r w:rsidRPr="00C8701B">
        <w:rPr>
          <w:rFonts w:eastAsia="Arial Unicode MS"/>
          <w:bCs/>
          <w:lang w:eastAsia="fr-FR" w:bidi="he-IL"/>
        </w:rPr>
        <w:t>Leipzig 1792 (2</w:t>
      </w:r>
      <w:r w:rsidRPr="00C8701B">
        <w:rPr>
          <w:rFonts w:eastAsia="Arial Unicode MS"/>
          <w:bCs/>
          <w:vertAlign w:val="superscript"/>
          <w:lang w:eastAsia="fr-FR" w:bidi="he-IL"/>
        </w:rPr>
        <w:t>e</w:t>
      </w:r>
      <w:r w:rsidRPr="00C8701B">
        <w:rPr>
          <w:rFonts w:eastAsia="Arial Unicode MS"/>
          <w:bCs/>
          <w:lang w:eastAsia="fr-FR" w:bidi="he-IL"/>
        </w:rPr>
        <w:t xml:space="preserve"> édit. en 1819) </w:t>
      </w:r>
      <w:r>
        <w:rPr>
          <w:rFonts w:eastAsia="Arial Unicode MS"/>
          <w:bCs/>
          <w:lang w:eastAsia="fr-FR" w:bidi="he-IL"/>
        </w:rPr>
        <w:t xml:space="preserve">; </w:t>
      </w:r>
      <w:r w:rsidRPr="00C8701B">
        <w:rPr>
          <w:rFonts w:eastAsia="Arial Unicode MS"/>
          <w:bCs/>
          <w:lang w:eastAsia="fr-FR" w:bidi="he-IL"/>
        </w:rPr>
        <w:t>Bretschneider</w:t>
      </w:r>
      <w:r>
        <w:rPr>
          <w:rFonts w:eastAsia="Arial Unicode MS"/>
          <w:bCs/>
          <w:lang w:eastAsia="fr-FR" w:bidi="he-IL"/>
        </w:rPr>
        <w:t xml:space="preserve">, </w:t>
      </w:r>
      <w:r>
        <w:rPr>
          <w:rStyle w:val="italicus"/>
        </w:rPr>
        <w:t>Léxicon manuále græco-latin. in</w:t>
      </w:r>
      <w:r w:rsidRPr="00DC4586">
        <w:rPr>
          <w:rStyle w:val="italicus"/>
        </w:rPr>
        <w:t xml:space="preserve"> libres N.</w:t>
      </w:r>
      <w:r>
        <w:rPr>
          <w:rStyle w:val="italicus"/>
        </w:rPr>
        <w:t xml:space="preserve"> </w:t>
      </w:r>
      <w:r w:rsidRPr="00DC4586">
        <w:rPr>
          <w:rStyle w:val="italicus"/>
        </w:rPr>
        <w:t>T.</w:t>
      </w:r>
      <w:r>
        <w:rPr>
          <w:rStyle w:val="italicus"/>
        </w:rPr>
        <w:t xml:space="preserve">, </w:t>
      </w:r>
      <w:r w:rsidRPr="00C8701B">
        <w:rPr>
          <w:rFonts w:eastAsia="Arial Unicode MS"/>
          <w:bCs/>
          <w:lang w:eastAsia="fr-FR" w:bidi="he-IL"/>
        </w:rPr>
        <w:t>Leipzig 1824 (autre édition en 1840) </w:t>
      </w:r>
      <w:r>
        <w:rPr>
          <w:rFonts w:eastAsia="Arial Unicode MS"/>
          <w:bCs/>
          <w:lang w:eastAsia="fr-FR" w:bidi="he-IL"/>
        </w:rPr>
        <w:t xml:space="preserve">; </w:t>
      </w:r>
      <w:r w:rsidRPr="00C8701B">
        <w:rPr>
          <w:rFonts w:eastAsia="Arial Unicode MS"/>
          <w:bCs/>
          <w:lang w:eastAsia="fr-FR" w:bidi="he-IL"/>
        </w:rPr>
        <w:t>Ch. G. Wilke</w:t>
      </w:r>
      <w:r>
        <w:rPr>
          <w:rFonts w:eastAsia="Arial Unicode MS"/>
          <w:bCs/>
          <w:lang w:eastAsia="fr-FR" w:bidi="he-IL"/>
        </w:rPr>
        <w:t xml:space="preserve">, </w:t>
      </w:r>
      <w:r>
        <w:rPr>
          <w:rStyle w:val="italicus"/>
        </w:rPr>
        <w:t>Clavi</w:t>
      </w:r>
      <w:r w:rsidRPr="00DC4586">
        <w:rPr>
          <w:rStyle w:val="italicus"/>
        </w:rPr>
        <w:t>s Novi Te</w:t>
      </w:r>
      <w:r>
        <w:rPr>
          <w:rStyle w:val="italicus"/>
        </w:rPr>
        <w:t>staménti philoló</w:t>
      </w:r>
      <w:r w:rsidRPr="00DC4586">
        <w:rPr>
          <w:rStyle w:val="italicus"/>
        </w:rPr>
        <w:t>gica.</w:t>
      </w:r>
      <w:r w:rsidRPr="00C8701B">
        <w:rPr>
          <w:rFonts w:eastAsia="Arial Unicode MS"/>
          <w:bCs/>
          <w:lang w:eastAsia="fr-FR" w:bidi="he-IL"/>
        </w:rPr>
        <w:t xml:space="preserve"> Leipzig 183</w:t>
      </w:r>
      <w:r>
        <w:rPr>
          <w:rFonts w:eastAsia="Arial Unicode MS"/>
          <w:bCs/>
          <w:lang w:eastAsia="fr-FR" w:bidi="he-IL"/>
        </w:rPr>
        <w:t>9 (éditions entièrement remaniées par W. Gri</w:t>
      </w:r>
      <w:r w:rsidRPr="00C8701B">
        <w:rPr>
          <w:rFonts w:eastAsia="Arial Unicode MS"/>
          <w:bCs/>
          <w:lang w:eastAsia="fr-FR" w:bidi="he-IL"/>
        </w:rPr>
        <w:t>mm</w:t>
      </w:r>
      <w:r>
        <w:rPr>
          <w:rFonts w:eastAsia="Arial Unicode MS"/>
          <w:bCs/>
          <w:lang w:eastAsia="fr-FR" w:bidi="he-IL"/>
        </w:rPr>
        <w:t xml:space="preserve">, </w:t>
      </w:r>
      <w:r w:rsidRPr="00C8701B">
        <w:rPr>
          <w:rFonts w:eastAsia="Arial Unicode MS"/>
          <w:bCs/>
          <w:lang w:eastAsia="fr-FR" w:bidi="he-IL"/>
        </w:rPr>
        <w:t>Leipzig 1868 et 1</w:t>
      </w:r>
      <w:r>
        <w:rPr>
          <w:rFonts w:eastAsia="Arial Unicode MS"/>
          <w:bCs/>
          <w:lang w:eastAsia="fr-FR" w:bidi="he-IL"/>
        </w:rPr>
        <w:t>877</w:t>
      </w:r>
      <w:r w:rsidRPr="00C8701B">
        <w:rPr>
          <w:rFonts w:eastAsia="Arial Unicode MS"/>
          <w:bCs/>
          <w:lang w:eastAsia="fr-FR" w:bidi="he-IL"/>
        </w:rPr>
        <w:t>-1879) </w:t>
      </w:r>
      <w:r>
        <w:rPr>
          <w:rFonts w:eastAsia="Arial Unicode MS"/>
          <w:bCs/>
          <w:lang w:eastAsia="fr-FR" w:bidi="he-IL"/>
        </w:rPr>
        <w:t xml:space="preserve">; </w:t>
      </w:r>
      <w:r w:rsidRPr="00C8701B">
        <w:rPr>
          <w:rFonts w:eastAsia="Arial Unicode MS"/>
          <w:bCs/>
          <w:lang w:eastAsia="fr-FR" w:bidi="he-IL"/>
        </w:rPr>
        <w:t>Cremer</w:t>
      </w:r>
      <w:r>
        <w:rPr>
          <w:rFonts w:eastAsia="Arial Unicode MS"/>
          <w:bCs/>
          <w:lang w:eastAsia="fr-FR" w:bidi="he-IL"/>
        </w:rPr>
        <w:t xml:space="preserve">, </w:t>
      </w:r>
      <w:r w:rsidRPr="00DC4586">
        <w:rPr>
          <w:rStyle w:val="italicus"/>
        </w:rPr>
        <w:t xml:space="preserve">Bibl.-theologisches Wœrterbuch der neutestament. </w:t>
      </w:r>
      <w:r>
        <w:rPr>
          <w:rStyle w:val="italicus"/>
        </w:rPr>
        <w:t>Græcitæ</w:t>
      </w:r>
      <w:r w:rsidRPr="00DC4586">
        <w:rPr>
          <w:rStyle w:val="italicus"/>
        </w:rPr>
        <w:t>t</w:t>
      </w:r>
      <w:r>
        <w:rPr>
          <w:rStyle w:val="italicus"/>
        </w:rPr>
        <w:t xml:space="preserve">, </w:t>
      </w:r>
      <w:r>
        <w:rPr>
          <w:rFonts w:eastAsia="Arial Unicode MS"/>
          <w:bCs/>
          <w:lang w:eastAsia="fr-FR" w:bidi="he-IL"/>
        </w:rPr>
        <w:t>3</w:t>
      </w:r>
      <w:r w:rsidRPr="00A85866">
        <w:rPr>
          <w:rFonts w:eastAsia="Arial Unicode MS"/>
          <w:bCs/>
          <w:vertAlign w:val="superscript"/>
          <w:lang w:eastAsia="fr-FR" w:bidi="he-IL"/>
        </w:rPr>
        <w:t>e</w:t>
      </w:r>
      <w:r>
        <w:rPr>
          <w:rFonts w:eastAsia="Arial Unicode MS"/>
          <w:bCs/>
          <w:lang w:eastAsia="fr-FR" w:bidi="he-IL"/>
        </w:rPr>
        <w:t xml:space="preserve"> </w:t>
      </w:r>
      <w:r w:rsidRPr="00C8701B">
        <w:rPr>
          <w:rFonts w:eastAsia="Arial Unicode MS"/>
          <w:bCs/>
          <w:lang w:eastAsia="fr-FR" w:bidi="he-IL"/>
        </w:rPr>
        <w:t>édit.</w:t>
      </w:r>
      <w:r>
        <w:rPr>
          <w:rFonts w:eastAsia="Arial Unicode MS"/>
          <w:bCs/>
          <w:lang w:eastAsia="fr-FR" w:bidi="he-IL"/>
        </w:rPr>
        <w:t xml:space="preserve">, </w:t>
      </w:r>
      <w:r w:rsidRPr="00C8701B">
        <w:rPr>
          <w:rFonts w:eastAsia="Arial Unicode MS"/>
          <w:bCs/>
          <w:lang w:eastAsia="fr-FR" w:bidi="he-IL"/>
        </w:rPr>
        <w:t>Gotha 1881. 2° Pour la grammaire : B. G. Winer</w:t>
      </w:r>
      <w:r>
        <w:rPr>
          <w:rFonts w:eastAsia="Arial Unicode MS"/>
          <w:bCs/>
          <w:lang w:eastAsia="fr-FR" w:bidi="he-IL"/>
        </w:rPr>
        <w:t xml:space="preserve">, </w:t>
      </w:r>
      <w:r>
        <w:rPr>
          <w:rStyle w:val="italicus"/>
        </w:rPr>
        <w:t>Grammat</w:t>
      </w:r>
      <w:r w:rsidRPr="00DC4586">
        <w:rPr>
          <w:rStyle w:val="italicus"/>
        </w:rPr>
        <w:t>ik des neutestamentlicken Sprachidioms</w:t>
      </w:r>
      <w:r>
        <w:rPr>
          <w:rStyle w:val="italicus"/>
        </w:rPr>
        <w:t xml:space="preserve">, </w:t>
      </w:r>
      <w:r w:rsidRPr="00C8701B">
        <w:rPr>
          <w:rFonts w:eastAsia="Arial Unicode MS"/>
          <w:bCs/>
          <w:lang w:eastAsia="fr-FR" w:bidi="he-IL"/>
        </w:rPr>
        <w:t>Leipzig 1822 (7</w:t>
      </w:r>
      <w:r w:rsidRPr="00C8701B">
        <w:rPr>
          <w:rFonts w:eastAsia="Arial Unicode MS"/>
          <w:bCs/>
          <w:vertAlign w:val="superscript"/>
          <w:lang w:eastAsia="fr-FR" w:bidi="he-IL"/>
        </w:rPr>
        <w:t>e</w:t>
      </w:r>
      <w:r w:rsidRPr="00C8701B">
        <w:rPr>
          <w:rFonts w:eastAsia="Arial Unicode MS"/>
          <w:bCs/>
          <w:lang w:eastAsia="fr-FR" w:bidi="he-IL"/>
        </w:rPr>
        <w:t xml:space="preserve"> édit.</w:t>
      </w:r>
      <w:r>
        <w:rPr>
          <w:rFonts w:eastAsia="Arial Unicode MS"/>
          <w:bCs/>
          <w:lang w:eastAsia="fr-FR" w:bidi="he-IL"/>
        </w:rPr>
        <w:t>, révisée par Lü</w:t>
      </w:r>
      <w:r w:rsidRPr="00C8701B">
        <w:rPr>
          <w:rFonts w:eastAsia="Arial Unicode MS"/>
          <w:bCs/>
          <w:lang w:eastAsia="fr-FR" w:bidi="he-IL"/>
        </w:rPr>
        <w:t>nemann</w:t>
      </w:r>
      <w:r>
        <w:rPr>
          <w:rFonts w:eastAsia="Arial Unicode MS"/>
          <w:bCs/>
          <w:lang w:eastAsia="fr-FR" w:bidi="he-IL"/>
        </w:rPr>
        <w:t xml:space="preserve">, </w:t>
      </w:r>
      <w:r w:rsidRPr="00C8701B">
        <w:rPr>
          <w:rFonts w:eastAsia="Arial Unicode MS"/>
          <w:bCs/>
          <w:lang w:eastAsia="fr-FR" w:bidi="he-IL"/>
        </w:rPr>
        <w:t>1867) </w:t>
      </w:r>
      <w:r>
        <w:rPr>
          <w:rFonts w:eastAsia="Arial Unicode MS"/>
          <w:bCs/>
          <w:lang w:eastAsia="fr-FR" w:bidi="he-IL"/>
        </w:rPr>
        <w:t xml:space="preserve">; </w:t>
      </w:r>
      <w:r w:rsidRPr="00C8701B">
        <w:rPr>
          <w:rFonts w:eastAsia="Arial Unicode MS"/>
          <w:bCs/>
          <w:lang w:eastAsia="fr-FR" w:bidi="he-IL"/>
        </w:rPr>
        <w:t>J. T. Beelen</w:t>
      </w:r>
      <w:r>
        <w:rPr>
          <w:rFonts w:eastAsia="Arial Unicode MS"/>
          <w:bCs/>
          <w:lang w:eastAsia="fr-FR" w:bidi="he-IL"/>
        </w:rPr>
        <w:t xml:space="preserve">, </w:t>
      </w:r>
      <w:r>
        <w:rPr>
          <w:rStyle w:val="italicus"/>
        </w:rPr>
        <w:t>Grammática græcitá</w:t>
      </w:r>
      <w:r w:rsidRPr="00DC4586">
        <w:rPr>
          <w:rStyle w:val="italicus"/>
        </w:rPr>
        <w:t>tis Novi Te</w:t>
      </w:r>
      <w:r>
        <w:rPr>
          <w:rStyle w:val="italicus"/>
        </w:rPr>
        <w:t xml:space="preserve">staménti, </w:t>
      </w:r>
      <w:r w:rsidRPr="00C8701B">
        <w:rPr>
          <w:rFonts w:eastAsia="Arial Unicode MS"/>
          <w:bCs/>
          <w:lang w:eastAsia="fr-FR" w:bidi="he-IL"/>
        </w:rPr>
        <w:t>Louvain 1857 </w:t>
      </w:r>
      <w:r>
        <w:rPr>
          <w:rFonts w:eastAsia="Arial Unicode MS"/>
          <w:bCs/>
          <w:lang w:eastAsia="fr-FR" w:bidi="he-IL"/>
        </w:rPr>
        <w:t xml:space="preserve">; </w:t>
      </w:r>
      <w:r w:rsidRPr="00C8701B">
        <w:rPr>
          <w:rFonts w:eastAsia="Arial Unicode MS"/>
          <w:bCs/>
          <w:lang w:eastAsia="fr-FR" w:bidi="he-IL"/>
        </w:rPr>
        <w:t>A. Bultmann</w:t>
      </w:r>
      <w:r>
        <w:rPr>
          <w:rFonts w:eastAsia="Arial Unicode MS"/>
          <w:bCs/>
          <w:lang w:eastAsia="fr-FR" w:bidi="he-IL"/>
        </w:rPr>
        <w:t xml:space="preserve">, </w:t>
      </w:r>
      <w:r w:rsidRPr="00DC4586">
        <w:rPr>
          <w:rStyle w:val="italicus"/>
        </w:rPr>
        <w:t xml:space="preserve">Grammatik des neutestam. </w:t>
      </w:r>
      <w:r w:rsidRPr="00B5066E">
        <w:rPr>
          <w:rStyle w:val="italicus"/>
        </w:rPr>
        <w:t>Sprachgebrauchs</w:t>
      </w:r>
      <w:r w:rsidRPr="00A85866">
        <w:rPr>
          <w:rStyle w:val="italicus"/>
        </w:rPr>
        <w:t xml:space="preserve">. </w:t>
      </w:r>
      <w:r w:rsidRPr="00A85866">
        <w:t>B</w:t>
      </w:r>
      <w:r>
        <w:t xml:space="preserve">erlin, </w:t>
      </w:r>
      <w:r w:rsidRPr="00A85866">
        <w:rPr>
          <w:rFonts w:eastAsia="Arial Unicode MS"/>
          <w:bCs/>
          <w:lang w:eastAsia="fr-FR" w:bidi="he-IL"/>
        </w:rPr>
        <w:t xml:space="preserve">1859 ; Schirlitz, </w:t>
      </w:r>
      <w:r>
        <w:rPr>
          <w:rStyle w:val="italicus"/>
        </w:rPr>
        <w:t>Grundzü</w:t>
      </w:r>
      <w:r w:rsidRPr="00A85866">
        <w:rPr>
          <w:rStyle w:val="italicus"/>
        </w:rPr>
        <w:t xml:space="preserve">ge der neutest. Græcitæt, </w:t>
      </w:r>
      <w:r w:rsidRPr="00A85866">
        <w:rPr>
          <w:rFonts w:eastAsia="Arial Unicode MS"/>
          <w:bCs/>
          <w:lang w:eastAsia="fr-FR" w:bidi="he-IL"/>
        </w:rPr>
        <w:t>Giessen 1861. 3° Pour la synonymie</w:t>
      </w:r>
      <w:r>
        <w:rPr>
          <w:rFonts w:eastAsia="Arial Unicode MS"/>
          <w:bCs/>
          <w:lang w:eastAsia="fr-FR" w:bidi="he-IL"/>
        </w:rPr>
        <w:t xml:space="preserve"> : </w:t>
      </w:r>
      <w:r w:rsidRPr="00C8701B">
        <w:rPr>
          <w:rFonts w:eastAsia="Arial Unicode MS"/>
          <w:bCs/>
          <w:lang w:eastAsia="fr-FR" w:bidi="he-IL"/>
        </w:rPr>
        <w:t>Tittmann</w:t>
      </w:r>
      <w:r>
        <w:rPr>
          <w:rFonts w:eastAsia="Arial Unicode MS"/>
          <w:bCs/>
          <w:lang w:eastAsia="fr-FR" w:bidi="he-IL"/>
        </w:rPr>
        <w:t xml:space="preserve">, </w:t>
      </w:r>
      <w:r>
        <w:rPr>
          <w:rStyle w:val="italicus"/>
        </w:rPr>
        <w:t>De synó</w:t>
      </w:r>
      <w:r w:rsidRPr="00DC4586">
        <w:rPr>
          <w:rStyle w:val="italicus"/>
        </w:rPr>
        <w:t>nymis in Novo Testaménto</w:t>
      </w:r>
      <w:r>
        <w:rPr>
          <w:rStyle w:val="italicus"/>
        </w:rPr>
        <w:t xml:space="preserve">, </w:t>
      </w:r>
      <w:r w:rsidRPr="00C8701B">
        <w:rPr>
          <w:rFonts w:eastAsia="Arial Unicode MS"/>
          <w:bCs/>
          <w:lang w:eastAsia="fr-FR" w:bidi="he-IL"/>
        </w:rPr>
        <w:t>Leipzig 1829-1832 </w:t>
      </w:r>
      <w:r>
        <w:rPr>
          <w:rFonts w:eastAsia="Arial Unicode MS"/>
          <w:bCs/>
          <w:lang w:eastAsia="fr-FR" w:bidi="he-IL"/>
        </w:rPr>
        <w:t xml:space="preserve">; </w:t>
      </w:r>
      <w:r w:rsidRPr="00C8701B">
        <w:rPr>
          <w:rFonts w:eastAsia="Arial Unicode MS"/>
          <w:bCs/>
          <w:lang w:eastAsia="fr-FR" w:bidi="he-IL"/>
        </w:rPr>
        <w:t>Trench</w:t>
      </w:r>
      <w:r>
        <w:rPr>
          <w:rFonts w:eastAsia="Arial Unicode MS"/>
          <w:bCs/>
          <w:lang w:eastAsia="fr-FR" w:bidi="he-IL"/>
        </w:rPr>
        <w:t xml:space="preserve">, </w:t>
      </w:r>
      <w:r w:rsidRPr="00DC4586">
        <w:rPr>
          <w:rStyle w:val="italicus"/>
        </w:rPr>
        <w:t>Synonymes du Nouveau Testament</w:t>
      </w:r>
      <w:r>
        <w:rPr>
          <w:rStyle w:val="italicus"/>
        </w:rPr>
        <w:t xml:space="preserve">, </w:t>
      </w:r>
      <w:r w:rsidRPr="00C8701B">
        <w:rPr>
          <w:rFonts w:eastAsia="Arial Unicode MS"/>
          <w:bCs/>
          <w:lang w:eastAsia="fr-FR" w:bidi="he-IL"/>
        </w:rPr>
        <w:t>trad. de l’angla</w:t>
      </w:r>
      <w:r>
        <w:rPr>
          <w:rFonts w:eastAsia="Arial Unicode MS"/>
          <w:bCs/>
          <w:lang w:eastAsia="fr-FR" w:bidi="he-IL"/>
        </w:rPr>
        <w:t xml:space="preserve">is, </w:t>
      </w:r>
      <w:r w:rsidRPr="00C8701B">
        <w:rPr>
          <w:rFonts w:eastAsia="Arial Unicode MS"/>
          <w:bCs/>
          <w:lang w:eastAsia="fr-FR" w:bidi="he-IL"/>
        </w:rPr>
        <w:t>Bruxelles 1869. 4° Sur les hébraïsmes mêlés au grec du Nouveau Testament : J. Vorst</w:t>
      </w:r>
      <w:r>
        <w:rPr>
          <w:rFonts w:eastAsia="Arial Unicode MS"/>
          <w:bCs/>
          <w:lang w:eastAsia="fr-FR" w:bidi="he-IL"/>
        </w:rPr>
        <w:t xml:space="preserve">, </w:t>
      </w:r>
      <w:r w:rsidRPr="00DC4586">
        <w:rPr>
          <w:rStyle w:val="italicus"/>
        </w:rPr>
        <w:t>De</w:t>
      </w:r>
      <w:r>
        <w:rPr>
          <w:rStyle w:val="italicus"/>
        </w:rPr>
        <w:t xml:space="preserve"> </w:t>
      </w:r>
      <w:r w:rsidRPr="00DC4586">
        <w:rPr>
          <w:rStyle w:val="italicus"/>
        </w:rPr>
        <w:t>hebra</w:t>
      </w:r>
      <w:r>
        <w:rPr>
          <w:rStyle w:val="italicus"/>
        </w:rPr>
        <w:t>í</w:t>
      </w:r>
      <w:r w:rsidRPr="00DC4586">
        <w:rPr>
          <w:rStyle w:val="italicus"/>
        </w:rPr>
        <w:t>smis Novi Te</w:t>
      </w:r>
      <w:r>
        <w:rPr>
          <w:rStyle w:val="italicus"/>
        </w:rPr>
        <w:t>staménti</w:t>
      </w:r>
      <w:r w:rsidRPr="00DC4586">
        <w:rPr>
          <w:rStyle w:val="italicus"/>
        </w:rPr>
        <w:t xml:space="preserve"> com</w:t>
      </w:r>
      <w:r>
        <w:rPr>
          <w:rStyle w:val="italicus"/>
        </w:rPr>
        <w:t xml:space="preserve">mentárius, </w:t>
      </w:r>
      <w:r w:rsidRPr="00C8701B">
        <w:rPr>
          <w:rFonts w:eastAsia="Arial Unicode MS"/>
          <w:bCs/>
          <w:lang w:eastAsia="fr-FR" w:bidi="he-IL"/>
        </w:rPr>
        <w:t>Leyde 1658</w:t>
      </w:r>
      <w:r>
        <w:rPr>
          <w:rFonts w:eastAsia="Arial Unicode MS"/>
          <w:bCs/>
          <w:lang w:eastAsia="fr-FR" w:bidi="he-IL"/>
        </w:rPr>
        <w:t>-</w:t>
      </w:r>
      <w:r w:rsidRPr="00C8701B">
        <w:rPr>
          <w:rFonts w:eastAsia="Arial Unicode MS"/>
          <w:bCs/>
          <w:lang w:eastAsia="fr-FR" w:bidi="he-IL"/>
        </w:rPr>
        <w:t>1665 </w:t>
      </w:r>
      <w:r>
        <w:rPr>
          <w:rFonts w:eastAsia="Arial Unicode MS"/>
          <w:bCs/>
          <w:lang w:eastAsia="fr-FR" w:bidi="he-IL"/>
        </w:rPr>
        <w:t xml:space="preserve">; </w:t>
      </w:r>
      <w:r w:rsidRPr="00C8701B">
        <w:rPr>
          <w:rFonts w:eastAsia="Arial Unicode MS"/>
          <w:bCs/>
          <w:lang w:eastAsia="fr-FR" w:bidi="he-IL"/>
        </w:rPr>
        <w:t>D. Schilling</w:t>
      </w:r>
      <w:r>
        <w:rPr>
          <w:rFonts w:eastAsia="Arial Unicode MS"/>
          <w:bCs/>
          <w:lang w:eastAsia="fr-FR" w:bidi="he-IL"/>
        </w:rPr>
        <w:t xml:space="preserve">, </w:t>
      </w:r>
      <w:r w:rsidRPr="00DC4586">
        <w:rPr>
          <w:rStyle w:val="italicus"/>
        </w:rPr>
        <w:t>Com</w:t>
      </w:r>
      <w:r>
        <w:rPr>
          <w:rStyle w:val="italicus"/>
        </w:rPr>
        <w:t>mentárius</w:t>
      </w:r>
      <w:r w:rsidRPr="00DC4586">
        <w:rPr>
          <w:rStyle w:val="italicus"/>
        </w:rPr>
        <w:t xml:space="preserve"> </w:t>
      </w:r>
      <w:r>
        <w:rPr>
          <w:rStyle w:val="italicus"/>
        </w:rPr>
        <w:t>exegetico-philológicus in hebraí</w:t>
      </w:r>
      <w:r w:rsidRPr="00DC4586">
        <w:rPr>
          <w:rStyle w:val="italicus"/>
        </w:rPr>
        <w:t>smos Novi Te</w:t>
      </w:r>
      <w:r>
        <w:rPr>
          <w:rStyle w:val="italicus"/>
        </w:rPr>
        <w:t xml:space="preserve">staménti, </w:t>
      </w:r>
      <w:r w:rsidRPr="00C8701B">
        <w:rPr>
          <w:rFonts w:eastAsia="Arial Unicode MS"/>
          <w:bCs/>
          <w:lang w:eastAsia="fr-FR" w:bidi="he-IL"/>
        </w:rPr>
        <w:t>Malines 1886.</w:t>
      </w:r>
    </w:p>
  </w:footnote>
  <w:footnote w:id="395">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Ce que</w:t>
      </w:r>
      <w:r>
        <w:rPr>
          <w:rFonts w:eastAsia="Arial Unicode MS"/>
          <w:bCs/>
          <w:lang w:eastAsia="fr-FR" w:bidi="he-IL"/>
        </w:rPr>
        <w:t xml:space="preserve"> </w:t>
      </w:r>
      <w:r w:rsidRPr="00C8701B">
        <w:rPr>
          <w:rFonts w:eastAsia="Arial Unicode MS"/>
          <w:bCs/>
          <w:lang w:eastAsia="fr-FR" w:bidi="he-IL"/>
        </w:rPr>
        <w:t>Tertullien</w:t>
      </w:r>
      <w:r>
        <w:rPr>
          <w:rFonts w:eastAsia="Arial Unicode MS"/>
          <w:bCs/>
          <w:lang w:eastAsia="fr-FR" w:bidi="he-IL"/>
        </w:rPr>
        <w:t xml:space="preserve">, </w:t>
      </w:r>
      <w:r w:rsidRPr="00DC4586">
        <w:rPr>
          <w:rStyle w:val="italicus"/>
        </w:rPr>
        <w:t xml:space="preserve">De </w:t>
      </w:r>
      <w:r>
        <w:rPr>
          <w:rStyle w:val="italicus"/>
        </w:rPr>
        <w:t>Præ</w:t>
      </w:r>
      <w:r w:rsidRPr="00DC4586">
        <w:rPr>
          <w:rStyle w:val="italicus"/>
        </w:rPr>
        <w:t>script.</w:t>
      </w:r>
      <w:r>
        <w:rPr>
          <w:rStyle w:val="italicus"/>
        </w:rPr>
        <w:t xml:space="preserve">, </w:t>
      </w:r>
      <w:r w:rsidRPr="00C8701B">
        <w:rPr>
          <w:rFonts w:eastAsia="Arial Unicode MS"/>
          <w:bCs/>
          <w:lang w:eastAsia="fr-FR" w:bidi="he-IL"/>
        </w:rPr>
        <w:t xml:space="preserve">c. </w:t>
      </w:r>
      <w:r>
        <w:rPr>
          <w:rFonts w:eastAsia="Arial Unicode MS"/>
          <w:bCs/>
          <w:lang w:eastAsia="fr-FR" w:bidi="he-IL"/>
        </w:rPr>
        <w:t xml:space="preserve">XXXVI, </w:t>
      </w:r>
      <w:r w:rsidRPr="00C8701B">
        <w:rPr>
          <w:rFonts w:eastAsia="Arial Unicode MS"/>
          <w:bCs/>
          <w:lang w:eastAsia="fr-FR" w:bidi="he-IL"/>
        </w:rPr>
        <w:t>appelle : « ips</w:t>
      </w:r>
      <w:r>
        <w:rPr>
          <w:rFonts w:eastAsia="Arial Unicode MS"/>
          <w:bCs/>
          <w:lang w:eastAsia="fr-FR" w:bidi="he-IL"/>
        </w:rPr>
        <w:t>æ</w:t>
      </w:r>
      <w:r w:rsidRPr="00C8701B">
        <w:rPr>
          <w:rFonts w:eastAsia="Arial Unicode MS"/>
          <w:bCs/>
          <w:lang w:eastAsia="fr-FR" w:bidi="he-IL"/>
        </w:rPr>
        <w:t xml:space="preserve"> authéntic</w:t>
      </w:r>
      <w:r>
        <w:rPr>
          <w:rFonts w:eastAsia="Arial Unicode MS"/>
          <w:bCs/>
          <w:lang w:eastAsia="fr-FR" w:bidi="he-IL"/>
        </w:rPr>
        <w:t>æ lítteræ</w:t>
      </w:r>
      <w:r w:rsidRPr="00C8701B">
        <w:rPr>
          <w:rFonts w:eastAsia="Arial Unicode MS"/>
          <w:bCs/>
          <w:lang w:eastAsia="fr-FR" w:bidi="he-IL"/>
        </w:rPr>
        <w:t> ».</w:t>
      </w:r>
    </w:p>
  </w:footnote>
  <w:footnote w:id="396">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S. Jean</w:t>
      </w:r>
      <w:r>
        <w:rPr>
          <w:rFonts w:eastAsia="Arial Unicode MS"/>
          <w:bCs/>
          <w:lang w:eastAsia="fr-FR" w:bidi="he-IL"/>
        </w:rPr>
        <w:t xml:space="preserve">, </w:t>
      </w:r>
      <w:r w:rsidRPr="00C8701B">
        <w:rPr>
          <w:rFonts w:eastAsia="Arial Unicode MS"/>
          <w:bCs/>
          <w:lang w:eastAsia="fr-FR" w:bidi="he-IL"/>
        </w:rPr>
        <w:t>dans deux de ses épitres</w:t>
      </w:r>
      <w:r>
        <w:rPr>
          <w:rFonts w:eastAsia="Arial Unicode MS"/>
          <w:bCs/>
          <w:lang w:eastAsia="fr-FR" w:bidi="he-IL"/>
        </w:rPr>
        <w:t xml:space="preserve">, </w:t>
      </w:r>
      <w:r w:rsidRPr="00C8701B">
        <w:rPr>
          <w:rFonts w:eastAsia="Arial Unicode MS"/>
          <w:bCs/>
          <w:lang w:eastAsia="fr-FR" w:bidi="he-IL"/>
        </w:rPr>
        <w:t>mentionne simplement</w:t>
      </w:r>
      <w:r w:rsidRPr="00DC4586">
        <w:rPr>
          <w:rStyle w:val="italicus"/>
        </w:rPr>
        <w:t xml:space="preserve"> chartam et atram</w:t>
      </w:r>
      <w:r>
        <w:rPr>
          <w:rStyle w:val="italicus"/>
        </w:rPr>
        <w:t>é</w:t>
      </w:r>
      <w:r w:rsidRPr="00DC4586">
        <w:rPr>
          <w:rStyle w:val="italicus"/>
        </w:rPr>
        <w:t>ntum</w:t>
      </w:r>
      <w:r>
        <w:rPr>
          <w:rFonts w:eastAsia="Arial Unicode MS"/>
          <w:bCs/>
          <w:lang w:eastAsia="fr-FR" w:bidi="he-IL"/>
        </w:rPr>
        <w:t xml:space="preserve">, </w:t>
      </w:r>
      <w:r w:rsidRPr="00C8701B">
        <w:rPr>
          <w:rFonts w:eastAsia="Arial Unicode MS"/>
          <w:bCs/>
          <w:lang w:eastAsia="fr-FR" w:bidi="he-IL"/>
        </w:rPr>
        <w:t>comme lui ayant servi de matériaux</w:t>
      </w:r>
      <w:r>
        <w:rPr>
          <w:rFonts w:eastAsia="Arial Unicode MS"/>
          <w:bCs/>
          <w:lang w:eastAsia="fr-FR" w:bidi="he-IL"/>
        </w:rPr>
        <w:t>. C</w:t>
      </w:r>
      <w:r w:rsidRPr="00C8701B">
        <w:rPr>
          <w:rFonts w:eastAsia="Arial Unicode MS"/>
          <w:bCs/>
          <w:lang w:eastAsia="fr-FR" w:bidi="he-IL"/>
        </w:rPr>
        <w:t>f. II Joan. 12</w:t>
      </w:r>
      <w:r>
        <w:rPr>
          <w:rFonts w:eastAsia="Arial Unicode MS"/>
          <w:bCs/>
          <w:lang w:eastAsia="fr-FR" w:bidi="he-IL"/>
        </w:rPr>
        <w:t>.</w:t>
      </w:r>
    </w:p>
  </w:footnote>
  <w:footnote w:id="397">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Sur leurs causes</w:t>
      </w:r>
      <w:r>
        <w:rPr>
          <w:rFonts w:eastAsia="Arial Unicode MS"/>
          <w:bCs/>
          <w:lang w:eastAsia="fr-FR" w:bidi="he-IL"/>
        </w:rPr>
        <w:t>, so</w:t>
      </w:r>
      <w:r w:rsidRPr="00C8701B">
        <w:rPr>
          <w:rFonts w:eastAsia="Arial Unicode MS"/>
          <w:bCs/>
          <w:lang w:eastAsia="fr-FR" w:bidi="he-IL"/>
        </w:rPr>
        <w:t>it involontaires</w:t>
      </w:r>
      <w:r>
        <w:rPr>
          <w:rFonts w:eastAsia="Arial Unicode MS"/>
          <w:bCs/>
          <w:lang w:eastAsia="fr-FR" w:bidi="he-IL"/>
        </w:rPr>
        <w:t xml:space="preserve">, </w:t>
      </w:r>
      <w:r w:rsidRPr="00C8701B">
        <w:rPr>
          <w:rFonts w:eastAsia="Arial Unicode MS"/>
          <w:bCs/>
          <w:lang w:eastAsia="fr-FR" w:bidi="he-IL"/>
        </w:rPr>
        <w:t>soit volontaires de l</w:t>
      </w:r>
      <w:r>
        <w:rPr>
          <w:rFonts w:eastAsia="Arial Unicode MS"/>
          <w:bCs/>
          <w:lang w:eastAsia="fr-FR" w:bidi="he-IL"/>
        </w:rPr>
        <w:t>a p</w:t>
      </w:r>
      <w:r w:rsidRPr="00C8701B">
        <w:rPr>
          <w:rFonts w:eastAsia="Arial Unicode MS"/>
          <w:bCs/>
          <w:lang w:eastAsia="fr-FR" w:bidi="he-IL"/>
        </w:rPr>
        <w:t>art des</w:t>
      </w:r>
      <w:r>
        <w:rPr>
          <w:rStyle w:val="italicus"/>
        </w:rPr>
        <w:t xml:space="preserve"> amanuénse</w:t>
      </w:r>
      <w:r w:rsidRPr="00DC4586">
        <w:rPr>
          <w:rStyle w:val="italicus"/>
        </w:rPr>
        <w:t>s</w:t>
      </w:r>
      <w:r>
        <w:rPr>
          <w:rStyle w:val="italicus"/>
        </w:rPr>
        <w:t xml:space="preserve">, </w:t>
      </w:r>
      <w:r w:rsidRPr="00C8701B">
        <w:rPr>
          <w:rFonts w:eastAsia="Arial Unicode MS"/>
          <w:bCs/>
          <w:lang w:eastAsia="fr-FR" w:bidi="he-IL"/>
        </w:rPr>
        <w:t>voyez Trochon</w:t>
      </w:r>
      <w:r>
        <w:rPr>
          <w:rFonts w:eastAsia="Arial Unicode MS"/>
          <w:bCs/>
          <w:lang w:eastAsia="fr-FR" w:bidi="he-IL"/>
        </w:rPr>
        <w:t xml:space="preserve">, </w:t>
      </w:r>
      <w:r w:rsidRPr="00DC4586">
        <w:rPr>
          <w:rStyle w:val="italicus"/>
        </w:rPr>
        <w:t>loc. cit.</w:t>
      </w:r>
      <w:r>
        <w:rPr>
          <w:rStyle w:val="italicus"/>
        </w:rPr>
        <w:t xml:space="preserve">, </w:t>
      </w:r>
      <w:r w:rsidRPr="00C8701B">
        <w:rPr>
          <w:rFonts w:eastAsia="Arial Unicode MS"/>
          <w:bCs/>
          <w:lang w:eastAsia="fr-FR" w:bidi="he-IL"/>
        </w:rPr>
        <w:t>p. 303 et ss. </w:t>
      </w:r>
      <w:r>
        <w:rPr>
          <w:rFonts w:eastAsia="Arial Unicode MS"/>
          <w:bCs/>
          <w:lang w:eastAsia="fr-FR" w:bidi="he-IL"/>
        </w:rPr>
        <w:t xml:space="preserve">; </w:t>
      </w:r>
      <w:r w:rsidRPr="00C8701B">
        <w:rPr>
          <w:rFonts w:eastAsia="Arial Unicode MS"/>
          <w:bCs/>
          <w:lang w:eastAsia="fr-FR" w:bidi="he-IL"/>
        </w:rPr>
        <w:t>Cornely</w:t>
      </w:r>
      <w:r>
        <w:rPr>
          <w:rFonts w:eastAsia="Arial Unicode MS"/>
          <w:bCs/>
          <w:lang w:eastAsia="fr-FR" w:bidi="he-IL"/>
        </w:rPr>
        <w:t xml:space="preserve">, </w:t>
      </w:r>
      <w:r w:rsidRPr="00DC4586">
        <w:rPr>
          <w:rStyle w:val="italicus"/>
        </w:rPr>
        <w:t>Introd</w:t>
      </w:r>
      <w:r>
        <w:rPr>
          <w:rStyle w:val="italicus"/>
        </w:rPr>
        <w:t>úctio</w:t>
      </w:r>
      <w:r w:rsidRPr="00DC4586">
        <w:rPr>
          <w:rStyle w:val="italicus"/>
        </w:rPr>
        <w:t xml:space="preserve"> m utri</w:t>
      </w:r>
      <w:r>
        <w:rPr>
          <w:rStyle w:val="italicus"/>
        </w:rPr>
        <w:t>ú</w:t>
      </w:r>
      <w:r w:rsidRPr="00DC4586">
        <w:rPr>
          <w:rStyle w:val="italicus"/>
        </w:rPr>
        <w:t>sque Te</w:t>
      </w:r>
      <w:r>
        <w:rPr>
          <w:rStyle w:val="italicus"/>
        </w:rPr>
        <w:t>staménti</w:t>
      </w:r>
      <w:r w:rsidRPr="00DC4586">
        <w:rPr>
          <w:rStyle w:val="italicus"/>
        </w:rPr>
        <w:t xml:space="preserve"> libro sacros</w:t>
      </w:r>
      <w:r>
        <w:rPr>
          <w:rStyle w:val="italicus"/>
        </w:rPr>
        <w:t xml:space="preserve">, </w:t>
      </w:r>
      <w:r w:rsidRPr="00C8701B">
        <w:rPr>
          <w:rFonts w:eastAsia="Arial Unicode MS"/>
          <w:bCs/>
          <w:lang w:eastAsia="fr-FR" w:bidi="he-IL"/>
        </w:rPr>
        <w:t>t. I</w:t>
      </w:r>
      <w:r>
        <w:rPr>
          <w:rFonts w:eastAsia="Arial Unicode MS"/>
          <w:bCs/>
          <w:lang w:eastAsia="fr-FR" w:bidi="he-IL"/>
        </w:rPr>
        <w:t xml:space="preserve">, </w:t>
      </w:r>
      <w:r w:rsidRPr="00C8701B">
        <w:rPr>
          <w:rFonts w:eastAsia="Arial Unicode MS"/>
          <w:bCs/>
          <w:lang w:eastAsia="fr-FR" w:bidi="he-IL"/>
        </w:rPr>
        <w:t>p. 293 et ss.</w:t>
      </w:r>
    </w:p>
  </w:footnote>
  <w:footnote w:id="398">
    <w:p w:rsidR="00941AA6" w:rsidRPr="00933C60" w:rsidRDefault="00941AA6">
      <w:pPr>
        <w:pStyle w:val="Notedebasdepage"/>
      </w:pPr>
      <w:r w:rsidRPr="00C406FF">
        <w:rPr>
          <w:rStyle w:val="Appelnotedebasdep"/>
        </w:rPr>
        <w:footnoteRef/>
      </w:r>
      <w:r w:rsidRPr="00A74F01">
        <w:rPr>
          <w:lang w:val="en-US"/>
        </w:rPr>
        <w:t xml:space="preserve"> </w:t>
      </w:r>
      <w:r w:rsidRPr="00A74F01">
        <w:rPr>
          <w:rStyle w:val="italicus"/>
          <w:lang w:val="en-US"/>
        </w:rPr>
        <w:t xml:space="preserve">In Matth., </w:t>
      </w:r>
      <w:r w:rsidRPr="00A74F01">
        <w:rPr>
          <w:bCs/>
          <w:lang w:val="en-US"/>
        </w:rPr>
        <w:t>tom. XV, 14.</w:t>
      </w:r>
    </w:p>
  </w:footnote>
  <w:footnote w:id="399">
    <w:p w:rsidR="00941AA6" w:rsidRPr="00933C60" w:rsidRDefault="00941AA6">
      <w:pPr>
        <w:pStyle w:val="Notedebasdepage"/>
      </w:pPr>
      <w:r w:rsidRPr="00C406FF">
        <w:rPr>
          <w:rStyle w:val="Appelnotedebasdep"/>
        </w:rPr>
        <w:footnoteRef/>
      </w:r>
      <w:r w:rsidRPr="00165881">
        <w:rPr>
          <w:lang w:val="en-GB"/>
        </w:rPr>
        <w:t xml:space="preserve"> Par exemple : Matth. </w:t>
      </w:r>
      <w:r w:rsidRPr="00B5066E">
        <w:t xml:space="preserve">VIII, </w:t>
      </w:r>
      <w:r w:rsidRPr="00C8701B">
        <w:rPr>
          <w:rFonts w:eastAsia="Arial Unicode MS"/>
          <w:bCs/>
          <w:lang w:eastAsia="fr-FR" w:bidi="he-IL"/>
        </w:rPr>
        <w:t>28</w:t>
      </w:r>
      <w:r>
        <w:rPr>
          <w:rFonts w:eastAsia="Arial Unicode MS"/>
          <w:bCs/>
          <w:lang w:eastAsia="fr-FR" w:bidi="he-IL"/>
        </w:rPr>
        <w:t xml:space="preserve">, </w:t>
      </w:r>
      <w:r w:rsidRPr="00C8701B">
        <w:rPr>
          <w:rFonts w:eastAsia="Arial Unicode MS"/>
          <w:bCs/>
          <w:lang w:eastAsia="fr-FR" w:bidi="he-IL"/>
        </w:rPr>
        <w:t>« Gadaréniens » et « Géraséniens » </w:t>
      </w:r>
      <w:r>
        <w:rPr>
          <w:rFonts w:eastAsia="Arial Unicode MS"/>
          <w:bCs/>
          <w:lang w:eastAsia="fr-FR" w:bidi="he-IL"/>
        </w:rPr>
        <w:t xml:space="preserve">; </w:t>
      </w:r>
      <w:r w:rsidRPr="00C8701B">
        <w:rPr>
          <w:rFonts w:eastAsia="Arial Unicode MS"/>
          <w:bCs/>
          <w:lang w:eastAsia="fr-FR" w:bidi="he-IL"/>
        </w:rPr>
        <w:t>Joan.</w:t>
      </w:r>
      <w:r>
        <w:rPr>
          <w:rFonts w:eastAsia="Arial Unicode MS"/>
          <w:bCs/>
          <w:lang w:eastAsia="fr-FR" w:bidi="he-IL"/>
        </w:rPr>
        <w:t xml:space="preserve"> I, </w:t>
      </w:r>
      <w:r w:rsidRPr="00C8701B">
        <w:rPr>
          <w:rFonts w:eastAsia="Arial Unicode MS"/>
          <w:bCs/>
          <w:lang w:eastAsia="fr-FR" w:bidi="he-IL"/>
        </w:rPr>
        <w:t>28</w:t>
      </w:r>
      <w:r>
        <w:rPr>
          <w:rFonts w:eastAsia="Arial Unicode MS"/>
          <w:bCs/>
          <w:lang w:eastAsia="fr-FR" w:bidi="he-IL"/>
        </w:rPr>
        <w:t xml:space="preserve">, </w:t>
      </w:r>
      <w:r w:rsidRPr="00C8701B">
        <w:rPr>
          <w:rFonts w:eastAsia="Arial Unicode MS"/>
          <w:bCs/>
          <w:lang w:eastAsia="fr-FR" w:bidi="he-IL"/>
        </w:rPr>
        <w:t>« Bé</w:t>
      </w:r>
      <w:r>
        <w:rPr>
          <w:rFonts w:eastAsia="Arial Unicode MS"/>
          <w:bCs/>
          <w:lang w:eastAsia="fr-FR" w:bidi="he-IL"/>
        </w:rPr>
        <w:t xml:space="preserve">thanie » </w:t>
      </w:r>
      <w:r w:rsidRPr="00B5066E">
        <w:t xml:space="preserve">et </w:t>
      </w:r>
      <w:r>
        <w:t>« </w:t>
      </w:r>
      <w:r w:rsidRPr="00B5066E">
        <w:t>Bethabura »</w:t>
      </w:r>
      <w:r>
        <w:t> ;</w:t>
      </w:r>
      <w:r w:rsidRPr="00B5066E">
        <w:t xml:space="preserve"> Matth. </w:t>
      </w:r>
      <w:r>
        <w:rPr>
          <w:rFonts w:eastAsia="Arial Unicode MS"/>
          <w:bCs/>
          <w:lang w:eastAsia="fr-FR" w:bidi="he-IL"/>
        </w:rPr>
        <w:t xml:space="preserve">XXVII, </w:t>
      </w:r>
      <w:r w:rsidRPr="00C8701B">
        <w:rPr>
          <w:rFonts w:eastAsia="Arial Unicode MS"/>
          <w:bCs/>
          <w:lang w:eastAsia="fr-FR" w:bidi="he-IL"/>
        </w:rPr>
        <w:t>17 : « </w:t>
      </w:r>
      <w:r>
        <w:rPr>
          <w:rFonts w:eastAsia="Arial Unicode MS"/>
          <w:bCs/>
          <w:lang w:eastAsia="fr-FR" w:bidi="he-IL"/>
        </w:rPr>
        <w:t>Barab</w:t>
      </w:r>
      <w:r w:rsidRPr="00C8701B">
        <w:rPr>
          <w:rFonts w:eastAsia="Arial Unicode MS"/>
          <w:bCs/>
          <w:lang w:eastAsia="fr-FR" w:bidi="he-IL"/>
        </w:rPr>
        <w:t xml:space="preserve">bas » et </w:t>
      </w:r>
      <w:r>
        <w:rPr>
          <w:rFonts w:eastAsia="Arial Unicode MS"/>
          <w:bCs/>
          <w:lang w:eastAsia="fr-FR" w:bidi="he-IL"/>
        </w:rPr>
        <w:t>« </w:t>
      </w:r>
      <w:r w:rsidRPr="00C8701B">
        <w:rPr>
          <w:rFonts w:eastAsia="Arial Unicode MS"/>
          <w:bCs/>
          <w:lang w:eastAsia="fr-FR" w:bidi="he-IL"/>
        </w:rPr>
        <w:t>Jésus Barabbas » </w:t>
      </w:r>
      <w:r>
        <w:rPr>
          <w:rFonts w:eastAsia="Arial Unicode MS"/>
          <w:bCs/>
          <w:lang w:eastAsia="fr-FR" w:bidi="he-IL"/>
        </w:rPr>
        <w:t xml:space="preserve">; </w:t>
      </w:r>
      <w:r w:rsidRPr="00C8701B">
        <w:rPr>
          <w:rFonts w:eastAsia="Arial Unicode MS"/>
          <w:bCs/>
          <w:lang w:eastAsia="fr-FR" w:bidi="he-IL"/>
        </w:rPr>
        <w:t>etc.</w:t>
      </w:r>
    </w:p>
  </w:footnote>
  <w:footnote w:id="400">
    <w:p w:rsidR="00941AA6" w:rsidRPr="00933C60" w:rsidRDefault="00941AA6">
      <w:pPr>
        <w:pStyle w:val="Notedebasdepage"/>
      </w:pPr>
      <w:r w:rsidRPr="00C406FF">
        <w:rPr>
          <w:rStyle w:val="Appelnotedebasdep"/>
        </w:rPr>
        <w:footnoteRef/>
      </w:r>
      <w:r w:rsidRPr="00C8701B">
        <w:rPr>
          <w:rFonts w:eastAsia="Arial Unicode MS"/>
          <w:lang w:val="en-US" w:eastAsia="fr-FR" w:bidi="he-IL"/>
        </w:rPr>
        <w:t xml:space="preserve"> </w:t>
      </w:r>
      <w:r w:rsidRPr="00C8701B">
        <w:rPr>
          <w:rFonts w:eastAsia="Arial Unicode MS"/>
          <w:bCs/>
          <w:lang w:val="en-US" w:eastAsia="fr-FR" w:bidi="he-IL"/>
        </w:rPr>
        <w:t>Voyez A. Roberts.</w:t>
      </w:r>
      <w:r w:rsidRPr="00A74F01">
        <w:rPr>
          <w:rStyle w:val="italicus"/>
          <w:lang w:val="en-US"/>
        </w:rPr>
        <w:t xml:space="preserve"> Companion to the Revised Version of the English New Testament, </w:t>
      </w:r>
      <w:r w:rsidRPr="00C8701B">
        <w:rPr>
          <w:rFonts w:eastAsia="Arial Unicode MS"/>
          <w:bCs/>
          <w:lang w:val="en-US" w:eastAsia="fr-FR" w:bidi="he-IL"/>
        </w:rPr>
        <w:t>Londres</w:t>
      </w:r>
      <w:r>
        <w:rPr>
          <w:rFonts w:eastAsia="Arial Unicode MS"/>
          <w:bCs/>
          <w:lang w:val="en-US" w:eastAsia="fr-FR" w:bidi="he-IL"/>
        </w:rPr>
        <w:t xml:space="preserve">, </w:t>
      </w:r>
      <w:r w:rsidRPr="00C8701B">
        <w:rPr>
          <w:rFonts w:eastAsia="Arial Unicode MS"/>
          <w:bCs/>
          <w:lang w:val="en-US" w:eastAsia="fr-FR" w:bidi="he-IL"/>
        </w:rPr>
        <w:t>s. d.</w:t>
      </w:r>
      <w:r>
        <w:rPr>
          <w:rFonts w:eastAsia="Arial Unicode MS"/>
          <w:bCs/>
          <w:lang w:val="en-US" w:eastAsia="fr-FR" w:bidi="he-IL"/>
        </w:rPr>
        <w:t xml:space="preserve">, </w:t>
      </w:r>
      <w:r w:rsidRPr="00C8701B">
        <w:rPr>
          <w:rFonts w:eastAsia="Arial Unicode MS"/>
          <w:bCs/>
          <w:lang w:val="en-US" w:eastAsia="fr-FR" w:bidi="he-IL"/>
        </w:rPr>
        <w:t>p. 1</w:t>
      </w:r>
    </w:p>
  </w:footnote>
  <w:footnote w:id="401">
    <w:p w:rsidR="00941AA6" w:rsidRPr="00933C60" w:rsidRDefault="00941AA6">
      <w:pPr>
        <w:pStyle w:val="Notedebasdepage"/>
      </w:pPr>
      <w:r w:rsidRPr="00C406FF">
        <w:rPr>
          <w:rStyle w:val="Appelnotedebasdep"/>
        </w:rPr>
        <w:footnoteRef/>
      </w:r>
      <w:r w:rsidRPr="00C8701B">
        <w:rPr>
          <w:rFonts w:eastAsia="Arial Unicode MS"/>
          <w:lang w:val="en-US" w:eastAsia="fr-FR" w:bidi="he-IL"/>
        </w:rPr>
        <w:t xml:space="preserve"> </w:t>
      </w:r>
      <w:r w:rsidRPr="00A74F01">
        <w:rPr>
          <w:rStyle w:val="italicus"/>
          <w:lang w:val="en-US"/>
        </w:rPr>
        <w:t xml:space="preserve">Contr. Cels., </w:t>
      </w:r>
      <w:r>
        <w:rPr>
          <w:rFonts w:eastAsia="Arial Unicode MS"/>
          <w:bCs/>
          <w:lang w:val="en-US" w:eastAsia="fr-FR" w:bidi="he-IL"/>
        </w:rPr>
        <w:t xml:space="preserve">II, </w:t>
      </w:r>
      <w:r w:rsidRPr="00C8701B">
        <w:rPr>
          <w:rFonts w:eastAsia="Arial Unicode MS"/>
          <w:bCs/>
          <w:lang w:val="en-US" w:eastAsia="fr-FR" w:bidi="he-IL"/>
        </w:rPr>
        <w:t>27.</w:t>
      </w:r>
    </w:p>
  </w:footnote>
  <w:footnote w:id="402">
    <w:p w:rsidR="00941AA6" w:rsidRPr="00933C60" w:rsidRDefault="00941AA6">
      <w:pPr>
        <w:pStyle w:val="Notedebasdepage"/>
      </w:pPr>
      <w:r w:rsidRPr="00C406FF">
        <w:rPr>
          <w:rStyle w:val="Appelnotedebasdep"/>
        </w:rPr>
        <w:footnoteRef/>
      </w:r>
      <w:r w:rsidRPr="00B51B8F">
        <w:rPr>
          <w:rFonts w:eastAsia="Arial Unicode MS"/>
          <w:lang w:eastAsia="fr-FR" w:bidi="he-IL"/>
        </w:rPr>
        <w:t xml:space="preserve"> </w:t>
      </w:r>
      <w:r w:rsidRPr="00B51B8F">
        <w:rPr>
          <w:rStyle w:val="italicus"/>
        </w:rPr>
        <w:t>Præfat. ad Dámasum.</w:t>
      </w:r>
    </w:p>
  </w:footnote>
  <w:footnote w:id="403">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 Considérons un moment cette étude critique de la parole de Dieu.... Eusèbe</w:t>
      </w:r>
      <w:r>
        <w:rPr>
          <w:rFonts w:eastAsia="Arial Unicode MS"/>
          <w:bCs/>
          <w:lang w:eastAsia="fr-FR" w:bidi="he-IL"/>
        </w:rPr>
        <w:t xml:space="preserve">, </w:t>
      </w:r>
      <w:r w:rsidRPr="00C8701B">
        <w:rPr>
          <w:rFonts w:eastAsia="Arial Unicode MS"/>
          <w:bCs/>
          <w:lang w:eastAsia="fr-FR" w:bidi="he-IL"/>
        </w:rPr>
        <w:t>Origène</w:t>
      </w:r>
      <w:r>
        <w:rPr>
          <w:rFonts w:eastAsia="Arial Unicode MS"/>
          <w:bCs/>
          <w:lang w:eastAsia="fr-FR" w:bidi="he-IL"/>
        </w:rPr>
        <w:t xml:space="preserve">, </w:t>
      </w:r>
      <w:r w:rsidRPr="00C8701B">
        <w:rPr>
          <w:rFonts w:eastAsia="Arial Unicode MS"/>
          <w:bCs/>
          <w:lang w:eastAsia="fr-FR" w:bidi="he-IL"/>
        </w:rPr>
        <w:t>S. Jérôme</w:t>
      </w:r>
      <w:r>
        <w:rPr>
          <w:rFonts w:eastAsia="Arial Unicode MS"/>
          <w:bCs/>
          <w:lang w:eastAsia="fr-FR" w:bidi="he-IL"/>
        </w:rPr>
        <w:t xml:space="preserve">, </w:t>
      </w:r>
      <w:r w:rsidRPr="00C8701B">
        <w:rPr>
          <w:rFonts w:eastAsia="Arial Unicode MS"/>
          <w:bCs/>
          <w:lang w:eastAsia="fr-FR" w:bidi="he-IL"/>
        </w:rPr>
        <w:t>S. Augustin</w:t>
      </w:r>
      <w:r>
        <w:rPr>
          <w:rFonts w:eastAsia="Arial Unicode MS"/>
          <w:bCs/>
          <w:lang w:eastAsia="fr-FR" w:bidi="he-IL"/>
        </w:rPr>
        <w:t xml:space="preserve">, </w:t>
      </w:r>
      <w:r w:rsidRPr="00C8701B">
        <w:rPr>
          <w:rFonts w:eastAsia="Arial Unicode MS"/>
          <w:bCs/>
          <w:lang w:eastAsia="fr-FR" w:bidi="he-IL"/>
        </w:rPr>
        <w:t xml:space="preserve">Alcuin et </w:t>
      </w:r>
      <w:r w:rsidRPr="00B5066E">
        <w:t>beaucoup d</w:t>
      </w:r>
      <w:r>
        <w:t>’</w:t>
      </w:r>
      <w:r w:rsidRPr="00B5066E">
        <w:t xml:space="preserve">autres s’y sont </w:t>
      </w:r>
      <w:r w:rsidRPr="00C8701B">
        <w:rPr>
          <w:rFonts w:eastAsia="Arial Unicode MS"/>
          <w:bCs/>
          <w:lang w:eastAsia="fr-FR" w:bidi="he-IL"/>
        </w:rPr>
        <w:t>appliqués sérieusement</w:t>
      </w:r>
      <w:r>
        <w:rPr>
          <w:rFonts w:eastAsia="Arial Unicode MS"/>
          <w:bCs/>
          <w:lang w:eastAsia="fr-FR" w:bidi="he-IL"/>
        </w:rPr>
        <w:t>, et l</w:t>
      </w:r>
      <w:r w:rsidRPr="00C8701B">
        <w:rPr>
          <w:rFonts w:eastAsia="Arial Unicode MS"/>
          <w:bCs/>
          <w:lang w:eastAsia="fr-FR" w:bidi="he-IL"/>
        </w:rPr>
        <w:t>eurs travaux ont été récompensés par les suffrages de l’</w:t>
      </w:r>
      <w:r>
        <w:rPr>
          <w:rFonts w:eastAsia="Arial Unicode MS"/>
          <w:bCs/>
          <w:lang w:eastAsia="fr-FR" w:bidi="he-IL"/>
        </w:rPr>
        <w:t>Église</w:t>
      </w:r>
      <w:r w:rsidRPr="00C8701B">
        <w:rPr>
          <w:rFonts w:eastAsia="Arial Unicode MS"/>
          <w:bCs/>
          <w:lang w:eastAsia="fr-FR" w:bidi="he-IL"/>
        </w:rPr>
        <w:t>. Le concile de Trente</w:t>
      </w:r>
      <w:r>
        <w:rPr>
          <w:rFonts w:eastAsia="Arial Unicode MS"/>
          <w:bCs/>
          <w:lang w:eastAsia="fr-FR" w:bidi="he-IL"/>
        </w:rPr>
        <w:t xml:space="preserve">, en </w:t>
      </w:r>
      <w:r w:rsidRPr="00C8701B">
        <w:rPr>
          <w:rFonts w:eastAsia="Arial Unicode MS"/>
          <w:bCs/>
          <w:lang w:eastAsia="fr-FR" w:bidi="he-IL"/>
        </w:rPr>
        <w:t>ordonnant qu’on fît une édition revue</w:t>
      </w:r>
      <w:r>
        <w:rPr>
          <w:rFonts w:eastAsia="Arial Unicode MS"/>
          <w:bCs/>
          <w:lang w:eastAsia="fr-FR" w:bidi="he-IL"/>
        </w:rPr>
        <w:t xml:space="preserve">, </w:t>
      </w:r>
      <w:r w:rsidRPr="00C8701B">
        <w:rPr>
          <w:rFonts w:eastAsia="Arial Unicode MS"/>
          <w:bCs/>
          <w:lang w:eastAsia="fr-FR" w:bidi="he-IL"/>
        </w:rPr>
        <w:t>et portant un nouvel examen de</w:t>
      </w:r>
      <w:r>
        <w:rPr>
          <w:rFonts w:eastAsia="Arial Unicode MS"/>
          <w:bCs/>
          <w:lang w:eastAsia="fr-FR" w:bidi="he-IL"/>
        </w:rPr>
        <w:t xml:space="preserve"> la Vulga</w:t>
      </w:r>
      <w:r w:rsidRPr="00C8701B">
        <w:rPr>
          <w:rFonts w:eastAsia="Arial Unicode MS"/>
          <w:bCs/>
          <w:lang w:eastAsia="fr-FR" w:bidi="he-IL"/>
        </w:rPr>
        <w:t>te</w:t>
      </w:r>
      <w:r>
        <w:rPr>
          <w:rFonts w:eastAsia="Arial Unicode MS"/>
          <w:bCs/>
          <w:lang w:eastAsia="fr-FR" w:bidi="he-IL"/>
        </w:rPr>
        <w:t xml:space="preserve">, </w:t>
      </w:r>
      <w:r w:rsidRPr="00C8701B">
        <w:rPr>
          <w:rFonts w:eastAsia="Arial Unicode MS"/>
          <w:bCs/>
          <w:lang w:eastAsia="fr-FR" w:bidi="he-IL"/>
        </w:rPr>
        <w:t>commanda qu’on se livrât aux recherches de la plus sévère critique</w:t>
      </w:r>
      <w:r>
        <w:rPr>
          <w:rFonts w:eastAsia="Arial Unicode MS"/>
          <w:bCs/>
          <w:lang w:eastAsia="fr-FR" w:bidi="he-IL"/>
        </w:rPr>
        <w:t xml:space="preserve">, </w:t>
      </w:r>
      <w:r w:rsidRPr="00C8701B">
        <w:rPr>
          <w:rFonts w:eastAsia="Arial Unicode MS"/>
          <w:bCs/>
          <w:lang w:eastAsia="fr-FR" w:bidi="he-IL"/>
        </w:rPr>
        <w:t>qui étaient né</w:t>
      </w:r>
      <w:r>
        <w:rPr>
          <w:rFonts w:eastAsia="Arial Unicode MS"/>
          <w:bCs/>
          <w:lang w:eastAsia="fr-FR" w:bidi="he-IL"/>
        </w:rPr>
        <w:t xml:space="preserve">cessaires pour cet objet… </w:t>
      </w:r>
      <w:r w:rsidRPr="00C8701B">
        <w:rPr>
          <w:rFonts w:eastAsia="Arial Unicode MS"/>
          <w:bCs/>
          <w:lang w:eastAsia="fr-FR" w:bidi="he-IL"/>
        </w:rPr>
        <w:t>Quiconque s’appliquera à l’étude critique de la Bible</w:t>
      </w:r>
      <w:r>
        <w:rPr>
          <w:rFonts w:eastAsia="Arial Unicode MS"/>
          <w:bCs/>
          <w:lang w:eastAsia="fr-FR" w:bidi="he-IL"/>
        </w:rPr>
        <w:t xml:space="preserve">, </w:t>
      </w:r>
      <w:r w:rsidRPr="00C8701B">
        <w:rPr>
          <w:rFonts w:eastAsia="Arial Unicode MS"/>
          <w:bCs/>
          <w:lang w:eastAsia="fr-FR" w:bidi="he-IL"/>
        </w:rPr>
        <w:t>trouvera nécessairement cette étude remplie de charme et d’élévation : elle sera pour lui un auxiliaire puissant</w:t>
      </w:r>
      <w:r>
        <w:rPr>
          <w:rFonts w:eastAsia="Arial Unicode MS"/>
          <w:bCs/>
          <w:lang w:eastAsia="fr-FR" w:bidi="he-IL"/>
        </w:rPr>
        <w:t xml:space="preserve">, </w:t>
      </w:r>
      <w:r w:rsidRPr="00C8701B">
        <w:rPr>
          <w:rFonts w:eastAsia="Arial Unicode MS"/>
          <w:bCs/>
          <w:lang w:eastAsia="fr-FR" w:bidi="he-IL"/>
        </w:rPr>
        <w:t>qui l’aidera à mieux apprécier les beautés réelles du livre divin</w:t>
      </w:r>
      <w:r>
        <w:rPr>
          <w:rFonts w:eastAsia="Arial Unicode MS"/>
          <w:bCs/>
          <w:lang w:eastAsia="fr-FR" w:bidi="he-IL"/>
        </w:rPr>
        <w:t xml:space="preserve">, </w:t>
      </w:r>
      <w:r w:rsidRPr="00C8701B">
        <w:rPr>
          <w:rFonts w:eastAsia="Arial Unicode MS"/>
          <w:bCs/>
          <w:lang w:eastAsia="fr-FR" w:bidi="he-IL"/>
        </w:rPr>
        <w:t>et lui révèlera l’existence</w:t>
      </w:r>
      <w:r>
        <w:rPr>
          <w:rFonts w:eastAsia="Arial Unicode MS"/>
          <w:bCs/>
          <w:lang w:eastAsia="fr-FR" w:bidi="he-IL"/>
        </w:rPr>
        <w:t xml:space="preserve"> de </w:t>
      </w:r>
      <w:r w:rsidRPr="00C8701B">
        <w:rPr>
          <w:rFonts w:eastAsia="Arial Unicode MS"/>
          <w:bCs/>
          <w:lang w:eastAsia="fr-FR" w:bidi="he-IL"/>
        </w:rPr>
        <w:t>plus d’un trésor caché. En même temps</w:t>
      </w:r>
      <w:r>
        <w:rPr>
          <w:rFonts w:eastAsia="Arial Unicode MS"/>
          <w:bCs/>
          <w:lang w:eastAsia="fr-FR" w:bidi="he-IL"/>
        </w:rPr>
        <w:t xml:space="preserve">, </w:t>
      </w:r>
      <w:r w:rsidRPr="00C8701B">
        <w:rPr>
          <w:rFonts w:eastAsia="Arial Unicode MS"/>
          <w:bCs/>
          <w:lang w:eastAsia="fr-FR" w:bidi="he-IL"/>
        </w:rPr>
        <w:t>il</w:t>
      </w:r>
      <w:r w:rsidRPr="00C8701B">
        <w:rPr>
          <w:rFonts w:eastAsia="Arial Unicode MS"/>
          <w:lang w:eastAsia="fr-FR" w:bidi="he-IL"/>
        </w:rPr>
        <w:t xml:space="preserve"> sera</w:t>
      </w:r>
      <w:r w:rsidRPr="00C8701B">
        <w:rPr>
          <w:rFonts w:eastAsia="Arial Unicode MS"/>
          <w:bCs/>
          <w:lang w:eastAsia="fr-FR" w:bidi="he-IL"/>
        </w:rPr>
        <w:t xml:space="preserve"> en position d’apprécier tout ce qu’elle a de solide et de convaincant </w:t>
      </w:r>
      <w:r>
        <w:rPr>
          <w:rFonts w:eastAsia="Arial Unicode MS"/>
          <w:bCs/>
          <w:lang w:eastAsia="fr-FR" w:bidi="he-IL"/>
        </w:rPr>
        <w:t xml:space="preserve">; </w:t>
      </w:r>
      <w:r w:rsidRPr="00C8701B">
        <w:rPr>
          <w:rFonts w:eastAsia="Arial Unicode MS"/>
          <w:bCs/>
          <w:lang w:eastAsia="fr-FR" w:bidi="he-IL"/>
        </w:rPr>
        <w:t>il reconnaîtra qu’elle repose sur des principes irréfragables</w:t>
      </w:r>
      <w:r>
        <w:rPr>
          <w:rFonts w:eastAsia="Arial Unicode MS"/>
          <w:bCs/>
          <w:lang w:eastAsia="fr-FR" w:bidi="he-IL"/>
        </w:rPr>
        <w:t xml:space="preserve">, </w:t>
      </w:r>
      <w:r w:rsidRPr="00C8701B">
        <w:rPr>
          <w:rFonts w:eastAsia="Arial Unicode MS"/>
          <w:bCs/>
          <w:lang w:eastAsia="fr-FR" w:bidi="he-IL"/>
        </w:rPr>
        <w:t>et qu’elle est comme un monument à la fois utile et d’une structure élégante</w:t>
      </w:r>
      <w:r>
        <w:rPr>
          <w:rFonts w:eastAsia="Arial Unicode MS"/>
          <w:bCs/>
          <w:lang w:eastAsia="fr-FR" w:bidi="he-IL"/>
        </w:rPr>
        <w:t xml:space="preserve">, </w:t>
      </w:r>
      <w:r w:rsidRPr="00C8701B">
        <w:rPr>
          <w:rFonts w:eastAsia="Arial Unicode MS"/>
          <w:bCs/>
          <w:lang w:eastAsia="fr-FR" w:bidi="he-IL"/>
        </w:rPr>
        <w:t>que l’industrie des hommes aurait élevé</w:t>
      </w:r>
      <w:r>
        <w:rPr>
          <w:rFonts w:eastAsia="Arial Unicode MS"/>
          <w:bCs/>
          <w:lang w:eastAsia="fr-FR" w:bidi="he-IL"/>
        </w:rPr>
        <w:t xml:space="preserve">, </w:t>
      </w:r>
      <w:r w:rsidRPr="00C8701B">
        <w:rPr>
          <w:rFonts w:eastAsia="Arial Unicode MS"/>
          <w:bCs/>
          <w:lang w:eastAsia="fr-FR" w:bidi="he-IL"/>
        </w:rPr>
        <w:t>en lui donnant pour fondement le roc inébranlable de la vérité. Elle est semblable à un bastion avancé</w:t>
      </w:r>
      <w:r>
        <w:rPr>
          <w:rFonts w:eastAsia="Arial Unicode MS"/>
          <w:bCs/>
          <w:lang w:eastAsia="fr-FR" w:bidi="he-IL"/>
        </w:rPr>
        <w:t xml:space="preserve">, </w:t>
      </w:r>
      <w:r w:rsidRPr="00C8701B">
        <w:rPr>
          <w:rFonts w:eastAsia="Arial Unicode MS"/>
          <w:bCs/>
          <w:lang w:eastAsia="fr-FR" w:bidi="he-IL"/>
        </w:rPr>
        <w:t>construit en dehors d’une forteresse inexpugnable</w:t>
      </w:r>
      <w:r>
        <w:rPr>
          <w:rFonts w:eastAsia="Arial Unicode MS"/>
          <w:bCs/>
          <w:lang w:eastAsia="fr-FR" w:bidi="he-IL"/>
        </w:rPr>
        <w:t xml:space="preserve">, </w:t>
      </w:r>
      <w:r w:rsidRPr="00C8701B">
        <w:rPr>
          <w:rFonts w:eastAsia="Arial Unicode MS"/>
          <w:bCs/>
          <w:lang w:eastAsia="fr-FR" w:bidi="he-IL"/>
        </w:rPr>
        <w:t>ou à une digue jetée en avant d’un port sûr</w:t>
      </w:r>
      <w:r>
        <w:rPr>
          <w:rFonts w:eastAsia="Arial Unicode MS"/>
          <w:bCs/>
          <w:lang w:eastAsia="fr-FR" w:bidi="he-IL"/>
        </w:rPr>
        <w:t xml:space="preserve">, </w:t>
      </w:r>
      <w:r w:rsidRPr="00C8701B">
        <w:rPr>
          <w:rFonts w:eastAsia="Arial Unicode MS"/>
          <w:bCs/>
          <w:lang w:eastAsia="fr-FR" w:bidi="he-IL"/>
        </w:rPr>
        <w:t>creusé dans un rivage entouré de rochers.... Nulle branche de la science biblique n’a plus complètement déçu l’attente impie des incrédules</w:t>
      </w:r>
      <w:r>
        <w:rPr>
          <w:rFonts w:eastAsia="Arial Unicode MS"/>
          <w:bCs/>
          <w:lang w:eastAsia="fr-FR" w:bidi="he-IL"/>
        </w:rPr>
        <w:t>, ou</w:t>
      </w:r>
      <w:r w:rsidRPr="00C8701B">
        <w:rPr>
          <w:rFonts w:eastAsia="Arial Unicode MS"/>
          <w:bCs/>
          <w:lang w:eastAsia="fr-FR" w:bidi="he-IL"/>
        </w:rPr>
        <w:t xml:space="preserve"> répondu plus fidèlement aux espérances catholiques</w:t>
      </w:r>
      <w:r>
        <w:rPr>
          <w:rFonts w:eastAsia="Arial Unicode MS"/>
          <w:bCs/>
          <w:lang w:eastAsia="fr-FR" w:bidi="he-IL"/>
        </w:rPr>
        <w:t xml:space="preserve">, </w:t>
      </w:r>
      <w:r w:rsidRPr="00C8701B">
        <w:rPr>
          <w:rFonts w:eastAsia="Arial Unicode MS"/>
          <w:bCs/>
          <w:lang w:eastAsia="fr-FR" w:bidi="he-IL"/>
        </w:rPr>
        <w:t xml:space="preserve">que l’étude critique de la Sainte </w:t>
      </w:r>
      <w:r>
        <w:rPr>
          <w:rFonts w:eastAsia="Arial Unicode MS"/>
          <w:bCs/>
          <w:lang w:eastAsia="fr-FR" w:bidi="he-IL"/>
        </w:rPr>
        <w:t>Écriture</w:t>
      </w:r>
      <w:r w:rsidRPr="00C8701B">
        <w:rPr>
          <w:rFonts w:eastAsia="Arial Unicode MS"/>
          <w:bCs/>
          <w:lang w:eastAsia="fr-FR" w:bidi="he-IL"/>
        </w:rPr>
        <w:t>. Nous</w:t>
      </w:r>
      <w:r>
        <w:rPr>
          <w:rFonts w:eastAsia="Arial Unicode MS"/>
          <w:bCs/>
          <w:lang w:eastAsia="fr-FR" w:bidi="he-IL"/>
        </w:rPr>
        <w:t xml:space="preserve"> exciterons sans doute une certa</w:t>
      </w:r>
      <w:r w:rsidRPr="00C8701B">
        <w:rPr>
          <w:rFonts w:eastAsia="Arial Unicode MS"/>
          <w:bCs/>
          <w:lang w:eastAsia="fr-FR" w:bidi="he-IL"/>
        </w:rPr>
        <w:t>ine surprise chez nos lecteurs</w:t>
      </w:r>
      <w:r>
        <w:rPr>
          <w:rFonts w:eastAsia="Arial Unicode MS"/>
          <w:bCs/>
          <w:lang w:eastAsia="fr-FR" w:bidi="he-IL"/>
        </w:rPr>
        <w:t xml:space="preserve">, </w:t>
      </w:r>
      <w:r w:rsidRPr="00C8701B">
        <w:rPr>
          <w:rFonts w:eastAsia="Arial Unicode MS"/>
          <w:bCs/>
          <w:lang w:eastAsia="fr-FR" w:bidi="he-IL"/>
        </w:rPr>
        <w:t>en disant que ce genre d’étude est plein de charme et d’élévation. Peut-être</w:t>
      </w:r>
      <w:r>
        <w:rPr>
          <w:rFonts w:eastAsia="Arial Unicode MS"/>
          <w:bCs/>
          <w:lang w:eastAsia="fr-FR" w:bidi="he-IL"/>
        </w:rPr>
        <w:t xml:space="preserve">, </w:t>
      </w:r>
      <w:r w:rsidRPr="00C8701B">
        <w:rPr>
          <w:rFonts w:eastAsia="Arial Unicode MS"/>
          <w:bCs/>
          <w:lang w:eastAsia="fr-FR" w:bidi="he-IL"/>
        </w:rPr>
        <w:t>dira-t-on</w:t>
      </w:r>
      <w:r>
        <w:rPr>
          <w:rFonts w:eastAsia="Arial Unicode MS"/>
          <w:bCs/>
          <w:lang w:eastAsia="fr-FR" w:bidi="he-IL"/>
        </w:rPr>
        <w:t xml:space="preserve">, </w:t>
      </w:r>
      <w:r w:rsidRPr="00C8701B">
        <w:rPr>
          <w:rFonts w:eastAsia="Arial Unicode MS"/>
          <w:bCs/>
          <w:lang w:eastAsia="fr-FR" w:bidi="he-IL"/>
        </w:rPr>
        <w:t>ne manque-t-il pas de solidité</w:t>
      </w:r>
      <w:r>
        <w:rPr>
          <w:rFonts w:eastAsia="Arial Unicode MS"/>
          <w:bCs/>
          <w:lang w:eastAsia="fr-FR" w:bidi="he-IL"/>
        </w:rPr>
        <w:t xml:space="preserve">, </w:t>
      </w:r>
      <w:r w:rsidRPr="00C8701B">
        <w:rPr>
          <w:rFonts w:eastAsia="Arial Unicode MS"/>
          <w:bCs/>
          <w:lang w:eastAsia="fr-FR" w:bidi="he-IL"/>
        </w:rPr>
        <w:t>mais qu’offre-t-il qui soit de nature à captiver l’esprit ou à conquérir l’admiration ?</w:t>
      </w:r>
      <w:r>
        <w:rPr>
          <w:rFonts w:eastAsia="Arial Unicode MS"/>
          <w:bCs/>
          <w:lang w:eastAsia="fr-FR" w:bidi="he-IL"/>
        </w:rPr>
        <w:t xml:space="preserve"> Il </w:t>
      </w:r>
      <w:r w:rsidRPr="00C8701B">
        <w:rPr>
          <w:rFonts w:eastAsia="Arial Unicode MS"/>
          <w:bCs/>
          <w:lang w:eastAsia="fr-FR" w:bidi="he-IL"/>
        </w:rPr>
        <w:t>va de soi-même que nous voulons parler ici de cette étude faite dans l’esprit du catholicisme.... Que le sentier qui y conduit soit rude</w:t>
      </w:r>
      <w:r>
        <w:rPr>
          <w:rFonts w:eastAsia="Arial Unicode MS"/>
          <w:bCs/>
          <w:lang w:eastAsia="fr-FR" w:bidi="he-IL"/>
        </w:rPr>
        <w:t xml:space="preserve">, </w:t>
      </w:r>
      <w:r w:rsidRPr="00C8701B">
        <w:rPr>
          <w:rFonts w:eastAsia="Arial Unicode MS"/>
          <w:bCs/>
          <w:lang w:eastAsia="fr-FR" w:bidi="he-IL"/>
        </w:rPr>
        <w:t>escarpé</w:t>
      </w:r>
      <w:r>
        <w:rPr>
          <w:rFonts w:eastAsia="Arial Unicode MS"/>
          <w:bCs/>
          <w:lang w:eastAsia="fr-FR" w:bidi="he-IL"/>
        </w:rPr>
        <w:t xml:space="preserve">, </w:t>
      </w:r>
      <w:r w:rsidRPr="00C8701B">
        <w:rPr>
          <w:rFonts w:eastAsia="Arial Unicode MS"/>
          <w:bCs/>
          <w:lang w:eastAsia="fr-FR" w:bidi="he-IL"/>
        </w:rPr>
        <w:t>couvert de broussailles</w:t>
      </w:r>
      <w:r>
        <w:rPr>
          <w:rFonts w:eastAsia="Arial Unicode MS"/>
          <w:bCs/>
          <w:lang w:eastAsia="fr-FR" w:bidi="he-IL"/>
        </w:rPr>
        <w:t xml:space="preserve">, </w:t>
      </w:r>
      <w:r w:rsidRPr="00C8701B">
        <w:rPr>
          <w:rFonts w:eastAsia="Arial Unicode MS"/>
          <w:bCs/>
          <w:lang w:eastAsia="fr-FR" w:bidi="he-IL"/>
        </w:rPr>
        <w:t>et</w:t>
      </w:r>
      <w:r>
        <w:rPr>
          <w:rFonts w:eastAsia="Arial Unicode MS"/>
          <w:bCs/>
          <w:lang w:eastAsia="fr-FR" w:bidi="he-IL"/>
        </w:rPr>
        <w:t xml:space="preserve">, </w:t>
      </w:r>
      <w:r w:rsidRPr="00C8701B">
        <w:rPr>
          <w:rFonts w:eastAsia="Arial Unicode MS"/>
          <w:bCs/>
          <w:lang w:eastAsia="fr-FR" w:bidi="he-IL"/>
        </w:rPr>
        <w:t>par conséquent</w:t>
      </w:r>
      <w:r>
        <w:rPr>
          <w:rFonts w:eastAsia="Arial Unicode MS"/>
          <w:bCs/>
          <w:lang w:eastAsia="fr-FR" w:bidi="he-IL"/>
        </w:rPr>
        <w:t xml:space="preserve">, </w:t>
      </w:r>
      <w:r w:rsidRPr="00C8701B">
        <w:rPr>
          <w:rFonts w:eastAsia="Arial Unicode MS"/>
          <w:bCs/>
          <w:lang w:eastAsia="fr-FR" w:bidi="he-IL"/>
        </w:rPr>
        <w:t>fatiguant</w:t>
      </w:r>
      <w:r>
        <w:rPr>
          <w:rFonts w:eastAsia="Arial Unicode MS"/>
          <w:bCs/>
          <w:lang w:eastAsia="fr-FR" w:bidi="he-IL"/>
        </w:rPr>
        <w:t xml:space="preserve">, </w:t>
      </w:r>
      <w:r w:rsidRPr="00C8701B">
        <w:rPr>
          <w:rFonts w:eastAsia="Arial Unicode MS"/>
          <w:bCs/>
          <w:lang w:eastAsia="fr-FR" w:bidi="he-IL"/>
        </w:rPr>
        <w:t>je ne le nierai point </w:t>
      </w:r>
      <w:r>
        <w:rPr>
          <w:rFonts w:eastAsia="Arial Unicode MS"/>
          <w:bCs/>
          <w:lang w:eastAsia="fr-FR" w:bidi="he-IL"/>
        </w:rPr>
        <w:t xml:space="preserve">; </w:t>
      </w:r>
      <w:r w:rsidRPr="00C8701B">
        <w:rPr>
          <w:rFonts w:eastAsia="Arial Unicode MS"/>
          <w:bCs/>
          <w:lang w:eastAsia="fr-FR" w:bidi="he-IL"/>
        </w:rPr>
        <w:t>en effet</w:t>
      </w:r>
      <w:r>
        <w:rPr>
          <w:rFonts w:eastAsia="Arial Unicode MS"/>
          <w:bCs/>
          <w:lang w:eastAsia="fr-FR" w:bidi="he-IL"/>
        </w:rPr>
        <w:t xml:space="preserve">, </w:t>
      </w:r>
      <w:r w:rsidRPr="00C8701B">
        <w:rPr>
          <w:rFonts w:eastAsia="Arial Unicode MS"/>
          <w:bCs/>
          <w:lang w:eastAsia="fr-FR" w:bidi="he-IL"/>
        </w:rPr>
        <w:t>il n’y a point de grande route pour arriver à la science : c’est là un axiome dont on peut reconnaître la justesse</w:t>
      </w:r>
      <w:r>
        <w:rPr>
          <w:rFonts w:eastAsia="Arial Unicode MS"/>
          <w:bCs/>
          <w:lang w:eastAsia="fr-FR" w:bidi="he-IL"/>
        </w:rPr>
        <w:t xml:space="preserve">, </w:t>
      </w:r>
      <w:r w:rsidRPr="00C8701B">
        <w:rPr>
          <w:rFonts w:eastAsia="Arial Unicode MS"/>
          <w:bCs/>
          <w:lang w:eastAsia="fr-FR" w:bidi="he-IL"/>
        </w:rPr>
        <w:t>ici comme ailleurs. Il faut de la patience pour apprendre la partie technique de cette étude</w:t>
      </w:r>
      <w:r>
        <w:rPr>
          <w:rFonts w:eastAsia="Arial Unicode MS"/>
          <w:bCs/>
          <w:lang w:eastAsia="fr-FR" w:bidi="he-IL"/>
        </w:rPr>
        <w:t xml:space="preserve">, </w:t>
      </w:r>
      <w:r w:rsidRPr="00C8701B">
        <w:rPr>
          <w:rFonts w:eastAsia="Arial Unicode MS"/>
          <w:lang w:eastAsia="fr-FR" w:bidi="he-IL"/>
        </w:rPr>
        <w:t>pour</w:t>
      </w:r>
      <w:r w:rsidRPr="00C8701B">
        <w:rPr>
          <w:rFonts w:eastAsia="Arial Unicode MS"/>
          <w:bCs/>
          <w:lang w:eastAsia="fr-FR" w:bidi="he-IL"/>
        </w:rPr>
        <w:t xml:space="preserve"> se familiariser avec sa phraséologie particulière</w:t>
      </w:r>
      <w:r>
        <w:rPr>
          <w:rFonts w:eastAsia="Arial Unicode MS"/>
          <w:bCs/>
          <w:lang w:eastAsia="fr-FR" w:bidi="he-IL"/>
        </w:rPr>
        <w:t xml:space="preserve">, </w:t>
      </w:r>
      <w:r w:rsidRPr="00C8701B">
        <w:rPr>
          <w:rFonts w:eastAsia="Arial Unicode MS"/>
          <w:bCs/>
          <w:lang w:eastAsia="fr-FR" w:bidi="he-IL"/>
        </w:rPr>
        <w:t xml:space="preserve">pour retrouver son chemin dans </w:t>
      </w:r>
      <w:r>
        <w:rPr>
          <w:rFonts w:eastAsia="Arial Unicode MS"/>
          <w:bCs/>
          <w:lang w:eastAsia="fr-FR" w:bidi="he-IL"/>
        </w:rPr>
        <w:t>le labyrinthe des divers systèm</w:t>
      </w:r>
      <w:r w:rsidRPr="00C8701B">
        <w:rPr>
          <w:rFonts w:eastAsia="Arial Unicode MS"/>
          <w:bCs/>
          <w:lang w:eastAsia="fr-FR" w:bidi="he-IL"/>
        </w:rPr>
        <w:t>es de classification et de vérification. Peut-être</w:t>
      </w:r>
      <w:r>
        <w:rPr>
          <w:rFonts w:eastAsia="Arial Unicode MS"/>
          <w:bCs/>
          <w:lang w:eastAsia="fr-FR" w:bidi="he-IL"/>
        </w:rPr>
        <w:t xml:space="preserve">, </w:t>
      </w:r>
      <w:r w:rsidRPr="00C8701B">
        <w:rPr>
          <w:rFonts w:eastAsia="Arial Unicode MS"/>
          <w:bCs/>
          <w:lang w:eastAsia="fr-FR" w:bidi="he-IL"/>
        </w:rPr>
        <w:t>même</w:t>
      </w:r>
      <w:r>
        <w:rPr>
          <w:rFonts w:eastAsia="Arial Unicode MS"/>
          <w:bCs/>
          <w:lang w:eastAsia="fr-FR" w:bidi="he-IL"/>
        </w:rPr>
        <w:t xml:space="preserve">, </w:t>
      </w:r>
      <w:r w:rsidRPr="00C8701B">
        <w:rPr>
          <w:rFonts w:eastAsia="Arial Unicode MS"/>
          <w:bCs/>
          <w:lang w:eastAsia="fr-FR" w:bidi="he-IL"/>
        </w:rPr>
        <w:t>pour atteindre ce but</w:t>
      </w:r>
      <w:r>
        <w:rPr>
          <w:rFonts w:eastAsia="Arial Unicode MS"/>
          <w:bCs/>
          <w:lang w:eastAsia="fr-FR" w:bidi="he-IL"/>
        </w:rPr>
        <w:t xml:space="preserve">, </w:t>
      </w:r>
      <w:r w:rsidRPr="00C8701B">
        <w:rPr>
          <w:rFonts w:eastAsia="Arial Unicode MS"/>
          <w:bCs/>
          <w:lang w:eastAsia="fr-FR" w:bidi="he-IL"/>
        </w:rPr>
        <w:t>sera-t-il nécessaire d’apprendre plus d’une langue bizarre à l’œil</w:t>
      </w:r>
      <w:r>
        <w:rPr>
          <w:rFonts w:eastAsia="Arial Unicode MS"/>
          <w:bCs/>
          <w:lang w:eastAsia="fr-FR" w:bidi="he-IL"/>
        </w:rPr>
        <w:t xml:space="preserve">, </w:t>
      </w:r>
      <w:r w:rsidRPr="00C8701B">
        <w:rPr>
          <w:rFonts w:eastAsia="Arial Unicode MS"/>
          <w:bCs/>
          <w:lang w:eastAsia="fr-FR" w:bidi="he-IL"/>
        </w:rPr>
        <w:t>rude à l’oreille</w:t>
      </w:r>
      <w:r>
        <w:rPr>
          <w:rFonts w:eastAsia="Arial Unicode MS"/>
          <w:bCs/>
          <w:lang w:eastAsia="fr-FR" w:bidi="he-IL"/>
        </w:rPr>
        <w:t xml:space="preserve">, </w:t>
      </w:r>
      <w:r w:rsidRPr="00C8701B">
        <w:rPr>
          <w:rFonts w:eastAsia="Arial Unicode MS"/>
          <w:bCs/>
          <w:lang w:eastAsia="fr-FR" w:bidi="he-IL"/>
        </w:rPr>
        <w:t>étrange à l’esprit. Puis il est indispensable d’acquérir une certaine habilité pratique</w:t>
      </w:r>
      <w:r>
        <w:rPr>
          <w:rFonts w:eastAsia="Arial Unicode MS"/>
          <w:bCs/>
          <w:lang w:eastAsia="fr-FR" w:bidi="he-IL"/>
        </w:rPr>
        <w:t xml:space="preserve">, </w:t>
      </w:r>
      <w:r w:rsidRPr="00C8701B">
        <w:rPr>
          <w:rFonts w:eastAsia="Arial Unicode MS"/>
          <w:bCs/>
          <w:lang w:eastAsia="fr-FR" w:bidi="he-IL"/>
        </w:rPr>
        <w:t>une dextérité dont l’apprentissage est pénible</w:t>
      </w:r>
      <w:r>
        <w:rPr>
          <w:rFonts w:eastAsia="Arial Unicode MS"/>
          <w:bCs/>
          <w:lang w:eastAsia="fr-FR" w:bidi="he-IL"/>
        </w:rPr>
        <w:t xml:space="preserve">, </w:t>
      </w:r>
      <w:r w:rsidRPr="00C8701B">
        <w:rPr>
          <w:rFonts w:eastAsia="Arial Unicode MS"/>
          <w:bCs/>
          <w:lang w:eastAsia="fr-FR" w:bidi="he-IL"/>
        </w:rPr>
        <w:t>et</w:t>
      </w:r>
      <w:r>
        <w:rPr>
          <w:rFonts w:eastAsia="Arial Unicode MS"/>
          <w:bCs/>
          <w:lang w:eastAsia="fr-FR" w:bidi="he-IL"/>
        </w:rPr>
        <w:t xml:space="preserve"> </w:t>
      </w:r>
      <w:r w:rsidRPr="00C8701B">
        <w:rPr>
          <w:rFonts w:eastAsia="Arial Unicode MS"/>
          <w:bCs/>
          <w:lang w:eastAsia="fr-FR" w:bidi="he-IL"/>
        </w:rPr>
        <w:t>exige</w:t>
      </w:r>
      <w:r>
        <w:rPr>
          <w:rFonts w:eastAsia="Arial Unicode MS"/>
          <w:bCs/>
          <w:lang w:eastAsia="fr-FR" w:bidi="he-IL"/>
        </w:rPr>
        <w:t xml:space="preserve"> </w:t>
      </w:r>
      <w:r w:rsidRPr="00C8701B">
        <w:rPr>
          <w:rFonts w:eastAsia="Arial Unicode MS"/>
          <w:bCs/>
          <w:lang w:eastAsia="fr-FR" w:bidi="he-IL"/>
        </w:rPr>
        <w:t>de la persévérance. Mais</w:t>
      </w:r>
      <w:r>
        <w:rPr>
          <w:rFonts w:eastAsia="Arial Unicode MS"/>
          <w:bCs/>
          <w:lang w:eastAsia="fr-FR" w:bidi="he-IL"/>
        </w:rPr>
        <w:t xml:space="preserve">, </w:t>
      </w:r>
      <w:r w:rsidRPr="00C8701B">
        <w:rPr>
          <w:rFonts w:eastAsia="Arial Unicode MS"/>
          <w:lang w:eastAsia="fr-FR" w:bidi="he-IL"/>
        </w:rPr>
        <w:t>une</w:t>
      </w:r>
      <w:r w:rsidRPr="00C8701B">
        <w:rPr>
          <w:rFonts w:eastAsia="Arial Unicode MS"/>
          <w:bCs/>
          <w:lang w:eastAsia="fr-FR" w:bidi="he-IL"/>
        </w:rPr>
        <w:t xml:space="preserve"> fois que ces formalités préliminaires ont été remplies</w:t>
      </w:r>
      <w:r>
        <w:rPr>
          <w:rFonts w:eastAsia="Arial Unicode MS"/>
          <w:bCs/>
          <w:lang w:eastAsia="fr-FR" w:bidi="he-IL"/>
        </w:rPr>
        <w:t xml:space="preserve">, </w:t>
      </w:r>
      <w:r w:rsidRPr="00C8701B">
        <w:rPr>
          <w:rFonts w:eastAsia="Arial Unicode MS"/>
          <w:bCs/>
          <w:lang w:eastAsia="fr-FR" w:bidi="he-IL"/>
        </w:rPr>
        <w:t>la science elle-même nous semble pleine d’intérêt et de charme ». Wiseman</w:t>
      </w:r>
      <w:r>
        <w:rPr>
          <w:rFonts w:eastAsia="Arial Unicode MS"/>
          <w:bCs/>
          <w:lang w:eastAsia="fr-FR" w:bidi="he-IL"/>
        </w:rPr>
        <w:t xml:space="preserve">, </w:t>
      </w:r>
      <w:r w:rsidRPr="00DC4586">
        <w:rPr>
          <w:rStyle w:val="italicus"/>
        </w:rPr>
        <w:t>Mélanges religieux</w:t>
      </w:r>
      <w:r>
        <w:rPr>
          <w:rStyle w:val="italicus"/>
        </w:rPr>
        <w:t xml:space="preserve">, </w:t>
      </w:r>
      <w:r w:rsidRPr="00DC4586">
        <w:rPr>
          <w:rStyle w:val="italicus"/>
        </w:rPr>
        <w:t>scientifiques et littéraires</w:t>
      </w:r>
      <w:r>
        <w:rPr>
          <w:rStyle w:val="italicus"/>
        </w:rPr>
        <w:t xml:space="preserve">, </w:t>
      </w:r>
      <w:r w:rsidRPr="00C8701B">
        <w:rPr>
          <w:rFonts w:eastAsia="Arial Unicode MS"/>
          <w:bCs/>
          <w:lang w:eastAsia="fr-FR" w:bidi="he-IL"/>
        </w:rPr>
        <w:t>Paris 1858</w:t>
      </w:r>
      <w:r>
        <w:rPr>
          <w:rFonts w:eastAsia="Arial Unicode MS"/>
          <w:bCs/>
          <w:lang w:eastAsia="fr-FR" w:bidi="he-IL"/>
        </w:rPr>
        <w:t xml:space="preserve">, </w:t>
      </w:r>
      <w:r w:rsidRPr="00C8701B">
        <w:rPr>
          <w:rFonts w:eastAsia="Arial Unicode MS"/>
          <w:bCs/>
          <w:lang w:eastAsia="fr-FR" w:bidi="he-IL"/>
        </w:rPr>
        <w:t>p</w:t>
      </w:r>
      <w:r>
        <w:rPr>
          <w:rFonts w:eastAsia="Arial Unicode MS"/>
          <w:bCs/>
          <w:lang w:eastAsia="fr-FR" w:bidi="he-IL"/>
        </w:rPr>
        <w:t>. 70 e</w:t>
      </w:r>
      <w:r w:rsidRPr="00C8701B">
        <w:rPr>
          <w:rFonts w:eastAsia="Arial Unicode MS"/>
          <w:bCs/>
          <w:lang w:eastAsia="fr-FR" w:bidi="he-IL"/>
        </w:rPr>
        <w:t>t ss.</w:t>
      </w:r>
    </w:p>
  </w:footnote>
  <w:footnote w:id="404">
    <w:p w:rsidR="00941AA6" w:rsidRPr="0077300D" w:rsidRDefault="00941AA6">
      <w:pPr>
        <w:pStyle w:val="Notedebasdepage"/>
      </w:pPr>
      <w:r w:rsidRPr="00C406FF">
        <w:rPr>
          <w:rStyle w:val="Appelnotedebasdep"/>
        </w:rPr>
        <w:footnoteRef/>
      </w:r>
      <w:r>
        <w:t xml:space="preserve"> </w:t>
      </w:r>
      <w:r>
        <w:rPr>
          <w:lang w:eastAsia="fr-FR"/>
        </w:rPr>
        <w:t xml:space="preserve">58 en lettres onciales, 183 en </w:t>
      </w:r>
      <w:r w:rsidRPr="002C017E">
        <w:rPr>
          <w:lang w:eastAsia="fr-FR"/>
        </w:rPr>
        <w:t xml:space="preserve">caractères cursifs. </w:t>
      </w:r>
      <w:r>
        <w:rPr>
          <w:lang w:val="en-GB" w:eastAsia="fr-FR"/>
        </w:rPr>
        <w:t>V</w:t>
      </w:r>
      <w:r w:rsidRPr="002C017E">
        <w:rPr>
          <w:lang w:val="en-GB" w:eastAsia="fr-FR"/>
        </w:rPr>
        <w:t>oy. Scrivener,</w:t>
      </w:r>
      <w:r>
        <w:rPr>
          <w:i/>
          <w:iCs/>
          <w:lang w:val="en-GB" w:eastAsia="fr-FR"/>
        </w:rPr>
        <w:t xml:space="preserve"> A plain Introduction to th</w:t>
      </w:r>
      <w:r w:rsidRPr="002C017E">
        <w:rPr>
          <w:i/>
          <w:iCs/>
          <w:lang w:val="en-GB" w:eastAsia="fr-FR"/>
        </w:rPr>
        <w:t>e Criticism of the New Testament</w:t>
      </w:r>
      <w:r>
        <w:rPr>
          <w:lang w:val="en-GB" w:eastAsia="fr-FR"/>
        </w:rPr>
        <w:t xml:space="preserve">, édit., Londres 1883, </w:t>
      </w:r>
      <w:r w:rsidRPr="009C7AB2">
        <w:rPr>
          <w:lang w:val="en-GB"/>
        </w:rPr>
        <w:t>p.</w:t>
      </w:r>
      <w:r w:rsidRPr="000F6981">
        <w:rPr>
          <w:lang w:val="en-GB"/>
        </w:rPr>
        <w:t xml:space="preserve"> 225. </w:t>
      </w:r>
      <w:r w:rsidRPr="000F6981">
        <w:t>Ces évangéliaires, ou εὑαγγελιστ</w:t>
      </w:r>
      <w:r>
        <w:t>ά</w:t>
      </w:r>
      <w:r w:rsidRPr="000F6981">
        <w:t xml:space="preserve">ρια, ne </w:t>
      </w:r>
      <w:r w:rsidRPr="002C017E">
        <w:rPr>
          <w:lang w:eastAsia="fr-FR"/>
        </w:rPr>
        <w:t>contenaient que les évangiles du Dimanche et des fêtes</w:t>
      </w:r>
      <w:r>
        <w:rPr>
          <w:lang w:eastAsia="fr-FR"/>
        </w:rPr>
        <w:t> ; c’é</w:t>
      </w:r>
      <w:r w:rsidRPr="002C017E">
        <w:rPr>
          <w:lang w:eastAsia="fr-FR"/>
        </w:rPr>
        <w:t>taient des livres liturgiques avant tout.</w:t>
      </w:r>
    </w:p>
  </w:footnote>
  <w:footnote w:id="405">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Introduction générale</w:t>
      </w:r>
      <w:r>
        <w:rPr>
          <w:rFonts w:eastAsia="Arial Unicode MS"/>
          <w:bCs/>
          <w:lang w:eastAsia="fr-FR" w:bidi="he-IL"/>
        </w:rPr>
        <w:t xml:space="preserve">, t. I, </w:t>
      </w:r>
      <w:r w:rsidRPr="00C8701B">
        <w:rPr>
          <w:rFonts w:eastAsia="Arial Unicode MS"/>
          <w:bCs/>
          <w:lang w:eastAsia="fr-FR" w:bidi="he-IL"/>
        </w:rPr>
        <w:t xml:space="preserve">p. 320 et ss. </w:t>
      </w:r>
      <w:r w:rsidRPr="000819BA">
        <w:rPr>
          <w:rFonts w:eastAsia="Arial Unicode MS"/>
          <w:bCs/>
          <w:lang w:eastAsia="fr-FR" w:bidi="he-IL"/>
        </w:rPr>
        <w:t xml:space="preserve">Voyez aussi Tischendorf, </w:t>
      </w:r>
      <w:r>
        <w:rPr>
          <w:rStyle w:val="italicus"/>
        </w:rPr>
        <w:t>Novum Testaméntum græ</w:t>
      </w:r>
      <w:r w:rsidRPr="000819BA">
        <w:rPr>
          <w:rStyle w:val="italicus"/>
        </w:rPr>
        <w:t xml:space="preserve">c., </w:t>
      </w:r>
      <w:r w:rsidRPr="000819BA">
        <w:rPr>
          <w:rFonts w:eastAsia="Arial Unicode MS"/>
          <w:bCs/>
          <w:lang w:eastAsia="fr-FR" w:bidi="he-IL"/>
        </w:rPr>
        <w:t xml:space="preserve">edit. </w:t>
      </w:r>
      <w:r>
        <w:rPr>
          <w:rFonts w:eastAsia="Arial Unicode MS"/>
          <w:bCs/>
          <w:lang w:eastAsia="fr-FR" w:bidi="he-IL"/>
        </w:rPr>
        <w:t>VII</w:t>
      </w:r>
      <w:r w:rsidRPr="000819BA">
        <w:rPr>
          <w:rFonts w:eastAsia="Arial Unicode MS"/>
          <w:bCs/>
          <w:lang w:eastAsia="fr-FR" w:bidi="he-IL"/>
        </w:rPr>
        <w:t xml:space="preserve"> minor, Leipzig 1859, p. LXXXV-CII ; Smith, </w:t>
      </w:r>
      <w:r w:rsidRPr="000819BA">
        <w:rPr>
          <w:rStyle w:val="italicus"/>
        </w:rPr>
        <w:t xml:space="preserve">Dictionary of the Bible, </w:t>
      </w:r>
      <w:r>
        <w:rPr>
          <w:rFonts w:eastAsia="Arial Unicode MS"/>
          <w:bCs/>
          <w:lang w:eastAsia="fr-FR" w:bidi="he-IL"/>
        </w:rPr>
        <w:t>t. II</w:t>
      </w:r>
      <w:r w:rsidRPr="000819BA">
        <w:rPr>
          <w:rFonts w:eastAsia="Arial Unicode MS"/>
          <w:bCs/>
          <w:lang w:eastAsia="fr-FR" w:bidi="he-IL"/>
        </w:rPr>
        <w:t>, p. 513 et ss. ; A. Mai</w:t>
      </w:r>
      <w:r>
        <w:rPr>
          <w:rFonts w:eastAsia="Arial Unicode MS"/>
          <w:bCs/>
          <w:lang w:eastAsia="fr-FR" w:bidi="he-IL"/>
        </w:rPr>
        <w:t>er,</w:t>
      </w:r>
      <w:r w:rsidRPr="000819BA">
        <w:rPr>
          <w:rFonts w:eastAsia="Arial Unicode MS"/>
          <w:bCs/>
          <w:lang w:eastAsia="fr-FR" w:bidi="he-IL"/>
        </w:rPr>
        <w:t xml:space="preserve"> </w:t>
      </w:r>
      <w:r>
        <w:rPr>
          <w:rStyle w:val="italicus"/>
        </w:rPr>
        <w:t>Einleitung</w:t>
      </w:r>
      <w:r w:rsidRPr="000819BA">
        <w:rPr>
          <w:rStyle w:val="italicus"/>
        </w:rPr>
        <w:t xml:space="preserve"> in die Schriften des N. Testam.</w:t>
      </w:r>
      <w:r w:rsidRPr="000819BA">
        <w:rPr>
          <w:rFonts w:eastAsia="Arial Unicode MS"/>
          <w:bCs/>
          <w:lang w:eastAsia="fr-FR" w:bidi="he-IL"/>
        </w:rPr>
        <w:t xml:space="preserve"> p. 530 et</w:t>
      </w:r>
      <w:r>
        <w:rPr>
          <w:rFonts w:eastAsia="Arial Unicode MS"/>
          <w:bCs/>
          <w:lang w:eastAsia="fr-FR" w:bidi="he-IL"/>
        </w:rPr>
        <w:t xml:space="preserve"> </w:t>
      </w:r>
      <w:r w:rsidRPr="000819BA">
        <w:rPr>
          <w:rFonts w:eastAsia="Arial Unicode MS"/>
          <w:bCs/>
          <w:lang w:eastAsia="fr-FR" w:bidi="he-IL"/>
        </w:rPr>
        <w:t>ss.</w:t>
      </w:r>
      <w:r>
        <w:rPr>
          <w:rFonts w:eastAsia="Arial Unicode MS"/>
          <w:bCs/>
          <w:lang w:eastAsia="fr-FR" w:bidi="he-IL"/>
        </w:rPr>
        <w:t xml:space="preserve"> </w:t>
      </w:r>
      <w:r w:rsidRPr="00C8701B">
        <w:rPr>
          <w:rFonts w:eastAsia="Arial Unicode MS"/>
          <w:bCs/>
          <w:lang w:val="el-GR" w:eastAsia="fr-FR" w:bidi="he-IL"/>
        </w:rPr>
        <w:t xml:space="preserve">Ε </w:t>
      </w:r>
      <w:r w:rsidRPr="009E1A8A">
        <w:rPr>
          <w:lang w:val="en-GB"/>
        </w:rPr>
        <w:t>Miller</w:t>
      </w:r>
      <w:r>
        <w:rPr>
          <w:rFonts w:eastAsia="Arial Unicode MS"/>
          <w:bCs/>
          <w:lang w:val="en-US" w:eastAsia="fr-FR" w:bidi="he-IL"/>
        </w:rPr>
        <w:t xml:space="preserve">, </w:t>
      </w:r>
      <w:r>
        <w:rPr>
          <w:rStyle w:val="italicus"/>
          <w:lang w:val="en-US"/>
        </w:rPr>
        <w:t>A Guide to t</w:t>
      </w:r>
      <w:r w:rsidRPr="00A74F01">
        <w:rPr>
          <w:rStyle w:val="italicus"/>
          <w:lang w:val="en-US"/>
        </w:rPr>
        <w:t xml:space="preserve">he textual Criticism of the N. Test., </w:t>
      </w:r>
      <w:r w:rsidRPr="00C8701B">
        <w:rPr>
          <w:rFonts w:eastAsia="Arial Unicode MS"/>
          <w:bCs/>
          <w:lang w:val="en-US" w:eastAsia="fr-FR" w:bidi="he-IL"/>
        </w:rPr>
        <w:t>Londres 1886</w:t>
      </w:r>
      <w:r>
        <w:rPr>
          <w:rFonts w:eastAsia="Arial Unicode MS"/>
          <w:bCs/>
          <w:lang w:val="en-US" w:eastAsia="fr-FR" w:bidi="he-IL"/>
        </w:rPr>
        <w:t xml:space="preserve">, </w:t>
      </w:r>
      <w:r w:rsidRPr="00C8701B">
        <w:rPr>
          <w:rFonts w:eastAsia="Arial Unicode MS"/>
          <w:bCs/>
          <w:lang w:val="en-US" w:eastAsia="fr-FR" w:bidi="he-IL"/>
        </w:rPr>
        <w:t>p.108-112.</w:t>
      </w:r>
    </w:p>
  </w:footnote>
  <w:footnote w:id="406">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A. Maier</w:t>
      </w:r>
      <w:r>
        <w:rPr>
          <w:rFonts w:eastAsia="Arial Unicode MS"/>
          <w:bCs/>
          <w:lang w:eastAsia="fr-FR" w:bidi="he-IL"/>
        </w:rPr>
        <w:t xml:space="preserve">, </w:t>
      </w:r>
      <w:r w:rsidRPr="00DC4586">
        <w:rPr>
          <w:rStyle w:val="italicus"/>
        </w:rPr>
        <w:t>loc. cit.</w:t>
      </w:r>
      <w:r>
        <w:rPr>
          <w:rStyle w:val="italicus"/>
        </w:rPr>
        <w:t xml:space="preserve">, </w:t>
      </w:r>
      <w:r w:rsidRPr="00C8701B">
        <w:rPr>
          <w:rFonts w:eastAsia="Arial Unicode MS"/>
          <w:bCs/>
          <w:lang w:eastAsia="fr-FR" w:bidi="he-IL"/>
        </w:rPr>
        <w:t>p. 538 et ss.</w:t>
      </w:r>
    </w:p>
  </w:footnote>
  <w:footnote w:id="407">
    <w:p w:rsidR="00941AA6" w:rsidRPr="00933C60" w:rsidRDefault="00941AA6" w:rsidP="00B51B8F">
      <w:pPr>
        <w:pStyle w:val="Notedebasdepage"/>
      </w:pPr>
      <w:r w:rsidRPr="00C406FF">
        <w:rPr>
          <w:rStyle w:val="Appelnotedebasdep"/>
        </w:rPr>
        <w:footnoteRef/>
      </w:r>
      <w:r w:rsidRPr="00C8701B">
        <w:rPr>
          <w:rFonts w:eastAsia="Arial Unicode MS"/>
          <w:lang w:val="en-US" w:eastAsia="fr-FR" w:bidi="he-IL"/>
        </w:rPr>
        <w:t xml:space="preserve"> </w:t>
      </w:r>
      <w:r w:rsidRPr="00165881">
        <w:rPr>
          <w:rStyle w:val="italicus"/>
          <w:lang w:val="en-GB"/>
        </w:rPr>
        <w:t>Remains of a very ancient Recension of the four Gospels in Syriac, hitherto unknown in Europe,</w:t>
      </w:r>
      <w:r>
        <w:rPr>
          <w:rFonts w:eastAsia="Arial Unicode MS"/>
          <w:bCs/>
          <w:lang w:val="en-US" w:eastAsia="fr-FR" w:bidi="he-IL"/>
        </w:rPr>
        <w:t xml:space="preserve"> </w:t>
      </w:r>
      <w:r w:rsidRPr="00C8701B">
        <w:rPr>
          <w:rFonts w:eastAsia="Arial Unicode MS"/>
          <w:bCs/>
          <w:lang w:val="en-US" w:eastAsia="fr-FR" w:bidi="he-IL"/>
        </w:rPr>
        <w:t xml:space="preserve">Londres 1858. </w:t>
      </w:r>
      <w:r w:rsidRPr="00C8701B">
        <w:rPr>
          <w:rFonts w:eastAsia="Arial Unicode MS"/>
          <w:bCs/>
          <w:lang w:eastAsia="fr-FR" w:bidi="he-IL"/>
        </w:rPr>
        <w:t>Voyez aussi Le Hir</w:t>
      </w:r>
      <w:r>
        <w:rPr>
          <w:rFonts w:eastAsia="Arial Unicode MS"/>
          <w:bCs/>
          <w:lang w:eastAsia="fr-FR" w:bidi="he-IL"/>
        </w:rPr>
        <w:t xml:space="preserve">, </w:t>
      </w:r>
      <w:r>
        <w:rPr>
          <w:rStyle w:val="italicus"/>
        </w:rPr>
        <w:t>Ét</w:t>
      </w:r>
      <w:r w:rsidRPr="00DC4586">
        <w:rPr>
          <w:rStyle w:val="italicus"/>
        </w:rPr>
        <w:t>ude sur une ancienne version syriaque des évangiles</w:t>
      </w:r>
      <w:r>
        <w:rPr>
          <w:rStyle w:val="italicus"/>
        </w:rPr>
        <w:t xml:space="preserve">, </w:t>
      </w:r>
      <w:r w:rsidRPr="00C8701B">
        <w:rPr>
          <w:rFonts w:eastAsia="Arial Unicode MS"/>
          <w:bCs/>
          <w:lang w:eastAsia="fr-FR" w:bidi="he-IL"/>
        </w:rPr>
        <w:t>Paris 1859 (ou</w:t>
      </w:r>
      <w:r w:rsidRPr="00DC4586">
        <w:rPr>
          <w:rStyle w:val="italicus"/>
        </w:rPr>
        <w:t xml:space="preserve"> </w:t>
      </w:r>
      <w:r>
        <w:rPr>
          <w:rStyle w:val="italicus"/>
        </w:rPr>
        <w:t>Étude</w:t>
      </w:r>
      <w:r w:rsidRPr="00DC4586">
        <w:rPr>
          <w:rStyle w:val="italicus"/>
        </w:rPr>
        <w:t>s bibliques</w:t>
      </w:r>
      <w:r>
        <w:rPr>
          <w:rStyle w:val="italicus"/>
        </w:rPr>
        <w:t xml:space="preserve">, </w:t>
      </w:r>
      <w:r>
        <w:t>t. I</w:t>
      </w:r>
      <w:r w:rsidRPr="008155B8">
        <w:t xml:space="preserve">, p. </w:t>
      </w:r>
      <w:r w:rsidRPr="00C8701B">
        <w:rPr>
          <w:rFonts w:eastAsia="Arial Unicode MS"/>
          <w:bCs/>
          <w:lang w:eastAsia="fr-FR" w:bidi="he-IL"/>
        </w:rPr>
        <w:t>251 et ss.</w:t>
      </w:r>
    </w:p>
  </w:footnote>
  <w:footnote w:id="408">
    <w:p w:rsidR="00941AA6" w:rsidRPr="00933C60" w:rsidRDefault="00941AA6">
      <w:pPr>
        <w:pStyle w:val="Notedebasdepage"/>
      </w:pPr>
      <w:r w:rsidRPr="00C406FF">
        <w:rPr>
          <w:rStyle w:val="Appelnotedebasdep"/>
        </w:rPr>
        <w:footnoteRef/>
      </w:r>
      <w:r>
        <w:t xml:space="preserve"> </w:t>
      </w:r>
      <w:r w:rsidRPr="008155B8">
        <w:t xml:space="preserve">Cf. Sabatier, </w:t>
      </w:r>
      <w:r w:rsidRPr="00DC4586">
        <w:rPr>
          <w:rStyle w:val="italicus"/>
        </w:rPr>
        <w:t>Bibli</w:t>
      </w:r>
      <w:r>
        <w:rPr>
          <w:rStyle w:val="italicus"/>
        </w:rPr>
        <w:t>órum</w:t>
      </w:r>
      <w:r w:rsidRPr="00DC4586">
        <w:rPr>
          <w:rStyle w:val="italicus"/>
        </w:rPr>
        <w:t xml:space="preserve"> sacr</w:t>
      </w:r>
      <w:r>
        <w:rPr>
          <w:rStyle w:val="italicus"/>
        </w:rPr>
        <w:t>órum</w:t>
      </w:r>
      <w:r w:rsidRPr="00DC4586">
        <w:rPr>
          <w:rStyle w:val="italicus"/>
        </w:rPr>
        <w:t xml:space="preserve"> latín</w:t>
      </w:r>
      <w:r>
        <w:rPr>
          <w:rStyle w:val="italicus"/>
        </w:rPr>
        <w:t>æ v</w:t>
      </w:r>
      <w:r w:rsidRPr="00DC4586">
        <w:rPr>
          <w:rStyle w:val="italicus"/>
        </w:rPr>
        <w:t>ersi</w:t>
      </w:r>
      <w:r>
        <w:rPr>
          <w:rStyle w:val="italicus"/>
        </w:rPr>
        <w:t>ó</w:t>
      </w:r>
      <w:r w:rsidRPr="00DC4586">
        <w:rPr>
          <w:rStyle w:val="italicus"/>
        </w:rPr>
        <w:t>nes</w:t>
      </w:r>
      <w:r>
        <w:rPr>
          <w:rStyle w:val="italicus"/>
        </w:rPr>
        <w:t xml:space="preserve"> ant</w:t>
      </w:r>
      <w:r w:rsidRPr="00DC4586">
        <w:rPr>
          <w:rStyle w:val="italicus"/>
        </w:rPr>
        <w:t>í</w:t>
      </w:r>
      <w:r>
        <w:rPr>
          <w:rStyle w:val="italicus"/>
        </w:rPr>
        <w:t>quæ seu vet</w:t>
      </w:r>
      <w:r w:rsidRPr="00DC4586">
        <w:rPr>
          <w:rStyle w:val="italicus"/>
        </w:rPr>
        <w:t>us Itálica</w:t>
      </w:r>
      <w:r>
        <w:rPr>
          <w:rStyle w:val="italicus"/>
        </w:rPr>
        <w:t xml:space="preserve">, </w:t>
      </w:r>
      <w:r>
        <w:rPr>
          <w:rFonts w:eastAsia="Arial Unicode MS"/>
          <w:bCs/>
          <w:lang w:eastAsia="fr-FR" w:bidi="he-IL"/>
        </w:rPr>
        <w:t>Pari</w:t>
      </w:r>
      <w:r w:rsidRPr="00C8701B">
        <w:rPr>
          <w:rFonts w:eastAsia="Arial Unicode MS"/>
          <w:bCs/>
          <w:lang w:eastAsia="fr-FR" w:bidi="he-IL"/>
        </w:rPr>
        <w:t xml:space="preserve">s </w:t>
      </w:r>
      <w:r>
        <w:rPr>
          <w:rFonts w:eastAsia="Arial Unicode MS"/>
          <w:bCs/>
          <w:lang w:eastAsia="fr-FR" w:bidi="he-IL"/>
        </w:rPr>
        <w:t>1739-</w:t>
      </w:r>
      <w:r w:rsidRPr="00C8701B">
        <w:rPr>
          <w:rFonts w:eastAsia="Arial Unicode MS"/>
          <w:bCs/>
          <w:lang w:val="el-GR" w:eastAsia="fr-FR" w:bidi="he-IL"/>
        </w:rPr>
        <w:t>1749 </w:t>
      </w:r>
      <w:r>
        <w:rPr>
          <w:rFonts w:eastAsia="Arial Unicode MS"/>
          <w:bCs/>
          <w:lang w:val="el-GR" w:eastAsia="fr-FR" w:bidi="he-IL"/>
        </w:rPr>
        <w:t xml:space="preserve">; </w:t>
      </w:r>
      <w:r w:rsidRPr="00C8701B">
        <w:rPr>
          <w:rFonts w:eastAsia="Arial Unicode MS"/>
          <w:bCs/>
          <w:lang w:eastAsia="fr-FR" w:bidi="he-IL"/>
        </w:rPr>
        <w:t>Rœnsch</w:t>
      </w:r>
      <w:r>
        <w:rPr>
          <w:rFonts w:eastAsia="Arial Unicode MS"/>
          <w:bCs/>
          <w:lang w:eastAsia="fr-FR" w:bidi="he-IL"/>
        </w:rPr>
        <w:t xml:space="preserve">, </w:t>
      </w:r>
      <w:r>
        <w:rPr>
          <w:rStyle w:val="italicus"/>
        </w:rPr>
        <w:t>It</w:t>
      </w:r>
      <w:r w:rsidRPr="00DC4586">
        <w:rPr>
          <w:rStyle w:val="italicus"/>
        </w:rPr>
        <w:t>ala und Vulgáta</w:t>
      </w:r>
      <w:r>
        <w:rPr>
          <w:rStyle w:val="italicus"/>
        </w:rPr>
        <w:t xml:space="preserve">, </w:t>
      </w:r>
      <w:r>
        <w:rPr>
          <w:rFonts w:eastAsia="Arial Unicode MS"/>
          <w:bCs/>
          <w:lang w:eastAsia="fr-FR" w:bidi="he-IL"/>
        </w:rPr>
        <w:t>2</w:t>
      </w:r>
      <w:r w:rsidRPr="008155B8">
        <w:rPr>
          <w:rFonts w:eastAsia="Arial Unicode MS"/>
          <w:bCs/>
          <w:vertAlign w:val="superscript"/>
          <w:lang w:eastAsia="fr-FR" w:bidi="he-IL"/>
        </w:rPr>
        <w:t>e</w:t>
      </w:r>
      <w:r>
        <w:rPr>
          <w:rFonts w:eastAsia="Arial Unicode MS"/>
          <w:bCs/>
          <w:lang w:eastAsia="fr-FR" w:bidi="he-IL"/>
        </w:rPr>
        <w:t xml:space="preserve"> é</w:t>
      </w:r>
      <w:r w:rsidRPr="00C8701B">
        <w:rPr>
          <w:rFonts w:eastAsia="Arial Unicode MS"/>
          <w:bCs/>
          <w:lang w:eastAsia="fr-FR" w:bidi="he-IL"/>
        </w:rPr>
        <w:t>dit.</w:t>
      </w:r>
      <w:r>
        <w:rPr>
          <w:rFonts w:eastAsia="Arial Unicode MS"/>
          <w:bCs/>
          <w:lang w:eastAsia="fr-FR" w:bidi="he-IL"/>
        </w:rPr>
        <w:t xml:space="preserve">, </w:t>
      </w:r>
      <w:r w:rsidRPr="00C8701B">
        <w:rPr>
          <w:rFonts w:eastAsia="Arial Unicode MS"/>
          <w:bCs/>
          <w:lang w:eastAsia="fr-FR" w:bidi="he-IL"/>
        </w:rPr>
        <w:t>Marbourg 1875 </w:t>
      </w:r>
      <w:r>
        <w:rPr>
          <w:rFonts w:eastAsia="Arial Unicode MS"/>
          <w:bCs/>
          <w:lang w:eastAsia="fr-FR" w:bidi="he-IL"/>
        </w:rPr>
        <w:t xml:space="preserve">; </w:t>
      </w:r>
      <w:r w:rsidRPr="00C8701B">
        <w:rPr>
          <w:rFonts w:eastAsia="Arial Unicode MS"/>
          <w:bCs/>
          <w:lang w:eastAsia="fr-FR" w:bidi="he-IL"/>
        </w:rPr>
        <w:t>F. Kaulen</w:t>
      </w:r>
      <w:r>
        <w:rPr>
          <w:rFonts w:eastAsia="Arial Unicode MS"/>
          <w:bCs/>
          <w:lang w:eastAsia="fr-FR" w:bidi="he-IL"/>
        </w:rPr>
        <w:t xml:space="preserve">, </w:t>
      </w:r>
      <w:r w:rsidRPr="00DC4586">
        <w:rPr>
          <w:rStyle w:val="italicus"/>
        </w:rPr>
        <w:t>Einleitung</w:t>
      </w:r>
      <w:r>
        <w:rPr>
          <w:rStyle w:val="italicus"/>
        </w:rPr>
        <w:t xml:space="preserve"> in die heil</w:t>
      </w:r>
      <w:r w:rsidRPr="00DC4586">
        <w:rPr>
          <w:rStyle w:val="italicus"/>
        </w:rPr>
        <w:t>ig. Schrift</w:t>
      </w:r>
      <w:r>
        <w:rPr>
          <w:rStyle w:val="italicus"/>
        </w:rPr>
        <w:t xml:space="preserve">, </w:t>
      </w:r>
      <w:r>
        <w:rPr>
          <w:rFonts w:eastAsia="Arial Unicode MS"/>
          <w:bCs/>
          <w:lang w:eastAsia="fr-FR" w:bidi="he-IL"/>
        </w:rPr>
        <w:t xml:space="preserve">t. I, </w:t>
      </w:r>
      <w:r w:rsidRPr="00C8701B">
        <w:rPr>
          <w:rFonts w:eastAsia="Arial Unicode MS"/>
          <w:bCs/>
          <w:lang w:eastAsia="fr-FR" w:bidi="he-IL"/>
        </w:rPr>
        <w:t>p. 108 et ss.</w:t>
      </w:r>
    </w:p>
  </w:footnote>
  <w:footnote w:id="409">
    <w:p w:rsidR="00941AA6" w:rsidRPr="00933C60" w:rsidRDefault="00941AA6">
      <w:pPr>
        <w:pStyle w:val="Notedebasdepage"/>
      </w:pPr>
      <w:r w:rsidRPr="00C406FF">
        <w:rPr>
          <w:rStyle w:val="Appelnotedebasdep"/>
        </w:rPr>
        <w:footnoteRef/>
      </w:r>
      <w:r w:rsidRPr="00C8701B">
        <w:rPr>
          <w:rFonts w:eastAsia="Arial Unicode MS"/>
          <w:bCs/>
          <w:lang w:eastAsia="fr-FR" w:bidi="he-IL"/>
        </w:rPr>
        <w:t xml:space="preserve"> Cf. A</w:t>
      </w:r>
      <w:r>
        <w:rPr>
          <w:rFonts w:eastAsia="Arial Unicode MS"/>
          <w:bCs/>
          <w:lang w:eastAsia="fr-FR" w:bidi="he-IL"/>
        </w:rPr>
        <w:t xml:space="preserve">. </w:t>
      </w:r>
      <w:r w:rsidRPr="00C8701B">
        <w:rPr>
          <w:rFonts w:eastAsia="Arial Unicode MS"/>
          <w:bCs/>
          <w:lang w:eastAsia="fr-FR" w:bidi="he-IL"/>
        </w:rPr>
        <w:t>Maier</w:t>
      </w:r>
      <w:r>
        <w:rPr>
          <w:rFonts w:eastAsia="Arial Unicode MS"/>
          <w:bCs/>
          <w:lang w:eastAsia="fr-FR" w:bidi="he-IL"/>
        </w:rPr>
        <w:t xml:space="preserve">, </w:t>
      </w:r>
      <w:r w:rsidRPr="00DC4586">
        <w:rPr>
          <w:rStyle w:val="italicus"/>
        </w:rPr>
        <w:t>l. c.</w:t>
      </w:r>
      <w:r>
        <w:rPr>
          <w:rStyle w:val="italicus"/>
        </w:rPr>
        <w:t xml:space="preserve">, </w:t>
      </w:r>
      <w:r w:rsidRPr="00C8701B">
        <w:rPr>
          <w:rFonts w:eastAsia="Arial Unicode MS"/>
          <w:bCs/>
          <w:lang w:eastAsia="fr-FR" w:bidi="he-IL"/>
        </w:rPr>
        <w:t>p. 548 et ss. </w:t>
      </w:r>
      <w:r>
        <w:rPr>
          <w:rFonts w:eastAsia="Arial Unicode MS"/>
          <w:bCs/>
          <w:lang w:eastAsia="fr-FR" w:bidi="he-IL"/>
        </w:rPr>
        <w:t xml:space="preserve">; </w:t>
      </w:r>
      <w:r w:rsidRPr="00C8701B">
        <w:rPr>
          <w:rFonts w:eastAsia="Arial Unicode MS"/>
          <w:bCs/>
          <w:lang w:eastAsia="fr-FR" w:bidi="he-IL"/>
        </w:rPr>
        <w:t>K</w:t>
      </w:r>
      <w:r>
        <w:rPr>
          <w:rFonts w:eastAsia="Arial Unicode MS"/>
          <w:bCs/>
          <w:lang w:eastAsia="fr-FR" w:bidi="he-IL"/>
        </w:rPr>
        <w:t>aule</w:t>
      </w:r>
      <w:r w:rsidRPr="00C8701B">
        <w:rPr>
          <w:rFonts w:eastAsia="Arial Unicode MS"/>
          <w:bCs/>
          <w:lang w:eastAsia="fr-FR" w:bidi="he-IL"/>
        </w:rPr>
        <w:t>n</w:t>
      </w:r>
      <w:r>
        <w:rPr>
          <w:rFonts w:eastAsia="Arial Unicode MS"/>
          <w:bCs/>
          <w:lang w:eastAsia="fr-FR" w:bidi="he-IL"/>
        </w:rPr>
        <w:t xml:space="preserve">, </w:t>
      </w:r>
      <w:r w:rsidRPr="00DC4586">
        <w:rPr>
          <w:rStyle w:val="italicus"/>
        </w:rPr>
        <w:t>l. c.</w:t>
      </w:r>
      <w:r>
        <w:rPr>
          <w:rStyle w:val="italicus"/>
        </w:rPr>
        <w:t xml:space="preserve">, </w:t>
      </w:r>
      <w:r w:rsidRPr="00C8701B">
        <w:rPr>
          <w:rFonts w:eastAsia="Arial Unicode MS"/>
          <w:bCs/>
          <w:lang w:eastAsia="fr-FR" w:bidi="he-IL"/>
        </w:rPr>
        <w:t>p. 129</w:t>
      </w:r>
      <w:r>
        <w:rPr>
          <w:rFonts w:eastAsia="Arial Unicode MS"/>
          <w:bCs/>
          <w:lang w:eastAsia="fr-FR" w:bidi="he-IL"/>
        </w:rPr>
        <w:t xml:space="preserve"> et ss.</w:t>
      </w:r>
    </w:p>
  </w:footnote>
  <w:footnote w:id="410">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Cf. Kaulen</w:t>
      </w:r>
      <w:r>
        <w:rPr>
          <w:rFonts w:eastAsia="Arial Unicode MS"/>
          <w:bCs/>
          <w:lang w:eastAsia="fr-FR" w:bidi="he-IL"/>
        </w:rPr>
        <w:t xml:space="preserve">, </w:t>
      </w:r>
      <w:r w:rsidRPr="00DC4586">
        <w:rPr>
          <w:rStyle w:val="italicus"/>
        </w:rPr>
        <w:t>l. c.</w:t>
      </w:r>
      <w:r>
        <w:rPr>
          <w:rStyle w:val="italicus"/>
        </w:rPr>
        <w:t xml:space="preserve">, </w:t>
      </w:r>
      <w:r w:rsidRPr="00C8701B">
        <w:rPr>
          <w:rFonts w:eastAsia="Arial Unicode MS"/>
          <w:bCs/>
          <w:lang w:eastAsia="fr-FR" w:bidi="he-IL"/>
        </w:rPr>
        <w:t>p. 137 et ss.</w:t>
      </w:r>
    </w:p>
  </w:footnote>
  <w:footnote w:id="411">
    <w:p w:rsidR="00941AA6" w:rsidRPr="00B51B8F" w:rsidRDefault="00941AA6">
      <w:pPr>
        <w:pStyle w:val="Notedebasdepage"/>
        <w:rPr>
          <w:lang w:val="en-GB"/>
        </w:rPr>
      </w:pPr>
      <w:r w:rsidRPr="00C406FF">
        <w:rPr>
          <w:rStyle w:val="Appelnotedebasdep"/>
        </w:rPr>
        <w:footnoteRef/>
      </w:r>
      <w:r w:rsidRPr="00C8701B">
        <w:rPr>
          <w:rFonts w:eastAsia="Arial Unicode MS"/>
          <w:lang w:val="en-US" w:eastAsia="fr-FR" w:bidi="he-IL"/>
        </w:rPr>
        <w:t xml:space="preserve"> </w:t>
      </w:r>
      <w:r w:rsidRPr="00C8701B">
        <w:rPr>
          <w:rFonts w:eastAsia="Arial Unicode MS"/>
          <w:bCs/>
          <w:lang w:val="en-US" w:eastAsia="fr-FR" w:bidi="he-IL"/>
        </w:rPr>
        <w:t>Voyez Smith</w:t>
      </w:r>
      <w:r>
        <w:rPr>
          <w:rFonts w:eastAsia="Arial Unicode MS"/>
          <w:bCs/>
          <w:lang w:val="en-US" w:eastAsia="fr-FR" w:bidi="he-IL"/>
        </w:rPr>
        <w:t xml:space="preserve">, </w:t>
      </w:r>
      <w:r w:rsidRPr="00A74F01">
        <w:rPr>
          <w:rStyle w:val="italicus"/>
          <w:lang w:val="en-US"/>
        </w:rPr>
        <w:t xml:space="preserve">Dictionary of the Bible, </w:t>
      </w:r>
      <w:r w:rsidRPr="00C8701B">
        <w:rPr>
          <w:rFonts w:eastAsia="Arial Unicode MS"/>
          <w:bCs/>
          <w:lang w:val="en-US" w:eastAsia="fr-FR" w:bidi="he-IL"/>
        </w:rPr>
        <w:t>t. II</w:t>
      </w:r>
      <w:r>
        <w:rPr>
          <w:rFonts w:eastAsia="Arial Unicode MS"/>
          <w:bCs/>
          <w:lang w:val="en-US" w:eastAsia="fr-FR" w:bidi="he-IL"/>
        </w:rPr>
        <w:t xml:space="preserve">, </w:t>
      </w:r>
      <w:r w:rsidRPr="00C8701B">
        <w:rPr>
          <w:rFonts w:eastAsia="Arial Unicode MS"/>
          <w:bCs/>
          <w:lang w:val="en-US" w:eastAsia="fr-FR" w:bidi="he-IL"/>
        </w:rPr>
        <w:t>p. 520 </w:t>
      </w:r>
      <w:r>
        <w:rPr>
          <w:rFonts w:eastAsia="Arial Unicode MS"/>
          <w:bCs/>
          <w:lang w:val="en-US" w:eastAsia="fr-FR" w:bidi="he-IL"/>
        </w:rPr>
        <w:t xml:space="preserve">; </w:t>
      </w:r>
      <w:r w:rsidRPr="00C8701B">
        <w:rPr>
          <w:rFonts w:eastAsia="Arial Unicode MS"/>
          <w:bCs/>
          <w:lang w:val="en-US" w:eastAsia="fr-FR" w:bidi="he-IL"/>
        </w:rPr>
        <w:t>A. Maier</w:t>
      </w:r>
      <w:r>
        <w:rPr>
          <w:rFonts w:eastAsia="Arial Unicode MS"/>
          <w:bCs/>
          <w:lang w:val="en-US" w:eastAsia="fr-FR" w:bidi="he-IL"/>
        </w:rPr>
        <w:t xml:space="preserve">, </w:t>
      </w:r>
      <w:r w:rsidRPr="00A74F01">
        <w:rPr>
          <w:rStyle w:val="italicus"/>
          <w:lang w:val="en-US"/>
        </w:rPr>
        <w:t xml:space="preserve">l. c., </w:t>
      </w:r>
      <w:r w:rsidRPr="00C8701B">
        <w:rPr>
          <w:rFonts w:eastAsia="Arial Unicode MS"/>
          <w:bCs/>
          <w:lang w:val="en-US" w:eastAsia="fr-FR" w:bidi="he-IL"/>
        </w:rPr>
        <w:t>p. 528 et ss.</w:t>
      </w:r>
    </w:p>
  </w:footnote>
  <w:footnote w:id="412">
    <w:p w:rsidR="00941AA6" w:rsidRPr="00933C60" w:rsidRDefault="00941AA6">
      <w:pPr>
        <w:pStyle w:val="Notedebasdepage"/>
      </w:pPr>
      <w:r w:rsidRPr="00C406FF">
        <w:rPr>
          <w:rStyle w:val="Appelnotedebasdep"/>
        </w:rPr>
        <w:footnoteRef/>
      </w:r>
      <w:r>
        <w:t xml:space="preserve"> </w:t>
      </w:r>
      <w:r>
        <w:rPr>
          <w:rFonts w:eastAsia="Arial Unicode MS"/>
          <w:bCs/>
          <w:lang w:eastAsia="fr-FR" w:bidi="he-IL"/>
        </w:rPr>
        <w:t xml:space="preserve">Le texte grec </w:t>
      </w:r>
      <w:r w:rsidRPr="00C8701B">
        <w:rPr>
          <w:rFonts w:eastAsia="Arial Unicode MS"/>
          <w:bCs/>
          <w:lang w:eastAsia="fr-FR" w:bidi="he-IL"/>
        </w:rPr>
        <w:t>du Nouveau Testament fut imprimé pour la première fois dans la Polyglotte de Complute</w:t>
      </w:r>
      <w:r>
        <w:rPr>
          <w:rFonts w:eastAsia="Arial Unicode MS"/>
          <w:bCs/>
          <w:lang w:eastAsia="fr-FR" w:bidi="he-IL"/>
        </w:rPr>
        <w:t xml:space="preserve">, </w:t>
      </w:r>
      <w:r w:rsidRPr="00C8701B">
        <w:rPr>
          <w:rFonts w:eastAsia="Arial Unicode MS"/>
          <w:bCs/>
          <w:lang w:eastAsia="fr-FR" w:bidi="he-IL"/>
        </w:rPr>
        <w:t>en 1514.</w:t>
      </w:r>
    </w:p>
  </w:footnote>
  <w:footnote w:id="413">
    <w:p w:rsidR="00941AA6" w:rsidRPr="00933C60" w:rsidRDefault="00941AA6">
      <w:pPr>
        <w:pStyle w:val="Notedebasdepage"/>
      </w:pPr>
      <w:r w:rsidRPr="00C406FF">
        <w:rPr>
          <w:rStyle w:val="Appelnotedebasdep"/>
        </w:rPr>
        <w:footnoteRef/>
      </w:r>
      <w:r w:rsidRPr="00C8701B">
        <w:rPr>
          <w:rFonts w:eastAsia="Arial Unicode MS"/>
          <w:bCs/>
          <w:lang w:eastAsia="fr-FR" w:bidi="he-IL"/>
        </w:rPr>
        <w:t xml:space="preserve"> Le texte de la </w:t>
      </w:r>
      <w:r>
        <w:rPr>
          <w:rFonts w:eastAsia="Arial Unicode MS"/>
          <w:bCs/>
          <w:lang w:eastAsia="fr-FR" w:bidi="he-IL"/>
        </w:rPr>
        <w:t>2</w:t>
      </w:r>
      <w:r w:rsidRPr="008155B8">
        <w:rPr>
          <w:rFonts w:eastAsia="Arial Unicode MS"/>
          <w:bCs/>
          <w:vertAlign w:val="superscript"/>
          <w:lang w:eastAsia="fr-FR" w:bidi="he-IL"/>
        </w:rPr>
        <w:t>e</w:t>
      </w:r>
      <w:r>
        <w:rPr>
          <w:rFonts w:eastAsia="Arial Unicode MS"/>
          <w:bCs/>
          <w:lang w:eastAsia="fr-FR" w:bidi="he-IL"/>
        </w:rPr>
        <w:t xml:space="preserve"> é</w:t>
      </w:r>
      <w:r w:rsidRPr="00C8701B">
        <w:rPr>
          <w:rFonts w:eastAsia="Arial Unicode MS"/>
          <w:bCs/>
          <w:lang w:eastAsia="fr-FR" w:bidi="he-IL"/>
        </w:rPr>
        <w:t>dition des Elzévir</w:t>
      </w:r>
      <w:r>
        <w:rPr>
          <w:rFonts w:eastAsia="Arial Unicode MS"/>
          <w:bCs/>
          <w:lang w:eastAsia="fr-FR" w:bidi="he-IL"/>
        </w:rPr>
        <w:t xml:space="preserve">, </w:t>
      </w:r>
      <w:r w:rsidRPr="00C8701B">
        <w:rPr>
          <w:rFonts w:eastAsia="Arial Unicode MS"/>
          <w:bCs/>
          <w:lang w:eastAsia="fr-FR" w:bidi="he-IL"/>
        </w:rPr>
        <w:t xml:space="preserve">publiée à Leyde en 1643. On le désigne ainsi a après ces mots de la Préface : « Textum ergo habes nunc ab </w:t>
      </w:r>
      <w:r>
        <w:rPr>
          <w:rFonts w:eastAsia="Arial Unicode MS"/>
          <w:bCs/>
          <w:lang w:eastAsia="fr-FR" w:bidi="he-IL"/>
        </w:rPr>
        <w:t>ómnibus</w:t>
      </w:r>
      <w:r w:rsidRPr="00C8701B">
        <w:rPr>
          <w:rFonts w:eastAsia="Arial Unicode MS"/>
          <w:bCs/>
          <w:lang w:eastAsia="fr-FR" w:bidi="he-IL"/>
        </w:rPr>
        <w:t xml:space="preserve"> recéptum ».</w:t>
      </w:r>
    </w:p>
  </w:footnote>
  <w:footnote w:id="414">
    <w:p w:rsidR="00941AA6" w:rsidRPr="00933C60" w:rsidRDefault="00941AA6">
      <w:pPr>
        <w:pStyle w:val="Notedebasdepage"/>
      </w:pPr>
      <w:r w:rsidRPr="00C406FF">
        <w:rPr>
          <w:rStyle w:val="Appelnotedebasdep"/>
        </w:rPr>
        <w:footnoteRef/>
      </w:r>
      <w:r w:rsidRPr="008155B8">
        <w:rPr>
          <w:rFonts w:eastAsia="Arial Unicode MS"/>
          <w:lang w:eastAsia="fr-FR" w:bidi="he-IL"/>
        </w:rPr>
        <w:t xml:space="preserve"> </w:t>
      </w:r>
      <w:r w:rsidRPr="008155B8">
        <w:rPr>
          <w:rStyle w:val="italicus"/>
        </w:rPr>
        <w:t>Novum, Testaméntum græce</w:t>
      </w:r>
      <w:r w:rsidRPr="008155B8">
        <w:rPr>
          <w:rFonts w:eastAsia="Arial Unicode MS"/>
          <w:bCs/>
          <w:lang w:eastAsia="fr-FR" w:bidi="he-IL"/>
        </w:rPr>
        <w:t>, edítio VII minor, Leipzig 1859.</w:t>
      </w:r>
    </w:p>
  </w:footnote>
  <w:footnote w:id="415">
    <w:p w:rsidR="00941AA6" w:rsidRPr="00D432D6" w:rsidRDefault="00941AA6">
      <w:pPr>
        <w:pStyle w:val="Notedebasdepage"/>
        <w:rPr>
          <w:lang w:val="en-GB"/>
        </w:rPr>
      </w:pPr>
      <w:r w:rsidRPr="00C406FF">
        <w:rPr>
          <w:rStyle w:val="Appelnotedebasdep"/>
        </w:rPr>
        <w:footnoteRef/>
      </w:r>
      <w:r w:rsidRPr="00C8701B">
        <w:rPr>
          <w:rFonts w:eastAsia="Arial Unicode MS"/>
          <w:lang w:val="en-US" w:eastAsia="fr-FR" w:bidi="he-IL"/>
        </w:rPr>
        <w:t xml:space="preserve"> </w:t>
      </w:r>
      <w:r w:rsidRPr="00A74F01">
        <w:rPr>
          <w:rStyle w:val="italicus"/>
          <w:lang w:val="en-US"/>
        </w:rPr>
        <w:t xml:space="preserve">The New Testament in the original Greek, </w:t>
      </w:r>
      <w:r w:rsidRPr="00C8701B">
        <w:rPr>
          <w:rFonts w:eastAsia="Arial Unicode MS"/>
          <w:bCs/>
          <w:lang w:val="en-US" w:eastAsia="fr-FR" w:bidi="he-IL"/>
        </w:rPr>
        <w:t>Cambridge 1881.</w:t>
      </w:r>
    </w:p>
  </w:footnote>
  <w:footnote w:id="416">
    <w:p w:rsidR="00941AA6" w:rsidRPr="00D432D6" w:rsidRDefault="00941AA6">
      <w:pPr>
        <w:pStyle w:val="Notedebasdepage"/>
        <w:rPr>
          <w:lang w:val="de-AT"/>
        </w:rPr>
      </w:pPr>
      <w:r w:rsidRPr="00C406FF">
        <w:rPr>
          <w:rStyle w:val="Appelnotedebasdep"/>
        </w:rPr>
        <w:footnoteRef/>
      </w:r>
      <w:r w:rsidRPr="000819BA">
        <w:rPr>
          <w:rFonts w:eastAsia="Arial Unicode MS"/>
          <w:lang w:val="de-AT" w:eastAsia="fr-FR" w:bidi="he-IL"/>
        </w:rPr>
        <w:t xml:space="preserve"> </w:t>
      </w:r>
      <w:r w:rsidRPr="000819BA">
        <w:rPr>
          <w:rStyle w:val="italicus"/>
          <w:lang w:val="de-AT"/>
        </w:rPr>
        <w:t xml:space="preserve">Novum Testaméntum </w:t>
      </w:r>
      <w:r>
        <w:rPr>
          <w:rStyle w:val="italicus"/>
          <w:lang w:val="de-AT"/>
        </w:rPr>
        <w:t>græc</w:t>
      </w:r>
      <w:r w:rsidRPr="000819BA">
        <w:rPr>
          <w:rStyle w:val="italicus"/>
          <w:lang w:val="de-AT"/>
        </w:rPr>
        <w:t xml:space="preserve">e, </w:t>
      </w:r>
      <w:r w:rsidRPr="000819BA">
        <w:rPr>
          <w:rFonts w:eastAsia="Arial Unicode MS"/>
          <w:bCs/>
          <w:lang w:val="de-AT" w:eastAsia="fr-FR" w:bidi="he-IL"/>
        </w:rPr>
        <w:t>Leipzig 1881.</w:t>
      </w:r>
    </w:p>
  </w:footnote>
  <w:footnote w:id="417">
    <w:p w:rsidR="00941AA6" w:rsidRPr="00933C60" w:rsidRDefault="00941AA6">
      <w:pPr>
        <w:pStyle w:val="Notedebasdepage"/>
      </w:pPr>
      <w:r w:rsidRPr="00C406FF">
        <w:rPr>
          <w:rStyle w:val="Appelnotedebasdep"/>
        </w:rPr>
        <w:footnoteRef/>
      </w:r>
      <w:r w:rsidRPr="000819BA">
        <w:rPr>
          <w:rFonts w:eastAsia="Arial Unicode MS"/>
          <w:lang w:val="de-AT" w:eastAsia="fr-FR" w:bidi="he-IL"/>
        </w:rPr>
        <w:t xml:space="preserve"> </w:t>
      </w:r>
      <w:r w:rsidRPr="000819BA">
        <w:rPr>
          <w:rFonts w:eastAsia="Arial Unicode MS"/>
          <w:bCs/>
          <w:lang w:val="de-AT" w:eastAsia="fr-FR" w:bidi="he-IL"/>
        </w:rPr>
        <w:t xml:space="preserve">MM. </w:t>
      </w:r>
      <w:r w:rsidRPr="002D5574">
        <w:rPr>
          <w:rFonts w:eastAsia="Arial Unicode MS"/>
          <w:bCs/>
          <w:lang w:val="de-AT" w:eastAsia="fr-FR" w:bidi="he-IL"/>
        </w:rPr>
        <w:t xml:space="preserve">Westcott et Hort, </w:t>
      </w:r>
      <w:r w:rsidRPr="00431B93">
        <w:t xml:space="preserve">en suivant d’une manière à peu près exclusive le texte des manuscrits </w:t>
      </w:r>
      <w:r w:rsidRPr="00C8701B">
        <w:rPr>
          <w:rFonts w:eastAsia="Arial Unicode MS"/>
          <w:bCs/>
          <w:rtl/>
          <w:lang w:eastAsia="fr-FR" w:bidi="he-IL"/>
        </w:rPr>
        <w:t>א</w:t>
      </w:r>
      <w:r w:rsidRPr="002D5574">
        <w:rPr>
          <w:rFonts w:eastAsia="Arial Unicode MS"/>
          <w:bCs/>
          <w:lang w:val="de-AT" w:eastAsia="fr-FR" w:bidi="he-IL"/>
        </w:rPr>
        <w:t xml:space="preserve"> et B, o</w:t>
      </w:r>
      <w:r w:rsidRPr="00431B93">
        <w:t xml:space="preserve">nt obtenu çà et là des résultats étranges. Ils regardent comme des interpolations les douze derniers versets du chap. XVIe de S. Marc, la note de S. Luc relative à la sueur de sang et à l’apparition de </w:t>
      </w:r>
      <w:r>
        <w:rPr>
          <w:rFonts w:eastAsia="Arial Unicode MS"/>
          <w:bCs/>
          <w:lang w:eastAsia="fr-FR" w:bidi="he-IL"/>
        </w:rPr>
        <w:t>l’ange</w:t>
      </w:r>
      <w:r w:rsidRPr="00C8701B">
        <w:rPr>
          <w:rFonts w:eastAsia="Arial Unicode MS"/>
          <w:bCs/>
          <w:lang w:eastAsia="fr-FR" w:bidi="he-IL"/>
        </w:rPr>
        <w:t xml:space="preserve"> (Luc. </w:t>
      </w:r>
      <w:r>
        <w:rPr>
          <w:rFonts w:eastAsia="Arial Unicode MS"/>
          <w:bCs/>
          <w:lang w:eastAsia="fr-FR" w:bidi="he-IL"/>
        </w:rPr>
        <w:t xml:space="preserve">XXII, </w:t>
      </w:r>
      <w:r w:rsidRPr="00C8701B">
        <w:rPr>
          <w:rFonts w:eastAsia="Arial Unicode MS"/>
          <w:bCs/>
          <w:lang w:eastAsia="fr-FR" w:bidi="he-IL"/>
        </w:rPr>
        <w:t>43-44 : voyez nos</w:t>
      </w:r>
      <w:r w:rsidRPr="00DC4586">
        <w:rPr>
          <w:rStyle w:val="italicus"/>
        </w:rPr>
        <w:t xml:space="preserve"> Essais d’exégèse</w:t>
      </w:r>
      <w:r>
        <w:rPr>
          <w:rStyle w:val="italicus"/>
        </w:rPr>
        <w:t xml:space="preserve">, </w:t>
      </w:r>
      <w:r w:rsidRPr="00C8701B">
        <w:rPr>
          <w:rFonts w:eastAsia="Arial Unicode MS"/>
          <w:bCs/>
          <w:lang w:eastAsia="fr-FR" w:bidi="he-IL"/>
        </w:rPr>
        <w:t>Lyon 1884</w:t>
      </w:r>
      <w:r>
        <w:rPr>
          <w:rFonts w:eastAsia="Arial Unicode MS"/>
          <w:bCs/>
          <w:lang w:eastAsia="fr-FR" w:bidi="he-IL"/>
        </w:rPr>
        <w:t xml:space="preserve">, </w:t>
      </w:r>
      <w:r w:rsidRPr="00C8701B">
        <w:rPr>
          <w:rFonts w:eastAsia="Arial Unicode MS"/>
          <w:bCs/>
          <w:lang w:eastAsia="fr-FR" w:bidi="he-IL"/>
        </w:rPr>
        <w:t>p. 404 et ss.)</w:t>
      </w:r>
      <w:r>
        <w:rPr>
          <w:rFonts w:eastAsia="Arial Unicode MS"/>
          <w:bCs/>
          <w:lang w:eastAsia="fr-FR" w:bidi="he-IL"/>
        </w:rPr>
        <w:t xml:space="preserve">, </w:t>
      </w:r>
      <w:r w:rsidRPr="00C8701B">
        <w:rPr>
          <w:rFonts w:eastAsia="Arial Unicode MS"/>
          <w:bCs/>
          <w:lang w:eastAsia="fr-FR" w:bidi="he-IL"/>
        </w:rPr>
        <w:t>l’épisode de la femme adultère (Joan</w:t>
      </w:r>
      <w:r>
        <w:rPr>
          <w:rFonts w:eastAsia="Arial Unicode MS"/>
          <w:bCs/>
          <w:lang w:eastAsia="fr-FR" w:bidi="he-IL"/>
        </w:rPr>
        <w:t xml:space="preserve">. VII, </w:t>
      </w:r>
      <w:r w:rsidRPr="00C8701B">
        <w:rPr>
          <w:rFonts w:eastAsia="Arial Unicode MS"/>
          <w:bCs/>
          <w:lang w:eastAsia="fr-FR" w:bidi="he-IL"/>
        </w:rPr>
        <w:t>53-</w:t>
      </w:r>
      <w:r>
        <w:rPr>
          <w:rFonts w:eastAsia="Arial Unicode MS"/>
          <w:bCs/>
          <w:lang w:eastAsia="fr-FR" w:bidi="he-IL"/>
        </w:rPr>
        <w:t xml:space="preserve">VIII, </w:t>
      </w:r>
      <w:r w:rsidRPr="00C8701B">
        <w:rPr>
          <w:rFonts w:eastAsia="Arial Unicode MS"/>
          <w:bCs/>
          <w:lang w:eastAsia="fr-FR" w:bidi="he-IL"/>
        </w:rPr>
        <w:t>11)</w:t>
      </w:r>
      <w:r>
        <w:rPr>
          <w:rFonts w:eastAsia="Arial Unicode MS"/>
          <w:bCs/>
          <w:lang w:eastAsia="fr-FR" w:bidi="he-IL"/>
        </w:rPr>
        <w:t xml:space="preserve">, </w:t>
      </w:r>
      <w:r w:rsidRPr="00C8701B">
        <w:rPr>
          <w:rFonts w:eastAsia="Arial Unicode MS"/>
          <w:bCs/>
          <w:lang w:eastAsia="fr-FR" w:bidi="he-IL"/>
        </w:rPr>
        <w:t>Et pourtant le</w:t>
      </w:r>
      <w:r w:rsidRPr="00DC4586">
        <w:rPr>
          <w:rStyle w:val="italicus"/>
        </w:rPr>
        <w:t xml:space="preserve"> Codex</w:t>
      </w:r>
      <w:r w:rsidRPr="00C8701B">
        <w:rPr>
          <w:rFonts w:eastAsia="Arial Unicode MS"/>
          <w:bCs/>
          <w:lang w:eastAsia="fr-FR" w:bidi="he-IL"/>
        </w:rPr>
        <w:t xml:space="preserve"> B</w:t>
      </w:r>
      <w:r>
        <w:rPr>
          <w:rFonts w:eastAsia="Arial Unicode MS"/>
          <w:bCs/>
          <w:lang w:eastAsia="fr-FR" w:bidi="he-IL"/>
        </w:rPr>
        <w:t xml:space="preserve">, </w:t>
      </w:r>
      <w:r w:rsidRPr="00C8701B">
        <w:rPr>
          <w:rFonts w:eastAsia="Arial Unicode MS"/>
          <w:bCs/>
          <w:lang w:eastAsia="fr-FR" w:bidi="he-IL"/>
        </w:rPr>
        <w:t>malgré sa valeur réelle</w:t>
      </w:r>
      <w:r>
        <w:rPr>
          <w:rFonts w:eastAsia="Arial Unicode MS"/>
          <w:bCs/>
          <w:lang w:eastAsia="fr-FR" w:bidi="he-IL"/>
        </w:rPr>
        <w:t xml:space="preserve">, </w:t>
      </w:r>
      <w:r w:rsidRPr="00C8701B">
        <w:rPr>
          <w:rFonts w:eastAsia="Arial Unicode MS"/>
          <w:bCs/>
          <w:lang w:eastAsia="fr-FR" w:bidi="he-IL"/>
        </w:rPr>
        <w:t xml:space="preserve">fourmille </w:t>
      </w:r>
      <w:r w:rsidRPr="008155B8">
        <w:t xml:space="preserve">d’erreurs manifestes : dans les seuls </w:t>
      </w:r>
      <w:r w:rsidRPr="00C8701B">
        <w:rPr>
          <w:rFonts w:eastAsia="Arial Unicode MS"/>
          <w:bCs/>
          <w:lang w:eastAsia="fr-FR" w:bidi="he-IL"/>
        </w:rPr>
        <w:t>évangiles</w:t>
      </w:r>
      <w:r>
        <w:rPr>
          <w:rFonts w:eastAsia="Arial Unicode MS"/>
          <w:bCs/>
          <w:lang w:eastAsia="fr-FR" w:bidi="he-IL"/>
        </w:rPr>
        <w:t xml:space="preserve">, </w:t>
      </w:r>
      <w:r w:rsidRPr="00C8701B">
        <w:rPr>
          <w:rFonts w:eastAsia="Arial Unicode MS"/>
          <w:bCs/>
          <w:lang w:eastAsia="fr-FR" w:bidi="he-IL"/>
        </w:rPr>
        <w:t>il omet plus de 2550 fois des mots</w:t>
      </w:r>
      <w:r>
        <w:rPr>
          <w:rFonts w:eastAsia="Arial Unicode MS"/>
          <w:bCs/>
          <w:lang w:eastAsia="fr-FR" w:bidi="he-IL"/>
        </w:rPr>
        <w:t xml:space="preserve">, </w:t>
      </w:r>
      <w:r w:rsidRPr="00C8701B">
        <w:rPr>
          <w:rFonts w:eastAsia="Arial Unicode MS"/>
          <w:bCs/>
          <w:lang w:eastAsia="fr-FR" w:bidi="he-IL"/>
        </w:rPr>
        <w:t>ou même des phrases entières (330 fois dans S. Matthieu</w:t>
      </w:r>
      <w:r>
        <w:rPr>
          <w:rFonts w:eastAsia="Arial Unicode MS"/>
          <w:bCs/>
          <w:lang w:eastAsia="fr-FR" w:bidi="he-IL"/>
        </w:rPr>
        <w:t xml:space="preserve">, </w:t>
      </w:r>
      <w:r w:rsidRPr="00C8701B">
        <w:rPr>
          <w:rFonts w:eastAsia="Arial Unicode MS"/>
          <w:bCs/>
          <w:lang w:eastAsia="fr-FR" w:bidi="he-IL"/>
        </w:rPr>
        <w:t>365 dans S. Marc</w:t>
      </w:r>
      <w:r>
        <w:rPr>
          <w:rFonts w:eastAsia="Arial Unicode MS"/>
          <w:bCs/>
          <w:lang w:eastAsia="fr-FR" w:bidi="he-IL"/>
        </w:rPr>
        <w:t xml:space="preserve">, </w:t>
      </w:r>
      <w:r w:rsidRPr="00C8701B">
        <w:rPr>
          <w:rFonts w:eastAsia="Arial Unicode MS"/>
          <w:bCs/>
          <w:lang w:eastAsia="fr-FR" w:bidi="he-IL"/>
        </w:rPr>
        <w:t>439 dans S. Luc</w:t>
      </w:r>
      <w:r>
        <w:rPr>
          <w:rFonts w:eastAsia="Arial Unicode MS"/>
          <w:bCs/>
          <w:lang w:eastAsia="fr-FR" w:bidi="he-IL"/>
        </w:rPr>
        <w:t xml:space="preserve">, </w:t>
      </w:r>
      <w:r w:rsidRPr="00C8701B">
        <w:rPr>
          <w:rFonts w:eastAsia="Arial Unicode MS"/>
          <w:bCs/>
          <w:lang w:eastAsia="fr-FR" w:bidi="he-IL"/>
        </w:rPr>
        <w:t>357 dans saint Jean</w:t>
      </w:r>
      <w:r>
        <w:rPr>
          <w:rFonts w:eastAsia="Arial Unicode MS"/>
          <w:bCs/>
          <w:lang w:eastAsia="fr-FR" w:bidi="he-IL"/>
        </w:rPr>
        <w:t xml:space="preserve">, </w:t>
      </w:r>
      <w:r w:rsidRPr="00C8701B">
        <w:rPr>
          <w:rFonts w:eastAsia="Arial Unicode MS"/>
          <w:bCs/>
          <w:lang w:eastAsia="fr-FR" w:bidi="he-IL"/>
        </w:rPr>
        <w:t>le reste pour les autres livres du N. T.). Il y a donc vraiment là « une adulation servile » pour ces deux manuscrits</w:t>
      </w:r>
      <w:r>
        <w:rPr>
          <w:rFonts w:eastAsia="Arial Unicode MS"/>
          <w:bCs/>
          <w:lang w:eastAsia="fr-FR" w:bidi="he-IL"/>
        </w:rPr>
        <w:t xml:space="preserve">, </w:t>
      </w:r>
      <w:r w:rsidRPr="00C8701B">
        <w:rPr>
          <w:rFonts w:eastAsia="Arial Unicode MS"/>
          <w:bCs/>
          <w:lang w:eastAsia="fr-FR" w:bidi="he-IL"/>
        </w:rPr>
        <w:t>aux dépens des autres. D’autres critiques retranc</w:t>
      </w:r>
      <w:r>
        <w:rPr>
          <w:rFonts w:eastAsia="Arial Unicode MS"/>
          <w:bCs/>
          <w:lang w:eastAsia="fr-FR" w:bidi="he-IL"/>
        </w:rPr>
        <w:t>hent du texte sacré les passages</w:t>
      </w:r>
      <w:r w:rsidRPr="00C8701B">
        <w:rPr>
          <w:rFonts w:eastAsia="Arial Unicode MS"/>
          <w:bCs/>
          <w:lang w:eastAsia="fr-FR" w:bidi="he-IL"/>
        </w:rPr>
        <w:t xml:space="preserve"> Luc. </w:t>
      </w:r>
      <w:r>
        <w:rPr>
          <w:rFonts w:eastAsia="Arial Unicode MS"/>
          <w:bCs/>
          <w:lang w:eastAsia="fr-FR" w:bidi="he-IL"/>
        </w:rPr>
        <w:t xml:space="preserve">XXIII, </w:t>
      </w:r>
      <w:r w:rsidRPr="00C8701B">
        <w:rPr>
          <w:rFonts w:eastAsia="Arial Unicode MS"/>
          <w:bCs/>
          <w:lang w:eastAsia="fr-FR" w:bidi="he-IL"/>
        </w:rPr>
        <w:t>34 </w:t>
      </w:r>
      <w:r>
        <w:rPr>
          <w:rFonts w:eastAsia="Arial Unicode MS"/>
          <w:bCs/>
          <w:lang w:eastAsia="fr-FR" w:bidi="he-IL"/>
        </w:rPr>
        <w:t xml:space="preserve">; </w:t>
      </w:r>
      <w:r w:rsidRPr="00C8701B">
        <w:rPr>
          <w:rFonts w:eastAsia="Arial Unicode MS"/>
          <w:bCs/>
          <w:lang w:eastAsia="fr-FR" w:bidi="he-IL"/>
        </w:rPr>
        <w:t xml:space="preserve">Joan. </w:t>
      </w:r>
      <w:r>
        <w:rPr>
          <w:rFonts w:eastAsia="Arial Unicode MS"/>
          <w:bCs/>
          <w:lang w:eastAsia="fr-FR" w:bidi="he-IL"/>
        </w:rPr>
        <w:t xml:space="preserve">V, </w:t>
      </w:r>
      <w:r w:rsidRPr="00C8701B">
        <w:rPr>
          <w:rFonts w:eastAsia="Arial Unicode MS"/>
          <w:bCs/>
          <w:lang w:eastAsia="fr-FR" w:bidi="he-IL"/>
        </w:rPr>
        <w:t>3-4 </w:t>
      </w:r>
      <w:r>
        <w:rPr>
          <w:rFonts w:eastAsia="Arial Unicode MS"/>
          <w:bCs/>
          <w:lang w:eastAsia="fr-FR" w:bidi="he-IL"/>
        </w:rPr>
        <w:t xml:space="preserve">; </w:t>
      </w:r>
      <w:r w:rsidRPr="00C8701B">
        <w:rPr>
          <w:rFonts w:eastAsia="Arial Unicode MS"/>
          <w:bCs/>
          <w:lang w:eastAsia="fr-FR" w:bidi="he-IL"/>
        </w:rPr>
        <w:t>Jean</w:t>
      </w:r>
      <w:r>
        <w:rPr>
          <w:rFonts w:eastAsia="Arial Unicode MS"/>
          <w:bCs/>
          <w:lang w:eastAsia="fr-FR" w:bidi="he-IL"/>
        </w:rPr>
        <w:t>, XXI</w:t>
      </w:r>
      <w:r w:rsidRPr="00C8701B">
        <w:rPr>
          <w:rFonts w:eastAsia="Arial Unicode MS"/>
          <w:bCs/>
          <w:lang w:eastAsia="fr-FR" w:bidi="he-IL"/>
        </w:rPr>
        <w:t> </w:t>
      </w:r>
      <w:r>
        <w:rPr>
          <w:rFonts w:eastAsia="Arial Unicode MS"/>
          <w:bCs/>
          <w:lang w:eastAsia="fr-FR" w:bidi="he-IL"/>
        </w:rPr>
        <w:t xml:space="preserve">; </w:t>
      </w:r>
      <w:r w:rsidRPr="00C8701B">
        <w:rPr>
          <w:rFonts w:eastAsia="Arial Unicode MS"/>
          <w:bCs/>
          <w:lang w:eastAsia="fr-FR" w:bidi="he-IL"/>
        </w:rPr>
        <w:t>etc. Même parmi les protestants</w:t>
      </w:r>
      <w:r>
        <w:rPr>
          <w:rFonts w:eastAsia="Arial Unicode MS"/>
          <w:bCs/>
          <w:lang w:eastAsia="fr-FR" w:bidi="he-IL"/>
        </w:rPr>
        <w:t xml:space="preserve">, </w:t>
      </w:r>
      <w:r w:rsidRPr="00C8701B">
        <w:rPr>
          <w:rFonts w:eastAsia="Arial Unicode MS"/>
          <w:bCs/>
          <w:lang w:eastAsia="fr-FR" w:bidi="he-IL"/>
        </w:rPr>
        <w:t xml:space="preserve">il y a </w:t>
      </w:r>
      <w:r>
        <w:rPr>
          <w:rFonts w:eastAsia="Arial Unicode MS"/>
          <w:bCs/>
          <w:lang w:eastAsia="fr-FR" w:bidi="he-IL"/>
        </w:rPr>
        <w:t>de</w:t>
      </w:r>
      <w:r w:rsidRPr="00C8701B">
        <w:rPr>
          <w:rFonts w:eastAsia="Arial Unicode MS"/>
          <w:bCs/>
          <w:lang w:eastAsia="fr-FR" w:bidi="he-IL"/>
        </w:rPr>
        <w:t xml:space="preserve"> nos jours un heureux mouvement de réaction contre ces f</w:t>
      </w:r>
      <w:r>
        <w:rPr>
          <w:rFonts w:eastAsia="Arial Unicode MS"/>
          <w:bCs/>
          <w:lang w:eastAsia="fr-FR" w:bidi="he-IL"/>
        </w:rPr>
        <w:t>âcheuses tendances. Voyez Scrive</w:t>
      </w:r>
      <w:r w:rsidRPr="00C8701B">
        <w:rPr>
          <w:rFonts w:eastAsia="Arial Unicode MS"/>
          <w:bCs/>
          <w:lang w:eastAsia="fr-FR" w:bidi="he-IL"/>
        </w:rPr>
        <w:t>ner</w:t>
      </w:r>
      <w:r>
        <w:rPr>
          <w:rFonts w:eastAsia="Arial Unicode MS"/>
          <w:bCs/>
          <w:lang w:eastAsia="fr-FR" w:bidi="he-IL"/>
        </w:rPr>
        <w:t xml:space="preserve">, </w:t>
      </w:r>
      <w:r w:rsidRPr="00DC4586">
        <w:rPr>
          <w:rStyle w:val="italicus"/>
        </w:rPr>
        <w:t>A plain Introduction to the criticism of the New Testament</w:t>
      </w:r>
      <w:r>
        <w:rPr>
          <w:rStyle w:val="italicus"/>
        </w:rPr>
        <w:t xml:space="preserve">, </w:t>
      </w:r>
      <w:r w:rsidRPr="00C8701B">
        <w:rPr>
          <w:rFonts w:eastAsia="Arial Unicode MS"/>
          <w:bCs/>
          <w:lang w:eastAsia="fr-FR" w:bidi="he-IL"/>
        </w:rPr>
        <w:t>Londres</w:t>
      </w:r>
      <w:r>
        <w:rPr>
          <w:rFonts w:eastAsia="Arial Unicode MS"/>
          <w:bCs/>
          <w:lang w:eastAsia="fr-FR" w:bidi="he-IL"/>
        </w:rPr>
        <w:t xml:space="preserve">, </w:t>
      </w:r>
      <w:r w:rsidRPr="00C8701B">
        <w:rPr>
          <w:rFonts w:eastAsia="Arial Unicode MS"/>
          <w:bCs/>
          <w:lang w:eastAsia="fr-FR" w:bidi="he-IL"/>
        </w:rPr>
        <w:t>1883 (3</w:t>
      </w:r>
      <w:r w:rsidRPr="00C8701B">
        <w:rPr>
          <w:rFonts w:eastAsia="Arial Unicode MS"/>
          <w:bCs/>
          <w:vertAlign w:val="superscript"/>
          <w:lang w:eastAsia="fr-FR" w:bidi="he-IL"/>
        </w:rPr>
        <w:t>e</w:t>
      </w:r>
      <w:r w:rsidRPr="00C8701B">
        <w:rPr>
          <w:rFonts w:eastAsia="Arial Unicode MS"/>
          <w:bCs/>
          <w:lang w:eastAsia="fr-FR" w:bidi="he-IL"/>
        </w:rPr>
        <w:t xml:space="preserve"> édit.) </w:t>
      </w:r>
      <w:r>
        <w:rPr>
          <w:rFonts w:eastAsia="Arial Unicode MS"/>
          <w:bCs/>
          <w:lang w:eastAsia="fr-FR" w:bidi="he-IL"/>
        </w:rPr>
        <w:t xml:space="preserve">; </w:t>
      </w:r>
      <w:r w:rsidRPr="00C8701B">
        <w:rPr>
          <w:rFonts w:eastAsia="Arial Unicode MS"/>
          <w:bCs/>
          <w:lang w:eastAsia="fr-FR" w:bidi="he-IL"/>
        </w:rPr>
        <w:t>Miller</w:t>
      </w:r>
      <w:r>
        <w:rPr>
          <w:rFonts w:eastAsia="Arial Unicode MS"/>
          <w:bCs/>
          <w:lang w:eastAsia="fr-FR" w:bidi="he-IL"/>
        </w:rPr>
        <w:t xml:space="preserve">, </w:t>
      </w:r>
      <w:r>
        <w:rPr>
          <w:rStyle w:val="italicus"/>
        </w:rPr>
        <w:t>A Guide to</w:t>
      </w:r>
      <w:r w:rsidRPr="00DC4586">
        <w:rPr>
          <w:rStyle w:val="italicus"/>
        </w:rPr>
        <w:t xml:space="preserve"> the textual criticism of</w:t>
      </w:r>
      <w:r>
        <w:rPr>
          <w:rStyle w:val="italicus"/>
        </w:rPr>
        <w:t xml:space="preserve"> </w:t>
      </w:r>
      <w:r w:rsidRPr="00DC4586">
        <w:rPr>
          <w:rStyle w:val="italicus"/>
        </w:rPr>
        <w:t>the New Testament</w:t>
      </w:r>
      <w:r>
        <w:rPr>
          <w:rFonts w:eastAsia="Arial Unicode MS"/>
          <w:bCs/>
          <w:lang w:eastAsia="fr-FR" w:bidi="he-IL"/>
        </w:rPr>
        <w:t xml:space="preserve">, </w:t>
      </w:r>
      <w:r w:rsidRPr="00C8701B">
        <w:rPr>
          <w:rFonts w:eastAsia="Arial Unicode MS"/>
          <w:bCs/>
          <w:lang w:eastAsia="fr-FR" w:bidi="he-IL"/>
        </w:rPr>
        <w:t>Londres</w:t>
      </w:r>
      <w:r>
        <w:rPr>
          <w:rFonts w:eastAsia="Arial Unicode MS"/>
          <w:bCs/>
          <w:lang w:eastAsia="fr-FR" w:bidi="he-IL"/>
        </w:rPr>
        <w:t xml:space="preserve">, </w:t>
      </w:r>
      <w:r w:rsidRPr="00C8701B">
        <w:rPr>
          <w:rFonts w:eastAsia="Arial Unicode MS"/>
          <w:bCs/>
          <w:lang w:eastAsia="fr-FR" w:bidi="he-IL"/>
        </w:rPr>
        <w:t>1886 </w:t>
      </w:r>
      <w:r>
        <w:rPr>
          <w:rFonts w:eastAsia="Arial Unicode MS"/>
          <w:bCs/>
          <w:lang w:eastAsia="fr-FR" w:bidi="he-IL"/>
        </w:rPr>
        <w:t xml:space="preserve">; </w:t>
      </w:r>
      <w:r w:rsidRPr="00C8701B">
        <w:rPr>
          <w:rFonts w:eastAsia="Arial Unicode MS"/>
          <w:bCs/>
          <w:lang w:eastAsia="fr-FR" w:bidi="he-IL"/>
        </w:rPr>
        <w:t>P. Martin</w:t>
      </w:r>
      <w:r>
        <w:rPr>
          <w:rFonts w:eastAsia="Arial Unicode MS"/>
          <w:bCs/>
          <w:lang w:eastAsia="fr-FR" w:bidi="he-IL"/>
        </w:rPr>
        <w:t xml:space="preserve">, </w:t>
      </w:r>
      <w:r w:rsidRPr="00DC4586">
        <w:rPr>
          <w:rStyle w:val="italicus"/>
        </w:rPr>
        <w:t xml:space="preserve">Introduction à la critique textuelle du Nouv. </w:t>
      </w:r>
      <w:r w:rsidRPr="00A74F01">
        <w:rPr>
          <w:rStyle w:val="italicus"/>
          <w:lang w:val="en-US"/>
        </w:rPr>
        <w:t xml:space="preserve">Test., </w:t>
      </w:r>
      <w:r w:rsidRPr="00C8701B">
        <w:rPr>
          <w:rFonts w:eastAsia="Arial Unicode MS"/>
          <w:bCs/>
          <w:lang w:val="en-US" w:eastAsia="fr-FR" w:bidi="he-IL"/>
        </w:rPr>
        <w:t>Paris 1882 </w:t>
      </w:r>
      <w:r>
        <w:rPr>
          <w:rFonts w:eastAsia="Arial Unicode MS"/>
          <w:bCs/>
          <w:lang w:val="en-US" w:eastAsia="fr-FR" w:bidi="he-IL"/>
        </w:rPr>
        <w:t xml:space="preserve">; </w:t>
      </w:r>
      <w:r w:rsidRPr="00C8701B">
        <w:rPr>
          <w:rFonts w:eastAsia="Arial Unicode MS"/>
          <w:bCs/>
          <w:lang w:val="en-US" w:eastAsia="fr-FR" w:bidi="he-IL"/>
        </w:rPr>
        <w:t xml:space="preserve">Mac Clellan. </w:t>
      </w:r>
      <w:r w:rsidRPr="00A74F01">
        <w:rPr>
          <w:rStyle w:val="italicus"/>
          <w:lang w:val="en-US"/>
        </w:rPr>
        <w:t>The New Testament of</w:t>
      </w:r>
      <w:r>
        <w:rPr>
          <w:rStyle w:val="italicus"/>
          <w:lang w:val="en-US"/>
        </w:rPr>
        <w:t xml:space="preserve"> </w:t>
      </w:r>
      <w:r w:rsidRPr="00A74F01">
        <w:rPr>
          <w:rStyle w:val="italicus"/>
          <w:lang w:val="en-US"/>
        </w:rPr>
        <w:t xml:space="preserve">our Lord and Saviour Jesus Christ, </w:t>
      </w:r>
      <w:r w:rsidRPr="00C8701B">
        <w:rPr>
          <w:rFonts w:eastAsia="Arial Unicode MS"/>
          <w:bCs/>
          <w:lang w:val="en-US" w:eastAsia="fr-FR" w:bidi="he-IL"/>
        </w:rPr>
        <w:t>Londres 1875</w:t>
      </w:r>
      <w:r>
        <w:rPr>
          <w:rFonts w:eastAsia="Arial Unicode MS"/>
          <w:bCs/>
          <w:lang w:val="en-US" w:eastAsia="fr-FR" w:bidi="he-IL"/>
        </w:rPr>
        <w:t xml:space="preserve">, </w:t>
      </w:r>
      <w:r w:rsidRPr="00C8701B">
        <w:rPr>
          <w:rFonts w:eastAsia="Arial Unicode MS"/>
          <w:bCs/>
          <w:lang w:val="en-US" w:eastAsia="fr-FR" w:bidi="he-IL"/>
        </w:rPr>
        <w:t>t. I</w:t>
      </w:r>
      <w:r>
        <w:rPr>
          <w:rFonts w:eastAsia="Arial Unicode MS"/>
          <w:bCs/>
          <w:lang w:val="en-US" w:eastAsia="fr-FR" w:bidi="he-IL"/>
        </w:rPr>
        <w:t>, p. VII et ss.</w:t>
      </w:r>
      <w:r w:rsidRPr="00C8701B">
        <w:rPr>
          <w:rFonts w:eastAsia="Arial Unicode MS"/>
          <w:bCs/>
          <w:lang w:val="en-US" w:eastAsia="fr-FR" w:bidi="he-IL"/>
        </w:rPr>
        <w:t xml:space="preserve"> </w:t>
      </w:r>
      <w:r w:rsidRPr="00C8701B">
        <w:rPr>
          <w:rFonts w:eastAsia="Arial Unicode MS"/>
          <w:bCs/>
          <w:lang w:eastAsia="fr-FR" w:bidi="he-IL"/>
        </w:rPr>
        <w:t>Non qu’il faille regarder le</w:t>
      </w:r>
      <w:r w:rsidRPr="00DC4586">
        <w:rPr>
          <w:rStyle w:val="italicus"/>
        </w:rPr>
        <w:t xml:space="preserve"> Textus recéptus</w:t>
      </w:r>
      <w:r w:rsidRPr="00C8701B">
        <w:rPr>
          <w:rFonts w:eastAsia="Arial Unicode MS"/>
          <w:bCs/>
          <w:lang w:eastAsia="fr-FR" w:bidi="he-IL"/>
        </w:rPr>
        <w:t xml:space="preserve"> comme absolument parfait </w:t>
      </w:r>
      <w:r>
        <w:rPr>
          <w:rFonts w:eastAsia="Arial Unicode MS"/>
          <w:bCs/>
          <w:lang w:eastAsia="fr-FR" w:bidi="he-IL"/>
        </w:rPr>
        <w:t xml:space="preserve">; </w:t>
      </w:r>
      <w:r w:rsidRPr="00C8701B">
        <w:rPr>
          <w:rFonts w:eastAsia="Arial Unicode MS"/>
          <w:bCs/>
          <w:lang w:eastAsia="fr-FR" w:bidi="he-IL"/>
        </w:rPr>
        <w:t>mais on aurait grand tort</w:t>
      </w:r>
      <w:r>
        <w:rPr>
          <w:rFonts w:eastAsia="Arial Unicode MS"/>
          <w:bCs/>
          <w:lang w:eastAsia="fr-FR" w:bidi="he-IL"/>
        </w:rPr>
        <w:t xml:space="preserve">, </w:t>
      </w:r>
      <w:r w:rsidRPr="00C8701B">
        <w:rPr>
          <w:rFonts w:eastAsia="Arial Unicode MS"/>
          <w:bCs/>
          <w:lang w:eastAsia="fr-FR" w:bidi="he-IL"/>
        </w:rPr>
        <w:t>d’autre part</w:t>
      </w:r>
      <w:r>
        <w:rPr>
          <w:rFonts w:eastAsia="Arial Unicode MS"/>
          <w:bCs/>
          <w:lang w:eastAsia="fr-FR" w:bidi="he-IL"/>
        </w:rPr>
        <w:t xml:space="preserve">, </w:t>
      </w:r>
      <w:r w:rsidRPr="00C8701B">
        <w:rPr>
          <w:rFonts w:eastAsia="Arial Unicode MS"/>
          <w:bCs/>
          <w:lang w:eastAsia="fr-FR" w:bidi="he-IL"/>
        </w:rPr>
        <w:t>à vouloir le bouleverser tout entier</w:t>
      </w:r>
      <w:r>
        <w:rPr>
          <w:rFonts w:eastAsia="Arial Unicode MS"/>
          <w:bCs/>
          <w:lang w:eastAsia="fr-FR" w:bidi="he-IL"/>
        </w:rPr>
        <w:t xml:space="preserve">, </w:t>
      </w:r>
      <w:r w:rsidRPr="00C8701B">
        <w:rPr>
          <w:rFonts w:eastAsia="Arial Unicode MS"/>
          <w:bCs/>
          <w:lang w:eastAsia="fr-FR" w:bidi="he-IL"/>
        </w:rPr>
        <w:t>comme on a essayé de le faire récemment. Pour les autres éditions imprimées du texte des évangiles et du Nouveau Testament</w:t>
      </w:r>
      <w:r>
        <w:rPr>
          <w:rFonts w:eastAsia="Arial Unicode MS"/>
          <w:bCs/>
          <w:lang w:eastAsia="fr-FR" w:bidi="he-IL"/>
        </w:rPr>
        <w:t xml:space="preserve">, </w:t>
      </w:r>
      <w:r w:rsidRPr="00C8701B">
        <w:rPr>
          <w:rFonts w:eastAsia="Arial Unicode MS"/>
          <w:bCs/>
          <w:lang w:eastAsia="fr-FR" w:bidi="he-IL"/>
        </w:rPr>
        <w:t>voyez Cornely</w:t>
      </w:r>
      <w:r>
        <w:rPr>
          <w:rFonts w:eastAsia="Arial Unicode MS"/>
          <w:bCs/>
          <w:lang w:eastAsia="fr-FR" w:bidi="he-IL"/>
        </w:rPr>
        <w:t xml:space="preserve">, </w:t>
      </w:r>
      <w:r w:rsidRPr="00DC4586">
        <w:rPr>
          <w:rStyle w:val="italicus"/>
        </w:rPr>
        <w:t>Hist</w:t>
      </w:r>
      <w:r>
        <w:rPr>
          <w:rStyle w:val="italicus"/>
        </w:rPr>
        <w:t>órica</w:t>
      </w:r>
      <w:r w:rsidRPr="00DC4586">
        <w:rPr>
          <w:rStyle w:val="italicus"/>
        </w:rPr>
        <w:t xml:space="preserve"> et </w:t>
      </w:r>
      <w:r>
        <w:rPr>
          <w:rStyle w:val="italicus"/>
        </w:rPr>
        <w:t>crítica</w:t>
      </w:r>
      <w:r w:rsidRPr="00DC4586">
        <w:rPr>
          <w:rStyle w:val="italicus"/>
        </w:rPr>
        <w:t xml:space="preserve"> Introd</w:t>
      </w:r>
      <w:r>
        <w:rPr>
          <w:rStyle w:val="italicus"/>
        </w:rPr>
        <w:t>úctio</w:t>
      </w:r>
      <w:r w:rsidRPr="00DC4586">
        <w:rPr>
          <w:rStyle w:val="italicus"/>
        </w:rPr>
        <w:t xml:space="preserve"> in utri</w:t>
      </w:r>
      <w:r>
        <w:rPr>
          <w:rStyle w:val="italicus"/>
        </w:rPr>
        <w:t>ú</w:t>
      </w:r>
      <w:r w:rsidRPr="00DC4586">
        <w:rPr>
          <w:rStyle w:val="italicus"/>
        </w:rPr>
        <w:t>sque Te</w:t>
      </w:r>
      <w:r>
        <w:rPr>
          <w:rStyle w:val="italicus"/>
        </w:rPr>
        <w:t>staménti</w:t>
      </w:r>
      <w:r w:rsidRPr="00DC4586">
        <w:rPr>
          <w:rStyle w:val="italicus"/>
        </w:rPr>
        <w:t xml:space="preserve"> </w:t>
      </w:r>
      <w:r>
        <w:rPr>
          <w:rStyle w:val="italicus"/>
        </w:rPr>
        <w:t>li</w:t>
      </w:r>
      <w:r w:rsidRPr="00DC4586">
        <w:rPr>
          <w:rStyle w:val="italicus"/>
        </w:rPr>
        <w:t>bros sacros</w:t>
      </w:r>
      <w:r>
        <w:rPr>
          <w:rStyle w:val="italicus"/>
        </w:rPr>
        <w:t xml:space="preserve">, </w:t>
      </w:r>
      <w:r w:rsidRPr="00C8701B">
        <w:rPr>
          <w:rFonts w:eastAsia="Arial Unicode MS"/>
          <w:bCs/>
          <w:lang w:eastAsia="fr-FR" w:bidi="he-IL"/>
        </w:rPr>
        <w:t>t. I</w:t>
      </w:r>
      <w:r>
        <w:rPr>
          <w:rFonts w:eastAsia="Arial Unicode MS"/>
          <w:bCs/>
          <w:lang w:eastAsia="fr-FR" w:bidi="he-IL"/>
        </w:rPr>
        <w:t xml:space="preserve">, </w:t>
      </w:r>
      <w:r w:rsidRPr="00C8701B">
        <w:rPr>
          <w:rFonts w:eastAsia="Arial Unicode MS"/>
          <w:bCs/>
          <w:lang w:eastAsia="fr-FR" w:bidi="he-IL"/>
        </w:rPr>
        <w:t>p. 305 et ss.</w:t>
      </w:r>
    </w:p>
  </w:footnote>
  <w:footnote w:id="418">
    <w:p w:rsidR="00941AA6" w:rsidRPr="00D432D6" w:rsidRDefault="00941AA6">
      <w:pPr>
        <w:pStyle w:val="Notedebasdepage"/>
      </w:pPr>
      <w:r>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notre commentaire</w:t>
      </w:r>
      <w:r>
        <w:rPr>
          <w:rFonts w:eastAsia="Arial Unicode MS"/>
          <w:bCs/>
          <w:lang w:eastAsia="fr-FR" w:bidi="he-IL"/>
        </w:rPr>
        <w:t xml:space="preserve">, </w:t>
      </w:r>
      <w:r w:rsidRPr="00C8701B">
        <w:rPr>
          <w:rFonts w:eastAsia="Arial Unicode MS"/>
          <w:bCs/>
          <w:lang w:eastAsia="fr-FR" w:bidi="he-IL"/>
        </w:rPr>
        <w:t>p. 71.</w:t>
      </w:r>
    </w:p>
  </w:footnote>
  <w:footnote w:id="419">
    <w:p w:rsidR="00941AA6" w:rsidRPr="00933C60" w:rsidRDefault="00941AA6" w:rsidP="00D432D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Joan. III</w:t>
      </w:r>
      <w:r>
        <w:rPr>
          <w:rFonts w:eastAsia="Arial Unicode MS"/>
          <w:bCs/>
          <w:lang w:eastAsia="fr-FR" w:bidi="he-IL"/>
        </w:rPr>
        <w:t xml:space="preserve">, </w:t>
      </w:r>
      <w:r w:rsidRPr="00C8701B">
        <w:rPr>
          <w:rFonts w:eastAsia="Arial Unicode MS"/>
          <w:bCs/>
          <w:lang w:eastAsia="fr-FR" w:bidi="he-IL"/>
        </w:rPr>
        <w:t>13. Voyez notre commentaire</w:t>
      </w:r>
      <w:r>
        <w:rPr>
          <w:rFonts w:eastAsia="Arial Unicode MS"/>
          <w:bCs/>
          <w:lang w:eastAsia="fr-FR" w:bidi="he-IL"/>
        </w:rPr>
        <w:t xml:space="preserve">, </w:t>
      </w:r>
      <w:r w:rsidRPr="00C8701B">
        <w:rPr>
          <w:rFonts w:eastAsia="Arial Unicode MS"/>
          <w:bCs/>
          <w:lang w:eastAsia="fr-FR" w:bidi="he-IL"/>
        </w:rPr>
        <w:t>p. 50-51.</w:t>
      </w:r>
    </w:p>
  </w:footnote>
  <w:footnote w:id="420">
    <w:p w:rsidR="00941AA6" w:rsidRPr="00933C60" w:rsidRDefault="00941AA6" w:rsidP="00D432D6">
      <w:pPr>
        <w:pStyle w:val="Notedebasdepage"/>
      </w:pPr>
      <w:r w:rsidRPr="00C406FF">
        <w:rPr>
          <w:rStyle w:val="Appelnotedebasdep"/>
        </w:rPr>
        <w:footnoteRef/>
      </w:r>
      <w:r w:rsidRPr="00C8701B">
        <w:rPr>
          <w:rFonts w:eastAsia="Arial Unicode MS"/>
          <w:bCs/>
          <w:lang w:eastAsia="fr-FR" w:bidi="he-IL"/>
        </w:rPr>
        <w:t xml:space="preserve"> C’est avec une vive tristesse que nous voyons des interprètes catholiques suivre les critiques protestants et rationalistes sur cette voie dangereuse</w:t>
      </w:r>
      <w:r>
        <w:rPr>
          <w:rFonts w:eastAsia="Arial Unicode MS"/>
          <w:bCs/>
          <w:lang w:eastAsia="fr-FR" w:bidi="he-IL"/>
        </w:rPr>
        <w:t xml:space="preserve">, </w:t>
      </w:r>
      <w:r w:rsidRPr="00C8701B">
        <w:rPr>
          <w:rFonts w:eastAsia="Arial Unicode MS"/>
          <w:bCs/>
          <w:lang w:eastAsia="fr-FR" w:bidi="he-IL"/>
        </w:rPr>
        <w:t>et dépouiller les évangiles</w:t>
      </w:r>
      <w:r>
        <w:rPr>
          <w:rFonts w:eastAsia="Arial Unicode MS"/>
          <w:bCs/>
          <w:lang w:eastAsia="fr-FR" w:bidi="he-IL"/>
        </w:rPr>
        <w:t xml:space="preserve">, </w:t>
      </w:r>
      <w:r w:rsidRPr="00C8701B">
        <w:rPr>
          <w:rFonts w:eastAsia="Arial Unicode MS"/>
          <w:bCs/>
          <w:lang w:eastAsia="fr-FR" w:bidi="he-IL"/>
        </w:rPr>
        <w:t>ou les autres écrits du Nouveau Testament</w:t>
      </w:r>
      <w:r>
        <w:rPr>
          <w:rFonts w:eastAsia="Arial Unicode MS"/>
          <w:bCs/>
          <w:lang w:eastAsia="fr-FR" w:bidi="he-IL"/>
        </w:rPr>
        <w:t xml:space="preserve">, </w:t>
      </w:r>
      <w:r w:rsidRPr="00C8701B">
        <w:rPr>
          <w:rFonts w:eastAsia="Arial Unicode MS"/>
          <w:bCs/>
          <w:lang w:eastAsia="fr-FR" w:bidi="he-IL"/>
        </w:rPr>
        <w:t>sans raison suffisante</w:t>
      </w:r>
      <w:r>
        <w:rPr>
          <w:rFonts w:eastAsia="Arial Unicode MS"/>
          <w:bCs/>
          <w:lang w:eastAsia="fr-FR" w:bidi="he-IL"/>
        </w:rPr>
        <w:t xml:space="preserve">, </w:t>
      </w:r>
      <w:r w:rsidRPr="00C8701B">
        <w:rPr>
          <w:rFonts w:eastAsia="Arial Unicode MS"/>
          <w:bCs/>
          <w:lang w:eastAsia="fr-FR" w:bidi="he-IL"/>
        </w:rPr>
        <w:t>de quelques-unes de leurs plus belles perles.</w:t>
      </w:r>
    </w:p>
  </w:footnote>
  <w:footnote w:id="421">
    <w:p w:rsidR="00941AA6" w:rsidRPr="00933C60" w:rsidRDefault="00941AA6" w:rsidP="00D432D6">
      <w:pPr>
        <w:pStyle w:val="Notedebasdepage"/>
      </w:pPr>
      <w:r w:rsidRPr="00C406FF">
        <w:rPr>
          <w:rStyle w:val="Appelnotedebasdep"/>
        </w:rPr>
        <w:footnoteRef/>
      </w:r>
      <w:r>
        <w:rPr>
          <w:rFonts w:eastAsia="Arial Unicode MS"/>
          <w:bCs/>
          <w:lang w:eastAsia="fr-FR" w:bidi="he-IL"/>
        </w:rPr>
        <w:t xml:space="preserve"> </w:t>
      </w:r>
      <w:r w:rsidRPr="00C8701B">
        <w:rPr>
          <w:rFonts w:eastAsia="Arial Unicode MS"/>
          <w:bCs/>
          <w:lang w:eastAsia="fr-FR" w:bidi="he-IL"/>
        </w:rPr>
        <w:t>Voyez surtout Dehaut</w:t>
      </w:r>
      <w:r>
        <w:rPr>
          <w:rFonts w:eastAsia="Arial Unicode MS"/>
          <w:bCs/>
          <w:lang w:eastAsia="fr-FR" w:bidi="he-IL"/>
        </w:rPr>
        <w:t xml:space="preserve">, </w:t>
      </w:r>
      <w:r w:rsidRPr="00DC4586">
        <w:rPr>
          <w:rStyle w:val="italicus"/>
        </w:rPr>
        <w:t>L’Évangile expliqué</w:t>
      </w:r>
      <w:r>
        <w:rPr>
          <w:rStyle w:val="italicus"/>
        </w:rPr>
        <w:t xml:space="preserve">, </w:t>
      </w:r>
      <w:r w:rsidRPr="00DC4586">
        <w:rPr>
          <w:rStyle w:val="italicus"/>
        </w:rPr>
        <w:t>défendu</w:t>
      </w:r>
      <w:r>
        <w:rPr>
          <w:rStyle w:val="italicus"/>
        </w:rPr>
        <w:t xml:space="preserve">, médité, </w:t>
      </w:r>
      <w:r w:rsidRPr="00C8701B">
        <w:rPr>
          <w:rFonts w:eastAsia="Arial Unicode MS"/>
          <w:bCs/>
          <w:lang w:eastAsia="fr-FR" w:bidi="he-IL"/>
        </w:rPr>
        <w:t>t. I</w:t>
      </w:r>
      <w:r>
        <w:rPr>
          <w:rFonts w:eastAsia="Arial Unicode MS"/>
          <w:bCs/>
          <w:lang w:eastAsia="fr-FR" w:bidi="he-IL"/>
        </w:rPr>
        <w:t xml:space="preserve">, </w:t>
      </w:r>
      <w:r w:rsidRPr="00C8701B">
        <w:rPr>
          <w:rFonts w:eastAsia="Arial Unicode MS"/>
          <w:bCs/>
          <w:lang w:eastAsia="fr-FR" w:bidi="he-IL"/>
        </w:rPr>
        <w:t>p. 94 et ss. de la 4</w:t>
      </w:r>
      <w:r w:rsidRPr="00097EF5">
        <w:rPr>
          <w:rFonts w:eastAsia="Arial Unicode MS"/>
          <w:bCs/>
          <w:vertAlign w:val="superscript"/>
          <w:lang w:eastAsia="fr-FR" w:bidi="he-IL"/>
        </w:rPr>
        <w:t>e</w:t>
      </w:r>
      <w:r>
        <w:rPr>
          <w:rFonts w:eastAsia="Arial Unicode MS"/>
          <w:bCs/>
          <w:lang w:eastAsia="fr-FR" w:bidi="he-IL"/>
        </w:rPr>
        <w:t xml:space="preserve"> </w:t>
      </w:r>
      <w:r w:rsidRPr="00C8701B">
        <w:rPr>
          <w:rFonts w:eastAsia="Arial Unicode MS"/>
          <w:bCs/>
          <w:lang w:eastAsia="fr-FR" w:bidi="he-IL"/>
        </w:rPr>
        <w:t xml:space="preserve">édit. : </w:t>
      </w:r>
      <w:r>
        <w:rPr>
          <w:rFonts w:eastAsia="Arial Unicode MS"/>
          <w:bCs/>
          <w:lang w:eastAsia="fr-FR" w:bidi="he-IL"/>
        </w:rPr>
        <w:t xml:space="preserve">E. H. </w:t>
      </w:r>
      <w:r w:rsidRPr="00C8701B">
        <w:rPr>
          <w:rFonts w:eastAsia="Arial Unicode MS"/>
          <w:bCs/>
          <w:lang w:eastAsia="fr-FR" w:bidi="he-IL"/>
        </w:rPr>
        <w:t>Plumptre</w:t>
      </w:r>
      <w:r>
        <w:rPr>
          <w:rFonts w:eastAsia="Arial Unicode MS"/>
          <w:bCs/>
          <w:lang w:eastAsia="fr-FR" w:bidi="he-IL"/>
        </w:rPr>
        <w:t xml:space="preserve">, </w:t>
      </w:r>
      <w:r w:rsidRPr="00DC4586">
        <w:rPr>
          <w:rStyle w:val="italicus"/>
        </w:rPr>
        <w:t>Christ and Christ</w:t>
      </w:r>
      <w:r>
        <w:rPr>
          <w:rStyle w:val="italicus"/>
        </w:rPr>
        <w:t>e</w:t>
      </w:r>
      <w:r w:rsidRPr="00DC4586">
        <w:rPr>
          <w:rStyle w:val="italicus"/>
        </w:rPr>
        <w:t>ndom</w:t>
      </w:r>
      <w:r>
        <w:rPr>
          <w:rStyle w:val="italicus"/>
        </w:rPr>
        <w:t xml:space="preserve">, </w:t>
      </w:r>
      <w:r w:rsidRPr="00C8701B">
        <w:rPr>
          <w:rFonts w:eastAsia="Arial Unicode MS"/>
          <w:bCs/>
          <w:lang w:eastAsia="fr-FR" w:bidi="he-IL"/>
        </w:rPr>
        <w:t>Londres 1867</w:t>
      </w:r>
      <w:r>
        <w:rPr>
          <w:rFonts w:eastAsia="Arial Unicode MS"/>
          <w:bCs/>
          <w:lang w:eastAsia="fr-FR" w:bidi="he-IL"/>
        </w:rPr>
        <w:t xml:space="preserve">, </w:t>
      </w:r>
      <w:r w:rsidRPr="00C8701B">
        <w:rPr>
          <w:rFonts w:eastAsia="Arial Unicode MS"/>
          <w:bCs/>
          <w:lang w:eastAsia="fr-FR" w:bidi="he-IL"/>
        </w:rPr>
        <w:t>p. 328 et ss. </w:t>
      </w:r>
      <w:r>
        <w:rPr>
          <w:rFonts w:eastAsia="Arial Unicode MS"/>
          <w:bCs/>
          <w:lang w:eastAsia="fr-FR" w:bidi="he-IL"/>
        </w:rPr>
        <w:t xml:space="preserve">; </w:t>
      </w:r>
      <w:r w:rsidRPr="00C8701B">
        <w:rPr>
          <w:rFonts w:eastAsia="Arial Unicode MS"/>
          <w:bCs/>
          <w:lang w:eastAsia="fr-FR" w:bidi="he-IL"/>
        </w:rPr>
        <w:t>Mgr. Meignan</w:t>
      </w:r>
      <w:r>
        <w:rPr>
          <w:rFonts w:eastAsia="Arial Unicode MS"/>
          <w:bCs/>
          <w:lang w:eastAsia="fr-FR" w:bidi="he-IL"/>
        </w:rPr>
        <w:t xml:space="preserve">, </w:t>
      </w:r>
      <w:r w:rsidRPr="00DC4586">
        <w:rPr>
          <w:rStyle w:val="italicus"/>
        </w:rPr>
        <w:t>Les Évangiles et la critique au XIXe siècle</w:t>
      </w:r>
      <w:r>
        <w:rPr>
          <w:rStyle w:val="italicus"/>
        </w:rPr>
        <w:t xml:space="preserve">, </w:t>
      </w:r>
      <w:r>
        <w:rPr>
          <w:rFonts w:eastAsia="Arial Unicode MS"/>
          <w:bCs/>
          <w:lang w:eastAsia="fr-FR" w:bidi="he-IL"/>
        </w:rPr>
        <w:t>p.3 et ss. de la 1</w:t>
      </w:r>
      <w:r w:rsidRPr="00097EF5">
        <w:rPr>
          <w:rFonts w:eastAsia="Arial Unicode MS"/>
          <w:bCs/>
          <w:vertAlign w:val="superscript"/>
          <w:lang w:eastAsia="fr-FR" w:bidi="he-IL"/>
        </w:rPr>
        <w:t>re</w:t>
      </w:r>
      <w:r>
        <w:rPr>
          <w:rFonts w:eastAsia="Arial Unicode MS"/>
          <w:bCs/>
          <w:lang w:eastAsia="fr-FR" w:bidi="he-IL"/>
        </w:rPr>
        <w:t xml:space="preserve"> </w:t>
      </w:r>
      <w:r w:rsidRPr="00C8701B">
        <w:rPr>
          <w:rFonts w:eastAsia="Arial Unicode MS"/>
          <w:bCs/>
          <w:lang w:eastAsia="fr-FR" w:bidi="he-IL"/>
        </w:rPr>
        <w:t>édit </w:t>
      </w:r>
      <w:r>
        <w:rPr>
          <w:rFonts w:eastAsia="Arial Unicode MS"/>
          <w:bCs/>
          <w:lang w:eastAsia="fr-FR" w:bidi="he-IL"/>
        </w:rPr>
        <w:t xml:space="preserve">; </w:t>
      </w:r>
      <w:r w:rsidRPr="00C8701B">
        <w:rPr>
          <w:rFonts w:eastAsia="Arial Unicode MS"/>
          <w:bCs/>
          <w:lang w:eastAsia="fr-FR" w:bidi="he-IL"/>
        </w:rPr>
        <w:t>F. Vigouroux</w:t>
      </w:r>
      <w:r>
        <w:rPr>
          <w:rFonts w:eastAsia="Arial Unicode MS"/>
          <w:bCs/>
          <w:lang w:eastAsia="fr-FR" w:bidi="he-IL"/>
        </w:rPr>
        <w:t xml:space="preserve">, </w:t>
      </w:r>
      <w:r w:rsidRPr="00DC4586">
        <w:rPr>
          <w:rStyle w:val="italicus"/>
        </w:rPr>
        <w:t>La Bible et les découvertes modernes</w:t>
      </w:r>
      <w:r>
        <w:rPr>
          <w:rStyle w:val="italicus"/>
        </w:rPr>
        <w:t xml:space="preserve">, </w:t>
      </w:r>
      <w:r w:rsidRPr="00C8701B">
        <w:rPr>
          <w:rFonts w:eastAsia="Arial Unicode MS"/>
          <w:bCs/>
          <w:lang w:eastAsia="fr-FR" w:bidi="he-IL"/>
        </w:rPr>
        <w:t>t. I</w:t>
      </w:r>
      <w:r>
        <w:rPr>
          <w:rFonts w:eastAsia="Arial Unicode MS"/>
          <w:bCs/>
          <w:lang w:eastAsia="fr-FR" w:bidi="he-IL"/>
        </w:rPr>
        <w:t xml:space="preserve">, </w:t>
      </w:r>
      <w:r w:rsidRPr="00C8701B">
        <w:rPr>
          <w:rFonts w:eastAsia="Arial Unicode MS"/>
          <w:bCs/>
          <w:lang w:eastAsia="fr-FR" w:bidi="he-IL"/>
        </w:rPr>
        <w:t>p. 1-115 de la 4</w:t>
      </w:r>
      <w:r w:rsidRPr="00097EF5">
        <w:rPr>
          <w:rFonts w:eastAsia="Arial Unicode MS"/>
          <w:bCs/>
          <w:vertAlign w:val="superscript"/>
          <w:lang w:eastAsia="fr-FR" w:bidi="he-IL"/>
        </w:rPr>
        <w:t>e</w:t>
      </w:r>
      <w:r>
        <w:rPr>
          <w:rFonts w:eastAsia="Arial Unicode MS"/>
          <w:bCs/>
          <w:lang w:eastAsia="fr-FR" w:bidi="he-IL"/>
        </w:rPr>
        <w:t xml:space="preserve"> </w:t>
      </w:r>
      <w:r w:rsidRPr="00C8701B">
        <w:rPr>
          <w:rFonts w:eastAsia="Arial Unicode MS"/>
          <w:bCs/>
          <w:lang w:eastAsia="fr-FR" w:bidi="he-IL"/>
        </w:rPr>
        <w:t>édition </w:t>
      </w:r>
      <w:r>
        <w:rPr>
          <w:rFonts w:eastAsia="Arial Unicode MS"/>
          <w:bCs/>
          <w:lang w:eastAsia="fr-FR" w:bidi="he-IL"/>
        </w:rPr>
        <w:t xml:space="preserve">; </w:t>
      </w:r>
      <w:r w:rsidRPr="00C8701B">
        <w:rPr>
          <w:rFonts w:eastAsia="Arial Unicode MS"/>
          <w:bCs/>
          <w:lang w:eastAsia="fr-FR" w:bidi="he-IL"/>
        </w:rPr>
        <w:t>Cornely</w:t>
      </w:r>
      <w:r>
        <w:rPr>
          <w:rFonts w:eastAsia="Arial Unicode MS"/>
          <w:bCs/>
          <w:lang w:eastAsia="fr-FR" w:bidi="he-IL"/>
        </w:rPr>
        <w:t xml:space="preserve">, </w:t>
      </w:r>
      <w:r w:rsidRPr="00DC4586">
        <w:rPr>
          <w:rStyle w:val="italicus"/>
        </w:rPr>
        <w:t>Hist</w:t>
      </w:r>
      <w:r>
        <w:rPr>
          <w:rStyle w:val="italicus"/>
        </w:rPr>
        <w:t>órica</w:t>
      </w:r>
      <w:r w:rsidRPr="00DC4586">
        <w:rPr>
          <w:rStyle w:val="italicus"/>
        </w:rPr>
        <w:t xml:space="preserve"> et </w:t>
      </w:r>
      <w:r>
        <w:rPr>
          <w:rStyle w:val="italicus"/>
        </w:rPr>
        <w:t>crítica</w:t>
      </w:r>
      <w:r w:rsidRPr="00DC4586">
        <w:rPr>
          <w:rStyle w:val="italicus"/>
        </w:rPr>
        <w:t xml:space="preserve"> Introd</w:t>
      </w:r>
      <w:r>
        <w:rPr>
          <w:rStyle w:val="italicus"/>
        </w:rPr>
        <w:t>úctio</w:t>
      </w:r>
      <w:r w:rsidRPr="00DC4586">
        <w:rPr>
          <w:rStyle w:val="italicus"/>
        </w:rPr>
        <w:t xml:space="preserve"> in utri</w:t>
      </w:r>
      <w:r>
        <w:rPr>
          <w:rStyle w:val="italicus"/>
        </w:rPr>
        <w:t>ú</w:t>
      </w:r>
      <w:r w:rsidRPr="00DC4586">
        <w:rPr>
          <w:rStyle w:val="italicus"/>
        </w:rPr>
        <w:t>sque Te</w:t>
      </w:r>
      <w:r>
        <w:rPr>
          <w:rStyle w:val="italicus"/>
        </w:rPr>
        <w:t>staménti</w:t>
      </w:r>
      <w:r w:rsidRPr="00DC4586">
        <w:rPr>
          <w:rStyle w:val="italicus"/>
        </w:rPr>
        <w:t xml:space="preserve"> libros sacros</w:t>
      </w:r>
      <w:r>
        <w:rPr>
          <w:rStyle w:val="italicus"/>
        </w:rPr>
        <w:t>,</w:t>
      </w:r>
      <w:r>
        <w:t xml:space="preserve"> t. I,</w:t>
      </w:r>
      <w:r w:rsidRPr="00097EF5">
        <w:t xml:space="preserve"> p. </w:t>
      </w:r>
      <w:r>
        <w:t>712</w:t>
      </w:r>
      <w:r w:rsidRPr="00097EF5">
        <w:t xml:space="preserve"> et ss. </w:t>
      </w:r>
      <w:r w:rsidRPr="00C8701B">
        <w:rPr>
          <w:rFonts w:eastAsia="Arial Unicode MS"/>
          <w:bCs/>
          <w:lang w:eastAsia="fr-FR" w:bidi="he-IL"/>
        </w:rPr>
        <w:t>On trouvera une bibliographi</w:t>
      </w:r>
      <w:r>
        <w:rPr>
          <w:rFonts w:eastAsia="Arial Unicode MS"/>
          <w:bCs/>
          <w:lang w:eastAsia="fr-FR" w:bidi="he-IL"/>
        </w:rPr>
        <w:t>e assez complète du sujet dans O</w:t>
      </w:r>
      <w:r w:rsidRPr="00C8701B">
        <w:rPr>
          <w:rFonts w:eastAsia="Arial Unicode MS"/>
          <w:bCs/>
          <w:lang w:eastAsia="fr-FR" w:bidi="he-IL"/>
        </w:rPr>
        <w:t>. Zœckler</w:t>
      </w:r>
      <w:r>
        <w:rPr>
          <w:rFonts w:eastAsia="Arial Unicode MS"/>
          <w:bCs/>
          <w:lang w:eastAsia="fr-FR" w:bidi="he-IL"/>
        </w:rPr>
        <w:t xml:space="preserve">, </w:t>
      </w:r>
      <w:r w:rsidRPr="00DC4586">
        <w:rPr>
          <w:rStyle w:val="italicus"/>
        </w:rPr>
        <w:t>Handbuch der theologischen Wissenschaften</w:t>
      </w:r>
      <w:r>
        <w:rPr>
          <w:rStyle w:val="italicus"/>
        </w:rPr>
        <w:t xml:space="preserve">, </w:t>
      </w:r>
      <w:r w:rsidRPr="00C8701B">
        <w:rPr>
          <w:rFonts w:eastAsia="Arial Unicode MS"/>
          <w:bCs/>
          <w:lang w:eastAsia="fr-FR" w:bidi="he-IL"/>
        </w:rPr>
        <w:t>t. I</w:t>
      </w:r>
      <w:r>
        <w:rPr>
          <w:rFonts w:eastAsia="Arial Unicode MS"/>
          <w:bCs/>
          <w:lang w:eastAsia="fr-FR" w:bidi="he-IL"/>
        </w:rPr>
        <w:t xml:space="preserve">, </w:t>
      </w:r>
      <w:r w:rsidRPr="00C8701B">
        <w:rPr>
          <w:rFonts w:eastAsia="Arial Unicode MS"/>
          <w:bCs/>
          <w:lang w:eastAsia="fr-FR" w:bidi="he-IL"/>
        </w:rPr>
        <w:t>p. 480 et suiv. de la première édition.</w:t>
      </w:r>
    </w:p>
  </w:footnote>
  <w:footnote w:id="422">
    <w:p w:rsidR="00941AA6" w:rsidRPr="00933C60" w:rsidRDefault="00941AA6" w:rsidP="00D432D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M. Vigoureux en retrace admirablement l’histoire. Voyez</w:t>
      </w:r>
      <w:r w:rsidRPr="00DC4586">
        <w:rPr>
          <w:rStyle w:val="italicus"/>
        </w:rPr>
        <w:t xml:space="preserve"> la Bible et les découvertes modernes</w:t>
      </w:r>
      <w:r>
        <w:rPr>
          <w:rStyle w:val="italicus"/>
        </w:rPr>
        <w:t xml:space="preserve">, </w:t>
      </w:r>
      <w:r w:rsidRPr="00C8701B">
        <w:rPr>
          <w:rFonts w:eastAsia="Arial Unicode MS"/>
          <w:bCs/>
          <w:lang w:eastAsia="fr-FR" w:bidi="he-IL"/>
        </w:rPr>
        <w:t>t. I</w:t>
      </w:r>
      <w:r>
        <w:rPr>
          <w:rFonts w:eastAsia="Arial Unicode MS"/>
          <w:bCs/>
          <w:lang w:eastAsia="fr-FR" w:bidi="he-IL"/>
        </w:rPr>
        <w:t xml:space="preserve">, </w:t>
      </w:r>
      <w:r w:rsidRPr="00C8701B">
        <w:rPr>
          <w:rFonts w:eastAsia="Arial Unicode MS"/>
          <w:bCs/>
          <w:lang w:eastAsia="fr-FR" w:bidi="he-IL"/>
        </w:rPr>
        <w:t>p. 1-24</w:t>
      </w:r>
      <w:r>
        <w:rPr>
          <w:rFonts w:eastAsia="Arial Unicode MS"/>
          <w:bCs/>
          <w:lang w:eastAsia="fr-FR" w:bidi="he-IL"/>
        </w:rPr>
        <w:t xml:space="preserve">, </w:t>
      </w:r>
      <w:r w:rsidRPr="00C8701B">
        <w:rPr>
          <w:rFonts w:eastAsia="Arial Unicode MS"/>
          <w:bCs/>
          <w:lang w:eastAsia="fr-FR" w:bidi="he-IL"/>
        </w:rPr>
        <w:t>et surtout</w:t>
      </w:r>
      <w:r w:rsidRPr="00DC4586">
        <w:rPr>
          <w:rStyle w:val="italicus"/>
        </w:rPr>
        <w:t xml:space="preserve"> Les Livres saints et la critique rationaliste</w:t>
      </w:r>
      <w:r>
        <w:rPr>
          <w:rStyle w:val="italicus"/>
        </w:rPr>
        <w:t xml:space="preserve">, </w:t>
      </w:r>
      <w:r w:rsidRPr="00C8701B">
        <w:rPr>
          <w:rFonts w:eastAsia="Arial Unicode MS"/>
          <w:bCs/>
          <w:lang w:eastAsia="fr-FR" w:bidi="he-IL"/>
        </w:rPr>
        <w:t>t</w:t>
      </w:r>
      <w:r>
        <w:rPr>
          <w:rFonts w:eastAsia="Arial Unicode MS"/>
          <w:bCs/>
          <w:lang w:eastAsia="fr-FR" w:bidi="he-IL"/>
        </w:rPr>
        <w:t xml:space="preserve">. II, </w:t>
      </w:r>
      <w:r w:rsidRPr="00C8701B">
        <w:rPr>
          <w:rFonts w:eastAsia="Arial Unicode MS"/>
          <w:bCs/>
          <w:lang w:eastAsia="fr-FR" w:bidi="he-IL"/>
        </w:rPr>
        <w:t>p. 212 et ss.</w:t>
      </w:r>
    </w:p>
  </w:footnote>
  <w:footnote w:id="423">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Mgr. Meignan</w:t>
      </w:r>
      <w:r>
        <w:rPr>
          <w:rFonts w:eastAsia="Arial Unicode MS"/>
          <w:bCs/>
          <w:lang w:eastAsia="fr-FR" w:bidi="he-IL"/>
        </w:rPr>
        <w:t xml:space="preserve">, </w:t>
      </w:r>
      <w:r w:rsidRPr="00DC4586">
        <w:rPr>
          <w:rStyle w:val="italicus"/>
        </w:rPr>
        <w:t>Les Évangiles et la critique au XIX</w:t>
      </w:r>
      <w:r>
        <w:rPr>
          <w:rStyle w:val="italicus"/>
        </w:rPr>
        <w:t>e</w:t>
      </w:r>
      <w:r w:rsidRPr="00DC4586">
        <w:rPr>
          <w:rStyle w:val="italicus"/>
        </w:rPr>
        <w:t xml:space="preserve"> siècle</w:t>
      </w:r>
      <w:r>
        <w:rPr>
          <w:rStyle w:val="italicus"/>
        </w:rPr>
        <w:t xml:space="preserve">, </w:t>
      </w:r>
      <w:r w:rsidRPr="00C8701B">
        <w:rPr>
          <w:rFonts w:eastAsia="Arial Unicode MS"/>
          <w:bCs/>
          <w:lang w:eastAsia="fr-FR" w:bidi="he-IL"/>
        </w:rPr>
        <w:t>p. 4 et 25.</w:t>
      </w:r>
    </w:p>
  </w:footnote>
  <w:footnote w:id="424">
    <w:p w:rsidR="00941AA6" w:rsidRPr="00933C60" w:rsidRDefault="00941AA6" w:rsidP="00431B93">
      <w:pPr>
        <w:pStyle w:val="Notedebasdepage"/>
      </w:pPr>
      <w:r w:rsidRPr="00C406FF">
        <w:rPr>
          <w:rStyle w:val="Appelnotedebasdep"/>
        </w:rPr>
        <w:footnoteRef/>
      </w:r>
      <w:r w:rsidRPr="00C8701B">
        <w:rPr>
          <w:rFonts w:eastAsia="Arial Unicode MS"/>
          <w:bCs/>
          <w:lang w:eastAsia="fr-FR" w:bidi="he-IL"/>
        </w:rPr>
        <w:t xml:space="preserve"> Mort en 1791. Parmi ses ouvrages</w:t>
      </w:r>
      <w:r>
        <w:rPr>
          <w:rFonts w:eastAsia="Arial Unicode MS"/>
          <w:bCs/>
          <w:lang w:eastAsia="fr-FR" w:bidi="he-IL"/>
        </w:rPr>
        <w:t xml:space="preserve">, </w:t>
      </w:r>
      <w:r w:rsidRPr="00C8701B">
        <w:rPr>
          <w:rFonts w:eastAsia="Arial Unicode MS"/>
          <w:bCs/>
          <w:lang w:eastAsia="fr-FR" w:bidi="he-IL"/>
        </w:rPr>
        <w:t>ceux qui nous concernent sont intitulés :</w:t>
      </w:r>
      <w:r w:rsidRPr="00DC4586">
        <w:rPr>
          <w:rStyle w:val="italicus"/>
        </w:rPr>
        <w:t xml:space="preserve"> Appar</w:t>
      </w:r>
      <w:r>
        <w:rPr>
          <w:rStyle w:val="italicus"/>
        </w:rPr>
        <w:t>á</w:t>
      </w:r>
      <w:r w:rsidRPr="00DC4586">
        <w:rPr>
          <w:rStyle w:val="italicus"/>
        </w:rPr>
        <w:t>tus ad libr</w:t>
      </w:r>
      <w:r>
        <w:rPr>
          <w:rStyle w:val="italicus"/>
        </w:rPr>
        <w:t>órum</w:t>
      </w:r>
      <w:r w:rsidRPr="00DC4586">
        <w:rPr>
          <w:rStyle w:val="italicus"/>
        </w:rPr>
        <w:t xml:space="preserve"> Novi Te</w:t>
      </w:r>
      <w:r>
        <w:rPr>
          <w:rStyle w:val="italicus"/>
        </w:rPr>
        <w:t>staménti</w:t>
      </w:r>
      <w:r w:rsidRPr="00DC4586">
        <w:rPr>
          <w:rStyle w:val="italicus"/>
        </w:rPr>
        <w:t xml:space="preserve"> interpretat</w:t>
      </w:r>
      <w:r>
        <w:rPr>
          <w:rStyle w:val="italicus"/>
        </w:rPr>
        <w:t>iónem</w:t>
      </w:r>
      <w:r>
        <w:rPr>
          <w:rFonts w:eastAsia="Arial Unicode MS"/>
          <w:bCs/>
          <w:lang w:eastAsia="fr-FR" w:bidi="he-IL"/>
        </w:rPr>
        <w:t xml:space="preserve">, </w:t>
      </w:r>
      <w:r w:rsidRPr="00C8701B">
        <w:rPr>
          <w:rFonts w:eastAsia="Arial Unicode MS"/>
          <w:bCs/>
          <w:lang w:eastAsia="fr-FR" w:bidi="he-IL"/>
        </w:rPr>
        <w:t>1767 </w:t>
      </w:r>
      <w:r>
        <w:rPr>
          <w:rFonts w:eastAsia="Arial Unicode MS"/>
          <w:bCs/>
          <w:lang w:eastAsia="fr-FR" w:bidi="he-IL"/>
        </w:rPr>
        <w:t xml:space="preserve">; </w:t>
      </w:r>
      <w:r w:rsidRPr="00431B93">
        <w:rPr>
          <w:rStyle w:val="italicus"/>
        </w:rPr>
        <w:t>Freymüthige</w:t>
      </w:r>
      <w:r>
        <w:rPr>
          <w:rStyle w:val="italicus"/>
        </w:rPr>
        <w:t xml:space="preserve"> Briefe z</w:t>
      </w:r>
      <w:r w:rsidRPr="00DC4586">
        <w:rPr>
          <w:rStyle w:val="italicus"/>
        </w:rPr>
        <w:t>ur Erleichterung de</w:t>
      </w:r>
      <w:r>
        <w:rPr>
          <w:rStyle w:val="italicus"/>
        </w:rPr>
        <w:t>r P</w:t>
      </w:r>
      <w:r w:rsidRPr="00DC4586">
        <w:rPr>
          <w:rStyle w:val="italicus"/>
        </w:rPr>
        <w:t>rivatreligion der Christen</w:t>
      </w:r>
      <w:r>
        <w:rPr>
          <w:rStyle w:val="italicus"/>
        </w:rPr>
        <w:t xml:space="preserve">, </w:t>
      </w:r>
      <w:r w:rsidRPr="00C8701B">
        <w:rPr>
          <w:rFonts w:eastAsia="Arial Unicode MS"/>
          <w:bCs/>
          <w:lang w:eastAsia="fr-FR" w:bidi="he-IL"/>
        </w:rPr>
        <w:t>1784.</w:t>
      </w:r>
    </w:p>
  </w:footnote>
  <w:footnote w:id="425">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Professeur à</w:t>
      </w:r>
      <w:r>
        <w:rPr>
          <w:rFonts w:eastAsia="Arial Unicode MS"/>
          <w:bCs/>
          <w:lang w:eastAsia="fr-FR" w:bidi="he-IL"/>
        </w:rPr>
        <w:t xml:space="preserve"> l’</w:t>
      </w:r>
      <w:r w:rsidRPr="00C8701B">
        <w:rPr>
          <w:rFonts w:eastAsia="Arial Unicode MS"/>
          <w:bCs/>
          <w:lang w:eastAsia="fr-FR" w:bidi="he-IL"/>
        </w:rPr>
        <w:t>université d’Heidelberg</w:t>
      </w:r>
      <w:r>
        <w:rPr>
          <w:rFonts w:eastAsia="Arial Unicode MS"/>
          <w:bCs/>
          <w:lang w:eastAsia="fr-FR" w:bidi="he-IL"/>
        </w:rPr>
        <w:t xml:space="preserve">, </w:t>
      </w:r>
      <w:r w:rsidRPr="00C8701B">
        <w:rPr>
          <w:rFonts w:eastAsia="Arial Unicode MS"/>
          <w:bCs/>
          <w:lang w:eastAsia="fr-FR" w:bidi="he-IL"/>
        </w:rPr>
        <w:t>mort en 1851. Il a exposé et appliqué ses principes dans les deux ouvrages suivants :</w:t>
      </w:r>
      <w:r w:rsidRPr="00DC4586">
        <w:rPr>
          <w:rStyle w:val="italicus"/>
        </w:rPr>
        <w:t xml:space="preserve"> Leben Jesu</w:t>
      </w:r>
      <w:r>
        <w:rPr>
          <w:rStyle w:val="italicus"/>
        </w:rPr>
        <w:t xml:space="preserve">, </w:t>
      </w:r>
      <w:r w:rsidRPr="00C8701B">
        <w:rPr>
          <w:rFonts w:eastAsia="Arial Unicode MS"/>
          <w:bCs/>
          <w:lang w:eastAsia="fr-FR" w:bidi="he-IL"/>
        </w:rPr>
        <w:t>1878 </w:t>
      </w:r>
      <w:r>
        <w:rPr>
          <w:rFonts w:eastAsia="Arial Unicode MS"/>
          <w:bCs/>
          <w:lang w:eastAsia="fr-FR" w:bidi="he-IL"/>
        </w:rPr>
        <w:t xml:space="preserve">; </w:t>
      </w:r>
      <w:r w:rsidRPr="00DC4586">
        <w:rPr>
          <w:rStyle w:val="italicus"/>
        </w:rPr>
        <w:t xml:space="preserve">Exegetisches Handbuch </w:t>
      </w:r>
      <w:r>
        <w:rPr>
          <w:rStyle w:val="italicus"/>
        </w:rPr>
        <w:t>über die drei erst</w:t>
      </w:r>
      <w:r w:rsidRPr="00DC4586">
        <w:rPr>
          <w:rStyle w:val="italicus"/>
        </w:rPr>
        <w:t>en Evangelien</w:t>
      </w:r>
      <w:r>
        <w:rPr>
          <w:rStyle w:val="italicus"/>
        </w:rPr>
        <w:t xml:space="preserve">, </w:t>
      </w:r>
      <w:r w:rsidRPr="00C8701B">
        <w:rPr>
          <w:rFonts w:eastAsia="Arial Unicode MS"/>
          <w:bCs/>
          <w:lang w:eastAsia="fr-FR" w:bidi="he-IL"/>
        </w:rPr>
        <w:t>1830-1833. Voyez Vigouroux</w:t>
      </w:r>
      <w:r>
        <w:rPr>
          <w:rFonts w:eastAsia="Arial Unicode MS"/>
          <w:bCs/>
          <w:lang w:eastAsia="fr-FR" w:bidi="he-IL"/>
        </w:rPr>
        <w:t xml:space="preserve">, </w:t>
      </w:r>
      <w:r w:rsidRPr="00DC4586">
        <w:rPr>
          <w:rStyle w:val="italicus"/>
        </w:rPr>
        <w:t>Mélanges bibliques</w:t>
      </w:r>
      <w:r>
        <w:rPr>
          <w:rFonts w:eastAsia="Arial Unicode MS"/>
          <w:bCs/>
          <w:lang w:eastAsia="fr-FR" w:bidi="he-IL"/>
        </w:rPr>
        <w:t xml:space="preserve">, </w:t>
      </w:r>
      <w:r w:rsidRPr="00C8701B">
        <w:rPr>
          <w:rFonts w:eastAsia="Arial Unicode MS"/>
          <w:bCs/>
          <w:lang w:eastAsia="fr-FR" w:bidi="he-IL"/>
        </w:rPr>
        <w:t>Paris 1882</w:t>
      </w:r>
      <w:r>
        <w:rPr>
          <w:rFonts w:eastAsia="Arial Unicode MS"/>
          <w:bCs/>
          <w:lang w:eastAsia="fr-FR" w:bidi="he-IL"/>
        </w:rPr>
        <w:t xml:space="preserve">, </w:t>
      </w:r>
      <w:r w:rsidRPr="00C8701B">
        <w:rPr>
          <w:rFonts w:eastAsia="Arial Unicode MS"/>
          <w:bCs/>
          <w:lang w:eastAsia="fr-FR" w:bidi="he-IL"/>
        </w:rPr>
        <w:t>p. 163 et ss.</w:t>
      </w:r>
    </w:p>
  </w:footnote>
  <w:footnote w:id="426">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 Nous maintiendrons ce principe de critique historique</w:t>
      </w:r>
      <w:r>
        <w:rPr>
          <w:rFonts w:eastAsia="Arial Unicode MS"/>
          <w:bCs/>
          <w:lang w:eastAsia="fr-FR" w:bidi="he-IL"/>
        </w:rPr>
        <w:t xml:space="preserve">, </w:t>
      </w:r>
      <w:r w:rsidRPr="00C8701B">
        <w:rPr>
          <w:rFonts w:eastAsia="Arial Unicode MS"/>
          <w:bCs/>
          <w:lang w:eastAsia="fr-FR" w:bidi="he-IL"/>
        </w:rPr>
        <w:t>qu’</w:t>
      </w:r>
      <w:r>
        <w:rPr>
          <w:rFonts w:eastAsia="Arial Unicode MS"/>
          <w:bCs/>
          <w:lang w:eastAsia="fr-FR" w:bidi="he-IL"/>
        </w:rPr>
        <w:t>un récit surnaturel ne peut ê</w:t>
      </w:r>
      <w:r w:rsidRPr="00C8701B">
        <w:rPr>
          <w:rFonts w:eastAsia="Arial Unicode MS"/>
          <w:bCs/>
          <w:lang w:eastAsia="fr-FR" w:bidi="he-IL"/>
        </w:rPr>
        <w:t>tre admis comme tel</w:t>
      </w:r>
      <w:r>
        <w:rPr>
          <w:rFonts w:eastAsia="Arial Unicode MS"/>
          <w:bCs/>
          <w:lang w:eastAsia="fr-FR" w:bidi="he-IL"/>
        </w:rPr>
        <w:t xml:space="preserve">, </w:t>
      </w:r>
      <w:r w:rsidRPr="00C8701B">
        <w:rPr>
          <w:rFonts w:eastAsia="Arial Unicode MS"/>
          <w:bCs/>
          <w:lang w:eastAsia="fr-FR" w:bidi="he-IL"/>
        </w:rPr>
        <w:t>qu’il implique toujours crédulité ou imposture ». E. Renan</w:t>
      </w:r>
      <w:r>
        <w:rPr>
          <w:rFonts w:eastAsia="Arial Unicode MS"/>
          <w:bCs/>
          <w:lang w:eastAsia="fr-FR" w:bidi="he-IL"/>
        </w:rPr>
        <w:t xml:space="preserve">, </w:t>
      </w:r>
      <w:r w:rsidRPr="00DC4586">
        <w:rPr>
          <w:rStyle w:val="italicus"/>
        </w:rPr>
        <w:t>Vie de Jésus</w:t>
      </w:r>
      <w:r>
        <w:rPr>
          <w:rFonts w:eastAsia="Arial Unicode MS"/>
          <w:bCs/>
          <w:lang w:eastAsia="fr-FR" w:bidi="he-IL"/>
        </w:rPr>
        <w:t xml:space="preserve">, </w:t>
      </w:r>
      <w:r w:rsidRPr="00C8701B">
        <w:rPr>
          <w:rFonts w:eastAsia="Arial Unicode MS"/>
          <w:bCs/>
          <w:lang w:eastAsia="fr-FR" w:bidi="he-IL"/>
        </w:rPr>
        <w:t xml:space="preserve">p. </w:t>
      </w:r>
      <w:r>
        <w:rPr>
          <w:rFonts w:eastAsia="Arial Unicode MS"/>
          <w:bCs/>
          <w:lang w:eastAsia="fr-FR" w:bidi="he-IL"/>
        </w:rPr>
        <w:t>LV</w:t>
      </w:r>
      <w:r w:rsidRPr="00C8701B">
        <w:rPr>
          <w:rFonts w:eastAsia="Arial Unicode MS"/>
          <w:bCs/>
          <w:lang w:eastAsia="fr-FR" w:bidi="he-IL"/>
        </w:rPr>
        <w:t>.</w:t>
      </w:r>
    </w:p>
  </w:footnote>
  <w:footnote w:id="427">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Vigoureux</w:t>
      </w:r>
      <w:r>
        <w:rPr>
          <w:rFonts w:eastAsia="Arial Unicode MS"/>
          <w:bCs/>
          <w:lang w:eastAsia="fr-FR" w:bidi="he-IL"/>
        </w:rPr>
        <w:t xml:space="preserve">, </w:t>
      </w:r>
      <w:r w:rsidRPr="00DC4586">
        <w:rPr>
          <w:rStyle w:val="italicus"/>
        </w:rPr>
        <w:t>La Bible et les découvertes modernes</w:t>
      </w:r>
      <w:r>
        <w:rPr>
          <w:rStyle w:val="italicus"/>
        </w:rPr>
        <w:t xml:space="preserve">, </w:t>
      </w:r>
      <w:r w:rsidRPr="00C8701B">
        <w:rPr>
          <w:rFonts w:eastAsia="Arial Unicode MS"/>
          <w:bCs/>
          <w:lang w:eastAsia="fr-FR" w:bidi="he-IL"/>
        </w:rPr>
        <w:t>t. I</w:t>
      </w:r>
      <w:r>
        <w:rPr>
          <w:rFonts w:eastAsia="Arial Unicode MS"/>
          <w:bCs/>
          <w:lang w:eastAsia="fr-FR" w:bidi="he-IL"/>
        </w:rPr>
        <w:t>, p. 36</w:t>
      </w:r>
      <w:r w:rsidRPr="00C8701B">
        <w:rPr>
          <w:rFonts w:eastAsia="Arial Unicode MS"/>
          <w:bCs/>
          <w:lang w:eastAsia="fr-FR" w:bidi="he-IL"/>
        </w:rPr>
        <w:t>.</w:t>
      </w:r>
    </w:p>
  </w:footnote>
  <w:footnote w:id="428">
    <w:p w:rsidR="00941AA6" w:rsidRPr="00D432D6" w:rsidRDefault="00941AA6">
      <w:pPr>
        <w:pStyle w:val="Notedebasdepage"/>
        <w:rPr>
          <w:lang w:val="en-GB"/>
        </w:rPr>
      </w:pPr>
      <w:r w:rsidRPr="00C406FF">
        <w:rPr>
          <w:rStyle w:val="Appelnotedebasdep"/>
        </w:rPr>
        <w:footnoteRef/>
      </w:r>
      <w:r w:rsidRPr="00C8701B">
        <w:rPr>
          <w:rFonts w:eastAsia="Arial Unicode MS"/>
          <w:lang w:val="en-US" w:eastAsia="fr-FR" w:bidi="he-IL"/>
        </w:rPr>
        <w:t xml:space="preserve"> </w:t>
      </w:r>
      <w:r>
        <w:rPr>
          <w:rFonts w:eastAsia="Arial Unicode MS"/>
          <w:bCs/>
          <w:lang w:val="en-US" w:eastAsia="fr-FR" w:bidi="he-IL"/>
        </w:rPr>
        <w:t>Cf</w:t>
      </w:r>
      <w:r w:rsidRPr="00C8701B">
        <w:rPr>
          <w:rFonts w:eastAsia="Arial Unicode MS"/>
          <w:bCs/>
          <w:lang w:val="en-US" w:eastAsia="fr-FR" w:bidi="he-IL"/>
        </w:rPr>
        <w:t xml:space="preserve">. </w:t>
      </w:r>
      <w:r>
        <w:rPr>
          <w:rFonts w:eastAsia="Arial Unicode MS"/>
          <w:bCs/>
          <w:lang w:val="en-US" w:eastAsia="fr-FR" w:bidi="he-IL"/>
        </w:rPr>
        <w:t xml:space="preserve">Cornely, </w:t>
      </w:r>
      <w:r w:rsidRPr="00A74F01">
        <w:rPr>
          <w:rStyle w:val="italicus"/>
          <w:lang w:val="en-US"/>
        </w:rPr>
        <w:t xml:space="preserve">l. c., </w:t>
      </w:r>
      <w:r w:rsidRPr="00C8701B">
        <w:rPr>
          <w:rFonts w:eastAsia="Arial Unicode MS"/>
          <w:bCs/>
          <w:lang w:val="en-US" w:eastAsia="fr-FR" w:bidi="he-IL"/>
        </w:rPr>
        <w:t>p. 719.</w:t>
      </w:r>
    </w:p>
  </w:footnote>
  <w:footnote w:id="429">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Ibid.</w:t>
      </w:r>
      <w:r>
        <w:rPr>
          <w:rStyle w:val="italicus"/>
        </w:rPr>
        <w:t xml:space="preserve">, </w:t>
      </w:r>
      <w:r w:rsidRPr="00C8701B">
        <w:rPr>
          <w:rFonts w:eastAsia="Arial Unicode MS"/>
          <w:bCs/>
          <w:lang w:eastAsia="fr-FR" w:bidi="he-IL"/>
        </w:rPr>
        <w:t>p. 719-720.</w:t>
      </w:r>
    </w:p>
  </w:footnote>
  <w:footnote w:id="430">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F. Vigoureux</w:t>
      </w:r>
      <w:r>
        <w:rPr>
          <w:rFonts w:eastAsia="Arial Unicode MS"/>
          <w:bCs/>
          <w:lang w:eastAsia="fr-FR" w:bidi="he-IL"/>
        </w:rPr>
        <w:t xml:space="preserve">, </w:t>
      </w:r>
      <w:r w:rsidRPr="00DC4586">
        <w:rPr>
          <w:rStyle w:val="italicus"/>
        </w:rPr>
        <w:t>Les Livres saints et la critique rationaliste</w:t>
      </w:r>
      <w:r>
        <w:rPr>
          <w:rStyle w:val="italicus"/>
        </w:rPr>
        <w:t xml:space="preserve">, </w:t>
      </w:r>
      <w:r w:rsidRPr="00C8701B">
        <w:rPr>
          <w:rFonts w:eastAsia="Arial Unicode MS"/>
          <w:bCs/>
          <w:lang w:eastAsia="fr-FR" w:bidi="he-IL"/>
        </w:rPr>
        <w:t>t. III</w:t>
      </w:r>
      <w:r>
        <w:rPr>
          <w:rFonts w:eastAsia="Arial Unicode MS"/>
          <w:bCs/>
          <w:lang w:eastAsia="fr-FR" w:bidi="he-IL"/>
        </w:rPr>
        <w:t xml:space="preserve">, </w:t>
      </w:r>
      <w:r w:rsidRPr="00C8701B">
        <w:rPr>
          <w:rFonts w:eastAsia="Arial Unicode MS"/>
          <w:bCs/>
          <w:lang w:eastAsia="fr-FR" w:bidi="he-IL"/>
        </w:rPr>
        <w:t>p. 432</w:t>
      </w:r>
      <w:r>
        <w:rPr>
          <w:rFonts w:eastAsia="Arial Unicode MS"/>
          <w:bCs/>
          <w:lang w:eastAsia="fr-FR" w:bidi="he-IL"/>
        </w:rPr>
        <w:t xml:space="preserve"> et ss.</w:t>
      </w:r>
    </w:p>
  </w:footnote>
  <w:footnote w:id="431">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Mgr Meignan</w:t>
      </w:r>
      <w:r>
        <w:rPr>
          <w:rFonts w:eastAsia="Arial Unicode MS"/>
          <w:bCs/>
          <w:lang w:eastAsia="fr-FR" w:bidi="he-IL"/>
        </w:rPr>
        <w:t xml:space="preserve">, </w:t>
      </w:r>
      <w:r w:rsidRPr="00097EF5">
        <w:rPr>
          <w:rStyle w:val="italicus"/>
        </w:rPr>
        <w:t>l. c.,</w:t>
      </w:r>
      <w:r>
        <w:rPr>
          <w:rFonts w:eastAsia="Arial Unicode MS"/>
          <w:bCs/>
          <w:lang w:eastAsia="fr-FR" w:bidi="he-IL"/>
        </w:rPr>
        <w:t xml:space="preserve"> </w:t>
      </w:r>
      <w:r w:rsidRPr="00C8701B">
        <w:rPr>
          <w:rFonts w:eastAsia="Arial Unicode MS"/>
          <w:bCs/>
          <w:lang w:eastAsia="fr-FR" w:bidi="he-IL"/>
        </w:rPr>
        <w:t>p. 15.</w:t>
      </w:r>
    </w:p>
  </w:footnote>
  <w:footnote w:id="432">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Les plus célèbres sont</w:t>
      </w:r>
      <w:r>
        <w:rPr>
          <w:rStyle w:val="italicus"/>
        </w:rPr>
        <w:t xml:space="preserve"> Da</w:t>
      </w:r>
      <w:r w:rsidRPr="00DC4586">
        <w:rPr>
          <w:rStyle w:val="italicus"/>
        </w:rPr>
        <w:t xml:space="preserve">s Leben Jesu </w:t>
      </w:r>
      <w:r>
        <w:rPr>
          <w:rStyle w:val="italicus"/>
        </w:rPr>
        <w:t>kritisch</w:t>
      </w:r>
      <w:r w:rsidRPr="00DC4586">
        <w:rPr>
          <w:rStyle w:val="italicus"/>
        </w:rPr>
        <w:t xml:space="preserve"> bearbeitet</w:t>
      </w:r>
      <w:r>
        <w:rPr>
          <w:rStyle w:val="italicus"/>
        </w:rPr>
        <w:t xml:space="preserve">, </w:t>
      </w:r>
      <w:r>
        <w:rPr>
          <w:rFonts w:eastAsia="Arial Unicode MS"/>
          <w:bCs/>
          <w:lang w:eastAsia="fr-FR" w:bidi="he-IL"/>
        </w:rPr>
        <w:t>1</w:t>
      </w:r>
      <w:r w:rsidRPr="00097EF5">
        <w:rPr>
          <w:rFonts w:eastAsia="Arial Unicode MS"/>
          <w:bCs/>
          <w:vertAlign w:val="superscript"/>
          <w:lang w:eastAsia="fr-FR" w:bidi="he-IL"/>
        </w:rPr>
        <w:t>re</w:t>
      </w:r>
      <w:r>
        <w:rPr>
          <w:rFonts w:eastAsia="Arial Unicode MS"/>
          <w:bCs/>
          <w:lang w:eastAsia="fr-FR" w:bidi="he-IL"/>
        </w:rPr>
        <w:t xml:space="preserve"> </w:t>
      </w:r>
      <w:r w:rsidRPr="00C8701B">
        <w:rPr>
          <w:rFonts w:eastAsia="Arial Unicode MS"/>
          <w:bCs/>
          <w:lang w:eastAsia="fr-FR" w:bidi="he-IL"/>
        </w:rPr>
        <w:t>édit.</w:t>
      </w:r>
      <w:r>
        <w:rPr>
          <w:rFonts w:eastAsia="Arial Unicode MS"/>
          <w:bCs/>
          <w:lang w:eastAsia="fr-FR" w:bidi="he-IL"/>
        </w:rPr>
        <w:t xml:space="preserve">, </w:t>
      </w:r>
      <w:r w:rsidRPr="00C8701B">
        <w:rPr>
          <w:rFonts w:eastAsia="Arial Unicode MS"/>
          <w:bCs/>
          <w:lang w:eastAsia="fr-FR" w:bidi="he-IL"/>
        </w:rPr>
        <w:t>1835-1836</w:t>
      </w:r>
      <w:r>
        <w:rPr>
          <w:rFonts w:eastAsia="Arial Unicode MS"/>
          <w:bCs/>
          <w:lang w:eastAsia="fr-FR" w:bidi="he-IL"/>
        </w:rPr>
        <w:t xml:space="preserve">, </w:t>
      </w:r>
      <w:r w:rsidRPr="00C8701B">
        <w:rPr>
          <w:rFonts w:eastAsia="Arial Unicode MS"/>
          <w:bCs/>
          <w:lang w:eastAsia="fr-FR" w:bidi="he-IL"/>
        </w:rPr>
        <w:t>traduit en français par M. Littré sous le titre de</w:t>
      </w:r>
      <w:r w:rsidRPr="00DC4586">
        <w:rPr>
          <w:rStyle w:val="italicus"/>
        </w:rPr>
        <w:t xml:space="preserve"> Vie de Jésus </w:t>
      </w:r>
      <w:r>
        <w:rPr>
          <w:rStyle w:val="italicus"/>
        </w:rPr>
        <w:t>; Das Leben Jesu fü</w:t>
      </w:r>
      <w:r w:rsidRPr="00DC4586">
        <w:rPr>
          <w:rStyle w:val="italicus"/>
        </w:rPr>
        <w:t>r</w:t>
      </w:r>
      <w:r>
        <w:rPr>
          <w:rStyle w:val="italicus"/>
        </w:rPr>
        <w:t xml:space="preserve"> </w:t>
      </w:r>
      <w:r w:rsidRPr="00DC4586">
        <w:rPr>
          <w:rStyle w:val="italicus"/>
        </w:rPr>
        <w:t>das deutsche Volk bearbeitet</w:t>
      </w:r>
      <w:r>
        <w:rPr>
          <w:rStyle w:val="italicus"/>
        </w:rPr>
        <w:t xml:space="preserve">, </w:t>
      </w:r>
      <w:r w:rsidRPr="00C8701B">
        <w:rPr>
          <w:rFonts w:eastAsia="Arial Unicode MS"/>
          <w:bCs/>
          <w:lang w:eastAsia="fr-FR" w:bidi="he-IL"/>
        </w:rPr>
        <w:t>1863</w:t>
      </w:r>
      <w:r w:rsidRPr="00DC4586">
        <w:rPr>
          <w:rStyle w:val="italicus"/>
        </w:rPr>
        <w:t> </w:t>
      </w:r>
      <w:r>
        <w:rPr>
          <w:rStyle w:val="italicus"/>
        </w:rPr>
        <w:t xml:space="preserve">; </w:t>
      </w:r>
      <w:r w:rsidRPr="00DC4586">
        <w:rPr>
          <w:rStyle w:val="italicus"/>
        </w:rPr>
        <w:t>la Nouvelle vie de Jésus</w:t>
      </w:r>
      <w:r>
        <w:rPr>
          <w:rStyle w:val="italicus"/>
        </w:rPr>
        <w:t xml:space="preserve">, </w:t>
      </w:r>
      <w:r>
        <w:rPr>
          <w:rFonts w:eastAsia="Arial Unicode MS"/>
          <w:bCs/>
          <w:lang w:eastAsia="fr-FR" w:bidi="he-IL"/>
        </w:rPr>
        <w:t>trad. franç</w:t>
      </w:r>
      <w:r w:rsidRPr="00C8701B">
        <w:rPr>
          <w:rFonts w:eastAsia="Arial Unicode MS"/>
          <w:bCs/>
          <w:lang w:eastAsia="fr-FR" w:bidi="he-IL"/>
        </w:rPr>
        <w:t>.</w:t>
      </w:r>
    </w:p>
  </w:footnote>
  <w:footnote w:id="433">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Conférence sur les écrits de Strauss</w:t>
      </w:r>
      <w:r>
        <w:rPr>
          <w:rStyle w:val="italicus"/>
        </w:rPr>
        <w:t xml:space="preserve">, </w:t>
      </w:r>
      <w:r w:rsidRPr="00DC4586">
        <w:rPr>
          <w:rStyle w:val="italicus"/>
        </w:rPr>
        <w:t>Renan et Schenkel</w:t>
      </w:r>
      <w:r>
        <w:rPr>
          <w:rStyle w:val="italicus"/>
        </w:rPr>
        <w:t xml:space="preserve">, </w:t>
      </w:r>
      <w:r w:rsidRPr="00C8701B">
        <w:rPr>
          <w:rFonts w:eastAsia="Arial Unicode MS"/>
          <w:bCs/>
          <w:lang w:eastAsia="fr-FR" w:bidi="he-IL"/>
        </w:rPr>
        <w:t>trad. de l’allemand par Ph. Corbière</w:t>
      </w:r>
      <w:r>
        <w:rPr>
          <w:rFonts w:eastAsia="Arial Unicode MS"/>
          <w:bCs/>
          <w:lang w:eastAsia="fr-FR" w:bidi="he-IL"/>
        </w:rPr>
        <w:t xml:space="preserve">, </w:t>
      </w:r>
      <w:r w:rsidRPr="00C8701B">
        <w:rPr>
          <w:rFonts w:eastAsia="Arial Unicode MS"/>
          <w:bCs/>
          <w:lang w:eastAsia="fr-FR" w:bidi="he-IL"/>
        </w:rPr>
        <w:t>Paris 1865.</w:t>
      </w:r>
    </w:p>
  </w:footnote>
  <w:footnote w:id="434">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 Si ei (Strauss) fides esset adhibénda</w:t>
      </w:r>
      <w:r>
        <w:rPr>
          <w:rFonts w:eastAsia="Arial Unicode MS"/>
          <w:bCs/>
          <w:lang w:eastAsia="fr-FR" w:bidi="he-IL"/>
        </w:rPr>
        <w:t xml:space="preserve">, </w:t>
      </w:r>
      <w:r w:rsidRPr="00C8701B">
        <w:rPr>
          <w:rFonts w:eastAsia="Arial Unicode MS"/>
          <w:bCs/>
          <w:lang w:eastAsia="fr-FR" w:bidi="he-IL"/>
        </w:rPr>
        <w:t xml:space="preserve">nihil </w:t>
      </w:r>
      <w:r>
        <w:rPr>
          <w:rFonts w:eastAsia="Arial Unicode MS"/>
          <w:bCs/>
          <w:lang w:eastAsia="fr-FR" w:bidi="he-IL"/>
        </w:rPr>
        <w:t>áliud</w:t>
      </w:r>
      <w:r w:rsidRPr="00C8701B">
        <w:rPr>
          <w:rFonts w:eastAsia="Arial Unicode MS"/>
          <w:bCs/>
          <w:lang w:eastAsia="fr-FR" w:bidi="he-IL"/>
        </w:rPr>
        <w:t xml:space="preserve"> </w:t>
      </w:r>
      <w:r>
        <w:rPr>
          <w:rFonts w:eastAsia="Arial Unicode MS"/>
          <w:bCs/>
          <w:lang w:eastAsia="fr-FR" w:bidi="he-IL"/>
        </w:rPr>
        <w:t>ómnia</w:t>
      </w:r>
      <w:r w:rsidRPr="00C8701B">
        <w:rPr>
          <w:rFonts w:eastAsia="Arial Unicode MS"/>
          <w:bCs/>
          <w:lang w:eastAsia="fr-FR" w:bidi="he-IL"/>
        </w:rPr>
        <w:t xml:space="preserve"> evangélia nos docérent</w:t>
      </w:r>
      <w:r>
        <w:rPr>
          <w:rFonts w:eastAsia="Arial Unicode MS"/>
          <w:bCs/>
          <w:lang w:eastAsia="fr-FR" w:bidi="he-IL"/>
        </w:rPr>
        <w:t xml:space="preserve">, </w:t>
      </w:r>
      <w:r w:rsidRPr="00C8701B">
        <w:rPr>
          <w:rFonts w:eastAsia="Arial Unicode MS"/>
          <w:bCs/>
          <w:lang w:eastAsia="fr-FR" w:bidi="he-IL"/>
        </w:rPr>
        <w:t>nisi certum áliquem J</w:t>
      </w:r>
      <w:r>
        <w:rPr>
          <w:rFonts w:eastAsia="Arial Unicode MS"/>
          <w:bCs/>
          <w:lang w:eastAsia="fr-FR" w:bidi="he-IL"/>
        </w:rPr>
        <w:t>udǽ</w:t>
      </w:r>
      <w:r w:rsidRPr="00C8701B">
        <w:rPr>
          <w:rFonts w:eastAsia="Arial Unicode MS"/>
          <w:bCs/>
          <w:lang w:eastAsia="fr-FR" w:bidi="he-IL"/>
        </w:rPr>
        <w:t>um</w:t>
      </w:r>
      <w:r>
        <w:rPr>
          <w:rFonts w:eastAsia="Arial Unicode MS"/>
          <w:bCs/>
          <w:lang w:eastAsia="fr-FR" w:bidi="he-IL"/>
        </w:rPr>
        <w:t>, Jesum Nazarethá</w:t>
      </w:r>
      <w:r w:rsidRPr="00C8701B">
        <w:rPr>
          <w:rFonts w:eastAsia="Arial Unicode MS"/>
          <w:bCs/>
          <w:lang w:eastAsia="fr-FR" w:bidi="he-IL"/>
        </w:rPr>
        <w:t>num</w:t>
      </w:r>
      <w:r>
        <w:rPr>
          <w:rFonts w:eastAsia="Arial Unicode MS"/>
          <w:bCs/>
          <w:lang w:eastAsia="fr-FR" w:bidi="he-IL"/>
        </w:rPr>
        <w:t xml:space="preserve">, </w:t>
      </w:r>
      <w:r w:rsidRPr="00C8701B">
        <w:rPr>
          <w:rFonts w:eastAsia="Arial Unicode MS"/>
          <w:bCs/>
          <w:lang w:eastAsia="fr-FR" w:bidi="he-IL"/>
        </w:rPr>
        <w:t xml:space="preserve">ab </w:t>
      </w:r>
      <w:r>
        <w:rPr>
          <w:rFonts w:eastAsia="Arial Unicode MS"/>
          <w:bCs/>
          <w:lang w:eastAsia="fr-FR" w:bidi="he-IL"/>
        </w:rPr>
        <w:t>Joánne</w:t>
      </w:r>
      <w:r w:rsidRPr="00C8701B">
        <w:rPr>
          <w:rFonts w:eastAsia="Arial Unicode MS"/>
          <w:bCs/>
          <w:lang w:eastAsia="fr-FR" w:bidi="he-IL"/>
        </w:rPr>
        <w:t xml:space="preserve"> quodam baptiz</w:t>
      </w:r>
      <w:r>
        <w:rPr>
          <w:rFonts w:eastAsia="Arial Unicode MS"/>
          <w:bCs/>
          <w:lang w:eastAsia="fr-FR" w:bidi="he-IL"/>
        </w:rPr>
        <w:t>á</w:t>
      </w:r>
      <w:r w:rsidRPr="00C8701B">
        <w:rPr>
          <w:rFonts w:eastAsia="Arial Unicode MS"/>
          <w:bCs/>
          <w:lang w:eastAsia="fr-FR" w:bidi="he-IL"/>
        </w:rPr>
        <w:t>tum</w:t>
      </w:r>
      <w:r>
        <w:rPr>
          <w:rFonts w:eastAsia="Arial Unicode MS"/>
          <w:bCs/>
          <w:lang w:eastAsia="fr-FR" w:bidi="he-IL"/>
        </w:rPr>
        <w:t>, Pal</w:t>
      </w:r>
      <w:r w:rsidRPr="00C8701B">
        <w:rPr>
          <w:rFonts w:eastAsia="Arial Unicode MS"/>
          <w:bCs/>
          <w:lang w:eastAsia="fr-FR" w:bidi="he-IL"/>
        </w:rPr>
        <w:t>æstínam cum discípulis quibúsdam</w:t>
      </w:r>
      <w:r>
        <w:rPr>
          <w:rFonts w:eastAsia="Arial Unicode MS"/>
          <w:bCs/>
          <w:lang w:eastAsia="fr-FR" w:bidi="he-IL"/>
        </w:rPr>
        <w:t xml:space="preserve"> peragrá</w:t>
      </w:r>
      <w:r w:rsidRPr="00C8701B">
        <w:rPr>
          <w:rFonts w:eastAsia="Arial Unicode MS"/>
          <w:bCs/>
          <w:lang w:eastAsia="fr-FR" w:bidi="he-IL"/>
        </w:rPr>
        <w:t>sse</w:t>
      </w:r>
      <w:r>
        <w:rPr>
          <w:rFonts w:eastAsia="Arial Unicode MS"/>
          <w:bCs/>
          <w:lang w:eastAsia="fr-FR" w:bidi="he-IL"/>
        </w:rPr>
        <w:t>, ut ad regnum messiá</w:t>
      </w:r>
      <w:r w:rsidRPr="00C8701B">
        <w:rPr>
          <w:rFonts w:eastAsia="Arial Unicode MS"/>
          <w:bCs/>
          <w:lang w:eastAsia="fr-FR" w:bidi="he-IL"/>
        </w:rPr>
        <w:t>nicum pópulum invitáret </w:t>
      </w:r>
      <w:r>
        <w:rPr>
          <w:rFonts w:eastAsia="Arial Unicode MS"/>
          <w:bCs/>
          <w:lang w:eastAsia="fr-FR" w:bidi="he-IL"/>
        </w:rPr>
        <w:t xml:space="preserve">; </w:t>
      </w:r>
      <w:r w:rsidRPr="00C8701B">
        <w:rPr>
          <w:rFonts w:eastAsia="Arial Unicode MS"/>
          <w:bCs/>
          <w:lang w:eastAsia="fr-FR" w:bidi="he-IL"/>
        </w:rPr>
        <w:t>at</w:t>
      </w:r>
      <w:r>
        <w:rPr>
          <w:rFonts w:eastAsia="Arial Unicode MS"/>
          <w:bCs/>
          <w:lang w:eastAsia="fr-FR" w:bidi="he-IL"/>
        </w:rPr>
        <w:t xml:space="preserve"> c</w:t>
      </w:r>
      <w:r w:rsidRPr="00C8701B">
        <w:rPr>
          <w:rFonts w:eastAsia="Arial Unicode MS"/>
          <w:bCs/>
          <w:lang w:eastAsia="fr-FR" w:bidi="he-IL"/>
        </w:rPr>
        <w:t>um P</w:t>
      </w:r>
      <w:r>
        <w:rPr>
          <w:rFonts w:eastAsia="Arial Unicode MS"/>
          <w:bCs/>
          <w:lang w:eastAsia="fr-FR" w:bidi="he-IL"/>
        </w:rPr>
        <w:t>harisæórum doctrines impugná</w:t>
      </w:r>
      <w:r w:rsidRPr="00C8701B">
        <w:rPr>
          <w:rFonts w:eastAsia="Arial Unicode MS"/>
          <w:bCs/>
          <w:lang w:eastAsia="fr-FR" w:bidi="he-IL"/>
        </w:rPr>
        <w:t>sset</w:t>
      </w:r>
      <w:r>
        <w:rPr>
          <w:rFonts w:eastAsia="Arial Unicode MS"/>
          <w:bCs/>
          <w:lang w:eastAsia="fr-FR" w:bidi="he-IL"/>
        </w:rPr>
        <w:t xml:space="preserve">, </w:t>
      </w:r>
      <w:r w:rsidRPr="00C8701B">
        <w:rPr>
          <w:rFonts w:eastAsia="Arial Unicode MS"/>
          <w:bCs/>
          <w:lang w:eastAsia="fr-FR" w:bidi="he-IL"/>
        </w:rPr>
        <w:t>ill</w:t>
      </w:r>
      <w:r>
        <w:rPr>
          <w:rFonts w:eastAsia="Arial Unicode MS"/>
          <w:bCs/>
          <w:lang w:eastAsia="fr-FR" w:bidi="he-IL"/>
        </w:rPr>
        <w:t>órum</w:t>
      </w:r>
      <w:r w:rsidRPr="00C8701B">
        <w:rPr>
          <w:rFonts w:eastAsia="Arial Unicode MS"/>
          <w:bCs/>
          <w:lang w:eastAsia="fr-FR" w:bidi="he-IL"/>
        </w:rPr>
        <w:t xml:space="preserve"> ódio et invídi</w:t>
      </w:r>
      <w:r>
        <w:rPr>
          <w:rFonts w:eastAsia="Arial Unicode MS"/>
          <w:bCs/>
          <w:lang w:eastAsia="fr-FR" w:bidi="he-IL"/>
        </w:rPr>
        <w:t>æ eum succubuí</w:t>
      </w:r>
      <w:r w:rsidRPr="00C8701B">
        <w:rPr>
          <w:rFonts w:eastAsia="Arial Unicode MS"/>
          <w:bCs/>
          <w:lang w:eastAsia="fr-FR" w:bidi="he-IL"/>
        </w:rPr>
        <w:t>sse et in crucem actum esse ». Cornely</w:t>
      </w:r>
      <w:r>
        <w:rPr>
          <w:rFonts w:eastAsia="Arial Unicode MS"/>
          <w:bCs/>
          <w:lang w:eastAsia="fr-FR" w:bidi="he-IL"/>
        </w:rPr>
        <w:t xml:space="preserve">, </w:t>
      </w:r>
      <w:r>
        <w:rPr>
          <w:rStyle w:val="italicus"/>
        </w:rPr>
        <w:t>loc.</w:t>
      </w:r>
      <w:r w:rsidRPr="00DC4586">
        <w:rPr>
          <w:rStyle w:val="italicus"/>
        </w:rPr>
        <w:t xml:space="preserve"> cit.</w:t>
      </w:r>
      <w:r>
        <w:rPr>
          <w:rStyle w:val="italicus"/>
        </w:rPr>
        <w:t xml:space="preserve">, </w:t>
      </w:r>
      <w:r w:rsidRPr="00C8701B">
        <w:rPr>
          <w:rFonts w:eastAsia="Arial Unicode MS"/>
          <w:bCs/>
          <w:lang w:eastAsia="fr-FR" w:bidi="he-IL"/>
        </w:rPr>
        <w:t>p. 720.</w:t>
      </w:r>
    </w:p>
  </w:footnote>
  <w:footnote w:id="435">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Pages 26-27.</w:t>
      </w:r>
    </w:p>
  </w:footnote>
  <w:footnote w:id="436">
    <w:p w:rsidR="00941AA6" w:rsidRPr="00431B93" w:rsidRDefault="00941AA6">
      <w:pPr>
        <w:pStyle w:val="Notedebasdepage"/>
      </w:pPr>
      <w:r w:rsidRPr="00C406FF">
        <w:rPr>
          <w:rStyle w:val="Appelnotedebasdep"/>
        </w:rPr>
        <w:footnoteRef/>
      </w:r>
      <w:r w:rsidRPr="00431B93">
        <w:t xml:space="preserve"> Du grec μῦθος, fable, légende.</w:t>
      </w:r>
    </w:p>
  </w:footnote>
  <w:footnote w:id="437">
    <w:p w:rsidR="00941AA6" w:rsidRPr="00933C60" w:rsidRDefault="00941AA6">
      <w:pPr>
        <w:pStyle w:val="Notedebasdepage"/>
      </w:pPr>
      <w:r w:rsidRPr="00C406FF">
        <w:rPr>
          <w:rStyle w:val="Appelnotedebasdep"/>
        </w:rPr>
        <w:footnoteRef/>
      </w:r>
      <w:r>
        <w:t xml:space="preserve"> </w:t>
      </w:r>
      <w:r w:rsidRPr="00C8701B">
        <w:rPr>
          <w:rFonts w:eastAsia="Arial Unicode MS"/>
          <w:bCs/>
          <w:lang w:eastAsia="fr-FR" w:bidi="he-IL"/>
        </w:rPr>
        <w:t>Les paro</w:t>
      </w:r>
      <w:r>
        <w:rPr>
          <w:rFonts w:eastAsia="Arial Unicode MS"/>
          <w:bCs/>
          <w:lang w:eastAsia="fr-FR" w:bidi="he-IL"/>
        </w:rPr>
        <w:t>les soulignées sont celles du Dr</w:t>
      </w:r>
      <w:r w:rsidRPr="00C8701B">
        <w:rPr>
          <w:rFonts w:eastAsia="Arial Unicode MS"/>
          <w:bCs/>
          <w:lang w:eastAsia="fr-FR" w:bidi="he-IL"/>
        </w:rPr>
        <w:t xml:space="preserve"> Strauss lui-même.</w:t>
      </w:r>
    </w:p>
  </w:footnote>
  <w:footnote w:id="438">
    <w:p w:rsidR="00941AA6" w:rsidRPr="00933C60" w:rsidRDefault="00941AA6" w:rsidP="00D432D6">
      <w:pPr>
        <w:pStyle w:val="Notedebasdepage"/>
      </w:pPr>
      <w:r w:rsidRPr="00C406FF">
        <w:rPr>
          <w:rStyle w:val="Appelnotedebasdep"/>
        </w:rPr>
        <w:footnoteRef/>
      </w:r>
      <w:r w:rsidRPr="00C8701B">
        <w:rPr>
          <w:rFonts w:eastAsia="Arial Unicode MS"/>
          <w:bCs/>
          <w:lang w:eastAsia="fr-FR" w:bidi="he-IL"/>
        </w:rPr>
        <w:t xml:space="preserve"> F. Vigouroux</w:t>
      </w:r>
      <w:r>
        <w:rPr>
          <w:rFonts w:eastAsia="Arial Unicode MS"/>
          <w:bCs/>
          <w:lang w:eastAsia="fr-FR" w:bidi="he-IL"/>
        </w:rPr>
        <w:t xml:space="preserve">, </w:t>
      </w:r>
      <w:r w:rsidRPr="00DC4586">
        <w:rPr>
          <w:rStyle w:val="italicus"/>
        </w:rPr>
        <w:t>La Bible et les découvertes modernes</w:t>
      </w:r>
      <w:r>
        <w:rPr>
          <w:rStyle w:val="italicus"/>
        </w:rPr>
        <w:t xml:space="preserve">, </w:t>
      </w:r>
      <w:r w:rsidRPr="00C8701B">
        <w:rPr>
          <w:rFonts w:eastAsia="Arial Unicode MS"/>
          <w:bCs/>
          <w:lang w:eastAsia="fr-FR" w:bidi="he-IL"/>
        </w:rPr>
        <w:t>t. I</w:t>
      </w:r>
      <w:r>
        <w:rPr>
          <w:rFonts w:eastAsia="Arial Unicode MS"/>
          <w:bCs/>
          <w:lang w:eastAsia="fr-FR" w:bidi="he-IL"/>
        </w:rPr>
        <w:t xml:space="preserve">, </w:t>
      </w:r>
      <w:r w:rsidRPr="00C8701B">
        <w:rPr>
          <w:rFonts w:eastAsia="Arial Unicode MS"/>
          <w:bCs/>
          <w:lang w:eastAsia="fr-FR" w:bidi="he-IL"/>
        </w:rPr>
        <w:t xml:space="preserve">p. 61 et suiv. </w:t>
      </w:r>
    </w:p>
  </w:footnote>
  <w:footnote w:id="439">
    <w:p w:rsidR="00941AA6" w:rsidRPr="00933C60" w:rsidRDefault="00941AA6" w:rsidP="00D432D6">
      <w:pPr>
        <w:pStyle w:val="Notedebasdepage"/>
      </w:pPr>
      <w:r w:rsidRPr="00C406FF">
        <w:rPr>
          <w:rStyle w:val="Appelnotedebasdep"/>
        </w:rPr>
        <w:footnoteRef/>
      </w:r>
      <w:r w:rsidRPr="00C8701B">
        <w:rPr>
          <w:rFonts w:eastAsia="Arial Unicode MS"/>
          <w:bCs/>
          <w:lang w:eastAsia="fr-FR" w:bidi="he-IL"/>
        </w:rPr>
        <w:t xml:space="preserve"> Voyez Plumptre</w:t>
      </w:r>
      <w:r>
        <w:rPr>
          <w:rFonts w:eastAsia="Arial Unicode MS"/>
          <w:bCs/>
          <w:lang w:eastAsia="fr-FR" w:bidi="he-IL"/>
        </w:rPr>
        <w:t xml:space="preserve">, </w:t>
      </w:r>
      <w:r w:rsidRPr="00DC4586">
        <w:rPr>
          <w:rStyle w:val="italicus"/>
        </w:rPr>
        <w:t>Christ and Christ</w:t>
      </w:r>
      <w:r>
        <w:rPr>
          <w:rStyle w:val="italicus"/>
        </w:rPr>
        <w:t>e</w:t>
      </w:r>
      <w:r w:rsidRPr="00DC4586">
        <w:rPr>
          <w:rStyle w:val="italicus"/>
        </w:rPr>
        <w:t>ndom</w:t>
      </w:r>
      <w:r>
        <w:rPr>
          <w:rStyle w:val="italicus"/>
        </w:rPr>
        <w:t xml:space="preserve">, </w:t>
      </w:r>
      <w:r w:rsidRPr="00C8701B">
        <w:rPr>
          <w:rFonts w:eastAsia="Arial Unicode MS"/>
          <w:bCs/>
          <w:lang w:eastAsia="fr-FR" w:bidi="he-IL"/>
        </w:rPr>
        <w:t>p. 333.</w:t>
      </w:r>
    </w:p>
  </w:footnote>
  <w:footnote w:id="440">
    <w:p w:rsidR="00941AA6" w:rsidRPr="00D432D6" w:rsidRDefault="00941AA6" w:rsidP="00D432D6">
      <w:pPr>
        <w:pStyle w:val="Notedebasdepage"/>
        <w:rPr>
          <w:lang w:val="de-AT"/>
        </w:rPr>
      </w:pPr>
      <w:r w:rsidRPr="00C406FF">
        <w:rPr>
          <w:rStyle w:val="Appelnotedebasdep"/>
        </w:rPr>
        <w:footnoteRef/>
      </w:r>
      <w:r>
        <w:rPr>
          <w:rStyle w:val="italicus"/>
        </w:rPr>
        <w:t xml:space="preserve"> </w:t>
      </w:r>
      <w:r w:rsidRPr="00DC4586">
        <w:rPr>
          <w:rStyle w:val="italicus"/>
        </w:rPr>
        <w:t>Vie de Jésus</w:t>
      </w:r>
      <w:r>
        <w:rPr>
          <w:rStyle w:val="italicus"/>
        </w:rPr>
        <w:t xml:space="preserve">, </w:t>
      </w:r>
      <w:r w:rsidRPr="00C8701B">
        <w:rPr>
          <w:rFonts w:eastAsia="Arial Unicode MS"/>
          <w:bCs/>
          <w:lang w:eastAsia="fr-FR" w:bidi="he-IL"/>
        </w:rPr>
        <w:t>traduite de l’</w:t>
      </w:r>
      <w:r>
        <w:rPr>
          <w:rFonts w:eastAsia="Arial Unicode MS"/>
          <w:bCs/>
          <w:lang w:eastAsia="fr-FR" w:bidi="he-IL"/>
        </w:rPr>
        <w:t>allemand sur la 4</w:t>
      </w:r>
      <w:r w:rsidRPr="00097EF5">
        <w:rPr>
          <w:rFonts w:eastAsia="Arial Unicode MS"/>
          <w:bCs/>
          <w:vertAlign w:val="superscript"/>
          <w:lang w:eastAsia="fr-FR" w:bidi="he-IL"/>
        </w:rPr>
        <w:t>e</w:t>
      </w:r>
      <w:r>
        <w:rPr>
          <w:rFonts w:eastAsia="Arial Unicode MS"/>
          <w:bCs/>
          <w:lang w:eastAsia="fr-FR" w:bidi="he-IL"/>
        </w:rPr>
        <w:t xml:space="preserve"> </w:t>
      </w:r>
      <w:r w:rsidRPr="00C8701B">
        <w:rPr>
          <w:rFonts w:eastAsia="Arial Unicode MS"/>
          <w:bCs/>
          <w:lang w:eastAsia="fr-FR" w:bidi="he-IL"/>
        </w:rPr>
        <w:t>édit.</w:t>
      </w:r>
      <w:r>
        <w:rPr>
          <w:rFonts w:eastAsia="Arial Unicode MS"/>
          <w:bCs/>
          <w:lang w:eastAsia="fr-FR" w:bidi="he-IL"/>
        </w:rPr>
        <w:t xml:space="preserve">, par Pierre Goy, </w:t>
      </w:r>
      <w:r w:rsidRPr="00C8701B">
        <w:rPr>
          <w:rFonts w:eastAsia="Arial Unicode MS"/>
          <w:bCs/>
          <w:lang w:eastAsia="fr-FR" w:bidi="he-IL"/>
        </w:rPr>
        <w:t>Paris 1852</w:t>
      </w:r>
      <w:r>
        <w:rPr>
          <w:rFonts w:eastAsia="Arial Unicode MS"/>
          <w:bCs/>
          <w:lang w:eastAsia="fr-FR" w:bidi="he-IL"/>
        </w:rPr>
        <w:t>.</w:t>
      </w:r>
      <w:r w:rsidRPr="00C8701B">
        <w:rPr>
          <w:rFonts w:eastAsia="Arial Unicode MS"/>
          <w:bCs/>
          <w:lang w:eastAsia="fr-FR" w:bidi="he-IL"/>
        </w:rPr>
        <w:t xml:space="preserve"> </w:t>
      </w:r>
      <w:r w:rsidRPr="00165881">
        <w:rPr>
          <w:rFonts w:eastAsia="Arial Unicode MS"/>
          <w:bCs/>
          <w:lang w:val="de-AT" w:eastAsia="fr-FR" w:bidi="he-IL"/>
        </w:rPr>
        <w:t>Neander</w:t>
      </w:r>
      <w:r w:rsidRPr="00097EF5">
        <w:rPr>
          <w:rFonts w:eastAsia="Arial Unicode MS"/>
          <w:bCs/>
          <w:lang w:val="de-AT" w:eastAsia="fr-FR" w:bidi="he-IL"/>
        </w:rPr>
        <w:t xml:space="preserve"> était un juif </w:t>
      </w:r>
      <w:r w:rsidRPr="00097EF5">
        <w:rPr>
          <w:lang w:val="de-AT"/>
        </w:rPr>
        <w:t>converti</w:t>
      </w:r>
      <w:r>
        <w:rPr>
          <w:lang w:val="de-AT"/>
        </w:rPr>
        <w:t>.</w:t>
      </w:r>
    </w:p>
  </w:footnote>
  <w:footnote w:id="441">
    <w:p w:rsidR="00941AA6" w:rsidRPr="00D432D6" w:rsidRDefault="00941AA6" w:rsidP="00D432D6">
      <w:pPr>
        <w:pStyle w:val="Notedebasdepage"/>
        <w:rPr>
          <w:lang w:val="de-AT"/>
        </w:rPr>
      </w:pPr>
      <w:r w:rsidRPr="00C406FF">
        <w:rPr>
          <w:rStyle w:val="Appelnotedebasdep"/>
        </w:rPr>
        <w:footnoteRef/>
      </w:r>
      <w:r>
        <w:rPr>
          <w:rFonts w:eastAsia="Arial Unicode MS"/>
          <w:bCs/>
          <w:lang w:val="de-AT" w:eastAsia="fr-FR" w:bidi="he-IL"/>
        </w:rPr>
        <w:t xml:space="preserve"> </w:t>
      </w:r>
      <w:r w:rsidRPr="000819BA">
        <w:rPr>
          <w:rStyle w:val="italicus"/>
          <w:lang w:val="de-AT"/>
        </w:rPr>
        <w:t>Das Leben Jesu</w:t>
      </w:r>
      <w:r>
        <w:rPr>
          <w:rStyle w:val="italicus"/>
          <w:lang w:val="de-AT"/>
        </w:rPr>
        <w:t xml:space="preserve"> </w:t>
      </w:r>
      <w:r w:rsidRPr="000819BA">
        <w:rPr>
          <w:rStyle w:val="italicus"/>
          <w:lang w:val="de-AT"/>
        </w:rPr>
        <w:t xml:space="preserve">nach den vier Evangelien dargestellt, </w:t>
      </w:r>
      <w:r w:rsidRPr="000819BA">
        <w:rPr>
          <w:rFonts w:eastAsia="Arial Unicode MS"/>
          <w:bCs/>
          <w:lang w:val="de-AT" w:eastAsia="fr-FR" w:bidi="he-IL"/>
        </w:rPr>
        <w:t>Heidelberg</w:t>
      </w:r>
      <w:r>
        <w:rPr>
          <w:rFonts w:eastAsia="Arial Unicode MS"/>
          <w:bCs/>
          <w:lang w:val="de-AT" w:eastAsia="fr-FR" w:bidi="he-IL"/>
        </w:rPr>
        <w:t xml:space="preserve"> 1844-1848.</w:t>
      </w:r>
    </w:p>
  </w:footnote>
  <w:footnote w:id="442">
    <w:p w:rsidR="00941AA6" w:rsidRPr="00933C60" w:rsidRDefault="00941AA6" w:rsidP="00431B93">
      <w:pPr>
        <w:pStyle w:val="Notedebasdepage"/>
      </w:pPr>
      <w:r w:rsidRPr="00C406FF">
        <w:rPr>
          <w:rStyle w:val="Appelnotedebasdep"/>
        </w:rPr>
        <w:footnoteRef/>
      </w:r>
      <w:r w:rsidRPr="00316984">
        <w:rPr>
          <w:lang w:val="de-AT"/>
        </w:rPr>
        <w:t xml:space="preserve"> </w:t>
      </w:r>
      <w:r w:rsidRPr="00097EF5">
        <w:rPr>
          <w:rStyle w:val="italicus"/>
          <w:lang w:val="de-AT"/>
        </w:rPr>
        <w:t>Wissenschaftliche Kritik der evangelischen Geschichte</w:t>
      </w:r>
      <w:r w:rsidRPr="00097EF5">
        <w:rPr>
          <w:rFonts w:eastAsia="Arial Unicode MS"/>
          <w:bCs/>
          <w:lang w:val="de-AT" w:eastAsia="fr-FR" w:bidi="he-IL"/>
        </w:rPr>
        <w:t xml:space="preserve">, </w:t>
      </w:r>
      <w:r>
        <w:rPr>
          <w:rStyle w:val="st"/>
        </w:rPr>
        <w:t>Frankfurt am Main</w:t>
      </w:r>
      <w:r w:rsidRPr="00097EF5">
        <w:rPr>
          <w:lang w:val="de-AT"/>
        </w:rPr>
        <w:t>,</w:t>
      </w:r>
      <w:r w:rsidRPr="00097EF5">
        <w:rPr>
          <w:rFonts w:eastAsia="Arial Unicode MS"/>
          <w:bCs/>
          <w:lang w:val="de-AT" w:eastAsia="fr-FR" w:bidi="he-IL"/>
        </w:rPr>
        <w:t xml:space="preserve"> 1842. </w:t>
      </w:r>
      <w:r w:rsidRPr="00C8701B">
        <w:rPr>
          <w:rFonts w:eastAsia="Arial Unicode MS"/>
          <w:bCs/>
          <w:lang w:eastAsia="fr-FR" w:bidi="he-IL"/>
        </w:rPr>
        <w:t>Lire surtout la page 115</w:t>
      </w:r>
      <w:r>
        <w:rPr>
          <w:rFonts w:eastAsia="Arial Unicode MS"/>
          <w:bCs/>
          <w:lang w:eastAsia="fr-FR" w:bidi="he-IL"/>
        </w:rPr>
        <w:t xml:space="preserve">, </w:t>
      </w:r>
      <w:r w:rsidRPr="00C8701B">
        <w:rPr>
          <w:rFonts w:eastAsia="Arial Unicode MS"/>
          <w:bCs/>
          <w:lang w:eastAsia="fr-FR" w:bidi="he-IL"/>
        </w:rPr>
        <w:t>intitulée : « Recette pour compos</w:t>
      </w:r>
      <w:r>
        <w:rPr>
          <w:rFonts w:eastAsia="Arial Unicode MS"/>
          <w:bCs/>
          <w:lang w:eastAsia="fr-FR" w:bidi="he-IL"/>
        </w:rPr>
        <w:t>er une vie de Jésus à la manière</w:t>
      </w:r>
      <w:r w:rsidRPr="00C8701B">
        <w:rPr>
          <w:rFonts w:eastAsia="Arial Unicode MS"/>
          <w:bCs/>
          <w:lang w:eastAsia="fr-FR" w:bidi="he-IL"/>
        </w:rPr>
        <w:t xml:space="preserve"> de Strauss</w:t>
      </w:r>
      <w:r>
        <w:rPr>
          <w:rFonts w:eastAsia="Arial Unicode MS"/>
          <w:bCs/>
          <w:lang w:eastAsia="fr-FR" w:bidi="he-IL"/>
        </w:rPr>
        <w:t>. »</w:t>
      </w:r>
    </w:p>
  </w:footnote>
  <w:footnote w:id="443">
    <w:p w:rsidR="00941AA6" w:rsidRPr="00933C60" w:rsidRDefault="00941AA6" w:rsidP="00D432D6">
      <w:pPr>
        <w:pStyle w:val="Notedebasdepage"/>
      </w:pPr>
      <w:r w:rsidRPr="00C406FF">
        <w:rPr>
          <w:rStyle w:val="Appelnotedebasdep"/>
        </w:rPr>
        <w:footnoteRef/>
      </w:r>
      <w:r>
        <w:rPr>
          <w:rFonts w:eastAsia="Arial Unicode MS"/>
          <w:bCs/>
          <w:lang w:eastAsia="fr-FR" w:bidi="he-IL"/>
        </w:rPr>
        <w:t xml:space="preserve"> </w:t>
      </w:r>
      <w:r>
        <w:rPr>
          <w:rStyle w:val="italicus"/>
        </w:rPr>
        <w:t>Essai sur la crédibilité de l’</w:t>
      </w:r>
      <w:r w:rsidRPr="00DC4586">
        <w:rPr>
          <w:rStyle w:val="italicus"/>
        </w:rPr>
        <w:t>histoire évangélique</w:t>
      </w:r>
      <w:r>
        <w:rPr>
          <w:rStyle w:val="italicus"/>
        </w:rPr>
        <w:t xml:space="preserve">, </w:t>
      </w:r>
      <w:r w:rsidRPr="00DC4586">
        <w:rPr>
          <w:rStyle w:val="italicus"/>
        </w:rPr>
        <w:t>en réponse au D</w:t>
      </w:r>
      <w:r>
        <w:rPr>
          <w:rStyle w:val="italicus"/>
        </w:rPr>
        <w:t>r</w:t>
      </w:r>
      <w:r w:rsidRPr="00DC4586">
        <w:rPr>
          <w:rStyle w:val="italicus"/>
        </w:rPr>
        <w:t xml:space="preserve"> Strauss</w:t>
      </w:r>
      <w:r>
        <w:rPr>
          <w:rStyle w:val="italicus"/>
        </w:rPr>
        <w:t>,</w:t>
      </w:r>
      <w:r w:rsidRPr="00C8701B">
        <w:rPr>
          <w:rFonts w:eastAsia="Arial Unicode MS"/>
          <w:bCs/>
          <w:lang w:eastAsia="fr-FR" w:bidi="he-IL"/>
        </w:rPr>
        <w:t xml:space="preserve"> traduction abrégée et annotée par le </w:t>
      </w:r>
      <w:r w:rsidRPr="00C8701B">
        <w:rPr>
          <w:rFonts w:eastAsia="Arial Unicode MS"/>
          <w:bCs/>
          <w:lang w:val="el-GR" w:eastAsia="fr-FR" w:bidi="he-IL"/>
        </w:rPr>
        <w:t>Ρ</w:t>
      </w:r>
      <w:r>
        <w:rPr>
          <w:rFonts w:eastAsia="Arial Unicode MS"/>
          <w:bCs/>
          <w:lang w:eastAsia="fr-FR" w:bidi="he-IL"/>
        </w:rPr>
        <w:t>.</w:t>
      </w:r>
      <w:r w:rsidRPr="00C8701B">
        <w:rPr>
          <w:rFonts w:eastAsia="Arial Unicode MS"/>
          <w:bCs/>
          <w:lang w:val="el-GR" w:eastAsia="fr-FR" w:bidi="he-IL"/>
        </w:rPr>
        <w:t xml:space="preserve"> </w:t>
      </w:r>
      <w:r w:rsidRPr="00C8701B">
        <w:rPr>
          <w:rFonts w:eastAsia="Arial Unicode MS"/>
          <w:bCs/>
          <w:lang w:eastAsia="fr-FR" w:bidi="he-IL"/>
        </w:rPr>
        <w:t>de Valroger</w:t>
      </w:r>
      <w:r>
        <w:rPr>
          <w:rFonts w:eastAsia="Arial Unicode MS"/>
          <w:bCs/>
          <w:lang w:eastAsia="fr-FR" w:bidi="he-IL"/>
        </w:rPr>
        <w:t>, Paris 1847. Voyez aussi J. Sepp,</w:t>
      </w:r>
      <w:r w:rsidRPr="00C8701B">
        <w:rPr>
          <w:rFonts w:eastAsia="Arial Unicode MS"/>
          <w:bCs/>
          <w:lang w:eastAsia="fr-FR" w:bidi="he-IL"/>
        </w:rPr>
        <w:t xml:space="preserve"> </w:t>
      </w:r>
      <w:r w:rsidRPr="00DC4586">
        <w:rPr>
          <w:rStyle w:val="italicus"/>
        </w:rPr>
        <w:t>Das Leben Christi</w:t>
      </w:r>
      <w:r>
        <w:rPr>
          <w:rStyle w:val="italicus"/>
        </w:rPr>
        <w:t xml:space="preserve">, </w:t>
      </w:r>
      <w:r w:rsidRPr="00C8701B">
        <w:rPr>
          <w:rFonts w:eastAsia="Arial Unicode MS"/>
          <w:bCs/>
          <w:lang w:eastAsia="fr-FR" w:bidi="he-IL"/>
        </w:rPr>
        <w:t>Ratisbonne 1843-1846. dont M. Ch. Sainte-Foi a donné une tra</w:t>
      </w:r>
      <w:r>
        <w:rPr>
          <w:rFonts w:eastAsia="Arial Unicode MS"/>
          <w:bCs/>
          <w:lang w:eastAsia="fr-FR" w:bidi="he-IL"/>
        </w:rPr>
        <w:t>duct</w:t>
      </w:r>
      <w:r w:rsidRPr="00C8701B">
        <w:rPr>
          <w:rFonts w:eastAsia="Arial Unicode MS"/>
          <w:bCs/>
          <w:lang w:eastAsia="fr-FR" w:bidi="he-IL"/>
        </w:rPr>
        <w:t>ion abrégée</w:t>
      </w:r>
      <w:r w:rsidRPr="00DC4586">
        <w:rPr>
          <w:rStyle w:val="italicus"/>
        </w:rPr>
        <w:t xml:space="preserve"> </w:t>
      </w:r>
      <w:r w:rsidRPr="00C8701B">
        <w:rPr>
          <w:rFonts w:eastAsia="Arial Unicode MS"/>
          <w:bCs/>
          <w:iCs/>
          <w:lang w:eastAsia="fr-FR" w:bidi="he-IL"/>
        </w:rPr>
        <w:t>(</w:t>
      </w:r>
      <w:r w:rsidRPr="00DC4586">
        <w:rPr>
          <w:rStyle w:val="italicus"/>
        </w:rPr>
        <w:t>La vie de N.-S. Jésus-Christ</w:t>
      </w:r>
      <w:r>
        <w:rPr>
          <w:rStyle w:val="italicus"/>
        </w:rPr>
        <w:t xml:space="preserve">, </w:t>
      </w:r>
      <w:r w:rsidRPr="00C8701B">
        <w:rPr>
          <w:rFonts w:eastAsia="Arial Unicode MS"/>
          <w:bCs/>
          <w:lang w:eastAsia="fr-FR" w:bidi="he-IL"/>
        </w:rPr>
        <w:t>Paris 1854) </w:t>
      </w:r>
      <w:r>
        <w:rPr>
          <w:rFonts w:eastAsia="Arial Unicode MS"/>
          <w:bCs/>
          <w:lang w:eastAsia="fr-FR" w:bidi="he-IL"/>
        </w:rPr>
        <w:t>; du mê</w:t>
      </w:r>
      <w:r w:rsidRPr="00C8701B">
        <w:rPr>
          <w:rFonts w:eastAsia="Arial Unicode MS"/>
          <w:bCs/>
          <w:lang w:eastAsia="fr-FR" w:bidi="he-IL"/>
        </w:rPr>
        <w:t>me.</w:t>
      </w:r>
      <w:r w:rsidRPr="00DC4586">
        <w:rPr>
          <w:rStyle w:val="italicus"/>
        </w:rPr>
        <w:t xml:space="preserve"> Jés</w:t>
      </w:r>
      <w:r>
        <w:rPr>
          <w:rStyle w:val="italicus"/>
        </w:rPr>
        <w:t xml:space="preserve">us-Christ Étude sur sa vie et </w:t>
      </w:r>
      <w:r w:rsidRPr="00DC4586">
        <w:rPr>
          <w:rStyle w:val="italicus"/>
        </w:rPr>
        <w:t>sa doctrine dans leurs rapports avec l’histoire de l’humanité</w:t>
      </w:r>
      <w:r>
        <w:rPr>
          <w:rStyle w:val="italicus"/>
        </w:rPr>
        <w:t xml:space="preserve">, </w:t>
      </w:r>
      <w:r w:rsidRPr="00C8701B">
        <w:rPr>
          <w:rFonts w:eastAsia="Arial Unicode MS"/>
          <w:bCs/>
          <w:lang w:eastAsia="fr-FR" w:bidi="he-IL"/>
        </w:rPr>
        <w:t>Bruxelles 1866.</w:t>
      </w:r>
    </w:p>
  </w:footnote>
  <w:footnote w:id="444">
    <w:p w:rsidR="00941AA6" w:rsidRPr="00933C60" w:rsidRDefault="00941AA6">
      <w:pPr>
        <w:pStyle w:val="Notedebasdepage"/>
      </w:pPr>
      <w:r w:rsidRPr="00C406FF">
        <w:rPr>
          <w:rStyle w:val="Appelnotedebasdep"/>
        </w:rPr>
        <w:footnoteRef/>
      </w:r>
      <w:r>
        <w:rPr>
          <w:rFonts w:eastAsia="Arial Unicode MS"/>
          <w:bCs/>
          <w:lang w:eastAsia="fr-FR" w:bidi="he-IL"/>
        </w:rPr>
        <w:t xml:space="preserve"> </w:t>
      </w:r>
      <w:r w:rsidRPr="00C8701B">
        <w:rPr>
          <w:rFonts w:eastAsia="Arial Unicode MS"/>
          <w:bCs/>
          <w:lang w:eastAsia="fr-FR" w:bidi="he-IL"/>
        </w:rPr>
        <w:t>Mort en 1860. Voyez S. Berger</w:t>
      </w:r>
      <w:r>
        <w:rPr>
          <w:rFonts w:eastAsia="Arial Unicode MS"/>
          <w:bCs/>
          <w:lang w:eastAsia="fr-FR" w:bidi="he-IL"/>
        </w:rPr>
        <w:t xml:space="preserve">, </w:t>
      </w:r>
      <w:r w:rsidRPr="00DC4586">
        <w:rPr>
          <w:rStyle w:val="italicus"/>
        </w:rPr>
        <w:t xml:space="preserve">Origines de l’École de Tubingue et ses </w:t>
      </w:r>
      <w:r>
        <w:rPr>
          <w:rStyle w:val="italicus"/>
        </w:rPr>
        <w:t>principes,</w:t>
      </w:r>
      <w:r w:rsidRPr="00DC4586">
        <w:rPr>
          <w:rStyle w:val="italicus"/>
        </w:rPr>
        <w:t xml:space="preserve"> </w:t>
      </w:r>
      <w:r w:rsidRPr="00C8701B">
        <w:rPr>
          <w:rFonts w:eastAsia="Arial Unicode MS"/>
          <w:bCs/>
          <w:lang w:eastAsia="fr-FR" w:bidi="he-IL"/>
        </w:rPr>
        <w:t>Strasbourg 1867.</w:t>
      </w:r>
    </w:p>
  </w:footnote>
  <w:footnote w:id="445">
    <w:p w:rsidR="00941AA6" w:rsidRPr="00933C60" w:rsidRDefault="00941AA6" w:rsidP="00D432D6">
      <w:pPr>
        <w:pStyle w:val="Notedebasdepage"/>
      </w:pPr>
      <w:r w:rsidRPr="00C406FF">
        <w:rPr>
          <w:rStyle w:val="Appelnotedebasdep"/>
        </w:rPr>
        <w:footnoteRef/>
      </w:r>
      <w:r>
        <w:t xml:space="preserve"> </w:t>
      </w:r>
      <w:r w:rsidRPr="00C8701B">
        <w:rPr>
          <w:rFonts w:eastAsia="Arial Unicode MS"/>
          <w:bCs/>
          <w:lang w:eastAsia="fr-FR" w:bidi="he-IL"/>
        </w:rPr>
        <w:t>Voyez F. Vigouroux</w:t>
      </w:r>
      <w:r>
        <w:rPr>
          <w:rFonts w:eastAsia="Arial Unicode MS"/>
          <w:bCs/>
          <w:lang w:eastAsia="fr-FR" w:bidi="he-IL"/>
        </w:rPr>
        <w:t xml:space="preserve">, </w:t>
      </w:r>
      <w:r w:rsidRPr="00DC4586">
        <w:rPr>
          <w:rStyle w:val="italicus"/>
        </w:rPr>
        <w:t>Les Livres saints el la critique rationaliste</w:t>
      </w:r>
      <w:r>
        <w:rPr>
          <w:rStyle w:val="italicus"/>
        </w:rPr>
        <w:t xml:space="preserve">, </w:t>
      </w:r>
      <w:r>
        <w:rPr>
          <w:rFonts w:eastAsia="Arial Unicode MS"/>
          <w:bCs/>
          <w:lang w:eastAsia="fr-FR" w:bidi="he-IL"/>
        </w:rPr>
        <w:t>t. II,</w:t>
      </w:r>
      <w:r w:rsidRPr="00C8701B">
        <w:rPr>
          <w:rFonts w:eastAsia="Arial Unicode MS"/>
          <w:bCs/>
          <w:lang w:eastAsia="fr-FR" w:bidi="he-IL"/>
        </w:rPr>
        <w:t xml:space="preserve"> 44</w:t>
      </w:r>
      <w:r>
        <w:rPr>
          <w:rFonts w:eastAsia="Arial Unicode MS"/>
          <w:bCs/>
          <w:lang w:eastAsia="fr-FR" w:bidi="he-IL"/>
        </w:rPr>
        <w:t xml:space="preserve">6 et ss. ; </w:t>
      </w:r>
      <w:r w:rsidRPr="00C8701B">
        <w:rPr>
          <w:rFonts w:eastAsia="Arial Unicode MS"/>
          <w:bCs/>
          <w:lang w:eastAsia="fr-FR" w:bidi="he-IL"/>
        </w:rPr>
        <w:t>Ebrard</w:t>
      </w:r>
      <w:r>
        <w:rPr>
          <w:rFonts w:eastAsia="Arial Unicode MS"/>
          <w:bCs/>
          <w:lang w:eastAsia="fr-FR" w:bidi="he-IL"/>
        </w:rPr>
        <w:t xml:space="preserve">, </w:t>
      </w:r>
      <w:r w:rsidRPr="00097EF5">
        <w:rPr>
          <w:rStyle w:val="italicus"/>
        </w:rPr>
        <w:t>Wissenschaftliche Kritik der</w:t>
      </w:r>
      <w:r>
        <w:rPr>
          <w:rStyle w:val="italicus"/>
        </w:rPr>
        <w:t xml:space="preserve"> </w:t>
      </w:r>
      <w:r w:rsidRPr="00097EF5">
        <w:rPr>
          <w:rStyle w:val="italicus"/>
        </w:rPr>
        <w:t>evangel. Geschichte,</w:t>
      </w:r>
      <w:r>
        <w:rPr>
          <w:rStyle w:val="italicus"/>
        </w:rPr>
        <w:t xml:space="preserve"> </w:t>
      </w:r>
      <w:r>
        <w:rPr>
          <w:rFonts w:eastAsia="Arial Unicode MS"/>
          <w:bCs/>
          <w:lang w:eastAsia="fr-FR" w:bidi="he-IL"/>
        </w:rPr>
        <w:t xml:space="preserve">p. 810 et ss. ; </w:t>
      </w:r>
      <w:r w:rsidRPr="00C8701B">
        <w:rPr>
          <w:rFonts w:eastAsia="Arial Unicode MS"/>
          <w:bCs/>
          <w:lang w:eastAsia="fr-FR" w:bidi="he-IL"/>
        </w:rPr>
        <w:t>notre</w:t>
      </w:r>
      <w:r>
        <w:rPr>
          <w:rStyle w:val="italicus"/>
        </w:rPr>
        <w:t xml:space="preserve"> Commen</w:t>
      </w:r>
      <w:r w:rsidRPr="00DC4586">
        <w:rPr>
          <w:rStyle w:val="italicus"/>
        </w:rPr>
        <w:t>taire sur l’Évangile selon S. Jean</w:t>
      </w:r>
      <w:r>
        <w:rPr>
          <w:rStyle w:val="italicus"/>
        </w:rPr>
        <w:t xml:space="preserve">, </w:t>
      </w:r>
      <w:r w:rsidRPr="00C8701B">
        <w:rPr>
          <w:rFonts w:eastAsia="Arial Unicode MS"/>
          <w:bCs/>
          <w:lang w:eastAsia="fr-FR" w:bidi="he-IL"/>
        </w:rPr>
        <w:t xml:space="preserve">p. </w:t>
      </w:r>
      <w:r>
        <w:rPr>
          <w:rFonts w:eastAsia="Arial Unicode MS"/>
          <w:bCs/>
          <w:lang w:eastAsia="fr-FR" w:bidi="he-IL"/>
        </w:rPr>
        <w:t>XXXIV</w:t>
      </w:r>
      <w:r w:rsidRPr="00C8701B">
        <w:rPr>
          <w:rFonts w:eastAsia="Arial Unicode MS"/>
          <w:bCs/>
          <w:lang w:eastAsia="fr-FR" w:bidi="he-IL"/>
        </w:rPr>
        <w:t xml:space="preserve"> et ss.</w:t>
      </w:r>
    </w:p>
  </w:footnote>
  <w:footnote w:id="446">
    <w:p w:rsidR="00941AA6" w:rsidRPr="00933C60" w:rsidRDefault="00941AA6">
      <w:pPr>
        <w:pStyle w:val="Notedebasdepage"/>
      </w:pPr>
      <w:r w:rsidRPr="00C406FF">
        <w:rPr>
          <w:rStyle w:val="Appelnotedebasdep"/>
        </w:rPr>
        <w:footnoteRef/>
      </w:r>
      <w:r>
        <w:rPr>
          <w:rFonts w:eastAsia="Arial Unicode MS"/>
          <w:bCs/>
          <w:lang w:eastAsia="fr-FR" w:bidi="he-IL"/>
        </w:rPr>
        <w:t xml:space="preserve"> </w:t>
      </w:r>
      <w:r w:rsidRPr="00DC4586">
        <w:rPr>
          <w:rStyle w:val="italicus"/>
        </w:rPr>
        <w:t>La Bible et les découvertes modernes</w:t>
      </w:r>
      <w:r>
        <w:rPr>
          <w:rFonts w:eastAsia="Arial Unicode MS"/>
          <w:bCs/>
          <w:lang w:eastAsia="fr-FR" w:bidi="he-IL"/>
        </w:rPr>
        <w:t xml:space="preserve">, t. I, </w:t>
      </w:r>
      <w:r w:rsidRPr="00C8701B">
        <w:rPr>
          <w:rFonts w:eastAsia="Arial Unicode MS"/>
          <w:bCs/>
          <w:lang w:eastAsia="fr-FR" w:bidi="he-IL"/>
        </w:rPr>
        <w:t>p</w:t>
      </w:r>
      <w:r>
        <w:rPr>
          <w:rFonts w:eastAsia="Arial Unicode MS"/>
          <w:bCs/>
          <w:lang w:eastAsia="fr-FR" w:bidi="he-IL"/>
        </w:rPr>
        <w:t>. 79 et 80 de la 4</w:t>
      </w:r>
      <w:r w:rsidRPr="00D432D6">
        <w:rPr>
          <w:rFonts w:eastAsia="Arial Unicode MS"/>
          <w:bCs/>
          <w:vertAlign w:val="superscript"/>
          <w:lang w:eastAsia="fr-FR" w:bidi="he-IL"/>
        </w:rPr>
        <w:t>e</w:t>
      </w:r>
      <w:r>
        <w:rPr>
          <w:rFonts w:eastAsia="Arial Unicode MS"/>
          <w:bCs/>
          <w:lang w:eastAsia="fr-FR" w:bidi="he-IL"/>
        </w:rPr>
        <w:t xml:space="preserve"> </w:t>
      </w:r>
      <w:r w:rsidRPr="00C8701B">
        <w:rPr>
          <w:rFonts w:eastAsia="Arial Unicode MS"/>
          <w:bCs/>
          <w:lang w:eastAsia="fr-FR" w:bidi="he-IL"/>
        </w:rPr>
        <w:t>édit.</w:t>
      </w:r>
    </w:p>
  </w:footnote>
  <w:footnote w:id="447">
    <w:p w:rsidR="00941AA6" w:rsidRPr="00933C60" w:rsidRDefault="00941AA6" w:rsidP="00D432D6">
      <w:pPr>
        <w:pStyle w:val="Notedebasdepage"/>
      </w:pPr>
      <w:r w:rsidRPr="00C406FF">
        <w:rPr>
          <w:rStyle w:val="Appelnotedebasdep"/>
        </w:rPr>
        <w:footnoteRef/>
      </w:r>
      <w:r>
        <w:rPr>
          <w:bCs/>
        </w:rPr>
        <w:t xml:space="preserve"> </w:t>
      </w:r>
      <w:r w:rsidRPr="00DC4586">
        <w:rPr>
          <w:rStyle w:val="italicus"/>
        </w:rPr>
        <w:t>Commentaire sur l’évangile selon S. Marc</w:t>
      </w:r>
      <w:r>
        <w:rPr>
          <w:rStyle w:val="italicus"/>
        </w:rPr>
        <w:t xml:space="preserve">, </w:t>
      </w:r>
      <w:r w:rsidRPr="00C8701B">
        <w:rPr>
          <w:bCs/>
        </w:rPr>
        <w:t xml:space="preserve">p. </w:t>
      </w:r>
      <w:r w:rsidRPr="00097EF5">
        <w:t>10.</w:t>
      </w:r>
    </w:p>
  </w:footnote>
  <w:footnote w:id="448">
    <w:p w:rsidR="00941AA6" w:rsidRPr="00D432D6" w:rsidRDefault="00941AA6">
      <w:pPr>
        <w:pStyle w:val="Notedebasdepage"/>
        <w:rPr>
          <w:lang w:val="de-AT"/>
        </w:rPr>
      </w:pPr>
      <w:r w:rsidRPr="00C406FF">
        <w:rPr>
          <w:rStyle w:val="Appelnotedebasdep"/>
        </w:rPr>
        <w:footnoteRef/>
      </w:r>
      <w:r>
        <w:rPr>
          <w:rFonts w:eastAsia="Arial Unicode MS"/>
          <w:bCs/>
          <w:lang w:val="de-AT" w:eastAsia="fr-FR" w:bidi="he-IL"/>
        </w:rPr>
        <w:t xml:space="preserve"> </w:t>
      </w:r>
      <w:r w:rsidRPr="000819BA">
        <w:rPr>
          <w:rFonts w:eastAsia="Arial Unicode MS"/>
          <w:bCs/>
          <w:lang w:val="de-AT" w:eastAsia="fr-FR" w:bidi="he-IL"/>
        </w:rPr>
        <w:t>Mort en 1875.</w:t>
      </w:r>
    </w:p>
  </w:footnote>
  <w:footnote w:id="449">
    <w:p w:rsidR="00941AA6" w:rsidRPr="00D432D6" w:rsidRDefault="00941AA6">
      <w:pPr>
        <w:pStyle w:val="Notedebasdepage"/>
        <w:rPr>
          <w:lang w:val="de-AT"/>
        </w:rPr>
      </w:pPr>
      <w:r w:rsidRPr="00C406FF">
        <w:rPr>
          <w:rStyle w:val="Appelnotedebasdep"/>
        </w:rPr>
        <w:footnoteRef/>
      </w:r>
      <w:r>
        <w:rPr>
          <w:rFonts w:eastAsia="Arial Unicode MS"/>
          <w:bCs/>
          <w:lang w:val="de-AT" w:eastAsia="fr-FR" w:bidi="he-IL"/>
        </w:rPr>
        <w:t xml:space="preserve"> </w:t>
      </w:r>
      <w:r w:rsidRPr="000819BA">
        <w:rPr>
          <w:rStyle w:val="italicus"/>
          <w:lang w:val="de-AT"/>
        </w:rPr>
        <w:t xml:space="preserve">Geschichte Jesu und seiner Zeit, </w:t>
      </w:r>
      <w:r w:rsidRPr="000819BA">
        <w:rPr>
          <w:rFonts w:eastAsia="Arial Unicode MS"/>
          <w:bCs/>
          <w:lang w:val="de-AT" w:eastAsia="fr-FR" w:bidi="he-IL"/>
        </w:rPr>
        <w:t>1855.</w:t>
      </w:r>
    </w:p>
  </w:footnote>
  <w:footnote w:id="450">
    <w:p w:rsidR="00941AA6" w:rsidRPr="00933C60" w:rsidRDefault="00941AA6">
      <w:pPr>
        <w:pStyle w:val="Notedebasdepage"/>
      </w:pPr>
      <w:r w:rsidRPr="00C406FF">
        <w:rPr>
          <w:rStyle w:val="Appelnotedebasdep"/>
        </w:rPr>
        <w:footnoteRef/>
      </w:r>
      <w:r w:rsidRPr="00C8701B">
        <w:rPr>
          <w:rFonts w:eastAsia="Arial Unicode MS"/>
          <w:bCs/>
          <w:lang w:eastAsia="fr-FR" w:bidi="he-IL"/>
        </w:rPr>
        <w:t xml:space="preserve"> Page </w:t>
      </w:r>
      <w:r w:rsidR="00691E6B">
        <w:rPr>
          <w:rFonts w:eastAsia="Arial Unicode MS"/>
          <w:bCs/>
          <w:lang w:eastAsia="fr-FR" w:bidi="he-IL"/>
        </w:rPr>
        <w:fldChar w:fldCharType="begin"/>
      </w:r>
      <w:r w:rsidR="00E87D10">
        <w:rPr>
          <w:rFonts w:eastAsia="Arial Unicode MS"/>
          <w:bCs/>
          <w:lang w:eastAsia="fr-FR" w:bidi="he-IL"/>
        </w:rPr>
        <w:instrText xml:space="preserve"> PAGEREF _Ref520300540 \h </w:instrText>
      </w:r>
      <w:r w:rsidR="00691E6B">
        <w:rPr>
          <w:rFonts w:eastAsia="Arial Unicode MS"/>
          <w:bCs/>
          <w:lang w:eastAsia="fr-FR" w:bidi="he-IL"/>
        </w:rPr>
      </w:r>
      <w:r w:rsidR="00691E6B">
        <w:rPr>
          <w:rFonts w:eastAsia="Arial Unicode MS"/>
          <w:bCs/>
          <w:lang w:eastAsia="fr-FR" w:bidi="he-IL"/>
        </w:rPr>
        <w:fldChar w:fldCharType="separate"/>
      </w:r>
      <w:r w:rsidR="00635395">
        <w:rPr>
          <w:rFonts w:eastAsia="Arial Unicode MS"/>
          <w:bCs/>
          <w:noProof/>
          <w:lang w:eastAsia="fr-FR" w:bidi="he-IL"/>
        </w:rPr>
        <w:t>36</w:t>
      </w:r>
      <w:r w:rsidR="00691E6B">
        <w:rPr>
          <w:rFonts w:eastAsia="Arial Unicode MS"/>
          <w:bCs/>
          <w:lang w:eastAsia="fr-FR" w:bidi="he-IL"/>
        </w:rPr>
        <w:fldChar w:fldCharType="end"/>
      </w:r>
      <w:r>
        <w:rPr>
          <w:rFonts w:eastAsia="Arial Unicode MS"/>
          <w:bCs/>
          <w:lang w:eastAsia="fr-FR" w:bidi="he-IL"/>
        </w:rPr>
        <w:t>[</w:t>
      </w:r>
      <w:r w:rsidRPr="00C8701B">
        <w:rPr>
          <w:rFonts w:eastAsia="Arial Unicode MS"/>
          <w:bCs/>
          <w:lang w:eastAsia="fr-FR" w:bidi="he-IL"/>
        </w:rPr>
        <w:t>45</w:t>
      </w:r>
      <w:r>
        <w:rPr>
          <w:rFonts w:eastAsia="Arial Unicode MS"/>
          <w:bCs/>
          <w:lang w:eastAsia="fr-FR" w:bidi="he-IL"/>
        </w:rPr>
        <w:t xml:space="preserve">], </w:t>
      </w:r>
      <w:r w:rsidRPr="00C8701B">
        <w:rPr>
          <w:rFonts w:eastAsia="Arial Unicode MS"/>
          <w:bCs/>
          <w:lang w:eastAsia="fr-FR" w:bidi="he-IL"/>
        </w:rPr>
        <w:t xml:space="preserve">note </w:t>
      </w:r>
      <w:r w:rsidR="00691E6B">
        <w:rPr>
          <w:rFonts w:eastAsia="Arial Unicode MS"/>
          <w:bCs/>
          <w:lang w:eastAsia="fr-FR" w:bidi="he-IL"/>
        </w:rPr>
        <w:fldChar w:fldCharType="begin"/>
      </w:r>
      <w:r w:rsidR="00E87D10">
        <w:rPr>
          <w:rFonts w:eastAsia="Arial Unicode MS"/>
          <w:bCs/>
          <w:lang w:eastAsia="fr-FR" w:bidi="he-IL"/>
        </w:rPr>
        <w:instrText xml:space="preserve"> NOTEREF _Ref520300547 \h </w:instrText>
      </w:r>
      <w:r w:rsidR="00691E6B">
        <w:rPr>
          <w:rFonts w:eastAsia="Arial Unicode MS"/>
          <w:bCs/>
          <w:lang w:eastAsia="fr-FR" w:bidi="he-IL"/>
        </w:rPr>
      </w:r>
      <w:r w:rsidR="00691E6B">
        <w:rPr>
          <w:rFonts w:eastAsia="Arial Unicode MS"/>
          <w:bCs/>
          <w:lang w:eastAsia="fr-FR" w:bidi="he-IL"/>
        </w:rPr>
        <w:fldChar w:fldCharType="separate"/>
      </w:r>
      <w:r w:rsidR="00635395">
        <w:rPr>
          <w:rFonts w:eastAsia="Arial Unicode MS"/>
          <w:bCs/>
          <w:lang w:eastAsia="fr-FR" w:bidi="he-IL"/>
        </w:rPr>
        <w:t>232</w:t>
      </w:r>
      <w:r w:rsidR="00691E6B">
        <w:rPr>
          <w:rFonts w:eastAsia="Arial Unicode MS"/>
          <w:bCs/>
          <w:lang w:eastAsia="fr-FR" w:bidi="he-IL"/>
        </w:rPr>
        <w:fldChar w:fldCharType="end"/>
      </w:r>
      <w:r>
        <w:rPr>
          <w:rFonts w:eastAsia="Arial Unicode MS"/>
          <w:bCs/>
          <w:lang w:eastAsia="fr-FR" w:bidi="he-IL"/>
        </w:rPr>
        <w:t>[</w:t>
      </w:r>
      <w:r w:rsidRPr="00C8701B">
        <w:rPr>
          <w:rFonts w:eastAsia="Arial Unicode MS"/>
          <w:bCs/>
          <w:lang w:eastAsia="fr-FR" w:bidi="he-IL"/>
        </w:rPr>
        <w:t>2</w:t>
      </w:r>
      <w:r>
        <w:rPr>
          <w:rFonts w:eastAsia="Arial Unicode MS"/>
          <w:bCs/>
          <w:lang w:eastAsia="fr-FR" w:bidi="he-IL"/>
        </w:rPr>
        <w:t>]</w:t>
      </w:r>
      <w:r w:rsidRPr="00C8701B">
        <w:rPr>
          <w:rFonts w:eastAsia="Arial Unicode MS"/>
          <w:bCs/>
          <w:lang w:eastAsia="fr-FR" w:bidi="he-IL"/>
        </w:rPr>
        <w:t>.</w:t>
      </w:r>
    </w:p>
  </w:footnote>
  <w:footnote w:id="451">
    <w:p w:rsidR="00941AA6" w:rsidRPr="00933C60" w:rsidRDefault="00941AA6">
      <w:pPr>
        <w:pStyle w:val="Notedebasdepage"/>
      </w:pPr>
      <w:r w:rsidRPr="00C406FF">
        <w:rPr>
          <w:rStyle w:val="Appelnotedebasdep"/>
        </w:rPr>
        <w:footnoteRef/>
      </w:r>
      <w:r>
        <w:rPr>
          <w:rFonts w:eastAsia="Arial Unicode MS"/>
          <w:bCs/>
          <w:lang w:eastAsia="fr-FR" w:bidi="he-IL"/>
        </w:rPr>
        <w:t xml:space="preserve"> </w:t>
      </w:r>
      <w:r w:rsidRPr="00C8701B">
        <w:rPr>
          <w:rFonts w:eastAsia="Arial Unicode MS"/>
          <w:bCs/>
          <w:lang w:eastAsia="fr-FR" w:bidi="he-IL"/>
        </w:rPr>
        <w:t>Mgr Meignan</w:t>
      </w:r>
      <w:r>
        <w:rPr>
          <w:rFonts w:eastAsia="Arial Unicode MS"/>
          <w:bCs/>
          <w:lang w:eastAsia="fr-FR" w:bidi="he-IL"/>
        </w:rPr>
        <w:t xml:space="preserve">, </w:t>
      </w:r>
      <w:r w:rsidRPr="00DC4586">
        <w:rPr>
          <w:rStyle w:val="italicus"/>
        </w:rPr>
        <w:t>L’évangile et la critique au XIXe siècle</w:t>
      </w:r>
      <w:r>
        <w:rPr>
          <w:rStyle w:val="italicus"/>
        </w:rPr>
        <w:t xml:space="preserve">, </w:t>
      </w:r>
      <w:r w:rsidRPr="00C8701B">
        <w:rPr>
          <w:rFonts w:eastAsia="Arial Unicode MS"/>
          <w:bCs/>
          <w:lang w:eastAsia="fr-FR" w:bidi="he-IL"/>
        </w:rPr>
        <w:t>p. 5.</w:t>
      </w:r>
    </w:p>
  </w:footnote>
  <w:footnote w:id="452">
    <w:p w:rsidR="00941AA6" w:rsidRPr="00933C60" w:rsidRDefault="00941AA6">
      <w:pPr>
        <w:pStyle w:val="Notedebasdepage"/>
      </w:pPr>
      <w:r w:rsidRPr="00C406FF">
        <w:rPr>
          <w:rStyle w:val="Appelnotedebasdep"/>
        </w:rPr>
        <w:footnoteRef/>
      </w:r>
      <w:r>
        <w:rPr>
          <w:rFonts w:eastAsia="Arial Unicode MS"/>
          <w:bCs/>
          <w:lang w:eastAsia="fr-FR" w:bidi="he-IL"/>
        </w:rPr>
        <w:t xml:space="preserve"> </w:t>
      </w:r>
      <w:r w:rsidRPr="00C8701B">
        <w:rPr>
          <w:rFonts w:eastAsia="Arial Unicode MS"/>
          <w:bCs/>
          <w:lang w:eastAsia="fr-FR" w:bidi="he-IL"/>
        </w:rPr>
        <w:t>Fouard</w:t>
      </w:r>
      <w:r>
        <w:rPr>
          <w:rFonts w:eastAsia="Arial Unicode MS"/>
          <w:bCs/>
          <w:lang w:eastAsia="fr-FR" w:bidi="he-IL"/>
        </w:rPr>
        <w:t xml:space="preserve">, </w:t>
      </w:r>
      <w:r w:rsidRPr="00DC4586">
        <w:rPr>
          <w:rStyle w:val="italicus"/>
        </w:rPr>
        <w:t>Vie de N.-S. Jésus-Christ</w:t>
      </w:r>
      <w:r>
        <w:rPr>
          <w:rStyle w:val="italicus"/>
        </w:rPr>
        <w:t xml:space="preserve">, </w:t>
      </w:r>
      <w:r w:rsidRPr="00C8701B">
        <w:rPr>
          <w:rFonts w:eastAsia="Arial Unicode MS"/>
          <w:bCs/>
          <w:lang w:eastAsia="fr-FR" w:bidi="he-IL"/>
        </w:rPr>
        <w:t>t. I</w:t>
      </w:r>
      <w:r>
        <w:rPr>
          <w:rFonts w:eastAsia="Arial Unicode MS"/>
          <w:bCs/>
          <w:lang w:eastAsia="fr-FR" w:bidi="he-IL"/>
        </w:rPr>
        <w:t xml:space="preserve">, </w:t>
      </w:r>
      <w:r w:rsidRPr="00C8701B">
        <w:rPr>
          <w:rFonts w:eastAsia="Arial Unicode MS"/>
          <w:bCs/>
          <w:lang w:eastAsia="fr-FR" w:bidi="he-IL"/>
        </w:rPr>
        <w:t xml:space="preserve">p. </w:t>
      </w:r>
      <w:r>
        <w:rPr>
          <w:rFonts w:eastAsia="Arial Unicode MS"/>
          <w:bCs/>
          <w:lang w:val="el-GR" w:eastAsia="fr-FR" w:bidi="he-IL"/>
        </w:rPr>
        <w:t>X</w:t>
      </w:r>
      <w:r w:rsidRPr="00C8701B">
        <w:rPr>
          <w:rFonts w:eastAsia="Arial Unicode MS"/>
          <w:bCs/>
          <w:lang w:val="el-GR" w:eastAsia="fr-FR" w:bidi="he-IL"/>
        </w:rPr>
        <w:t xml:space="preserve"> </w:t>
      </w:r>
      <w:r w:rsidRPr="00C8701B">
        <w:rPr>
          <w:rFonts w:eastAsia="Arial Unicode MS"/>
          <w:bCs/>
          <w:lang w:eastAsia="fr-FR" w:bidi="he-IL"/>
        </w:rPr>
        <w:t>de la 2</w:t>
      </w:r>
      <w:r w:rsidRPr="00C8701B">
        <w:rPr>
          <w:rFonts w:eastAsia="Arial Unicode MS"/>
          <w:bCs/>
          <w:vertAlign w:val="superscript"/>
          <w:lang w:eastAsia="fr-FR" w:bidi="he-IL"/>
        </w:rPr>
        <w:t>e</w:t>
      </w:r>
      <w:r w:rsidRPr="00C8701B">
        <w:rPr>
          <w:rFonts w:eastAsia="Arial Unicode MS"/>
          <w:bCs/>
          <w:lang w:eastAsia="fr-FR" w:bidi="he-IL"/>
        </w:rPr>
        <w:t xml:space="preserve"> édit.</w:t>
      </w:r>
    </w:p>
  </w:footnote>
  <w:footnote w:id="453">
    <w:p w:rsidR="00941AA6" w:rsidRPr="00933C60" w:rsidRDefault="00941AA6">
      <w:pPr>
        <w:pStyle w:val="Notedebasdepage"/>
      </w:pPr>
      <w:r w:rsidRPr="00C406FF">
        <w:rPr>
          <w:rStyle w:val="Appelnotedebasdep"/>
        </w:rPr>
        <w:footnoteRef/>
      </w:r>
      <w:r>
        <w:rPr>
          <w:rFonts w:eastAsia="Arial Unicode MS"/>
          <w:bCs/>
          <w:lang w:val="de-AT" w:eastAsia="fr-FR" w:bidi="he-IL"/>
        </w:rPr>
        <w:t xml:space="preserve"> </w:t>
      </w:r>
      <w:r w:rsidRPr="000819BA">
        <w:rPr>
          <w:rFonts w:eastAsia="Arial Unicode MS"/>
          <w:bCs/>
          <w:lang w:val="de-AT" w:eastAsia="fr-FR" w:bidi="he-IL"/>
        </w:rPr>
        <w:t xml:space="preserve">Hagenbach, </w:t>
      </w:r>
      <w:r w:rsidRPr="000819BA">
        <w:rPr>
          <w:rStyle w:val="italicus"/>
          <w:lang w:val="de-AT"/>
        </w:rPr>
        <w:t xml:space="preserve">Encyklopædie und Methodologie der theologisch. </w:t>
      </w:r>
      <w:r w:rsidRPr="000819BA">
        <w:rPr>
          <w:rStyle w:val="italicus"/>
        </w:rPr>
        <w:t xml:space="preserve">Wissenschaften, </w:t>
      </w:r>
      <w:r w:rsidRPr="000819BA">
        <w:rPr>
          <w:rFonts w:eastAsia="Arial Unicode MS"/>
          <w:bCs/>
          <w:lang w:eastAsia="fr-FR" w:bidi="he-IL"/>
        </w:rPr>
        <w:t xml:space="preserve">p. 206, </w:t>
      </w:r>
      <w:r>
        <w:rPr>
          <w:rFonts w:eastAsia="Arial Unicode MS"/>
          <w:bCs/>
          <w:lang w:eastAsia="fr-FR" w:bidi="he-IL"/>
        </w:rPr>
        <w:t>8</w:t>
      </w:r>
      <w:r w:rsidRPr="00097EF5">
        <w:rPr>
          <w:rFonts w:eastAsia="Arial Unicode MS"/>
          <w:bCs/>
          <w:vertAlign w:val="superscript"/>
          <w:lang w:eastAsia="fr-FR" w:bidi="he-IL"/>
        </w:rPr>
        <w:t>e</w:t>
      </w:r>
      <w:r>
        <w:rPr>
          <w:rFonts w:eastAsia="Arial Unicode MS"/>
          <w:bCs/>
          <w:lang w:eastAsia="fr-FR" w:bidi="he-IL"/>
        </w:rPr>
        <w:t xml:space="preserve"> é</w:t>
      </w:r>
      <w:r w:rsidRPr="000819BA">
        <w:rPr>
          <w:rFonts w:eastAsia="Arial Unicode MS"/>
          <w:bCs/>
          <w:lang w:eastAsia="fr-FR" w:bidi="he-IL"/>
        </w:rPr>
        <w:t>dit.</w:t>
      </w:r>
    </w:p>
  </w:footnote>
  <w:footnote w:id="454">
    <w:p w:rsidR="00941AA6" w:rsidRPr="00933C60" w:rsidRDefault="00941AA6">
      <w:pPr>
        <w:pStyle w:val="Notedebasdepage"/>
      </w:pPr>
      <w:r w:rsidRPr="00C406FF">
        <w:rPr>
          <w:rStyle w:val="Appelnotedebasdep"/>
        </w:rPr>
        <w:footnoteRef/>
      </w:r>
      <w:r>
        <w:rPr>
          <w:rFonts w:eastAsia="Arial Unicode MS"/>
          <w:bCs/>
          <w:lang w:eastAsia="fr-FR" w:bidi="he-IL"/>
        </w:rPr>
        <w:t xml:space="preserve"> </w:t>
      </w:r>
      <w:r w:rsidRPr="00DC4586">
        <w:rPr>
          <w:rStyle w:val="italicus"/>
        </w:rPr>
        <w:t>Vie de Jésus</w:t>
      </w:r>
      <w:r>
        <w:rPr>
          <w:rStyle w:val="italicus"/>
        </w:rPr>
        <w:t xml:space="preserve">, </w:t>
      </w:r>
      <w:r w:rsidRPr="00C8701B">
        <w:rPr>
          <w:rFonts w:eastAsia="Arial Unicode MS"/>
          <w:bCs/>
          <w:lang w:eastAsia="fr-FR" w:bidi="he-IL"/>
        </w:rPr>
        <w:t>Paris 1863.</w:t>
      </w:r>
    </w:p>
  </w:footnote>
  <w:footnote w:id="455">
    <w:p w:rsidR="00941AA6" w:rsidRPr="00933C60" w:rsidRDefault="00941AA6">
      <w:pPr>
        <w:pStyle w:val="Notedebasdepage"/>
      </w:pPr>
      <w:r w:rsidRPr="00C406FF">
        <w:rPr>
          <w:rStyle w:val="Appelnotedebasdep"/>
        </w:rPr>
        <w:footnoteRef/>
      </w:r>
      <w:r>
        <w:rPr>
          <w:rFonts w:eastAsia="Arial Unicode MS"/>
          <w:bCs/>
          <w:lang w:eastAsia="fr-FR" w:bidi="he-IL"/>
        </w:rPr>
        <w:t xml:space="preserve"> </w:t>
      </w:r>
      <w:r w:rsidRPr="00C8701B">
        <w:rPr>
          <w:rFonts w:eastAsia="Arial Unicode MS"/>
          <w:bCs/>
          <w:lang w:eastAsia="fr-FR" w:bidi="he-IL"/>
        </w:rPr>
        <w:t>Voyez Mgr Meignan</w:t>
      </w:r>
      <w:r>
        <w:rPr>
          <w:rFonts w:eastAsia="Arial Unicode MS"/>
          <w:bCs/>
          <w:lang w:eastAsia="fr-FR" w:bidi="he-IL"/>
        </w:rPr>
        <w:t xml:space="preserve">, </w:t>
      </w:r>
      <w:r w:rsidRPr="00DC4586">
        <w:rPr>
          <w:rStyle w:val="italicus"/>
        </w:rPr>
        <w:t>M. Renan réfuté par les rationalistes allemands</w:t>
      </w:r>
      <w:r>
        <w:rPr>
          <w:rStyle w:val="italicus"/>
        </w:rPr>
        <w:t xml:space="preserve">, </w:t>
      </w:r>
      <w:r w:rsidRPr="00097EF5">
        <w:t>Paris 1863.</w:t>
      </w:r>
    </w:p>
  </w:footnote>
  <w:footnote w:id="456">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en la liste assez complète dans l’opuscule de</w:t>
      </w:r>
      <w:r>
        <w:rPr>
          <w:rFonts w:eastAsia="Arial Unicode MS"/>
          <w:bCs/>
          <w:lang w:eastAsia="fr-FR" w:bidi="he-IL"/>
        </w:rPr>
        <w:t xml:space="preserve"> </w:t>
      </w:r>
      <w:r w:rsidRPr="00C8701B">
        <w:rPr>
          <w:rFonts w:eastAsia="Arial Unicode MS"/>
          <w:bCs/>
          <w:lang w:eastAsia="fr-FR" w:bidi="he-IL"/>
        </w:rPr>
        <w:t>Luthardt</w:t>
      </w:r>
      <w:r>
        <w:rPr>
          <w:rFonts w:eastAsia="Arial Unicode MS"/>
          <w:bCs/>
          <w:lang w:eastAsia="fr-FR" w:bidi="he-IL"/>
        </w:rPr>
        <w:t xml:space="preserve">, </w:t>
      </w:r>
      <w:r w:rsidRPr="00DC4586">
        <w:rPr>
          <w:rStyle w:val="italicus"/>
        </w:rPr>
        <w:t>Les histoires modernes de la vie de Jésus</w:t>
      </w:r>
      <w:r>
        <w:rPr>
          <w:rStyle w:val="italicus"/>
        </w:rPr>
        <w:t xml:space="preserve">, </w:t>
      </w:r>
      <w:r w:rsidRPr="00C8701B">
        <w:rPr>
          <w:rFonts w:eastAsia="Arial Unicode MS"/>
          <w:bCs/>
          <w:lang w:eastAsia="fr-FR" w:bidi="he-IL"/>
        </w:rPr>
        <w:t>p. 85-87 de la traduction française.</w:t>
      </w:r>
    </w:p>
  </w:footnote>
  <w:footnote w:id="457">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Il nous est particulièrement agréable de citer ici</w:t>
      </w:r>
      <w:r>
        <w:rPr>
          <w:rFonts w:eastAsia="Arial Unicode MS"/>
          <w:bCs/>
          <w:lang w:eastAsia="fr-FR" w:bidi="he-IL"/>
        </w:rPr>
        <w:t xml:space="preserve">, </w:t>
      </w:r>
      <w:r w:rsidRPr="00C8701B">
        <w:rPr>
          <w:rFonts w:eastAsia="Arial Unicode MS"/>
          <w:bCs/>
          <w:lang w:eastAsia="fr-FR" w:bidi="he-IL"/>
        </w:rPr>
        <w:t>quoiqu’elles soient partout connues</w:t>
      </w:r>
      <w:r>
        <w:rPr>
          <w:rFonts w:eastAsia="Arial Unicode MS"/>
          <w:bCs/>
          <w:lang w:eastAsia="fr-FR" w:bidi="he-IL"/>
        </w:rPr>
        <w:t xml:space="preserve">, </w:t>
      </w:r>
      <w:r w:rsidRPr="00C8701B">
        <w:rPr>
          <w:rFonts w:eastAsia="Arial Unicode MS"/>
          <w:bCs/>
          <w:lang w:eastAsia="fr-FR" w:bidi="he-IL"/>
        </w:rPr>
        <w:t>les deux biographies du divin Maître composées par M. Fouard</w:t>
      </w:r>
      <w:r w:rsidRPr="00DC4586">
        <w:rPr>
          <w:rStyle w:val="italicus"/>
        </w:rPr>
        <w:t xml:space="preserve"> </w:t>
      </w:r>
      <w:r w:rsidRPr="00C8701B">
        <w:rPr>
          <w:rFonts w:eastAsia="Arial Unicode MS"/>
          <w:bCs/>
          <w:iCs/>
          <w:lang w:eastAsia="fr-FR" w:bidi="he-IL"/>
        </w:rPr>
        <w:t>(</w:t>
      </w:r>
      <w:r w:rsidRPr="00DC4586">
        <w:rPr>
          <w:rStyle w:val="italicus"/>
        </w:rPr>
        <w:t>La vie de N.-S. Jésus-Christ</w:t>
      </w:r>
      <w:r>
        <w:rPr>
          <w:rStyle w:val="italicus"/>
        </w:rPr>
        <w:t xml:space="preserve">, </w:t>
      </w:r>
      <w:r w:rsidRPr="00C8701B">
        <w:rPr>
          <w:rFonts w:eastAsia="Arial Unicode MS"/>
          <w:bCs/>
          <w:lang w:eastAsia="fr-FR" w:bidi="he-IL"/>
        </w:rPr>
        <w:t>déjà trois éditions)</w:t>
      </w:r>
      <w:r>
        <w:rPr>
          <w:rFonts w:eastAsia="Arial Unicode MS"/>
          <w:bCs/>
          <w:lang w:eastAsia="fr-FR" w:bidi="he-IL"/>
        </w:rPr>
        <w:t xml:space="preserve">, </w:t>
      </w:r>
      <w:r w:rsidRPr="00C8701B">
        <w:rPr>
          <w:rFonts w:eastAsia="Arial Unicode MS"/>
          <w:bCs/>
          <w:lang w:eastAsia="fr-FR" w:bidi="he-IL"/>
        </w:rPr>
        <w:t xml:space="preserve">et par M. Le </w:t>
      </w:r>
      <w:r>
        <w:rPr>
          <w:rFonts w:eastAsia="Arial Unicode MS"/>
          <w:bCs/>
          <w:lang w:eastAsia="fr-FR" w:bidi="he-IL"/>
        </w:rPr>
        <w:t>Camus</w:t>
      </w:r>
      <w:r w:rsidRPr="00DC4586">
        <w:rPr>
          <w:rStyle w:val="italicus"/>
        </w:rPr>
        <w:t xml:space="preserve"> </w:t>
      </w:r>
      <w:r w:rsidRPr="00C8701B">
        <w:rPr>
          <w:rFonts w:eastAsia="Arial Unicode MS"/>
          <w:bCs/>
          <w:iCs/>
          <w:lang w:eastAsia="fr-FR" w:bidi="he-IL"/>
        </w:rPr>
        <w:t>(</w:t>
      </w:r>
      <w:r w:rsidRPr="00DC4586">
        <w:rPr>
          <w:rStyle w:val="italicus"/>
        </w:rPr>
        <w:t>La vie de N.-S. Jésus-Christ</w:t>
      </w:r>
      <w:r>
        <w:rPr>
          <w:rStyle w:val="italicus"/>
        </w:rPr>
        <w:t xml:space="preserve">, </w:t>
      </w:r>
      <w:r w:rsidRPr="00C8701B">
        <w:rPr>
          <w:rFonts w:eastAsia="Arial Unicode MS"/>
          <w:bCs/>
          <w:lang w:eastAsia="fr-FR" w:bidi="he-IL"/>
        </w:rPr>
        <w:t>2</w:t>
      </w:r>
      <w:r w:rsidRPr="00570798">
        <w:rPr>
          <w:rFonts w:eastAsia="Arial Unicode MS"/>
          <w:bCs/>
          <w:vertAlign w:val="superscript"/>
          <w:lang w:eastAsia="fr-FR" w:bidi="he-IL"/>
        </w:rPr>
        <w:t>e</w:t>
      </w:r>
      <w:r>
        <w:rPr>
          <w:rFonts w:eastAsia="Arial Unicode MS"/>
          <w:bCs/>
          <w:lang w:eastAsia="fr-FR" w:bidi="he-IL"/>
        </w:rPr>
        <w:t xml:space="preserve"> </w:t>
      </w:r>
      <w:r w:rsidRPr="00C8701B">
        <w:rPr>
          <w:rFonts w:eastAsia="Arial Unicode MS"/>
          <w:bCs/>
          <w:lang w:eastAsia="fr-FR" w:bidi="he-IL"/>
        </w:rPr>
        <w:t>édition en 1887).</w:t>
      </w:r>
      <w:r>
        <w:rPr>
          <w:rFonts w:eastAsia="Arial Unicode MS"/>
          <w:bCs/>
          <w:lang w:eastAsia="fr-FR" w:bidi="he-IL"/>
        </w:rPr>
        <w:t xml:space="preserve"> — </w:t>
      </w:r>
      <w:r w:rsidRPr="00DC4586">
        <w:rPr>
          <w:rStyle w:val="italicus"/>
        </w:rPr>
        <w:t>Jésus-Christ</w:t>
      </w:r>
      <w:r>
        <w:rPr>
          <w:rStyle w:val="italicus"/>
        </w:rPr>
        <w:t xml:space="preserve">, </w:t>
      </w:r>
      <w:r w:rsidRPr="00C8701B">
        <w:rPr>
          <w:rFonts w:eastAsia="Arial Unicode MS"/>
          <w:bCs/>
          <w:lang w:eastAsia="fr-FR" w:bidi="he-IL"/>
        </w:rPr>
        <w:t>tome</w:t>
      </w:r>
      <w:r>
        <w:rPr>
          <w:rFonts w:eastAsia="Arial Unicode MS"/>
          <w:bCs/>
          <w:lang w:eastAsia="fr-FR" w:bidi="he-IL"/>
        </w:rPr>
        <w:t xml:space="preserve"> II </w:t>
      </w:r>
      <w:r w:rsidRPr="00C8701B">
        <w:rPr>
          <w:rFonts w:eastAsia="Arial Unicode MS"/>
          <w:bCs/>
          <w:lang w:eastAsia="fr-FR" w:bidi="he-IL"/>
        </w:rPr>
        <w:t>du</w:t>
      </w:r>
      <w:r w:rsidRPr="00DC4586">
        <w:rPr>
          <w:rStyle w:val="italicus"/>
        </w:rPr>
        <w:t xml:space="preserve"> Christianisme et les temps présents</w:t>
      </w:r>
      <w:r w:rsidRPr="00C8701B">
        <w:rPr>
          <w:rFonts w:eastAsia="Arial Unicode MS"/>
          <w:bCs/>
          <w:lang w:eastAsia="fr-FR" w:bidi="he-IL"/>
        </w:rPr>
        <w:t xml:space="preserve"> de</w:t>
      </w:r>
      <w:r>
        <w:rPr>
          <w:rFonts w:eastAsia="Arial Unicode MS"/>
          <w:bCs/>
          <w:lang w:eastAsia="fr-FR" w:bidi="he-IL"/>
        </w:rPr>
        <w:t xml:space="preserve"> </w:t>
      </w:r>
      <w:r w:rsidRPr="00C8701B">
        <w:rPr>
          <w:rFonts w:eastAsia="Arial Unicode MS"/>
          <w:bCs/>
          <w:lang w:eastAsia="fr-FR" w:bidi="he-IL"/>
        </w:rPr>
        <w:t>Mgr Bougaud</w:t>
      </w:r>
      <w:r>
        <w:rPr>
          <w:rFonts w:eastAsia="Arial Unicode MS"/>
          <w:bCs/>
          <w:lang w:eastAsia="fr-FR" w:bidi="he-IL"/>
        </w:rPr>
        <w:t xml:space="preserve">, </w:t>
      </w:r>
      <w:r w:rsidRPr="00C8701B">
        <w:rPr>
          <w:rFonts w:eastAsia="Arial Unicode MS"/>
          <w:bCs/>
          <w:lang w:eastAsia="fr-FR" w:bidi="he-IL"/>
        </w:rPr>
        <w:t>est un ouvrage écrit avec tout le charme qui caractérise cet illustre prélat. C’est aussi pour réfuter indirectement M. Renan que M. de Pressensé a composé le beau volume intitulé :</w:t>
      </w:r>
      <w:r w:rsidRPr="00DC4586">
        <w:rPr>
          <w:rStyle w:val="italicus"/>
        </w:rPr>
        <w:t xml:space="preserve"> Jésus-Christ</w:t>
      </w:r>
      <w:r>
        <w:rPr>
          <w:rStyle w:val="italicus"/>
        </w:rPr>
        <w:t xml:space="preserve">, </w:t>
      </w:r>
      <w:r w:rsidRPr="00DC4586">
        <w:rPr>
          <w:rStyle w:val="italicus"/>
        </w:rPr>
        <w:t>sa vie</w:t>
      </w:r>
      <w:r>
        <w:rPr>
          <w:rStyle w:val="italicus"/>
        </w:rPr>
        <w:t xml:space="preserve">, </w:t>
      </w:r>
      <w:r w:rsidRPr="00DC4586">
        <w:rPr>
          <w:rStyle w:val="italicus"/>
        </w:rPr>
        <w:t>son temps</w:t>
      </w:r>
      <w:r>
        <w:rPr>
          <w:rStyle w:val="italicus"/>
        </w:rPr>
        <w:t xml:space="preserve">, </w:t>
      </w:r>
      <w:r w:rsidRPr="00DC4586">
        <w:rPr>
          <w:rStyle w:val="italicus"/>
        </w:rPr>
        <w:t>son œuvre</w:t>
      </w:r>
      <w:r>
        <w:rPr>
          <w:rStyle w:val="italicus"/>
        </w:rPr>
        <w:t xml:space="preserve">, </w:t>
      </w:r>
      <w:r w:rsidRPr="00C8701B">
        <w:rPr>
          <w:rFonts w:eastAsia="Arial Unicode MS"/>
          <w:bCs/>
          <w:lang w:eastAsia="fr-FR" w:bidi="he-IL"/>
        </w:rPr>
        <w:t>Paris 1865</w:t>
      </w:r>
      <w:r>
        <w:rPr>
          <w:rFonts w:eastAsia="Arial Unicode MS"/>
          <w:bCs/>
          <w:lang w:eastAsia="fr-FR" w:bidi="he-IL"/>
        </w:rPr>
        <w:t xml:space="preserve">, </w:t>
      </w:r>
      <w:r w:rsidRPr="00C8701B">
        <w:rPr>
          <w:rFonts w:eastAsia="Arial Unicode MS"/>
          <w:bCs/>
          <w:lang w:eastAsia="fr-FR" w:bidi="he-IL"/>
        </w:rPr>
        <w:t>malheureusement entaché de graves erreurs dogmatiques.</w:t>
      </w:r>
    </w:p>
  </w:footnote>
  <w:footnote w:id="458">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D. Schenkel</w:t>
      </w:r>
      <w:r>
        <w:rPr>
          <w:rFonts w:eastAsia="Arial Unicode MS"/>
          <w:bCs/>
          <w:lang w:eastAsia="fr-FR" w:bidi="he-IL"/>
        </w:rPr>
        <w:t xml:space="preserve">, </w:t>
      </w:r>
      <w:r w:rsidRPr="00DC4586">
        <w:rPr>
          <w:rStyle w:val="italicus"/>
        </w:rPr>
        <w:t>Das Charakterbild Jesu</w:t>
      </w:r>
      <w:r>
        <w:rPr>
          <w:rStyle w:val="italicus"/>
        </w:rPr>
        <w:t xml:space="preserve">, </w:t>
      </w:r>
      <w:r w:rsidRPr="00C8701B">
        <w:rPr>
          <w:rFonts w:eastAsia="Arial Unicode MS"/>
          <w:bCs/>
          <w:lang w:eastAsia="fr-FR" w:bidi="he-IL"/>
        </w:rPr>
        <w:t>1864 </w:t>
      </w:r>
      <w:r>
        <w:rPr>
          <w:rFonts w:eastAsia="Arial Unicode MS"/>
          <w:bCs/>
          <w:lang w:eastAsia="fr-FR" w:bidi="he-IL"/>
        </w:rPr>
        <w:t xml:space="preserve">; </w:t>
      </w:r>
      <w:r w:rsidRPr="00C8701B">
        <w:rPr>
          <w:rFonts w:eastAsia="Arial Unicode MS"/>
          <w:bCs/>
          <w:lang w:eastAsia="fr-FR" w:bidi="he-IL"/>
        </w:rPr>
        <w:t>Seeley</w:t>
      </w:r>
      <w:r>
        <w:rPr>
          <w:rFonts w:eastAsia="Arial Unicode MS"/>
          <w:bCs/>
          <w:lang w:eastAsia="fr-FR" w:bidi="he-IL"/>
        </w:rPr>
        <w:t xml:space="preserve">, </w:t>
      </w:r>
      <w:r w:rsidRPr="00DC4586">
        <w:rPr>
          <w:rStyle w:val="italicus"/>
        </w:rPr>
        <w:t>Ecce homo</w:t>
      </w:r>
      <w:r>
        <w:rPr>
          <w:rStyle w:val="italicus"/>
        </w:rPr>
        <w:t xml:space="preserve">, </w:t>
      </w:r>
      <w:r w:rsidRPr="00C8701B">
        <w:rPr>
          <w:rFonts w:eastAsia="Arial Unicode MS"/>
          <w:bCs/>
          <w:lang w:eastAsia="fr-FR" w:bidi="he-IL"/>
        </w:rPr>
        <w:t>Londres 1866 (ce volume</w:t>
      </w:r>
      <w:r>
        <w:rPr>
          <w:rFonts w:eastAsia="Arial Unicode MS"/>
          <w:bCs/>
          <w:lang w:eastAsia="fr-FR" w:bidi="he-IL"/>
        </w:rPr>
        <w:t xml:space="preserve">, </w:t>
      </w:r>
      <w:r w:rsidRPr="00C8701B">
        <w:rPr>
          <w:rFonts w:eastAsia="Arial Unicode MS"/>
          <w:bCs/>
          <w:lang w:eastAsia="fr-FR" w:bidi="he-IL"/>
        </w:rPr>
        <w:t>dont le seul titre marque le but</w:t>
      </w:r>
      <w:r>
        <w:rPr>
          <w:rFonts w:eastAsia="Arial Unicode MS"/>
          <w:bCs/>
          <w:lang w:eastAsia="fr-FR" w:bidi="he-IL"/>
        </w:rPr>
        <w:t xml:space="preserve">, </w:t>
      </w:r>
      <w:r w:rsidRPr="00C8701B">
        <w:rPr>
          <w:rFonts w:eastAsia="Arial Unicode MS"/>
          <w:bCs/>
          <w:lang w:eastAsia="fr-FR" w:bidi="he-IL"/>
        </w:rPr>
        <w:t>parut d’abord sous l’anonyme) </w:t>
      </w:r>
      <w:r>
        <w:rPr>
          <w:rFonts w:eastAsia="Arial Unicode MS"/>
          <w:bCs/>
          <w:lang w:eastAsia="fr-FR" w:bidi="he-IL"/>
        </w:rPr>
        <w:t xml:space="preserve">; </w:t>
      </w:r>
      <w:r w:rsidRPr="00C8701B">
        <w:rPr>
          <w:rFonts w:eastAsia="Arial Unicode MS"/>
          <w:bCs/>
          <w:lang w:eastAsia="fr-FR" w:bidi="he-IL"/>
        </w:rPr>
        <w:t>Keim</w:t>
      </w:r>
      <w:r>
        <w:rPr>
          <w:rFonts w:eastAsia="Arial Unicode MS"/>
          <w:bCs/>
          <w:lang w:eastAsia="fr-FR" w:bidi="he-IL"/>
        </w:rPr>
        <w:t xml:space="preserve">, </w:t>
      </w:r>
      <w:r w:rsidRPr="00DC4586">
        <w:rPr>
          <w:rStyle w:val="italicus"/>
        </w:rPr>
        <w:t>Geschichte Jesu von Nazara</w:t>
      </w:r>
      <w:r>
        <w:rPr>
          <w:rStyle w:val="italicus"/>
        </w:rPr>
        <w:t xml:space="preserve">, </w:t>
      </w:r>
      <w:r w:rsidRPr="00C8701B">
        <w:rPr>
          <w:rFonts w:eastAsia="Arial Unicode MS"/>
          <w:bCs/>
          <w:lang w:eastAsia="fr-FR" w:bidi="he-IL"/>
        </w:rPr>
        <w:t>1867-1872 </w:t>
      </w:r>
      <w:r>
        <w:rPr>
          <w:rFonts w:eastAsia="Arial Unicode MS"/>
          <w:bCs/>
          <w:lang w:eastAsia="fr-FR" w:bidi="he-IL"/>
        </w:rPr>
        <w:t xml:space="preserve">; </w:t>
      </w:r>
      <w:r w:rsidRPr="00C8701B">
        <w:rPr>
          <w:rFonts w:eastAsia="Arial Unicode MS"/>
          <w:bCs/>
          <w:lang w:eastAsia="fr-FR" w:bidi="he-IL"/>
        </w:rPr>
        <w:t>G. Volkmar</w:t>
      </w:r>
      <w:r>
        <w:rPr>
          <w:rFonts w:eastAsia="Arial Unicode MS"/>
          <w:bCs/>
          <w:lang w:eastAsia="fr-FR" w:bidi="he-IL"/>
        </w:rPr>
        <w:t xml:space="preserve">, </w:t>
      </w:r>
      <w:r w:rsidRPr="00DC4586">
        <w:rPr>
          <w:rStyle w:val="italicus"/>
        </w:rPr>
        <w:t>Jésus Nazarenus und die erste christliche Zeit nach den Schriftzeugen des ersten Jahrhunderts</w:t>
      </w:r>
      <w:r>
        <w:rPr>
          <w:rStyle w:val="italicus"/>
        </w:rPr>
        <w:t xml:space="preserve">, </w:t>
      </w:r>
      <w:r w:rsidRPr="00C8701B">
        <w:rPr>
          <w:rFonts w:eastAsia="Arial Unicode MS"/>
          <w:bCs/>
          <w:lang w:eastAsia="fr-FR" w:bidi="he-IL"/>
        </w:rPr>
        <w:t>Zurich 1881-1882.</w:t>
      </w:r>
    </w:p>
  </w:footnote>
  <w:footnote w:id="459">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Nous ne mentionnerons que pour mémoire les grossières conceptions du juif Salvador</w:t>
      </w:r>
      <w:r w:rsidRPr="00DC4586">
        <w:rPr>
          <w:rStyle w:val="italicus"/>
        </w:rPr>
        <w:t xml:space="preserve"> </w:t>
      </w:r>
      <w:r w:rsidRPr="00C8701B">
        <w:rPr>
          <w:rFonts w:eastAsia="Arial Unicode MS"/>
          <w:bCs/>
          <w:iCs/>
          <w:lang w:eastAsia="fr-FR" w:bidi="he-IL"/>
        </w:rPr>
        <w:t>(</w:t>
      </w:r>
      <w:r w:rsidRPr="00DC4586">
        <w:rPr>
          <w:rStyle w:val="italicus"/>
        </w:rPr>
        <w:t>Jésus-Christ et sa doctrine</w:t>
      </w:r>
      <w:r>
        <w:rPr>
          <w:rStyle w:val="italicus"/>
        </w:rPr>
        <w:t xml:space="preserve">, </w:t>
      </w:r>
      <w:r w:rsidRPr="00DC4586">
        <w:rPr>
          <w:rStyle w:val="italicus"/>
        </w:rPr>
        <w:t>histoire de la naissance de</w:t>
      </w:r>
      <w:r>
        <w:rPr>
          <w:rStyle w:val="italicus"/>
        </w:rPr>
        <w:t xml:space="preserve"> l’</w:t>
      </w:r>
      <w:r w:rsidRPr="00DC4586">
        <w:rPr>
          <w:rStyle w:val="italicus"/>
        </w:rPr>
        <w:t>Église...</w:t>
      </w:r>
      <w:r w:rsidRPr="00C8701B">
        <w:rPr>
          <w:rFonts w:eastAsia="Arial Unicode MS"/>
          <w:bCs/>
          <w:lang w:eastAsia="fr-FR" w:bidi="he-IL"/>
        </w:rPr>
        <w:t xml:space="preserve"> Paris 1838) de M. Jules Soury (</w:t>
      </w:r>
      <w:r w:rsidRPr="00DC4586">
        <w:rPr>
          <w:rStyle w:val="italicus"/>
        </w:rPr>
        <w:t>Jésus et les évangiles</w:t>
      </w:r>
      <w:r>
        <w:rPr>
          <w:rStyle w:val="italicus"/>
        </w:rPr>
        <w:t xml:space="preserve">, </w:t>
      </w:r>
      <w:r w:rsidRPr="00C8701B">
        <w:rPr>
          <w:rFonts w:eastAsia="Arial Unicode MS"/>
          <w:bCs/>
          <w:lang w:eastAsia="fr-FR" w:bidi="he-IL"/>
        </w:rPr>
        <w:t>Paris 1878) et de M. Havet</w:t>
      </w:r>
      <w:r w:rsidRPr="00DC4586">
        <w:rPr>
          <w:rStyle w:val="italicus"/>
        </w:rPr>
        <w:t xml:space="preserve"> </w:t>
      </w:r>
      <w:r w:rsidRPr="00C8701B">
        <w:rPr>
          <w:rFonts w:eastAsia="Arial Unicode MS"/>
          <w:bCs/>
          <w:iCs/>
          <w:lang w:eastAsia="fr-FR" w:bidi="he-IL"/>
        </w:rPr>
        <w:t>(</w:t>
      </w:r>
      <w:r w:rsidRPr="00DC4586">
        <w:rPr>
          <w:rStyle w:val="italicus"/>
        </w:rPr>
        <w:t>Revue des deux Mondes</w:t>
      </w:r>
      <w:r>
        <w:rPr>
          <w:rStyle w:val="italicus"/>
        </w:rPr>
        <w:t xml:space="preserve">, </w:t>
      </w:r>
      <w:r w:rsidRPr="00C8701B">
        <w:rPr>
          <w:rFonts w:eastAsia="Arial Unicode MS"/>
          <w:bCs/>
          <w:lang w:eastAsia="fr-FR" w:bidi="he-IL"/>
        </w:rPr>
        <w:t>1</w:t>
      </w:r>
      <w:r w:rsidRPr="00C8701B">
        <w:rPr>
          <w:rFonts w:eastAsia="Arial Unicode MS"/>
          <w:bCs/>
          <w:vertAlign w:val="superscript"/>
          <w:lang w:eastAsia="fr-FR" w:bidi="he-IL"/>
        </w:rPr>
        <w:t>er</w:t>
      </w:r>
      <w:r w:rsidRPr="00C8701B">
        <w:rPr>
          <w:rFonts w:eastAsia="Arial Unicode MS"/>
          <w:bCs/>
          <w:lang w:eastAsia="fr-FR" w:bidi="he-IL"/>
        </w:rPr>
        <w:t xml:space="preserve"> avril 1881 </w:t>
      </w:r>
      <w:r>
        <w:rPr>
          <w:rFonts w:eastAsia="Arial Unicode MS"/>
          <w:bCs/>
          <w:lang w:eastAsia="fr-FR" w:bidi="he-IL"/>
        </w:rPr>
        <w:t xml:space="preserve">; </w:t>
      </w:r>
      <w:r w:rsidRPr="00C8701B">
        <w:rPr>
          <w:rFonts w:eastAsia="Arial Unicode MS"/>
          <w:bCs/>
          <w:lang w:eastAsia="fr-FR" w:bidi="he-IL"/>
        </w:rPr>
        <w:t>puis</w:t>
      </w:r>
      <w:r w:rsidRPr="00DC4586">
        <w:rPr>
          <w:rStyle w:val="italicus"/>
        </w:rPr>
        <w:t xml:space="preserve"> Revue nouvelle</w:t>
      </w:r>
      <w:r>
        <w:rPr>
          <w:rFonts w:eastAsia="Arial Unicode MS"/>
          <w:bCs/>
          <w:lang w:eastAsia="fr-FR" w:bidi="he-IL"/>
        </w:rPr>
        <w:t xml:space="preserve">, </w:t>
      </w:r>
      <w:r w:rsidRPr="00C8701B">
        <w:rPr>
          <w:rFonts w:eastAsia="Arial Unicode MS"/>
          <w:bCs/>
          <w:lang w:eastAsia="fr-FR" w:bidi="he-IL"/>
        </w:rPr>
        <w:t>1881). Jésus aurait été</w:t>
      </w:r>
      <w:r>
        <w:rPr>
          <w:rFonts w:eastAsia="Arial Unicode MS"/>
          <w:bCs/>
          <w:lang w:eastAsia="fr-FR" w:bidi="he-IL"/>
        </w:rPr>
        <w:t xml:space="preserve">, </w:t>
      </w:r>
      <w:r w:rsidRPr="00C8701B">
        <w:rPr>
          <w:rFonts w:eastAsia="Arial Unicode MS"/>
          <w:bCs/>
          <w:lang w:eastAsia="fr-FR" w:bidi="he-IL"/>
        </w:rPr>
        <w:t>d’après le premier</w:t>
      </w:r>
      <w:r>
        <w:rPr>
          <w:rFonts w:eastAsia="Arial Unicode MS"/>
          <w:bCs/>
          <w:lang w:eastAsia="fr-FR" w:bidi="he-IL"/>
        </w:rPr>
        <w:t xml:space="preserve">, </w:t>
      </w:r>
      <w:r w:rsidRPr="00C8701B">
        <w:rPr>
          <w:rFonts w:eastAsia="Arial Unicode MS"/>
          <w:bCs/>
          <w:lang w:eastAsia="fr-FR" w:bidi="he-IL"/>
        </w:rPr>
        <w:t>un démagogue réformateur au sein du judaïsme </w:t>
      </w:r>
      <w:r>
        <w:rPr>
          <w:rFonts w:eastAsia="Arial Unicode MS"/>
          <w:bCs/>
          <w:lang w:eastAsia="fr-FR" w:bidi="he-IL"/>
        </w:rPr>
        <w:t xml:space="preserve">; </w:t>
      </w:r>
      <w:r w:rsidRPr="00C8701B">
        <w:rPr>
          <w:rFonts w:eastAsia="Arial Unicode MS"/>
          <w:bCs/>
          <w:lang w:eastAsia="fr-FR" w:bidi="he-IL"/>
        </w:rPr>
        <w:t>d’après le second</w:t>
      </w:r>
      <w:r>
        <w:rPr>
          <w:rFonts w:eastAsia="Arial Unicode MS"/>
          <w:bCs/>
          <w:lang w:eastAsia="fr-FR" w:bidi="he-IL"/>
        </w:rPr>
        <w:t xml:space="preserve">, </w:t>
      </w:r>
      <w:r w:rsidRPr="00C8701B">
        <w:rPr>
          <w:rFonts w:eastAsia="Arial Unicode MS"/>
          <w:bCs/>
          <w:lang w:eastAsia="fr-FR" w:bidi="he-IL"/>
        </w:rPr>
        <w:t>un simple halluciné</w:t>
      </w:r>
      <w:r>
        <w:rPr>
          <w:rFonts w:eastAsia="Arial Unicode MS"/>
          <w:bCs/>
          <w:lang w:eastAsia="fr-FR" w:bidi="he-IL"/>
        </w:rPr>
        <w:t xml:space="preserve"> ; </w:t>
      </w:r>
      <w:r w:rsidRPr="00C8701B">
        <w:rPr>
          <w:rFonts w:eastAsia="Arial Unicode MS"/>
          <w:bCs/>
          <w:lang w:eastAsia="fr-FR" w:bidi="he-IL"/>
        </w:rPr>
        <w:t>d’après le troisième</w:t>
      </w:r>
      <w:r>
        <w:rPr>
          <w:rFonts w:eastAsia="Arial Unicode MS"/>
          <w:bCs/>
          <w:lang w:eastAsia="fr-FR" w:bidi="he-IL"/>
        </w:rPr>
        <w:t xml:space="preserve">, </w:t>
      </w:r>
      <w:r w:rsidRPr="00C8701B">
        <w:rPr>
          <w:rFonts w:eastAsia="Arial Unicode MS"/>
          <w:bCs/>
          <w:lang w:eastAsia="fr-FR" w:bidi="he-IL"/>
        </w:rPr>
        <w:t>un être créé à peu près de toutes pièces par les évangélistes. Voyez nos</w:t>
      </w:r>
      <w:r w:rsidRPr="00DC4586">
        <w:rPr>
          <w:rStyle w:val="italicus"/>
        </w:rPr>
        <w:t xml:space="preserve"> Essais d’exégèse</w:t>
      </w:r>
      <w:r>
        <w:rPr>
          <w:rStyle w:val="italicus"/>
        </w:rPr>
        <w:t xml:space="preserve">, </w:t>
      </w:r>
      <w:r w:rsidRPr="00C8701B">
        <w:rPr>
          <w:rFonts w:eastAsia="Arial Unicode MS"/>
          <w:bCs/>
          <w:lang w:eastAsia="fr-FR" w:bidi="he-IL"/>
        </w:rPr>
        <w:t>Lyon</w:t>
      </w:r>
      <w:r>
        <w:rPr>
          <w:rFonts w:eastAsia="Arial Unicode MS"/>
          <w:bCs/>
          <w:lang w:eastAsia="fr-FR" w:bidi="he-IL"/>
        </w:rPr>
        <w:t xml:space="preserve">, </w:t>
      </w:r>
      <w:r w:rsidRPr="00C8701B">
        <w:rPr>
          <w:rFonts w:eastAsia="Arial Unicode MS"/>
          <w:bCs/>
          <w:lang w:eastAsia="fr-FR" w:bidi="he-IL"/>
        </w:rPr>
        <w:t>1884</w:t>
      </w:r>
      <w:r>
        <w:rPr>
          <w:rFonts w:eastAsia="Arial Unicode MS"/>
          <w:bCs/>
          <w:lang w:eastAsia="fr-FR" w:bidi="he-IL"/>
        </w:rPr>
        <w:t>, p. 129 et s</w:t>
      </w:r>
      <w:r w:rsidRPr="00C8701B">
        <w:rPr>
          <w:rFonts w:eastAsia="Arial Unicode MS"/>
          <w:bCs/>
          <w:lang w:eastAsia="fr-FR" w:bidi="he-IL"/>
        </w:rPr>
        <w:t>s.</w:t>
      </w:r>
    </w:p>
  </w:footnote>
  <w:footnote w:id="460">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les beaux ouvrages de M. Vigouroux</w:t>
      </w:r>
      <w:r>
        <w:rPr>
          <w:rFonts w:eastAsia="Arial Unicode MS"/>
          <w:bCs/>
          <w:lang w:eastAsia="fr-FR" w:bidi="he-IL"/>
        </w:rPr>
        <w:t>, de Mg</w:t>
      </w:r>
      <w:r w:rsidRPr="00C8701B">
        <w:rPr>
          <w:rFonts w:eastAsia="Arial Unicode MS"/>
          <w:bCs/>
          <w:lang w:eastAsia="fr-FR" w:bidi="he-IL"/>
        </w:rPr>
        <w:t>r Meignan</w:t>
      </w:r>
      <w:r>
        <w:rPr>
          <w:rFonts w:eastAsia="Arial Unicode MS"/>
          <w:bCs/>
          <w:lang w:eastAsia="fr-FR" w:bidi="he-IL"/>
        </w:rPr>
        <w:t xml:space="preserve">, </w:t>
      </w:r>
      <w:r w:rsidRPr="00C8701B">
        <w:rPr>
          <w:rFonts w:eastAsia="Arial Unicode MS"/>
          <w:bCs/>
          <w:lang w:eastAsia="fr-FR" w:bidi="he-IL"/>
        </w:rPr>
        <w:t>de M. Wallon</w:t>
      </w:r>
      <w:r>
        <w:rPr>
          <w:rFonts w:eastAsia="Arial Unicode MS"/>
          <w:bCs/>
          <w:lang w:eastAsia="fr-FR" w:bidi="he-IL"/>
        </w:rPr>
        <w:t xml:space="preserve">, </w:t>
      </w:r>
      <w:r w:rsidRPr="00C8701B">
        <w:rPr>
          <w:rFonts w:eastAsia="Arial Unicode MS"/>
          <w:bCs/>
          <w:lang w:eastAsia="fr-FR" w:bidi="he-IL"/>
        </w:rPr>
        <w:t>mentionnés à plusieurs reprises</w:t>
      </w:r>
      <w:r>
        <w:rPr>
          <w:rFonts w:eastAsia="Arial Unicode MS"/>
          <w:bCs/>
          <w:lang w:eastAsia="fr-FR" w:bidi="he-IL"/>
        </w:rPr>
        <w:t xml:space="preserve">, </w:t>
      </w:r>
      <w:r w:rsidRPr="00C8701B">
        <w:rPr>
          <w:rFonts w:eastAsia="Arial Unicode MS"/>
          <w:bCs/>
          <w:lang w:eastAsia="fr-FR" w:bidi="he-IL"/>
        </w:rPr>
        <w:t>et les traités de</w:t>
      </w:r>
      <w:r>
        <w:rPr>
          <w:rStyle w:val="italicus"/>
        </w:rPr>
        <w:t xml:space="preserve"> Vera</w:t>
      </w:r>
      <w:r w:rsidRPr="00DC4586">
        <w:rPr>
          <w:rStyle w:val="italicus"/>
        </w:rPr>
        <w:t xml:space="preserve"> Religi</w:t>
      </w:r>
      <w:r>
        <w:rPr>
          <w:rStyle w:val="italicus"/>
        </w:rPr>
        <w:t>ó</w:t>
      </w:r>
      <w:r w:rsidRPr="00DC4586">
        <w:rPr>
          <w:rStyle w:val="italicus"/>
        </w:rPr>
        <w:t>ne</w:t>
      </w:r>
      <w:r w:rsidRPr="00C8701B">
        <w:rPr>
          <w:rFonts w:eastAsia="Arial Unicode MS"/>
          <w:bCs/>
          <w:lang w:eastAsia="fr-FR" w:bidi="he-IL"/>
        </w:rPr>
        <w:t xml:space="preserve"> dans les cours dogmatiques.</w:t>
      </w:r>
    </w:p>
  </w:footnote>
  <w:footnote w:id="461">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notre</w:t>
      </w:r>
      <w:r w:rsidRPr="00DC4586">
        <w:rPr>
          <w:rStyle w:val="italicus"/>
        </w:rPr>
        <w:t xml:space="preserve"> Idée centrale de la Bible</w:t>
      </w:r>
      <w:r>
        <w:rPr>
          <w:rStyle w:val="italicus"/>
        </w:rPr>
        <w:t xml:space="preserve">, </w:t>
      </w:r>
      <w:r w:rsidRPr="00C8701B">
        <w:rPr>
          <w:rFonts w:eastAsia="Arial Unicode MS"/>
          <w:bCs/>
          <w:lang w:eastAsia="fr-FR" w:bidi="he-IL"/>
        </w:rPr>
        <w:t>Lyon 1888.</w:t>
      </w:r>
    </w:p>
  </w:footnote>
  <w:footnote w:id="462">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 xml:space="preserve">Le </w:t>
      </w:r>
      <w:r>
        <w:rPr>
          <w:rFonts w:eastAsia="Arial Unicode MS"/>
          <w:bCs/>
          <w:lang w:eastAsia="fr-FR" w:bidi="he-IL"/>
        </w:rPr>
        <w:t xml:space="preserve">Camus, </w:t>
      </w:r>
      <w:r w:rsidRPr="00DC4586">
        <w:rPr>
          <w:rStyle w:val="italicus"/>
        </w:rPr>
        <w:t>Vie de N.-S. Jésus-Christ</w:t>
      </w:r>
      <w:r>
        <w:rPr>
          <w:rStyle w:val="italicus"/>
        </w:rPr>
        <w:t xml:space="preserve">, </w:t>
      </w:r>
      <w:r>
        <w:rPr>
          <w:rFonts w:eastAsia="Arial Unicode MS"/>
          <w:bCs/>
          <w:lang w:eastAsia="fr-FR" w:bidi="he-IL"/>
        </w:rPr>
        <w:t xml:space="preserve">t. I, </w:t>
      </w:r>
      <w:r w:rsidRPr="00C8701B">
        <w:rPr>
          <w:rFonts w:eastAsia="Arial Unicode MS"/>
          <w:bCs/>
          <w:lang w:eastAsia="fr-FR" w:bidi="he-IL"/>
        </w:rPr>
        <w:t xml:space="preserve">p. </w:t>
      </w:r>
      <w:r>
        <w:rPr>
          <w:rFonts w:eastAsia="Arial Unicode MS"/>
          <w:bCs/>
          <w:lang w:eastAsia="fr-FR" w:bidi="he-IL"/>
        </w:rPr>
        <w:t>XIX</w:t>
      </w:r>
      <w:r w:rsidRPr="00C8701B">
        <w:rPr>
          <w:rFonts w:eastAsia="Arial Unicode MS"/>
          <w:bCs/>
          <w:lang w:eastAsia="fr-FR" w:bidi="he-IL"/>
        </w:rPr>
        <w:t xml:space="preserve"> de la 2</w:t>
      </w:r>
      <w:r w:rsidRPr="00C8701B">
        <w:rPr>
          <w:rFonts w:eastAsia="Arial Unicode MS"/>
          <w:bCs/>
          <w:vertAlign w:val="superscript"/>
          <w:lang w:eastAsia="fr-FR" w:bidi="he-IL"/>
        </w:rPr>
        <w:t>e</w:t>
      </w:r>
      <w:r w:rsidRPr="00C8701B">
        <w:rPr>
          <w:rFonts w:eastAsia="Arial Unicode MS"/>
          <w:bCs/>
          <w:lang w:eastAsia="fr-FR" w:bidi="he-IL"/>
        </w:rPr>
        <w:t xml:space="preserve"> édit. Voyez Mgr Meignan</w:t>
      </w:r>
      <w:r>
        <w:rPr>
          <w:rFonts w:eastAsia="Arial Unicode MS"/>
          <w:bCs/>
          <w:lang w:eastAsia="fr-FR" w:bidi="he-IL"/>
        </w:rPr>
        <w:t xml:space="preserve">, </w:t>
      </w:r>
      <w:r>
        <w:rPr>
          <w:rStyle w:val="italicus"/>
        </w:rPr>
        <w:t>loc</w:t>
      </w:r>
      <w:r w:rsidRPr="00DC4586">
        <w:rPr>
          <w:rStyle w:val="italicus"/>
        </w:rPr>
        <w:t>. cit.</w:t>
      </w:r>
      <w:r>
        <w:rPr>
          <w:rStyle w:val="italicus"/>
        </w:rPr>
        <w:t xml:space="preserve">, </w:t>
      </w:r>
      <w:r w:rsidRPr="00C8701B">
        <w:rPr>
          <w:rFonts w:eastAsia="Arial Unicode MS"/>
          <w:bCs/>
          <w:lang w:eastAsia="fr-FR" w:bidi="he-IL"/>
        </w:rPr>
        <w:t>p. 2</w:t>
      </w:r>
      <w:r>
        <w:rPr>
          <w:rFonts w:eastAsia="Arial Unicode MS"/>
          <w:bCs/>
          <w:lang w:eastAsia="fr-FR" w:bidi="he-IL"/>
        </w:rPr>
        <w:t> ??N</w:t>
      </w:r>
      <w:r w:rsidRPr="00C8701B">
        <w:rPr>
          <w:rFonts w:eastAsia="Arial Unicode MS"/>
          <w:bCs/>
          <w:lang w:eastAsia="fr-FR" w:bidi="he-IL"/>
        </w:rPr>
        <w:t>.</w:t>
      </w:r>
    </w:p>
  </w:footnote>
  <w:footnote w:id="463">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Channing</w:t>
      </w:r>
      <w:r>
        <w:rPr>
          <w:rFonts w:eastAsia="Arial Unicode MS"/>
          <w:bCs/>
          <w:lang w:eastAsia="fr-FR" w:bidi="he-IL"/>
        </w:rPr>
        <w:t xml:space="preserve">, </w:t>
      </w:r>
      <w:r w:rsidRPr="00DC4586">
        <w:rPr>
          <w:rStyle w:val="italicus"/>
        </w:rPr>
        <w:t>Essai</w:t>
      </w:r>
      <w:r>
        <w:rPr>
          <w:rStyle w:val="italicus"/>
        </w:rPr>
        <w:t xml:space="preserve"> </w:t>
      </w:r>
      <w:r w:rsidRPr="00DC4586">
        <w:rPr>
          <w:rStyle w:val="italicus"/>
        </w:rPr>
        <w:t>sur le caractère du Christ</w:t>
      </w:r>
      <w:r>
        <w:rPr>
          <w:rFonts w:eastAsia="Arial Unicode MS"/>
          <w:bCs/>
          <w:lang w:eastAsia="fr-FR" w:bidi="he-IL"/>
        </w:rPr>
        <w:t xml:space="preserve">, </w:t>
      </w:r>
      <w:r w:rsidRPr="00C8701B">
        <w:rPr>
          <w:rFonts w:eastAsia="Arial Unicode MS"/>
          <w:bCs/>
          <w:lang w:eastAsia="fr-FR" w:bidi="he-IL"/>
        </w:rPr>
        <w:t>p. 194.</w:t>
      </w:r>
    </w:p>
  </w:footnote>
  <w:footnote w:id="464">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Goethe</w:t>
      </w:r>
      <w:r>
        <w:rPr>
          <w:rFonts w:eastAsia="Arial Unicode MS"/>
          <w:bCs/>
          <w:lang w:eastAsia="fr-FR" w:bidi="he-IL"/>
        </w:rPr>
        <w:t xml:space="preserve">, </w:t>
      </w:r>
      <w:r w:rsidRPr="00DC4586">
        <w:rPr>
          <w:rStyle w:val="italicus"/>
        </w:rPr>
        <w:t>Entretiens avec Eckermann</w:t>
      </w:r>
      <w:r>
        <w:rPr>
          <w:rStyle w:val="italicus"/>
        </w:rPr>
        <w:t xml:space="preserve">, </w:t>
      </w:r>
      <w:r w:rsidRPr="00C8701B">
        <w:rPr>
          <w:rFonts w:eastAsia="Arial Unicode MS"/>
          <w:bCs/>
          <w:lang w:eastAsia="fr-FR" w:bidi="he-IL"/>
        </w:rPr>
        <w:t>t. III</w:t>
      </w:r>
      <w:r>
        <w:rPr>
          <w:rFonts w:eastAsia="Arial Unicode MS"/>
          <w:bCs/>
          <w:lang w:eastAsia="fr-FR" w:bidi="he-IL"/>
        </w:rPr>
        <w:t xml:space="preserve">, </w:t>
      </w:r>
      <w:r w:rsidRPr="00C8701B">
        <w:rPr>
          <w:rFonts w:eastAsia="Arial Unicode MS"/>
          <w:bCs/>
          <w:lang w:eastAsia="fr-FR" w:bidi="he-IL"/>
        </w:rPr>
        <w:t>p. 371.</w:t>
      </w:r>
    </w:p>
  </w:footnote>
  <w:footnote w:id="465">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Seeley</w:t>
      </w:r>
      <w:r>
        <w:rPr>
          <w:rFonts w:eastAsia="Arial Unicode MS"/>
          <w:bCs/>
          <w:lang w:eastAsia="fr-FR" w:bidi="he-IL"/>
        </w:rPr>
        <w:t xml:space="preserve">, </w:t>
      </w:r>
      <w:r w:rsidRPr="00DC4586">
        <w:rPr>
          <w:rStyle w:val="italicus"/>
        </w:rPr>
        <w:t>Ecce Homo</w:t>
      </w:r>
      <w:r>
        <w:rPr>
          <w:rStyle w:val="italicus"/>
        </w:rPr>
        <w:t xml:space="preserve">, </w:t>
      </w:r>
      <w:r w:rsidRPr="00C8701B">
        <w:rPr>
          <w:rFonts w:eastAsia="Arial Unicode MS"/>
          <w:bCs/>
          <w:lang w:eastAsia="fr-FR" w:bidi="he-IL"/>
        </w:rPr>
        <w:t>cité par Mgr Bougaud</w:t>
      </w:r>
      <w:r>
        <w:rPr>
          <w:rFonts w:eastAsia="Arial Unicode MS"/>
          <w:bCs/>
          <w:lang w:eastAsia="fr-FR" w:bidi="he-IL"/>
        </w:rPr>
        <w:t xml:space="preserve">, </w:t>
      </w:r>
      <w:r w:rsidRPr="00DC4586">
        <w:rPr>
          <w:rStyle w:val="italicus"/>
        </w:rPr>
        <w:t>Jésus-Christ</w:t>
      </w:r>
      <w:r>
        <w:rPr>
          <w:rStyle w:val="italicus"/>
        </w:rPr>
        <w:t xml:space="preserve">, </w:t>
      </w:r>
      <w:r>
        <w:rPr>
          <w:rFonts w:eastAsia="Arial Unicode MS"/>
          <w:bCs/>
          <w:lang w:eastAsia="fr-FR" w:bidi="he-IL"/>
        </w:rPr>
        <w:t>p. 131-132 de la 4</w:t>
      </w:r>
      <w:r w:rsidRPr="00F97C5C">
        <w:rPr>
          <w:rFonts w:eastAsia="Arial Unicode MS"/>
          <w:bCs/>
          <w:vertAlign w:val="superscript"/>
          <w:lang w:eastAsia="fr-FR" w:bidi="he-IL"/>
        </w:rPr>
        <w:t>e</w:t>
      </w:r>
      <w:r>
        <w:rPr>
          <w:rFonts w:eastAsia="Arial Unicode MS"/>
          <w:bCs/>
          <w:lang w:eastAsia="fr-FR" w:bidi="he-IL"/>
        </w:rPr>
        <w:t xml:space="preserve"> </w:t>
      </w:r>
      <w:r w:rsidRPr="00C8701B">
        <w:rPr>
          <w:rFonts w:eastAsia="Arial Unicode MS"/>
          <w:bCs/>
          <w:lang w:eastAsia="fr-FR" w:bidi="he-IL"/>
        </w:rPr>
        <w:t>édition.</w:t>
      </w:r>
    </w:p>
  </w:footnote>
  <w:footnote w:id="466">
    <w:p w:rsidR="00941AA6" w:rsidRPr="007E5BA5" w:rsidRDefault="00941AA6">
      <w:pPr>
        <w:pStyle w:val="Notedebasdepage"/>
        <w:rPr>
          <w:lang w:val="de-AT"/>
        </w:rPr>
      </w:pPr>
      <w:r w:rsidRPr="00C406FF">
        <w:rPr>
          <w:rStyle w:val="Appelnotedebasdep"/>
        </w:rPr>
        <w:footnoteRef/>
      </w:r>
      <w:r w:rsidRPr="00C8701B">
        <w:rPr>
          <w:rFonts w:eastAsia="Arial Unicode MS"/>
          <w:bCs/>
          <w:lang w:val="el-GR" w:eastAsia="fr-FR" w:bidi="he-IL"/>
        </w:rPr>
        <w:t xml:space="preserve"> </w:t>
      </w:r>
      <w:r w:rsidRPr="000819BA">
        <w:rPr>
          <w:rFonts w:eastAsia="Arial Unicode MS"/>
          <w:bCs/>
          <w:lang w:val="de-AT" w:eastAsia="fr-FR" w:bidi="he-IL"/>
        </w:rPr>
        <w:t xml:space="preserve">Niebuhr, </w:t>
      </w:r>
      <w:r>
        <w:rPr>
          <w:rStyle w:val="italicus"/>
          <w:lang w:val="de-AT"/>
        </w:rPr>
        <w:t>Lebensnachricht</w:t>
      </w:r>
      <w:r w:rsidRPr="000819BA">
        <w:rPr>
          <w:rStyle w:val="italicus"/>
          <w:lang w:val="de-AT"/>
        </w:rPr>
        <w:t xml:space="preserve">., </w:t>
      </w:r>
      <w:r w:rsidRPr="000819BA">
        <w:rPr>
          <w:rFonts w:eastAsia="Arial Unicode MS"/>
          <w:bCs/>
          <w:lang w:val="de-AT" w:eastAsia="fr-FR" w:bidi="he-IL"/>
        </w:rPr>
        <w:t>t. I, p. 470.</w:t>
      </w:r>
    </w:p>
  </w:footnote>
  <w:footnote w:id="467">
    <w:p w:rsidR="00941AA6" w:rsidRPr="007E5BA5" w:rsidRDefault="00941AA6">
      <w:pPr>
        <w:pStyle w:val="Notedebasdepage"/>
        <w:rPr>
          <w:lang w:val="de-AT"/>
        </w:rPr>
      </w:pPr>
      <w:r w:rsidRPr="00C406FF">
        <w:rPr>
          <w:rStyle w:val="Appelnotedebasdep"/>
        </w:rPr>
        <w:footnoteRef/>
      </w:r>
      <w:r w:rsidRPr="000819BA">
        <w:rPr>
          <w:rFonts w:eastAsia="Arial Unicode MS"/>
          <w:bCs/>
          <w:lang w:val="de-AT" w:eastAsia="fr-FR" w:bidi="he-IL"/>
        </w:rPr>
        <w:t xml:space="preserve"> Strauss, cité par</w:t>
      </w:r>
      <w:r>
        <w:rPr>
          <w:rFonts w:eastAsia="Arial Unicode MS"/>
          <w:bCs/>
          <w:lang w:val="de-AT" w:eastAsia="fr-FR" w:bidi="he-IL"/>
        </w:rPr>
        <w:t xml:space="preserve"> O.</w:t>
      </w:r>
      <w:r w:rsidRPr="000819BA">
        <w:rPr>
          <w:rFonts w:eastAsia="Arial Unicode MS"/>
          <w:bCs/>
          <w:lang w:val="de-AT" w:eastAsia="fr-FR" w:bidi="he-IL"/>
        </w:rPr>
        <w:t xml:space="preserve"> Zœckler, </w:t>
      </w:r>
      <w:r w:rsidRPr="000819BA">
        <w:rPr>
          <w:rStyle w:val="italicus"/>
          <w:lang w:val="de-AT"/>
        </w:rPr>
        <w:t xml:space="preserve">Handbuch der theologischen Wissenschaften, </w:t>
      </w:r>
      <w:r w:rsidRPr="000819BA">
        <w:rPr>
          <w:rFonts w:eastAsia="Arial Unicode MS"/>
          <w:bCs/>
          <w:lang w:val="de-AT" w:eastAsia="fr-FR" w:bidi="he-IL"/>
        </w:rPr>
        <w:t xml:space="preserve">t. I, </w:t>
      </w:r>
      <w:r>
        <w:rPr>
          <w:rFonts w:eastAsia="Arial Unicode MS"/>
          <w:bCs/>
          <w:lang w:val="de-AT" w:eastAsia="fr-FR" w:bidi="he-IL"/>
        </w:rPr>
        <w:t>p. 467 de la 1</w:t>
      </w:r>
      <w:r w:rsidRPr="001E41D1">
        <w:rPr>
          <w:rFonts w:eastAsia="Arial Unicode MS"/>
          <w:bCs/>
          <w:vertAlign w:val="superscript"/>
          <w:lang w:val="de-AT" w:eastAsia="fr-FR" w:bidi="he-IL"/>
        </w:rPr>
        <w:t>re</w:t>
      </w:r>
      <w:r w:rsidRPr="001E41D1">
        <w:rPr>
          <w:rFonts w:eastAsia="Arial Unicode MS"/>
          <w:bCs/>
          <w:lang w:val="de-AT" w:eastAsia="fr-FR" w:bidi="he-IL"/>
        </w:rPr>
        <w:t xml:space="preserve"> édition.</w:t>
      </w:r>
    </w:p>
  </w:footnote>
  <w:footnote w:id="468">
    <w:p w:rsidR="00941AA6" w:rsidRPr="00933C60" w:rsidRDefault="00941AA6">
      <w:pPr>
        <w:pStyle w:val="Notedebasdepage"/>
      </w:pPr>
      <w:r w:rsidRPr="00C406FF">
        <w:rPr>
          <w:rStyle w:val="Appelnotedebasdep"/>
        </w:rPr>
        <w:footnoteRef/>
      </w:r>
      <w:r>
        <w:rPr>
          <w:rFonts w:eastAsia="Arial Unicode MS"/>
          <w:bCs/>
          <w:lang w:eastAsia="fr-FR" w:bidi="he-IL"/>
        </w:rPr>
        <w:t xml:space="preserve"> </w:t>
      </w:r>
      <w:r w:rsidRPr="00C8701B">
        <w:rPr>
          <w:rFonts w:eastAsia="Arial Unicode MS"/>
          <w:bCs/>
          <w:lang w:eastAsia="fr-FR" w:bidi="he-IL"/>
        </w:rPr>
        <w:t>Mgr Bougaud</w:t>
      </w:r>
      <w:r>
        <w:rPr>
          <w:rFonts w:eastAsia="Arial Unicode MS"/>
          <w:bCs/>
          <w:lang w:eastAsia="fr-FR" w:bidi="he-IL"/>
        </w:rPr>
        <w:t xml:space="preserve">, </w:t>
      </w:r>
      <w:r w:rsidRPr="00DC4586">
        <w:rPr>
          <w:rStyle w:val="italicus"/>
        </w:rPr>
        <w:t>Jésus-Christ</w:t>
      </w:r>
      <w:r>
        <w:rPr>
          <w:rStyle w:val="italicus"/>
        </w:rPr>
        <w:t xml:space="preserve">, </w:t>
      </w:r>
      <w:r w:rsidRPr="00C8701B">
        <w:rPr>
          <w:rFonts w:eastAsia="Arial Unicode MS"/>
          <w:bCs/>
          <w:lang w:eastAsia="fr-FR" w:bidi="he-IL"/>
        </w:rPr>
        <w:t>p. 602-603 de la 4</w:t>
      </w:r>
      <w:r w:rsidRPr="00C8701B">
        <w:rPr>
          <w:rFonts w:eastAsia="Arial Unicode MS"/>
          <w:bCs/>
          <w:vertAlign w:val="superscript"/>
          <w:lang w:eastAsia="fr-FR" w:bidi="he-IL"/>
        </w:rPr>
        <w:t>e</w:t>
      </w:r>
      <w:r w:rsidRPr="00C8701B">
        <w:rPr>
          <w:rFonts w:eastAsia="Arial Unicode MS"/>
          <w:bCs/>
          <w:lang w:eastAsia="fr-FR" w:bidi="he-IL"/>
        </w:rPr>
        <w:t xml:space="preserve"> édition.</w:t>
      </w:r>
    </w:p>
  </w:footnote>
  <w:footnote w:id="469">
    <w:p w:rsidR="00941AA6" w:rsidRPr="00933C60" w:rsidRDefault="00941AA6">
      <w:pPr>
        <w:pStyle w:val="Notedebasdepage"/>
      </w:pPr>
      <w:r w:rsidRPr="00C406FF">
        <w:rPr>
          <w:rStyle w:val="Appelnotedebasdep"/>
        </w:rPr>
        <w:footnoteRef/>
      </w:r>
      <w:r>
        <w:rPr>
          <w:rFonts w:eastAsia="Arial Unicode MS"/>
          <w:bCs/>
          <w:lang w:eastAsia="fr-FR" w:bidi="he-IL"/>
        </w:rPr>
        <w:t xml:space="preserve"> </w:t>
      </w:r>
      <w:r w:rsidRPr="00C8701B">
        <w:rPr>
          <w:rFonts w:eastAsia="Arial Unicode MS"/>
          <w:bCs/>
          <w:lang w:val="el-GR" w:eastAsia="fr-FR" w:bidi="he-IL"/>
        </w:rPr>
        <w:t xml:space="preserve">Ε. </w:t>
      </w:r>
      <w:r w:rsidRPr="00C8701B">
        <w:rPr>
          <w:rFonts w:eastAsia="Arial Unicode MS"/>
          <w:bCs/>
          <w:lang w:eastAsia="fr-FR" w:bidi="he-IL"/>
        </w:rPr>
        <w:t>Reuss</w:t>
      </w:r>
      <w:r>
        <w:rPr>
          <w:rStyle w:val="italicus"/>
        </w:rPr>
        <w:t xml:space="preserve">, </w:t>
      </w:r>
      <w:r w:rsidRPr="00DC4586">
        <w:rPr>
          <w:rStyle w:val="italicus"/>
        </w:rPr>
        <w:t>Histoire évangélique : S</w:t>
      </w:r>
      <w:r>
        <w:rPr>
          <w:rStyle w:val="italicus"/>
        </w:rPr>
        <w:t>ynopse des trois premiers évangil</w:t>
      </w:r>
      <w:r w:rsidRPr="00DC4586">
        <w:rPr>
          <w:rStyle w:val="italicus"/>
        </w:rPr>
        <w:t>es</w:t>
      </w:r>
      <w:r>
        <w:rPr>
          <w:rStyle w:val="italicus"/>
        </w:rPr>
        <w:t xml:space="preserve">, </w:t>
      </w:r>
      <w:r w:rsidRPr="00C8701B">
        <w:rPr>
          <w:rFonts w:eastAsia="Arial Unicode MS"/>
          <w:bCs/>
          <w:lang w:eastAsia="fr-FR" w:bidi="he-IL"/>
        </w:rPr>
        <w:t>Paris</w:t>
      </w:r>
      <w:r>
        <w:rPr>
          <w:rFonts w:eastAsia="Arial Unicode MS"/>
          <w:bCs/>
          <w:lang w:eastAsia="fr-FR" w:bidi="he-IL"/>
        </w:rPr>
        <w:t xml:space="preserve">, 1876, </w:t>
      </w:r>
      <w:r w:rsidRPr="00C8701B">
        <w:rPr>
          <w:rFonts w:eastAsia="Arial Unicode MS"/>
          <w:bCs/>
          <w:lang w:eastAsia="fr-FR" w:bidi="he-IL"/>
        </w:rPr>
        <w:t>p. 108-111.</w:t>
      </w:r>
    </w:p>
  </w:footnote>
  <w:footnote w:id="470">
    <w:p w:rsidR="00941AA6" w:rsidRDefault="00941AA6">
      <w:pPr>
        <w:pStyle w:val="Notedebasdepage"/>
        <w:rPr>
          <w:rFonts w:eastAsia="Arial Unicode MS"/>
          <w:bCs/>
          <w:lang w:eastAsia="fr-FR" w:bidi="he-IL"/>
        </w:rPr>
      </w:pPr>
      <w:r w:rsidRPr="00C406FF">
        <w:rPr>
          <w:rStyle w:val="Appelnotedebasdep"/>
        </w:rPr>
        <w:footnoteRef/>
      </w:r>
      <w:r w:rsidRPr="00C8701B">
        <w:rPr>
          <w:rFonts w:eastAsia="Arial Unicode MS"/>
          <w:bCs/>
          <w:lang w:eastAsia="fr-FR" w:bidi="he-IL"/>
        </w:rPr>
        <w:t xml:space="preserve"> Il ne faut pas oublier les heureux résultats produits par la violence et la multiplicité des efforts du rationalisme contre les évangiles </w:t>
      </w:r>
      <w:r>
        <w:rPr>
          <w:rFonts w:eastAsia="Arial Unicode MS"/>
          <w:bCs/>
          <w:lang w:eastAsia="fr-FR" w:bidi="he-IL"/>
        </w:rPr>
        <w:t xml:space="preserve">; </w:t>
      </w:r>
      <w:r w:rsidRPr="00C8701B">
        <w:rPr>
          <w:rFonts w:eastAsia="Arial Unicode MS"/>
          <w:bCs/>
          <w:lang w:eastAsia="fr-FR" w:bidi="he-IL"/>
        </w:rPr>
        <w:t>le suivant</w:t>
      </w:r>
      <w:r>
        <w:rPr>
          <w:rFonts w:eastAsia="Arial Unicode MS"/>
          <w:bCs/>
          <w:lang w:eastAsia="fr-FR" w:bidi="he-IL"/>
        </w:rPr>
        <w:t xml:space="preserve">, </w:t>
      </w:r>
      <w:r w:rsidRPr="00C8701B">
        <w:rPr>
          <w:rFonts w:eastAsia="Arial Unicode MS"/>
          <w:bCs/>
          <w:lang w:eastAsia="fr-FR" w:bidi="he-IL"/>
        </w:rPr>
        <w:t xml:space="preserve">par exemple : </w:t>
      </w:r>
    </w:p>
    <w:p w:rsidR="00941AA6" w:rsidRDefault="00941AA6">
      <w:pPr>
        <w:pStyle w:val="Notedebasdepage"/>
        <w:rPr>
          <w:rFonts w:eastAsia="Arial Unicode MS"/>
          <w:bCs/>
          <w:lang w:eastAsia="fr-FR" w:bidi="he-IL"/>
        </w:rPr>
      </w:pPr>
      <w:r>
        <w:rPr>
          <w:rFonts w:eastAsia="Arial Unicode MS"/>
          <w:bCs/>
          <w:lang w:eastAsia="fr-FR" w:bidi="he-IL"/>
        </w:rPr>
        <w:t>« </w:t>
      </w:r>
      <w:r w:rsidRPr="00C8701B">
        <w:rPr>
          <w:rFonts w:eastAsia="Arial Unicode MS"/>
          <w:bCs/>
          <w:lang w:eastAsia="fr-FR" w:bidi="he-IL"/>
        </w:rPr>
        <w:t>C’est ici qu’il faut admirer</w:t>
      </w:r>
      <w:r>
        <w:rPr>
          <w:rFonts w:eastAsia="Arial Unicode MS"/>
          <w:bCs/>
          <w:lang w:eastAsia="fr-FR" w:bidi="he-IL"/>
        </w:rPr>
        <w:t xml:space="preserve"> </w:t>
      </w:r>
      <w:r w:rsidRPr="00C8701B">
        <w:rPr>
          <w:rFonts w:eastAsia="Arial Unicode MS"/>
          <w:bCs/>
          <w:lang w:eastAsia="fr-FR" w:bidi="he-IL"/>
        </w:rPr>
        <w:t>cette sainte nouveauté des choses antiques</w:t>
      </w:r>
      <w:r>
        <w:rPr>
          <w:rFonts w:eastAsia="Arial Unicode MS"/>
          <w:bCs/>
          <w:lang w:eastAsia="fr-FR" w:bidi="he-IL"/>
        </w:rPr>
        <w:t xml:space="preserve">, </w:t>
      </w:r>
      <w:r w:rsidRPr="00C8701B">
        <w:rPr>
          <w:rFonts w:eastAsia="Arial Unicode MS"/>
          <w:bCs/>
          <w:lang w:eastAsia="fr-FR" w:bidi="he-IL"/>
        </w:rPr>
        <w:t>ce mouvement</w:t>
      </w:r>
      <w:r>
        <w:rPr>
          <w:rFonts w:eastAsia="Arial Unicode MS"/>
          <w:bCs/>
          <w:lang w:eastAsia="fr-FR" w:bidi="he-IL"/>
        </w:rPr>
        <w:t xml:space="preserve">, </w:t>
      </w:r>
      <w:r w:rsidRPr="00C8701B">
        <w:rPr>
          <w:rFonts w:eastAsia="Arial Unicode MS"/>
          <w:bCs/>
          <w:lang w:eastAsia="fr-FR" w:bidi="he-IL"/>
        </w:rPr>
        <w:t>harmonieux qui amène</w:t>
      </w:r>
      <w:r w:rsidRPr="00C8701B">
        <w:rPr>
          <w:rFonts w:eastAsia="Arial Unicode MS"/>
          <w:lang w:eastAsia="fr-FR" w:bidi="he-IL"/>
        </w:rPr>
        <w:t xml:space="preserve"> à</w:t>
      </w:r>
      <w:r w:rsidRPr="00C8701B">
        <w:rPr>
          <w:rFonts w:eastAsia="Arial Unicode MS"/>
          <w:bCs/>
          <w:lang w:eastAsia="fr-FR" w:bidi="he-IL"/>
        </w:rPr>
        <w:t xml:space="preserve"> chaque siècle le genre de preuves qui lui convient. Autrefois</w:t>
      </w:r>
      <w:r>
        <w:rPr>
          <w:rFonts w:eastAsia="Arial Unicode MS"/>
          <w:bCs/>
          <w:lang w:eastAsia="fr-FR" w:bidi="he-IL"/>
        </w:rPr>
        <w:t xml:space="preserve">, </w:t>
      </w:r>
      <w:r w:rsidRPr="00C8701B">
        <w:rPr>
          <w:rFonts w:eastAsia="Arial Unicode MS"/>
          <w:bCs/>
          <w:lang w:eastAsia="fr-FR" w:bidi="he-IL"/>
        </w:rPr>
        <w:t>on ne voyait en Jésus-Christ que le Dieu incarné. Les beautés humaines de son esprit</w:t>
      </w:r>
      <w:r>
        <w:rPr>
          <w:rFonts w:eastAsia="Arial Unicode MS"/>
          <w:bCs/>
          <w:lang w:eastAsia="fr-FR" w:bidi="he-IL"/>
        </w:rPr>
        <w:t xml:space="preserve">, </w:t>
      </w:r>
      <w:r w:rsidRPr="00C8701B">
        <w:rPr>
          <w:rFonts w:eastAsia="Arial Unicode MS"/>
          <w:bCs/>
          <w:lang w:eastAsia="fr-FR" w:bidi="he-IL"/>
        </w:rPr>
        <w:t>de son cœur</w:t>
      </w:r>
      <w:r>
        <w:rPr>
          <w:rFonts w:eastAsia="Arial Unicode MS"/>
          <w:bCs/>
          <w:lang w:eastAsia="fr-FR" w:bidi="he-IL"/>
        </w:rPr>
        <w:t xml:space="preserve">, </w:t>
      </w:r>
      <w:r w:rsidRPr="00C8701B">
        <w:rPr>
          <w:rFonts w:eastAsia="Arial Unicode MS"/>
          <w:bCs/>
          <w:lang w:eastAsia="fr-FR" w:bidi="he-IL"/>
        </w:rPr>
        <w:t>de son caractère</w:t>
      </w:r>
      <w:r>
        <w:rPr>
          <w:rFonts w:eastAsia="Arial Unicode MS"/>
          <w:bCs/>
          <w:lang w:eastAsia="fr-FR" w:bidi="he-IL"/>
        </w:rPr>
        <w:t>, se perdaient dans les s</w:t>
      </w:r>
      <w:r w:rsidRPr="00C8701B">
        <w:rPr>
          <w:rFonts w:eastAsia="Arial Unicode MS"/>
          <w:bCs/>
          <w:lang w:eastAsia="fr-FR" w:bidi="he-IL"/>
        </w:rPr>
        <w:t>plendeurs de sa divinité. Voilà qu’aujourd’hui on écarte du doigt ces auréoles</w:t>
      </w:r>
      <w:r>
        <w:rPr>
          <w:rFonts w:eastAsia="Arial Unicode MS"/>
          <w:bCs/>
          <w:lang w:eastAsia="fr-FR" w:bidi="he-IL"/>
        </w:rPr>
        <w:t xml:space="preserve">, </w:t>
      </w:r>
      <w:r w:rsidRPr="00C8701B">
        <w:rPr>
          <w:rFonts w:eastAsia="Arial Unicode MS"/>
          <w:bCs/>
          <w:lang w:eastAsia="fr-FR" w:bidi="he-IL"/>
        </w:rPr>
        <w:t>ces nuages d’encens. Une foi affaiblie</w:t>
      </w:r>
      <w:r>
        <w:rPr>
          <w:rFonts w:eastAsia="Arial Unicode MS"/>
          <w:bCs/>
          <w:lang w:eastAsia="fr-FR" w:bidi="he-IL"/>
        </w:rPr>
        <w:t xml:space="preserve">, </w:t>
      </w:r>
      <w:r w:rsidRPr="00C8701B">
        <w:rPr>
          <w:rFonts w:eastAsia="Arial Unicode MS"/>
          <w:bCs/>
          <w:lang w:eastAsia="fr-FR" w:bidi="he-IL"/>
        </w:rPr>
        <w:t xml:space="preserve">une critique irrévérencieuse ne veulent plus voir en Jésus-Christ que l’homme. Vous croyez que </w:t>
      </w:r>
      <w:r>
        <w:rPr>
          <w:rFonts w:eastAsia="Arial Unicode MS"/>
          <w:bCs/>
          <w:lang w:eastAsia="fr-FR" w:bidi="he-IL"/>
        </w:rPr>
        <w:t>Jésus-Christ</w:t>
      </w:r>
      <w:r w:rsidRPr="00C8701B">
        <w:rPr>
          <w:rFonts w:eastAsia="Arial Unicode MS"/>
          <w:bCs/>
          <w:lang w:eastAsia="fr-FR" w:bidi="he-IL"/>
        </w:rPr>
        <w:t xml:space="preserve"> va disparaître. Il apparaît plus beau. Nul siècle n’a connu la beauté humaine de Jésus-Christ comme le nôtre. Cherchez dans Bossuet </w:t>
      </w:r>
      <w:r>
        <w:rPr>
          <w:rFonts w:eastAsia="Arial Unicode MS"/>
          <w:bCs/>
          <w:lang w:eastAsia="fr-FR" w:bidi="he-IL"/>
        </w:rPr>
        <w:t xml:space="preserve">; </w:t>
      </w:r>
      <w:r w:rsidRPr="00C8701B">
        <w:rPr>
          <w:rFonts w:eastAsia="Arial Unicode MS"/>
          <w:bCs/>
          <w:lang w:eastAsia="fr-FR" w:bidi="he-IL"/>
        </w:rPr>
        <w:t>il la soupçonne à peine. Cherchez dans S. Thomas</w:t>
      </w:r>
      <w:r>
        <w:rPr>
          <w:rFonts w:eastAsia="Arial Unicode MS"/>
          <w:bCs/>
          <w:lang w:eastAsia="fr-FR" w:bidi="he-IL"/>
        </w:rPr>
        <w:t xml:space="preserve">, </w:t>
      </w:r>
      <w:r w:rsidRPr="00C8701B">
        <w:rPr>
          <w:rFonts w:eastAsia="Arial Unicode MS"/>
          <w:bCs/>
          <w:lang w:eastAsia="fr-FR" w:bidi="he-IL"/>
        </w:rPr>
        <w:t>dans S. Augustin</w:t>
      </w:r>
      <w:r>
        <w:rPr>
          <w:rFonts w:eastAsia="Arial Unicode MS"/>
          <w:bCs/>
          <w:lang w:eastAsia="fr-FR" w:bidi="he-IL"/>
        </w:rPr>
        <w:t xml:space="preserve">, </w:t>
      </w:r>
      <w:r w:rsidRPr="00C8701B">
        <w:rPr>
          <w:rFonts w:eastAsia="Arial Unicode MS"/>
          <w:bCs/>
          <w:lang w:eastAsia="fr-FR" w:bidi="he-IL"/>
        </w:rPr>
        <w:t>dans les anciens </w:t>
      </w:r>
      <w:r>
        <w:rPr>
          <w:rFonts w:eastAsia="Arial Unicode MS"/>
          <w:bCs/>
          <w:lang w:eastAsia="fr-FR" w:bidi="he-IL"/>
        </w:rPr>
        <w:t xml:space="preserve">; </w:t>
      </w:r>
      <w:r w:rsidRPr="00C8701B">
        <w:rPr>
          <w:rFonts w:eastAsia="Arial Unicode MS"/>
          <w:bCs/>
          <w:lang w:eastAsia="fr-FR" w:bidi="he-IL"/>
        </w:rPr>
        <w:t>vous trouverez quelques pieux co</w:t>
      </w:r>
      <w:r>
        <w:rPr>
          <w:rFonts w:eastAsia="Arial Unicode MS"/>
          <w:bCs/>
          <w:lang w:eastAsia="fr-FR" w:bidi="he-IL"/>
        </w:rPr>
        <w:t>m</w:t>
      </w:r>
      <w:r w:rsidRPr="00C8701B">
        <w:rPr>
          <w:rFonts w:eastAsia="Arial Unicode MS"/>
          <w:bCs/>
          <w:lang w:eastAsia="fr-FR" w:bidi="he-IL"/>
        </w:rPr>
        <w:t>mentaires</w:t>
      </w:r>
      <w:r>
        <w:rPr>
          <w:rFonts w:eastAsia="Arial Unicode MS"/>
          <w:bCs/>
          <w:lang w:eastAsia="fr-FR" w:bidi="he-IL"/>
        </w:rPr>
        <w:t xml:space="preserve">, </w:t>
      </w:r>
      <w:r w:rsidRPr="00C8701B">
        <w:rPr>
          <w:rFonts w:eastAsia="Arial Unicode MS"/>
          <w:bCs/>
          <w:lang w:eastAsia="fr-FR" w:bidi="he-IL"/>
        </w:rPr>
        <w:t>quelques effusions mystiques sur cette parole : « Il a été le plus beau des enfants des hommes ». Mais une étude scientifique sur les beautés d’esprit</w:t>
      </w:r>
      <w:r>
        <w:rPr>
          <w:rFonts w:eastAsia="Arial Unicode MS"/>
          <w:bCs/>
          <w:lang w:eastAsia="fr-FR" w:bidi="he-IL"/>
        </w:rPr>
        <w:t xml:space="preserve">, </w:t>
      </w:r>
      <w:r w:rsidRPr="00C8701B">
        <w:rPr>
          <w:rFonts w:eastAsia="Arial Unicode MS"/>
          <w:bCs/>
          <w:lang w:eastAsia="fr-FR" w:bidi="he-IL"/>
        </w:rPr>
        <w:t>de cœur</w:t>
      </w:r>
      <w:r>
        <w:rPr>
          <w:rFonts w:eastAsia="Arial Unicode MS"/>
          <w:bCs/>
          <w:lang w:eastAsia="fr-FR" w:bidi="he-IL"/>
        </w:rPr>
        <w:t xml:space="preserve">, </w:t>
      </w:r>
      <w:r w:rsidRPr="00C8701B">
        <w:rPr>
          <w:rFonts w:eastAsia="Arial Unicode MS"/>
          <w:bCs/>
          <w:lang w:eastAsia="fr-FR" w:bidi="he-IL"/>
        </w:rPr>
        <w:t>de caractère</w:t>
      </w:r>
      <w:r>
        <w:rPr>
          <w:rFonts w:eastAsia="Arial Unicode MS"/>
          <w:bCs/>
          <w:lang w:eastAsia="fr-FR" w:bidi="he-IL"/>
        </w:rPr>
        <w:t xml:space="preserve">, </w:t>
      </w:r>
      <w:r w:rsidRPr="00C8701B">
        <w:rPr>
          <w:rFonts w:eastAsia="Arial Unicode MS"/>
          <w:bCs/>
          <w:lang w:eastAsia="fr-FR" w:bidi="he-IL"/>
        </w:rPr>
        <w:t>qui sont en Jésus-Christ</w:t>
      </w:r>
      <w:r>
        <w:rPr>
          <w:rFonts w:eastAsia="Arial Unicode MS"/>
          <w:bCs/>
          <w:lang w:eastAsia="fr-FR" w:bidi="he-IL"/>
        </w:rPr>
        <w:t xml:space="preserve">, </w:t>
      </w:r>
      <w:r w:rsidRPr="00C8701B">
        <w:rPr>
          <w:rFonts w:eastAsia="Arial Unicode MS"/>
          <w:bCs/>
          <w:lang w:eastAsia="fr-FR" w:bidi="he-IL"/>
        </w:rPr>
        <w:t>notre siècle seul l’a essayée. Tout le monde y a mis la main</w:t>
      </w:r>
      <w:r>
        <w:rPr>
          <w:rFonts w:eastAsia="Arial Unicode MS"/>
          <w:bCs/>
          <w:lang w:eastAsia="fr-FR" w:bidi="he-IL"/>
        </w:rPr>
        <w:t xml:space="preserve">, </w:t>
      </w:r>
      <w:r w:rsidRPr="00C8701B">
        <w:rPr>
          <w:rFonts w:eastAsia="Arial Unicode MS"/>
          <w:bCs/>
          <w:lang w:eastAsia="fr-FR" w:bidi="he-IL"/>
        </w:rPr>
        <w:t>les protestants avec autant de bonheur quelquefois et d’éloquence que les catholiques</w:t>
      </w:r>
      <w:r>
        <w:rPr>
          <w:rFonts w:eastAsia="Arial Unicode MS"/>
          <w:bCs/>
          <w:lang w:eastAsia="fr-FR" w:bidi="he-IL"/>
        </w:rPr>
        <w:t xml:space="preserve">, </w:t>
      </w:r>
      <w:r w:rsidRPr="00C8701B">
        <w:rPr>
          <w:rFonts w:eastAsia="Arial Unicode MS"/>
          <w:bCs/>
          <w:lang w:eastAsia="fr-FR" w:bidi="he-IL"/>
        </w:rPr>
        <w:t>et les incrédules eux-mêmes avec un accent qui a étonné et touché. L’œuvre commence à peine</w:t>
      </w:r>
      <w:r>
        <w:rPr>
          <w:rFonts w:eastAsia="Arial Unicode MS"/>
          <w:bCs/>
          <w:lang w:eastAsia="fr-FR" w:bidi="he-IL"/>
        </w:rPr>
        <w:t xml:space="preserve">, </w:t>
      </w:r>
      <w:r w:rsidRPr="00C8701B">
        <w:rPr>
          <w:rFonts w:eastAsia="Arial Unicode MS"/>
          <w:bCs/>
          <w:lang w:eastAsia="fr-FR" w:bidi="he-IL"/>
        </w:rPr>
        <w:t>et déjà cette étude a créé une sorte d’enthousiasme pour la personne de Jésus-Christ au cœur même de ceux qui n’ont plus de foi. Jésus-Christ y protège</w:t>
      </w:r>
      <w:r>
        <w:rPr>
          <w:rFonts w:eastAsia="Arial Unicode MS"/>
          <w:bCs/>
          <w:lang w:eastAsia="fr-FR" w:bidi="he-IL"/>
        </w:rPr>
        <w:t xml:space="preserve">, </w:t>
      </w:r>
      <w:r w:rsidRPr="00C8701B">
        <w:rPr>
          <w:rFonts w:eastAsia="Arial Unicode MS"/>
          <w:bCs/>
          <w:lang w:eastAsia="fr-FR" w:bidi="he-IL"/>
        </w:rPr>
        <w:t>du sentiment exquis de sa beauté</w:t>
      </w:r>
      <w:r>
        <w:rPr>
          <w:rFonts w:eastAsia="Arial Unicode MS"/>
          <w:bCs/>
          <w:lang w:eastAsia="fr-FR" w:bidi="he-IL"/>
        </w:rPr>
        <w:t xml:space="preserve">, </w:t>
      </w:r>
      <w:r w:rsidRPr="00C8701B">
        <w:rPr>
          <w:rFonts w:eastAsia="Arial Unicode MS"/>
          <w:bCs/>
          <w:lang w:eastAsia="fr-FR" w:bidi="he-IL"/>
        </w:rPr>
        <w:t>la Religion défaillante. Et si</w:t>
      </w:r>
      <w:r>
        <w:rPr>
          <w:rFonts w:eastAsia="Arial Unicode MS"/>
          <w:bCs/>
          <w:lang w:eastAsia="fr-FR" w:bidi="he-IL"/>
        </w:rPr>
        <w:t xml:space="preserve">, </w:t>
      </w:r>
      <w:r w:rsidRPr="00C8701B">
        <w:rPr>
          <w:rFonts w:eastAsia="Arial Unicode MS"/>
          <w:bCs/>
          <w:lang w:eastAsia="fr-FR" w:bidi="he-IL"/>
        </w:rPr>
        <w:t>dans ces dernières années</w:t>
      </w:r>
      <w:r>
        <w:rPr>
          <w:rFonts w:eastAsia="Arial Unicode MS"/>
          <w:bCs/>
          <w:lang w:eastAsia="fr-FR" w:bidi="he-IL"/>
        </w:rPr>
        <w:t>, un roman co</w:t>
      </w:r>
      <w:r w:rsidRPr="00C8701B">
        <w:rPr>
          <w:rFonts w:eastAsia="Arial Unicode MS"/>
          <w:bCs/>
          <w:lang w:eastAsia="fr-FR" w:bidi="he-IL"/>
        </w:rPr>
        <w:t>upable</w:t>
      </w:r>
      <w:r>
        <w:rPr>
          <w:rFonts w:eastAsia="Arial Unicode MS"/>
          <w:bCs/>
          <w:lang w:eastAsia="fr-FR" w:bidi="he-IL"/>
        </w:rPr>
        <w:t xml:space="preserve">, </w:t>
      </w:r>
      <w:r w:rsidRPr="00C8701B">
        <w:rPr>
          <w:rFonts w:eastAsia="Arial Unicode MS"/>
          <w:bCs/>
          <w:lang w:eastAsia="fr-FR" w:bidi="he-IL"/>
        </w:rPr>
        <w:t>aujourd’hui oublié</w:t>
      </w:r>
      <w:r>
        <w:rPr>
          <w:rFonts w:eastAsia="Arial Unicode MS"/>
          <w:bCs/>
          <w:lang w:eastAsia="fr-FR" w:bidi="he-IL"/>
        </w:rPr>
        <w:t xml:space="preserve">, </w:t>
      </w:r>
      <w:r w:rsidRPr="00C8701B">
        <w:rPr>
          <w:rFonts w:eastAsia="Arial Unicode MS"/>
          <w:bCs/>
          <w:lang w:eastAsia="fr-FR" w:bidi="he-IL"/>
        </w:rPr>
        <w:t>a pu un instant séduire quelques âmes</w:t>
      </w:r>
      <w:r>
        <w:rPr>
          <w:rFonts w:eastAsia="Arial Unicode MS"/>
          <w:bCs/>
          <w:lang w:eastAsia="fr-FR" w:bidi="he-IL"/>
        </w:rPr>
        <w:t xml:space="preserve">, </w:t>
      </w:r>
      <w:r w:rsidRPr="00C8701B">
        <w:rPr>
          <w:rFonts w:eastAsia="Arial Unicode MS"/>
          <w:bCs/>
          <w:lang w:eastAsia="fr-FR" w:bidi="he-IL"/>
        </w:rPr>
        <w:t>c’est qu’à travers les outrages et les soufflets sacrilèges apparaissait encore quelque ombre de l’adorable beauté ». Mgr Bougaud</w:t>
      </w:r>
      <w:r>
        <w:rPr>
          <w:rFonts w:eastAsia="Arial Unicode MS"/>
          <w:bCs/>
          <w:lang w:eastAsia="fr-FR" w:bidi="he-IL"/>
        </w:rPr>
        <w:t xml:space="preserve">, </w:t>
      </w:r>
      <w:r w:rsidRPr="00DC4586">
        <w:rPr>
          <w:rStyle w:val="italicus"/>
        </w:rPr>
        <w:t>le Christianisme et les temps présents</w:t>
      </w:r>
      <w:r>
        <w:rPr>
          <w:rStyle w:val="italicus"/>
        </w:rPr>
        <w:t xml:space="preserve">, </w:t>
      </w:r>
      <w:r>
        <w:rPr>
          <w:rFonts w:eastAsia="Arial Unicode MS"/>
          <w:bCs/>
          <w:lang w:eastAsia="fr-FR" w:bidi="he-IL"/>
        </w:rPr>
        <w:t xml:space="preserve">t. I, </w:t>
      </w:r>
      <w:r w:rsidRPr="00C8701B">
        <w:rPr>
          <w:rFonts w:eastAsia="Arial Unicode MS"/>
          <w:bCs/>
          <w:lang w:eastAsia="fr-FR" w:bidi="he-IL"/>
        </w:rPr>
        <w:t>p. 54-55 de la quatrième édition.</w:t>
      </w:r>
      <w:r w:rsidRPr="007E5BA5">
        <w:rPr>
          <w:rFonts w:eastAsia="Arial Unicode MS"/>
          <w:bCs/>
          <w:lang w:eastAsia="fr-FR" w:bidi="he-IL"/>
        </w:rPr>
        <w:t xml:space="preserve"> </w:t>
      </w:r>
    </w:p>
    <w:p w:rsidR="00941AA6" w:rsidRPr="00933C60" w:rsidRDefault="00941AA6" w:rsidP="00431B93">
      <w:pPr>
        <w:pStyle w:val="Notedebasdepage"/>
      </w:pPr>
      <w:r w:rsidRPr="00C8701B">
        <w:rPr>
          <w:rFonts w:eastAsia="Arial Unicode MS"/>
          <w:bCs/>
          <w:lang w:eastAsia="fr-FR" w:bidi="he-IL"/>
        </w:rPr>
        <w:t>Parmi les</w:t>
      </w:r>
      <w:r w:rsidRPr="00DC4586">
        <w:rPr>
          <w:rStyle w:val="italicus"/>
        </w:rPr>
        <w:t xml:space="preserve"> Vies</w:t>
      </w:r>
      <w:r w:rsidRPr="00C8701B">
        <w:rPr>
          <w:rFonts w:eastAsia="Arial Unicode MS"/>
          <w:bCs/>
          <w:lang w:eastAsia="fr-FR" w:bidi="he-IL"/>
        </w:rPr>
        <w:t xml:space="preserve"> de N.-S. Jésus-Christ que ce mouvement rationaliste nous a values de</w:t>
      </w:r>
      <w:r>
        <w:rPr>
          <w:rFonts w:eastAsia="Arial Unicode MS"/>
          <w:bCs/>
          <w:lang w:eastAsia="fr-FR" w:bidi="he-IL"/>
        </w:rPr>
        <w:t xml:space="preserve"> la</w:t>
      </w:r>
      <w:r w:rsidRPr="00C8701B">
        <w:rPr>
          <w:rFonts w:eastAsia="Arial Unicode MS"/>
          <w:bCs/>
          <w:lang w:eastAsia="fr-FR" w:bidi="he-IL"/>
        </w:rPr>
        <w:t xml:space="preserve"> part d’auteurs catholiques</w:t>
      </w:r>
      <w:r>
        <w:rPr>
          <w:rFonts w:eastAsia="Arial Unicode MS"/>
          <w:bCs/>
          <w:lang w:eastAsia="fr-FR" w:bidi="he-IL"/>
        </w:rPr>
        <w:t xml:space="preserve">, </w:t>
      </w:r>
      <w:r w:rsidRPr="00C8701B">
        <w:rPr>
          <w:rFonts w:eastAsia="Arial Unicode MS"/>
          <w:bCs/>
          <w:lang w:eastAsia="fr-FR" w:bidi="he-IL"/>
        </w:rPr>
        <w:t>nous citerons encore les suivantes</w:t>
      </w:r>
      <w:r>
        <w:rPr>
          <w:rFonts w:eastAsia="Arial Unicode MS"/>
          <w:bCs/>
          <w:lang w:eastAsia="fr-FR" w:bidi="he-IL"/>
        </w:rPr>
        <w:t xml:space="preserve">, </w:t>
      </w:r>
      <w:r w:rsidRPr="00C8701B">
        <w:rPr>
          <w:rFonts w:eastAsia="Arial Unicode MS"/>
          <w:bCs/>
          <w:lang w:eastAsia="fr-FR" w:bidi="he-IL"/>
        </w:rPr>
        <w:t>qui sont excellentes à divers points de vue :</w:t>
      </w:r>
      <w:r>
        <w:rPr>
          <w:rFonts w:eastAsia="Arial Unicode MS"/>
          <w:bCs/>
          <w:lang w:eastAsia="fr-FR" w:bidi="he-IL"/>
        </w:rPr>
        <w:t xml:space="preserve"> H. </w:t>
      </w:r>
      <w:r w:rsidRPr="00C8701B">
        <w:rPr>
          <w:rFonts w:eastAsia="Arial Unicode MS"/>
          <w:bCs/>
          <w:lang w:eastAsia="fr-FR" w:bidi="he-IL"/>
        </w:rPr>
        <w:t>J Coleridge</w:t>
      </w:r>
      <w:r>
        <w:rPr>
          <w:rFonts w:eastAsia="Arial Unicode MS"/>
          <w:bCs/>
          <w:lang w:eastAsia="fr-FR" w:bidi="he-IL"/>
        </w:rPr>
        <w:t xml:space="preserve">, </w:t>
      </w:r>
      <w:r w:rsidRPr="00DC4586">
        <w:rPr>
          <w:rStyle w:val="italicus"/>
        </w:rPr>
        <w:t>The Life of our Life</w:t>
      </w:r>
      <w:r>
        <w:rPr>
          <w:rFonts w:eastAsia="Arial Unicode MS"/>
          <w:bCs/>
          <w:lang w:eastAsia="fr-FR" w:bidi="he-IL"/>
        </w:rPr>
        <w:t xml:space="preserve">, </w:t>
      </w:r>
      <w:r w:rsidRPr="00C8701B">
        <w:rPr>
          <w:rFonts w:eastAsia="Arial Unicode MS"/>
          <w:bCs/>
          <w:lang w:eastAsia="fr-FR" w:bidi="he-IL"/>
        </w:rPr>
        <w:t>Londres</w:t>
      </w:r>
      <w:r>
        <w:rPr>
          <w:rFonts w:eastAsia="Arial Unicode MS"/>
          <w:bCs/>
          <w:lang w:eastAsia="fr-FR" w:bidi="he-IL"/>
        </w:rPr>
        <w:t xml:space="preserve">, </w:t>
      </w:r>
      <w:r w:rsidRPr="00C8701B">
        <w:rPr>
          <w:rFonts w:eastAsia="Arial Unicode MS"/>
          <w:bCs/>
          <w:lang w:eastAsia="fr-FR" w:bidi="he-IL"/>
        </w:rPr>
        <w:t>1874 et ss. (le P. Petit en a commencé la traduction sous ce titre :</w:t>
      </w:r>
      <w:r w:rsidRPr="00DC4586">
        <w:rPr>
          <w:rStyle w:val="italicus"/>
        </w:rPr>
        <w:t xml:space="preserve"> Histoire de N.-S. Jésus-Christ</w:t>
      </w:r>
      <w:r>
        <w:rPr>
          <w:rStyle w:val="italicus"/>
        </w:rPr>
        <w:t xml:space="preserve">, </w:t>
      </w:r>
      <w:r w:rsidRPr="00DC4586">
        <w:rPr>
          <w:rStyle w:val="italicus"/>
        </w:rPr>
        <w:t>ou la Vie de</w:t>
      </w:r>
      <w:r w:rsidRPr="00C8701B">
        <w:rPr>
          <w:rFonts w:eastAsia="Arial Unicode MS"/>
          <w:bCs/>
          <w:lang w:eastAsia="fr-FR" w:bidi="he-IL"/>
        </w:rPr>
        <w:t xml:space="preserve"> </w:t>
      </w:r>
      <w:r w:rsidRPr="00DC4586">
        <w:rPr>
          <w:rStyle w:val="italicus"/>
        </w:rPr>
        <w:t>notre Vie</w:t>
      </w:r>
      <w:r w:rsidRPr="00C8701B">
        <w:rPr>
          <w:rFonts w:eastAsia="Arial Unicode MS"/>
          <w:bCs/>
          <w:iCs/>
          <w:lang w:eastAsia="fr-FR" w:bidi="he-IL"/>
        </w:rPr>
        <w:t>)</w:t>
      </w:r>
      <w:r w:rsidRPr="00DC4586">
        <w:rPr>
          <w:rStyle w:val="italicus"/>
        </w:rPr>
        <w:t> </w:t>
      </w:r>
      <w:r>
        <w:rPr>
          <w:rStyle w:val="italicus"/>
        </w:rPr>
        <w:t xml:space="preserve">; </w:t>
      </w:r>
      <w:r w:rsidRPr="00C8701B">
        <w:rPr>
          <w:rFonts w:eastAsia="Arial Unicode MS"/>
          <w:bCs/>
          <w:lang w:eastAsia="fr-FR" w:bidi="he-IL"/>
        </w:rPr>
        <w:t>P. Schegg</w:t>
      </w:r>
      <w:r>
        <w:rPr>
          <w:rFonts w:eastAsia="Arial Unicode MS"/>
          <w:bCs/>
          <w:lang w:eastAsia="fr-FR" w:bidi="he-IL"/>
        </w:rPr>
        <w:t xml:space="preserve">, </w:t>
      </w:r>
      <w:r w:rsidRPr="00DC4586">
        <w:rPr>
          <w:rStyle w:val="italicus"/>
        </w:rPr>
        <w:t xml:space="preserve">Sechs </w:t>
      </w:r>
      <w:r>
        <w:rPr>
          <w:rStyle w:val="italicus"/>
        </w:rPr>
        <w:t>Bücher</w:t>
      </w:r>
      <w:r w:rsidRPr="00DC4586">
        <w:rPr>
          <w:rStyle w:val="italicus"/>
        </w:rPr>
        <w:t xml:space="preserve"> des Lebens Jesu</w:t>
      </w:r>
      <w:r>
        <w:rPr>
          <w:rStyle w:val="italicus"/>
        </w:rPr>
        <w:t xml:space="preserve">, </w:t>
      </w:r>
      <w:r>
        <w:rPr>
          <w:rFonts w:eastAsia="Arial Unicode MS"/>
          <w:bCs/>
          <w:lang w:eastAsia="fr-FR" w:bidi="he-IL"/>
        </w:rPr>
        <w:t>Fribourg-</w:t>
      </w:r>
      <w:r w:rsidRPr="00C8701B">
        <w:rPr>
          <w:rFonts w:eastAsia="Arial Unicode MS"/>
          <w:bCs/>
          <w:lang w:eastAsia="fr-FR" w:bidi="he-IL"/>
        </w:rPr>
        <w:t>en</w:t>
      </w:r>
      <w:r>
        <w:rPr>
          <w:rFonts w:eastAsia="Arial Unicode MS"/>
          <w:bCs/>
          <w:lang w:eastAsia="fr-FR" w:bidi="he-IL"/>
        </w:rPr>
        <w:t>-</w:t>
      </w:r>
      <w:r w:rsidRPr="00C8701B">
        <w:rPr>
          <w:rFonts w:eastAsia="Arial Unicode MS"/>
          <w:bCs/>
          <w:lang w:eastAsia="fr-FR" w:bidi="he-IL"/>
        </w:rPr>
        <w:t>Brisgau 1874 </w:t>
      </w:r>
      <w:r>
        <w:rPr>
          <w:rFonts w:eastAsia="Arial Unicode MS"/>
          <w:bCs/>
          <w:lang w:eastAsia="fr-FR" w:bidi="he-IL"/>
        </w:rPr>
        <w:t xml:space="preserve">; </w:t>
      </w:r>
      <w:r w:rsidRPr="00C8701B">
        <w:rPr>
          <w:rFonts w:eastAsia="Arial Unicode MS"/>
          <w:bCs/>
          <w:lang w:eastAsia="fr-FR" w:bidi="he-IL"/>
        </w:rPr>
        <w:t>J. Grimm</w:t>
      </w:r>
      <w:r>
        <w:rPr>
          <w:rFonts w:eastAsia="Arial Unicode MS"/>
          <w:bCs/>
          <w:lang w:eastAsia="fr-FR" w:bidi="he-IL"/>
        </w:rPr>
        <w:t xml:space="preserve">, </w:t>
      </w:r>
      <w:r w:rsidRPr="00DC4586">
        <w:rPr>
          <w:rStyle w:val="italicus"/>
        </w:rPr>
        <w:t>Das Leben Jesu nach den vier Evangelien</w:t>
      </w:r>
      <w:r>
        <w:rPr>
          <w:rStyle w:val="italicus"/>
        </w:rPr>
        <w:t xml:space="preserve">, </w:t>
      </w:r>
      <w:r w:rsidRPr="00C8701B">
        <w:rPr>
          <w:rFonts w:eastAsia="Arial Unicode MS"/>
          <w:bCs/>
          <w:lang w:eastAsia="fr-FR" w:bidi="he-IL"/>
        </w:rPr>
        <w:t>Ratisbonne</w:t>
      </w:r>
      <w:r>
        <w:rPr>
          <w:rFonts w:eastAsia="Arial Unicode MS"/>
          <w:bCs/>
          <w:lang w:eastAsia="fr-FR" w:bidi="he-IL"/>
        </w:rPr>
        <w:t xml:space="preserve">, </w:t>
      </w:r>
      <w:r w:rsidRPr="00C8701B">
        <w:rPr>
          <w:rFonts w:eastAsia="Arial Unicode MS"/>
          <w:bCs/>
          <w:lang w:eastAsia="fr-FR" w:bidi="he-IL"/>
        </w:rPr>
        <w:t>1876 et ss.</w:t>
      </w:r>
      <w:r>
        <w:rPr>
          <w:rFonts w:eastAsia="Arial Unicode MS"/>
          <w:bCs/>
          <w:lang w:eastAsia="fr-FR" w:bidi="he-IL"/>
        </w:rPr>
        <w:t xml:space="preserve"> — </w:t>
      </w:r>
      <w:r w:rsidRPr="00DC4586">
        <w:rPr>
          <w:rStyle w:val="italicus"/>
        </w:rPr>
        <w:t>Das Leben Jesu</w:t>
      </w:r>
      <w:r w:rsidRPr="00C8701B">
        <w:rPr>
          <w:rFonts w:eastAsia="Arial Unicode MS"/>
          <w:bCs/>
          <w:lang w:eastAsia="fr-FR" w:bidi="he-IL"/>
        </w:rPr>
        <w:t xml:space="preserve"> de Bernhard Weiss</w:t>
      </w:r>
      <w:r>
        <w:rPr>
          <w:rFonts w:eastAsia="Arial Unicode MS"/>
          <w:bCs/>
          <w:lang w:eastAsia="fr-FR" w:bidi="he-IL"/>
        </w:rPr>
        <w:t xml:space="preserve">, </w:t>
      </w:r>
      <w:r w:rsidRPr="00C8701B">
        <w:rPr>
          <w:rFonts w:eastAsia="Arial Unicode MS"/>
          <w:bCs/>
          <w:lang w:eastAsia="fr-FR" w:bidi="he-IL"/>
        </w:rPr>
        <w:t>Berlin 1882</w:t>
      </w:r>
      <w:r>
        <w:rPr>
          <w:rFonts w:eastAsia="Arial Unicode MS"/>
          <w:bCs/>
          <w:lang w:eastAsia="fr-FR" w:bidi="he-IL"/>
        </w:rPr>
        <w:t xml:space="preserve">, </w:t>
      </w:r>
      <w:r w:rsidRPr="00DF5BCD">
        <w:t xml:space="preserve">est d’un rationalisme mitigé, qui a fait </w:t>
      </w:r>
      <w:r w:rsidRPr="00C8701B">
        <w:rPr>
          <w:rFonts w:eastAsia="Arial Unicode MS"/>
          <w:bCs/>
          <w:lang w:eastAsia="fr-FR" w:bidi="he-IL"/>
        </w:rPr>
        <w:t>regarder l’auteur comme un réactionnaire par les écrivains de son parti.</w:t>
      </w:r>
    </w:p>
  </w:footnote>
  <w:footnote w:id="471">
    <w:p w:rsidR="00941AA6" w:rsidRPr="00933C60" w:rsidRDefault="00941AA6" w:rsidP="007E5BA5">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 xml:space="preserve">Voyez </w:t>
      </w:r>
      <w:r>
        <w:rPr>
          <w:rFonts w:eastAsia="Arial Unicode MS"/>
          <w:bCs/>
          <w:lang w:eastAsia="fr-FR" w:bidi="he-IL"/>
        </w:rPr>
        <w:t>H.</w:t>
      </w:r>
      <w:r w:rsidRPr="00C8701B">
        <w:rPr>
          <w:rFonts w:eastAsia="Arial Unicode MS"/>
          <w:bCs/>
          <w:lang w:eastAsia="fr-FR" w:bidi="he-IL"/>
        </w:rPr>
        <w:t xml:space="preserve"> Wallon</w:t>
      </w:r>
      <w:r>
        <w:rPr>
          <w:rFonts w:eastAsia="Arial Unicode MS"/>
          <w:bCs/>
          <w:lang w:eastAsia="fr-FR" w:bidi="he-IL"/>
        </w:rPr>
        <w:t xml:space="preserve">, </w:t>
      </w:r>
      <w:r w:rsidRPr="00DC4586">
        <w:rPr>
          <w:rStyle w:val="italicus"/>
        </w:rPr>
        <w:t>De la croyance due</w:t>
      </w:r>
      <w:r w:rsidRPr="00C8701B">
        <w:rPr>
          <w:rFonts w:eastAsia="Arial Unicode MS"/>
          <w:bCs/>
          <w:lang w:eastAsia="fr-FR" w:bidi="he-IL"/>
        </w:rPr>
        <w:t xml:space="preserve"> à</w:t>
      </w:r>
      <w:r w:rsidRPr="00DC4586">
        <w:rPr>
          <w:rStyle w:val="italicus"/>
        </w:rPr>
        <w:t xml:space="preserve"> l’Évangile</w:t>
      </w:r>
      <w:r>
        <w:rPr>
          <w:rStyle w:val="italicus"/>
        </w:rPr>
        <w:t xml:space="preserve">, </w:t>
      </w:r>
      <w:r w:rsidRPr="00C8701B">
        <w:rPr>
          <w:rFonts w:eastAsia="Arial Unicode MS"/>
          <w:bCs/>
          <w:lang w:eastAsia="fr-FR" w:bidi="he-IL"/>
        </w:rPr>
        <w:t>passim </w:t>
      </w:r>
      <w:r>
        <w:rPr>
          <w:rFonts w:eastAsia="Arial Unicode MS"/>
          <w:bCs/>
          <w:lang w:eastAsia="fr-FR" w:bidi="he-IL"/>
        </w:rPr>
        <w:t xml:space="preserve">; </w:t>
      </w:r>
      <w:r w:rsidRPr="00C8701B">
        <w:rPr>
          <w:rFonts w:eastAsia="Arial Unicode MS"/>
          <w:bCs/>
          <w:lang w:eastAsia="fr-FR" w:bidi="he-IL"/>
        </w:rPr>
        <w:t>Dehaut</w:t>
      </w:r>
      <w:r>
        <w:rPr>
          <w:rFonts w:eastAsia="Arial Unicode MS"/>
          <w:bCs/>
          <w:lang w:eastAsia="fr-FR" w:bidi="he-IL"/>
        </w:rPr>
        <w:t xml:space="preserve">, </w:t>
      </w:r>
      <w:r w:rsidRPr="00DC4586">
        <w:rPr>
          <w:rStyle w:val="italicus"/>
        </w:rPr>
        <w:t>L’Évangile expliqué</w:t>
      </w:r>
      <w:r>
        <w:rPr>
          <w:rStyle w:val="italicus"/>
        </w:rPr>
        <w:t xml:space="preserve">, </w:t>
      </w:r>
      <w:r w:rsidRPr="00DC4586">
        <w:rPr>
          <w:rStyle w:val="italicus"/>
        </w:rPr>
        <w:t>défendu</w:t>
      </w:r>
      <w:r>
        <w:rPr>
          <w:rStyle w:val="italicus"/>
        </w:rPr>
        <w:t xml:space="preserve">, </w:t>
      </w:r>
      <w:r w:rsidRPr="00DC4586">
        <w:rPr>
          <w:rStyle w:val="italicus"/>
        </w:rPr>
        <w:t>médité</w:t>
      </w:r>
      <w:r>
        <w:rPr>
          <w:rStyle w:val="italicus"/>
        </w:rPr>
        <w:t xml:space="preserve">, </w:t>
      </w:r>
      <w:r w:rsidRPr="00C8701B">
        <w:rPr>
          <w:rFonts w:eastAsia="Arial Unicode MS"/>
          <w:bCs/>
          <w:lang w:eastAsia="fr-FR" w:bidi="he-IL"/>
        </w:rPr>
        <w:t>t. I</w:t>
      </w:r>
      <w:r>
        <w:rPr>
          <w:rFonts w:eastAsia="Arial Unicode MS"/>
          <w:bCs/>
          <w:lang w:eastAsia="fr-FR" w:bidi="he-IL"/>
        </w:rPr>
        <w:t xml:space="preserve">, </w:t>
      </w:r>
      <w:r w:rsidRPr="00C8701B">
        <w:rPr>
          <w:rFonts w:eastAsia="Arial Unicode MS"/>
          <w:bCs/>
          <w:lang w:eastAsia="fr-FR" w:bidi="he-IL"/>
        </w:rPr>
        <w:t>p. 143 et ss. de la 4</w:t>
      </w:r>
      <w:r w:rsidRPr="00C8701B">
        <w:rPr>
          <w:rFonts w:eastAsia="Arial Unicode MS"/>
          <w:bCs/>
          <w:vertAlign w:val="superscript"/>
          <w:lang w:eastAsia="fr-FR" w:bidi="he-IL"/>
        </w:rPr>
        <w:t>e</w:t>
      </w:r>
      <w:r w:rsidRPr="00C8701B">
        <w:rPr>
          <w:rFonts w:eastAsia="Arial Unicode MS"/>
          <w:bCs/>
          <w:lang w:eastAsia="fr-FR" w:bidi="he-IL"/>
        </w:rPr>
        <w:t xml:space="preserve"> édit. </w:t>
      </w:r>
      <w:r>
        <w:rPr>
          <w:rFonts w:eastAsia="Arial Unicode MS"/>
          <w:bCs/>
          <w:lang w:eastAsia="fr-FR" w:bidi="he-IL"/>
        </w:rPr>
        <w:t xml:space="preserve">; </w:t>
      </w:r>
      <w:r w:rsidRPr="00C8701B">
        <w:rPr>
          <w:rFonts w:eastAsia="Arial Unicode MS"/>
          <w:bCs/>
          <w:lang w:eastAsia="fr-FR" w:bidi="he-IL"/>
        </w:rPr>
        <w:t>Ch. Lenormant</w:t>
      </w:r>
      <w:r>
        <w:rPr>
          <w:rFonts w:eastAsia="Arial Unicode MS"/>
          <w:bCs/>
          <w:lang w:eastAsia="fr-FR" w:bidi="he-IL"/>
        </w:rPr>
        <w:t xml:space="preserve">, </w:t>
      </w:r>
      <w:r w:rsidRPr="00DC4586">
        <w:rPr>
          <w:rStyle w:val="italicus"/>
        </w:rPr>
        <w:t xml:space="preserve">De la divinité du Christianisme dans ses rapports avec </w:t>
      </w:r>
      <w:r>
        <w:rPr>
          <w:rStyle w:val="italicus"/>
        </w:rPr>
        <w:t>l’</w:t>
      </w:r>
      <w:r w:rsidRPr="00DC4586">
        <w:rPr>
          <w:rStyle w:val="italicus"/>
        </w:rPr>
        <w:t>histoire</w:t>
      </w:r>
      <w:r>
        <w:rPr>
          <w:rStyle w:val="italicus"/>
        </w:rPr>
        <w:t xml:space="preserve">, </w:t>
      </w:r>
      <w:r w:rsidRPr="00C8701B">
        <w:rPr>
          <w:rFonts w:eastAsia="Arial Unicode MS"/>
          <w:bCs/>
          <w:lang w:eastAsia="fr-FR" w:bidi="he-IL"/>
        </w:rPr>
        <w:t>Paris 1869</w:t>
      </w:r>
      <w:r>
        <w:rPr>
          <w:rFonts w:eastAsia="Arial Unicode MS"/>
          <w:bCs/>
          <w:lang w:eastAsia="fr-FR" w:bidi="he-IL"/>
        </w:rPr>
        <w:t xml:space="preserve">, </w:t>
      </w:r>
      <w:r w:rsidRPr="00C8701B">
        <w:rPr>
          <w:rFonts w:eastAsia="Arial Unicode MS"/>
          <w:bCs/>
          <w:lang w:eastAsia="fr-FR" w:bidi="he-IL"/>
        </w:rPr>
        <w:t>p. 213 et ss. </w:t>
      </w:r>
      <w:r>
        <w:rPr>
          <w:rFonts w:eastAsia="Arial Unicode MS"/>
          <w:bCs/>
          <w:lang w:eastAsia="fr-FR" w:bidi="he-IL"/>
        </w:rPr>
        <w:t xml:space="preserve">; </w:t>
      </w:r>
      <w:r w:rsidRPr="00C8701B">
        <w:rPr>
          <w:rFonts w:eastAsia="Arial Unicode MS"/>
          <w:bCs/>
          <w:lang w:eastAsia="fr-FR" w:bidi="he-IL"/>
        </w:rPr>
        <w:t>les Introductions générales au Nouveau Testament</w:t>
      </w:r>
      <w:r>
        <w:rPr>
          <w:rFonts w:eastAsia="Arial Unicode MS"/>
          <w:bCs/>
          <w:lang w:eastAsia="fr-FR" w:bidi="he-IL"/>
        </w:rPr>
        <w:t xml:space="preserve">, </w:t>
      </w:r>
      <w:r w:rsidRPr="00C8701B">
        <w:rPr>
          <w:rFonts w:eastAsia="Arial Unicode MS"/>
          <w:bCs/>
          <w:lang w:eastAsia="fr-FR" w:bidi="he-IL"/>
        </w:rPr>
        <w:t>aux paragraphes qui traitent de l’</w:t>
      </w:r>
      <w:r>
        <w:rPr>
          <w:rFonts w:eastAsia="Arial Unicode MS"/>
          <w:bCs/>
          <w:lang w:eastAsia="fr-FR" w:bidi="he-IL"/>
        </w:rPr>
        <w:t>inspiration</w:t>
      </w:r>
      <w:r w:rsidRPr="00C8701B">
        <w:rPr>
          <w:rFonts w:eastAsia="Arial Unicode MS"/>
          <w:bCs/>
          <w:lang w:eastAsia="fr-FR" w:bidi="he-IL"/>
        </w:rPr>
        <w:t> </w:t>
      </w:r>
      <w:r>
        <w:rPr>
          <w:rFonts w:eastAsia="Arial Unicode MS"/>
          <w:bCs/>
          <w:lang w:eastAsia="fr-FR" w:bidi="he-IL"/>
        </w:rPr>
        <w:t xml:space="preserve">; </w:t>
      </w:r>
      <w:r w:rsidRPr="00C8701B">
        <w:rPr>
          <w:rFonts w:eastAsia="Arial Unicode MS"/>
          <w:bCs/>
          <w:lang w:eastAsia="fr-FR" w:bidi="he-IL"/>
        </w:rPr>
        <w:t>les traités dogmatiques</w:t>
      </w:r>
      <w:r>
        <w:rPr>
          <w:rStyle w:val="italicus"/>
        </w:rPr>
        <w:t xml:space="preserve"> De Scriptúra sa</w:t>
      </w:r>
      <w:r w:rsidRPr="00DC4586">
        <w:rPr>
          <w:rStyle w:val="italicus"/>
        </w:rPr>
        <w:t>cra et traditi</w:t>
      </w:r>
      <w:r>
        <w:rPr>
          <w:rStyle w:val="italicus"/>
        </w:rPr>
        <w:t>ó</w:t>
      </w:r>
      <w:r w:rsidRPr="00DC4586">
        <w:rPr>
          <w:rStyle w:val="italicus"/>
        </w:rPr>
        <w:t>ne</w:t>
      </w:r>
      <w:r w:rsidRPr="00C8701B">
        <w:rPr>
          <w:rFonts w:eastAsia="Arial Unicode MS"/>
          <w:bCs/>
          <w:lang w:eastAsia="fr-FR" w:bidi="he-IL"/>
        </w:rPr>
        <w:t xml:space="preserve"> (spécialement Franzelin</w:t>
      </w:r>
      <w:r>
        <w:rPr>
          <w:rFonts w:eastAsia="Arial Unicode MS"/>
          <w:bCs/>
          <w:lang w:eastAsia="fr-FR" w:bidi="he-IL"/>
        </w:rPr>
        <w:t xml:space="preserve">, </w:t>
      </w:r>
      <w:r w:rsidRPr="00DC4586">
        <w:rPr>
          <w:rStyle w:val="italicus"/>
        </w:rPr>
        <w:t>Tract</w:t>
      </w:r>
      <w:r>
        <w:rPr>
          <w:rStyle w:val="italicus"/>
        </w:rPr>
        <w:t>á</w:t>
      </w:r>
      <w:r w:rsidRPr="00DC4586">
        <w:rPr>
          <w:rStyle w:val="italicus"/>
        </w:rPr>
        <w:t xml:space="preserve">tus de </w:t>
      </w:r>
      <w:r>
        <w:rPr>
          <w:rStyle w:val="italicus"/>
        </w:rPr>
        <w:t>divín</w:t>
      </w:r>
      <w:r w:rsidRPr="00DC4586">
        <w:rPr>
          <w:rStyle w:val="italicus"/>
        </w:rPr>
        <w:t>a traditi</w:t>
      </w:r>
      <w:r>
        <w:rPr>
          <w:rStyle w:val="italicus"/>
        </w:rPr>
        <w:t>ó</w:t>
      </w:r>
      <w:r w:rsidRPr="00DC4586">
        <w:rPr>
          <w:rStyle w:val="italicus"/>
        </w:rPr>
        <w:t>ne et Scriptúra</w:t>
      </w:r>
      <w:r>
        <w:rPr>
          <w:rStyle w:val="italicus"/>
        </w:rPr>
        <w:t xml:space="preserve">, </w:t>
      </w:r>
      <w:r w:rsidRPr="00C8701B">
        <w:rPr>
          <w:rFonts w:eastAsia="Arial Unicode MS"/>
          <w:bCs/>
          <w:lang w:eastAsia="fr-FR" w:bidi="he-IL"/>
        </w:rPr>
        <w:t>2° édit.</w:t>
      </w:r>
      <w:r>
        <w:rPr>
          <w:rFonts w:eastAsia="Arial Unicode MS"/>
          <w:bCs/>
          <w:lang w:eastAsia="fr-FR" w:bidi="he-IL"/>
        </w:rPr>
        <w:t xml:space="preserve">, </w:t>
      </w:r>
      <w:r w:rsidRPr="00C8701B">
        <w:rPr>
          <w:rFonts w:eastAsia="Arial Unicode MS"/>
          <w:bCs/>
          <w:lang w:eastAsia="fr-FR" w:bidi="he-IL"/>
        </w:rPr>
        <w:t>Rome</w:t>
      </w:r>
      <w:r>
        <w:rPr>
          <w:rFonts w:eastAsia="Arial Unicode MS"/>
          <w:bCs/>
          <w:lang w:eastAsia="fr-FR" w:bidi="he-IL"/>
        </w:rPr>
        <w:t xml:space="preserve">, </w:t>
      </w:r>
      <w:r w:rsidRPr="00C8701B">
        <w:rPr>
          <w:rFonts w:eastAsia="Arial Unicode MS"/>
          <w:bCs/>
          <w:lang w:eastAsia="fr-FR" w:bidi="he-IL"/>
        </w:rPr>
        <w:t>1885)</w:t>
      </w:r>
      <w:r>
        <w:rPr>
          <w:rFonts w:eastAsia="Arial Unicode MS"/>
          <w:bCs/>
          <w:lang w:eastAsia="fr-FR" w:bidi="he-IL"/>
        </w:rPr>
        <w:t xml:space="preserve">, </w:t>
      </w:r>
      <w:r w:rsidRPr="00C8701B">
        <w:rPr>
          <w:rFonts w:eastAsia="Arial Unicode MS"/>
          <w:bCs/>
          <w:lang w:eastAsia="fr-FR" w:bidi="he-IL"/>
        </w:rPr>
        <w:t xml:space="preserve">etc. </w:t>
      </w:r>
      <w:r w:rsidRPr="00DF5BCD">
        <w:rPr>
          <w:lang w:val="en-GB"/>
        </w:rPr>
        <w:t xml:space="preserve">Voyez aussi </w:t>
      </w:r>
      <w:r w:rsidRPr="00C8701B">
        <w:rPr>
          <w:rFonts w:eastAsia="Arial Unicode MS"/>
          <w:bCs/>
          <w:lang w:val="en-US" w:eastAsia="fr-FR" w:bidi="he-IL"/>
        </w:rPr>
        <w:t>Westcott</w:t>
      </w:r>
      <w:r>
        <w:rPr>
          <w:rFonts w:eastAsia="Arial Unicode MS"/>
          <w:bCs/>
          <w:lang w:val="en-US" w:eastAsia="fr-FR" w:bidi="he-IL"/>
        </w:rPr>
        <w:t xml:space="preserve">, </w:t>
      </w:r>
      <w:r w:rsidRPr="00A74F01">
        <w:rPr>
          <w:rStyle w:val="italicus"/>
          <w:lang w:val="en-US"/>
        </w:rPr>
        <w:t xml:space="preserve">A General Survey of the History of the Canon of the New Testament, </w:t>
      </w:r>
      <w:r w:rsidRPr="00C8701B">
        <w:rPr>
          <w:rFonts w:eastAsia="Arial Unicode MS"/>
          <w:bCs/>
          <w:lang w:val="en-US" w:eastAsia="fr-FR" w:bidi="he-IL"/>
        </w:rPr>
        <w:t>2</w:t>
      </w:r>
      <w:r w:rsidRPr="00C8701B">
        <w:rPr>
          <w:rFonts w:eastAsia="Arial Unicode MS"/>
          <w:bCs/>
          <w:vertAlign w:val="superscript"/>
          <w:lang w:val="en-US" w:eastAsia="fr-FR" w:bidi="he-IL"/>
        </w:rPr>
        <w:t>e</w:t>
      </w:r>
      <w:r w:rsidRPr="00C8701B">
        <w:rPr>
          <w:rFonts w:eastAsia="Arial Unicode MS"/>
          <w:bCs/>
          <w:lang w:val="en-US" w:eastAsia="fr-FR" w:bidi="he-IL"/>
        </w:rPr>
        <w:t xml:space="preserve"> édit. </w:t>
      </w:r>
      <w:r w:rsidRPr="00C8701B">
        <w:rPr>
          <w:rFonts w:eastAsia="Arial Unicode MS"/>
          <w:bCs/>
          <w:lang w:eastAsia="fr-FR" w:bidi="he-IL"/>
        </w:rPr>
        <w:t>Londres 1880.</w:t>
      </w:r>
    </w:p>
  </w:footnote>
  <w:footnote w:id="472">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Sess. III</w:t>
      </w:r>
      <w:r>
        <w:rPr>
          <w:rFonts w:eastAsia="Arial Unicode MS"/>
          <w:bCs/>
          <w:lang w:eastAsia="fr-FR" w:bidi="he-IL"/>
        </w:rPr>
        <w:t xml:space="preserve">, </w:t>
      </w:r>
      <w:r w:rsidRPr="00C8701B">
        <w:rPr>
          <w:rFonts w:eastAsia="Arial Unicode MS"/>
          <w:bCs/>
          <w:lang w:eastAsia="fr-FR" w:bidi="he-IL"/>
        </w:rPr>
        <w:t>Constit. dogmat.</w:t>
      </w:r>
      <w:r>
        <w:rPr>
          <w:rFonts w:eastAsia="Arial Unicode MS"/>
          <w:bCs/>
          <w:lang w:eastAsia="fr-FR" w:bidi="he-IL"/>
        </w:rPr>
        <w:t xml:space="preserve">, </w:t>
      </w:r>
      <w:r w:rsidRPr="00C8701B">
        <w:rPr>
          <w:rFonts w:eastAsia="Arial Unicode MS"/>
          <w:bCs/>
          <w:lang w:eastAsia="fr-FR" w:bidi="he-IL"/>
        </w:rPr>
        <w:t>c. 2. Cf.</w:t>
      </w:r>
      <w:r>
        <w:rPr>
          <w:rStyle w:val="italicus"/>
        </w:rPr>
        <w:t xml:space="preserve"> Conc</w:t>
      </w:r>
      <w:r w:rsidRPr="00DC4586">
        <w:rPr>
          <w:rStyle w:val="italicus"/>
        </w:rPr>
        <w:t>. Trident.</w:t>
      </w:r>
      <w:r>
        <w:rPr>
          <w:rStyle w:val="italicus"/>
        </w:rPr>
        <w:t xml:space="preserve">, </w:t>
      </w:r>
      <w:r w:rsidRPr="00C8701B">
        <w:rPr>
          <w:rFonts w:eastAsia="Arial Unicode MS"/>
          <w:bCs/>
          <w:lang w:eastAsia="fr-FR" w:bidi="he-IL"/>
        </w:rPr>
        <w:t xml:space="preserve">Sess. </w:t>
      </w:r>
      <w:r>
        <w:rPr>
          <w:rFonts w:eastAsia="Arial Unicode MS"/>
          <w:bCs/>
          <w:lang w:eastAsia="fr-FR" w:bidi="he-IL"/>
        </w:rPr>
        <w:t>IV</w:t>
      </w:r>
      <w:r w:rsidRPr="00C8701B">
        <w:rPr>
          <w:rFonts w:eastAsia="Arial Unicode MS"/>
          <w:bCs/>
          <w:lang w:eastAsia="fr-FR" w:bidi="he-IL"/>
        </w:rPr>
        <w:t> : « Cum utri</w:t>
      </w:r>
      <w:r>
        <w:rPr>
          <w:rFonts w:eastAsia="Arial Unicode MS"/>
          <w:bCs/>
          <w:lang w:eastAsia="fr-FR" w:bidi="he-IL"/>
        </w:rPr>
        <w:t>ú</w:t>
      </w:r>
      <w:r w:rsidRPr="00C8701B">
        <w:rPr>
          <w:rFonts w:eastAsia="Arial Unicode MS"/>
          <w:bCs/>
          <w:lang w:eastAsia="fr-FR" w:bidi="he-IL"/>
        </w:rPr>
        <w:t>sque (Te</w:t>
      </w:r>
      <w:r>
        <w:rPr>
          <w:rFonts w:eastAsia="Arial Unicode MS"/>
          <w:bCs/>
          <w:lang w:eastAsia="fr-FR" w:bidi="he-IL"/>
        </w:rPr>
        <w:t>staménti</w:t>
      </w:r>
      <w:r w:rsidRPr="00C8701B">
        <w:rPr>
          <w:rFonts w:eastAsia="Arial Unicode MS"/>
          <w:bCs/>
          <w:lang w:eastAsia="fr-FR" w:bidi="he-IL"/>
        </w:rPr>
        <w:t>) Deus sit auctor ».</w:t>
      </w:r>
    </w:p>
  </w:footnote>
  <w:footnote w:id="473">
    <w:p w:rsidR="00941AA6" w:rsidRPr="00933C60" w:rsidRDefault="00941AA6">
      <w:pPr>
        <w:pStyle w:val="Notedebasdepage"/>
      </w:pPr>
      <w:r w:rsidRPr="00C406FF">
        <w:rPr>
          <w:rStyle w:val="Appelnotedebasdep"/>
        </w:rPr>
        <w:footnoteRef/>
      </w:r>
      <w:r>
        <w:rPr>
          <w:rFonts w:eastAsia="Arial Unicode MS"/>
          <w:bCs/>
          <w:lang w:eastAsia="fr-FR" w:bidi="he-IL"/>
        </w:rPr>
        <w:t xml:space="preserve"> </w:t>
      </w:r>
      <w:r w:rsidRPr="00C8701B">
        <w:rPr>
          <w:rFonts w:eastAsia="Arial Unicode MS"/>
          <w:bCs/>
          <w:lang w:eastAsia="fr-FR" w:bidi="he-IL"/>
        </w:rPr>
        <w:t>Ap. Pallavicini</w:t>
      </w:r>
      <w:r>
        <w:rPr>
          <w:rFonts w:eastAsia="Arial Unicode MS"/>
          <w:bCs/>
          <w:lang w:eastAsia="fr-FR" w:bidi="he-IL"/>
        </w:rPr>
        <w:t xml:space="preserve">, </w:t>
      </w:r>
      <w:r w:rsidRPr="00DC4586">
        <w:rPr>
          <w:rStyle w:val="italicus"/>
        </w:rPr>
        <w:t>Hist. Conc. Trid.</w:t>
      </w:r>
      <w:r>
        <w:rPr>
          <w:rStyle w:val="italicus"/>
        </w:rPr>
        <w:t xml:space="preserve">, </w:t>
      </w:r>
      <w:r w:rsidRPr="00C8701B">
        <w:rPr>
          <w:rFonts w:eastAsia="Arial Unicode MS"/>
          <w:bCs/>
          <w:lang w:eastAsia="fr-FR" w:bidi="he-IL"/>
        </w:rPr>
        <w:t xml:space="preserve">t. </w:t>
      </w:r>
      <w:r>
        <w:rPr>
          <w:rFonts w:eastAsia="Arial Unicode MS"/>
          <w:bCs/>
          <w:lang w:eastAsia="fr-FR" w:bidi="he-IL"/>
        </w:rPr>
        <w:t xml:space="preserve">VI, </w:t>
      </w:r>
      <w:r w:rsidRPr="00C8701B">
        <w:rPr>
          <w:rFonts w:eastAsia="Arial Unicode MS"/>
          <w:bCs/>
          <w:lang w:eastAsia="fr-FR" w:bidi="he-IL"/>
        </w:rPr>
        <w:t>et</w:t>
      </w:r>
      <w:r>
        <w:rPr>
          <w:rFonts w:eastAsia="Arial Unicode MS"/>
          <w:bCs/>
          <w:lang w:eastAsia="fr-FR" w:bidi="he-IL"/>
        </w:rPr>
        <w:t xml:space="preserve"> XI, </w:t>
      </w:r>
      <w:r w:rsidRPr="00C8701B">
        <w:rPr>
          <w:rFonts w:eastAsia="Arial Unicode MS"/>
          <w:bCs/>
          <w:lang w:eastAsia="fr-FR" w:bidi="he-IL"/>
        </w:rPr>
        <w:t>n. 11.</w:t>
      </w:r>
    </w:p>
  </w:footnote>
  <w:footnote w:id="474">
    <w:p w:rsidR="00941AA6" w:rsidRPr="00933C60" w:rsidRDefault="00941AA6">
      <w:pPr>
        <w:pStyle w:val="Notedebasdepage"/>
      </w:pPr>
      <w:r w:rsidRPr="00C406FF">
        <w:rPr>
          <w:rStyle w:val="Appelnotedebasdep"/>
        </w:rPr>
        <w:footnoteRef/>
      </w:r>
      <w:r>
        <w:rPr>
          <w:rStyle w:val="italicus"/>
        </w:rPr>
        <w:t xml:space="preserve"> Contr. Epistol. Manichǽ</w:t>
      </w:r>
      <w:r w:rsidRPr="00DC4586">
        <w:rPr>
          <w:rStyle w:val="italicus"/>
        </w:rPr>
        <w:t>i</w:t>
      </w:r>
      <w:r>
        <w:rPr>
          <w:rStyle w:val="italicus"/>
        </w:rPr>
        <w:t xml:space="preserve">, </w:t>
      </w:r>
      <w:r>
        <w:rPr>
          <w:rFonts w:eastAsia="Arial Unicode MS"/>
          <w:bCs/>
          <w:lang w:eastAsia="fr-FR" w:bidi="he-IL"/>
        </w:rPr>
        <w:t xml:space="preserve">V, </w:t>
      </w:r>
      <w:r w:rsidRPr="00C8701B">
        <w:rPr>
          <w:rFonts w:eastAsia="Arial Unicode MS"/>
          <w:bCs/>
          <w:lang w:eastAsia="fr-FR" w:bidi="he-IL"/>
        </w:rPr>
        <w:t>6.</w:t>
      </w:r>
    </w:p>
  </w:footnote>
  <w:footnote w:id="475">
    <w:p w:rsidR="00941AA6" w:rsidRPr="00933C60" w:rsidRDefault="00941AA6">
      <w:pPr>
        <w:pStyle w:val="Notedebasdepage"/>
      </w:pPr>
      <w:r w:rsidRPr="00C406FF">
        <w:rPr>
          <w:rStyle w:val="Appelnotedebasdep"/>
        </w:rPr>
        <w:footnoteRef/>
      </w:r>
      <w:r w:rsidRPr="00DC4586">
        <w:rPr>
          <w:rStyle w:val="italicus"/>
        </w:rPr>
        <w:t xml:space="preserve"> Spíritu</w:t>
      </w:r>
      <w:r>
        <w:rPr>
          <w:rStyle w:val="italicus"/>
        </w:rPr>
        <w:t xml:space="preserve"> Sancto inspirá</w:t>
      </w:r>
      <w:r w:rsidRPr="00DC4586">
        <w:rPr>
          <w:rStyle w:val="italicus"/>
        </w:rPr>
        <w:t>nte conscrípti...</w:t>
      </w:r>
      <w:r>
        <w:rPr>
          <w:rStyle w:val="italicus"/>
        </w:rPr>
        <w:t>, tal</w:t>
      </w:r>
      <w:r w:rsidRPr="00DC4586">
        <w:rPr>
          <w:rStyle w:val="italicus"/>
        </w:rPr>
        <w:t xml:space="preserve">es ipsi </w:t>
      </w:r>
      <w:r>
        <w:rPr>
          <w:rStyle w:val="italicus"/>
        </w:rPr>
        <w:t>Ecclésiæ</w:t>
      </w:r>
      <w:r w:rsidRPr="00DC4586">
        <w:rPr>
          <w:rStyle w:val="italicus"/>
        </w:rPr>
        <w:t xml:space="preserve"> tráditi sunt.</w:t>
      </w:r>
      <w:r w:rsidRPr="00C8701B">
        <w:rPr>
          <w:rFonts w:eastAsia="Arial Unicode MS"/>
          <w:bCs/>
          <w:lang w:eastAsia="fr-FR" w:bidi="he-IL"/>
        </w:rPr>
        <w:t xml:space="preserve"> Conc. Vat.</w:t>
      </w:r>
      <w:r>
        <w:rPr>
          <w:rFonts w:eastAsia="Arial Unicode MS"/>
          <w:bCs/>
          <w:lang w:eastAsia="fr-FR" w:bidi="he-IL"/>
        </w:rPr>
        <w:t xml:space="preserve">, </w:t>
      </w:r>
      <w:r w:rsidRPr="00DF5BCD">
        <w:rPr>
          <w:rStyle w:val="italicus"/>
        </w:rPr>
        <w:t>l. c.</w:t>
      </w:r>
    </w:p>
  </w:footnote>
  <w:footnote w:id="476">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 xml:space="preserve">Contr. </w:t>
      </w:r>
      <w:r>
        <w:rPr>
          <w:rStyle w:val="italicus"/>
        </w:rPr>
        <w:t>hær</w:t>
      </w:r>
      <w:r w:rsidRPr="00DC4586">
        <w:rPr>
          <w:rStyle w:val="italicus"/>
        </w:rPr>
        <w:t>.</w:t>
      </w:r>
      <w:r>
        <w:rPr>
          <w:rStyle w:val="italicus"/>
        </w:rPr>
        <w:t xml:space="preserve">, </w:t>
      </w:r>
      <w:r w:rsidRPr="00DF5BCD">
        <w:t>III, 1.</w:t>
      </w:r>
    </w:p>
  </w:footnote>
  <w:footnote w:id="477">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 La tradition</w:t>
      </w:r>
      <w:r>
        <w:rPr>
          <w:rFonts w:eastAsia="Arial Unicode MS"/>
          <w:bCs/>
          <w:lang w:eastAsia="fr-FR" w:bidi="he-IL"/>
        </w:rPr>
        <w:t xml:space="preserve">, </w:t>
      </w:r>
      <w:r w:rsidRPr="00C8701B">
        <w:rPr>
          <w:rFonts w:eastAsia="Arial Unicode MS"/>
          <w:bCs/>
          <w:lang w:eastAsia="fr-FR" w:bidi="he-IL"/>
        </w:rPr>
        <w:t>après avoir distingué</w:t>
      </w:r>
      <w:r>
        <w:rPr>
          <w:rFonts w:eastAsia="Arial Unicode MS"/>
          <w:bCs/>
          <w:lang w:eastAsia="fr-FR" w:bidi="he-IL"/>
        </w:rPr>
        <w:t>, entre les nombreux écrits dont l’</w:t>
      </w:r>
      <w:r w:rsidRPr="00C8701B">
        <w:rPr>
          <w:rFonts w:eastAsia="Arial Unicode MS"/>
          <w:bCs/>
          <w:lang w:eastAsia="fr-FR" w:bidi="he-IL"/>
        </w:rPr>
        <w:t>objet</w:t>
      </w:r>
      <w:r>
        <w:rPr>
          <w:rFonts w:eastAsia="Arial Unicode MS"/>
          <w:bCs/>
          <w:lang w:eastAsia="fr-FR" w:bidi="he-IL"/>
        </w:rPr>
        <w:t xml:space="preserve"> </w:t>
      </w:r>
      <w:r w:rsidRPr="00C8701B">
        <w:rPr>
          <w:rFonts w:eastAsia="Arial Unicode MS"/>
          <w:bCs/>
          <w:lang w:eastAsia="fr-FR" w:bidi="he-IL"/>
        </w:rPr>
        <w:t>était de faire connaître les actions et les paroles du Christ</w:t>
      </w:r>
      <w:r>
        <w:rPr>
          <w:rFonts w:eastAsia="Arial Unicode MS"/>
          <w:bCs/>
          <w:lang w:eastAsia="fr-FR" w:bidi="he-IL"/>
        </w:rPr>
        <w:t xml:space="preserve">, </w:t>
      </w:r>
      <w:r w:rsidRPr="00C8701B">
        <w:rPr>
          <w:rFonts w:eastAsia="Arial Unicode MS"/>
          <w:bCs/>
          <w:lang w:eastAsia="fr-FR" w:bidi="he-IL"/>
        </w:rPr>
        <w:t>ceux qui portaient le caractère incontestable de</w:t>
      </w:r>
      <w:r>
        <w:rPr>
          <w:rFonts w:eastAsia="Arial Unicode MS"/>
          <w:bCs/>
          <w:lang w:eastAsia="fr-FR" w:bidi="he-IL"/>
        </w:rPr>
        <w:t xml:space="preserve"> l’</w:t>
      </w:r>
      <w:r w:rsidRPr="00C8701B">
        <w:rPr>
          <w:rFonts w:eastAsia="Arial Unicode MS"/>
          <w:bCs/>
          <w:lang w:eastAsia="fr-FR" w:bidi="he-IL"/>
        </w:rPr>
        <w:t>authenticité</w:t>
      </w:r>
      <w:r>
        <w:rPr>
          <w:rFonts w:eastAsia="Arial Unicode MS"/>
          <w:bCs/>
          <w:lang w:eastAsia="fr-FR" w:bidi="he-IL"/>
        </w:rPr>
        <w:t xml:space="preserve">, </w:t>
      </w:r>
      <w:r w:rsidRPr="00C8701B">
        <w:rPr>
          <w:rFonts w:eastAsia="Arial Unicode MS"/>
          <w:bCs/>
          <w:lang w:eastAsia="fr-FR" w:bidi="he-IL"/>
        </w:rPr>
        <w:t xml:space="preserve">en a protégé la transition à </w:t>
      </w:r>
      <w:r>
        <w:rPr>
          <w:rFonts w:eastAsia="Arial Unicode MS"/>
          <w:bCs/>
          <w:lang w:eastAsia="fr-FR" w:bidi="he-IL"/>
        </w:rPr>
        <w:t>travers les obstacles de tout ge</w:t>
      </w:r>
      <w:r w:rsidRPr="00C8701B">
        <w:rPr>
          <w:rFonts w:eastAsia="Arial Unicode MS"/>
          <w:bCs/>
          <w:lang w:eastAsia="fr-FR" w:bidi="he-IL"/>
        </w:rPr>
        <w:t>nre que rencontrent les monuments littéraires »</w:t>
      </w:r>
      <w:r>
        <w:rPr>
          <w:rFonts w:eastAsia="Arial Unicode MS"/>
          <w:bCs/>
          <w:lang w:eastAsia="fr-FR" w:bidi="he-IL"/>
        </w:rPr>
        <w:t>. Ch. Lenorma</w:t>
      </w:r>
      <w:r w:rsidRPr="00C8701B">
        <w:rPr>
          <w:rFonts w:eastAsia="Arial Unicode MS"/>
          <w:bCs/>
          <w:lang w:eastAsia="fr-FR" w:bidi="he-IL"/>
        </w:rPr>
        <w:t>nt</w:t>
      </w:r>
      <w:r>
        <w:rPr>
          <w:rFonts w:eastAsia="Arial Unicode MS"/>
          <w:bCs/>
          <w:lang w:eastAsia="fr-FR" w:bidi="he-IL"/>
        </w:rPr>
        <w:t xml:space="preserve">, </w:t>
      </w:r>
      <w:r w:rsidRPr="00DC4586">
        <w:rPr>
          <w:rStyle w:val="italicus"/>
        </w:rPr>
        <w:t>loc. cit.</w:t>
      </w:r>
      <w:r>
        <w:rPr>
          <w:rStyle w:val="italicus"/>
        </w:rPr>
        <w:t xml:space="preserve">, </w:t>
      </w:r>
      <w:r w:rsidRPr="00C8701B">
        <w:rPr>
          <w:rFonts w:eastAsia="Arial Unicode MS"/>
          <w:bCs/>
          <w:lang w:eastAsia="fr-FR" w:bidi="he-IL"/>
        </w:rPr>
        <w:t>p. 213.</w:t>
      </w:r>
    </w:p>
  </w:footnote>
  <w:footnote w:id="478">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 xml:space="preserve">Voyez nos introductions particulières aux </w:t>
      </w:r>
      <w:r>
        <w:rPr>
          <w:rFonts w:eastAsia="Arial Unicode MS"/>
          <w:bCs/>
          <w:lang w:eastAsia="fr-FR" w:bidi="he-IL"/>
        </w:rPr>
        <w:t>Évangile</w:t>
      </w:r>
      <w:r w:rsidRPr="00C8701B">
        <w:rPr>
          <w:rFonts w:eastAsia="Arial Unicode MS"/>
          <w:bCs/>
          <w:lang w:eastAsia="fr-FR" w:bidi="he-IL"/>
        </w:rPr>
        <w:t>s selon S. Matthieu</w:t>
      </w:r>
      <w:r>
        <w:rPr>
          <w:rFonts w:eastAsia="Arial Unicode MS"/>
          <w:bCs/>
          <w:lang w:eastAsia="fr-FR" w:bidi="he-IL"/>
        </w:rPr>
        <w:t>, selon S.</w:t>
      </w:r>
      <w:r w:rsidRPr="00C8701B">
        <w:rPr>
          <w:rFonts w:eastAsia="Arial Unicode MS"/>
          <w:bCs/>
          <w:lang w:eastAsia="fr-FR" w:bidi="he-IL"/>
        </w:rPr>
        <w:t xml:space="preserve"> Marc</w:t>
      </w:r>
      <w:r>
        <w:rPr>
          <w:rFonts w:eastAsia="Arial Unicode MS"/>
          <w:bCs/>
          <w:lang w:eastAsia="fr-FR" w:bidi="he-IL"/>
        </w:rPr>
        <w:t xml:space="preserve">, </w:t>
      </w:r>
      <w:r w:rsidRPr="00C8701B">
        <w:rPr>
          <w:rFonts w:eastAsia="Arial Unicode MS"/>
          <w:bCs/>
          <w:lang w:eastAsia="fr-FR" w:bidi="he-IL"/>
        </w:rPr>
        <w:t>etc.</w:t>
      </w:r>
    </w:p>
  </w:footnote>
  <w:footnote w:id="479">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Cornely</w:t>
      </w:r>
      <w:r>
        <w:rPr>
          <w:rFonts w:eastAsia="Arial Unicode MS"/>
          <w:bCs/>
          <w:lang w:eastAsia="fr-FR" w:bidi="he-IL"/>
        </w:rPr>
        <w:t xml:space="preserve">, </w:t>
      </w:r>
      <w:r>
        <w:rPr>
          <w:rStyle w:val="italicus"/>
        </w:rPr>
        <w:t>Histórica</w:t>
      </w:r>
      <w:r w:rsidRPr="00DC4586">
        <w:rPr>
          <w:rStyle w:val="italicus"/>
        </w:rPr>
        <w:t xml:space="preserve"> et </w:t>
      </w:r>
      <w:r>
        <w:rPr>
          <w:rStyle w:val="italicus"/>
        </w:rPr>
        <w:t>crítica Introdúc</w:t>
      </w:r>
      <w:r w:rsidRPr="00DC4586">
        <w:rPr>
          <w:rStyle w:val="italicus"/>
        </w:rPr>
        <w:t>tio in utri</w:t>
      </w:r>
      <w:r>
        <w:rPr>
          <w:rStyle w:val="italicus"/>
        </w:rPr>
        <w:t>ú</w:t>
      </w:r>
      <w:r w:rsidRPr="00DC4586">
        <w:rPr>
          <w:rStyle w:val="italicus"/>
        </w:rPr>
        <w:t>sque Te</w:t>
      </w:r>
      <w:r>
        <w:rPr>
          <w:rStyle w:val="italicus"/>
        </w:rPr>
        <w:t>staménti</w:t>
      </w:r>
      <w:r w:rsidRPr="00DC4586">
        <w:rPr>
          <w:rStyle w:val="italicus"/>
        </w:rPr>
        <w:t xml:space="preserve"> libres sacros</w:t>
      </w:r>
      <w:r>
        <w:rPr>
          <w:rStyle w:val="italicus"/>
        </w:rPr>
        <w:t xml:space="preserve">, </w:t>
      </w:r>
      <w:r w:rsidRPr="00C8701B">
        <w:rPr>
          <w:rFonts w:eastAsia="Arial Unicode MS"/>
          <w:bCs/>
          <w:lang w:eastAsia="fr-FR" w:bidi="he-IL"/>
        </w:rPr>
        <w:t>p. 153 et ss. </w:t>
      </w:r>
      <w:r>
        <w:rPr>
          <w:rFonts w:eastAsia="Arial Unicode MS"/>
          <w:bCs/>
          <w:lang w:eastAsia="fr-FR" w:bidi="he-IL"/>
        </w:rPr>
        <w:t xml:space="preserve">; </w:t>
      </w:r>
      <w:r w:rsidRPr="00C8701B">
        <w:rPr>
          <w:rFonts w:eastAsia="Arial Unicode MS"/>
          <w:bCs/>
          <w:lang w:eastAsia="fr-FR" w:bidi="he-IL"/>
        </w:rPr>
        <w:t>Westcott</w:t>
      </w:r>
      <w:r>
        <w:rPr>
          <w:rFonts w:eastAsia="Arial Unicode MS"/>
          <w:bCs/>
          <w:lang w:eastAsia="fr-FR" w:bidi="he-IL"/>
        </w:rPr>
        <w:t xml:space="preserve">, </w:t>
      </w:r>
      <w:r w:rsidRPr="00DC4586">
        <w:rPr>
          <w:rStyle w:val="italicus"/>
        </w:rPr>
        <w:t>An Introduction to the Study of the Gospels</w:t>
      </w:r>
      <w:r>
        <w:rPr>
          <w:rStyle w:val="italicus"/>
        </w:rPr>
        <w:t xml:space="preserve">, </w:t>
      </w:r>
      <w:r w:rsidRPr="00C8701B">
        <w:rPr>
          <w:rFonts w:eastAsia="Arial Unicode MS"/>
          <w:bCs/>
          <w:lang w:eastAsia="fr-FR" w:bidi="he-IL"/>
        </w:rPr>
        <w:t>p. 413 et ss. de la 5</w:t>
      </w:r>
      <w:r w:rsidRPr="00C8701B">
        <w:rPr>
          <w:rFonts w:eastAsia="Arial Unicode MS"/>
          <w:bCs/>
          <w:vertAlign w:val="superscript"/>
          <w:lang w:eastAsia="fr-FR" w:bidi="he-IL"/>
        </w:rPr>
        <w:t>e</w:t>
      </w:r>
      <w:r w:rsidRPr="00C8701B">
        <w:rPr>
          <w:rFonts w:eastAsia="Arial Unicode MS"/>
          <w:bCs/>
          <w:lang w:eastAsia="fr-FR" w:bidi="he-IL"/>
        </w:rPr>
        <w:t xml:space="preserve"> édition.</w:t>
      </w:r>
    </w:p>
  </w:footnote>
  <w:footnote w:id="480">
    <w:p w:rsidR="00941AA6" w:rsidRPr="00933C60" w:rsidRDefault="00941AA6">
      <w:pPr>
        <w:pStyle w:val="Notedebasdepage"/>
      </w:pPr>
      <w:r w:rsidRPr="00C406FF">
        <w:rPr>
          <w:rStyle w:val="Appelnotedebasdep"/>
        </w:rPr>
        <w:footnoteRef/>
      </w:r>
      <w:r w:rsidRPr="00C8701B">
        <w:rPr>
          <w:rFonts w:eastAsia="Arial Unicode MS"/>
          <w:lang w:val="en-US" w:eastAsia="fr-FR" w:bidi="he-IL"/>
        </w:rPr>
        <w:t xml:space="preserve"> </w:t>
      </w:r>
      <w:r w:rsidRPr="00C8701B">
        <w:rPr>
          <w:rFonts w:eastAsia="Arial Unicode MS"/>
          <w:bCs/>
          <w:lang w:val="en-US" w:eastAsia="fr-FR" w:bidi="he-IL"/>
        </w:rPr>
        <w:t xml:space="preserve">N. 4. Cf. Matth. </w:t>
      </w:r>
      <w:r>
        <w:rPr>
          <w:rFonts w:eastAsia="Arial Unicode MS"/>
          <w:bCs/>
          <w:lang w:val="en-US" w:eastAsia="fr-FR" w:bidi="he-IL"/>
        </w:rPr>
        <w:t xml:space="preserve">IX, </w:t>
      </w:r>
      <w:r w:rsidRPr="00C8701B">
        <w:rPr>
          <w:rFonts w:eastAsia="Arial Unicode MS"/>
          <w:bCs/>
          <w:lang w:val="en-US" w:eastAsia="fr-FR" w:bidi="he-IL"/>
        </w:rPr>
        <w:t>13.</w:t>
      </w:r>
    </w:p>
  </w:footnote>
  <w:footnote w:id="481">
    <w:p w:rsidR="00941AA6" w:rsidRPr="007E5BA5" w:rsidRDefault="00941AA6">
      <w:pPr>
        <w:pStyle w:val="Notedebasdepage"/>
        <w:rPr>
          <w:lang w:val="en-GB"/>
        </w:rPr>
      </w:pPr>
      <w:r w:rsidRPr="00C406FF">
        <w:rPr>
          <w:rStyle w:val="Appelnotedebasdep"/>
        </w:rPr>
        <w:footnoteRef/>
      </w:r>
      <w:r w:rsidRPr="00C8701B">
        <w:rPr>
          <w:rFonts w:eastAsia="Arial Unicode MS"/>
          <w:lang w:val="en-US" w:eastAsia="fr-FR" w:bidi="he-IL"/>
        </w:rPr>
        <w:t xml:space="preserve"> </w:t>
      </w:r>
      <w:r>
        <w:rPr>
          <w:rStyle w:val="italicus"/>
          <w:lang w:val="en-US"/>
        </w:rPr>
        <w:t>Ad Smyrn</w:t>
      </w:r>
      <w:r w:rsidRPr="00A74F01">
        <w:rPr>
          <w:rStyle w:val="italicus"/>
          <w:lang w:val="en-US"/>
        </w:rPr>
        <w:t xml:space="preserve">., </w:t>
      </w:r>
      <w:r w:rsidRPr="00C8701B">
        <w:rPr>
          <w:rFonts w:eastAsia="Arial Unicode MS"/>
          <w:bCs/>
          <w:lang w:val="en-US" w:eastAsia="fr-FR" w:bidi="he-IL"/>
        </w:rPr>
        <w:t>7.</w:t>
      </w:r>
    </w:p>
  </w:footnote>
  <w:footnote w:id="482">
    <w:p w:rsidR="00941AA6" w:rsidRPr="007E5BA5" w:rsidRDefault="00941AA6">
      <w:pPr>
        <w:pStyle w:val="Notedebasdepage"/>
        <w:rPr>
          <w:lang w:val="en-GB"/>
        </w:rPr>
      </w:pPr>
      <w:r w:rsidRPr="00C406FF">
        <w:rPr>
          <w:rStyle w:val="Appelnotedebasdep"/>
        </w:rPr>
        <w:footnoteRef/>
      </w:r>
      <w:r w:rsidRPr="00C8701B">
        <w:rPr>
          <w:rFonts w:eastAsia="Arial Unicode MS"/>
          <w:lang w:val="en-US" w:eastAsia="fr-FR" w:bidi="he-IL"/>
        </w:rPr>
        <w:t xml:space="preserve"> </w:t>
      </w:r>
      <w:r>
        <w:rPr>
          <w:rFonts w:eastAsia="Arial Unicode MS"/>
          <w:bCs/>
          <w:lang w:val="en-US" w:eastAsia="fr-FR" w:bidi="he-IL"/>
        </w:rPr>
        <w:t>S</w:t>
      </w:r>
      <w:r w:rsidRPr="00F414C0">
        <w:rPr>
          <w:lang w:val="en-GB"/>
        </w:rPr>
        <w:t>. Ignace</w:t>
      </w:r>
      <w:r w:rsidRPr="00C8701B">
        <w:rPr>
          <w:rFonts w:eastAsia="Arial Unicode MS"/>
          <w:bCs/>
          <w:lang w:val="en-US" w:eastAsia="fr-FR" w:bidi="he-IL"/>
        </w:rPr>
        <w:t xml:space="preserve"> dit encore</w:t>
      </w:r>
      <w:r>
        <w:rPr>
          <w:rFonts w:eastAsia="Arial Unicode MS"/>
          <w:bCs/>
          <w:lang w:val="en-US" w:eastAsia="fr-FR" w:bidi="he-IL"/>
        </w:rPr>
        <w:t xml:space="preserve">, </w:t>
      </w:r>
      <w:r w:rsidRPr="00A74F01">
        <w:rPr>
          <w:rStyle w:val="italicus"/>
          <w:lang w:val="en-US"/>
        </w:rPr>
        <w:t xml:space="preserve">loc. cit., </w:t>
      </w:r>
      <w:r w:rsidRPr="00C8701B">
        <w:rPr>
          <w:rFonts w:eastAsia="Arial Unicode MS"/>
          <w:bCs/>
          <w:lang w:val="en-US" w:eastAsia="fr-FR" w:bidi="he-IL"/>
        </w:rPr>
        <w:t>8 : « </w:t>
      </w:r>
      <w:r>
        <w:rPr>
          <w:rFonts w:eastAsia="Arial Unicode MS"/>
          <w:bCs/>
          <w:lang w:val="en-US" w:eastAsia="fr-FR" w:bidi="he-IL"/>
        </w:rPr>
        <w:t>confugiá</w:t>
      </w:r>
      <w:r w:rsidRPr="00C8701B">
        <w:rPr>
          <w:rFonts w:eastAsia="Arial Unicode MS"/>
          <w:bCs/>
          <w:lang w:val="en-US" w:eastAsia="fr-FR" w:bidi="he-IL"/>
        </w:rPr>
        <w:t>mus ad Evangélium</w:t>
      </w:r>
      <w:r>
        <w:rPr>
          <w:rFonts w:eastAsia="Arial Unicode MS"/>
          <w:bCs/>
          <w:lang w:val="en-US" w:eastAsia="fr-FR" w:bidi="he-IL"/>
        </w:rPr>
        <w:t xml:space="preserve">, </w:t>
      </w:r>
      <w:r w:rsidRPr="00A74F01">
        <w:rPr>
          <w:rStyle w:val="italicus"/>
          <w:lang w:val="en-US"/>
        </w:rPr>
        <w:t xml:space="preserve">tanquam ad </w:t>
      </w:r>
      <w:r>
        <w:rPr>
          <w:rStyle w:val="italicus"/>
          <w:lang w:val="en-US"/>
        </w:rPr>
        <w:t xml:space="preserve">corporáliter </w:t>
      </w:r>
      <w:r w:rsidRPr="00A74F01">
        <w:rPr>
          <w:rStyle w:val="italicus"/>
          <w:lang w:val="en-US"/>
        </w:rPr>
        <w:t>præséntem Christum</w:t>
      </w:r>
      <w:r w:rsidRPr="00F414C0">
        <w:rPr>
          <w:lang w:val="en-GB"/>
        </w:rPr>
        <w:t> ».</w:t>
      </w:r>
    </w:p>
  </w:footnote>
  <w:footnote w:id="483">
    <w:p w:rsidR="00941AA6" w:rsidRPr="00933C60" w:rsidRDefault="00941AA6">
      <w:pPr>
        <w:pStyle w:val="Notedebasdepage"/>
      </w:pPr>
      <w:r w:rsidRPr="00C406FF">
        <w:rPr>
          <w:rStyle w:val="Appelnotedebasdep"/>
        </w:rPr>
        <w:footnoteRef/>
      </w:r>
      <w:r w:rsidRPr="00C8701B">
        <w:rPr>
          <w:rFonts w:eastAsia="Arial Unicode MS"/>
          <w:lang w:val="en-US" w:eastAsia="fr-FR" w:bidi="he-IL"/>
        </w:rPr>
        <w:t xml:space="preserve"> </w:t>
      </w:r>
      <w:r w:rsidRPr="00C8701B">
        <w:rPr>
          <w:rFonts w:eastAsia="Arial Unicode MS"/>
          <w:bCs/>
          <w:lang w:val="en-US" w:eastAsia="fr-FR" w:bidi="he-IL"/>
        </w:rPr>
        <w:t>Ap. Routh</w:t>
      </w:r>
      <w:r>
        <w:rPr>
          <w:rFonts w:eastAsia="Arial Unicode MS"/>
          <w:bCs/>
          <w:lang w:val="en-US" w:eastAsia="fr-FR" w:bidi="he-IL"/>
        </w:rPr>
        <w:t xml:space="preserve">, </w:t>
      </w:r>
      <w:r>
        <w:rPr>
          <w:rStyle w:val="italicus"/>
          <w:lang w:val="en-US"/>
        </w:rPr>
        <w:t>Relíquiæ</w:t>
      </w:r>
      <w:r w:rsidRPr="00A74F01">
        <w:rPr>
          <w:rStyle w:val="italicus"/>
          <w:lang w:val="en-US"/>
        </w:rPr>
        <w:t xml:space="preserve"> sacræ, </w:t>
      </w:r>
      <w:r w:rsidRPr="00C8701B">
        <w:rPr>
          <w:rFonts w:eastAsia="Arial Unicode MS"/>
          <w:bCs/>
          <w:lang w:val="en-US" w:eastAsia="fr-FR" w:bidi="he-IL"/>
        </w:rPr>
        <w:t>t</w:t>
      </w:r>
      <w:r>
        <w:rPr>
          <w:rFonts w:eastAsia="Arial Unicode MS"/>
          <w:bCs/>
          <w:lang w:val="en-US" w:eastAsia="fr-FR" w:bidi="he-IL"/>
        </w:rPr>
        <w:t xml:space="preserve">. IV, </w:t>
      </w:r>
      <w:r w:rsidRPr="00C8701B">
        <w:rPr>
          <w:rFonts w:eastAsia="Arial Unicode MS"/>
          <w:bCs/>
          <w:lang w:val="en-US" w:eastAsia="fr-FR" w:bidi="he-IL"/>
        </w:rPr>
        <w:t>p. 3.</w:t>
      </w:r>
    </w:p>
  </w:footnote>
  <w:footnote w:id="484">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D’</w:t>
      </w:r>
      <w:r>
        <w:rPr>
          <w:rFonts w:eastAsia="Arial Unicode MS"/>
          <w:bCs/>
          <w:lang w:eastAsia="fr-FR" w:bidi="he-IL"/>
        </w:rPr>
        <w:t>après l</w:t>
      </w:r>
      <w:r w:rsidRPr="00C8701B">
        <w:rPr>
          <w:rFonts w:eastAsia="Arial Unicode MS"/>
          <w:bCs/>
          <w:lang w:eastAsia="fr-FR" w:bidi="he-IL"/>
        </w:rPr>
        <w:t>e grec</w:t>
      </w:r>
      <w:r>
        <w:rPr>
          <w:rFonts w:eastAsia="Arial Unicode MS"/>
          <w:bCs/>
          <w:lang w:eastAsia="fr-FR" w:bidi="he-IL"/>
        </w:rPr>
        <w:t xml:space="preserve">, </w:t>
      </w:r>
      <w:r w:rsidRPr="00C8701B">
        <w:rPr>
          <w:rFonts w:eastAsia="Arial Unicode MS"/>
          <w:bCs/>
          <w:lang w:eastAsia="fr-FR" w:bidi="he-IL"/>
        </w:rPr>
        <w:t>« l’Esprit qui dirige »</w:t>
      </w:r>
      <w:r>
        <w:rPr>
          <w:rFonts w:eastAsia="Arial Unicode MS"/>
          <w:bCs/>
          <w:lang w:eastAsia="fr-FR" w:bidi="he-IL"/>
        </w:rPr>
        <w:t xml:space="preserve">, </w:t>
      </w:r>
      <w:r w:rsidRPr="00C8701B">
        <w:rPr>
          <w:rFonts w:eastAsia="Arial Unicode MS"/>
          <w:bCs/>
          <w:lang w:eastAsia="fr-FR" w:bidi="he-IL"/>
        </w:rPr>
        <w:t>qui a l’hégémonie.</w:t>
      </w:r>
    </w:p>
  </w:footnote>
  <w:footnote w:id="485">
    <w:p w:rsidR="00941AA6" w:rsidRPr="007E5BA5" w:rsidRDefault="00941AA6">
      <w:pPr>
        <w:pStyle w:val="Notedebasdepage"/>
        <w:rPr>
          <w:lang w:val="en-GB"/>
        </w:rPr>
      </w:pPr>
      <w:r w:rsidRPr="00C406FF">
        <w:rPr>
          <w:rStyle w:val="Appelnotedebasdep"/>
        </w:rPr>
        <w:footnoteRef/>
      </w:r>
      <w:r w:rsidRPr="00736374">
        <w:rPr>
          <w:rFonts w:eastAsia="Arial Unicode MS"/>
          <w:bCs/>
          <w:lang w:val="en-GB" w:eastAsia="fr-FR" w:bidi="he-IL"/>
        </w:rPr>
        <w:t xml:space="preserve"> Routh, l. c. t, III, p, 443.</w:t>
      </w:r>
    </w:p>
  </w:footnote>
  <w:footnote w:id="486">
    <w:p w:rsidR="00941AA6" w:rsidRPr="007E5BA5" w:rsidRDefault="00941AA6">
      <w:pPr>
        <w:pStyle w:val="Notedebasdepage"/>
        <w:rPr>
          <w:lang w:val="en-GB"/>
        </w:rPr>
      </w:pPr>
      <w:r w:rsidRPr="00C406FF">
        <w:rPr>
          <w:rStyle w:val="Appelnotedebasdep"/>
        </w:rPr>
        <w:footnoteRef/>
      </w:r>
      <w:r w:rsidRPr="00A74F01">
        <w:rPr>
          <w:rStyle w:val="italicus"/>
          <w:lang w:val="en-US"/>
        </w:rPr>
        <w:t xml:space="preserve"> Ad Atuol.,</w:t>
      </w:r>
      <w:r>
        <w:rPr>
          <w:rStyle w:val="italicus"/>
          <w:lang w:val="en-US"/>
        </w:rPr>
        <w:t xml:space="preserve"> </w:t>
      </w:r>
      <w:r w:rsidRPr="00F414C0">
        <w:rPr>
          <w:lang w:val="en-GB"/>
        </w:rPr>
        <w:t>III, 12.</w:t>
      </w:r>
    </w:p>
  </w:footnote>
  <w:footnote w:id="487">
    <w:p w:rsidR="00941AA6" w:rsidRPr="00933C60" w:rsidRDefault="00941AA6">
      <w:pPr>
        <w:pStyle w:val="Notedebasdepage"/>
      </w:pPr>
      <w:r w:rsidRPr="00C406FF">
        <w:rPr>
          <w:rStyle w:val="Appelnotedebasdep"/>
        </w:rPr>
        <w:footnoteRef/>
      </w:r>
      <w:r w:rsidRPr="00736374">
        <w:rPr>
          <w:rStyle w:val="italicus"/>
        </w:rPr>
        <w:t xml:space="preserve"> Strom., </w:t>
      </w:r>
      <w:r w:rsidRPr="00736374">
        <w:rPr>
          <w:rFonts w:eastAsia="Arial Unicode MS"/>
          <w:bCs/>
          <w:lang w:eastAsia="fr-FR" w:bidi="he-IL"/>
        </w:rPr>
        <w:t>II, 23.</w:t>
      </w:r>
    </w:p>
  </w:footnote>
  <w:footnote w:id="488">
    <w:p w:rsidR="00941AA6" w:rsidRPr="00933C60" w:rsidRDefault="00941AA6">
      <w:pPr>
        <w:pStyle w:val="Notedebasdepage"/>
      </w:pPr>
      <w:r w:rsidRPr="00C406FF">
        <w:rPr>
          <w:rStyle w:val="Appelnotedebasdep"/>
        </w:rPr>
        <w:footnoteRef/>
      </w:r>
      <w:r w:rsidRPr="00F414C0">
        <w:rPr>
          <w:rStyle w:val="italicus"/>
        </w:rPr>
        <w:t xml:space="preserve"> De princ., </w:t>
      </w:r>
      <w:r w:rsidRPr="00F414C0">
        <w:rPr>
          <w:rFonts w:eastAsia="Arial Unicode MS"/>
          <w:bCs/>
          <w:lang w:eastAsia="fr-FR" w:bidi="he-IL"/>
        </w:rPr>
        <w:t>IV, 14.</w:t>
      </w:r>
    </w:p>
  </w:footnote>
  <w:footnote w:id="489">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De consénsu</w:t>
      </w:r>
      <w:r>
        <w:rPr>
          <w:rStyle w:val="italicus"/>
        </w:rPr>
        <w:t xml:space="preserve"> evangelistárum, </w:t>
      </w:r>
      <w:r>
        <w:rPr>
          <w:rFonts w:eastAsia="Arial Unicode MS"/>
          <w:bCs/>
          <w:lang w:eastAsia="fr-FR" w:bidi="he-IL"/>
        </w:rPr>
        <w:t xml:space="preserve">lib. </w:t>
      </w:r>
      <w:r w:rsidRPr="00736374">
        <w:rPr>
          <w:rFonts w:eastAsia="Arial Unicode MS"/>
          <w:bCs/>
          <w:lang w:eastAsia="fr-FR" w:bidi="he-IL"/>
        </w:rPr>
        <w:t>I, n. 54.</w:t>
      </w:r>
    </w:p>
  </w:footnote>
  <w:footnote w:id="490">
    <w:p w:rsidR="00941AA6" w:rsidRPr="00933C60" w:rsidRDefault="00941AA6">
      <w:pPr>
        <w:pStyle w:val="Notedebasdepage"/>
      </w:pPr>
      <w:r w:rsidRPr="00C406FF">
        <w:rPr>
          <w:rStyle w:val="Appelnotedebasdep"/>
        </w:rPr>
        <w:footnoteRef/>
      </w:r>
      <w:r w:rsidRPr="00F414C0">
        <w:rPr>
          <w:rFonts w:eastAsia="Arial Unicode MS"/>
          <w:lang w:val="en-GB" w:eastAsia="fr-FR" w:bidi="he-IL"/>
        </w:rPr>
        <w:t xml:space="preserve"> </w:t>
      </w:r>
      <w:r w:rsidRPr="00F414C0">
        <w:rPr>
          <w:rFonts w:eastAsia="Arial Unicode MS"/>
          <w:bCs/>
          <w:lang w:val="en-GB" w:eastAsia="fr-FR" w:bidi="he-IL"/>
        </w:rPr>
        <w:t xml:space="preserve">Cf. Joan. XVI, 12-13 ; Gal. </w:t>
      </w:r>
      <w:r w:rsidRPr="00736374">
        <w:rPr>
          <w:rFonts w:eastAsia="Arial Unicode MS"/>
          <w:bCs/>
          <w:lang w:val="en-GB" w:eastAsia="fr-FR" w:bidi="he-IL"/>
        </w:rPr>
        <w:t>I, 11-12.</w:t>
      </w:r>
    </w:p>
  </w:footnote>
  <w:footnote w:id="491">
    <w:p w:rsidR="00941AA6" w:rsidRPr="00933C60" w:rsidRDefault="00941AA6" w:rsidP="007E5BA5">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P. 299-301</w:t>
      </w:r>
      <w:r>
        <w:rPr>
          <w:rFonts w:eastAsia="Arial Unicode MS"/>
          <w:bCs/>
          <w:lang w:eastAsia="fr-FR" w:bidi="he-IL"/>
        </w:rPr>
        <w:t xml:space="preserve">, </w:t>
      </w:r>
      <w:r w:rsidRPr="00C8701B">
        <w:rPr>
          <w:rFonts w:eastAsia="Arial Unicode MS"/>
          <w:bCs/>
          <w:lang w:eastAsia="fr-FR" w:bidi="he-IL"/>
        </w:rPr>
        <w:t>d’après la 2</w:t>
      </w:r>
      <w:r w:rsidRPr="007E5BA5">
        <w:rPr>
          <w:rFonts w:eastAsia="Arial Unicode MS"/>
          <w:bCs/>
          <w:vertAlign w:val="superscript"/>
          <w:lang w:eastAsia="fr-FR" w:bidi="he-IL"/>
        </w:rPr>
        <w:t>e</w:t>
      </w:r>
      <w:r>
        <w:rPr>
          <w:rFonts w:eastAsia="Arial Unicode MS"/>
          <w:bCs/>
          <w:lang w:eastAsia="fr-FR" w:bidi="he-IL"/>
        </w:rPr>
        <w:t xml:space="preserve"> </w:t>
      </w:r>
      <w:r w:rsidRPr="00C8701B">
        <w:rPr>
          <w:rFonts w:eastAsia="Arial Unicode MS"/>
          <w:bCs/>
          <w:lang w:eastAsia="fr-FR" w:bidi="he-IL"/>
        </w:rPr>
        <w:t>édition</w:t>
      </w:r>
      <w:r>
        <w:rPr>
          <w:rFonts w:eastAsia="Arial Unicode MS"/>
          <w:bCs/>
          <w:lang w:eastAsia="fr-FR" w:bidi="he-IL"/>
        </w:rPr>
        <w:t xml:space="preserve">, </w:t>
      </w:r>
      <w:r w:rsidRPr="00C8701B">
        <w:rPr>
          <w:rFonts w:eastAsia="Arial Unicode MS"/>
          <w:bCs/>
          <w:lang w:eastAsia="fr-FR" w:bidi="he-IL"/>
        </w:rPr>
        <w:t xml:space="preserve">Paris 1877. </w:t>
      </w:r>
      <w:r w:rsidRPr="00F414C0">
        <w:rPr>
          <w:rFonts w:eastAsia="Arial Unicode MS"/>
          <w:bCs/>
          <w:lang w:val="de-AT" w:eastAsia="fr-FR" w:bidi="he-IL"/>
        </w:rPr>
        <w:t>Voyez aussi F.-X. Kraus</w:t>
      </w:r>
      <w:r w:rsidRPr="00F414C0">
        <w:rPr>
          <w:rStyle w:val="italicus"/>
          <w:lang w:val="de-AT"/>
        </w:rPr>
        <w:t>, Re</w:t>
      </w:r>
      <w:r w:rsidRPr="000819BA">
        <w:rPr>
          <w:rStyle w:val="italicus"/>
          <w:lang w:val="de-AT"/>
        </w:rPr>
        <w:t>al-Encyklopædie. der christ</w:t>
      </w:r>
      <w:r>
        <w:rPr>
          <w:rStyle w:val="italicus"/>
          <w:lang w:val="de-AT"/>
        </w:rPr>
        <w:t>lichen Altert</w:t>
      </w:r>
      <w:r w:rsidRPr="000819BA">
        <w:rPr>
          <w:rStyle w:val="italicus"/>
          <w:lang w:val="de-AT"/>
        </w:rPr>
        <w:t xml:space="preserve">ümer, </w:t>
      </w:r>
      <w:r w:rsidRPr="000819BA">
        <w:rPr>
          <w:rFonts w:eastAsia="Arial Unicode MS"/>
          <w:bCs/>
          <w:lang w:val="de-AT" w:eastAsia="fr-FR" w:bidi="he-IL"/>
        </w:rPr>
        <w:t xml:space="preserve">t. I, </w:t>
      </w:r>
      <w:r>
        <w:rPr>
          <w:rFonts w:eastAsia="Arial Unicode MS"/>
          <w:bCs/>
          <w:lang w:val="de-AT" w:eastAsia="fr-FR" w:bidi="he-IL"/>
        </w:rPr>
        <w:t>p. 45</w:t>
      </w:r>
      <w:r w:rsidRPr="000819BA">
        <w:rPr>
          <w:rFonts w:eastAsia="Arial Unicode MS"/>
          <w:bCs/>
          <w:lang w:val="de-AT" w:eastAsia="fr-FR" w:bidi="he-IL"/>
        </w:rPr>
        <w:t>6-458.</w:t>
      </w:r>
    </w:p>
  </w:footnote>
  <w:footnote w:id="492">
    <w:p w:rsidR="00941AA6" w:rsidRPr="00933C60" w:rsidRDefault="00941AA6">
      <w:pPr>
        <w:pStyle w:val="Notedebasdepage"/>
      </w:pPr>
      <w:r w:rsidRPr="00C406FF">
        <w:rPr>
          <w:rStyle w:val="Appelnotedebasdep"/>
        </w:rPr>
        <w:footnoteRef/>
      </w:r>
      <w:r w:rsidRPr="00C8701B">
        <w:rPr>
          <w:rFonts w:eastAsia="Arial Unicode MS"/>
          <w:bCs/>
          <w:lang w:eastAsia="fr-FR" w:bidi="he-IL"/>
        </w:rPr>
        <w:t xml:space="preserve"> C.-à-d. : Soyez maudit par</w:t>
      </w:r>
      <w:r>
        <w:rPr>
          <w:rStyle w:val="italicus"/>
        </w:rPr>
        <w:t xml:space="preserve"> les</w:t>
      </w:r>
      <w:r w:rsidRPr="00DC4586">
        <w:rPr>
          <w:rStyle w:val="italicus"/>
        </w:rPr>
        <w:t xml:space="preserve"> quatre saints Évangiles du Christ.</w:t>
      </w:r>
    </w:p>
  </w:footnote>
  <w:footnote w:id="493">
    <w:p w:rsidR="00941AA6" w:rsidRPr="007E5BA5" w:rsidRDefault="00941AA6">
      <w:pPr>
        <w:pStyle w:val="Notedebasdepage"/>
      </w:pPr>
      <w:r w:rsidRPr="00C406FF">
        <w:rPr>
          <w:rStyle w:val="Appelnotedebasdep"/>
        </w:rPr>
        <w:footnoteRef/>
      </w:r>
      <w:r>
        <w:t xml:space="preserve"> </w:t>
      </w:r>
      <w:r w:rsidRPr="00C8701B">
        <w:rPr>
          <w:rFonts w:eastAsia="Arial Unicode MS"/>
          <w:bCs/>
          <w:lang w:eastAsia="fr-FR" w:bidi="he-IL"/>
        </w:rPr>
        <w:t xml:space="preserve">pages </w:t>
      </w:r>
      <w:r w:rsidR="00691E6B">
        <w:rPr>
          <w:rFonts w:eastAsia="Arial Unicode MS"/>
          <w:bCs/>
          <w:lang w:eastAsia="fr-FR" w:bidi="he-IL"/>
        </w:rPr>
        <w:fldChar w:fldCharType="begin"/>
      </w:r>
      <w:r w:rsidR="00E87D10">
        <w:rPr>
          <w:rFonts w:eastAsia="Arial Unicode MS"/>
          <w:bCs/>
          <w:lang w:eastAsia="fr-FR" w:bidi="he-IL"/>
        </w:rPr>
        <w:instrText xml:space="preserve"> REF evin060201neanmoins \h </w:instrText>
      </w:r>
      <w:r w:rsidR="00691E6B">
        <w:rPr>
          <w:rFonts w:eastAsia="Arial Unicode MS"/>
          <w:bCs/>
          <w:lang w:eastAsia="fr-FR" w:bidi="he-IL"/>
        </w:rPr>
      </w:r>
      <w:r w:rsidR="00691E6B">
        <w:rPr>
          <w:rFonts w:eastAsia="Arial Unicode MS"/>
          <w:bCs/>
          <w:lang w:eastAsia="fr-FR" w:bidi="he-IL"/>
        </w:rPr>
        <w:fldChar w:fldCharType="end"/>
      </w:r>
      <w:r w:rsidR="00691E6B">
        <w:rPr>
          <w:rFonts w:eastAsia="Arial Unicode MS"/>
          <w:bCs/>
          <w:lang w:eastAsia="fr-FR" w:bidi="he-IL"/>
        </w:rPr>
        <w:fldChar w:fldCharType="begin"/>
      </w:r>
      <w:r w:rsidR="00E87D10">
        <w:rPr>
          <w:rFonts w:eastAsia="Arial Unicode MS"/>
          <w:bCs/>
          <w:lang w:eastAsia="fr-FR" w:bidi="he-IL"/>
        </w:rPr>
        <w:instrText xml:space="preserve"> REF evin0603 \h </w:instrText>
      </w:r>
      <w:r w:rsidR="00691E6B">
        <w:rPr>
          <w:rFonts w:eastAsia="Arial Unicode MS"/>
          <w:bCs/>
          <w:lang w:eastAsia="fr-FR" w:bidi="he-IL"/>
        </w:rPr>
      </w:r>
      <w:r w:rsidR="00691E6B">
        <w:rPr>
          <w:rFonts w:eastAsia="Arial Unicode MS"/>
          <w:bCs/>
          <w:lang w:eastAsia="fr-FR" w:bidi="he-IL"/>
        </w:rPr>
        <w:fldChar w:fldCharType="end"/>
      </w:r>
      <w:r w:rsidR="00691E6B">
        <w:rPr>
          <w:rFonts w:eastAsia="Arial Unicode MS"/>
          <w:bCs/>
          <w:lang w:eastAsia="fr-FR" w:bidi="he-IL"/>
        </w:rPr>
        <w:fldChar w:fldCharType="begin"/>
      </w:r>
      <w:r w:rsidR="00E87D10">
        <w:rPr>
          <w:rFonts w:eastAsia="Arial Unicode MS"/>
          <w:bCs/>
          <w:lang w:eastAsia="fr-FR" w:bidi="he-IL"/>
        </w:rPr>
        <w:instrText xml:space="preserve"> PAGEREF evin060201neanmoins \h </w:instrText>
      </w:r>
      <w:r w:rsidR="00691E6B">
        <w:rPr>
          <w:rFonts w:eastAsia="Arial Unicode MS"/>
          <w:bCs/>
          <w:lang w:eastAsia="fr-FR" w:bidi="he-IL"/>
        </w:rPr>
      </w:r>
      <w:r w:rsidR="00691E6B">
        <w:rPr>
          <w:rFonts w:eastAsia="Arial Unicode MS"/>
          <w:bCs/>
          <w:lang w:eastAsia="fr-FR" w:bidi="he-IL"/>
        </w:rPr>
        <w:fldChar w:fldCharType="separate"/>
      </w:r>
      <w:r w:rsidR="00E87D10">
        <w:rPr>
          <w:rFonts w:eastAsia="Arial Unicode MS"/>
          <w:bCs/>
          <w:noProof/>
          <w:lang w:eastAsia="fr-FR" w:bidi="he-IL"/>
        </w:rPr>
        <w:t>13</w:t>
      </w:r>
      <w:r w:rsidR="00691E6B">
        <w:rPr>
          <w:rFonts w:eastAsia="Arial Unicode MS"/>
          <w:bCs/>
          <w:lang w:eastAsia="fr-FR" w:bidi="he-IL"/>
        </w:rPr>
        <w:fldChar w:fldCharType="end"/>
      </w:r>
      <w:r w:rsidR="00E87D10">
        <w:rPr>
          <w:rFonts w:eastAsia="Arial Unicode MS"/>
          <w:bCs/>
          <w:lang w:eastAsia="fr-FR" w:bidi="he-IL"/>
        </w:rPr>
        <w:t>-</w:t>
      </w:r>
      <w:r w:rsidR="00691E6B">
        <w:rPr>
          <w:rFonts w:eastAsia="Arial Unicode MS"/>
          <w:bCs/>
          <w:lang w:eastAsia="fr-FR" w:bidi="he-IL"/>
        </w:rPr>
        <w:fldChar w:fldCharType="begin"/>
      </w:r>
      <w:r w:rsidR="00E87D10">
        <w:rPr>
          <w:rFonts w:eastAsia="Arial Unicode MS"/>
          <w:bCs/>
          <w:lang w:eastAsia="fr-FR" w:bidi="he-IL"/>
        </w:rPr>
        <w:instrText xml:space="preserve"> PAGEREF evin060202 \h </w:instrText>
      </w:r>
      <w:r w:rsidR="00691E6B">
        <w:rPr>
          <w:rFonts w:eastAsia="Arial Unicode MS"/>
          <w:bCs/>
          <w:lang w:eastAsia="fr-FR" w:bidi="he-IL"/>
        </w:rPr>
      </w:r>
      <w:r w:rsidR="00691E6B">
        <w:rPr>
          <w:rFonts w:eastAsia="Arial Unicode MS"/>
          <w:bCs/>
          <w:lang w:eastAsia="fr-FR" w:bidi="he-IL"/>
        </w:rPr>
        <w:fldChar w:fldCharType="separate"/>
      </w:r>
      <w:r w:rsidR="00E87D10">
        <w:rPr>
          <w:rFonts w:eastAsia="Arial Unicode MS"/>
          <w:bCs/>
          <w:noProof/>
          <w:lang w:eastAsia="fr-FR" w:bidi="he-IL"/>
        </w:rPr>
        <w:t>14</w:t>
      </w:r>
      <w:r w:rsidR="00691E6B">
        <w:rPr>
          <w:rFonts w:eastAsia="Arial Unicode MS"/>
          <w:bCs/>
          <w:lang w:eastAsia="fr-FR" w:bidi="he-IL"/>
        </w:rPr>
        <w:fldChar w:fldCharType="end"/>
      </w:r>
      <w:r>
        <w:rPr>
          <w:rFonts w:eastAsia="Arial Unicode MS"/>
          <w:bCs/>
          <w:lang w:eastAsia="fr-FR" w:bidi="he-IL"/>
        </w:rPr>
        <w:t>[</w:t>
      </w:r>
      <w:r w:rsidRPr="00C8701B">
        <w:rPr>
          <w:rFonts w:eastAsia="Arial Unicode MS"/>
          <w:bCs/>
          <w:lang w:eastAsia="fr-FR" w:bidi="he-IL"/>
        </w:rPr>
        <w:t>16-17</w:t>
      </w:r>
      <w:r>
        <w:rPr>
          <w:rFonts w:eastAsia="Arial Unicode MS"/>
          <w:bCs/>
          <w:lang w:eastAsia="fr-FR" w:bidi="he-IL"/>
        </w:rPr>
        <w:t>].</w:t>
      </w:r>
    </w:p>
  </w:footnote>
  <w:footnote w:id="494">
    <w:p w:rsidR="00941AA6" w:rsidRPr="00933C60" w:rsidRDefault="00941AA6">
      <w:pPr>
        <w:pStyle w:val="Notedebasdepage"/>
      </w:pPr>
      <w:r w:rsidRPr="00C406FF">
        <w:rPr>
          <w:rStyle w:val="Appelnotedebasdep"/>
        </w:rPr>
        <w:footnoteRef/>
      </w:r>
      <w:r w:rsidRPr="00C8701B">
        <w:rPr>
          <w:rFonts w:eastAsia="Arial Unicode MS"/>
          <w:bCs/>
          <w:lang w:eastAsia="fr-FR" w:bidi="he-IL"/>
        </w:rPr>
        <w:t xml:space="preserve"> « C’est pourquoi</w:t>
      </w:r>
      <w:r>
        <w:rPr>
          <w:rFonts w:eastAsia="Arial Unicode MS"/>
          <w:bCs/>
          <w:lang w:eastAsia="fr-FR" w:bidi="he-IL"/>
        </w:rPr>
        <w:t xml:space="preserve">, </w:t>
      </w:r>
      <w:r w:rsidRPr="00C8701B">
        <w:rPr>
          <w:rFonts w:eastAsia="Arial Unicode MS"/>
          <w:bCs/>
          <w:lang w:eastAsia="fr-FR" w:bidi="he-IL"/>
        </w:rPr>
        <w:t>après tant de chefs-d’</w:t>
      </w:r>
      <w:r>
        <w:rPr>
          <w:rFonts w:eastAsia="Arial Unicode MS"/>
          <w:bCs/>
          <w:lang w:eastAsia="fr-FR" w:bidi="he-IL"/>
        </w:rPr>
        <w:t>œuvre des plus</w:t>
      </w:r>
      <w:r w:rsidRPr="00C8701B">
        <w:rPr>
          <w:rFonts w:eastAsia="Arial Unicode MS"/>
          <w:bCs/>
          <w:lang w:eastAsia="fr-FR" w:bidi="he-IL"/>
        </w:rPr>
        <w:t xml:space="preserve"> fameuses littératures</w:t>
      </w:r>
      <w:r>
        <w:rPr>
          <w:rFonts w:eastAsia="Arial Unicode MS"/>
          <w:bCs/>
          <w:lang w:eastAsia="fr-FR" w:bidi="he-IL"/>
        </w:rPr>
        <w:t xml:space="preserve">, </w:t>
      </w:r>
      <w:r w:rsidRPr="00C8701B">
        <w:rPr>
          <w:rFonts w:eastAsia="Arial Unicode MS"/>
          <w:bCs/>
          <w:lang w:eastAsia="fr-FR" w:bidi="he-IL"/>
        </w:rPr>
        <w:t>l’</w:t>
      </w:r>
      <w:r>
        <w:rPr>
          <w:rFonts w:eastAsia="Arial Unicode MS"/>
          <w:bCs/>
          <w:lang w:eastAsia="fr-FR" w:bidi="he-IL"/>
        </w:rPr>
        <w:t>Évang</w:t>
      </w:r>
      <w:r w:rsidRPr="00C8701B">
        <w:rPr>
          <w:rFonts w:eastAsia="Arial Unicode MS"/>
          <w:bCs/>
          <w:lang w:eastAsia="fr-FR" w:bidi="he-IL"/>
        </w:rPr>
        <w:t>ile est demeuré un livre unique au monde</w:t>
      </w:r>
      <w:r>
        <w:rPr>
          <w:rFonts w:eastAsia="Arial Unicode MS"/>
          <w:bCs/>
          <w:lang w:eastAsia="fr-FR" w:bidi="he-IL"/>
        </w:rPr>
        <w:t xml:space="preserve">, </w:t>
      </w:r>
      <w:r w:rsidRPr="00C8701B">
        <w:rPr>
          <w:rFonts w:eastAsia="Arial Unicode MS"/>
          <w:bCs/>
          <w:lang w:eastAsia="fr-FR" w:bidi="he-IL"/>
        </w:rPr>
        <w:t>u</w:t>
      </w:r>
      <w:r>
        <w:rPr>
          <w:rFonts w:eastAsia="Arial Unicode MS"/>
          <w:bCs/>
          <w:lang w:eastAsia="fr-FR" w:bidi="he-IL"/>
        </w:rPr>
        <w:t>n livre reconnu inac</w:t>
      </w:r>
      <w:r w:rsidRPr="00C8701B">
        <w:rPr>
          <w:rFonts w:eastAsia="Arial Unicode MS"/>
          <w:bCs/>
          <w:lang w:eastAsia="fr-FR" w:bidi="he-IL"/>
        </w:rPr>
        <w:t>c</w:t>
      </w:r>
      <w:r>
        <w:rPr>
          <w:rFonts w:eastAsia="Arial Unicode MS"/>
          <w:bCs/>
          <w:lang w:eastAsia="fr-FR" w:bidi="he-IL"/>
        </w:rPr>
        <w:t>e</w:t>
      </w:r>
      <w:r w:rsidRPr="00C8701B">
        <w:rPr>
          <w:rFonts w:eastAsia="Arial Unicode MS"/>
          <w:bCs/>
          <w:lang w:eastAsia="fr-FR" w:bidi="he-IL"/>
        </w:rPr>
        <w:t>ssible à l’imitation ». L</w:t>
      </w:r>
      <w:r>
        <w:rPr>
          <w:rFonts w:eastAsia="Arial Unicode MS"/>
          <w:bCs/>
          <w:lang w:eastAsia="fr-FR" w:bidi="he-IL"/>
        </w:rPr>
        <w:t>a</w:t>
      </w:r>
      <w:r w:rsidRPr="00C8701B">
        <w:rPr>
          <w:rFonts w:eastAsia="Arial Unicode MS"/>
          <w:bCs/>
          <w:lang w:eastAsia="fr-FR" w:bidi="he-IL"/>
        </w:rPr>
        <w:t>cordaire</w:t>
      </w:r>
      <w:r>
        <w:rPr>
          <w:rFonts w:eastAsia="Arial Unicode MS"/>
          <w:bCs/>
          <w:lang w:eastAsia="fr-FR" w:bidi="he-IL"/>
        </w:rPr>
        <w:t xml:space="preserve">, </w:t>
      </w:r>
      <w:r w:rsidRPr="00DC4586">
        <w:rPr>
          <w:rStyle w:val="italicus"/>
        </w:rPr>
        <w:t>Conférences de Notre-Dame de Paris</w:t>
      </w:r>
      <w:r>
        <w:rPr>
          <w:rStyle w:val="italicus"/>
        </w:rPr>
        <w:t xml:space="preserve">, </w:t>
      </w:r>
      <w:r w:rsidRPr="00C8701B">
        <w:rPr>
          <w:rFonts w:eastAsia="Arial Unicode MS"/>
          <w:bCs/>
          <w:lang w:eastAsia="fr-FR" w:bidi="he-IL"/>
        </w:rPr>
        <w:t>Paris 1855</w:t>
      </w:r>
      <w:r>
        <w:rPr>
          <w:rFonts w:eastAsia="Arial Unicode MS"/>
          <w:bCs/>
          <w:lang w:eastAsia="fr-FR" w:bidi="he-IL"/>
        </w:rPr>
        <w:t xml:space="preserve">, </w:t>
      </w:r>
      <w:r w:rsidRPr="00C8701B">
        <w:rPr>
          <w:rFonts w:eastAsia="Arial Unicode MS"/>
          <w:bCs/>
          <w:lang w:eastAsia="fr-FR" w:bidi="he-IL"/>
        </w:rPr>
        <w:t>p. 429. « Dans l’</w:t>
      </w:r>
      <w:r>
        <w:rPr>
          <w:rFonts w:eastAsia="Arial Unicode MS"/>
          <w:bCs/>
          <w:lang w:eastAsia="fr-FR" w:bidi="he-IL"/>
        </w:rPr>
        <w:t xml:space="preserve">Évangile, </w:t>
      </w:r>
      <w:r w:rsidRPr="00C8701B">
        <w:rPr>
          <w:rFonts w:eastAsia="Arial Unicode MS"/>
          <w:bCs/>
          <w:lang w:eastAsia="fr-FR" w:bidi="he-IL"/>
        </w:rPr>
        <w:t>c’est le calme de la possession</w:t>
      </w:r>
      <w:r>
        <w:rPr>
          <w:rFonts w:eastAsia="Arial Unicode MS"/>
          <w:bCs/>
          <w:lang w:eastAsia="fr-FR" w:bidi="he-IL"/>
        </w:rPr>
        <w:t>, la paix</w:t>
      </w:r>
      <w:r w:rsidRPr="00C8701B">
        <w:rPr>
          <w:rFonts w:eastAsia="Arial Unicode MS"/>
          <w:bCs/>
          <w:lang w:eastAsia="fr-FR" w:bidi="he-IL"/>
        </w:rPr>
        <w:t xml:space="preserve"> ravissante qui suit un immense désir satisfait</w:t>
      </w:r>
      <w:r>
        <w:rPr>
          <w:rFonts w:eastAsia="Arial Unicode MS"/>
          <w:bCs/>
          <w:lang w:eastAsia="fr-FR" w:bidi="he-IL"/>
        </w:rPr>
        <w:t xml:space="preserve">, </w:t>
      </w:r>
      <w:r w:rsidRPr="00C8701B">
        <w:rPr>
          <w:rFonts w:eastAsia="Arial Unicode MS"/>
          <w:bCs/>
          <w:lang w:eastAsia="fr-FR" w:bidi="he-IL"/>
        </w:rPr>
        <w:t>la tranquillité sereine du ciel même. Celui que la terre attendait est venu :</w:t>
      </w:r>
      <w:r>
        <w:rPr>
          <w:rStyle w:val="italicus"/>
        </w:rPr>
        <w:t xml:space="preserve"> </w:t>
      </w:r>
      <w:r w:rsidRPr="00F414C0">
        <w:rPr>
          <w:rStyle w:val="italicus"/>
        </w:rPr>
        <w:t>Le Verbe s’est fait chair et il a habité parmi nous, et nous avons vu sa gloire, la gloire du Fils unique du Père</w:t>
      </w:r>
      <w:r>
        <w:rPr>
          <w:rFonts w:eastAsia="Arial Unicode MS"/>
          <w:bCs/>
          <w:lang w:eastAsia="fr-FR" w:bidi="he-IL"/>
        </w:rPr>
        <w:t xml:space="preserve"> ; </w:t>
      </w:r>
      <w:r w:rsidRPr="00C8701B">
        <w:rPr>
          <w:rFonts w:eastAsia="Arial Unicode MS"/>
          <w:bCs/>
          <w:lang w:eastAsia="fr-FR" w:bidi="he-IL"/>
        </w:rPr>
        <w:t>pour nous élever jusqu’</w:t>
      </w:r>
      <w:r>
        <w:rPr>
          <w:rFonts w:eastAsia="Arial Unicode MS"/>
          <w:bCs/>
          <w:lang w:eastAsia="fr-FR" w:bidi="he-IL"/>
        </w:rPr>
        <w:t>à lui,</w:t>
      </w:r>
      <w:r w:rsidRPr="00C8701B">
        <w:rPr>
          <w:rFonts w:eastAsia="Arial Unicode MS"/>
          <w:bCs/>
          <w:lang w:eastAsia="fr-FR" w:bidi="he-IL"/>
        </w:rPr>
        <w:t xml:space="preserve"> il vient à nous</w:t>
      </w:r>
      <w:r w:rsidRPr="00DC4586">
        <w:rPr>
          <w:rStyle w:val="italicus"/>
        </w:rPr>
        <w:t xml:space="preserve"> plein de douceur.</w:t>
      </w:r>
      <w:r w:rsidRPr="00C8701B">
        <w:rPr>
          <w:rFonts w:eastAsia="Arial Unicode MS"/>
          <w:bCs/>
          <w:lang w:eastAsia="fr-FR" w:bidi="he-IL"/>
        </w:rPr>
        <w:t xml:space="preserve"> Sa parole est simple</w:t>
      </w:r>
      <w:r>
        <w:rPr>
          <w:rFonts w:eastAsia="Arial Unicode MS"/>
          <w:bCs/>
          <w:lang w:eastAsia="fr-FR" w:bidi="he-IL"/>
        </w:rPr>
        <w:t xml:space="preserve">, </w:t>
      </w:r>
      <w:r w:rsidRPr="00C8701B">
        <w:rPr>
          <w:rFonts w:eastAsia="Arial Unicode MS"/>
          <w:bCs/>
          <w:lang w:eastAsia="fr-FR" w:bidi="he-IL"/>
        </w:rPr>
        <w:t>et cette parole est visiblement celle d’un Dieu. Voyez</w:t>
      </w:r>
      <w:r>
        <w:rPr>
          <w:rFonts w:eastAsia="Arial Unicode MS"/>
          <w:bCs/>
          <w:lang w:eastAsia="fr-FR" w:bidi="he-IL"/>
        </w:rPr>
        <w:t xml:space="preserve">, </w:t>
      </w:r>
      <w:r w:rsidRPr="00C8701B">
        <w:rPr>
          <w:rFonts w:eastAsia="Arial Unicode MS"/>
          <w:bCs/>
          <w:lang w:eastAsia="fr-FR" w:bidi="he-IL"/>
        </w:rPr>
        <w:t>dans saint Jean</w:t>
      </w:r>
      <w:r>
        <w:rPr>
          <w:rFonts w:eastAsia="Arial Unicode MS"/>
          <w:bCs/>
          <w:lang w:eastAsia="fr-FR" w:bidi="he-IL"/>
        </w:rPr>
        <w:t xml:space="preserve">, </w:t>
      </w:r>
      <w:r w:rsidRPr="00C8701B">
        <w:rPr>
          <w:rFonts w:eastAsia="Arial Unicode MS"/>
          <w:bCs/>
          <w:lang w:eastAsia="fr-FR" w:bidi="he-IL"/>
        </w:rPr>
        <w:t>l’entretien avec la Samaritaine :</w:t>
      </w:r>
      <w:r w:rsidRPr="00C8701B">
        <w:rPr>
          <w:rFonts w:eastAsia="Arial Unicode MS"/>
          <w:lang w:eastAsia="fr-FR" w:bidi="he-IL"/>
        </w:rPr>
        <w:t xml:space="preserve"> voyez</w:t>
      </w:r>
      <w:r w:rsidRPr="00C8701B">
        <w:rPr>
          <w:rFonts w:eastAsia="Arial Unicode MS"/>
          <w:bCs/>
          <w:lang w:eastAsia="fr-FR" w:bidi="he-IL"/>
        </w:rPr>
        <w:t xml:space="preserve"> le sermon sur la montagne </w:t>
      </w:r>
      <w:r>
        <w:rPr>
          <w:rFonts w:eastAsia="Arial Unicode MS"/>
          <w:bCs/>
          <w:lang w:eastAsia="fr-FR" w:bidi="he-IL"/>
        </w:rPr>
        <w:t xml:space="preserve">; </w:t>
      </w:r>
      <w:r w:rsidRPr="00C8701B">
        <w:rPr>
          <w:rFonts w:eastAsia="Arial Unicode MS"/>
          <w:bCs/>
          <w:lang w:eastAsia="fr-FR" w:bidi="he-IL"/>
        </w:rPr>
        <w:t>le discours après la Cène</w:t>
      </w:r>
      <w:r>
        <w:rPr>
          <w:rFonts w:eastAsia="Arial Unicode MS"/>
          <w:bCs/>
          <w:lang w:eastAsia="fr-FR" w:bidi="he-IL"/>
        </w:rPr>
        <w:t xml:space="preserve">, </w:t>
      </w:r>
      <w:r w:rsidRPr="00C8701B">
        <w:rPr>
          <w:rFonts w:eastAsia="Arial Unicode MS"/>
          <w:bCs/>
          <w:lang w:eastAsia="fr-FR" w:bidi="he-IL"/>
        </w:rPr>
        <w:t>dont c</w:t>
      </w:r>
      <w:r>
        <w:rPr>
          <w:rFonts w:eastAsia="Arial Unicode MS"/>
          <w:bCs/>
          <w:lang w:eastAsia="fr-FR" w:bidi="he-IL"/>
        </w:rPr>
        <w:t>haque mot est une source de vérit</w:t>
      </w:r>
      <w:r w:rsidRPr="00C8701B">
        <w:rPr>
          <w:rFonts w:eastAsia="Arial Unicode MS"/>
          <w:bCs/>
          <w:lang w:eastAsia="fr-FR" w:bidi="he-IL"/>
        </w:rPr>
        <w:t>é et d’amour</w:t>
      </w:r>
      <w:r>
        <w:rPr>
          <w:rFonts w:eastAsia="Arial Unicode MS"/>
          <w:bCs/>
          <w:lang w:eastAsia="fr-FR" w:bidi="he-IL"/>
        </w:rPr>
        <w:t xml:space="preserve">, </w:t>
      </w:r>
      <w:r w:rsidRPr="00C8701B">
        <w:rPr>
          <w:rFonts w:eastAsia="Arial Unicode MS"/>
          <w:bCs/>
          <w:lang w:eastAsia="fr-FR" w:bidi="he-IL"/>
        </w:rPr>
        <w:t xml:space="preserve">inépuisable ici-bas à notre cœur et </w:t>
      </w:r>
      <w:r>
        <w:rPr>
          <w:rFonts w:eastAsia="Arial Unicode MS"/>
          <w:bCs/>
          <w:lang w:eastAsia="fr-FR" w:bidi="he-IL"/>
        </w:rPr>
        <w:t xml:space="preserve">à notre intelligence ; </w:t>
      </w:r>
      <w:r w:rsidRPr="00C8701B">
        <w:rPr>
          <w:rFonts w:eastAsia="Arial Unicode MS"/>
          <w:bCs/>
          <w:lang w:eastAsia="fr-FR" w:bidi="he-IL"/>
        </w:rPr>
        <w:t>voyez le récit de</w:t>
      </w:r>
      <w:r>
        <w:rPr>
          <w:rFonts w:eastAsia="Arial Unicode MS"/>
          <w:bCs/>
          <w:lang w:eastAsia="fr-FR" w:bidi="he-IL"/>
        </w:rPr>
        <w:t xml:space="preserve"> la</w:t>
      </w:r>
      <w:r w:rsidRPr="00C8701B">
        <w:rPr>
          <w:rFonts w:eastAsia="Arial Unicode MS"/>
          <w:bCs/>
          <w:lang w:eastAsia="fr-FR" w:bidi="he-IL"/>
        </w:rPr>
        <w:t xml:space="preserve"> passion </w:t>
      </w:r>
      <w:r>
        <w:rPr>
          <w:rFonts w:eastAsia="Arial Unicode MS"/>
          <w:bCs/>
          <w:lang w:eastAsia="fr-FR" w:bidi="he-IL"/>
        </w:rPr>
        <w:t xml:space="preserve">; </w:t>
      </w:r>
      <w:r w:rsidRPr="00C8701B">
        <w:rPr>
          <w:rFonts w:eastAsia="Arial Unicode MS"/>
          <w:bCs/>
          <w:lang w:eastAsia="fr-FR" w:bidi="he-IL"/>
        </w:rPr>
        <w:t>voyez tout</w:t>
      </w:r>
      <w:r>
        <w:rPr>
          <w:rFonts w:eastAsia="Arial Unicode MS"/>
          <w:bCs/>
          <w:lang w:eastAsia="fr-FR" w:bidi="he-IL"/>
        </w:rPr>
        <w:t xml:space="preserve">, </w:t>
      </w:r>
      <w:r w:rsidRPr="00C8701B">
        <w:rPr>
          <w:rFonts w:eastAsia="Arial Unicode MS"/>
          <w:bCs/>
          <w:lang w:eastAsia="fr-FR" w:bidi="he-IL"/>
        </w:rPr>
        <w:t>car tout est également divin.</w:t>
      </w:r>
      <w:r>
        <w:rPr>
          <w:rStyle w:val="italicus"/>
        </w:rPr>
        <w:t xml:space="preserve"> Beaucoup de p</w:t>
      </w:r>
      <w:r w:rsidRPr="00DC4586">
        <w:rPr>
          <w:rStyle w:val="italicus"/>
        </w:rPr>
        <w:t>êchés lui</w:t>
      </w:r>
      <w:r>
        <w:rPr>
          <w:rStyle w:val="italicus"/>
        </w:rPr>
        <w:t xml:space="preserve"> </w:t>
      </w:r>
      <w:r w:rsidRPr="00DC4586">
        <w:rPr>
          <w:rStyle w:val="italicus"/>
        </w:rPr>
        <w:t>sont remis</w:t>
      </w:r>
      <w:r>
        <w:rPr>
          <w:rStyle w:val="italicus"/>
        </w:rPr>
        <w:t xml:space="preserve">, </w:t>
      </w:r>
      <w:r w:rsidRPr="00DC4586">
        <w:rPr>
          <w:rStyle w:val="italicus"/>
        </w:rPr>
        <w:t>parce qu’elle a beaucoup aimé. La</w:t>
      </w:r>
      <w:r>
        <w:rPr>
          <w:rStyle w:val="italicus"/>
        </w:rPr>
        <w:t>issez les petits enfants venir à moi. Venez à mo</w:t>
      </w:r>
      <w:r w:rsidRPr="00DC4586">
        <w:rPr>
          <w:rStyle w:val="italicus"/>
        </w:rPr>
        <w:t>i</w:t>
      </w:r>
      <w:r>
        <w:rPr>
          <w:rStyle w:val="italicus"/>
        </w:rPr>
        <w:t xml:space="preserve">, </w:t>
      </w:r>
      <w:r w:rsidRPr="00DC4586">
        <w:rPr>
          <w:rStyle w:val="italicus"/>
        </w:rPr>
        <w:t>vous qui souffrez et qui êtes oppressés</w:t>
      </w:r>
      <w:r>
        <w:rPr>
          <w:rStyle w:val="italicus"/>
        </w:rPr>
        <w:t xml:space="preserve">, </w:t>
      </w:r>
      <w:r w:rsidRPr="00DC4586">
        <w:rPr>
          <w:rStyle w:val="italicus"/>
        </w:rPr>
        <w:t>et je vous ranimerai </w:t>
      </w:r>
      <w:r>
        <w:rPr>
          <w:rStyle w:val="italicus"/>
        </w:rPr>
        <w:t xml:space="preserve">; </w:t>
      </w:r>
      <w:r w:rsidRPr="00DC4586">
        <w:rPr>
          <w:rStyle w:val="italicus"/>
        </w:rPr>
        <w:t>Prenez mon joug sur vous</w:t>
      </w:r>
      <w:r>
        <w:rPr>
          <w:rStyle w:val="italicus"/>
        </w:rPr>
        <w:t xml:space="preserve">, </w:t>
      </w:r>
      <w:r w:rsidRPr="00DC4586">
        <w:rPr>
          <w:rStyle w:val="italicus"/>
        </w:rPr>
        <w:t>et apprenez de m</w:t>
      </w:r>
      <w:r>
        <w:rPr>
          <w:rStyle w:val="italicus"/>
        </w:rPr>
        <w:t>oi que je suis doux et humble de</w:t>
      </w:r>
      <w:r w:rsidRPr="00DC4586">
        <w:rPr>
          <w:rStyle w:val="italicus"/>
        </w:rPr>
        <w:t xml:space="preserve"> cœur</w:t>
      </w:r>
      <w:r>
        <w:rPr>
          <w:rStyle w:val="italicus"/>
        </w:rPr>
        <w:t xml:space="preserve">, </w:t>
      </w:r>
      <w:r w:rsidRPr="00DC4586">
        <w:rPr>
          <w:rStyle w:val="italicus"/>
        </w:rPr>
        <w:t>et vous</w:t>
      </w:r>
      <w:r>
        <w:rPr>
          <w:rStyle w:val="italicus"/>
        </w:rPr>
        <w:t xml:space="preserve"> </w:t>
      </w:r>
      <w:r w:rsidRPr="00DC4586">
        <w:rPr>
          <w:rStyle w:val="italicus"/>
        </w:rPr>
        <w:t>trouver</w:t>
      </w:r>
      <w:r>
        <w:rPr>
          <w:rStyle w:val="italicus"/>
        </w:rPr>
        <w:t>ez-</w:t>
      </w:r>
      <w:r w:rsidRPr="00DC4586">
        <w:rPr>
          <w:rStyle w:val="italicus"/>
        </w:rPr>
        <w:t>l</w:t>
      </w:r>
      <w:r>
        <w:rPr>
          <w:rStyle w:val="italicus"/>
        </w:rPr>
        <w:t xml:space="preserve">e repos de vos âmes ; </w:t>
      </w:r>
      <w:r w:rsidRPr="00DC4586">
        <w:rPr>
          <w:rStyle w:val="italicus"/>
        </w:rPr>
        <w:t>car mon joug est aimable et mon fardeau léger.</w:t>
      </w:r>
      <w:r w:rsidRPr="00C8701B">
        <w:rPr>
          <w:rFonts w:eastAsia="Arial Unicode MS"/>
          <w:bCs/>
          <w:lang w:eastAsia="fr-FR" w:bidi="he-IL"/>
        </w:rPr>
        <w:t xml:space="preserve"> Jamais rien de semblable ne </w:t>
      </w:r>
      <w:r w:rsidRPr="00C8701B">
        <w:rPr>
          <w:rFonts w:eastAsia="Arial Unicode MS"/>
          <w:lang w:eastAsia="fr-FR" w:bidi="he-IL"/>
        </w:rPr>
        <w:t>sortit</w:t>
      </w:r>
      <w:r w:rsidRPr="00C8701B">
        <w:rPr>
          <w:rFonts w:eastAsia="Arial Unicode MS"/>
          <w:bCs/>
          <w:lang w:eastAsia="fr-FR" w:bidi="he-IL"/>
        </w:rPr>
        <w:t xml:space="preserve"> d</w:t>
      </w:r>
      <w:r w:rsidRPr="00C8701B">
        <w:rPr>
          <w:rFonts w:eastAsia="Arial Unicode MS"/>
          <w:lang w:eastAsia="fr-FR" w:bidi="he-IL"/>
        </w:rPr>
        <w:t>’une</w:t>
      </w:r>
      <w:r w:rsidRPr="00C8701B">
        <w:rPr>
          <w:rFonts w:eastAsia="Arial Unicode MS"/>
          <w:bCs/>
          <w:lang w:eastAsia="fr-FR" w:bidi="he-IL"/>
        </w:rPr>
        <w:t xml:space="preserve"> bouche humaine. Et cette prière qui contient tout ce qu’une créature peut demander</w:t>
      </w:r>
      <w:r>
        <w:rPr>
          <w:rFonts w:eastAsia="Arial Unicode MS"/>
          <w:bCs/>
          <w:lang w:eastAsia="fr-FR" w:bidi="he-IL"/>
        </w:rPr>
        <w:t xml:space="preserve">, </w:t>
      </w:r>
      <w:r w:rsidRPr="00C8701B">
        <w:rPr>
          <w:rFonts w:eastAsia="Arial Unicode MS"/>
          <w:bCs/>
          <w:lang w:eastAsia="fr-FR" w:bidi="he-IL"/>
        </w:rPr>
        <w:t>tout ce qu’elle peut désirer </w:t>
      </w:r>
      <w:r>
        <w:rPr>
          <w:rFonts w:eastAsia="Arial Unicode MS"/>
          <w:bCs/>
          <w:lang w:eastAsia="fr-FR" w:bidi="he-IL"/>
        </w:rPr>
        <w:t xml:space="preserve">; </w:t>
      </w:r>
      <w:r w:rsidRPr="00C8701B">
        <w:rPr>
          <w:rFonts w:eastAsia="Arial Unicode MS"/>
          <w:bCs/>
          <w:lang w:eastAsia="fr-FR" w:bidi="he-IL"/>
        </w:rPr>
        <w:t>cette prière merveilleuse qui est c</w:t>
      </w:r>
      <w:r>
        <w:rPr>
          <w:rFonts w:eastAsia="Arial Unicode MS"/>
          <w:bCs/>
          <w:lang w:eastAsia="fr-FR" w:bidi="he-IL"/>
        </w:rPr>
        <w:t>omme le lien du ciel et de la t</w:t>
      </w:r>
      <w:r w:rsidRPr="00C8701B">
        <w:rPr>
          <w:rFonts w:eastAsia="Arial Unicode MS"/>
          <w:bCs/>
          <w:lang w:eastAsia="fr-FR" w:bidi="he-IL"/>
        </w:rPr>
        <w:t>erre</w:t>
      </w:r>
      <w:r>
        <w:rPr>
          <w:rFonts w:eastAsia="Arial Unicode MS"/>
          <w:bCs/>
          <w:lang w:eastAsia="fr-FR" w:bidi="he-IL"/>
        </w:rPr>
        <w:t xml:space="preserve">, </w:t>
      </w:r>
      <w:r w:rsidRPr="00C8701B">
        <w:rPr>
          <w:rFonts w:eastAsia="Arial Unicode MS"/>
          <w:bCs/>
          <w:lang w:eastAsia="fr-FR" w:bidi="he-IL"/>
        </w:rPr>
        <w:t>est-elle d’un homme ?</w:t>
      </w:r>
      <w:r>
        <w:rPr>
          <w:rFonts w:eastAsia="Arial Unicode MS"/>
          <w:bCs/>
          <w:lang w:eastAsia="fr-FR" w:bidi="he-IL"/>
        </w:rPr>
        <w:t xml:space="preserve"> </w:t>
      </w:r>
      <w:r w:rsidRPr="00C8701B">
        <w:rPr>
          <w:rFonts w:eastAsia="Arial Unicode MS"/>
          <w:bCs/>
          <w:lang w:eastAsia="fr-FR" w:bidi="he-IL"/>
        </w:rPr>
        <w:t>Est-ce un</w:t>
      </w:r>
      <w:r>
        <w:rPr>
          <w:rFonts w:eastAsia="Arial Unicode MS"/>
          <w:bCs/>
          <w:lang w:eastAsia="fr-FR" w:bidi="he-IL"/>
        </w:rPr>
        <w:t xml:space="preserve"> </w:t>
      </w:r>
      <w:r w:rsidRPr="00C8701B">
        <w:rPr>
          <w:rFonts w:eastAsia="Arial Unicode MS"/>
          <w:bCs/>
          <w:lang w:eastAsia="fr-FR" w:bidi="he-IL"/>
        </w:rPr>
        <w:t>homme</w:t>
      </w:r>
      <w:r>
        <w:rPr>
          <w:rFonts w:eastAsia="Arial Unicode MS"/>
          <w:bCs/>
          <w:lang w:eastAsia="fr-FR" w:bidi="he-IL"/>
        </w:rPr>
        <w:t xml:space="preserve"> </w:t>
      </w:r>
      <w:r w:rsidRPr="00C8701B">
        <w:rPr>
          <w:rFonts w:eastAsia="Arial Unicode MS"/>
          <w:bCs/>
          <w:lang w:eastAsia="fr-FR" w:bidi="he-IL"/>
        </w:rPr>
        <w:t>qui a</w:t>
      </w:r>
      <w:r>
        <w:rPr>
          <w:rFonts w:eastAsia="Arial Unicode MS"/>
          <w:bCs/>
          <w:lang w:eastAsia="fr-FR" w:bidi="he-IL"/>
        </w:rPr>
        <w:t xml:space="preserve"> </w:t>
      </w:r>
      <w:r w:rsidRPr="00C8701B">
        <w:rPr>
          <w:rFonts w:eastAsia="Arial Unicode MS"/>
          <w:bCs/>
          <w:lang w:eastAsia="fr-FR" w:bidi="he-IL"/>
        </w:rPr>
        <w:t>dit</w:t>
      </w:r>
      <w:r w:rsidRPr="00DC4586">
        <w:rPr>
          <w:rStyle w:val="italicus"/>
        </w:rPr>
        <w:t xml:space="preserve"> Tout est consommé ? </w:t>
      </w:r>
      <w:r w:rsidRPr="00C8701B">
        <w:rPr>
          <w:rFonts w:eastAsia="Arial Unicode MS"/>
          <w:bCs/>
          <w:lang w:eastAsia="fr-FR" w:bidi="he-IL"/>
        </w:rPr>
        <w:t>Non</w:t>
      </w:r>
      <w:r>
        <w:rPr>
          <w:rFonts w:eastAsia="Arial Unicode MS"/>
          <w:bCs/>
          <w:lang w:eastAsia="fr-FR" w:bidi="he-IL"/>
        </w:rPr>
        <w:t>,</w:t>
      </w:r>
      <w:r w:rsidRPr="00C8701B">
        <w:rPr>
          <w:rFonts w:eastAsia="Arial Unicode MS"/>
          <w:bCs/>
          <w:lang w:eastAsia="fr-FR" w:bidi="he-IL"/>
        </w:rPr>
        <w:t xml:space="preserve"> non</w:t>
      </w:r>
      <w:r>
        <w:rPr>
          <w:rFonts w:eastAsia="Arial Unicode MS"/>
          <w:bCs/>
          <w:lang w:eastAsia="fr-FR" w:bidi="he-IL"/>
        </w:rPr>
        <w:t>,</w:t>
      </w:r>
      <w:r w:rsidRPr="00C8701B">
        <w:rPr>
          <w:rFonts w:eastAsia="Arial Unicode MS"/>
          <w:bCs/>
          <w:lang w:eastAsia="fr-FR" w:bidi="he-IL"/>
        </w:rPr>
        <w:t xml:space="preserve"> cette pa</w:t>
      </w:r>
      <w:r>
        <w:rPr>
          <w:rFonts w:eastAsia="Arial Unicode MS"/>
          <w:bCs/>
          <w:lang w:eastAsia="fr-FR" w:bidi="he-IL"/>
        </w:rPr>
        <w:t>role qui annonce le salut du mon</w:t>
      </w:r>
      <w:r w:rsidRPr="00C8701B">
        <w:rPr>
          <w:rFonts w:eastAsia="Arial Unicode MS"/>
          <w:bCs/>
          <w:lang w:eastAsia="fr-FR" w:bidi="he-IL"/>
        </w:rPr>
        <w:t>de n’appartient qu’à celui qui le créa ». Lamennais</w:t>
      </w:r>
      <w:r>
        <w:rPr>
          <w:rFonts w:eastAsia="Arial Unicode MS"/>
          <w:bCs/>
          <w:lang w:eastAsia="fr-FR" w:bidi="he-IL"/>
        </w:rPr>
        <w:t xml:space="preserve">, </w:t>
      </w:r>
      <w:r w:rsidRPr="00DC4586">
        <w:rPr>
          <w:rStyle w:val="italicus"/>
        </w:rPr>
        <w:t>Essais sur l’indifférence</w:t>
      </w:r>
      <w:r>
        <w:rPr>
          <w:rStyle w:val="italicus"/>
        </w:rPr>
        <w:t xml:space="preserve">, </w:t>
      </w:r>
      <w:r w:rsidRPr="00C8701B">
        <w:rPr>
          <w:rFonts w:eastAsia="Arial Unicode MS"/>
          <w:bCs/>
          <w:lang w:eastAsia="fr-FR" w:bidi="he-IL"/>
        </w:rPr>
        <w:t>t</w:t>
      </w:r>
      <w:r>
        <w:rPr>
          <w:rFonts w:eastAsia="Arial Unicode MS"/>
          <w:bCs/>
          <w:lang w:eastAsia="fr-FR" w:bidi="he-IL"/>
        </w:rPr>
        <w:t xml:space="preserve">. IV, </w:t>
      </w:r>
      <w:r w:rsidRPr="00C8701B">
        <w:rPr>
          <w:rFonts w:eastAsia="Arial Unicode MS"/>
          <w:bCs/>
          <w:lang w:eastAsia="fr-FR" w:bidi="he-IL"/>
        </w:rPr>
        <w:t>p. 1</w:t>
      </w:r>
      <w:r>
        <w:rPr>
          <w:rFonts w:eastAsia="Arial Unicode MS"/>
          <w:bCs/>
          <w:lang w:eastAsia="fr-FR" w:bidi="he-IL"/>
        </w:rPr>
        <w:t>76. Voyez aussi Bossu</w:t>
      </w:r>
      <w:r w:rsidRPr="00C8701B">
        <w:rPr>
          <w:rFonts w:eastAsia="Arial Unicode MS"/>
          <w:bCs/>
          <w:lang w:eastAsia="fr-FR" w:bidi="he-IL"/>
        </w:rPr>
        <w:t>et</w:t>
      </w:r>
      <w:r>
        <w:rPr>
          <w:rFonts w:eastAsia="Arial Unicode MS"/>
          <w:bCs/>
          <w:lang w:eastAsia="fr-FR" w:bidi="he-IL"/>
        </w:rPr>
        <w:t xml:space="preserve">, </w:t>
      </w:r>
      <w:r>
        <w:rPr>
          <w:rStyle w:val="italicus"/>
        </w:rPr>
        <w:t>Panégyri</w:t>
      </w:r>
      <w:r w:rsidRPr="00DC4586">
        <w:rPr>
          <w:rStyle w:val="italicus"/>
        </w:rPr>
        <w:t>que de S. André</w:t>
      </w:r>
      <w:r w:rsidRPr="00C8701B">
        <w:rPr>
          <w:rFonts w:eastAsia="Arial Unicode MS"/>
          <w:bCs/>
          <w:lang w:eastAsia="fr-FR" w:bidi="he-IL"/>
        </w:rPr>
        <w:t> </w:t>
      </w:r>
      <w:r>
        <w:rPr>
          <w:rFonts w:eastAsia="Arial Unicode MS"/>
          <w:bCs/>
          <w:lang w:eastAsia="fr-FR" w:bidi="he-IL"/>
        </w:rPr>
        <w:t xml:space="preserve">; </w:t>
      </w:r>
      <w:r w:rsidRPr="00C8701B">
        <w:rPr>
          <w:rFonts w:eastAsia="Arial Unicode MS"/>
          <w:bCs/>
          <w:lang w:eastAsia="fr-FR" w:bidi="he-IL"/>
        </w:rPr>
        <w:t>Mgr. Bougaud</w:t>
      </w:r>
      <w:r>
        <w:rPr>
          <w:rFonts w:eastAsia="Arial Unicode MS"/>
          <w:bCs/>
          <w:lang w:eastAsia="fr-FR" w:bidi="he-IL"/>
        </w:rPr>
        <w:t xml:space="preserve">, </w:t>
      </w:r>
      <w:r w:rsidRPr="00DC4586">
        <w:rPr>
          <w:rStyle w:val="italicus"/>
        </w:rPr>
        <w:t>Jésus-Christ</w:t>
      </w:r>
      <w:r>
        <w:rPr>
          <w:rStyle w:val="italicus"/>
        </w:rPr>
        <w:t xml:space="preserve">, </w:t>
      </w:r>
      <w:r w:rsidRPr="00C8701B">
        <w:rPr>
          <w:rFonts w:eastAsia="Arial Unicode MS"/>
          <w:bCs/>
          <w:lang w:eastAsia="fr-FR" w:bidi="he-IL"/>
        </w:rPr>
        <w:t xml:space="preserve">p. 649 et ss. de la </w:t>
      </w:r>
      <w:r>
        <w:rPr>
          <w:rFonts w:eastAsia="Arial Unicode MS"/>
          <w:bCs/>
          <w:lang w:eastAsia="fr-FR" w:bidi="he-IL"/>
        </w:rPr>
        <w:t>4</w:t>
      </w:r>
      <w:r w:rsidRPr="00F414C0">
        <w:rPr>
          <w:rFonts w:eastAsia="Arial Unicode MS"/>
          <w:bCs/>
          <w:vertAlign w:val="superscript"/>
          <w:lang w:eastAsia="fr-FR" w:bidi="he-IL"/>
        </w:rPr>
        <w:t>e</w:t>
      </w:r>
      <w:r>
        <w:rPr>
          <w:rFonts w:eastAsia="Arial Unicode MS"/>
          <w:bCs/>
          <w:lang w:eastAsia="fr-FR" w:bidi="he-IL"/>
        </w:rPr>
        <w:t xml:space="preserve"> é</w:t>
      </w:r>
      <w:r w:rsidRPr="00C8701B">
        <w:rPr>
          <w:rFonts w:eastAsia="Arial Unicode MS"/>
          <w:bCs/>
          <w:lang w:eastAsia="fr-FR" w:bidi="he-IL"/>
        </w:rPr>
        <w:t>dition.</w:t>
      </w:r>
    </w:p>
  </w:footnote>
  <w:footnote w:id="495">
    <w:p w:rsidR="00941AA6" w:rsidRPr="00933C60" w:rsidRDefault="00941AA6">
      <w:pPr>
        <w:pStyle w:val="Notedebasdepage"/>
      </w:pPr>
      <w:r w:rsidRPr="00C406FF">
        <w:rPr>
          <w:rStyle w:val="Appelnotedebasdep"/>
        </w:rPr>
        <w:footnoteRef/>
      </w:r>
      <w:r>
        <w:rPr>
          <w:rFonts w:eastAsia="Arial Unicode MS"/>
          <w:bCs/>
          <w:lang w:eastAsia="fr-FR" w:bidi="he-IL"/>
        </w:rPr>
        <w:t xml:space="preserve"> Voyez le § XIV.</w:t>
      </w:r>
    </w:p>
  </w:footnote>
  <w:footnote w:id="496">
    <w:p w:rsidR="00941AA6" w:rsidRPr="00933C60" w:rsidRDefault="00941AA6">
      <w:pPr>
        <w:pStyle w:val="Notedebasdepage"/>
      </w:pPr>
      <w:r w:rsidRPr="00C406FF">
        <w:rPr>
          <w:rStyle w:val="Appelnotedebasdep"/>
        </w:rPr>
        <w:footnoteRef/>
      </w:r>
      <w:r>
        <w:rPr>
          <w:rFonts w:eastAsia="Arial Unicode MS"/>
          <w:bCs/>
          <w:lang w:eastAsia="fr-FR" w:bidi="he-IL"/>
        </w:rPr>
        <w:t xml:space="preserve"> Voyez Mgr Mei</w:t>
      </w:r>
      <w:r w:rsidRPr="00C8701B">
        <w:rPr>
          <w:rFonts w:eastAsia="Arial Unicode MS"/>
          <w:bCs/>
          <w:lang w:eastAsia="fr-FR" w:bidi="he-IL"/>
        </w:rPr>
        <w:t>gnan</w:t>
      </w:r>
      <w:r>
        <w:rPr>
          <w:rFonts w:eastAsia="Arial Unicode MS"/>
          <w:bCs/>
          <w:lang w:eastAsia="fr-FR" w:bidi="he-IL"/>
        </w:rPr>
        <w:t xml:space="preserve">, </w:t>
      </w:r>
      <w:r w:rsidRPr="00DC4586">
        <w:rPr>
          <w:rStyle w:val="italicus"/>
        </w:rPr>
        <w:t>Les Évangiles et la critique au XIX</w:t>
      </w:r>
      <w:r>
        <w:rPr>
          <w:rStyle w:val="italicus"/>
        </w:rPr>
        <w:t xml:space="preserve">e </w:t>
      </w:r>
      <w:r w:rsidRPr="00DC4586">
        <w:rPr>
          <w:rStyle w:val="italicus"/>
        </w:rPr>
        <w:t>siècle</w:t>
      </w:r>
      <w:r>
        <w:rPr>
          <w:rStyle w:val="italicus"/>
        </w:rPr>
        <w:t xml:space="preserve">, </w:t>
      </w:r>
      <w:r w:rsidRPr="00F414C0">
        <w:t xml:space="preserve">p. </w:t>
      </w:r>
      <w:r w:rsidRPr="00C8701B">
        <w:rPr>
          <w:rFonts w:eastAsia="Arial Unicode MS"/>
          <w:bCs/>
          <w:lang w:eastAsia="fr-FR" w:bidi="he-IL"/>
        </w:rPr>
        <w:t>192-281 </w:t>
      </w:r>
      <w:r>
        <w:rPr>
          <w:rFonts w:eastAsia="Arial Unicode MS"/>
          <w:bCs/>
          <w:lang w:eastAsia="fr-FR" w:bidi="he-IL"/>
        </w:rPr>
        <w:t>; Wall</w:t>
      </w:r>
      <w:r w:rsidRPr="00C8701B">
        <w:rPr>
          <w:rFonts w:eastAsia="Arial Unicode MS"/>
          <w:bCs/>
          <w:lang w:eastAsia="fr-FR" w:bidi="he-IL"/>
        </w:rPr>
        <w:t>on</w:t>
      </w:r>
      <w:r>
        <w:rPr>
          <w:rStyle w:val="italicus"/>
        </w:rPr>
        <w:t>, De la croyance due à l’</w:t>
      </w:r>
      <w:r w:rsidRPr="00DC4586">
        <w:rPr>
          <w:rStyle w:val="italicus"/>
        </w:rPr>
        <w:t>Évangile</w:t>
      </w:r>
      <w:r>
        <w:rPr>
          <w:rStyle w:val="italicus"/>
        </w:rPr>
        <w:t xml:space="preserve">, </w:t>
      </w:r>
      <w:r w:rsidRPr="00C8701B">
        <w:rPr>
          <w:rFonts w:eastAsia="Arial Unicode MS"/>
          <w:bCs/>
          <w:lang w:eastAsia="fr-FR" w:bidi="he-IL"/>
        </w:rPr>
        <w:t>passim </w:t>
      </w:r>
      <w:r>
        <w:rPr>
          <w:rFonts w:eastAsia="Arial Unicode MS"/>
          <w:bCs/>
          <w:lang w:eastAsia="fr-FR" w:bidi="he-IL"/>
        </w:rPr>
        <w:t xml:space="preserve">; </w:t>
      </w:r>
      <w:r w:rsidRPr="00C8701B">
        <w:rPr>
          <w:rFonts w:eastAsia="Arial Unicode MS"/>
          <w:bCs/>
          <w:lang w:eastAsia="fr-FR" w:bidi="he-IL"/>
        </w:rPr>
        <w:t>Tholuck</w:t>
      </w:r>
      <w:r>
        <w:rPr>
          <w:rFonts w:eastAsia="Arial Unicode MS"/>
          <w:bCs/>
          <w:lang w:eastAsia="fr-FR" w:bidi="he-IL"/>
        </w:rPr>
        <w:t xml:space="preserve">, </w:t>
      </w:r>
      <w:r>
        <w:rPr>
          <w:rStyle w:val="italicus"/>
        </w:rPr>
        <w:t>Die Glaubwü</w:t>
      </w:r>
      <w:r w:rsidRPr="00DC4586">
        <w:rPr>
          <w:rStyle w:val="italicus"/>
        </w:rPr>
        <w:t>rdigkeit der evangelischen Geschichte</w:t>
      </w:r>
      <w:r>
        <w:rPr>
          <w:rStyle w:val="italicus"/>
        </w:rPr>
        <w:t xml:space="preserve">, </w:t>
      </w:r>
      <w:r w:rsidRPr="00C8701B">
        <w:rPr>
          <w:rFonts w:eastAsia="Arial Unicode MS"/>
          <w:bCs/>
          <w:lang w:eastAsia="fr-FR" w:bidi="he-IL"/>
        </w:rPr>
        <w:t>passim.</w:t>
      </w:r>
    </w:p>
  </w:footnote>
  <w:footnote w:id="497">
    <w:p w:rsidR="00941AA6" w:rsidRPr="00933C60" w:rsidRDefault="00941AA6">
      <w:pPr>
        <w:pStyle w:val="Notedebasdepage"/>
      </w:pPr>
      <w:r w:rsidRPr="00C406FF">
        <w:rPr>
          <w:rStyle w:val="Appelnotedebasdep"/>
        </w:rPr>
        <w:footnoteRef/>
      </w:r>
      <w:r w:rsidRPr="00C8701B">
        <w:rPr>
          <w:rFonts w:eastAsia="Arial Unicode MS"/>
          <w:bCs/>
          <w:lang w:eastAsia="fr-FR" w:bidi="he-IL"/>
        </w:rPr>
        <w:t xml:space="preserve"> Joan</w:t>
      </w:r>
      <w:r>
        <w:rPr>
          <w:rFonts w:eastAsia="Arial Unicode MS"/>
          <w:bCs/>
          <w:lang w:eastAsia="fr-FR" w:bidi="he-IL"/>
        </w:rPr>
        <w:t xml:space="preserve">. VII, </w:t>
      </w:r>
      <w:r w:rsidRPr="00C8701B">
        <w:rPr>
          <w:rFonts w:eastAsia="Arial Unicode MS"/>
          <w:bCs/>
          <w:lang w:eastAsia="fr-FR" w:bidi="he-IL"/>
        </w:rPr>
        <w:t>46.</w:t>
      </w:r>
    </w:p>
  </w:footnote>
  <w:footnote w:id="498">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Bacuez</w:t>
      </w:r>
      <w:r>
        <w:rPr>
          <w:rFonts w:eastAsia="Arial Unicode MS"/>
          <w:bCs/>
          <w:lang w:eastAsia="fr-FR" w:bidi="he-IL"/>
        </w:rPr>
        <w:t xml:space="preserve">, </w:t>
      </w:r>
      <w:r w:rsidRPr="00DC4586">
        <w:rPr>
          <w:rStyle w:val="italicus"/>
        </w:rPr>
        <w:t>Manuel biblique</w:t>
      </w:r>
      <w:r>
        <w:rPr>
          <w:rStyle w:val="italicus"/>
        </w:rPr>
        <w:t xml:space="preserve">, </w:t>
      </w:r>
      <w:r>
        <w:rPr>
          <w:rFonts w:eastAsia="Arial Unicode MS"/>
          <w:bCs/>
          <w:lang w:eastAsia="fr-FR" w:bidi="he-IL"/>
        </w:rPr>
        <w:t>t. III,</w:t>
      </w:r>
      <w:r w:rsidRPr="00C8701B">
        <w:rPr>
          <w:rFonts w:eastAsia="Arial Unicode MS"/>
          <w:bCs/>
          <w:lang w:eastAsia="fr-FR" w:bidi="he-IL"/>
        </w:rPr>
        <w:t xml:space="preserve"> num. 50</w:t>
      </w:r>
      <w:r>
        <w:rPr>
          <w:rFonts w:eastAsia="Arial Unicode MS"/>
          <w:bCs/>
          <w:lang w:eastAsia="fr-FR" w:bidi="he-IL"/>
        </w:rPr>
        <w:t xml:space="preserve"> </w:t>
      </w:r>
      <w:r w:rsidRPr="00C8701B">
        <w:rPr>
          <w:rFonts w:eastAsia="Arial Unicode MS"/>
          <w:bCs/>
          <w:lang w:eastAsia="fr-FR" w:bidi="he-IL"/>
        </w:rPr>
        <w:t>et 51 </w:t>
      </w:r>
      <w:r>
        <w:rPr>
          <w:rFonts w:eastAsia="Arial Unicode MS"/>
          <w:bCs/>
          <w:lang w:eastAsia="fr-FR" w:bidi="he-IL"/>
        </w:rPr>
        <w:t xml:space="preserve">; </w:t>
      </w:r>
      <w:r w:rsidRPr="00C8701B">
        <w:rPr>
          <w:rFonts w:eastAsia="Arial Unicode MS"/>
          <w:bCs/>
          <w:lang w:eastAsia="fr-FR" w:bidi="he-IL"/>
        </w:rPr>
        <w:t>J. Verniolles</w:t>
      </w:r>
      <w:r>
        <w:rPr>
          <w:rFonts w:eastAsia="Arial Unicode MS"/>
          <w:bCs/>
          <w:lang w:eastAsia="fr-FR" w:bidi="he-IL"/>
        </w:rPr>
        <w:t xml:space="preserve">, </w:t>
      </w:r>
      <w:r>
        <w:rPr>
          <w:rStyle w:val="italicus"/>
        </w:rPr>
        <w:t>Le</w:t>
      </w:r>
      <w:r w:rsidRPr="00DC4586">
        <w:rPr>
          <w:rStyle w:val="italicus"/>
        </w:rPr>
        <w:t>s récits évangéliques et leurs beautés littéraires</w:t>
      </w:r>
      <w:r>
        <w:rPr>
          <w:rStyle w:val="italicus"/>
        </w:rPr>
        <w:t xml:space="preserve">, </w:t>
      </w:r>
      <w:r w:rsidRPr="00C8701B">
        <w:rPr>
          <w:rFonts w:eastAsia="Arial Unicode MS"/>
          <w:bCs/>
          <w:lang w:eastAsia="fr-FR" w:bidi="he-IL"/>
        </w:rPr>
        <w:t>Paris 1888.</w:t>
      </w:r>
    </w:p>
  </w:footnote>
  <w:footnote w:id="499">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Mgr Landriot</w:t>
      </w:r>
      <w:r>
        <w:rPr>
          <w:rFonts w:eastAsia="Arial Unicode MS"/>
          <w:bCs/>
          <w:lang w:eastAsia="fr-FR" w:bidi="he-IL"/>
        </w:rPr>
        <w:t xml:space="preserve">, </w:t>
      </w:r>
      <w:r w:rsidRPr="00C8701B">
        <w:rPr>
          <w:rFonts w:eastAsia="Arial Unicode MS"/>
          <w:bCs/>
          <w:lang w:eastAsia="fr-FR" w:bidi="he-IL"/>
        </w:rPr>
        <w:t>dont la mémoire nous est demeurée chère comme celle d’un père</w:t>
      </w:r>
      <w:r>
        <w:rPr>
          <w:rFonts w:eastAsia="Arial Unicode MS"/>
          <w:bCs/>
          <w:lang w:eastAsia="fr-FR" w:bidi="he-IL"/>
        </w:rPr>
        <w:t>, nous</w:t>
      </w:r>
      <w:r w:rsidRPr="00C8701B">
        <w:rPr>
          <w:rFonts w:eastAsia="Arial Unicode MS"/>
          <w:bCs/>
          <w:lang w:eastAsia="fr-FR" w:bidi="he-IL"/>
        </w:rPr>
        <w:t xml:space="preserve"> avait habitué à ce genre par son haut exemple.</w:t>
      </w:r>
    </w:p>
  </w:footnote>
  <w:footnote w:id="500">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Confess.</w:t>
      </w:r>
      <w:r>
        <w:rPr>
          <w:rStyle w:val="italicus"/>
        </w:rPr>
        <w:t xml:space="preserve">, </w:t>
      </w:r>
      <w:r>
        <w:rPr>
          <w:rFonts w:eastAsia="Arial Unicode MS"/>
          <w:bCs/>
          <w:lang w:eastAsia="fr-FR" w:bidi="he-IL"/>
        </w:rPr>
        <w:t xml:space="preserve">IX, </w:t>
      </w:r>
      <w:r w:rsidRPr="00C8701B">
        <w:rPr>
          <w:rFonts w:eastAsia="Arial Unicode MS"/>
          <w:bCs/>
          <w:lang w:eastAsia="fr-FR" w:bidi="he-IL"/>
        </w:rPr>
        <w:t>4.</w:t>
      </w:r>
    </w:p>
  </w:footnote>
  <w:footnote w:id="501">
    <w:p w:rsidR="00941AA6" w:rsidRPr="00933C60" w:rsidRDefault="00941AA6">
      <w:pPr>
        <w:pStyle w:val="Notedebasdepage"/>
      </w:pPr>
      <w:r w:rsidRPr="00C406FF">
        <w:rPr>
          <w:rStyle w:val="Appelnotedebasdep"/>
        </w:rPr>
        <w:footnoteRef/>
      </w:r>
      <w:r w:rsidRPr="00F414C0">
        <w:t xml:space="preserve"> </w:t>
      </w:r>
      <w:r>
        <w:rPr>
          <w:rStyle w:val="italicus"/>
        </w:rPr>
        <w:t>De á</w:t>
      </w:r>
      <w:r w:rsidRPr="00DC4586">
        <w:rPr>
          <w:rStyle w:val="italicus"/>
        </w:rPr>
        <w:t>nima.</w:t>
      </w:r>
    </w:p>
  </w:footnote>
  <w:footnote w:id="502">
    <w:p w:rsidR="00941AA6" w:rsidRPr="00933C60" w:rsidRDefault="00941AA6" w:rsidP="00E26E85">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Paul de Molènes</w:t>
      </w:r>
      <w:r>
        <w:rPr>
          <w:rFonts w:eastAsia="Arial Unicode MS"/>
          <w:bCs/>
          <w:lang w:eastAsia="fr-FR" w:bidi="he-IL"/>
        </w:rPr>
        <w:t xml:space="preserve">, </w:t>
      </w:r>
      <w:r w:rsidRPr="00DC4586">
        <w:rPr>
          <w:rStyle w:val="italicus"/>
        </w:rPr>
        <w:t>Soirées du Bordj</w:t>
      </w:r>
      <w:r>
        <w:rPr>
          <w:rStyle w:val="italicus"/>
        </w:rPr>
        <w:t xml:space="preserve">, </w:t>
      </w:r>
      <w:r w:rsidRPr="00C8701B">
        <w:rPr>
          <w:rFonts w:eastAsia="Arial Unicode MS"/>
          <w:bCs/>
          <w:lang w:eastAsia="fr-FR" w:bidi="he-IL"/>
        </w:rPr>
        <w:t>cité par Mgr Baunard</w:t>
      </w:r>
      <w:r>
        <w:rPr>
          <w:rFonts w:eastAsia="Arial Unicode MS"/>
          <w:bCs/>
          <w:lang w:eastAsia="fr-FR" w:bidi="he-IL"/>
        </w:rPr>
        <w:t xml:space="preserve">, </w:t>
      </w:r>
      <w:r w:rsidRPr="00DC4586">
        <w:rPr>
          <w:rStyle w:val="italicus"/>
        </w:rPr>
        <w:t>Le Doute et ses victimes</w:t>
      </w:r>
      <w:r>
        <w:rPr>
          <w:rStyle w:val="italicus"/>
        </w:rPr>
        <w:t xml:space="preserve">, </w:t>
      </w:r>
      <w:r w:rsidRPr="00C8701B">
        <w:rPr>
          <w:rFonts w:eastAsia="Arial Unicode MS"/>
          <w:bCs/>
          <w:lang w:eastAsia="fr-FR" w:bidi="he-IL"/>
        </w:rPr>
        <w:t>p. 438 de l</w:t>
      </w:r>
      <w:r>
        <w:rPr>
          <w:rFonts w:eastAsia="Arial Unicode MS"/>
          <w:bCs/>
          <w:lang w:eastAsia="fr-FR" w:bidi="he-IL"/>
        </w:rPr>
        <w:t>a 7</w:t>
      </w:r>
      <w:r w:rsidRPr="00BB47C1">
        <w:rPr>
          <w:rFonts w:eastAsia="Arial Unicode MS"/>
          <w:bCs/>
          <w:vertAlign w:val="superscript"/>
          <w:lang w:eastAsia="fr-FR" w:bidi="he-IL"/>
        </w:rPr>
        <w:t>e</w:t>
      </w:r>
      <w:r>
        <w:rPr>
          <w:rFonts w:eastAsia="Arial Unicode MS"/>
          <w:bCs/>
          <w:lang w:eastAsia="fr-FR" w:bidi="he-IL"/>
        </w:rPr>
        <w:t xml:space="preserve"> </w:t>
      </w:r>
      <w:r w:rsidRPr="00C8701B">
        <w:rPr>
          <w:rFonts w:eastAsia="Arial Unicode MS"/>
          <w:bCs/>
          <w:lang w:eastAsia="fr-FR" w:bidi="he-IL"/>
        </w:rPr>
        <w:t>édition.</w:t>
      </w:r>
      <w:r w:rsidRPr="00E26E85">
        <w:rPr>
          <w:rFonts w:eastAsia="Arial Unicode MS"/>
          <w:lang w:eastAsia="fr-FR" w:bidi="he-IL"/>
        </w:rPr>
        <w:t xml:space="preserve"> </w:t>
      </w:r>
    </w:p>
  </w:footnote>
  <w:footnote w:id="503">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Aug. Nicolas</w:t>
      </w:r>
      <w:r>
        <w:rPr>
          <w:rFonts w:eastAsia="Arial Unicode MS"/>
          <w:bCs/>
          <w:lang w:eastAsia="fr-FR" w:bidi="he-IL"/>
        </w:rPr>
        <w:t xml:space="preserve">, </w:t>
      </w:r>
      <w:r w:rsidRPr="00DC4586">
        <w:rPr>
          <w:rStyle w:val="italicus"/>
        </w:rPr>
        <w:t>La divinité de Jésus-Christ</w:t>
      </w:r>
      <w:r>
        <w:rPr>
          <w:rFonts w:eastAsia="Arial Unicode MS"/>
          <w:bCs/>
          <w:lang w:eastAsia="fr-FR" w:bidi="he-IL"/>
        </w:rPr>
        <w:t xml:space="preserve">, </w:t>
      </w:r>
      <w:r w:rsidRPr="00C8701B">
        <w:rPr>
          <w:rFonts w:eastAsia="Arial Unicode MS"/>
          <w:bCs/>
          <w:lang w:eastAsia="fr-FR" w:bidi="he-IL"/>
        </w:rPr>
        <w:t>p. 186</w:t>
      </w:r>
      <w:r>
        <w:rPr>
          <w:rFonts w:eastAsia="Arial Unicode MS"/>
          <w:bCs/>
          <w:lang w:eastAsia="fr-FR" w:bidi="he-IL"/>
        </w:rPr>
        <w:t>, de la 3</w:t>
      </w:r>
      <w:r w:rsidRPr="00BB47C1">
        <w:rPr>
          <w:rFonts w:eastAsia="Arial Unicode MS"/>
          <w:bCs/>
          <w:vertAlign w:val="superscript"/>
          <w:lang w:eastAsia="fr-FR" w:bidi="he-IL"/>
        </w:rPr>
        <w:t>e</w:t>
      </w:r>
      <w:r>
        <w:rPr>
          <w:rFonts w:eastAsia="Arial Unicode MS"/>
          <w:bCs/>
          <w:lang w:eastAsia="fr-FR" w:bidi="he-IL"/>
        </w:rPr>
        <w:t xml:space="preserve"> </w:t>
      </w:r>
      <w:r w:rsidRPr="00C8701B">
        <w:rPr>
          <w:rFonts w:eastAsia="Arial Unicode MS"/>
          <w:bCs/>
          <w:lang w:eastAsia="fr-FR" w:bidi="he-IL"/>
        </w:rPr>
        <w:t>édit.</w:t>
      </w:r>
    </w:p>
  </w:footnote>
  <w:footnote w:id="504">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Aug. Nicolas</w:t>
      </w:r>
      <w:r>
        <w:rPr>
          <w:rFonts w:eastAsia="Arial Unicode MS"/>
          <w:bCs/>
          <w:lang w:eastAsia="fr-FR" w:bidi="he-IL"/>
        </w:rPr>
        <w:t xml:space="preserve">, </w:t>
      </w:r>
      <w:r w:rsidRPr="00DC4586">
        <w:rPr>
          <w:rStyle w:val="italicus"/>
        </w:rPr>
        <w:t>La Raison et l’Évangile</w:t>
      </w:r>
      <w:r>
        <w:rPr>
          <w:rFonts w:eastAsia="Arial Unicode MS"/>
          <w:bCs/>
          <w:lang w:eastAsia="fr-FR" w:bidi="he-IL"/>
        </w:rPr>
        <w:t xml:space="preserve">, </w:t>
      </w:r>
      <w:r w:rsidRPr="00C8701B">
        <w:rPr>
          <w:rFonts w:eastAsia="Arial Unicode MS"/>
          <w:bCs/>
          <w:lang w:eastAsia="fr-FR" w:bidi="he-IL"/>
        </w:rPr>
        <w:t>p. 196.</w:t>
      </w:r>
    </w:p>
  </w:footnote>
  <w:footnote w:id="505">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Pr>
          <w:rStyle w:val="italicus"/>
        </w:rPr>
        <w:t>Étude</w:t>
      </w:r>
      <w:r w:rsidRPr="00DC4586">
        <w:rPr>
          <w:rStyle w:val="italicus"/>
        </w:rPr>
        <w:t>s morales et philosophiques</w:t>
      </w:r>
      <w:r>
        <w:rPr>
          <w:rFonts w:eastAsia="Arial Unicode MS"/>
          <w:bCs/>
          <w:lang w:eastAsia="fr-FR" w:bidi="he-IL"/>
        </w:rPr>
        <w:t xml:space="preserve">, </w:t>
      </w:r>
      <w:r w:rsidRPr="00C8701B">
        <w:rPr>
          <w:rFonts w:eastAsia="Arial Unicode MS"/>
          <w:bCs/>
          <w:lang w:eastAsia="fr-FR" w:bidi="he-IL"/>
        </w:rPr>
        <w:t>p. 56.</w:t>
      </w:r>
    </w:p>
  </w:footnote>
  <w:footnote w:id="506">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Les systèmes philosophiques.</w:t>
      </w:r>
    </w:p>
  </w:footnote>
  <w:footnote w:id="507">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Joan. VIII</w:t>
      </w:r>
      <w:r>
        <w:rPr>
          <w:rFonts w:eastAsia="Arial Unicode MS"/>
          <w:bCs/>
          <w:lang w:eastAsia="fr-FR" w:bidi="he-IL"/>
        </w:rPr>
        <w:t xml:space="preserve">, </w:t>
      </w:r>
      <w:r w:rsidRPr="00C8701B">
        <w:rPr>
          <w:rFonts w:eastAsia="Arial Unicode MS"/>
          <w:bCs/>
          <w:lang w:eastAsia="fr-FR" w:bidi="he-IL"/>
        </w:rPr>
        <w:t>32.</w:t>
      </w:r>
    </w:p>
  </w:footnote>
  <w:footnote w:id="508">
    <w:p w:rsidR="00941AA6" w:rsidRPr="006A4C4C" w:rsidRDefault="00941AA6">
      <w:pPr>
        <w:pStyle w:val="Notedebasdepage"/>
      </w:pPr>
      <w:r>
        <w:rPr>
          <w:rStyle w:val="Appelnotedebasdep"/>
        </w:rPr>
        <w:footnoteRef/>
      </w:r>
      <w:r w:rsidRPr="00C8701B">
        <w:rPr>
          <w:rFonts w:eastAsia="Arial Unicode MS"/>
          <w:lang w:eastAsia="fr-FR" w:bidi="he-IL"/>
        </w:rPr>
        <w:t xml:space="preserve"> </w:t>
      </w:r>
      <w:r>
        <w:rPr>
          <w:rFonts w:eastAsia="Arial Unicode MS"/>
          <w:bCs/>
          <w:lang w:eastAsia="fr-FR" w:bidi="he-IL"/>
        </w:rPr>
        <w:t>Aug</w:t>
      </w:r>
      <w:r w:rsidRPr="00C8701B">
        <w:rPr>
          <w:rFonts w:eastAsia="Arial Unicode MS"/>
          <w:bCs/>
          <w:lang w:eastAsia="fr-FR" w:bidi="he-IL"/>
        </w:rPr>
        <w:t>. Nicolas</w:t>
      </w:r>
      <w:r>
        <w:rPr>
          <w:rFonts w:eastAsia="Arial Unicode MS"/>
          <w:bCs/>
          <w:lang w:eastAsia="fr-FR" w:bidi="he-IL"/>
        </w:rPr>
        <w:t xml:space="preserve">, </w:t>
      </w:r>
      <w:r w:rsidRPr="00DC4586">
        <w:rPr>
          <w:rStyle w:val="italicus"/>
        </w:rPr>
        <w:t>La Raison et</w:t>
      </w:r>
      <w:r>
        <w:rPr>
          <w:rStyle w:val="italicus"/>
        </w:rPr>
        <w:t xml:space="preserve"> l’</w:t>
      </w:r>
      <w:r w:rsidRPr="00DC4586">
        <w:rPr>
          <w:rStyle w:val="italicus"/>
        </w:rPr>
        <w:t>Évangile</w:t>
      </w:r>
      <w:r>
        <w:rPr>
          <w:rStyle w:val="italicus"/>
        </w:rPr>
        <w:t xml:space="preserve">, </w:t>
      </w:r>
      <w:r w:rsidRPr="00C8701B">
        <w:rPr>
          <w:rFonts w:eastAsia="Arial Unicode MS"/>
          <w:bCs/>
          <w:lang w:eastAsia="fr-FR" w:bidi="he-IL"/>
        </w:rPr>
        <w:t>p. 202. Et encore</w:t>
      </w:r>
      <w:r>
        <w:rPr>
          <w:rFonts w:eastAsia="Arial Unicode MS"/>
          <w:bCs/>
          <w:lang w:eastAsia="fr-FR" w:bidi="he-IL"/>
        </w:rPr>
        <w:t xml:space="preserve">, </w:t>
      </w:r>
      <w:r>
        <w:rPr>
          <w:rStyle w:val="italicus"/>
        </w:rPr>
        <w:t>ibid</w:t>
      </w:r>
      <w:r w:rsidRPr="00DC4586">
        <w:rPr>
          <w:rStyle w:val="italicus"/>
        </w:rPr>
        <w:t>.</w:t>
      </w:r>
      <w:r>
        <w:rPr>
          <w:rStyle w:val="italicus"/>
        </w:rPr>
        <w:t xml:space="preserve">, </w:t>
      </w:r>
      <w:r w:rsidRPr="00C8701B">
        <w:rPr>
          <w:rFonts w:eastAsia="Arial Unicode MS"/>
          <w:bCs/>
          <w:lang w:eastAsia="fr-FR" w:bidi="he-IL"/>
        </w:rPr>
        <w:t>p. 213 : « Quand on ouvre l’</w:t>
      </w:r>
      <w:r>
        <w:rPr>
          <w:rFonts w:eastAsia="Arial Unicode MS"/>
          <w:bCs/>
          <w:lang w:eastAsia="fr-FR" w:bidi="he-IL"/>
        </w:rPr>
        <w:t xml:space="preserve">Évangile, </w:t>
      </w:r>
      <w:r w:rsidRPr="00C8701B">
        <w:rPr>
          <w:rFonts w:eastAsia="Arial Unicode MS"/>
          <w:bCs/>
          <w:lang w:eastAsia="fr-FR" w:bidi="he-IL"/>
        </w:rPr>
        <w:t>et à mesure qu’on y pénètre</w:t>
      </w:r>
      <w:r>
        <w:rPr>
          <w:rFonts w:eastAsia="Arial Unicode MS"/>
          <w:bCs/>
          <w:lang w:eastAsia="fr-FR" w:bidi="he-IL"/>
        </w:rPr>
        <w:t xml:space="preserve">, </w:t>
      </w:r>
      <w:r w:rsidRPr="00C8701B">
        <w:rPr>
          <w:rFonts w:eastAsia="Arial Unicode MS"/>
          <w:bCs/>
          <w:lang w:eastAsia="fr-FR" w:bidi="he-IL"/>
        </w:rPr>
        <w:t>à quelque endroit qu’on le prenne.... on devient plus léger</w:t>
      </w:r>
      <w:r>
        <w:rPr>
          <w:rFonts w:eastAsia="Arial Unicode MS"/>
          <w:bCs/>
          <w:lang w:eastAsia="fr-FR" w:bidi="he-IL"/>
        </w:rPr>
        <w:t xml:space="preserve">, </w:t>
      </w:r>
      <w:r w:rsidRPr="00C8701B">
        <w:rPr>
          <w:rFonts w:eastAsia="Arial Unicode MS"/>
          <w:bCs/>
          <w:lang w:eastAsia="fr-FR" w:bidi="he-IL"/>
        </w:rPr>
        <w:t>comme si</w:t>
      </w:r>
      <w:r>
        <w:rPr>
          <w:rFonts w:eastAsia="Arial Unicode MS"/>
          <w:bCs/>
          <w:lang w:eastAsia="fr-FR" w:bidi="he-IL"/>
        </w:rPr>
        <w:t xml:space="preserve"> on déposait le poids du temps ;</w:t>
      </w:r>
      <w:r w:rsidRPr="00C8701B">
        <w:rPr>
          <w:rFonts w:eastAsia="Arial Unicode MS"/>
          <w:bCs/>
          <w:lang w:eastAsia="fr-FR" w:bidi="he-IL"/>
        </w:rPr>
        <w:t xml:space="preserve"> l’âme se sent</w:t>
      </w:r>
      <w:r>
        <w:rPr>
          <w:rFonts w:eastAsia="Arial Unicode MS"/>
          <w:bCs/>
          <w:lang w:eastAsia="fr-FR" w:bidi="he-IL"/>
        </w:rPr>
        <w:t xml:space="preserve">, </w:t>
      </w:r>
      <w:r w:rsidRPr="00C8701B">
        <w:rPr>
          <w:rFonts w:eastAsia="Arial Unicode MS"/>
          <w:bCs/>
          <w:lang w:eastAsia="fr-FR" w:bidi="he-IL"/>
        </w:rPr>
        <w:t>pour ainsi parler</w:t>
      </w:r>
      <w:r>
        <w:rPr>
          <w:rFonts w:eastAsia="Arial Unicode MS"/>
          <w:bCs/>
          <w:lang w:eastAsia="fr-FR" w:bidi="he-IL"/>
        </w:rPr>
        <w:t xml:space="preserve">, </w:t>
      </w:r>
      <w:r w:rsidRPr="00C8701B">
        <w:rPr>
          <w:rFonts w:eastAsia="Arial Unicode MS"/>
          <w:bCs/>
          <w:lang w:eastAsia="fr-FR" w:bidi="he-IL"/>
        </w:rPr>
        <w:t>pousser des ailes</w:t>
      </w:r>
      <w:r>
        <w:rPr>
          <w:rFonts w:eastAsia="Arial Unicode MS"/>
          <w:bCs/>
          <w:lang w:eastAsia="fr-FR" w:bidi="he-IL"/>
        </w:rPr>
        <w:t xml:space="preserve">, </w:t>
      </w:r>
      <w:r w:rsidRPr="00C8701B">
        <w:rPr>
          <w:rFonts w:eastAsia="Arial Unicode MS"/>
          <w:bCs/>
          <w:lang w:eastAsia="fr-FR" w:bidi="he-IL"/>
        </w:rPr>
        <w:t>à la divine chaleur de cette beauté et de l’amour qu’elle inspire... On reconnaît en lui (Jésus-Christ)</w:t>
      </w:r>
      <w:r>
        <w:rPr>
          <w:rFonts w:eastAsia="Arial Unicode MS"/>
          <w:bCs/>
          <w:lang w:eastAsia="fr-FR" w:bidi="he-IL"/>
        </w:rPr>
        <w:t xml:space="preserve">, </w:t>
      </w:r>
      <w:r w:rsidRPr="00C8701B">
        <w:rPr>
          <w:rFonts w:eastAsia="Arial Unicode MS"/>
          <w:bCs/>
          <w:lang w:eastAsia="fr-FR" w:bidi="he-IL"/>
        </w:rPr>
        <w:t>à ne pouvoir en douter</w:t>
      </w:r>
      <w:r>
        <w:rPr>
          <w:rFonts w:eastAsia="Arial Unicode MS"/>
          <w:bCs/>
          <w:lang w:eastAsia="fr-FR" w:bidi="he-IL"/>
        </w:rPr>
        <w:t xml:space="preserve">, </w:t>
      </w:r>
      <w:r w:rsidRPr="00C8701B">
        <w:rPr>
          <w:rFonts w:eastAsia="Arial Unicode MS"/>
          <w:bCs/>
          <w:lang w:eastAsia="fr-FR" w:bidi="he-IL"/>
        </w:rPr>
        <w:t>le Maître</w:t>
      </w:r>
      <w:r>
        <w:rPr>
          <w:rFonts w:eastAsia="Arial Unicode MS"/>
          <w:bCs/>
          <w:lang w:eastAsia="fr-FR" w:bidi="he-IL"/>
        </w:rPr>
        <w:t xml:space="preserve">, </w:t>
      </w:r>
      <w:r w:rsidRPr="00C8701B">
        <w:rPr>
          <w:rFonts w:eastAsia="Arial Unicode MS"/>
          <w:bCs/>
          <w:lang w:eastAsia="fr-FR" w:bidi="he-IL"/>
        </w:rPr>
        <w:t>auprès duquel les plus fameux sont effacés</w:t>
      </w:r>
      <w:r>
        <w:rPr>
          <w:rFonts w:eastAsia="Arial Unicode MS"/>
          <w:bCs/>
          <w:lang w:eastAsia="fr-FR" w:bidi="he-IL"/>
        </w:rPr>
        <w:t xml:space="preserve">, </w:t>
      </w:r>
      <w:r w:rsidRPr="00C8701B">
        <w:rPr>
          <w:rFonts w:eastAsia="Arial Unicode MS"/>
          <w:bCs/>
          <w:lang w:eastAsia="fr-FR" w:bidi="he-IL"/>
        </w:rPr>
        <w:t>et dans le maître</w:t>
      </w:r>
      <w:r>
        <w:rPr>
          <w:rFonts w:eastAsia="Arial Unicode MS"/>
          <w:bCs/>
          <w:lang w:eastAsia="fr-FR" w:bidi="he-IL"/>
        </w:rPr>
        <w:t xml:space="preserve">, </w:t>
      </w:r>
      <w:r w:rsidRPr="00C8701B">
        <w:rPr>
          <w:rFonts w:eastAsia="Arial Unicode MS"/>
          <w:bCs/>
          <w:lang w:eastAsia="fr-FR" w:bidi="he-IL"/>
        </w:rPr>
        <w:t>le médecin</w:t>
      </w:r>
      <w:r>
        <w:rPr>
          <w:rFonts w:eastAsia="Arial Unicode MS"/>
          <w:bCs/>
          <w:lang w:eastAsia="fr-FR" w:bidi="he-IL"/>
        </w:rPr>
        <w:t xml:space="preserve">, </w:t>
      </w:r>
      <w:r w:rsidRPr="00C8701B">
        <w:rPr>
          <w:rFonts w:eastAsia="Arial Unicode MS"/>
          <w:bCs/>
          <w:lang w:eastAsia="fr-FR" w:bidi="he-IL"/>
        </w:rPr>
        <w:t>l’ami</w:t>
      </w:r>
      <w:r>
        <w:rPr>
          <w:rFonts w:eastAsia="Arial Unicode MS"/>
          <w:bCs/>
          <w:lang w:eastAsia="fr-FR" w:bidi="he-IL"/>
        </w:rPr>
        <w:t xml:space="preserve">, le Sauveur le Dieu </w:t>
      </w:r>
      <w:r w:rsidRPr="00C8701B">
        <w:rPr>
          <w:rFonts w:eastAsia="Arial Unicode MS"/>
          <w:bCs/>
          <w:lang w:eastAsia="fr-FR" w:bidi="he-IL"/>
        </w:rPr>
        <w:t>de toute miséricorde et de toute consolation. »</w:t>
      </w:r>
    </w:p>
  </w:footnote>
  <w:footnote w:id="509">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Aug. Nicolas</w:t>
      </w:r>
      <w:r>
        <w:rPr>
          <w:rFonts w:eastAsia="Arial Unicode MS"/>
          <w:bCs/>
          <w:lang w:eastAsia="fr-FR" w:bidi="he-IL"/>
        </w:rPr>
        <w:t xml:space="preserve">, </w:t>
      </w:r>
      <w:r>
        <w:rPr>
          <w:rStyle w:val="italicus"/>
        </w:rPr>
        <w:t>Étude</w:t>
      </w:r>
      <w:r w:rsidRPr="00DC4586">
        <w:rPr>
          <w:rStyle w:val="italicus"/>
        </w:rPr>
        <w:t>s philosophiques</w:t>
      </w:r>
      <w:r>
        <w:rPr>
          <w:rStyle w:val="italicus"/>
        </w:rPr>
        <w:t xml:space="preserve">, </w:t>
      </w:r>
      <w:r w:rsidRPr="00C8701B">
        <w:rPr>
          <w:rFonts w:eastAsia="Arial Unicode MS"/>
          <w:bCs/>
          <w:lang w:eastAsia="fr-FR" w:bidi="he-IL"/>
        </w:rPr>
        <w:t>t</w:t>
      </w:r>
      <w:r>
        <w:rPr>
          <w:rFonts w:eastAsia="Arial Unicode MS"/>
          <w:bCs/>
          <w:lang w:eastAsia="fr-FR" w:bidi="he-IL"/>
        </w:rPr>
        <w:t xml:space="preserve">. IV, </w:t>
      </w:r>
      <w:r w:rsidRPr="00C8701B">
        <w:rPr>
          <w:rFonts w:eastAsia="Arial Unicode MS"/>
          <w:bCs/>
          <w:lang w:eastAsia="fr-FR" w:bidi="he-IL"/>
        </w:rPr>
        <w:t xml:space="preserve">p. 147 de la </w:t>
      </w:r>
      <w:r>
        <w:rPr>
          <w:rFonts w:eastAsia="Arial Unicode MS"/>
          <w:bCs/>
          <w:lang w:eastAsia="fr-FR" w:bidi="he-IL"/>
        </w:rPr>
        <w:t>4</w:t>
      </w:r>
      <w:r w:rsidRPr="00BB47C1">
        <w:rPr>
          <w:rFonts w:eastAsia="Arial Unicode MS"/>
          <w:bCs/>
          <w:vertAlign w:val="superscript"/>
          <w:lang w:eastAsia="fr-FR" w:bidi="he-IL"/>
        </w:rPr>
        <w:t>e</w:t>
      </w:r>
      <w:r>
        <w:rPr>
          <w:rFonts w:eastAsia="Arial Unicode MS"/>
          <w:bCs/>
          <w:lang w:eastAsia="fr-FR" w:bidi="he-IL"/>
        </w:rPr>
        <w:t xml:space="preserve"> é</w:t>
      </w:r>
      <w:r w:rsidRPr="00C8701B">
        <w:rPr>
          <w:rFonts w:eastAsia="Arial Unicode MS"/>
          <w:bCs/>
          <w:lang w:eastAsia="fr-FR" w:bidi="he-IL"/>
        </w:rPr>
        <w:t>dit.</w:t>
      </w:r>
    </w:p>
  </w:footnote>
  <w:footnote w:id="510">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Lacordaire</w:t>
      </w:r>
      <w:r>
        <w:rPr>
          <w:rFonts w:eastAsia="Arial Unicode MS"/>
          <w:bCs/>
          <w:lang w:eastAsia="fr-FR" w:bidi="he-IL"/>
        </w:rPr>
        <w:t xml:space="preserve">, </w:t>
      </w:r>
      <w:r w:rsidRPr="00DC4586">
        <w:rPr>
          <w:rStyle w:val="italicus"/>
        </w:rPr>
        <w:t>Conférences de Notre-Dame de Paris</w:t>
      </w:r>
      <w:r>
        <w:rPr>
          <w:rStyle w:val="italicus"/>
        </w:rPr>
        <w:t xml:space="preserve">, </w:t>
      </w:r>
      <w:r w:rsidRPr="00C8701B">
        <w:rPr>
          <w:rFonts w:eastAsia="Arial Unicode MS"/>
          <w:bCs/>
          <w:lang w:eastAsia="fr-FR" w:bidi="he-IL"/>
        </w:rPr>
        <w:t>43</w:t>
      </w:r>
      <w:r w:rsidRPr="00C8701B">
        <w:rPr>
          <w:rFonts w:eastAsia="Arial Unicode MS"/>
          <w:bCs/>
          <w:vertAlign w:val="superscript"/>
          <w:lang w:eastAsia="fr-FR" w:bidi="he-IL"/>
        </w:rPr>
        <w:t>e</w:t>
      </w:r>
      <w:r w:rsidRPr="00C8701B">
        <w:rPr>
          <w:rFonts w:eastAsia="Arial Unicode MS"/>
          <w:bCs/>
          <w:lang w:eastAsia="fr-FR" w:bidi="he-IL"/>
        </w:rPr>
        <w:t xml:space="preserve"> conf.</w:t>
      </w:r>
      <w:r>
        <w:rPr>
          <w:rFonts w:eastAsia="Arial Unicode MS"/>
          <w:bCs/>
          <w:lang w:eastAsia="fr-FR" w:bidi="he-IL"/>
        </w:rPr>
        <w:t xml:space="preserve">, </w:t>
      </w:r>
      <w:r w:rsidRPr="00C8701B">
        <w:rPr>
          <w:rFonts w:eastAsia="Arial Unicode MS"/>
          <w:bCs/>
          <w:lang w:eastAsia="fr-FR" w:bidi="he-IL"/>
        </w:rPr>
        <w:t>1846.</w:t>
      </w:r>
    </w:p>
  </w:footnote>
  <w:footnote w:id="511">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Th. Ratisbonne</w:t>
      </w:r>
      <w:r>
        <w:rPr>
          <w:rFonts w:eastAsia="Arial Unicode MS"/>
          <w:bCs/>
          <w:lang w:eastAsia="fr-FR" w:bidi="he-IL"/>
        </w:rPr>
        <w:t xml:space="preserve">, </w:t>
      </w:r>
      <w:r w:rsidRPr="00DC4586">
        <w:rPr>
          <w:rStyle w:val="italicus"/>
        </w:rPr>
        <w:t>Philosophie du christianisme</w:t>
      </w:r>
      <w:r>
        <w:rPr>
          <w:rStyle w:val="italicus"/>
        </w:rPr>
        <w:t xml:space="preserve">, </w:t>
      </w:r>
      <w:r w:rsidRPr="00C8701B">
        <w:rPr>
          <w:rFonts w:eastAsia="Arial Unicode MS"/>
          <w:bCs/>
          <w:lang w:eastAsia="fr-FR" w:bidi="he-IL"/>
        </w:rPr>
        <w:t>Préface.</w:t>
      </w:r>
    </w:p>
  </w:footnote>
  <w:footnote w:id="512">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Caussette</w:t>
      </w:r>
      <w:r>
        <w:rPr>
          <w:rFonts w:eastAsia="Arial Unicode MS"/>
          <w:bCs/>
          <w:lang w:eastAsia="fr-FR" w:bidi="he-IL"/>
        </w:rPr>
        <w:t xml:space="preserve">, </w:t>
      </w:r>
      <w:r w:rsidRPr="00DC4586">
        <w:rPr>
          <w:rStyle w:val="italicus"/>
        </w:rPr>
        <w:t>Le bon sens de la foi</w:t>
      </w:r>
      <w:r>
        <w:rPr>
          <w:rStyle w:val="italicus"/>
        </w:rPr>
        <w:t xml:space="preserve">, </w:t>
      </w:r>
      <w:r w:rsidRPr="00C8701B">
        <w:rPr>
          <w:rFonts w:eastAsia="Arial Unicode MS"/>
          <w:bCs/>
          <w:lang w:eastAsia="fr-FR" w:bidi="he-IL"/>
        </w:rPr>
        <w:t>t. I</w:t>
      </w:r>
      <w:r>
        <w:rPr>
          <w:rFonts w:eastAsia="Arial Unicode MS"/>
          <w:bCs/>
          <w:lang w:eastAsia="fr-FR" w:bidi="he-IL"/>
        </w:rPr>
        <w:t xml:space="preserve">, </w:t>
      </w:r>
      <w:r w:rsidRPr="00C8701B">
        <w:rPr>
          <w:rFonts w:eastAsia="Arial Unicode MS"/>
          <w:bCs/>
          <w:lang w:eastAsia="fr-FR" w:bidi="he-IL"/>
        </w:rPr>
        <w:t>p. 393 de la 2</w:t>
      </w:r>
      <w:r w:rsidRPr="00C8701B">
        <w:rPr>
          <w:rFonts w:eastAsia="Arial Unicode MS"/>
          <w:bCs/>
          <w:vertAlign w:val="superscript"/>
          <w:lang w:eastAsia="fr-FR" w:bidi="he-IL"/>
        </w:rPr>
        <w:t>e</w:t>
      </w:r>
      <w:r w:rsidRPr="00C8701B">
        <w:rPr>
          <w:rFonts w:eastAsia="Arial Unicode MS"/>
          <w:bCs/>
          <w:lang w:eastAsia="fr-FR" w:bidi="he-IL"/>
        </w:rPr>
        <w:t xml:space="preserve"> édition.</w:t>
      </w:r>
    </w:p>
  </w:footnote>
  <w:footnote w:id="513">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Cité par Neander</w:t>
      </w:r>
      <w:r>
        <w:rPr>
          <w:rFonts w:eastAsia="Arial Unicode MS"/>
          <w:bCs/>
          <w:lang w:eastAsia="fr-FR" w:bidi="he-IL"/>
        </w:rPr>
        <w:t xml:space="preserve">, </w:t>
      </w:r>
      <w:r w:rsidRPr="00DC4586">
        <w:rPr>
          <w:rStyle w:val="italicus"/>
        </w:rPr>
        <w:t>Vie de Jésus</w:t>
      </w:r>
      <w:r>
        <w:rPr>
          <w:rStyle w:val="italicus"/>
        </w:rPr>
        <w:t xml:space="preserve">, </w:t>
      </w:r>
      <w:r w:rsidRPr="00C8701B">
        <w:rPr>
          <w:rFonts w:eastAsia="Arial Unicode MS"/>
          <w:bCs/>
          <w:lang w:eastAsia="fr-FR" w:bidi="he-IL"/>
        </w:rPr>
        <w:t>t. I</w:t>
      </w:r>
      <w:r>
        <w:rPr>
          <w:rFonts w:eastAsia="Arial Unicode MS"/>
          <w:bCs/>
          <w:lang w:eastAsia="fr-FR" w:bidi="he-IL"/>
        </w:rPr>
        <w:t xml:space="preserve">, </w:t>
      </w:r>
      <w:r w:rsidRPr="00C8701B">
        <w:rPr>
          <w:rFonts w:eastAsia="Arial Unicode MS"/>
          <w:bCs/>
          <w:lang w:eastAsia="fr-FR" w:bidi="he-IL"/>
        </w:rPr>
        <w:t>p. 1-2 d</w:t>
      </w:r>
      <w:r>
        <w:rPr>
          <w:rFonts w:eastAsia="Arial Unicode MS"/>
          <w:bCs/>
          <w:lang w:eastAsia="fr-FR" w:bidi="he-IL"/>
        </w:rPr>
        <w:t>e</w:t>
      </w:r>
      <w:r w:rsidRPr="00C8701B">
        <w:rPr>
          <w:rFonts w:eastAsia="Arial Unicode MS"/>
          <w:bCs/>
          <w:lang w:eastAsia="fr-FR" w:bidi="he-IL"/>
        </w:rPr>
        <w:t xml:space="preserve"> la traduction française.</w:t>
      </w:r>
    </w:p>
  </w:footnote>
  <w:footnote w:id="514">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 Marie de Schumann déclarait que vouloir raconter la vie de Jésus</w:t>
      </w:r>
      <w:r>
        <w:rPr>
          <w:rFonts w:eastAsia="Arial Unicode MS"/>
          <w:bCs/>
          <w:lang w:eastAsia="fr-FR" w:bidi="he-IL"/>
        </w:rPr>
        <w:t xml:space="preserve">, </w:t>
      </w:r>
      <w:r w:rsidRPr="00C8701B">
        <w:rPr>
          <w:rFonts w:eastAsia="Arial Unicode MS"/>
          <w:bCs/>
          <w:lang w:eastAsia="fr-FR" w:bidi="he-IL"/>
        </w:rPr>
        <w:t>c’est vouloir représenter le soleil avec un charbon. C’est la vie des chrétiens</w:t>
      </w:r>
      <w:r>
        <w:rPr>
          <w:rFonts w:eastAsia="Arial Unicode MS"/>
          <w:bCs/>
          <w:lang w:eastAsia="fr-FR" w:bidi="he-IL"/>
        </w:rPr>
        <w:t xml:space="preserve">, </w:t>
      </w:r>
      <w:r w:rsidRPr="00C8701B">
        <w:rPr>
          <w:rFonts w:eastAsia="Arial Unicode MS"/>
          <w:bCs/>
          <w:lang w:eastAsia="fr-FR" w:bidi="he-IL"/>
        </w:rPr>
        <w:t>ajoutait-elle</w:t>
      </w:r>
      <w:r>
        <w:rPr>
          <w:rFonts w:eastAsia="Arial Unicode MS"/>
          <w:bCs/>
          <w:lang w:eastAsia="fr-FR" w:bidi="he-IL"/>
        </w:rPr>
        <w:t xml:space="preserve">, </w:t>
      </w:r>
      <w:r w:rsidRPr="00C8701B">
        <w:rPr>
          <w:rFonts w:eastAsia="Arial Unicode MS"/>
          <w:bCs/>
          <w:lang w:eastAsia="fr-FR" w:bidi="he-IL"/>
        </w:rPr>
        <w:t>qui est le meilleur portrait du Christ. »</w:t>
      </w:r>
      <w:r w:rsidRPr="00DC4586">
        <w:rPr>
          <w:rStyle w:val="italicus"/>
        </w:rPr>
        <w:t xml:space="preserve"> </w:t>
      </w:r>
      <w:r w:rsidRPr="00BB47C1">
        <w:rPr>
          <w:rStyle w:val="italicus"/>
          <w:lang w:val="de-AT"/>
        </w:rPr>
        <w:t xml:space="preserve">Ibid., </w:t>
      </w:r>
      <w:r w:rsidRPr="00BB47C1">
        <w:rPr>
          <w:rFonts w:eastAsia="Arial Unicode MS"/>
          <w:bCs/>
          <w:lang w:val="de-AT" w:eastAsia="fr-FR" w:bidi="he-IL"/>
        </w:rPr>
        <w:t>p. 2.</w:t>
      </w:r>
    </w:p>
  </w:footnote>
  <w:footnote w:id="515">
    <w:p w:rsidR="00941AA6" w:rsidRPr="00933C60" w:rsidRDefault="00941AA6">
      <w:pPr>
        <w:pStyle w:val="Notedebasdepage"/>
      </w:pPr>
      <w:r w:rsidRPr="00C406FF">
        <w:rPr>
          <w:rStyle w:val="Appelnotedebasdep"/>
        </w:rPr>
        <w:footnoteRef/>
      </w:r>
      <w:r w:rsidRPr="00BB47C1">
        <w:rPr>
          <w:lang w:val="de-AT"/>
        </w:rPr>
        <w:t xml:space="preserve"> Karl Ritter, cité par Hagenbach, </w:t>
      </w:r>
      <w:r w:rsidRPr="000819BA">
        <w:rPr>
          <w:rStyle w:val="italicus"/>
          <w:lang w:val="de-AT"/>
        </w:rPr>
        <w:t xml:space="preserve">Encyklopædie und Methodologie </w:t>
      </w:r>
      <w:r>
        <w:rPr>
          <w:rStyle w:val="italicus"/>
          <w:lang w:val="de-AT"/>
        </w:rPr>
        <w:t>der theolog</w:t>
      </w:r>
      <w:r w:rsidRPr="000819BA">
        <w:rPr>
          <w:rStyle w:val="italicus"/>
          <w:lang w:val="de-AT"/>
        </w:rPr>
        <w:t xml:space="preserve">. </w:t>
      </w:r>
      <w:r w:rsidRPr="00DC4586">
        <w:rPr>
          <w:rStyle w:val="italicus"/>
        </w:rPr>
        <w:t>Wissenschaften</w:t>
      </w:r>
      <w:r>
        <w:rPr>
          <w:rStyle w:val="italicus"/>
        </w:rPr>
        <w:t xml:space="preserve">, </w:t>
      </w:r>
      <w:r w:rsidRPr="00C8701B">
        <w:rPr>
          <w:rFonts w:eastAsia="Arial Unicode MS"/>
          <w:bCs/>
          <w:lang w:eastAsia="fr-FR" w:bidi="he-IL"/>
        </w:rPr>
        <w:t>8</w:t>
      </w:r>
      <w:r w:rsidRPr="00C8701B">
        <w:rPr>
          <w:rFonts w:eastAsia="Arial Unicode MS"/>
          <w:bCs/>
          <w:vertAlign w:val="superscript"/>
          <w:lang w:eastAsia="fr-FR" w:bidi="he-IL"/>
        </w:rPr>
        <w:t>e</w:t>
      </w:r>
      <w:r w:rsidRPr="00C8701B">
        <w:rPr>
          <w:rFonts w:eastAsia="Arial Unicode MS"/>
          <w:bCs/>
          <w:lang w:eastAsia="fr-FR" w:bidi="he-IL"/>
        </w:rPr>
        <w:t xml:space="preserve"> édit.</w:t>
      </w:r>
      <w:r>
        <w:rPr>
          <w:rFonts w:eastAsia="Arial Unicode MS"/>
          <w:bCs/>
          <w:lang w:eastAsia="fr-FR" w:bidi="he-IL"/>
        </w:rPr>
        <w:t xml:space="preserve">, </w:t>
      </w:r>
      <w:r w:rsidRPr="00C8701B">
        <w:rPr>
          <w:rFonts w:eastAsia="Arial Unicode MS"/>
          <w:bCs/>
          <w:lang w:eastAsia="fr-FR" w:bidi="he-IL"/>
        </w:rPr>
        <w:t>p. 203</w:t>
      </w:r>
      <w:r>
        <w:rPr>
          <w:rFonts w:eastAsia="Arial Unicode MS"/>
          <w:bCs/>
          <w:lang w:eastAsia="fr-FR" w:bidi="he-IL"/>
        </w:rPr>
        <w:t xml:space="preserve">, </w:t>
      </w:r>
      <w:r w:rsidRPr="00C8701B">
        <w:rPr>
          <w:rFonts w:eastAsia="Arial Unicode MS"/>
          <w:bCs/>
          <w:lang w:eastAsia="fr-FR" w:bidi="he-IL"/>
        </w:rPr>
        <w:t>note.</w:t>
      </w:r>
    </w:p>
  </w:footnote>
  <w:footnote w:id="516">
    <w:p w:rsidR="00941AA6" w:rsidRPr="00CB052B" w:rsidRDefault="00941AA6">
      <w:pPr>
        <w:pStyle w:val="Notedebasdepage"/>
      </w:pPr>
      <w:r>
        <w:rPr>
          <w:rStyle w:val="Appelnotedebasdep"/>
        </w:rPr>
        <w:footnoteRef/>
      </w:r>
      <w:r w:rsidRPr="00C8701B">
        <w:rPr>
          <w:rFonts w:eastAsia="Arial Unicode MS"/>
          <w:lang w:eastAsia="fr-FR" w:bidi="he-IL"/>
        </w:rPr>
        <w:t xml:space="preserve"> </w:t>
      </w:r>
      <w:r w:rsidRPr="00C8701B">
        <w:rPr>
          <w:rFonts w:eastAsia="Arial Unicode MS"/>
          <w:bCs/>
          <w:lang w:eastAsia="fr-FR" w:bidi="he-IL"/>
        </w:rPr>
        <w:t>Napoléon I</w:t>
      </w:r>
      <w:r w:rsidRPr="00C8701B">
        <w:rPr>
          <w:rFonts w:eastAsia="Arial Unicode MS"/>
          <w:bCs/>
          <w:vertAlign w:val="superscript"/>
          <w:lang w:eastAsia="fr-FR" w:bidi="he-IL"/>
        </w:rPr>
        <w:t>er</w:t>
      </w:r>
      <w:r>
        <w:rPr>
          <w:rFonts w:eastAsia="Arial Unicode MS"/>
          <w:bCs/>
          <w:lang w:eastAsia="fr-FR" w:bidi="he-IL"/>
        </w:rPr>
        <w:t xml:space="preserve">, </w:t>
      </w:r>
      <w:r w:rsidRPr="00C8701B">
        <w:rPr>
          <w:rFonts w:eastAsia="Arial Unicode MS"/>
          <w:bCs/>
          <w:lang w:eastAsia="fr-FR" w:bidi="he-IL"/>
        </w:rPr>
        <w:t>dans les</w:t>
      </w:r>
      <w:r w:rsidRPr="00DC4586">
        <w:rPr>
          <w:rStyle w:val="italicus"/>
        </w:rPr>
        <w:t xml:space="preserve"> Mémoires de Sainte-Hélène.</w:t>
      </w:r>
    </w:p>
  </w:footnote>
  <w:footnote w:id="517">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Nettement</w:t>
      </w:r>
      <w:r>
        <w:rPr>
          <w:rFonts w:eastAsia="Arial Unicode MS"/>
          <w:bCs/>
          <w:lang w:eastAsia="fr-FR" w:bidi="he-IL"/>
        </w:rPr>
        <w:t xml:space="preserve">, </w:t>
      </w:r>
      <w:r w:rsidRPr="00DC4586">
        <w:rPr>
          <w:rStyle w:val="italicus"/>
        </w:rPr>
        <w:t>Poètes et artistes contemporains</w:t>
      </w:r>
      <w:r>
        <w:rPr>
          <w:rStyle w:val="italicus"/>
        </w:rPr>
        <w:t>.</w:t>
      </w:r>
    </w:p>
  </w:footnote>
  <w:footnote w:id="518">
    <w:p w:rsidR="00941AA6" w:rsidRPr="00933C60" w:rsidRDefault="00941AA6">
      <w:pPr>
        <w:pStyle w:val="Notedebasdepage"/>
      </w:pPr>
      <w:r w:rsidRPr="00C406FF">
        <w:rPr>
          <w:rStyle w:val="Appelnotedebasdep"/>
        </w:rPr>
        <w:footnoteRef/>
      </w:r>
      <w:r>
        <w:rPr>
          <w:rFonts w:eastAsia="Arial Unicode MS"/>
          <w:bCs/>
          <w:lang w:eastAsia="fr-FR" w:bidi="he-IL"/>
        </w:rPr>
        <w:t xml:space="preserve"> </w:t>
      </w:r>
      <w:r w:rsidRPr="00BB47C1">
        <w:t>H. Perreyve,</w:t>
      </w:r>
      <w:r>
        <w:rPr>
          <w:rFonts w:eastAsia="Arial Unicode MS"/>
          <w:bCs/>
          <w:lang w:eastAsia="fr-FR" w:bidi="he-IL"/>
        </w:rPr>
        <w:t xml:space="preserve"> </w:t>
      </w:r>
      <w:r w:rsidRPr="00DC4586">
        <w:rPr>
          <w:rStyle w:val="italicus"/>
        </w:rPr>
        <w:t>Journée des Malades</w:t>
      </w:r>
      <w:r>
        <w:rPr>
          <w:rStyle w:val="italicus"/>
        </w:rPr>
        <w:t xml:space="preserve">, </w:t>
      </w:r>
      <w:r w:rsidRPr="00BB47C1">
        <w:t>p. 178.</w:t>
      </w:r>
    </w:p>
  </w:footnote>
  <w:footnote w:id="519">
    <w:p w:rsidR="00941AA6" w:rsidRPr="009769A0" w:rsidRDefault="00941AA6">
      <w:pPr>
        <w:pStyle w:val="Notedebasdepage"/>
      </w:pPr>
      <w:r>
        <w:rPr>
          <w:rStyle w:val="Appelnotedebasdep"/>
        </w:rPr>
        <w:footnoteRef/>
      </w:r>
      <w:r w:rsidRPr="00C8701B">
        <w:rPr>
          <w:rFonts w:eastAsia="Arial Unicode MS"/>
          <w:lang w:eastAsia="fr-FR" w:bidi="he-IL"/>
        </w:rPr>
        <w:t xml:space="preserve"> </w:t>
      </w:r>
      <w:r w:rsidRPr="00C8701B">
        <w:rPr>
          <w:rFonts w:eastAsia="Arial Unicode MS"/>
          <w:bCs/>
          <w:lang w:eastAsia="fr-FR" w:bidi="he-IL"/>
        </w:rPr>
        <w:t>Lacordaire</w:t>
      </w:r>
      <w:r>
        <w:rPr>
          <w:rFonts w:eastAsia="Arial Unicode MS"/>
          <w:bCs/>
          <w:lang w:eastAsia="fr-FR" w:bidi="he-IL"/>
        </w:rPr>
        <w:t xml:space="preserve">, </w:t>
      </w:r>
      <w:r w:rsidRPr="00DC4586">
        <w:rPr>
          <w:rStyle w:val="italicus"/>
        </w:rPr>
        <w:t>Lettres à un jeune homme sur la vie chrétienne</w:t>
      </w:r>
      <w:r>
        <w:rPr>
          <w:rStyle w:val="italicus"/>
        </w:rPr>
        <w:t xml:space="preserve">, </w:t>
      </w:r>
      <w:r w:rsidRPr="00C8701B">
        <w:rPr>
          <w:rFonts w:eastAsia="Arial Unicode MS"/>
          <w:bCs/>
          <w:lang w:eastAsia="fr-FR" w:bidi="he-IL"/>
        </w:rPr>
        <w:t>p. 183 de la 3</w:t>
      </w:r>
      <w:r w:rsidRPr="00BB47C1">
        <w:rPr>
          <w:rFonts w:eastAsia="Arial Unicode MS"/>
          <w:bCs/>
          <w:vertAlign w:val="superscript"/>
          <w:lang w:eastAsia="fr-FR" w:bidi="he-IL"/>
        </w:rPr>
        <w:t>e</w:t>
      </w:r>
      <w:r>
        <w:rPr>
          <w:rFonts w:eastAsia="Arial Unicode MS"/>
          <w:bCs/>
          <w:lang w:eastAsia="fr-FR" w:bidi="he-IL"/>
        </w:rPr>
        <w:t xml:space="preserve"> </w:t>
      </w:r>
      <w:r w:rsidRPr="00C8701B">
        <w:rPr>
          <w:rFonts w:eastAsia="Arial Unicode MS"/>
          <w:bCs/>
          <w:lang w:eastAsia="fr-FR" w:bidi="he-IL"/>
        </w:rPr>
        <w:t>édit. Du même</w:t>
      </w:r>
      <w:r>
        <w:rPr>
          <w:rFonts w:eastAsia="Arial Unicode MS"/>
          <w:bCs/>
          <w:lang w:eastAsia="fr-FR" w:bidi="he-IL"/>
        </w:rPr>
        <w:t xml:space="preserve">, </w:t>
      </w:r>
      <w:r w:rsidRPr="00DC4586">
        <w:rPr>
          <w:rStyle w:val="italicus"/>
        </w:rPr>
        <w:t>Conférences de Notre-Dame de Paris</w:t>
      </w:r>
      <w:r>
        <w:rPr>
          <w:rStyle w:val="italicus"/>
        </w:rPr>
        <w:t xml:space="preserve">, </w:t>
      </w:r>
      <w:r w:rsidRPr="00C8701B">
        <w:rPr>
          <w:rFonts w:eastAsia="Arial Unicode MS"/>
          <w:bCs/>
          <w:lang w:eastAsia="fr-FR" w:bidi="he-IL"/>
        </w:rPr>
        <w:t>t</w:t>
      </w:r>
      <w:r>
        <w:rPr>
          <w:rFonts w:eastAsia="Arial Unicode MS"/>
          <w:bCs/>
          <w:lang w:eastAsia="fr-FR" w:bidi="he-IL"/>
        </w:rPr>
        <w:t>. II, p. 433 de la 1</w:t>
      </w:r>
      <w:r w:rsidRPr="00BB47C1">
        <w:rPr>
          <w:rFonts w:eastAsia="Arial Unicode MS"/>
          <w:bCs/>
          <w:vertAlign w:val="superscript"/>
          <w:lang w:eastAsia="fr-FR" w:bidi="he-IL"/>
        </w:rPr>
        <w:t>re</w:t>
      </w:r>
      <w:r>
        <w:rPr>
          <w:rFonts w:eastAsia="Arial Unicode MS"/>
          <w:bCs/>
          <w:lang w:eastAsia="fr-FR" w:bidi="he-IL"/>
        </w:rPr>
        <w:t xml:space="preserve"> </w:t>
      </w:r>
      <w:r w:rsidRPr="00C8701B">
        <w:rPr>
          <w:rFonts w:eastAsia="Arial Unicode MS"/>
          <w:bCs/>
          <w:lang w:eastAsia="fr-FR" w:bidi="he-IL"/>
        </w:rPr>
        <w:t>édit. : « Aucune vie d’ici-bas ne présente un tel tissu</w:t>
      </w:r>
      <w:r>
        <w:rPr>
          <w:rFonts w:eastAsia="Arial Unicode MS"/>
          <w:bCs/>
          <w:lang w:eastAsia="fr-FR" w:bidi="he-IL"/>
        </w:rPr>
        <w:t xml:space="preserve">, </w:t>
      </w:r>
      <w:r w:rsidRPr="00C8701B">
        <w:rPr>
          <w:rFonts w:eastAsia="Arial Unicode MS"/>
          <w:bCs/>
          <w:lang w:eastAsia="fr-FR" w:bidi="he-IL"/>
        </w:rPr>
        <w:t xml:space="preserve">de lumière et d’amour. Chaque parole de </w:t>
      </w:r>
      <w:r>
        <w:rPr>
          <w:rFonts w:eastAsia="Arial Unicode MS"/>
          <w:bCs/>
          <w:lang w:eastAsia="fr-FR" w:bidi="he-IL"/>
        </w:rPr>
        <w:t>Jésus-Christ</w:t>
      </w:r>
      <w:r w:rsidRPr="00C8701B">
        <w:rPr>
          <w:rFonts w:eastAsia="Arial Unicode MS"/>
          <w:bCs/>
          <w:lang w:eastAsia="fr-FR" w:bidi="he-IL"/>
        </w:rPr>
        <w:t xml:space="preserve"> est un accent de tendresse et une révélation sublime </w:t>
      </w:r>
      <w:r>
        <w:rPr>
          <w:rFonts w:eastAsia="Arial Unicode MS"/>
          <w:bCs/>
          <w:lang w:eastAsia="fr-FR" w:bidi="he-IL"/>
        </w:rPr>
        <w:t xml:space="preserve">; </w:t>
      </w:r>
      <w:r w:rsidRPr="00C8701B">
        <w:rPr>
          <w:rFonts w:eastAsia="Arial Unicode MS"/>
          <w:bCs/>
          <w:lang w:eastAsia="fr-FR" w:bidi="he-IL"/>
        </w:rPr>
        <w:t>au même moment o</w:t>
      </w:r>
      <w:r>
        <w:rPr>
          <w:rFonts w:eastAsia="Arial Unicode MS"/>
          <w:bCs/>
          <w:lang w:eastAsia="fr-FR" w:bidi="he-IL"/>
        </w:rPr>
        <w:t xml:space="preserve">ù il </w:t>
      </w:r>
      <w:r w:rsidRPr="00C8701B">
        <w:rPr>
          <w:rFonts w:eastAsia="Arial Unicode MS"/>
          <w:bCs/>
          <w:lang w:eastAsia="fr-FR" w:bidi="he-IL"/>
        </w:rPr>
        <w:t>nous ouvre l’infini par son regard</w:t>
      </w:r>
      <w:r>
        <w:rPr>
          <w:rFonts w:eastAsia="Arial Unicode MS"/>
          <w:bCs/>
          <w:lang w:eastAsia="fr-FR" w:bidi="he-IL"/>
        </w:rPr>
        <w:t xml:space="preserve">, </w:t>
      </w:r>
      <w:r w:rsidRPr="00C8701B">
        <w:rPr>
          <w:rFonts w:eastAsia="Arial Unicode MS"/>
          <w:bCs/>
          <w:lang w:eastAsia="fr-FR" w:bidi="he-IL"/>
        </w:rPr>
        <w:t>il nous presse de ses deu</w:t>
      </w:r>
      <w:r>
        <w:rPr>
          <w:rFonts w:eastAsia="Arial Unicode MS"/>
          <w:bCs/>
          <w:lang w:eastAsia="fr-FR" w:bidi="he-IL"/>
        </w:rPr>
        <w:t>x bras sur son sein. On croit s’</w:t>
      </w:r>
      <w:r w:rsidRPr="00C8701B">
        <w:rPr>
          <w:rFonts w:eastAsia="Arial Unicode MS"/>
          <w:bCs/>
          <w:lang w:eastAsia="fr-FR" w:bidi="he-IL"/>
        </w:rPr>
        <w:t>envoler par la pensée</w:t>
      </w:r>
      <w:r>
        <w:rPr>
          <w:rFonts w:eastAsia="Arial Unicode MS"/>
          <w:bCs/>
          <w:lang w:eastAsia="fr-FR" w:bidi="he-IL"/>
        </w:rPr>
        <w:t xml:space="preserve">, </w:t>
      </w:r>
      <w:r w:rsidRPr="00C8701B">
        <w:rPr>
          <w:rFonts w:eastAsia="Arial Unicode MS"/>
          <w:bCs/>
          <w:lang w:eastAsia="fr-FR" w:bidi="he-IL"/>
        </w:rPr>
        <w:t>on est retenu par la charité ».</w:t>
      </w:r>
    </w:p>
  </w:footnote>
  <w:footnote w:id="520">
    <w:p w:rsidR="00941AA6" w:rsidRPr="009769A0" w:rsidRDefault="00941AA6">
      <w:pPr>
        <w:pStyle w:val="Notedebasdepage"/>
      </w:pPr>
      <w:r>
        <w:rPr>
          <w:rStyle w:val="Appelnotedebasdep"/>
        </w:rPr>
        <w:footnoteRef/>
      </w:r>
      <w:r w:rsidRPr="00C8701B">
        <w:rPr>
          <w:rFonts w:eastAsia="Arial Unicode MS"/>
          <w:lang w:eastAsia="fr-FR" w:bidi="he-IL"/>
        </w:rPr>
        <w:t xml:space="preserve"> </w:t>
      </w:r>
      <w:r w:rsidRPr="00C8701B">
        <w:rPr>
          <w:rFonts w:eastAsia="Arial Unicode MS"/>
          <w:bCs/>
          <w:lang w:eastAsia="fr-FR" w:bidi="he-IL"/>
        </w:rPr>
        <w:t>Mgr Bougaud</w:t>
      </w:r>
      <w:r>
        <w:rPr>
          <w:rFonts w:eastAsia="Arial Unicode MS"/>
          <w:bCs/>
          <w:lang w:eastAsia="fr-FR" w:bidi="he-IL"/>
        </w:rPr>
        <w:t xml:space="preserve">, </w:t>
      </w:r>
      <w:r w:rsidRPr="00DC4586">
        <w:rPr>
          <w:rStyle w:val="italicus"/>
        </w:rPr>
        <w:t>Jésus-Christ</w:t>
      </w:r>
      <w:r>
        <w:rPr>
          <w:rStyle w:val="italicus"/>
        </w:rPr>
        <w:t xml:space="preserve">, </w:t>
      </w:r>
      <w:r w:rsidRPr="00C8701B">
        <w:rPr>
          <w:rFonts w:eastAsia="Arial Unicode MS"/>
          <w:bCs/>
          <w:lang w:eastAsia="fr-FR" w:bidi="he-IL"/>
        </w:rPr>
        <w:t>p. 132-135 de la 4</w:t>
      </w:r>
      <w:r w:rsidRPr="00DF5BCD">
        <w:rPr>
          <w:rFonts w:eastAsia="Arial Unicode MS"/>
          <w:bCs/>
          <w:vertAlign w:val="superscript"/>
          <w:lang w:eastAsia="fr-FR" w:bidi="he-IL"/>
        </w:rPr>
        <w:t>e</w:t>
      </w:r>
      <w:r>
        <w:rPr>
          <w:rFonts w:eastAsia="Arial Unicode MS"/>
          <w:bCs/>
          <w:lang w:eastAsia="fr-FR" w:bidi="he-IL"/>
        </w:rPr>
        <w:t xml:space="preserve"> </w:t>
      </w:r>
      <w:r w:rsidRPr="00C8701B">
        <w:rPr>
          <w:rFonts w:eastAsia="Arial Unicode MS"/>
          <w:bCs/>
          <w:lang w:eastAsia="fr-FR" w:bidi="he-IL"/>
        </w:rPr>
        <w:t>édit.</w:t>
      </w:r>
    </w:p>
  </w:footnote>
  <w:footnote w:id="521">
    <w:p w:rsidR="00941AA6" w:rsidRPr="009769A0" w:rsidRDefault="00941AA6">
      <w:pPr>
        <w:pStyle w:val="Notedebasdepage"/>
      </w:pPr>
      <w:r>
        <w:rPr>
          <w:rStyle w:val="Appelnotedebasdep"/>
        </w:rPr>
        <w:footnoteRef/>
      </w:r>
      <w:r w:rsidRPr="00C8701B">
        <w:rPr>
          <w:rFonts w:eastAsia="Arial Unicode MS"/>
          <w:bCs/>
          <w:lang w:eastAsia="fr-FR" w:bidi="he-IL"/>
        </w:rPr>
        <w:t xml:space="preserve"> Le </w:t>
      </w:r>
      <w:r>
        <w:rPr>
          <w:rFonts w:eastAsia="Arial Unicode MS"/>
          <w:bCs/>
          <w:lang w:eastAsia="fr-FR" w:bidi="he-IL"/>
        </w:rPr>
        <w:t xml:space="preserve">Camus, </w:t>
      </w:r>
      <w:r w:rsidRPr="00DC4586">
        <w:rPr>
          <w:rStyle w:val="italicus"/>
        </w:rPr>
        <w:t>Vie de N.-S. Jésus-Christ</w:t>
      </w:r>
      <w:r>
        <w:rPr>
          <w:rStyle w:val="italicus"/>
        </w:rPr>
        <w:t xml:space="preserve">, </w:t>
      </w:r>
      <w:r w:rsidRPr="00C8701B">
        <w:rPr>
          <w:rFonts w:eastAsia="Arial Unicode MS"/>
          <w:bCs/>
          <w:lang w:eastAsia="fr-FR" w:bidi="he-IL"/>
        </w:rPr>
        <w:t>t. I</w:t>
      </w:r>
      <w:r>
        <w:rPr>
          <w:rFonts w:eastAsia="Arial Unicode MS"/>
          <w:bCs/>
          <w:lang w:eastAsia="fr-FR" w:bidi="he-IL"/>
        </w:rPr>
        <w:t xml:space="preserve">, </w:t>
      </w:r>
      <w:r w:rsidRPr="00C8701B">
        <w:rPr>
          <w:rFonts w:eastAsia="Arial Unicode MS"/>
          <w:bCs/>
          <w:lang w:eastAsia="fr-FR" w:bidi="he-IL"/>
        </w:rPr>
        <w:t>p. 20 de la 2</w:t>
      </w:r>
      <w:r w:rsidRPr="00C8701B">
        <w:rPr>
          <w:rFonts w:eastAsia="Arial Unicode MS"/>
          <w:bCs/>
          <w:vertAlign w:val="superscript"/>
          <w:lang w:eastAsia="fr-FR" w:bidi="he-IL"/>
        </w:rPr>
        <w:t>e</w:t>
      </w:r>
      <w:r w:rsidRPr="00C8701B">
        <w:rPr>
          <w:rFonts w:eastAsia="Arial Unicode MS"/>
          <w:bCs/>
          <w:lang w:eastAsia="fr-FR" w:bidi="he-IL"/>
        </w:rPr>
        <w:t xml:space="preserve"> édition.</w:t>
      </w:r>
    </w:p>
  </w:footnote>
  <w:footnote w:id="522">
    <w:p w:rsidR="00941AA6" w:rsidRPr="00E26E85" w:rsidRDefault="00941AA6">
      <w:pPr>
        <w:pStyle w:val="Notedebasdepage"/>
        <w:rPr>
          <w:lang w:val="en-GB"/>
        </w:rPr>
      </w:pPr>
      <w:r w:rsidRPr="00C406FF">
        <w:rPr>
          <w:rStyle w:val="Appelnotedebasdep"/>
        </w:rPr>
        <w:footnoteRef/>
      </w:r>
      <w:r w:rsidRPr="00C8701B">
        <w:rPr>
          <w:rFonts w:eastAsia="Arial Unicode MS"/>
          <w:lang w:val="en-US" w:eastAsia="fr-FR" w:bidi="he-IL"/>
        </w:rPr>
        <w:t xml:space="preserve"> </w:t>
      </w:r>
      <w:r w:rsidRPr="00C8701B">
        <w:rPr>
          <w:rFonts w:eastAsia="Arial Unicode MS"/>
          <w:bCs/>
          <w:lang w:val="en-US" w:eastAsia="fr-FR" w:bidi="he-IL"/>
        </w:rPr>
        <w:t>Plumptre</w:t>
      </w:r>
      <w:r>
        <w:rPr>
          <w:rFonts w:eastAsia="Arial Unicode MS"/>
          <w:bCs/>
          <w:lang w:val="en-US" w:eastAsia="fr-FR" w:bidi="he-IL"/>
        </w:rPr>
        <w:t xml:space="preserve">, </w:t>
      </w:r>
      <w:r w:rsidRPr="00A74F01">
        <w:rPr>
          <w:rStyle w:val="italicus"/>
          <w:lang w:val="en-US"/>
        </w:rPr>
        <w:t xml:space="preserve">Christ and Christendom, </w:t>
      </w:r>
      <w:r w:rsidRPr="00C8701B">
        <w:rPr>
          <w:rFonts w:eastAsia="Arial Unicode MS"/>
          <w:bCs/>
          <w:lang w:val="en-US" w:eastAsia="fr-FR" w:bidi="he-IL"/>
        </w:rPr>
        <w:t>p. 26.</w:t>
      </w:r>
    </w:p>
  </w:footnote>
  <w:footnote w:id="523">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Aug. Nicolas</w:t>
      </w:r>
      <w:r>
        <w:rPr>
          <w:rFonts w:eastAsia="Arial Unicode MS"/>
          <w:bCs/>
          <w:lang w:eastAsia="fr-FR" w:bidi="he-IL"/>
        </w:rPr>
        <w:t xml:space="preserve">, </w:t>
      </w:r>
      <w:r>
        <w:rPr>
          <w:rStyle w:val="italicus"/>
        </w:rPr>
        <w:t>Étude</w:t>
      </w:r>
      <w:r w:rsidRPr="00DC4586">
        <w:rPr>
          <w:rStyle w:val="italicus"/>
        </w:rPr>
        <w:t>s philosophiques</w:t>
      </w:r>
      <w:r>
        <w:rPr>
          <w:rStyle w:val="italicus"/>
        </w:rPr>
        <w:t xml:space="preserve">, </w:t>
      </w:r>
      <w:r w:rsidRPr="00C8701B">
        <w:rPr>
          <w:rFonts w:eastAsia="Arial Unicode MS"/>
          <w:bCs/>
          <w:lang w:eastAsia="fr-FR" w:bidi="he-IL"/>
        </w:rPr>
        <w:t>t</w:t>
      </w:r>
      <w:r>
        <w:rPr>
          <w:rFonts w:eastAsia="Arial Unicode MS"/>
          <w:bCs/>
          <w:lang w:eastAsia="fr-FR" w:bidi="he-IL"/>
        </w:rPr>
        <w:t xml:space="preserve">. IV, </w:t>
      </w:r>
      <w:r w:rsidRPr="00C8701B">
        <w:rPr>
          <w:rFonts w:eastAsia="Arial Unicode MS"/>
          <w:bCs/>
          <w:lang w:eastAsia="fr-FR" w:bidi="he-IL"/>
        </w:rPr>
        <w:t>p. 104 de la 7</w:t>
      </w:r>
      <w:r w:rsidRPr="00BB47C1">
        <w:rPr>
          <w:rFonts w:eastAsia="Arial Unicode MS"/>
          <w:bCs/>
          <w:vertAlign w:val="superscript"/>
          <w:lang w:eastAsia="fr-FR" w:bidi="he-IL"/>
        </w:rPr>
        <w:t>e</w:t>
      </w:r>
      <w:r>
        <w:rPr>
          <w:rFonts w:eastAsia="Arial Unicode MS"/>
          <w:bCs/>
          <w:lang w:eastAsia="fr-FR" w:bidi="he-IL"/>
        </w:rPr>
        <w:t xml:space="preserve"> </w:t>
      </w:r>
      <w:r w:rsidRPr="00C8701B">
        <w:rPr>
          <w:rFonts w:eastAsia="Arial Unicode MS"/>
          <w:bCs/>
          <w:lang w:eastAsia="fr-FR" w:bidi="he-IL"/>
        </w:rPr>
        <w:t>édition.</w:t>
      </w:r>
    </w:p>
  </w:footnote>
  <w:footnote w:id="524">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Frayssinous</w:t>
      </w:r>
      <w:r>
        <w:rPr>
          <w:rFonts w:eastAsia="Arial Unicode MS"/>
          <w:bCs/>
          <w:lang w:eastAsia="fr-FR" w:bidi="he-IL"/>
        </w:rPr>
        <w:t xml:space="preserve">, </w:t>
      </w:r>
      <w:r w:rsidRPr="00DC4586">
        <w:rPr>
          <w:rStyle w:val="italicus"/>
        </w:rPr>
        <w:t>Défense du Christianisme</w:t>
      </w:r>
      <w:r>
        <w:rPr>
          <w:rStyle w:val="italicus"/>
        </w:rPr>
        <w:t xml:space="preserve">, </w:t>
      </w:r>
      <w:r w:rsidRPr="00C8701B">
        <w:rPr>
          <w:rFonts w:eastAsia="Arial Unicode MS"/>
          <w:bCs/>
          <w:lang w:eastAsia="fr-FR" w:bidi="he-IL"/>
        </w:rPr>
        <w:t>Conférence sur</w:t>
      </w:r>
      <w:r>
        <w:rPr>
          <w:rFonts w:eastAsia="Arial Unicode MS"/>
          <w:bCs/>
          <w:lang w:eastAsia="fr-FR" w:bidi="he-IL"/>
        </w:rPr>
        <w:t xml:space="preserve"> </w:t>
      </w:r>
      <w:r w:rsidRPr="00C8701B">
        <w:rPr>
          <w:rFonts w:eastAsia="Arial Unicode MS"/>
          <w:bCs/>
          <w:lang w:eastAsia="fr-FR" w:bidi="he-IL"/>
        </w:rPr>
        <w:t xml:space="preserve">l’autorité des </w:t>
      </w:r>
      <w:r>
        <w:rPr>
          <w:rFonts w:eastAsia="Arial Unicode MS"/>
          <w:bCs/>
          <w:lang w:eastAsia="fr-FR" w:bidi="he-IL"/>
        </w:rPr>
        <w:t>Évangile</w:t>
      </w:r>
      <w:r w:rsidRPr="00C8701B">
        <w:rPr>
          <w:rFonts w:eastAsia="Arial Unicode MS"/>
          <w:bCs/>
          <w:lang w:eastAsia="fr-FR" w:bidi="he-IL"/>
        </w:rPr>
        <w:t>s.</w:t>
      </w:r>
    </w:p>
  </w:footnote>
  <w:footnote w:id="525">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Alexandre Dumas fils</w:t>
      </w:r>
      <w:r>
        <w:rPr>
          <w:rFonts w:eastAsia="Arial Unicode MS"/>
          <w:bCs/>
          <w:lang w:eastAsia="fr-FR" w:bidi="he-IL"/>
        </w:rPr>
        <w:t xml:space="preserve">, </w:t>
      </w:r>
      <w:r w:rsidRPr="00DC4586">
        <w:rPr>
          <w:rStyle w:val="italicus"/>
        </w:rPr>
        <w:t>Discours en réponse à M. Lecomte de Liste</w:t>
      </w:r>
      <w:r>
        <w:rPr>
          <w:rFonts w:eastAsia="Arial Unicode MS"/>
          <w:bCs/>
          <w:lang w:eastAsia="fr-FR" w:bidi="he-IL"/>
        </w:rPr>
        <w:t xml:space="preserve">, </w:t>
      </w:r>
      <w:r w:rsidRPr="00C8701B">
        <w:rPr>
          <w:rFonts w:eastAsia="Arial Unicode MS"/>
          <w:bCs/>
          <w:lang w:eastAsia="fr-FR" w:bidi="he-IL"/>
        </w:rPr>
        <w:t>Paris 1887</w:t>
      </w:r>
      <w:r>
        <w:rPr>
          <w:rFonts w:eastAsia="Arial Unicode MS"/>
          <w:bCs/>
          <w:lang w:eastAsia="fr-FR" w:bidi="he-IL"/>
        </w:rPr>
        <w:t xml:space="preserve">, </w:t>
      </w:r>
      <w:r w:rsidRPr="00C8701B">
        <w:rPr>
          <w:rFonts w:eastAsia="Arial Unicode MS"/>
          <w:bCs/>
          <w:lang w:eastAsia="fr-FR" w:bidi="he-IL"/>
        </w:rPr>
        <w:t>p. 39.</w:t>
      </w:r>
    </w:p>
  </w:footnote>
  <w:footnote w:id="526">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Pr>
          <w:rFonts w:eastAsia="Arial Unicode MS"/>
          <w:bCs/>
          <w:lang w:eastAsia="fr-FR" w:bidi="he-IL"/>
        </w:rPr>
        <w:t>V</w:t>
      </w:r>
      <w:r w:rsidRPr="00C8701B">
        <w:rPr>
          <w:rFonts w:eastAsia="Arial Unicode MS"/>
          <w:bCs/>
          <w:lang w:eastAsia="fr-FR" w:bidi="he-IL"/>
        </w:rPr>
        <w:t>. Hugo</w:t>
      </w:r>
      <w:r>
        <w:rPr>
          <w:rFonts w:eastAsia="Arial Unicode MS"/>
          <w:bCs/>
          <w:lang w:eastAsia="fr-FR" w:bidi="he-IL"/>
        </w:rPr>
        <w:t xml:space="preserve">, </w:t>
      </w:r>
      <w:r w:rsidRPr="00DC4586">
        <w:rPr>
          <w:rStyle w:val="italicus"/>
        </w:rPr>
        <w:t>La fin de Satan</w:t>
      </w:r>
      <w:r w:rsidRPr="00C8701B">
        <w:rPr>
          <w:rFonts w:eastAsia="Arial Unicode MS"/>
          <w:bCs/>
          <w:lang w:eastAsia="fr-FR" w:bidi="he-IL"/>
        </w:rPr>
        <w:t xml:space="preserve"> (conclusion de la</w:t>
      </w:r>
      <w:r w:rsidRPr="00DC4586">
        <w:rPr>
          <w:rStyle w:val="italicus"/>
        </w:rPr>
        <w:t xml:space="preserve"> Légende des siècles</w:t>
      </w:r>
      <w:r w:rsidRPr="00C8701B">
        <w:rPr>
          <w:rFonts w:eastAsia="Arial Unicode MS"/>
          <w:bCs/>
          <w:iCs/>
          <w:lang w:eastAsia="fr-FR" w:bidi="he-IL"/>
        </w:rPr>
        <w:t>)</w:t>
      </w:r>
      <w:r w:rsidRPr="00DC4586">
        <w:rPr>
          <w:rStyle w:val="italicus"/>
        </w:rPr>
        <w:t>.</w:t>
      </w:r>
    </w:p>
  </w:footnote>
  <w:footnote w:id="527">
    <w:p w:rsidR="00941AA6" w:rsidRPr="00E26E85" w:rsidRDefault="00941AA6">
      <w:pPr>
        <w:pStyle w:val="Notedebasdepage"/>
        <w:rPr>
          <w:lang w:val="de-AT"/>
        </w:rPr>
      </w:pPr>
      <w:r w:rsidRPr="00C406FF">
        <w:rPr>
          <w:rStyle w:val="Appelnotedebasdep"/>
        </w:rPr>
        <w:footnoteRef/>
      </w:r>
      <w:r w:rsidRPr="00BB47C1">
        <w:rPr>
          <w:rFonts w:eastAsia="Arial Unicode MS"/>
          <w:lang w:val="de-AT" w:eastAsia="fr-FR" w:bidi="he-IL"/>
        </w:rPr>
        <w:t xml:space="preserve"> </w:t>
      </w:r>
      <w:r w:rsidRPr="00BB47C1">
        <w:rPr>
          <w:rFonts w:eastAsia="Arial Unicode MS"/>
          <w:bCs/>
          <w:lang w:val="de-AT" w:eastAsia="fr-FR" w:bidi="he-IL"/>
        </w:rPr>
        <w:t xml:space="preserve">Voir aussi J. Rambach, </w:t>
      </w:r>
      <w:r w:rsidRPr="00BB47C1">
        <w:rPr>
          <w:rStyle w:val="italicus"/>
          <w:lang w:val="de-AT"/>
        </w:rPr>
        <w:t xml:space="preserve">Anthologie christlicher Gesœnge aus allen Iahrhunderlen der Kirche, </w:t>
      </w:r>
      <w:r w:rsidRPr="00BB47C1">
        <w:rPr>
          <w:rFonts w:eastAsia="Arial Unicode MS"/>
          <w:bCs/>
          <w:lang w:val="de-AT" w:eastAsia="fr-FR" w:bidi="he-IL"/>
        </w:rPr>
        <w:t>Leipzig 1817.</w:t>
      </w:r>
    </w:p>
  </w:footnote>
  <w:footnote w:id="528">
    <w:p w:rsidR="00941AA6" w:rsidRPr="00E26E85" w:rsidRDefault="00941AA6" w:rsidP="00E26E85">
      <w:pPr>
        <w:pStyle w:val="Notedebasdepage"/>
        <w:rPr>
          <w:lang w:val="de-AT"/>
        </w:rPr>
      </w:pPr>
      <w:r w:rsidRPr="00C406FF">
        <w:rPr>
          <w:rStyle w:val="Appelnotedebasdep"/>
        </w:rPr>
        <w:footnoteRef/>
      </w:r>
      <w:r w:rsidRPr="00BB47C1">
        <w:rPr>
          <w:rFonts w:eastAsia="Arial Unicode MS"/>
          <w:lang w:val="de-AT" w:eastAsia="fr-FR" w:bidi="he-IL"/>
        </w:rPr>
        <w:t xml:space="preserve"> </w:t>
      </w:r>
      <w:r>
        <w:rPr>
          <w:rStyle w:val="italicus"/>
          <w:lang w:val="de-AT"/>
        </w:rPr>
        <w:t>Thesáurus</w:t>
      </w:r>
      <w:r w:rsidRPr="00BB47C1">
        <w:rPr>
          <w:rStyle w:val="italicus"/>
          <w:lang w:val="de-AT"/>
        </w:rPr>
        <w:t xml:space="preserve"> hymnológicus, </w:t>
      </w:r>
      <w:r w:rsidRPr="00BB47C1">
        <w:rPr>
          <w:rFonts w:eastAsia="Arial Unicode MS"/>
          <w:bCs/>
          <w:lang w:val="de-AT" w:eastAsia="fr-FR" w:bidi="he-IL"/>
        </w:rPr>
        <w:t>Leipzig 1841-1856.</w:t>
      </w:r>
    </w:p>
  </w:footnote>
  <w:footnote w:id="529">
    <w:p w:rsidR="00941AA6" w:rsidRPr="00E26E85" w:rsidRDefault="00941AA6">
      <w:pPr>
        <w:pStyle w:val="Notedebasdepage"/>
        <w:rPr>
          <w:lang w:val="de-AT"/>
        </w:rPr>
      </w:pPr>
      <w:r w:rsidRPr="00C406FF">
        <w:rPr>
          <w:rStyle w:val="Appelnotedebasdep"/>
        </w:rPr>
        <w:footnoteRef/>
      </w:r>
      <w:r w:rsidRPr="00E26E85">
        <w:rPr>
          <w:lang w:val="de-AT"/>
        </w:rPr>
        <w:t xml:space="preserve"> </w:t>
      </w:r>
      <w:r w:rsidRPr="00E26E85">
        <w:rPr>
          <w:rStyle w:val="italicus"/>
          <w:lang w:val="de-AT"/>
        </w:rPr>
        <w:t xml:space="preserve">Hymni latíni médii ævi, </w:t>
      </w:r>
      <w:r w:rsidRPr="00E26E85">
        <w:rPr>
          <w:rFonts w:eastAsia="Arial Unicode MS"/>
          <w:bCs/>
          <w:lang w:val="de-AT" w:eastAsia="fr-FR" w:bidi="he-IL"/>
        </w:rPr>
        <w:t>Fribourg-en-Brisgau, 1855-1856.</w:t>
      </w:r>
    </w:p>
  </w:footnote>
  <w:footnote w:id="530">
    <w:p w:rsidR="00941AA6" w:rsidRPr="00933C60" w:rsidRDefault="00941AA6" w:rsidP="00E26E85">
      <w:pPr>
        <w:pStyle w:val="Notedebasdepage"/>
      </w:pPr>
      <w:r w:rsidRPr="00C406FF">
        <w:rPr>
          <w:rStyle w:val="Appelnotedebasdep"/>
        </w:rPr>
        <w:footnoteRef/>
      </w:r>
      <w:r w:rsidRPr="00C8701B">
        <w:rPr>
          <w:rFonts w:eastAsia="Arial Unicode MS"/>
          <w:lang w:eastAsia="fr-FR" w:bidi="he-IL"/>
        </w:rPr>
        <w:t xml:space="preserve"> </w:t>
      </w:r>
      <w:r>
        <w:rPr>
          <w:rStyle w:val="italicus"/>
        </w:rPr>
        <w:t>Sac</w:t>
      </w:r>
      <w:r w:rsidRPr="00DC4586">
        <w:rPr>
          <w:rStyle w:val="italicus"/>
        </w:rPr>
        <w:t>red latin Poetry</w:t>
      </w:r>
      <w:r>
        <w:rPr>
          <w:rStyle w:val="italicus"/>
        </w:rPr>
        <w:t xml:space="preserve">, </w:t>
      </w:r>
      <w:r w:rsidRPr="00C8701B">
        <w:rPr>
          <w:rFonts w:eastAsia="Arial Unicode MS"/>
          <w:bCs/>
          <w:lang w:eastAsia="fr-FR" w:bidi="he-IL"/>
        </w:rPr>
        <w:t>Londres. Voyez aussi S. G. Pimont</w:t>
      </w:r>
      <w:r>
        <w:rPr>
          <w:rFonts w:eastAsia="Arial Unicode MS"/>
          <w:bCs/>
          <w:lang w:eastAsia="fr-FR" w:bidi="he-IL"/>
        </w:rPr>
        <w:t xml:space="preserve">, </w:t>
      </w:r>
      <w:r w:rsidRPr="00DC4586">
        <w:rPr>
          <w:rStyle w:val="italicus"/>
        </w:rPr>
        <w:t>Les hymnes du bréviaire romain</w:t>
      </w:r>
      <w:r>
        <w:rPr>
          <w:rStyle w:val="italicus"/>
        </w:rPr>
        <w:t xml:space="preserve">, </w:t>
      </w:r>
      <w:r w:rsidRPr="00C8701B">
        <w:rPr>
          <w:rFonts w:eastAsia="Arial Unicode MS"/>
          <w:bCs/>
          <w:lang w:eastAsia="fr-FR" w:bidi="he-IL"/>
        </w:rPr>
        <w:t>Paris 1874-1878.</w:t>
      </w:r>
      <w:r w:rsidRPr="00E26E85">
        <w:rPr>
          <w:rFonts w:eastAsia="Arial Unicode MS"/>
          <w:lang w:eastAsia="fr-FR" w:bidi="he-IL"/>
        </w:rPr>
        <w:t xml:space="preserve"> </w:t>
      </w:r>
    </w:p>
  </w:footnote>
  <w:footnote w:id="531">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Wetzer et Welte</w:t>
      </w:r>
      <w:r>
        <w:rPr>
          <w:rFonts w:eastAsia="Arial Unicode MS"/>
          <w:bCs/>
          <w:lang w:eastAsia="fr-FR" w:bidi="he-IL"/>
        </w:rPr>
        <w:t xml:space="preserve">, </w:t>
      </w:r>
      <w:r w:rsidRPr="00DC4586">
        <w:rPr>
          <w:rStyle w:val="italicus"/>
        </w:rPr>
        <w:t>Dictionnaire encyclopédique de la théologie catholique</w:t>
      </w:r>
      <w:r>
        <w:rPr>
          <w:rStyle w:val="italicus"/>
        </w:rPr>
        <w:t xml:space="preserve">, </w:t>
      </w:r>
      <w:r w:rsidRPr="00C8701B">
        <w:rPr>
          <w:rFonts w:eastAsia="Arial Unicode MS"/>
          <w:bCs/>
          <w:lang w:eastAsia="fr-FR" w:bidi="he-IL"/>
        </w:rPr>
        <w:t xml:space="preserve">t. </w:t>
      </w:r>
      <w:r>
        <w:rPr>
          <w:rFonts w:eastAsia="Arial Unicode MS"/>
          <w:bCs/>
          <w:lang w:eastAsia="fr-FR" w:bidi="he-IL"/>
        </w:rPr>
        <w:t xml:space="preserve">XVII, </w:t>
      </w:r>
      <w:r w:rsidRPr="00C8701B">
        <w:rPr>
          <w:rFonts w:eastAsia="Arial Unicode MS"/>
          <w:bCs/>
          <w:lang w:eastAsia="fr-FR" w:bidi="he-IL"/>
        </w:rPr>
        <w:t>p. 393 et ss. de la traduction française.</w:t>
      </w:r>
    </w:p>
  </w:footnote>
  <w:footnote w:id="532">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Wetzer et Welte</w:t>
      </w:r>
      <w:r>
        <w:rPr>
          <w:rFonts w:eastAsia="Arial Unicode MS"/>
          <w:bCs/>
          <w:lang w:eastAsia="fr-FR" w:bidi="he-IL"/>
        </w:rPr>
        <w:t xml:space="preserve">, </w:t>
      </w:r>
      <w:r w:rsidRPr="00DC4586">
        <w:rPr>
          <w:rStyle w:val="italicus"/>
        </w:rPr>
        <w:t>loc. cit.</w:t>
      </w:r>
      <w:r>
        <w:rPr>
          <w:rStyle w:val="italicus"/>
        </w:rPr>
        <w:t xml:space="preserve">, </w:t>
      </w:r>
      <w:r w:rsidRPr="00C8701B">
        <w:rPr>
          <w:rFonts w:eastAsia="Arial Unicode MS"/>
          <w:bCs/>
          <w:lang w:eastAsia="fr-FR" w:bidi="he-IL"/>
        </w:rPr>
        <w:t xml:space="preserve">p. 402 et ss. </w:t>
      </w:r>
      <w:r>
        <w:rPr>
          <w:rFonts w:eastAsia="Arial Unicode MS"/>
          <w:bCs/>
          <w:lang w:val="de-AT" w:eastAsia="fr-FR" w:bidi="he-IL"/>
        </w:rPr>
        <w:t>Voir aussi E. Schae</w:t>
      </w:r>
      <w:r w:rsidRPr="000819BA">
        <w:rPr>
          <w:rFonts w:eastAsia="Arial Unicode MS"/>
          <w:bCs/>
          <w:lang w:val="de-AT" w:eastAsia="fr-FR" w:bidi="he-IL"/>
        </w:rPr>
        <w:t xml:space="preserve">fer, </w:t>
      </w:r>
      <w:r w:rsidRPr="000819BA">
        <w:rPr>
          <w:rStyle w:val="italicus"/>
          <w:lang w:val="de-AT"/>
        </w:rPr>
        <w:t>Das E</w:t>
      </w:r>
      <w:r>
        <w:rPr>
          <w:rStyle w:val="italicus"/>
          <w:lang w:val="de-AT"/>
        </w:rPr>
        <w:t>vangélium</w:t>
      </w:r>
      <w:r w:rsidRPr="000819BA">
        <w:rPr>
          <w:rStyle w:val="italicus"/>
          <w:lang w:val="de-AT"/>
        </w:rPr>
        <w:t xml:space="preserve"> in Mun</w:t>
      </w:r>
      <w:r>
        <w:rPr>
          <w:rStyle w:val="italicus"/>
          <w:lang w:val="de-AT"/>
        </w:rPr>
        <w:t>de deutscher Dichter vor einem J</w:t>
      </w:r>
      <w:r w:rsidRPr="000819BA">
        <w:rPr>
          <w:rStyle w:val="italicus"/>
          <w:lang w:val="de-AT"/>
        </w:rPr>
        <w:t xml:space="preserve">ahrtausend, </w:t>
      </w:r>
      <w:r w:rsidRPr="000819BA">
        <w:rPr>
          <w:rFonts w:eastAsia="Arial Unicode MS"/>
          <w:bCs/>
          <w:lang w:val="de-AT" w:eastAsia="fr-FR" w:bidi="he-IL"/>
        </w:rPr>
        <w:t>Werdau, 1884.</w:t>
      </w:r>
    </w:p>
  </w:footnote>
  <w:footnote w:id="533">
    <w:p w:rsidR="00941AA6" w:rsidRPr="0073405D" w:rsidRDefault="00941AA6">
      <w:pPr>
        <w:pStyle w:val="Notedebasdepage"/>
      </w:pPr>
      <w:r>
        <w:rPr>
          <w:rStyle w:val="Appelnotedebasdep"/>
        </w:rPr>
        <w:footnoteRef/>
      </w:r>
      <w:r w:rsidRPr="00C8701B">
        <w:rPr>
          <w:rFonts w:eastAsia="Arial Unicode MS"/>
          <w:lang w:eastAsia="fr-FR" w:bidi="he-IL"/>
        </w:rPr>
        <w:t xml:space="preserve"> </w:t>
      </w:r>
      <w:r w:rsidRPr="00DC4586">
        <w:rPr>
          <w:rStyle w:val="italicus"/>
        </w:rPr>
        <w:t>Das Leben Jesu.</w:t>
      </w:r>
      <w:r w:rsidRPr="00C8701B">
        <w:rPr>
          <w:rFonts w:eastAsia="Arial Unicode MS"/>
          <w:bCs/>
          <w:lang w:eastAsia="fr-FR" w:bidi="he-IL"/>
        </w:rPr>
        <w:t xml:space="preserve"> p. 49 </w:t>
      </w:r>
      <w:r>
        <w:rPr>
          <w:rFonts w:eastAsia="Arial Unicode MS"/>
          <w:bCs/>
          <w:lang w:eastAsia="fr-FR" w:bidi="he-IL"/>
        </w:rPr>
        <w:t>de la 5</w:t>
      </w:r>
      <w:r w:rsidRPr="00216EDC">
        <w:rPr>
          <w:rFonts w:eastAsia="Arial Unicode MS"/>
          <w:bCs/>
          <w:vertAlign w:val="superscript"/>
          <w:lang w:eastAsia="fr-FR" w:bidi="he-IL"/>
        </w:rPr>
        <w:t>e</w:t>
      </w:r>
      <w:r>
        <w:rPr>
          <w:rFonts w:eastAsia="Arial Unicode MS"/>
          <w:bCs/>
          <w:lang w:eastAsia="fr-FR" w:bidi="he-IL"/>
        </w:rPr>
        <w:t xml:space="preserve"> </w:t>
      </w:r>
      <w:r w:rsidRPr="00C8701B">
        <w:rPr>
          <w:rFonts w:eastAsia="Arial Unicode MS"/>
          <w:bCs/>
          <w:lang w:eastAsia="fr-FR" w:bidi="he-IL"/>
        </w:rPr>
        <w:t>édition.</w:t>
      </w:r>
    </w:p>
  </w:footnote>
  <w:footnote w:id="534">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Migne</w:t>
      </w:r>
      <w:r>
        <w:rPr>
          <w:rFonts w:eastAsia="Arial Unicode MS"/>
          <w:bCs/>
          <w:lang w:eastAsia="fr-FR" w:bidi="he-IL"/>
        </w:rPr>
        <w:t xml:space="preserve">, </w:t>
      </w:r>
      <w:r w:rsidRPr="00DC4586">
        <w:rPr>
          <w:rStyle w:val="italicus"/>
        </w:rPr>
        <w:t>Patrol. lat.</w:t>
      </w:r>
      <w:r>
        <w:rPr>
          <w:rStyle w:val="italicus"/>
        </w:rPr>
        <w:t xml:space="preserve">, </w:t>
      </w:r>
      <w:r w:rsidRPr="00C8701B">
        <w:rPr>
          <w:rFonts w:eastAsia="Arial Unicode MS"/>
          <w:bCs/>
          <w:lang w:eastAsia="fr-FR" w:bidi="he-IL"/>
        </w:rPr>
        <w:t xml:space="preserve">t. </w:t>
      </w:r>
      <w:r>
        <w:rPr>
          <w:rFonts w:eastAsia="Arial Unicode MS"/>
          <w:bCs/>
          <w:lang w:eastAsia="fr-FR" w:bidi="he-IL"/>
        </w:rPr>
        <w:t>XIX</w:t>
      </w:r>
      <w:r w:rsidRPr="00C8701B">
        <w:rPr>
          <w:rFonts w:eastAsia="Arial Unicode MS"/>
          <w:bCs/>
          <w:lang w:eastAsia="fr-FR" w:bidi="he-IL"/>
        </w:rPr>
        <w:t>.</w:t>
      </w:r>
    </w:p>
  </w:footnote>
  <w:footnote w:id="535">
    <w:p w:rsidR="00941AA6" w:rsidRPr="00933C60" w:rsidRDefault="00941AA6">
      <w:pPr>
        <w:pStyle w:val="Notedebasdepage"/>
      </w:pPr>
      <w:r w:rsidRPr="00C406FF">
        <w:rPr>
          <w:rStyle w:val="Appelnotedebasdep"/>
        </w:rPr>
        <w:footnoteRef/>
      </w:r>
      <w:r w:rsidRPr="00E26E85">
        <w:rPr>
          <w:rFonts w:eastAsia="Arial Unicode MS"/>
          <w:bCs/>
          <w:lang w:eastAsia="fr-FR" w:bidi="he-IL"/>
        </w:rPr>
        <w:t xml:space="preserve"> Voyez Alzog, </w:t>
      </w:r>
      <w:r w:rsidRPr="00E26E85">
        <w:rPr>
          <w:rStyle w:val="italicus"/>
        </w:rPr>
        <w:t xml:space="preserve">Grundriss der Patrologie, </w:t>
      </w:r>
      <w:r w:rsidRPr="00E26E85">
        <w:t>Fribourg-en-Brisgau</w:t>
      </w:r>
      <w:r w:rsidRPr="00E26E85">
        <w:rPr>
          <w:rFonts w:eastAsia="Arial Unicode MS"/>
          <w:bCs/>
          <w:lang w:eastAsia="fr-FR" w:bidi="he-IL"/>
        </w:rPr>
        <w:t xml:space="preserve"> 1866, p. 410.</w:t>
      </w:r>
    </w:p>
  </w:footnote>
  <w:footnote w:id="536">
    <w:p w:rsidR="00941AA6" w:rsidRPr="00933C60" w:rsidRDefault="00941AA6">
      <w:pPr>
        <w:pStyle w:val="Notedebasdepage"/>
      </w:pPr>
      <w:r w:rsidRPr="00C406FF">
        <w:rPr>
          <w:rStyle w:val="Appelnotedebasdep"/>
        </w:rPr>
        <w:footnoteRef/>
      </w:r>
      <w:r w:rsidRPr="00216EDC">
        <w:t xml:space="preserve"> C’est la traduction littérale du titre </w:t>
      </w:r>
      <w:r w:rsidRPr="00224DBF">
        <w:t xml:space="preserve">Παράφρασις ἐπικὴ τοῦ εὐαγγελίου κατὰ Ἰωάννην. On </w:t>
      </w:r>
      <w:r w:rsidRPr="00216EDC">
        <w:t xml:space="preserve">a eu naguère la </w:t>
      </w:r>
      <w:r w:rsidRPr="00C8701B">
        <w:rPr>
          <w:rFonts w:eastAsia="Arial Unicode MS"/>
          <w:bCs/>
          <w:lang w:eastAsia="fr-FR" w:bidi="he-IL"/>
        </w:rPr>
        <w:t>fantaisie de traduire ce livre en vers allemands. Voyez Hase</w:t>
      </w:r>
      <w:r>
        <w:rPr>
          <w:rFonts w:eastAsia="Arial Unicode MS"/>
          <w:bCs/>
          <w:lang w:eastAsia="fr-FR" w:bidi="he-IL"/>
        </w:rPr>
        <w:t xml:space="preserve">, </w:t>
      </w:r>
      <w:r w:rsidRPr="00DC4586">
        <w:rPr>
          <w:rStyle w:val="italicus"/>
        </w:rPr>
        <w:t>l. c.</w:t>
      </w:r>
      <w:r>
        <w:rPr>
          <w:rStyle w:val="italicus"/>
        </w:rPr>
        <w:t xml:space="preserve">, </w:t>
      </w:r>
      <w:r w:rsidRPr="00C8701B">
        <w:rPr>
          <w:rFonts w:eastAsia="Arial Unicode MS"/>
          <w:bCs/>
          <w:lang w:eastAsia="fr-FR" w:bidi="he-IL"/>
        </w:rPr>
        <w:t>p. 82.</w:t>
      </w:r>
    </w:p>
  </w:footnote>
  <w:footnote w:id="537">
    <w:p w:rsidR="00941AA6" w:rsidRPr="00933C60" w:rsidRDefault="00941AA6">
      <w:pPr>
        <w:pStyle w:val="Notedebasdepage"/>
      </w:pPr>
      <w:r w:rsidRPr="00C406FF">
        <w:rPr>
          <w:rStyle w:val="Appelnotedebasdep"/>
        </w:rPr>
        <w:footnoteRef/>
      </w:r>
      <w:r w:rsidRPr="00C8701B">
        <w:rPr>
          <w:rFonts w:eastAsia="Arial Unicode MS"/>
          <w:bCs/>
          <w:lang w:eastAsia="fr-FR" w:bidi="he-IL"/>
        </w:rPr>
        <w:t xml:space="preserve"> Voyez Alzog</w:t>
      </w:r>
      <w:r>
        <w:rPr>
          <w:rFonts w:eastAsia="Arial Unicode MS"/>
          <w:bCs/>
          <w:lang w:eastAsia="fr-FR" w:bidi="he-IL"/>
        </w:rPr>
        <w:t xml:space="preserve">, </w:t>
      </w:r>
      <w:r w:rsidRPr="00DC4586">
        <w:rPr>
          <w:rStyle w:val="italicus"/>
        </w:rPr>
        <w:t>loc. cit.</w:t>
      </w:r>
      <w:r>
        <w:rPr>
          <w:rStyle w:val="italicus"/>
        </w:rPr>
        <w:t xml:space="preserve">, </w:t>
      </w:r>
      <w:r w:rsidRPr="00C8701B">
        <w:rPr>
          <w:rFonts w:eastAsia="Arial Unicode MS"/>
          <w:bCs/>
          <w:lang w:eastAsia="fr-FR" w:bidi="he-IL"/>
        </w:rPr>
        <w:t>p. 412.</w:t>
      </w:r>
    </w:p>
  </w:footnote>
  <w:footnote w:id="538">
    <w:p w:rsidR="00941AA6" w:rsidRPr="00933C60" w:rsidRDefault="00941AA6">
      <w:pPr>
        <w:pStyle w:val="Notedebasdepage"/>
      </w:pPr>
      <w:r w:rsidRPr="00C406FF">
        <w:rPr>
          <w:rStyle w:val="Appelnotedebasdep"/>
        </w:rPr>
        <w:footnoteRef/>
      </w:r>
      <w:r>
        <w:rPr>
          <w:rStyle w:val="italicus"/>
        </w:rPr>
        <w:t xml:space="preserve"> Hi</w:t>
      </w:r>
      <w:r w:rsidRPr="00DC4586">
        <w:rPr>
          <w:rStyle w:val="italicus"/>
        </w:rPr>
        <w:t>st. Angl.</w:t>
      </w:r>
      <w:r>
        <w:rPr>
          <w:rStyle w:val="italicus"/>
        </w:rPr>
        <w:t xml:space="preserve">, </w:t>
      </w:r>
      <w:r>
        <w:rPr>
          <w:rFonts w:eastAsia="Arial Unicode MS"/>
          <w:bCs/>
          <w:lang w:eastAsia="fr-FR" w:bidi="he-IL"/>
        </w:rPr>
        <w:t xml:space="preserve">IV, </w:t>
      </w:r>
      <w:r w:rsidRPr="00C8701B">
        <w:rPr>
          <w:rFonts w:eastAsia="Arial Unicode MS"/>
          <w:bCs/>
          <w:lang w:eastAsia="fr-FR" w:bidi="he-IL"/>
        </w:rPr>
        <w:t>23.</w:t>
      </w:r>
    </w:p>
  </w:footnote>
  <w:footnote w:id="539">
    <w:p w:rsidR="00941AA6" w:rsidRPr="00224DBF" w:rsidRDefault="00941AA6">
      <w:pPr>
        <w:pStyle w:val="Notedebasdepage"/>
        <w:rPr>
          <w:rStyle w:val="italicus"/>
        </w:rPr>
      </w:pPr>
      <w:r w:rsidRPr="00C406FF">
        <w:rPr>
          <w:rStyle w:val="Appelnotedebasdep"/>
        </w:rPr>
        <w:footnoteRef/>
      </w:r>
      <w:r w:rsidRPr="00C8701B">
        <w:rPr>
          <w:rFonts w:eastAsia="Arial Unicode MS"/>
          <w:lang w:eastAsia="fr-FR" w:bidi="he-IL"/>
        </w:rPr>
        <w:t xml:space="preserve"> </w:t>
      </w:r>
      <w:r>
        <w:rPr>
          <w:rFonts w:eastAsia="Arial Unicode MS"/>
          <w:bCs/>
          <w:lang w:eastAsia="fr-FR" w:bidi="he-IL"/>
        </w:rPr>
        <w:t>Ils f</w:t>
      </w:r>
      <w:r w:rsidRPr="00C8701B">
        <w:rPr>
          <w:rFonts w:eastAsia="Arial Unicode MS"/>
          <w:bCs/>
          <w:lang w:eastAsia="fr-FR" w:bidi="he-IL"/>
        </w:rPr>
        <w:t>urent publiés pour la première fois en 1653</w:t>
      </w:r>
      <w:r>
        <w:rPr>
          <w:rFonts w:eastAsia="Arial Unicode MS"/>
          <w:bCs/>
          <w:lang w:eastAsia="fr-FR" w:bidi="he-IL"/>
        </w:rPr>
        <w:t xml:space="preserve">, </w:t>
      </w:r>
      <w:r w:rsidRPr="00C8701B">
        <w:rPr>
          <w:rFonts w:eastAsia="Arial Unicode MS"/>
          <w:bCs/>
          <w:lang w:eastAsia="fr-FR" w:bidi="he-IL"/>
        </w:rPr>
        <w:t>par Franc. Junius</w:t>
      </w:r>
      <w:r>
        <w:rPr>
          <w:rFonts w:eastAsia="Arial Unicode MS"/>
          <w:bCs/>
          <w:lang w:eastAsia="fr-FR" w:bidi="he-IL"/>
        </w:rPr>
        <w:t xml:space="preserve">, </w:t>
      </w:r>
      <w:r w:rsidRPr="00C8701B">
        <w:rPr>
          <w:rFonts w:eastAsia="Arial Unicode MS"/>
          <w:bCs/>
          <w:lang w:eastAsia="fr-FR" w:bidi="he-IL"/>
        </w:rPr>
        <w:t>sous</w:t>
      </w:r>
      <w:r>
        <w:rPr>
          <w:rFonts w:eastAsia="Arial Unicode MS"/>
          <w:bCs/>
          <w:lang w:eastAsia="fr-FR" w:bidi="he-IL"/>
        </w:rPr>
        <w:t xml:space="preserve"> l</w:t>
      </w:r>
      <w:r w:rsidRPr="00C8701B">
        <w:rPr>
          <w:rFonts w:eastAsia="Arial Unicode MS"/>
          <w:bCs/>
          <w:lang w:eastAsia="fr-FR" w:bidi="he-IL"/>
        </w:rPr>
        <w:t xml:space="preserve">e titre : </w:t>
      </w:r>
      <w:r w:rsidRPr="00224DBF">
        <w:rPr>
          <w:rStyle w:val="italicus"/>
        </w:rPr>
        <w:t>Cædmónis mónachi paráphrasis poética Genésios ac præcipuárum sacra pagina historiárum, abhinc annos MLXX anglo-saxonice conscrípta.</w:t>
      </w:r>
    </w:p>
  </w:footnote>
  <w:footnote w:id="540">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Vers 820.</w:t>
      </w:r>
      <w:r w:rsidRPr="00DC4586">
        <w:rPr>
          <w:rStyle w:val="italicus"/>
        </w:rPr>
        <w:t xml:space="preserve"> </w:t>
      </w:r>
      <w:r w:rsidRPr="00183385">
        <w:rPr>
          <w:rStyle w:val="italicus"/>
        </w:rPr>
        <w:t>Heliand, Poema saxonicum seculi noni</w:t>
      </w:r>
      <w:r w:rsidRPr="00183385">
        <w:rPr>
          <w:rFonts w:eastAsia="Arial Unicode MS"/>
          <w:bCs/>
          <w:lang w:eastAsia="fr-FR" w:bidi="he-IL"/>
        </w:rPr>
        <w:t xml:space="preserve">, Munich. </w:t>
      </w:r>
      <w:r w:rsidRPr="00C8701B">
        <w:rPr>
          <w:rFonts w:eastAsia="Arial Unicode MS"/>
          <w:bCs/>
          <w:lang w:eastAsia="fr-FR" w:bidi="he-IL"/>
        </w:rPr>
        <w:t>1830. On</w:t>
      </w:r>
      <w:r>
        <w:rPr>
          <w:rFonts w:eastAsia="Arial Unicode MS"/>
          <w:bCs/>
          <w:lang w:eastAsia="fr-FR" w:bidi="he-IL"/>
        </w:rPr>
        <w:t xml:space="preserve"> l’</w:t>
      </w:r>
      <w:r w:rsidRPr="00C8701B">
        <w:rPr>
          <w:rFonts w:eastAsia="Arial Unicode MS"/>
          <w:bCs/>
          <w:lang w:eastAsia="fr-FR" w:bidi="he-IL"/>
        </w:rPr>
        <w:t>a tra</w:t>
      </w:r>
      <w:r>
        <w:rPr>
          <w:rFonts w:eastAsia="Arial Unicode MS"/>
          <w:bCs/>
          <w:lang w:eastAsia="fr-FR" w:bidi="he-IL"/>
        </w:rPr>
        <w:t>duit à plusieurs reprises en ver</w:t>
      </w:r>
      <w:r w:rsidRPr="00C8701B">
        <w:rPr>
          <w:rFonts w:eastAsia="Arial Unicode MS"/>
          <w:bCs/>
          <w:lang w:eastAsia="fr-FR" w:bidi="he-IL"/>
        </w:rPr>
        <w:t>s allemands. Nous avons sous les yeux la belle édition de K. Simrock</w:t>
      </w:r>
      <w:r>
        <w:rPr>
          <w:rFonts w:eastAsia="Arial Unicode MS"/>
          <w:bCs/>
          <w:lang w:eastAsia="fr-FR" w:bidi="he-IL"/>
        </w:rPr>
        <w:t xml:space="preserve">, </w:t>
      </w:r>
      <w:r w:rsidRPr="00DC4586">
        <w:rPr>
          <w:rStyle w:val="italicus"/>
        </w:rPr>
        <w:t>Heliand</w:t>
      </w:r>
      <w:r>
        <w:rPr>
          <w:rStyle w:val="italicus"/>
        </w:rPr>
        <w:t xml:space="preserve">, </w:t>
      </w:r>
      <w:r w:rsidRPr="00DC4586">
        <w:rPr>
          <w:rStyle w:val="italicus"/>
        </w:rPr>
        <w:t xml:space="preserve">Christi </w:t>
      </w:r>
      <w:r>
        <w:rPr>
          <w:rStyle w:val="italicus"/>
        </w:rPr>
        <w:t>Leb</w:t>
      </w:r>
      <w:r w:rsidRPr="00DC4586">
        <w:rPr>
          <w:rStyle w:val="italicus"/>
        </w:rPr>
        <w:t>en und Lehre</w:t>
      </w:r>
      <w:r>
        <w:rPr>
          <w:rStyle w:val="italicus"/>
        </w:rPr>
        <w:t>, nach dem Alt</w:t>
      </w:r>
      <w:r w:rsidRPr="00DC4586">
        <w:rPr>
          <w:rStyle w:val="italicus"/>
        </w:rPr>
        <w:t>sœchsischen</w:t>
      </w:r>
      <w:r>
        <w:rPr>
          <w:rStyle w:val="italicus"/>
        </w:rPr>
        <w:t xml:space="preserve">, </w:t>
      </w:r>
      <w:r>
        <w:rPr>
          <w:rFonts w:eastAsia="Arial Unicode MS"/>
          <w:bCs/>
          <w:lang w:eastAsia="fr-FR" w:bidi="he-IL"/>
        </w:rPr>
        <w:t>Elberf</w:t>
      </w:r>
      <w:r w:rsidRPr="00C8701B">
        <w:rPr>
          <w:rFonts w:eastAsia="Arial Unicode MS"/>
          <w:bCs/>
          <w:lang w:eastAsia="fr-FR" w:bidi="he-IL"/>
        </w:rPr>
        <w:t>eld</w:t>
      </w:r>
      <w:r>
        <w:rPr>
          <w:rFonts w:eastAsia="Arial Unicode MS"/>
          <w:bCs/>
          <w:lang w:eastAsia="fr-FR" w:bidi="he-IL"/>
        </w:rPr>
        <w:t>,</w:t>
      </w:r>
      <w:r w:rsidRPr="00C8701B">
        <w:rPr>
          <w:rFonts w:eastAsia="Arial Unicode MS"/>
          <w:bCs/>
          <w:lang w:eastAsia="fr-FR" w:bidi="he-IL"/>
        </w:rPr>
        <w:t xml:space="preserve"> 1866</w:t>
      </w:r>
      <w:r>
        <w:rPr>
          <w:rFonts w:eastAsia="Arial Unicode MS"/>
          <w:bCs/>
          <w:lang w:eastAsia="fr-FR" w:bidi="he-IL"/>
        </w:rPr>
        <w:t xml:space="preserve">, </w:t>
      </w:r>
      <w:r w:rsidRPr="00C8701B">
        <w:rPr>
          <w:rFonts w:eastAsia="Arial Unicode MS"/>
          <w:bCs/>
          <w:lang w:eastAsia="fr-FR" w:bidi="he-IL"/>
        </w:rPr>
        <w:t>2</w:t>
      </w:r>
      <w:r w:rsidRPr="00C8701B">
        <w:rPr>
          <w:rFonts w:eastAsia="Arial Unicode MS"/>
          <w:bCs/>
          <w:vertAlign w:val="superscript"/>
          <w:lang w:eastAsia="fr-FR" w:bidi="he-IL"/>
        </w:rPr>
        <w:t>e</w:t>
      </w:r>
      <w:r w:rsidRPr="00C8701B">
        <w:rPr>
          <w:rFonts w:eastAsia="Arial Unicode MS"/>
          <w:bCs/>
          <w:lang w:eastAsia="fr-FR" w:bidi="he-IL"/>
        </w:rPr>
        <w:t xml:space="preserve"> édition. Voyez Wetzer et Welte</w:t>
      </w:r>
      <w:r>
        <w:rPr>
          <w:rFonts w:eastAsia="Arial Unicode MS"/>
          <w:bCs/>
          <w:lang w:eastAsia="fr-FR" w:bidi="he-IL"/>
        </w:rPr>
        <w:t xml:space="preserve">, </w:t>
      </w:r>
      <w:r w:rsidRPr="00DC4586">
        <w:rPr>
          <w:rStyle w:val="italicus"/>
        </w:rPr>
        <w:t>loc. cit.</w:t>
      </w:r>
      <w:r>
        <w:rPr>
          <w:rStyle w:val="italicus"/>
        </w:rPr>
        <w:t xml:space="preserve">, </w:t>
      </w:r>
      <w:r>
        <w:rPr>
          <w:rFonts w:eastAsia="Arial Unicode MS"/>
          <w:bCs/>
          <w:lang w:eastAsia="fr-FR" w:bidi="he-IL"/>
        </w:rPr>
        <w:t>au mo</w:t>
      </w:r>
      <w:r w:rsidRPr="00C8701B">
        <w:rPr>
          <w:rFonts w:eastAsia="Arial Unicode MS"/>
          <w:bCs/>
          <w:lang w:eastAsia="fr-FR" w:bidi="he-IL"/>
        </w:rPr>
        <w:t>t Heliand.</w:t>
      </w:r>
    </w:p>
  </w:footnote>
  <w:footnote w:id="541">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la bibliographie dans K. Hase</w:t>
      </w:r>
      <w:r>
        <w:rPr>
          <w:rFonts w:eastAsia="Arial Unicode MS"/>
          <w:bCs/>
          <w:lang w:eastAsia="fr-FR" w:bidi="he-IL"/>
        </w:rPr>
        <w:t xml:space="preserve">, </w:t>
      </w:r>
      <w:r w:rsidRPr="00DC4586">
        <w:rPr>
          <w:rStyle w:val="italicus"/>
        </w:rPr>
        <w:t>Leben Jesu</w:t>
      </w:r>
      <w:r>
        <w:rPr>
          <w:rStyle w:val="italicus"/>
        </w:rPr>
        <w:t xml:space="preserve">, </w:t>
      </w:r>
      <w:r>
        <w:rPr>
          <w:rFonts w:eastAsia="Arial Unicode MS"/>
          <w:bCs/>
          <w:lang w:eastAsia="fr-FR" w:bidi="he-IL"/>
        </w:rPr>
        <w:t>p. 53 de la 5</w:t>
      </w:r>
      <w:r w:rsidRPr="00183385">
        <w:rPr>
          <w:rFonts w:eastAsia="Arial Unicode MS"/>
          <w:bCs/>
          <w:vertAlign w:val="superscript"/>
          <w:lang w:eastAsia="fr-FR" w:bidi="he-IL"/>
        </w:rPr>
        <w:t>e</w:t>
      </w:r>
      <w:r>
        <w:rPr>
          <w:rFonts w:eastAsia="Arial Unicode MS"/>
          <w:bCs/>
          <w:lang w:eastAsia="fr-FR" w:bidi="he-IL"/>
        </w:rPr>
        <w:t xml:space="preserve"> </w:t>
      </w:r>
      <w:r w:rsidRPr="00C8701B">
        <w:rPr>
          <w:rFonts w:eastAsia="Arial Unicode MS"/>
          <w:bCs/>
          <w:lang w:eastAsia="fr-FR" w:bidi="he-IL"/>
        </w:rPr>
        <w:t>édition.</w:t>
      </w:r>
    </w:p>
  </w:footnote>
  <w:footnote w:id="542">
    <w:p w:rsidR="00941AA6" w:rsidRPr="00933C60" w:rsidRDefault="00941AA6">
      <w:pPr>
        <w:pStyle w:val="Notedebasdepage"/>
      </w:pPr>
      <w:r w:rsidRPr="00C406FF">
        <w:rPr>
          <w:rStyle w:val="Appelnotedebasdep"/>
        </w:rPr>
        <w:footnoteRef/>
      </w:r>
      <w:r w:rsidRPr="00DC4586">
        <w:rPr>
          <w:rStyle w:val="italicus"/>
        </w:rPr>
        <w:t xml:space="preserve"> </w:t>
      </w:r>
      <w:r>
        <w:rPr>
          <w:rStyle w:val="italicus"/>
        </w:rPr>
        <w:t>Christeis, sive de partu Virg</w:t>
      </w:r>
      <w:r w:rsidRPr="00DC4586">
        <w:rPr>
          <w:rStyle w:val="italicus"/>
        </w:rPr>
        <w:t>inis libri III.</w:t>
      </w:r>
    </w:p>
  </w:footnote>
  <w:footnote w:id="543">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Pr>
          <w:rStyle w:val="italicus"/>
        </w:rPr>
        <w:t>Christia</w:t>
      </w:r>
      <w:r w:rsidRPr="00DC4586">
        <w:rPr>
          <w:rStyle w:val="italicus"/>
        </w:rPr>
        <w:t>s</w:t>
      </w:r>
      <w:r>
        <w:rPr>
          <w:rStyle w:val="italicus"/>
        </w:rPr>
        <w:t xml:space="preserve">, </w:t>
      </w:r>
      <w:r w:rsidRPr="00DC4586">
        <w:rPr>
          <w:rStyle w:val="italicus"/>
        </w:rPr>
        <w:t xml:space="preserve">libri </w:t>
      </w:r>
      <w:r>
        <w:rPr>
          <w:rStyle w:val="italicus"/>
        </w:rPr>
        <w:t>VI</w:t>
      </w:r>
      <w:r w:rsidRPr="00DC4586">
        <w:rPr>
          <w:rStyle w:val="italicus"/>
        </w:rPr>
        <w:t>.</w:t>
      </w:r>
      <w:r w:rsidRPr="00C8701B">
        <w:rPr>
          <w:rFonts w:eastAsia="Arial Unicode MS"/>
          <w:bCs/>
          <w:lang w:eastAsia="fr-FR" w:bidi="he-IL"/>
        </w:rPr>
        <w:t xml:space="preserve"> Vida était archevêque d’Albe. Il mourut en 1566.</w:t>
      </w:r>
    </w:p>
  </w:footnote>
  <w:footnote w:id="544">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K. Hase</w:t>
      </w:r>
      <w:r>
        <w:rPr>
          <w:rFonts w:eastAsia="Arial Unicode MS"/>
          <w:bCs/>
          <w:lang w:eastAsia="fr-FR" w:bidi="he-IL"/>
        </w:rPr>
        <w:t xml:space="preserve">, </w:t>
      </w:r>
      <w:r w:rsidRPr="00C8701B">
        <w:rPr>
          <w:rFonts w:eastAsia="Arial Unicode MS"/>
          <w:bCs/>
          <w:lang w:eastAsia="fr-FR" w:bidi="he-IL"/>
        </w:rPr>
        <w:t>l. c.</w:t>
      </w:r>
      <w:r>
        <w:rPr>
          <w:rFonts w:eastAsia="Arial Unicode MS"/>
          <w:bCs/>
          <w:lang w:eastAsia="fr-FR" w:bidi="he-IL"/>
        </w:rPr>
        <w:t xml:space="preserve">, </w:t>
      </w:r>
      <w:r w:rsidRPr="00C8701B">
        <w:rPr>
          <w:rFonts w:eastAsia="Arial Unicode MS"/>
          <w:bCs/>
          <w:lang w:eastAsia="fr-FR" w:bidi="he-IL"/>
        </w:rPr>
        <w:t>p. 52-53. Vers la même é</w:t>
      </w:r>
      <w:r>
        <w:rPr>
          <w:rFonts w:eastAsia="Arial Unicode MS"/>
          <w:bCs/>
          <w:lang w:eastAsia="fr-FR" w:bidi="he-IL"/>
        </w:rPr>
        <w:t>poque parurent plusieurs centons</w:t>
      </w:r>
      <w:r w:rsidRPr="00C8701B">
        <w:rPr>
          <w:rFonts w:eastAsia="Arial Unicode MS"/>
          <w:bCs/>
          <w:lang w:eastAsia="fr-FR" w:bidi="he-IL"/>
        </w:rPr>
        <w:t xml:space="preserve"> évangéliques (un centon est un ouvrage fait de morceaux empruntés)</w:t>
      </w:r>
      <w:r>
        <w:rPr>
          <w:rFonts w:eastAsia="Arial Unicode MS"/>
          <w:bCs/>
          <w:lang w:eastAsia="fr-FR" w:bidi="he-IL"/>
        </w:rPr>
        <w:t>, composés uniquemen</w:t>
      </w:r>
      <w:r w:rsidRPr="00C8701B">
        <w:rPr>
          <w:rFonts w:eastAsia="Arial Unicode MS"/>
          <w:bCs/>
          <w:lang w:eastAsia="fr-FR" w:bidi="he-IL"/>
        </w:rPr>
        <w:t>t de vers pris çà et là dans les œuvres d’</w:t>
      </w:r>
      <w:r>
        <w:rPr>
          <w:rFonts w:eastAsia="Arial Unicode MS"/>
          <w:bCs/>
          <w:lang w:eastAsia="fr-FR" w:bidi="he-IL"/>
        </w:rPr>
        <w:t>Homère et de Virgile. Not</w:t>
      </w:r>
      <w:r w:rsidRPr="00C8701B">
        <w:rPr>
          <w:rFonts w:eastAsia="Arial Unicode MS"/>
          <w:bCs/>
          <w:lang w:eastAsia="fr-FR" w:bidi="he-IL"/>
        </w:rPr>
        <w:t>amment :</w:t>
      </w:r>
      <w:r w:rsidRPr="00DC4586">
        <w:rPr>
          <w:rStyle w:val="italicus"/>
        </w:rPr>
        <w:t xml:space="preserve"> </w:t>
      </w:r>
      <w:r>
        <w:rPr>
          <w:rStyle w:val="italicus"/>
        </w:rPr>
        <w:t>Centó</w:t>
      </w:r>
      <w:r w:rsidRPr="00DC4586">
        <w:rPr>
          <w:rStyle w:val="italicus"/>
        </w:rPr>
        <w:t>ne</w:t>
      </w:r>
      <w:r>
        <w:rPr>
          <w:rStyle w:val="italicus"/>
        </w:rPr>
        <w:t xml:space="preserve">s, </w:t>
      </w:r>
      <w:r w:rsidRPr="00DC4586">
        <w:rPr>
          <w:rStyle w:val="italicus"/>
        </w:rPr>
        <w:t>de fídei nostr</w:t>
      </w:r>
      <w:r>
        <w:rPr>
          <w:rStyle w:val="italicus"/>
        </w:rPr>
        <w:t>æ mystériis e Marónis</w:t>
      </w:r>
      <w:r w:rsidRPr="00DC4586">
        <w:rPr>
          <w:rStyle w:val="italicus"/>
        </w:rPr>
        <w:t xml:space="preserve"> carm</w:t>
      </w:r>
      <w:r>
        <w:rPr>
          <w:rStyle w:val="italicus"/>
        </w:rPr>
        <w:t>í</w:t>
      </w:r>
      <w:r w:rsidRPr="00DC4586">
        <w:rPr>
          <w:rStyle w:val="italicus"/>
        </w:rPr>
        <w:t xml:space="preserve">nibus </w:t>
      </w:r>
      <w:r>
        <w:rPr>
          <w:rStyle w:val="italicus"/>
        </w:rPr>
        <w:t>excé</w:t>
      </w:r>
      <w:r w:rsidRPr="00DC4586">
        <w:rPr>
          <w:rStyle w:val="italicus"/>
        </w:rPr>
        <w:t>rptu</w:t>
      </w:r>
      <w:r>
        <w:rPr>
          <w:rStyle w:val="italicus"/>
        </w:rPr>
        <w:t>m</w:t>
      </w:r>
      <w:r w:rsidRPr="00DC4586">
        <w:rPr>
          <w:rStyle w:val="italicus"/>
        </w:rPr>
        <w:t xml:space="preserve"> </w:t>
      </w:r>
      <w:r>
        <w:rPr>
          <w:rStyle w:val="italicus"/>
        </w:rPr>
        <w:t>Opú</w:t>
      </w:r>
      <w:r w:rsidRPr="00DC4586">
        <w:rPr>
          <w:rStyle w:val="italicus"/>
        </w:rPr>
        <w:t>sculam</w:t>
      </w:r>
      <w:r>
        <w:rPr>
          <w:rFonts w:eastAsia="Arial Unicode MS"/>
          <w:bCs/>
          <w:lang w:eastAsia="fr-FR" w:bidi="he-IL"/>
        </w:rPr>
        <w:t xml:space="preserve">, </w:t>
      </w:r>
      <w:r w:rsidRPr="00C8701B">
        <w:rPr>
          <w:rFonts w:eastAsia="Arial Unicode MS"/>
          <w:bCs/>
          <w:lang w:eastAsia="fr-FR" w:bidi="he-IL"/>
        </w:rPr>
        <w:t>Paris</w:t>
      </w:r>
      <w:r>
        <w:rPr>
          <w:rFonts w:eastAsia="Arial Unicode MS"/>
          <w:bCs/>
          <w:lang w:eastAsia="fr-FR" w:bidi="he-IL"/>
        </w:rPr>
        <w:t>, 155</w:t>
      </w:r>
      <w:r w:rsidRPr="00C8701B">
        <w:rPr>
          <w:rFonts w:eastAsia="Arial Unicode MS"/>
          <w:bCs/>
          <w:lang w:eastAsia="fr-FR" w:bidi="he-IL"/>
        </w:rPr>
        <w:t>0 </w:t>
      </w:r>
      <w:r>
        <w:rPr>
          <w:rFonts w:eastAsia="Arial Unicode MS"/>
          <w:bCs/>
          <w:lang w:eastAsia="fr-FR" w:bidi="he-IL"/>
        </w:rPr>
        <w:t xml:space="preserve">; </w:t>
      </w:r>
      <w:r w:rsidRPr="00DC4586">
        <w:rPr>
          <w:rStyle w:val="italicus"/>
        </w:rPr>
        <w:t>Virg</w:t>
      </w:r>
      <w:r>
        <w:rPr>
          <w:rStyle w:val="italicus"/>
        </w:rPr>
        <w:t>íli</w:t>
      </w:r>
      <w:r w:rsidRPr="00DC4586">
        <w:rPr>
          <w:rStyle w:val="italicus"/>
        </w:rPr>
        <w:t>i</w:t>
      </w:r>
      <w:r>
        <w:rPr>
          <w:rStyle w:val="italicus"/>
        </w:rPr>
        <w:t xml:space="preserve"> evangelizánt</w:t>
      </w:r>
      <w:r w:rsidRPr="00DC4586">
        <w:rPr>
          <w:rStyle w:val="italicus"/>
        </w:rPr>
        <w:t>is</w:t>
      </w:r>
      <w:r>
        <w:rPr>
          <w:rStyle w:val="italicus"/>
        </w:rPr>
        <w:t xml:space="preserve"> Christí</w:t>
      </w:r>
      <w:r w:rsidRPr="00DC4586">
        <w:rPr>
          <w:rStyle w:val="italicus"/>
        </w:rPr>
        <w:t xml:space="preserve">ados libri </w:t>
      </w:r>
      <w:r>
        <w:rPr>
          <w:rStyle w:val="italicus"/>
        </w:rPr>
        <w:t xml:space="preserve">XIII, </w:t>
      </w:r>
      <w:r w:rsidRPr="00C8701B">
        <w:rPr>
          <w:rFonts w:eastAsia="Arial Unicode MS"/>
          <w:bCs/>
          <w:lang w:eastAsia="fr-FR" w:bidi="he-IL"/>
        </w:rPr>
        <w:t>Rotterdam</w:t>
      </w:r>
      <w:r>
        <w:rPr>
          <w:rFonts w:eastAsia="Arial Unicode MS"/>
          <w:bCs/>
          <w:lang w:eastAsia="fr-FR" w:bidi="he-IL"/>
        </w:rPr>
        <w:t xml:space="preserve">, </w:t>
      </w:r>
      <w:r w:rsidRPr="00C8701B">
        <w:rPr>
          <w:rFonts w:eastAsia="Arial Unicode MS"/>
          <w:bCs/>
          <w:lang w:eastAsia="fr-FR" w:bidi="he-IL"/>
        </w:rPr>
        <w:t>1653</w:t>
      </w:r>
      <w:r>
        <w:rPr>
          <w:rFonts w:eastAsia="Arial Unicode MS"/>
          <w:bCs/>
          <w:lang w:eastAsia="fr-FR" w:bidi="he-IL"/>
        </w:rPr>
        <w:t xml:space="preserve">, </w:t>
      </w:r>
      <w:r w:rsidRPr="00C8701B">
        <w:rPr>
          <w:rFonts w:eastAsia="Arial Unicode MS"/>
          <w:bCs/>
          <w:lang w:eastAsia="fr-FR" w:bidi="he-IL"/>
        </w:rPr>
        <w:t>etc.</w:t>
      </w:r>
    </w:p>
  </w:footnote>
  <w:footnote w:id="545">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The Paradise regained</w:t>
      </w:r>
      <w:r w:rsidRPr="00C8701B">
        <w:rPr>
          <w:rFonts w:eastAsia="Arial Unicode MS"/>
          <w:bCs/>
          <w:lang w:eastAsia="fr-FR" w:bidi="he-IL"/>
        </w:rPr>
        <w:t xml:space="preserve"> (1671)</w:t>
      </w:r>
      <w:r>
        <w:rPr>
          <w:rFonts w:eastAsia="Arial Unicode MS"/>
          <w:bCs/>
          <w:lang w:eastAsia="fr-FR" w:bidi="he-IL"/>
        </w:rPr>
        <w:t>, que l’</w:t>
      </w:r>
      <w:r w:rsidRPr="00C8701B">
        <w:rPr>
          <w:rFonts w:eastAsia="Arial Unicode MS"/>
          <w:bCs/>
          <w:lang w:eastAsia="fr-FR" w:bidi="he-IL"/>
        </w:rPr>
        <w:t>auteur préférait</w:t>
      </w:r>
      <w:r>
        <w:rPr>
          <w:rFonts w:eastAsia="Arial Unicode MS"/>
          <w:bCs/>
          <w:lang w:eastAsia="fr-FR" w:bidi="he-IL"/>
        </w:rPr>
        <w:t xml:space="preserve">, </w:t>
      </w:r>
      <w:r w:rsidRPr="00C8701B">
        <w:rPr>
          <w:rFonts w:eastAsia="Arial Unicode MS"/>
          <w:bCs/>
          <w:lang w:eastAsia="fr-FR" w:bidi="he-IL"/>
        </w:rPr>
        <w:t>bien à tort</w:t>
      </w:r>
      <w:r>
        <w:rPr>
          <w:rFonts w:eastAsia="Arial Unicode MS"/>
          <w:bCs/>
          <w:lang w:eastAsia="fr-FR" w:bidi="he-IL"/>
        </w:rPr>
        <w:t xml:space="preserve">, </w:t>
      </w:r>
      <w:r w:rsidRPr="00C8701B">
        <w:rPr>
          <w:rFonts w:eastAsia="Arial Unicode MS"/>
          <w:bCs/>
          <w:lang w:eastAsia="fr-FR" w:bidi="he-IL"/>
        </w:rPr>
        <w:t>à son « Paradis perdu ».</w:t>
      </w:r>
    </w:p>
  </w:footnote>
  <w:footnote w:id="546">
    <w:p w:rsidR="00941AA6" w:rsidRPr="00933C60" w:rsidRDefault="00941AA6">
      <w:pPr>
        <w:pStyle w:val="Notedebasdepage"/>
      </w:pPr>
      <w:r w:rsidRPr="00C406FF">
        <w:rPr>
          <w:rStyle w:val="Appelnotedebasdep"/>
        </w:rPr>
        <w:footnoteRef/>
      </w:r>
      <w:r w:rsidRPr="000819BA">
        <w:rPr>
          <w:rFonts w:eastAsia="Arial Unicode MS"/>
          <w:lang w:val="de-AT" w:eastAsia="fr-FR" w:bidi="he-IL"/>
        </w:rPr>
        <w:t xml:space="preserve"> </w:t>
      </w:r>
      <w:r w:rsidRPr="000819BA">
        <w:rPr>
          <w:rStyle w:val="italicus"/>
          <w:lang w:val="de-AT"/>
        </w:rPr>
        <w:t>Jésus Messias, oder Die Evangelien</w:t>
      </w:r>
      <w:r>
        <w:rPr>
          <w:rStyle w:val="italicus"/>
          <w:lang w:val="de-AT"/>
        </w:rPr>
        <w:t xml:space="preserve"> und Apostelgeschichte in Gesäng</w:t>
      </w:r>
      <w:r w:rsidRPr="000819BA">
        <w:rPr>
          <w:rStyle w:val="italicus"/>
          <w:lang w:val="de-AT"/>
        </w:rPr>
        <w:t>en.</w:t>
      </w:r>
      <w:r w:rsidRPr="000819BA">
        <w:rPr>
          <w:rFonts w:eastAsia="Arial Unicode MS"/>
          <w:bCs/>
          <w:lang w:val="de-AT" w:eastAsia="fr-FR" w:bidi="he-IL"/>
        </w:rPr>
        <w:t xml:space="preserve"> </w:t>
      </w:r>
      <w:r w:rsidRPr="000819BA">
        <w:rPr>
          <w:rFonts w:eastAsia="Arial Unicode MS"/>
          <w:bCs/>
          <w:lang w:eastAsia="fr-FR" w:bidi="he-IL"/>
        </w:rPr>
        <w:t>Winterthur, 1783-1786.</w:t>
      </w:r>
    </w:p>
  </w:footnote>
  <w:footnote w:id="547">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Der Messías</w:t>
      </w:r>
      <w:r>
        <w:rPr>
          <w:rStyle w:val="italicus"/>
        </w:rPr>
        <w:t xml:space="preserve">, </w:t>
      </w:r>
      <w:r w:rsidRPr="00C8701B">
        <w:rPr>
          <w:rFonts w:eastAsia="Arial Unicode MS"/>
          <w:bCs/>
          <w:lang w:eastAsia="fr-FR" w:bidi="he-IL"/>
        </w:rPr>
        <w:t>Halle</w:t>
      </w:r>
      <w:r>
        <w:rPr>
          <w:rFonts w:eastAsia="Arial Unicode MS"/>
          <w:bCs/>
          <w:lang w:eastAsia="fr-FR" w:bidi="he-IL"/>
        </w:rPr>
        <w:t xml:space="preserve">, </w:t>
      </w:r>
      <w:r w:rsidRPr="00C8701B">
        <w:rPr>
          <w:rFonts w:eastAsia="Arial Unicode MS"/>
          <w:bCs/>
          <w:lang w:eastAsia="fr-FR" w:bidi="he-IL"/>
        </w:rPr>
        <w:t>1760-1773. Trop de merveilleux </w:t>
      </w:r>
      <w:r>
        <w:rPr>
          <w:rFonts w:eastAsia="Arial Unicode MS"/>
          <w:bCs/>
          <w:lang w:eastAsia="fr-FR" w:bidi="he-IL"/>
        </w:rPr>
        <w:t xml:space="preserve">; </w:t>
      </w:r>
      <w:r w:rsidRPr="00C8701B">
        <w:rPr>
          <w:rFonts w:eastAsia="Arial Unicode MS"/>
          <w:bCs/>
          <w:lang w:eastAsia="fr-FR" w:bidi="he-IL"/>
        </w:rPr>
        <w:t>de l’onction qui dégénère souvent en sentimentalité </w:t>
      </w:r>
      <w:r>
        <w:rPr>
          <w:rFonts w:eastAsia="Arial Unicode MS"/>
          <w:bCs/>
          <w:lang w:eastAsia="fr-FR" w:bidi="he-IL"/>
        </w:rPr>
        <w:t xml:space="preserve">; </w:t>
      </w:r>
      <w:r w:rsidRPr="00C8701B">
        <w:rPr>
          <w:rFonts w:eastAsia="Arial Unicode MS"/>
          <w:bCs/>
          <w:lang w:eastAsia="fr-FR" w:bidi="he-IL"/>
        </w:rPr>
        <w:t>ton majestueux</w:t>
      </w:r>
      <w:r>
        <w:rPr>
          <w:rFonts w:eastAsia="Arial Unicode MS"/>
          <w:bCs/>
          <w:lang w:eastAsia="fr-FR" w:bidi="he-IL"/>
        </w:rPr>
        <w:t xml:space="preserve">, </w:t>
      </w:r>
      <w:r w:rsidRPr="00C8701B">
        <w:rPr>
          <w:rFonts w:eastAsia="Arial Unicode MS"/>
          <w:bCs/>
          <w:lang w:eastAsia="fr-FR" w:bidi="he-IL"/>
        </w:rPr>
        <w:t>mais qui fatigue.</w:t>
      </w:r>
    </w:p>
  </w:footnote>
  <w:footnote w:id="548">
    <w:p w:rsidR="00941AA6" w:rsidRPr="00933C60" w:rsidRDefault="00941AA6">
      <w:pPr>
        <w:pStyle w:val="Notedebasdepage"/>
      </w:pPr>
      <w:r w:rsidRPr="00C406FF">
        <w:rPr>
          <w:rStyle w:val="Appelnotedebasdep"/>
        </w:rPr>
        <w:footnoteRef/>
      </w:r>
      <w:r w:rsidRPr="000819BA">
        <w:rPr>
          <w:rFonts w:eastAsia="Arial Unicode MS"/>
          <w:lang w:val="de-AT" w:eastAsia="fr-FR" w:bidi="he-IL"/>
        </w:rPr>
        <w:t xml:space="preserve"> </w:t>
      </w:r>
      <w:r w:rsidRPr="000819BA">
        <w:rPr>
          <w:rStyle w:val="italicus"/>
          <w:lang w:val="de-AT"/>
        </w:rPr>
        <w:t xml:space="preserve">Leben Jesu ; </w:t>
      </w:r>
      <w:r>
        <w:rPr>
          <w:rStyle w:val="italicus"/>
          <w:lang w:val="de-AT"/>
        </w:rPr>
        <w:t>Evangelienh</w:t>
      </w:r>
      <w:r w:rsidRPr="000819BA">
        <w:rPr>
          <w:rStyle w:val="italicus"/>
          <w:lang w:val="de-AT"/>
        </w:rPr>
        <w:t xml:space="preserve">armonie in gebundener Rede, </w:t>
      </w:r>
      <w:r w:rsidRPr="000819BA">
        <w:rPr>
          <w:rFonts w:eastAsia="Arial Unicode MS"/>
          <w:bCs/>
          <w:lang w:val="de-AT" w:eastAsia="fr-FR" w:bidi="he-IL"/>
        </w:rPr>
        <w:t xml:space="preserve">Stuttgart, 1839. </w:t>
      </w:r>
      <w:r>
        <w:rPr>
          <w:rFonts w:eastAsia="Arial Unicode MS"/>
          <w:bCs/>
          <w:lang w:eastAsia="fr-FR" w:bidi="he-IL"/>
        </w:rPr>
        <w:t>Rü</w:t>
      </w:r>
      <w:r w:rsidRPr="00C8701B">
        <w:rPr>
          <w:rFonts w:eastAsia="Arial Unicode MS"/>
          <w:bCs/>
          <w:lang w:eastAsia="fr-FR" w:bidi="he-IL"/>
        </w:rPr>
        <w:t>ckert conserve assez bien la simp</w:t>
      </w:r>
      <w:r>
        <w:rPr>
          <w:rFonts w:eastAsia="Arial Unicode MS"/>
          <w:bCs/>
          <w:lang w:eastAsia="fr-FR" w:bidi="he-IL"/>
        </w:rPr>
        <w:t>l</w:t>
      </w:r>
      <w:r w:rsidRPr="00C8701B">
        <w:rPr>
          <w:rFonts w:eastAsia="Arial Unicode MS"/>
          <w:bCs/>
          <w:lang w:eastAsia="fr-FR" w:bidi="he-IL"/>
        </w:rPr>
        <w:t>icité primitive des évangiles et leur coloris oriental.</w:t>
      </w:r>
      <w:r>
        <w:rPr>
          <w:rFonts w:eastAsia="Arial Unicode MS"/>
          <w:bCs/>
          <w:lang w:eastAsia="fr-FR" w:bidi="he-IL"/>
        </w:rPr>
        <w:t xml:space="preserve"> — </w:t>
      </w:r>
      <w:r w:rsidRPr="00C8701B">
        <w:rPr>
          <w:rFonts w:eastAsia="Arial Unicode MS"/>
          <w:bCs/>
          <w:lang w:eastAsia="fr-FR" w:bidi="he-IL"/>
        </w:rPr>
        <w:t>Voyez dans K. Hase</w:t>
      </w:r>
      <w:r>
        <w:rPr>
          <w:rFonts w:eastAsia="Arial Unicode MS"/>
          <w:bCs/>
          <w:lang w:eastAsia="fr-FR" w:bidi="he-IL"/>
        </w:rPr>
        <w:t xml:space="preserve">, </w:t>
      </w:r>
      <w:r w:rsidRPr="00DC4586">
        <w:rPr>
          <w:rStyle w:val="italicus"/>
        </w:rPr>
        <w:t>Das Leben Jesu</w:t>
      </w:r>
      <w:r>
        <w:rPr>
          <w:rStyle w:val="italicus"/>
        </w:rPr>
        <w:t xml:space="preserve">, </w:t>
      </w:r>
      <w:r w:rsidRPr="00C8701B">
        <w:rPr>
          <w:rFonts w:eastAsia="Arial Unicode MS"/>
          <w:bCs/>
          <w:lang w:eastAsia="fr-FR" w:bidi="he-IL"/>
        </w:rPr>
        <w:t xml:space="preserve">p. </w:t>
      </w:r>
      <w:r>
        <w:rPr>
          <w:rFonts w:eastAsia="Arial Unicode MS"/>
          <w:bCs/>
          <w:lang w:eastAsia="fr-FR" w:bidi="he-IL"/>
        </w:rPr>
        <w:t>54-55</w:t>
      </w:r>
      <w:r w:rsidRPr="00C8701B">
        <w:rPr>
          <w:rFonts w:eastAsia="Arial Unicode MS"/>
          <w:bCs/>
          <w:lang w:eastAsia="fr-FR" w:bidi="he-IL"/>
        </w:rPr>
        <w:t xml:space="preserve"> de la 5</w:t>
      </w:r>
      <w:r w:rsidRPr="00C8701B">
        <w:rPr>
          <w:rFonts w:eastAsia="Arial Unicode MS"/>
          <w:bCs/>
          <w:vertAlign w:val="superscript"/>
          <w:lang w:eastAsia="fr-FR" w:bidi="he-IL"/>
        </w:rPr>
        <w:t>e</w:t>
      </w:r>
      <w:r w:rsidRPr="00C8701B">
        <w:rPr>
          <w:rFonts w:eastAsia="Arial Unicode MS"/>
          <w:bCs/>
          <w:lang w:eastAsia="fr-FR" w:bidi="he-IL"/>
        </w:rPr>
        <w:t xml:space="preserve"> édition</w:t>
      </w:r>
      <w:r>
        <w:rPr>
          <w:rFonts w:eastAsia="Arial Unicode MS"/>
          <w:bCs/>
          <w:lang w:eastAsia="fr-FR" w:bidi="he-IL"/>
        </w:rPr>
        <w:t xml:space="preserve">, </w:t>
      </w:r>
      <w:r w:rsidRPr="00C8701B">
        <w:rPr>
          <w:rFonts w:eastAsia="Arial Unicode MS"/>
          <w:bCs/>
          <w:lang w:eastAsia="fr-FR" w:bidi="he-IL"/>
        </w:rPr>
        <w:t>d’autres épopées évangéliques plus récentes</w:t>
      </w:r>
      <w:r>
        <w:rPr>
          <w:rFonts w:eastAsia="Arial Unicode MS"/>
          <w:bCs/>
          <w:lang w:eastAsia="fr-FR" w:bidi="he-IL"/>
        </w:rPr>
        <w:t xml:space="preserve">, </w:t>
      </w:r>
      <w:r w:rsidRPr="00C8701B">
        <w:rPr>
          <w:rFonts w:eastAsia="Arial Unicode MS"/>
          <w:bCs/>
          <w:lang w:eastAsia="fr-FR" w:bidi="he-IL"/>
        </w:rPr>
        <w:t>en langue allemande. On signale comme des nouveautés intéressantes</w:t>
      </w:r>
      <w:r w:rsidRPr="00DC4586">
        <w:rPr>
          <w:rStyle w:val="italicus"/>
        </w:rPr>
        <w:t xml:space="preserve"> Der Heiland</w:t>
      </w:r>
      <w:r w:rsidRPr="00C8701B">
        <w:rPr>
          <w:rFonts w:eastAsia="Arial Unicode MS"/>
          <w:bCs/>
          <w:lang w:eastAsia="fr-FR" w:bidi="he-IL"/>
        </w:rPr>
        <w:t xml:space="preserve"> par </w:t>
      </w:r>
      <w:r>
        <w:rPr>
          <w:rFonts w:eastAsia="Arial Unicode MS"/>
          <w:bCs/>
          <w:lang w:eastAsia="fr-FR" w:bidi="he-IL"/>
        </w:rPr>
        <w:t>H.</w:t>
      </w:r>
      <w:r w:rsidRPr="00C8701B">
        <w:rPr>
          <w:rFonts w:eastAsia="Arial Unicode MS"/>
          <w:bCs/>
          <w:lang w:eastAsia="fr-FR" w:bidi="he-IL"/>
        </w:rPr>
        <w:t xml:space="preserve"> Langen</w:t>
      </w:r>
      <w:r>
        <w:rPr>
          <w:rFonts w:eastAsia="Arial Unicode MS"/>
          <w:bCs/>
          <w:lang w:eastAsia="fr-FR" w:bidi="he-IL"/>
        </w:rPr>
        <w:t xml:space="preserve">, </w:t>
      </w:r>
      <w:r w:rsidRPr="00C8701B">
        <w:rPr>
          <w:rFonts w:eastAsia="Arial Unicode MS"/>
          <w:bCs/>
          <w:lang w:eastAsia="fr-FR" w:bidi="he-IL"/>
        </w:rPr>
        <w:t>Paderborn 1885 (voyez la</w:t>
      </w:r>
      <w:r w:rsidRPr="00DC4586">
        <w:rPr>
          <w:rStyle w:val="italicus"/>
        </w:rPr>
        <w:t xml:space="preserve"> Literarische Rundschau</w:t>
      </w:r>
      <w:r>
        <w:rPr>
          <w:rStyle w:val="italicus"/>
        </w:rPr>
        <w:t xml:space="preserve">, </w:t>
      </w:r>
      <w:r w:rsidRPr="00C8701B">
        <w:rPr>
          <w:rFonts w:eastAsia="Arial Unicode MS"/>
          <w:bCs/>
          <w:lang w:eastAsia="fr-FR" w:bidi="he-IL"/>
        </w:rPr>
        <w:t>1885</w:t>
      </w:r>
      <w:r>
        <w:rPr>
          <w:rFonts w:eastAsia="Arial Unicode MS"/>
          <w:bCs/>
          <w:lang w:eastAsia="fr-FR" w:bidi="he-IL"/>
        </w:rPr>
        <w:t xml:space="preserve">, </w:t>
      </w:r>
      <w:r w:rsidRPr="00C8701B">
        <w:rPr>
          <w:rFonts w:eastAsia="Arial Unicode MS"/>
          <w:bCs/>
          <w:lang w:eastAsia="fr-FR" w:bidi="he-IL"/>
        </w:rPr>
        <w:t>col. 156</w:t>
      </w:r>
      <w:r>
        <w:rPr>
          <w:rFonts w:eastAsia="Arial Unicode MS"/>
          <w:bCs/>
          <w:lang w:eastAsia="fr-FR" w:bidi="he-IL"/>
        </w:rPr>
        <w:t>-</w:t>
      </w:r>
      <w:r w:rsidRPr="00C8701B">
        <w:rPr>
          <w:rFonts w:eastAsia="Arial Unicode MS"/>
          <w:bCs/>
          <w:lang w:eastAsia="fr-FR" w:bidi="he-IL"/>
        </w:rPr>
        <w:t>157)</w:t>
      </w:r>
      <w:r>
        <w:rPr>
          <w:rFonts w:eastAsia="Arial Unicode MS"/>
          <w:bCs/>
          <w:lang w:eastAsia="fr-FR" w:bidi="he-IL"/>
        </w:rPr>
        <w:t xml:space="preserve">, </w:t>
      </w:r>
      <w:r w:rsidRPr="00C8701B">
        <w:rPr>
          <w:rFonts w:eastAsia="Arial Unicode MS"/>
          <w:bCs/>
          <w:lang w:eastAsia="fr-FR" w:bidi="he-IL"/>
        </w:rPr>
        <w:t>et F. W. Helle</w:t>
      </w:r>
      <w:r>
        <w:rPr>
          <w:rFonts w:eastAsia="Arial Unicode MS"/>
          <w:bCs/>
          <w:lang w:eastAsia="fr-FR" w:bidi="he-IL"/>
        </w:rPr>
        <w:t xml:space="preserve">, </w:t>
      </w:r>
      <w:r w:rsidRPr="00DC4586">
        <w:rPr>
          <w:rStyle w:val="italicus"/>
        </w:rPr>
        <w:t>Jésus Messías</w:t>
      </w:r>
      <w:r>
        <w:rPr>
          <w:rStyle w:val="italicus"/>
        </w:rPr>
        <w:t xml:space="preserve">, </w:t>
      </w:r>
      <w:r w:rsidRPr="00C8701B">
        <w:rPr>
          <w:rFonts w:eastAsia="Arial Unicode MS"/>
          <w:bCs/>
          <w:lang w:eastAsia="fr-FR" w:bidi="he-IL"/>
        </w:rPr>
        <w:t>Prague</w:t>
      </w:r>
      <w:r>
        <w:rPr>
          <w:rFonts w:eastAsia="Arial Unicode MS"/>
          <w:bCs/>
          <w:lang w:eastAsia="fr-FR" w:bidi="he-IL"/>
        </w:rPr>
        <w:t xml:space="preserve">, </w:t>
      </w:r>
      <w:r w:rsidRPr="00C8701B">
        <w:rPr>
          <w:rFonts w:eastAsia="Arial Unicode MS"/>
          <w:bCs/>
          <w:lang w:eastAsia="fr-FR" w:bidi="he-IL"/>
        </w:rPr>
        <w:t>1886.</w:t>
      </w:r>
    </w:p>
  </w:footnote>
  <w:footnote w:id="549">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Paris</w:t>
      </w:r>
      <w:r>
        <w:rPr>
          <w:rFonts w:eastAsia="Arial Unicode MS"/>
          <w:bCs/>
          <w:lang w:eastAsia="fr-FR" w:bidi="he-IL"/>
        </w:rPr>
        <w:t>,</w:t>
      </w:r>
      <w:r w:rsidRPr="00C8701B">
        <w:rPr>
          <w:rFonts w:eastAsia="Arial Unicode MS"/>
          <w:bCs/>
          <w:lang w:eastAsia="fr-FR" w:bidi="he-IL"/>
        </w:rPr>
        <w:t xml:space="preserve"> 1852.</w:t>
      </w:r>
    </w:p>
  </w:footnote>
  <w:footnote w:id="550">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Poètes et artistes contemporains.</w:t>
      </w:r>
      <w:r w:rsidRPr="00C8701B">
        <w:rPr>
          <w:rFonts w:eastAsia="Arial Unicode MS"/>
          <w:bCs/>
          <w:lang w:eastAsia="fr-FR" w:bidi="he-IL"/>
        </w:rPr>
        <w:t xml:space="preserve"> On trouvera un exemple </w:t>
      </w:r>
      <w:r>
        <w:rPr>
          <w:rFonts w:eastAsia="Arial Unicode MS"/>
          <w:bCs/>
          <w:lang w:eastAsia="fr-FR" w:bidi="he-IL"/>
        </w:rPr>
        <w:t>de ces témérités dans le poème r</w:t>
      </w:r>
      <w:r w:rsidRPr="00C8701B">
        <w:rPr>
          <w:rFonts w:eastAsia="Arial Unicode MS"/>
          <w:bCs/>
          <w:lang w:eastAsia="fr-FR" w:bidi="he-IL"/>
        </w:rPr>
        <w:t>elatif à la tentation du Christ. Voici le titre des poèmes isolés : Invocation</w:t>
      </w:r>
      <w:r>
        <w:rPr>
          <w:rFonts w:eastAsia="Arial Unicode MS"/>
          <w:bCs/>
          <w:lang w:eastAsia="fr-FR" w:bidi="he-IL"/>
        </w:rPr>
        <w:t xml:space="preserve">, </w:t>
      </w:r>
      <w:r w:rsidRPr="00C8701B">
        <w:rPr>
          <w:rFonts w:eastAsia="Arial Unicode MS"/>
          <w:bCs/>
          <w:lang w:eastAsia="fr-FR" w:bidi="he-IL"/>
        </w:rPr>
        <w:t>le royau</w:t>
      </w:r>
      <w:r>
        <w:rPr>
          <w:rFonts w:eastAsia="Arial Unicode MS"/>
          <w:bCs/>
          <w:lang w:eastAsia="fr-FR" w:bidi="he-IL"/>
        </w:rPr>
        <w:t xml:space="preserve">me </w:t>
      </w:r>
      <w:r w:rsidRPr="00C8701B">
        <w:rPr>
          <w:rFonts w:eastAsia="Arial Unicode MS"/>
          <w:bCs/>
          <w:lang w:eastAsia="fr-FR" w:bidi="he-IL"/>
        </w:rPr>
        <w:t>du monde</w:t>
      </w:r>
      <w:r>
        <w:rPr>
          <w:rFonts w:eastAsia="Arial Unicode MS"/>
          <w:bCs/>
          <w:lang w:eastAsia="fr-FR" w:bidi="he-IL"/>
        </w:rPr>
        <w:t xml:space="preserve">, </w:t>
      </w:r>
      <w:r w:rsidRPr="00C8701B">
        <w:rPr>
          <w:rFonts w:eastAsia="Arial Unicode MS"/>
          <w:bCs/>
          <w:lang w:eastAsia="fr-FR" w:bidi="he-IL"/>
        </w:rPr>
        <w:t>le baptême au désert</w:t>
      </w:r>
      <w:r>
        <w:rPr>
          <w:rFonts w:eastAsia="Arial Unicode MS"/>
          <w:bCs/>
          <w:lang w:eastAsia="fr-FR" w:bidi="he-IL"/>
        </w:rPr>
        <w:t xml:space="preserve">, </w:t>
      </w:r>
      <w:r w:rsidRPr="00C8701B">
        <w:rPr>
          <w:rFonts w:eastAsia="Arial Unicode MS"/>
          <w:bCs/>
          <w:lang w:eastAsia="fr-FR" w:bidi="he-IL"/>
        </w:rPr>
        <w:t>le Précurseur</w:t>
      </w:r>
      <w:r>
        <w:rPr>
          <w:rFonts w:eastAsia="Arial Unicode MS"/>
          <w:bCs/>
          <w:lang w:eastAsia="fr-FR" w:bidi="he-IL"/>
        </w:rPr>
        <w:t xml:space="preserve">, </w:t>
      </w:r>
      <w:r w:rsidRPr="00C8701B">
        <w:rPr>
          <w:rFonts w:eastAsia="Arial Unicode MS"/>
          <w:bCs/>
          <w:lang w:eastAsia="fr-FR" w:bidi="he-IL"/>
        </w:rPr>
        <w:t>la tentation</w:t>
      </w:r>
      <w:r>
        <w:rPr>
          <w:rFonts w:eastAsia="Arial Unicode MS"/>
          <w:bCs/>
          <w:lang w:eastAsia="fr-FR" w:bidi="he-IL"/>
        </w:rPr>
        <w:t xml:space="preserve">, </w:t>
      </w:r>
      <w:r w:rsidRPr="00C8701B">
        <w:rPr>
          <w:rFonts w:eastAsia="Arial Unicode MS"/>
          <w:bCs/>
          <w:lang w:eastAsia="fr-FR" w:bidi="he-IL"/>
        </w:rPr>
        <w:t>les œuvres de la foi</w:t>
      </w:r>
      <w:r>
        <w:rPr>
          <w:rFonts w:eastAsia="Arial Unicode MS"/>
          <w:bCs/>
          <w:lang w:eastAsia="fr-FR" w:bidi="he-IL"/>
        </w:rPr>
        <w:t xml:space="preserve">, </w:t>
      </w:r>
      <w:r w:rsidRPr="00C8701B">
        <w:rPr>
          <w:rFonts w:eastAsia="Arial Unicode MS"/>
          <w:bCs/>
          <w:lang w:eastAsia="fr-FR" w:bidi="he-IL"/>
        </w:rPr>
        <w:t>l’évangile des champs</w:t>
      </w:r>
      <w:r>
        <w:rPr>
          <w:rFonts w:eastAsia="Arial Unicode MS"/>
          <w:bCs/>
          <w:lang w:eastAsia="fr-FR" w:bidi="he-IL"/>
        </w:rPr>
        <w:t xml:space="preserve">, </w:t>
      </w:r>
      <w:r w:rsidRPr="00C8701B">
        <w:rPr>
          <w:rFonts w:eastAsia="Arial Unicode MS"/>
          <w:bCs/>
          <w:lang w:eastAsia="fr-FR" w:bidi="he-IL"/>
        </w:rPr>
        <w:t>la tempête</w:t>
      </w:r>
      <w:r>
        <w:rPr>
          <w:rFonts w:eastAsia="Arial Unicode MS"/>
          <w:bCs/>
          <w:lang w:eastAsia="fr-FR" w:bidi="he-IL"/>
        </w:rPr>
        <w:t xml:space="preserve">, </w:t>
      </w:r>
      <w:r w:rsidRPr="00C8701B">
        <w:rPr>
          <w:rFonts w:eastAsia="Arial Unicode MS"/>
          <w:bCs/>
          <w:lang w:eastAsia="fr-FR" w:bidi="he-IL"/>
        </w:rPr>
        <w:t>la Samaritaine</w:t>
      </w:r>
      <w:r>
        <w:rPr>
          <w:rFonts w:eastAsia="Arial Unicode MS"/>
          <w:bCs/>
          <w:lang w:eastAsia="fr-FR" w:bidi="he-IL"/>
        </w:rPr>
        <w:t xml:space="preserve">, </w:t>
      </w:r>
      <w:r w:rsidRPr="00C8701B">
        <w:rPr>
          <w:rFonts w:eastAsia="Arial Unicode MS"/>
          <w:bCs/>
          <w:lang w:eastAsia="fr-FR" w:bidi="he-IL"/>
        </w:rPr>
        <w:t>la résurrection de Lazare</w:t>
      </w:r>
      <w:r>
        <w:rPr>
          <w:rFonts w:eastAsia="Arial Unicode MS"/>
          <w:bCs/>
          <w:lang w:eastAsia="fr-FR" w:bidi="he-IL"/>
        </w:rPr>
        <w:t xml:space="preserve">, </w:t>
      </w:r>
      <w:r w:rsidRPr="00C8701B">
        <w:rPr>
          <w:rFonts w:eastAsia="Arial Unicode MS"/>
          <w:bCs/>
          <w:lang w:eastAsia="fr-FR" w:bidi="he-IL"/>
        </w:rPr>
        <w:t>larmes sur Jérusalem</w:t>
      </w:r>
      <w:r>
        <w:rPr>
          <w:rFonts w:eastAsia="Arial Unicode MS"/>
          <w:bCs/>
          <w:lang w:eastAsia="fr-FR" w:bidi="he-IL"/>
        </w:rPr>
        <w:t xml:space="preserve">, </w:t>
      </w:r>
      <w:r w:rsidRPr="00C8701B">
        <w:rPr>
          <w:rFonts w:eastAsia="Arial Unicode MS"/>
          <w:bCs/>
          <w:lang w:eastAsia="fr-FR" w:bidi="he-IL"/>
        </w:rPr>
        <w:t>la colère de Jésus</w:t>
      </w:r>
      <w:r>
        <w:rPr>
          <w:rFonts w:eastAsia="Arial Unicode MS"/>
          <w:bCs/>
          <w:lang w:eastAsia="fr-FR" w:bidi="he-IL"/>
        </w:rPr>
        <w:t xml:space="preserve">, </w:t>
      </w:r>
      <w:r w:rsidRPr="00C8701B">
        <w:rPr>
          <w:rFonts w:eastAsia="Arial Unicode MS"/>
          <w:bCs/>
          <w:lang w:eastAsia="fr-FR" w:bidi="he-IL"/>
        </w:rPr>
        <w:t>les parfums de Madeleine</w:t>
      </w:r>
      <w:r>
        <w:rPr>
          <w:rFonts w:eastAsia="Arial Unicode MS"/>
          <w:bCs/>
          <w:lang w:eastAsia="fr-FR" w:bidi="he-IL"/>
        </w:rPr>
        <w:t xml:space="preserve">, </w:t>
      </w:r>
      <w:r w:rsidRPr="00C8701B">
        <w:rPr>
          <w:rFonts w:eastAsia="Arial Unicode MS"/>
          <w:bCs/>
          <w:lang w:eastAsia="fr-FR" w:bidi="he-IL"/>
        </w:rPr>
        <w:t>le Calvaire</w:t>
      </w:r>
      <w:r>
        <w:rPr>
          <w:rFonts w:eastAsia="Arial Unicode MS"/>
          <w:bCs/>
          <w:lang w:eastAsia="fr-FR" w:bidi="he-IL"/>
        </w:rPr>
        <w:t xml:space="preserve">, </w:t>
      </w:r>
      <w:r w:rsidRPr="00C8701B">
        <w:rPr>
          <w:rFonts w:eastAsia="Arial Unicode MS"/>
          <w:bCs/>
          <w:lang w:eastAsia="fr-FR" w:bidi="he-IL"/>
        </w:rPr>
        <w:t>la cité des hommes</w:t>
      </w:r>
      <w:r>
        <w:rPr>
          <w:rFonts w:eastAsia="Arial Unicode MS"/>
          <w:bCs/>
          <w:lang w:eastAsia="fr-FR" w:bidi="he-IL"/>
        </w:rPr>
        <w:t xml:space="preserve">, </w:t>
      </w:r>
      <w:r w:rsidRPr="00C8701B">
        <w:rPr>
          <w:rFonts w:eastAsia="Arial Unicode MS"/>
          <w:bCs/>
          <w:lang w:eastAsia="fr-FR" w:bidi="he-IL"/>
        </w:rPr>
        <w:t>la cité de Dieu</w:t>
      </w:r>
      <w:r>
        <w:rPr>
          <w:rFonts w:eastAsia="Arial Unicode MS"/>
          <w:bCs/>
          <w:lang w:eastAsia="fr-FR" w:bidi="he-IL"/>
        </w:rPr>
        <w:t xml:space="preserve">, </w:t>
      </w:r>
      <w:r w:rsidRPr="00C8701B">
        <w:rPr>
          <w:rFonts w:eastAsia="Arial Unicode MS"/>
          <w:bCs/>
          <w:lang w:eastAsia="fr-FR" w:bidi="he-IL"/>
        </w:rPr>
        <w:t>action de grâces</w:t>
      </w:r>
      <w:r>
        <w:rPr>
          <w:rFonts w:eastAsia="Arial Unicode MS"/>
          <w:bCs/>
          <w:lang w:eastAsia="fr-FR" w:bidi="he-IL"/>
        </w:rPr>
        <w:t xml:space="preserve">, </w:t>
      </w:r>
      <w:r w:rsidRPr="00C8701B">
        <w:rPr>
          <w:rFonts w:eastAsia="Arial Unicode MS"/>
          <w:bCs/>
          <w:lang w:eastAsia="fr-FR" w:bidi="he-IL"/>
        </w:rPr>
        <w:t>conclusion.</w:t>
      </w:r>
    </w:p>
  </w:footnote>
  <w:footnote w:id="551">
    <w:p w:rsidR="00941AA6" w:rsidRPr="00E26E85" w:rsidRDefault="00941AA6">
      <w:pPr>
        <w:pStyle w:val="Notedebasdepage"/>
        <w:rPr>
          <w:lang w:val="de-AT"/>
        </w:rPr>
      </w:pPr>
      <w:r w:rsidRPr="00C406FF">
        <w:rPr>
          <w:rStyle w:val="Appelnotedebasdep"/>
        </w:rPr>
        <w:footnoteRef/>
      </w:r>
      <w:r w:rsidRPr="007A25B5">
        <w:rPr>
          <w:rFonts w:eastAsia="Arial Unicode MS"/>
          <w:lang w:val="de-AT" w:eastAsia="fr-FR" w:bidi="he-IL"/>
        </w:rPr>
        <w:t xml:space="preserve"> </w:t>
      </w:r>
      <w:r w:rsidRPr="007A25B5">
        <w:rPr>
          <w:rFonts w:eastAsia="Arial Unicode MS"/>
          <w:bCs/>
          <w:lang w:val="de-AT" w:eastAsia="fr-FR" w:bidi="he-IL"/>
        </w:rPr>
        <w:t>« Christ souffrant ».</w:t>
      </w:r>
    </w:p>
  </w:footnote>
  <w:footnote w:id="552">
    <w:p w:rsidR="00941AA6" w:rsidRPr="00E26E85" w:rsidRDefault="00941AA6">
      <w:pPr>
        <w:pStyle w:val="Notedebasdepage"/>
        <w:rPr>
          <w:lang w:val="de-AT"/>
        </w:rPr>
      </w:pPr>
      <w:r w:rsidRPr="00C406FF">
        <w:rPr>
          <w:rStyle w:val="Appelnotedebasdep"/>
        </w:rPr>
        <w:footnoteRef/>
      </w:r>
      <w:r w:rsidRPr="007A25B5">
        <w:rPr>
          <w:rFonts w:eastAsia="Arial Unicode MS"/>
          <w:lang w:val="de-AT" w:eastAsia="fr-FR" w:bidi="he-IL"/>
        </w:rPr>
        <w:t xml:space="preserve"> </w:t>
      </w:r>
      <w:r w:rsidRPr="007A25B5">
        <w:rPr>
          <w:rFonts w:eastAsia="Arial Unicode MS"/>
          <w:bCs/>
          <w:lang w:val="de-AT" w:eastAsia="fr-FR" w:bidi="he-IL"/>
        </w:rPr>
        <w:t xml:space="preserve">Cf. E. Devrient, </w:t>
      </w:r>
      <w:r w:rsidRPr="007A25B5">
        <w:rPr>
          <w:rStyle w:val="italicus"/>
          <w:lang w:val="de-AT"/>
        </w:rPr>
        <w:t>Das Passionspiel in Oberammergau und seine Bedeutung für</w:t>
      </w:r>
      <w:r>
        <w:rPr>
          <w:rStyle w:val="italicus"/>
          <w:lang w:val="de-AT"/>
        </w:rPr>
        <w:t xml:space="preserve"> d</w:t>
      </w:r>
      <w:r w:rsidRPr="007A25B5">
        <w:rPr>
          <w:rStyle w:val="italicus"/>
          <w:lang w:val="de-AT"/>
        </w:rPr>
        <w:t>ie</w:t>
      </w:r>
      <w:r>
        <w:rPr>
          <w:rStyle w:val="italicus"/>
          <w:lang w:val="de-AT"/>
        </w:rPr>
        <w:t xml:space="preserve"> </w:t>
      </w:r>
      <w:r w:rsidRPr="007A25B5">
        <w:rPr>
          <w:rStyle w:val="italicus"/>
          <w:lang w:val="de-AT"/>
        </w:rPr>
        <w:t xml:space="preserve">neue Zeit, </w:t>
      </w:r>
      <w:r w:rsidRPr="007A25B5">
        <w:rPr>
          <w:rFonts w:eastAsia="Arial Unicode MS"/>
          <w:bCs/>
          <w:lang w:val="de-AT" w:eastAsia="fr-FR" w:bidi="he-IL"/>
        </w:rPr>
        <w:t xml:space="preserve">Leipzig 1801 ; L. G. Seguin, </w:t>
      </w:r>
      <w:r w:rsidRPr="007A25B5">
        <w:rPr>
          <w:rStyle w:val="italicus"/>
          <w:lang w:val="de-AT"/>
        </w:rPr>
        <w:t xml:space="preserve">The Country of the Passion-Play, </w:t>
      </w:r>
      <w:r w:rsidRPr="007A25B5">
        <w:rPr>
          <w:rFonts w:eastAsia="Arial Unicode MS"/>
          <w:bCs/>
          <w:lang w:val="de-AT" w:eastAsia="fr-FR" w:bidi="he-IL"/>
        </w:rPr>
        <w:t>Londres, s. d.</w:t>
      </w:r>
      <w:r>
        <w:rPr>
          <w:rFonts w:eastAsia="Arial Unicode MS"/>
          <w:bCs/>
          <w:lang w:val="de-AT" w:eastAsia="fr-FR" w:bidi="he-IL"/>
        </w:rPr>
        <w:t> ; F</w:t>
      </w:r>
      <w:r w:rsidRPr="00C8701B">
        <w:rPr>
          <w:rFonts w:eastAsia="Arial Unicode MS"/>
          <w:bCs/>
          <w:lang w:val="el-GR" w:eastAsia="fr-FR" w:bidi="he-IL"/>
        </w:rPr>
        <w:t xml:space="preserve"> </w:t>
      </w:r>
      <w:r w:rsidRPr="007A25B5">
        <w:rPr>
          <w:rFonts w:eastAsia="Arial Unicode MS"/>
          <w:bCs/>
          <w:lang w:val="de-AT" w:eastAsia="fr-FR" w:bidi="he-IL"/>
        </w:rPr>
        <w:t xml:space="preserve">Schöberl, </w:t>
      </w:r>
      <w:r w:rsidRPr="007A25B5">
        <w:rPr>
          <w:rStyle w:val="italicus"/>
          <w:lang w:val="de-AT"/>
        </w:rPr>
        <w:t xml:space="preserve">Das Oberammergauer Passions-Spiel, </w:t>
      </w:r>
      <w:r w:rsidRPr="007A25B5">
        <w:rPr>
          <w:rFonts w:eastAsia="Arial Unicode MS"/>
          <w:bCs/>
          <w:lang w:val="de-AT" w:eastAsia="fr-FR" w:bidi="he-IL"/>
        </w:rPr>
        <w:t>Stuttgart 1870</w:t>
      </w:r>
      <w:r w:rsidRPr="007A25B5">
        <w:rPr>
          <w:lang w:val="de-AT"/>
        </w:rPr>
        <w:t>, 6e édition</w:t>
      </w:r>
      <w:r w:rsidRPr="007A25B5">
        <w:rPr>
          <w:rFonts w:eastAsia="Arial Unicode MS"/>
          <w:bCs/>
          <w:lang w:val="de-AT" w:eastAsia="fr-FR" w:bidi="he-IL"/>
        </w:rPr>
        <w:t>.</w:t>
      </w:r>
    </w:p>
  </w:footnote>
  <w:footnote w:id="553">
    <w:p w:rsidR="00941AA6" w:rsidRPr="00933C60" w:rsidRDefault="00941AA6">
      <w:pPr>
        <w:pStyle w:val="Notedebasdepage"/>
      </w:pPr>
      <w:r w:rsidRPr="00C406FF">
        <w:rPr>
          <w:rStyle w:val="Appelnotedebasdep"/>
        </w:rPr>
        <w:footnoteRef/>
      </w:r>
      <w:r w:rsidRPr="00DC4586">
        <w:rPr>
          <w:rStyle w:val="italicus"/>
        </w:rPr>
        <w:t xml:space="preserve"> La Passion de Jésus-Christ</w:t>
      </w:r>
      <w:r>
        <w:rPr>
          <w:rFonts w:eastAsia="Arial Unicode MS"/>
          <w:bCs/>
          <w:lang w:eastAsia="fr-FR" w:bidi="he-IL"/>
        </w:rPr>
        <w:t xml:space="preserve">, </w:t>
      </w:r>
      <w:r w:rsidRPr="00C8701B">
        <w:rPr>
          <w:rFonts w:eastAsia="Arial Unicode MS"/>
          <w:bCs/>
          <w:lang w:eastAsia="fr-FR" w:bidi="he-IL"/>
        </w:rPr>
        <w:t>Paris 1833.</w:t>
      </w:r>
    </w:p>
  </w:footnote>
  <w:footnote w:id="554">
    <w:p w:rsidR="00941AA6" w:rsidRPr="00933C60" w:rsidRDefault="00941AA6">
      <w:pPr>
        <w:pStyle w:val="Notedebasdepage"/>
      </w:pPr>
      <w:r w:rsidRPr="00C406FF">
        <w:rPr>
          <w:rStyle w:val="Appelnotedebasdep"/>
        </w:rPr>
        <w:footnoteRef/>
      </w:r>
      <w:r>
        <w:rPr>
          <w:rFonts w:eastAsia="Arial Unicode MS"/>
          <w:bCs/>
          <w:lang w:eastAsia="fr-FR" w:bidi="he-IL"/>
        </w:rPr>
        <w:t xml:space="preserve"> « La</w:t>
      </w:r>
      <w:r w:rsidRPr="00C8701B">
        <w:rPr>
          <w:rFonts w:eastAsia="Arial Unicode MS"/>
          <w:bCs/>
          <w:lang w:eastAsia="fr-FR" w:bidi="he-IL"/>
        </w:rPr>
        <w:t xml:space="preserve"> vie de N.-S. Jésus-Christ est l’œuvre d’art par excellence</w:t>
      </w:r>
      <w:r>
        <w:rPr>
          <w:rFonts w:eastAsia="Arial Unicode MS"/>
          <w:bCs/>
          <w:lang w:eastAsia="fr-FR" w:bidi="he-IL"/>
        </w:rPr>
        <w:t xml:space="preserve">, </w:t>
      </w:r>
      <w:r w:rsidRPr="00C8701B">
        <w:rPr>
          <w:rFonts w:eastAsia="Arial Unicode MS"/>
          <w:bCs/>
          <w:lang w:eastAsia="fr-FR" w:bidi="he-IL"/>
        </w:rPr>
        <w:t>puisqu’elle est la manifestation parfaite du vrai</w:t>
      </w:r>
      <w:r>
        <w:rPr>
          <w:rFonts w:eastAsia="Arial Unicode MS"/>
          <w:bCs/>
          <w:lang w:eastAsia="fr-FR" w:bidi="he-IL"/>
        </w:rPr>
        <w:t xml:space="preserve">, </w:t>
      </w:r>
      <w:r w:rsidRPr="00C8701B">
        <w:rPr>
          <w:rFonts w:eastAsia="Arial Unicode MS"/>
          <w:bCs/>
          <w:lang w:eastAsia="fr-FR" w:bidi="he-IL"/>
        </w:rPr>
        <w:t>du beau et du bien absolus </w:t>
      </w:r>
      <w:r>
        <w:rPr>
          <w:rFonts w:eastAsia="Arial Unicode MS"/>
          <w:bCs/>
          <w:lang w:eastAsia="fr-FR" w:bidi="he-IL"/>
        </w:rPr>
        <w:t xml:space="preserve">; </w:t>
      </w:r>
      <w:r w:rsidRPr="00C8701B">
        <w:rPr>
          <w:rFonts w:eastAsia="Arial Unicode MS"/>
          <w:bCs/>
          <w:lang w:eastAsia="fr-FR" w:bidi="he-IL"/>
        </w:rPr>
        <w:t>mais cette vie et cette lumière divines</w:t>
      </w:r>
      <w:r>
        <w:rPr>
          <w:rFonts w:eastAsia="Arial Unicode MS"/>
          <w:bCs/>
          <w:lang w:eastAsia="fr-FR" w:bidi="he-IL"/>
        </w:rPr>
        <w:t xml:space="preserve">, </w:t>
      </w:r>
      <w:r w:rsidRPr="00C8701B">
        <w:rPr>
          <w:rFonts w:eastAsia="Arial Unicode MS"/>
          <w:bCs/>
          <w:lang w:eastAsia="fr-FR" w:bidi="he-IL"/>
        </w:rPr>
        <w:t>dont l’action si puissante s’imposait à l’univers entier</w:t>
      </w:r>
      <w:r>
        <w:rPr>
          <w:rFonts w:eastAsia="Arial Unicode MS"/>
          <w:bCs/>
          <w:lang w:eastAsia="fr-FR" w:bidi="he-IL"/>
        </w:rPr>
        <w:t xml:space="preserve">, </w:t>
      </w:r>
      <w:r w:rsidRPr="00C8701B">
        <w:rPr>
          <w:rFonts w:eastAsia="Arial Unicode MS"/>
          <w:bCs/>
          <w:lang w:eastAsia="fr-FR" w:bidi="he-IL"/>
        </w:rPr>
        <w:t>ne pouvaient rester sans effet sur l’art qui est le mode expressif et permanent de la vie sociale. Aussi l’art a-t-il été régénéré par le Verbe divin. Il a été baptisé</w:t>
      </w:r>
      <w:r>
        <w:rPr>
          <w:rFonts w:eastAsia="Arial Unicode MS"/>
          <w:bCs/>
          <w:lang w:eastAsia="fr-FR" w:bidi="he-IL"/>
        </w:rPr>
        <w:t xml:space="preserve">, </w:t>
      </w:r>
      <w:r w:rsidRPr="00C8701B">
        <w:rPr>
          <w:rFonts w:eastAsia="Arial Unicode MS"/>
          <w:bCs/>
          <w:lang w:eastAsia="fr-FR" w:bidi="he-IL"/>
        </w:rPr>
        <w:t>il a vécu de la vie du Christ</w:t>
      </w:r>
      <w:r>
        <w:rPr>
          <w:rFonts w:eastAsia="Arial Unicode MS"/>
          <w:bCs/>
          <w:lang w:eastAsia="fr-FR" w:bidi="he-IL"/>
        </w:rPr>
        <w:t xml:space="preserve">, </w:t>
      </w:r>
      <w:r w:rsidRPr="00C8701B">
        <w:rPr>
          <w:rFonts w:eastAsia="Arial Unicode MS"/>
          <w:bCs/>
          <w:lang w:eastAsia="fr-FR" w:bidi="he-IL"/>
        </w:rPr>
        <w:t>et en vertu de son affranchissement et de sa féco</w:t>
      </w:r>
      <w:r>
        <w:rPr>
          <w:rFonts w:eastAsia="Arial Unicode MS"/>
          <w:bCs/>
          <w:lang w:eastAsia="fr-FR" w:bidi="he-IL"/>
        </w:rPr>
        <w:t>ndit</w:t>
      </w:r>
      <w:r w:rsidRPr="00C8701B">
        <w:rPr>
          <w:rFonts w:eastAsia="Arial Unicode MS"/>
          <w:bCs/>
          <w:lang w:eastAsia="fr-FR" w:bidi="he-IL"/>
        </w:rPr>
        <w:t>é nouvelle</w:t>
      </w:r>
      <w:r>
        <w:rPr>
          <w:rFonts w:eastAsia="Arial Unicode MS"/>
          <w:bCs/>
          <w:lang w:eastAsia="fr-FR" w:bidi="he-IL"/>
        </w:rPr>
        <w:t xml:space="preserve">, </w:t>
      </w:r>
      <w:r w:rsidRPr="00C8701B">
        <w:rPr>
          <w:rFonts w:eastAsia="Arial Unicode MS"/>
          <w:bCs/>
          <w:lang w:eastAsia="fr-FR" w:bidi="he-IL"/>
        </w:rPr>
        <w:t>l’art chrétien a contribué à étendre le règne de celui auquel Dieu avait donné les nations en héritage </w:t>
      </w:r>
      <w:r>
        <w:rPr>
          <w:rFonts w:eastAsia="Arial Unicode MS"/>
          <w:bCs/>
          <w:lang w:eastAsia="fr-FR" w:bidi="he-IL"/>
        </w:rPr>
        <w:t xml:space="preserve">; </w:t>
      </w:r>
      <w:r w:rsidRPr="00C8701B">
        <w:rPr>
          <w:rFonts w:eastAsia="Arial Unicode MS"/>
          <w:bCs/>
          <w:lang w:eastAsia="fr-FR" w:bidi="he-IL"/>
        </w:rPr>
        <w:t>et il lui a élevé des temples magnifiques</w:t>
      </w:r>
      <w:r>
        <w:rPr>
          <w:rFonts w:eastAsia="Arial Unicode MS"/>
          <w:bCs/>
          <w:lang w:eastAsia="fr-FR" w:bidi="he-IL"/>
        </w:rPr>
        <w:t xml:space="preserve">, </w:t>
      </w:r>
      <w:r w:rsidRPr="00C8701B">
        <w:rPr>
          <w:rFonts w:eastAsia="Arial Unicode MS"/>
          <w:bCs/>
          <w:lang w:eastAsia="fr-FR" w:bidi="he-IL"/>
        </w:rPr>
        <w:t>où la louange et l’adoration se manifestent par l’éloquence et la variété d’innombrables chefs-d’œuvre... L’art avait déserté ses relations divines</w:t>
      </w:r>
      <w:r>
        <w:rPr>
          <w:rFonts w:eastAsia="Arial Unicode MS"/>
          <w:bCs/>
          <w:lang w:eastAsia="fr-FR" w:bidi="he-IL"/>
        </w:rPr>
        <w:t xml:space="preserve">, </w:t>
      </w:r>
      <w:r w:rsidRPr="00C8701B">
        <w:rPr>
          <w:rFonts w:eastAsia="Arial Unicode MS"/>
          <w:bCs/>
          <w:lang w:eastAsia="fr-FR" w:bidi="he-IL"/>
        </w:rPr>
        <w:t>pour se faire le courtisan et l’esclave d’une société corrompue. N.-S. Jésus-Christ pouvait seul le racheter de l’erreur et le rendre à la sainteté de son origine. Jésus-Christ est venu relever l’art de sa chute.... L’Homme-Dieu est l’artiste parfait.... Comme Dieu</w:t>
      </w:r>
      <w:r>
        <w:rPr>
          <w:rFonts w:eastAsia="Arial Unicode MS"/>
          <w:bCs/>
          <w:lang w:eastAsia="fr-FR" w:bidi="he-IL"/>
        </w:rPr>
        <w:t>, il</w:t>
      </w:r>
      <w:r w:rsidRPr="00C8701B">
        <w:rPr>
          <w:rFonts w:eastAsia="Arial Unicode MS"/>
          <w:bCs/>
          <w:lang w:eastAsia="fr-FR" w:bidi="he-IL"/>
        </w:rPr>
        <w:t xml:space="preserve"> est l’art du Père par .... sa génération éternelle</w:t>
      </w:r>
      <w:r>
        <w:rPr>
          <w:rFonts w:eastAsia="Arial Unicode MS"/>
          <w:bCs/>
          <w:lang w:eastAsia="fr-FR" w:bidi="he-IL"/>
        </w:rPr>
        <w:t xml:space="preserve">, </w:t>
      </w:r>
      <w:r w:rsidRPr="00C8701B">
        <w:rPr>
          <w:rFonts w:eastAsia="Arial Unicode MS"/>
          <w:bCs/>
          <w:lang w:eastAsia="fr-FR" w:bidi="he-IL"/>
        </w:rPr>
        <w:t>puisqu’il est la splendeur</w:t>
      </w:r>
      <w:r>
        <w:rPr>
          <w:rFonts w:eastAsia="Arial Unicode MS"/>
          <w:bCs/>
          <w:lang w:eastAsia="fr-FR" w:bidi="he-IL"/>
        </w:rPr>
        <w:t>, la forme</w:t>
      </w:r>
      <w:r w:rsidRPr="00C8701B">
        <w:rPr>
          <w:rFonts w:eastAsia="Arial Unicode MS"/>
          <w:bCs/>
          <w:lang w:eastAsia="fr-FR" w:bidi="he-IL"/>
        </w:rPr>
        <w:t xml:space="preserve"> de sa substance.... Comme homme</w:t>
      </w:r>
      <w:r>
        <w:rPr>
          <w:rFonts w:eastAsia="Arial Unicode MS"/>
          <w:bCs/>
          <w:lang w:eastAsia="fr-FR" w:bidi="he-IL"/>
        </w:rPr>
        <w:t xml:space="preserve">, </w:t>
      </w:r>
      <w:r w:rsidRPr="00C8701B">
        <w:rPr>
          <w:rFonts w:eastAsia="Arial Unicode MS"/>
          <w:bCs/>
          <w:lang w:eastAsia="fr-FR" w:bidi="he-IL"/>
        </w:rPr>
        <w:t>le Verbe est le type du beau naturel et surnaturel. Non seulement il est le plus beau des enfants des ho</w:t>
      </w:r>
      <w:r>
        <w:rPr>
          <w:rFonts w:eastAsia="Arial Unicode MS"/>
          <w:bCs/>
          <w:lang w:eastAsia="fr-FR" w:bidi="he-IL"/>
        </w:rPr>
        <w:t>mme</w:t>
      </w:r>
      <w:r w:rsidRPr="00C8701B">
        <w:rPr>
          <w:rFonts w:eastAsia="Arial Unicode MS"/>
          <w:bCs/>
          <w:lang w:eastAsia="fr-FR" w:bidi="he-IL"/>
        </w:rPr>
        <w:t>s</w:t>
      </w:r>
      <w:r>
        <w:rPr>
          <w:rFonts w:eastAsia="Arial Unicode MS"/>
          <w:bCs/>
          <w:lang w:eastAsia="fr-FR" w:bidi="he-IL"/>
        </w:rPr>
        <w:t xml:space="preserve">, </w:t>
      </w:r>
      <w:r w:rsidRPr="00C8701B">
        <w:rPr>
          <w:rFonts w:eastAsia="Arial Unicode MS"/>
          <w:bCs/>
          <w:lang w:eastAsia="fr-FR" w:bidi="he-IL"/>
        </w:rPr>
        <w:t>mais il est le plus saint</w:t>
      </w:r>
      <w:r>
        <w:rPr>
          <w:rFonts w:eastAsia="Arial Unicode MS"/>
          <w:bCs/>
          <w:lang w:eastAsia="fr-FR" w:bidi="he-IL"/>
        </w:rPr>
        <w:t xml:space="preserve">, </w:t>
      </w:r>
      <w:r w:rsidRPr="00C8701B">
        <w:rPr>
          <w:rFonts w:eastAsia="Arial Unicode MS"/>
          <w:bCs/>
          <w:lang w:eastAsia="fr-FR" w:bidi="he-IL"/>
        </w:rPr>
        <w:t>le seul saint même</w:t>
      </w:r>
      <w:r>
        <w:rPr>
          <w:rFonts w:eastAsia="Arial Unicode MS"/>
          <w:bCs/>
          <w:lang w:eastAsia="fr-FR" w:bidi="he-IL"/>
        </w:rPr>
        <w:t xml:space="preserve">, </w:t>
      </w:r>
      <w:r w:rsidRPr="00C8701B">
        <w:rPr>
          <w:rFonts w:eastAsia="Arial Unicode MS"/>
          <w:bCs/>
          <w:lang w:eastAsia="fr-FR" w:bidi="he-IL"/>
        </w:rPr>
        <w:t>car la sainteté</w:t>
      </w:r>
      <w:r>
        <w:rPr>
          <w:rFonts w:eastAsia="Arial Unicode MS"/>
          <w:bCs/>
          <w:lang w:eastAsia="fr-FR" w:bidi="he-IL"/>
        </w:rPr>
        <w:t xml:space="preserve">, </w:t>
      </w:r>
      <w:r w:rsidRPr="00C8701B">
        <w:rPr>
          <w:rFonts w:eastAsia="Arial Unicode MS"/>
          <w:bCs/>
          <w:lang w:eastAsia="fr-FR" w:bidi="he-IL"/>
        </w:rPr>
        <w:t>qui est la beauté morale de tous les êtres</w:t>
      </w:r>
      <w:r>
        <w:rPr>
          <w:rFonts w:eastAsia="Arial Unicode MS"/>
          <w:bCs/>
          <w:lang w:eastAsia="fr-FR" w:bidi="he-IL"/>
        </w:rPr>
        <w:t xml:space="preserve">, </w:t>
      </w:r>
      <w:r w:rsidRPr="00C8701B">
        <w:rPr>
          <w:rFonts w:eastAsia="Arial Unicode MS"/>
          <w:bCs/>
          <w:lang w:eastAsia="fr-FR" w:bidi="he-IL"/>
        </w:rPr>
        <w:t>ne peut être qu’un écoulement</w:t>
      </w:r>
      <w:r>
        <w:rPr>
          <w:rFonts w:eastAsia="Arial Unicode MS"/>
          <w:bCs/>
          <w:lang w:eastAsia="fr-FR" w:bidi="he-IL"/>
        </w:rPr>
        <w:t>, une participatio</w:t>
      </w:r>
      <w:r w:rsidRPr="00C8701B">
        <w:rPr>
          <w:rFonts w:eastAsia="Arial Unicode MS"/>
          <w:bCs/>
          <w:lang w:eastAsia="fr-FR" w:bidi="he-IL"/>
        </w:rPr>
        <w:t xml:space="preserve">n de sa sainteté.... </w:t>
      </w:r>
      <w:r>
        <w:rPr>
          <w:rFonts w:eastAsia="Arial Unicode MS"/>
          <w:bCs/>
          <w:lang w:eastAsia="fr-FR" w:bidi="he-IL"/>
        </w:rPr>
        <w:t>N</w:t>
      </w:r>
      <w:r w:rsidRPr="00C8701B">
        <w:rPr>
          <w:rFonts w:eastAsia="Arial Unicode MS"/>
          <w:bCs/>
          <w:lang w:eastAsia="fr-FR" w:bidi="he-IL"/>
        </w:rPr>
        <w:t>otre-Seigneur a été le rédempteur de l’art</w:t>
      </w:r>
      <w:r>
        <w:rPr>
          <w:rFonts w:eastAsia="Arial Unicode MS"/>
          <w:bCs/>
          <w:lang w:eastAsia="fr-FR" w:bidi="he-IL"/>
        </w:rPr>
        <w:t xml:space="preserve">, </w:t>
      </w:r>
      <w:r w:rsidRPr="00C8701B">
        <w:rPr>
          <w:rFonts w:eastAsia="Arial Unicode MS"/>
          <w:bCs/>
          <w:lang w:eastAsia="fr-FR" w:bidi="he-IL"/>
        </w:rPr>
        <w:t>en lui donnant</w:t>
      </w:r>
      <w:r>
        <w:rPr>
          <w:rFonts w:eastAsia="Arial Unicode MS"/>
          <w:bCs/>
          <w:lang w:eastAsia="fr-FR" w:bidi="he-IL"/>
        </w:rPr>
        <w:t xml:space="preserve">, </w:t>
      </w:r>
      <w:r w:rsidRPr="00C8701B">
        <w:rPr>
          <w:rFonts w:eastAsia="Arial Unicode MS"/>
          <w:bCs/>
          <w:lang w:eastAsia="fr-FR" w:bidi="he-IL"/>
        </w:rPr>
        <w:t>avec son sang</w:t>
      </w:r>
      <w:r>
        <w:rPr>
          <w:rFonts w:eastAsia="Arial Unicode MS"/>
          <w:bCs/>
          <w:lang w:eastAsia="fr-FR" w:bidi="he-IL"/>
        </w:rPr>
        <w:t>, s</w:t>
      </w:r>
      <w:r w:rsidRPr="00C8701B">
        <w:rPr>
          <w:rFonts w:eastAsia="Arial Unicode MS"/>
          <w:bCs/>
          <w:lang w:eastAsia="fr-FR" w:bidi="he-IL"/>
        </w:rPr>
        <w:t>a science et son amour</w:t>
      </w:r>
      <w:r>
        <w:rPr>
          <w:rFonts w:eastAsia="Arial Unicode MS"/>
          <w:bCs/>
          <w:lang w:eastAsia="fr-FR" w:bidi="he-IL"/>
        </w:rPr>
        <w:t xml:space="preserve">. Il </w:t>
      </w:r>
      <w:r w:rsidRPr="00C8701B">
        <w:rPr>
          <w:rFonts w:eastAsia="Arial Unicode MS"/>
          <w:bCs/>
          <w:lang w:eastAsia="fr-FR" w:bidi="he-IL"/>
        </w:rPr>
        <w:t xml:space="preserve">lui a fait connaître le </w:t>
      </w:r>
      <w:r w:rsidRPr="00C8701B">
        <w:rPr>
          <w:rFonts w:eastAsia="Arial Unicode MS"/>
          <w:lang w:eastAsia="fr-FR" w:bidi="he-IL"/>
        </w:rPr>
        <w:t>Père</w:t>
      </w:r>
      <w:r>
        <w:rPr>
          <w:rFonts w:eastAsia="Arial Unicode MS"/>
          <w:lang w:eastAsia="fr-FR" w:bidi="he-IL"/>
        </w:rPr>
        <w:t xml:space="preserve">, </w:t>
      </w:r>
      <w:r w:rsidRPr="00C8701B">
        <w:rPr>
          <w:rFonts w:eastAsia="Arial Unicode MS"/>
          <w:bCs/>
          <w:lang w:eastAsia="fr-FR" w:bidi="he-IL"/>
        </w:rPr>
        <w:t>et lui a laissé les deux commandements qui n’en font qu’</w:t>
      </w:r>
      <w:r>
        <w:rPr>
          <w:rFonts w:eastAsia="Arial Unicode MS"/>
          <w:bCs/>
          <w:lang w:eastAsia="fr-FR" w:bidi="he-IL"/>
        </w:rPr>
        <w:t>un.... Notre-Seigneur a confi</w:t>
      </w:r>
      <w:r w:rsidRPr="00C8701B">
        <w:rPr>
          <w:rFonts w:eastAsia="Arial Unicode MS"/>
          <w:bCs/>
          <w:lang w:eastAsia="fr-FR" w:bidi="he-IL"/>
        </w:rPr>
        <w:t xml:space="preserve">é l’art à son </w:t>
      </w:r>
      <w:r>
        <w:rPr>
          <w:rFonts w:eastAsia="Arial Unicode MS"/>
          <w:bCs/>
          <w:lang w:eastAsia="fr-FR" w:bidi="he-IL"/>
        </w:rPr>
        <w:t>Église</w:t>
      </w:r>
      <w:r w:rsidRPr="00C8701B">
        <w:rPr>
          <w:rFonts w:eastAsia="Arial Unicode MS"/>
          <w:bCs/>
          <w:lang w:eastAsia="fr-FR" w:bidi="he-IL"/>
        </w:rPr>
        <w:t>.... L’</w:t>
      </w:r>
      <w:r>
        <w:rPr>
          <w:rFonts w:eastAsia="Arial Unicode MS"/>
          <w:bCs/>
          <w:lang w:eastAsia="fr-FR" w:bidi="he-IL"/>
        </w:rPr>
        <w:t>Église</w:t>
      </w:r>
      <w:r w:rsidRPr="00C8701B">
        <w:rPr>
          <w:rFonts w:eastAsia="Arial Unicode MS"/>
          <w:bCs/>
          <w:lang w:eastAsia="fr-FR" w:bidi="he-IL"/>
        </w:rPr>
        <w:t xml:space="preserve"> a chargé l’art de pourvoir à toutes les magnificences de son culte.... L’histoire de l’art</w:t>
      </w:r>
      <w:r>
        <w:rPr>
          <w:rFonts w:eastAsia="Arial Unicode MS"/>
          <w:bCs/>
          <w:lang w:eastAsia="fr-FR" w:bidi="he-IL"/>
        </w:rPr>
        <w:t xml:space="preserve">, </w:t>
      </w:r>
      <w:r w:rsidRPr="00C8701B">
        <w:rPr>
          <w:rFonts w:eastAsia="Arial Unicode MS"/>
          <w:bCs/>
          <w:lang w:eastAsia="fr-FR" w:bidi="he-IL"/>
        </w:rPr>
        <w:t>les causes de ses grandeurs et de ses décadences ne se peuvent comprendre qu’à la lumière du Christ ». E. Cartier</w:t>
      </w:r>
      <w:r>
        <w:rPr>
          <w:rFonts w:eastAsia="Arial Unicode MS"/>
          <w:bCs/>
          <w:lang w:eastAsia="fr-FR" w:bidi="he-IL"/>
        </w:rPr>
        <w:t xml:space="preserve">, </w:t>
      </w:r>
      <w:r w:rsidRPr="00DC4586">
        <w:rPr>
          <w:rStyle w:val="italicus"/>
        </w:rPr>
        <w:t>Jésus-Christ dans l</w:t>
      </w:r>
      <w:r>
        <w:rPr>
          <w:rStyle w:val="italicus"/>
        </w:rPr>
        <w:t>’</w:t>
      </w:r>
      <w:r w:rsidRPr="00DC4586">
        <w:rPr>
          <w:rStyle w:val="italicus"/>
        </w:rPr>
        <w:t>art</w:t>
      </w:r>
      <w:r>
        <w:rPr>
          <w:rStyle w:val="italicus"/>
        </w:rPr>
        <w:t xml:space="preserve">, </w:t>
      </w:r>
      <w:r w:rsidRPr="00C8701B">
        <w:rPr>
          <w:rFonts w:eastAsia="Arial Unicode MS"/>
          <w:bCs/>
          <w:lang w:eastAsia="fr-FR" w:bidi="he-IL"/>
        </w:rPr>
        <w:t xml:space="preserve">p. 471 et </w:t>
      </w:r>
      <w:r>
        <w:rPr>
          <w:rFonts w:eastAsia="Arial Unicode MS"/>
          <w:bCs/>
          <w:lang w:eastAsia="fr-FR" w:bidi="he-IL"/>
        </w:rPr>
        <w:t xml:space="preserve">ss., </w:t>
      </w:r>
      <w:r w:rsidRPr="00C8701B">
        <w:rPr>
          <w:rFonts w:eastAsia="Arial Unicode MS"/>
          <w:bCs/>
          <w:lang w:eastAsia="fr-FR" w:bidi="he-IL"/>
        </w:rPr>
        <w:t>de</w:t>
      </w:r>
      <w:r w:rsidRPr="00DC4586">
        <w:rPr>
          <w:rStyle w:val="italicus"/>
        </w:rPr>
        <w:t xml:space="preserve"> Jésus-Christ</w:t>
      </w:r>
      <w:r w:rsidRPr="00C8701B">
        <w:rPr>
          <w:rFonts w:eastAsia="Arial Unicode MS"/>
          <w:bCs/>
          <w:lang w:eastAsia="fr-FR" w:bidi="he-IL"/>
        </w:rPr>
        <w:t xml:space="preserve"> par L. Veuillot</w:t>
      </w:r>
      <w:r>
        <w:rPr>
          <w:rFonts w:eastAsia="Arial Unicode MS"/>
          <w:bCs/>
          <w:lang w:eastAsia="fr-FR" w:bidi="he-IL"/>
        </w:rPr>
        <w:t>, Paris 1875</w:t>
      </w:r>
    </w:p>
  </w:footnote>
  <w:footnote w:id="555">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 xml:space="preserve">M. Rio a dit de cette série de vingt-sept compartiments : « Ce sont les traits les plus touchants </w:t>
      </w:r>
      <w:r>
        <w:rPr>
          <w:rFonts w:eastAsia="Arial Unicode MS"/>
          <w:bCs/>
          <w:lang w:eastAsia="fr-FR" w:bidi="he-IL"/>
        </w:rPr>
        <w:t>et l</w:t>
      </w:r>
      <w:r w:rsidRPr="00C8701B">
        <w:rPr>
          <w:rFonts w:eastAsia="Arial Unicode MS"/>
          <w:bCs/>
          <w:lang w:eastAsia="fr-FR" w:bidi="he-IL"/>
        </w:rPr>
        <w:t>es plus pathétiques qui sont rendus avec le plus de bonheur »</w:t>
      </w:r>
      <w:r>
        <w:rPr>
          <w:rFonts w:eastAsia="Arial Unicode MS"/>
          <w:bCs/>
          <w:lang w:eastAsia="fr-FR" w:bidi="he-IL"/>
        </w:rPr>
        <w:t>,</w:t>
      </w:r>
    </w:p>
  </w:footnote>
  <w:footnote w:id="556">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Dans</w:t>
      </w:r>
      <w:r w:rsidRPr="00DC4586">
        <w:rPr>
          <w:rStyle w:val="italicus"/>
        </w:rPr>
        <w:t xml:space="preserve"> Art Journal</w:t>
      </w:r>
      <w:r>
        <w:rPr>
          <w:rFonts w:eastAsia="Arial Unicode MS"/>
          <w:bCs/>
          <w:lang w:eastAsia="fr-FR" w:bidi="he-IL"/>
        </w:rPr>
        <w:t xml:space="preserve">, </w:t>
      </w:r>
      <w:r w:rsidRPr="00C8701B">
        <w:rPr>
          <w:rFonts w:eastAsia="Arial Unicode MS"/>
          <w:bCs/>
          <w:lang w:eastAsia="fr-FR" w:bidi="he-IL"/>
        </w:rPr>
        <w:t>nouvelle série</w:t>
      </w:r>
      <w:r>
        <w:rPr>
          <w:rFonts w:eastAsia="Arial Unicode MS"/>
          <w:bCs/>
          <w:lang w:eastAsia="fr-FR" w:bidi="he-IL"/>
        </w:rPr>
        <w:t xml:space="preserve">, </w:t>
      </w:r>
      <w:r w:rsidRPr="00C8701B">
        <w:rPr>
          <w:rFonts w:eastAsia="Arial Unicode MS"/>
          <w:bCs/>
          <w:lang w:eastAsia="fr-FR" w:bidi="he-IL"/>
        </w:rPr>
        <w:t>VII</w:t>
      </w:r>
      <w:r>
        <w:rPr>
          <w:rFonts w:eastAsia="Arial Unicode MS"/>
          <w:bCs/>
          <w:lang w:eastAsia="fr-FR" w:bidi="he-IL"/>
        </w:rPr>
        <w:t xml:space="preserve">, </w:t>
      </w:r>
      <w:r w:rsidRPr="00C8701B">
        <w:rPr>
          <w:rFonts w:eastAsia="Arial Unicode MS"/>
          <w:bCs/>
          <w:lang w:eastAsia="fr-FR" w:bidi="he-IL"/>
        </w:rPr>
        <w:t>1861.</w:t>
      </w:r>
    </w:p>
  </w:footnote>
  <w:footnote w:id="557">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aussi</w:t>
      </w:r>
      <w:r>
        <w:rPr>
          <w:rFonts w:eastAsia="Arial Unicode MS"/>
          <w:bCs/>
          <w:lang w:eastAsia="fr-FR" w:bidi="he-IL"/>
        </w:rPr>
        <w:t xml:space="preserve">, </w:t>
      </w:r>
      <w:r w:rsidRPr="00C8701B">
        <w:rPr>
          <w:rFonts w:eastAsia="Arial Unicode MS"/>
          <w:bCs/>
          <w:lang w:eastAsia="fr-FR" w:bidi="he-IL"/>
        </w:rPr>
        <w:t>du même auteur</w:t>
      </w:r>
      <w:r>
        <w:rPr>
          <w:rFonts w:eastAsia="Arial Unicode MS"/>
          <w:bCs/>
          <w:lang w:eastAsia="fr-FR" w:bidi="he-IL"/>
        </w:rPr>
        <w:t xml:space="preserve">, </w:t>
      </w:r>
      <w:r w:rsidRPr="00AC13FD">
        <w:rPr>
          <w:rStyle w:val="italicus"/>
        </w:rPr>
        <w:t>La Sainte Vierge, Études archéologiques ethnographiques,</w:t>
      </w:r>
      <w:r>
        <w:rPr>
          <w:rStyle w:val="italicus"/>
        </w:rPr>
        <w:t xml:space="preserve"> </w:t>
      </w:r>
      <w:r>
        <w:rPr>
          <w:rFonts w:eastAsia="Arial Unicode MS"/>
          <w:bCs/>
          <w:lang w:eastAsia="fr-FR" w:bidi="he-IL"/>
        </w:rPr>
        <w:t>Paris (Poussielgue</w:t>
      </w:r>
      <w:r w:rsidRPr="00C8701B">
        <w:rPr>
          <w:rFonts w:eastAsia="Arial Unicode MS"/>
          <w:bCs/>
          <w:lang w:eastAsia="fr-FR" w:bidi="he-IL"/>
        </w:rPr>
        <w:t>).</w:t>
      </w:r>
    </w:p>
  </w:footnote>
  <w:footnote w:id="558">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 xml:space="preserve">Voir surtout le livre </w:t>
      </w:r>
      <w:r>
        <w:rPr>
          <w:rFonts w:eastAsia="Arial Unicode MS"/>
          <w:bCs/>
          <w:lang w:eastAsia="fr-FR" w:bidi="he-IL"/>
        </w:rPr>
        <w:t xml:space="preserve">V, </w:t>
      </w:r>
      <w:r w:rsidRPr="00C8701B">
        <w:rPr>
          <w:rFonts w:eastAsia="Arial Unicode MS"/>
          <w:bCs/>
          <w:lang w:eastAsia="fr-FR" w:bidi="he-IL"/>
        </w:rPr>
        <w:t>p. 370 et ss.</w:t>
      </w:r>
    </w:p>
  </w:footnote>
  <w:footnote w:id="559">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Les grav</w:t>
      </w:r>
      <w:r>
        <w:rPr>
          <w:rFonts w:eastAsia="Arial Unicode MS"/>
          <w:bCs/>
          <w:lang w:eastAsia="fr-FR" w:bidi="he-IL"/>
        </w:rPr>
        <w:t>ures principales ont été emprunt</w:t>
      </w:r>
      <w:r w:rsidRPr="00C8701B">
        <w:rPr>
          <w:rFonts w:eastAsia="Arial Unicode MS"/>
          <w:bCs/>
          <w:lang w:eastAsia="fr-FR" w:bidi="he-IL"/>
        </w:rPr>
        <w:t>ées à l’école italienne de la renaissance</w:t>
      </w:r>
      <w:r>
        <w:rPr>
          <w:rFonts w:eastAsia="Arial Unicode MS"/>
          <w:bCs/>
          <w:lang w:eastAsia="fr-FR" w:bidi="he-IL"/>
        </w:rPr>
        <w:t>.</w:t>
      </w:r>
    </w:p>
  </w:footnote>
  <w:footnote w:id="560">
    <w:p w:rsidR="00941AA6" w:rsidRPr="00933C60" w:rsidRDefault="00941AA6">
      <w:pPr>
        <w:pStyle w:val="Notedebasdepage"/>
      </w:pPr>
      <w:r w:rsidRPr="00C406FF">
        <w:rPr>
          <w:rStyle w:val="Appelnotedebasdep"/>
        </w:rPr>
        <w:footnoteRef/>
      </w:r>
      <w:r w:rsidRPr="00C8701B">
        <w:rPr>
          <w:rFonts w:eastAsia="Arial Unicode MS"/>
          <w:bCs/>
          <w:lang w:eastAsia="fr-FR" w:bidi="he-IL"/>
        </w:rPr>
        <w:t xml:space="preserve"> Voyez aussi U. Maynard</w:t>
      </w:r>
      <w:r>
        <w:rPr>
          <w:rFonts w:eastAsia="Arial Unicode MS"/>
          <w:bCs/>
          <w:lang w:eastAsia="fr-FR" w:bidi="he-IL"/>
        </w:rPr>
        <w:t xml:space="preserve">, </w:t>
      </w:r>
      <w:r w:rsidRPr="00DC4586">
        <w:rPr>
          <w:rStyle w:val="italicus"/>
        </w:rPr>
        <w:t>La sainte Vierge</w:t>
      </w:r>
      <w:r>
        <w:rPr>
          <w:rStyle w:val="italicus"/>
        </w:rPr>
        <w:t>,</w:t>
      </w:r>
      <w:r w:rsidRPr="00C8701B">
        <w:rPr>
          <w:rFonts w:eastAsia="Arial Unicode MS"/>
          <w:bCs/>
          <w:lang w:eastAsia="fr-FR" w:bidi="he-IL"/>
        </w:rPr>
        <w:t xml:space="preserve"> Paris (Firmin-Didot)</w:t>
      </w:r>
      <w:r>
        <w:rPr>
          <w:rFonts w:eastAsia="Arial Unicode MS"/>
          <w:bCs/>
          <w:lang w:eastAsia="fr-FR" w:bidi="he-IL"/>
        </w:rPr>
        <w:t xml:space="preserve">, </w:t>
      </w:r>
      <w:r w:rsidRPr="00C8701B">
        <w:rPr>
          <w:rFonts w:eastAsia="Arial Unicode MS"/>
          <w:bCs/>
          <w:lang w:eastAsia="fr-FR" w:bidi="he-IL"/>
        </w:rPr>
        <w:t>ouvrage illustré de nombreuses gravures.</w:t>
      </w:r>
    </w:p>
  </w:footnote>
  <w:footnote w:id="561">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Codex apocr. Novi Te</w:t>
      </w:r>
      <w:r>
        <w:rPr>
          <w:rStyle w:val="italicus"/>
        </w:rPr>
        <w:t>staménti</w:t>
      </w:r>
      <w:r w:rsidRPr="00DC4586">
        <w:rPr>
          <w:rStyle w:val="italicus"/>
        </w:rPr>
        <w:t>.</w:t>
      </w:r>
      <w:r w:rsidRPr="00C8701B">
        <w:rPr>
          <w:rFonts w:eastAsia="Arial Unicode MS"/>
          <w:bCs/>
          <w:lang w:eastAsia="fr-FR" w:bidi="he-IL"/>
        </w:rPr>
        <w:t xml:space="preserve"> Hambourg 1703 (</w:t>
      </w:r>
      <w:r>
        <w:rPr>
          <w:rFonts w:eastAsia="Arial Unicode MS"/>
          <w:bCs/>
          <w:lang w:eastAsia="fr-FR" w:bidi="he-IL"/>
        </w:rPr>
        <w:t>d’</w:t>
      </w:r>
      <w:r w:rsidRPr="00C8701B">
        <w:rPr>
          <w:rFonts w:eastAsia="Arial Unicode MS"/>
          <w:bCs/>
          <w:lang w:eastAsia="fr-FR" w:bidi="he-IL"/>
        </w:rPr>
        <w:t>autres éditions en 1719 et 1743). Comparez Birch</w:t>
      </w:r>
      <w:r>
        <w:rPr>
          <w:rFonts w:eastAsia="Arial Unicode MS"/>
          <w:bCs/>
          <w:lang w:eastAsia="fr-FR" w:bidi="he-IL"/>
        </w:rPr>
        <w:t xml:space="preserve">, </w:t>
      </w:r>
      <w:r>
        <w:rPr>
          <w:rStyle w:val="italicus"/>
        </w:rPr>
        <w:t>auc</w:t>
      </w:r>
      <w:r w:rsidRPr="00DC4586">
        <w:rPr>
          <w:rStyle w:val="italicus"/>
        </w:rPr>
        <w:t>tu</w:t>
      </w:r>
      <w:r>
        <w:rPr>
          <w:rStyle w:val="italicus"/>
        </w:rPr>
        <w:t>árium</w:t>
      </w:r>
      <w:r w:rsidRPr="00DC4586">
        <w:rPr>
          <w:rStyle w:val="italicus"/>
        </w:rPr>
        <w:t xml:space="preserve"> </w:t>
      </w:r>
      <w:r>
        <w:rPr>
          <w:rStyle w:val="italicus"/>
        </w:rPr>
        <w:t>códicis apó</w:t>
      </w:r>
      <w:r w:rsidRPr="00DC4586">
        <w:rPr>
          <w:rStyle w:val="italicus"/>
        </w:rPr>
        <w:t>cryphi Novi Te</w:t>
      </w:r>
      <w:r>
        <w:rPr>
          <w:rStyle w:val="italicus"/>
        </w:rPr>
        <w:t>staménti Fabriciá</w:t>
      </w:r>
      <w:r w:rsidRPr="00DC4586">
        <w:rPr>
          <w:rStyle w:val="italicus"/>
        </w:rPr>
        <w:t>ni</w:t>
      </w:r>
      <w:r>
        <w:rPr>
          <w:rStyle w:val="italicus"/>
        </w:rPr>
        <w:t xml:space="preserve">, </w:t>
      </w:r>
      <w:r w:rsidRPr="00C8701B">
        <w:rPr>
          <w:rFonts w:eastAsia="Arial Unicode MS"/>
          <w:bCs/>
          <w:lang w:eastAsia="fr-FR" w:bidi="he-IL"/>
        </w:rPr>
        <w:t>Copenhague</w:t>
      </w:r>
      <w:r>
        <w:rPr>
          <w:rFonts w:eastAsia="Arial Unicode MS"/>
          <w:bCs/>
          <w:lang w:eastAsia="fr-FR" w:bidi="he-IL"/>
        </w:rPr>
        <w:t>,</w:t>
      </w:r>
      <w:r w:rsidRPr="00C8701B">
        <w:rPr>
          <w:rFonts w:eastAsia="Arial Unicode MS"/>
          <w:bCs/>
          <w:lang w:eastAsia="fr-FR" w:bidi="he-IL"/>
        </w:rPr>
        <w:t xml:space="preserve"> 1804.</w:t>
      </w:r>
    </w:p>
  </w:footnote>
  <w:footnote w:id="562">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Pr>
          <w:rStyle w:val="italicus"/>
        </w:rPr>
        <w:t>Codex apó</w:t>
      </w:r>
      <w:r w:rsidRPr="00DC4586">
        <w:rPr>
          <w:rStyle w:val="italicus"/>
        </w:rPr>
        <w:t>cryphus Novi Te</w:t>
      </w:r>
      <w:r>
        <w:rPr>
          <w:rStyle w:val="italicus"/>
        </w:rPr>
        <w:t xml:space="preserve">staménti, </w:t>
      </w:r>
      <w:r w:rsidRPr="00C8701B">
        <w:rPr>
          <w:rFonts w:eastAsia="Arial Unicode MS"/>
          <w:bCs/>
          <w:lang w:eastAsia="fr-FR" w:bidi="he-IL"/>
        </w:rPr>
        <w:t>Leipzig 1832</w:t>
      </w:r>
      <w:r>
        <w:rPr>
          <w:rFonts w:eastAsia="Arial Unicode MS"/>
          <w:bCs/>
          <w:lang w:eastAsia="fr-FR" w:bidi="he-IL"/>
        </w:rPr>
        <w:t xml:space="preserve">, </w:t>
      </w:r>
      <w:r w:rsidRPr="00C8701B">
        <w:rPr>
          <w:rFonts w:eastAsia="Arial Unicode MS"/>
          <w:bCs/>
          <w:lang w:eastAsia="fr-FR" w:bidi="he-IL"/>
        </w:rPr>
        <w:t>t. I.</w:t>
      </w:r>
    </w:p>
  </w:footnote>
  <w:footnote w:id="563">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Evangélia apócrypha</w:t>
      </w:r>
      <w:r>
        <w:rPr>
          <w:rStyle w:val="italicus"/>
        </w:rPr>
        <w:t xml:space="preserve">, </w:t>
      </w:r>
      <w:r w:rsidRPr="00DC4586">
        <w:rPr>
          <w:rStyle w:val="italicus"/>
        </w:rPr>
        <w:t>adhíbitis plúrimis cod</w:t>
      </w:r>
      <w:r>
        <w:rPr>
          <w:rStyle w:val="italicus"/>
        </w:rPr>
        <w:t>í</w:t>
      </w:r>
      <w:r w:rsidRPr="00DC4586">
        <w:rPr>
          <w:rStyle w:val="italicus"/>
        </w:rPr>
        <w:t>cibus</w:t>
      </w:r>
      <w:r>
        <w:rPr>
          <w:rStyle w:val="italicus"/>
        </w:rPr>
        <w:t xml:space="preserve"> græ</w:t>
      </w:r>
      <w:r w:rsidRPr="00DC4586">
        <w:rPr>
          <w:rStyle w:val="italicus"/>
        </w:rPr>
        <w:t>cis et latínis máximam partem nunc primum consúltis...</w:t>
      </w:r>
      <w:r>
        <w:rPr>
          <w:rStyle w:val="italicus"/>
        </w:rPr>
        <w:t xml:space="preserve">, </w:t>
      </w:r>
      <w:r w:rsidRPr="00C8701B">
        <w:rPr>
          <w:rFonts w:eastAsia="Arial Unicode MS"/>
          <w:bCs/>
          <w:lang w:eastAsia="fr-FR" w:bidi="he-IL"/>
        </w:rPr>
        <w:t>Leipzig 1853.</w:t>
      </w:r>
    </w:p>
  </w:footnote>
  <w:footnote w:id="564">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Les évangiles apocryphes traduits et annotés d’après l’édition de Thilo</w:t>
      </w:r>
      <w:r>
        <w:rPr>
          <w:rStyle w:val="italicus"/>
        </w:rPr>
        <w:t xml:space="preserve">, </w:t>
      </w:r>
      <w:r>
        <w:rPr>
          <w:rFonts w:eastAsia="Arial Unicode MS"/>
          <w:bCs/>
          <w:lang w:eastAsia="fr-FR" w:bidi="he-IL"/>
        </w:rPr>
        <w:t>Paris 1863 (2</w:t>
      </w:r>
      <w:r w:rsidRPr="00AC13FD">
        <w:rPr>
          <w:rFonts w:eastAsia="Arial Unicode MS"/>
          <w:bCs/>
          <w:vertAlign w:val="superscript"/>
          <w:lang w:eastAsia="fr-FR" w:bidi="he-IL"/>
        </w:rPr>
        <w:t>e</w:t>
      </w:r>
      <w:r>
        <w:rPr>
          <w:rFonts w:eastAsia="Arial Unicode MS"/>
          <w:bCs/>
          <w:lang w:eastAsia="fr-FR" w:bidi="he-IL"/>
        </w:rPr>
        <w:t xml:space="preserve"> </w:t>
      </w:r>
      <w:r w:rsidRPr="00C8701B">
        <w:rPr>
          <w:rFonts w:eastAsia="Arial Unicode MS"/>
          <w:bCs/>
          <w:lang w:eastAsia="fr-FR" w:bidi="he-IL"/>
        </w:rPr>
        <w:t>édition).</w:t>
      </w:r>
    </w:p>
  </w:footnote>
  <w:footnote w:id="565">
    <w:p w:rsidR="00941AA6" w:rsidRPr="00E26E85" w:rsidRDefault="00941AA6">
      <w:pPr>
        <w:pStyle w:val="Notedebasdepage"/>
        <w:rPr>
          <w:lang w:val="de-AT"/>
        </w:rPr>
      </w:pPr>
      <w:r w:rsidRPr="00C406FF">
        <w:rPr>
          <w:rStyle w:val="Appelnotedebasdep"/>
        </w:rPr>
        <w:footnoteRef/>
      </w:r>
      <w:r w:rsidRPr="000819BA">
        <w:rPr>
          <w:rFonts w:eastAsia="Arial Unicode MS"/>
          <w:lang w:val="de-AT" w:eastAsia="fr-FR" w:bidi="he-IL"/>
        </w:rPr>
        <w:t xml:space="preserve"> </w:t>
      </w:r>
      <w:r w:rsidRPr="000819BA">
        <w:rPr>
          <w:rStyle w:val="italicus"/>
          <w:lang w:val="de-AT"/>
        </w:rPr>
        <w:t>Das Leben Jesu nach den Apokryphen im Zusammenhang aus den Quellen erzœhit</w:t>
      </w:r>
      <w:r>
        <w:rPr>
          <w:rStyle w:val="italicus"/>
          <w:lang w:val="de-AT"/>
        </w:rPr>
        <w:t>und wissens</w:t>
      </w:r>
      <w:r w:rsidRPr="000819BA">
        <w:rPr>
          <w:rStyle w:val="italicus"/>
          <w:lang w:val="de-AT"/>
        </w:rPr>
        <w:t xml:space="preserve">chaftlich untersucht, </w:t>
      </w:r>
      <w:r w:rsidRPr="000819BA">
        <w:rPr>
          <w:rFonts w:eastAsia="Arial Unicode MS"/>
          <w:bCs/>
          <w:lang w:val="de-AT" w:eastAsia="fr-FR" w:bidi="he-IL"/>
        </w:rPr>
        <w:t>Leipzig 1851.</w:t>
      </w:r>
    </w:p>
  </w:footnote>
  <w:footnote w:id="566">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Pr>
          <w:rStyle w:val="italicus"/>
        </w:rPr>
        <w:t>Étude</w:t>
      </w:r>
      <w:r w:rsidRPr="00DC4586">
        <w:rPr>
          <w:rStyle w:val="italicus"/>
        </w:rPr>
        <w:t>s sur les Évangiles apocryphes</w:t>
      </w:r>
      <w:r>
        <w:rPr>
          <w:rStyle w:val="italicus"/>
        </w:rPr>
        <w:t xml:space="preserve">, </w:t>
      </w:r>
      <w:r w:rsidRPr="00C8701B">
        <w:rPr>
          <w:rFonts w:eastAsia="Arial Unicode MS"/>
          <w:bCs/>
          <w:lang w:eastAsia="fr-FR" w:bidi="he-IL"/>
        </w:rPr>
        <w:t>Paris 1866. Les tendances sont très rationalistes</w:t>
      </w:r>
      <w:r>
        <w:rPr>
          <w:rFonts w:eastAsia="Arial Unicode MS"/>
          <w:bCs/>
          <w:lang w:eastAsia="fr-FR" w:bidi="he-IL"/>
        </w:rPr>
        <w:t>.</w:t>
      </w:r>
    </w:p>
  </w:footnote>
  <w:footnote w:id="567">
    <w:p w:rsidR="00941AA6" w:rsidRPr="00933C60" w:rsidRDefault="00941AA6" w:rsidP="00224DBF">
      <w:pPr>
        <w:pStyle w:val="Notedebasdepage"/>
      </w:pPr>
      <w:r w:rsidRPr="00C406FF">
        <w:rPr>
          <w:rStyle w:val="Appelnotedebasdep"/>
        </w:rPr>
        <w:footnoteRef/>
      </w:r>
      <w:r w:rsidRPr="00AC13FD">
        <w:rPr>
          <w:rStyle w:val="italicus"/>
        </w:rPr>
        <w:t xml:space="preserve"> Les Évangiles apocryphes ; Histoire littéraire, forme primitive, transformations, </w:t>
      </w:r>
      <w:r w:rsidRPr="00C8701B">
        <w:rPr>
          <w:rFonts w:eastAsia="Arial Unicode MS"/>
          <w:bCs/>
          <w:lang w:eastAsia="fr-FR" w:bidi="he-IL"/>
        </w:rPr>
        <w:t>Paris 1878. Excellent travail.</w:t>
      </w:r>
      <w:r>
        <w:rPr>
          <w:rFonts w:eastAsia="Arial Unicode MS"/>
          <w:bCs/>
          <w:lang w:eastAsia="fr-FR" w:bidi="he-IL"/>
        </w:rPr>
        <w:t xml:space="preserve"> — </w:t>
      </w:r>
      <w:r w:rsidRPr="00C8701B">
        <w:rPr>
          <w:rFonts w:eastAsia="Arial Unicode MS"/>
          <w:bCs/>
          <w:lang w:eastAsia="fr-FR" w:bidi="he-IL"/>
        </w:rPr>
        <w:t>Voyez aussi Tischendorf.</w:t>
      </w:r>
      <w:r>
        <w:rPr>
          <w:rStyle w:val="italicus"/>
        </w:rPr>
        <w:t xml:space="preserve"> De Evangel</w:t>
      </w:r>
      <w:r w:rsidRPr="00DC4586">
        <w:rPr>
          <w:rStyle w:val="italicus"/>
        </w:rPr>
        <w:t>i</w:t>
      </w:r>
      <w:r>
        <w:rPr>
          <w:rStyle w:val="italicus"/>
        </w:rPr>
        <w:t>órum</w:t>
      </w:r>
      <w:r w:rsidRPr="00DC4586">
        <w:rPr>
          <w:rStyle w:val="italicus"/>
        </w:rPr>
        <w:t xml:space="preserve"> apocryph</w:t>
      </w:r>
      <w:r>
        <w:rPr>
          <w:rStyle w:val="italicus"/>
        </w:rPr>
        <w:t>órum</w:t>
      </w:r>
      <w:r w:rsidRPr="00DC4586">
        <w:rPr>
          <w:rStyle w:val="italicus"/>
        </w:rPr>
        <w:t xml:space="preserve"> origine et usu disquis</w:t>
      </w:r>
      <w:r>
        <w:rPr>
          <w:rStyle w:val="italicus"/>
        </w:rPr>
        <w:t>ítio H</w:t>
      </w:r>
      <w:r w:rsidRPr="00DC4586">
        <w:rPr>
          <w:rStyle w:val="italicus"/>
        </w:rPr>
        <w:t>istor.-</w:t>
      </w:r>
      <w:r>
        <w:rPr>
          <w:rStyle w:val="italicus"/>
        </w:rPr>
        <w:t xml:space="preserve">crítica, </w:t>
      </w:r>
      <w:r w:rsidRPr="00C8701B">
        <w:rPr>
          <w:rFonts w:eastAsia="Arial Unicode MS"/>
          <w:bCs/>
          <w:lang w:eastAsia="fr-FR" w:bidi="he-IL"/>
        </w:rPr>
        <w:t>Hag</w:t>
      </w:r>
      <w:r>
        <w:rPr>
          <w:rFonts w:eastAsia="Arial Unicode MS"/>
          <w:bCs/>
          <w:lang w:eastAsia="fr-FR" w:bidi="he-IL"/>
        </w:rPr>
        <w:t>æ</w:t>
      </w:r>
      <w:r w:rsidRPr="00C8701B">
        <w:rPr>
          <w:rFonts w:eastAsia="Arial Unicode MS"/>
          <w:bCs/>
          <w:lang w:eastAsia="fr-FR" w:bidi="he-IL"/>
        </w:rPr>
        <w:t xml:space="preserve"> Comítum 1851 </w:t>
      </w:r>
      <w:r>
        <w:rPr>
          <w:rFonts w:eastAsia="Arial Unicode MS"/>
          <w:bCs/>
          <w:lang w:eastAsia="fr-FR" w:bidi="he-IL"/>
        </w:rPr>
        <w:t xml:space="preserve">; </w:t>
      </w:r>
      <w:r w:rsidRPr="00C8701B">
        <w:rPr>
          <w:rFonts w:eastAsia="Arial Unicode MS"/>
          <w:bCs/>
          <w:lang w:eastAsia="fr-FR" w:bidi="he-IL"/>
        </w:rPr>
        <w:t>Ellicott</w:t>
      </w:r>
      <w:r>
        <w:rPr>
          <w:rFonts w:eastAsia="Arial Unicode MS"/>
          <w:bCs/>
          <w:lang w:eastAsia="fr-FR" w:bidi="he-IL"/>
        </w:rPr>
        <w:t xml:space="preserve">, </w:t>
      </w:r>
      <w:r>
        <w:rPr>
          <w:rStyle w:val="italicus"/>
        </w:rPr>
        <w:t>On the Apocr</w:t>
      </w:r>
      <w:r w:rsidRPr="00DC4586">
        <w:rPr>
          <w:rStyle w:val="italicus"/>
        </w:rPr>
        <w:t>yphal Gospels</w:t>
      </w:r>
      <w:r>
        <w:rPr>
          <w:rFonts w:eastAsia="Arial Unicode MS"/>
          <w:bCs/>
          <w:lang w:eastAsia="fr-FR" w:bidi="he-IL"/>
        </w:rPr>
        <w:t xml:space="preserve">, </w:t>
      </w:r>
      <w:r w:rsidRPr="00C8701B">
        <w:rPr>
          <w:rFonts w:eastAsia="Arial Unicode MS"/>
          <w:bCs/>
          <w:lang w:eastAsia="fr-FR" w:bidi="he-IL"/>
        </w:rPr>
        <w:t>Cambridge-Essay</w:t>
      </w:r>
      <w:r>
        <w:rPr>
          <w:rFonts w:eastAsia="Arial Unicode MS"/>
          <w:bCs/>
          <w:lang w:eastAsia="fr-FR" w:bidi="he-IL"/>
        </w:rPr>
        <w:t xml:space="preserve">s, </w:t>
      </w:r>
      <w:r w:rsidRPr="00C8701B">
        <w:rPr>
          <w:rFonts w:eastAsia="Arial Unicode MS"/>
          <w:bCs/>
          <w:lang w:eastAsia="fr-FR" w:bidi="he-IL"/>
        </w:rPr>
        <w:t>1856 </w:t>
      </w:r>
      <w:r>
        <w:rPr>
          <w:rFonts w:eastAsia="Arial Unicode MS"/>
          <w:bCs/>
          <w:lang w:eastAsia="fr-FR" w:bidi="he-IL"/>
        </w:rPr>
        <w:t xml:space="preserve">; </w:t>
      </w:r>
      <w:r w:rsidRPr="00C8701B">
        <w:rPr>
          <w:rFonts w:eastAsia="Arial Unicode MS"/>
          <w:bCs/>
          <w:lang w:eastAsia="fr-FR" w:bidi="he-IL"/>
        </w:rPr>
        <w:t>Mgr Freppel</w:t>
      </w:r>
      <w:r>
        <w:rPr>
          <w:rFonts w:eastAsia="Arial Unicode MS"/>
          <w:bCs/>
          <w:lang w:eastAsia="fr-FR" w:bidi="he-IL"/>
        </w:rPr>
        <w:t xml:space="preserve">, </w:t>
      </w:r>
      <w:r w:rsidRPr="00DC4586">
        <w:rPr>
          <w:rStyle w:val="italicus"/>
        </w:rPr>
        <w:t>Les Pères apostoliques et leur époque</w:t>
      </w:r>
      <w:r>
        <w:rPr>
          <w:rStyle w:val="italicus"/>
        </w:rPr>
        <w:t xml:space="preserve">, </w:t>
      </w:r>
      <w:r w:rsidRPr="00C8701B">
        <w:rPr>
          <w:rFonts w:eastAsia="Arial Unicode MS"/>
          <w:bCs/>
          <w:lang w:eastAsia="fr-FR" w:bidi="he-IL"/>
        </w:rPr>
        <w:t>Paris 1859</w:t>
      </w:r>
      <w:r>
        <w:rPr>
          <w:rFonts w:eastAsia="Arial Unicode MS"/>
          <w:bCs/>
          <w:lang w:eastAsia="fr-FR" w:bidi="he-IL"/>
        </w:rPr>
        <w:t xml:space="preserve">, </w:t>
      </w:r>
      <w:r w:rsidRPr="00C8701B">
        <w:rPr>
          <w:rFonts w:eastAsia="Arial Unicode MS"/>
          <w:bCs/>
          <w:lang w:eastAsia="fr-FR" w:bidi="he-IL"/>
        </w:rPr>
        <w:t>p. 28-68 </w:t>
      </w:r>
      <w:r>
        <w:rPr>
          <w:rFonts w:eastAsia="Arial Unicode MS"/>
          <w:bCs/>
          <w:lang w:eastAsia="fr-FR" w:bidi="he-IL"/>
        </w:rPr>
        <w:t xml:space="preserve">; </w:t>
      </w:r>
      <w:r w:rsidRPr="00C8701B">
        <w:rPr>
          <w:rFonts w:eastAsia="Arial Unicode MS"/>
          <w:bCs/>
          <w:lang w:eastAsia="fr-FR" w:bidi="he-IL"/>
        </w:rPr>
        <w:t>Kitto</w:t>
      </w:r>
      <w:r>
        <w:rPr>
          <w:rFonts w:eastAsia="Arial Unicode MS"/>
          <w:bCs/>
          <w:lang w:eastAsia="fr-FR" w:bidi="he-IL"/>
        </w:rPr>
        <w:t xml:space="preserve">, </w:t>
      </w:r>
      <w:r w:rsidRPr="00AC13FD">
        <w:rPr>
          <w:rStyle w:val="italicus"/>
        </w:rPr>
        <w:t>Encyclopǽdia of Biblical Literature,</w:t>
      </w:r>
      <w:r>
        <w:rPr>
          <w:rStyle w:val="italicus"/>
        </w:rPr>
        <w:t xml:space="preserve"> </w:t>
      </w:r>
      <w:r w:rsidRPr="00C8701B">
        <w:rPr>
          <w:rFonts w:eastAsia="Arial Unicode MS"/>
          <w:bCs/>
          <w:lang w:eastAsia="fr-FR" w:bidi="he-IL"/>
        </w:rPr>
        <w:t>au mot Gospel</w:t>
      </w:r>
      <w:r>
        <w:rPr>
          <w:rFonts w:eastAsia="Arial Unicode MS"/>
          <w:bCs/>
          <w:lang w:eastAsia="fr-FR" w:bidi="he-IL"/>
        </w:rPr>
        <w:t xml:space="preserve">, </w:t>
      </w:r>
      <w:r w:rsidRPr="00C8701B">
        <w:rPr>
          <w:rFonts w:eastAsia="Arial Unicode MS"/>
          <w:bCs/>
          <w:lang w:eastAsia="fr-FR" w:bidi="he-IL"/>
        </w:rPr>
        <w:t>Spurious</w:t>
      </w:r>
      <w:r>
        <w:rPr>
          <w:rFonts w:eastAsia="Arial Unicode MS"/>
          <w:bCs/>
          <w:lang w:eastAsia="fr-FR" w:bidi="he-IL"/>
        </w:rPr>
        <w:t xml:space="preserve">, </w:t>
      </w:r>
      <w:r w:rsidRPr="00C8701B">
        <w:rPr>
          <w:rFonts w:eastAsia="Arial Unicode MS"/>
          <w:bCs/>
          <w:lang w:eastAsia="fr-FR" w:bidi="he-IL"/>
        </w:rPr>
        <w:t>t. II. p. 162 et SS. </w:t>
      </w:r>
      <w:r>
        <w:rPr>
          <w:rFonts w:eastAsia="Arial Unicode MS"/>
          <w:bCs/>
          <w:lang w:eastAsia="fr-FR" w:bidi="he-IL"/>
        </w:rPr>
        <w:t xml:space="preserve">; </w:t>
      </w:r>
      <w:r w:rsidRPr="00C8701B">
        <w:rPr>
          <w:rFonts w:eastAsia="Arial Unicode MS"/>
          <w:bCs/>
          <w:lang w:val="el-GR" w:eastAsia="fr-FR" w:bidi="he-IL"/>
        </w:rPr>
        <w:t xml:space="preserve">Ν. </w:t>
      </w:r>
      <w:r w:rsidRPr="00C8701B">
        <w:rPr>
          <w:rFonts w:eastAsia="Arial Unicode MS"/>
          <w:bCs/>
          <w:lang w:eastAsia="fr-FR" w:bidi="he-IL"/>
        </w:rPr>
        <w:t xml:space="preserve">M. </w:t>
      </w:r>
      <w:r w:rsidRPr="00224DBF">
        <w:t>Δαμαλάς,</w:t>
      </w:r>
      <w:r w:rsidRPr="00AC13FD">
        <w:t xml:space="preserve"> </w:t>
      </w:r>
      <w:r w:rsidRPr="00895E11">
        <w:t xml:space="preserve">Ἑρμηνεία εἰς τὴν Καίνην Διαθηκήν, Athènes 1876, t. </w:t>
      </w:r>
      <w:r>
        <w:rPr>
          <w:rFonts w:eastAsia="Arial Unicode MS"/>
          <w:bCs/>
          <w:lang w:eastAsia="fr-FR" w:bidi="he-IL"/>
        </w:rPr>
        <w:t>I,</w:t>
      </w:r>
      <w:r>
        <w:rPr>
          <w:rFonts w:eastAsia="Arial Unicode MS"/>
          <w:bCs/>
          <w:lang w:val="el-GR" w:eastAsia="fr-FR" w:bidi="he-IL"/>
        </w:rPr>
        <w:t xml:space="preserve"> </w:t>
      </w:r>
      <w:r w:rsidRPr="00C8701B">
        <w:rPr>
          <w:rFonts w:eastAsia="Arial Unicode MS"/>
          <w:bCs/>
          <w:lang w:eastAsia="fr-FR" w:bidi="he-IL"/>
        </w:rPr>
        <w:t>p. 226 et s</w:t>
      </w:r>
      <w:r>
        <w:rPr>
          <w:rFonts w:eastAsia="Arial Unicode MS"/>
          <w:bCs/>
          <w:lang w:eastAsia="fr-FR" w:bidi="he-IL"/>
        </w:rPr>
        <w:t>s.</w:t>
      </w:r>
      <w:r w:rsidRPr="00C8701B">
        <w:rPr>
          <w:rFonts w:eastAsia="Arial Unicode MS"/>
          <w:bCs/>
          <w:lang w:eastAsia="fr-FR" w:bidi="he-IL"/>
        </w:rPr>
        <w:t> </w:t>
      </w:r>
      <w:r>
        <w:rPr>
          <w:rFonts w:eastAsia="Arial Unicode MS"/>
          <w:bCs/>
          <w:lang w:eastAsia="fr-FR" w:bidi="he-IL"/>
        </w:rPr>
        <w:t xml:space="preserve">; </w:t>
      </w:r>
      <w:r w:rsidRPr="00C8701B">
        <w:rPr>
          <w:rFonts w:eastAsia="Arial Unicode MS"/>
          <w:bCs/>
          <w:lang w:eastAsia="fr-FR" w:bidi="he-IL"/>
        </w:rPr>
        <w:t>Wetzer et</w:t>
      </w:r>
      <w:r>
        <w:rPr>
          <w:rFonts w:eastAsia="Arial Unicode MS"/>
          <w:bCs/>
          <w:lang w:eastAsia="fr-FR" w:bidi="he-IL"/>
        </w:rPr>
        <w:t xml:space="preserve"> </w:t>
      </w:r>
      <w:r w:rsidRPr="00C8701B">
        <w:rPr>
          <w:rFonts w:eastAsia="Arial Unicode MS"/>
          <w:bCs/>
          <w:lang w:eastAsia="fr-FR" w:bidi="he-IL"/>
        </w:rPr>
        <w:t>W</w:t>
      </w:r>
      <w:r>
        <w:rPr>
          <w:rFonts w:eastAsia="Arial Unicode MS"/>
          <w:bCs/>
          <w:lang w:eastAsia="fr-FR" w:bidi="he-IL"/>
        </w:rPr>
        <w:t>el</w:t>
      </w:r>
      <w:r w:rsidRPr="00C8701B">
        <w:rPr>
          <w:rFonts w:eastAsia="Arial Unicode MS"/>
          <w:bCs/>
          <w:lang w:eastAsia="fr-FR" w:bidi="he-IL"/>
        </w:rPr>
        <w:t>te</w:t>
      </w:r>
      <w:r>
        <w:rPr>
          <w:rFonts w:eastAsia="Arial Unicode MS"/>
          <w:bCs/>
          <w:lang w:eastAsia="fr-FR" w:bidi="he-IL"/>
        </w:rPr>
        <w:t xml:space="preserve">, </w:t>
      </w:r>
      <w:r w:rsidRPr="00DC4586">
        <w:rPr>
          <w:rStyle w:val="italicus"/>
        </w:rPr>
        <w:t>Kirchenlexikon</w:t>
      </w:r>
      <w:r>
        <w:rPr>
          <w:rStyle w:val="italicus"/>
        </w:rPr>
        <w:t xml:space="preserve">, </w:t>
      </w:r>
      <w:r w:rsidRPr="00C8701B">
        <w:rPr>
          <w:rFonts w:eastAsia="Arial Unicode MS"/>
          <w:bCs/>
          <w:lang w:eastAsia="fr-FR" w:bidi="he-IL"/>
        </w:rPr>
        <w:t>2</w:t>
      </w:r>
      <w:r w:rsidRPr="00AC13FD">
        <w:rPr>
          <w:rFonts w:eastAsia="Arial Unicode MS"/>
          <w:bCs/>
          <w:vertAlign w:val="superscript"/>
          <w:lang w:eastAsia="fr-FR" w:bidi="he-IL"/>
        </w:rPr>
        <w:t>e</w:t>
      </w:r>
      <w:r>
        <w:rPr>
          <w:rFonts w:eastAsia="Arial Unicode MS"/>
          <w:bCs/>
          <w:lang w:eastAsia="fr-FR" w:bidi="he-IL"/>
        </w:rPr>
        <w:t xml:space="preserve"> </w:t>
      </w:r>
      <w:r w:rsidRPr="00C8701B">
        <w:rPr>
          <w:rFonts w:eastAsia="Arial Unicode MS"/>
          <w:bCs/>
          <w:lang w:eastAsia="fr-FR" w:bidi="he-IL"/>
        </w:rPr>
        <w:t>édit.</w:t>
      </w:r>
      <w:r>
        <w:rPr>
          <w:rFonts w:eastAsia="Arial Unicode MS"/>
          <w:bCs/>
          <w:lang w:eastAsia="fr-FR" w:bidi="he-IL"/>
        </w:rPr>
        <w:t xml:space="preserve">, </w:t>
      </w:r>
      <w:r w:rsidRPr="00C8701B">
        <w:rPr>
          <w:rFonts w:eastAsia="Arial Unicode MS"/>
          <w:bCs/>
          <w:lang w:eastAsia="fr-FR" w:bidi="he-IL"/>
        </w:rPr>
        <w:t>t. I</w:t>
      </w:r>
      <w:r>
        <w:rPr>
          <w:rFonts w:eastAsia="Arial Unicode MS"/>
          <w:bCs/>
          <w:lang w:eastAsia="fr-FR" w:bidi="he-IL"/>
        </w:rPr>
        <w:t xml:space="preserve">, </w:t>
      </w:r>
      <w:r w:rsidRPr="00C8701B">
        <w:rPr>
          <w:rFonts w:eastAsia="Arial Unicode MS"/>
          <w:bCs/>
          <w:lang w:eastAsia="fr-FR" w:bidi="he-IL"/>
        </w:rPr>
        <w:t>col. 1067</w:t>
      </w:r>
      <w:r>
        <w:rPr>
          <w:rFonts w:eastAsia="Arial Unicode MS"/>
          <w:bCs/>
          <w:lang w:eastAsia="fr-FR" w:bidi="he-IL"/>
        </w:rPr>
        <w:t xml:space="preserve"> et ss.</w:t>
      </w:r>
      <w:r w:rsidRPr="00C8701B">
        <w:rPr>
          <w:rFonts w:eastAsia="Arial Unicode MS"/>
          <w:bCs/>
          <w:lang w:eastAsia="fr-FR" w:bidi="he-IL"/>
        </w:rPr>
        <w:t> </w:t>
      </w:r>
      <w:r>
        <w:rPr>
          <w:rFonts w:eastAsia="Arial Unicode MS"/>
          <w:bCs/>
          <w:lang w:eastAsia="fr-FR" w:bidi="he-IL"/>
        </w:rPr>
        <w:t xml:space="preserve">; </w:t>
      </w:r>
      <w:r w:rsidRPr="00C8701B">
        <w:rPr>
          <w:rFonts w:eastAsia="Arial Unicode MS"/>
          <w:bCs/>
          <w:lang w:eastAsia="fr-FR" w:bidi="he-IL"/>
        </w:rPr>
        <w:t>F. Vigo</w:t>
      </w:r>
      <w:r>
        <w:rPr>
          <w:rFonts w:eastAsia="Arial Unicode MS"/>
          <w:bCs/>
          <w:lang w:eastAsia="fr-FR" w:bidi="he-IL"/>
        </w:rPr>
        <w:t>u</w:t>
      </w:r>
      <w:r w:rsidRPr="00C8701B">
        <w:rPr>
          <w:rFonts w:eastAsia="Arial Unicode MS"/>
          <w:bCs/>
          <w:lang w:eastAsia="fr-FR" w:bidi="he-IL"/>
        </w:rPr>
        <w:t>roux</w:t>
      </w:r>
      <w:r>
        <w:rPr>
          <w:rFonts w:eastAsia="Arial Unicode MS"/>
          <w:bCs/>
          <w:lang w:eastAsia="fr-FR" w:bidi="he-IL"/>
        </w:rPr>
        <w:t xml:space="preserve">, </w:t>
      </w:r>
      <w:r w:rsidRPr="00DC4586">
        <w:rPr>
          <w:rStyle w:val="italicus"/>
        </w:rPr>
        <w:t>Manuel biblique</w:t>
      </w:r>
      <w:r>
        <w:rPr>
          <w:rStyle w:val="italicus"/>
        </w:rPr>
        <w:t xml:space="preserve">, </w:t>
      </w:r>
      <w:r w:rsidRPr="00C8701B">
        <w:rPr>
          <w:rFonts w:eastAsia="Arial Unicode MS"/>
          <w:bCs/>
          <w:lang w:eastAsia="fr-FR" w:bidi="he-IL"/>
        </w:rPr>
        <w:t>t. I</w:t>
      </w:r>
      <w:r>
        <w:rPr>
          <w:rFonts w:eastAsia="Arial Unicode MS"/>
          <w:bCs/>
          <w:lang w:eastAsia="fr-FR" w:bidi="he-IL"/>
        </w:rPr>
        <w:t xml:space="preserve">, </w:t>
      </w:r>
      <w:r w:rsidRPr="00C8701B">
        <w:rPr>
          <w:rFonts w:eastAsia="Arial Unicode MS"/>
          <w:bCs/>
          <w:lang w:eastAsia="fr-FR" w:bidi="he-IL"/>
        </w:rPr>
        <w:t>nn. 60-59 </w:t>
      </w:r>
      <w:r>
        <w:rPr>
          <w:rFonts w:eastAsia="Arial Unicode MS"/>
          <w:bCs/>
          <w:lang w:eastAsia="fr-FR" w:bidi="he-IL"/>
        </w:rPr>
        <w:t xml:space="preserve">; </w:t>
      </w:r>
      <w:r w:rsidRPr="00C8701B">
        <w:rPr>
          <w:rFonts w:eastAsia="Arial Unicode MS"/>
          <w:bCs/>
          <w:lang w:eastAsia="fr-FR" w:bidi="he-IL"/>
        </w:rPr>
        <w:t>Cornely</w:t>
      </w:r>
      <w:r>
        <w:rPr>
          <w:rFonts w:eastAsia="Arial Unicode MS"/>
          <w:bCs/>
          <w:lang w:eastAsia="fr-FR" w:bidi="he-IL"/>
        </w:rPr>
        <w:t xml:space="preserve">, </w:t>
      </w:r>
      <w:r w:rsidRPr="00DC4586">
        <w:rPr>
          <w:rStyle w:val="italicus"/>
        </w:rPr>
        <w:t>Hist</w:t>
      </w:r>
      <w:r>
        <w:rPr>
          <w:rStyle w:val="italicus"/>
        </w:rPr>
        <w:t>órica</w:t>
      </w:r>
      <w:r w:rsidRPr="00DC4586">
        <w:rPr>
          <w:rStyle w:val="italicus"/>
        </w:rPr>
        <w:t xml:space="preserve"> et </w:t>
      </w:r>
      <w:r>
        <w:rPr>
          <w:rStyle w:val="italicus"/>
        </w:rPr>
        <w:t>crítica</w:t>
      </w:r>
      <w:r w:rsidRPr="00DC4586">
        <w:rPr>
          <w:rStyle w:val="italicus"/>
        </w:rPr>
        <w:t xml:space="preserve"> Introd</w:t>
      </w:r>
      <w:r>
        <w:rPr>
          <w:rStyle w:val="italicus"/>
        </w:rPr>
        <w:t>úctio</w:t>
      </w:r>
      <w:r w:rsidRPr="00DC4586">
        <w:rPr>
          <w:rStyle w:val="italicus"/>
        </w:rPr>
        <w:t xml:space="preserve"> in </w:t>
      </w:r>
      <w:r>
        <w:rPr>
          <w:rStyle w:val="italicus"/>
        </w:rPr>
        <w:t>utriúsque</w:t>
      </w:r>
      <w:r w:rsidRPr="00DC4586">
        <w:rPr>
          <w:rStyle w:val="italicus"/>
        </w:rPr>
        <w:t xml:space="preserve"> Te</w:t>
      </w:r>
      <w:r>
        <w:rPr>
          <w:rStyle w:val="italicus"/>
        </w:rPr>
        <w:t>staménti</w:t>
      </w:r>
      <w:r w:rsidRPr="00DC4586">
        <w:rPr>
          <w:rStyle w:val="italicus"/>
        </w:rPr>
        <w:t xml:space="preserve"> libres sacros</w:t>
      </w:r>
      <w:r>
        <w:rPr>
          <w:rFonts w:eastAsia="Arial Unicode MS"/>
          <w:bCs/>
          <w:lang w:eastAsia="fr-FR" w:bidi="he-IL"/>
        </w:rPr>
        <w:t xml:space="preserve">, </w:t>
      </w:r>
      <w:r w:rsidRPr="00C8701B">
        <w:rPr>
          <w:rFonts w:eastAsia="Arial Unicode MS"/>
          <w:bCs/>
          <w:lang w:eastAsia="fr-FR" w:bidi="he-IL"/>
        </w:rPr>
        <w:t>Paris 1885</w:t>
      </w:r>
      <w:r>
        <w:rPr>
          <w:rFonts w:eastAsia="Arial Unicode MS"/>
          <w:bCs/>
          <w:lang w:eastAsia="fr-FR" w:bidi="he-IL"/>
        </w:rPr>
        <w:t xml:space="preserve">, </w:t>
      </w:r>
      <w:r w:rsidRPr="00C8701B">
        <w:rPr>
          <w:rFonts w:eastAsia="Arial Unicode MS"/>
          <w:bCs/>
          <w:lang w:eastAsia="fr-FR" w:bidi="he-IL"/>
        </w:rPr>
        <w:t>p. 220 et ss. </w:t>
      </w:r>
      <w:r>
        <w:rPr>
          <w:rFonts w:eastAsia="Arial Unicode MS"/>
          <w:bCs/>
          <w:lang w:eastAsia="fr-FR" w:bidi="he-IL"/>
        </w:rPr>
        <w:t xml:space="preserve">; </w:t>
      </w:r>
      <w:r w:rsidRPr="00C8701B">
        <w:rPr>
          <w:rFonts w:eastAsia="Arial Unicode MS"/>
          <w:bCs/>
          <w:lang w:eastAsia="fr-FR" w:bidi="he-IL"/>
        </w:rPr>
        <w:t>Trochon</w:t>
      </w:r>
      <w:r>
        <w:rPr>
          <w:rFonts w:eastAsia="Arial Unicode MS"/>
          <w:bCs/>
          <w:lang w:eastAsia="fr-FR" w:bidi="he-IL"/>
        </w:rPr>
        <w:t xml:space="preserve">, </w:t>
      </w:r>
      <w:r w:rsidRPr="00DC4586">
        <w:rPr>
          <w:rStyle w:val="italicus"/>
        </w:rPr>
        <w:t>Introduction générale à l</w:t>
      </w:r>
      <w:r>
        <w:rPr>
          <w:rStyle w:val="italicus"/>
        </w:rPr>
        <w:t>a</w:t>
      </w:r>
      <w:r w:rsidRPr="00DC4586">
        <w:rPr>
          <w:rStyle w:val="italicus"/>
        </w:rPr>
        <w:t xml:space="preserve"> Sainte Bible</w:t>
      </w:r>
      <w:r>
        <w:rPr>
          <w:rStyle w:val="italicus"/>
        </w:rPr>
        <w:t xml:space="preserve">, </w:t>
      </w:r>
      <w:r w:rsidRPr="00C8701B">
        <w:rPr>
          <w:rFonts w:eastAsia="Arial Unicode MS"/>
          <w:bCs/>
          <w:lang w:eastAsia="fr-FR" w:bidi="he-IL"/>
        </w:rPr>
        <w:t>Paris</w:t>
      </w:r>
      <w:r>
        <w:rPr>
          <w:rFonts w:eastAsia="Arial Unicode MS"/>
          <w:bCs/>
          <w:lang w:eastAsia="fr-FR" w:bidi="he-IL"/>
        </w:rPr>
        <w:t>,</w:t>
      </w:r>
      <w:r w:rsidRPr="00C8701B">
        <w:rPr>
          <w:rFonts w:eastAsia="Arial Unicode MS"/>
          <w:bCs/>
          <w:lang w:eastAsia="fr-FR" w:bidi="he-IL"/>
        </w:rPr>
        <w:t xml:space="preserve"> </w:t>
      </w:r>
      <w:r>
        <w:rPr>
          <w:rFonts w:eastAsia="Arial Unicode MS"/>
          <w:bCs/>
          <w:lang w:eastAsia="fr-FR" w:bidi="he-IL"/>
        </w:rPr>
        <w:t>18</w:t>
      </w:r>
      <w:r w:rsidRPr="00C8701B">
        <w:rPr>
          <w:rFonts w:eastAsia="Arial Unicode MS"/>
          <w:bCs/>
          <w:lang w:eastAsia="fr-FR" w:bidi="he-IL"/>
        </w:rPr>
        <w:t>86</w:t>
      </w:r>
      <w:r>
        <w:rPr>
          <w:rFonts w:eastAsia="Arial Unicode MS"/>
          <w:bCs/>
          <w:lang w:eastAsia="fr-FR" w:bidi="he-IL"/>
        </w:rPr>
        <w:t xml:space="preserve">, </w:t>
      </w:r>
      <w:r w:rsidRPr="00C8701B">
        <w:rPr>
          <w:rFonts w:eastAsia="Arial Unicode MS"/>
          <w:bCs/>
          <w:lang w:eastAsia="fr-FR" w:bidi="he-IL"/>
        </w:rPr>
        <w:t>t. I</w:t>
      </w:r>
      <w:r>
        <w:rPr>
          <w:rFonts w:eastAsia="Arial Unicode MS"/>
          <w:bCs/>
          <w:lang w:eastAsia="fr-FR" w:bidi="he-IL"/>
        </w:rPr>
        <w:t xml:space="preserve">, </w:t>
      </w:r>
      <w:r w:rsidRPr="00C8701B">
        <w:rPr>
          <w:rFonts w:eastAsia="Arial Unicode MS"/>
          <w:bCs/>
          <w:lang w:eastAsia="fr-FR" w:bidi="he-IL"/>
        </w:rPr>
        <w:t>p. 488</w:t>
      </w:r>
      <w:r>
        <w:rPr>
          <w:rFonts w:eastAsia="Arial Unicode MS"/>
          <w:bCs/>
          <w:lang w:eastAsia="fr-FR" w:bidi="he-IL"/>
        </w:rPr>
        <w:t xml:space="preserve">, </w:t>
      </w:r>
      <w:r w:rsidRPr="00C8701B">
        <w:rPr>
          <w:rFonts w:eastAsia="Arial Unicode MS"/>
          <w:bCs/>
          <w:lang w:eastAsia="fr-FR" w:bidi="he-IL"/>
        </w:rPr>
        <w:t>et ss. </w:t>
      </w:r>
      <w:r>
        <w:rPr>
          <w:rFonts w:eastAsia="Arial Unicode MS"/>
          <w:bCs/>
          <w:lang w:eastAsia="fr-FR" w:bidi="he-IL"/>
        </w:rPr>
        <w:t xml:space="preserve">; </w:t>
      </w:r>
      <w:r w:rsidRPr="00C8701B">
        <w:rPr>
          <w:rFonts w:eastAsia="Arial Unicode MS"/>
          <w:bCs/>
          <w:lang w:eastAsia="fr-FR" w:bidi="he-IL"/>
        </w:rPr>
        <w:t>Corluy</w:t>
      </w:r>
      <w:r>
        <w:rPr>
          <w:rFonts w:eastAsia="Arial Unicode MS"/>
          <w:bCs/>
          <w:lang w:eastAsia="fr-FR" w:bidi="he-IL"/>
        </w:rPr>
        <w:t xml:space="preserve">, </w:t>
      </w:r>
      <w:r w:rsidRPr="00DC4586">
        <w:rPr>
          <w:rStyle w:val="italicus"/>
        </w:rPr>
        <w:t>Les Évangiles apocryphes</w:t>
      </w:r>
      <w:r>
        <w:rPr>
          <w:rStyle w:val="italicus"/>
        </w:rPr>
        <w:t xml:space="preserve">, </w:t>
      </w:r>
      <w:r w:rsidRPr="00C8701B">
        <w:rPr>
          <w:rFonts w:eastAsia="Arial Unicode MS"/>
          <w:bCs/>
          <w:lang w:eastAsia="fr-FR" w:bidi="he-IL"/>
        </w:rPr>
        <w:t>dans</w:t>
      </w:r>
      <w:r w:rsidRPr="00DC4586">
        <w:rPr>
          <w:rStyle w:val="italicus"/>
        </w:rPr>
        <w:t xml:space="preserve"> la Controverse et le Contemporain</w:t>
      </w:r>
      <w:r>
        <w:rPr>
          <w:rStyle w:val="italicus"/>
        </w:rPr>
        <w:t xml:space="preserve">, </w:t>
      </w:r>
      <w:r w:rsidRPr="00C8701B">
        <w:rPr>
          <w:rFonts w:eastAsia="Arial Unicode MS"/>
          <w:bCs/>
          <w:lang w:eastAsia="fr-FR" w:bidi="he-IL"/>
        </w:rPr>
        <w:t>n</w:t>
      </w:r>
      <w:r>
        <w:rPr>
          <w:rFonts w:eastAsia="Arial Unicode MS"/>
          <w:bCs/>
          <w:vertAlign w:val="superscript"/>
          <w:lang w:eastAsia="fr-FR" w:bidi="he-IL"/>
        </w:rPr>
        <w:t>os</w:t>
      </w:r>
      <w:r w:rsidRPr="00C8701B">
        <w:rPr>
          <w:rFonts w:eastAsia="Arial Unicode MS"/>
          <w:bCs/>
          <w:lang w:eastAsia="fr-FR" w:bidi="he-IL"/>
        </w:rPr>
        <w:t xml:space="preserve"> du 15 oct. et du 15</w:t>
      </w:r>
      <w:r>
        <w:rPr>
          <w:rFonts w:eastAsia="Arial Unicode MS"/>
          <w:bCs/>
          <w:lang w:eastAsia="fr-FR" w:bidi="he-IL"/>
        </w:rPr>
        <w:t xml:space="preserve"> </w:t>
      </w:r>
      <w:r w:rsidRPr="00C8701B">
        <w:rPr>
          <w:rFonts w:eastAsia="Arial Unicode MS"/>
          <w:bCs/>
          <w:lang w:eastAsia="fr-FR" w:bidi="he-IL"/>
        </w:rPr>
        <w:t>nov. 1887</w:t>
      </w:r>
      <w:r w:rsidRPr="00736374">
        <w:t>.</w:t>
      </w:r>
    </w:p>
  </w:footnote>
  <w:footnote w:id="568">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 xml:space="preserve">Nous n’avons pas à expliquer ici en détail le sens historique de ce mot. Dérivé du grec </w:t>
      </w:r>
      <w:r w:rsidRPr="00C8701B">
        <w:rPr>
          <w:rFonts w:eastAsia="Arial Unicode MS"/>
          <w:bCs/>
          <w:lang w:val="el-GR" w:eastAsia="fr-FR" w:bidi="he-IL"/>
        </w:rPr>
        <w:t>(</w:t>
      </w:r>
      <w:r>
        <w:rPr>
          <w:rFonts w:eastAsia="Arial Unicode MS"/>
          <w:bCs/>
          <w:lang w:eastAsia="fr-FR" w:bidi="he-IL"/>
        </w:rPr>
        <w:t>ἀ</w:t>
      </w:r>
      <w:r w:rsidRPr="00736374">
        <w:t>π</w:t>
      </w:r>
      <w:r>
        <w:t>ό</w:t>
      </w:r>
      <w:r w:rsidRPr="00736374">
        <w:t xml:space="preserve">κρυφος), et signifiant d’abord </w:t>
      </w:r>
      <w:r w:rsidRPr="00C8701B">
        <w:rPr>
          <w:rFonts w:eastAsia="Arial Unicode MS"/>
          <w:bCs/>
          <w:lang w:eastAsia="fr-FR" w:bidi="he-IL"/>
        </w:rPr>
        <w:t>« caché »</w:t>
      </w:r>
      <w:r>
        <w:rPr>
          <w:rFonts w:eastAsia="Arial Unicode MS"/>
          <w:bCs/>
          <w:lang w:eastAsia="fr-FR" w:bidi="he-IL"/>
        </w:rPr>
        <w:t xml:space="preserve">, </w:t>
      </w:r>
      <w:r w:rsidRPr="00C8701B">
        <w:rPr>
          <w:rFonts w:eastAsia="Arial Unicode MS"/>
          <w:bCs/>
          <w:lang w:eastAsia="fr-FR" w:bidi="he-IL"/>
        </w:rPr>
        <w:t>il devint</w:t>
      </w:r>
      <w:r>
        <w:rPr>
          <w:rFonts w:eastAsia="Arial Unicode MS"/>
          <w:bCs/>
          <w:lang w:eastAsia="fr-FR" w:bidi="he-IL"/>
        </w:rPr>
        <w:t xml:space="preserve">, </w:t>
      </w:r>
      <w:r w:rsidRPr="00C8701B">
        <w:rPr>
          <w:rFonts w:eastAsia="Arial Unicode MS"/>
          <w:bCs/>
          <w:lang w:eastAsia="fr-FR" w:bidi="he-IL"/>
        </w:rPr>
        <w:t>dans le langage chrétien</w:t>
      </w:r>
      <w:r>
        <w:rPr>
          <w:rFonts w:eastAsia="Arial Unicode MS"/>
          <w:bCs/>
          <w:lang w:eastAsia="fr-FR" w:bidi="he-IL"/>
        </w:rPr>
        <w:t xml:space="preserve">, </w:t>
      </w:r>
      <w:r w:rsidRPr="00C8701B">
        <w:rPr>
          <w:rFonts w:eastAsia="Arial Unicode MS"/>
          <w:bCs/>
          <w:lang w:eastAsia="fr-FR" w:bidi="he-IL"/>
        </w:rPr>
        <w:t>opposé à « canonique »</w:t>
      </w:r>
      <w:r>
        <w:rPr>
          <w:rFonts w:eastAsia="Arial Unicode MS"/>
          <w:bCs/>
          <w:lang w:eastAsia="fr-FR" w:bidi="he-IL"/>
        </w:rPr>
        <w:t xml:space="preserve">, </w:t>
      </w:r>
      <w:r w:rsidRPr="00C8701B">
        <w:rPr>
          <w:rFonts w:eastAsia="Arial Unicode MS"/>
          <w:bCs/>
          <w:lang w:eastAsia="fr-FR" w:bidi="he-IL"/>
        </w:rPr>
        <w:t>et servit à désigner les ouvrages exclus du canon sacré</w:t>
      </w:r>
      <w:r>
        <w:rPr>
          <w:rFonts w:eastAsia="Arial Unicode MS"/>
          <w:bCs/>
          <w:lang w:eastAsia="fr-FR" w:bidi="he-IL"/>
        </w:rPr>
        <w:t xml:space="preserve">, </w:t>
      </w:r>
      <w:r w:rsidRPr="00C8701B">
        <w:rPr>
          <w:rFonts w:eastAsia="Arial Unicode MS"/>
          <w:bCs/>
          <w:lang w:eastAsia="fr-FR" w:bidi="he-IL"/>
        </w:rPr>
        <w:t>malgré quelques essais d’introduction.</w:t>
      </w:r>
    </w:p>
  </w:footnote>
  <w:footnote w:id="569">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Luc.</w:t>
      </w:r>
      <w:r>
        <w:rPr>
          <w:rFonts w:eastAsia="Arial Unicode MS"/>
          <w:bCs/>
          <w:lang w:eastAsia="fr-FR" w:bidi="he-IL"/>
        </w:rPr>
        <w:t xml:space="preserve"> I, </w:t>
      </w:r>
      <w:r w:rsidRPr="00C8701B">
        <w:rPr>
          <w:rFonts w:eastAsia="Arial Unicode MS"/>
          <w:bCs/>
          <w:lang w:eastAsia="fr-FR" w:bidi="he-IL"/>
        </w:rPr>
        <w:t>3.</w:t>
      </w:r>
    </w:p>
  </w:footnote>
  <w:footnote w:id="570">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notre commentaire sur l’</w:t>
      </w:r>
      <w:r>
        <w:rPr>
          <w:rFonts w:eastAsia="Arial Unicode MS"/>
          <w:bCs/>
          <w:lang w:eastAsia="fr-FR" w:bidi="he-IL"/>
        </w:rPr>
        <w:t>Évangile</w:t>
      </w:r>
      <w:r w:rsidRPr="00C8701B">
        <w:rPr>
          <w:rFonts w:eastAsia="Arial Unicode MS"/>
          <w:bCs/>
          <w:lang w:eastAsia="fr-FR" w:bidi="he-IL"/>
        </w:rPr>
        <w:t xml:space="preserve"> selon S. Luc</w:t>
      </w:r>
      <w:r>
        <w:rPr>
          <w:rFonts w:eastAsia="Arial Unicode MS"/>
          <w:bCs/>
          <w:lang w:eastAsia="fr-FR" w:bidi="he-IL"/>
        </w:rPr>
        <w:t xml:space="preserve">, </w:t>
      </w:r>
      <w:r w:rsidRPr="00C8701B">
        <w:rPr>
          <w:rFonts w:eastAsia="Arial Unicode MS"/>
          <w:bCs/>
          <w:lang w:eastAsia="fr-FR" w:bidi="he-IL"/>
        </w:rPr>
        <w:t>p. 27-30.</w:t>
      </w:r>
    </w:p>
  </w:footnote>
  <w:footnote w:id="571">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Corluy</w:t>
      </w:r>
      <w:r>
        <w:rPr>
          <w:rFonts w:eastAsia="Arial Unicode MS"/>
          <w:bCs/>
          <w:lang w:eastAsia="fr-FR" w:bidi="he-IL"/>
        </w:rPr>
        <w:t xml:space="preserve">, </w:t>
      </w:r>
      <w:r w:rsidRPr="00DC4586">
        <w:rPr>
          <w:rStyle w:val="italicus"/>
        </w:rPr>
        <w:t>La Controverse</w:t>
      </w:r>
      <w:r>
        <w:rPr>
          <w:rFonts w:eastAsia="Arial Unicode MS"/>
          <w:bCs/>
          <w:lang w:eastAsia="fr-FR" w:bidi="he-IL"/>
        </w:rPr>
        <w:t xml:space="preserve">, </w:t>
      </w:r>
      <w:r w:rsidRPr="00C8701B">
        <w:rPr>
          <w:rFonts w:eastAsia="Arial Unicode MS"/>
          <w:bCs/>
          <w:lang w:eastAsia="fr-FR" w:bidi="he-IL"/>
        </w:rPr>
        <w:t>15 nov. 1887</w:t>
      </w:r>
      <w:r>
        <w:rPr>
          <w:rFonts w:eastAsia="Arial Unicode MS"/>
          <w:bCs/>
          <w:lang w:eastAsia="fr-FR" w:bidi="he-IL"/>
        </w:rPr>
        <w:t xml:space="preserve">, </w:t>
      </w:r>
      <w:r w:rsidRPr="00C8701B">
        <w:rPr>
          <w:rFonts w:eastAsia="Arial Unicode MS"/>
          <w:bCs/>
          <w:lang w:eastAsia="fr-FR" w:bidi="he-IL"/>
        </w:rPr>
        <w:t>p. 324.</w:t>
      </w:r>
    </w:p>
  </w:footnote>
  <w:footnote w:id="572">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Pr>
          <w:rStyle w:val="italicus"/>
        </w:rPr>
        <w:t>Hær</w:t>
      </w:r>
      <w:r w:rsidRPr="00DC4586">
        <w:rPr>
          <w:rStyle w:val="italicus"/>
        </w:rPr>
        <w:t>.</w:t>
      </w:r>
      <w:r w:rsidRPr="00C8701B">
        <w:rPr>
          <w:rFonts w:eastAsia="Arial Unicode MS"/>
          <w:bCs/>
          <w:lang w:eastAsia="fr-FR" w:bidi="he-IL"/>
        </w:rPr>
        <w:t xml:space="preserve"> </w:t>
      </w:r>
      <w:r>
        <w:rPr>
          <w:rFonts w:eastAsia="Arial Unicode MS"/>
          <w:bCs/>
          <w:lang w:eastAsia="fr-FR" w:bidi="he-IL"/>
        </w:rPr>
        <w:t xml:space="preserve">XXVI, </w:t>
      </w:r>
      <w:r w:rsidRPr="00C8701B">
        <w:rPr>
          <w:rFonts w:eastAsia="Arial Unicode MS"/>
          <w:bCs/>
          <w:lang w:eastAsia="fr-FR" w:bidi="he-IL"/>
        </w:rPr>
        <w:t>8</w:t>
      </w:r>
      <w:r>
        <w:rPr>
          <w:rFonts w:eastAsia="Arial Unicode MS"/>
          <w:bCs/>
          <w:lang w:eastAsia="fr-FR" w:bidi="he-IL"/>
        </w:rPr>
        <w:t xml:space="preserve">, </w:t>
      </w:r>
      <w:r w:rsidRPr="00C8701B">
        <w:rPr>
          <w:rFonts w:eastAsia="Arial Unicode MS"/>
          <w:bCs/>
          <w:lang w:eastAsia="fr-FR" w:bidi="he-IL"/>
        </w:rPr>
        <w:t xml:space="preserve">12. Le grec dit </w:t>
      </w:r>
      <w:r w:rsidRPr="00C8701B">
        <w:rPr>
          <w:rFonts w:eastAsia="Arial Unicode MS"/>
          <w:bCs/>
          <w:lang w:val="el-GR" w:eastAsia="fr-FR" w:bidi="he-IL"/>
        </w:rPr>
        <w:t>μυρ</w:t>
      </w:r>
      <w:r>
        <w:rPr>
          <w:rFonts w:eastAsia="Arial Unicode MS"/>
          <w:bCs/>
          <w:lang w:val="el-GR" w:eastAsia="fr-FR" w:bidi="he-IL"/>
        </w:rPr>
        <w:t xml:space="preserve">ία, </w:t>
      </w:r>
      <w:r w:rsidRPr="00C8701B">
        <w:rPr>
          <w:rFonts w:eastAsia="Arial Unicode MS"/>
          <w:bCs/>
          <w:lang w:eastAsia="fr-FR" w:bidi="he-IL"/>
        </w:rPr>
        <w:t>dix mille.</w:t>
      </w:r>
    </w:p>
  </w:footnote>
  <w:footnote w:id="573">
    <w:p w:rsidR="00941AA6" w:rsidRPr="00E26E85" w:rsidRDefault="00941AA6">
      <w:pPr>
        <w:pStyle w:val="Notedebasdepage"/>
      </w:pPr>
      <w:r>
        <w:rPr>
          <w:rStyle w:val="Appelnotedebasdep"/>
        </w:rPr>
        <w:footnoteRef/>
      </w:r>
      <w:r w:rsidRPr="00C8701B">
        <w:rPr>
          <w:rFonts w:eastAsia="Arial Unicode MS"/>
          <w:lang w:eastAsia="fr-FR" w:bidi="he-IL"/>
        </w:rPr>
        <w:t xml:space="preserve"> </w:t>
      </w:r>
      <w:r w:rsidRPr="00C8701B">
        <w:rPr>
          <w:rFonts w:eastAsia="Arial Unicode MS"/>
          <w:bCs/>
          <w:lang w:eastAsia="fr-FR" w:bidi="he-IL"/>
        </w:rPr>
        <w:t>Mgr Freppel</w:t>
      </w:r>
      <w:r>
        <w:rPr>
          <w:rFonts w:eastAsia="Arial Unicode MS"/>
          <w:bCs/>
          <w:lang w:eastAsia="fr-FR" w:bidi="he-IL"/>
        </w:rPr>
        <w:t xml:space="preserve">, </w:t>
      </w:r>
      <w:r w:rsidRPr="00DC4586">
        <w:rPr>
          <w:rStyle w:val="italicus"/>
        </w:rPr>
        <w:t>Les Pères apostoliques</w:t>
      </w:r>
      <w:r>
        <w:rPr>
          <w:rStyle w:val="italicus"/>
        </w:rPr>
        <w:t xml:space="preserve">, </w:t>
      </w:r>
      <w:r w:rsidRPr="00C8701B">
        <w:rPr>
          <w:rFonts w:eastAsia="Arial Unicode MS"/>
          <w:bCs/>
          <w:lang w:eastAsia="fr-FR" w:bidi="he-IL"/>
        </w:rPr>
        <w:t>p</w:t>
      </w:r>
      <w:r>
        <w:rPr>
          <w:rFonts w:eastAsia="Arial Unicode MS"/>
          <w:bCs/>
          <w:lang w:eastAsia="fr-FR" w:bidi="he-IL"/>
        </w:rPr>
        <w:t xml:space="preserve">, </w:t>
      </w:r>
      <w:r w:rsidRPr="00C8701B">
        <w:rPr>
          <w:rFonts w:eastAsia="Arial Unicode MS"/>
          <w:bCs/>
          <w:lang w:eastAsia="fr-FR" w:bidi="he-IL"/>
        </w:rPr>
        <w:t>33. Voyez des notes intéressantes sur cette première catégorie des évangiles apocryphes dans Westcott</w:t>
      </w:r>
      <w:r>
        <w:rPr>
          <w:rFonts w:eastAsia="Arial Unicode MS"/>
          <w:bCs/>
          <w:lang w:eastAsia="fr-FR" w:bidi="he-IL"/>
        </w:rPr>
        <w:t xml:space="preserve">, </w:t>
      </w:r>
      <w:r>
        <w:rPr>
          <w:rStyle w:val="italicus"/>
        </w:rPr>
        <w:t>An</w:t>
      </w:r>
      <w:r w:rsidRPr="00DC4586">
        <w:rPr>
          <w:rStyle w:val="italicus"/>
        </w:rPr>
        <w:t xml:space="preserve"> Introduction to the Study of the Gospels</w:t>
      </w:r>
      <w:r>
        <w:rPr>
          <w:rStyle w:val="italicus"/>
        </w:rPr>
        <w:t xml:space="preserve">, </w:t>
      </w:r>
      <w:r w:rsidRPr="00C8701B">
        <w:rPr>
          <w:rFonts w:eastAsia="Arial Unicode MS"/>
          <w:bCs/>
          <w:lang w:eastAsia="fr-FR" w:bidi="he-IL"/>
        </w:rPr>
        <w:t>p. 462-473 de la 5</w:t>
      </w:r>
      <w:r w:rsidRPr="00C8701B">
        <w:rPr>
          <w:rFonts w:eastAsia="Arial Unicode MS"/>
          <w:bCs/>
          <w:vertAlign w:val="superscript"/>
          <w:lang w:eastAsia="fr-FR" w:bidi="he-IL"/>
        </w:rPr>
        <w:t>e</w:t>
      </w:r>
      <w:r w:rsidRPr="00C8701B">
        <w:rPr>
          <w:rFonts w:eastAsia="Arial Unicode MS"/>
          <w:bCs/>
          <w:lang w:eastAsia="fr-FR" w:bidi="he-IL"/>
        </w:rPr>
        <w:t xml:space="preserve"> édition</w:t>
      </w:r>
      <w:r>
        <w:rPr>
          <w:rFonts w:eastAsia="Arial Unicode MS"/>
          <w:bCs/>
          <w:lang w:eastAsia="fr-FR" w:bidi="he-IL"/>
        </w:rPr>
        <w:t>.</w:t>
      </w:r>
    </w:p>
  </w:footnote>
  <w:footnote w:id="574">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Page 24.</w:t>
      </w:r>
    </w:p>
  </w:footnote>
  <w:footnote w:id="575">
    <w:p w:rsidR="00941AA6" w:rsidRPr="00933C60" w:rsidRDefault="00941AA6" w:rsidP="00E26E85">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De viris illustr.</w:t>
      </w:r>
      <w:r>
        <w:rPr>
          <w:rFonts w:eastAsia="Arial Unicode MS"/>
          <w:bCs/>
          <w:lang w:eastAsia="fr-FR" w:bidi="he-IL"/>
        </w:rPr>
        <w:t xml:space="preserve">, </w:t>
      </w:r>
      <w:r w:rsidRPr="00C8701B">
        <w:rPr>
          <w:rFonts w:eastAsia="Arial Unicode MS"/>
          <w:bCs/>
          <w:lang w:eastAsia="fr-FR" w:bidi="he-IL"/>
        </w:rPr>
        <w:t>c. 3.</w:t>
      </w:r>
    </w:p>
  </w:footnote>
  <w:footnote w:id="576">
    <w:p w:rsidR="00941AA6" w:rsidRPr="00933C60" w:rsidRDefault="00941AA6">
      <w:pPr>
        <w:pStyle w:val="Notedebasdepage"/>
      </w:pPr>
      <w:r w:rsidRPr="00C406FF">
        <w:rPr>
          <w:rStyle w:val="Appelnotedebasdep"/>
        </w:rPr>
        <w:footnoteRef/>
      </w:r>
      <w:r w:rsidRPr="00736374">
        <w:t xml:space="preserve"> Τὸ ἐπιγραωόμενον τῶν δ</w:t>
      </w:r>
      <w:r>
        <w:t>ώ</w:t>
      </w:r>
      <w:r w:rsidRPr="00736374">
        <w:t>δεκα</w:t>
      </w:r>
      <w:r>
        <w:rPr>
          <w:lang w:val="el-GR"/>
        </w:rPr>
        <w:t xml:space="preserve">, </w:t>
      </w:r>
      <w:r w:rsidRPr="00C8701B">
        <w:t>dit Théophylacte</w:t>
      </w:r>
      <w:r>
        <w:t xml:space="preserve">, </w:t>
      </w:r>
      <w:r w:rsidRPr="00DC4586">
        <w:rPr>
          <w:rStyle w:val="italicus"/>
        </w:rPr>
        <w:t>in Luc.</w:t>
      </w:r>
      <w:r>
        <w:t xml:space="preserve"> </w:t>
      </w:r>
      <w:r w:rsidRPr="000819BA">
        <w:t xml:space="preserve">I, 1. Et le Vén. Bede, </w:t>
      </w:r>
      <w:r w:rsidRPr="000819BA">
        <w:rPr>
          <w:rStyle w:val="italicus"/>
        </w:rPr>
        <w:t xml:space="preserve">ad Luc. </w:t>
      </w:r>
      <w:r>
        <w:t>I</w:t>
      </w:r>
      <w:r w:rsidRPr="000819BA">
        <w:t>, 1 : « Duódecim apostol</w:t>
      </w:r>
      <w:r>
        <w:t>órum</w:t>
      </w:r>
      <w:r w:rsidRPr="000819BA">
        <w:t xml:space="preserve"> título... inscríptum. »</w:t>
      </w:r>
      <w:r>
        <w:t xml:space="preserve"> </w:t>
      </w:r>
      <w:r w:rsidRPr="000819BA">
        <w:t xml:space="preserve">Cf. S. Jérôme, </w:t>
      </w:r>
      <w:r w:rsidRPr="000819BA">
        <w:rPr>
          <w:rStyle w:val="italicus"/>
        </w:rPr>
        <w:t xml:space="preserve">Adv. </w:t>
      </w:r>
      <w:r w:rsidRPr="003A07A7">
        <w:rPr>
          <w:rStyle w:val="italicus"/>
        </w:rPr>
        <w:t>Pelag.</w:t>
      </w:r>
      <w:r w:rsidRPr="003A07A7">
        <w:t xml:space="preserve"> </w:t>
      </w:r>
      <w:r w:rsidRPr="00A74F01">
        <w:rPr>
          <w:lang w:val="en-US"/>
        </w:rPr>
        <w:t xml:space="preserve">III, </w:t>
      </w:r>
      <w:r w:rsidRPr="00736374">
        <w:rPr>
          <w:lang w:val="en-GB"/>
        </w:rPr>
        <w:t xml:space="preserve">2 ; </w:t>
      </w:r>
      <w:r w:rsidRPr="00A74F01">
        <w:rPr>
          <w:rStyle w:val="italicus"/>
          <w:lang w:val="en-US"/>
        </w:rPr>
        <w:t>Proœm. in Matth.</w:t>
      </w:r>
    </w:p>
  </w:footnote>
  <w:footnote w:id="577">
    <w:p w:rsidR="00941AA6" w:rsidRPr="00933C60" w:rsidRDefault="00941AA6">
      <w:pPr>
        <w:pStyle w:val="Notedebasdepage"/>
      </w:pPr>
      <w:r w:rsidRPr="00C406FF">
        <w:rPr>
          <w:rStyle w:val="Appelnotedebasdep"/>
        </w:rPr>
        <w:footnoteRef/>
      </w:r>
      <w:r w:rsidRPr="00E26E85">
        <w:t xml:space="preserve"> </w:t>
      </w:r>
      <w:r w:rsidRPr="00C8701B">
        <w:rPr>
          <w:rFonts w:eastAsia="Arial Unicode MS"/>
          <w:bCs/>
          <w:lang w:val="en-US" w:eastAsia="fr-FR" w:bidi="he-IL"/>
        </w:rPr>
        <w:t>Ap. Euseb.</w:t>
      </w:r>
      <w:r>
        <w:rPr>
          <w:rFonts w:eastAsia="Arial Unicode MS"/>
          <w:bCs/>
          <w:lang w:val="en-US" w:eastAsia="fr-FR" w:bidi="he-IL"/>
        </w:rPr>
        <w:t xml:space="preserve">, </w:t>
      </w:r>
      <w:r w:rsidRPr="00A74F01">
        <w:rPr>
          <w:rStyle w:val="italicus"/>
          <w:lang w:val="en-US"/>
        </w:rPr>
        <w:t xml:space="preserve">Hist. eccl., </w:t>
      </w:r>
      <w:r w:rsidRPr="00C8701B">
        <w:rPr>
          <w:rFonts w:eastAsia="Arial Unicode MS"/>
          <w:bCs/>
          <w:lang w:val="en-US" w:eastAsia="fr-FR" w:bidi="he-IL"/>
        </w:rPr>
        <w:t>III</w:t>
      </w:r>
      <w:r>
        <w:rPr>
          <w:rFonts w:eastAsia="Arial Unicode MS"/>
          <w:bCs/>
          <w:lang w:val="en-US" w:eastAsia="fr-FR" w:bidi="he-IL"/>
        </w:rPr>
        <w:t xml:space="preserve">, </w:t>
      </w:r>
      <w:r w:rsidRPr="00C8701B">
        <w:rPr>
          <w:rFonts w:eastAsia="Arial Unicode MS"/>
          <w:bCs/>
          <w:lang w:val="en-US" w:eastAsia="fr-FR" w:bidi="he-IL"/>
        </w:rPr>
        <w:t>39.</w:t>
      </w:r>
    </w:p>
  </w:footnote>
  <w:footnote w:id="578">
    <w:p w:rsidR="00941AA6" w:rsidRPr="00933C60" w:rsidRDefault="00941AA6">
      <w:pPr>
        <w:pStyle w:val="Notedebasdepage"/>
      </w:pPr>
      <w:r w:rsidRPr="00C406FF">
        <w:rPr>
          <w:rStyle w:val="Appelnotedebasdep"/>
        </w:rPr>
        <w:footnoteRef/>
      </w:r>
      <w:r w:rsidRPr="00C8701B">
        <w:rPr>
          <w:rFonts w:eastAsia="Arial Unicode MS"/>
          <w:lang w:val="en-US" w:eastAsia="fr-FR" w:bidi="he-IL"/>
        </w:rPr>
        <w:t xml:space="preserve"> </w:t>
      </w:r>
      <w:r w:rsidRPr="00A74F01">
        <w:rPr>
          <w:rStyle w:val="italicus"/>
          <w:lang w:val="en-US"/>
        </w:rPr>
        <w:t xml:space="preserve">Epist. ad Smyrn., </w:t>
      </w:r>
      <w:r w:rsidRPr="00C8701B">
        <w:rPr>
          <w:rFonts w:eastAsia="Arial Unicode MS"/>
          <w:bCs/>
          <w:lang w:val="en-US" w:eastAsia="fr-FR" w:bidi="he-IL"/>
        </w:rPr>
        <w:t>3.</w:t>
      </w:r>
    </w:p>
  </w:footnote>
  <w:footnote w:id="579">
    <w:p w:rsidR="00941AA6" w:rsidRPr="00933C60" w:rsidRDefault="00941AA6">
      <w:pPr>
        <w:pStyle w:val="Notedebasdepage"/>
      </w:pPr>
      <w:r w:rsidRPr="00C406FF">
        <w:rPr>
          <w:rStyle w:val="Appelnotedebasdep"/>
        </w:rPr>
        <w:footnoteRef/>
      </w:r>
      <w:r w:rsidRPr="00736374">
        <w:rPr>
          <w:lang w:val="en-GB"/>
        </w:rPr>
        <w:t xml:space="preserve"> </w:t>
      </w:r>
      <w:r w:rsidRPr="00736374">
        <w:rPr>
          <w:rStyle w:val="italicus"/>
          <w:lang w:val="en-GB"/>
        </w:rPr>
        <w:t>Hom.</w:t>
      </w:r>
      <w:r w:rsidRPr="00736374">
        <w:rPr>
          <w:bCs/>
          <w:lang w:val="en-GB"/>
        </w:rPr>
        <w:t xml:space="preserve"> I</w:t>
      </w:r>
      <w:r w:rsidRPr="00736374">
        <w:rPr>
          <w:rStyle w:val="italicus"/>
          <w:lang w:val="en-GB"/>
        </w:rPr>
        <w:t xml:space="preserve"> in Luc.</w:t>
      </w:r>
    </w:p>
  </w:footnote>
  <w:footnote w:id="580">
    <w:p w:rsidR="00941AA6" w:rsidRPr="00933C60" w:rsidRDefault="00941AA6">
      <w:pPr>
        <w:pStyle w:val="Notedebasdepage"/>
      </w:pPr>
      <w:r w:rsidRPr="00C406FF">
        <w:rPr>
          <w:rStyle w:val="Appelnotedebasdep"/>
        </w:rPr>
        <w:footnoteRef/>
      </w:r>
      <w:r w:rsidRPr="00736374">
        <w:rPr>
          <w:rFonts w:eastAsia="Arial Unicode MS"/>
          <w:lang w:val="en-GB" w:eastAsia="fr-FR" w:bidi="he-IL"/>
        </w:rPr>
        <w:t xml:space="preserve"> </w:t>
      </w:r>
      <w:r w:rsidRPr="00736374">
        <w:rPr>
          <w:rStyle w:val="italicus"/>
          <w:lang w:val="en-GB"/>
        </w:rPr>
        <w:t xml:space="preserve">Strom., </w:t>
      </w:r>
      <w:r w:rsidRPr="00736374">
        <w:rPr>
          <w:rFonts w:eastAsia="Arial Unicode MS"/>
          <w:bCs/>
          <w:lang w:val="en-GB" w:eastAsia="fr-FR" w:bidi="he-IL"/>
        </w:rPr>
        <w:t xml:space="preserve">II, 9. </w:t>
      </w:r>
      <w:r w:rsidRPr="00C8701B">
        <w:rPr>
          <w:rFonts w:eastAsia="Arial Unicode MS"/>
          <w:bCs/>
          <w:lang w:eastAsia="fr-FR" w:bidi="he-IL"/>
        </w:rPr>
        <w:t>Voyez aussi S. Jérôme</w:t>
      </w:r>
      <w:r>
        <w:rPr>
          <w:rFonts w:eastAsia="Arial Unicode MS"/>
          <w:bCs/>
          <w:lang w:eastAsia="fr-FR" w:bidi="he-IL"/>
        </w:rPr>
        <w:t xml:space="preserve">, </w:t>
      </w:r>
      <w:r w:rsidRPr="00C8701B">
        <w:rPr>
          <w:rFonts w:eastAsia="Arial Unicode MS"/>
          <w:bCs/>
          <w:lang w:eastAsia="fr-FR" w:bidi="he-IL"/>
        </w:rPr>
        <w:t>De</w:t>
      </w:r>
      <w:r w:rsidRPr="00DC4586">
        <w:rPr>
          <w:rStyle w:val="italicus"/>
        </w:rPr>
        <w:t xml:space="preserve"> viris illustr.</w:t>
      </w:r>
      <w:r>
        <w:rPr>
          <w:rStyle w:val="italicus"/>
        </w:rPr>
        <w:t xml:space="preserve">, </w:t>
      </w:r>
      <w:r w:rsidRPr="00C8701B">
        <w:rPr>
          <w:rFonts w:eastAsia="Arial Unicode MS"/>
          <w:bCs/>
          <w:lang w:eastAsia="fr-FR" w:bidi="he-IL"/>
        </w:rPr>
        <w:t>c. 16 </w:t>
      </w:r>
      <w:r>
        <w:rPr>
          <w:rFonts w:eastAsia="Arial Unicode MS"/>
          <w:bCs/>
          <w:lang w:eastAsia="fr-FR" w:bidi="he-IL"/>
        </w:rPr>
        <w:t xml:space="preserve">; </w:t>
      </w:r>
      <w:r w:rsidRPr="00DC4586">
        <w:rPr>
          <w:rStyle w:val="italicus"/>
        </w:rPr>
        <w:t>Commentar. in Is.</w:t>
      </w:r>
      <w:r w:rsidRPr="00736374">
        <w:t xml:space="preserve"> XI, 1.</w:t>
      </w:r>
    </w:p>
  </w:footnote>
  <w:footnote w:id="581">
    <w:p w:rsidR="00941AA6" w:rsidRPr="00933C60" w:rsidRDefault="00941AA6">
      <w:pPr>
        <w:pStyle w:val="Notedebasdepage"/>
      </w:pPr>
      <w:r w:rsidRPr="00C406FF">
        <w:rPr>
          <w:rStyle w:val="Appelnotedebasdep"/>
        </w:rPr>
        <w:footnoteRef/>
      </w:r>
      <w:r w:rsidRPr="00736374">
        <w:rPr>
          <w:rFonts w:eastAsia="Arial Unicode MS"/>
          <w:lang w:eastAsia="fr-FR" w:bidi="he-IL"/>
        </w:rPr>
        <w:t xml:space="preserve"> </w:t>
      </w:r>
      <w:r w:rsidRPr="00736374">
        <w:rPr>
          <w:rStyle w:val="italicus"/>
        </w:rPr>
        <w:t>Codex pseudepigr. Nov. Testam.,</w:t>
      </w:r>
      <w:r w:rsidRPr="00736374">
        <w:t xml:space="preserve"> t. I, p. </w:t>
      </w:r>
      <w:r w:rsidRPr="00736374">
        <w:rPr>
          <w:rFonts w:eastAsia="Arial Unicode MS"/>
          <w:bCs/>
          <w:lang w:eastAsia="fr-FR" w:bidi="he-IL"/>
        </w:rPr>
        <w:t xml:space="preserve">339-340, 346-349, 351-370. Cf. Hilgenfeld, </w:t>
      </w:r>
      <w:r w:rsidRPr="00736374">
        <w:rPr>
          <w:rStyle w:val="italicus"/>
        </w:rPr>
        <w:t xml:space="preserve">Novum Testaméntum extra cánonem recéptum, </w:t>
      </w:r>
      <w:r w:rsidRPr="00736374">
        <w:rPr>
          <w:rFonts w:eastAsia="Arial Unicode MS"/>
          <w:bCs/>
          <w:lang w:eastAsia="fr-FR" w:bidi="he-IL"/>
        </w:rPr>
        <w:t>p. 3 et ss.</w:t>
      </w:r>
    </w:p>
  </w:footnote>
  <w:footnote w:id="582">
    <w:p w:rsidR="00941AA6" w:rsidRPr="00933C60" w:rsidRDefault="00941AA6">
      <w:pPr>
        <w:pStyle w:val="Notedebasdepage"/>
      </w:pPr>
      <w:r w:rsidRPr="00C406FF">
        <w:rPr>
          <w:rStyle w:val="Appelnotedebasdep"/>
        </w:rPr>
        <w:footnoteRef/>
      </w:r>
      <w:r w:rsidRPr="00A74F01">
        <w:rPr>
          <w:rFonts w:eastAsia="Arial Unicode MS"/>
          <w:lang w:eastAsia="fr-FR" w:bidi="he-IL"/>
        </w:rPr>
        <w:t xml:space="preserve"> </w:t>
      </w:r>
      <w:r w:rsidRPr="00A74F01">
        <w:rPr>
          <w:rFonts w:eastAsia="Arial Unicode MS"/>
          <w:bCs/>
          <w:lang w:eastAsia="fr-FR" w:bidi="he-IL"/>
        </w:rPr>
        <w:t>Page 7-8.</w:t>
      </w:r>
    </w:p>
  </w:footnote>
  <w:footnote w:id="583">
    <w:p w:rsidR="00941AA6" w:rsidRPr="00933C60" w:rsidRDefault="00941AA6">
      <w:pPr>
        <w:pStyle w:val="Notedebasdepage"/>
      </w:pPr>
      <w:r w:rsidRPr="00C406FF">
        <w:rPr>
          <w:rStyle w:val="Appelnotedebasdep"/>
        </w:rPr>
        <w:footnoteRef/>
      </w:r>
      <w:r w:rsidRPr="00A74F01">
        <w:rPr>
          <w:rFonts w:eastAsia="Arial Unicode MS"/>
          <w:lang w:eastAsia="fr-FR" w:bidi="he-IL"/>
        </w:rPr>
        <w:t xml:space="preserve"> </w:t>
      </w:r>
      <w:r w:rsidRPr="00A74F01">
        <w:rPr>
          <w:rFonts w:eastAsia="Arial Unicode MS"/>
          <w:bCs/>
          <w:lang w:eastAsia="fr-FR" w:bidi="he-IL"/>
        </w:rPr>
        <w:t xml:space="preserve">Cf. Epiph., </w:t>
      </w:r>
      <w:r w:rsidRPr="00736374">
        <w:rPr>
          <w:rStyle w:val="italicus"/>
        </w:rPr>
        <w:t>Hær.</w:t>
      </w:r>
      <w:r w:rsidRPr="00A74F01">
        <w:rPr>
          <w:rFonts w:eastAsia="Arial Unicode MS"/>
          <w:bCs/>
          <w:lang w:eastAsia="fr-FR" w:bidi="he-IL"/>
        </w:rPr>
        <w:t xml:space="preserve"> XXVIII, 3 ; XXX, 14 ; II, 7.</w:t>
      </w:r>
    </w:p>
  </w:footnote>
  <w:footnote w:id="584">
    <w:p w:rsidR="00941AA6" w:rsidRPr="00933C60" w:rsidRDefault="00941AA6">
      <w:pPr>
        <w:pStyle w:val="Notedebasdepage"/>
      </w:pPr>
      <w:r w:rsidRPr="00C406FF">
        <w:rPr>
          <w:rStyle w:val="Appelnotedebasdep"/>
        </w:rPr>
        <w:footnoteRef/>
      </w:r>
      <w:r w:rsidRPr="000819BA">
        <w:t xml:space="preserve"> Euseb., </w:t>
      </w:r>
      <w:r w:rsidRPr="000819BA">
        <w:rPr>
          <w:rStyle w:val="italicus"/>
        </w:rPr>
        <w:t xml:space="preserve">Hist. eccl., </w:t>
      </w:r>
      <w:r w:rsidRPr="00736374">
        <w:t>III, 3 ;</w:t>
      </w:r>
      <w:r w:rsidRPr="000819BA">
        <w:t xml:space="preserve"> Orig., </w:t>
      </w:r>
      <w:r w:rsidRPr="000819BA">
        <w:rPr>
          <w:rStyle w:val="italicus"/>
        </w:rPr>
        <w:t>In Matth.</w:t>
      </w:r>
      <w:r w:rsidRPr="000819BA">
        <w:t xml:space="preserve"> </w:t>
      </w:r>
      <w:r w:rsidRPr="00A74F01">
        <w:t xml:space="preserve">X, 17 ; S. Jérôme, </w:t>
      </w:r>
      <w:r w:rsidRPr="00DC4586">
        <w:rPr>
          <w:rStyle w:val="italicus"/>
        </w:rPr>
        <w:t>De viris illustr.</w:t>
      </w:r>
      <w:r>
        <w:rPr>
          <w:rStyle w:val="italicus"/>
        </w:rPr>
        <w:t>,</w:t>
      </w:r>
      <w:r w:rsidRPr="00736374">
        <w:t xml:space="preserve"> c. 41.</w:t>
      </w:r>
      <w:r w:rsidRPr="00A74F01">
        <w:t xml:space="preserve"> Cf. Hilgenfeld, </w:t>
      </w:r>
      <w:r w:rsidRPr="00DC4586">
        <w:rPr>
          <w:rStyle w:val="italicus"/>
        </w:rPr>
        <w:t>loc. cit.</w:t>
      </w:r>
      <w:r>
        <w:rPr>
          <w:rStyle w:val="italicus"/>
        </w:rPr>
        <w:t xml:space="preserve">, </w:t>
      </w:r>
      <w:r w:rsidRPr="00A74F01">
        <w:t>p. 39.</w:t>
      </w:r>
    </w:p>
  </w:footnote>
  <w:footnote w:id="585">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Cf. S. Clément Romain</w:t>
      </w:r>
      <w:r>
        <w:rPr>
          <w:rFonts w:eastAsia="Arial Unicode MS"/>
          <w:bCs/>
          <w:lang w:eastAsia="fr-FR" w:bidi="he-IL"/>
        </w:rPr>
        <w:t xml:space="preserve">, </w:t>
      </w:r>
      <w:r w:rsidRPr="00DC4586">
        <w:rPr>
          <w:rStyle w:val="italicus"/>
        </w:rPr>
        <w:t>Ep.</w:t>
      </w:r>
      <w:r w:rsidRPr="00C8701B">
        <w:rPr>
          <w:rFonts w:eastAsia="Arial Unicode MS"/>
          <w:bCs/>
          <w:lang w:eastAsia="fr-FR" w:bidi="he-IL"/>
        </w:rPr>
        <w:t xml:space="preserve"> 11</w:t>
      </w:r>
      <w:r>
        <w:rPr>
          <w:rFonts w:eastAsia="Arial Unicode MS"/>
          <w:bCs/>
          <w:lang w:eastAsia="fr-FR" w:bidi="he-IL"/>
        </w:rPr>
        <w:t xml:space="preserve">, </w:t>
      </w:r>
      <w:r w:rsidRPr="00C8701B">
        <w:rPr>
          <w:rFonts w:eastAsia="Arial Unicode MS"/>
          <w:bCs/>
          <w:lang w:eastAsia="fr-FR" w:bidi="he-IL"/>
        </w:rPr>
        <w:t>12 </w:t>
      </w:r>
      <w:r>
        <w:rPr>
          <w:rFonts w:eastAsia="Arial Unicode MS"/>
          <w:bCs/>
          <w:lang w:eastAsia="fr-FR" w:bidi="he-IL"/>
        </w:rPr>
        <w:t xml:space="preserve">; </w:t>
      </w:r>
      <w:r w:rsidRPr="00C8701B">
        <w:rPr>
          <w:rFonts w:eastAsia="Arial Unicode MS"/>
          <w:bCs/>
          <w:lang w:eastAsia="fr-FR" w:bidi="he-IL"/>
        </w:rPr>
        <w:t>Clément d’Alex.</w:t>
      </w:r>
      <w:r>
        <w:rPr>
          <w:rFonts w:eastAsia="Arial Unicode MS"/>
          <w:bCs/>
          <w:lang w:eastAsia="fr-FR" w:bidi="he-IL"/>
        </w:rPr>
        <w:t xml:space="preserve">, </w:t>
      </w:r>
      <w:r w:rsidRPr="00DC4586">
        <w:rPr>
          <w:rStyle w:val="italicus"/>
        </w:rPr>
        <w:t>Strom.</w:t>
      </w:r>
      <w:r w:rsidRPr="00C8701B">
        <w:rPr>
          <w:rFonts w:eastAsia="Arial Unicode MS"/>
          <w:bCs/>
          <w:lang w:eastAsia="fr-FR" w:bidi="he-IL"/>
        </w:rPr>
        <w:t xml:space="preserve"> III</w:t>
      </w:r>
      <w:r>
        <w:rPr>
          <w:rFonts w:eastAsia="Arial Unicode MS"/>
          <w:bCs/>
          <w:lang w:eastAsia="fr-FR" w:bidi="he-IL"/>
        </w:rPr>
        <w:t xml:space="preserve">, </w:t>
      </w:r>
      <w:r w:rsidRPr="00C8701B">
        <w:rPr>
          <w:rFonts w:eastAsia="Arial Unicode MS"/>
          <w:bCs/>
          <w:lang w:eastAsia="fr-FR" w:bidi="he-IL"/>
        </w:rPr>
        <w:t>9</w:t>
      </w:r>
      <w:r>
        <w:rPr>
          <w:rFonts w:eastAsia="Arial Unicode MS"/>
          <w:bCs/>
          <w:lang w:eastAsia="fr-FR" w:bidi="he-IL"/>
        </w:rPr>
        <w:t xml:space="preserve">, </w:t>
      </w:r>
      <w:r w:rsidRPr="00C8701B">
        <w:rPr>
          <w:rFonts w:eastAsia="Arial Unicode MS"/>
          <w:bCs/>
          <w:lang w:eastAsia="fr-FR" w:bidi="he-IL"/>
        </w:rPr>
        <w:t>13 </w:t>
      </w:r>
      <w:r>
        <w:rPr>
          <w:rFonts w:eastAsia="Arial Unicode MS"/>
          <w:bCs/>
          <w:lang w:eastAsia="fr-FR" w:bidi="he-IL"/>
        </w:rPr>
        <w:t xml:space="preserve">; </w:t>
      </w:r>
      <w:r w:rsidRPr="00C8701B">
        <w:rPr>
          <w:rFonts w:eastAsia="Arial Unicode MS"/>
          <w:bCs/>
          <w:lang w:eastAsia="fr-FR" w:bidi="he-IL"/>
        </w:rPr>
        <w:t>S. Epiph.</w:t>
      </w:r>
      <w:r>
        <w:rPr>
          <w:rFonts w:eastAsia="Arial Unicode MS"/>
          <w:bCs/>
          <w:lang w:eastAsia="fr-FR" w:bidi="he-IL"/>
        </w:rPr>
        <w:t xml:space="preserve">, </w:t>
      </w:r>
      <w:r>
        <w:rPr>
          <w:rStyle w:val="italicus"/>
        </w:rPr>
        <w:t>Hær</w:t>
      </w:r>
      <w:r w:rsidRPr="00DC4586">
        <w:rPr>
          <w:rStyle w:val="italicus"/>
        </w:rPr>
        <w:t>.</w:t>
      </w:r>
      <w:r w:rsidRPr="00C8701B">
        <w:rPr>
          <w:rFonts w:eastAsia="Arial Unicode MS"/>
          <w:bCs/>
          <w:lang w:eastAsia="fr-FR" w:bidi="he-IL"/>
        </w:rPr>
        <w:t xml:space="preserve"> </w:t>
      </w:r>
      <w:r>
        <w:rPr>
          <w:rFonts w:eastAsia="Arial Unicode MS"/>
          <w:bCs/>
          <w:lang w:eastAsia="fr-FR" w:bidi="he-IL"/>
        </w:rPr>
        <w:t xml:space="preserve">LXII, </w:t>
      </w:r>
      <w:r w:rsidRPr="00C8701B">
        <w:rPr>
          <w:rFonts w:eastAsia="Arial Unicode MS"/>
          <w:bCs/>
          <w:lang w:eastAsia="fr-FR" w:bidi="he-IL"/>
        </w:rPr>
        <w:t>2 </w:t>
      </w:r>
      <w:r>
        <w:rPr>
          <w:rFonts w:eastAsia="Arial Unicode MS"/>
          <w:bCs/>
          <w:lang w:eastAsia="fr-FR" w:bidi="he-IL"/>
        </w:rPr>
        <w:t xml:space="preserve">; </w:t>
      </w:r>
      <w:r w:rsidRPr="00C8701B">
        <w:rPr>
          <w:rFonts w:eastAsia="Arial Unicode MS"/>
          <w:bCs/>
          <w:lang w:eastAsia="fr-FR" w:bidi="he-IL"/>
        </w:rPr>
        <w:t>Hilgenfeld</w:t>
      </w:r>
      <w:r>
        <w:rPr>
          <w:rFonts w:eastAsia="Arial Unicode MS"/>
          <w:bCs/>
          <w:lang w:eastAsia="fr-FR" w:bidi="he-IL"/>
        </w:rPr>
        <w:t xml:space="preserve">, </w:t>
      </w:r>
      <w:r>
        <w:rPr>
          <w:rStyle w:val="italicus"/>
        </w:rPr>
        <w:t xml:space="preserve">l. </w:t>
      </w:r>
      <w:r w:rsidRPr="00DC4586">
        <w:rPr>
          <w:rStyle w:val="italicus"/>
        </w:rPr>
        <w:t>c.</w:t>
      </w:r>
      <w:r>
        <w:rPr>
          <w:rStyle w:val="italicus"/>
        </w:rPr>
        <w:t xml:space="preserve">, </w:t>
      </w:r>
      <w:r w:rsidRPr="00C8701B">
        <w:rPr>
          <w:rFonts w:eastAsia="Arial Unicode MS"/>
          <w:bCs/>
          <w:lang w:eastAsia="fr-FR" w:bidi="he-IL"/>
        </w:rPr>
        <w:t>p. 43.</w:t>
      </w:r>
    </w:p>
  </w:footnote>
  <w:footnote w:id="586">
    <w:p w:rsidR="00941AA6" w:rsidRPr="00933C60" w:rsidRDefault="00941AA6">
      <w:pPr>
        <w:pStyle w:val="Notedebasdepage"/>
      </w:pPr>
      <w:r w:rsidRPr="00C406FF">
        <w:rPr>
          <w:rStyle w:val="Appelnotedebasdep"/>
        </w:rPr>
        <w:footnoteRef/>
      </w:r>
      <w:r>
        <w:rPr>
          <w:rFonts w:eastAsia="Arial Unicode MS"/>
          <w:bCs/>
          <w:lang w:eastAsia="fr-FR" w:bidi="he-IL"/>
        </w:rPr>
        <w:t xml:space="preserve"> </w:t>
      </w:r>
      <w:r w:rsidRPr="00736374">
        <w:t xml:space="preserve">Brunet, </w:t>
      </w:r>
      <w:r w:rsidRPr="00736374">
        <w:rPr>
          <w:rStyle w:val="italicus"/>
        </w:rPr>
        <w:t>Les évangiles apocryphes,</w:t>
      </w:r>
      <w:r w:rsidRPr="00736374">
        <w:t xml:space="preserve"> p. </w:t>
      </w:r>
      <w:r>
        <w:t>III</w:t>
      </w:r>
      <w:r w:rsidRPr="00736374">
        <w:t xml:space="preserve">-IV. Cf. Variot, </w:t>
      </w:r>
      <w:r w:rsidRPr="00736374">
        <w:rPr>
          <w:rStyle w:val="italicus"/>
        </w:rPr>
        <w:t xml:space="preserve">Les évangiles apocryphes, </w:t>
      </w:r>
      <w:r>
        <w:t xml:space="preserve">p. </w:t>
      </w:r>
      <w:r w:rsidRPr="00736374">
        <w:t>218 et ss.</w:t>
      </w:r>
    </w:p>
  </w:footnote>
  <w:footnote w:id="587">
    <w:p w:rsidR="00941AA6" w:rsidRPr="00933C60" w:rsidRDefault="00941AA6" w:rsidP="00E26E85">
      <w:pPr>
        <w:pStyle w:val="Notedebasdepage"/>
      </w:pPr>
      <w:r w:rsidRPr="00C406FF">
        <w:rPr>
          <w:rStyle w:val="Appelnotedebasdep"/>
        </w:rPr>
        <w:footnoteRef/>
      </w:r>
      <w:r>
        <w:rPr>
          <w:rFonts w:eastAsia="Arial Unicode MS"/>
          <w:bCs/>
          <w:lang w:eastAsia="fr-FR" w:bidi="he-IL"/>
        </w:rPr>
        <w:t xml:space="preserve"> </w:t>
      </w:r>
      <w:r w:rsidRPr="00C8701B">
        <w:rPr>
          <w:rFonts w:eastAsia="Arial Unicode MS"/>
          <w:bCs/>
          <w:lang w:eastAsia="fr-FR" w:bidi="he-IL"/>
        </w:rPr>
        <w:t>« Certaines expressions empruntées au vocabulaire gnostique ne laissent aucun doute sur les rapports des évangiles apocryphes avec les sectes du second siècle ». Corluy</w:t>
      </w:r>
      <w:r>
        <w:rPr>
          <w:rFonts w:eastAsia="Arial Unicode MS"/>
          <w:bCs/>
          <w:lang w:eastAsia="fr-FR" w:bidi="he-IL"/>
        </w:rPr>
        <w:t xml:space="preserve">, </w:t>
      </w:r>
      <w:r w:rsidRPr="00DC4586">
        <w:rPr>
          <w:rStyle w:val="italicus"/>
        </w:rPr>
        <w:t>La Controverse</w:t>
      </w:r>
      <w:r>
        <w:rPr>
          <w:rStyle w:val="italicus"/>
        </w:rPr>
        <w:t xml:space="preserve">, </w:t>
      </w:r>
      <w:r w:rsidRPr="00C8701B">
        <w:rPr>
          <w:rFonts w:eastAsia="Arial Unicode MS"/>
          <w:bCs/>
          <w:lang w:eastAsia="fr-FR" w:bidi="he-IL"/>
        </w:rPr>
        <w:t>15 nov. 1887</w:t>
      </w:r>
      <w:r>
        <w:rPr>
          <w:rFonts w:eastAsia="Arial Unicode MS"/>
          <w:bCs/>
          <w:lang w:eastAsia="fr-FR" w:bidi="he-IL"/>
        </w:rPr>
        <w:t xml:space="preserve">, </w:t>
      </w:r>
      <w:r w:rsidRPr="00C8701B">
        <w:rPr>
          <w:rFonts w:eastAsia="Arial Unicode MS"/>
          <w:bCs/>
          <w:lang w:eastAsia="fr-FR" w:bidi="he-IL"/>
        </w:rPr>
        <w:t>p. 324.</w:t>
      </w:r>
    </w:p>
  </w:footnote>
  <w:footnote w:id="588">
    <w:p w:rsidR="00941AA6" w:rsidRPr="00933C60" w:rsidRDefault="00941AA6">
      <w:pPr>
        <w:pStyle w:val="Notedebasdepage"/>
      </w:pPr>
      <w:r w:rsidRPr="00C406FF">
        <w:rPr>
          <w:rStyle w:val="Appelnotedebasdep"/>
        </w:rPr>
        <w:footnoteRef/>
      </w:r>
      <w:r>
        <w:rPr>
          <w:rFonts w:eastAsia="Arial Unicode MS"/>
          <w:bCs/>
          <w:lang w:eastAsia="fr-FR" w:bidi="he-IL"/>
        </w:rPr>
        <w:t xml:space="preserve"> </w:t>
      </w:r>
      <w:r w:rsidRPr="00C8701B">
        <w:rPr>
          <w:rFonts w:eastAsia="Arial Unicode MS"/>
          <w:bCs/>
          <w:lang w:eastAsia="fr-FR" w:bidi="he-IL"/>
        </w:rPr>
        <w:t>Tischendorf</w:t>
      </w:r>
      <w:r>
        <w:rPr>
          <w:rFonts w:eastAsia="Arial Unicode MS"/>
          <w:bCs/>
          <w:lang w:eastAsia="fr-FR" w:bidi="he-IL"/>
        </w:rPr>
        <w:t xml:space="preserve">, </w:t>
      </w:r>
      <w:r w:rsidRPr="00DC4586">
        <w:rPr>
          <w:rStyle w:val="italicus"/>
        </w:rPr>
        <w:t>Evangélia apócrypha</w:t>
      </w:r>
      <w:r>
        <w:rPr>
          <w:rStyle w:val="italicus"/>
        </w:rPr>
        <w:t xml:space="preserve">, </w:t>
      </w:r>
      <w:r w:rsidRPr="00C8701B">
        <w:rPr>
          <w:rFonts w:eastAsia="Arial Unicode MS"/>
          <w:bCs/>
          <w:lang w:eastAsia="fr-FR" w:bidi="he-IL"/>
        </w:rPr>
        <w:t>p. 1-49 </w:t>
      </w:r>
      <w:r>
        <w:rPr>
          <w:rFonts w:eastAsia="Arial Unicode MS"/>
          <w:bCs/>
          <w:lang w:eastAsia="fr-FR" w:bidi="he-IL"/>
        </w:rPr>
        <w:t xml:space="preserve">; </w:t>
      </w:r>
      <w:r w:rsidRPr="00C8701B">
        <w:rPr>
          <w:rFonts w:eastAsia="Arial Unicode MS"/>
          <w:bCs/>
          <w:lang w:eastAsia="fr-FR" w:bidi="he-IL"/>
        </w:rPr>
        <w:t>Brunet</w:t>
      </w:r>
      <w:r>
        <w:rPr>
          <w:rFonts w:eastAsia="Arial Unicode MS"/>
          <w:bCs/>
          <w:lang w:eastAsia="fr-FR" w:bidi="he-IL"/>
        </w:rPr>
        <w:t xml:space="preserve">, </w:t>
      </w:r>
      <w:r w:rsidRPr="00DC4586">
        <w:rPr>
          <w:rStyle w:val="italicus"/>
        </w:rPr>
        <w:t>Évangiles apocryphes</w:t>
      </w:r>
      <w:r>
        <w:rPr>
          <w:rStyle w:val="italicus"/>
        </w:rPr>
        <w:t xml:space="preserve">, </w:t>
      </w:r>
      <w:r w:rsidRPr="00C8701B">
        <w:rPr>
          <w:rFonts w:eastAsia="Arial Unicode MS"/>
          <w:bCs/>
          <w:lang w:eastAsia="fr-FR" w:bidi="he-IL"/>
        </w:rPr>
        <w:t>p. 111</w:t>
      </w:r>
      <w:r>
        <w:rPr>
          <w:rFonts w:eastAsia="Arial Unicode MS"/>
          <w:bCs/>
          <w:lang w:eastAsia="fr-FR" w:bidi="he-IL"/>
        </w:rPr>
        <w:t>-</w:t>
      </w:r>
      <w:r w:rsidRPr="00C8701B">
        <w:rPr>
          <w:rFonts w:eastAsia="Arial Unicode MS"/>
          <w:bCs/>
          <w:lang w:eastAsia="fr-FR" w:bidi="he-IL"/>
        </w:rPr>
        <w:t>137.</w:t>
      </w:r>
    </w:p>
  </w:footnote>
  <w:footnote w:id="589">
    <w:p w:rsidR="00941AA6" w:rsidRPr="00933C60" w:rsidRDefault="00941AA6">
      <w:pPr>
        <w:pStyle w:val="Notedebasdepage"/>
      </w:pPr>
      <w:r w:rsidRPr="00C406FF">
        <w:rPr>
          <w:rStyle w:val="Appelnotedebasdep"/>
        </w:rPr>
        <w:footnoteRef/>
      </w:r>
      <w:r w:rsidRPr="00736374">
        <w:rPr>
          <w:bCs/>
        </w:rPr>
        <w:t xml:space="preserve"> </w:t>
      </w:r>
      <w:r w:rsidRPr="00736374">
        <w:rPr>
          <w:rStyle w:val="italicus"/>
        </w:rPr>
        <w:t>Hom. in Matth.</w:t>
      </w:r>
      <w:r w:rsidRPr="00736374">
        <w:rPr>
          <w:bCs/>
        </w:rPr>
        <w:t xml:space="preserve"> X, 17.</w:t>
      </w:r>
    </w:p>
  </w:footnote>
  <w:footnote w:id="590">
    <w:p w:rsidR="00941AA6" w:rsidRPr="00933C60" w:rsidRDefault="00941AA6" w:rsidP="00895E11">
      <w:pPr>
        <w:pStyle w:val="Notedebasdepage"/>
      </w:pPr>
      <w:r w:rsidRPr="00C406FF">
        <w:rPr>
          <w:rStyle w:val="Appelnotedebasdep"/>
        </w:rPr>
        <w:footnoteRef/>
      </w:r>
      <w:r w:rsidRPr="00736374">
        <w:rPr>
          <w:rFonts w:eastAsia="Arial Unicode MS"/>
          <w:bCs/>
          <w:lang w:eastAsia="fr-FR" w:bidi="he-IL"/>
        </w:rPr>
        <w:t xml:space="preserve"> </w:t>
      </w:r>
      <w:r w:rsidRPr="00736374">
        <w:rPr>
          <w:rStyle w:val="italicus"/>
        </w:rPr>
        <w:t xml:space="preserve">Stromat., </w:t>
      </w:r>
      <w:r w:rsidRPr="00736374">
        <w:t xml:space="preserve">VII, 16. Voyez aussi S. </w:t>
      </w:r>
      <w:r w:rsidRPr="00736374">
        <w:rPr>
          <w:rFonts w:eastAsia="Arial Unicode MS"/>
          <w:bCs/>
          <w:lang w:eastAsia="fr-FR" w:bidi="he-IL"/>
        </w:rPr>
        <w:t>Epiph</w:t>
      </w:r>
      <w:r>
        <w:rPr>
          <w:rFonts w:eastAsia="Arial Unicode MS"/>
          <w:bCs/>
          <w:lang w:eastAsia="fr-FR" w:bidi="he-IL"/>
        </w:rPr>
        <w:t>.</w:t>
      </w:r>
      <w:r w:rsidRPr="00736374">
        <w:rPr>
          <w:rFonts w:eastAsia="Arial Unicode MS"/>
          <w:bCs/>
          <w:lang w:eastAsia="fr-FR" w:bidi="he-IL"/>
        </w:rPr>
        <w:t xml:space="preserve">, </w:t>
      </w:r>
      <w:r w:rsidRPr="00736374">
        <w:rPr>
          <w:rStyle w:val="italicus"/>
        </w:rPr>
        <w:t>Hær.</w:t>
      </w:r>
      <w:r w:rsidRPr="00736374">
        <w:rPr>
          <w:rFonts w:eastAsia="Arial Unicode MS"/>
          <w:bCs/>
          <w:lang w:eastAsia="fr-FR" w:bidi="he-IL"/>
        </w:rPr>
        <w:t xml:space="preserve"> LXXIX, 5 ; S. Grég. de Nysse, </w:t>
      </w:r>
      <w:r w:rsidRPr="00736374">
        <w:rPr>
          <w:rStyle w:val="italicus"/>
        </w:rPr>
        <w:t xml:space="preserve">Orat. in diem nat. </w:t>
      </w:r>
      <w:r w:rsidRPr="00DC4586">
        <w:rPr>
          <w:rStyle w:val="italicus"/>
        </w:rPr>
        <w:t>Christi.</w:t>
      </w:r>
    </w:p>
  </w:footnote>
  <w:footnote w:id="591">
    <w:p w:rsidR="00941AA6" w:rsidRPr="00933C60" w:rsidRDefault="00941AA6">
      <w:pPr>
        <w:pStyle w:val="Notedebasdepage"/>
      </w:pPr>
      <w:r w:rsidRPr="00C406FF">
        <w:rPr>
          <w:rStyle w:val="Appelnotedebasdep"/>
        </w:rPr>
        <w:footnoteRef/>
      </w:r>
      <w:r>
        <w:rPr>
          <w:rFonts w:eastAsia="Arial Unicode MS"/>
          <w:bCs/>
          <w:lang w:eastAsia="fr-FR" w:bidi="he-IL"/>
        </w:rPr>
        <w:t xml:space="preserve"> </w:t>
      </w:r>
      <w:r w:rsidRPr="00C8701B">
        <w:rPr>
          <w:rFonts w:eastAsia="Arial Unicode MS"/>
          <w:bCs/>
          <w:lang w:eastAsia="fr-FR" w:bidi="he-IL"/>
        </w:rPr>
        <w:t>D’après la traduction de Brunet.</w:t>
      </w:r>
    </w:p>
  </w:footnote>
  <w:footnote w:id="592">
    <w:p w:rsidR="00941AA6" w:rsidRPr="00933C60" w:rsidRDefault="00941AA6">
      <w:pPr>
        <w:pStyle w:val="Notedebasdepage"/>
      </w:pPr>
      <w:r w:rsidRPr="00C406FF">
        <w:rPr>
          <w:rStyle w:val="Appelnotedebasdep"/>
        </w:rPr>
        <w:footnoteRef/>
      </w:r>
      <w:r>
        <w:rPr>
          <w:rFonts w:eastAsia="Arial Unicode MS"/>
          <w:bCs/>
          <w:lang w:eastAsia="fr-FR" w:bidi="he-IL"/>
        </w:rPr>
        <w:t xml:space="preserve"> </w:t>
      </w:r>
      <w:r w:rsidRPr="00C8701B">
        <w:rPr>
          <w:rFonts w:eastAsia="Arial Unicode MS"/>
          <w:bCs/>
          <w:lang w:eastAsia="fr-FR" w:bidi="he-IL"/>
        </w:rPr>
        <w:t>Quelqu’une des grandes solennités juives.</w:t>
      </w:r>
    </w:p>
  </w:footnote>
  <w:footnote w:id="593">
    <w:p w:rsidR="00941AA6" w:rsidRPr="00933C60" w:rsidRDefault="00941AA6">
      <w:pPr>
        <w:pStyle w:val="Notedebasdepage"/>
      </w:pPr>
      <w:r w:rsidRPr="00C406FF">
        <w:rPr>
          <w:rStyle w:val="Appelnotedebasdep"/>
        </w:rPr>
        <w:footnoteRef/>
      </w:r>
      <w:r w:rsidRPr="00C8701B">
        <w:rPr>
          <w:lang w:val="en-US"/>
        </w:rPr>
        <w:t xml:space="preserve"> </w:t>
      </w:r>
      <w:r w:rsidRPr="00A74F01">
        <w:rPr>
          <w:rStyle w:val="italicus"/>
          <w:lang w:val="en-US"/>
        </w:rPr>
        <w:t>Hom.</w:t>
      </w:r>
      <w:r w:rsidRPr="00C8701B">
        <w:rPr>
          <w:bCs/>
          <w:lang w:val="en-US"/>
        </w:rPr>
        <w:t xml:space="preserve"> </w:t>
      </w:r>
      <w:r>
        <w:rPr>
          <w:bCs/>
          <w:lang w:val="en-US"/>
        </w:rPr>
        <w:t>I</w:t>
      </w:r>
      <w:r w:rsidRPr="00A74F01">
        <w:rPr>
          <w:rStyle w:val="italicus"/>
          <w:lang w:val="en-US"/>
        </w:rPr>
        <w:t xml:space="preserve"> in Luc.</w:t>
      </w:r>
      <w:r w:rsidRPr="00C8701B">
        <w:rPr>
          <w:bCs/>
          <w:lang w:val="en-US"/>
        </w:rPr>
        <w:t xml:space="preserve"> Cf. S. Jérôme</w:t>
      </w:r>
      <w:r>
        <w:rPr>
          <w:bCs/>
          <w:lang w:val="en-US"/>
        </w:rPr>
        <w:t xml:space="preserve">, </w:t>
      </w:r>
      <w:r w:rsidRPr="00A74F01">
        <w:rPr>
          <w:rStyle w:val="italicus"/>
          <w:lang w:val="en-US"/>
        </w:rPr>
        <w:t xml:space="preserve">In, Matth. </w:t>
      </w:r>
      <w:r w:rsidRPr="00736374">
        <w:rPr>
          <w:rStyle w:val="italicus"/>
        </w:rPr>
        <w:t>Prólogus</w:t>
      </w:r>
      <w:r w:rsidRPr="00736374">
        <w:t> ; S. Ambroise,</w:t>
      </w:r>
      <w:r w:rsidRPr="00736374">
        <w:rPr>
          <w:bCs/>
        </w:rPr>
        <w:t xml:space="preserve"> </w:t>
      </w:r>
      <w:r>
        <w:rPr>
          <w:rStyle w:val="italicus"/>
        </w:rPr>
        <w:t>Expos.</w:t>
      </w:r>
      <w:r w:rsidRPr="00736374">
        <w:rPr>
          <w:rStyle w:val="italicus"/>
        </w:rPr>
        <w:t xml:space="preserve"> in Luc. </w:t>
      </w:r>
      <w:r w:rsidRPr="00736374">
        <w:rPr>
          <w:lang w:val="en-GB"/>
        </w:rPr>
        <w:t>I, 1.</w:t>
      </w:r>
    </w:p>
  </w:footnote>
  <w:footnote w:id="594">
    <w:p w:rsidR="00941AA6" w:rsidRPr="00933C60" w:rsidRDefault="00941AA6">
      <w:pPr>
        <w:pStyle w:val="Notedebasdepage"/>
      </w:pPr>
      <w:r w:rsidRPr="00C406FF">
        <w:rPr>
          <w:rStyle w:val="Appelnotedebasdep"/>
        </w:rPr>
        <w:footnoteRef/>
      </w:r>
      <w:r w:rsidRPr="00C8701B">
        <w:rPr>
          <w:rFonts w:eastAsia="Arial Unicode MS"/>
          <w:lang w:val="en-US" w:eastAsia="fr-FR" w:bidi="he-IL"/>
        </w:rPr>
        <w:t xml:space="preserve"> </w:t>
      </w:r>
      <w:r w:rsidRPr="00C8701B">
        <w:rPr>
          <w:rFonts w:eastAsia="Arial Unicode MS"/>
          <w:bCs/>
          <w:lang w:val="en-US" w:eastAsia="fr-FR" w:bidi="he-IL"/>
        </w:rPr>
        <w:t>Voyez Cornely</w:t>
      </w:r>
      <w:r>
        <w:rPr>
          <w:rFonts w:eastAsia="Arial Unicode MS"/>
          <w:bCs/>
          <w:lang w:val="en-US" w:eastAsia="fr-FR" w:bidi="he-IL"/>
        </w:rPr>
        <w:t xml:space="preserve">, </w:t>
      </w:r>
      <w:r w:rsidRPr="00A74F01">
        <w:rPr>
          <w:rStyle w:val="italicus"/>
          <w:lang w:val="en-US"/>
        </w:rPr>
        <w:t xml:space="preserve">Introd., </w:t>
      </w:r>
      <w:r w:rsidRPr="00C8701B">
        <w:rPr>
          <w:rFonts w:eastAsia="Arial Unicode MS"/>
          <w:bCs/>
          <w:lang w:val="en-US" w:eastAsia="fr-FR" w:bidi="he-IL"/>
        </w:rPr>
        <w:t>t. I</w:t>
      </w:r>
      <w:r>
        <w:rPr>
          <w:rFonts w:eastAsia="Arial Unicode MS"/>
          <w:bCs/>
          <w:lang w:val="en-US" w:eastAsia="fr-FR" w:bidi="he-IL"/>
        </w:rPr>
        <w:t xml:space="preserve">, </w:t>
      </w:r>
      <w:r w:rsidRPr="00C8701B">
        <w:rPr>
          <w:rFonts w:eastAsia="Arial Unicode MS"/>
          <w:bCs/>
          <w:lang w:val="en-US" w:eastAsia="fr-FR" w:bidi="he-IL"/>
        </w:rPr>
        <w:t xml:space="preserve">p. 220. </w:t>
      </w:r>
      <w:r w:rsidRPr="00736374">
        <w:rPr>
          <w:rFonts w:eastAsia="Arial Unicode MS"/>
          <w:bCs/>
          <w:lang w:val="en-GB" w:eastAsia="fr-FR" w:bidi="he-IL"/>
        </w:rPr>
        <w:t xml:space="preserve">Cf. Tischendorf, </w:t>
      </w:r>
      <w:r w:rsidRPr="00736374">
        <w:rPr>
          <w:rStyle w:val="italicus"/>
          <w:lang w:val="en-GB"/>
        </w:rPr>
        <w:t xml:space="preserve">l. c., </w:t>
      </w:r>
      <w:r w:rsidRPr="00736374">
        <w:rPr>
          <w:rFonts w:eastAsia="Arial Unicode MS"/>
          <w:bCs/>
          <w:lang w:val="en-GB" w:eastAsia="fr-FR" w:bidi="he-IL"/>
        </w:rPr>
        <w:t xml:space="preserve">p. 134-170 ; Brunet, </w:t>
      </w:r>
      <w:r w:rsidRPr="00736374">
        <w:rPr>
          <w:rStyle w:val="italicus"/>
          <w:lang w:val="en-GB"/>
        </w:rPr>
        <w:t xml:space="preserve">l. c., </w:t>
      </w:r>
      <w:r w:rsidRPr="00736374">
        <w:rPr>
          <w:rFonts w:eastAsia="Arial Unicode MS"/>
          <w:bCs/>
          <w:lang w:val="en-GB" w:eastAsia="fr-FR" w:bidi="he-IL"/>
        </w:rPr>
        <w:t>p. 139-154.</w:t>
      </w:r>
    </w:p>
  </w:footnote>
  <w:footnote w:id="595">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Pr>
          <w:rFonts w:eastAsia="Arial Unicode MS"/>
          <w:bCs/>
          <w:lang w:eastAsia="fr-FR" w:bidi="he-IL"/>
        </w:rPr>
        <w:t>U</w:t>
      </w:r>
      <w:r w:rsidRPr="00C8701B">
        <w:rPr>
          <w:rFonts w:eastAsia="Arial Unicode MS"/>
          <w:bCs/>
          <w:lang w:eastAsia="fr-FR" w:bidi="he-IL"/>
        </w:rPr>
        <w:t>n premier maître</w:t>
      </w:r>
      <w:r>
        <w:rPr>
          <w:rFonts w:eastAsia="Arial Unicode MS"/>
          <w:bCs/>
          <w:lang w:eastAsia="fr-FR" w:bidi="he-IL"/>
        </w:rPr>
        <w:t xml:space="preserve">, </w:t>
      </w:r>
      <w:r w:rsidRPr="00C8701B">
        <w:rPr>
          <w:rFonts w:eastAsia="Arial Unicode MS"/>
          <w:bCs/>
          <w:lang w:eastAsia="fr-FR" w:bidi="he-IL"/>
        </w:rPr>
        <w:t xml:space="preserve">d’après les chap. </w:t>
      </w:r>
      <w:r>
        <w:rPr>
          <w:rFonts w:eastAsia="Arial Unicode MS"/>
          <w:bCs/>
          <w:lang w:eastAsia="fr-FR" w:bidi="he-IL"/>
        </w:rPr>
        <w:t>VI</w:t>
      </w:r>
      <w:r w:rsidRPr="00C8701B">
        <w:rPr>
          <w:rFonts w:eastAsia="Arial Unicode MS"/>
          <w:bCs/>
          <w:lang w:eastAsia="fr-FR" w:bidi="he-IL"/>
        </w:rPr>
        <w:t xml:space="preserve"> et </w:t>
      </w:r>
      <w:r>
        <w:rPr>
          <w:rFonts w:eastAsia="Arial Unicode MS"/>
          <w:bCs/>
          <w:lang w:eastAsia="fr-FR" w:bidi="he-IL"/>
        </w:rPr>
        <w:t xml:space="preserve">VII, </w:t>
      </w:r>
      <w:r w:rsidRPr="00C8701B">
        <w:rPr>
          <w:rFonts w:eastAsia="Arial Unicode MS"/>
          <w:bCs/>
          <w:lang w:eastAsia="fr-FR" w:bidi="he-IL"/>
        </w:rPr>
        <w:t>avait été couvert de confusion par l’enfant.</w:t>
      </w:r>
    </w:p>
  </w:footnote>
  <w:footnote w:id="596">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La première lettre de l’alphabet grec.</w:t>
      </w:r>
    </w:p>
  </w:footnote>
  <w:footnote w:id="597">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La seconde lettre du même alphabet.</w:t>
      </w:r>
    </w:p>
  </w:footnote>
  <w:footnote w:id="598">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Tischendorf</w:t>
      </w:r>
      <w:r>
        <w:rPr>
          <w:rFonts w:eastAsia="Arial Unicode MS"/>
          <w:bCs/>
          <w:lang w:eastAsia="fr-FR" w:bidi="he-IL"/>
        </w:rPr>
        <w:t xml:space="preserve">, </w:t>
      </w:r>
      <w:r>
        <w:rPr>
          <w:rStyle w:val="italicus"/>
        </w:rPr>
        <w:t>Evangélia</w:t>
      </w:r>
      <w:r w:rsidRPr="00DC4586">
        <w:rPr>
          <w:rStyle w:val="italicus"/>
        </w:rPr>
        <w:t>. apócrypha</w:t>
      </w:r>
      <w:r>
        <w:rPr>
          <w:rFonts w:eastAsia="Arial Unicode MS"/>
          <w:bCs/>
          <w:lang w:eastAsia="fr-FR" w:bidi="he-IL"/>
        </w:rPr>
        <w:t xml:space="preserve">, </w:t>
      </w:r>
      <w:r w:rsidRPr="00C8701B">
        <w:rPr>
          <w:rFonts w:eastAsia="Arial Unicode MS"/>
          <w:bCs/>
          <w:lang w:eastAsia="fr-FR" w:bidi="he-IL"/>
        </w:rPr>
        <w:t>p.</w:t>
      </w:r>
      <w:r w:rsidRPr="00C8701B">
        <w:rPr>
          <w:rFonts w:eastAsia="Arial Unicode MS"/>
          <w:lang w:eastAsia="fr-FR" w:bidi="he-IL"/>
        </w:rPr>
        <w:t xml:space="preserve"> </w:t>
      </w:r>
      <w:r>
        <w:rPr>
          <w:rFonts w:eastAsia="Arial Unicode MS"/>
          <w:lang w:eastAsia="fr-FR" w:bidi="he-IL"/>
        </w:rPr>
        <w:t>XXXIV</w:t>
      </w:r>
      <w:r w:rsidRPr="00C8701B">
        <w:rPr>
          <w:rFonts w:eastAsia="Arial Unicode MS"/>
          <w:bCs/>
          <w:lang w:eastAsia="fr-FR" w:bidi="he-IL"/>
        </w:rPr>
        <w:t>-</w:t>
      </w:r>
      <w:r>
        <w:rPr>
          <w:rFonts w:eastAsia="Arial Unicode MS"/>
          <w:bCs/>
          <w:lang w:eastAsia="fr-FR" w:bidi="he-IL"/>
        </w:rPr>
        <w:t xml:space="preserve">XXXVIII, </w:t>
      </w:r>
      <w:r w:rsidRPr="00C8701B">
        <w:rPr>
          <w:rFonts w:eastAsia="Arial Unicode MS"/>
          <w:bCs/>
          <w:lang w:eastAsia="fr-FR" w:bidi="he-IL"/>
        </w:rPr>
        <w:t>115-133 </w:t>
      </w:r>
      <w:r>
        <w:rPr>
          <w:rFonts w:eastAsia="Arial Unicode MS"/>
          <w:bCs/>
          <w:lang w:eastAsia="fr-FR" w:bidi="he-IL"/>
        </w:rPr>
        <w:t xml:space="preserve">; </w:t>
      </w:r>
      <w:r w:rsidRPr="00C8701B">
        <w:rPr>
          <w:rFonts w:eastAsia="Arial Unicode MS"/>
          <w:bCs/>
          <w:lang w:eastAsia="fr-FR" w:bidi="he-IL"/>
        </w:rPr>
        <w:t>Brunet</w:t>
      </w:r>
      <w:r>
        <w:rPr>
          <w:rFonts w:eastAsia="Arial Unicode MS"/>
          <w:bCs/>
          <w:lang w:eastAsia="fr-FR" w:bidi="he-IL"/>
        </w:rPr>
        <w:t xml:space="preserve">, </w:t>
      </w:r>
      <w:r w:rsidRPr="00DC4586">
        <w:rPr>
          <w:rStyle w:val="italicus"/>
        </w:rPr>
        <w:t>Les Évangiles apocryphes</w:t>
      </w:r>
      <w:r>
        <w:rPr>
          <w:rStyle w:val="italicus"/>
        </w:rPr>
        <w:t xml:space="preserve">, </w:t>
      </w:r>
      <w:r w:rsidRPr="00C8701B">
        <w:rPr>
          <w:rFonts w:eastAsia="Arial Unicode MS"/>
          <w:bCs/>
          <w:lang w:eastAsia="fr-FR" w:bidi="he-IL"/>
        </w:rPr>
        <w:t>p. 17-15 </w:t>
      </w:r>
      <w:r>
        <w:rPr>
          <w:rFonts w:eastAsia="Arial Unicode MS"/>
          <w:bCs/>
          <w:lang w:eastAsia="fr-FR" w:bidi="he-IL"/>
        </w:rPr>
        <w:t xml:space="preserve">; </w:t>
      </w:r>
      <w:r w:rsidRPr="00C8701B">
        <w:rPr>
          <w:rFonts w:eastAsia="Arial Unicode MS"/>
          <w:bCs/>
          <w:lang w:eastAsia="fr-FR" w:bidi="he-IL"/>
        </w:rPr>
        <w:t>Thilo</w:t>
      </w:r>
      <w:r>
        <w:rPr>
          <w:rFonts w:eastAsia="Arial Unicode MS"/>
          <w:bCs/>
          <w:lang w:eastAsia="fr-FR" w:bidi="he-IL"/>
        </w:rPr>
        <w:t xml:space="preserve">, </w:t>
      </w:r>
      <w:r w:rsidRPr="00DC4586">
        <w:rPr>
          <w:rStyle w:val="italicus"/>
        </w:rPr>
        <w:t>Codex apocr. N. T.</w:t>
      </w:r>
      <w:r>
        <w:rPr>
          <w:rStyle w:val="italicus"/>
        </w:rPr>
        <w:t xml:space="preserve">, </w:t>
      </w:r>
      <w:r w:rsidRPr="00C8701B">
        <w:rPr>
          <w:rFonts w:eastAsia="Arial Unicode MS"/>
          <w:bCs/>
          <w:lang w:eastAsia="fr-FR" w:bidi="he-IL"/>
        </w:rPr>
        <w:t>p. 3</w:t>
      </w:r>
      <w:r>
        <w:rPr>
          <w:rFonts w:eastAsia="Arial Unicode MS"/>
          <w:bCs/>
          <w:lang w:eastAsia="fr-FR" w:bidi="he-IL"/>
        </w:rPr>
        <w:t xml:space="preserve"> </w:t>
      </w:r>
      <w:r w:rsidRPr="00C8701B">
        <w:rPr>
          <w:rFonts w:eastAsia="Arial Unicode MS"/>
          <w:bCs/>
          <w:lang w:eastAsia="fr-FR" w:bidi="he-IL"/>
        </w:rPr>
        <w:t>et ss.</w:t>
      </w:r>
    </w:p>
  </w:footnote>
  <w:footnote w:id="599">
    <w:p w:rsidR="00941AA6" w:rsidRPr="00933C60" w:rsidRDefault="00941AA6">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Tischendorf</w:t>
      </w:r>
      <w:r>
        <w:rPr>
          <w:rFonts w:eastAsia="Arial Unicode MS"/>
          <w:bCs/>
          <w:lang w:eastAsia="fr-FR" w:bidi="he-IL"/>
        </w:rPr>
        <w:t xml:space="preserve">, </w:t>
      </w:r>
      <w:r w:rsidRPr="00736374">
        <w:rPr>
          <w:rStyle w:val="italicus"/>
        </w:rPr>
        <w:t>l. c.,</w:t>
      </w:r>
      <w:r>
        <w:rPr>
          <w:rFonts w:eastAsia="Arial Unicode MS"/>
          <w:bCs/>
          <w:lang w:eastAsia="fr-FR" w:bidi="he-IL"/>
        </w:rPr>
        <w:t xml:space="preserve"> </w:t>
      </w:r>
      <w:r w:rsidRPr="00C8701B">
        <w:rPr>
          <w:rFonts w:eastAsia="Arial Unicode MS"/>
          <w:bCs/>
          <w:lang w:eastAsia="fr-FR" w:bidi="he-IL"/>
        </w:rPr>
        <w:t>p. 50-105.</w:t>
      </w:r>
    </w:p>
  </w:footnote>
  <w:footnote w:id="600">
    <w:p w:rsidR="00941AA6" w:rsidRPr="00E26E85" w:rsidRDefault="00941AA6">
      <w:pPr>
        <w:pStyle w:val="Notedebasdepage"/>
      </w:pPr>
      <w:r>
        <w:rPr>
          <w:rStyle w:val="Appelnotedebasdep"/>
        </w:rPr>
        <w:footnoteRef/>
      </w:r>
      <w:r w:rsidRPr="00C8701B">
        <w:rPr>
          <w:rFonts w:eastAsia="Arial Unicode MS"/>
          <w:lang w:eastAsia="fr-FR" w:bidi="he-IL"/>
        </w:rPr>
        <w:t xml:space="preserve"> </w:t>
      </w:r>
      <w:r>
        <w:rPr>
          <w:rFonts w:eastAsia="Arial Unicode MS"/>
          <w:bCs/>
          <w:lang w:eastAsia="fr-FR" w:bidi="he-IL"/>
        </w:rPr>
        <w:t xml:space="preserve">J. </w:t>
      </w:r>
      <w:r w:rsidRPr="00C8701B">
        <w:rPr>
          <w:rFonts w:eastAsia="Arial Unicode MS"/>
          <w:bCs/>
          <w:lang w:eastAsia="fr-FR" w:bidi="he-IL"/>
        </w:rPr>
        <w:t>Variot</w:t>
      </w:r>
      <w:r>
        <w:rPr>
          <w:rFonts w:eastAsia="Arial Unicode MS"/>
          <w:bCs/>
          <w:lang w:eastAsia="fr-FR" w:bidi="he-IL"/>
        </w:rPr>
        <w:t xml:space="preserve">, </w:t>
      </w:r>
      <w:r w:rsidRPr="00DC4586">
        <w:rPr>
          <w:rStyle w:val="italicus"/>
        </w:rPr>
        <w:t>Les Évangiles apocryphes</w:t>
      </w:r>
      <w:r>
        <w:rPr>
          <w:rFonts w:eastAsia="Arial Unicode MS"/>
          <w:bCs/>
          <w:lang w:eastAsia="fr-FR" w:bidi="he-IL"/>
        </w:rPr>
        <w:t xml:space="preserve">, </w:t>
      </w:r>
      <w:r w:rsidRPr="00C8701B">
        <w:rPr>
          <w:rFonts w:eastAsia="Arial Unicode MS"/>
          <w:bCs/>
          <w:lang w:eastAsia="fr-FR" w:bidi="he-IL"/>
        </w:rPr>
        <w:t>p. 51.</w:t>
      </w:r>
    </w:p>
  </w:footnote>
  <w:footnote w:id="601">
    <w:p w:rsidR="00941AA6" w:rsidRPr="00933C60" w:rsidRDefault="00941AA6" w:rsidP="00E26E85">
      <w:pPr>
        <w:pStyle w:val="Notedebasdepage"/>
      </w:pPr>
      <w:r w:rsidRPr="00C406FF">
        <w:rPr>
          <w:rStyle w:val="Appelnotedebasdep"/>
        </w:rPr>
        <w:footnoteRef/>
      </w:r>
      <w:r w:rsidRPr="00C8701B">
        <w:rPr>
          <w:rFonts w:eastAsia="Arial Unicode MS"/>
          <w:lang w:eastAsia="fr-FR" w:bidi="he-IL"/>
        </w:rPr>
        <w:t xml:space="preserve"> </w:t>
      </w:r>
      <w:r w:rsidRPr="00DC4586">
        <w:rPr>
          <w:rStyle w:val="italicus"/>
        </w:rPr>
        <w:t xml:space="preserve">Codex </w:t>
      </w:r>
      <w:r>
        <w:rPr>
          <w:rStyle w:val="italicus"/>
        </w:rPr>
        <w:t>apócryphus</w:t>
      </w:r>
      <w:r w:rsidRPr="00DC4586">
        <w:rPr>
          <w:rStyle w:val="italicus"/>
        </w:rPr>
        <w:t xml:space="preserve"> Vet. Te</w:t>
      </w:r>
      <w:r>
        <w:rPr>
          <w:rStyle w:val="italicus"/>
        </w:rPr>
        <w:t xml:space="preserve">staménti, </w:t>
      </w:r>
      <w:r w:rsidRPr="00C8701B">
        <w:rPr>
          <w:rFonts w:eastAsia="Arial Unicode MS"/>
          <w:bCs/>
          <w:lang w:eastAsia="fr-FR" w:bidi="he-IL"/>
        </w:rPr>
        <w:t xml:space="preserve">p. </w:t>
      </w:r>
      <w:r>
        <w:rPr>
          <w:rFonts w:eastAsia="Arial Unicode MS"/>
          <w:bCs/>
          <w:lang w:eastAsia="fr-FR" w:bidi="he-IL"/>
        </w:rPr>
        <w:t>C</w:t>
      </w:r>
      <w:r w:rsidRPr="00C8701B">
        <w:rPr>
          <w:rFonts w:eastAsia="Arial Unicode MS"/>
          <w:bCs/>
          <w:lang w:eastAsia="fr-FR" w:bidi="he-IL"/>
        </w:rPr>
        <w:t>X.</w:t>
      </w:r>
    </w:p>
  </w:footnote>
  <w:footnote w:id="602">
    <w:p w:rsidR="00941AA6" w:rsidRPr="00933C60" w:rsidRDefault="00941AA6" w:rsidP="00E26E85">
      <w:pPr>
        <w:pStyle w:val="Notedebasdepage"/>
      </w:pPr>
      <w:r w:rsidRPr="00C406FF">
        <w:rPr>
          <w:rStyle w:val="Appelnotedebasdep"/>
        </w:rPr>
        <w:footnoteRef/>
      </w:r>
      <w:r w:rsidRPr="00C8701B">
        <w:rPr>
          <w:rFonts w:eastAsia="Arial Unicode MS"/>
          <w:lang w:eastAsia="fr-FR" w:bidi="he-IL"/>
        </w:rPr>
        <w:t xml:space="preserve"> </w:t>
      </w:r>
      <w:r>
        <w:rPr>
          <w:rStyle w:val="italicus"/>
        </w:rPr>
        <w:t>Lo</w:t>
      </w:r>
      <w:r w:rsidRPr="00DC4586">
        <w:rPr>
          <w:rStyle w:val="italicus"/>
        </w:rPr>
        <w:t>c. cit.</w:t>
      </w:r>
      <w:r>
        <w:rPr>
          <w:rStyle w:val="italicus"/>
        </w:rPr>
        <w:t xml:space="preserve">, </w:t>
      </w:r>
      <w:r w:rsidRPr="00C8701B">
        <w:rPr>
          <w:rFonts w:eastAsia="Arial Unicode MS"/>
          <w:bCs/>
          <w:lang w:eastAsia="fr-FR" w:bidi="he-IL"/>
        </w:rPr>
        <w:t>p. 177.</w:t>
      </w:r>
    </w:p>
  </w:footnote>
  <w:footnote w:id="603">
    <w:p w:rsidR="00941AA6" w:rsidRPr="00933C60" w:rsidRDefault="00941AA6" w:rsidP="00E26E85">
      <w:pPr>
        <w:pStyle w:val="Notedebasdepage"/>
      </w:pPr>
      <w:r w:rsidRPr="00C406FF">
        <w:rPr>
          <w:rStyle w:val="Appelnotedebasdep"/>
        </w:rPr>
        <w:footnoteRef/>
      </w:r>
      <w:r w:rsidRPr="001C15F9">
        <w:rPr>
          <w:rFonts w:eastAsia="Arial Unicode MS"/>
          <w:lang w:eastAsia="fr-FR" w:bidi="he-IL"/>
        </w:rPr>
        <w:t xml:space="preserve"> </w:t>
      </w:r>
      <w:r w:rsidRPr="001C15F9">
        <w:rPr>
          <w:rFonts w:eastAsia="Arial Unicode MS"/>
          <w:bCs/>
          <w:lang w:eastAsia="fr-FR" w:bidi="he-IL"/>
        </w:rPr>
        <w:t xml:space="preserve">Tischendorf, </w:t>
      </w:r>
      <w:r w:rsidRPr="001C15F9">
        <w:rPr>
          <w:rStyle w:val="italicus"/>
        </w:rPr>
        <w:t xml:space="preserve">loc. cit., </w:t>
      </w:r>
      <w:r w:rsidRPr="001C15F9">
        <w:rPr>
          <w:rFonts w:eastAsia="Arial Unicode MS"/>
          <w:bCs/>
          <w:lang w:eastAsia="fr-FR" w:bidi="he-IL"/>
        </w:rPr>
        <w:t>p. 104 et 105.</w:t>
      </w:r>
    </w:p>
  </w:footnote>
  <w:footnote w:id="604">
    <w:p w:rsidR="00941AA6" w:rsidRPr="00933C60" w:rsidRDefault="00941AA6" w:rsidP="00E26E85">
      <w:pPr>
        <w:pStyle w:val="Notedebasdepage"/>
      </w:pPr>
      <w:r w:rsidRPr="00C406FF">
        <w:rPr>
          <w:rStyle w:val="Appelnotedebasdep"/>
        </w:rPr>
        <w:footnoteRef/>
      </w:r>
      <w:r w:rsidRPr="001C15F9">
        <w:rPr>
          <w:rFonts w:eastAsia="Arial Unicode MS"/>
          <w:lang w:eastAsia="fr-FR" w:bidi="he-IL"/>
        </w:rPr>
        <w:t xml:space="preserve"> </w:t>
      </w:r>
      <w:r w:rsidRPr="001C15F9">
        <w:rPr>
          <w:rFonts w:eastAsia="Arial Unicode MS"/>
          <w:bCs/>
          <w:lang w:eastAsia="fr-FR" w:bidi="he-IL"/>
        </w:rPr>
        <w:t xml:space="preserve">Cf. Tischendorf, </w:t>
      </w:r>
      <w:r w:rsidRPr="001C15F9">
        <w:rPr>
          <w:rStyle w:val="italicus"/>
        </w:rPr>
        <w:t xml:space="preserve">Evangélia apócrypha, </w:t>
      </w:r>
      <w:r w:rsidRPr="001C15F9">
        <w:rPr>
          <w:rFonts w:eastAsia="Arial Unicode MS"/>
          <w:bCs/>
          <w:lang w:eastAsia="fr-FR" w:bidi="he-IL"/>
        </w:rPr>
        <w:t>p. 106-114.</w:t>
      </w:r>
    </w:p>
  </w:footnote>
  <w:footnote w:id="605">
    <w:p w:rsidR="00941AA6" w:rsidRPr="00E26E85" w:rsidRDefault="00941AA6" w:rsidP="00E26E85">
      <w:pPr>
        <w:pStyle w:val="Notedebasdepage"/>
        <w:rPr>
          <w:lang w:val="de-AT"/>
        </w:rPr>
      </w:pPr>
      <w:r w:rsidRPr="00C406FF">
        <w:rPr>
          <w:rStyle w:val="Appelnotedebasdep"/>
        </w:rPr>
        <w:footnoteRef/>
      </w:r>
      <w:r w:rsidRPr="00736374">
        <w:rPr>
          <w:rFonts w:eastAsia="Arial Unicode MS"/>
          <w:lang w:eastAsia="fr-FR" w:bidi="he-IL"/>
        </w:rPr>
        <w:t xml:space="preserve"> </w:t>
      </w:r>
      <w:r w:rsidRPr="00736374">
        <w:rPr>
          <w:rStyle w:val="italicus"/>
        </w:rPr>
        <w:t>Evangélium de nat</w:t>
      </w:r>
      <w:r>
        <w:rPr>
          <w:rStyle w:val="italicus"/>
        </w:rPr>
        <w:t>ivitáte</w:t>
      </w:r>
      <w:r w:rsidRPr="00736374">
        <w:rPr>
          <w:rStyle w:val="italicus"/>
        </w:rPr>
        <w:t xml:space="preserve"> </w:t>
      </w:r>
      <w:r>
        <w:rPr>
          <w:rStyle w:val="italicus"/>
        </w:rPr>
        <w:t>Maríæ</w:t>
      </w:r>
      <w:r w:rsidRPr="00736374">
        <w:rPr>
          <w:rStyle w:val="italicus"/>
        </w:rPr>
        <w:t xml:space="preserve">, </w:t>
      </w:r>
      <w:r w:rsidRPr="00736374">
        <w:rPr>
          <w:rFonts w:eastAsia="Arial Unicode MS"/>
          <w:bCs/>
          <w:lang w:eastAsia="fr-FR" w:bidi="he-IL"/>
        </w:rPr>
        <w:t xml:space="preserve">ch. </w:t>
      </w:r>
      <w:r>
        <w:rPr>
          <w:rFonts w:eastAsia="Arial Unicode MS"/>
          <w:bCs/>
          <w:lang w:eastAsia="fr-FR" w:bidi="he-IL"/>
        </w:rPr>
        <w:t>IX</w:t>
      </w:r>
      <w:r w:rsidRPr="00C8701B">
        <w:rPr>
          <w:rFonts w:eastAsia="Arial Unicode MS"/>
          <w:bCs/>
          <w:lang w:eastAsia="fr-FR" w:bidi="he-IL"/>
        </w:rPr>
        <w:t>.</w:t>
      </w:r>
    </w:p>
  </w:footnote>
  <w:footnote w:id="606">
    <w:p w:rsidR="00941AA6" w:rsidRPr="00933C60" w:rsidRDefault="00941AA6" w:rsidP="00E26E85">
      <w:pPr>
        <w:pStyle w:val="Notedebasdepage"/>
      </w:pPr>
      <w:r w:rsidRPr="00C406FF">
        <w:rPr>
          <w:rStyle w:val="Appelnotedebasdep"/>
        </w:rPr>
        <w:footnoteRef/>
      </w:r>
      <w:r w:rsidRPr="00C8701B">
        <w:rPr>
          <w:rFonts w:eastAsia="Arial Unicode MS"/>
          <w:lang w:eastAsia="fr-FR" w:bidi="he-IL"/>
        </w:rPr>
        <w:t xml:space="preserve"> </w:t>
      </w:r>
      <w:r>
        <w:rPr>
          <w:rFonts w:eastAsia="Arial Unicode MS"/>
          <w:bCs/>
          <w:lang w:eastAsia="fr-FR" w:bidi="he-IL"/>
        </w:rPr>
        <w:t>À</w:t>
      </w:r>
      <w:r w:rsidRPr="00C8701B">
        <w:rPr>
          <w:rFonts w:eastAsia="Arial Unicode MS"/>
          <w:bCs/>
          <w:lang w:eastAsia="fr-FR" w:bidi="he-IL"/>
        </w:rPr>
        <w:t xml:space="preserve"> Utrecht</w:t>
      </w:r>
      <w:r>
        <w:rPr>
          <w:rFonts w:eastAsia="Arial Unicode MS"/>
          <w:bCs/>
          <w:lang w:eastAsia="fr-FR" w:bidi="he-IL"/>
        </w:rPr>
        <w:t xml:space="preserve">, </w:t>
      </w:r>
      <w:r w:rsidRPr="00C8701B">
        <w:rPr>
          <w:rFonts w:eastAsia="Arial Unicode MS"/>
          <w:bCs/>
          <w:lang w:eastAsia="fr-FR" w:bidi="he-IL"/>
        </w:rPr>
        <w:t>en 1697</w:t>
      </w:r>
      <w:r>
        <w:rPr>
          <w:rFonts w:eastAsia="Arial Unicode MS"/>
          <w:bCs/>
          <w:lang w:eastAsia="fr-FR" w:bidi="he-IL"/>
        </w:rPr>
        <w:t xml:space="preserve">, </w:t>
      </w:r>
      <w:r w:rsidRPr="00C8701B">
        <w:rPr>
          <w:rFonts w:eastAsia="Arial Unicode MS"/>
          <w:bCs/>
          <w:lang w:eastAsia="fr-FR" w:bidi="he-IL"/>
        </w:rPr>
        <w:t xml:space="preserve">par </w:t>
      </w:r>
      <w:r>
        <w:rPr>
          <w:rFonts w:eastAsia="Arial Unicode MS"/>
          <w:bCs/>
          <w:lang w:eastAsia="fr-FR" w:bidi="he-IL"/>
        </w:rPr>
        <w:t>H.</w:t>
      </w:r>
      <w:r w:rsidRPr="00C8701B">
        <w:rPr>
          <w:rFonts w:eastAsia="Arial Unicode MS"/>
          <w:bCs/>
          <w:lang w:eastAsia="fr-FR" w:bidi="he-IL"/>
        </w:rPr>
        <w:t xml:space="preserve"> Sike.</w:t>
      </w:r>
    </w:p>
  </w:footnote>
  <w:footnote w:id="607">
    <w:p w:rsidR="00941AA6" w:rsidRPr="00933C60" w:rsidRDefault="00941AA6" w:rsidP="00E26E85">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Tischendorf</w:t>
      </w:r>
      <w:r>
        <w:rPr>
          <w:rFonts w:eastAsia="Arial Unicode MS"/>
          <w:bCs/>
          <w:lang w:eastAsia="fr-FR" w:bidi="he-IL"/>
        </w:rPr>
        <w:t xml:space="preserve">, </w:t>
      </w:r>
      <w:r w:rsidRPr="00DC4586">
        <w:rPr>
          <w:rStyle w:val="italicus"/>
        </w:rPr>
        <w:t>l. c.</w:t>
      </w:r>
      <w:r>
        <w:rPr>
          <w:rStyle w:val="italicus"/>
        </w:rPr>
        <w:t xml:space="preserve">, </w:t>
      </w:r>
      <w:r w:rsidRPr="00C8701B">
        <w:rPr>
          <w:rFonts w:eastAsia="Arial Unicode MS"/>
          <w:bCs/>
          <w:lang w:eastAsia="fr-FR" w:bidi="he-IL"/>
        </w:rPr>
        <w:t>p. 171-203 </w:t>
      </w:r>
      <w:r>
        <w:rPr>
          <w:rFonts w:eastAsia="Arial Unicode MS"/>
          <w:bCs/>
          <w:lang w:eastAsia="fr-FR" w:bidi="he-IL"/>
        </w:rPr>
        <w:t xml:space="preserve">; </w:t>
      </w:r>
      <w:r w:rsidRPr="00C8701B">
        <w:rPr>
          <w:rFonts w:eastAsia="Arial Unicode MS"/>
          <w:bCs/>
          <w:lang w:eastAsia="fr-FR" w:bidi="he-IL"/>
        </w:rPr>
        <w:t>Brunet</w:t>
      </w:r>
      <w:r>
        <w:rPr>
          <w:rFonts w:eastAsia="Arial Unicode MS"/>
          <w:bCs/>
          <w:lang w:eastAsia="fr-FR" w:bidi="he-IL"/>
        </w:rPr>
        <w:t xml:space="preserve">, </w:t>
      </w:r>
      <w:r w:rsidRPr="00DC4586">
        <w:rPr>
          <w:rStyle w:val="italicus"/>
        </w:rPr>
        <w:t>loc. cit.</w:t>
      </w:r>
      <w:r>
        <w:rPr>
          <w:rStyle w:val="italicus"/>
        </w:rPr>
        <w:t xml:space="preserve">, </w:t>
      </w:r>
      <w:r w:rsidRPr="00C8701B">
        <w:rPr>
          <w:rFonts w:eastAsia="Arial Unicode MS"/>
          <w:bCs/>
          <w:lang w:eastAsia="fr-FR" w:bidi="he-IL"/>
        </w:rPr>
        <w:t>p. 53-109.</w:t>
      </w:r>
    </w:p>
  </w:footnote>
  <w:footnote w:id="608">
    <w:p w:rsidR="00941AA6" w:rsidRPr="00933C60" w:rsidRDefault="00941AA6" w:rsidP="00E26E85">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 xml:space="preserve">Au moment de la fuite en </w:t>
      </w:r>
      <w:r>
        <w:rPr>
          <w:rFonts w:eastAsia="Arial Unicode MS"/>
          <w:bCs/>
          <w:lang w:eastAsia="fr-FR" w:bidi="he-IL"/>
        </w:rPr>
        <w:t>Égypt</w:t>
      </w:r>
      <w:r w:rsidRPr="00C8701B">
        <w:rPr>
          <w:rFonts w:eastAsia="Arial Unicode MS"/>
          <w:bCs/>
          <w:lang w:eastAsia="fr-FR" w:bidi="he-IL"/>
        </w:rPr>
        <w:t>e.</w:t>
      </w:r>
    </w:p>
  </w:footnote>
  <w:footnote w:id="609">
    <w:p w:rsidR="00941AA6" w:rsidRPr="00933C60" w:rsidRDefault="00941AA6" w:rsidP="00E26E85">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Tischendorf</w:t>
      </w:r>
      <w:r>
        <w:rPr>
          <w:rFonts w:eastAsia="Arial Unicode MS"/>
          <w:bCs/>
          <w:lang w:eastAsia="fr-FR" w:bidi="he-IL"/>
        </w:rPr>
        <w:t xml:space="preserve">, </w:t>
      </w:r>
      <w:r w:rsidRPr="00DC4586">
        <w:rPr>
          <w:rStyle w:val="italicus"/>
        </w:rPr>
        <w:t>Evangélia apócrypha</w:t>
      </w:r>
      <w:r>
        <w:rPr>
          <w:rStyle w:val="italicus"/>
        </w:rPr>
        <w:t xml:space="preserve">, </w:t>
      </w:r>
      <w:r w:rsidRPr="00C8701B">
        <w:rPr>
          <w:rFonts w:eastAsia="Arial Unicode MS"/>
          <w:bCs/>
          <w:lang w:eastAsia="fr-FR" w:bidi="he-IL"/>
        </w:rPr>
        <w:t>p. 203-410 </w:t>
      </w:r>
      <w:r>
        <w:rPr>
          <w:rFonts w:eastAsia="Arial Unicode MS"/>
          <w:bCs/>
          <w:lang w:eastAsia="fr-FR" w:bidi="he-IL"/>
        </w:rPr>
        <w:t xml:space="preserve">; </w:t>
      </w:r>
      <w:r w:rsidRPr="00C8701B">
        <w:rPr>
          <w:rFonts w:eastAsia="Arial Unicode MS"/>
          <w:bCs/>
          <w:lang w:eastAsia="fr-FR" w:bidi="he-IL"/>
        </w:rPr>
        <w:t>Brunet</w:t>
      </w:r>
      <w:r>
        <w:rPr>
          <w:rFonts w:eastAsia="Arial Unicode MS"/>
          <w:bCs/>
          <w:lang w:eastAsia="fr-FR" w:bidi="he-IL"/>
        </w:rPr>
        <w:t xml:space="preserve">, </w:t>
      </w:r>
      <w:r w:rsidRPr="00DC4586">
        <w:rPr>
          <w:rStyle w:val="italicus"/>
        </w:rPr>
        <w:t>l.</w:t>
      </w:r>
      <w:r w:rsidRPr="00C8701B">
        <w:rPr>
          <w:rFonts w:eastAsia="Arial Unicode MS"/>
          <w:bCs/>
          <w:lang w:eastAsia="fr-FR" w:bidi="he-IL"/>
        </w:rPr>
        <w:t xml:space="preserve"> c.</w:t>
      </w:r>
      <w:r>
        <w:rPr>
          <w:rFonts w:eastAsia="Arial Unicode MS"/>
          <w:bCs/>
          <w:lang w:eastAsia="fr-FR" w:bidi="he-IL"/>
        </w:rPr>
        <w:t xml:space="preserve">, </w:t>
      </w:r>
      <w:r w:rsidRPr="00C8701B">
        <w:rPr>
          <w:rFonts w:eastAsia="Arial Unicode MS"/>
          <w:bCs/>
          <w:lang w:eastAsia="fr-FR" w:bidi="he-IL"/>
        </w:rPr>
        <w:t>p. 215 et ss.</w:t>
      </w:r>
    </w:p>
  </w:footnote>
  <w:footnote w:id="610">
    <w:p w:rsidR="00941AA6" w:rsidRPr="00933C60" w:rsidRDefault="00941AA6" w:rsidP="00E26E85">
      <w:pPr>
        <w:pStyle w:val="Notedebasdepage"/>
      </w:pPr>
      <w:r w:rsidRPr="00C406FF">
        <w:rPr>
          <w:rStyle w:val="Appelnotedebasdep"/>
        </w:rPr>
        <w:footnoteRef/>
      </w:r>
      <w:r w:rsidRPr="00C8701B">
        <w:rPr>
          <w:rFonts w:eastAsia="Arial Unicode MS"/>
          <w:lang w:val="en-US" w:eastAsia="fr-FR" w:bidi="he-IL"/>
        </w:rPr>
        <w:t xml:space="preserve"> </w:t>
      </w:r>
      <w:r w:rsidRPr="00C8701B">
        <w:rPr>
          <w:rFonts w:eastAsia="Arial Unicode MS"/>
          <w:bCs/>
          <w:lang w:val="en-US" w:eastAsia="fr-FR" w:bidi="he-IL"/>
        </w:rPr>
        <w:t>Cf. I Cor.</w:t>
      </w:r>
      <w:r>
        <w:rPr>
          <w:rFonts w:eastAsia="Arial Unicode MS"/>
          <w:bCs/>
          <w:lang w:val="en-US" w:eastAsia="fr-FR" w:bidi="he-IL"/>
        </w:rPr>
        <w:t xml:space="preserve"> I, </w:t>
      </w:r>
      <w:r w:rsidRPr="00C8701B">
        <w:rPr>
          <w:rFonts w:eastAsia="Arial Unicode MS"/>
          <w:bCs/>
          <w:lang w:val="en-US" w:eastAsia="fr-FR" w:bidi="he-IL"/>
        </w:rPr>
        <w:t>23.</w:t>
      </w:r>
    </w:p>
  </w:footnote>
  <w:footnote w:id="611">
    <w:p w:rsidR="00941AA6" w:rsidRPr="00933C60" w:rsidRDefault="00941AA6" w:rsidP="00E26E85">
      <w:pPr>
        <w:pStyle w:val="Notedebasdepage"/>
      </w:pPr>
      <w:r w:rsidRPr="00C406FF">
        <w:rPr>
          <w:rStyle w:val="Appelnotedebasdep"/>
        </w:rPr>
        <w:footnoteRef/>
      </w:r>
      <w:r w:rsidRPr="00C8701B">
        <w:rPr>
          <w:rFonts w:eastAsia="Arial Unicode MS"/>
          <w:lang w:val="en-US" w:eastAsia="fr-FR" w:bidi="he-IL"/>
        </w:rPr>
        <w:t xml:space="preserve"> </w:t>
      </w:r>
      <w:r w:rsidRPr="00C8701B">
        <w:rPr>
          <w:rFonts w:eastAsia="Arial Unicode MS"/>
          <w:bCs/>
          <w:lang w:val="en-US" w:eastAsia="fr-FR" w:bidi="he-IL"/>
        </w:rPr>
        <w:t xml:space="preserve">Cf. Matth. </w:t>
      </w:r>
      <w:r>
        <w:rPr>
          <w:rFonts w:eastAsia="Arial Unicode MS"/>
          <w:bCs/>
          <w:lang w:val="en-US" w:eastAsia="fr-FR" w:bidi="he-IL"/>
        </w:rPr>
        <w:t xml:space="preserve">XXVII, </w:t>
      </w:r>
      <w:r w:rsidRPr="00C8701B">
        <w:rPr>
          <w:rFonts w:eastAsia="Arial Unicode MS"/>
          <w:bCs/>
          <w:lang w:val="en-US" w:eastAsia="fr-FR" w:bidi="he-IL"/>
        </w:rPr>
        <w:t>52.</w:t>
      </w:r>
    </w:p>
  </w:footnote>
  <w:footnote w:id="612">
    <w:p w:rsidR="00941AA6" w:rsidRPr="00933C60" w:rsidRDefault="00941AA6" w:rsidP="00E26E85">
      <w:pPr>
        <w:pStyle w:val="Notedebasdepage"/>
      </w:pPr>
      <w:r w:rsidRPr="00C406FF">
        <w:rPr>
          <w:rStyle w:val="Appelnotedebasdep"/>
        </w:rPr>
        <w:footnoteRef/>
      </w:r>
      <w:r w:rsidRPr="00C8701B">
        <w:rPr>
          <w:rFonts w:eastAsia="Arial Unicode MS"/>
          <w:lang w:val="en-US" w:eastAsia="fr-FR" w:bidi="he-IL"/>
        </w:rPr>
        <w:t xml:space="preserve"> </w:t>
      </w:r>
      <w:r w:rsidRPr="00C8701B">
        <w:rPr>
          <w:rFonts w:eastAsia="Arial Unicode MS"/>
          <w:bCs/>
          <w:lang w:val="en-US" w:eastAsia="fr-FR" w:bidi="he-IL"/>
        </w:rPr>
        <w:t>I Petr. III</w:t>
      </w:r>
      <w:r>
        <w:rPr>
          <w:rFonts w:eastAsia="Arial Unicode MS"/>
          <w:bCs/>
          <w:lang w:val="en-US" w:eastAsia="fr-FR" w:bidi="he-IL"/>
        </w:rPr>
        <w:t xml:space="preserve">, </w:t>
      </w:r>
      <w:r w:rsidRPr="00C8701B">
        <w:rPr>
          <w:rFonts w:eastAsia="Arial Unicode MS"/>
          <w:bCs/>
          <w:lang w:val="en-US" w:eastAsia="fr-FR" w:bidi="he-IL"/>
        </w:rPr>
        <w:t>19-20 </w:t>
      </w:r>
      <w:r>
        <w:rPr>
          <w:rFonts w:eastAsia="Arial Unicode MS"/>
          <w:bCs/>
          <w:lang w:val="en-US" w:eastAsia="fr-FR" w:bidi="he-IL"/>
        </w:rPr>
        <w:t xml:space="preserve">; IV, </w:t>
      </w:r>
      <w:r w:rsidRPr="00C8701B">
        <w:rPr>
          <w:rFonts w:eastAsia="Arial Unicode MS"/>
          <w:bCs/>
          <w:lang w:val="en-US" w:eastAsia="fr-FR" w:bidi="he-IL"/>
        </w:rPr>
        <w:t xml:space="preserve">6. </w:t>
      </w:r>
      <w:r w:rsidRPr="00A74F01">
        <w:rPr>
          <w:rFonts w:eastAsia="Arial Unicode MS"/>
          <w:bCs/>
          <w:lang w:eastAsia="fr-FR" w:bidi="he-IL"/>
        </w:rPr>
        <w:t xml:space="preserve">Cf. Apoc., </w:t>
      </w:r>
      <w:r w:rsidRPr="00312F54">
        <w:t>XX</w:t>
      </w:r>
      <w:r>
        <w:t>, 14</w:t>
      </w:r>
      <w:r w:rsidRPr="00312F54">
        <w:t>.</w:t>
      </w:r>
      <w:r w:rsidRPr="00A74F01">
        <w:rPr>
          <w:rFonts w:eastAsia="Arial Unicode MS"/>
          <w:bCs/>
          <w:lang w:eastAsia="fr-FR" w:bidi="he-IL"/>
        </w:rPr>
        <w:t xml:space="preserve"> </w:t>
      </w:r>
      <w:r w:rsidRPr="00C8701B">
        <w:rPr>
          <w:rFonts w:eastAsia="Arial Unicode MS"/>
          <w:bCs/>
          <w:lang w:eastAsia="fr-FR" w:bidi="he-IL"/>
        </w:rPr>
        <w:t>Voyez A. Maury</w:t>
      </w:r>
      <w:r>
        <w:rPr>
          <w:rFonts w:eastAsia="Arial Unicode MS"/>
          <w:bCs/>
          <w:lang w:eastAsia="fr-FR" w:bidi="he-IL"/>
        </w:rPr>
        <w:t xml:space="preserve">, </w:t>
      </w:r>
      <w:r w:rsidRPr="00DC4586">
        <w:rPr>
          <w:rStyle w:val="italicus"/>
        </w:rPr>
        <w:t>Croyances et légendes de l’antiquité</w:t>
      </w:r>
      <w:r>
        <w:rPr>
          <w:rStyle w:val="italicus"/>
        </w:rPr>
        <w:t xml:space="preserve">, </w:t>
      </w:r>
      <w:r w:rsidRPr="00C8701B">
        <w:rPr>
          <w:rFonts w:eastAsia="Arial Unicode MS"/>
          <w:bCs/>
          <w:lang w:eastAsia="fr-FR" w:bidi="he-IL"/>
        </w:rPr>
        <w:t>p. 289-332.</w:t>
      </w:r>
    </w:p>
  </w:footnote>
  <w:footnote w:id="613">
    <w:p w:rsidR="00941AA6" w:rsidRPr="00933C60" w:rsidRDefault="00941AA6" w:rsidP="00E26E85">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Voyez le texte dans J. Variot</w:t>
      </w:r>
      <w:r>
        <w:rPr>
          <w:rFonts w:eastAsia="Arial Unicode MS"/>
          <w:bCs/>
          <w:lang w:eastAsia="fr-FR" w:bidi="he-IL"/>
        </w:rPr>
        <w:t xml:space="preserve">, </w:t>
      </w:r>
      <w:r w:rsidRPr="00DC4586">
        <w:rPr>
          <w:rStyle w:val="italicus"/>
        </w:rPr>
        <w:t>Les Évangiles apocryphes</w:t>
      </w:r>
      <w:r>
        <w:rPr>
          <w:rStyle w:val="italicus"/>
        </w:rPr>
        <w:t xml:space="preserve">, </w:t>
      </w:r>
      <w:r w:rsidRPr="00C8701B">
        <w:rPr>
          <w:rFonts w:eastAsia="Arial Unicode MS"/>
          <w:bCs/>
          <w:lang w:eastAsia="fr-FR" w:bidi="he-IL"/>
        </w:rPr>
        <w:t>p. 112-116.</w:t>
      </w:r>
    </w:p>
  </w:footnote>
  <w:footnote w:id="614">
    <w:p w:rsidR="00941AA6" w:rsidRPr="00933C60" w:rsidRDefault="00941AA6" w:rsidP="00E26E85">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Sur toutes ces pi</w:t>
      </w:r>
      <w:r w:rsidRPr="00312F54">
        <w:t xml:space="preserve">èces, voyez J. Variot, </w:t>
      </w:r>
      <w:r w:rsidRPr="00DC4586">
        <w:rPr>
          <w:rStyle w:val="italicus"/>
        </w:rPr>
        <w:t>loc. cit.</w:t>
      </w:r>
      <w:r>
        <w:rPr>
          <w:rStyle w:val="italicus"/>
        </w:rPr>
        <w:t xml:space="preserve">, </w:t>
      </w:r>
      <w:r w:rsidRPr="00C8701B">
        <w:rPr>
          <w:rFonts w:eastAsia="Arial Unicode MS"/>
          <w:bCs/>
          <w:lang w:eastAsia="fr-FR" w:bidi="he-IL"/>
        </w:rPr>
        <w:t>p. 100-138.</w:t>
      </w:r>
    </w:p>
  </w:footnote>
  <w:footnote w:id="615">
    <w:p w:rsidR="00941AA6" w:rsidRPr="00933C60" w:rsidRDefault="00941AA6" w:rsidP="00E26E85">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Corluy</w:t>
      </w:r>
      <w:r>
        <w:rPr>
          <w:rFonts w:eastAsia="Arial Unicode MS"/>
          <w:bCs/>
          <w:lang w:eastAsia="fr-FR" w:bidi="he-IL"/>
        </w:rPr>
        <w:t xml:space="preserve">, </w:t>
      </w:r>
      <w:r w:rsidRPr="00C8701B">
        <w:rPr>
          <w:rFonts w:eastAsia="Arial Unicode MS"/>
          <w:bCs/>
          <w:lang w:eastAsia="fr-FR" w:bidi="he-IL"/>
        </w:rPr>
        <w:t>dans la</w:t>
      </w:r>
      <w:r w:rsidRPr="00DC4586">
        <w:rPr>
          <w:rStyle w:val="italicus"/>
        </w:rPr>
        <w:t xml:space="preserve"> Controverse</w:t>
      </w:r>
      <w:r>
        <w:rPr>
          <w:rStyle w:val="italicus"/>
        </w:rPr>
        <w:t xml:space="preserve">, </w:t>
      </w:r>
      <w:r w:rsidRPr="00C8701B">
        <w:rPr>
          <w:rFonts w:eastAsia="Arial Unicode MS"/>
          <w:bCs/>
          <w:lang w:eastAsia="fr-FR" w:bidi="he-IL"/>
        </w:rPr>
        <w:t>n° du 15 oct. 1887</w:t>
      </w:r>
      <w:r>
        <w:rPr>
          <w:rFonts w:eastAsia="Arial Unicode MS"/>
          <w:bCs/>
          <w:lang w:eastAsia="fr-FR" w:bidi="he-IL"/>
        </w:rPr>
        <w:t xml:space="preserve">, </w:t>
      </w:r>
      <w:r w:rsidRPr="00C8701B">
        <w:rPr>
          <w:rFonts w:eastAsia="Arial Unicode MS"/>
          <w:bCs/>
          <w:lang w:eastAsia="fr-FR" w:bidi="he-IL"/>
        </w:rPr>
        <w:t>p. 177.</w:t>
      </w:r>
    </w:p>
  </w:footnote>
  <w:footnote w:id="616">
    <w:p w:rsidR="00941AA6" w:rsidRPr="00E26E85" w:rsidRDefault="00941AA6" w:rsidP="00E26E85">
      <w:pPr>
        <w:pStyle w:val="Notedebasdepage"/>
        <w:rPr>
          <w:lang w:val="en-GB"/>
        </w:rPr>
      </w:pPr>
      <w:r w:rsidRPr="00C406FF">
        <w:rPr>
          <w:rStyle w:val="Appelnotedebasdep"/>
        </w:rPr>
        <w:footnoteRef/>
      </w:r>
      <w:r w:rsidRPr="00312F54">
        <w:rPr>
          <w:rFonts w:eastAsia="Arial Unicode MS"/>
          <w:lang w:val="en-GB" w:eastAsia="fr-FR" w:bidi="he-IL"/>
        </w:rPr>
        <w:t xml:space="preserve"> </w:t>
      </w:r>
      <w:r w:rsidRPr="00312F54">
        <w:rPr>
          <w:rStyle w:val="italicus"/>
          <w:lang w:val="en-GB"/>
        </w:rPr>
        <w:t xml:space="preserve">Ibid., </w:t>
      </w:r>
      <w:r w:rsidRPr="00312F54">
        <w:rPr>
          <w:rFonts w:eastAsia="Arial Unicode MS"/>
          <w:bCs/>
          <w:lang w:val="en-GB" w:eastAsia="fr-FR" w:bidi="he-IL"/>
        </w:rPr>
        <w:t>p. 174.</w:t>
      </w:r>
    </w:p>
  </w:footnote>
  <w:footnote w:id="617">
    <w:p w:rsidR="00941AA6" w:rsidRPr="00E26E85" w:rsidRDefault="00941AA6" w:rsidP="00E26E85">
      <w:pPr>
        <w:pStyle w:val="Notedebasdepage"/>
        <w:rPr>
          <w:lang w:val="en-GB"/>
        </w:rPr>
      </w:pPr>
      <w:r w:rsidRPr="00C406FF">
        <w:rPr>
          <w:rStyle w:val="Appelnotedebasdep"/>
        </w:rPr>
        <w:footnoteRef/>
      </w:r>
      <w:r w:rsidRPr="00312F54">
        <w:rPr>
          <w:rFonts w:eastAsia="Arial Unicode MS"/>
          <w:lang w:val="en-GB" w:eastAsia="fr-FR" w:bidi="he-IL"/>
        </w:rPr>
        <w:t xml:space="preserve"> </w:t>
      </w:r>
      <w:r w:rsidRPr="00312F54">
        <w:rPr>
          <w:rStyle w:val="italicus"/>
          <w:lang w:val="en-GB"/>
        </w:rPr>
        <w:t xml:space="preserve">Epist. ad </w:t>
      </w:r>
      <w:r>
        <w:rPr>
          <w:rStyle w:val="italicus"/>
          <w:lang w:val="en-GB"/>
        </w:rPr>
        <w:t>Læ</w:t>
      </w:r>
      <w:r w:rsidRPr="00312F54">
        <w:rPr>
          <w:rStyle w:val="italicus"/>
          <w:lang w:val="en-GB"/>
        </w:rPr>
        <w:t xml:space="preserve">t., Præfat. ad libr. </w:t>
      </w:r>
      <w:r w:rsidRPr="00DC4586">
        <w:rPr>
          <w:rStyle w:val="italicus"/>
        </w:rPr>
        <w:t>Regum.</w:t>
      </w:r>
    </w:p>
  </w:footnote>
  <w:footnote w:id="618">
    <w:p w:rsidR="00941AA6" w:rsidRPr="00933C60" w:rsidRDefault="00941AA6" w:rsidP="00E87D10">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 xml:space="preserve">Le chapitre </w:t>
      </w:r>
      <w:r>
        <w:rPr>
          <w:rFonts w:eastAsia="Arial Unicode MS"/>
          <w:bCs/>
          <w:lang w:eastAsia="fr-FR" w:bidi="he-IL"/>
        </w:rPr>
        <w:t>XXV</w:t>
      </w:r>
      <w:r w:rsidRPr="00C8701B">
        <w:rPr>
          <w:rFonts w:eastAsia="Arial Unicode MS"/>
          <w:bCs/>
          <w:lang w:eastAsia="fr-FR" w:bidi="he-IL"/>
        </w:rPr>
        <w:t xml:space="preserve"> de</w:t>
      </w:r>
      <w:r>
        <w:rPr>
          <w:rFonts w:eastAsia="Arial Unicode MS"/>
          <w:bCs/>
          <w:lang w:eastAsia="fr-FR" w:bidi="he-IL"/>
        </w:rPr>
        <w:t xml:space="preserve"> l’</w:t>
      </w:r>
      <w:r w:rsidRPr="00DC4586">
        <w:rPr>
          <w:rStyle w:val="italicus"/>
        </w:rPr>
        <w:t>Évangile de Nicodème</w:t>
      </w:r>
      <w:r w:rsidRPr="00C8701B">
        <w:rPr>
          <w:rFonts w:eastAsia="Arial Unicode MS"/>
          <w:bCs/>
          <w:lang w:eastAsia="fr-FR" w:bidi="he-IL"/>
        </w:rPr>
        <w:t xml:space="preserve"> contient une de ces paillettes (</w:t>
      </w:r>
      <w:hyperlink w:anchor="evin140302a_denscensus" w:history="1">
        <w:r w:rsidRPr="00F509EF">
          <w:rPr>
            <w:rStyle w:val="Lienhypertexte"/>
            <w:rFonts w:eastAsia="Arial Unicode MS"/>
            <w:bCs/>
            <w:lang w:eastAsia="fr-FR" w:bidi="he-IL"/>
          </w:rPr>
          <w:t>voyez la page</w:t>
        </w:r>
      </w:hyperlink>
      <w:r>
        <w:rPr>
          <w:rFonts w:eastAsia="Arial Unicode MS"/>
          <w:bCs/>
          <w:lang w:eastAsia="fr-FR" w:bidi="he-IL"/>
        </w:rPr>
        <w:t xml:space="preserve"> </w:t>
      </w:r>
      <w:r w:rsidR="00691E6B">
        <w:rPr>
          <w:rFonts w:eastAsia="Arial Unicode MS"/>
          <w:bCs/>
          <w:lang w:eastAsia="fr-FR" w:bidi="he-IL"/>
        </w:rPr>
        <w:fldChar w:fldCharType="begin"/>
      </w:r>
      <w:r w:rsidR="00E87D10">
        <w:rPr>
          <w:rFonts w:eastAsia="Arial Unicode MS"/>
          <w:bCs/>
          <w:lang w:eastAsia="fr-FR" w:bidi="he-IL"/>
        </w:rPr>
        <w:instrText xml:space="preserve"> PAGEREF evin140302a_denscensus \h </w:instrText>
      </w:r>
      <w:r w:rsidR="00691E6B">
        <w:rPr>
          <w:rFonts w:eastAsia="Arial Unicode MS"/>
          <w:bCs/>
          <w:lang w:eastAsia="fr-FR" w:bidi="he-IL"/>
        </w:rPr>
      </w:r>
      <w:r w:rsidR="00691E6B">
        <w:rPr>
          <w:rFonts w:eastAsia="Arial Unicode MS"/>
          <w:bCs/>
          <w:lang w:eastAsia="fr-FR" w:bidi="he-IL"/>
        </w:rPr>
        <w:fldChar w:fldCharType="separate"/>
      </w:r>
      <w:r w:rsidR="00635395">
        <w:rPr>
          <w:rFonts w:eastAsia="Arial Unicode MS"/>
          <w:bCs/>
          <w:noProof/>
          <w:lang w:eastAsia="fr-FR" w:bidi="he-IL"/>
        </w:rPr>
        <w:t>93</w:t>
      </w:r>
      <w:r w:rsidR="00691E6B">
        <w:rPr>
          <w:rFonts w:eastAsia="Arial Unicode MS"/>
          <w:bCs/>
          <w:lang w:eastAsia="fr-FR" w:bidi="he-IL"/>
        </w:rPr>
        <w:fldChar w:fldCharType="end"/>
      </w:r>
      <w:r>
        <w:rPr>
          <w:rFonts w:eastAsia="Arial Unicode MS"/>
          <w:bCs/>
          <w:lang w:eastAsia="fr-FR" w:bidi="he-IL"/>
        </w:rPr>
        <w:t>[</w:t>
      </w:r>
      <w:r w:rsidRPr="00F509EF">
        <w:rPr>
          <w:rFonts w:eastAsia="Arial Unicode MS"/>
          <w:bCs/>
          <w:lang w:eastAsia="fr-FR" w:bidi="he-IL"/>
        </w:rPr>
        <w:t>118</w:t>
      </w:r>
      <w:r>
        <w:rPr>
          <w:rFonts w:eastAsia="Arial Unicode MS"/>
          <w:bCs/>
          <w:lang w:eastAsia="fr-FR" w:bidi="he-IL"/>
        </w:rPr>
        <w:t>]</w:t>
      </w:r>
      <w:r w:rsidRPr="00C8701B">
        <w:rPr>
          <w:rFonts w:eastAsia="Arial Unicode MS"/>
          <w:bCs/>
          <w:lang w:eastAsia="fr-FR" w:bidi="he-IL"/>
        </w:rPr>
        <w:t>). Bien de plus beau</w:t>
      </w:r>
      <w:r>
        <w:rPr>
          <w:rFonts w:eastAsia="Arial Unicode MS"/>
          <w:bCs/>
          <w:lang w:eastAsia="fr-FR" w:bidi="he-IL"/>
        </w:rPr>
        <w:t xml:space="preserve">, </w:t>
      </w:r>
      <w:r w:rsidRPr="00C8701B">
        <w:rPr>
          <w:rFonts w:eastAsia="Arial Unicode MS"/>
          <w:bCs/>
          <w:lang w:eastAsia="fr-FR" w:bidi="he-IL"/>
        </w:rPr>
        <w:t>en effet</w:t>
      </w:r>
      <w:r>
        <w:rPr>
          <w:rFonts w:eastAsia="Arial Unicode MS"/>
          <w:bCs/>
          <w:lang w:eastAsia="fr-FR" w:bidi="he-IL"/>
        </w:rPr>
        <w:t xml:space="preserve">, </w:t>
      </w:r>
      <w:r w:rsidRPr="00C8701B">
        <w:rPr>
          <w:rFonts w:eastAsia="Arial Unicode MS"/>
          <w:bCs/>
          <w:lang w:eastAsia="fr-FR" w:bidi="he-IL"/>
        </w:rPr>
        <w:t>que l’invitation adressée au Sau</w:t>
      </w:r>
      <w:r>
        <w:rPr>
          <w:rFonts w:eastAsia="Arial Unicode MS"/>
          <w:bCs/>
          <w:lang w:eastAsia="fr-FR" w:bidi="he-IL"/>
        </w:rPr>
        <w:t>veur de planter sa croix comme u</w:t>
      </w:r>
      <w:r w:rsidRPr="00C8701B">
        <w:rPr>
          <w:rFonts w:eastAsia="Arial Unicode MS"/>
          <w:bCs/>
          <w:lang w:eastAsia="fr-FR" w:bidi="he-IL"/>
        </w:rPr>
        <w:t>n troph</w:t>
      </w:r>
      <w:r>
        <w:rPr>
          <w:rFonts w:eastAsia="Arial Unicode MS"/>
          <w:bCs/>
          <w:lang w:eastAsia="fr-FR" w:bidi="he-IL"/>
        </w:rPr>
        <w:t>ée au cœur même des enfers. Voic</w:t>
      </w:r>
      <w:r w:rsidRPr="00C8701B">
        <w:rPr>
          <w:rFonts w:eastAsia="Arial Unicode MS"/>
          <w:bCs/>
          <w:lang w:eastAsia="fr-FR" w:bidi="he-IL"/>
        </w:rPr>
        <w:t>i une autre paillette d’or</w:t>
      </w:r>
      <w:r>
        <w:rPr>
          <w:rFonts w:eastAsia="Arial Unicode MS"/>
          <w:bCs/>
          <w:lang w:eastAsia="fr-FR" w:bidi="he-IL"/>
        </w:rPr>
        <w:t xml:space="preserve">, </w:t>
      </w:r>
      <w:r w:rsidRPr="00C8701B">
        <w:rPr>
          <w:rFonts w:eastAsia="Arial Unicode MS"/>
          <w:bCs/>
          <w:lang w:eastAsia="fr-FR" w:bidi="he-IL"/>
        </w:rPr>
        <w:t>extraite de l’</w:t>
      </w:r>
      <w:r w:rsidRPr="00DC4586">
        <w:rPr>
          <w:rStyle w:val="italicus"/>
        </w:rPr>
        <w:t>Évangile arabe</w:t>
      </w:r>
      <w:r w:rsidRPr="00C8701B">
        <w:rPr>
          <w:rFonts w:eastAsia="Arial Unicode MS"/>
          <w:bCs/>
          <w:lang w:eastAsia="fr-FR" w:bidi="he-IL"/>
        </w:rPr>
        <w:t xml:space="preserve"> </w:t>
      </w:r>
      <w:r>
        <w:rPr>
          <w:rFonts w:eastAsia="Arial Unicode MS"/>
          <w:bCs/>
          <w:lang w:eastAsia="fr-FR" w:bidi="he-IL"/>
        </w:rPr>
        <w:t>de</w:t>
      </w:r>
      <w:r w:rsidRPr="00C8701B">
        <w:rPr>
          <w:rFonts w:eastAsia="Arial Unicode MS"/>
          <w:bCs/>
          <w:lang w:eastAsia="fr-FR" w:bidi="he-IL"/>
        </w:rPr>
        <w:t xml:space="preserve"> l’Enfance</w:t>
      </w:r>
      <w:r>
        <w:rPr>
          <w:rFonts w:eastAsia="Arial Unicode MS"/>
          <w:bCs/>
          <w:lang w:eastAsia="fr-FR" w:bidi="he-IL"/>
        </w:rPr>
        <w:t xml:space="preserve">, </w:t>
      </w:r>
      <w:r w:rsidRPr="00C8701B">
        <w:rPr>
          <w:rFonts w:eastAsia="Arial Unicode MS"/>
          <w:bCs/>
          <w:lang w:eastAsia="fr-FR" w:bidi="he-IL"/>
        </w:rPr>
        <w:t>chap. XLI (cf. Brunet</w:t>
      </w:r>
      <w:r>
        <w:rPr>
          <w:rFonts w:eastAsia="Arial Unicode MS"/>
          <w:bCs/>
          <w:lang w:eastAsia="fr-FR" w:bidi="he-IL"/>
        </w:rPr>
        <w:t xml:space="preserve">, </w:t>
      </w:r>
      <w:r w:rsidRPr="00DC4586">
        <w:rPr>
          <w:rStyle w:val="italicus"/>
        </w:rPr>
        <w:t>Les Évangiles apocryphes</w:t>
      </w:r>
      <w:r>
        <w:rPr>
          <w:rStyle w:val="italicus"/>
        </w:rPr>
        <w:t xml:space="preserve">, </w:t>
      </w:r>
      <w:r w:rsidRPr="00C8701B">
        <w:rPr>
          <w:rFonts w:eastAsia="Arial Unicode MS"/>
          <w:bCs/>
          <w:lang w:eastAsia="fr-FR" w:bidi="he-IL"/>
        </w:rPr>
        <w:t>p. 50 de la 2</w:t>
      </w:r>
      <w:r w:rsidRPr="00312F54">
        <w:rPr>
          <w:rFonts w:eastAsia="Arial Unicode MS"/>
          <w:bCs/>
          <w:vertAlign w:val="superscript"/>
          <w:lang w:eastAsia="fr-FR" w:bidi="he-IL"/>
        </w:rPr>
        <w:t>e</w:t>
      </w:r>
      <w:r>
        <w:rPr>
          <w:rFonts w:eastAsia="Arial Unicode MS"/>
          <w:bCs/>
          <w:lang w:eastAsia="fr-FR" w:bidi="he-IL"/>
        </w:rPr>
        <w:t xml:space="preserve"> </w:t>
      </w:r>
      <w:r w:rsidRPr="00C8701B">
        <w:rPr>
          <w:rFonts w:eastAsia="Arial Unicode MS"/>
          <w:bCs/>
          <w:lang w:eastAsia="fr-FR" w:bidi="he-IL"/>
        </w:rPr>
        <w:t>édition) : « Jésus rassembla les enfants (de Nazareth)</w:t>
      </w:r>
      <w:r>
        <w:rPr>
          <w:rFonts w:eastAsia="Arial Unicode MS"/>
          <w:bCs/>
          <w:lang w:eastAsia="fr-FR" w:bidi="he-IL"/>
        </w:rPr>
        <w:t xml:space="preserve">, </w:t>
      </w:r>
      <w:r w:rsidRPr="00C8701B">
        <w:rPr>
          <w:rFonts w:eastAsia="Arial Unicode MS"/>
          <w:bCs/>
          <w:lang w:eastAsia="fr-FR" w:bidi="he-IL"/>
        </w:rPr>
        <w:t>et</w:t>
      </w:r>
      <w:r>
        <w:rPr>
          <w:rFonts w:eastAsia="Arial Unicode MS"/>
          <w:bCs/>
          <w:lang w:eastAsia="fr-FR" w:bidi="he-IL"/>
        </w:rPr>
        <w:t xml:space="preserve"> </w:t>
      </w:r>
      <w:r w:rsidRPr="00C8701B">
        <w:rPr>
          <w:rFonts w:eastAsia="Arial Unicode MS"/>
          <w:bCs/>
          <w:lang w:eastAsia="fr-FR" w:bidi="he-IL"/>
        </w:rPr>
        <w:t xml:space="preserve">les </w:t>
      </w:r>
      <w:r>
        <w:rPr>
          <w:rFonts w:eastAsia="Arial Unicode MS"/>
          <w:bCs/>
          <w:lang w:eastAsia="fr-FR" w:bidi="he-IL"/>
        </w:rPr>
        <w:t>fit ranger</w:t>
      </w:r>
      <w:r w:rsidRPr="00C8701B">
        <w:rPr>
          <w:rFonts w:eastAsia="Arial Unicode MS"/>
          <w:bCs/>
          <w:lang w:eastAsia="fr-FR" w:bidi="he-IL"/>
        </w:rPr>
        <w:t xml:space="preserve"> comme étant leur roi. Ils avaient étendu leurs vêtements à terre pour qu’il s’assît dessus. Ils avaient posé sur sa tête une couronne de fleurs</w:t>
      </w:r>
      <w:r>
        <w:rPr>
          <w:rFonts w:eastAsia="Arial Unicode MS"/>
          <w:bCs/>
          <w:lang w:eastAsia="fr-FR" w:bidi="he-IL"/>
        </w:rPr>
        <w:t xml:space="preserve">, </w:t>
      </w:r>
      <w:r w:rsidRPr="00C8701B">
        <w:rPr>
          <w:rFonts w:eastAsia="Arial Unicode MS"/>
          <w:bCs/>
          <w:lang w:eastAsia="fr-FR" w:bidi="he-IL"/>
        </w:rPr>
        <w:t>et</w:t>
      </w:r>
      <w:r>
        <w:rPr>
          <w:rFonts w:eastAsia="Arial Unicode MS"/>
          <w:bCs/>
          <w:lang w:eastAsia="fr-FR" w:bidi="he-IL"/>
        </w:rPr>
        <w:t xml:space="preserve">, </w:t>
      </w:r>
      <w:r w:rsidRPr="00C8701B">
        <w:rPr>
          <w:rFonts w:eastAsia="Arial Unicode MS"/>
          <w:bCs/>
          <w:lang w:eastAsia="fr-FR" w:bidi="he-IL"/>
        </w:rPr>
        <w:t>comme des satellites qui accompagnent un roi</w:t>
      </w:r>
      <w:r>
        <w:rPr>
          <w:rFonts w:eastAsia="Arial Unicode MS"/>
          <w:bCs/>
          <w:lang w:eastAsia="fr-FR" w:bidi="he-IL"/>
        </w:rPr>
        <w:t xml:space="preserve">, </w:t>
      </w:r>
      <w:r w:rsidRPr="00C8701B">
        <w:rPr>
          <w:rFonts w:eastAsia="Arial Unicode MS"/>
          <w:bCs/>
          <w:lang w:eastAsia="fr-FR" w:bidi="he-IL"/>
        </w:rPr>
        <w:t>ils s’étaient rangés à sa droite et à sa gauche. Si quelqu’un passait par là</w:t>
      </w:r>
      <w:r>
        <w:rPr>
          <w:rFonts w:eastAsia="Arial Unicode MS"/>
          <w:bCs/>
          <w:lang w:eastAsia="fr-FR" w:bidi="he-IL"/>
        </w:rPr>
        <w:t xml:space="preserve">, </w:t>
      </w:r>
      <w:r w:rsidRPr="00C8701B">
        <w:rPr>
          <w:rFonts w:eastAsia="Arial Unicode MS"/>
          <w:bCs/>
          <w:lang w:eastAsia="fr-FR" w:bidi="he-IL"/>
        </w:rPr>
        <w:t>les enfants l’arrêtaient de force</w:t>
      </w:r>
      <w:r>
        <w:rPr>
          <w:rFonts w:eastAsia="Arial Unicode MS"/>
          <w:bCs/>
          <w:lang w:eastAsia="fr-FR" w:bidi="he-IL"/>
        </w:rPr>
        <w:t xml:space="preserve">, </w:t>
      </w:r>
      <w:r w:rsidRPr="00C8701B">
        <w:rPr>
          <w:rFonts w:eastAsia="Arial Unicode MS"/>
          <w:bCs/>
          <w:lang w:eastAsia="fr-FR" w:bidi="he-IL"/>
        </w:rPr>
        <w:t>et lui disaient. Viens et adore le roi</w:t>
      </w:r>
      <w:r>
        <w:rPr>
          <w:rFonts w:eastAsia="Arial Unicode MS"/>
          <w:bCs/>
          <w:lang w:eastAsia="fr-FR" w:bidi="he-IL"/>
        </w:rPr>
        <w:t xml:space="preserve">, </w:t>
      </w:r>
      <w:r w:rsidRPr="00C8701B">
        <w:rPr>
          <w:rFonts w:eastAsia="Arial Unicode MS"/>
          <w:bCs/>
          <w:lang w:eastAsia="fr-FR" w:bidi="he-IL"/>
        </w:rPr>
        <w:t xml:space="preserve">afin que tu obtiennes un heureux voyage ». Ce </w:t>
      </w:r>
      <w:r>
        <w:rPr>
          <w:rFonts w:eastAsia="Arial Unicode MS"/>
          <w:bCs/>
          <w:lang w:eastAsia="fr-FR" w:bidi="he-IL"/>
        </w:rPr>
        <w:t>t</w:t>
      </w:r>
      <w:r w:rsidRPr="00C8701B">
        <w:rPr>
          <w:rFonts w:eastAsia="Arial Unicode MS"/>
          <w:bCs/>
          <w:lang w:eastAsia="fr-FR" w:bidi="he-IL"/>
        </w:rPr>
        <w:t>rait est vraiment plein de sens</w:t>
      </w:r>
      <w:r>
        <w:rPr>
          <w:rFonts w:eastAsia="Arial Unicode MS"/>
          <w:bCs/>
          <w:lang w:eastAsia="fr-FR" w:bidi="he-IL"/>
        </w:rPr>
        <w:t>.</w:t>
      </w:r>
    </w:p>
  </w:footnote>
  <w:footnote w:id="619">
    <w:p w:rsidR="00941AA6" w:rsidRPr="00E26E85" w:rsidRDefault="00941AA6">
      <w:pPr>
        <w:pStyle w:val="Notedebasdepage"/>
        <w:rPr>
          <w:lang w:val="de-AT"/>
        </w:rPr>
      </w:pPr>
      <w:r>
        <w:rPr>
          <w:rStyle w:val="Appelnotedebasdep"/>
        </w:rPr>
        <w:footnoteRef/>
      </w:r>
      <w:r>
        <w:rPr>
          <w:rStyle w:val="italicus"/>
        </w:rPr>
        <w:t xml:space="preserve"> Handwerker</w:t>
      </w:r>
      <w:r w:rsidRPr="00DC4586">
        <w:rPr>
          <w:rStyle w:val="italicus"/>
        </w:rPr>
        <w:t>leben sur Zeit Jesu</w:t>
      </w:r>
      <w:r>
        <w:rPr>
          <w:rStyle w:val="italicus"/>
        </w:rPr>
        <w:t xml:space="preserve">, </w:t>
      </w:r>
      <w:r w:rsidRPr="00C8701B">
        <w:rPr>
          <w:rFonts w:eastAsia="Arial Unicode MS"/>
          <w:bCs/>
          <w:lang w:eastAsia="fr-FR" w:bidi="he-IL"/>
        </w:rPr>
        <w:t>Erlangen 1868</w:t>
      </w:r>
      <w:r>
        <w:rPr>
          <w:rFonts w:eastAsia="Arial Unicode MS"/>
          <w:bCs/>
          <w:lang w:eastAsia="fr-FR" w:bidi="he-IL"/>
        </w:rPr>
        <w:t xml:space="preserve">, </w:t>
      </w:r>
      <w:r w:rsidRPr="00C8701B">
        <w:rPr>
          <w:rFonts w:eastAsia="Arial Unicode MS"/>
          <w:bCs/>
          <w:lang w:eastAsia="fr-FR" w:bidi="he-IL"/>
        </w:rPr>
        <w:t>p. 79</w:t>
      </w:r>
      <w:r w:rsidRPr="00E26E85">
        <w:rPr>
          <w:rFonts w:eastAsia="Arial Unicode MS"/>
          <w:bCs/>
          <w:lang w:val="de-AT" w:eastAsia="fr-FR" w:bidi="he-IL"/>
        </w:rPr>
        <w:t>.</w:t>
      </w:r>
    </w:p>
  </w:footnote>
  <w:footnote w:id="620">
    <w:p w:rsidR="00941AA6" w:rsidRPr="00E26E85" w:rsidRDefault="00941AA6" w:rsidP="00E26E85">
      <w:pPr>
        <w:pStyle w:val="Notedebasdepage"/>
        <w:rPr>
          <w:lang w:val="de-AT"/>
        </w:rPr>
      </w:pPr>
      <w:r w:rsidRPr="00C406FF">
        <w:rPr>
          <w:rStyle w:val="Appelnotedebasdep"/>
        </w:rPr>
        <w:footnoteRef/>
      </w:r>
      <w:r w:rsidRPr="00C8701B">
        <w:rPr>
          <w:rFonts w:eastAsia="Arial Unicode MS"/>
          <w:bCs/>
          <w:lang w:eastAsia="fr-FR" w:bidi="he-IL"/>
        </w:rPr>
        <w:t xml:space="preserve"> § </w:t>
      </w:r>
      <w:r>
        <w:rPr>
          <w:rFonts w:eastAsia="Arial Unicode MS"/>
          <w:bCs/>
          <w:lang w:eastAsia="fr-FR" w:bidi="he-IL"/>
        </w:rPr>
        <w:t xml:space="preserve">X, </w:t>
      </w:r>
      <w:r w:rsidRPr="00C8701B">
        <w:rPr>
          <w:rFonts w:eastAsia="Arial Unicode MS"/>
          <w:bCs/>
          <w:lang w:eastAsia="fr-FR" w:bidi="he-IL"/>
        </w:rPr>
        <w:t>p. 77 et ss.</w:t>
      </w:r>
    </w:p>
  </w:footnote>
  <w:footnote w:id="621">
    <w:p w:rsidR="00941AA6" w:rsidRPr="00E26E85" w:rsidRDefault="00941AA6" w:rsidP="00E26E85">
      <w:pPr>
        <w:pStyle w:val="Notedebasdepage"/>
        <w:rPr>
          <w:lang w:val="de-AT"/>
        </w:rPr>
      </w:pPr>
      <w:r w:rsidRPr="00C406FF">
        <w:rPr>
          <w:rStyle w:val="Appelnotedebasdep"/>
        </w:rPr>
        <w:footnoteRef/>
      </w:r>
      <w:r w:rsidRPr="00C8701B">
        <w:rPr>
          <w:rFonts w:eastAsia="Arial Unicode MS"/>
          <w:lang w:eastAsia="fr-FR" w:bidi="he-IL"/>
        </w:rPr>
        <w:t xml:space="preserve"> </w:t>
      </w:r>
      <w:r w:rsidRPr="00DC4586">
        <w:rPr>
          <w:rStyle w:val="italicus"/>
        </w:rPr>
        <w:t>Adv. Marcion.</w:t>
      </w:r>
      <w:r>
        <w:rPr>
          <w:rStyle w:val="italicus"/>
        </w:rPr>
        <w:t xml:space="preserve">, </w:t>
      </w:r>
      <w:r>
        <w:rPr>
          <w:rFonts w:eastAsia="Arial Unicode MS"/>
          <w:bCs/>
          <w:lang w:eastAsia="fr-FR" w:bidi="he-IL"/>
        </w:rPr>
        <w:t xml:space="preserve">IV, </w:t>
      </w:r>
      <w:r w:rsidRPr="00C8701B">
        <w:rPr>
          <w:rFonts w:eastAsia="Arial Unicode MS"/>
          <w:bCs/>
          <w:lang w:eastAsia="fr-FR" w:bidi="he-IL"/>
        </w:rPr>
        <w:t>6. « C’est une proposition devenue banale à force d’être répétée</w:t>
      </w:r>
      <w:r>
        <w:rPr>
          <w:rFonts w:eastAsia="Arial Unicode MS"/>
          <w:bCs/>
          <w:lang w:eastAsia="fr-FR" w:bidi="he-IL"/>
        </w:rPr>
        <w:t xml:space="preserve">, </w:t>
      </w:r>
      <w:r w:rsidRPr="00C8701B">
        <w:rPr>
          <w:rFonts w:eastAsia="Arial Unicode MS"/>
          <w:bCs/>
          <w:lang w:eastAsia="fr-FR" w:bidi="he-IL"/>
        </w:rPr>
        <w:t>que la fausse monnaie prouve l’existence de la véritable. Si celle-ci n’existait pas</w:t>
      </w:r>
      <w:r>
        <w:rPr>
          <w:rFonts w:eastAsia="Arial Unicode MS"/>
          <w:bCs/>
          <w:lang w:eastAsia="fr-FR" w:bidi="he-IL"/>
        </w:rPr>
        <w:t xml:space="preserve">, </w:t>
      </w:r>
      <w:r w:rsidRPr="00C8701B">
        <w:rPr>
          <w:rFonts w:eastAsia="Arial Unicode MS"/>
          <w:bCs/>
          <w:lang w:eastAsia="fr-FR" w:bidi="he-IL"/>
        </w:rPr>
        <w:t>personne ne songerait à fabriquer ni à répandre celle-là. On a appliqué avec raison</w:t>
      </w:r>
      <w:r>
        <w:rPr>
          <w:rFonts w:eastAsia="Arial Unicode MS"/>
          <w:bCs/>
          <w:lang w:eastAsia="fr-FR" w:bidi="he-IL"/>
        </w:rPr>
        <w:t xml:space="preserve"> </w:t>
      </w:r>
      <w:r w:rsidRPr="00C8701B">
        <w:rPr>
          <w:rFonts w:eastAsia="Arial Unicode MS"/>
          <w:bCs/>
          <w:lang w:eastAsia="fr-FR" w:bidi="he-IL"/>
        </w:rPr>
        <w:t>cette proposition aux évangiles apocryphes. Contrefaçon manifeste des évangiles canoniques</w:t>
      </w:r>
      <w:r>
        <w:rPr>
          <w:rFonts w:eastAsia="Arial Unicode MS"/>
          <w:bCs/>
          <w:lang w:eastAsia="fr-FR" w:bidi="he-IL"/>
        </w:rPr>
        <w:t xml:space="preserve">, </w:t>
      </w:r>
      <w:r w:rsidRPr="00C8701B">
        <w:rPr>
          <w:rFonts w:eastAsia="Arial Unicode MS"/>
          <w:bCs/>
          <w:lang w:eastAsia="fr-FR" w:bidi="he-IL"/>
        </w:rPr>
        <w:t>ces productions bizarres ont essayé e</w:t>
      </w:r>
      <w:r>
        <w:rPr>
          <w:rFonts w:eastAsia="Arial Unicode MS"/>
          <w:bCs/>
          <w:lang w:eastAsia="fr-FR" w:bidi="he-IL"/>
        </w:rPr>
        <w:t>n vain de se ranger à côt</w:t>
      </w:r>
      <w:r w:rsidRPr="00C8701B">
        <w:rPr>
          <w:rFonts w:eastAsia="Arial Unicode MS"/>
          <w:bCs/>
          <w:lang w:eastAsia="fr-FR" w:bidi="he-IL"/>
        </w:rPr>
        <w:t>é des récits inspirés </w:t>
      </w:r>
      <w:r>
        <w:rPr>
          <w:rFonts w:eastAsia="Arial Unicode MS"/>
          <w:bCs/>
          <w:lang w:eastAsia="fr-FR" w:bidi="he-IL"/>
        </w:rPr>
        <w:t xml:space="preserve">; </w:t>
      </w:r>
      <w:r w:rsidRPr="00C8701B">
        <w:rPr>
          <w:rFonts w:eastAsia="Arial Unicode MS"/>
          <w:bCs/>
          <w:lang w:eastAsia="fr-FR" w:bidi="he-IL"/>
        </w:rPr>
        <w:t>elles n’ont abouti qu’à faire mieux ressortir le caractère véridique et divin (des vrais évangiles) » Corluy.</w:t>
      </w:r>
      <w:r w:rsidRPr="00DC4586">
        <w:rPr>
          <w:rStyle w:val="italicus"/>
        </w:rPr>
        <w:t xml:space="preserve"> La Controverse</w:t>
      </w:r>
      <w:r>
        <w:rPr>
          <w:rStyle w:val="italicus"/>
        </w:rPr>
        <w:t xml:space="preserve">, </w:t>
      </w:r>
      <w:r w:rsidRPr="00C8701B">
        <w:rPr>
          <w:rFonts w:eastAsia="Arial Unicode MS"/>
          <w:bCs/>
          <w:lang w:eastAsia="fr-FR" w:bidi="he-IL"/>
        </w:rPr>
        <w:t>n° du 15 oct. 1887</w:t>
      </w:r>
      <w:r>
        <w:rPr>
          <w:rFonts w:eastAsia="Arial Unicode MS"/>
          <w:bCs/>
          <w:lang w:eastAsia="fr-FR" w:bidi="he-IL"/>
        </w:rPr>
        <w:t xml:space="preserve">, </w:t>
      </w:r>
      <w:r w:rsidRPr="00C8701B">
        <w:rPr>
          <w:rFonts w:eastAsia="Arial Unicode MS"/>
          <w:bCs/>
          <w:lang w:eastAsia="fr-FR" w:bidi="he-IL"/>
        </w:rPr>
        <w:t>p. 161.</w:t>
      </w:r>
    </w:p>
  </w:footnote>
  <w:footnote w:id="622">
    <w:p w:rsidR="00941AA6" w:rsidRPr="00933C60" w:rsidRDefault="00941AA6" w:rsidP="00E26E85">
      <w:pPr>
        <w:pStyle w:val="Notedebasdepage"/>
      </w:pPr>
      <w:r w:rsidRPr="00C406FF">
        <w:rPr>
          <w:rStyle w:val="Appelnotedebasdep"/>
        </w:rPr>
        <w:footnoteRef/>
      </w:r>
      <w:r w:rsidRPr="00C8701B">
        <w:rPr>
          <w:rFonts w:eastAsia="Arial Unicode MS"/>
          <w:lang w:eastAsia="fr-FR" w:bidi="he-IL"/>
        </w:rPr>
        <w:t xml:space="preserve"> </w:t>
      </w:r>
      <w:r w:rsidRPr="00C8701B">
        <w:rPr>
          <w:rFonts w:eastAsia="Arial Unicode MS"/>
          <w:bCs/>
          <w:lang w:eastAsia="fr-FR" w:bidi="he-IL"/>
        </w:rPr>
        <w:t>« Vous y cherchez en vain l’enseignement du Sauveur ou sa prédication. L’élément doctrinal y manque entièrement... L’absence complète de l’élément doctrinal dans les évangiles apocryphes interdit toute comparaison (avec les évangiles canoniques) ». Mgr Freppel</w:t>
      </w:r>
      <w:r>
        <w:rPr>
          <w:rFonts w:eastAsia="Arial Unicode MS"/>
          <w:bCs/>
          <w:lang w:eastAsia="fr-FR" w:bidi="he-IL"/>
        </w:rPr>
        <w:t xml:space="preserve">, </w:t>
      </w:r>
      <w:r>
        <w:rPr>
          <w:rStyle w:val="italicus"/>
        </w:rPr>
        <w:t>Les</w:t>
      </w:r>
      <w:r w:rsidRPr="00DC4586">
        <w:rPr>
          <w:rStyle w:val="italicus"/>
        </w:rPr>
        <w:t xml:space="preserve"> Pères apostoliques</w:t>
      </w:r>
      <w:r>
        <w:rPr>
          <w:rStyle w:val="italicus"/>
        </w:rPr>
        <w:t xml:space="preserve">, </w:t>
      </w:r>
      <w:r w:rsidRPr="00C8701B">
        <w:rPr>
          <w:rFonts w:eastAsia="Arial Unicode MS"/>
          <w:bCs/>
          <w:lang w:eastAsia="fr-FR" w:bidi="he-IL"/>
        </w:rPr>
        <w:t>p. 31 et 36.</w:t>
      </w:r>
    </w:p>
  </w:footnote>
  <w:footnote w:id="623">
    <w:p w:rsidR="00941AA6" w:rsidRPr="00933C60" w:rsidRDefault="00941AA6">
      <w:pPr>
        <w:pStyle w:val="Notedebasdepage"/>
      </w:pPr>
      <w:r w:rsidRPr="00C406FF">
        <w:rPr>
          <w:rStyle w:val="Appelnotedebasdep"/>
        </w:rPr>
        <w:footnoteRef/>
      </w:r>
      <w:r w:rsidRPr="00C8701B">
        <w:rPr>
          <w:rFonts w:eastAsia="Arial Unicode MS"/>
          <w:bCs/>
          <w:lang w:eastAsia="fr-FR" w:bidi="he-IL"/>
        </w:rPr>
        <w:t xml:space="preserve"> J. Variot</w:t>
      </w:r>
      <w:r>
        <w:rPr>
          <w:rFonts w:eastAsia="Arial Unicode MS"/>
          <w:bCs/>
          <w:lang w:eastAsia="fr-FR" w:bidi="he-IL"/>
        </w:rPr>
        <w:t xml:space="preserve">, </w:t>
      </w:r>
      <w:r w:rsidRPr="00DC4586">
        <w:rPr>
          <w:rStyle w:val="italicus"/>
        </w:rPr>
        <w:t>Les Évangiles apocryphes</w:t>
      </w:r>
      <w:r>
        <w:rPr>
          <w:rStyle w:val="italicus"/>
        </w:rPr>
        <w:t xml:space="preserve">, </w:t>
      </w:r>
      <w:r w:rsidRPr="00C8701B">
        <w:rPr>
          <w:rFonts w:eastAsia="Arial Unicode MS"/>
          <w:bCs/>
          <w:lang w:eastAsia="fr-FR" w:bidi="he-IL"/>
        </w:rPr>
        <w:t>p. 481-493. Voyez aussi d’intéressants parallèles du même genre dans Farrar</w:t>
      </w:r>
      <w:r>
        <w:rPr>
          <w:rFonts w:eastAsia="Arial Unicode MS"/>
          <w:bCs/>
          <w:lang w:eastAsia="fr-FR" w:bidi="he-IL"/>
        </w:rPr>
        <w:t xml:space="preserve">, </w:t>
      </w:r>
      <w:r>
        <w:rPr>
          <w:rStyle w:val="italicus"/>
        </w:rPr>
        <w:t>The</w:t>
      </w:r>
      <w:r w:rsidRPr="00DC4586">
        <w:rPr>
          <w:rStyle w:val="italicus"/>
        </w:rPr>
        <w:t xml:space="preserve"> Life of Christ</w:t>
      </w:r>
      <w:r>
        <w:rPr>
          <w:rStyle w:val="italicus"/>
        </w:rPr>
        <w:t xml:space="preserve">, </w:t>
      </w:r>
      <w:r w:rsidRPr="00C8701B">
        <w:rPr>
          <w:rFonts w:eastAsia="Arial Unicode MS"/>
          <w:bCs/>
          <w:lang w:eastAsia="fr-FR" w:bidi="he-IL"/>
        </w:rPr>
        <w:t>t. I</w:t>
      </w:r>
      <w:r>
        <w:rPr>
          <w:rFonts w:eastAsia="Arial Unicode MS"/>
          <w:bCs/>
          <w:lang w:eastAsia="fr-FR" w:bidi="he-IL"/>
        </w:rPr>
        <w:t xml:space="preserve">, </w:t>
      </w:r>
      <w:r w:rsidRPr="00C8701B">
        <w:rPr>
          <w:rFonts w:eastAsia="Arial Unicode MS"/>
          <w:bCs/>
          <w:lang w:eastAsia="fr-FR" w:bidi="he-IL"/>
        </w:rPr>
        <w:t>p. 58-60 de la 23</w:t>
      </w:r>
      <w:r w:rsidRPr="00C8701B">
        <w:rPr>
          <w:rFonts w:eastAsia="Arial Unicode MS"/>
          <w:bCs/>
          <w:vertAlign w:val="superscript"/>
          <w:lang w:eastAsia="fr-FR" w:bidi="he-IL"/>
        </w:rPr>
        <w:t>e</w:t>
      </w:r>
      <w:r w:rsidRPr="00C8701B">
        <w:rPr>
          <w:rFonts w:eastAsia="Arial Unicode MS"/>
          <w:bCs/>
          <w:lang w:eastAsia="fr-FR" w:bidi="he-IL"/>
        </w:rPr>
        <w:t xml:space="preserve"> édit. </w:t>
      </w:r>
      <w:r>
        <w:rPr>
          <w:rFonts w:eastAsia="Arial Unicode MS"/>
          <w:bCs/>
          <w:lang w:eastAsia="fr-FR" w:bidi="he-IL"/>
        </w:rPr>
        <w:t xml:space="preserve">; </w:t>
      </w:r>
      <w:r w:rsidRPr="00C8701B">
        <w:rPr>
          <w:rFonts w:eastAsia="Arial Unicode MS"/>
          <w:bCs/>
          <w:lang w:eastAsia="fr-FR" w:bidi="he-IL"/>
        </w:rPr>
        <w:t>Westcott</w:t>
      </w:r>
      <w:r>
        <w:rPr>
          <w:rFonts w:eastAsia="Arial Unicode MS"/>
          <w:bCs/>
          <w:lang w:eastAsia="fr-FR" w:bidi="he-IL"/>
        </w:rPr>
        <w:t xml:space="preserve">, </w:t>
      </w:r>
      <w:r w:rsidRPr="00DC4586">
        <w:rPr>
          <w:rStyle w:val="italicus"/>
        </w:rPr>
        <w:t>An Introduction to the Study of the Gospels</w:t>
      </w:r>
      <w:r>
        <w:rPr>
          <w:rStyle w:val="italicus"/>
        </w:rPr>
        <w:t>,</w:t>
      </w:r>
      <w:r w:rsidRPr="00312F54">
        <w:t xml:space="preserve"> p. 473 de la</w:t>
      </w:r>
      <w:r w:rsidRPr="00C8701B">
        <w:rPr>
          <w:rFonts w:eastAsia="Arial Unicode MS"/>
          <w:bCs/>
          <w:lang w:eastAsia="fr-FR" w:bidi="he-IL"/>
        </w:rPr>
        <w:t xml:space="preserve"> 5</w:t>
      </w:r>
      <w:r w:rsidRPr="00312F54">
        <w:rPr>
          <w:rFonts w:eastAsia="Arial Unicode MS"/>
          <w:bCs/>
          <w:vertAlign w:val="superscript"/>
          <w:lang w:eastAsia="fr-FR" w:bidi="he-IL"/>
        </w:rPr>
        <w:t>e</w:t>
      </w:r>
      <w:r>
        <w:rPr>
          <w:rFonts w:eastAsia="Arial Unicode MS"/>
          <w:bCs/>
          <w:lang w:eastAsia="fr-FR" w:bidi="he-IL"/>
        </w:rPr>
        <w:t xml:space="preserve"> </w:t>
      </w:r>
      <w:r w:rsidRPr="00C8701B">
        <w:rPr>
          <w:rFonts w:eastAsia="Arial Unicode MS"/>
          <w:bCs/>
          <w:lang w:eastAsia="fr-FR" w:bidi="he-IL"/>
        </w:rPr>
        <w:t>édition </w:t>
      </w:r>
      <w:r>
        <w:rPr>
          <w:rFonts w:eastAsia="Arial Unicode MS"/>
          <w:bCs/>
          <w:lang w:eastAsia="fr-FR" w:bidi="he-IL"/>
        </w:rPr>
        <w:t xml:space="preserve">; </w:t>
      </w:r>
      <w:r w:rsidRPr="00C8701B">
        <w:rPr>
          <w:rFonts w:eastAsia="Arial Unicode MS"/>
          <w:bCs/>
          <w:lang w:eastAsia="fr-FR" w:bidi="he-IL"/>
        </w:rPr>
        <w:t>Mgr Freppel</w:t>
      </w:r>
      <w:r>
        <w:rPr>
          <w:rFonts w:eastAsia="Arial Unicode MS"/>
          <w:bCs/>
          <w:lang w:eastAsia="fr-FR" w:bidi="he-IL"/>
        </w:rPr>
        <w:t xml:space="preserve">, </w:t>
      </w:r>
      <w:r w:rsidRPr="00DC4586">
        <w:rPr>
          <w:rStyle w:val="italicus"/>
        </w:rPr>
        <w:t>Les Pères apostoliques</w:t>
      </w:r>
      <w:r>
        <w:rPr>
          <w:rStyle w:val="italicus"/>
        </w:rPr>
        <w:t xml:space="preserve">, </w:t>
      </w:r>
      <w:r w:rsidRPr="00C8701B">
        <w:rPr>
          <w:rFonts w:eastAsia="Arial Unicode MS"/>
          <w:bCs/>
          <w:lang w:eastAsia="fr-FR" w:bidi="he-IL"/>
        </w:rPr>
        <w:t>p. 36 et ss. </w:t>
      </w:r>
      <w:r>
        <w:rPr>
          <w:rFonts w:eastAsia="Arial Unicode MS"/>
          <w:bCs/>
          <w:lang w:eastAsia="fr-FR" w:bidi="he-IL"/>
        </w:rPr>
        <w:t xml:space="preserve">; </w:t>
      </w:r>
      <w:r w:rsidRPr="00C8701B">
        <w:rPr>
          <w:rFonts w:eastAsia="Arial Unicode MS"/>
          <w:bCs/>
          <w:lang w:eastAsia="fr-FR" w:bidi="he-IL"/>
        </w:rPr>
        <w:t>Corluy</w:t>
      </w:r>
      <w:r>
        <w:rPr>
          <w:rFonts w:eastAsia="Arial Unicode MS"/>
          <w:bCs/>
          <w:lang w:eastAsia="fr-FR" w:bidi="he-IL"/>
        </w:rPr>
        <w:t xml:space="preserve">, </w:t>
      </w:r>
      <w:r w:rsidRPr="00DC4586">
        <w:rPr>
          <w:rStyle w:val="italicus"/>
        </w:rPr>
        <w:t>La Controverse</w:t>
      </w:r>
      <w:r>
        <w:rPr>
          <w:rStyle w:val="italicus"/>
        </w:rPr>
        <w:t xml:space="preserve">, </w:t>
      </w:r>
      <w:r>
        <w:rPr>
          <w:rFonts w:eastAsia="Arial Unicode MS"/>
          <w:bCs/>
          <w:lang w:eastAsia="fr-FR" w:bidi="he-IL"/>
        </w:rPr>
        <w:t>15 nov. 18</w:t>
      </w:r>
      <w:r w:rsidRPr="00C8701B">
        <w:rPr>
          <w:rFonts w:eastAsia="Arial Unicode MS"/>
          <w:bCs/>
          <w:lang w:eastAsia="fr-FR" w:bidi="he-IL"/>
        </w:rPr>
        <w:t>87</w:t>
      </w:r>
      <w:r>
        <w:rPr>
          <w:rFonts w:eastAsia="Arial Unicode MS"/>
          <w:bCs/>
          <w:lang w:eastAsia="fr-FR" w:bidi="he-IL"/>
        </w:rPr>
        <w:t>, p. 341-343.</w:t>
      </w:r>
    </w:p>
  </w:footnote>
  <w:footnote w:id="624">
    <w:p w:rsidR="00941AA6" w:rsidRPr="00933C60" w:rsidRDefault="00941AA6">
      <w:pPr>
        <w:pStyle w:val="Notedebasdepage"/>
      </w:pPr>
      <w:r w:rsidRPr="00C406FF">
        <w:rPr>
          <w:rStyle w:val="Appelnotedebasdep"/>
        </w:rPr>
        <w:footnoteRef/>
      </w:r>
      <w:r>
        <w:rPr>
          <w:rFonts w:eastAsia="Arial Unicode MS"/>
          <w:bCs/>
          <w:lang w:eastAsia="fr-FR" w:bidi="he-IL"/>
        </w:rPr>
        <w:t xml:space="preserve"> </w:t>
      </w:r>
      <w:r w:rsidRPr="00C8701B">
        <w:rPr>
          <w:rFonts w:eastAsia="Arial Unicode MS"/>
          <w:bCs/>
          <w:lang w:eastAsia="fr-FR" w:bidi="he-IL"/>
        </w:rPr>
        <w:t>« Les quatre évangiles actuels</w:t>
      </w:r>
      <w:r>
        <w:rPr>
          <w:rFonts w:eastAsia="Arial Unicode MS"/>
          <w:bCs/>
          <w:lang w:eastAsia="fr-FR" w:bidi="he-IL"/>
        </w:rPr>
        <w:t xml:space="preserve">, </w:t>
      </w:r>
      <w:r w:rsidRPr="00C8701B">
        <w:rPr>
          <w:rFonts w:eastAsia="Arial Unicode MS"/>
          <w:bCs/>
          <w:lang w:eastAsia="fr-FR" w:bidi="he-IL"/>
        </w:rPr>
        <w:t>a osé dire Lutzelberger</w:t>
      </w:r>
      <w:r>
        <w:rPr>
          <w:rFonts w:eastAsia="Arial Unicode MS"/>
          <w:bCs/>
          <w:lang w:eastAsia="fr-FR" w:bidi="he-IL"/>
        </w:rPr>
        <w:t xml:space="preserve">, </w:t>
      </w:r>
      <w:r w:rsidRPr="00C8701B">
        <w:rPr>
          <w:rFonts w:eastAsia="Arial Unicode MS"/>
          <w:bCs/>
          <w:lang w:eastAsia="fr-FR" w:bidi="he-IL"/>
        </w:rPr>
        <w:t>ne sont pas plus édifiants que les apocryphes</w:t>
      </w:r>
      <w:r>
        <w:rPr>
          <w:rFonts w:eastAsia="Arial Unicode MS"/>
          <w:bCs/>
          <w:lang w:eastAsia="fr-FR" w:bidi="he-IL"/>
        </w:rPr>
        <w:t>, car ce sont to</w:t>
      </w:r>
      <w:r w:rsidRPr="00C8701B">
        <w:rPr>
          <w:rFonts w:eastAsia="Arial Unicode MS"/>
          <w:bCs/>
          <w:lang w:eastAsia="fr-FR" w:bidi="he-IL"/>
        </w:rPr>
        <w:t>us des édifices conçus et exécutés d’après le même plan » (cité par Mgr Freppel</w:t>
      </w:r>
      <w:r>
        <w:rPr>
          <w:rFonts w:eastAsia="Arial Unicode MS"/>
          <w:bCs/>
          <w:lang w:eastAsia="fr-FR" w:bidi="he-IL"/>
        </w:rPr>
        <w:t xml:space="preserve">, </w:t>
      </w:r>
      <w:r w:rsidRPr="00DC4586">
        <w:rPr>
          <w:rStyle w:val="italicus"/>
        </w:rPr>
        <w:t>Les Pères apostoliques</w:t>
      </w:r>
      <w:r>
        <w:rPr>
          <w:rStyle w:val="italicus"/>
        </w:rPr>
        <w:t xml:space="preserve">, </w:t>
      </w:r>
      <w:r w:rsidRPr="00C8701B">
        <w:rPr>
          <w:rFonts w:eastAsia="Arial Unicode MS"/>
          <w:bCs/>
          <w:lang w:eastAsia="fr-FR" w:bidi="he-IL"/>
        </w:rPr>
        <w:t>p. 36</w:t>
      </w:r>
      <w:r>
        <w:rPr>
          <w:rFonts w:eastAsia="Arial Unicode MS"/>
          <w:bCs/>
          <w:lang w:eastAsia="fr-FR" w:bidi="he-IL"/>
        </w:rPr>
        <w:t>, not</w:t>
      </w:r>
      <w:r w:rsidRPr="00C8701B">
        <w:rPr>
          <w:rFonts w:eastAsia="Arial Unicode MS"/>
          <w:bCs/>
          <w:lang w:eastAsia="fr-FR" w:bidi="he-IL"/>
        </w:rPr>
        <w:t>e).</w:t>
      </w:r>
    </w:p>
  </w:footnote>
  <w:footnote w:id="625">
    <w:p w:rsidR="00941AA6" w:rsidRPr="00933C60" w:rsidRDefault="00941AA6" w:rsidP="00895E11">
      <w:pPr>
        <w:pStyle w:val="Notedebasdepage"/>
      </w:pPr>
      <w:r w:rsidRPr="00C406FF">
        <w:rPr>
          <w:rStyle w:val="Appelnotedebasdep"/>
        </w:rPr>
        <w:footnoteRef/>
      </w:r>
      <w:r w:rsidRPr="00895E11">
        <w:t xml:space="preserve"> </w:t>
      </w:r>
      <w:r w:rsidRPr="00895E11">
        <w:rPr>
          <w:rStyle w:val="italicus"/>
        </w:rPr>
        <w:t xml:space="preserve">In Luc, </w:t>
      </w:r>
      <w:r w:rsidRPr="00895E11">
        <w:t xml:space="preserve">I. Cf. S. Irénée, </w:t>
      </w:r>
      <w:r w:rsidRPr="00895E11">
        <w:rPr>
          <w:rStyle w:val="italicus"/>
        </w:rPr>
        <w:t>Adv. Hær.,</w:t>
      </w:r>
      <w:r w:rsidRPr="00895E11">
        <w:t xml:space="preserve"> I, 17 ; S. Épiphane, </w:t>
      </w:r>
      <w:r w:rsidRPr="00895E11">
        <w:rPr>
          <w:rStyle w:val="italicus"/>
        </w:rPr>
        <w:t xml:space="preserve">Hær., </w:t>
      </w:r>
      <w:r w:rsidRPr="00895E11">
        <w:t xml:space="preserve">LI, 20 ; LII, 2 ; Eusèbe, </w:t>
      </w:r>
      <w:r w:rsidRPr="00895E11">
        <w:rPr>
          <w:rStyle w:val="italicus"/>
        </w:rPr>
        <w:t xml:space="preserve">Hist. eccl., </w:t>
      </w:r>
      <w:r w:rsidRPr="00895E11">
        <w:t xml:space="preserve">III, 25 ; VI, 15 ; S. Ambroise, </w:t>
      </w:r>
      <w:r w:rsidRPr="00895E11">
        <w:rPr>
          <w:rStyle w:val="italicus"/>
        </w:rPr>
        <w:t xml:space="preserve">In Proœm. </w:t>
      </w:r>
      <w:r w:rsidRPr="00DC4586">
        <w:rPr>
          <w:rStyle w:val="italicus"/>
        </w:rPr>
        <w:t>Luc. </w:t>
      </w:r>
      <w:r>
        <w:rPr>
          <w:rStyle w:val="italicus"/>
        </w:rPr>
        <w:t xml:space="preserve">; </w:t>
      </w:r>
      <w:r w:rsidRPr="00C8701B">
        <w:t>S. Jérôme</w:t>
      </w:r>
      <w:r>
        <w:t xml:space="preserve">, </w:t>
      </w:r>
      <w:r>
        <w:rPr>
          <w:rStyle w:val="italicus"/>
        </w:rPr>
        <w:t>Præ</w:t>
      </w:r>
      <w:r w:rsidRPr="00DC4586">
        <w:rPr>
          <w:rStyle w:val="italicus"/>
        </w:rPr>
        <w:t>f. in Matth.</w:t>
      </w:r>
      <w:r>
        <w:rPr>
          <w:rStyle w:val="italicus"/>
        </w:rPr>
        <w:t>,</w:t>
      </w:r>
      <w:r w:rsidRPr="00312F54">
        <w:t xml:space="preserve"> etc.</w:t>
      </w:r>
    </w:p>
  </w:footnote>
  <w:footnote w:id="626">
    <w:p w:rsidR="00941AA6" w:rsidRPr="00933C60" w:rsidRDefault="00941AA6">
      <w:pPr>
        <w:pStyle w:val="Notedebasdepage"/>
      </w:pPr>
      <w:r w:rsidRPr="00C406FF">
        <w:rPr>
          <w:rStyle w:val="Appelnotedebasdep"/>
        </w:rPr>
        <w:footnoteRef/>
      </w:r>
      <w:r>
        <w:rPr>
          <w:rFonts w:eastAsia="Arial Unicode MS"/>
          <w:bCs/>
          <w:lang w:eastAsia="fr-FR" w:bidi="he-IL"/>
        </w:rPr>
        <w:t xml:space="preserve"> </w:t>
      </w:r>
      <w:r w:rsidRPr="00C8701B">
        <w:rPr>
          <w:rFonts w:eastAsia="Arial Unicode MS"/>
          <w:bCs/>
          <w:lang w:eastAsia="fr-FR" w:bidi="he-IL"/>
        </w:rPr>
        <w:t>Voyez Corluy</w:t>
      </w:r>
      <w:r>
        <w:rPr>
          <w:rFonts w:eastAsia="Arial Unicode MS"/>
          <w:bCs/>
          <w:lang w:eastAsia="fr-FR" w:bidi="he-IL"/>
        </w:rPr>
        <w:t xml:space="preserve">, </w:t>
      </w:r>
      <w:r>
        <w:rPr>
          <w:rStyle w:val="italicus"/>
        </w:rPr>
        <w:t xml:space="preserve">l. c., </w:t>
      </w:r>
      <w:r w:rsidRPr="00C8701B">
        <w:rPr>
          <w:rFonts w:eastAsia="Arial Unicode MS"/>
          <w:bCs/>
          <w:lang w:eastAsia="fr-FR" w:bidi="he-IL"/>
        </w:rPr>
        <w:t>p. 333-340.</w:t>
      </w:r>
    </w:p>
  </w:footnote>
  <w:footnote w:id="627">
    <w:p w:rsidR="00941AA6" w:rsidRPr="00933C60" w:rsidRDefault="00941AA6">
      <w:pPr>
        <w:pStyle w:val="Notedebasdepage"/>
      </w:pPr>
      <w:r w:rsidRPr="00C406FF">
        <w:rPr>
          <w:rStyle w:val="Appelnotedebasdep"/>
        </w:rPr>
        <w:footnoteRef/>
      </w:r>
      <w:r>
        <w:rPr>
          <w:rFonts w:eastAsia="Arial Unicode MS"/>
          <w:bCs/>
          <w:lang w:eastAsia="fr-FR" w:bidi="he-IL"/>
        </w:rPr>
        <w:t xml:space="preserve"> Voye</w:t>
      </w:r>
      <w:r w:rsidRPr="00C8701B">
        <w:rPr>
          <w:rFonts w:eastAsia="Arial Unicode MS"/>
          <w:bCs/>
          <w:lang w:eastAsia="fr-FR" w:bidi="he-IL"/>
        </w:rPr>
        <w:t>z Mgr Freppel</w:t>
      </w:r>
      <w:r>
        <w:rPr>
          <w:rFonts w:eastAsia="Arial Unicode MS"/>
          <w:bCs/>
          <w:lang w:eastAsia="fr-FR" w:bidi="he-IL"/>
        </w:rPr>
        <w:t xml:space="preserve">, </w:t>
      </w:r>
      <w:r w:rsidRPr="00DC4586">
        <w:rPr>
          <w:rStyle w:val="italicus"/>
        </w:rPr>
        <w:t>Les Pères apostoliques</w:t>
      </w:r>
      <w:r>
        <w:rPr>
          <w:rStyle w:val="italicus"/>
        </w:rPr>
        <w:t xml:space="preserve">, </w:t>
      </w:r>
      <w:r w:rsidRPr="00C8701B">
        <w:rPr>
          <w:rFonts w:eastAsia="Arial Unicode MS"/>
          <w:bCs/>
          <w:lang w:eastAsia="fr-FR" w:bidi="he-IL"/>
        </w:rPr>
        <w:t>p. 45-46.</w:t>
      </w:r>
    </w:p>
  </w:footnote>
  <w:footnote w:id="628">
    <w:p w:rsidR="00941AA6" w:rsidRPr="00933C60" w:rsidRDefault="00941AA6">
      <w:pPr>
        <w:pStyle w:val="Notedebasdepage"/>
      </w:pPr>
      <w:r w:rsidRPr="00C406FF">
        <w:rPr>
          <w:rStyle w:val="Appelnotedebasdep"/>
        </w:rPr>
        <w:footnoteRef/>
      </w:r>
      <w:r>
        <w:rPr>
          <w:rFonts w:eastAsia="Arial Unicode MS"/>
          <w:bCs/>
          <w:lang w:eastAsia="fr-FR" w:bidi="he-IL"/>
        </w:rPr>
        <w:t xml:space="preserve"> </w:t>
      </w:r>
      <w:r w:rsidRPr="00DC4586">
        <w:rPr>
          <w:rStyle w:val="italicus"/>
        </w:rPr>
        <w:t>Dissertation sur les Évangiles apocryphes.</w:t>
      </w:r>
    </w:p>
  </w:footnote>
  <w:footnote w:id="629">
    <w:p w:rsidR="00941AA6" w:rsidRPr="00933C60" w:rsidRDefault="00941AA6">
      <w:pPr>
        <w:pStyle w:val="Notedebasdepage"/>
      </w:pPr>
      <w:r w:rsidRPr="00C406FF">
        <w:rPr>
          <w:rStyle w:val="Appelnotedebasdep"/>
        </w:rPr>
        <w:footnoteRef/>
      </w:r>
      <w:r w:rsidRPr="00C8701B">
        <w:rPr>
          <w:rFonts w:eastAsia="Arial Unicode MS"/>
          <w:bCs/>
          <w:lang w:eastAsia="fr-FR" w:bidi="he-IL"/>
        </w:rPr>
        <w:t xml:space="preserve"> Voyez notre commentaire de l’</w:t>
      </w:r>
      <w:r>
        <w:rPr>
          <w:rFonts w:eastAsia="Arial Unicode MS"/>
          <w:bCs/>
          <w:lang w:eastAsia="fr-FR" w:bidi="he-IL"/>
        </w:rPr>
        <w:t>Évangile</w:t>
      </w:r>
      <w:r w:rsidRPr="00C8701B">
        <w:rPr>
          <w:rFonts w:eastAsia="Arial Unicode MS"/>
          <w:bCs/>
          <w:lang w:eastAsia="fr-FR" w:bidi="he-IL"/>
        </w:rPr>
        <w:t xml:space="preserve"> selon S. Luc</w:t>
      </w:r>
      <w:r>
        <w:rPr>
          <w:rFonts w:eastAsia="Arial Unicode MS"/>
          <w:bCs/>
          <w:lang w:eastAsia="fr-FR" w:bidi="he-IL"/>
        </w:rPr>
        <w:t xml:space="preserve">, </w:t>
      </w:r>
      <w:r w:rsidRPr="00C8701B">
        <w:rPr>
          <w:rFonts w:eastAsia="Arial Unicode MS"/>
          <w:bCs/>
          <w:lang w:eastAsia="fr-FR" w:bidi="he-IL"/>
        </w:rPr>
        <w:t>p. 67.</w:t>
      </w:r>
    </w:p>
  </w:footnote>
  <w:footnote w:id="630">
    <w:p w:rsidR="00941AA6" w:rsidRPr="00933C60" w:rsidRDefault="00941AA6">
      <w:pPr>
        <w:pStyle w:val="Notedebasdepage"/>
      </w:pPr>
      <w:r w:rsidRPr="00C406FF">
        <w:rPr>
          <w:rStyle w:val="Appelnotedebasdep"/>
        </w:rPr>
        <w:footnoteRef/>
      </w:r>
      <w:r w:rsidRPr="00C8701B">
        <w:rPr>
          <w:rFonts w:eastAsia="Arial Unicode MS"/>
          <w:bCs/>
          <w:lang w:eastAsia="fr-FR" w:bidi="he-IL"/>
        </w:rPr>
        <w:t xml:space="preserve"> Voyez Corluy</w:t>
      </w:r>
      <w:r>
        <w:rPr>
          <w:rFonts w:eastAsia="Arial Unicode MS"/>
          <w:bCs/>
          <w:lang w:eastAsia="fr-FR" w:bidi="he-IL"/>
        </w:rPr>
        <w:t xml:space="preserve">, </w:t>
      </w:r>
      <w:r w:rsidRPr="00DC4586">
        <w:rPr>
          <w:rStyle w:val="italicus"/>
        </w:rPr>
        <w:t>La Controverse</w:t>
      </w:r>
      <w:r>
        <w:rPr>
          <w:rStyle w:val="italicus"/>
        </w:rPr>
        <w:t xml:space="preserve">, </w:t>
      </w:r>
      <w:r w:rsidRPr="00C8701B">
        <w:rPr>
          <w:rFonts w:eastAsia="Arial Unicode MS"/>
          <w:bCs/>
          <w:lang w:eastAsia="fr-FR" w:bidi="he-IL"/>
        </w:rPr>
        <w:t>n° du 15 oct. 1887</w:t>
      </w:r>
      <w:r>
        <w:rPr>
          <w:rFonts w:eastAsia="Arial Unicode MS"/>
          <w:bCs/>
          <w:lang w:eastAsia="fr-FR" w:bidi="he-IL"/>
        </w:rPr>
        <w:t xml:space="preserve">, </w:t>
      </w:r>
      <w:r w:rsidRPr="00C8701B">
        <w:rPr>
          <w:rFonts w:eastAsia="Arial Unicode MS"/>
          <w:bCs/>
          <w:lang w:eastAsia="fr-FR" w:bidi="he-IL"/>
        </w:rPr>
        <w:t>p. 177 et ss.</w:t>
      </w:r>
    </w:p>
  </w:footnote>
  <w:footnote w:id="631">
    <w:p w:rsidR="00941AA6" w:rsidRPr="00933C60" w:rsidRDefault="00941AA6">
      <w:pPr>
        <w:pStyle w:val="Notedebasdepage"/>
      </w:pPr>
      <w:r w:rsidRPr="00C406FF">
        <w:rPr>
          <w:rStyle w:val="Appelnotedebasdep"/>
        </w:rPr>
        <w:footnoteRef/>
      </w:r>
      <w:r>
        <w:rPr>
          <w:rFonts w:eastAsia="Arial Unicode MS"/>
          <w:bCs/>
          <w:lang w:eastAsia="fr-FR" w:bidi="he-IL"/>
        </w:rPr>
        <w:t xml:space="preserve"> </w:t>
      </w:r>
      <w:r w:rsidRPr="00312F54">
        <w:t>G</w:t>
      </w:r>
      <w:r>
        <w:t>.</w:t>
      </w:r>
      <w:r w:rsidRPr="00312F54">
        <w:t xml:space="preserve"> Brunet</w:t>
      </w:r>
      <w:r>
        <w:t>,</w:t>
      </w:r>
      <w:r w:rsidRPr="00312F54">
        <w:t xml:space="preserve"> </w:t>
      </w:r>
      <w:r w:rsidRPr="00DC4586">
        <w:rPr>
          <w:rStyle w:val="italicus"/>
        </w:rPr>
        <w:t>Évangiles apocryphes</w:t>
      </w:r>
      <w:r>
        <w:rPr>
          <w:rStyle w:val="italicus"/>
        </w:rPr>
        <w:t xml:space="preserve">, </w:t>
      </w:r>
      <w:r w:rsidRPr="00C8701B">
        <w:rPr>
          <w:rFonts w:eastAsia="Arial Unicode MS"/>
          <w:bCs/>
          <w:lang w:eastAsia="fr-FR" w:bidi="he-IL"/>
        </w:rPr>
        <w:t xml:space="preserve">p. </w:t>
      </w:r>
      <w:r>
        <w:rPr>
          <w:rFonts w:eastAsia="Arial Unicode MS"/>
          <w:bCs/>
          <w:lang w:eastAsia="fr-FR" w:bidi="he-IL"/>
        </w:rPr>
        <w:t>V</w:t>
      </w:r>
      <w:r w:rsidRPr="00C8701B">
        <w:rPr>
          <w:rFonts w:eastAsia="Arial Unicode MS"/>
          <w:bCs/>
          <w:lang w:eastAsia="fr-FR" w:bidi="he-IL"/>
        </w:rPr>
        <w:t>-</w:t>
      </w:r>
      <w:r>
        <w:rPr>
          <w:rFonts w:eastAsia="Arial Unicode MS"/>
          <w:bCs/>
          <w:lang w:eastAsia="fr-FR" w:bidi="he-IL"/>
        </w:rPr>
        <w:t>VI</w:t>
      </w:r>
      <w:r w:rsidRPr="00C8701B">
        <w:rPr>
          <w:rFonts w:eastAsia="Arial Unicode MS"/>
          <w:bCs/>
          <w:lang w:eastAsia="fr-FR" w:bidi="he-IL"/>
        </w:rPr>
        <w:t>. Voyez aussi Mgr Freppel</w:t>
      </w:r>
      <w:r>
        <w:rPr>
          <w:rFonts w:eastAsia="Arial Unicode MS"/>
          <w:bCs/>
          <w:lang w:eastAsia="fr-FR" w:bidi="he-IL"/>
        </w:rPr>
        <w:t xml:space="preserve">, </w:t>
      </w:r>
      <w:r w:rsidRPr="00DC4586">
        <w:rPr>
          <w:rStyle w:val="italicus"/>
        </w:rPr>
        <w:t>l. c.</w:t>
      </w:r>
      <w:r>
        <w:rPr>
          <w:rStyle w:val="italicus"/>
        </w:rPr>
        <w:t xml:space="preserve">, </w:t>
      </w:r>
      <w:r>
        <w:rPr>
          <w:rFonts w:eastAsia="Arial Unicode MS"/>
          <w:bCs/>
          <w:lang w:eastAsia="fr-FR" w:bidi="he-IL"/>
        </w:rPr>
        <w:t>p. 63-64.</w:t>
      </w:r>
    </w:p>
  </w:footnote>
  <w:footnote w:id="632">
    <w:p w:rsidR="00941AA6" w:rsidRPr="00933C60" w:rsidRDefault="00941AA6">
      <w:pPr>
        <w:pStyle w:val="Notedebasdepage"/>
      </w:pPr>
      <w:r w:rsidRPr="00C406FF">
        <w:rPr>
          <w:rStyle w:val="Appelnotedebasdep"/>
        </w:rPr>
        <w:footnoteRef/>
      </w:r>
      <w:r w:rsidRPr="00C8701B">
        <w:rPr>
          <w:rFonts w:eastAsia="Arial Unicode MS"/>
          <w:bCs/>
          <w:lang w:val="el-GR" w:eastAsia="fr-FR" w:bidi="he-IL"/>
        </w:rPr>
        <w:t xml:space="preserve"> </w:t>
      </w:r>
      <w:r w:rsidRPr="00C8701B">
        <w:rPr>
          <w:rFonts w:eastAsia="Arial Unicode MS"/>
          <w:bCs/>
          <w:lang w:eastAsia="fr-FR" w:bidi="he-IL"/>
        </w:rPr>
        <w:t>Voyez Mgr Freppel</w:t>
      </w:r>
      <w:r>
        <w:rPr>
          <w:rFonts w:eastAsia="Arial Unicode MS"/>
          <w:bCs/>
          <w:lang w:eastAsia="fr-FR" w:bidi="he-IL"/>
        </w:rPr>
        <w:t xml:space="preserve">, </w:t>
      </w:r>
      <w:r w:rsidRPr="00312F54">
        <w:rPr>
          <w:rStyle w:val="italicus"/>
        </w:rPr>
        <w:t>loc. cit.</w:t>
      </w:r>
      <w:r>
        <w:rPr>
          <w:rStyle w:val="italicus"/>
        </w:rPr>
        <w:t xml:space="preserve">, </w:t>
      </w:r>
      <w:r w:rsidRPr="00C8701B">
        <w:rPr>
          <w:rFonts w:eastAsia="Arial Unicode MS"/>
          <w:bCs/>
          <w:lang w:eastAsia="fr-FR" w:bidi="he-IL"/>
        </w:rPr>
        <w:t>p. 64-66 </w:t>
      </w:r>
      <w:r>
        <w:rPr>
          <w:rFonts w:eastAsia="Arial Unicode MS"/>
          <w:bCs/>
          <w:lang w:eastAsia="fr-FR" w:bidi="he-IL"/>
        </w:rPr>
        <w:t xml:space="preserve">; </w:t>
      </w:r>
      <w:r w:rsidRPr="00C8701B">
        <w:rPr>
          <w:rFonts w:eastAsia="Arial Unicode MS"/>
          <w:bCs/>
          <w:lang w:eastAsia="fr-FR" w:bidi="he-IL"/>
        </w:rPr>
        <w:t>J. Variot</w:t>
      </w:r>
      <w:r>
        <w:rPr>
          <w:rFonts w:eastAsia="Arial Unicode MS"/>
          <w:bCs/>
          <w:lang w:eastAsia="fr-FR" w:bidi="he-IL"/>
        </w:rPr>
        <w:t xml:space="preserve">, </w:t>
      </w:r>
      <w:r w:rsidRPr="00DC4586">
        <w:rPr>
          <w:rStyle w:val="italicus"/>
        </w:rPr>
        <w:t>Les Évangiles apocryphes</w:t>
      </w:r>
      <w:r>
        <w:rPr>
          <w:rStyle w:val="italicus"/>
        </w:rPr>
        <w:t xml:space="preserve">, </w:t>
      </w:r>
      <w:r w:rsidRPr="00C8701B">
        <w:rPr>
          <w:rFonts w:eastAsia="Arial Unicode MS"/>
          <w:bCs/>
          <w:lang w:eastAsia="fr-FR" w:bidi="he-IL"/>
        </w:rPr>
        <w:t>p. 427</w:t>
      </w:r>
      <w:r>
        <w:rPr>
          <w:rFonts w:eastAsia="Arial Unicode MS"/>
          <w:bCs/>
          <w:lang w:eastAsia="fr-FR" w:bidi="he-IL"/>
        </w:rPr>
        <w:t xml:space="preserve"> et ss.</w:t>
      </w:r>
    </w:p>
  </w:footnote>
  <w:footnote w:id="633">
    <w:p w:rsidR="00941AA6" w:rsidRPr="00F44482" w:rsidRDefault="00941AA6">
      <w:pPr>
        <w:pStyle w:val="Notedebasdepage"/>
        <w:rPr>
          <w:lang w:val="en-GB"/>
        </w:rPr>
      </w:pPr>
      <w:r w:rsidRPr="00C406FF">
        <w:rPr>
          <w:rStyle w:val="Appelnotedebasdep"/>
        </w:rPr>
        <w:footnoteRef/>
      </w:r>
      <w:r w:rsidRPr="00CB7711">
        <w:rPr>
          <w:rFonts w:eastAsia="Arial Unicode MS"/>
          <w:bCs/>
          <w:lang w:val="en-GB" w:eastAsia="fr-FR" w:bidi="he-IL"/>
        </w:rPr>
        <w:t xml:space="preserve"> T. I, p. 720-723, article du Rév. W. Thomson, </w:t>
      </w:r>
      <w:r>
        <w:rPr>
          <w:rStyle w:val="italicus"/>
          <w:lang w:val="en-US"/>
        </w:rPr>
        <w:t>The New Testament with Notes</w:t>
      </w:r>
      <w:r w:rsidRPr="00A74F01">
        <w:rPr>
          <w:rStyle w:val="italicus"/>
          <w:lang w:val="en-US"/>
        </w:rPr>
        <w:t xml:space="preserve"> and Comments, </w:t>
      </w:r>
      <w:r w:rsidRPr="00C8701B">
        <w:rPr>
          <w:rFonts w:eastAsia="Arial Unicode MS"/>
          <w:bCs/>
          <w:lang w:val="en-US" w:eastAsia="fr-FR" w:bidi="he-IL"/>
        </w:rPr>
        <w:t>t</w:t>
      </w:r>
      <w:r>
        <w:rPr>
          <w:rFonts w:eastAsia="Arial Unicode MS"/>
          <w:bCs/>
          <w:lang w:val="en-US" w:eastAsia="fr-FR" w:bidi="he-IL"/>
        </w:rPr>
        <w:t xml:space="preserve">, </w:t>
      </w:r>
      <w:r w:rsidRPr="00C8701B">
        <w:rPr>
          <w:rFonts w:eastAsia="Arial Unicode MS"/>
          <w:bCs/>
          <w:lang w:val="en-US" w:eastAsia="fr-FR" w:bidi="he-IL"/>
        </w:rPr>
        <w:t>I</w:t>
      </w:r>
      <w:r>
        <w:rPr>
          <w:rFonts w:eastAsia="Arial Unicode MS"/>
          <w:bCs/>
          <w:lang w:val="en-US" w:eastAsia="fr-FR" w:bidi="he-IL"/>
        </w:rPr>
        <w:t xml:space="preserve">, </w:t>
      </w:r>
      <w:r>
        <w:rPr>
          <w:rStyle w:val="italicus"/>
          <w:lang w:val="en-US"/>
        </w:rPr>
        <w:t>Matt</w:t>
      </w:r>
      <w:r w:rsidRPr="00A74F01">
        <w:rPr>
          <w:rStyle w:val="italicus"/>
          <w:lang w:val="en-US"/>
        </w:rPr>
        <w:t xml:space="preserve">hew and Mark, </w:t>
      </w:r>
      <w:r w:rsidRPr="00C8701B">
        <w:rPr>
          <w:rFonts w:eastAsia="Arial Unicode MS"/>
          <w:bCs/>
          <w:lang w:val="en-US" w:eastAsia="fr-FR" w:bidi="he-IL"/>
        </w:rPr>
        <w:t>p. 44-</w:t>
      </w:r>
      <w:r w:rsidRPr="00312F54">
        <w:rPr>
          <w:lang w:val="en-GB"/>
        </w:rPr>
        <w:t>46.</w:t>
      </w:r>
    </w:p>
  </w:footnote>
  <w:footnote w:id="634">
    <w:p w:rsidR="00941AA6" w:rsidRPr="00933C60" w:rsidRDefault="00941AA6">
      <w:pPr>
        <w:pStyle w:val="Notedebasdepage"/>
      </w:pPr>
      <w:r w:rsidRPr="00C406FF">
        <w:rPr>
          <w:rStyle w:val="Appelnotedebasdep"/>
        </w:rPr>
        <w:footnoteRef/>
      </w:r>
      <w:r w:rsidRPr="00DC4586">
        <w:rPr>
          <w:rStyle w:val="italicus"/>
        </w:rPr>
        <w:t xml:space="preserve"> La Vie de N-S</w:t>
      </w:r>
      <w:r>
        <w:rPr>
          <w:rStyle w:val="italicus"/>
        </w:rPr>
        <w:t xml:space="preserve">. Jésus-Christ, </w:t>
      </w:r>
      <w:r>
        <w:rPr>
          <w:rFonts w:eastAsia="Arial Unicode MS"/>
          <w:bCs/>
          <w:lang w:eastAsia="fr-FR" w:bidi="he-IL"/>
        </w:rPr>
        <w:t xml:space="preserve">t. II., </w:t>
      </w:r>
      <w:r w:rsidRPr="00C8701B">
        <w:rPr>
          <w:rFonts w:eastAsia="Arial Unicode MS"/>
          <w:bCs/>
          <w:lang w:eastAsia="fr-FR" w:bidi="he-IL"/>
        </w:rPr>
        <w:t>p.509</w:t>
      </w:r>
      <w:r>
        <w:rPr>
          <w:rFonts w:eastAsia="Arial Unicode MS"/>
          <w:bCs/>
          <w:lang w:eastAsia="fr-FR" w:bidi="he-IL"/>
        </w:rPr>
        <w:t xml:space="preserve"> </w:t>
      </w:r>
      <w:r w:rsidRPr="00C8701B">
        <w:rPr>
          <w:rFonts w:eastAsia="Arial Unicode MS"/>
          <w:bCs/>
          <w:lang w:eastAsia="fr-FR" w:bidi="he-IL"/>
        </w:rPr>
        <w:t>et ss. de</w:t>
      </w:r>
      <w:r>
        <w:rPr>
          <w:rFonts w:eastAsia="Arial Unicode MS"/>
          <w:bCs/>
          <w:lang w:eastAsia="fr-FR" w:bidi="he-IL"/>
        </w:rPr>
        <w:t xml:space="preserve"> la 2</w:t>
      </w:r>
      <w:r w:rsidRPr="00312F54">
        <w:rPr>
          <w:rFonts w:eastAsia="Arial Unicode MS"/>
          <w:bCs/>
          <w:vertAlign w:val="superscript"/>
          <w:lang w:eastAsia="fr-FR" w:bidi="he-IL"/>
        </w:rPr>
        <w:t>e</w:t>
      </w:r>
      <w:r>
        <w:rPr>
          <w:rFonts w:eastAsia="Arial Unicode MS"/>
          <w:bCs/>
          <w:lang w:eastAsia="fr-FR" w:bidi="he-IL"/>
        </w:rPr>
        <w:t xml:space="preserve"> é</w:t>
      </w:r>
      <w:r w:rsidRPr="00C8701B">
        <w:rPr>
          <w:rFonts w:eastAsia="Arial Unicode MS"/>
          <w:bCs/>
          <w:lang w:eastAsia="fr-FR" w:bidi="he-IL"/>
        </w:rPr>
        <w:t>dition.</w:t>
      </w:r>
    </w:p>
  </w:footnote>
  <w:footnote w:id="635">
    <w:p w:rsidR="00941AA6" w:rsidRPr="00933C60" w:rsidRDefault="00941AA6" w:rsidP="00F44482">
      <w:pPr>
        <w:pStyle w:val="Notedebasdepage"/>
      </w:pPr>
      <w:r w:rsidRPr="00C406FF">
        <w:rPr>
          <w:rStyle w:val="Appelnotedebasdep"/>
        </w:rPr>
        <w:footnoteRef/>
      </w:r>
      <w:r w:rsidRPr="00DC4586">
        <w:rPr>
          <w:rStyle w:val="italicus"/>
        </w:rPr>
        <w:t xml:space="preserve"> Manuel bibli</w:t>
      </w:r>
      <w:r>
        <w:rPr>
          <w:rStyle w:val="italicus"/>
        </w:rPr>
        <w:t xml:space="preserve">que, </w:t>
      </w:r>
      <w:r>
        <w:rPr>
          <w:lang w:eastAsia="fr-FR" w:bidi="he-IL"/>
        </w:rPr>
        <w:t>à</w:t>
      </w:r>
      <w:r w:rsidRPr="00C8701B">
        <w:rPr>
          <w:lang w:eastAsia="fr-FR" w:bidi="he-IL"/>
        </w:rPr>
        <w:t xml:space="preserve"> la fin du tome III. </w:t>
      </w:r>
    </w:p>
  </w:footnote>
  <w:footnote w:id="636">
    <w:p w:rsidR="00941AA6" w:rsidRPr="00933C60" w:rsidRDefault="00941AA6" w:rsidP="00F44482">
      <w:pPr>
        <w:pStyle w:val="Notedebasdepage"/>
      </w:pPr>
      <w:r w:rsidRPr="00C406FF">
        <w:rPr>
          <w:rStyle w:val="Appelnotedebasdep"/>
        </w:rPr>
        <w:footnoteRef/>
      </w:r>
      <w:r w:rsidRPr="00DC4586">
        <w:rPr>
          <w:rStyle w:val="italicus"/>
        </w:rPr>
        <w:t xml:space="preserve"> Introd</w:t>
      </w:r>
      <w:r>
        <w:rPr>
          <w:rStyle w:val="italicus"/>
        </w:rPr>
        <w:t>úctio</w:t>
      </w:r>
      <w:r w:rsidRPr="00DC4586">
        <w:rPr>
          <w:rStyle w:val="italicus"/>
        </w:rPr>
        <w:t xml:space="preserve"> speciális in síngulos Novi Te</w:t>
      </w:r>
      <w:r>
        <w:rPr>
          <w:rStyle w:val="italicus"/>
        </w:rPr>
        <w:t>staménti</w:t>
      </w:r>
      <w:r w:rsidRPr="00DC4586">
        <w:rPr>
          <w:rStyle w:val="italicus"/>
        </w:rPr>
        <w:t xml:space="preserve"> libros</w:t>
      </w:r>
      <w:r>
        <w:rPr>
          <w:rStyle w:val="italicus"/>
        </w:rPr>
        <w:t xml:space="preserve">, </w:t>
      </w:r>
      <w:r w:rsidRPr="00C8701B">
        <w:rPr>
          <w:rFonts w:eastAsia="Arial Unicode MS"/>
          <w:bCs/>
          <w:lang w:eastAsia="fr-FR" w:bidi="he-IL"/>
        </w:rPr>
        <w:t>Paris</w:t>
      </w:r>
      <w:r>
        <w:rPr>
          <w:rFonts w:eastAsia="Arial Unicode MS"/>
          <w:bCs/>
          <w:lang w:eastAsia="fr-FR" w:bidi="he-IL"/>
        </w:rPr>
        <w:t>,</w:t>
      </w:r>
      <w:r w:rsidRPr="00C8701B">
        <w:rPr>
          <w:rFonts w:eastAsia="Arial Unicode MS"/>
          <w:bCs/>
          <w:lang w:eastAsia="fr-FR" w:bidi="he-IL"/>
        </w:rPr>
        <w:t xml:space="preserve"> </w:t>
      </w:r>
      <w:r w:rsidRPr="00F44482">
        <w:t>1886</w:t>
      </w:r>
      <w:r>
        <w:rPr>
          <w:rFonts w:eastAsia="Arial Unicode MS"/>
          <w:bCs/>
          <w:lang w:eastAsia="fr-FR" w:bidi="he-IL"/>
        </w:rPr>
        <w:t>, p. 285-302.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A86C770"/>
    <w:lvl w:ilvl="0">
      <w:numFmt w:val="bullet"/>
      <w:lvlText w:val="*"/>
      <w:lvlJc w:val="left"/>
    </w:lvl>
  </w:abstractNum>
  <w:abstractNum w:abstractNumId="1">
    <w:nsid w:val="00000001"/>
    <w:multiLevelType w:val="hybridMultilevel"/>
    <w:tmpl w:val="00000000"/>
    <w:lvl w:ilvl="0" w:tplc="FFFFFFFF">
      <w:start w:val="1"/>
      <w:numFmt w:val="decimal"/>
      <w:lvlText w:val="%1."/>
      <w:lvlJc w:val="left"/>
      <w:pPr>
        <w:tabs>
          <w:tab w:val="num" w:pos="0"/>
        </w:tabs>
      </w:pPr>
    </w:lvl>
    <w:lvl w:ilvl="1" w:tplc="FFFFFFFF">
      <w:start w:val="7"/>
      <w:numFmt w:val="decimal"/>
      <w:lvlText w:val="%2 "/>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6"/>
      <w:numFmt w:val="decimal"/>
      <w:lvlText w:val="%3 "/>
      <w:lvlJc w:val="left"/>
      <w:pPr>
        <w:tabs>
          <w:tab w:val="num" w:pos="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0"/>
      <w:numFmt w:val="decimal"/>
      <w:lvlText w:val="%4 "/>
      <w:lvlJc w:val="left"/>
      <w:pPr>
        <w:tabs>
          <w:tab w:val="num" w:pos="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4"/>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3"/>
      <w:numFmt w:val="decimal"/>
      <w:lvlText w:val="%5 "/>
      <w:lvlJc w:val="left"/>
      <w:pPr>
        <w:tabs>
          <w:tab w:val="num" w:pos="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5"/>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4"/>
      <w:numFmt w:val="decimal"/>
      <w:lvlText w:val="%6 "/>
      <w:lvlJc w:val="left"/>
      <w:pPr>
        <w:tabs>
          <w:tab w:val="num" w:pos="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6"/>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upperRoman"/>
      <w:lvlText w:val="%7 "/>
      <w:lvlJc w:val="left"/>
      <w:pPr>
        <w:tabs>
          <w:tab w:val="num" w:pos="0"/>
        </w:tabs>
      </w:pPr>
    </w:lvl>
    <w:lvl w:ilvl="7" w:tplc="FFFFFFFF">
      <w:numFmt w:val="decimal"/>
      <w:lvlText w:val=""/>
      <w:lvlJc w:val="left"/>
    </w:lvl>
    <w:lvl w:ilvl="8" w:tplc="FFFFFFFF">
      <w:numFmt w:val="decimal"/>
      <w:lvlText w:val=""/>
      <w:lvlJc w:val="left"/>
    </w:lvl>
  </w:abstractNum>
  <w:abstractNum w:abstractNumId="7">
    <w:nsid w:val="00000007"/>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lowerLetter"/>
      <w:lvlText w:val="%7."/>
      <w:lvlJc w:val="left"/>
      <w:pPr>
        <w:tabs>
          <w:tab w:val="num" w:pos="0"/>
        </w:tabs>
      </w:pPr>
    </w:lvl>
    <w:lvl w:ilvl="7" w:tplc="FFFFFFFF">
      <w:start w:val="7"/>
      <w:numFmt w:val="decimal"/>
      <w:lvlText w:val="%8 "/>
      <w:lvlJc w:val="left"/>
      <w:pPr>
        <w:tabs>
          <w:tab w:val="num" w:pos="0"/>
        </w:tabs>
      </w:pPr>
    </w:lvl>
    <w:lvl w:ilvl="8" w:tplc="FFFFFFFF">
      <w:numFmt w:val="decimal"/>
      <w:lvlText w:val=""/>
      <w:lvlJc w:val="left"/>
    </w:lvl>
  </w:abstractNum>
  <w:abstractNum w:abstractNumId="8">
    <w:nsid w:val="00000008"/>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upperRoman"/>
      <w:lvlText w:val="%7 "/>
      <w:lvlJc w:val="left"/>
      <w:pPr>
        <w:tabs>
          <w:tab w:val="num" w:pos="0"/>
        </w:tabs>
      </w:pPr>
    </w:lvl>
    <w:lvl w:ilvl="7" w:tplc="FFFFFFFF">
      <w:numFmt w:val="decimal"/>
      <w:lvlText w:val=""/>
      <w:lvlJc w:val="left"/>
    </w:lvl>
    <w:lvl w:ilvl="8" w:tplc="FFFFFFFF">
      <w:numFmt w:val="decimal"/>
      <w:lvlText w:val=""/>
      <w:lvlJc w:val="left"/>
    </w:lvl>
  </w:abstractNum>
  <w:abstractNum w:abstractNumId="9">
    <w:nsid w:val="00000009"/>
    <w:multiLevelType w:val="hybridMultilevel"/>
    <w:tmpl w:val="00000000"/>
    <w:lvl w:ilvl="0" w:tplc="FFFFFFFF">
      <w:start w:val="1"/>
      <w:numFmt w:val="decimal"/>
      <w:lvlText w:val="%1."/>
      <w:lvlJc w:val="left"/>
      <w:pPr>
        <w:tabs>
          <w:tab w:val="num" w:pos="0"/>
        </w:tabs>
      </w:pPr>
    </w:lvl>
    <w:lvl w:ilvl="1" w:tplc="FFFFFFFF">
      <w:start w:val="1"/>
      <w:numFmt w:val="decimal"/>
      <w:lvlText w:val="%2 "/>
      <w:lvlJc w:val="left"/>
      <w:pPr>
        <w:tabs>
          <w:tab w:val="num" w:pos="0"/>
        </w:tabs>
      </w:pPr>
    </w:lvl>
    <w:lvl w:ilvl="2" w:tplc="FFFFFFFF">
      <w:start w:val="1"/>
      <w:numFmt w:val="decimal"/>
      <w:lvlText w:val="%3 "/>
      <w:lvlJc w:val="left"/>
      <w:pPr>
        <w:tabs>
          <w:tab w:val="num" w:pos="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A"/>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2"/>
      <w:numFmt w:val="decimal"/>
      <w:lvlText w:val="%4 "/>
      <w:lvlJc w:val="left"/>
      <w:pPr>
        <w:tabs>
          <w:tab w:val="num" w:pos="0"/>
        </w:tabs>
      </w:pPr>
    </w:lvl>
    <w:lvl w:ilvl="4" w:tplc="FFFFFFFF">
      <w:start w:val="1"/>
      <w:numFmt w:val="decimal"/>
      <w:lvlText w:val="%5 "/>
      <w:lvlJc w:val="left"/>
      <w:pPr>
        <w:tabs>
          <w:tab w:val="num" w:pos="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B"/>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decimal"/>
      <w:lvlText w:val="%5 "/>
      <w:lvlJc w:val="left"/>
      <w:pPr>
        <w:tabs>
          <w:tab w:val="num" w:pos="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C"/>
    <w:multiLevelType w:val="hybridMultilevel"/>
    <w:tmpl w:val="00000000"/>
    <w:lvl w:ilvl="0" w:tplc="FFFFFFFF">
      <w:start w:val="1"/>
      <w:numFmt w:val="decimal"/>
      <w:lvlText w:val="%1."/>
      <w:lvlJc w:val="left"/>
      <w:pPr>
        <w:tabs>
          <w:tab w:val="num" w:pos="0"/>
        </w:tabs>
      </w:pPr>
    </w:lvl>
    <w:lvl w:ilvl="1" w:tplc="FFFFFFFF">
      <w:start w:val="1"/>
      <w:numFmt w:val="decimal"/>
      <w:lvlText w:val="%2 "/>
      <w:lvlJc w:val="left"/>
      <w:pPr>
        <w:tabs>
          <w:tab w:val="num" w:pos="0"/>
        </w:tabs>
      </w:pPr>
    </w:lvl>
    <w:lvl w:ilvl="2" w:tplc="FFFFFFFF">
      <w:start w:val="1"/>
      <w:numFmt w:val="decimal"/>
      <w:lvlText w:val="%3 "/>
      <w:lvlJc w:val="left"/>
      <w:pPr>
        <w:tabs>
          <w:tab w:val="num" w:pos="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D"/>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decimal"/>
      <w:lvlText w:val="%5 "/>
      <w:lvlJc w:val="left"/>
      <w:pPr>
        <w:tabs>
          <w:tab w:val="num" w:pos="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E"/>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decimal"/>
      <w:lvlText w:val="%7 "/>
      <w:lvlJc w:val="left"/>
      <w:pPr>
        <w:tabs>
          <w:tab w:val="num" w:pos="0"/>
        </w:tabs>
      </w:pPr>
    </w:lvl>
    <w:lvl w:ilvl="7" w:tplc="FFFFFFFF">
      <w:numFmt w:val="decimal"/>
      <w:lvlText w:val=""/>
      <w:lvlJc w:val="left"/>
    </w:lvl>
    <w:lvl w:ilvl="8" w:tplc="FFFFFFFF">
      <w:numFmt w:val="decimal"/>
      <w:lvlText w:val=""/>
      <w:lvlJc w:val="left"/>
    </w:lvl>
  </w:abstractNum>
  <w:abstractNum w:abstractNumId="15">
    <w:nsid w:val="0000000F"/>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lowerLetter"/>
      <w:lvlText w:val="%7."/>
      <w:lvlJc w:val="left"/>
      <w:pPr>
        <w:tabs>
          <w:tab w:val="num" w:pos="0"/>
        </w:tabs>
      </w:pPr>
    </w:lvl>
    <w:lvl w:ilvl="7" w:tplc="FFFFFFFF">
      <w:start w:val="1"/>
      <w:numFmt w:val="decimal"/>
      <w:lvlText w:val="%8 "/>
      <w:lvlJc w:val="left"/>
      <w:pPr>
        <w:tabs>
          <w:tab w:val="num" w:pos="0"/>
        </w:tabs>
      </w:pPr>
    </w:lvl>
    <w:lvl w:ilvl="8" w:tplc="FFFFFFFF">
      <w:numFmt w:val="decimal"/>
      <w:lvlText w:val=""/>
      <w:lvlJc w:val="left"/>
    </w:lvl>
  </w:abstractNum>
  <w:abstractNum w:abstractNumId="16">
    <w:nsid w:val="00000010"/>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lowerLetter"/>
      <w:lvlText w:val="%7."/>
      <w:lvlJc w:val="left"/>
      <w:pPr>
        <w:tabs>
          <w:tab w:val="num" w:pos="0"/>
        </w:tabs>
      </w:pPr>
    </w:lvl>
    <w:lvl w:ilvl="7" w:tplc="FFFFFFFF">
      <w:start w:val="1"/>
      <w:numFmt w:val="upperLetter"/>
      <w:lvlText w:val="%8."/>
      <w:lvlJc w:val="left"/>
      <w:pPr>
        <w:tabs>
          <w:tab w:val="num" w:pos="0"/>
        </w:tabs>
      </w:pPr>
    </w:lvl>
    <w:lvl w:ilvl="8" w:tplc="FFFFFFFF">
      <w:start w:val="1"/>
      <w:numFmt w:val="decimal"/>
      <w:lvlText w:val="%9 "/>
      <w:lvlJc w:val="left"/>
      <w:pPr>
        <w:tabs>
          <w:tab w:val="num" w:pos="0"/>
        </w:tabs>
      </w:pPr>
    </w:lvl>
  </w:abstractNum>
  <w:abstractNum w:abstractNumId="17">
    <w:nsid w:val="00000011"/>
    <w:multiLevelType w:val="hybridMultilevel"/>
    <w:tmpl w:val="00000000"/>
    <w:lvl w:ilvl="0" w:tplc="FFFFFFFF">
      <w:start w:val="1"/>
      <w:numFmt w:val="decimal"/>
      <w:lvlText w:val="%1."/>
      <w:lvlJc w:val="left"/>
      <w:pPr>
        <w:tabs>
          <w:tab w:val="num" w:pos="0"/>
        </w:tabs>
      </w:pPr>
    </w:lvl>
    <w:lvl w:ilvl="1" w:tplc="FFFFFFFF">
      <w:start w:val="1"/>
      <w:numFmt w:val="decimal"/>
      <w:lvlText w:val="%2 "/>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2"/>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decimal"/>
      <w:lvlText w:val="%3 "/>
      <w:lvlJc w:val="left"/>
      <w:pPr>
        <w:tabs>
          <w:tab w:val="num" w:pos="0"/>
        </w:tabs>
      </w:pPr>
    </w:lvl>
    <w:lvl w:ilvl="3" w:tplc="FFFFFFFF">
      <w:start w:val="1"/>
      <w:numFmt w:val="decimal"/>
      <w:lvlText w:val="%4 "/>
      <w:lvlJc w:val="left"/>
      <w:pPr>
        <w:tabs>
          <w:tab w:val="num" w:pos="0"/>
        </w:tabs>
      </w:pPr>
    </w:lvl>
    <w:lvl w:ilvl="4" w:tplc="FFFFFFFF">
      <w:start w:val="1"/>
      <w:numFmt w:val="decimal"/>
      <w:lvlText w:val="%5 "/>
      <w:lvlJc w:val="left"/>
      <w:pPr>
        <w:tabs>
          <w:tab w:val="num" w:pos="0"/>
        </w:tabs>
      </w:pPr>
    </w:lvl>
    <w:lvl w:ilvl="5" w:tplc="FFFFFFFF">
      <w:start w:val="1"/>
      <w:numFmt w:val="decimal"/>
      <w:lvlText w:val="%6 "/>
      <w:lvlJc w:val="left"/>
      <w:pPr>
        <w:tabs>
          <w:tab w:val="num" w:pos="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3"/>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decimal"/>
      <w:lvlText w:val="%7 "/>
      <w:lvlJc w:val="left"/>
      <w:pPr>
        <w:tabs>
          <w:tab w:val="num" w:pos="0"/>
        </w:tabs>
      </w:pPr>
    </w:lvl>
    <w:lvl w:ilvl="7" w:tplc="FFFFFFFF">
      <w:numFmt w:val="decimal"/>
      <w:lvlText w:val=""/>
      <w:lvlJc w:val="left"/>
    </w:lvl>
    <w:lvl w:ilvl="8" w:tplc="FFFFFFFF">
      <w:numFmt w:val="decimal"/>
      <w:lvlText w:val=""/>
      <w:lvlJc w:val="left"/>
    </w:lvl>
  </w:abstractNum>
  <w:abstractNum w:abstractNumId="20">
    <w:nsid w:val="00000014"/>
    <w:multiLevelType w:val="hybridMultilevel"/>
    <w:tmpl w:val="00000000"/>
    <w:lvl w:ilvl="0" w:tplc="FFFFFFFF">
      <w:start w:val="1"/>
      <w:numFmt w:val="decimal"/>
      <w:lvlText w:val="%1."/>
      <w:lvlJc w:val="left"/>
      <w:pPr>
        <w:tabs>
          <w:tab w:val="num" w:pos="0"/>
        </w:tabs>
      </w:pPr>
    </w:lvl>
    <w:lvl w:ilvl="1" w:tplc="FFFFFFFF">
      <w:start w:val="3"/>
      <w:numFmt w:val="decimal"/>
      <w:lvlText w:val="%2 "/>
      <w:lvlJc w:val="left"/>
      <w:pPr>
        <w:tabs>
          <w:tab w:val="num" w:pos="0"/>
        </w:tabs>
      </w:pPr>
    </w:lvl>
    <w:lvl w:ilvl="2" w:tplc="FFFFFFFF">
      <w:start w:val="2"/>
      <w:numFmt w:val="decimal"/>
      <w:lvlText w:val="%3 "/>
      <w:lvlJc w:val="left"/>
      <w:pPr>
        <w:tabs>
          <w:tab w:val="num" w:pos="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5"/>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decimal"/>
      <w:lvlText w:val="%4 "/>
      <w:lvlJc w:val="left"/>
      <w:pPr>
        <w:tabs>
          <w:tab w:val="num" w:pos="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6"/>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decimal"/>
      <w:lvlText w:val="%3 "/>
      <w:lvlJc w:val="left"/>
      <w:pPr>
        <w:tabs>
          <w:tab w:val="num" w:pos="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7"/>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
      <w:lvlJc w:val="left"/>
      <w:pPr>
        <w:tabs>
          <w:tab w:val="num" w:pos="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17A95930"/>
    <w:multiLevelType w:val="singleLevel"/>
    <w:tmpl w:val="71125794"/>
    <w:lvl w:ilvl="0">
      <w:start w:val="1"/>
      <w:numFmt w:val="decimal"/>
      <w:lvlText w:val="%1"/>
      <w:legacy w:legacy="1" w:legacySpace="0" w:legacyIndent="0"/>
      <w:lvlJc w:val="left"/>
      <w:rPr>
        <w:rFonts w:ascii="Times New Roman" w:hAnsi="Times New Roman" w:cs="Times New Roman" w:hint="default"/>
      </w:rPr>
    </w:lvl>
  </w:abstractNum>
  <w:abstractNum w:abstractNumId="25">
    <w:nsid w:val="1C07601C"/>
    <w:multiLevelType w:val="singleLevel"/>
    <w:tmpl w:val="71125794"/>
    <w:lvl w:ilvl="0">
      <w:start w:val="1"/>
      <w:numFmt w:val="decimal"/>
      <w:lvlText w:val="%1"/>
      <w:legacy w:legacy="1" w:legacySpace="0" w:legacyIndent="0"/>
      <w:lvlJc w:val="left"/>
      <w:rPr>
        <w:rFonts w:ascii="Times New Roman" w:hAnsi="Times New Roman" w:cs="Times New Roman" w:hint="default"/>
      </w:rPr>
    </w:lvl>
  </w:abstractNum>
  <w:abstractNum w:abstractNumId="26">
    <w:nsid w:val="1CFC37D7"/>
    <w:multiLevelType w:val="hybridMultilevel"/>
    <w:tmpl w:val="E182F418"/>
    <w:lvl w:ilvl="0" w:tplc="4F84CA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0953F31"/>
    <w:multiLevelType w:val="singleLevel"/>
    <w:tmpl w:val="71125794"/>
    <w:lvl w:ilvl="0">
      <w:start w:val="1"/>
      <w:numFmt w:val="decimal"/>
      <w:lvlText w:val="%1"/>
      <w:legacy w:legacy="1" w:legacySpace="0" w:legacyIndent="0"/>
      <w:lvlJc w:val="left"/>
      <w:rPr>
        <w:rFonts w:ascii="Times New Roman" w:hAnsi="Times New Roman" w:cs="Times New Roman" w:hint="default"/>
      </w:rPr>
    </w:lvl>
  </w:abstractNum>
  <w:abstractNum w:abstractNumId="28">
    <w:nsid w:val="22F82F9A"/>
    <w:multiLevelType w:val="singleLevel"/>
    <w:tmpl w:val="71125794"/>
    <w:lvl w:ilvl="0">
      <w:start w:val="1"/>
      <w:numFmt w:val="decimal"/>
      <w:lvlText w:val="%1"/>
      <w:legacy w:legacy="1" w:legacySpace="0" w:legacyIndent="0"/>
      <w:lvlJc w:val="left"/>
      <w:rPr>
        <w:rFonts w:ascii="Times New Roman" w:hAnsi="Times New Roman" w:cs="Times New Roman" w:hint="default"/>
      </w:rPr>
    </w:lvl>
  </w:abstractNum>
  <w:abstractNum w:abstractNumId="29">
    <w:nsid w:val="26BA6201"/>
    <w:multiLevelType w:val="singleLevel"/>
    <w:tmpl w:val="91140F10"/>
    <w:lvl w:ilvl="0">
      <w:start w:val="2"/>
      <w:numFmt w:val="decimal"/>
      <w:lvlText w:val="%1"/>
      <w:legacy w:legacy="1" w:legacySpace="0" w:legacyIndent="0"/>
      <w:lvlJc w:val="left"/>
      <w:rPr>
        <w:rFonts w:ascii="Times New Roman" w:hAnsi="Times New Roman" w:cs="Times New Roman" w:hint="default"/>
      </w:rPr>
    </w:lvl>
  </w:abstractNum>
  <w:abstractNum w:abstractNumId="30">
    <w:nsid w:val="2AA078AD"/>
    <w:multiLevelType w:val="hybridMultilevel"/>
    <w:tmpl w:val="E92AA7C2"/>
    <w:lvl w:ilvl="0" w:tplc="68F4F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3CF53D6C"/>
    <w:multiLevelType w:val="singleLevel"/>
    <w:tmpl w:val="71125794"/>
    <w:lvl w:ilvl="0">
      <w:start w:val="1"/>
      <w:numFmt w:val="decimal"/>
      <w:lvlText w:val="%1"/>
      <w:legacy w:legacy="1" w:legacySpace="0" w:legacyIndent="0"/>
      <w:lvlJc w:val="left"/>
      <w:rPr>
        <w:rFonts w:ascii="Times New Roman" w:hAnsi="Times New Roman" w:cs="Times New Roman" w:hint="default"/>
      </w:rPr>
    </w:lvl>
  </w:abstractNum>
  <w:abstractNum w:abstractNumId="32">
    <w:nsid w:val="3D7C033F"/>
    <w:multiLevelType w:val="singleLevel"/>
    <w:tmpl w:val="71125794"/>
    <w:lvl w:ilvl="0">
      <w:start w:val="1"/>
      <w:numFmt w:val="decimal"/>
      <w:lvlText w:val="%1"/>
      <w:legacy w:legacy="1" w:legacySpace="0" w:legacyIndent="0"/>
      <w:lvlJc w:val="left"/>
      <w:rPr>
        <w:rFonts w:ascii="Times New Roman" w:hAnsi="Times New Roman" w:cs="Times New Roman" w:hint="default"/>
      </w:rPr>
    </w:lvl>
  </w:abstractNum>
  <w:abstractNum w:abstractNumId="33">
    <w:nsid w:val="3D7C7E32"/>
    <w:multiLevelType w:val="singleLevel"/>
    <w:tmpl w:val="71125794"/>
    <w:lvl w:ilvl="0">
      <w:start w:val="1"/>
      <w:numFmt w:val="decimal"/>
      <w:lvlText w:val="%1"/>
      <w:legacy w:legacy="1" w:legacySpace="0" w:legacyIndent="0"/>
      <w:lvlJc w:val="left"/>
      <w:rPr>
        <w:rFonts w:ascii="Times New Roman" w:hAnsi="Times New Roman" w:cs="Times New Roman" w:hint="default"/>
      </w:rPr>
    </w:lvl>
  </w:abstractNum>
  <w:abstractNum w:abstractNumId="34">
    <w:nsid w:val="445238BA"/>
    <w:multiLevelType w:val="singleLevel"/>
    <w:tmpl w:val="71125794"/>
    <w:lvl w:ilvl="0">
      <w:start w:val="1"/>
      <w:numFmt w:val="decimal"/>
      <w:lvlText w:val="%1"/>
      <w:legacy w:legacy="1" w:legacySpace="0" w:legacyIndent="0"/>
      <w:lvlJc w:val="left"/>
      <w:rPr>
        <w:rFonts w:ascii="Times New Roman" w:hAnsi="Times New Roman" w:cs="Times New Roman" w:hint="default"/>
      </w:rPr>
    </w:lvl>
  </w:abstractNum>
  <w:abstractNum w:abstractNumId="35">
    <w:nsid w:val="524157F6"/>
    <w:multiLevelType w:val="singleLevel"/>
    <w:tmpl w:val="91140F10"/>
    <w:lvl w:ilvl="0">
      <w:start w:val="2"/>
      <w:numFmt w:val="decimal"/>
      <w:lvlText w:val="%1"/>
      <w:legacy w:legacy="1" w:legacySpace="0" w:legacyIndent="0"/>
      <w:lvlJc w:val="left"/>
      <w:rPr>
        <w:rFonts w:ascii="Times New Roman" w:hAnsi="Times New Roman" w:cs="Times New Roman" w:hint="default"/>
      </w:rPr>
    </w:lvl>
  </w:abstractNum>
  <w:abstractNum w:abstractNumId="36">
    <w:nsid w:val="563B5FFB"/>
    <w:multiLevelType w:val="singleLevel"/>
    <w:tmpl w:val="71125794"/>
    <w:lvl w:ilvl="0">
      <w:start w:val="1"/>
      <w:numFmt w:val="decimal"/>
      <w:lvlText w:val="%1"/>
      <w:legacy w:legacy="1" w:legacySpace="0" w:legacyIndent="0"/>
      <w:lvlJc w:val="left"/>
      <w:rPr>
        <w:rFonts w:ascii="Times New Roman" w:hAnsi="Times New Roman" w:cs="Times New Roman" w:hint="default"/>
      </w:rPr>
    </w:lvl>
  </w:abstractNum>
  <w:abstractNum w:abstractNumId="37">
    <w:nsid w:val="60195C1F"/>
    <w:multiLevelType w:val="singleLevel"/>
    <w:tmpl w:val="91140F10"/>
    <w:lvl w:ilvl="0">
      <w:start w:val="2"/>
      <w:numFmt w:val="decimal"/>
      <w:lvlText w:val="%1"/>
      <w:legacy w:legacy="1" w:legacySpace="0" w:legacyIndent="0"/>
      <w:lvlJc w:val="left"/>
      <w:rPr>
        <w:rFonts w:ascii="Times New Roman" w:hAnsi="Times New Roman" w:cs="Times New Roman" w:hint="default"/>
      </w:rPr>
    </w:lvl>
  </w:abstractNum>
  <w:abstractNum w:abstractNumId="38">
    <w:nsid w:val="60D9422F"/>
    <w:multiLevelType w:val="hybridMultilevel"/>
    <w:tmpl w:val="88548500"/>
    <w:lvl w:ilvl="0" w:tplc="89064A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8BB1D8F"/>
    <w:multiLevelType w:val="hybridMultilevel"/>
    <w:tmpl w:val="BF408DF8"/>
    <w:lvl w:ilvl="0" w:tplc="E5A484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08269C2"/>
    <w:multiLevelType w:val="singleLevel"/>
    <w:tmpl w:val="71125794"/>
    <w:lvl w:ilvl="0">
      <w:start w:val="1"/>
      <w:numFmt w:val="decimal"/>
      <w:lvlText w:val="%1"/>
      <w:legacy w:legacy="1" w:legacySpace="0" w:legacyIndent="0"/>
      <w:lvlJc w:val="left"/>
      <w:rPr>
        <w:rFonts w:ascii="Times New Roman" w:hAnsi="Times New Roman" w:cs="Times New Roman" w:hint="default"/>
      </w:rPr>
    </w:lvl>
  </w:abstractNum>
  <w:abstractNum w:abstractNumId="41">
    <w:nsid w:val="745419BF"/>
    <w:multiLevelType w:val="hybridMultilevel"/>
    <w:tmpl w:val="C84C88E6"/>
    <w:lvl w:ilvl="0" w:tplc="5B3468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8"/>
  </w:num>
  <w:num w:numId="2">
    <w:abstractNumId w:val="41"/>
  </w:num>
  <w:num w:numId="3">
    <w:abstractNumId w:val="39"/>
  </w:num>
  <w:num w:numId="4">
    <w:abstractNumId w:val="30"/>
  </w:num>
  <w:num w:numId="5">
    <w:abstractNumId w:val="26"/>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37"/>
  </w:num>
  <w:num w:numId="15">
    <w:abstractNumId w:val="29"/>
  </w:num>
  <w:num w:numId="16">
    <w:abstractNumId w:val="35"/>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19"/>
  </w:num>
  <w:num w:numId="28">
    <w:abstractNumId w:val="20"/>
  </w:num>
  <w:num w:numId="29">
    <w:abstractNumId w:val="21"/>
  </w:num>
  <w:num w:numId="30">
    <w:abstractNumId w:val="22"/>
  </w:num>
  <w:num w:numId="31">
    <w:abstractNumId w:val="23"/>
  </w:num>
  <w:num w:numId="32">
    <w:abstractNumId w:val="32"/>
  </w:num>
  <w:num w:numId="33">
    <w:abstractNumId w:val="24"/>
  </w:num>
  <w:num w:numId="34">
    <w:abstractNumId w:val="0"/>
    <w:lvlOverride w:ilvl="0">
      <w:lvl w:ilvl="0">
        <w:numFmt w:val="bullet"/>
        <w:lvlText w:val=""/>
        <w:legacy w:legacy="1" w:legacySpace="0" w:legacyIndent="0"/>
        <w:lvlJc w:val="left"/>
        <w:rPr>
          <w:rFonts w:ascii="Symbol" w:hAnsi="Symbol" w:hint="default"/>
        </w:rPr>
      </w:lvl>
    </w:lvlOverride>
  </w:num>
  <w:num w:numId="35">
    <w:abstractNumId w:val="36"/>
  </w:num>
  <w:num w:numId="36">
    <w:abstractNumId w:val="25"/>
  </w:num>
  <w:num w:numId="37">
    <w:abstractNumId w:val="28"/>
  </w:num>
  <w:num w:numId="38">
    <w:abstractNumId w:val="40"/>
  </w:num>
  <w:num w:numId="39">
    <w:abstractNumId w:val="33"/>
  </w:num>
  <w:num w:numId="40">
    <w:abstractNumId w:val="31"/>
  </w:num>
  <w:num w:numId="41">
    <w:abstractNumId w:val="27"/>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hideSpellingErrors/>
  <w:hideGrammaticalErrors/>
  <w:activeWritingStyle w:appName="MSWord" w:lang="fr-FR" w:vendorID="64" w:dllVersion="131078" w:nlCheck="1" w:checkStyle="1"/>
  <w:activeWritingStyle w:appName="MSWord" w:lang="en-US" w:vendorID="64" w:dllVersion="131078" w:nlCheck="1" w:checkStyle="1"/>
  <w:activeWritingStyle w:appName="MSWord" w:lang="fr-FR" w:vendorID="64" w:dllVersion="4096" w:nlCheck="1" w:checkStyle="0"/>
  <w:activeWritingStyle w:appName="MSWord" w:lang="en-US" w:vendorID="64" w:dllVersion="4096" w:nlCheck="1" w:checkStyle="0"/>
  <w:activeWritingStyle w:appName="MSWord" w:lang="ar-SA" w:vendorID="64" w:dllVersion="0" w:nlCheck="1" w:checkStyle="0"/>
  <w:activeWritingStyle w:appName="MSWord" w:lang="en-GB" w:vendorID="64" w:dllVersion="131078" w:nlCheck="1" w:checkStyle="1"/>
  <w:activeWritingStyle w:appName="MSWord" w:lang="de-AT" w:vendorID="64" w:dllVersion="131078" w:nlCheck="1" w:checkStyle="1"/>
  <w:activeWritingStyle w:appName="MSWord" w:lang="es-ES" w:vendorID="64" w:dllVersion="131078" w:nlCheck="1" w:checkStyle="1"/>
  <w:defaultTabStop w:val="708"/>
  <w:hyphenationZone w:val="425"/>
  <w:drawingGridHorizontalSpacing w:val="125"/>
  <w:displayHorizontalDrawingGridEvery w:val="2"/>
  <w:displayVerticalDrawingGridEvery w:val="2"/>
  <w:characterSpacingControl w:val="doNotCompress"/>
  <w:footnotePr>
    <w:footnote w:id="-1"/>
    <w:footnote w:id="0"/>
  </w:footnotePr>
  <w:endnotePr>
    <w:endnote w:id="-1"/>
    <w:endnote w:id="0"/>
  </w:endnotePr>
  <w:compat/>
  <w:rsids>
    <w:rsidRoot w:val="008F731D"/>
    <w:rsid w:val="00001F06"/>
    <w:rsid w:val="00004284"/>
    <w:rsid w:val="00005E13"/>
    <w:rsid w:val="00010BC0"/>
    <w:rsid w:val="00025D5B"/>
    <w:rsid w:val="00025D6D"/>
    <w:rsid w:val="00027481"/>
    <w:rsid w:val="00033FE8"/>
    <w:rsid w:val="000345C0"/>
    <w:rsid w:val="000359D9"/>
    <w:rsid w:val="000408DC"/>
    <w:rsid w:val="00041E1B"/>
    <w:rsid w:val="0004306D"/>
    <w:rsid w:val="000439E9"/>
    <w:rsid w:val="000447B3"/>
    <w:rsid w:val="00044AC2"/>
    <w:rsid w:val="0004634D"/>
    <w:rsid w:val="00056ACD"/>
    <w:rsid w:val="00062AA4"/>
    <w:rsid w:val="00064B4E"/>
    <w:rsid w:val="00064E44"/>
    <w:rsid w:val="00066651"/>
    <w:rsid w:val="0007083E"/>
    <w:rsid w:val="000716BB"/>
    <w:rsid w:val="00071B94"/>
    <w:rsid w:val="00073897"/>
    <w:rsid w:val="000744CA"/>
    <w:rsid w:val="00075845"/>
    <w:rsid w:val="000819BA"/>
    <w:rsid w:val="00094F89"/>
    <w:rsid w:val="00097EF5"/>
    <w:rsid w:val="000A5AC3"/>
    <w:rsid w:val="000A6835"/>
    <w:rsid w:val="000B00E3"/>
    <w:rsid w:val="000B1545"/>
    <w:rsid w:val="000B270F"/>
    <w:rsid w:val="000B45EF"/>
    <w:rsid w:val="000B6795"/>
    <w:rsid w:val="000B732C"/>
    <w:rsid w:val="000C2ED1"/>
    <w:rsid w:val="000C337D"/>
    <w:rsid w:val="000D13C5"/>
    <w:rsid w:val="000D3E6A"/>
    <w:rsid w:val="000D5A6A"/>
    <w:rsid w:val="000D7C8E"/>
    <w:rsid w:val="000E2BC5"/>
    <w:rsid w:val="000E5F71"/>
    <w:rsid w:val="000E647E"/>
    <w:rsid w:val="000F6F94"/>
    <w:rsid w:val="000F7DAA"/>
    <w:rsid w:val="001157C4"/>
    <w:rsid w:val="00115BCD"/>
    <w:rsid w:val="00116664"/>
    <w:rsid w:val="0012077A"/>
    <w:rsid w:val="00121763"/>
    <w:rsid w:val="00121895"/>
    <w:rsid w:val="00124910"/>
    <w:rsid w:val="0012609C"/>
    <w:rsid w:val="001339C2"/>
    <w:rsid w:val="001346F5"/>
    <w:rsid w:val="00134962"/>
    <w:rsid w:val="001377E7"/>
    <w:rsid w:val="001407D9"/>
    <w:rsid w:val="0014311E"/>
    <w:rsid w:val="00144813"/>
    <w:rsid w:val="00150C8F"/>
    <w:rsid w:val="00160AA0"/>
    <w:rsid w:val="00160E30"/>
    <w:rsid w:val="0016139B"/>
    <w:rsid w:val="0016244E"/>
    <w:rsid w:val="00162A3E"/>
    <w:rsid w:val="00162A6A"/>
    <w:rsid w:val="00165881"/>
    <w:rsid w:val="00165AED"/>
    <w:rsid w:val="00170E77"/>
    <w:rsid w:val="0017251B"/>
    <w:rsid w:val="0017332F"/>
    <w:rsid w:val="00177D17"/>
    <w:rsid w:val="0018144A"/>
    <w:rsid w:val="00183385"/>
    <w:rsid w:val="00184876"/>
    <w:rsid w:val="00184AC7"/>
    <w:rsid w:val="0018720C"/>
    <w:rsid w:val="001927DD"/>
    <w:rsid w:val="00193902"/>
    <w:rsid w:val="001943E5"/>
    <w:rsid w:val="001947DB"/>
    <w:rsid w:val="001A0842"/>
    <w:rsid w:val="001A10DC"/>
    <w:rsid w:val="001A4F8D"/>
    <w:rsid w:val="001A5AA5"/>
    <w:rsid w:val="001A7213"/>
    <w:rsid w:val="001B08FD"/>
    <w:rsid w:val="001B15A5"/>
    <w:rsid w:val="001B4203"/>
    <w:rsid w:val="001B4266"/>
    <w:rsid w:val="001B6887"/>
    <w:rsid w:val="001C028D"/>
    <w:rsid w:val="001C15F9"/>
    <w:rsid w:val="001C1789"/>
    <w:rsid w:val="001C3409"/>
    <w:rsid w:val="001C5D73"/>
    <w:rsid w:val="001C5E3D"/>
    <w:rsid w:val="001C5E56"/>
    <w:rsid w:val="001C6D79"/>
    <w:rsid w:val="001C6EC5"/>
    <w:rsid w:val="001C70F0"/>
    <w:rsid w:val="001D27AF"/>
    <w:rsid w:val="001E1B17"/>
    <w:rsid w:val="001E2164"/>
    <w:rsid w:val="001E2946"/>
    <w:rsid w:val="001E304C"/>
    <w:rsid w:val="001E3215"/>
    <w:rsid w:val="001E41D1"/>
    <w:rsid w:val="001E5367"/>
    <w:rsid w:val="001E589B"/>
    <w:rsid w:val="001E7BCC"/>
    <w:rsid w:val="001E7D5D"/>
    <w:rsid w:val="001F13A0"/>
    <w:rsid w:val="001F2398"/>
    <w:rsid w:val="001F2D28"/>
    <w:rsid w:val="001F7117"/>
    <w:rsid w:val="00206537"/>
    <w:rsid w:val="00206793"/>
    <w:rsid w:val="00207E49"/>
    <w:rsid w:val="00210802"/>
    <w:rsid w:val="00212592"/>
    <w:rsid w:val="00212A60"/>
    <w:rsid w:val="0021458E"/>
    <w:rsid w:val="002149F0"/>
    <w:rsid w:val="00215CAD"/>
    <w:rsid w:val="00216C2A"/>
    <w:rsid w:val="00216EDC"/>
    <w:rsid w:val="002210BB"/>
    <w:rsid w:val="00224DBF"/>
    <w:rsid w:val="00227EE9"/>
    <w:rsid w:val="0023135C"/>
    <w:rsid w:val="00234B88"/>
    <w:rsid w:val="00234B95"/>
    <w:rsid w:val="0023529D"/>
    <w:rsid w:val="002366BA"/>
    <w:rsid w:val="00236B17"/>
    <w:rsid w:val="00236D6F"/>
    <w:rsid w:val="00240105"/>
    <w:rsid w:val="0024086A"/>
    <w:rsid w:val="00241893"/>
    <w:rsid w:val="0024279D"/>
    <w:rsid w:val="00244F8E"/>
    <w:rsid w:val="002455A3"/>
    <w:rsid w:val="00251114"/>
    <w:rsid w:val="0025739F"/>
    <w:rsid w:val="002574FA"/>
    <w:rsid w:val="00257FD6"/>
    <w:rsid w:val="002604C6"/>
    <w:rsid w:val="00263C6E"/>
    <w:rsid w:val="00264FCF"/>
    <w:rsid w:val="00270D72"/>
    <w:rsid w:val="00291848"/>
    <w:rsid w:val="00293643"/>
    <w:rsid w:val="002961E0"/>
    <w:rsid w:val="0029631C"/>
    <w:rsid w:val="00296C44"/>
    <w:rsid w:val="00297B36"/>
    <w:rsid w:val="002A2920"/>
    <w:rsid w:val="002A35A7"/>
    <w:rsid w:val="002A77BB"/>
    <w:rsid w:val="002B0A62"/>
    <w:rsid w:val="002B2825"/>
    <w:rsid w:val="002B596A"/>
    <w:rsid w:val="002C02A7"/>
    <w:rsid w:val="002C17D7"/>
    <w:rsid w:val="002C2968"/>
    <w:rsid w:val="002D38C6"/>
    <w:rsid w:val="002D5574"/>
    <w:rsid w:val="002D7F7E"/>
    <w:rsid w:val="002E2757"/>
    <w:rsid w:val="002E3D66"/>
    <w:rsid w:val="002E54C8"/>
    <w:rsid w:val="002E727A"/>
    <w:rsid w:val="002F260B"/>
    <w:rsid w:val="002F30B9"/>
    <w:rsid w:val="002F5969"/>
    <w:rsid w:val="002F5F03"/>
    <w:rsid w:val="00302275"/>
    <w:rsid w:val="00304009"/>
    <w:rsid w:val="00306CDA"/>
    <w:rsid w:val="00307593"/>
    <w:rsid w:val="003111AD"/>
    <w:rsid w:val="00312F54"/>
    <w:rsid w:val="00322920"/>
    <w:rsid w:val="003304DE"/>
    <w:rsid w:val="00330A8F"/>
    <w:rsid w:val="00330E60"/>
    <w:rsid w:val="00330F33"/>
    <w:rsid w:val="003326D0"/>
    <w:rsid w:val="00334855"/>
    <w:rsid w:val="0033515E"/>
    <w:rsid w:val="00341514"/>
    <w:rsid w:val="00341683"/>
    <w:rsid w:val="00342088"/>
    <w:rsid w:val="00343484"/>
    <w:rsid w:val="00345F29"/>
    <w:rsid w:val="00350378"/>
    <w:rsid w:val="0035158A"/>
    <w:rsid w:val="00351E18"/>
    <w:rsid w:val="00353B06"/>
    <w:rsid w:val="00354F03"/>
    <w:rsid w:val="00356A5E"/>
    <w:rsid w:val="00356E39"/>
    <w:rsid w:val="00356F58"/>
    <w:rsid w:val="00357452"/>
    <w:rsid w:val="00357AB0"/>
    <w:rsid w:val="00362CA4"/>
    <w:rsid w:val="00366331"/>
    <w:rsid w:val="00366671"/>
    <w:rsid w:val="0037178C"/>
    <w:rsid w:val="00381F23"/>
    <w:rsid w:val="0039035A"/>
    <w:rsid w:val="003905B5"/>
    <w:rsid w:val="003908CB"/>
    <w:rsid w:val="003A07A7"/>
    <w:rsid w:val="003A247F"/>
    <w:rsid w:val="003A3A47"/>
    <w:rsid w:val="003A5F21"/>
    <w:rsid w:val="003A68DB"/>
    <w:rsid w:val="003B530F"/>
    <w:rsid w:val="003B53A3"/>
    <w:rsid w:val="003B7768"/>
    <w:rsid w:val="003C101F"/>
    <w:rsid w:val="003C5F41"/>
    <w:rsid w:val="003C7896"/>
    <w:rsid w:val="003D087D"/>
    <w:rsid w:val="003E0EBF"/>
    <w:rsid w:val="003E27F7"/>
    <w:rsid w:val="003E45BE"/>
    <w:rsid w:val="003E473B"/>
    <w:rsid w:val="003E51BA"/>
    <w:rsid w:val="003F1AC0"/>
    <w:rsid w:val="003F4695"/>
    <w:rsid w:val="00401D7F"/>
    <w:rsid w:val="00401DA1"/>
    <w:rsid w:val="00402B9A"/>
    <w:rsid w:val="0040307B"/>
    <w:rsid w:val="004130CA"/>
    <w:rsid w:val="00414ACC"/>
    <w:rsid w:val="00420013"/>
    <w:rsid w:val="004206DA"/>
    <w:rsid w:val="00422A1B"/>
    <w:rsid w:val="00423510"/>
    <w:rsid w:val="0042479B"/>
    <w:rsid w:val="00425EC4"/>
    <w:rsid w:val="0042738C"/>
    <w:rsid w:val="00431B93"/>
    <w:rsid w:val="00432301"/>
    <w:rsid w:val="00432F29"/>
    <w:rsid w:val="00446737"/>
    <w:rsid w:val="0045316F"/>
    <w:rsid w:val="00457380"/>
    <w:rsid w:val="004605FD"/>
    <w:rsid w:val="0046287C"/>
    <w:rsid w:val="00466ED0"/>
    <w:rsid w:val="00466F6C"/>
    <w:rsid w:val="004677FF"/>
    <w:rsid w:val="0047071E"/>
    <w:rsid w:val="00473B23"/>
    <w:rsid w:val="00475503"/>
    <w:rsid w:val="00476F1C"/>
    <w:rsid w:val="00477CBD"/>
    <w:rsid w:val="00477CEC"/>
    <w:rsid w:val="004801B8"/>
    <w:rsid w:val="00481D27"/>
    <w:rsid w:val="004860D7"/>
    <w:rsid w:val="00490093"/>
    <w:rsid w:val="004901F4"/>
    <w:rsid w:val="004953F1"/>
    <w:rsid w:val="00495E74"/>
    <w:rsid w:val="00497555"/>
    <w:rsid w:val="004A2B1B"/>
    <w:rsid w:val="004A59B4"/>
    <w:rsid w:val="004B1C74"/>
    <w:rsid w:val="004B1E5D"/>
    <w:rsid w:val="004B31D2"/>
    <w:rsid w:val="004C1333"/>
    <w:rsid w:val="004C5CDA"/>
    <w:rsid w:val="004C6C0C"/>
    <w:rsid w:val="004D031F"/>
    <w:rsid w:val="004D5ADA"/>
    <w:rsid w:val="004D5FC9"/>
    <w:rsid w:val="004E1987"/>
    <w:rsid w:val="004E1AEC"/>
    <w:rsid w:val="004E7E47"/>
    <w:rsid w:val="004F03B3"/>
    <w:rsid w:val="004F0C07"/>
    <w:rsid w:val="004F62FD"/>
    <w:rsid w:val="00502CC1"/>
    <w:rsid w:val="00504876"/>
    <w:rsid w:val="00506395"/>
    <w:rsid w:val="005069E2"/>
    <w:rsid w:val="00515C1F"/>
    <w:rsid w:val="00517F11"/>
    <w:rsid w:val="005207C1"/>
    <w:rsid w:val="00526814"/>
    <w:rsid w:val="00530852"/>
    <w:rsid w:val="0053149A"/>
    <w:rsid w:val="0053298C"/>
    <w:rsid w:val="005371AA"/>
    <w:rsid w:val="0054157B"/>
    <w:rsid w:val="00542BD7"/>
    <w:rsid w:val="0054384F"/>
    <w:rsid w:val="005475D8"/>
    <w:rsid w:val="005525CE"/>
    <w:rsid w:val="00553F13"/>
    <w:rsid w:val="00557DE0"/>
    <w:rsid w:val="00557FD3"/>
    <w:rsid w:val="00562B3F"/>
    <w:rsid w:val="00562B61"/>
    <w:rsid w:val="00563A9D"/>
    <w:rsid w:val="005668D4"/>
    <w:rsid w:val="00570798"/>
    <w:rsid w:val="005726A8"/>
    <w:rsid w:val="0058100E"/>
    <w:rsid w:val="005823D7"/>
    <w:rsid w:val="00586AA4"/>
    <w:rsid w:val="00590FBA"/>
    <w:rsid w:val="00591404"/>
    <w:rsid w:val="00592781"/>
    <w:rsid w:val="00594D4D"/>
    <w:rsid w:val="00596154"/>
    <w:rsid w:val="00596178"/>
    <w:rsid w:val="005A17CD"/>
    <w:rsid w:val="005A349F"/>
    <w:rsid w:val="005A40C7"/>
    <w:rsid w:val="005B1E01"/>
    <w:rsid w:val="005B6B0F"/>
    <w:rsid w:val="005C1D1F"/>
    <w:rsid w:val="005C1E55"/>
    <w:rsid w:val="005C2783"/>
    <w:rsid w:val="005C5057"/>
    <w:rsid w:val="005D1FE0"/>
    <w:rsid w:val="005D5679"/>
    <w:rsid w:val="005D6EC4"/>
    <w:rsid w:val="005E1001"/>
    <w:rsid w:val="005E40C0"/>
    <w:rsid w:val="005E4214"/>
    <w:rsid w:val="005E62EB"/>
    <w:rsid w:val="005F1F99"/>
    <w:rsid w:val="005F2711"/>
    <w:rsid w:val="005F36ED"/>
    <w:rsid w:val="005F3A8F"/>
    <w:rsid w:val="005F4670"/>
    <w:rsid w:val="00605074"/>
    <w:rsid w:val="006051FA"/>
    <w:rsid w:val="00606FEC"/>
    <w:rsid w:val="00611152"/>
    <w:rsid w:val="00611841"/>
    <w:rsid w:val="00617F1F"/>
    <w:rsid w:val="00622F8E"/>
    <w:rsid w:val="0062314F"/>
    <w:rsid w:val="00623A37"/>
    <w:rsid w:val="00632437"/>
    <w:rsid w:val="00633B5E"/>
    <w:rsid w:val="00635395"/>
    <w:rsid w:val="00637AE9"/>
    <w:rsid w:val="00641740"/>
    <w:rsid w:val="0064584C"/>
    <w:rsid w:val="00652B4F"/>
    <w:rsid w:val="00657DEA"/>
    <w:rsid w:val="00660B56"/>
    <w:rsid w:val="00661CD1"/>
    <w:rsid w:val="00675671"/>
    <w:rsid w:val="0068452E"/>
    <w:rsid w:val="00685F80"/>
    <w:rsid w:val="00687CE2"/>
    <w:rsid w:val="006914B9"/>
    <w:rsid w:val="00691E6B"/>
    <w:rsid w:val="00695548"/>
    <w:rsid w:val="006A12C5"/>
    <w:rsid w:val="006A39B0"/>
    <w:rsid w:val="006A4C4C"/>
    <w:rsid w:val="006A4C95"/>
    <w:rsid w:val="006B647F"/>
    <w:rsid w:val="006B6F85"/>
    <w:rsid w:val="006B7EA1"/>
    <w:rsid w:val="006C278E"/>
    <w:rsid w:val="006C51A3"/>
    <w:rsid w:val="006C6C3E"/>
    <w:rsid w:val="006C7D4F"/>
    <w:rsid w:val="006D2C98"/>
    <w:rsid w:val="006D3DC1"/>
    <w:rsid w:val="006E0209"/>
    <w:rsid w:val="006E1D10"/>
    <w:rsid w:val="006E27B9"/>
    <w:rsid w:val="006E716F"/>
    <w:rsid w:val="006F00EB"/>
    <w:rsid w:val="006F31A0"/>
    <w:rsid w:val="006F4104"/>
    <w:rsid w:val="006F5A85"/>
    <w:rsid w:val="00711375"/>
    <w:rsid w:val="007114F4"/>
    <w:rsid w:val="00715E3B"/>
    <w:rsid w:val="00726D2E"/>
    <w:rsid w:val="007300D2"/>
    <w:rsid w:val="0073073E"/>
    <w:rsid w:val="00731B97"/>
    <w:rsid w:val="0073405D"/>
    <w:rsid w:val="0073534E"/>
    <w:rsid w:val="00736374"/>
    <w:rsid w:val="007364CB"/>
    <w:rsid w:val="007425CB"/>
    <w:rsid w:val="007439D8"/>
    <w:rsid w:val="00743C09"/>
    <w:rsid w:val="00744323"/>
    <w:rsid w:val="007475F7"/>
    <w:rsid w:val="00750D92"/>
    <w:rsid w:val="00754D0B"/>
    <w:rsid w:val="00756F31"/>
    <w:rsid w:val="00757FC7"/>
    <w:rsid w:val="00767A37"/>
    <w:rsid w:val="0077146D"/>
    <w:rsid w:val="0077300D"/>
    <w:rsid w:val="00776C8C"/>
    <w:rsid w:val="00783C44"/>
    <w:rsid w:val="00791E14"/>
    <w:rsid w:val="00795B48"/>
    <w:rsid w:val="00795C52"/>
    <w:rsid w:val="007A25B5"/>
    <w:rsid w:val="007A3654"/>
    <w:rsid w:val="007B1E7E"/>
    <w:rsid w:val="007B41F4"/>
    <w:rsid w:val="007B4ED4"/>
    <w:rsid w:val="007B6B8A"/>
    <w:rsid w:val="007C5674"/>
    <w:rsid w:val="007D0A18"/>
    <w:rsid w:val="007D27C7"/>
    <w:rsid w:val="007D3F5A"/>
    <w:rsid w:val="007D5AED"/>
    <w:rsid w:val="007D6639"/>
    <w:rsid w:val="007E25A6"/>
    <w:rsid w:val="007E395D"/>
    <w:rsid w:val="007E4371"/>
    <w:rsid w:val="007E4464"/>
    <w:rsid w:val="007E5BA5"/>
    <w:rsid w:val="007E6E2B"/>
    <w:rsid w:val="007F2DFA"/>
    <w:rsid w:val="007F427F"/>
    <w:rsid w:val="007F6508"/>
    <w:rsid w:val="008056CD"/>
    <w:rsid w:val="00806722"/>
    <w:rsid w:val="008073AB"/>
    <w:rsid w:val="0080794D"/>
    <w:rsid w:val="00811958"/>
    <w:rsid w:val="00811AA9"/>
    <w:rsid w:val="008155B8"/>
    <w:rsid w:val="00821350"/>
    <w:rsid w:val="008218F7"/>
    <w:rsid w:val="00835131"/>
    <w:rsid w:val="00852CD4"/>
    <w:rsid w:val="008605FD"/>
    <w:rsid w:val="0086296F"/>
    <w:rsid w:val="008637AC"/>
    <w:rsid w:val="00864BAD"/>
    <w:rsid w:val="0086643C"/>
    <w:rsid w:val="0086651D"/>
    <w:rsid w:val="008679AA"/>
    <w:rsid w:val="00871B93"/>
    <w:rsid w:val="00883EFB"/>
    <w:rsid w:val="008877B9"/>
    <w:rsid w:val="00890677"/>
    <w:rsid w:val="008911B0"/>
    <w:rsid w:val="0089263F"/>
    <w:rsid w:val="00893A3E"/>
    <w:rsid w:val="00895E11"/>
    <w:rsid w:val="008A0C58"/>
    <w:rsid w:val="008A667C"/>
    <w:rsid w:val="008B0249"/>
    <w:rsid w:val="008B042F"/>
    <w:rsid w:val="008B1FD1"/>
    <w:rsid w:val="008B47E5"/>
    <w:rsid w:val="008C25BE"/>
    <w:rsid w:val="008D0642"/>
    <w:rsid w:val="008D22B1"/>
    <w:rsid w:val="008D358B"/>
    <w:rsid w:val="008D5750"/>
    <w:rsid w:val="008E2567"/>
    <w:rsid w:val="008E6E9D"/>
    <w:rsid w:val="008E77F8"/>
    <w:rsid w:val="008E788D"/>
    <w:rsid w:val="008F1E5A"/>
    <w:rsid w:val="008F278F"/>
    <w:rsid w:val="008F3499"/>
    <w:rsid w:val="008F3B6C"/>
    <w:rsid w:val="008F540C"/>
    <w:rsid w:val="008F731D"/>
    <w:rsid w:val="009068D6"/>
    <w:rsid w:val="00906914"/>
    <w:rsid w:val="00921EB2"/>
    <w:rsid w:val="00922562"/>
    <w:rsid w:val="00927A3C"/>
    <w:rsid w:val="00933C60"/>
    <w:rsid w:val="00934DD9"/>
    <w:rsid w:val="0094118D"/>
    <w:rsid w:val="009419FE"/>
    <w:rsid w:val="00941AA6"/>
    <w:rsid w:val="009447D5"/>
    <w:rsid w:val="009468F8"/>
    <w:rsid w:val="00946A1C"/>
    <w:rsid w:val="00946AA3"/>
    <w:rsid w:val="00947362"/>
    <w:rsid w:val="009476D6"/>
    <w:rsid w:val="00950EDD"/>
    <w:rsid w:val="00951D38"/>
    <w:rsid w:val="0095332B"/>
    <w:rsid w:val="00954AA2"/>
    <w:rsid w:val="00954B6F"/>
    <w:rsid w:val="0095566F"/>
    <w:rsid w:val="00961FDB"/>
    <w:rsid w:val="0096281A"/>
    <w:rsid w:val="0096412E"/>
    <w:rsid w:val="00967BE7"/>
    <w:rsid w:val="0097158C"/>
    <w:rsid w:val="009728FD"/>
    <w:rsid w:val="00973B8F"/>
    <w:rsid w:val="009769A0"/>
    <w:rsid w:val="009778AC"/>
    <w:rsid w:val="0098142C"/>
    <w:rsid w:val="00984DB0"/>
    <w:rsid w:val="00985045"/>
    <w:rsid w:val="00987F68"/>
    <w:rsid w:val="00992D87"/>
    <w:rsid w:val="00995C5C"/>
    <w:rsid w:val="009A1115"/>
    <w:rsid w:val="009A6EA3"/>
    <w:rsid w:val="009B6670"/>
    <w:rsid w:val="009C73C8"/>
    <w:rsid w:val="009C7AB2"/>
    <w:rsid w:val="009D03EB"/>
    <w:rsid w:val="009D2A25"/>
    <w:rsid w:val="009D55A2"/>
    <w:rsid w:val="009D71C1"/>
    <w:rsid w:val="009E1A8A"/>
    <w:rsid w:val="009E644E"/>
    <w:rsid w:val="009F1FC0"/>
    <w:rsid w:val="009F5A13"/>
    <w:rsid w:val="00A03DAF"/>
    <w:rsid w:val="00A05DB8"/>
    <w:rsid w:val="00A065CC"/>
    <w:rsid w:val="00A067B1"/>
    <w:rsid w:val="00A071B1"/>
    <w:rsid w:val="00A1041E"/>
    <w:rsid w:val="00A12EEE"/>
    <w:rsid w:val="00A135A1"/>
    <w:rsid w:val="00A136AC"/>
    <w:rsid w:val="00A15638"/>
    <w:rsid w:val="00A172D6"/>
    <w:rsid w:val="00A21B49"/>
    <w:rsid w:val="00A2218A"/>
    <w:rsid w:val="00A23291"/>
    <w:rsid w:val="00A25B88"/>
    <w:rsid w:val="00A26F32"/>
    <w:rsid w:val="00A319EA"/>
    <w:rsid w:val="00A322B5"/>
    <w:rsid w:val="00A3257B"/>
    <w:rsid w:val="00A32CED"/>
    <w:rsid w:val="00A34D44"/>
    <w:rsid w:val="00A35CC7"/>
    <w:rsid w:val="00A36F8B"/>
    <w:rsid w:val="00A37357"/>
    <w:rsid w:val="00A406AA"/>
    <w:rsid w:val="00A4348D"/>
    <w:rsid w:val="00A44770"/>
    <w:rsid w:val="00A5158B"/>
    <w:rsid w:val="00A51913"/>
    <w:rsid w:val="00A52BCA"/>
    <w:rsid w:val="00A574D4"/>
    <w:rsid w:val="00A604BA"/>
    <w:rsid w:val="00A60571"/>
    <w:rsid w:val="00A621C2"/>
    <w:rsid w:val="00A629C4"/>
    <w:rsid w:val="00A71697"/>
    <w:rsid w:val="00A71C73"/>
    <w:rsid w:val="00A74F01"/>
    <w:rsid w:val="00A776C0"/>
    <w:rsid w:val="00A819D0"/>
    <w:rsid w:val="00A85866"/>
    <w:rsid w:val="00A85ED4"/>
    <w:rsid w:val="00A94389"/>
    <w:rsid w:val="00A964CD"/>
    <w:rsid w:val="00A96901"/>
    <w:rsid w:val="00AA1A53"/>
    <w:rsid w:val="00AA5498"/>
    <w:rsid w:val="00AA5FB0"/>
    <w:rsid w:val="00AA7E0E"/>
    <w:rsid w:val="00AB32B2"/>
    <w:rsid w:val="00AB43EC"/>
    <w:rsid w:val="00AB4FEB"/>
    <w:rsid w:val="00AC13FD"/>
    <w:rsid w:val="00AC1A55"/>
    <w:rsid w:val="00AC247F"/>
    <w:rsid w:val="00AC5C09"/>
    <w:rsid w:val="00AC6568"/>
    <w:rsid w:val="00AC7B8E"/>
    <w:rsid w:val="00AD68FE"/>
    <w:rsid w:val="00AD6E8E"/>
    <w:rsid w:val="00AD7245"/>
    <w:rsid w:val="00AD785B"/>
    <w:rsid w:val="00AE4963"/>
    <w:rsid w:val="00AE51E2"/>
    <w:rsid w:val="00AE62F3"/>
    <w:rsid w:val="00AF0C7D"/>
    <w:rsid w:val="00B032A6"/>
    <w:rsid w:val="00B05819"/>
    <w:rsid w:val="00B146DD"/>
    <w:rsid w:val="00B20114"/>
    <w:rsid w:val="00B213EF"/>
    <w:rsid w:val="00B27714"/>
    <w:rsid w:val="00B33096"/>
    <w:rsid w:val="00B35391"/>
    <w:rsid w:val="00B3584B"/>
    <w:rsid w:val="00B35B77"/>
    <w:rsid w:val="00B36B22"/>
    <w:rsid w:val="00B43084"/>
    <w:rsid w:val="00B4359A"/>
    <w:rsid w:val="00B46FDF"/>
    <w:rsid w:val="00B4753F"/>
    <w:rsid w:val="00B5066E"/>
    <w:rsid w:val="00B50CF7"/>
    <w:rsid w:val="00B51B8F"/>
    <w:rsid w:val="00B52FA3"/>
    <w:rsid w:val="00B544BE"/>
    <w:rsid w:val="00B6109F"/>
    <w:rsid w:val="00B654D4"/>
    <w:rsid w:val="00B70255"/>
    <w:rsid w:val="00B704AD"/>
    <w:rsid w:val="00B72191"/>
    <w:rsid w:val="00B733C9"/>
    <w:rsid w:val="00B73A45"/>
    <w:rsid w:val="00B747A4"/>
    <w:rsid w:val="00B771C3"/>
    <w:rsid w:val="00B84353"/>
    <w:rsid w:val="00B907E8"/>
    <w:rsid w:val="00B920B1"/>
    <w:rsid w:val="00B93B92"/>
    <w:rsid w:val="00BA7108"/>
    <w:rsid w:val="00BB05F3"/>
    <w:rsid w:val="00BB1252"/>
    <w:rsid w:val="00BB47C1"/>
    <w:rsid w:val="00BB4E47"/>
    <w:rsid w:val="00BC5D2D"/>
    <w:rsid w:val="00BC676A"/>
    <w:rsid w:val="00BD4391"/>
    <w:rsid w:val="00BE1451"/>
    <w:rsid w:val="00BF30A1"/>
    <w:rsid w:val="00BF426A"/>
    <w:rsid w:val="00BF5510"/>
    <w:rsid w:val="00BF7F3F"/>
    <w:rsid w:val="00C0022E"/>
    <w:rsid w:val="00C033D1"/>
    <w:rsid w:val="00C03EF0"/>
    <w:rsid w:val="00C0547E"/>
    <w:rsid w:val="00C056D4"/>
    <w:rsid w:val="00C06307"/>
    <w:rsid w:val="00C06455"/>
    <w:rsid w:val="00C12E55"/>
    <w:rsid w:val="00C14040"/>
    <w:rsid w:val="00C145C0"/>
    <w:rsid w:val="00C151D4"/>
    <w:rsid w:val="00C21120"/>
    <w:rsid w:val="00C215A6"/>
    <w:rsid w:val="00C2602D"/>
    <w:rsid w:val="00C2681A"/>
    <w:rsid w:val="00C26D76"/>
    <w:rsid w:val="00C27A97"/>
    <w:rsid w:val="00C30E6E"/>
    <w:rsid w:val="00C31AE7"/>
    <w:rsid w:val="00C31E3A"/>
    <w:rsid w:val="00C34890"/>
    <w:rsid w:val="00C36B19"/>
    <w:rsid w:val="00C37078"/>
    <w:rsid w:val="00C406FF"/>
    <w:rsid w:val="00C43EDE"/>
    <w:rsid w:val="00C450AD"/>
    <w:rsid w:val="00C45352"/>
    <w:rsid w:val="00C45EA2"/>
    <w:rsid w:val="00C468FD"/>
    <w:rsid w:val="00C5053A"/>
    <w:rsid w:val="00C511A5"/>
    <w:rsid w:val="00C6425D"/>
    <w:rsid w:val="00C6781D"/>
    <w:rsid w:val="00C67EAB"/>
    <w:rsid w:val="00C70AB7"/>
    <w:rsid w:val="00C71E8F"/>
    <w:rsid w:val="00C732CD"/>
    <w:rsid w:val="00C74B64"/>
    <w:rsid w:val="00C76143"/>
    <w:rsid w:val="00C770D2"/>
    <w:rsid w:val="00C771BF"/>
    <w:rsid w:val="00C77B3A"/>
    <w:rsid w:val="00C8138C"/>
    <w:rsid w:val="00C82C6C"/>
    <w:rsid w:val="00C833D7"/>
    <w:rsid w:val="00C85CD5"/>
    <w:rsid w:val="00C8701B"/>
    <w:rsid w:val="00C87A2B"/>
    <w:rsid w:val="00C93E20"/>
    <w:rsid w:val="00C940EE"/>
    <w:rsid w:val="00C94937"/>
    <w:rsid w:val="00C95372"/>
    <w:rsid w:val="00C97141"/>
    <w:rsid w:val="00C97425"/>
    <w:rsid w:val="00C976C0"/>
    <w:rsid w:val="00CA083D"/>
    <w:rsid w:val="00CA121C"/>
    <w:rsid w:val="00CA6915"/>
    <w:rsid w:val="00CB052B"/>
    <w:rsid w:val="00CB1A61"/>
    <w:rsid w:val="00CB22DB"/>
    <w:rsid w:val="00CB43AA"/>
    <w:rsid w:val="00CB7605"/>
    <w:rsid w:val="00CB7711"/>
    <w:rsid w:val="00CC09B7"/>
    <w:rsid w:val="00CC3284"/>
    <w:rsid w:val="00CC6797"/>
    <w:rsid w:val="00CC77DF"/>
    <w:rsid w:val="00CD0109"/>
    <w:rsid w:val="00CD0601"/>
    <w:rsid w:val="00CD19E6"/>
    <w:rsid w:val="00CD3C57"/>
    <w:rsid w:val="00CD3D81"/>
    <w:rsid w:val="00CD6141"/>
    <w:rsid w:val="00CE0DEB"/>
    <w:rsid w:val="00CE11E9"/>
    <w:rsid w:val="00CE1AF0"/>
    <w:rsid w:val="00CE226F"/>
    <w:rsid w:val="00CE3D7E"/>
    <w:rsid w:val="00CF15D8"/>
    <w:rsid w:val="00CF19C4"/>
    <w:rsid w:val="00CF1A98"/>
    <w:rsid w:val="00CF21EB"/>
    <w:rsid w:val="00CF66E3"/>
    <w:rsid w:val="00D03930"/>
    <w:rsid w:val="00D060DF"/>
    <w:rsid w:val="00D16405"/>
    <w:rsid w:val="00D23136"/>
    <w:rsid w:val="00D249C6"/>
    <w:rsid w:val="00D25DAB"/>
    <w:rsid w:val="00D27432"/>
    <w:rsid w:val="00D27D0B"/>
    <w:rsid w:val="00D308D5"/>
    <w:rsid w:val="00D31267"/>
    <w:rsid w:val="00D348DD"/>
    <w:rsid w:val="00D350EC"/>
    <w:rsid w:val="00D40900"/>
    <w:rsid w:val="00D432D6"/>
    <w:rsid w:val="00D46E17"/>
    <w:rsid w:val="00D53EF4"/>
    <w:rsid w:val="00D54242"/>
    <w:rsid w:val="00D56744"/>
    <w:rsid w:val="00D6081B"/>
    <w:rsid w:val="00D60C0A"/>
    <w:rsid w:val="00D61E21"/>
    <w:rsid w:val="00D62373"/>
    <w:rsid w:val="00D62A98"/>
    <w:rsid w:val="00D6340E"/>
    <w:rsid w:val="00D67B07"/>
    <w:rsid w:val="00D70C02"/>
    <w:rsid w:val="00D70F69"/>
    <w:rsid w:val="00D72B1E"/>
    <w:rsid w:val="00D72CBC"/>
    <w:rsid w:val="00D72EE3"/>
    <w:rsid w:val="00D7320E"/>
    <w:rsid w:val="00D73331"/>
    <w:rsid w:val="00D7637F"/>
    <w:rsid w:val="00D76F4A"/>
    <w:rsid w:val="00D8110E"/>
    <w:rsid w:val="00D81D77"/>
    <w:rsid w:val="00D85E95"/>
    <w:rsid w:val="00D87D77"/>
    <w:rsid w:val="00D93582"/>
    <w:rsid w:val="00D9595A"/>
    <w:rsid w:val="00DA2F47"/>
    <w:rsid w:val="00DA33E5"/>
    <w:rsid w:val="00DA4629"/>
    <w:rsid w:val="00DA64DE"/>
    <w:rsid w:val="00DB2B7F"/>
    <w:rsid w:val="00DB352C"/>
    <w:rsid w:val="00DB3631"/>
    <w:rsid w:val="00DB523B"/>
    <w:rsid w:val="00DC1A56"/>
    <w:rsid w:val="00DC313B"/>
    <w:rsid w:val="00DC4586"/>
    <w:rsid w:val="00DC472E"/>
    <w:rsid w:val="00DD17CA"/>
    <w:rsid w:val="00DD4900"/>
    <w:rsid w:val="00DE4A42"/>
    <w:rsid w:val="00DE5D2A"/>
    <w:rsid w:val="00DE7821"/>
    <w:rsid w:val="00DF391E"/>
    <w:rsid w:val="00DF4477"/>
    <w:rsid w:val="00DF496C"/>
    <w:rsid w:val="00DF5BCD"/>
    <w:rsid w:val="00E010BC"/>
    <w:rsid w:val="00E024C7"/>
    <w:rsid w:val="00E02999"/>
    <w:rsid w:val="00E04B07"/>
    <w:rsid w:val="00E05F39"/>
    <w:rsid w:val="00E1197B"/>
    <w:rsid w:val="00E12745"/>
    <w:rsid w:val="00E17678"/>
    <w:rsid w:val="00E26E85"/>
    <w:rsid w:val="00E26FC6"/>
    <w:rsid w:val="00E30BB2"/>
    <w:rsid w:val="00E31336"/>
    <w:rsid w:val="00E36C8E"/>
    <w:rsid w:val="00E37C84"/>
    <w:rsid w:val="00E37EF6"/>
    <w:rsid w:val="00E40C81"/>
    <w:rsid w:val="00E41A62"/>
    <w:rsid w:val="00E43656"/>
    <w:rsid w:val="00E4547D"/>
    <w:rsid w:val="00E45D7F"/>
    <w:rsid w:val="00E46C7F"/>
    <w:rsid w:val="00E50C88"/>
    <w:rsid w:val="00E57552"/>
    <w:rsid w:val="00E60D91"/>
    <w:rsid w:val="00E6137B"/>
    <w:rsid w:val="00E65435"/>
    <w:rsid w:val="00E74A20"/>
    <w:rsid w:val="00E77426"/>
    <w:rsid w:val="00E80A24"/>
    <w:rsid w:val="00E85B85"/>
    <w:rsid w:val="00E87CDB"/>
    <w:rsid w:val="00E87D10"/>
    <w:rsid w:val="00E907ED"/>
    <w:rsid w:val="00E91624"/>
    <w:rsid w:val="00E92C82"/>
    <w:rsid w:val="00E9329E"/>
    <w:rsid w:val="00E9398D"/>
    <w:rsid w:val="00E939E7"/>
    <w:rsid w:val="00E94946"/>
    <w:rsid w:val="00EA28F4"/>
    <w:rsid w:val="00EA4680"/>
    <w:rsid w:val="00EA47E9"/>
    <w:rsid w:val="00EA568A"/>
    <w:rsid w:val="00EB06A0"/>
    <w:rsid w:val="00EB231A"/>
    <w:rsid w:val="00EC5B2F"/>
    <w:rsid w:val="00EC75E0"/>
    <w:rsid w:val="00EC764F"/>
    <w:rsid w:val="00ED689B"/>
    <w:rsid w:val="00EE0A3C"/>
    <w:rsid w:val="00EE15D6"/>
    <w:rsid w:val="00EE1C95"/>
    <w:rsid w:val="00EE202D"/>
    <w:rsid w:val="00EE717F"/>
    <w:rsid w:val="00EF06A8"/>
    <w:rsid w:val="00EF1E04"/>
    <w:rsid w:val="00EF2830"/>
    <w:rsid w:val="00EF2DB6"/>
    <w:rsid w:val="00EF50FE"/>
    <w:rsid w:val="00F01DE6"/>
    <w:rsid w:val="00F074A6"/>
    <w:rsid w:val="00F11310"/>
    <w:rsid w:val="00F12048"/>
    <w:rsid w:val="00F125AE"/>
    <w:rsid w:val="00F15493"/>
    <w:rsid w:val="00F202FF"/>
    <w:rsid w:val="00F244BA"/>
    <w:rsid w:val="00F318D3"/>
    <w:rsid w:val="00F32EC8"/>
    <w:rsid w:val="00F340C5"/>
    <w:rsid w:val="00F3476E"/>
    <w:rsid w:val="00F36CBE"/>
    <w:rsid w:val="00F377C5"/>
    <w:rsid w:val="00F414C0"/>
    <w:rsid w:val="00F44482"/>
    <w:rsid w:val="00F45F65"/>
    <w:rsid w:val="00F4791F"/>
    <w:rsid w:val="00F509EF"/>
    <w:rsid w:val="00F525F0"/>
    <w:rsid w:val="00F55BCA"/>
    <w:rsid w:val="00F56B84"/>
    <w:rsid w:val="00F62C70"/>
    <w:rsid w:val="00F62E90"/>
    <w:rsid w:val="00F71C03"/>
    <w:rsid w:val="00F73B44"/>
    <w:rsid w:val="00F749A9"/>
    <w:rsid w:val="00F84453"/>
    <w:rsid w:val="00F84FB9"/>
    <w:rsid w:val="00F8578E"/>
    <w:rsid w:val="00F85845"/>
    <w:rsid w:val="00F85F18"/>
    <w:rsid w:val="00F9010C"/>
    <w:rsid w:val="00F934E9"/>
    <w:rsid w:val="00F97C5C"/>
    <w:rsid w:val="00FA125B"/>
    <w:rsid w:val="00FA1EBF"/>
    <w:rsid w:val="00FA25F0"/>
    <w:rsid w:val="00FA2CE5"/>
    <w:rsid w:val="00FA6CBF"/>
    <w:rsid w:val="00FA7673"/>
    <w:rsid w:val="00FB03F4"/>
    <w:rsid w:val="00FB066D"/>
    <w:rsid w:val="00FB3323"/>
    <w:rsid w:val="00FB4C0C"/>
    <w:rsid w:val="00FB5E91"/>
    <w:rsid w:val="00FC445E"/>
    <w:rsid w:val="00FC5984"/>
    <w:rsid w:val="00FC66FD"/>
    <w:rsid w:val="00FC6F68"/>
    <w:rsid w:val="00FD19D0"/>
    <w:rsid w:val="00FD29B3"/>
    <w:rsid w:val="00FD37B6"/>
    <w:rsid w:val="00FD3AE8"/>
    <w:rsid w:val="00FD4702"/>
    <w:rsid w:val="00FD69C6"/>
    <w:rsid w:val="00FE42F2"/>
    <w:rsid w:val="00FE4AFE"/>
    <w:rsid w:val="00FF055D"/>
  </w:rsids>
  <m:mathPr>
    <m:mathFont m:val="Cambria Math"/>
    <m:brkBin m:val="before"/>
    <m:brkBinSub m:val="--"/>
    <m:smallFrac m:val="off"/>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uiPriority="19"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4"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2A2920"/>
    <w:pPr>
      <w:ind w:firstLine="284"/>
      <w:jc w:val="both"/>
    </w:pPr>
    <w:rPr>
      <w:rFonts w:ascii="Times New Roman" w:hAnsi="Times New Roman"/>
      <w:sz w:val="25"/>
      <w:szCs w:val="22"/>
      <w:lang w:eastAsia="en-US" w:bidi="ar-SA"/>
    </w:rPr>
  </w:style>
  <w:style w:type="paragraph" w:styleId="Titre1">
    <w:name w:val="heading 1"/>
    <w:basedOn w:val="Normal"/>
    <w:next w:val="Normal"/>
    <w:link w:val="Titre1Car"/>
    <w:uiPriority w:val="19"/>
    <w:qFormat/>
    <w:rsid w:val="00D6340E"/>
    <w:pPr>
      <w:ind w:firstLine="0"/>
      <w:jc w:val="left"/>
      <w:outlineLvl w:val="0"/>
    </w:pPr>
    <w:rPr>
      <w:b/>
      <w:color w:val="A6A6A6"/>
      <w:sz w:val="32"/>
      <w:szCs w:val="32"/>
      <w:lang w:bidi="he-IL"/>
    </w:rPr>
  </w:style>
  <w:style w:type="paragraph" w:styleId="Titre2">
    <w:name w:val="heading 2"/>
    <w:basedOn w:val="Normal"/>
    <w:next w:val="Normal"/>
    <w:link w:val="Titre2Car"/>
    <w:uiPriority w:val="19"/>
    <w:unhideWhenUsed/>
    <w:qFormat/>
    <w:rsid w:val="00D6340E"/>
    <w:pPr>
      <w:ind w:firstLine="0"/>
      <w:jc w:val="left"/>
      <w:outlineLvl w:val="1"/>
    </w:pPr>
    <w:rPr>
      <w:b/>
      <w:bCs/>
      <w:color w:val="7F7F7F"/>
    </w:rPr>
  </w:style>
  <w:style w:type="paragraph" w:styleId="Titre3">
    <w:name w:val="heading 3"/>
    <w:next w:val="Normal"/>
    <w:link w:val="Titre3Car"/>
    <w:uiPriority w:val="19"/>
    <w:unhideWhenUsed/>
    <w:qFormat/>
    <w:rsid w:val="00206537"/>
    <w:pPr>
      <w:spacing w:before="140" w:after="80"/>
      <w:outlineLvl w:val="2"/>
    </w:pPr>
    <w:rPr>
      <w:rFonts w:ascii="Times New Roman" w:hAnsi="Times New Roman"/>
      <w:b/>
      <w:sz w:val="28"/>
      <w:szCs w:val="22"/>
      <w:lang w:eastAsia="en-US" w:bidi="ar-SA"/>
    </w:rPr>
  </w:style>
  <w:style w:type="paragraph" w:styleId="Titre4">
    <w:name w:val="heading 4"/>
    <w:basedOn w:val="Normal"/>
    <w:next w:val="Normal"/>
    <w:link w:val="Titre4Car"/>
    <w:uiPriority w:val="19"/>
    <w:unhideWhenUsed/>
    <w:qFormat/>
    <w:rsid w:val="00685F80"/>
    <w:pPr>
      <w:keepNext/>
      <w:spacing w:before="280" w:after="140"/>
      <w:ind w:firstLine="0"/>
      <w:outlineLvl w:val="3"/>
    </w:pPr>
    <w:rPr>
      <w:sz w:val="26"/>
      <w:szCs w:val="26"/>
      <w:u w:val="single"/>
    </w:rPr>
  </w:style>
  <w:style w:type="paragraph" w:styleId="Titre5">
    <w:name w:val="heading 5"/>
    <w:basedOn w:val="Normal"/>
    <w:next w:val="Normal"/>
    <w:link w:val="Titre5Car"/>
    <w:uiPriority w:val="19"/>
    <w:unhideWhenUsed/>
    <w:qFormat/>
    <w:rsid w:val="00685F80"/>
    <w:pPr>
      <w:spacing w:before="80" w:after="80"/>
      <w:ind w:firstLine="0"/>
      <w:jc w:val="center"/>
      <w:outlineLvl w:val="4"/>
    </w:pPr>
    <w:rPr>
      <w:u w:val="single"/>
    </w:rPr>
  </w:style>
  <w:style w:type="paragraph" w:styleId="Titre6">
    <w:name w:val="heading 6"/>
    <w:basedOn w:val="Normal"/>
    <w:next w:val="Normal"/>
    <w:link w:val="Titre6Car"/>
    <w:uiPriority w:val="19"/>
    <w:semiHidden/>
    <w:unhideWhenUsed/>
    <w:qFormat/>
    <w:rsid w:val="00005E13"/>
    <w:pPr>
      <w:keepNext/>
      <w:keepLines/>
      <w:spacing w:before="200"/>
      <w:outlineLvl w:val="5"/>
    </w:pPr>
    <w:rPr>
      <w:rFonts w:ascii="Cambria" w:eastAsia="Times New Roman" w:hAnsi="Cambria"/>
      <w:i/>
      <w:iCs/>
      <w:color w:val="243F60"/>
    </w:rPr>
  </w:style>
  <w:style w:type="paragraph" w:styleId="Titre7">
    <w:name w:val="heading 7"/>
    <w:basedOn w:val="Normal"/>
    <w:next w:val="Normal"/>
    <w:link w:val="Titre7Car"/>
    <w:uiPriority w:val="19"/>
    <w:semiHidden/>
    <w:unhideWhenUsed/>
    <w:qFormat/>
    <w:rsid w:val="00005E13"/>
    <w:pPr>
      <w:keepNext/>
      <w:keepLines/>
      <w:spacing w:before="200"/>
      <w:outlineLvl w:val="6"/>
    </w:pPr>
    <w:rPr>
      <w:rFonts w:ascii="Cambria" w:eastAsia="Times New Roman" w:hAnsi="Cambria"/>
      <w:i/>
      <w:iCs/>
      <w:color w:val="404040"/>
    </w:rPr>
  </w:style>
  <w:style w:type="paragraph" w:styleId="Titre8">
    <w:name w:val="heading 8"/>
    <w:basedOn w:val="Normal"/>
    <w:next w:val="Normal"/>
    <w:link w:val="Titre8Car"/>
    <w:uiPriority w:val="19"/>
    <w:semiHidden/>
    <w:unhideWhenUsed/>
    <w:qFormat/>
    <w:rsid w:val="00005E13"/>
    <w:pPr>
      <w:keepNext/>
      <w:keepLines/>
      <w:spacing w:before="200"/>
      <w:outlineLvl w:val="7"/>
    </w:pPr>
    <w:rPr>
      <w:rFonts w:ascii="Cambria" w:eastAsia="Times New Roman" w:hAnsi="Cambria"/>
      <w:color w:val="404040"/>
      <w:sz w:val="20"/>
      <w:szCs w:val="20"/>
    </w:rPr>
  </w:style>
  <w:style w:type="paragraph" w:styleId="Titre9">
    <w:name w:val="heading 9"/>
    <w:basedOn w:val="Normal"/>
    <w:next w:val="Normal"/>
    <w:link w:val="Titre9Car"/>
    <w:uiPriority w:val="19"/>
    <w:semiHidden/>
    <w:unhideWhenUsed/>
    <w:qFormat/>
    <w:rsid w:val="00005E13"/>
    <w:pPr>
      <w:keepNext/>
      <w:keepLines/>
      <w:spacing w:before="20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19"/>
    <w:rsid w:val="00D6340E"/>
    <w:rPr>
      <w:rFonts w:ascii="Times New Roman" w:hAnsi="Times New Roman"/>
      <w:b/>
      <w:color w:val="A6A6A6"/>
      <w:sz w:val="32"/>
      <w:szCs w:val="32"/>
    </w:rPr>
  </w:style>
  <w:style w:type="character" w:customStyle="1" w:styleId="Titre2Car">
    <w:name w:val="Titre 2 Car"/>
    <w:link w:val="Titre2"/>
    <w:uiPriority w:val="19"/>
    <w:rsid w:val="00D6340E"/>
    <w:rPr>
      <w:rFonts w:ascii="Times New Roman" w:hAnsi="Times New Roman"/>
      <w:b/>
      <w:bCs/>
      <w:color w:val="7F7F7F"/>
      <w:sz w:val="25"/>
      <w:szCs w:val="22"/>
      <w:lang w:bidi="ar-SA"/>
    </w:rPr>
  </w:style>
  <w:style w:type="character" w:customStyle="1" w:styleId="Titre3Car">
    <w:name w:val="Titre 3 Car"/>
    <w:link w:val="Titre3"/>
    <w:uiPriority w:val="19"/>
    <w:rsid w:val="00206537"/>
    <w:rPr>
      <w:rFonts w:ascii="Times New Roman" w:hAnsi="Times New Roman"/>
      <w:b/>
      <w:sz w:val="28"/>
      <w:szCs w:val="22"/>
      <w:lang w:val="fr-FR" w:eastAsia="en-US" w:bidi="ar-SA"/>
    </w:rPr>
  </w:style>
  <w:style w:type="character" w:customStyle="1" w:styleId="Titre4Car">
    <w:name w:val="Titre 4 Car"/>
    <w:link w:val="Titre4"/>
    <w:uiPriority w:val="19"/>
    <w:rsid w:val="00685F80"/>
    <w:rPr>
      <w:rFonts w:ascii="Times New Roman" w:hAnsi="Times New Roman"/>
      <w:sz w:val="26"/>
      <w:szCs w:val="26"/>
      <w:u w:val="single"/>
      <w:lang w:eastAsia="en-US" w:bidi="ar-SA"/>
    </w:rPr>
  </w:style>
  <w:style w:type="character" w:customStyle="1" w:styleId="Titre5Car">
    <w:name w:val="Titre 5 Car"/>
    <w:link w:val="Titre5"/>
    <w:uiPriority w:val="19"/>
    <w:rsid w:val="00685F80"/>
    <w:rPr>
      <w:rFonts w:ascii="Times New Roman" w:hAnsi="Times New Roman"/>
      <w:sz w:val="25"/>
      <w:szCs w:val="22"/>
      <w:u w:val="single"/>
      <w:lang w:eastAsia="en-US" w:bidi="ar-SA"/>
    </w:rPr>
  </w:style>
  <w:style w:type="character" w:customStyle="1" w:styleId="Titre6Car">
    <w:name w:val="Titre 6 Car"/>
    <w:link w:val="Titre6"/>
    <w:uiPriority w:val="19"/>
    <w:semiHidden/>
    <w:rsid w:val="00005E13"/>
    <w:rPr>
      <w:rFonts w:ascii="Cambria" w:eastAsia="Times New Roman" w:hAnsi="Cambria"/>
      <w:i/>
      <w:iCs/>
      <w:color w:val="243F60"/>
      <w:sz w:val="25"/>
      <w:szCs w:val="22"/>
      <w:lang w:eastAsia="en-US" w:bidi="ar-SA"/>
    </w:rPr>
  </w:style>
  <w:style w:type="character" w:customStyle="1" w:styleId="Titre7Car">
    <w:name w:val="Titre 7 Car"/>
    <w:link w:val="Titre7"/>
    <w:uiPriority w:val="19"/>
    <w:semiHidden/>
    <w:rsid w:val="00005E13"/>
    <w:rPr>
      <w:rFonts w:ascii="Cambria" w:eastAsia="Times New Roman" w:hAnsi="Cambria"/>
      <w:i/>
      <w:iCs/>
      <w:color w:val="404040"/>
      <w:sz w:val="25"/>
      <w:szCs w:val="22"/>
      <w:lang w:eastAsia="en-US" w:bidi="ar-SA"/>
    </w:rPr>
  </w:style>
  <w:style w:type="character" w:customStyle="1" w:styleId="Titre8Car">
    <w:name w:val="Titre 8 Car"/>
    <w:link w:val="Titre8"/>
    <w:uiPriority w:val="19"/>
    <w:semiHidden/>
    <w:rsid w:val="00005E13"/>
    <w:rPr>
      <w:rFonts w:ascii="Cambria" w:eastAsia="Times New Roman" w:hAnsi="Cambria"/>
      <w:color w:val="404040"/>
      <w:lang w:eastAsia="en-US" w:bidi="ar-SA"/>
    </w:rPr>
  </w:style>
  <w:style w:type="character" w:customStyle="1" w:styleId="Titre9Car">
    <w:name w:val="Titre 9 Car"/>
    <w:link w:val="Titre9"/>
    <w:uiPriority w:val="19"/>
    <w:semiHidden/>
    <w:rsid w:val="00005E13"/>
    <w:rPr>
      <w:rFonts w:ascii="Cambria" w:eastAsia="Times New Roman" w:hAnsi="Cambria"/>
      <w:i/>
      <w:iCs/>
      <w:color w:val="404040"/>
      <w:lang w:eastAsia="en-US" w:bidi="ar-SA"/>
    </w:rPr>
  </w:style>
  <w:style w:type="character" w:styleId="Lienhypertexte">
    <w:name w:val="Hyperlink"/>
    <w:uiPriority w:val="99"/>
    <w:unhideWhenUsed/>
    <w:rsid w:val="00731B97"/>
    <w:rPr>
      <w:color w:val="0000FF"/>
      <w:u w:val="single"/>
    </w:rPr>
  </w:style>
  <w:style w:type="table" w:styleId="Grilledutableau">
    <w:name w:val="Table Grid"/>
    <w:basedOn w:val="TableauNormal"/>
    <w:uiPriority w:val="59"/>
    <w:rsid w:val="006324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unhideWhenUsed/>
    <w:rsid w:val="009068D6"/>
    <w:rPr>
      <w:sz w:val="24"/>
      <w:szCs w:val="20"/>
    </w:rPr>
  </w:style>
  <w:style w:type="character" w:customStyle="1" w:styleId="NotedebasdepageCar">
    <w:name w:val="Note de bas de page Car"/>
    <w:link w:val="Notedebasdepage"/>
    <w:uiPriority w:val="99"/>
    <w:rsid w:val="009068D6"/>
    <w:rPr>
      <w:rFonts w:ascii="Times New Roman" w:hAnsi="Times New Roman"/>
      <w:sz w:val="24"/>
      <w:lang w:eastAsia="en-US" w:bidi="ar-SA"/>
    </w:rPr>
  </w:style>
  <w:style w:type="character" w:styleId="Appelnotedebasdep">
    <w:name w:val="footnote reference"/>
    <w:uiPriority w:val="99"/>
    <w:semiHidden/>
    <w:unhideWhenUsed/>
    <w:rsid w:val="00743C09"/>
    <w:rPr>
      <w:rFonts w:ascii="Cambria" w:hAnsi="Cambria"/>
      <w:color w:val="C00000"/>
      <w:vertAlign w:val="superscript"/>
    </w:rPr>
  </w:style>
  <w:style w:type="paragraph" w:customStyle="1" w:styleId="nsr">
    <w:name w:val="nsr"/>
    <w:basedOn w:val="Normal"/>
    <w:qFormat/>
    <w:rsid w:val="00C8701B"/>
    <w:pPr>
      <w:ind w:firstLine="0"/>
    </w:pPr>
    <w:rPr>
      <w:rFonts w:eastAsia="Gungsuh"/>
      <w:lang w:eastAsia="fr-FR"/>
    </w:rPr>
  </w:style>
  <w:style w:type="paragraph" w:customStyle="1" w:styleId="m1">
    <w:name w:val="m1"/>
    <w:uiPriority w:val="9"/>
    <w:qFormat/>
    <w:rsid w:val="00206537"/>
    <w:rPr>
      <w:rFonts w:ascii="Times New Roman" w:hAnsi="Times New Roman"/>
      <w:b/>
      <w:bCs/>
      <w:sz w:val="24"/>
      <w:szCs w:val="18"/>
      <w:lang w:bidi="ar-SA"/>
    </w:rPr>
  </w:style>
  <w:style w:type="paragraph" w:styleId="Notedefin">
    <w:name w:val="endnote text"/>
    <w:basedOn w:val="Normal"/>
    <w:link w:val="NotedefinCar"/>
    <w:uiPriority w:val="99"/>
    <w:unhideWhenUsed/>
    <w:rsid w:val="001F13A0"/>
    <w:rPr>
      <w:sz w:val="20"/>
      <w:szCs w:val="20"/>
      <w:lang w:bidi="he-IL"/>
    </w:rPr>
  </w:style>
  <w:style w:type="character" w:customStyle="1" w:styleId="NotedefinCar">
    <w:name w:val="Note de fin Car"/>
    <w:link w:val="Notedefin"/>
    <w:uiPriority w:val="99"/>
    <w:rsid w:val="001F13A0"/>
    <w:rPr>
      <w:rFonts w:ascii="Times New Roman" w:hAnsi="Times New Roman"/>
      <w:lang w:eastAsia="en-US"/>
    </w:rPr>
  </w:style>
  <w:style w:type="character" w:styleId="Appeldenotedefin">
    <w:name w:val="endnote reference"/>
    <w:uiPriority w:val="99"/>
    <w:semiHidden/>
    <w:unhideWhenUsed/>
    <w:rsid w:val="001F13A0"/>
    <w:rPr>
      <w:vertAlign w:val="superscript"/>
    </w:rPr>
  </w:style>
  <w:style w:type="paragraph" w:styleId="En-tte">
    <w:name w:val="header"/>
    <w:basedOn w:val="Normal"/>
    <w:link w:val="En-tteCar"/>
    <w:uiPriority w:val="99"/>
    <w:unhideWhenUsed/>
    <w:rsid w:val="00F525F0"/>
    <w:pPr>
      <w:tabs>
        <w:tab w:val="center" w:pos="4536"/>
        <w:tab w:val="right" w:pos="9072"/>
      </w:tabs>
    </w:pPr>
    <w:rPr>
      <w:sz w:val="24"/>
      <w:lang w:bidi="he-IL"/>
    </w:rPr>
  </w:style>
  <w:style w:type="character" w:customStyle="1" w:styleId="En-tteCar">
    <w:name w:val="En-tête Car"/>
    <w:link w:val="En-tte"/>
    <w:uiPriority w:val="99"/>
    <w:rsid w:val="00F525F0"/>
    <w:rPr>
      <w:rFonts w:ascii="Times New Roman" w:hAnsi="Times New Roman"/>
      <w:sz w:val="24"/>
      <w:szCs w:val="22"/>
      <w:lang w:eastAsia="en-US"/>
    </w:rPr>
  </w:style>
  <w:style w:type="paragraph" w:customStyle="1" w:styleId="dextra">
    <w:name w:val="dextra"/>
    <w:uiPriority w:val="9"/>
    <w:qFormat/>
    <w:rsid w:val="00F525F0"/>
    <w:pPr>
      <w:jc w:val="right"/>
    </w:pPr>
    <w:rPr>
      <w:rFonts w:ascii="Times New Roman" w:hAnsi="Times New Roman"/>
      <w:sz w:val="25"/>
      <w:szCs w:val="22"/>
      <w:lang w:eastAsia="en-US" w:bidi="ar-SA"/>
    </w:rPr>
  </w:style>
  <w:style w:type="paragraph" w:customStyle="1" w:styleId="enarratio">
    <w:name w:val="enarratio"/>
    <w:basedOn w:val="nsr"/>
    <w:uiPriority w:val="9"/>
    <w:qFormat/>
    <w:rsid w:val="00F525F0"/>
    <w:pPr>
      <w:spacing w:before="80" w:after="80"/>
      <w:contextualSpacing/>
    </w:pPr>
    <w:rPr>
      <w:rFonts w:eastAsia="Calibri"/>
      <w:szCs w:val="25"/>
      <w:lang w:eastAsia="en-US"/>
    </w:rPr>
  </w:style>
  <w:style w:type="paragraph" w:customStyle="1" w:styleId="monitum">
    <w:name w:val="monitum"/>
    <w:uiPriority w:val="9"/>
    <w:qFormat/>
    <w:rsid w:val="00F525F0"/>
    <w:pPr>
      <w:ind w:firstLine="284"/>
    </w:pPr>
    <w:rPr>
      <w:rFonts w:ascii="Times New Roman" w:hAnsi="Times New Roman"/>
      <w:color w:val="FF0000"/>
      <w:sz w:val="25"/>
      <w:szCs w:val="25"/>
      <w:lang w:eastAsia="en-US" w:bidi="ar-SA"/>
    </w:rPr>
  </w:style>
  <w:style w:type="paragraph" w:customStyle="1" w:styleId="fonsloci">
    <w:name w:val="fonsloci"/>
    <w:next w:val="locus"/>
    <w:uiPriority w:val="9"/>
    <w:qFormat/>
    <w:rsid w:val="00F525F0"/>
    <w:pPr>
      <w:jc w:val="right"/>
    </w:pPr>
    <w:rPr>
      <w:rFonts w:ascii="Times New Roman" w:hAnsi="Times New Roman"/>
      <w:sz w:val="24"/>
      <w:szCs w:val="22"/>
      <w:lang w:eastAsia="en-US" w:bidi="ar-SA"/>
    </w:rPr>
  </w:style>
  <w:style w:type="paragraph" w:customStyle="1" w:styleId="locus">
    <w:name w:val="locus"/>
    <w:uiPriority w:val="9"/>
    <w:qFormat/>
    <w:rsid w:val="00F525F0"/>
    <w:pPr>
      <w:ind w:left="567" w:firstLine="284"/>
      <w:jc w:val="both"/>
    </w:pPr>
    <w:rPr>
      <w:rFonts w:ascii="Times New Roman" w:hAnsi="Times New Roman"/>
      <w:sz w:val="24"/>
      <w:szCs w:val="22"/>
      <w:lang w:eastAsia="en-US" w:bidi="ar-SA"/>
    </w:rPr>
  </w:style>
  <w:style w:type="paragraph" w:customStyle="1" w:styleId="s">
    <w:name w:val="s"/>
    <w:basedOn w:val="lingua"/>
    <w:uiPriority w:val="4"/>
    <w:qFormat/>
    <w:rsid w:val="00F525F0"/>
    <w:pPr>
      <w:autoSpaceDE w:val="0"/>
      <w:autoSpaceDN w:val="0"/>
      <w:adjustRightInd w:val="0"/>
      <w:jc w:val="both"/>
    </w:pPr>
    <w:rPr>
      <w:sz w:val="24"/>
    </w:rPr>
  </w:style>
  <w:style w:type="paragraph" w:customStyle="1" w:styleId="lingua">
    <w:name w:val="lingua"/>
    <w:uiPriority w:val="9"/>
    <w:qFormat/>
    <w:rsid w:val="00F525F0"/>
    <w:rPr>
      <w:rFonts w:ascii="Times New Roman" w:hAnsi="Times New Roman"/>
      <w:szCs w:val="22"/>
      <w:lang w:val="en-GB" w:bidi="ar-SA"/>
    </w:rPr>
  </w:style>
  <w:style w:type="paragraph" w:customStyle="1" w:styleId="il">
    <w:name w:val="il"/>
    <w:uiPriority w:val="9"/>
    <w:qFormat/>
    <w:rsid w:val="00F525F0"/>
    <w:rPr>
      <w:rFonts w:ascii="Times New Roman" w:hAnsi="Times New Roman"/>
      <w:sz w:val="14"/>
      <w:szCs w:val="25"/>
      <w:lang w:eastAsia="en-US" w:bidi="ar-SA"/>
    </w:rPr>
  </w:style>
  <w:style w:type="paragraph" w:customStyle="1" w:styleId="dixit">
    <w:name w:val="dixit"/>
    <w:next w:val="locus"/>
    <w:uiPriority w:val="9"/>
    <w:qFormat/>
    <w:rsid w:val="00F525F0"/>
    <w:rPr>
      <w:rFonts w:ascii="Times New Roman" w:hAnsi="Times New Roman"/>
      <w:sz w:val="24"/>
      <w:szCs w:val="22"/>
      <w:lang w:eastAsia="en-US" w:bidi="ar-SA"/>
    </w:rPr>
  </w:style>
  <w:style w:type="paragraph" w:customStyle="1" w:styleId="caducus">
    <w:name w:val="caducus"/>
    <w:uiPriority w:val="9"/>
    <w:qFormat/>
    <w:rsid w:val="00F525F0"/>
    <w:rPr>
      <w:rFonts w:ascii="Times New Roman" w:hAnsi="Times New Roman"/>
      <w:color w:val="0070C0"/>
      <w:sz w:val="25"/>
      <w:szCs w:val="22"/>
      <w:lang w:eastAsia="en-US" w:bidi="ar-SA"/>
    </w:rPr>
  </w:style>
  <w:style w:type="paragraph" w:customStyle="1" w:styleId="impar">
    <w:name w:val="impar"/>
    <w:uiPriority w:val="9"/>
    <w:qFormat/>
    <w:rsid w:val="00F525F0"/>
    <w:pPr>
      <w:tabs>
        <w:tab w:val="right" w:pos="9809"/>
        <w:tab w:val="right" w:pos="10376"/>
      </w:tabs>
    </w:pPr>
    <w:rPr>
      <w:rFonts w:ascii="Times New Roman" w:hAnsi="Times New Roman"/>
      <w:sz w:val="24"/>
      <w:szCs w:val="22"/>
      <w:lang w:eastAsia="en-US" w:bidi="ar-SA"/>
    </w:rPr>
  </w:style>
  <w:style w:type="paragraph" w:customStyle="1" w:styleId="sv">
    <w:name w:val="sv"/>
    <w:basedOn w:val="s"/>
    <w:uiPriority w:val="4"/>
    <w:qFormat/>
    <w:rsid w:val="00F525F0"/>
    <w:pPr>
      <w:ind w:left="284" w:hanging="284"/>
      <w:jc w:val="left"/>
    </w:pPr>
  </w:style>
  <w:style w:type="paragraph" w:customStyle="1" w:styleId="i">
    <w:name w:val="i"/>
    <w:basedOn w:val="Normal"/>
    <w:uiPriority w:val="4"/>
    <w:qFormat/>
    <w:rsid w:val="00F525F0"/>
    <w:pPr>
      <w:autoSpaceDE w:val="0"/>
      <w:autoSpaceDN w:val="0"/>
      <w:adjustRightInd w:val="0"/>
      <w:ind w:firstLine="0"/>
    </w:pPr>
    <w:rPr>
      <w:lang w:eastAsia="fr-FR"/>
    </w:rPr>
  </w:style>
  <w:style w:type="paragraph" w:customStyle="1" w:styleId="iv">
    <w:name w:val="iv"/>
    <w:basedOn w:val="i"/>
    <w:uiPriority w:val="4"/>
    <w:qFormat/>
    <w:rsid w:val="00F525F0"/>
    <w:pPr>
      <w:ind w:left="284" w:hanging="284"/>
      <w:jc w:val="left"/>
    </w:pPr>
  </w:style>
  <w:style w:type="paragraph" w:customStyle="1" w:styleId="par">
    <w:name w:val="par"/>
    <w:uiPriority w:val="9"/>
    <w:qFormat/>
    <w:rsid w:val="00F525F0"/>
    <w:pPr>
      <w:tabs>
        <w:tab w:val="left" w:pos="567"/>
        <w:tab w:val="right" w:pos="10376"/>
      </w:tabs>
    </w:pPr>
    <w:rPr>
      <w:rFonts w:ascii="Times New Roman" w:hAnsi="Times New Roman"/>
      <w:sz w:val="24"/>
      <w:szCs w:val="22"/>
      <w:lang w:eastAsia="en-US" w:bidi="ar-SA"/>
    </w:rPr>
  </w:style>
  <w:style w:type="character" w:customStyle="1" w:styleId="bv">
    <w:name w:val="bv"/>
    <w:uiPriority w:val="29"/>
    <w:qFormat/>
    <w:rsid w:val="00F525F0"/>
    <w:rPr>
      <w:sz w:val="22"/>
    </w:rPr>
  </w:style>
  <w:style w:type="character" w:customStyle="1" w:styleId="bc">
    <w:name w:val="bc"/>
    <w:uiPriority w:val="1"/>
    <w:qFormat/>
    <w:rsid w:val="00F525F0"/>
    <w:rPr>
      <w:b/>
    </w:rPr>
  </w:style>
  <w:style w:type="paragraph" w:customStyle="1" w:styleId="t1">
    <w:name w:val="t1"/>
    <w:basedOn w:val="Normal"/>
    <w:uiPriority w:val="29"/>
    <w:qFormat/>
    <w:rsid w:val="004901F4"/>
    <w:pPr>
      <w:tabs>
        <w:tab w:val="right" w:pos="9639"/>
      </w:tabs>
      <w:spacing w:before="100" w:after="60"/>
      <w:ind w:firstLine="0"/>
      <w:jc w:val="left"/>
    </w:pPr>
  </w:style>
  <w:style w:type="paragraph" w:customStyle="1" w:styleId="t2">
    <w:name w:val="t2"/>
    <w:basedOn w:val="t1"/>
    <w:uiPriority w:val="29"/>
    <w:qFormat/>
    <w:rsid w:val="004901F4"/>
    <w:pPr>
      <w:spacing w:before="0" w:after="0"/>
      <w:ind w:left="284"/>
    </w:pPr>
  </w:style>
  <w:style w:type="paragraph" w:customStyle="1" w:styleId="t3">
    <w:name w:val="t3"/>
    <w:basedOn w:val="Normal"/>
    <w:uiPriority w:val="29"/>
    <w:qFormat/>
    <w:rsid w:val="00F525F0"/>
    <w:pPr>
      <w:ind w:left="284" w:firstLine="0"/>
      <w:jc w:val="left"/>
    </w:pPr>
  </w:style>
  <w:style w:type="paragraph" w:customStyle="1" w:styleId="ntsr">
    <w:name w:val="ntsr"/>
    <w:basedOn w:val="nota"/>
    <w:uiPriority w:val="9"/>
    <w:qFormat/>
    <w:rsid w:val="00F525F0"/>
    <w:pPr>
      <w:ind w:firstLine="0"/>
    </w:pPr>
  </w:style>
  <w:style w:type="paragraph" w:customStyle="1" w:styleId="nota">
    <w:name w:val="nota"/>
    <w:uiPriority w:val="9"/>
    <w:qFormat/>
    <w:rsid w:val="00F525F0"/>
    <w:pPr>
      <w:spacing w:before="140" w:after="140"/>
      <w:ind w:firstLine="284"/>
      <w:contextualSpacing/>
      <w:jc w:val="both"/>
    </w:pPr>
    <w:rPr>
      <w:rFonts w:ascii="Times New Roman" w:hAnsi="Times New Roman"/>
      <w:sz w:val="23"/>
      <w:szCs w:val="22"/>
      <w:lang w:eastAsia="en-US" w:bidi="ar-SA"/>
    </w:rPr>
  </w:style>
  <w:style w:type="character" w:customStyle="1" w:styleId="vonos">
    <w:name w:val="vonos"/>
    <w:uiPriority w:val="9"/>
    <w:qFormat/>
    <w:rsid w:val="00F525F0"/>
    <w:rPr>
      <w:rFonts w:ascii="Verdana" w:hAnsi="Verdana"/>
      <w:color w:val="CC0000"/>
    </w:rPr>
  </w:style>
  <w:style w:type="character" w:customStyle="1" w:styleId="vonoi">
    <w:name w:val="vonoi"/>
    <w:uiPriority w:val="9"/>
    <w:qFormat/>
    <w:rsid w:val="00F525F0"/>
    <w:rPr>
      <w:rFonts w:ascii="Verdana" w:hAnsi="Verdana"/>
      <w:color w:val="CC0000"/>
    </w:rPr>
  </w:style>
  <w:style w:type="paragraph" w:customStyle="1" w:styleId="centrum">
    <w:name w:val="centrum"/>
    <w:basedOn w:val="Normal"/>
    <w:uiPriority w:val="9"/>
    <w:qFormat/>
    <w:rsid w:val="00F525F0"/>
    <w:pPr>
      <w:ind w:firstLine="0"/>
      <w:jc w:val="center"/>
    </w:pPr>
    <w:rPr>
      <w:rFonts w:eastAsia="MS Mincho"/>
      <w:lang w:eastAsia="fr-FR"/>
    </w:rPr>
  </w:style>
  <w:style w:type="character" w:customStyle="1" w:styleId="italicus">
    <w:name w:val="italicus"/>
    <w:uiPriority w:val="1"/>
    <w:qFormat/>
    <w:rsid w:val="00F525F0"/>
    <w:rPr>
      <w:i/>
    </w:rPr>
  </w:style>
  <w:style w:type="paragraph" w:customStyle="1" w:styleId="sejunctio">
    <w:name w:val="sejunctio"/>
    <w:next w:val="Normal"/>
    <w:uiPriority w:val="9"/>
    <w:qFormat/>
    <w:rsid w:val="00F525F0"/>
    <w:pPr>
      <w:jc w:val="center"/>
    </w:pPr>
    <w:rPr>
      <w:rFonts w:ascii="Times New Roman" w:hAnsi="Times New Roman"/>
      <w:b/>
      <w:sz w:val="25"/>
      <w:szCs w:val="22"/>
      <w:lang w:eastAsia="en-US" w:bidi="ar-SA"/>
    </w:rPr>
  </w:style>
  <w:style w:type="paragraph" w:customStyle="1" w:styleId="titulus">
    <w:name w:val="titulus"/>
    <w:uiPriority w:val="8"/>
    <w:qFormat/>
    <w:rsid w:val="000C337D"/>
    <w:pPr>
      <w:spacing w:before="80" w:after="80"/>
      <w:jc w:val="both"/>
    </w:pPr>
    <w:rPr>
      <w:rFonts w:ascii="Times New Roman" w:hAnsi="Times New Roman"/>
      <w:sz w:val="23"/>
      <w:szCs w:val="22"/>
      <w:lang w:eastAsia="en-US" w:bidi="ar-SA"/>
    </w:rPr>
  </w:style>
  <w:style w:type="paragraph" w:customStyle="1" w:styleId="lcsr">
    <w:name w:val="lcsr"/>
    <w:basedOn w:val="locus"/>
    <w:uiPriority w:val="9"/>
    <w:qFormat/>
    <w:rsid w:val="00F525F0"/>
    <w:pPr>
      <w:ind w:firstLine="0"/>
    </w:pPr>
  </w:style>
  <w:style w:type="character" w:customStyle="1" w:styleId="scriptor">
    <w:name w:val="scriptor"/>
    <w:uiPriority w:val="1"/>
    <w:qFormat/>
    <w:rsid w:val="00F525F0"/>
    <w:rPr>
      <w:smallCaps/>
    </w:rPr>
  </w:style>
  <w:style w:type="paragraph" w:customStyle="1" w:styleId="tabtit">
    <w:name w:val="tabtit"/>
    <w:next w:val="sejunctio"/>
    <w:uiPriority w:val="9"/>
    <w:qFormat/>
    <w:rsid w:val="00F525F0"/>
    <w:pPr>
      <w:jc w:val="center"/>
    </w:pPr>
    <w:rPr>
      <w:rFonts w:ascii="Times New Roman" w:eastAsia="MS Mincho" w:hAnsi="Times New Roman"/>
      <w:b/>
      <w:sz w:val="32"/>
      <w:szCs w:val="22"/>
      <w:lang w:bidi="ar-SA"/>
    </w:rPr>
  </w:style>
  <w:style w:type="paragraph" w:customStyle="1" w:styleId="u00">
    <w:name w:val="u00"/>
    <w:next w:val="Normal"/>
    <w:uiPriority w:val="9"/>
    <w:qFormat/>
    <w:rsid w:val="00F525F0"/>
    <w:pPr>
      <w:spacing w:before="140" w:after="140"/>
      <w:contextualSpacing/>
      <w:jc w:val="center"/>
    </w:pPr>
    <w:rPr>
      <w:rFonts w:ascii="Times New Roman" w:hAnsi="Times New Roman"/>
      <w:b/>
      <w:sz w:val="44"/>
      <w:szCs w:val="22"/>
      <w:lang w:eastAsia="en-US" w:bidi="ar-SA"/>
    </w:rPr>
  </w:style>
  <w:style w:type="paragraph" w:customStyle="1" w:styleId="titulusc">
    <w:name w:val="titulusc"/>
    <w:basedOn w:val="titulus"/>
    <w:uiPriority w:val="8"/>
    <w:qFormat/>
    <w:rsid w:val="00F525F0"/>
    <w:pPr>
      <w:jc w:val="center"/>
    </w:pPr>
  </w:style>
  <w:style w:type="character" w:customStyle="1" w:styleId="aditus">
    <w:name w:val="aditus"/>
    <w:uiPriority w:val="1"/>
    <w:qFormat/>
    <w:rsid w:val="00F525F0"/>
    <w:rPr>
      <w:b/>
    </w:rPr>
  </w:style>
  <w:style w:type="paragraph" w:customStyle="1" w:styleId="bc2">
    <w:name w:val="bc2"/>
    <w:basedOn w:val="sv"/>
    <w:uiPriority w:val="14"/>
    <w:qFormat/>
    <w:rsid w:val="00F525F0"/>
    <w:pPr>
      <w:autoSpaceDE/>
      <w:autoSpaceDN/>
      <w:adjustRightInd/>
      <w:ind w:firstLine="0"/>
    </w:pPr>
    <w:rPr>
      <w:b/>
      <w:lang w:val="fr-FR"/>
    </w:rPr>
  </w:style>
  <w:style w:type="paragraph" w:customStyle="1" w:styleId="w1">
    <w:name w:val="w1"/>
    <w:qFormat/>
    <w:rsid w:val="00423510"/>
    <w:pPr>
      <w:spacing w:before="140" w:after="140"/>
      <w:jc w:val="center"/>
    </w:pPr>
    <w:rPr>
      <w:rFonts w:ascii="Times New Roman" w:hAnsi="Times New Roman"/>
      <w:b/>
      <w:sz w:val="34"/>
      <w:szCs w:val="43"/>
      <w:lang w:eastAsia="en-US" w:bidi="ar-SA"/>
    </w:rPr>
  </w:style>
  <w:style w:type="paragraph" w:customStyle="1" w:styleId="m2">
    <w:name w:val="m2"/>
    <w:basedOn w:val="m1"/>
    <w:uiPriority w:val="9"/>
    <w:qFormat/>
    <w:rsid w:val="00C31AE7"/>
    <w:rPr>
      <w:color w:val="7030A0"/>
    </w:rPr>
  </w:style>
  <w:style w:type="paragraph" w:customStyle="1" w:styleId="resume">
    <w:name w:val="resume"/>
    <w:next w:val="Normal"/>
    <w:qFormat/>
    <w:rsid w:val="00660B56"/>
    <w:pPr>
      <w:jc w:val="both"/>
    </w:pPr>
    <w:rPr>
      <w:rFonts w:ascii="Times New Roman" w:hAnsi="Times New Roman"/>
      <w:sz w:val="23"/>
      <w:szCs w:val="22"/>
      <w:lang w:bidi="ar-SA"/>
    </w:rPr>
  </w:style>
  <w:style w:type="paragraph" w:customStyle="1" w:styleId="w2">
    <w:name w:val="w2"/>
    <w:basedOn w:val="w1"/>
    <w:qFormat/>
    <w:rsid w:val="00423510"/>
    <w:rPr>
      <w:sz w:val="28"/>
    </w:rPr>
  </w:style>
  <w:style w:type="paragraph" w:styleId="Pieddepage">
    <w:name w:val="footer"/>
    <w:basedOn w:val="Normal"/>
    <w:link w:val="PieddepageCar"/>
    <w:uiPriority w:val="99"/>
    <w:unhideWhenUsed/>
    <w:rsid w:val="00005E13"/>
    <w:pPr>
      <w:tabs>
        <w:tab w:val="center" w:pos="4536"/>
        <w:tab w:val="right" w:pos="9072"/>
      </w:tabs>
    </w:pPr>
  </w:style>
  <w:style w:type="character" w:customStyle="1" w:styleId="PieddepageCar">
    <w:name w:val="Pied de page Car"/>
    <w:link w:val="Pieddepage"/>
    <w:uiPriority w:val="99"/>
    <w:rsid w:val="00005E13"/>
    <w:rPr>
      <w:rFonts w:ascii="Times New Roman" w:hAnsi="Times New Roman"/>
      <w:sz w:val="25"/>
      <w:szCs w:val="22"/>
      <w:lang w:eastAsia="en-US" w:bidi="ar-SA"/>
    </w:rPr>
  </w:style>
  <w:style w:type="character" w:customStyle="1" w:styleId="TextedebullesCar">
    <w:name w:val="Texte de bulles Car"/>
    <w:link w:val="Textedebulles"/>
    <w:uiPriority w:val="99"/>
    <w:semiHidden/>
    <w:rsid w:val="00005E13"/>
    <w:rPr>
      <w:rFonts w:ascii="Tahoma" w:hAnsi="Tahoma" w:cs="Tahoma"/>
      <w:sz w:val="16"/>
      <w:szCs w:val="16"/>
      <w:lang w:eastAsia="en-US" w:bidi="ar-SA"/>
    </w:rPr>
  </w:style>
  <w:style w:type="paragraph" w:styleId="Textedebulles">
    <w:name w:val="Balloon Text"/>
    <w:basedOn w:val="Normal"/>
    <w:link w:val="TextedebullesCar"/>
    <w:uiPriority w:val="99"/>
    <w:semiHidden/>
    <w:unhideWhenUsed/>
    <w:rsid w:val="00005E13"/>
    <w:rPr>
      <w:rFonts w:ascii="Tahoma" w:hAnsi="Tahoma" w:cs="Tahoma"/>
      <w:sz w:val="16"/>
      <w:szCs w:val="16"/>
    </w:rPr>
  </w:style>
  <w:style w:type="paragraph" w:customStyle="1" w:styleId="Style">
    <w:name w:val="Style"/>
    <w:uiPriority w:val="14"/>
    <w:rsid w:val="00005E13"/>
    <w:pPr>
      <w:widowControl w:val="0"/>
      <w:autoSpaceDE w:val="0"/>
      <w:autoSpaceDN w:val="0"/>
      <w:adjustRightInd w:val="0"/>
    </w:pPr>
    <w:rPr>
      <w:rFonts w:ascii="Times New Roman" w:eastAsia="Times New Roman" w:hAnsi="Times New Roman"/>
      <w:sz w:val="24"/>
      <w:szCs w:val="24"/>
      <w:lang w:bidi="ar-SA"/>
    </w:rPr>
  </w:style>
  <w:style w:type="paragraph" w:styleId="NormalWeb">
    <w:name w:val="Normal (Web)"/>
    <w:basedOn w:val="Normal"/>
    <w:uiPriority w:val="99"/>
    <w:unhideWhenUsed/>
    <w:rsid w:val="00005E13"/>
    <w:pPr>
      <w:spacing w:before="100" w:beforeAutospacing="1" w:after="119" w:line="238" w:lineRule="atLeast"/>
      <w:ind w:right="45"/>
    </w:pPr>
    <w:rPr>
      <w:rFonts w:eastAsia="Times New Roman"/>
      <w:color w:val="000000"/>
      <w:sz w:val="24"/>
      <w:szCs w:val="24"/>
      <w:lang w:eastAsia="fr-FR"/>
    </w:rPr>
  </w:style>
  <w:style w:type="paragraph" w:styleId="Sansinterligne">
    <w:name w:val="No Spacing"/>
    <w:link w:val="SansinterligneCar"/>
    <w:uiPriority w:val="29"/>
    <w:qFormat/>
    <w:rsid w:val="00005E13"/>
    <w:rPr>
      <w:sz w:val="22"/>
      <w:szCs w:val="22"/>
      <w:lang w:eastAsia="en-US" w:bidi="ar-SA"/>
    </w:rPr>
  </w:style>
  <w:style w:type="character" w:customStyle="1" w:styleId="SansinterligneCar">
    <w:name w:val="Sans interligne Car"/>
    <w:link w:val="Sansinterligne"/>
    <w:uiPriority w:val="29"/>
    <w:rsid w:val="00005E13"/>
    <w:rPr>
      <w:sz w:val="22"/>
      <w:szCs w:val="22"/>
      <w:lang w:val="fr-FR" w:eastAsia="en-US" w:bidi="ar-SA"/>
    </w:rPr>
  </w:style>
  <w:style w:type="paragraph" w:styleId="TM1">
    <w:name w:val="toc 1"/>
    <w:next w:val="Normal"/>
    <w:autoRedefine/>
    <w:uiPriority w:val="39"/>
    <w:unhideWhenUsed/>
    <w:qFormat/>
    <w:rsid w:val="00005E13"/>
    <w:pPr>
      <w:spacing w:before="100"/>
    </w:pPr>
    <w:rPr>
      <w:rFonts w:ascii="Times New Roman" w:hAnsi="Times New Roman"/>
      <w:b/>
      <w:noProof/>
      <w:sz w:val="24"/>
      <w:szCs w:val="22"/>
      <w:lang w:eastAsia="en-US" w:bidi="ar-SA"/>
    </w:rPr>
  </w:style>
  <w:style w:type="paragraph" w:styleId="TM2">
    <w:name w:val="toc 2"/>
    <w:next w:val="Normal"/>
    <w:link w:val="TM2Car"/>
    <w:autoRedefine/>
    <w:uiPriority w:val="39"/>
    <w:unhideWhenUsed/>
    <w:rsid w:val="00005E13"/>
    <w:pPr>
      <w:spacing w:before="40"/>
    </w:pPr>
    <w:rPr>
      <w:rFonts w:ascii="Times New Roman" w:hAnsi="Times New Roman"/>
      <w:sz w:val="24"/>
      <w:szCs w:val="22"/>
      <w:lang w:eastAsia="en-US" w:bidi="ar-SA"/>
    </w:rPr>
  </w:style>
  <w:style w:type="character" w:customStyle="1" w:styleId="TM2Car">
    <w:name w:val="TM 2 Car"/>
    <w:link w:val="TM2"/>
    <w:uiPriority w:val="39"/>
    <w:rsid w:val="00005E13"/>
    <w:rPr>
      <w:rFonts w:ascii="Times New Roman" w:hAnsi="Times New Roman"/>
      <w:sz w:val="24"/>
      <w:szCs w:val="22"/>
      <w:lang w:val="fr-FR" w:eastAsia="en-US" w:bidi="ar-SA"/>
    </w:rPr>
  </w:style>
  <w:style w:type="paragraph" w:styleId="TM3">
    <w:name w:val="toc 3"/>
    <w:next w:val="Normal"/>
    <w:autoRedefine/>
    <w:uiPriority w:val="39"/>
    <w:unhideWhenUsed/>
    <w:rsid w:val="00005E13"/>
    <w:pPr>
      <w:ind w:left="442"/>
    </w:pPr>
    <w:rPr>
      <w:rFonts w:ascii="Times New Roman" w:hAnsi="Times New Roman"/>
      <w:sz w:val="24"/>
      <w:szCs w:val="22"/>
      <w:lang w:eastAsia="en-US" w:bidi="ar-SA"/>
    </w:rPr>
  </w:style>
  <w:style w:type="paragraph" w:styleId="TM4">
    <w:name w:val="toc 4"/>
    <w:basedOn w:val="Normal"/>
    <w:next w:val="Normal"/>
    <w:autoRedefine/>
    <w:uiPriority w:val="39"/>
    <w:unhideWhenUsed/>
    <w:qFormat/>
    <w:rsid w:val="004860D7"/>
    <w:pPr>
      <w:ind w:left="284" w:hanging="284"/>
      <w:jc w:val="left"/>
    </w:pPr>
    <w:rPr>
      <w:sz w:val="24"/>
    </w:rPr>
  </w:style>
  <w:style w:type="paragraph" w:styleId="Paragraphedeliste">
    <w:name w:val="List Paragraph"/>
    <w:basedOn w:val="Normal"/>
    <w:uiPriority w:val="34"/>
    <w:qFormat/>
    <w:rsid w:val="00005E13"/>
    <w:pPr>
      <w:ind w:left="720"/>
      <w:contextualSpacing/>
    </w:pPr>
  </w:style>
  <w:style w:type="paragraph" w:styleId="Citation">
    <w:name w:val="Quote"/>
    <w:basedOn w:val="Normal"/>
    <w:next w:val="Normal"/>
    <w:link w:val="CitationCar"/>
    <w:uiPriority w:val="29"/>
    <w:qFormat/>
    <w:rsid w:val="00EE1C95"/>
    <w:rPr>
      <w:i/>
      <w:iCs/>
      <w:color w:val="000000"/>
    </w:rPr>
  </w:style>
  <w:style w:type="character" w:customStyle="1" w:styleId="CitationCar">
    <w:name w:val="Citation Car"/>
    <w:basedOn w:val="Policepardfaut"/>
    <w:link w:val="Citation"/>
    <w:uiPriority w:val="29"/>
    <w:rsid w:val="00EE1C95"/>
    <w:rPr>
      <w:rFonts w:ascii="Times New Roman" w:hAnsi="Times New Roman"/>
      <w:i/>
      <w:iCs/>
      <w:color w:val="000000"/>
      <w:sz w:val="25"/>
      <w:szCs w:val="22"/>
      <w:lang w:eastAsia="en-US"/>
    </w:rPr>
  </w:style>
  <w:style w:type="paragraph" w:customStyle="1" w:styleId="Default">
    <w:name w:val="Default"/>
    <w:uiPriority w:val="29"/>
    <w:rsid w:val="00005E13"/>
    <w:pPr>
      <w:autoSpaceDE w:val="0"/>
      <w:autoSpaceDN w:val="0"/>
      <w:adjustRightInd w:val="0"/>
    </w:pPr>
    <w:rPr>
      <w:rFonts w:ascii="Times New Roman" w:hAnsi="Times New Roman"/>
      <w:color w:val="000000"/>
      <w:sz w:val="24"/>
      <w:szCs w:val="24"/>
      <w:lang w:eastAsia="en-US" w:bidi="ar-SA"/>
    </w:rPr>
  </w:style>
  <w:style w:type="paragraph" w:customStyle="1" w:styleId="csr">
    <w:name w:val="csr"/>
    <w:basedOn w:val="Normal"/>
    <w:qFormat/>
    <w:rsid w:val="00005E13"/>
    <w:pPr>
      <w:ind w:left="567" w:firstLine="0"/>
    </w:pPr>
    <w:rPr>
      <w:sz w:val="24"/>
    </w:rPr>
  </w:style>
  <w:style w:type="paragraph" w:customStyle="1" w:styleId="st01">
    <w:name w:val="st01"/>
    <w:basedOn w:val="s"/>
    <w:uiPriority w:val="9"/>
    <w:qFormat/>
    <w:rsid w:val="00005E13"/>
    <w:pPr>
      <w:spacing w:before="200" w:after="200"/>
      <w:jc w:val="center"/>
    </w:pPr>
    <w:rPr>
      <w:b/>
      <w:sz w:val="30"/>
    </w:rPr>
  </w:style>
  <w:style w:type="paragraph" w:customStyle="1" w:styleId="st02">
    <w:name w:val="st02"/>
    <w:basedOn w:val="s"/>
    <w:uiPriority w:val="9"/>
    <w:qFormat/>
    <w:rsid w:val="00005E13"/>
    <w:pPr>
      <w:spacing w:before="140" w:after="100"/>
      <w:jc w:val="left"/>
    </w:pPr>
    <w:rPr>
      <w:b/>
    </w:rPr>
  </w:style>
  <w:style w:type="paragraph" w:styleId="TM5">
    <w:name w:val="toc 5"/>
    <w:basedOn w:val="Normal"/>
    <w:next w:val="Normal"/>
    <w:autoRedefine/>
    <w:uiPriority w:val="39"/>
    <w:unhideWhenUsed/>
    <w:rsid w:val="00005E13"/>
    <w:pPr>
      <w:spacing w:after="100" w:line="276" w:lineRule="auto"/>
      <w:ind w:left="880"/>
      <w:jc w:val="left"/>
    </w:pPr>
    <w:rPr>
      <w:rFonts w:ascii="Calibri" w:eastAsia="Times New Roman" w:hAnsi="Calibri"/>
      <w:sz w:val="22"/>
      <w:lang w:eastAsia="fr-FR"/>
    </w:rPr>
  </w:style>
  <w:style w:type="paragraph" w:styleId="TM6">
    <w:name w:val="toc 6"/>
    <w:basedOn w:val="Normal"/>
    <w:next w:val="Normal"/>
    <w:autoRedefine/>
    <w:uiPriority w:val="39"/>
    <w:unhideWhenUsed/>
    <w:rsid w:val="00005E13"/>
    <w:pPr>
      <w:spacing w:after="100" w:line="276" w:lineRule="auto"/>
      <w:ind w:left="1100"/>
      <w:jc w:val="left"/>
    </w:pPr>
    <w:rPr>
      <w:rFonts w:ascii="Calibri" w:eastAsia="Times New Roman" w:hAnsi="Calibri"/>
      <w:sz w:val="22"/>
      <w:lang w:eastAsia="fr-FR"/>
    </w:rPr>
  </w:style>
  <w:style w:type="paragraph" w:styleId="TM7">
    <w:name w:val="toc 7"/>
    <w:basedOn w:val="Normal"/>
    <w:next w:val="Normal"/>
    <w:autoRedefine/>
    <w:uiPriority w:val="39"/>
    <w:unhideWhenUsed/>
    <w:rsid w:val="00005E13"/>
    <w:pPr>
      <w:spacing w:after="100" w:line="276" w:lineRule="auto"/>
      <w:ind w:left="1320"/>
      <w:jc w:val="left"/>
    </w:pPr>
    <w:rPr>
      <w:rFonts w:ascii="Calibri" w:eastAsia="Times New Roman" w:hAnsi="Calibri"/>
      <w:sz w:val="22"/>
      <w:lang w:eastAsia="fr-FR"/>
    </w:rPr>
  </w:style>
  <w:style w:type="paragraph" w:styleId="TM8">
    <w:name w:val="toc 8"/>
    <w:basedOn w:val="Normal"/>
    <w:next w:val="Normal"/>
    <w:autoRedefine/>
    <w:uiPriority w:val="39"/>
    <w:unhideWhenUsed/>
    <w:rsid w:val="00005E13"/>
    <w:pPr>
      <w:spacing w:after="100" w:line="276" w:lineRule="auto"/>
      <w:ind w:left="1540"/>
      <w:jc w:val="left"/>
    </w:pPr>
    <w:rPr>
      <w:rFonts w:ascii="Calibri" w:eastAsia="Times New Roman" w:hAnsi="Calibri"/>
      <w:sz w:val="22"/>
      <w:lang w:eastAsia="fr-FR"/>
    </w:rPr>
  </w:style>
  <w:style w:type="paragraph" w:styleId="TM9">
    <w:name w:val="toc 9"/>
    <w:basedOn w:val="Normal"/>
    <w:next w:val="Normal"/>
    <w:autoRedefine/>
    <w:uiPriority w:val="39"/>
    <w:unhideWhenUsed/>
    <w:rsid w:val="00005E13"/>
    <w:pPr>
      <w:spacing w:after="100" w:line="276" w:lineRule="auto"/>
      <w:ind w:left="1760"/>
      <w:jc w:val="left"/>
    </w:pPr>
    <w:rPr>
      <w:rFonts w:ascii="Calibri" w:eastAsia="Times New Roman" w:hAnsi="Calibri"/>
      <w:sz w:val="22"/>
      <w:lang w:eastAsia="fr-FR"/>
    </w:rPr>
  </w:style>
  <w:style w:type="character" w:styleId="lev">
    <w:name w:val="Strong"/>
    <w:uiPriority w:val="22"/>
    <w:qFormat/>
    <w:rsid w:val="00005E13"/>
    <w:rPr>
      <w:b/>
      <w:bCs/>
    </w:rPr>
  </w:style>
  <w:style w:type="paragraph" w:customStyle="1" w:styleId="sr">
    <w:name w:val="sr"/>
    <w:basedOn w:val="Normal"/>
    <w:uiPriority w:val="4"/>
    <w:qFormat/>
    <w:rsid w:val="00750D92"/>
    <w:pPr>
      <w:ind w:firstLine="0"/>
      <w:jc w:val="left"/>
    </w:pPr>
    <w:rPr>
      <w:sz w:val="24"/>
    </w:rPr>
  </w:style>
  <w:style w:type="character" w:customStyle="1" w:styleId="renvoinotes">
    <w:name w:val="renvoi notes"/>
    <w:uiPriority w:val="19"/>
    <w:qFormat/>
    <w:rsid w:val="00005E13"/>
    <w:rPr>
      <w:vertAlign w:val="superscript"/>
    </w:rPr>
  </w:style>
  <w:style w:type="paragraph" w:styleId="Titre">
    <w:name w:val="Title"/>
    <w:basedOn w:val="Normal"/>
    <w:next w:val="Normal"/>
    <w:link w:val="TitreCar"/>
    <w:uiPriority w:val="24"/>
    <w:qFormat/>
    <w:rsid w:val="00005E13"/>
    <w:pPr>
      <w:spacing w:before="240" w:after="60"/>
      <w:jc w:val="center"/>
      <w:outlineLvl w:val="0"/>
    </w:pPr>
    <w:rPr>
      <w:rFonts w:eastAsia="Times New Roman"/>
      <w:b/>
      <w:bCs/>
      <w:kern w:val="28"/>
      <w:sz w:val="32"/>
      <w:szCs w:val="32"/>
    </w:rPr>
  </w:style>
  <w:style w:type="character" w:customStyle="1" w:styleId="TitreCar">
    <w:name w:val="Titre Car"/>
    <w:link w:val="Titre"/>
    <w:uiPriority w:val="24"/>
    <w:rsid w:val="00005E13"/>
    <w:rPr>
      <w:rFonts w:ascii="Times New Roman" w:eastAsia="Times New Roman" w:hAnsi="Times New Roman"/>
      <w:b/>
      <w:bCs/>
      <w:kern w:val="28"/>
      <w:sz w:val="32"/>
      <w:szCs w:val="32"/>
      <w:lang w:eastAsia="en-US" w:bidi="ar-SA"/>
    </w:rPr>
  </w:style>
  <w:style w:type="paragraph" w:styleId="Commentaire">
    <w:name w:val="annotation text"/>
    <w:basedOn w:val="Normal"/>
    <w:link w:val="CommentaireCar"/>
    <w:uiPriority w:val="99"/>
    <w:semiHidden/>
    <w:unhideWhenUsed/>
    <w:rsid w:val="00005E13"/>
    <w:rPr>
      <w:sz w:val="20"/>
      <w:szCs w:val="20"/>
    </w:rPr>
  </w:style>
  <w:style w:type="character" w:customStyle="1" w:styleId="CommentaireCar">
    <w:name w:val="Commentaire Car"/>
    <w:link w:val="Commentaire"/>
    <w:uiPriority w:val="99"/>
    <w:semiHidden/>
    <w:rsid w:val="00005E13"/>
    <w:rPr>
      <w:rFonts w:ascii="Times New Roman" w:hAnsi="Times New Roman"/>
      <w:lang w:eastAsia="en-US" w:bidi="ar-SA"/>
    </w:rPr>
  </w:style>
  <w:style w:type="character" w:customStyle="1" w:styleId="ObjetducommentaireCar">
    <w:name w:val="Objet du commentaire Car"/>
    <w:link w:val="Objetducommentaire"/>
    <w:uiPriority w:val="99"/>
    <w:semiHidden/>
    <w:rsid w:val="00005E13"/>
    <w:rPr>
      <w:rFonts w:ascii="Times New Roman" w:hAnsi="Times New Roman"/>
      <w:b/>
      <w:bCs/>
      <w:lang w:eastAsia="en-US" w:bidi="ar-SA"/>
    </w:rPr>
  </w:style>
  <w:style w:type="paragraph" w:styleId="Objetducommentaire">
    <w:name w:val="annotation subject"/>
    <w:basedOn w:val="Normal"/>
    <w:next w:val="Normal"/>
    <w:link w:val="ObjetducommentaireCar"/>
    <w:uiPriority w:val="99"/>
    <w:semiHidden/>
    <w:unhideWhenUsed/>
    <w:rsid w:val="00005E13"/>
    <w:rPr>
      <w:b/>
      <w:bCs/>
      <w:sz w:val="20"/>
      <w:szCs w:val="20"/>
    </w:rPr>
  </w:style>
  <w:style w:type="character" w:customStyle="1" w:styleId="pm">
    <w:name w:val="pm"/>
    <w:uiPriority w:val="1"/>
    <w:qFormat/>
    <w:rsid w:val="00005E13"/>
    <w:rPr>
      <w:smallCaps/>
    </w:rPr>
  </w:style>
  <w:style w:type="paragraph" w:customStyle="1" w:styleId="pc">
    <w:name w:val="pc"/>
    <w:basedOn w:val="Normal"/>
    <w:uiPriority w:val="9"/>
    <w:qFormat/>
    <w:rsid w:val="00005E13"/>
    <w:pPr>
      <w:ind w:firstLine="0"/>
    </w:pPr>
    <w:rPr>
      <w:sz w:val="24"/>
    </w:rPr>
  </w:style>
  <w:style w:type="character" w:customStyle="1" w:styleId="appnot">
    <w:name w:val="appnot"/>
    <w:uiPriority w:val="1"/>
    <w:qFormat/>
    <w:rsid w:val="00005E13"/>
    <w:rPr>
      <w:color w:val="C00000"/>
      <w:szCs w:val="25"/>
      <w:vertAlign w:val="superscript"/>
    </w:rPr>
  </w:style>
  <w:style w:type="character" w:customStyle="1" w:styleId="cr">
    <w:name w:val="cr"/>
    <w:uiPriority w:val="1"/>
    <w:qFormat/>
    <w:rsid w:val="00005E13"/>
    <w:rPr>
      <w:color w:val="FF0000"/>
    </w:rPr>
  </w:style>
  <w:style w:type="paragraph" w:customStyle="1" w:styleId="u1">
    <w:name w:val="u1"/>
    <w:uiPriority w:val="9"/>
    <w:qFormat/>
    <w:rsid w:val="00005E13"/>
    <w:pPr>
      <w:spacing w:before="140" w:after="60"/>
    </w:pPr>
    <w:rPr>
      <w:rFonts w:ascii="Times New Roman" w:hAnsi="Times New Roman"/>
      <w:b/>
      <w:sz w:val="26"/>
      <w:szCs w:val="22"/>
      <w:lang w:eastAsia="en-US" w:bidi="ar-SA"/>
    </w:rPr>
  </w:style>
  <w:style w:type="paragraph" w:customStyle="1" w:styleId="u2">
    <w:name w:val="u2"/>
    <w:uiPriority w:val="9"/>
    <w:qFormat/>
    <w:rsid w:val="00005E13"/>
    <w:pPr>
      <w:spacing w:before="80" w:after="40"/>
    </w:pPr>
    <w:rPr>
      <w:rFonts w:ascii="Times New Roman" w:hAnsi="Times New Roman"/>
      <w:smallCaps/>
      <w:sz w:val="25"/>
      <w:szCs w:val="22"/>
      <w:u w:val="single"/>
      <w:lang w:eastAsia="en-US" w:bidi="ar-SA"/>
    </w:rPr>
  </w:style>
  <w:style w:type="paragraph" w:customStyle="1" w:styleId="u3">
    <w:name w:val="u3"/>
    <w:uiPriority w:val="9"/>
    <w:qFormat/>
    <w:rsid w:val="00005E13"/>
    <w:pPr>
      <w:spacing w:before="80" w:after="40"/>
    </w:pPr>
    <w:rPr>
      <w:rFonts w:ascii="Times New Roman" w:hAnsi="Times New Roman"/>
      <w:sz w:val="25"/>
      <w:szCs w:val="22"/>
      <w:u w:val="single"/>
      <w:lang w:eastAsia="en-US" w:bidi="ar-SA"/>
    </w:rPr>
  </w:style>
  <w:style w:type="paragraph" w:customStyle="1" w:styleId="nsrs">
    <w:name w:val="nsrs"/>
    <w:basedOn w:val="nsr"/>
    <w:uiPriority w:val="9"/>
    <w:qFormat/>
    <w:rsid w:val="00005E13"/>
    <w:pPr>
      <w:jc w:val="left"/>
    </w:pPr>
    <w:rPr>
      <w:rFonts w:eastAsia="Calibri"/>
      <w:szCs w:val="25"/>
      <w:lang w:eastAsia="en-US"/>
    </w:rPr>
  </w:style>
  <w:style w:type="paragraph" w:customStyle="1" w:styleId="la1">
    <w:name w:val="la1"/>
    <w:basedOn w:val="Titre1"/>
    <w:next w:val="Normal"/>
    <w:uiPriority w:val="9"/>
    <w:qFormat/>
    <w:rsid w:val="00005E13"/>
    <w:pPr>
      <w:spacing w:before="260"/>
    </w:pPr>
    <w:rPr>
      <w:sz w:val="34"/>
      <w:lang w:bidi="ar-SA"/>
    </w:rPr>
  </w:style>
  <w:style w:type="paragraph" w:customStyle="1" w:styleId="u4">
    <w:name w:val="u4"/>
    <w:qFormat/>
    <w:rsid w:val="008056CD"/>
    <w:pPr>
      <w:spacing w:before="80" w:after="80"/>
      <w:jc w:val="center"/>
    </w:pPr>
    <w:rPr>
      <w:rFonts w:ascii="Times New Roman" w:hAnsi="Times New Roman"/>
      <w:sz w:val="24"/>
      <w:szCs w:val="18"/>
      <w:lang w:bidi="ar-SA"/>
    </w:rPr>
  </w:style>
  <w:style w:type="paragraph" w:customStyle="1" w:styleId="u01">
    <w:name w:val="u01"/>
    <w:basedOn w:val="Normal"/>
    <w:uiPriority w:val="2"/>
    <w:qFormat/>
    <w:rsid w:val="001C5D73"/>
    <w:pPr>
      <w:ind w:left="284" w:hanging="284"/>
    </w:pPr>
    <w:rPr>
      <w:rFonts w:eastAsia="Arial Unicode MS"/>
      <w:bCs/>
      <w:sz w:val="24"/>
      <w:lang w:eastAsia="fr-FR" w:bidi="he-IL"/>
    </w:rPr>
  </w:style>
  <w:style w:type="paragraph" w:customStyle="1" w:styleId="concordia">
    <w:name w:val="concordia"/>
    <w:basedOn w:val="Normal"/>
    <w:uiPriority w:val="2"/>
    <w:qFormat/>
    <w:rsid w:val="007B4ED4"/>
    <w:pPr>
      <w:jc w:val="right"/>
    </w:pPr>
    <w:rPr>
      <w:rFonts w:eastAsia="Arial Unicode MS"/>
      <w:bCs/>
      <w:color w:val="008000"/>
      <w:sz w:val="24"/>
      <w:lang w:eastAsia="fr-FR" w:bidi="he-IL"/>
    </w:rPr>
  </w:style>
  <w:style w:type="paragraph" w:customStyle="1" w:styleId="uconcordia">
    <w:name w:val="uconcordia"/>
    <w:basedOn w:val="concordia"/>
    <w:uiPriority w:val="2"/>
    <w:qFormat/>
    <w:rsid w:val="007B4ED4"/>
    <w:pPr>
      <w:jc w:val="center"/>
    </w:pPr>
  </w:style>
  <w:style w:type="paragraph" w:customStyle="1" w:styleId="caput">
    <w:name w:val="caput"/>
    <w:next w:val="Normal"/>
    <w:uiPriority w:val="1"/>
    <w:qFormat/>
    <w:rsid w:val="007B4ED4"/>
    <w:pPr>
      <w:keepNext/>
    </w:pPr>
    <w:rPr>
      <w:rFonts w:ascii="Times New Roman" w:eastAsia="Times New Roman" w:hAnsi="Times New Roman"/>
      <w:b/>
      <w:sz w:val="24"/>
      <w:szCs w:val="24"/>
      <w:lang w:bidi="ar-SA"/>
    </w:rPr>
  </w:style>
  <w:style w:type="character" w:customStyle="1" w:styleId="cnumerus">
    <w:name w:val="cnumerus"/>
    <w:uiPriority w:val="1"/>
    <w:qFormat/>
    <w:rsid w:val="00E36C8E"/>
    <w:rPr>
      <w:color w:val="7030A0"/>
    </w:rPr>
  </w:style>
  <w:style w:type="paragraph" w:customStyle="1" w:styleId="ba">
    <w:name w:val="ba"/>
    <w:basedOn w:val="Normal"/>
    <w:uiPriority w:val="9"/>
    <w:qFormat/>
    <w:rsid w:val="00E36C8E"/>
    <w:pPr>
      <w:autoSpaceDE w:val="0"/>
      <w:autoSpaceDN w:val="0"/>
      <w:adjustRightInd w:val="0"/>
    </w:pPr>
    <w:rPr>
      <w:rFonts w:ascii="Book Antiqua" w:hAnsi="Book Antiqua"/>
      <w:szCs w:val="25"/>
    </w:rPr>
  </w:style>
  <w:style w:type="paragraph" w:customStyle="1" w:styleId="nc">
    <w:name w:val="nc"/>
    <w:basedOn w:val="csr"/>
    <w:uiPriority w:val="9"/>
    <w:qFormat/>
    <w:rsid w:val="00E36C8E"/>
    <w:rPr>
      <w:sz w:val="23"/>
    </w:rPr>
  </w:style>
  <w:style w:type="paragraph" w:customStyle="1" w:styleId="it02">
    <w:name w:val="it02"/>
    <w:basedOn w:val="Normal"/>
    <w:uiPriority w:val="14"/>
    <w:qFormat/>
    <w:rsid w:val="00E36C8E"/>
    <w:pPr>
      <w:spacing w:before="140" w:after="60"/>
      <w:ind w:firstLine="0"/>
    </w:pPr>
    <w:rPr>
      <w:b/>
    </w:rPr>
  </w:style>
  <w:style w:type="paragraph" w:customStyle="1" w:styleId="bos">
    <w:name w:val="bos"/>
    <w:basedOn w:val="Normal"/>
    <w:uiPriority w:val="9"/>
    <w:qFormat/>
    <w:rsid w:val="00E36C8E"/>
    <w:pPr>
      <w:autoSpaceDE w:val="0"/>
      <w:autoSpaceDN w:val="0"/>
      <w:adjustRightInd w:val="0"/>
    </w:pPr>
    <w:rPr>
      <w:rFonts w:ascii="Bookman Old Style" w:hAnsi="Bookman Old Style"/>
      <w:sz w:val="24"/>
      <w:szCs w:val="25"/>
    </w:rPr>
  </w:style>
  <w:style w:type="paragraph" w:customStyle="1" w:styleId="arial">
    <w:name w:val="arial"/>
    <w:basedOn w:val="bos"/>
    <w:uiPriority w:val="9"/>
    <w:qFormat/>
    <w:rsid w:val="00E36C8E"/>
    <w:rPr>
      <w:rFonts w:ascii="Arial" w:hAnsi="Arial" w:cs="Arial"/>
      <w:sz w:val="23"/>
    </w:rPr>
  </w:style>
  <w:style w:type="paragraph" w:customStyle="1" w:styleId="ctsr">
    <w:name w:val="ctsr"/>
    <w:basedOn w:val="Normal"/>
    <w:uiPriority w:val="9"/>
    <w:qFormat/>
    <w:rsid w:val="00E36C8E"/>
    <w:pPr>
      <w:ind w:left="567" w:firstLine="0"/>
    </w:pPr>
    <w:rPr>
      <w:sz w:val="24"/>
    </w:rPr>
  </w:style>
  <w:style w:type="paragraph" w:customStyle="1" w:styleId="provisoire">
    <w:name w:val="provisoire"/>
    <w:basedOn w:val="Normal"/>
    <w:uiPriority w:val="9"/>
    <w:qFormat/>
    <w:rsid w:val="00E36C8E"/>
    <w:rPr>
      <w:color w:val="0070C0"/>
    </w:rPr>
  </w:style>
  <w:style w:type="paragraph" w:customStyle="1" w:styleId="ln">
    <w:name w:val="ln"/>
    <w:basedOn w:val="lcsr"/>
    <w:uiPriority w:val="9"/>
    <w:qFormat/>
    <w:rsid w:val="00E36C8E"/>
    <w:rPr>
      <w:sz w:val="23"/>
    </w:rPr>
  </w:style>
  <w:style w:type="paragraph" w:customStyle="1" w:styleId="u00a">
    <w:name w:val="u00a"/>
    <w:basedOn w:val="u00"/>
    <w:uiPriority w:val="9"/>
    <w:qFormat/>
    <w:rsid w:val="00E36C8E"/>
    <w:rPr>
      <w:sz w:val="30"/>
    </w:rPr>
  </w:style>
  <w:style w:type="paragraph" w:customStyle="1" w:styleId="leva">
    <w:name w:val="leva"/>
    <w:basedOn w:val="Normal"/>
    <w:uiPriority w:val="9"/>
    <w:qFormat/>
    <w:rsid w:val="00E36C8E"/>
    <w:pPr>
      <w:jc w:val="left"/>
    </w:pPr>
  </w:style>
  <w:style w:type="paragraph" w:customStyle="1" w:styleId="h">
    <w:name w:val="h"/>
    <w:uiPriority w:val="9"/>
    <w:qFormat/>
    <w:rsid w:val="00E36C8E"/>
    <w:pPr>
      <w:ind w:left="284" w:hanging="284"/>
    </w:pPr>
    <w:rPr>
      <w:rFonts w:ascii="Times New Roman" w:hAnsi="Times New Roman"/>
      <w:sz w:val="25"/>
      <w:szCs w:val="25"/>
      <w:lang w:bidi="ar-SA"/>
    </w:rPr>
  </w:style>
  <w:style w:type="paragraph" w:customStyle="1" w:styleId="h12">
    <w:name w:val="h12"/>
    <w:basedOn w:val="h"/>
    <w:uiPriority w:val="9"/>
    <w:qFormat/>
    <w:rsid w:val="00E36C8E"/>
    <w:pPr>
      <w:ind w:left="568"/>
    </w:pPr>
  </w:style>
  <w:style w:type="paragraph" w:customStyle="1" w:styleId="ewald1">
    <w:name w:val="ewald1"/>
    <w:uiPriority w:val="9"/>
    <w:qFormat/>
    <w:rsid w:val="005E62EB"/>
    <w:pPr>
      <w:ind w:firstLine="284"/>
      <w:jc w:val="both"/>
    </w:pPr>
    <w:rPr>
      <w:rFonts w:ascii="Times New Roman" w:eastAsia="Arial Unicode MS" w:hAnsi="Times New Roman"/>
      <w:bCs/>
      <w:sz w:val="30"/>
      <w:szCs w:val="22"/>
    </w:rPr>
  </w:style>
  <w:style w:type="paragraph" w:customStyle="1" w:styleId="ewald2">
    <w:name w:val="ewald2"/>
    <w:basedOn w:val="ewald1"/>
    <w:uiPriority w:val="9"/>
    <w:qFormat/>
    <w:rsid w:val="00B72191"/>
    <w:rPr>
      <w:i/>
    </w:rPr>
  </w:style>
  <w:style w:type="paragraph" w:customStyle="1" w:styleId="ewald3">
    <w:name w:val="ewald3"/>
    <w:basedOn w:val="ewald1"/>
    <w:uiPriority w:val="9"/>
    <w:qFormat/>
    <w:rsid w:val="005E62EB"/>
    <w:rPr>
      <w:sz w:val="28"/>
    </w:rPr>
  </w:style>
  <w:style w:type="paragraph" w:customStyle="1" w:styleId="ewald4">
    <w:name w:val="ewald4"/>
    <w:basedOn w:val="ewald3"/>
    <w:uiPriority w:val="9"/>
    <w:qFormat/>
    <w:rsid w:val="00B72191"/>
    <w:rPr>
      <w:i/>
    </w:rPr>
  </w:style>
  <w:style w:type="paragraph" w:customStyle="1" w:styleId="ewald5">
    <w:name w:val="ewald5"/>
    <w:basedOn w:val="ewald1"/>
    <w:uiPriority w:val="9"/>
    <w:qFormat/>
    <w:rsid w:val="005E62EB"/>
    <w:rPr>
      <w:sz w:val="26"/>
    </w:rPr>
  </w:style>
  <w:style w:type="paragraph" w:customStyle="1" w:styleId="ewald6">
    <w:name w:val="ewald6"/>
    <w:basedOn w:val="ewald5"/>
    <w:uiPriority w:val="9"/>
    <w:qFormat/>
    <w:rsid w:val="00B72191"/>
    <w:rPr>
      <w:i/>
    </w:rPr>
  </w:style>
  <w:style w:type="paragraph" w:customStyle="1" w:styleId="ewald7">
    <w:name w:val="ewald7"/>
    <w:basedOn w:val="ewald1"/>
    <w:uiPriority w:val="9"/>
    <w:qFormat/>
    <w:rsid w:val="005E62EB"/>
    <w:rPr>
      <w:bCs w:val="0"/>
      <w:sz w:val="24"/>
    </w:rPr>
  </w:style>
  <w:style w:type="paragraph" w:customStyle="1" w:styleId="ewald8">
    <w:name w:val="ewald8"/>
    <w:basedOn w:val="ewald7"/>
    <w:uiPriority w:val="9"/>
    <w:qFormat/>
    <w:rsid w:val="00D31267"/>
    <w:rPr>
      <w:i/>
    </w:rPr>
  </w:style>
  <w:style w:type="paragraph" w:customStyle="1" w:styleId="ewald9">
    <w:name w:val="ewald9"/>
    <w:basedOn w:val="ewald1"/>
    <w:uiPriority w:val="9"/>
    <w:qFormat/>
    <w:rsid w:val="005E62EB"/>
    <w:rPr>
      <w:sz w:val="22"/>
    </w:rPr>
  </w:style>
  <w:style w:type="character" w:customStyle="1" w:styleId="01">
    <w:name w:val="01"/>
    <w:basedOn w:val="Policepardfaut"/>
    <w:uiPriority w:val="29"/>
    <w:qFormat/>
    <w:rsid w:val="00AC1A55"/>
    <w:rPr>
      <w:rFonts w:eastAsia="Arial Unicode MS"/>
      <w:b/>
      <w:bCs/>
      <w:color w:val="FF0000"/>
      <w:lang w:eastAsia="fr-FR" w:bidi="he-IL"/>
    </w:rPr>
  </w:style>
  <w:style w:type="character" w:styleId="Lienhypertextesuivivisit">
    <w:name w:val="FollowedHyperlink"/>
    <w:basedOn w:val="Policepardfaut"/>
    <w:uiPriority w:val="99"/>
    <w:semiHidden/>
    <w:unhideWhenUsed/>
    <w:rsid w:val="000E647E"/>
    <w:rPr>
      <w:color w:val="800080"/>
      <w:u w:val="single"/>
    </w:rPr>
  </w:style>
  <w:style w:type="paragraph" w:customStyle="1" w:styleId="fr02">
    <w:name w:val="fr02"/>
    <w:basedOn w:val="centrum"/>
    <w:qFormat/>
    <w:rsid w:val="00C94937"/>
    <w:rPr>
      <w:sz w:val="36"/>
      <w:szCs w:val="36"/>
    </w:rPr>
  </w:style>
  <w:style w:type="paragraph" w:customStyle="1" w:styleId="fr01">
    <w:name w:val="fr01"/>
    <w:basedOn w:val="centrum"/>
    <w:qFormat/>
    <w:rsid w:val="00C94937"/>
    <w:rPr>
      <w:b/>
      <w:bCs/>
      <w:sz w:val="60"/>
      <w:szCs w:val="60"/>
    </w:rPr>
  </w:style>
  <w:style w:type="paragraph" w:customStyle="1" w:styleId="ed1">
    <w:name w:val="ed1"/>
    <w:uiPriority w:val="9"/>
    <w:qFormat/>
    <w:rsid w:val="00C94937"/>
    <w:rPr>
      <w:rFonts w:ascii="Times New Roman" w:eastAsia="Arial Unicode MS" w:hAnsi="Times New Roman"/>
      <w:sz w:val="23"/>
      <w:lang w:bidi="ar-SA"/>
    </w:rPr>
  </w:style>
  <w:style w:type="paragraph" w:customStyle="1" w:styleId="ed2">
    <w:name w:val="ed2"/>
    <w:basedOn w:val="ed1"/>
    <w:uiPriority w:val="9"/>
    <w:qFormat/>
    <w:rsid w:val="00C94937"/>
    <w:pPr>
      <w:spacing w:line="360" w:lineRule="auto"/>
    </w:pPr>
  </w:style>
  <w:style w:type="character" w:customStyle="1" w:styleId="st">
    <w:name w:val="st"/>
    <w:basedOn w:val="Policepardfaut"/>
    <w:rsid w:val="00431B93"/>
  </w:style>
  <w:style w:type="character" w:customStyle="1" w:styleId="cnuno">
    <w:name w:val="cnuno"/>
    <w:basedOn w:val="Policepardfaut"/>
    <w:uiPriority w:val="29"/>
    <w:qFormat/>
    <w:rsid w:val="007E25A6"/>
    <w:rPr>
      <w:vanish/>
      <w:color w:val="00B0F0"/>
      <w:lang w:eastAsia="fr-FR" w:bidi="he-IL"/>
    </w:rPr>
  </w:style>
  <w:style w:type="paragraph" w:customStyle="1" w:styleId="ed3">
    <w:name w:val="ed3"/>
    <w:basedOn w:val="ed1"/>
    <w:qFormat/>
    <w:rsid w:val="0077146D"/>
    <w:rPr>
      <w:sz w:val="21"/>
    </w:rPr>
  </w:style>
</w:styles>
</file>

<file path=word/webSettings.xml><?xml version="1.0" encoding="utf-8"?>
<w:webSettings xmlns:r="http://schemas.openxmlformats.org/officeDocument/2006/relationships" xmlns:w="http://schemas.openxmlformats.org/wordprocessingml/2006/main">
  <w:divs>
    <w:div w:id="366033302">
      <w:bodyDiv w:val="1"/>
      <w:marLeft w:val="0"/>
      <w:marRight w:val="0"/>
      <w:marTop w:val="0"/>
      <w:marBottom w:val="0"/>
      <w:divBdr>
        <w:top w:val="none" w:sz="0" w:space="0" w:color="auto"/>
        <w:left w:val="none" w:sz="0" w:space="0" w:color="auto"/>
        <w:bottom w:val="none" w:sz="0" w:space="0" w:color="auto"/>
        <w:right w:val="none" w:sz="0" w:space="0" w:color="auto"/>
      </w:divBdr>
    </w:div>
    <w:div w:id="468209065">
      <w:bodyDiv w:val="1"/>
      <w:marLeft w:val="0"/>
      <w:marRight w:val="0"/>
      <w:marTop w:val="0"/>
      <w:marBottom w:val="0"/>
      <w:divBdr>
        <w:top w:val="none" w:sz="0" w:space="0" w:color="auto"/>
        <w:left w:val="none" w:sz="0" w:space="0" w:color="auto"/>
        <w:bottom w:val="none" w:sz="0" w:space="0" w:color="auto"/>
        <w:right w:val="none" w:sz="0" w:space="0" w:color="auto"/>
      </w:divBdr>
      <w:divsChild>
        <w:div w:id="952905935">
          <w:marLeft w:val="0"/>
          <w:marRight w:val="0"/>
          <w:marTop w:val="0"/>
          <w:marBottom w:val="0"/>
          <w:divBdr>
            <w:top w:val="none" w:sz="0" w:space="0" w:color="auto"/>
            <w:left w:val="none" w:sz="0" w:space="0" w:color="auto"/>
            <w:bottom w:val="none" w:sz="0" w:space="0" w:color="auto"/>
            <w:right w:val="none" w:sz="0" w:space="0" w:color="auto"/>
          </w:divBdr>
        </w:div>
      </w:divsChild>
    </w:div>
    <w:div w:id="509178336">
      <w:bodyDiv w:val="1"/>
      <w:marLeft w:val="0"/>
      <w:marRight w:val="0"/>
      <w:marTop w:val="0"/>
      <w:marBottom w:val="0"/>
      <w:divBdr>
        <w:top w:val="none" w:sz="0" w:space="0" w:color="auto"/>
        <w:left w:val="none" w:sz="0" w:space="0" w:color="auto"/>
        <w:bottom w:val="none" w:sz="0" w:space="0" w:color="auto"/>
        <w:right w:val="none" w:sz="0" w:space="0" w:color="auto"/>
      </w:divBdr>
    </w:div>
    <w:div w:id="539055720">
      <w:bodyDiv w:val="1"/>
      <w:marLeft w:val="0"/>
      <w:marRight w:val="0"/>
      <w:marTop w:val="0"/>
      <w:marBottom w:val="0"/>
      <w:divBdr>
        <w:top w:val="none" w:sz="0" w:space="0" w:color="auto"/>
        <w:left w:val="none" w:sz="0" w:space="0" w:color="auto"/>
        <w:bottom w:val="none" w:sz="0" w:space="0" w:color="auto"/>
        <w:right w:val="none" w:sz="0" w:space="0" w:color="auto"/>
      </w:divBdr>
    </w:div>
    <w:div w:id="569537445">
      <w:bodyDiv w:val="1"/>
      <w:marLeft w:val="0"/>
      <w:marRight w:val="0"/>
      <w:marTop w:val="0"/>
      <w:marBottom w:val="0"/>
      <w:divBdr>
        <w:top w:val="none" w:sz="0" w:space="0" w:color="auto"/>
        <w:left w:val="none" w:sz="0" w:space="0" w:color="auto"/>
        <w:bottom w:val="none" w:sz="0" w:space="0" w:color="auto"/>
        <w:right w:val="none" w:sz="0" w:space="0" w:color="auto"/>
      </w:divBdr>
    </w:div>
    <w:div w:id="1004936471">
      <w:bodyDiv w:val="1"/>
      <w:marLeft w:val="0"/>
      <w:marRight w:val="0"/>
      <w:marTop w:val="0"/>
      <w:marBottom w:val="0"/>
      <w:divBdr>
        <w:top w:val="none" w:sz="0" w:space="0" w:color="auto"/>
        <w:left w:val="none" w:sz="0" w:space="0" w:color="auto"/>
        <w:bottom w:val="none" w:sz="0" w:space="0" w:color="auto"/>
        <w:right w:val="none" w:sz="0" w:space="0" w:color="auto"/>
      </w:divBdr>
    </w:div>
    <w:div w:id="117677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364DD-9D97-424D-97EE-E810A6DA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52852</Words>
  <Characters>290686</Characters>
  <Application>Microsoft Office Word</Application>
  <DocSecurity>0</DocSecurity>
  <Lines>2422</Lines>
  <Paragraphs>685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342853</CharactersWithSpaces>
  <SharedDoc>false</SharedDoc>
  <HLinks>
    <vt:vector size="108" baseType="variant">
      <vt:variant>
        <vt:i4>1310769</vt:i4>
      </vt:variant>
      <vt:variant>
        <vt:i4>98</vt:i4>
      </vt:variant>
      <vt:variant>
        <vt:i4>0</vt:i4>
      </vt:variant>
      <vt:variant>
        <vt:i4>5</vt:i4>
      </vt:variant>
      <vt:variant>
        <vt:lpwstr/>
      </vt:variant>
      <vt:variant>
        <vt:lpwstr>_Toc526755731</vt:lpwstr>
      </vt:variant>
      <vt:variant>
        <vt:i4>1310769</vt:i4>
      </vt:variant>
      <vt:variant>
        <vt:i4>92</vt:i4>
      </vt:variant>
      <vt:variant>
        <vt:i4>0</vt:i4>
      </vt:variant>
      <vt:variant>
        <vt:i4>5</vt:i4>
      </vt:variant>
      <vt:variant>
        <vt:lpwstr/>
      </vt:variant>
      <vt:variant>
        <vt:lpwstr>_Toc526755730</vt:lpwstr>
      </vt:variant>
      <vt:variant>
        <vt:i4>1376305</vt:i4>
      </vt:variant>
      <vt:variant>
        <vt:i4>86</vt:i4>
      </vt:variant>
      <vt:variant>
        <vt:i4>0</vt:i4>
      </vt:variant>
      <vt:variant>
        <vt:i4>5</vt:i4>
      </vt:variant>
      <vt:variant>
        <vt:lpwstr/>
      </vt:variant>
      <vt:variant>
        <vt:lpwstr>_Toc526755729</vt:lpwstr>
      </vt:variant>
      <vt:variant>
        <vt:i4>1376305</vt:i4>
      </vt:variant>
      <vt:variant>
        <vt:i4>80</vt:i4>
      </vt:variant>
      <vt:variant>
        <vt:i4>0</vt:i4>
      </vt:variant>
      <vt:variant>
        <vt:i4>5</vt:i4>
      </vt:variant>
      <vt:variant>
        <vt:lpwstr/>
      </vt:variant>
      <vt:variant>
        <vt:lpwstr>_Toc526755728</vt:lpwstr>
      </vt:variant>
      <vt:variant>
        <vt:i4>1376305</vt:i4>
      </vt:variant>
      <vt:variant>
        <vt:i4>74</vt:i4>
      </vt:variant>
      <vt:variant>
        <vt:i4>0</vt:i4>
      </vt:variant>
      <vt:variant>
        <vt:i4>5</vt:i4>
      </vt:variant>
      <vt:variant>
        <vt:lpwstr/>
      </vt:variant>
      <vt:variant>
        <vt:lpwstr>_Toc526755727</vt:lpwstr>
      </vt:variant>
      <vt:variant>
        <vt:i4>1376305</vt:i4>
      </vt:variant>
      <vt:variant>
        <vt:i4>68</vt:i4>
      </vt:variant>
      <vt:variant>
        <vt:i4>0</vt:i4>
      </vt:variant>
      <vt:variant>
        <vt:i4>5</vt:i4>
      </vt:variant>
      <vt:variant>
        <vt:lpwstr/>
      </vt:variant>
      <vt:variant>
        <vt:lpwstr>_Toc526755726</vt:lpwstr>
      </vt:variant>
      <vt:variant>
        <vt:i4>1376305</vt:i4>
      </vt:variant>
      <vt:variant>
        <vt:i4>62</vt:i4>
      </vt:variant>
      <vt:variant>
        <vt:i4>0</vt:i4>
      </vt:variant>
      <vt:variant>
        <vt:i4>5</vt:i4>
      </vt:variant>
      <vt:variant>
        <vt:lpwstr/>
      </vt:variant>
      <vt:variant>
        <vt:lpwstr>_Toc526755725</vt:lpwstr>
      </vt:variant>
      <vt:variant>
        <vt:i4>1376305</vt:i4>
      </vt:variant>
      <vt:variant>
        <vt:i4>56</vt:i4>
      </vt:variant>
      <vt:variant>
        <vt:i4>0</vt:i4>
      </vt:variant>
      <vt:variant>
        <vt:i4>5</vt:i4>
      </vt:variant>
      <vt:variant>
        <vt:lpwstr/>
      </vt:variant>
      <vt:variant>
        <vt:lpwstr>_Toc526755724</vt:lpwstr>
      </vt:variant>
      <vt:variant>
        <vt:i4>1376305</vt:i4>
      </vt:variant>
      <vt:variant>
        <vt:i4>50</vt:i4>
      </vt:variant>
      <vt:variant>
        <vt:i4>0</vt:i4>
      </vt:variant>
      <vt:variant>
        <vt:i4>5</vt:i4>
      </vt:variant>
      <vt:variant>
        <vt:lpwstr/>
      </vt:variant>
      <vt:variant>
        <vt:lpwstr>_Toc526755723</vt:lpwstr>
      </vt:variant>
      <vt:variant>
        <vt:i4>1376305</vt:i4>
      </vt:variant>
      <vt:variant>
        <vt:i4>44</vt:i4>
      </vt:variant>
      <vt:variant>
        <vt:i4>0</vt:i4>
      </vt:variant>
      <vt:variant>
        <vt:i4>5</vt:i4>
      </vt:variant>
      <vt:variant>
        <vt:lpwstr/>
      </vt:variant>
      <vt:variant>
        <vt:lpwstr>_Toc526755722</vt:lpwstr>
      </vt:variant>
      <vt:variant>
        <vt:i4>1376305</vt:i4>
      </vt:variant>
      <vt:variant>
        <vt:i4>38</vt:i4>
      </vt:variant>
      <vt:variant>
        <vt:i4>0</vt:i4>
      </vt:variant>
      <vt:variant>
        <vt:i4>5</vt:i4>
      </vt:variant>
      <vt:variant>
        <vt:lpwstr/>
      </vt:variant>
      <vt:variant>
        <vt:lpwstr>_Toc526755721</vt:lpwstr>
      </vt:variant>
      <vt:variant>
        <vt:i4>1376305</vt:i4>
      </vt:variant>
      <vt:variant>
        <vt:i4>32</vt:i4>
      </vt:variant>
      <vt:variant>
        <vt:i4>0</vt:i4>
      </vt:variant>
      <vt:variant>
        <vt:i4>5</vt:i4>
      </vt:variant>
      <vt:variant>
        <vt:lpwstr/>
      </vt:variant>
      <vt:variant>
        <vt:lpwstr>_Toc526755720</vt:lpwstr>
      </vt:variant>
      <vt:variant>
        <vt:i4>1441841</vt:i4>
      </vt:variant>
      <vt:variant>
        <vt:i4>26</vt:i4>
      </vt:variant>
      <vt:variant>
        <vt:i4>0</vt:i4>
      </vt:variant>
      <vt:variant>
        <vt:i4>5</vt:i4>
      </vt:variant>
      <vt:variant>
        <vt:lpwstr/>
      </vt:variant>
      <vt:variant>
        <vt:lpwstr>_Toc526755719</vt:lpwstr>
      </vt:variant>
      <vt:variant>
        <vt:i4>1441841</vt:i4>
      </vt:variant>
      <vt:variant>
        <vt:i4>20</vt:i4>
      </vt:variant>
      <vt:variant>
        <vt:i4>0</vt:i4>
      </vt:variant>
      <vt:variant>
        <vt:i4>5</vt:i4>
      </vt:variant>
      <vt:variant>
        <vt:lpwstr/>
      </vt:variant>
      <vt:variant>
        <vt:lpwstr>_Toc526755718</vt:lpwstr>
      </vt:variant>
      <vt:variant>
        <vt:i4>1441841</vt:i4>
      </vt:variant>
      <vt:variant>
        <vt:i4>14</vt:i4>
      </vt:variant>
      <vt:variant>
        <vt:i4>0</vt:i4>
      </vt:variant>
      <vt:variant>
        <vt:i4>5</vt:i4>
      </vt:variant>
      <vt:variant>
        <vt:lpwstr/>
      </vt:variant>
      <vt:variant>
        <vt:lpwstr>_Toc526755717</vt:lpwstr>
      </vt:variant>
      <vt:variant>
        <vt:i4>1441841</vt:i4>
      </vt:variant>
      <vt:variant>
        <vt:i4>8</vt:i4>
      </vt:variant>
      <vt:variant>
        <vt:i4>0</vt:i4>
      </vt:variant>
      <vt:variant>
        <vt:i4>5</vt:i4>
      </vt:variant>
      <vt:variant>
        <vt:lpwstr/>
      </vt:variant>
      <vt:variant>
        <vt:lpwstr>_Toc526755716</vt:lpwstr>
      </vt:variant>
      <vt:variant>
        <vt:i4>1441841</vt:i4>
      </vt:variant>
      <vt:variant>
        <vt:i4>2</vt:i4>
      </vt:variant>
      <vt:variant>
        <vt:i4>0</vt:i4>
      </vt:variant>
      <vt:variant>
        <vt:i4>5</vt:i4>
      </vt:variant>
      <vt:variant>
        <vt:lpwstr/>
      </vt:variant>
      <vt:variant>
        <vt:lpwstr>_Toc526755715</vt:lpwstr>
      </vt:variant>
      <vt:variant>
        <vt:i4>65582</vt:i4>
      </vt:variant>
      <vt:variant>
        <vt:i4>67</vt:i4>
      </vt:variant>
      <vt:variant>
        <vt:i4>0</vt:i4>
      </vt:variant>
      <vt:variant>
        <vt:i4>5</vt:i4>
      </vt:variant>
      <vt:variant>
        <vt:lpwstr/>
      </vt:variant>
      <vt:variant>
        <vt:lpwstr>evin140302a_denscensus</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Petrus</dc:creator>
  <cp:keywords/>
  <cp:lastModifiedBy>Petrus</cp:lastModifiedBy>
  <cp:revision>4</cp:revision>
  <dcterms:created xsi:type="dcterms:W3CDTF">2019-07-12T15:01:00Z</dcterms:created>
  <dcterms:modified xsi:type="dcterms:W3CDTF">2019-12-14T09:45:00Z</dcterms:modified>
</cp:coreProperties>
</file>